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FB" w:rsidRPr="00F90DE1" w:rsidRDefault="00CF44FB" w:rsidP="003B7BF3">
      <w:pPr>
        <w:widowControl/>
        <w:jc w:val="both"/>
        <w:rPr>
          <w:rFonts w:ascii="Calibri" w:hAnsi="Calibri" w:cs="Arial"/>
          <w:b/>
          <w:color w:val="00B0F0"/>
          <w:sz w:val="24"/>
          <w:szCs w:val="24"/>
        </w:rPr>
      </w:pPr>
      <w:bookmarkStart w:id="0" w:name="_GoBack"/>
      <w:bookmarkEnd w:id="0"/>
      <w:r w:rsidRPr="00171F75">
        <w:rPr>
          <w:rFonts w:ascii="Calibri" w:hAnsi="Calibri" w:cs="Arial"/>
          <w:b/>
          <w:sz w:val="24"/>
          <w:szCs w:val="24"/>
        </w:rPr>
        <w:t>Supporting Statement</w:t>
      </w:r>
      <w:r w:rsidR="00F90DE1">
        <w:rPr>
          <w:rFonts w:ascii="Calibri" w:hAnsi="Calibri" w:cs="Arial"/>
          <w:b/>
          <w:sz w:val="24"/>
          <w:szCs w:val="24"/>
        </w:rPr>
        <w:t xml:space="preserve"> </w:t>
      </w:r>
    </w:p>
    <w:p w:rsidR="00CF44FB" w:rsidRPr="000000EB" w:rsidRDefault="00CF44FB"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p>
    <w:p w:rsidR="00CF44FB" w:rsidRPr="000000EB" w:rsidRDefault="00CF44FB" w:rsidP="003B7BF3">
      <w:pPr>
        <w:widowControl/>
        <w:tabs>
          <w:tab w:val="left" w:pos="-720"/>
          <w:tab w:val="left" w:pos="270"/>
        </w:tabs>
        <w:jc w:val="both"/>
        <w:rPr>
          <w:rFonts w:ascii="Calibri" w:hAnsi="Calibri" w:cs="Arial"/>
          <w:sz w:val="24"/>
          <w:szCs w:val="24"/>
        </w:rPr>
      </w:pPr>
      <w:r w:rsidRPr="000000EB">
        <w:rPr>
          <w:rFonts w:ascii="Calibri" w:hAnsi="Calibri" w:cs="Arial"/>
          <w:b/>
          <w:sz w:val="24"/>
          <w:szCs w:val="24"/>
        </w:rPr>
        <w:t>A.</w:t>
      </w:r>
      <w:r w:rsidRPr="000000EB">
        <w:rPr>
          <w:rFonts w:ascii="Calibri" w:hAnsi="Calibri" w:cs="Arial"/>
          <w:sz w:val="24"/>
          <w:szCs w:val="24"/>
        </w:rPr>
        <w:t xml:space="preserve"> </w:t>
      </w:r>
      <w:r w:rsidRPr="000000EB">
        <w:rPr>
          <w:rFonts w:ascii="Calibri" w:hAnsi="Calibri" w:cs="Arial"/>
          <w:b/>
          <w:bCs/>
          <w:sz w:val="24"/>
          <w:szCs w:val="24"/>
        </w:rPr>
        <w:t>Justification</w:t>
      </w:r>
    </w:p>
    <w:p w:rsidR="00CF44FB" w:rsidRPr="000000EB" w:rsidRDefault="00CF44FB"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p>
    <w:p w:rsidR="00CF44FB" w:rsidRPr="002217BC" w:rsidRDefault="00CF44FB" w:rsidP="003B7BF3">
      <w:pPr>
        <w:widowControl/>
        <w:numPr>
          <w:ilvl w:val="0"/>
          <w:numId w:val="4"/>
        </w:numPr>
        <w:tabs>
          <w:tab w:val="left" w:pos="-720"/>
          <w:tab w:val="left" w:pos="0"/>
          <w:tab w:val="left" w:pos="540"/>
          <w:tab w:val="left" w:pos="630"/>
        </w:tabs>
        <w:jc w:val="both"/>
        <w:rPr>
          <w:rFonts w:ascii="Calibri" w:hAnsi="Calibri" w:cs="Arial"/>
          <w:b/>
          <w:sz w:val="24"/>
          <w:szCs w:val="24"/>
          <w:u w:val="single"/>
        </w:rPr>
      </w:pPr>
      <w:r w:rsidRPr="000000EB">
        <w:rPr>
          <w:rFonts w:ascii="Calibri" w:hAnsi="Calibri" w:cs="Arial"/>
          <w:b/>
          <w:sz w:val="24"/>
          <w:szCs w:val="24"/>
        </w:rPr>
        <w:t xml:space="preserve"> </w:t>
      </w:r>
      <w:r w:rsidRPr="000000EB">
        <w:rPr>
          <w:rFonts w:ascii="Calibri" w:hAnsi="Calibri" w:cs="Arial"/>
          <w:b/>
          <w:sz w:val="24"/>
          <w:szCs w:val="24"/>
        </w:rPr>
        <w:tab/>
      </w:r>
      <w:r w:rsidRPr="002217BC">
        <w:rPr>
          <w:rFonts w:ascii="Calibri" w:hAnsi="Calibri" w:cs="Arial"/>
          <w:b/>
          <w:sz w:val="24"/>
          <w:szCs w:val="24"/>
          <w:u w:val="single"/>
        </w:rPr>
        <w:t>Necessity of the Information Collection</w:t>
      </w:r>
    </w:p>
    <w:p w:rsidR="00A5334E" w:rsidRPr="000000EB" w:rsidRDefault="00A5334E"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jc w:val="both"/>
        <w:rPr>
          <w:rFonts w:ascii="Calibri" w:hAnsi="Calibri" w:cs="Arial"/>
          <w:sz w:val="24"/>
          <w:szCs w:val="24"/>
        </w:rPr>
      </w:pPr>
    </w:p>
    <w:p w:rsidR="00CF44FB" w:rsidRPr="000000EB" w:rsidRDefault="0019193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Pr>
          <w:rFonts w:ascii="Calibri" w:hAnsi="Calibri" w:cs="Arial"/>
          <w:sz w:val="24"/>
          <w:szCs w:val="24"/>
        </w:rPr>
        <w:t>The current revisions request updates t</w:t>
      </w:r>
      <w:r w:rsidR="00CF44FB" w:rsidRPr="000000EB">
        <w:rPr>
          <w:rFonts w:ascii="Calibri" w:hAnsi="Calibri" w:cs="Arial"/>
          <w:sz w:val="24"/>
          <w:szCs w:val="24"/>
        </w:rPr>
        <w:t xml:space="preserve">he Bureau of Justice Statistics (BJS), of the U.S. Department of Justice, </w:t>
      </w:r>
      <w:r>
        <w:rPr>
          <w:rFonts w:ascii="Calibri" w:hAnsi="Calibri" w:cs="Arial"/>
          <w:sz w:val="24"/>
          <w:szCs w:val="24"/>
        </w:rPr>
        <w:t xml:space="preserve">prior </w:t>
      </w:r>
      <w:r w:rsidR="00CF44FB" w:rsidRPr="000000EB">
        <w:rPr>
          <w:rFonts w:ascii="Calibri" w:hAnsi="Calibri" w:cs="Arial"/>
          <w:sz w:val="24"/>
          <w:szCs w:val="24"/>
        </w:rPr>
        <w:t xml:space="preserve">request </w:t>
      </w:r>
      <w:r>
        <w:rPr>
          <w:rFonts w:ascii="Calibri" w:hAnsi="Calibri" w:cs="Arial"/>
          <w:sz w:val="24"/>
          <w:szCs w:val="24"/>
        </w:rPr>
        <w:t xml:space="preserve">for </w:t>
      </w:r>
      <w:r w:rsidR="00CF44FB" w:rsidRPr="000000EB">
        <w:rPr>
          <w:rFonts w:ascii="Calibri" w:hAnsi="Calibri" w:cs="Arial"/>
          <w:sz w:val="24"/>
          <w:szCs w:val="24"/>
        </w:rPr>
        <w:t>an extension of a currently approved collection, the National Crime Victimization Survey (NCVS)</w:t>
      </w:r>
      <w:r w:rsidR="00A44590" w:rsidRPr="000000EB">
        <w:rPr>
          <w:rFonts w:ascii="Calibri" w:hAnsi="Calibri" w:cs="Arial"/>
          <w:sz w:val="24"/>
          <w:szCs w:val="24"/>
        </w:rPr>
        <w:t xml:space="preserve"> </w:t>
      </w:r>
      <w:r w:rsidR="00A6786F" w:rsidRPr="000000EB">
        <w:rPr>
          <w:rFonts w:ascii="Calibri" w:hAnsi="Calibri" w:cs="Arial"/>
          <w:sz w:val="24"/>
          <w:szCs w:val="24"/>
        </w:rPr>
        <w:t>(</w:t>
      </w:r>
      <w:r w:rsidR="00A44590" w:rsidRPr="000000EB">
        <w:rPr>
          <w:rFonts w:ascii="Calibri" w:hAnsi="Calibri" w:cs="Arial"/>
          <w:sz w:val="24"/>
          <w:szCs w:val="24"/>
        </w:rPr>
        <w:t>OMB No. 1121-0111</w:t>
      </w:r>
      <w:r w:rsidR="00A6786F" w:rsidRPr="000000EB">
        <w:rPr>
          <w:rFonts w:ascii="Calibri" w:hAnsi="Calibri" w:cs="Arial"/>
          <w:sz w:val="24"/>
          <w:szCs w:val="24"/>
        </w:rPr>
        <w:t>)</w:t>
      </w:r>
      <w:r w:rsidR="00CF44FB" w:rsidRPr="000000EB">
        <w:rPr>
          <w:rFonts w:ascii="Calibri" w:hAnsi="Calibri" w:cs="Arial"/>
          <w:sz w:val="24"/>
          <w:szCs w:val="24"/>
        </w:rPr>
        <w:t xml:space="preserve">.  The Office of Management and Budget’s (OMB) </w:t>
      </w:r>
      <w:r w:rsidR="00A44590" w:rsidRPr="000000EB">
        <w:rPr>
          <w:rFonts w:ascii="Calibri" w:hAnsi="Calibri" w:cs="Arial"/>
          <w:sz w:val="24"/>
          <w:szCs w:val="24"/>
        </w:rPr>
        <w:t xml:space="preserve">current approval </w:t>
      </w:r>
      <w:r>
        <w:rPr>
          <w:rFonts w:ascii="Calibri" w:hAnsi="Calibri" w:cs="Arial"/>
          <w:sz w:val="24"/>
          <w:szCs w:val="24"/>
        </w:rPr>
        <w:t xml:space="preserve">of the NCVS </w:t>
      </w:r>
      <w:r w:rsidR="00A44590" w:rsidRPr="000000EB">
        <w:rPr>
          <w:rFonts w:ascii="Calibri" w:hAnsi="Calibri" w:cs="Arial"/>
          <w:sz w:val="24"/>
          <w:szCs w:val="24"/>
        </w:rPr>
        <w:t>expire</w:t>
      </w:r>
      <w:r>
        <w:rPr>
          <w:rFonts w:ascii="Calibri" w:hAnsi="Calibri" w:cs="Arial"/>
          <w:sz w:val="24"/>
          <w:szCs w:val="24"/>
        </w:rPr>
        <w:t>d</w:t>
      </w:r>
      <w:r w:rsidR="00A44590" w:rsidRPr="000000EB">
        <w:rPr>
          <w:rFonts w:ascii="Calibri" w:hAnsi="Calibri" w:cs="Arial"/>
          <w:sz w:val="24"/>
          <w:szCs w:val="24"/>
        </w:rPr>
        <w:t xml:space="preserve"> </w:t>
      </w:r>
      <w:r w:rsidR="003E23BB" w:rsidRPr="000000EB">
        <w:rPr>
          <w:rFonts w:ascii="Calibri" w:hAnsi="Calibri" w:cs="Arial"/>
          <w:sz w:val="24"/>
          <w:szCs w:val="24"/>
        </w:rPr>
        <w:t>August 30, 201</w:t>
      </w:r>
      <w:r w:rsidR="00171F75">
        <w:rPr>
          <w:rFonts w:ascii="Calibri" w:hAnsi="Calibri" w:cs="Arial"/>
          <w:sz w:val="24"/>
          <w:szCs w:val="24"/>
        </w:rPr>
        <w:t>8</w:t>
      </w:r>
      <w:r w:rsidR="00CF44FB" w:rsidRPr="000000EB">
        <w:rPr>
          <w:rFonts w:ascii="Calibri" w:hAnsi="Calibri" w:cs="Arial"/>
          <w:sz w:val="24"/>
          <w:szCs w:val="24"/>
        </w:rPr>
        <w:t>.  This submission is for an extension of the current approval</w:t>
      </w:r>
      <w:r w:rsidR="00C66EED">
        <w:rPr>
          <w:rFonts w:ascii="Calibri" w:hAnsi="Calibri" w:cs="Arial"/>
          <w:sz w:val="24"/>
          <w:szCs w:val="24"/>
        </w:rPr>
        <w:t xml:space="preserve"> through </w:t>
      </w:r>
      <w:r w:rsidR="00465802">
        <w:rPr>
          <w:rFonts w:ascii="Calibri" w:hAnsi="Calibri" w:cs="Arial"/>
          <w:sz w:val="24"/>
          <w:szCs w:val="24"/>
        </w:rPr>
        <w:t>August</w:t>
      </w:r>
      <w:r w:rsidR="00C66EED">
        <w:rPr>
          <w:rFonts w:ascii="Calibri" w:hAnsi="Calibri" w:cs="Arial"/>
          <w:sz w:val="24"/>
          <w:szCs w:val="24"/>
        </w:rPr>
        <w:t xml:space="preserve"> 2021</w:t>
      </w:r>
      <w:r>
        <w:rPr>
          <w:rFonts w:ascii="Calibri" w:hAnsi="Calibri" w:cs="Arial"/>
          <w:sz w:val="24"/>
          <w:szCs w:val="24"/>
        </w:rPr>
        <w:t xml:space="preserve"> and a substantive revision to the NCVS to only </w:t>
      </w:r>
      <w:r w:rsidR="00DC283D">
        <w:rPr>
          <w:rFonts w:ascii="Calibri" w:hAnsi="Calibri" w:cs="Arial"/>
          <w:sz w:val="24"/>
          <w:szCs w:val="24"/>
        </w:rPr>
        <w:t>administer</w:t>
      </w:r>
      <w:r>
        <w:rPr>
          <w:rFonts w:ascii="Calibri" w:hAnsi="Calibri" w:cs="Arial"/>
          <w:sz w:val="24"/>
          <w:szCs w:val="24"/>
        </w:rPr>
        <w:t xml:space="preserve"> questions on sexual orientation and gender identity of victims age 16 or older</w:t>
      </w:r>
      <w:r w:rsidR="00CF44FB" w:rsidRPr="000000EB">
        <w:rPr>
          <w:rFonts w:ascii="Calibri" w:hAnsi="Calibri" w:cs="Arial"/>
          <w:sz w:val="24"/>
          <w:szCs w:val="24"/>
        </w:rPr>
        <w:t>.</w:t>
      </w:r>
    </w:p>
    <w:p w:rsidR="00BC5ED7" w:rsidRPr="000000EB" w:rsidRDefault="00BC5ED7"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A6786F" w:rsidRPr="000000EB" w:rsidRDefault="00A5334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84206A">
        <w:rPr>
          <w:rFonts w:ascii="Calibri" w:hAnsi="Calibri" w:cs="Arial"/>
          <w:sz w:val="24"/>
          <w:szCs w:val="24"/>
        </w:rPr>
        <w:t xml:space="preserve">Title </w:t>
      </w:r>
      <w:r w:rsidR="00065B1E" w:rsidRPr="0084206A">
        <w:rPr>
          <w:rFonts w:ascii="Calibri" w:hAnsi="Calibri" w:cs="Arial"/>
          <w:sz w:val="24"/>
          <w:szCs w:val="24"/>
        </w:rPr>
        <w:t>34</w:t>
      </w:r>
      <w:r w:rsidRPr="0084206A">
        <w:rPr>
          <w:rFonts w:ascii="Calibri" w:hAnsi="Calibri" w:cs="Arial"/>
          <w:sz w:val="24"/>
          <w:szCs w:val="24"/>
        </w:rPr>
        <w:t xml:space="preserve">, United States Code, Section </w:t>
      </w:r>
      <w:r w:rsidR="00065B1E" w:rsidRPr="0084206A">
        <w:rPr>
          <w:rFonts w:ascii="Calibri" w:hAnsi="Calibri" w:cs="Arial"/>
          <w:sz w:val="24"/>
          <w:szCs w:val="24"/>
        </w:rPr>
        <w:t>10132</w:t>
      </w:r>
      <w:r w:rsidRPr="0084206A">
        <w:rPr>
          <w:rFonts w:ascii="Calibri" w:hAnsi="Calibri" w:cs="Arial"/>
          <w:sz w:val="24"/>
          <w:szCs w:val="24"/>
        </w:rPr>
        <w:t xml:space="preserve"> of the Justice Systems Improvement Act of 1979,</w:t>
      </w:r>
      <w:r w:rsidRPr="000000EB">
        <w:rPr>
          <w:rFonts w:ascii="Calibri" w:hAnsi="Calibri" w:cs="Arial"/>
          <w:sz w:val="24"/>
          <w:szCs w:val="24"/>
        </w:rPr>
        <w:t xml:space="preserve"> authorizes BJS to collect statistics on victimization</w:t>
      </w:r>
      <w:r w:rsidR="00A44590" w:rsidRPr="000000EB">
        <w:rPr>
          <w:rFonts w:ascii="Calibri" w:hAnsi="Calibri" w:cs="Arial"/>
          <w:sz w:val="24"/>
          <w:szCs w:val="24"/>
        </w:rPr>
        <w:t xml:space="preserve"> (see attachment</w:t>
      </w:r>
      <w:r w:rsidR="009F30D5">
        <w:rPr>
          <w:rFonts w:ascii="Calibri" w:hAnsi="Calibri" w:cs="Arial"/>
          <w:sz w:val="24"/>
          <w:szCs w:val="24"/>
        </w:rPr>
        <w:t>s</w:t>
      </w:r>
      <w:r w:rsidR="00A44590" w:rsidRPr="000000EB">
        <w:rPr>
          <w:rFonts w:ascii="Calibri" w:hAnsi="Calibri" w:cs="Arial"/>
          <w:sz w:val="24"/>
          <w:szCs w:val="24"/>
        </w:rPr>
        <w:t>)</w:t>
      </w:r>
      <w:r w:rsidRPr="000000EB">
        <w:rPr>
          <w:rFonts w:ascii="Calibri" w:hAnsi="Calibri" w:cs="Arial"/>
          <w:sz w:val="24"/>
          <w:szCs w:val="24"/>
        </w:rPr>
        <w:t xml:space="preserve">.  </w:t>
      </w:r>
      <w:r w:rsidR="00C66EED">
        <w:rPr>
          <w:rFonts w:ascii="Calibri" w:hAnsi="Calibri" w:cs="Arial"/>
          <w:sz w:val="24"/>
          <w:szCs w:val="24"/>
        </w:rPr>
        <w:t>Since 197</w:t>
      </w:r>
      <w:r w:rsidR="008A1024">
        <w:rPr>
          <w:rFonts w:ascii="Calibri" w:hAnsi="Calibri" w:cs="Arial"/>
          <w:sz w:val="24"/>
          <w:szCs w:val="24"/>
        </w:rPr>
        <w:t>2</w:t>
      </w:r>
      <w:r w:rsidR="00C66EED">
        <w:rPr>
          <w:rFonts w:ascii="Calibri" w:hAnsi="Calibri" w:cs="Arial"/>
          <w:sz w:val="24"/>
          <w:szCs w:val="24"/>
        </w:rPr>
        <w:t>, t</w:t>
      </w:r>
      <w:r w:rsidRPr="000000EB">
        <w:rPr>
          <w:rFonts w:ascii="Calibri" w:hAnsi="Calibri" w:cs="Arial"/>
          <w:sz w:val="24"/>
          <w:szCs w:val="24"/>
        </w:rPr>
        <w:t xml:space="preserve">he NCVS </w:t>
      </w:r>
      <w:r w:rsidR="00C66EED">
        <w:rPr>
          <w:rFonts w:ascii="Calibri" w:hAnsi="Calibri" w:cs="Arial"/>
          <w:sz w:val="24"/>
          <w:szCs w:val="24"/>
        </w:rPr>
        <w:t xml:space="preserve">has been </w:t>
      </w:r>
      <w:r w:rsidR="00C66EED" w:rsidRPr="000000EB">
        <w:rPr>
          <w:rFonts w:ascii="Calibri" w:hAnsi="Calibri" w:cs="Arial"/>
          <w:sz w:val="24"/>
          <w:szCs w:val="24"/>
        </w:rPr>
        <w:t>provid</w:t>
      </w:r>
      <w:r w:rsidR="00C66EED">
        <w:rPr>
          <w:rFonts w:ascii="Calibri" w:hAnsi="Calibri" w:cs="Arial"/>
          <w:sz w:val="24"/>
          <w:szCs w:val="24"/>
        </w:rPr>
        <w:t>ing</w:t>
      </w:r>
      <w:r w:rsidR="00C66EED" w:rsidRPr="000000EB">
        <w:rPr>
          <w:rFonts w:ascii="Calibri" w:hAnsi="Calibri" w:cs="Arial"/>
          <w:sz w:val="24"/>
          <w:szCs w:val="24"/>
        </w:rPr>
        <w:t xml:space="preserve"> </w:t>
      </w:r>
      <w:r w:rsidRPr="000000EB">
        <w:rPr>
          <w:rFonts w:ascii="Calibri" w:hAnsi="Calibri" w:cs="Arial"/>
          <w:sz w:val="24"/>
          <w:szCs w:val="24"/>
        </w:rPr>
        <w:t xml:space="preserve">national data on personal and household victimization, both reported and not reported to police.  </w:t>
      </w:r>
      <w:r w:rsidR="00A22955" w:rsidRPr="000000EB">
        <w:rPr>
          <w:rFonts w:ascii="Calibri" w:hAnsi="Calibri" w:cs="Arial"/>
          <w:sz w:val="24"/>
          <w:szCs w:val="24"/>
        </w:rPr>
        <w:t xml:space="preserve">The data collection allows the BJS to fulfill its mission of collecting, analyzing, publishing, and disseminating information on victims of crime. </w:t>
      </w:r>
      <w:r w:rsidRPr="000000EB">
        <w:rPr>
          <w:rFonts w:ascii="Calibri" w:hAnsi="Calibri" w:cs="Arial"/>
          <w:sz w:val="24"/>
          <w:szCs w:val="24"/>
        </w:rPr>
        <w:t xml:space="preserve">Together with </w:t>
      </w:r>
      <w:r w:rsidR="00A22955" w:rsidRPr="000000EB">
        <w:rPr>
          <w:rFonts w:ascii="Calibri" w:hAnsi="Calibri" w:cs="Arial"/>
          <w:sz w:val="24"/>
          <w:szCs w:val="24"/>
        </w:rPr>
        <w:t xml:space="preserve">the Federal Bureau of Investigation’s (FBI) </w:t>
      </w:r>
      <w:r w:rsidRPr="000000EB">
        <w:rPr>
          <w:rFonts w:ascii="Calibri" w:hAnsi="Calibri" w:cs="Arial"/>
          <w:sz w:val="24"/>
          <w:szCs w:val="24"/>
        </w:rPr>
        <w:t>statistics on crimes reported t</w:t>
      </w:r>
      <w:r w:rsidR="00A22955" w:rsidRPr="000000EB">
        <w:rPr>
          <w:rFonts w:ascii="Calibri" w:hAnsi="Calibri" w:cs="Arial"/>
          <w:sz w:val="24"/>
          <w:szCs w:val="24"/>
        </w:rPr>
        <w:t>o law enforcement agencies, the NCVS provides an understanding of the nature of and changes in the nation’s crime problems.</w:t>
      </w:r>
      <w:r w:rsidR="00F90DE1">
        <w:rPr>
          <w:rFonts w:ascii="Calibri" w:hAnsi="Calibri" w:cs="Arial"/>
          <w:sz w:val="24"/>
          <w:szCs w:val="24"/>
        </w:rPr>
        <w:t xml:space="preserve"> </w:t>
      </w:r>
      <w:r w:rsidR="00A22955" w:rsidRPr="000000EB">
        <w:rPr>
          <w:rFonts w:ascii="Calibri" w:hAnsi="Calibri" w:cs="Arial"/>
          <w:sz w:val="24"/>
          <w:szCs w:val="24"/>
        </w:rPr>
        <w:t xml:space="preserve">  </w:t>
      </w:r>
    </w:p>
    <w:p w:rsidR="00A6786F" w:rsidRPr="000000EB" w:rsidRDefault="00A6786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A5334E" w:rsidRDefault="00A22955"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 xml:space="preserve">The NCVS is currently the only source of annual national data on a number of policy relevant subjects related to criminal victimization, including intimate partner violence, hate crime, </w:t>
      </w:r>
      <w:r w:rsidR="0029598C" w:rsidRPr="000000EB">
        <w:rPr>
          <w:rFonts w:ascii="Calibri" w:hAnsi="Calibri" w:cs="Arial"/>
          <w:sz w:val="24"/>
          <w:szCs w:val="24"/>
        </w:rPr>
        <w:t xml:space="preserve">workplace violence, </w:t>
      </w:r>
      <w:r w:rsidRPr="000000EB">
        <w:rPr>
          <w:rFonts w:ascii="Calibri" w:hAnsi="Calibri" w:cs="Arial"/>
          <w:sz w:val="24"/>
          <w:szCs w:val="24"/>
        </w:rPr>
        <w:t>injury from victimization, guns and crime, the cost of crime, reporting to police, and crime against vulnerable populations, such as the elderly, juveniles,</w:t>
      </w:r>
      <w:r w:rsidR="00C96B83" w:rsidRPr="000000EB">
        <w:rPr>
          <w:rFonts w:ascii="Calibri" w:hAnsi="Calibri" w:cs="Arial"/>
          <w:sz w:val="24"/>
          <w:szCs w:val="24"/>
        </w:rPr>
        <w:t xml:space="preserve"> and persons with disabilities.  The NCVS is also a vehicle for the implementation of routine survey supplements that provide detailed information on timely and relevant topics such as identity theft, school crime, and contacts between the police and the public. </w:t>
      </w:r>
    </w:p>
    <w:p w:rsidR="0037669E" w:rsidRDefault="0037669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37669E" w:rsidRPr="000000EB" w:rsidRDefault="0037669E" w:rsidP="0037669E">
      <w:pPr>
        <w:ind w:left="630"/>
        <w:rPr>
          <w:rFonts w:ascii="Calibri" w:hAnsi="Calibri" w:cs="Arial"/>
          <w:color w:val="000000"/>
          <w:sz w:val="24"/>
          <w:szCs w:val="24"/>
        </w:rPr>
      </w:pPr>
      <w:r>
        <w:rPr>
          <w:rFonts w:ascii="Calibri" w:hAnsi="Calibri" w:cs="Arial"/>
          <w:color w:val="000000"/>
          <w:sz w:val="24"/>
          <w:szCs w:val="24"/>
        </w:rPr>
        <w:t>T</w:t>
      </w:r>
      <w:r w:rsidRPr="000000EB">
        <w:rPr>
          <w:rFonts w:ascii="Calibri" w:hAnsi="Calibri" w:cs="Arial"/>
          <w:color w:val="000000"/>
          <w:sz w:val="24"/>
          <w:szCs w:val="24"/>
        </w:rPr>
        <w:t>he BJS is specifically requesting clearance for the core NCVS</w:t>
      </w:r>
      <w:r>
        <w:rPr>
          <w:rFonts w:ascii="Calibri" w:hAnsi="Calibri" w:cs="Arial"/>
          <w:color w:val="000000"/>
          <w:sz w:val="24"/>
          <w:szCs w:val="24"/>
        </w:rPr>
        <w:t xml:space="preserve"> from August 201</w:t>
      </w:r>
      <w:r w:rsidR="00AA1997">
        <w:rPr>
          <w:rFonts w:ascii="Calibri" w:hAnsi="Calibri" w:cs="Arial"/>
          <w:color w:val="000000"/>
          <w:sz w:val="24"/>
          <w:szCs w:val="24"/>
        </w:rPr>
        <w:t>8</w:t>
      </w:r>
      <w:r>
        <w:rPr>
          <w:rFonts w:ascii="Calibri" w:hAnsi="Calibri" w:cs="Arial"/>
          <w:color w:val="000000"/>
          <w:sz w:val="24"/>
          <w:szCs w:val="24"/>
        </w:rPr>
        <w:t xml:space="preserve"> through August 20</w:t>
      </w:r>
      <w:r w:rsidR="00AA1997">
        <w:rPr>
          <w:rFonts w:ascii="Calibri" w:hAnsi="Calibri" w:cs="Arial"/>
          <w:color w:val="000000"/>
          <w:sz w:val="24"/>
          <w:szCs w:val="24"/>
        </w:rPr>
        <w:t>2</w:t>
      </w:r>
      <w:r w:rsidR="000B74AC">
        <w:rPr>
          <w:rFonts w:ascii="Calibri" w:hAnsi="Calibri" w:cs="Arial"/>
          <w:color w:val="000000"/>
          <w:sz w:val="24"/>
          <w:szCs w:val="24"/>
        </w:rPr>
        <w:t>1</w:t>
      </w:r>
      <w:r w:rsidRPr="000000EB">
        <w:rPr>
          <w:rFonts w:ascii="Calibri" w:hAnsi="Calibri" w:cs="Arial"/>
          <w:color w:val="000000"/>
          <w:sz w:val="24"/>
          <w:szCs w:val="24"/>
        </w:rPr>
        <w:t xml:space="preserve">. The core NCVS includes the administration of the NCVS-1 (screener) and NVCS-2 (crime incident report) instruments to a nationally representative sample of persons age 12 or older living in households in the United States, </w:t>
      </w:r>
      <w:r>
        <w:rPr>
          <w:rFonts w:ascii="Calibri" w:hAnsi="Calibri" w:cs="Arial"/>
          <w:color w:val="000000"/>
          <w:sz w:val="24"/>
          <w:szCs w:val="24"/>
        </w:rPr>
        <w:t>including</w:t>
      </w:r>
      <w:r w:rsidRPr="000000EB">
        <w:rPr>
          <w:rFonts w:ascii="Calibri" w:hAnsi="Calibri" w:cs="Arial"/>
          <w:color w:val="000000"/>
          <w:sz w:val="24"/>
          <w:szCs w:val="24"/>
        </w:rPr>
        <w:t xml:space="preserve"> samples of persons representative of the </w:t>
      </w:r>
      <w:r>
        <w:rPr>
          <w:rFonts w:ascii="Calibri" w:hAnsi="Calibri" w:cs="Arial"/>
          <w:color w:val="000000"/>
          <w:sz w:val="24"/>
          <w:szCs w:val="24"/>
        </w:rPr>
        <w:t>22</w:t>
      </w:r>
      <w:r w:rsidRPr="000000EB">
        <w:rPr>
          <w:rFonts w:ascii="Calibri" w:hAnsi="Calibri" w:cs="Arial"/>
          <w:color w:val="000000"/>
          <w:sz w:val="24"/>
          <w:szCs w:val="24"/>
        </w:rPr>
        <w:t xml:space="preserve"> </w:t>
      </w:r>
      <w:r w:rsidR="00AB0EF6">
        <w:rPr>
          <w:rFonts w:ascii="Calibri" w:hAnsi="Calibri" w:cs="Arial"/>
          <w:color w:val="000000"/>
          <w:sz w:val="24"/>
          <w:szCs w:val="24"/>
        </w:rPr>
        <w:t>most populous</w:t>
      </w:r>
      <w:r w:rsidR="00AB0EF6" w:rsidRPr="000000EB">
        <w:rPr>
          <w:rFonts w:ascii="Calibri" w:hAnsi="Calibri" w:cs="Arial"/>
          <w:color w:val="000000"/>
          <w:sz w:val="24"/>
          <w:szCs w:val="24"/>
        </w:rPr>
        <w:t xml:space="preserve"> </w:t>
      </w:r>
      <w:r w:rsidRPr="000000EB">
        <w:rPr>
          <w:rFonts w:ascii="Calibri" w:hAnsi="Calibri" w:cs="Arial"/>
          <w:color w:val="000000"/>
          <w:sz w:val="24"/>
          <w:szCs w:val="24"/>
        </w:rPr>
        <w:t>states in the U</w:t>
      </w:r>
      <w:r w:rsidR="00C66EED">
        <w:rPr>
          <w:rFonts w:ascii="Calibri" w:hAnsi="Calibri" w:cs="Arial"/>
          <w:color w:val="000000"/>
          <w:sz w:val="24"/>
          <w:szCs w:val="24"/>
        </w:rPr>
        <w:t>.</w:t>
      </w:r>
      <w:r w:rsidRPr="000000EB">
        <w:rPr>
          <w:rFonts w:ascii="Calibri" w:hAnsi="Calibri" w:cs="Arial"/>
          <w:color w:val="000000"/>
          <w:sz w:val="24"/>
          <w:szCs w:val="24"/>
        </w:rPr>
        <w:t xml:space="preserve">S. The core NCVS survey instrument covers </w:t>
      </w:r>
      <w:r w:rsidR="00AA1997">
        <w:rPr>
          <w:rFonts w:ascii="Calibri" w:hAnsi="Calibri" w:cs="Arial"/>
          <w:color w:val="000000"/>
          <w:sz w:val="24"/>
          <w:szCs w:val="24"/>
        </w:rPr>
        <w:t>nine</w:t>
      </w:r>
      <w:r w:rsidRPr="000000EB">
        <w:rPr>
          <w:rFonts w:ascii="Calibri" w:hAnsi="Calibri" w:cs="Arial"/>
          <w:color w:val="000000"/>
          <w:sz w:val="24"/>
          <w:szCs w:val="24"/>
        </w:rPr>
        <w:t xml:space="preserve"> general areas: 1</w:t>
      </w:r>
      <w:r w:rsidR="00C66EED">
        <w:rPr>
          <w:rFonts w:ascii="Calibri" w:hAnsi="Calibri" w:cs="Arial"/>
          <w:color w:val="000000"/>
          <w:sz w:val="24"/>
          <w:szCs w:val="24"/>
        </w:rPr>
        <w:t>)</w:t>
      </w:r>
      <w:r w:rsidRPr="000000EB">
        <w:rPr>
          <w:rFonts w:ascii="Calibri" w:hAnsi="Calibri" w:cs="Arial"/>
          <w:color w:val="000000"/>
          <w:sz w:val="24"/>
          <w:szCs w:val="24"/>
        </w:rPr>
        <w:t xml:space="preserve"> incidence of rape</w:t>
      </w:r>
      <w:r w:rsidR="00AA1997">
        <w:rPr>
          <w:rFonts w:ascii="Calibri" w:hAnsi="Calibri" w:cs="Arial"/>
          <w:color w:val="000000"/>
          <w:sz w:val="24"/>
          <w:szCs w:val="24"/>
        </w:rPr>
        <w:t xml:space="preserve"> or </w:t>
      </w:r>
      <w:r w:rsidRPr="000000EB">
        <w:rPr>
          <w:rFonts w:ascii="Calibri" w:hAnsi="Calibri" w:cs="Arial"/>
          <w:color w:val="000000"/>
          <w:sz w:val="24"/>
          <w:szCs w:val="24"/>
        </w:rPr>
        <w:t xml:space="preserve">sexual assault, robbery, </w:t>
      </w:r>
      <w:r w:rsidR="00AA1997">
        <w:rPr>
          <w:rFonts w:ascii="Calibri" w:hAnsi="Calibri" w:cs="Arial"/>
          <w:color w:val="000000"/>
          <w:sz w:val="24"/>
          <w:szCs w:val="24"/>
        </w:rPr>
        <w:t>aggravated</w:t>
      </w:r>
      <w:r w:rsidR="002A1BBD">
        <w:rPr>
          <w:rFonts w:ascii="Calibri" w:hAnsi="Calibri" w:cs="Arial"/>
          <w:color w:val="000000"/>
          <w:sz w:val="24"/>
          <w:szCs w:val="24"/>
        </w:rPr>
        <w:t xml:space="preserve"> assault,</w:t>
      </w:r>
      <w:r w:rsidR="00AA1997">
        <w:rPr>
          <w:rFonts w:ascii="Calibri" w:hAnsi="Calibri" w:cs="Arial"/>
          <w:color w:val="000000"/>
          <w:sz w:val="24"/>
          <w:szCs w:val="24"/>
        </w:rPr>
        <w:t xml:space="preserve"> simple </w:t>
      </w:r>
      <w:r w:rsidRPr="000000EB">
        <w:rPr>
          <w:rFonts w:ascii="Calibri" w:hAnsi="Calibri" w:cs="Arial"/>
          <w:color w:val="000000"/>
          <w:sz w:val="24"/>
          <w:szCs w:val="24"/>
        </w:rPr>
        <w:t>assault, personal larceny, burglary, motor vehicle theft, and other theft; 2</w:t>
      </w:r>
      <w:r w:rsidR="00C66EED">
        <w:rPr>
          <w:rFonts w:ascii="Calibri" w:hAnsi="Calibri" w:cs="Arial"/>
          <w:color w:val="000000"/>
          <w:sz w:val="24"/>
          <w:szCs w:val="24"/>
        </w:rPr>
        <w:t>)</w:t>
      </w:r>
      <w:r w:rsidRPr="000000EB">
        <w:rPr>
          <w:rFonts w:ascii="Calibri" w:hAnsi="Calibri" w:cs="Arial"/>
          <w:color w:val="000000"/>
          <w:sz w:val="24"/>
          <w:szCs w:val="24"/>
        </w:rPr>
        <w:t xml:space="preserve"> characteristics of these victimizations, including location, time, presence of a weapon, injury, and property/monetary loss; 3</w:t>
      </w:r>
      <w:r w:rsidR="00C66EED">
        <w:rPr>
          <w:rFonts w:ascii="Calibri" w:hAnsi="Calibri" w:cs="Arial"/>
          <w:color w:val="000000"/>
          <w:sz w:val="24"/>
          <w:szCs w:val="24"/>
        </w:rPr>
        <w:t>)</w:t>
      </w:r>
      <w:r w:rsidRPr="000000EB">
        <w:rPr>
          <w:rFonts w:ascii="Calibri" w:hAnsi="Calibri" w:cs="Arial"/>
          <w:color w:val="000000"/>
          <w:sz w:val="24"/>
          <w:szCs w:val="24"/>
        </w:rPr>
        <w:t xml:space="preserve"> characteristics of victims, including </w:t>
      </w:r>
      <w:r w:rsidR="00AA1997">
        <w:rPr>
          <w:rFonts w:ascii="Calibri" w:hAnsi="Calibri" w:cs="Arial"/>
          <w:color w:val="000000"/>
          <w:sz w:val="24"/>
          <w:szCs w:val="24"/>
        </w:rPr>
        <w:t xml:space="preserve">sex, </w:t>
      </w:r>
      <w:r w:rsidRPr="000000EB">
        <w:rPr>
          <w:rFonts w:ascii="Calibri" w:hAnsi="Calibri" w:cs="Arial"/>
          <w:color w:val="000000"/>
          <w:sz w:val="24"/>
          <w:szCs w:val="24"/>
        </w:rPr>
        <w:t xml:space="preserve">age, race, </w:t>
      </w:r>
      <w:r w:rsidR="00AA1997">
        <w:rPr>
          <w:rFonts w:ascii="Calibri" w:hAnsi="Calibri" w:cs="Arial"/>
          <w:color w:val="000000"/>
          <w:sz w:val="24"/>
          <w:szCs w:val="24"/>
        </w:rPr>
        <w:t>Hispanic origin</w:t>
      </w:r>
      <w:r w:rsidRPr="000000EB">
        <w:rPr>
          <w:rFonts w:ascii="Calibri" w:hAnsi="Calibri" w:cs="Arial"/>
          <w:color w:val="000000"/>
          <w:sz w:val="24"/>
          <w:szCs w:val="24"/>
        </w:rPr>
        <w:t>, disability, and occupation; 4</w:t>
      </w:r>
      <w:r w:rsidR="00C66EED">
        <w:rPr>
          <w:rFonts w:ascii="Calibri" w:hAnsi="Calibri" w:cs="Arial"/>
          <w:color w:val="000000"/>
          <w:sz w:val="24"/>
          <w:szCs w:val="24"/>
        </w:rPr>
        <w:t>)</w:t>
      </w:r>
      <w:r w:rsidRPr="000000EB">
        <w:rPr>
          <w:rFonts w:ascii="Calibri" w:hAnsi="Calibri" w:cs="Arial"/>
          <w:color w:val="000000"/>
          <w:sz w:val="24"/>
          <w:szCs w:val="24"/>
        </w:rPr>
        <w:t xml:space="preserve"> relationship between victim </w:t>
      </w:r>
      <w:r w:rsidRPr="000000EB">
        <w:rPr>
          <w:rFonts w:ascii="Calibri" w:hAnsi="Calibri" w:cs="Arial"/>
          <w:color w:val="000000"/>
          <w:sz w:val="24"/>
          <w:szCs w:val="24"/>
        </w:rPr>
        <w:lastRenderedPageBreak/>
        <w:t>and offender and offender characteristics</w:t>
      </w:r>
      <w:r w:rsidR="000D6E53">
        <w:rPr>
          <w:rFonts w:ascii="Calibri" w:hAnsi="Calibri" w:cs="Arial"/>
          <w:color w:val="000000"/>
          <w:sz w:val="24"/>
          <w:szCs w:val="24"/>
        </w:rPr>
        <w:t>, including sex, age, race and Hispanic origin</w:t>
      </w:r>
      <w:r w:rsidRPr="000000EB">
        <w:rPr>
          <w:rFonts w:ascii="Calibri" w:hAnsi="Calibri" w:cs="Arial"/>
          <w:color w:val="000000"/>
          <w:sz w:val="24"/>
          <w:szCs w:val="24"/>
        </w:rPr>
        <w:t>; 5</w:t>
      </w:r>
      <w:r w:rsidR="00C66EED">
        <w:rPr>
          <w:rFonts w:ascii="Calibri" w:hAnsi="Calibri" w:cs="Arial"/>
          <w:color w:val="000000"/>
          <w:sz w:val="24"/>
          <w:szCs w:val="24"/>
        </w:rPr>
        <w:t>)</w:t>
      </w:r>
      <w:r w:rsidRPr="000000EB">
        <w:rPr>
          <w:rFonts w:ascii="Calibri" w:hAnsi="Calibri" w:cs="Arial"/>
          <w:color w:val="000000"/>
          <w:sz w:val="24"/>
          <w:szCs w:val="24"/>
        </w:rPr>
        <w:t xml:space="preserve"> emotional impact of victimization; 6</w:t>
      </w:r>
      <w:r w:rsidR="00C66EED">
        <w:rPr>
          <w:rFonts w:ascii="Calibri" w:hAnsi="Calibri" w:cs="Arial"/>
          <w:color w:val="000000"/>
          <w:sz w:val="24"/>
          <w:szCs w:val="24"/>
        </w:rPr>
        <w:t>)</w:t>
      </w:r>
      <w:r w:rsidRPr="000000EB">
        <w:rPr>
          <w:rFonts w:ascii="Calibri" w:hAnsi="Calibri" w:cs="Arial"/>
          <w:color w:val="000000"/>
          <w:sz w:val="24"/>
          <w:szCs w:val="24"/>
        </w:rPr>
        <w:t xml:space="preserve"> victim self-defense and bystander intervention; 7</w:t>
      </w:r>
      <w:r w:rsidR="00C66EED">
        <w:rPr>
          <w:rFonts w:ascii="Calibri" w:hAnsi="Calibri" w:cs="Arial"/>
          <w:color w:val="000000"/>
          <w:sz w:val="24"/>
          <w:szCs w:val="24"/>
        </w:rPr>
        <w:t>)</w:t>
      </w:r>
      <w:r w:rsidRPr="000000EB">
        <w:rPr>
          <w:rFonts w:ascii="Calibri" w:hAnsi="Calibri" w:cs="Arial"/>
          <w:color w:val="000000"/>
          <w:sz w:val="24"/>
          <w:szCs w:val="24"/>
        </w:rPr>
        <w:t xml:space="preserve"> offender characteristics; 8</w:t>
      </w:r>
      <w:r w:rsidR="00C66EED">
        <w:rPr>
          <w:rFonts w:ascii="Calibri" w:hAnsi="Calibri" w:cs="Arial"/>
          <w:color w:val="000000"/>
          <w:sz w:val="24"/>
          <w:szCs w:val="24"/>
        </w:rPr>
        <w:t>)</w:t>
      </w:r>
      <w:r w:rsidRPr="000000EB">
        <w:rPr>
          <w:rFonts w:ascii="Calibri" w:hAnsi="Calibri" w:cs="Arial"/>
          <w:color w:val="000000"/>
          <w:sz w:val="24"/>
          <w:szCs w:val="24"/>
        </w:rPr>
        <w:t xml:space="preserve"> reporting to police and police response; </w:t>
      </w:r>
      <w:r w:rsidR="00AA1997">
        <w:rPr>
          <w:rFonts w:ascii="Calibri" w:hAnsi="Calibri" w:cs="Arial"/>
          <w:color w:val="000000"/>
          <w:sz w:val="24"/>
          <w:szCs w:val="24"/>
        </w:rPr>
        <w:t xml:space="preserve">and </w:t>
      </w:r>
      <w:r w:rsidRPr="000000EB">
        <w:rPr>
          <w:rFonts w:ascii="Calibri" w:hAnsi="Calibri" w:cs="Arial"/>
          <w:color w:val="000000"/>
          <w:sz w:val="24"/>
          <w:szCs w:val="24"/>
        </w:rPr>
        <w:t>9</w:t>
      </w:r>
      <w:r w:rsidR="00C66EED">
        <w:rPr>
          <w:rFonts w:ascii="Calibri" w:hAnsi="Calibri" w:cs="Arial"/>
          <w:color w:val="000000"/>
          <w:sz w:val="24"/>
          <w:szCs w:val="24"/>
        </w:rPr>
        <w:t>)</w:t>
      </w:r>
      <w:r w:rsidRPr="000000EB">
        <w:rPr>
          <w:rFonts w:ascii="Calibri" w:hAnsi="Calibri" w:cs="Arial"/>
          <w:color w:val="000000"/>
          <w:sz w:val="24"/>
          <w:szCs w:val="24"/>
        </w:rPr>
        <w:t xml:space="preserve"> bias- or hate-motivated victimizations. </w:t>
      </w:r>
      <w:r w:rsidR="008A1024">
        <w:rPr>
          <w:rFonts w:ascii="Calibri" w:hAnsi="Calibri" w:cs="Arial"/>
          <w:color w:val="000000"/>
          <w:sz w:val="24"/>
          <w:szCs w:val="24"/>
        </w:rPr>
        <w:t>NCVS c</w:t>
      </w:r>
      <w:r w:rsidRPr="000000EB">
        <w:rPr>
          <w:rFonts w:ascii="Calibri" w:hAnsi="Calibri" w:cs="Arial"/>
          <w:color w:val="000000"/>
          <w:sz w:val="24"/>
          <w:szCs w:val="24"/>
        </w:rPr>
        <w:t>ore work also includes the analysis and dissemination of data products and reports stemming from the core collection, as well as technical and methodological analyses and reports based on the sampling for, administration of, and analysis of data from the NCVS-1 and NCVS-2 instruments.</w:t>
      </w:r>
      <w:r w:rsidR="00E91199">
        <w:rPr>
          <w:rStyle w:val="FootnoteReference"/>
          <w:rFonts w:ascii="Calibri" w:hAnsi="Calibri" w:cs="Arial"/>
          <w:color w:val="000000"/>
          <w:sz w:val="24"/>
          <w:szCs w:val="24"/>
        </w:rPr>
        <w:footnoteReference w:id="1"/>
      </w:r>
      <w:r w:rsidRPr="000000EB">
        <w:rPr>
          <w:rFonts w:ascii="Calibri" w:hAnsi="Calibri" w:cs="Arial"/>
          <w:color w:val="000000"/>
          <w:sz w:val="24"/>
          <w:szCs w:val="24"/>
        </w:rPr>
        <w:t xml:space="preserve">  </w:t>
      </w:r>
    </w:p>
    <w:p w:rsidR="00C2597F" w:rsidRPr="000000EB" w:rsidRDefault="00C2597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CF44FB" w:rsidRPr="000000EB" w:rsidRDefault="00CF44FB" w:rsidP="00B8509A">
      <w:pPr>
        <w:widowControl/>
        <w:numPr>
          <w:ilvl w:val="0"/>
          <w:numId w:val="4"/>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color w:val="000000"/>
          <w:sz w:val="24"/>
          <w:szCs w:val="24"/>
          <w:u w:val="single"/>
        </w:rPr>
      </w:pPr>
      <w:r w:rsidRPr="000000EB">
        <w:rPr>
          <w:rFonts w:ascii="Calibri" w:hAnsi="Calibri" w:cs="Arial"/>
          <w:b/>
          <w:color w:val="000000"/>
          <w:sz w:val="24"/>
          <w:szCs w:val="24"/>
          <w:u w:val="single"/>
        </w:rPr>
        <w:t xml:space="preserve">Needs and Uses </w:t>
      </w:r>
    </w:p>
    <w:p w:rsidR="00CF44FB"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color w:val="000000"/>
          <w:sz w:val="24"/>
          <w:szCs w:val="24"/>
        </w:rPr>
      </w:pPr>
    </w:p>
    <w:p w:rsidR="00FD5E87" w:rsidRPr="000000EB" w:rsidRDefault="004307B5" w:rsidP="00B8509A">
      <w:pPr>
        <w:ind w:left="630"/>
        <w:rPr>
          <w:rFonts w:ascii="Calibri" w:hAnsi="Calibri" w:cs="Arial"/>
          <w:color w:val="000000"/>
          <w:sz w:val="24"/>
          <w:szCs w:val="24"/>
        </w:rPr>
      </w:pPr>
      <w:r w:rsidRPr="000000EB">
        <w:rPr>
          <w:rFonts w:ascii="Calibri" w:hAnsi="Calibri" w:cs="Arial"/>
          <w:color w:val="000000"/>
          <w:sz w:val="24"/>
          <w:szCs w:val="24"/>
        </w:rPr>
        <w:t>Since 1972, t</w:t>
      </w:r>
      <w:r w:rsidR="000612E8" w:rsidRPr="000000EB">
        <w:rPr>
          <w:rFonts w:ascii="Calibri" w:hAnsi="Calibri" w:cs="Arial"/>
          <w:color w:val="000000"/>
          <w:sz w:val="24"/>
          <w:szCs w:val="24"/>
        </w:rPr>
        <w:t xml:space="preserve">he NCVS </w:t>
      </w:r>
      <w:r w:rsidRPr="000000EB">
        <w:rPr>
          <w:rFonts w:ascii="Calibri" w:hAnsi="Calibri" w:cs="Arial"/>
          <w:color w:val="000000"/>
          <w:sz w:val="24"/>
          <w:szCs w:val="24"/>
        </w:rPr>
        <w:t xml:space="preserve">and its predecessor, the National Crime Survey (NCS), have </w:t>
      </w:r>
      <w:r w:rsidR="000612E8" w:rsidRPr="000000EB">
        <w:rPr>
          <w:rFonts w:ascii="Calibri" w:hAnsi="Calibri" w:cs="Arial"/>
          <w:color w:val="000000"/>
          <w:sz w:val="24"/>
          <w:szCs w:val="24"/>
        </w:rPr>
        <w:t>provide</w:t>
      </w:r>
      <w:r w:rsidRPr="000000EB">
        <w:rPr>
          <w:rFonts w:ascii="Calibri" w:hAnsi="Calibri" w:cs="Arial"/>
          <w:color w:val="000000"/>
          <w:sz w:val="24"/>
          <w:szCs w:val="24"/>
        </w:rPr>
        <w:t>d</w:t>
      </w:r>
      <w:r w:rsidR="000612E8" w:rsidRPr="000000EB">
        <w:rPr>
          <w:rFonts w:ascii="Calibri" w:hAnsi="Calibri" w:cs="Arial"/>
          <w:color w:val="000000"/>
          <w:sz w:val="24"/>
          <w:szCs w:val="24"/>
        </w:rPr>
        <w:t xml:space="preserve"> </w:t>
      </w:r>
      <w:r w:rsidRPr="000000EB">
        <w:rPr>
          <w:rFonts w:ascii="Calibri" w:hAnsi="Calibri" w:cs="Arial"/>
          <w:color w:val="000000"/>
          <w:sz w:val="24"/>
          <w:szCs w:val="24"/>
        </w:rPr>
        <w:t xml:space="preserve">national </w:t>
      </w:r>
      <w:r w:rsidR="000612E8" w:rsidRPr="000000EB">
        <w:rPr>
          <w:rFonts w:ascii="Calibri" w:hAnsi="Calibri" w:cs="Arial"/>
          <w:color w:val="000000"/>
          <w:sz w:val="24"/>
          <w:szCs w:val="24"/>
        </w:rPr>
        <w:t>data on the level and change of personal and property crimes both reported and not reported to police. It is one of the two main sources of data on crime in the United States and the only source that provides detailed information on the</w:t>
      </w:r>
      <w:r w:rsidR="00885E9C" w:rsidRPr="000000EB">
        <w:rPr>
          <w:rFonts w:ascii="Calibri" w:hAnsi="Calibri" w:cs="Arial"/>
          <w:color w:val="000000"/>
          <w:sz w:val="24"/>
          <w:szCs w:val="24"/>
        </w:rPr>
        <w:t xml:space="preserve"> </w:t>
      </w:r>
      <w:r w:rsidR="000612E8" w:rsidRPr="000000EB">
        <w:rPr>
          <w:rFonts w:ascii="Calibri" w:hAnsi="Calibri" w:cs="Arial"/>
          <w:color w:val="000000"/>
          <w:sz w:val="24"/>
          <w:szCs w:val="24"/>
        </w:rPr>
        <w:t>nature and consequences of crime</w:t>
      </w:r>
      <w:r w:rsidR="004710A5" w:rsidRPr="000000EB">
        <w:rPr>
          <w:rFonts w:ascii="Calibri" w:hAnsi="Calibri" w:cs="Arial"/>
          <w:color w:val="000000"/>
          <w:sz w:val="24"/>
          <w:szCs w:val="24"/>
        </w:rPr>
        <w:t xml:space="preserve">. </w:t>
      </w:r>
      <w:r w:rsidR="000612E8" w:rsidRPr="000000EB">
        <w:rPr>
          <w:rFonts w:ascii="Calibri" w:hAnsi="Calibri" w:cs="Arial"/>
          <w:color w:val="000000"/>
          <w:sz w:val="24"/>
          <w:szCs w:val="24"/>
        </w:rPr>
        <w:t xml:space="preserve"> By capturing crimes not reported to police</w:t>
      </w:r>
      <w:r w:rsidR="008446A9" w:rsidRPr="000000EB">
        <w:rPr>
          <w:rFonts w:ascii="Calibri" w:hAnsi="Calibri" w:cs="Arial"/>
          <w:color w:val="000000"/>
          <w:sz w:val="24"/>
          <w:szCs w:val="24"/>
        </w:rPr>
        <w:t xml:space="preserve">, </w:t>
      </w:r>
      <w:r w:rsidR="000612E8" w:rsidRPr="000000EB">
        <w:rPr>
          <w:rFonts w:ascii="Calibri" w:hAnsi="Calibri" w:cs="Arial"/>
          <w:color w:val="000000"/>
          <w:sz w:val="24"/>
          <w:szCs w:val="24"/>
        </w:rPr>
        <w:t>as well as those known to law enforcement, the NCVS serves as the primary</w:t>
      </w:r>
      <w:r w:rsidR="00885E9C" w:rsidRPr="000000EB">
        <w:rPr>
          <w:rFonts w:ascii="Calibri" w:hAnsi="Calibri" w:cs="Arial"/>
          <w:color w:val="000000"/>
          <w:sz w:val="24"/>
          <w:szCs w:val="24"/>
        </w:rPr>
        <w:t>, independent</w:t>
      </w:r>
      <w:r w:rsidR="000612E8" w:rsidRPr="000000EB">
        <w:rPr>
          <w:rFonts w:ascii="Calibri" w:hAnsi="Calibri" w:cs="Arial"/>
          <w:color w:val="000000"/>
          <w:sz w:val="24"/>
          <w:szCs w:val="24"/>
        </w:rPr>
        <w:t xml:space="preserve"> source of information on </w:t>
      </w:r>
      <w:r w:rsidR="008446A9" w:rsidRPr="000000EB">
        <w:rPr>
          <w:rFonts w:ascii="Calibri" w:hAnsi="Calibri" w:cs="Arial"/>
          <w:color w:val="000000"/>
          <w:sz w:val="24"/>
          <w:szCs w:val="24"/>
        </w:rPr>
        <w:t xml:space="preserve">crime in the </w:t>
      </w:r>
      <w:r w:rsidR="00B8509A" w:rsidRPr="000000EB">
        <w:rPr>
          <w:rFonts w:ascii="Calibri" w:hAnsi="Calibri" w:cs="Arial"/>
          <w:color w:val="000000"/>
          <w:sz w:val="24"/>
          <w:szCs w:val="24"/>
        </w:rPr>
        <w:t xml:space="preserve">U.S. </w:t>
      </w:r>
      <w:r w:rsidR="000612E8" w:rsidRPr="000000EB">
        <w:rPr>
          <w:rFonts w:ascii="Calibri" w:hAnsi="Calibri" w:cs="Arial"/>
          <w:color w:val="000000"/>
          <w:sz w:val="24"/>
          <w:szCs w:val="24"/>
        </w:rPr>
        <w:t xml:space="preserve">Understanding </w:t>
      </w:r>
      <w:r w:rsidR="0058378B">
        <w:rPr>
          <w:rFonts w:ascii="Calibri" w:hAnsi="Calibri" w:cs="Arial"/>
          <w:color w:val="000000"/>
          <w:sz w:val="24"/>
          <w:szCs w:val="24"/>
        </w:rPr>
        <w:t xml:space="preserve">unreported crime </w:t>
      </w:r>
      <w:r w:rsidR="00885E9C" w:rsidRPr="000000EB">
        <w:rPr>
          <w:rFonts w:ascii="Calibri" w:hAnsi="Calibri" w:cs="Arial"/>
          <w:color w:val="000000"/>
          <w:sz w:val="24"/>
          <w:szCs w:val="24"/>
        </w:rPr>
        <w:t xml:space="preserve">also </w:t>
      </w:r>
      <w:r w:rsidR="00C00324" w:rsidRPr="000000EB">
        <w:rPr>
          <w:rFonts w:ascii="Calibri" w:hAnsi="Calibri" w:cs="Arial"/>
          <w:color w:val="000000"/>
          <w:sz w:val="24"/>
          <w:szCs w:val="24"/>
        </w:rPr>
        <w:t>helps to inform</w:t>
      </w:r>
      <w:r w:rsidR="00F87F2B" w:rsidRPr="000000EB">
        <w:rPr>
          <w:rFonts w:ascii="Calibri" w:hAnsi="Calibri" w:cs="Arial"/>
          <w:color w:val="000000"/>
          <w:sz w:val="24"/>
          <w:szCs w:val="24"/>
        </w:rPr>
        <w:t xml:space="preserve"> the appropriate allocation of criminal justice system and victim service resources and </w:t>
      </w:r>
      <w:r w:rsidR="00C00324" w:rsidRPr="000000EB">
        <w:rPr>
          <w:rFonts w:ascii="Calibri" w:hAnsi="Calibri" w:cs="Arial"/>
          <w:color w:val="000000"/>
          <w:sz w:val="24"/>
          <w:szCs w:val="24"/>
        </w:rPr>
        <w:t xml:space="preserve">provides a better </w:t>
      </w:r>
      <w:r w:rsidR="00F87F2B" w:rsidRPr="000000EB">
        <w:rPr>
          <w:rFonts w:ascii="Calibri" w:hAnsi="Calibri" w:cs="Arial"/>
          <w:color w:val="000000"/>
          <w:sz w:val="24"/>
          <w:szCs w:val="24"/>
        </w:rPr>
        <w:t xml:space="preserve">understanding </w:t>
      </w:r>
      <w:r w:rsidR="00C00324" w:rsidRPr="000000EB">
        <w:rPr>
          <w:rFonts w:ascii="Calibri" w:hAnsi="Calibri" w:cs="Arial"/>
          <w:color w:val="000000"/>
          <w:sz w:val="24"/>
          <w:szCs w:val="24"/>
        </w:rPr>
        <w:t>of victim decision-making,</w:t>
      </w:r>
      <w:r w:rsidR="00F87F2B" w:rsidRPr="000000EB">
        <w:rPr>
          <w:rFonts w:ascii="Calibri" w:hAnsi="Calibri" w:cs="Arial"/>
          <w:color w:val="000000"/>
          <w:sz w:val="24"/>
          <w:szCs w:val="24"/>
        </w:rPr>
        <w:t xml:space="preserve"> responses to crime</w:t>
      </w:r>
      <w:r w:rsidR="00C00324" w:rsidRPr="000000EB">
        <w:rPr>
          <w:rFonts w:ascii="Calibri" w:hAnsi="Calibri" w:cs="Arial"/>
          <w:color w:val="000000"/>
          <w:sz w:val="24"/>
          <w:szCs w:val="24"/>
        </w:rPr>
        <w:t>,</w:t>
      </w:r>
      <w:r w:rsidR="00B87426" w:rsidRPr="000000EB">
        <w:rPr>
          <w:rFonts w:ascii="Calibri" w:hAnsi="Calibri" w:cs="Arial"/>
          <w:color w:val="000000"/>
          <w:sz w:val="24"/>
          <w:szCs w:val="24"/>
        </w:rPr>
        <w:t xml:space="preserve"> </w:t>
      </w:r>
      <w:r w:rsidR="00C00324" w:rsidRPr="000000EB">
        <w:rPr>
          <w:rFonts w:ascii="Calibri" w:hAnsi="Calibri" w:cs="Arial"/>
          <w:color w:val="000000"/>
          <w:sz w:val="24"/>
          <w:szCs w:val="24"/>
        </w:rPr>
        <w:t>and the resulting consequences</w:t>
      </w:r>
      <w:r w:rsidR="00F87F2B" w:rsidRPr="000000EB">
        <w:rPr>
          <w:rFonts w:ascii="Calibri" w:hAnsi="Calibri" w:cs="Arial"/>
          <w:color w:val="000000"/>
          <w:sz w:val="24"/>
          <w:szCs w:val="24"/>
        </w:rPr>
        <w:t xml:space="preserve">. </w:t>
      </w:r>
      <w:r w:rsidR="00C00324" w:rsidRPr="000000EB">
        <w:rPr>
          <w:rFonts w:ascii="Calibri" w:hAnsi="Calibri" w:cs="Arial"/>
          <w:color w:val="000000"/>
          <w:sz w:val="24"/>
          <w:szCs w:val="24"/>
        </w:rPr>
        <w:t xml:space="preserve"> </w:t>
      </w:r>
    </w:p>
    <w:p w:rsidR="00885E9C" w:rsidRPr="000000EB" w:rsidRDefault="00885E9C" w:rsidP="00B8509A">
      <w:pPr>
        <w:ind w:left="630"/>
        <w:rPr>
          <w:rFonts w:ascii="Calibri" w:hAnsi="Calibri" w:cs="Arial"/>
          <w:color w:val="000000"/>
          <w:sz w:val="24"/>
          <w:szCs w:val="24"/>
        </w:rPr>
      </w:pPr>
    </w:p>
    <w:p w:rsidR="003E23BB" w:rsidRPr="000000EB" w:rsidRDefault="003E23BB" w:rsidP="00BA3607">
      <w:pPr>
        <w:ind w:left="634"/>
        <w:rPr>
          <w:rFonts w:ascii="Calibri" w:hAnsi="Calibri" w:cs="Arial"/>
          <w:sz w:val="24"/>
          <w:szCs w:val="24"/>
        </w:rPr>
      </w:pPr>
      <w:r w:rsidRPr="000000EB">
        <w:rPr>
          <w:rFonts w:ascii="Calibri" w:hAnsi="Calibri" w:cs="Arial"/>
          <w:sz w:val="24"/>
          <w:szCs w:val="24"/>
        </w:rPr>
        <w:t>Beginning in the late 200</w:t>
      </w:r>
      <w:r w:rsidR="00F35A96">
        <w:rPr>
          <w:rFonts w:ascii="Calibri" w:hAnsi="Calibri" w:cs="Arial"/>
          <w:sz w:val="24"/>
          <w:szCs w:val="24"/>
        </w:rPr>
        <w:t>0</w:t>
      </w:r>
      <w:r w:rsidRPr="000000EB">
        <w:rPr>
          <w:rFonts w:ascii="Calibri" w:hAnsi="Calibri" w:cs="Arial"/>
          <w:sz w:val="24"/>
          <w:szCs w:val="24"/>
        </w:rPr>
        <w:t xml:space="preserve">s, BJS initiated a substantial multi-stage redesign effort to contain survey costs while enabling the NCVS to meet stakeholder needs for reliable </w:t>
      </w:r>
      <w:r w:rsidR="0058378B">
        <w:rPr>
          <w:rFonts w:ascii="Calibri" w:hAnsi="Calibri" w:cs="Arial"/>
          <w:sz w:val="24"/>
          <w:szCs w:val="24"/>
        </w:rPr>
        <w:t xml:space="preserve">and timely </w:t>
      </w:r>
      <w:r w:rsidRPr="000000EB">
        <w:rPr>
          <w:rFonts w:ascii="Calibri" w:hAnsi="Calibri" w:cs="Arial"/>
          <w:sz w:val="24"/>
          <w:szCs w:val="24"/>
        </w:rPr>
        <w:t xml:space="preserve">statistics on criminal victimization that are independent of police agency reports, as well as to generate subnational estimates of criminal victimization. Since the prior OMB approval period, BJS has </w:t>
      </w:r>
      <w:r w:rsidR="0058378B">
        <w:rPr>
          <w:rFonts w:ascii="Calibri" w:hAnsi="Calibri" w:cs="Arial"/>
          <w:sz w:val="24"/>
          <w:szCs w:val="24"/>
        </w:rPr>
        <w:t>undertaken</w:t>
      </w:r>
      <w:r w:rsidR="0058378B" w:rsidRPr="000000EB">
        <w:rPr>
          <w:rFonts w:ascii="Calibri" w:hAnsi="Calibri" w:cs="Arial"/>
          <w:sz w:val="24"/>
          <w:szCs w:val="24"/>
        </w:rPr>
        <w:t xml:space="preserve"> </w:t>
      </w:r>
      <w:r w:rsidRPr="000000EB">
        <w:rPr>
          <w:rFonts w:ascii="Calibri" w:hAnsi="Calibri" w:cs="Arial"/>
          <w:sz w:val="24"/>
          <w:szCs w:val="24"/>
        </w:rPr>
        <w:t xml:space="preserve">a number of research projects to respond to recommendations from </w:t>
      </w:r>
      <w:r w:rsidR="00A35E3C" w:rsidRPr="000000EB">
        <w:rPr>
          <w:rFonts w:ascii="Calibri" w:hAnsi="Calibri" w:cs="Arial"/>
          <w:sz w:val="24"/>
          <w:szCs w:val="24"/>
        </w:rPr>
        <w:t>the Committee on National Statistics (CNSTAT) of the National Research Council on increasing the relevance and quality of NCVS data</w:t>
      </w:r>
      <w:r w:rsidR="00815CF0" w:rsidRPr="000000EB">
        <w:rPr>
          <w:rFonts w:ascii="Calibri" w:hAnsi="Calibri" w:cs="Arial"/>
          <w:sz w:val="24"/>
          <w:szCs w:val="24"/>
        </w:rPr>
        <w:t>.</w:t>
      </w:r>
      <w:r w:rsidR="00A35E3C" w:rsidRPr="000000EB">
        <w:rPr>
          <w:rStyle w:val="FootnoteReference"/>
          <w:rFonts w:ascii="Calibri" w:hAnsi="Calibri" w:cs="Arial"/>
          <w:sz w:val="24"/>
          <w:szCs w:val="24"/>
        </w:rPr>
        <w:footnoteReference w:id="2"/>
      </w:r>
      <w:r w:rsidR="00815CF0" w:rsidRPr="000000EB">
        <w:rPr>
          <w:rFonts w:ascii="Calibri" w:hAnsi="Calibri" w:cs="Arial"/>
          <w:sz w:val="24"/>
          <w:szCs w:val="24"/>
        </w:rPr>
        <w:t xml:space="preserve"> </w:t>
      </w:r>
      <w:r w:rsidRPr="000000EB">
        <w:rPr>
          <w:rFonts w:ascii="Calibri" w:hAnsi="Calibri" w:cs="Arial"/>
          <w:sz w:val="24"/>
          <w:szCs w:val="24"/>
        </w:rPr>
        <w:t>These on-going proj</w:t>
      </w:r>
      <w:r w:rsidR="00815CF0" w:rsidRPr="000000EB">
        <w:rPr>
          <w:rFonts w:ascii="Calibri" w:hAnsi="Calibri" w:cs="Arial"/>
          <w:sz w:val="24"/>
          <w:szCs w:val="24"/>
        </w:rPr>
        <w:t xml:space="preserve">ects have been conducted under separate clearance packages, and include efforts to </w:t>
      </w:r>
      <w:r w:rsidR="00815CF0" w:rsidRPr="00AE7958">
        <w:rPr>
          <w:rFonts w:ascii="Calibri" w:hAnsi="Calibri" w:cs="Arial"/>
          <w:sz w:val="24"/>
          <w:szCs w:val="24"/>
        </w:rPr>
        <w:t>conduct a low cost self-administered companion survey to collect local estimates of victimization (OMB No 1121-</w:t>
      </w:r>
      <w:r w:rsidR="003E16F7" w:rsidRPr="00AE7958">
        <w:rPr>
          <w:rFonts w:ascii="Calibri" w:hAnsi="Calibri" w:cs="Arial"/>
          <w:sz w:val="24"/>
          <w:szCs w:val="24"/>
        </w:rPr>
        <w:t>0351</w:t>
      </w:r>
      <w:r w:rsidR="00815CF0" w:rsidRPr="00AE7958">
        <w:rPr>
          <w:rFonts w:ascii="Calibri" w:hAnsi="Calibri" w:cs="Arial"/>
          <w:sz w:val="24"/>
          <w:szCs w:val="24"/>
        </w:rPr>
        <w:t>); testing of various approaches to improve the measurement of rape and sexual assault</w:t>
      </w:r>
      <w:r w:rsidR="006641FB" w:rsidRPr="00AE7958">
        <w:rPr>
          <w:rFonts w:ascii="Calibri" w:hAnsi="Calibri" w:cs="Arial"/>
          <w:sz w:val="24"/>
          <w:szCs w:val="24"/>
        </w:rPr>
        <w:t xml:space="preserve"> (OMB No. </w:t>
      </w:r>
      <w:r w:rsidR="003E16F7" w:rsidRPr="00AE7958">
        <w:rPr>
          <w:rFonts w:ascii="Calibri" w:hAnsi="Calibri" w:cs="Arial"/>
          <w:sz w:val="24"/>
          <w:szCs w:val="24"/>
        </w:rPr>
        <w:t>1121-0343</w:t>
      </w:r>
      <w:r w:rsidR="006641FB" w:rsidRPr="00AE7958">
        <w:rPr>
          <w:rFonts w:ascii="Calibri" w:hAnsi="Calibri" w:cs="Arial"/>
          <w:sz w:val="24"/>
          <w:szCs w:val="24"/>
        </w:rPr>
        <w:t>)</w:t>
      </w:r>
      <w:r w:rsidR="00815CF0" w:rsidRPr="00AE7958">
        <w:rPr>
          <w:rFonts w:ascii="Calibri" w:hAnsi="Calibri" w:cs="Arial"/>
          <w:sz w:val="24"/>
          <w:szCs w:val="24"/>
        </w:rPr>
        <w:t>; the develo</w:t>
      </w:r>
      <w:r w:rsidR="006641FB" w:rsidRPr="00AE7958">
        <w:rPr>
          <w:rFonts w:ascii="Calibri" w:hAnsi="Calibri" w:cs="Arial"/>
          <w:sz w:val="24"/>
          <w:szCs w:val="24"/>
        </w:rPr>
        <w:t xml:space="preserve">pment of a subnational program </w:t>
      </w:r>
      <w:r w:rsidR="00BA3607" w:rsidRPr="00AE7958">
        <w:rPr>
          <w:rFonts w:ascii="Calibri" w:hAnsi="Calibri" w:cs="Arial"/>
          <w:sz w:val="24"/>
          <w:szCs w:val="24"/>
        </w:rPr>
        <w:t>with</w:t>
      </w:r>
      <w:r w:rsidR="006641FB" w:rsidRPr="00AE7958">
        <w:rPr>
          <w:rFonts w:ascii="Calibri" w:hAnsi="Calibri" w:cs="Arial"/>
          <w:sz w:val="24"/>
          <w:szCs w:val="24"/>
        </w:rPr>
        <w:t xml:space="preserve"> a combination of model-based</w:t>
      </w:r>
      <w:r w:rsidR="006641FB" w:rsidRPr="000000EB">
        <w:rPr>
          <w:rFonts w:ascii="Calibri" w:hAnsi="Calibri" w:cs="Arial"/>
          <w:sz w:val="24"/>
          <w:szCs w:val="24"/>
        </w:rPr>
        <w:t xml:space="preserve"> estimates and direct estimates through a boost of NCVS sample in the </w:t>
      </w:r>
      <w:r w:rsidR="00083E8A">
        <w:rPr>
          <w:rFonts w:ascii="Calibri" w:hAnsi="Calibri" w:cs="Arial"/>
          <w:sz w:val="24"/>
          <w:szCs w:val="24"/>
        </w:rPr>
        <w:t>22</w:t>
      </w:r>
      <w:r w:rsidR="006641FB" w:rsidRPr="000000EB">
        <w:rPr>
          <w:rFonts w:ascii="Calibri" w:hAnsi="Calibri" w:cs="Arial"/>
          <w:sz w:val="24"/>
          <w:szCs w:val="24"/>
        </w:rPr>
        <w:t xml:space="preserve"> </w:t>
      </w:r>
      <w:r w:rsidR="008A1024">
        <w:rPr>
          <w:rFonts w:ascii="Calibri" w:hAnsi="Calibri" w:cs="Arial"/>
          <w:sz w:val="24"/>
          <w:szCs w:val="24"/>
        </w:rPr>
        <w:t xml:space="preserve">most populous </w:t>
      </w:r>
      <w:r w:rsidR="006641FB" w:rsidRPr="000000EB">
        <w:rPr>
          <w:rFonts w:ascii="Calibri" w:hAnsi="Calibri" w:cs="Arial"/>
          <w:sz w:val="24"/>
          <w:szCs w:val="24"/>
        </w:rPr>
        <w:t xml:space="preserve">states; and a major overhaul of the NCVS survey instrument to modernize it, increase its flexibility for measuring </w:t>
      </w:r>
      <w:r w:rsidR="006641FB" w:rsidRPr="000000EB">
        <w:rPr>
          <w:rFonts w:ascii="Calibri" w:hAnsi="Calibri" w:cs="Arial"/>
          <w:sz w:val="24"/>
          <w:szCs w:val="24"/>
        </w:rPr>
        <w:lastRenderedPageBreak/>
        <w:t xml:space="preserve">emerging crime types and to capture indicators of safety and security and </w:t>
      </w:r>
      <w:r w:rsidR="00BA3607" w:rsidRPr="000000EB">
        <w:rPr>
          <w:rFonts w:ascii="Calibri" w:hAnsi="Calibri" w:cs="Arial"/>
          <w:sz w:val="24"/>
          <w:szCs w:val="24"/>
        </w:rPr>
        <w:t>perceptions of</w:t>
      </w:r>
      <w:r w:rsidR="006641FB" w:rsidRPr="000000EB">
        <w:rPr>
          <w:rFonts w:ascii="Calibri" w:hAnsi="Calibri" w:cs="Arial"/>
          <w:sz w:val="24"/>
          <w:szCs w:val="24"/>
        </w:rPr>
        <w:t xml:space="preserve"> police that go beyond experiences with victimization. </w:t>
      </w:r>
    </w:p>
    <w:p w:rsidR="00915B67" w:rsidRPr="000000EB" w:rsidRDefault="00915B67" w:rsidP="00BA3607">
      <w:pPr>
        <w:rPr>
          <w:rFonts w:ascii="Calibri" w:hAnsi="Calibri" w:cs="Arial"/>
          <w:sz w:val="24"/>
          <w:szCs w:val="24"/>
        </w:rPr>
      </w:pPr>
    </w:p>
    <w:p w:rsidR="0029050D" w:rsidRPr="000000EB" w:rsidRDefault="0029050D" w:rsidP="00B8509A">
      <w:pPr>
        <w:ind w:left="634"/>
        <w:rPr>
          <w:rFonts w:ascii="Calibri" w:hAnsi="Calibri" w:cs="Arial"/>
          <w:sz w:val="24"/>
          <w:szCs w:val="24"/>
        </w:rPr>
      </w:pPr>
      <w:r w:rsidRPr="000000EB">
        <w:rPr>
          <w:rFonts w:ascii="Calibri" w:hAnsi="Calibri" w:cs="Arial"/>
          <w:sz w:val="24"/>
          <w:szCs w:val="24"/>
        </w:rPr>
        <w:t xml:space="preserve">In order for BJS to fulfill its mission of generating and disseminating data on victims of crime and to maintain the NCVS as the primary source of data on victimization and </w:t>
      </w:r>
      <w:r w:rsidR="0058378B">
        <w:rPr>
          <w:rFonts w:ascii="Calibri" w:hAnsi="Calibri" w:cs="Arial"/>
          <w:sz w:val="24"/>
          <w:szCs w:val="24"/>
        </w:rPr>
        <w:t xml:space="preserve">unreported </w:t>
      </w:r>
      <w:r w:rsidRPr="000000EB">
        <w:rPr>
          <w:rFonts w:ascii="Calibri" w:hAnsi="Calibri" w:cs="Arial"/>
          <w:sz w:val="24"/>
          <w:szCs w:val="24"/>
        </w:rPr>
        <w:t xml:space="preserve">crime, efforts are </w:t>
      </w:r>
      <w:r w:rsidR="00E12F94">
        <w:rPr>
          <w:rFonts w:ascii="Calibri" w:hAnsi="Calibri" w:cs="Arial"/>
          <w:sz w:val="24"/>
          <w:szCs w:val="24"/>
        </w:rPr>
        <w:t xml:space="preserve">continuously underway to improve the utility of the data and the efficiency </w:t>
      </w:r>
      <w:r w:rsidR="00585F50">
        <w:rPr>
          <w:rFonts w:ascii="Calibri" w:hAnsi="Calibri" w:cs="Arial"/>
          <w:sz w:val="24"/>
          <w:szCs w:val="24"/>
        </w:rPr>
        <w:t xml:space="preserve">and effectiveness </w:t>
      </w:r>
      <w:r w:rsidR="00E12F94">
        <w:rPr>
          <w:rFonts w:ascii="Calibri" w:hAnsi="Calibri" w:cs="Arial"/>
          <w:sz w:val="24"/>
          <w:szCs w:val="24"/>
        </w:rPr>
        <w:t>of the survey methodology</w:t>
      </w:r>
      <w:r w:rsidR="003E16F7">
        <w:rPr>
          <w:rFonts w:ascii="Calibri" w:hAnsi="Calibri" w:cs="Arial"/>
          <w:sz w:val="24"/>
          <w:szCs w:val="24"/>
        </w:rPr>
        <w:t>, including:</w:t>
      </w:r>
      <w:r w:rsidR="00E12F94">
        <w:rPr>
          <w:rFonts w:ascii="Calibri" w:hAnsi="Calibri" w:cs="Arial"/>
          <w:sz w:val="24"/>
          <w:szCs w:val="24"/>
        </w:rPr>
        <w:t xml:space="preserve"> 1</w:t>
      </w:r>
      <w:r w:rsidR="008A1024">
        <w:rPr>
          <w:rFonts w:ascii="Calibri" w:hAnsi="Calibri" w:cs="Arial"/>
          <w:sz w:val="24"/>
          <w:szCs w:val="24"/>
        </w:rPr>
        <w:t>)</w:t>
      </w:r>
      <w:r w:rsidR="00E12F94">
        <w:rPr>
          <w:rFonts w:ascii="Calibri" w:hAnsi="Calibri" w:cs="Arial"/>
          <w:sz w:val="24"/>
          <w:szCs w:val="24"/>
        </w:rPr>
        <w:t xml:space="preserve"> Continued development of the NCVS subnational program;</w:t>
      </w:r>
      <w:r w:rsidR="0063748C">
        <w:rPr>
          <w:rFonts w:ascii="Calibri" w:hAnsi="Calibri" w:cs="Arial"/>
          <w:sz w:val="24"/>
          <w:szCs w:val="24"/>
        </w:rPr>
        <w:t xml:space="preserve"> </w:t>
      </w:r>
      <w:r w:rsidR="007E1EAD">
        <w:rPr>
          <w:rFonts w:ascii="Calibri" w:hAnsi="Calibri" w:cs="Arial"/>
          <w:sz w:val="24"/>
          <w:szCs w:val="24"/>
        </w:rPr>
        <w:t>2</w:t>
      </w:r>
      <w:r w:rsidR="008A1024">
        <w:rPr>
          <w:rFonts w:ascii="Calibri" w:hAnsi="Calibri" w:cs="Arial"/>
          <w:sz w:val="24"/>
          <w:szCs w:val="24"/>
        </w:rPr>
        <w:t>)</w:t>
      </w:r>
      <w:r w:rsidR="007D4260">
        <w:rPr>
          <w:rFonts w:ascii="Calibri" w:hAnsi="Calibri" w:cs="Arial"/>
          <w:sz w:val="24"/>
          <w:szCs w:val="24"/>
        </w:rPr>
        <w:t xml:space="preserve"> Improved responsiveness to existing data needs</w:t>
      </w:r>
      <w:r w:rsidR="007E1EAD">
        <w:rPr>
          <w:rFonts w:ascii="Calibri" w:hAnsi="Calibri" w:cs="Arial"/>
          <w:sz w:val="24"/>
          <w:szCs w:val="24"/>
        </w:rPr>
        <w:t xml:space="preserve"> through the administration of rotating supplements</w:t>
      </w:r>
      <w:r w:rsidR="007D4260">
        <w:rPr>
          <w:rFonts w:ascii="Calibri" w:hAnsi="Calibri" w:cs="Arial"/>
          <w:sz w:val="24"/>
          <w:szCs w:val="24"/>
        </w:rPr>
        <w:t xml:space="preserve">; </w:t>
      </w:r>
      <w:r w:rsidR="007E1EAD">
        <w:rPr>
          <w:rFonts w:ascii="Calibri" w:hAnsi="Calibri" w:cs="Arial"/>
          <w:sz w:val="24"/>
          <w:szCs w:val="24"/>
        </w:rPr>
        <w:t>3</w:t>
      </w:r>
      <w:r w:rsidR="008A1024">
        <w:rPr>
          <w:rFonts w:ascii="Calibri" w:hAnsi="Calibri" w:cs="Arial"/>
          <w:sz w:val="24"/>
          <w:szCs w:val="24"/>
        </w:rPr>
        <w:t>)</w:t>
      </w:r>
      <w:r w:rsidR="004E6025">
        <w:rPr>
          <w:rFonts w:ascii="Calibri" w:hAnsi="Calibri" w:cs="Arial"/>
          <w:sz w:val="24"/>
          <w:szCs w:val="24"/>
        </w:rPr>
        <w:t xml:space="preserve"> Improved outreach with stakeholders and the timely release of relevant topical reports</w:t>
      </w:r>
      <w:r w:rsidR="007E1EAD">
        <w:rPr>
          <w:rFonts w:ascii="Calibri" w:hAnsi="Calibri" w:cs="Arial"/>
          <w:sz w:val="24"/>
          <w:szCs w:val="24"/>
        </w:rPr>
        <w:t>; and 4</w:t>
      </w:r>
      <w:r w:rsidR="008A1024">
        <w:rPr>
          <w:rFonts w:ascii="Calibri" w:hAnsi="Calibri" w:cs="Arial"/>
          <w:sz w:val="24"/>
          <w:szCs w:val="24"/>
        </w:rPr>
        <w:t>)</w:t>
      </w:r>
      <w:r w:rsidR="007E1EAD">
        <w:rPr>
          <w:rFonts w:ascii="Calibri" w:hAnsi="Calibri" w:cs="Arial"/>
          <w:sz w:val="24"/>
          <w:szCs w:val="24"/>
        </w:rPr>
        <w:t xml:space="preserve"> Modernization of the survey to increase the utility of the survey</w:t>
      </w:r>
      <w:r w:rsidR="00585F50">
        <w:rPr>
          <w:rFonts w:ascii="Calibri" w:hAnsi="Calibri" w:cs="Arial"/>
          <w:sz w:val="24"/>
          <w:szCs w:val="24"/>
        </w:rPr>
        <w:t>,</w:t>
      </w:r>
      <w:r w:rsidR="007E1EAD">
        <w:rPr>
          <w:rFonts w:ascii="Calibri" w:hAnsi="Calibri" w:cs="Arial"/>
          <w:sz w:val="24"/>
          <w:szCs w:val="24"/>
        </w:rPr>
        <w:t xml:space="preserve"> capture data on new and emerging crimes</w:t>
      </w:r>
      <w:r w:rsidR="00585F50">
        <w:rPr>
          <w:rFonts w:ascii="Calibri" w:hAnsi="Calibri" w:cs="Arial"/>
          <w:sz w:val="24"/>
          <w:szCs w:val="24"/>
        </w:rPr>
        <w:t>,</w:t>
      </w:r>
      <w:r w:rsidR="007E1EAD">
        <w:rPr>
          <w:rFonts w:ascii="Calibri" w:hAnsi="Calibri" w:cs="Arial"/>
          <w:sz w:val="24"/>
          <w:szCs w:val="24"/>
        </w:rPr>
        <w:t xml:space="preserve"> and </w:t>
      </w:r>
      <w:r w:rsidR="00585F50">
        <w:rPr>
          <w:rFonts w:ascii="Calibri" w:hAnsi="Calibri" w:cs="Arial"/>
          <w:sz w:val="24"/>
          <w:szCs w:val="24"/>
        </w:rPr>
        <w:t xml:space="preserve">incorporate </w:t>
      </w:r>
      <w:r w:rsidR="007E1EAD">
        <w:rPr>
          <w:rFonts w:ascii="Calibri" w:hAnsi="Calibri" w:cs="Arial"/>
          <w:sz w:val="24"/>
          <w:szCs w:val="24"/>
        </w:rPr>
        <w:t>methodological</w:t>
      </w:r>
      <w:r w:rsidR="00332DCC">
        <w:rPr>
          <w:rFonts w:ascii="Calibri" w:hAnsi="Calibri" w:cs="Arial"/>
          <w:sz w:val="24"/>
          <w:szCs w:val="24"/>
        </w:rPr>
        <w:t xml:space="preserve"> </w:t>
      </w:r>
      <w:r w:rsidR="00585F50">
        <w:rPr>
          <w:rFonts w:ascii="Calibri" w:hAnsi="Calibri" w:cs="Arial"/>
          <w:sz w:val="24"/>
          <w:szCs w:val="24"/>
        </w:rPr>
        <w:t>enhancements</w:t>
      </w:r>
      <w:r w:rsidR="004E6025">
        <w:rPr>
          <w:rFonts w:ascii="Calibri" w:hAnsi="Calibri" w:cs="Arial"/>
          <w:sz w:val="24"/>
          <w:szCs w:val="24"/>
        </w:rPr>
        <w:t xml:space="preserve">. </w:t>
      </w:r>
    </w:p>
    <w:p w:rsidR="00BE7B99" w:rsidRPr="000000EB" w:rsidRDefault="00BE7B99" w:rsidP="004E6025">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B901A7" w:rsidRPr="000000EB" w:rsidRDefault="00B901A7" w:rsidP="00B8509A">
      <w:pPr>
        <w:ind w:left="630"/>
        <w:rPr>
          <w:rFonts w:ascii="Calibri" w:hAnsi="Calibri" w:cs="Arial"/>
          <w:b/>
          <w:color w:val="000000"/>
          <w:sz w:val="24"/>
          <w:szCs w:val="24"/>
        </w:rPr>
      </w:pPr>
      <w:r w:rsidRPr="000000EB">
        <w:rPr>
          <w:rFonts w:ascii="Calibri" w:hAnsi="Calibri" w:cs="Arial"/>
          <w:b/>
          <w:color w:val="000000"/>
          <w:sz w:val="24"/>
          <w:szCs w:val="24"/>
        </w:rPr>
        <w:t>Subnational estimates</w:t>
      </w:r>
      <w:r w:rsidR="00FD006D">
        <w:rPr>
          <w:rFonts w:ascii="Calibri" w:hAnsi="Calibri" w:cs="Arial"/>
          <w:b/>
          <w:color w:val="000000"/>
          <w:sz w:val="24"/>
          <w:szCs w:val="24"/>
        </w:rPr>
        <w:t xml:space="preserve"> </w:t>
      </w:r>
    </w:p>
    <w:p w:rsidR="008E4126" w:rsidRPr="000000EB" w:rsidRDefault="008E4126" w:rsidP="00B8509A">
      <w:pPr>
        <w:ind w:left="630"/>
        <w:rPr>
          <w:rFonts w:ascii="Calibri" w:hAnsi="Calibri" w:cs="Arial"/>
          <w:b/>
          <w:color w:val="000000"/>
          <w:sz w:val="24"/>
          <w:szCs w:val="24"/>
        </w:rPr>
      </w:pPr>
    </w:p>
    <w:p w:rsidR="00F84865" w:rsidRDefault="008E4126" w:rsidP="00F84865">
      <w:pPr>
        <w:ind w:left="630"/>
        <w:rPr>
          <w:rFonts w:ascii="Calibri" w:hAnsi="Calibri" w:cs="Arial"/>
          <w:color w:val="000000"/>
          <w:sz w:val="24"/>
          <w:szCs w:val="24"/>
        </w:rPr>
      </w:pPr>
      <w:r w:rsidRPr="000000EB">
        <w:rPr>
          <w:rFonts w:ascii="Calibri" w:hAnsi="Calibri" w:cs="Arial"/>
          <w:color w:val="000000"/>
          <w:sz w:val="24"/>
          <w:szCs w:val="24"/>
        </w:rPr>
        <w:t xml:space="preserve">Though the NCVS was originally designed to provide national level estimates of criminal victimization, </w:t>
      </w:r>
      <w:r w:rsidR="00F74DB8" w:rsidRPr="000000EB">
        <w:rPr>
          <w:rFonts w:ascii="Calibri" w:hAnsi="Calibri" w:cs="Arial"/>
          <w:color w:val="000000"/>
          <w:sz w:val="24"/>
          <w:szCs w:val="24"/>
        </w:rPr>
        <w:t xml:space="preserve">BJS has recognized an </w:t>
      </w:r>
      <w:r w:rsidRPr="000000EB">
        <w:rPr>
          <w:rFonts w:ascii="Calibri" w:hAnsi="Calibri" w:cs="Arial"/>
          <w:color w:val="000000"/>
          <w:sz w:val="24"/>
          <w:szCs w:val="24"/>
        </w:rPr>
        <w:t xml:space="preserve">increasing need for </w:t>
      </w:r>
      <w:r w:rsidR="00F84865">
        <w:rPr>
          <w:rFonts w:ascii="Calibri" w:hAnsi="Calibri" w:cs="Arial"/>
          <w:color w:val="000000"/>
          <w:sz w:val="24"/>
          <w:szCs w:val="24"/>
        </w:rPr>
        <w:t xml:space="preserve">victimization data at the state </w:t>
      </w:r>
      <w:r w:rsidRPr="000000EB">
        <w:rPr>
          <w:rFonts w:ascii="Calibri" w:hAnsi="Calibri" w:cs="Arial"/>
          <w:color w:val="000000"/>
          <w:sz w:val="24"/>
          <w:szCs w:val="24"/>
        </w:rPr>
        <w:t>and local level</w:t>
      </w:r>
      <w:r w:rsidR="00585F50">
        <w:rPr>
          <w:rFonts w:ascii="Calibri" w:hAnsi="Calibri" w:cs="Arial"/>
          <w:color w:val="000000"/>
          <w:sz w:val="24"/>
          <w:szCs w:val="24"/>
        </w:rPr>
        <w:t>s</w:t>
      </w:r>
      <w:r w:rsidRPr="000000EB">
        <w:rPr>
          <w:rFonts w:ascii="Calibri" w:hAnsi="Calibri" w:cs="Arial"/>
          <w:color w:val="000000"/>
          <w:sz w:val="24"/>
          <w:szCs w:val="24"/>
        </w:rPr>
        <w:t xml:space="preserve">. </w:t>
      </w:r>
      <w:r w:rsidR="00F84865" w:rsidRPr="00F84865">
        <w:rPr>
          <w:rFonts w:ascii="Calibri" w:hAnsi="Calibri" w:cs="Arial"/>
          <w:color w:val="000000"/>
          <w:sz w:val="24"/>
          <w:szCs w:val="24"/>
        </w:rPr>
        <w:t>Subnational estimates are of value to both federal</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and nonfederal data users and stakeholders. Federal stake</w:t>
      </w:r>
      <w:r w:rsidR="00F84865">
        <w:rPr>
          <w:rFonts w:ascii="Calibri" w:hAnsi="Calibri" w:cs="Arial"/>
          <w:color w:val="000000"/>
          <w:sz w:val="24"/>
          <w:szCs w:val="24"/>
        </w:rPr>
        <w:t xml:space="preserve">holders that currently allocate </w:t>
      </w:r>
      <w:r w:rsidR="00F84865" w:rsidRPr="00F84865">
        <w:rPr>
          <w:rFonts w:ascii="Calibri" w:hAnsi="Calibri" w:cs="Arial"/>
          <w:color w:val="000000"/>
          <w:sz w:val="24"/>
          <w:szCs w:val="24"/>
        </w:rPr>
        <w:t>funding or</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resources for crime victims and crime prevention</w:t>
      </w:r>
      <w:r w:rsidR="00F84865">
        <w:rPr>
          <w:rFonts w:ascii="Calibri" w:hAnsi="Calibri" w:cs="Arial"/>
          <w:color w:val="000000"/>
          <w:sz w:val="24"/>
          <w:szCs w:val="24"/>
        </w:rPr>
        <w:t xml:space="preserve"> based on official police crime </w:t>
      </w:r>
      <w:r w:rsidR="00F84865" w:rsidRPr="00F84865">
        <w:rPr>
          <w:rFonts w:ascii="Calibri" w:hAnsi="Calibri" w:cs="Arial"/>
          <w:color w:val="000000"/>
          <w:sz w:val="24"/>
          <w:szCs w:val="24"/>
        </w:rPr>
        <w:t xml:space="preserve">estimates </w:t>
      </w:r>
      <w:r w:rsidR="008A1024">
        <w:rPr>
          <w:rFonts w:ascii="Calibri" w:hAnsi="Calibri" w:cs="Arial"/>
          <w:color w:val="000000"/>
          <w:sz w:val="24"/>
          <w:szCs w:val="24"/>
        </w:rPr>
        <w:t xml:space="preserve">will be able to </w:t>
      </w:r>
      <w:r w:rsidR="00F84865" w:rsidRPr="00F84865">
        <w:rPr>
          <w:rFonts w:ascii="Calibri" w:hAnsi="Calibri" w:cs="Arial"/>
          <w:color w:val="000000"/>
          <w:sz w:val="24"/>
          <w:szCs w:val="24"/>
        </w:rPr>
        <w:t xml:space="preserve">use the victimization estimates to understand how </w:t>
      </w:r>
      <w:r w:rsidR="00F84865">
        <w:rPr>
          <w:rFonts w:ascii="Calibri" w:hAnsi="Calibri" w:cs="Arial"/>
          <w:color w:val="000000"/>
          <w:sz w:val="24"/>
          <w:szCs w:val="24"/>
        </w:rPr>
        <w:t xml:space="preserve">the allocation of funding would </w:t>
      </w:r>
      <w:r w:rsidR="00F84865" w:rsidRPr="00F84865">
        <w:rPr>
          <w:rFonts w:ascii="Calibri" w:hAnsi="Calibri" w:cs="Arial"/>
          <w:color w:val="000000"/>
          <w:sz w:val="24"/>
          <w:szCs w:val="24"/>
        </w:rPr>
        <w:t>change when</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 xml:space="preserve">unreported crime is taken into account. Policy makers </w:t>
      </w:r>
      <w:r w:rsidR="008A1024">
        <w:rPr>
          <w:rFonts w:ascii="Calibri" w:hAnsi="Calibri" w:cs="Arial"/>
          <w:color w:val="000000"/>
          <w:sz w:val="24"/>
          <w:szCs w:val="24"/>
        </w:rPr>
        <w:t xml:space="preserve">will be able to </w:t>
      </w:r>
      <w:r w:rsidR="00F84865" w:rsidRPr="00F84865">
        <w:rPr>
          <w:rFonts w:ascii="Calibri" w:hAnsi="Calibri" w:cs="Arial"/>
          <w:color w:val="000000"/>
          <w:sz w:val="24"/>
          <w:szCs w:val="24"/>
        </w:rPr>
        <w:t>use t</w:t>
      </w:r>
      <w:r w:rsidR="00F84865">
        <w:rPr>
          <w:rFonts w:ascii="Calibri" w:hAnsi="Calibri" w:cs="Arial"/>
          <w:color w:val="000000"/>
          <w:sz w:val="24"/>
          <w:szCs w:val="24"/>
        </w:rPr>
        <w:t xml:space="preserve">hese estimates to </w:t>
      </w:r>
      <w:r w:rsidR="00F84865" w:rsidRPr="00F84865">
        <w:rPr>
          <w:rFonts w:ascii="Calibri" w:hAnsi="Calibri" w:cs="Arial"/>
          <w:color w:val="000000"/>
          <w:sz w:val="24"/>
          <w:szCs w:val="24"/>
        </w:rPr>
        <w:t>examine local</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variations in crime both reported and unreported</w:t>
      </w:r>
      <w:r w:rsidR="00F84865">
        <w:rPr>
          <w:rFonts w:ascii="Calibri" w:hAnsi="Calibri" w:cs="Arial"/>
          <w:color w:val="000000"/>
          <w:sz w:val="24"/>
          <w:szCs w:val="24"/>
        </w:rPr>
        <w:t xml:space="preserve"> to police and make comparisons </w:t>
      </w:r>
      <w:r w:rsidR="00F84865" w:rsidRPr="00F84865">
        <w:rPr>
          <w:rFonts w:ascii="Calibri" w:hAnsi="Calibri" w:cs="Arial"/>
          <w:color w:val="000000"/>
          <w:sz w:val="24"/>
          <w:szCs w:val="24"/>
        </w:rPr>
        <w:t>among states,</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and law enforcement officials could use the fin</w:t>
      </w:r>
      <w:r w:rsidR="00F84865">
        <w:rPr>
          <w:rFonts w:ascii="Calibri" w:hAnsi="Calibri" w:cs="Arial"/>
          <w:color w:val="000000"/>
          <w:sz w:val="24"/>
          <w:szCs w:val="24"/>
        </w:rPr>
        <w:t xml:space="preserve">dings to begin to understand </w:t>
      </w:r>
      <w:r w:rsidR="00F84865" w:rsidRPr="00F84865">
        <w:rPr>
          <w:rFonts w:ascii="Calibri" w:hAnsi="Calibri" w:cs="Arial"/>
          <w:color w:val="000000"/>
          <w:sz w:val="24"/>
          <w:szCs w:val="24"/>
        </w:rPr>
        <w:t>differences in rates</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of crime and reporting to police across</w:t>
      </w:r>
      <w:r w:rsidR="008A68E3">
        <w:rPr>
          <w:rFonts w:ascii="Calibri" w:hAnsi="Calibri" w:cs="Arial"/>
          <w:color w:val="000000"/>
          <w:sz w:val="24"/>
          <w:szCs w:val="24"/>
        </w:rPr>
        <w:t xml:space="preserve"> jurisdictions</w:t>
      </w:r>
      <w:r w:rsidR="00F84865" w:rsidRPr="00F84865">
        <w:rPr>
          <w:rFonts w:ascii="Calibri" w:hAnsi="Calibri" w:cs="Arial"/>
          <w:color w:val="000000"/>
          <w:sz w:val="24"/>
          <w:szCs w:val="24"/>
        </w:rPr>
        <w:t xml:space="preserve">. The data </w:t>
      </w:r>
      <w:r w:rsidR="008A1024">
        <w:rPr>
          <w:rFonts w:ascii="Calibri" w:hAnsi="Calibri" w:cs="Arial"/>
          <w:color w:val="000000"/>
          <w:sz w:val="24"/>
          <w:szCs w:val="24"/>
        </w:rPr>
        <w:t xml:space="preserve">will </w:t>
      </w:r>
      <w:r w:rsidR="00F84865" w:rsidRPr="00F84865">
        <w:rPr>
          <w:rFonts w:ascii="Calibri" w:hAnsi="Calibri" w:cs="Arial"/>
          <w:color w:val="000000"/>
          <w:sz w:val="24"/>
          <w:szCs w:val="24"/>
        </w:rPr>
        <w:t>also be used in conjunction with police statistics to be</w:t>
      </w:r>
      <w:r w:rsidR="008A68E3">
        <w:rPr>
          <w:rFonts w:ascii="Calibri" w:hAnsi="Calibri" w:cs="Arial"/>
          <w:color w:val="000000"/>
          <w:sz w:val="24"/>
          <w:szCs w:val="24"/>
        </w:rPr>
        <w:t>tter</w:t>
      </w:r>
      <w:r w:rsidR="00F84865" w:rsidRPr="00F84865">
        <w:rPr>
          <w:rFonts w:ascii="Calibri" w:hAnsi="Calibri" w:cs="Arial"/>
          <w:color w:val="000000"/>
          <w:sz w:val="24"/>
          <w:szCs w:val="24"/>
        </w:rPr>
        <w:t xml:space="preserve"> understand the correlatio</w:t>
      </w:r>
      <w:r w:rsidR="00F84865">
        <w:rPr>
          <w:rFonts w:ascii="Calibri" w:hAnsi="Calibri" w:cs="Arial"/>
          <w:color w:val="000000"/>
          <w:sz w:val="24"/>
          <w:szCs w:val="24"/>
        </w:rPr>
        <w:t xml:space="preserve">n between the NCVS and </w:t>
      </w:r>
      <w:r w:rsidR="00F84865" w:rsidRPr="00F84865">
        <w:rPr>
          <w:rFonts w:ascii="Calibri" w:hAnsi="Calibri" w:cs="Arial"/>
          <w:color w:val="000000"/>
          <w:sz w:val="24"/>
          <w:szCs w:val="24"/>
        </w:rPr>
        <w:t>police reports</w:t>
      </w:r>
      <w:r w:rsidR="00F84865">
        <w:rPr>
          <w:rFonts w:ascii="Calibri" w:hAnsi="Calibri" w:cs="Arial"/>
          <w:color w:val="000000"/>
          <w:sz w:val="24"/>
          <w:szCs w:val="24"/>
        </w:rPr>
        <w:t xml:space="preserve"> </w:t>
      </w:r>
      <w:r w:rsidR="00F84865" w:rsidRPr="00F84865">
        <w:rPr>
          <w:rFonts w:ascii="Calibri" w:hAnsi="Calibri" w:cs="Arial"/>
          <w:color w:val="000000"/>
          <w:sz w:val="24"/>
          <w:szCs w:val="24"/>
        </w:rPr>
        <w:t>of crime.</w:t>
      </w:r>
    </w:p>
    <w:p w:rsidR="00F84865" w:rsidRDefault="00F84865" w:rsidP="00B30B6B">
      <w:pPr>
        <w:ind w:left="630"/>
        <w:rPr>
          <w:rFonts w:ascii="Calibri" w:hAnsi="Calibri" w:cs="Arial"/>
          <w:color w:val="000000"/>
          <w:sz w:val="24"/>
          <w:szCs w:val="24"/>
        </w:rPr>
      </w:pPr>
    </w:p>
    <w:p w:rsidR="00B30B6B" w:rsidRDefault="001A4B51" w:rsidP="00B30B6B">
      <w:pPr>
        <w:ind w:left="630"/>
        <w:rPr>
          <w:rFonts w:ascii="Calibri" w:hAnsi="Calibri" w:cs="Arial"/>
          <w:color w:val="000000"/>
          <w:sz w:val="24"/>
          <w:szCs w:val="24"/>
        </w:rPr>
      </w:pPr>
      <w:r>
        <w:rPr>
          <w:rFonts w:ascii="Calibri" w:hAnsi="Calibri" w:cs="Arial"/>
          <w:color w:val="000000"/>
          <w:sz w:val="24"/>
          <w:szCs w:val="24"/>
        </w:rPr>
        <w:t>Earlier r</w:t>
      </w:r>
      <w:r w:rsidR="008E4126" w:rsidRPr="000000EB">
        <w:rPr>
          <w:rFonts w:ascii="Calibri" w:hAnsi="Calibri" w:cs="Arial"/>
          <w:color w:val="000000"/>
          <w:sz w:val="24"/>
          <w:szCs w:val="24"/>
        </w:rPr>
        <w:t>esearch conducted under the NCVS-RR generic clearance (OMB No. 1121-0325) demonstrated that the NCVS could be enhanced to produce several types of subnational estimates without substantially increasing the cost of survey administration</w:t>
      </w:r>
      <w:r w:rsidR="00364931" w:rsidRPr="000000EB">
        <w:rPr>
          <w:rFonts w:ascii="Calibri" w:hAnsi="Calibri" w:cs="Arial"/>
          <w:color w:val="000000"/>
          <w:sz w:val="24"/>
          <w:szCs w:val="24"/>
        </w:rPr>
        <w:t xml:space="preserve"> (</w:t>
      </w:r>
      <w:hyperlink r:id="rId9" w:history="1">
        <w:r w:rsidR="00A83BB2" w:rsidRPr="000000EB">
          <w:rPr>
            <w:rStyle w:val="Hyperlink"/>
            <w:rFonts w:ascii="Calibri" w:hAnsi="Calibri" w:cs="Arial"/>
            <w:sz w:val="24"/>
            <w:szCs w:val="24"/>
          </w:rPr>
          <w:t>http://www.bjs.gov/content/pub/pdf/westat_lae_5-19-10.pdf</w:t>
        </w:r>
      </w:hyperlink>
      <w:r w:rsidR="00364931" w:rsidRPr="000000EB">
        <w:rPr>
          <w:rFonts w:ascii="Calibri" w:hAnsi="Calibri" w:cs="Arial"/>
          <w:color w:val="000000"/>
          <w:sz w:val="24"/>
          <w:szCs w:val="24"/>
        </w:rPr>
        <w:t>)</w:t>
      </w:r>
      <w:r w:rsidR="008E4126" w:rsidRPr="000000EB">
        <w:rPr>
          <w:rFonts w:ascii="Calibri" w:hAnsi="Calibri" w:cs="Arial"/>
          <w:color w:val="000000"/>
          <w:sz w:val="24"/>
          <w:szCs w:val="24"/>
        </w:rPr>
        <w:t>.</w:t>
      </w:r>
      <w:r w:rsidR="004E6025">
        <w:rPr>
          <w:rFonts w:ascii="Calibri" w:hAnsi="Calibri" w:cs="Arial"/>
          <w:color w:val="000000"/>
          <w:sz w:val="24"/>
          <w:szCs w:val="24"/>
        </w:rPr>
        <w:t xml:space="preserve"> </w:t>
      </w:r>
      <w:r w:rsidR="00C677DE" w:rsidRPr="000000EB">
        <w:rPr>
          <w:rFonts w:ascii="Calibri" w:hAnsi="Calibri" w:cs="Arial"/>
          <w:color w:val="000000"/>
          <w:sz w:val="24"/>
          <w:szCs w:val="24"/>
        </w:rPr>
        <w:t>From 201</w:t>
      </w:r>
      <w:r w:rsidR="00D723BD">
        <w:rPr>
          <w:rFonts w:ascii="Calibri" w:hAnsi="Calibri" w:cs="Arial"/>
          <w:color w:val="000000"/>
          <w:sz w:val="24"/>
          <w:szCs w:val="24"/>
        </w:rPr>
        <w:t>5</w:t>
      </w:r>
      <w:r w:rsidR="00C677DE" w:rsidRPr="000000EB">
        <w:rPr>
          <w:rFonts w:ascii="Calibri" w:hAnsi="Calibri" w:cs="Arial"/>
          <w:color w:val="000000"/>
          <w:sz w:val="24"/>
          <w:szCs w:val="24"/>
        </w:rPr>
        <w:t xml:space="preserve"> to 201</w:t>
      </w:r>
      <w:r w:rsidR="00401DE6">
        <w:rPr>
          <w:rFonts w:ascii="Calibri" w:hAnsi="Calibri" w:cs="Arial"/>
          <w:color w:val="000000"/>
          <w:sz w:val="24"/>
          <w:szCs w:val="24"/>
        </w:rPr>
        <w:t>7</w:t>
      </w:r>
      <w:r w:rsidR="00C677DE" w:rsidRPr="000000EB">
        <w:rPr>
          <w:rFonts w:ascii="Calibri" w:hAnsi="Calibri" w:cs="Arial"/>
          <w:color w:val="000000"/>
          <w:sz w:val="24"/>
          <w:szCs w:val="24"/>
        </w:rPr>
        <w:t xml:space="preserve">, </w:t>
      </w:r>
      <w:r w:rsidR="004E6025">
        <w:rPr>
          <w:rFonts w:ascii="Calibri" w:hAnsi="Calibri" w:cs="Arial"/>
          <w:color w:val="000000"/>
          <w:sz w:val="24"/>
          <w:szCs w:val="24"/>
        </w:rPr>
        <w:t xml:space="preserve">BJS </w:t>
      </w:r>
      <w:r w:rsidR="00D723BD">
        <w:rPr>
          <w:rFonts w:ascii="Calibri" w:hAnsi="Calibri" w:cs="Arial"/>
          <w:color w:val="000000"/>
          <w:sz w:val="24"/>
          <w:szCs w:val="24"/>
        </w:rPr>
        <w:t>implemented</w:t>
      </w:r>
      <w:r w:rsidR="00F97A71">
        <w:rPr>
          <w:rFonts w:ascii="Calibri" w:hAnsi="Calibri" w:cs="Arial"/>
          <w:color w:val="000000"/>
          <w:sz w:val="24"/>
          <w:szCs w:val="24"/>
        </w:rPr>
        <w:t xml:space="preserve"> </w:t>
      </w:r>
      <w:r w:rsidR="004A2410">
        <w:rPr>
          <w:rFonts w:ascii="Calibri" w:hAnsi="Calibri" w:cs="Arial"/>
          <w:color w:val="000000"/>
          <w:sz w:val="24"/>
          <w:szCs w:val="24"/>
        </w:rPr>
        <w:t>various</w:t>
      </w:r>
      <w:r w:rsidR="00F97A71">
        <w:rPr>
          <w:rFonts w:ascii="Calibri" w:hAnsi="Calibri" w:cs="Arial"/>
          <w:color w:val="000000"/>
          <w:sz w:val="24"/>
          <w:szCs w:val="24"/>
        </w:rPr>
        <w:t xml:space="preserve"> approach</w:t>
      </w:r>
      <w:r w:rsidR="004A2410">
        <w:rPr>
          <w:rFonts w:ascii="Calibri" w:hAnsi="Calibri" w:cs="Arial"/>
          <w:color w:val="000000"/>
          <w:sz w:val="24"/>
          <w:szCs w:val="24"/>
        </w:rPr>
        <w:t>es</w:t>
      </w:r>
      <w:r w:rsidR="00F97A71">
        <w:rPr>
          <w:rFonts w:ascii="Calibri" w:hAnsi="Calibri" w:cs="Arial"/>
          <w:color w:val="000000"/>
          <w:sz w:val="24"/>
          <w:szCs w:val="24"/>
        </w:rPr>
        <w:t xml:space="preserve"> </w:t>
      </w:r>
      <w:r w:rsidR="004A2410">
        <w:rPr>
          <w:rFonts w:ascii="Calibri" w:hAnsi="Calibri" w:cs="Arial"/>
          <w:color w:val="000000"/>
          <w:sz w:val="24"/>
          <w:szCs w:val="24"/>
        </w:rPr>
        <w:t xml:space="preserve">to generating subnational estimates with the NCVS, including </w:t>
      </w:r>
      <w:r w:rsidR="00DD0428" w:rsidRPr="00DD0428">
        <w:rPr>
          <w:rFonts w:ascii="Calibri" w:hAnsi="Calibri" w:cs="Arial"/>
          <w:color w:val="000000"/>
          <w:sz w:val="24"/>
          <w:szCs w:val="24"/>
        </w:rPr>
        <w:t>modeling state-level estimates using existing sample and external sources of data</w:t>
      </w:r>
      <w:r w:rsidR="00AE679A">
        <w:rPr>
          <w:rFonts w:ascii="Calibri" w:hAnsi="Calibri" w:cs="Arial"/>
          <w:color w:val="000000"/>
          <w:sz w:val="24"/>
          <w:szCs w:val="24"/>
        </w:rPr>
        <w:t>,</w:t>
      </w:r>
      <w:r w:rsidR="00DD0428">
        <w:rPr>
          <w:rFonts w:ascii="Calibri" w:hAnsi="Calibri" w:cs="Arial"/>
          <w:color w:val="000000"/>
          <w:sz w:val="24"/>
          <w:szCs w:val="24"/>
        </w:rPr>
        <w:t xml:space="preserve"> </w:t>
      </w:r>
      <w:r w:rsidR="004A2410">
        <w:rPr>
          <w:rFonts w:ascii="Calibri" w:hAnsi="Calibri" w:cs="Arial"/>
          <w:color w:val="000000"/>
          <w:sz w:val="24"/>
          <w:szCs w:val="24"/>
        </w:rPr>
        <w:t>and boosting the NCVS core sample in large states to obtain direct state-level estimates. BJS</w:t>
      </w:r>
      <w:r w:rsidR="00D723BD">
        <w:rPr>
          <w:rFonts w:ascii="Calibri" w:hAnsi="Calibri" w:cs="Arial"/>
          <w:color w:val="000000"/>
          <w:sz w:val="24"/>
          <w:szCs w:val="24"/>
        </w:rPr>
        <w:t xml:space="preserve"> is </w:t>
      </w:r>
      <w:r w:rsidR="004A2410">
        <w:rPr>
          <w:rFonts w:ascii="Calibri" w:hAnsi="Calibri" w:cs="Arial"/>
          <w:color w:val="000000"/>
          <w:sz w:val="24"/>
          <w:szCs w:val="24"/>
        </w:rPr>
        <w:t>planning to continue this multipronged approach using a combination of direct and model-based estimat</w:t>
      </w:r>
      <w:r w:rsidR="008A68E3">
        <w:rPr>
          <w:rFonts w:ascii="Calibri" w:hAnsi="Calibri" w:cs="Arial"/>
          <w:color w:val="000000"/>
          <w:sz w:val="24"/>
          <w:szCs w:val="24"/>
        </w:rPr>
        <w:t>ion</w:t>
      </w:r>
      <w:r w:rsidR="00D723BD">
        <w:rPr>
          <w:rFonts w:ascii="Calibri" w:hAnsi="Calibri" w:cs="Arial"/>
          <w:color w:val="000000"/>
          <w:sz w:val="24"/>
          <w:szCs w:val="24"/>
        </w:rPr>
        <w:t xml:space="preserve"> </w:t>
      </w:r>
      <w:r w:rsidR="00F97A71">
        <w:rPr>
          <w:rFonts w:ascii="Calibri" w:hAnsi="Calibri" w:cs="Arial"/>
          <w:color w:val="000000"/>
          <w:sz w:val="24"/>
          <w:szCs w:val="24"/>
        </w:rPr>
        <w:t xml:space="preserve">to </w:t>
      </w:r>
      <w:r w:rsidR="008C1FB8">
        <w:rPr>
          <w:rFonts w:ascii="Calibri" w:hAnsi="Calibri" w:cs="Arial"/>
          <w:color w:val="000000"/>
          <w:sz w:val="24"/>
          <w:szCs w:val="24"/>
        </w:rPr>
        <w:t xml:space="preserve">further develop </w:t>
      </w:r>
      <w:r w:rsidR="00F97A71">
        <w:rPr>
          <w:rFonts w:ascii="Calibri" w:hAnsi="Calibri" w:cs="Arial"/>
          <w:color w:val="000000"/>
          <w:sz w:val="24"/>
          <w:szCs w:val="24"/>
        </w:rPr>
        <w:t>the subnational</w:t>
      </w:r>
      <w:r w:rsidR="00D723BD">
        <w:rPr>
          <w:rFonts w:ascii="Calibri" w:hAnsi="Calibri" w:cs="Arial"/>
          <w:color w:val="000000"/>
          <w:sz w:val="24"/>
          <w:szCs w:val="24"/>
        </w:rPr>
        <w:t xml:space="preserve"> program in 2018</w:t>
      </w:r>
      <w:r w:rsidR="008C1FB8">
        <w:rPr>
          <w:rFonts w:ascii="Calibri" w:hAnsi="Calibri" w:cs="Arial"/>
          <w:color w:val="000000"/>
          <w:sz w:val="24"/>
          <w:szCs w:val="24"/>
        </w:rPr>
        <w:t xml:space="preserve"> through 20</w:t>
      </w:r>
      <w:r w:rsidR="00D723BD">
        <w:rPr>
          <w:rFonts w:ascii="Calibri" w:hAnsi="Calibri" w:cs="Arial"/>
          <w:color w:val="000000"/>
          <w:sz w:val="24"/>
          <w:szCs w:val="24"/>
        </w:rPr>
        <w:t>2</w:t>
      </w:r>
      <w:r w:rsidR="00465802">
        <w:rPr>
          <w:rFonts w:ascii="Calibri" w:hAnsi="Calibri" w:cs="Arial"/>
          <w:color w:val="000000"/>
          <w:sz w:val="24"/>
          <w:szCs w:val="24"/>
        </w:rPr>
        <w:t>1</w:t>
      </w:r>
      <w:r w:rsidR="00F97A71">
        <w:rPr>
          <w:rFonts w:ascii="Calibri" w:hAnsi="Calibri" w:cs="Arial"/>
          <w:color w:val="000000"/>
          <w:sz w:val="24"/>
          <w:szCs w:val="24"/>
        </w:rPr>
        <w:t xml:space="preserve">. </w:t>
      </w:r>
    </w:p>
    <w:p w:rsidR="00F97A71" w:rsidRDefault="00F97A71" w:rsidP="00B30B6B">
      <w:pPr>
        <w:ind w:left="630"/>
        <w:rPr>
          <w:rFonts w:ascii="Calibri" w:hAnsi="Calibri" w:cs="Arial"/>
          <w:color w:val="000000"/>
          <w:sz w:val="24"/>
          <w:szCs w:val="24"/>
        </w:rPr>
      </w:pPr>
    </w:p>
    <w:p w:rsidR="00F97A71" w:rsidRPr="00F97A71" w:rsidRDefault="00F97A71" w:rsidP="00B30B6B">
      <w:pPr>
        <w:ind w:left="630"/>
        <w:rPr>
          <w:rFonts w:ascii="Calibri" w:hAnsi="Calibri" w:cs="Arial"/>
          <w:i/>
          <w:color w:val="000000"/>
          <w:sz w:val="24"/>
          <w:szCs w:val="24"/>
        </w:rPr>
      </w:pPr>
      <w:r w:rsidRPr="00F97A71">
        <w:rPr>
          <w:rFonts w:ascii="Calibri" w:hAnsi="Calibri" w:cs="Arial"/>
          <w:i/>
          <w:color w:val="000000"/>
          <w:sz w:val="24"/>
          <w:szCs w:val="24"/>
        </w:rPr>
        <w:t>Model-based estimates</w:t>
      </w:r>
    </w:p>
    <w:p w:rsidR="00F97A71" w:rsidRPr="00F97A71" w:rsidRDefault="00F97A71" w:rsidP="00B30B6B">
      <w:pPr>
        <w:ind w:left="630"/>
        <w:rPr>
          <w:rFonts w:ascii="Calibri" w:hAnsi="Calibri" w:cs="Arial"/>
          <w:i/>
          <w:color w:val="000000"/>
          <w:sz w:val="24"/>
          <w:szCs w:val="24"/>
        </w:rPr>
      </w:pPr>
    </w:p>
    <w:p w:rsidR="000509D5" w:rsidRDefault="00401DE6" w:rsidP="000509D5">
      <w:pPr>
        <w:ind w:left="630"/>
        <w:rPr>
          <w:rFonts w:ascii="Calibri" w:hAnsi="Calibri"/>
          <w:sz w:val="24"/>
          <w:szCs w:val="24"/>
        </w:rPr>
      </w:pPr>
      <w:r>
        <w:rPr>
          <w:rFonts w:ascii="Calibri" w:hAnsi="Calibri" w:cs="Arial"/>
          <w:color w:val="000000"/>
          <w:sz w:val="24"/>
          <w:szCs w:val="24"/>
        </w:rPr>
        <w:t>Since 2010</w:t>
      </w:r>
      <w:r w:rsidR="00BB4A6E">
        <w:rPr>
          <w:rFonts w:ascii="Calibri" w:hAnsi="Calibri" w:cs="Arial"/>
          <w:color w:val="000000"/>
          <w:sz w:val="24"/>
          <w:szCs w:val="24"/>
        </w:rPr>
        <w:t xml:space="preserve">, BJS </w:t>
      </w:r>
      <w:r>
        <w:rPr>
          <w:rFonts w:ascii="Calibri" w:hAnsi="Calibri" w:cs="Arial"/>
          <w:color w:val="000000"/>
          <w:sz w:val="24"/>
          <w:szCs w:val="24"/>
        </w:rPr>
        <w:t xml:space="preserve">has </w:t>
      </w:r>
      <w:r w:rsidR="00BB4A6E">
        <w:rPr>
          <w:rFonts w:ascii="Calibri" w:hAnsi="Calibri" w:cs="Arial"/>
          <w:color w:val="000000"/>
          <w:sz w:val="24"/>
          <w:szCs w:val="24"/>
        </w:rPr>
        <w:t xml:space="preserve">supported a series of research projects focused on the feasibility of generating </w:t>
      </w:r>
      <w:r w:rsidR="001A4B51">
        <w:rPr>
          <w:rFonts w:ascii="Calibri" w:hAnsi="Calibri" w:cs="Arial"/>
          <w:color w:val="000000"/>
          <w:sz w:val="24"/>
          <w:szCs w:val="24"/>
        </w:rPr>
        <w:t>small-area</w:t>
      </w:r>
      <w:r w:rsidR="008C1FB8">
        <w:rPr>
          <w:rFonts w:ascii="Calibri" w:hAnsi="Calibri" w:cs="Arial"/>
          <w:color w:val="000000"/>
          <w:sz w:val="24"/>
          <w:szCs w:val="24"/>
        </w:rPr>
        <w:t xml:space="preserve">, or model-based, </w:t>
      </w:r>
      <w:r w:rsidR="00BB4A6E">
        <w:rPr>
          <w:rFonts w:ascii="Calibri" w:hAnsi="Calibri" w:cs="Arial"/>
          <w:color w:val="000000"/>
          <w:sz w:val="24"/>
          <w:szCs w:val="24"/>
        </w:rPr>
        <w:t xml:space="preserve">estimates of victimization for all 50 states. The intermediate </w:t>
      </w:r>
      <w:r w:rsidR="008C1FB8">
        <w:rPr>
          <w:rFonts w:ascii="Calibri" w:hAnsi="Calibri" w:cs="Arial"/>
          <w:color w:val="000000"/>
          <w:sz w:val="24"/>
          <w:szCs w:val="24"/>
        </w:rPr>
        <w:t>deliverables were</w:t>
      </w:r>
      <w:r w:rsidR="00BB4A6E">
        <w:rPr>
          <w:rFonts w:ascii="Calibri" w:hAnsi="Calibri" w:cs="Arial"/>
          <w:color w:val="000000"/>
          <w:sz w:val="24"/>
          <w:szCs w:val="24"/>
        </w:rPr>
        <w:t xml:space="preserve"> the development of a model for generating small-area estimates using existing NCVS sample and auxiliary data from the American Community Survey and t</w:t>
      </w:r>
      <w:r w:rsidR="008C1FB8">
        <w:rPr>
          <w:rFonts w:ascii="Calibri" w:hAnsi="Calibri" w:cs="Arial"/>
          <w:color w:val="000000"/>
          <w:sz w:val="24"/>
          <w:szCs w:val="24"/>
        </w:rPr>
        <w:t xml:space="preserve">he FBI’s Uniform Crime Reports and </w:t>
      </w:r>
      <w:r w:rsidR="00BB4A6E">
        <w:rPr>
          <w:rFonts w:ascii="Calibri" w:hAnsi="Calibri" w:cs="Arial"/>
          <w:color w:val="000000"/>
          <w:sz w:val="24"/>
          <w:szCs w:val="24"/>
        </w:rPr>
        <w:t>several reports</w:t>
      </w:r>
      <w:r w:rsidR="008C1FB8">
        <w:rPr>
          <w:rFonts w:ascii="Calibri" w:hAnsi="Calibri" w:cs="Arial"/>
          <w:color w:val="000000"/>
          <w:sz w:val="24"/>
          <w:szCs w:val="24"/>
        </w:rPr>
        <w:t xml:space="preserve"> describing the model and assumptions behind it</w:t>
      </w:r>
      <w:r w:rsidR="00BB4A6E">
        <w:rPr>
          <w:rFonts w:ascii="Calibri" w:hAnsi="Calibri" w:cs="Arial"/>
          <w:color w:val="000000"/>
          <w:sz w:val="24"/>
          <w:szCs w:val="24"/>
        </w:rPr>
        <w:t xml:space="preserve"> (see</w:t>
      </w:r>
      <w:r>
        <w:t xml:space="preserve"> </w:t>
      </w:r>
      <w:hyperlink r:id="rId10" w:history="1">
        <w:r w:rsidRPr="00D52DA9">
          <w:rPr>
            <w:rStyle w:val="Hyperlink"/>
            <w:rFonts w:asciiTheme="minorHAnsi" w:hAnsiTheme="minorHAnsi"/>
            <w:sz w:val="24"/>
            <w:szCs w:val="24"/>
          </w:rPr>
          <w:t>https://www.bjs.gov/index.cfm?ty=tp&amp;tid=911</w:t>
        </w:r>
      </w:hyperlink>
      <w:r w:rsidR="008C1FB8" w:rsidRPr="00401DE6">
        <w:rPr>
          <w:rFonts w:asciiTheme="minorHAnsi" w:hAnsiTheme="minorHAnsi"/>
          <w:sz w:val="24"/>
          <w:szCs w:val="24"/>
        </w:rPr>
        <w:t>)</w:t>
      </w:r>
      <w:r>
        <w:rPr>
          <w:rFonts w:asciiTheme="minorHAnsi" w:hAnsiTheme="minorHAnsi"/>
          <w:sz w:val="24"/>
          <w:szCs w:val="24"/>
        </w:rPr>
        <w:t xml:space="preserve">. </w:t>
      </w:r>
      <w:r w:rsidR="00BB4A6E" w:rsidRPr="00123E9A">
        <w:rPr>
          <w:rFonts w:ascii="Calibri" w:hAnsi="Calibri"/>
          <w:sz w:val="24"/>
          <w:szCs w:val="24"/>
        </w:rPr>
        <w:t xml:space="preserve">The </w:t>
      </w:r>
      <w:r w:rsidR="003E2AC5" w:rsidRPr="00123E9A">
        <w:rPr>
          <w:rFonts w:ascii="Calibri" w:hAnsi="Calibri"/>
          <w:sz w:val="24"/>
          <w:szCs w:val="24"/>
        </w:rPr>
        <w:t xml:space="preserve">final deliverable was </w:t>
      </w:r>
      <w:r w:rsidR="00FC5A3A" w:rsidRPr="00FC5A3A">
        <w:rPr>
          <w:rFonts w:ascii="Calibri" w:hAnsi="Calibri"/>
          <w:sz w:val="24"/>
          <w:szCs w:val="24"/>
        </w:rPr>
        <w:t xml:space="preserve">a BJS Research and Development report that presented </w:t>
      </w:r>
      <w:r w:rsidR="00AE679A">
        <w:rPr>
          <w:rFonts w:ascii="Calibri" w:hAnsi="Calibri"/>
          <w:sz w:val="24"/>
          <w:szCs w:val="24"/>
        </w:rPr>
        <w:t xml:space="preserve">the </w:t>
      </w:r>
      <w:r w:rsidR="00FC5A3A" w:rsidRPr="00FC5A3A">
        <w:rPr>
          <w:rFonts w:ascii="Calibri" w:hAnsi="Calibri"/>
          <w:sz w:val="24"/>
          <w:szCs w:val="24"/>
        </w:rPr>
        <w:t>findings and spreadsheets containing state level data points for select types of crime for all 50 states going back to 1999 (</w:t>
      </w:r>
      <w:hyperlink r:id="rId11" w:history="1">
        <w:r w:rsidR="00FC5A3A" w:rsidRPr="00D52DA9">
          <w:rPr>
            <w:rStyle w:val="Hyperlink"/>
            <w:rFonts w:ascii="Calibri" w:hAnsi="Calibri"/>
            <w:sz w:val="24"/>
            <w:szCs w:val="24"/>
          </w:rPr>
          <w:t>https://www.bjs.gov/index.cfm?ty=pbdetail&amp;iid=5499</w:t>
        </w:r>
      </w:hyperlink>
      <w:r w:rsidR="00FC5A3A" w:rsidRPr="00FC5A3A">
        <w:rPr>
          <w:rFonts w:ascii="Calibri" w:hAnsi="Calibri"/>
          <w:sz w:val="24"/>
          <w:szCs w:val="24"/>
        </w:rPr>
        <w:t>).</w:t>
      </w:r>
      <w:r w:rsidR="00FC5A3A">
        <w:rPr>
          <w:rFonts w:ascii="Calibri" w:hAnsi="Calibri"/>
          <w:sz w:val="24"/>
          <w:szCs w:val="24"/>
        </w:rPr>
        <w:t xml:space="preserve"> </w:t>
      </w:r>
      <w:r w:rsidR="00DC0863">
        <w:rPr>
          <w:rFonts w:ascii="Calibri" w:hAnsi="Calibri"/>
          <w:sz w:val="24"/>
          <w:szCs w:val="24"/>
        </w:rPr>
        <w:t>R</w:t>
      </w:r>
      <w:r w:rsidR="003E2AC5" w:rsidRPr="00123E9A">
        <w:rPr>
          <w:rFonts w:ascii="Calibri" w:hAnsi="Calibri"/>
          <w:sz w:val="24"/>
          <w:szCs w:val="24"/>
        </w:rPr>
        <w:t xml:space="preserve">ates of violent and property crime were </w:t>
      </w:r>
      <w:r w:rsidR="00DC0863">
        <w:rPr>
          <w:rFonts w:ascii="Calibri" w:hAnsi="Calibri"/>
          <w:sz w:val="24"/>
          <w:szCs w:val="24"/>
        </w:rPr>
        <w:t xml:space="preserve">generated for each state, as were </w:t>
      </w:r>
      <w:r w:rsidR="003E2AC5" w:rsidRPr="00123E9A">
        <w:rPr>
          <w:rFonts w:ascii="Calibri" w:hAnsi="Calibri"/>
          <w:sz w:val="24"/>
          <w:szCs w:val="24"/>
        </w:rPr>
        <w:t xml:space="preserve">rates of intimate partner violence and violence committed by a stranger. </w:t>
      </w:r>
      <w:r w:rsidR="00DC0863">
        <w:rPr>
          <w:rFonts w:ascii="Calibri" w:hAnsi="Calibri"/>
          <w:sz w:val="24"/>
          <w:szCs w:val="24"/>
        </w:rPr>
        <w:t>The report present</w:t>
      </w:r>
      <w:r w:rsidR="000509D5">
        <w:rPr>
          <w:rFonts w:ascii="Calibri" w:hAnsi="Calibri"/>
          <w:sz w:val="24"/>
          <w:szCs w:val="24"/>
        </w:rPr>
        <w:t>s</w:t>
      </w:r>
      <w:r w:rsidR="00DC0863">
        <w:rPr>
          <w:rFonts w:ascii="Calibri" w:hAnsi="Calibri"/>
          <w:sz w:val="24"/>
          <w:szCs w:val="24"/>
        </w:rPr>
        <w:t xml:space="preserve"> the approach and rationale for small-area estimation </w:t>
      </w:r>
      <w:r w:rsidR="001A4B51">
        <w:rPr>
          <w:rFonts w:ascii="Calibri" w:hAnsi="Calibri"/>
          <w:sz w:val="24"/>
          <w:szCs w:val="24"/>
        </w:rPr>
        <w:t xml:space="preserve">(SAE) </w:t>
      </w:r>
      <w:r w:rsidR="00DC0863">
        <w:rPr>
          <w:rFonts w:ascii="Calibri" w:hAnsi="Calibri"/>
          <w:sz w:val="24"/>
          <w:szCs w:val="24"/>
        </w:rPr>
        <w:t xml:space="preserve">and what it can tell us about crime at the state level. </w:t>
      </w:r>
    </w:p>
    <w:p w:rsidR="000509D5" w:rsidRDefault="000509D5" w:rsidP="000509D5">
      <w:pPr>
        <w:ind w:left="630"/>
        <w:rPr>
          <w:rFonts w:ascii="Calibri" w:hAnsi="Calibri"/>
          <w:sz w:val="24"/>
          <w:szCs w:val="24"/>
        </w:rPr>
      </w:pPr>
    </w:p>
    <w:p w:rsidR="000509D5" w:rsidRDefault="000509D5" w:rsidP="000509D5">
      <w:pPr>
        <w:ind w:left="630"/>
        <w:rPr>
          <w:rFonts w:ascii="Calibri" w:hAnsi="Calibri"/>
          <w:sz w:val="24"/>
          <w:szCs w:val="24"/>
        </w:rPr>
      </w:pPr>
      <w:r>
        <w:rPr>
          <w:rFonts w:ascii="Calibri" w:hAnsi="Calibri"/>
          <w:sz w:val="24"/>
          <w:szCs w:val="24"/>
        </w:rPr>
        <w:t xml:space="preserve">BJS will continue work to </w:t>
      </w:r>
      <w:r w:rsidRPr="000509D5">
        <w:rPr>
          <w:rFonts w:ascii="Calibri" w:hAnsi="Calibri"/>
          <w:sz w:val="24"/>
          <w:szCs w:val="24"/>
        </w:rPr>
        <w:t xml:space="preserve">conduct critical validation of the models, which can now incorporate the </w:t>
      </w:r>
      <w:r w:rsidR="0045596C">
        <w:rPr>
          <w:rFonts w:ascii="Calibri" w:hAnsi="Calibri"/>
          <w:sz w:val="24"/>
          <w:szCs w:val="24"/>
        </w:rPr>
        <w:t>NCVS</w:t>
      </w:r>
      <w:r w:rsidR="0045596C" w:rsidRPr="000509D5">
        <w:rPr>
          <w:rFonts w:ascii="Calibri" w:hAnsi="Calibri"/>
          <w:sz w:val="24"/>
          <w:szCs w:val="24"/>
        </w:rPr>
        <w:t xml:space="preserve"> </w:t>
      </w:r>
      <w:r w:rsidRPr="000509D5">
        <w:rPr>
          <w:rFonts w:ascii="Calibri" w:hAnsi="Calibri"/>
          <w:sz w:val="24"/>
          <w:szCs w:val="24"/>
        </w:rPr>
        <w:t xml:space="preserve">direct estimates for select subnational areas. </w:t>
      </w:r>
      <w:r>
        <w:rPr>
          <w:rFonts w:ascii="Calibri" w:hAnsi="Calibri"/>
          <w:sz w:val="24"/>
          <w:szCs w:val="24"/>
        </w:rPr>
        <w:t>BJS will engage in the c</w:t>
      </w:r>
      <w:r w:rsidRPr="000509D5">
        <w:rPr>
          <w:rFonts w:ascii="Calibri" w:hAnsi="Calibri"/>
          <w:sz w:val="24"/>
          <w:szCs w:val="24"/>
        </w:rPr>
        <w:t xml:space="preserve">ontinued </w:t>
      </w:r>
      <w:r>
        <w:rPr>
          <w:rFonts w:ascii="Calibri" w:hAnsi="Calibri"/>
          <w:sz w:val="24"/>
          <w:szCs w:val="24"/>
        </w:rPr>
        <w:t>development of the</w:t>
      </w:r>
      <w:r w:rsidR="001A4B51">
        <w:rPr>
          <w:rFonts w:ascii="Calibri" w:hAnsi="Calibri"/>
          <w:sz w:val="24"/>
          <w:szCs w:val="24"/>
        </w:rPr>
        <w:t xml:space="preserve"> </w:t>
      </w:r>
      <w:r>
        <w:rPr>
          <w:rFonts w:ascii="Calibri" w:hAnsi="Calibri"/>
          <w:sz w:val="24"/>
          <w:szCs w:val="24"/>
        </w:rPr>
        <w:t>SAE</w:t>
      </w:r>
      <w:r w:rsidR="001A4B51">
        <w:rPr>
          <w:rFonts w:ascii="Calibri" w:hAnsi="Calibri"/>
          <w:sz w:val="24"/>
          <w:szCs w:val="24"/>
        </w:rPr>
        <w:t xml:space="preserve"> </w:t>
      </w:r>
      <w:r>
        <w:rPr>
          <w:rFonts w:ascii="Calibri" w:hAnsi="Calibri"/>
          <w:sz w:val="24"/>
          <w:szCs w:val="24"/>
        </w:rPr>
        <w:t>program including further</w:t>
      </w:r>
      <w:r w:rsidRPr="000509D5">
        <w:rPr>
          <w:rFonts w:ascii="Calibri" w:hAnsi="Calibri"/>
          <w:sz w:val="24"/>
          <w:szCs w:val="24"/>
        </w:rPr>
        <w:t xml:space="preserve"> refinements to </w:t>
      </w:r>
      <w:r>
        <w:rPr>
          <w:rFonts w:ascii="Calibri" w:hAnsi="Calibri"/>
          <w:sz w:val="24"/>
          <w:szCs w:val="24"/>
        </w:rPr>
        <w:t xml:space="preserve">original SAE </w:t>
      </w:r>
      <w:r w:rsidRPr="000509D5">
        <w:rPr>
          <w:rFonts w:ascii="Calibri" w:hAnsi="Calibri"/>
          <w:sz w:val="24"/>
          <w:szCs w:val="24"/>
        </w:rPr>
        <w:t xml:space="preserve">model specifications based on the new </w:t>
      </w:r>
      <w:r>
        <w:rPr>
          <w:rFonts w:ascii="Calibri" w:hAnsi="Calibri"/>
          <w:sz w:val="24"/>
          <w:szCs w:val="24"/>
        </w:rPr>
        <w:t xml:space="preserve">NCVS </w:t>
      </w:r>
      <w:r w:rsidRPr="000509D5">
        <w:rPr>
          <w:rFonts w:ascii="Calibri" w:hAnsi="Calibri"/>
          <w:sz w:val="24"/>
          <w:szCs w:val="24"/>
        </w:rPr>
        <w:t>sample design, expansion of the scope of SAE estimates to include smaller levels of geography and additional variables of interest to key stakeholders</w:t>
      </w:r>
      <w:r>
        <w:rPr>
          <w:rFonts w:ascii="Calibri" w:hAnsi="Calibri"/>
          <w:sz w:val="24"/>
          <w:szCs w:val="24"/>
        </w:rPr>
        <w:t>,</w:t>
      </w:r>
      <w:r w:rsidRPr="000509D5">
        <w:rPr>
          <w:rFonts w:ascii="Calibri" w:hAnsi="Calibri"/>
          <w:sz w:val="24"/>
          <w:szCs w:val="24"/>
        </w:rPr>
        <w:t xml:space="preserve"> </w:t>
      </w:r>
      <w:r>
        <w:rPr>
          <w:rFonts w:ascii="Calibri" w:hAnsi="Calibri"/>
          <w:sz w:val="24"/>
          <w:szCs w:val="24"/>
        </w:rPr>
        <w:t xml:space="preserve">and production of a viable ongoing process for generating and disseminating these findings. </w:t>
      </w:r>
    </w:p>
    <w:p w:rsidR="00763126" w:rsidRDefault="00763126" w:rsidP="00B8509A">
      <w:pPr>
        <w:ind w:left="630"/>
        <w:rPr>
          <w:rFonts w:ascii="Calibri" w:hAnsi="Calibri"/>
          <w:sz w:val="24"/>
          <w:szCs w:val="24"/>
        </w:rPr>
      </w:pPr>
    </w:p>
    <w:p w:rsidR="008C1FB8" w:rsidRPr="00300716" w:rsidRDefault="008C1FB8" w:rsidP="00B8509A">
      <w:pPr>
        <w:ind w:left="630"/>
        <w:rPr>
          <w:rFonts w:ascii="Calibri" w:hAnsi="Calibri"/>
          <w:i/>
          <w:sz w:val="24"/>
          <w:szCs w:val="24"/>
        </w:rPr>
      </w:pPr>
      <w:r w:rsidRPr="00300716">
        <w:rPr>
          <w:rFonts w:ascii="Calibri" w:hAnsi="Calibri"/>
          <w:i/>
          <w:sz w:val="24"/>
          <w:szCs w:val="24"/>
        </w:rPr>
        <w:t>Direct estimates</w:t>
      </w:r>
    </w:p>
    <w:p w:rsidR="00EC19A2" w:rsidRPr="000000EB" w:rsidRDefault="00EC19A2" w:rsidP="00B8509A">
      <w:pPr>
        <w:ind w:left="630"/>
        <w:rPr>
          <w:rFonts w:ascii="Calibri" w:hAnsi="Calibri" w:cs="Arial"/>
          <w:color w:val="000000"/>
          <w:sz w:val="24"/>
          <w:szCs w:val="24"/>
        </w:rPr>
      </w:pPr>
    </w:p>
    <w:p w:rsidR="00235DB2" w:rsidRDefault="00EC19A2" w:rsidP="00B8509A">
      <w:pPr>
        <w:ind w:left="630"/>
        <w:rPr>
          <w:rFonts w:ascii="Calibri" w:hAnsi="Calibri" w:cs="Arial"/>
          <w:color w:val="000000"/>
          <w:sz w:val="24"/>
          <w:szCs w:val="24"/>
        </w:rPr>
      </w:pPr>
      <w:r w:rsidRPr="000000EB">
        <w:rPr>
          <w:rFonts w:ascii="Calibri" w:hAnsi="Calibri" w:cs="Arial"/>
          <w:color w:val="000000"/>
          <w:sz w:val="24"/>
          <w:szCs w:val="24"/>
        </w:rPr>
        <w:t xml:space="preserve">Along </w:t>
      </w:r>
      <w:r w:rsidR="00D55381" w:rsidRPr="000000EB">
        <w:rPr>
          <w:rFonts w:ascii="Calibri" w:hAnsi="Calibri" w:cs="Arial"/>
          <w:color w:val="000000"/>
          <w:sz w:val="24"/>
          <w:szCs w:val="24"/>
        </w:rPr>
        <w:t xml:space="preserve">with </w:t>
      </w:r>
      <w:r w:rsidRPr="000000EB">
        <w:rPr>
          <w:rFonts w:ascii="Calibri" w:hAnsi="Calibri" w:cs="Arial"/>
          <w:color w:val="000000"/>
          <w:sz w:val="24"/>
          <w:szCs w:val="24"/>
        </w:rPr>
        <w:t>model-based</w:t>
      </w:r>
      <w:r w:rsidR="00D55381" w:rsidRPr="000000EB">
        <w:rPr>
          <w:rFonts w:ascii="Calibri" w:hAnsi="Calibri" w:cs="Arial"/>
          <w:color w:val="000000"/>
          <w:sz w:val="24"/>
          <w:szCs w:val="24"/>
        </w:rPr>
        <w:t xml:space="preserve"> subnational estimates, </w:t>
      </w:r>
      <w:r w:rsidR="008C1FB8">
        <w:rPr>
          <w:rFonts w:ascii="Calibri" w:hAnsi="Calibri" w:cs="Arial"/>
          <w:color w:val="000000"/>
          <w:sz w:val="24"/>
          <w:szCs w:val="24"/>
        </w:rPr>
        <w:t xml:space="preserve">NCVS </w:t>
      </w:r>
      <w:r w:rsidR="00CD1E46">
        <w:rPr>
          <w:rFonts w:ascii="Calibri" w:hAnsi="Calibri" w:cs="Arial"/>
          <w:color w:val="000000"/>
          <w:sz w:val="24"/>
          <w:szCs w:val="24"/>
        </w:rPr>
        <w:t xml:space="preserve">sample </w:t>
      </w:r>
      <w:r w:rsidR="008C1FB8">
        <w:rPr>
          <w:rFonts w:ascii="Calibri" w:hAnsi="Calibri" w:cs="Arial"/>
          <w:color w:val="000000"/>
          <w:sz w:val="24"/>
          <w:szCs w:val="24"/>
        </w:rPr>
        <w:t>redesign work</w:t>
      </w:r>
      <w:r w:rsidR="00D55381" w:rsidRPr="000000EB">
        <w:rPr>
          <w:rFonts w:ascii="Calibri" w:hAnsi="Calibri" w:cs="Arial"/>
          <w:color w:val="000000"/>
          <w:sz w:val="24"/>
          <w:szCs w:val="24"/>
        </w:rPr>
        <w:t xml:space="preserve"> also </w:t>
      </w:r>
      <w:r w:rsidR="008C1FB8">
        <w:rPr>
          <w:rFonts w:ascii="Calibri" w:hAnsi="Calibri" w:cs="Arial"/>
          <w:color w:val="000000"/>
          <w:sz w:val="24"/>
          <w:szCs w:val="24"/>
        </w:rPr>
        <w:t>demonstrated</w:t>
      </w:r>
      <w:r w:rsidR="00A83BB2" w:rsidRPr="000000EB">
        <w:rPr>
          <w:rFonts w:ascii="Calibri" w:hAnsi="Calibri" w:cs="Arial"/>
          <w:color w:val="000000"/>
          <w:sz w:val="24"/>
          <w:szCs w:val="24"/>
        </w:rPr>
        <w:t xml:space="preserve"> </w:t>
      </w:r>
      <w:r w:rsidR="00D55381" w:rsidRPr="000000EB">
        <w:rPr>
          <w:rFonts w:ascii="Calibri" w:hAnsi="Calibri" w:cs="Arial"/>
          <w:color w:val="000000"/>
          <w:sz w:val="24"/>
          <w:szCs w:val="24"/>
        </w:rPr>
        <w:t xml:space="preserve">that direct </w:t>
      </w:r>
      <w:r w:rsidR="00235DB2">
        <w:rPr>
          <w:rFonts w:ascii="Calibri" w:hAnsi="Calibri" w:cs="Arial"/>
          <w:color w:val="000000"/>
          <w:sz w:val="24"/>
          <w:szCs w:val="24"/>
        </w:rPr>
        <w:t>Metropolitan Statistical Area (</w:t>
      </w:r>
      <w:r w:rsidR="00AF337E">
        <w:rPr>
          <w:rFonts w:ascii="Calibri" w:hAnsi="Calibri" w:cs="Arial"/>
          <w:color w:val="000000"/>
          <w:sz w:val="24"/>
          <w:szCs w:val="24"/>
        </w:rPr>
        <w:t>MSA</w:t>
      </w:r>
      <w:r w:rsidR="00235DB2">
        <w:rPr>
          <w:rFonts w:ascii="Calibri" w:hAnsi="Calibri" w:cs="Arial"/>
          <w:color w:val="000000"/>
          <w:sz w:val="24"/>
          <w:szCs w:val="24"/>
        </w:rPr>
        <w:t>)</w:t>
      </w:r>
      <w:r w:rsidR="00D55381" w:rsidRPr="000000EB">
        <w:rPr>
          <w:rFonts w:ascii="Calibri" w:hAnsi="Calibri" w:cs="Arial"/>
          <w:color w:val="000000"/>
          <w:sz w:val="24"/>
          <w:szCs w:val="24"/>
        </w:rPr>
        <w:t>-level and state-level</w:t>
      </w:r>
      <w:r w:rsidRPr="000000EB">
        <w:rPr>
          <w:rFonts w:ascii="Calibri" w:hAnsi="Calibri" w:cs="Arial"/>
          <w:color w:val="000000"/>
          <w:sz w:val="24"/>
          <w:szCs w:val="24"/>
        </w:rPr>
        <w:t xml:space="preserve"> estimate </w:t>
      </w:r>
      <w:r w:rsidR="00AE679A">
        <w:rPr>
          <w:rFonts w:ascii="Calibri" w:hAnsi="Calibri" w:cs="Arial"/>
          <w:color w:val="000000"/>
          <w:sz w:val="24"/>
          <w:szCs w:val="24"/>
        </w:rPr>
        <w:t xml:space="preserve">development is </w:t>
      </w:r>
      <w:r w:rsidR="00D55381" w:rsidRPr="000000EB">
        <w:rPr>
          <w:rFonts w:ascii="Calibri" w:hAnsi="Calibri" w:cs="Arial"/>
          <w:color w:val="000000"/>
          <w:sz w:val="24"/>
          <w:szCs w:val="24"/>
        </w:rPr>
        <w:t xml:space="preserve">feasible for a lower cost than was originally </w:t>
      </w:r>
      <w:r w:rsidR="008C1FB8">
        <w:rPr>
          <w:rFonts w:ascii="Calibri" w:hAnsi="Calibri" w:cs="Arial"/>
          <w:color w:val="000000"/>
          <w:sz w:val="24"/>
          <w:szCs w:val="24"/>
        </w:rPr>
        <w:t xml:space="preserve">anticipated </w:t>
      </w:r>
      <w:r w:rsidR="008C1FB8" w:rsidRPr="000000EB">
        <w:rPr>
          <w:rFonts w:ascii="Calibri" w:hAnsi="Calibri" w:cs="Arial"/>
          <w:color w:val="000000"/>
          <w:sz w:val="24"/>
          <w:szCs w:val="24"/>
        </w:rPr>
        <w:t>(</w:t>
      </w:r>
      <w:r w:rsidR="008C1FB8">
        <w:rPr>
          <w:rFonts w:ascii="Calibri" w:hAnsi="Calibri" w:cs="Arial"/>
          <w:color w:val="000000"/>
          <w:sz w:val="24"/>
          <w:szCs w:val="24"/>
        </w:rPr>
        <w:t>see</w:t>
      </w:r>
      <w:r w:rsidR="008C1FB8" w:rsidRPr="00920DE9">
        <w:rPr>
          <w:rFonts w:asciiTheme="minorHAnsi" w:hAnsiTheme="minorHAnsi" w:cs="Arial"/>
          <w:color w:val="000000"/>
          <w:sz w:val="24"/>
          <w:szCs w:val="24"/>
        </w:rPr>
        <w:t xml:space="preserve"> </w:t>
      </w:r>
      <w:hyperlink r:id="rId12" w:history="1">
        <w:r w:rsidR="00920DE9" w:rsidRPr="00D52DA9">
          <w:rPr>
            <w:rStyle w:val="Hyperlink"/>
            <w:rFonts w:asciiTheme="minorHAnsi" w:hAnsiTheme="minorHAnsi"/>
            <w:sz w:val="24"/>
            <w:szCs w:val="24"/>
          </w:rPr>
          <w:t>https://s3.amazonaws.com/sitesusa/wp-content/uploads/sites/242/2014/05/Fay_2012FCSM_I-B.pdf</w:t>
        </w:r>
      </w:hyperlink>
      <w:r w:rsidR="008C1FB8" w:rsidRPr="000000EB">
        <w:rPr>
          <w:rFonts w:ascii="Calibri" w:hAnsi="Calibri" w:cs="Arial"/>
          <w:color w:val="000000"/>
          <w:sz w:val="24"/>
          <w:szCs w:val="24"/>
        </w:rPr>
        <w:t>)</w:t>
      </w:r>
      <w:r w:rsidR="00D55381" w:rsidRPr="000000EB">
        <w:rPr>
          <w:rFonts w:ascii="Calibri" w:hAnsi="Calibri" w:cs="Arial"/>
          <w:color w:val="000000"/>
          <w:sz w:val="24"/>
          <w:szCs w:val="24"/>
        </w:rPr>
        <w:t>.</w:t>
      </w:r>
      <w:r w:rsidR="00920DE9">
        <w:rPr>
          <w:rFonts w:ascii="Calibri" w:hAnsi="Calibri" w:cs="Arial"/>
          <w:color w:val="000000"/>
          <w:sz w:val="24"/>
          <w:szCs w:val="24"/>
        </w:rPr>
        <w:t xml:space="preserve"> </w:t>
      </w:r>
      <w:r w:rsidR="00300716">
        <w:rPr>
          <w:rFonts w:ascii="Calibri" w:hAnsi="Calibri" w:cs="Arial"/>
          <w:color w:val="000000"/>
          <w:sz w:val="24"/>
          <w:szCs w:val="24"/>
        </w:rPr>
        <w:t>Beginning in</w:t>
      </w:r>
      <w:r w:rsidR="008C1FB8">
        <w:rPr>
          <w:rFonts w:ascii="Calibri" w:hAnsi="Calibri" w:cs="Arial"/>
          <w:color w:val="000000"/>
          <w:sz w:val="24"/>
          <w:szCs w:val="24"/>
        </w:rPr>
        <w:t xml:space="preserve"> July of 2013, </w:t>
      </w:r>
      <w:r w:rsidR="00300716">
        <w:rPr>
          <w:rFonts w:ascii="Calibri" w:hAnsi="Calibri" w:cs="Arial"/>
          <w:color w:val="000000"/>
          <w:sz w:val="24"/>
          <w:szCs w:val="24"/>
        </w:rPr>
        <w:t>the Census Bureau implemented a pilot</w:t>
      </w:r>
      <w:r w:rsidR="008C1FB8">
        <w:rPr>
          <w:rFonts w:ascii="Calibri" w:hAnsi="Calibri" w:cs="Arial"/>
          <w:color w:val="000000"/>
          <w:sz w:val="24"/>
          <w:szCs w:val="24"/>
        </w:rPr>
        <w:t xml:space="preserve"> sample boost in the 11</w:t>
      </w:r>
      <w:r w:rsidR="00300716">
        <w:rPr>
          <w:rFonts w:ascii="Calibri" w:hAnsi="Calibri" w:cs="Arial"/>
          <w:color w:val="000000"/>
          <w:sz w:val="24"/>
          <w:szCs w:val="24"/>
        </w:rPr>
        <w:t xml:space="preserve"> </w:t>
      </w:r>
      <w:r w:rsidR="008A1024">
        <w:rPr>
          <w:rFonts w:ascii="Calibri" w:hAnsi="Calibri" w:cs="Arial"/>
          <w:color w:val="000000"/>
          <w:sz w:val="24"/>
          <w:szCs w:val="24"/>
        </w:rPr>
        <w:t xml:space="preserve">most populous </w:t>
      </w:r>
      <w:r w:rsidR="008C1FB8">
        <w:rPr>
          <w:rFonts w:ascii="Calibri" w:hAnsi="Calibri" w:cs="Arial"/>
          <w:color w:val="000000"/>
          <w:sz w:val="24"/>
          <w:szCs w:val="24"/>
        </w:rPr>
        <w:t>states</w:t>
      </w:r>
      <w:r w:rsidR="00300716">
        <w:rPr>
          <w:rFonts w:ascii="Calibri" w:hAnsi="Calibri" w:cs="Arial"/>
          <w:color w:val="000000"/>
          <w:sz w:val="24"/>
          <w:szCs w:val="24"/>
        </w:rPr>
        <w:t xml:space="preserve"> </w:t>
      </w:r>
      <w:r w:rsidR="00527A22">
        <w:rPr>
          <w:rFonts w:ascii="Calibri" w:hAnsi="Calibri" w:cs="Arial"/>
          <w:color w:val="000000"/>
          <w:sz w:val="24"/>
          <w:szCs w:val="24"/>
        </w:rPr>
        <w:t>–</w:t>
      </w:r>
      <w:r w:rsidR="0045596C">
        <w:rPr>
          <w:rFonts w:ascii="Calibri" w:hAnsi="Calibri" w:cs="Arial"/>
          <w:color w:val="000000"/>
          <w:sz w:val="24"/>
          <w:szCs w:val="24"/>
        </w:rPr>
        <w:t xml:space="preserve"> </w:t>
      </w:r>
      <w:r w:rsidR="00300716" w:rsidRPr="00300716">
        <w:rPr>
          <w:rFonts w:ascii="Calibri" w:hAnsi="Calibri" w:cs="Arial"/>
          <w:color w:val="000000"/>
          <w:sz w:val="24"/>
          <w:szCs w:val="24"/>
        </w:rPr>
        <w:t>California, Texas, New York, Florida, Illinois, Pennsylvania, Ohio, Michigan, Georgia, North Carolina, and New Jersey</w:t>
      </w:r>
      <w:r w:rsidR="0045596C">
        <w:rPr>
          <w:rFonts w:ascii="Calibri" w:hAnsi="Calibri" w:cs="Arial"/>
          <w:color w:val="000000"/>
          <w:sz w:val="24"/>
          <w:szCs w:val="24"/>
        </w:rPr>
        <w:t xml:space="preserve"> – to test assumptions about the cost and precision of NCVS state-level estimates</w:t>
      </w:r>
      <w:r w:rsidR="00300716" w:rsidRPr="00300716">
        <w:rPr>
          <w:rFonts w:ascii="Calibri" w:hAnsi="Calibri" w:cs="Arial"/>
          <w:color w:val="000000"/>
          <w:sz w:val="24"/>
          <w:szCs w:val="24"/>
        </w:rPr>
        <w:t xml:space="preserve">. </w:t>
      </w:r>
    </w:p>
    <w:p w:rsidR="00235DB2" w:rsidRDefault="00235DB2" w:rsidP="00B8509A">
      <w:pPr>
        <w:ind w:left="630"/>
        <w:rPr>
          <w:rFonts w:ascii="Calibri" w:hAnsi="Calibri" w:cs="Arial"/>
          <w:color w:val="000000"/>
          <w:sz w:val="24"/>
          <w:szCs w:val="24"/>
        </w:rPr>
      </w:pPr>
    </w:p>
    <w:p w:rsidR="008C1FB8" w:rsidRDefault="007345CE" w:rsidP="00B8509A">
      <w:pPr>
        <w:ind w:left="630"/>
        <w:rPr>
          <w:rFonts w:ascii="Calibri" w:hAnsi="Calibri" w:cs="Arial"/>
          <w:color w:val="000000"/>
          <w:sz w:val="24"/>
          <w:szCs w:val="24"/>
        </w:rPr>
      </w:pPr>
      <w:r>
        <w:rPr>
          <w:rFonts w:ascii="Calibri" w:hAnsi="Calibri" w:cs="Arial"/>
          <w:color w:val="000000"/>
          <w:sz w:val="24"/>
          <w:szCs w:val="24"/>
        </w:rPr>
        <w:t xml:space="preserve">Based on findings from the pilot boost, </w:t>
      </w:r>
      <w:r w:rsidR="00300716">
        <w:rPr>
          <w:rFonts w:ascii="Calibri" w:hAnsi="Calibri" w:cs="Arial"/>
          <w:color w:val="000000"/>
          <w:sz w:val="24"/>
          <w:szCs w:val="24"/>
        </w:rPr>
        <w:t xml:space="preserve">BJS </w:t>
      </w:r>
      <w:r w:rsidR="0045596C">
        <w:rPr>
          <w:rFonts w:ascii="Calibri" w:hAnsi="Calibri" w:cs="Arial"/>
          <w:color w:val="000000"/>
          <w:sz w:val="24"/>
          <w:szCs w:val="24"/>
        </w:rPr>
        <w:t xml:space="preserve">redesigned </w:t>
      </w:r>
      <w:r w:rsidR="00300716">
        <w:rPr>
          <w:rFonts w:ascii="Calibri" w:hAnsi="Calibri" w:cs="Arial"/>
          <w:color w:val="000000"/>
          <w:sz w:val="24"/>
          <w:szCs w:val="24"/>
        </w:rPr>
        <w:t xml:space="preserve">the NCVS core sample in </w:t>
      </w:r>
      <w:r w:rsidR="0045596C">
        <w:rPr>
          <w:rFonts w:ascii="Calibri" w:hAnsi="Calibri" w:cs="Arial"/>
          <w:color w:val="000000"/>
          <w:sz w:val="24"/>
          <w:szCs w:val="24"/>
        </w:rPr>
        <w:t xml:space="preserve">2016 to enable the production of victimization estimates for </w:t>
      </w:r>
      <w:r w:rsidR="00AF337E">
        <w:rPr>
          <w:rFonts w:ascii="Calibri" w:hAnsi="Calibri" w:cs="Arial"/>
          <w:color w:val="000000"/>
          <w:sz w:val="24"/>
          <w:szCs w:val="24"/>
        </w:rPr>
        <w:t xml:space="preserve">the </w:t>
      </w:r>
      <w:r w:rsidR="00300716">
        <w:rPr>
          <w:rFonts w:ascii="Calibri" w:hAnsi="Calibri" w:cs="Arial"/>
          <w:color w:val="000000"/>
          <w:sz w:val="24"/>
          <w:szCs w:val="24"/>
        </w:rPr>
        <w:t xml:space="preserve">22 </w:t>
      </w:r>
      <w:r w:rsidR="00235DB2">
        <w:rPr>
          <w:rFonts w:ascii="Calibri" w:hAnsi="Calibri" w:cs="Arial"/>
          <w:color w:val="000000"/>
          <w:sz w:val="24"/>
          <w:szCs w:val="24"/>
        </w:rPr>
        <w:t xml:space="preserve">most populous </w:t>
      </w:r>
      <w:r w:rsidR="00300716">
        <w:rPr>
          <w:rFonts w:ascii="Calibri" w:hAnsi="Calibri" w:cs="Arial"/>
          <w:color w:val="000000"/>
          <w:sz w:val="24"/>
          <w:szCs w:val="24"/>
        </w:rPr>
        <w:t>states</w:t>
      </w:r>
      <w:r w:rsidR="0045596C">
        <w:rPr>
          <w:rFonts w:ascii="Calibri" w:hAnsi="Calibri" w:cs="Arial"/>
          <w:color w:val="000000"/>
          <w:sz w:val="24"/>
          <w:szCs w:val="24"/>
        </w:rPr>
        <w:t>,</w:t>
      </w:r>
      <w:r w:rsidR="00300716">
        <w:rPr>
          <w:rFonts w:ascii="Calibri" w:hAnsi="Calibri" w:cs="Arial"/>
          <w:color w:val="000000"/>
          <w:sz w:val="24"/>
          <w:szCs w:val="24"/>
        </w:rPr>
        <w:t xml:space="preserve"> </w:t>
      </w:r>
      <w:r w:rsidR="00AF337E">
        <w:rPr>
          <w:rFonts w:ascii="Calibri" w:hAnsi="Calibri" w:cs="Arial"/>
          <w:color w:val="000000"/>
          <w:sz w:val="24"/>
          <w:szCs w:val="24"/>
        </w:rPr>
        <w:t>in</w:t>
      </w:r>
      <w:r w:rsidR="0045596C">
        <w:rPr>
          <w:rFonts w:ascii="Calibri" w:hAnsi="Calibri" w:cs="Arial"/>
          <w:color w:val="000000"/>
          <w:sz w:val="24"/>
          <w:szCs w:val="24"/>
        </w:rPr>
        <w:t xml:space="preserve"> addition to the nation as a whole</w:t>
      </w:r>
      <w:r w:rsidR="00AF337E">
        <w:rPr>
          <w:rFonts w:ascii="Calibri" w:hAnsi="Calibri" w:cs="Arial"/>
          <w:color w:val="000000"/>
          <w:sz w:val="24"/>
          <w:szCs w:val="24"/>
        </w:rPr>
        <w:t xml:space="preserve">. The sample </w:t>
      </w:r>
      <w:r w:rsidR="0045596C">
        <w:rPr>
          <w:rFonts w:ascii="Calibri" w:hAnsi="Calibri" w:cs="Arial"/>
          <w:color w:val="000000"/>
          <w:sz w:val="24"/>
          <w:szCs w:val="24"/>
        </w:rPr>
        <w:t xml:space="preserve">redesign </w:t>
      </w:r>
      <w:r w:rsidR="00235DB2">
        <w:rPr>
          <w:rFonts w:ascii="Calibri" w:hAnsi="Calibri" w:cs="Arial"/>
          <w:color w:val="000000"/>
          <w:sz w:val="24"/>
          <w:szCs w:val="24"/>
        </w:rPr>
        <w:t xml:space="preserve">will </w:t>
      </w:r>
      <w:r w:rsidR="0045596C">
        <w:rPr>
          <w:rFonts w:ascii="Calibri" w:hAnsi="Calibri" w:cs="Arial"/>
          <w:color w:val="000000"/>
          <w:sz w:val="24"/>
          <w:szCs w:val="24"/>
        </w:rPr>
        <w:t>allow BJS to generate</w:t>
      </w:r>
      <w:r w:rsidR="00235DB2">
        <w:rPr>
          <w:rFonts w:ascii="Calibri" w:hAnsi="Calibri" w:cs="Arial"/>
          <w:color w:val="000000"/>
          <w:sz w:val="24"/>
          <w:szCs w:val="24"/>
        </w:rPr>
        <w:t xml:space="preserve"> relatively precise (10% relative standard errors</w:t>
      </w:r>
      <w:r w:rsidR="00A7221D">
        <w:rPr>
          <w:rFonts w:ascii="Calibri" w:hAnsi="Calibri" w:cs="Arial"/>
          <w:color w:val="000000"/>
          <w:sz w:val="24"/>
          <w:szCs w:val="24"/>
        </w:rPr>
        <w:t xml:space="preserve"> or less</w:t>
      </w:r>
      <w:r w:rsidR="00235DB2">
        <w:rPr>
          <w:rFonts w:ascii="Calibri" w:hAnsi="Calibri" w:cs="Arial"/>
          <w:color w:val="000000"/>
          <w:sz w:val="24"/>
          <w:szCs w:val="24"/>
        </w:rPr>
        <w:t>) rates of violent</w:t>
      </w:r>
      <w:r w:rsidR="00A7221D">
        <w:rPr>
          <w:rFonts w:ascii="Calibri" w:hAnsi="Calibri" w:cs="Arial"/>
          <w:color w:val="000000"/>
          <w:sz w:val="24"/>
          <w:szCs w:val="24"/>
        </w:rPr>
        <w:t xml:space="preserve"> and property</w:t>
      </w:r>
      <w:r w:rsidR="00235DB2">
        <w:rPr>
          <w:rFonts w:ascii="Calibri" w:hAnsi="Calibri" w:cs="Arial"/>
          <w:color w:val="000000"/>
          <w:sz w:val="24"/>
          <w:szCs w:val="24"/>
        </w:rPr>
        <w:t xml:space="preserve"> victimization for the 22 states and large MSAs, based on three-year rolling averages</w:t>
      </w:r>
      <w:r w:rsidR="00AE679A">
        <w:rPr>
          <w:rFonts w:ascii="Calibri" w:hAnsi="Calibri" w:cs="Arial"/>
          <w:color w:val="000000"/>
          <w:sz w:val="24"/>
          <w:szCs w:val="24"/>
        </w:rPr>
        <w:t xml:space="preserve"> beginning with the 2016-2018 data, and to produce regular reports with these direct estimates</w:t>
      </w:r>
      <w:r w:rsidR="00235DB2">
        <w:rPr>
          <w:rFonts w:ascii="Calibri" w:hAnsi="Calibri" w:cs="Arial"/>
          <w:color w:val="000000"/>
          <w:sz w:val="24"/>
          <w:szCs w:val="24"/>
        </w:rPr>
        <w:t xml:space="preserve">. </w:t>
      </w:r>
      <w:r w:rsidR="00AF337E">
        <w:rPr>
          <w:rFonts w:ascii="Calibri" w:hAnsi="Calibri" w:cs="Arial"/>
          <w:color w:val="000000"/>
          <w:sz w:val="24"/>
          <w:szCs w:val="24"/>
        </w:rPr>
        <w:t xml:space="preserve">BJS </w:t>
      </w:r>
      <w:r w:rsidR="00235DB2">
        <w:rPr>
          <w:rFonts w:ascii="Calibri" w:hAnsi="Calibri" w:cs="Arial"/>
          <w:color w:val="000000"/>
          <w:sz w:val="24"/>
          <w:szCs w:val="24"/>
        </w:rPr>
        <w:t>plans to</w:t>
      </w:r>
      <w:r w:rsidR="00AF337E">
        <w:rPr>
          <w:rFonts w:ascii="Calibri" w:hAnsi="Calibri" w:cs="Arial"/>
          <w:color w:val="000000"/>
          <w:sz w:val="24"/>
          <w:szCs w:val="24"/>
        </w:rPr>
        <w:t xml:space="preserve"> publish high-level 1-year estimates of victimization for these states in 2018</w:t>
      </w:r>
      <w:r w:rsidR="00AE679A">
        <w:rPr>
          <w:rFonts w:ascii="Calibri" w:hAnsi="Calibri" w:cs="Arial"/>
          <w:color w:val="000000"/>
          <w:sz w:val="24"/>
          <w:szCs w:val="24"/>
        </w:rPr>
        <w:t>.</w:t>
      </w:r>
      <w:r w:rsidR="00A7221D">
        <w:rPr>
          <w:rFonts w:ascii="Calibri" w:hAnsi="Calibri" w:cs="Arial"/>
          <w:color w:val="000000"/>
          <w:sz w:val="24"/>
          <w:szCs w:val="24"/>
        </w:rPr>
        <w:t xml:space="preserve"> </w:t>
      </w:r>
      <w:r w:rsidR="00AE679A">
        <w:rPr>
          <w:rFonts w:ascii="Calibri" w:hAnsi="Calibri" w:cs="Arial"/>
          <w:color w:val="000000"/>
          <w:sz w:val="24"/>
          <w:szCs w:val="24"/>
        </w:rPr>
        <w:t xml:space="preserve">BJS </w:t>
      </w:r>
      <w:r w:rsidR="00A7221D">
        <w:rPr>
          <w:rFonts w:ascii="Calibri" w:hAnsi="Calibri" w:cs="Arial"/>
          <w:color w:val="000000"/>
          <w:sz w:val="24"/>
          <w:szCs w:val="24"/>
        </w:rPr>
        <w:t xml:space="preserve">will </w:t>
      </w:r>
      <w:r w:rsidR="00AE679A">
        <w:rPr>
          <w:rFonts w:ascii="Calibri" w:hAnsi="Calibri" w:cs="Arial"/>
          <w:color w:val="000000"/>
          <w:sz w:val="24"/>
          <w:szCs w:val="24"/>
        </w:rPr>
        <w:t xml:space="preserve">also </w:t>
      </w:r>
      <w:r w:rsidR="00A7221D">
        <w:rPr>
          <w:rFonts w:ascii="Calibri" w:hAnsi="Calibri" w:cs="Arial"/>
          <w:color w:val="000000"/>
          <w:sz w:val="24"/>
          <w:szCs w:val="24"/>
        </w:rPr>
        <w:t>use the data to assess and validate the model-based estimates and facilitate plans for combining indirect and direct subnational estimates in states and cities with limited existing sample</w:t>
      </w:r>
      <w:r w:rsidR="00527A22">
        <w:rPr>
          <w:rFonts w:ascii="Calibri" w:hAnsi="Calibri" w:cs="Arial"/>
          <w:color w:val="000000"/>
          <w:sz w:val="24"/>
          <w:szCs w:val="24"/>
        </w:rPr>
        <w:t>.</w:t>
      </w:r>
      <w:r w:rsidR="00AF337E">
        <w:rPr>
          <w:rFonts w:ascii="Calibri" w:hAnsi="Calibri" w:cs="Arial"/>
          <w:color w:val="000000"/>
          <w:sz w:val="24"/>
          <w:szCs w:val="24"/>
        </w:rPr>
        <w:t xml:space="preserve"> </w:t>
      </w:r>
      <w:r>
        <w:rPr>
          <w:rFonts w:ascii="Calibri" w:hAnsi="Calibri" w:cs="Arial"/>
          <w:color w:val="000000"/>
          <w:sz w:val="24"/>
          <w:szCs w:val="24"/>
        </w:rPr>
        <w:t>The</w:t>
      </w:r>
      <w:r w:rsidR="00A7221D">
        <w:rPr>
          <w:rFonts w:ascii="Calibri" w:hAnsi="Calibri" w:cs="Arial"/>
          <w:color w:val="000000"/>
          <w:sz w:val="24"/>
          <w:szCs w:val="24"/>
        </w:rPr>
        <w:t xml:space="preserve"> 22</w:t>
      </w:r>
      <w:r w:rsidR="00A7053F">
        <w:rPr>
          <w:rFonts w:ascii="Calibri" w:hAnsi="Calibri" w:cs="Arial"/>
          <w:color w:val="000000"/>
          <w:sz w:val="24"/>
          <w:szCs w:val="24"/>
        </w:rPr>
        <w:t xml:space="preserve"> states account </w:t>
      </w:r>
      <w:r w:rsidR="00A7053F" w:rsidRPr="007B6991">
        <w:rPr>
          <w:rFonts w:ascii="Calibri" w:hAnsi="Calibri" w:cs="Arial"/>
          <w:color w:val="000000"/>
          <w:sz w:val="24"/>
          <w:szCs w:val="24"/>
        </w:rPr>
        <w:t xml:space="preserve">for </w:t>
      </w:r>
      <w:r w:rsidR="003E16F7" w:rsidRPr="007B6991">
        <w:rPr>
          <w:rFonts w:ascii="Calibri" w:hAnsi="Calibri" w:cs="Arial"/>
          <w:color w:val="000000"/>
          <w:sz w:val="24"/>
          <w:szCs w:val="24"/>
        </w:rPr>
        <w:t>79</w:t>
      </w:r>
      <w:r w:rsidR="00A7053F" w:rsidRPr="007B6991">
        <w:rPr>
          <w:rFonts w:ascii="Calibri" w:hAnsi="Calibri" w:cs="Arial"/>
          <w:color w:val="000000"/>
          <w:sz w:val="24"/>
          <w:szCs w:val="24"/>
        </w:rPr>
        <w:t>% of</w:t>
      </w:r>
      <w:r w:rsidR="00A7053F">
        <w:rPr>
          <w:rFonts w:ascii="Calibri" w:hAnsi="Calibri" w:cs="Arial"/>
          <w:color w:val="000000"/>
          <w:sz w:val="24"/>
          <w:szCs w:val="24"/>
        </w:rPr>
        <w:t xml:space="preserve"> the total US population</w:t>
      </w:r>
      <w:r w:rsidR="003E16F7">
        <w:rPr>
          <w:rFonts w:ascii="Calibri" w:hAnsi="Calibri" w:cs="Arial"/>
          <w:color w:val="000000"/>
          <w:sz w:val="24"/>
          <w:szCs w:val="24"/>
        </w:rPr>
        <w:t xml:space="preserve"> and approximately 80% of violent crime reported in the FBI’s Part 1 Uniform Crime Reports</w:t>
      </w:r>
      <w:r w:rsidR="00A7053F">
        <w:rPr>
          <w:rFonts w:ascii="Calibri" w:hAnsi="Calibri" w:cs="Arial"/>
          <w:color w:val="000000"/>
          <w:sz w:val="24"/>
          <w:szCs w:val="24"/>
        </w:rPr>
        <w:t xml:space="preserve">. </w:t>
      </w:r>
    </w:p>
    <w:p w:rsidR="00A7053F" w:rsidRDefault="00A7053F" w:rsidP="003B55E0">
      <w:pPr>
        <w:rPr>
          <w:rFonts w:ascii="Calibri" w:hAnsi="Calibri" w:cs="Arial"/>
          <w:color w:val="000000"/>
          <w:sz w:val="24"/>
          <w:szCs w:val="24"/>
        </w:rPr>
      </w:pPr>
    </w:p>
    <w:p w:rsidR="000E7763" w:rsidRDefault="000E7763" w:rsidP="00B8509A">
      <w:pPr>
        <w:ind w:left="630"/>
        <w:rPr>
          <w:rFonts w:ascii="Calibri" w:hAnsi="Calibri" w:cs="Arial"/>
          <w:color w:val="000000"/>
          <w:sz w:val="24"/>
          <w:szCs w:val="24"/>
        </w:rPr>
      </w:pPr>
      <w:r>
        <w:rPr>
          <w:rFonts w:ascii="Calibri" w:hAnsi="Calibri" w:cs="Arial"/>
          <w:color w:val="000000"/>
          <w:sz w:val="24"/>
          <w:szCs w:val="24"/>
        </w:rPr>
        <w:t>In addition to the sample redesign efforts, BJS is supporting work to recalibrate NCVS sample prior to 2016 to produce direct victimization estimates for metropolitan statistical areas (MSAs) from 2006 to 2015 to be produced in 2018.</w:t>
      </w:r>
      <w:r w:rsidR="00332DCC">
        <w:rPr>
          <w:rFonts w:ascii="Calibri" w:hAnsi="Calibri" w:cs="Arial"/>
          <w:color w:val="000000"/>
          <w:sz w:val="24"/>
          <w:szCs w:val="24"/>
        </w:rPr>
        <w:t xml:space="preserve"> This effort also involves the development of a public-use data file for the largest MSAs as of 2015.</w:t>
      </w:r>
    </w:p>
    <w:p w:rsidR="00A7053F" w:rsidRDefault="00A7053F" w:rsidP="00B8509A">
      <w:pPr>
        <w:ind w:left="630"/>
        <w:rPr>
          <w:rFonts w:ascii="Calibri" w:hAnsi="Calibri" w:cs="Arial"/>
          <w:color w:val="000000"/>
          <w:sz w:val="24"/>
          <w:szCs w:val="24"/>
        </w:rPr>
      </w:pPr>
    </w:p>
    <w:p w:rsidR="009A4D1A" w:rsidRDefault="00D4642C" w:rsidP="00062DAA">
      <w:pPr>
        <w:ind w:left="630"/>
        <w:rPr>
          <w:rFonts w:ascii="Calibri" w:hAnsi="Calibri" w:cs="Arial"/>
          <w:color w:val="000000"/>
          <w:sz w:val="24"/>
          <w:szCs w:val="24"/>
        </w:rPr>
      </w:pPr>
      <w:r>
        <w:rPr>
          <w:rFonts w:ascii="Calibri" w:hAnsi="Calibri" w:cs="Arial"/>
          <w:color w:val="000000"/>
          <w:sz w:val="24"/>
          <w:szCs w:val="24"/>
        </w:rPr>
        <w:t xml:space="preserve">Additionally, </w:t>
      </w:r>
      <w:r w:rsidR="00904DCA" w:rsidRPr="000000EB">
        <w:rPr>
          <w:rFonts w:ascii="Calibri" w:hAnsi="Calibri" w:cs="Arial"/>
          <w:color w:val="000000"/>
          <w:sz w:val="24"/>
          <w:szCs w:val="24"/>
        </w:rPr>
        <w:t>BJS will continue with on-going technical work to produce</w:t>
      </w:r>
      <w:r w:rsidR="00AB65E3" w:rsidRPr="000000EB">
        <w:rPr>
          <w:rFonts w:ascii="Calibri" w:hAnsi="Calibri" w:cs="Arial"/>
          <w:color w:val="000000"/>
          <w:sz w:val="24"/>
          <w:szCs w:val="24"/>
        </w:rPr>
        <w:t xml:space="preserve"> </w:t>
      </w:r>
      <w:r w:rsidR="000E7763">
        <w:rPr>
          <w:rFonts w:ascii="Calibri" w:hAnsi="Calibri" w:cs="Arial"/>
          <w:color w:val="000000"/>
          <w:sz w:val="24"/>
          <w:szCs w:val="24"/>
        </w:rPr>
        <w:t xml:space="preserve">regular </w:t>
      </w:r>
      <w:r w:rsidR="00AB65E3" w:rsidRPr="000000EB">
        <w:rPr>
          <w:rFonts w:ascii="Calibri" w:hAnsi="Calibri" w:cs="Arial"/>
          <w:color w:val="000000"/>
          <w:sz w:val="24"/>
          <w:szCs w:val="24"/>
        </w:rPr>
        <w:t>report</w:t>
      </w:r>
      <w:r w:rsidR="000E7763">
        <w:rPr>
          <w:rFonts w:ascii="Calibri" w:hAnsi="Calibri" w:cs="Arial"/>
          <w:color w:val="000000"/>
          <w:sz w:val="24"/>
          <w:szCs w:val="24"/>
        </w:rPr>
        <w:t>s</w:t>
      </w:r>
      <w:r w:rsidR="00AB65E3" w:rsidRPr="000000EB">
        <w:rPr>
          <w:rFonts w:ascii="Calibri" w:hAnsi="Calibri" w:cs="Arial"/>
          <w:color w:val="000000"/>
          <w:sz w:val="24"/>
          <w:szCs w:val="24"/>
        </w:rPr>
        <w:t xml:space="preserve"> presenting patterns and trends in victimization in </w:t>
      </w:r>
      <w:r w:rsidR="00230D26">
        <w:rPr>
          <w:rFonts w:ascii="Calibri" w:hAnsi="Calibri" w:cs="Arial"/>
          <w:color w:val="000000"/>
          <w:sz w:val="24"/>
          <w:szCs w:val="24"/>
        </w:rPr>
        <w:t xml:space="preserve">generic </w:t>
      </w:r>
      <w:r>
        <w:rPr>
          <w:rFonts w:ascii="Calibri" w:hAnsi="Calibri" w:cs="Arial"/>
          <w:color w:val="000000"/>
          <w:sz w:val="24"/>
          <w:szCs w:val="24"/>
        </w:rPr>
        <w:t xml:space="preserve">geographic </w:t>
      </w:r>
      <w:r w:rsidR="00AB65E3" w:rsidRPr="000000EB">
        <w:rPr>
          <w:rFonts w:ascii="Calibri" w:hAnsi="Calibri" w:cs="Arial"/>
          <w:color w:val="000000"/>
          <w:sz w:val="24"/>
          <w:szCs w:val="24"/>
        </w:rPr>
        <w:t>areas (i.e. cities with a population of 25,000-50,000 in the Northeast). These generic area estimates of victimization will allow data users to identify “like” areas that share similar size and regional characteristics as their own location and to use the smaller generic areas as a baseline for comparison.</w:t>
      </w:r>
      <w:r>
        <w:rPr>
          <w:rFonts w:ascii="Calibri" w:hAnsi="Calibri" w:cs="Arial"/>
          <w:color w:val="000000"/>
          <w:sz w:val="24"/>
          <w:szCs w:val="24"/>
        </w:rPr>
        <w:t xml:space="preserve"> In 2014 and 2015</w:t>
      </w:r>
      <w:r w:rsidR="00AB65E3" w:rsidRPr="000000EB">
        <w:rPr>
          <w:rFonts w:ascii="Calibri" w:hAnsi="Calibri" w:cs="Arial"/>
          <w:color w:val="000000"/>
          <w:sz w:val="24"/>
          <w:szCs w:val="24"/>
        </w:rPr>
        <w:t xml:space="preserve"> </w:t>
      </w:r>
      <w:r>
        <w:rPr>
          <w:rFonts w:ascii="Calibri" w:hAnsi="Calibri" w:cs="Arial"/>
          <w:color w:val="000000"/>
          <w:sz w:val="24"/>
          <w:szCs w:val="24"/>
        </w:rPr>
        <w:t xml:space="preserve">BJS conducted research with </w:t>
      </w:r>
      <w:r w:rsidRPr="000000EB">
        <w:rPr>
          <w:rFonts w:ascii="Calibri" w:hAnsi="Calibri" w:cs="Arial"/>
          <w:color w:val="000000"/>
          <w:sz w:val="24"/>
          <w:szCs w:val="24"/>
        </w:rPr>
        <w:t>the restricted-use, area-identified data maintained by the U.S. Census Bureau</w:t>
      </w:r>
      <w:r>
        <w:rPr>
          <w:rFonts w:ascii="Calibri" w:hAnsi="Calibri" w:cs="Arial"/>
          <w:color w:val="000000"/>
          <w:sz w:val="24"/>
          <w:szCs w:val="24"/>
        </w:rPr>
        <w:t xml:space="preserve"> to ensure that the sample in geographic generic areas is representative of the actual population of these areas. </w:t>
      </w:r>
      <w:r w:rsidR="005C1D0D" w:rsidRPr="000000EB">
        <w:rPr>
          <w:rFonts w:ascii="Calibri" w:hAnsi="Calibri" w:cs="Arial"/>
          <w:color w:val="000000"/>
          <w:sz w:val="24"/>
          <w:szCs w:val="24"/>
        </w:rPr>
        <w:t xml:space="preserve">Generic area typologies </w:t>
      </w:r>
      <w:r>
        <w:rPr>
          <w:rFonts w:ascii="Calibri" w:hAnsi="Calibri" w:cs="Arial"/>
          <w:color w:val="000000"/>
          <w:sz w:val="24"/>
          <w:szCs w:val="24"/>
        </w:rPr>
        <w:t xml:space="preserve">were then developed using variables available on the public-use files, namely region, size, and urbanicity. </w:t>
      </w:r>
      <w:r w:rsidR="005C1D0D" w:rsidRPr="000000EB">
        <w:rPr>
          <w:rFonts w:ascii="Calibri" w:hAnsi="Calibri" w:cs="Arial"/>
          <w:color w:val="000000"/>
          <w:sz w:val="24"/>
          <w:szCs w:val="24"/>
        </w:rPr>
        <w:t xml:space="preserve"> </w:t>
      </w:r>
    </w:p>
    <w:p w:rsidR="009A4D1A" w:rsidRDefault="009A4D1A" w:rsidP="00062DAA">
      <w:pPr>
        <w:ind w:left="630"/>
        <w:rPr>
          <w:rFonts w:ascii="Calibri" w:hAnsi="Calibri" w:cs="Arial"/>
          <w:color w:val="000000"/>
          <w:sz w:val="24"/>
          <w:szCs w:val="24"/>
        </w:rPr>
      </w:pPr>
    </w:p>
    <w:p w:rsidR="00AB65E3" w:rsidRDefault="00062DAA" w:rsidP="00332DCC">
      <w:pPr>
        <w:ind w:left="630"/>
        <w:rPr>
          <w:rFonts w:ascii="Calibri" w:hAnsi="Calibri" w:cs="Arial"/>
          <w:color w:val="000000"/>
          <w:sz w:val="24"/>
          <w:szCs w:val="24"/>
        </w:rPr>
      </w:pPr>
      <w:r>
        <w:rPr>
          <w:rFonts w:ascii="Calibri" w:hAnsi="Calibri" w:cs="Arial"/>
          <w:color w:val="000000"/>
          <w:sz w:val="24"/>
          <w:szCs w:val="24"/>
        </w:rPr>
        <w:t xml:space="preserve">In 2015, </w:t>
      </w:r>
      <w:r w:rsidR="00D4642C">
        <w:rPr>
          <w:rFonts w:ascii="Calibri" w:hAnsi="Calibri" w:cs="Arial"/>
          <w:color w:val="000000"/>
          <w:sz w:val="24"/>
          <w:szCs w:val="24"/>
        </w:rPr>
        <w:t>BJS publish</w:t>
      </w:r>
      <w:r>
        <w:rPr>
          <w:rFonts w:ascii="Calibri" w:hAnsi="Calibri" w:cs="Arial"/>
          <w:color w:val="000000"/>
          <w:sz w:val="24"/>
          <w:szCs w:val="24"/>
        </w:rPr>
        <w:t>ed</w:t>
      </w:r>
      <w:r w:rsidR="00D4642C">
        <w:rPr>
          <w:rFonts w:ascii="Calibri" w:hAnsi="Calibri" w:cs="Arial"/>
          <w:color w:val="000000"/>
          <w:sz w:val="24"/>
          <w:szCs w:val="24"/>
        </w:rPr>
        <w:t xml:space="preserve"> a technical report on the development and coverage of generic areas</w:t>
      </w:r>
      <w:r>
        <w:rPr>
          <w:rFonts w:ascii="Calibri" w:hAnsi="Calibri" w:cs="Arial"/>
          <w:color w:val="000000"/>
          <w:sz w:val="24"/>
          <w:szCs w:val="24"/>
        </w:rPr>
        <w:t xml:space="preserve"> (</w:t>
      </w:r>
      <w:hyperlink r:id="rId13" w:history="1">
        <w:r w:rsidRPr="00D52DA9">
          <w:rPr>
            <w:rStyle w:val="Hyperlink"/>
            <w:rFonts w:ascii="Calibri" w:hAnsi="Calibri" w:cs="Arial"/>
            <w:sz w:val="24"/>
            <w:szCs w:val="24"/>
          </w:rPr>
          <w:t>https://www.bjs.gov/content/pub/pdf/acrsgincvspuf.pdf</w:t>
        </w:r>
      </w:hyperlink>
      <w:r>
        <w:rPr>
          <w:rFonts w:ascii="Calibri" w:hAnsi="Calibri" w:cs="Arial"/>
          <w:color w:val="000000"/>
          <w:sz w:val="24"/>
          <w:szCs w:val="24"/>
        </w:rPr>
        <w:t xml:space="preserve">). </w:t>
      </w:r>
      <w:r w:rsidR="000C404F">
        <w:rPr>
          <w:rFonts w:ascii="Calibri" w:hAnsi="Calibri" w:cs="Arial"/>
          <w:color w:val="000000"/>
          <w:sz w:val="24"/>
          <w:szCs w:val="24"/>
        </w:rPr>
        <w:t xml:space="preserve">BJS </w:t>
      </w:r>
      <w:r w:rsidR="00332DCC">
        <w:rPr>
          <w:rFonts w:ascii="Calibri" w:hAnsi="Calibri" w:cs="Arial"/>
          <w:color w:val="000000"/>
          <w:sz w:val="24"/>
          <w:szCs w:val="24"/>
        </w:rPr>
        <w:t xml:space="preserve">has </w:t>
      </w:r>
      <w:r w:rsidR="000C404F">
        <w:rPr>
          <w:rFonts w:ascii="Calibri" w:hAnsi="Calibri" w:cs="Arial"/>
          <w:color w:val="000000"/>
          <w:sz w:val="24"/>
          <w:szCs w:val="24"/>
        </w:rPr>
        <w:t>also beg</w:t>
      </w:r>
      <w:r w:rsidR="00332DCC">
        <w:rPr>
          <w:rFonts w:ascii="Calibri" w:hAnsi="Calibri" w:cs="Arial"/>
          <w:color w:val="000000"/>
          <w:sz w:val="24"/>
          <w:szCs w:val="24"/>
        </w:rPr>
        <w:t>u</w:t>
      </w:r>
      <w:r w:rsidR="000C404F">
        <w:rPr>
          <w:rFonts w:ascii="Calibri" w:hAnsi="Calibri" w:cs="Arial"/>
          <w:color w:val="000000"/>
          <w:sz w:val="24"/>
          <w:szCs w:val="24"/>
        </w:rPr>
        <w:t xml:space="preserve">n </w:t>
      </w:r>
      <w:r w:rsidR="00332DCC">
        <w:rPr>
          <w:rFonts w:ascii="Calibri" w:hAnsi="Calibri" w:cs="Arial"/>
          <w:color w:val="000000"/>
          <w:sz w:val="24"/>
          <w:szCs w:val="24"/>
        </w:rPr>
        <w:t xml:space="preserve">to </w:t>
      </w:r>
      <w:r w:rsidR="000C404F">
        <w:rPr>
          <w:rFonts w:ascii="Calibri" w:hAnsi="Calibri" w:cs="Arial"/>
          <w:color w:val="000000"/>
          <w:sz w:val="24"/>
          <w:szCs w:val="24"/>
        </w:rPr>
        <w:t xml:space="preserve">publish reports that divide the country based on other characteristics of areas, such as the report, </w:t>
      </w:r>
      <w:r w:rsidR="000C404F" w:rsidRPr="000C404F">
        <w:rPr>
          <w:rFonts w:ascii="Calibri" w:hAnsi="Calibri" w:cs="Arial"/>
          <w:i/>
          <w:color w:val="000000"/>
          <w:sz w:val="24"/>
          <w:szCs w:val="24"/>
        </w:rPr>
        <w:t>Violent Victimization in New and Emerging Hispanic Areas, 2007-2010</w:t>
      </w:r>
      <w:r w:rsidR="000C404F">
        <w:rPr>
          <w:rFonts w:ascii="Calibri" w:hAnsi="Calibri" w:cs="Arial"/>
          <w:color w:val="000000"/>
          <w:sz w:val="24"/>
          <w:szCs w:val="24"/>
        </w:rPr>
        <w:t xml:space="preserve"> (</w:t>
      </w:r>
      <w:hyperlink r:id="rId14" w:history="1">
        <w:r w:rsidR="000C404F" w:rsidRPr="00B528ED">
          <w:rPr>
            <w:rStyle w:val="Hyperlink"/>
            <w:rFonts w:ascii="Calibri" w:hAnsi="Calibri" w:cs="Arial"/>
            <w:sz w:val="24"/>
            <w:szCs w:val="24"/>
          </w:rPr>
          <w:t>http://www.bjs.gov/content/pub/pdf/vvneha0710.pdf</w:t>
        </w:r>
      </w:hyperlink>
      <w:r w:rsidR="000C404F">
        <w:rPr>
          <w:rFonts w:ascii="Calibri" w:hAnsi="Calibri" w:cs="Arial"/>
          <w:color w:val="000000"/>
          <w:sz w:val="24"/>
          <w:szCs w:val="24"/>
        </w:rPr>
        <w:t>), which group</w:t>
      </w:r>
      <w:r w:rsidR="00332DCC">
        <w:rPr>
          <w:rFonts w:ascii="Calibri" w:hAnsi="Calibri" w:cs="Arial"/>
          <w:color w:val="000000"/>
          <w:sz w:val="24"/>
          <w:szCs w:val="24"/>
        </w:rPr>
        <w:t>ed</w:t>
      </w:r>
      <w:r w:rsidR="000C404F">
        <w:rPr>
          <w:rFonts w:ascii="Calibri" w:hAnsi="Calibri" w:cs="Arial"/>
          <w:color w:val="000000"/>
          <w:sz w:val="24"/>
          <w:szCs w:val="24"/>
        </w:rPr>
        <w:t xml:space="preserve"> counties and metropolitan areas </w:t>
      </w:r>
      <w:r w:rsidR="00332DCC">
        <w:rPr>
          <w:rFonts w:ascii="Calibri" w:hAnsi="Calibri" w:cs="Arial"/>
          <w:color w:val="000000"/>
          <w:sz w:val="24"/>
          <w:szCs w:val="24"/>
        </w:rPr>
        <w:t xml:space="preserve">based </w:t>
      </w:r>
      <w:r w:rsidR="000C404F">
        <w:rPr>
          <w:rFonts w:ascii="Calibri" w:hAnsi="Calibri" w:cs="Arial"/>
          <w:color w:val="000000"/>
          <w:sz w:val="24"/>
          <w:szCs w:val="24"/>
        </w:rPr>
        <w:t xml:space="preserve">on the growth of the area’s Hispanic population. </w:t>
      </w:r>
      <w:r w:rsidR="00332DCC">
        <w:rPr>
          <w:rFonts w:ascii="Calibri" w:hAnsi="Calibri" w:cs="Arial"/>
          <w:color w:val="000000"/>
          <w:sz w:val="24"/>
          <w:szCs w:val="24"/>
        </w:rPr>
        <w:t>Other reports that are in progress include one on v</w:t>
      </w:r>
      <w:r w:rsidR="00332DCC" w:rsidRPr="00332DCC">
        <w:rPr>
          <w:rFonts w:ascii="Calibri" w:hAnsi="Calibri" w:cs="Arial"/>
          <w:color w:val="000000"/>
          <w:sz w:val="24"/>
          <w:szCs w:val="24"/>
        </w:rPr>
        <w:t>ictimization and police reporting across different types of U.S. areas</w:t>
      </w:r>
      <w:r w:rsidR="00332DCC">
        <w:rPr>
          <w:rFonts w:ascii="Calibri" w:hAnsi="Calibri" w:cs="Arial"/>
          <w:color w:val="000000"/>
          <w:sz w:val="24"/>
          <w:szCs w:val="24"/>
        </w:rPr>
        <w:t xml:space="preserve"> and one on p</w:t>
      </w:r>
      <w:r w:rsidR="00332DCC" w:rsidRPr="00332DCC">
        <w:rPr>
          <w:rFonts w:ascii="Calibri" w:hAnsi="Calibri" w:cs="Arial"/>
          <w:color w:val="000000"/>
          <w:sz w:val="24"/>
          <w:szCs w:val="24"/>
        </w:rPr>
        <w:t>atterns of victimization and reporting to police among neighborhoods with different levels of immigrant concentration</w:t>
      </w:r>
      <w:r w:rsidR="00332DCC">
        <w:rPr>
          <w:rFonts w:ascii="Calibri" w:hAnsi="Calibri" w:cs="Arial"/>
          <w:color w:val="000000"/>
          <w:sz w:val="24"/>
          <w:szCs w:val="24"/>
        </w:rPr>
        <w:t>.</w:t>
      </w:r>
    </w:p>
    <w:p w:rsidR="005E2A90" w:rsidRPr="000000EB" w:rsidRDefault="005E2A90" w:rsidP="00B8509A">
      <w:pPr>
        <w:ind w:left="630"/>
        <w:rPr>
          <w:rFonts w:ascii="Calibri" w:hAnsi="Calibri" w:cs="Arial"/>
          <w:color w:val="000000"/>
          <w:sz w:val="24"/>
          <w:szCs w:val="24"/>
        </w:rPr>
      </w:pPr>
    </w:p>
    <w:p w:rsidR="00722DAC" w:rsidRPr="000000EB" w:rsidRDefault="00EE7B4E" w:rsidP="00B8509A">
      <w:pPr>
        <w:ind w:left="630"/>
        <w:rPr>
          <w:rFonts w:ascii="Calibri" w:hAnsi="Calibri" w:cs="Arial"/>
          <w:b/>
          <w:color w:val="000000"/>
          <w:sz w:val="24"/>
          <w:szCs w:val="24"/>
        </w:rPr>
      </w:pPr>
      <w:r>
        <w:rPr>
          <w:rFonts w:ascii="Calibri" w:hAnsi="Calibri" w:cs="Arial"/>
          <w:b/>
          <w:color w:val="000000"/>
          <w:sz w:val="24"/>
          <w:szCs w:val="24"/>
        </w:rPr>
        <w:t xml:space="preserve">Improved survey </w:t>
      </w:r>
      <w:r w:rsidR="007E1EAD">
        <w:rPr>
          <w:rFonts w:ascii="Calibri" w:hAnsi="Calibri" w:cs="Arial"/>
          <w:b/>
          <w:color w:val="000000"/>
          <w:sz w:val="24"/>
          <w:szCs w:val="24"/>
        </w:rPr>
        <w:t>responsiveness</w:t>
      </w:r>
      <w:r>
        <w:rPr>
          <w:rFonts w:ascii="Calibri" w:hAnsi="Calibri" w:cs="Arial"/>
          <w:b/>
          <w:color w:val="000000"/>
          <w:sz w:val="24"/>
          <w:szCs w:val="24"/>
        </w:rPr>
        <w:t xml:space="preserve"> </w:t>
      </w:r>
      <w:r w:rsidR="007E1EAD">
        <w:rPr>
          <w:rFonts w:ascii="Calibri" w:hAnsi="Calibri" w:cs="Arial"/>
          <w:b/>
          <w:color w:val="000000"/>
          <w:sz w:val="24"/>
          <w:szCs w:val="24"/>
        </w:rPr>
        <w:t>with</w:t>
      </w:r>
      <w:r>
        <w:rPr>
          <w:rFonts w:ascii="Calibri" w:hAnsi="Calibri" w:cs="Arial"/>
          <w:b/>
          <w:color w:val="000000"/>
          <w:sz w:val="24"/>
          <w:szCs w:val="24"/>
        </w:rPr>
        <w:t xml:space="preserve"> the a</w:t>
      </w:r>
      <w:r w:rsidR="009A4D1A">
        <w:rPr>
          <w:rFonts w:ascii="Calibri" w:hAnsi="Calibri" w:cs="Arial"/>
          <w:b/>
          <w:color w:val="000000"/>
          <w:sz w:val="24"/>
          <w:szCs w:val="24"/>
        </w:rPr>
        <w:t xml:space="preserve">dministration of supplements to the NCVS </w:t>
      </w:r>
    </w:p>
    <w:p w:rsidR="005C1D0D" w:rsidRPr="000000EB" w:rsidRDefault="005C1D0D" w:rsidP="00B8509A">
      <w:pPr>
        <w:ind w:left="630"/>
        <w:rPr>
          <w:rFonts w:ascii="Calibri" w:hAnsi="Calibri" w:cs="Arial"/>
          <w:color w:val="000000"/>
          <w:sz w:val="24"/>
          <w:szCs w:val="24"/>
        </w:rPr>
      </w:pPr>
    </w:p>
    <w:p w:rsidR="00A2559E" w:rsidRPr="000000EB" w:rsidRDefault="00782AF9" w:rsidP="00B8509A">
      <w:pPr>
        <w:pStyle w:val="Heading2"/>
        <w:tabs>
          <w:tab w:val="clear" w:pos="2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ind w:firstLine="0"/>
        <w:rPr>
          <w:rFonts w:ascii="Calibri" w:hAnsi="Calibri" w:cs="Arial"/>
          <w:color w:val="000000"/>
        </w:rPr>
      </w:pPr>
      <w:r w:rsidRPr="000000EB">
        <w:rPr>
          <w:rFonts w:ascii="Calibri" w:hAnsi="Calibri" w:cs="Arial"/>
          <w:color w:val="000000"/>
        </w:rPr>
        <w:t xml:space="preserve">In order to </w:t>
      </w:r>
      <w:r w:rsidR="00332DCC">
        <w:rPr>
          <w:rFonts w:ascii="Calibri" w:hAnsi="Calibri" w:cs="Arial"/>
          <w:color w:val="000000"/>
        </w:rPr>
        <w:t>remain</w:t>
      </w:r>
      <w:r w:rsidR="00332DCC" w:rsidRPr="000000EB">
        <w:rPr>
          <w:rFonts w:ascii="Calibri" w:hAnsi="Calibri" w:cs="Arial"/>
          <w:color w:val="000000"/>
        </w:rPr>
        <w:t xml:space="preserve"> </w:t>
      </w:r>
      <w:r w:rsidRPr="000000EB">
        <w:rPr>
          <w:rFonts w:ascii="Calibri" w:hAnsi="Calibri" w:cs="Arial"/>
          <w:color w:val="000000"/>
        </w:rPr>
        <w:t xml:space="preserve">at the forefront of criminal justice issues and inform discussions and policy on new and emerging crime types, </w:t>
      </w:r>
      <w:r w:rsidR="00722DAC" w:rsidRPr="000000EB">
        <w:rPr>
          <w:rFonts w:ascii="Calibri" w:hAnsi="Calibri" w:cs="Arial"/>
          <w:color w:val="000000"/>
        </w:rPr>
        <w:t>BJS also needs to improve the NCVS’s responsiven</w:t>
      </w:r>
      <w:r w:rsidRPr="000000EB">
        <w:rPr>
          <w:rFonts w:ascii="Calibri" w:hAnsi="Calibri" w:cs="Arial"/>
          <w:color w:val="000000"/>
        </w:rPr>
        <w:t>ess</w:t>
      </w:r>
      <w:r w:rsidR="00722DAC" w:rsidRPr="000000EB">
        <w:rPr>
          <w:rFonts w:ascii="Calibri" w:hAnsi="Calibri" w:cs="Arial"/>
          <w:color w:val="000000"/>
        </w:rPr>
        <w:t xml:space="preserve">. </w:t>
      </w:r>
      <w:r w:rsidR="00193415" w:rsidRPr="000000EB">
        <w:rPr>
          <w:rFonts w:ascii="Calibri" w:hAnsi="Calibri" w:cs="Arial"/>
          <w:color w:val="000000"/>
        </w:rPr>
        <w:t>One approach to improving the responsiveness of the survey and collecting data on growing crime types and criminal justice issues is through the administration of supplements</w:t>
      </w:r>
      <w:r w:rsidR="00990444">
        <w:rPr>
          <w:rFonts w:ascii="Calibri" w:hAnsi="Calibri" w:cs="Arial"/>
          <w:color w:val="000000"/>
        </w:rPr>
        <w:t xml:space="preserve"> to the core survey</w:t>
      </w:r>
      <w:r w:rsidR="00193415" w:rsidRPr="000000EB">
        <w:rPr>
          <w:rFonts w:ascii="Calibri" w:hAnsi="Calibri" w:cs="Arial"/>
          <w:color w:val="000000"/>
        </w:rPr>
        <w:t xml:space="preserve">. </w:t>
      </w:r>
      <w:r w:rsidR="00A2559E" w:rsidRPr="000000EB">
        <w:rPr>
          <w:rFonts w:ascii="Calibri" w:hAnsi="Calibri" w:cs="Arial"/>
          <w:color w:val="000000"/>
        </w:rPr>
        <w:t xml:space="preserve">BJS </w:t>
      </w:r>
      <w:r w:rsidR="00537FC0">
        <w:rPr>
          <w:rFonts w:ascii="Calibri" w:hAnsi="Calibri" w:cs="Arial"/>
          <w:color w:val="000000"/>
        </w:rPr>
        <w:t>has been working</w:t>
      </w:r>
      <w:r w:rsidR="00A2559E" w:rsidRPr="000000EB">
        <w:rPr>
          <w:rFonts w:ascii="Calibri" w:hAnsi="Calibri" w:cs="Arial"/>
          <w:color w:val="000000"/>
        </w:rPr>
        <w:t xml:space="preserve"> with other Federal agencies, such as the Office</w:t>
      </w:r>
      <w:r w:rsidR="00537FC0">
        <w:rPr>
          <w:rFonts w:ascii="Calibri" w:hAnsi="Calibri" w:cs="Arial"/>
          <w:color w:val="000000"/>
        </w:rPr>
        <w:t xml:space="preserve"> for Victims of Crime (OVC), </w:t>
      </w:r>
      <w:r w:rsidR="00A2559E" w:rsidRPr="000000EB">
        <w:rPr>
          <w:rFonts w:ascii="Calibri" w:hAnsi="Calibri" w:cs="Arial"/>
          <w:color w:val="000000"/>
        </w:rPr>
        <w:t>the National Institute of Justice</w:t>
      </w:r>
      <w:r w:rsidR="00C61FB2">
        <w:rPr>
          <w:rFonts w:ascii="Calibri" w:hAnsi="Calibri" w:cs="Arial"/>
          <w:color w:val="000000"/>
        </w:rPr>
        <w:t xml:space="preserve"> (NIJ)</w:t>
      </w:r>
      <w:r w:rsidR="00537FC0">
        <w:rPr>
          <w:rFonts w:ascii="Calibri" w:hAnsi="Calibri" w:cs="Arial"/>
          <w:color w:val="000000"/>
        </w:rPr>
        <w:t>, the Department of Education</w:t>
      </w:r>
      <w:r w:rsidR="00C61FB2">
        <w:rPr>
          <w:rFonts w:ascii="Calibri" w:hAnsi="Calibri" w:cs="Arial"/>
          <w:color w:val="000000"/>
        </w:rPr>
        <w:t xml:space="preserve"> (ED)</w:t>
      </w:r>
      <w:r w:rsidR="00537FC0">
        <w:rPr>
          <w:rFonts w:ascii="Calibri" w:hAnsi="Calibri" w:cs="Arial"/>
          <w:color w:val="000000"/>
        </w:rPr>
        <w:t>, and the Federal Trade Commission</w:t>
      </w:r>
      <w:r w:rsidR="00C61FB2">
        <w:rPr>
          <w:rFonts w:ascii="Calibri" w:hAnsi="Calibri" w:cs="Arial"/>
          <w:color w:val="000000"/>
        </w:rPr>
        <w:t xml:space="preserve"> (FTC)</w:t>
      </w:r>
      <w:r w:rsidR="00A2559E" w:rsidRPr="000000EB">
        <w:rPr>
          <w:rFonts w:ascii="Calibri" w:hAnsi="Calibri" w:cs="Arial"/>
          <w:color w:val="000000"/>
        </w:rPr>
        <w:t xml:space="preserve">, to </w:t>
      </w:r>
      <w:r w:rsidR="00537FC0">
        <w:rPr>
          <w:rFonts w:ascii="Calibri" w:hAnsi="Calibri" w:cs="Arial"/>
          <w:color w:val="000000"/>
        </w:rPr>
        <w:t>improve the</w:t>
      </w:r>
      <w:r w:rsidR="00A2559E" w:rsidRPr="000000EB">
        <w:rPr>
          <w:rFonts w:ascii="Calibri" w:hAnsi="Calibri" w:cs="Arial"/>
          <w:color w:val="000000"/>
        </w:rPr>
        <w:t xml:space="preserve"> </w:t>
      </w:r>
      <w:r w:rsidR="00332DCC">
        <w:rPr>
          <w:rFonts w:ascii="Calibri" w:hAnsi="Calibri" w:cs="Arial"/>
          <w:color w:val="000000"/>
        </w:rPr>
        <w:t xml:space="preserve">capacity </w:t>
      </w:r>
      <w:r w:rsidR="00537FC0">
        <w:rPr>
          <w:rFonts w:ascii="Calibri" w:hAnsi="Calibri" w:cs="Arial"/>
          <w:color w:val="000000"/>
        </w:rPr>
        <w:t xml:space="preserve">of the </w:t>
      </w:r>
      <w:r w:rsidR="00A2559E" w:rsidRPr="000000EB">
        <w:rPr>
          <w:rFonts w:ascii="Calibri" w:hAnsi="Calibri" w:cs="Arial"/>
          <w:color w:val="000000"/>
        </w:rPr>
        <w:t xml:space="preserve">NCVS </w:t>
      </w:r>
      <w:r w:rsidR="00537FC0">
        <w:rPr>
          <w:rFonts w:ascii="Calibri" w:hAnsi="Calibri" w:cs="Arial"/>
          <w:color w:val="000000"/>
        </w:rPr>
        <w:t>to respond to timely data and research needs</w:t>
      </w:r>
      <w:r w:rsidR="00990444">
        <w:rPr>
          <w:rFonts w:ascii="Calibri" w:hAnsi="Calibri" w:cs="Arial"/>
          <w:color w:val="000000"/>
        </w:rPr>
        <w:t xml:space="preserve"> through the development and administration of supplements</w:t>
      </w:r>
      <w:r w:rsidR="00537FC0">
        <w:rPr>
          <w:rFonts w:ascii="Calibri" w:hAnsi="Calibri" w:cs="Arial"/>
          <w:color w:val="000000"/>
        </w:rPr>
        <w:t xml:space="preserve">. </w:t>
      </w:r>
      <w:r w:rsidR="00A2559E" w:rsidRPr="000000EB">
        <w:rPr>
          <w:rFonts w:ascii="Calibri" w:hAnsi="Calibri" w:cs="Arial"/>
          <w:color w:val="000000"/>
        </w:rPr>
        <w:t xml:space="preserve"> </w:t>
      </w:r>
    </w:p>
    <w:p w:rsidR="00A2559E" w:rsidRPr="000000EB" w:rsidRDefault="00A2559E" w:rsidP="00B8509A">
      <w:pPr>
        <w:rPr>
          <w:rFonts w:ascii="Calibri" w:hAnsi="Calibri"/>
          <w:sz w:val="24"/>
          <w:szCs w:val="24"/>
        </w:rPr>
      </w:pPr>
    </w:p>
    <w:p w:rsidR="00193415" w:rsidRPr="000000EB" w:rsidRDefault="00537FC0" w:rsidP="00B8509A">
      <w:pPr>
        <w:ind w:left="630"/>
        <w:rPr>
          <w:rFonts w:ascii="Calibri" w:hAnsi="Calibri" w:cs="Arial"/>
          <w:color w:val="000000"/>
          <w:sz w:val="24"/>
          <w:szCs w:val="24"/>
        </w:rPr>
      </w:pPr>
      <w:r>
        <w:rPr>
          <w:rFonts w:ascii="Calibri" w:hAnsi="Calibri" w:cs="Arial"/>
          <w:color w:val="000000"/>
          <w:sz w:val="24"/>
          <w:szCs w:val="24"/>
        </w:rPr>
        <w:t>For 201</w:t>
      </w:r>
      <w:r w:rsidR="00FD006D">
        <w:rPr>
          <w:rFonts w:ascii="Calibri" w:hAnsi="Calibri" w:cs="Arial"/>
          <w:color w:val="000000"/>
          <w:sz w:val="24"/>
          <w:szCs w:val="24"/>
        </w:rPr>
        <w:t>8</w:t>
      </w:r>
      <w:r>
        <w:rPr>
          <w:rFonts w:ascii="Calibri" w:hAnsi="Calibri" w:cs="Arial"/>
          <w:color w:val="000000"/>
          <w:sz w:val="24"/>
          <w:szCs w:val="24"/>
        </w:rPr>
        <w:t xml:space="preserve"> through 20</w:t>
      </w:r>
      <w:r w:rsidR="00FD006D">
        <w:rPr>
          <w:rFonts w:ascii="Calibri" w:hAnsi="Calibri" w:cs="Arial"/>
          <w:color w:val="000000"/>
          <w:sz w:val="24"/>
          <w:szCs w:val="24"/>
        </w:rPr>
        <w:t>2</w:t>
      </w:r>
      <w:r w:rsidR="00465802">
        <w:rPr>
          <w:rFonts w:ascii="Calibri" w:hAnsi="Calibri" w:cs="Arial"/>
          <w:color w:val="000000"/>
          <w:sz w:val="24"/>
          <w:szCs w:val="24"/>
        </w:rPr>
        <w:t>1</w:t>
      </w:r>
      <w:r w:rsidR="00193415" w:rsidRPr="000000EB">
        <w:rPr>
          <w:rFonts w:ascii="Calibri" w:hAnsi="Calibri" w:cs="Arial"/>
          <w:color w:val="000000"/>
          <w:sz w:val="24"/>
          <w:szCs w:val="24"/>
        </w:rPr>
        <w:t xml:space="preserve">, the NCVS will have </w:t>
      </w:r>
      <w:r>
        <w:rPr>
          <w:rFonts w:ascii="Calibri" w:hAnsi="Calibri" w:cs="Arial"/>
          <w:color w:val="000000"/>
          <w:sz w:val="24"/>
          <w:szCs w:val="24"/>
        </w:rPr>
        <w:t>several</w:t>
      </w:r>
      <w:r w:rsidR="00193415" w:rsidRPr="000000EB">
        <w:rPr>
          <w:rFonts w:ascii="Calibri" w:hAnsi="Calibri" w:cs="Arial"/>
          <w:color w:val="000000"/>
          <w:sz w:val="24"/>
          <w:szCs w:val="24"/>
        </w:rPr>
        <w:t xml:space="preserve"> rotating supplements (each with unique OMB numbers), which will remain in the field for six months. These supplements allow for the collection of detailed data on topics that are not included in the core NCVS. BJS also produces reports from each of the supplements and archives the data at </w:t>
      </w:r>
      <w:r w:rsidR="00D56F25" w:rsidRPr="000000EB">
        <w:rPr>
          <w:rFonts w:ascii="Calibri" w:hAnsi="Calibri" w:cs="Arial"/>
          <w:color w:val="000000"/>
          <w:sz w:val="24"/>
          <w:szCs w:val="24"/>
        </w:rPr>
        <w:t xml:space="preserve">ICPSR </w:t>
      </w:r>
      <w:r w:rsidR="00193415" w:rsidRPr="000000EB">
        <w:rPr>
          <w:rFonts w:ascii="Calibri" w:hAnsi="Calibri" w:cs="Arial"/>
          <w:color w:val="000000"/>
          <w:sz w:val="24"/>
          <w:szCs w:val="24"/>
        </w:rPr>
        <w:t>(</w:t>
      </w:r>
      <w:hyperlink r:id="rId15" w:history="1">
        <w:r w:rsidR="00C61FB2" w:rsidRPr="00CF68B6">
          <w:rPr>
            <w:rStyle w:val="Hyperlink"/>
            <w:rFonts w:ascii="Calibri" w:hAnsi="Calibri" w:cs="Arial"/>
            <w:sz w:val="24"/>
            <w:szCs w:val="24"/>
          </w:rPr>
          <w:t>www.icpsr.umich.edu</w:t>
        </w:r>
      </w:hyperlink>
      <w:r w:rsidR="00193415" w:rsidRPr="000000EB">
        <w:rPr>
          <w:rFonts w:ascii="Calibri" w:hAnsi="Calibri" w:cs="Arial"/>
          <w:color w:val="000000"/>
          <w:sz w:val="24"/>
          <w:szCs w:val="24"/>
        </w:rPr>
        <w:t xml:space="preserve">). Each supplement is </w:t>
      </w:r>
      <w:r w:rsidR="00A2559E" w:rsidRPr="000000EB">
        <w:rPr>
          <w:rFonts w:ascii="Calibri" w:hAnsi="Calibri" w:cs="Arial"/>
          <w:color w:val="000000"/>
          <w:sz w:val="24"/>
          <w:szCs w:val="24"/>
        </w:rPr>
        <w:t xml:space="preserve">conducted under a separate </w:t>
      </w:r>
      <w:r w:rsidR="00990444">
        <w:rPr>
          <w:rFonts w:ascii="Calibri" w:hAnsi="Calibri" w:cs="Arial"/>
          <w:color w:val="000000"/>
          <w:sz w:val="24"/>
          <w:szCs w:val="24"/>
        </w:rPr>
        <w:t>OMB</w:t>
      </w:r>
      <w:r w:rsidR="00990444" w:rsidRPr="000000EB">
        <w:rPr>
          <w:rFonts w:ascii="Calibri" w:hAnsi="Calibri" w:cs="Arial"/>
          <w:color w:val="000000"/>
          <w:sz w:val="24"/>
          <w:szCs w:val="24"/>
        </w:rPr>
        <w:t xml:space="preserve"> </w:t>
      </w:r>
      <w:r w:rsidR="00A2559E" w:rsidRPr="000000EB">
        <w:rPr>
          <w:rFonts w:ascii="Calibri" w:hAnsi="Calibri" w:cs="Arial"/>
          <w:color w:val="000000"/>
          <w:sz w:val="24"/>
          <w:szCs w:val="24"/>
        </w:rPr>
        <w:t>review, and t</w:t>
      </w:r>
      <w:r w:rsidR="00193415" w:rsidRPr="000000EB">
        <w:rPr>
          <w:rFonts w:ascii="Calibri" w:hAnsi="Calibri" w:cs="Arial"/>
          <w:color w:val="000000"/>
          <w:sz w:val="24"/>
          <w:szCs w:val="24"/>
        </w:rPr>
        <w:t>he tentative schedule for the administration of these routine supplements is as follows:</w:t>
      </w:r>
    </w:p>
    <w:p w:rsidR="00FD006D" w:rsidRDefault="00FD006D" w:rsidP="00B8509A">
      <w:pPr>
        <w:ind w:left="630"/>
        <w:rPr>
          <w:rFonts w:ascii="Calibri" w:hAnsi="Calibri" w:cs="Arial"/>
          <w:color w:val="000000"/>
          <w:sz w:val="24"/>
          <w:szCs w:val="24"/>
        </w:rPr>
      </w:pPr>
    </w:p>
    <w:p w:rsidR="00193415" w:rsidRPr="0063748C" w:rsidRDefault="00537FC0" w:rsidP="00B8509A">
      <w:pPr>
        <w:ind w:left="630"/>
        <w:rPr>
          <w:rFonts w:ascii="Calibri" w:hAnsi="Calibri" w:cs="Arial"/>
          <w:color w:val="000000"/>
          <w:sz w:val="24"/>
          <w:szCs w:val="24"/>
        </w:rPr>
      </w:pPr>
      <w:r w:rsidRPr="0063748C">
        <w:rPr>
          <w:rFonts w:ascii="Calibri" w:hAnsi="Calibri" w:cs="Arial"/>
          <w:color w:val="000000"/>
          <w:sz w:val="24"/>
          <w:szCs w:val="24"/>
        </w:rPr>
        <w:tab/>
      </w:r>
      <w:r w:rsidRPr="0063748C">
        <w:rPr>
          <w:rFonts w:ascii="Calibri" w:hAnsi="Calibri" w:cs="Arial"/>
          <w:color w:val="000000"/>
          <w:sz w:val="24"/>
          <w:szCs w:val="24"/>
        </w:rPr>
        <w:tab/>
      </w:r>
      <w:r w:rsidRPr="0063748C">
        <w:rPr>
          <w:rFonts w:ascii="Calibri" w:hAnsi="Calibri" w:cs="Arial"/>
          <w:color w:val="000000"/>
          <w:sz w:val="24"/>
          <w:szCs w:val="24"/>
        </w:rPr>
        <w:tab/>
        <w:t>J</w:t>
      </w:r>
      <w:r w:rsidR="00815410" w:rsidRPr="0063748C">
        <w:rPr>
          <w:rFonts w:ascii="Calibri" w:hAnsi="Calibri" w:cs="Arial"/>
          <w:color w:val="000000"/>
          <w:sz w:val="24"/>
          <w:szCs w:val="24"/>
        </w:rPr>
        <w:t>uly</w:t>
      </w:r>
      <w:r w:rsidRPr="0063748C">
        <w:rPr>
          <w:rFonts w:ascii="Calibri" w:hAnsi="Calibri" w:cs="Arial"/>
          <w:color w:val="000000"/>
          <w:sz w:val="24"/>
          <w:szCs w:val="24"/>
        </w:rPr>
        <w:t xml:space="preserve"> </w:t>
      </w:r>
      <w:r w:rsidR="00FD006D">
        <w:rPr>
          <w:rFonts w:ascii="Calibri" w:hAnsi="Calibri" w:cs="Arial"/>
          <w:color w:val="000000"/>
          <w:sz w:val="24"/>
          <w:szCs w:val="24"/>
        </w:rPr>
        <w:t>–</w:t>
      </w:r>
      <w:r w:rsidRPr="0063748C">
        <w:rPr>
          <w:rFonts w:ascii="Calibri" w:hAnsi="Calibri" w:cs="Arial"/>
          <w:color w:val="000000"/>
          <w:sz w:val="24"/>
          <w:szCs w:val="24"/>
        </w:rPr>
        <w:t xml:space="preserve"> </w:t>
      </w:r>
      <w:r w:rsidR="00815410" w:rsidRPr="0063748C">
        <w:rPr>
          <w:rFonts w:ascii="Calibri" w:hAnsi="Calibri" w:cs="Arial"/>
          <w:color w:val="000000"/>
          <w:sz w:val="24"/>
          <w:szCs w:val="24"/>
        </w:rPr>
        <w:t>December</w:t>
      </w:r>
      <w:r w:rsidRPr="0063748C">
        <w:rPr>
          <w:rFonts w:ascii="Calibri" w:hAnsi="Calibri" w:cs="Arial"/>
          <w:color w:val="000000"/>
          <w:sz w:val="24"/>
          <w:szCs w:val="24"/>
        </w:rPr>
        <w:t>, 201</w:t>
      </w:r>
      <w:r w:rsidR="00FD006D">
        <w:rPr>
          <w:rFonts w:ascii="Calibri" w:hAnsi="Calibri" w:cs="Arial"/>
          <w:color w:val="000000"/>
          <w:sz w:val="24"/>
          <w:szCs w:val="24"/>
        </w:rPr>
        <w:t>8</w:t>
      </w:r>
      <w:r w:rsidR="00815410" w:rsidRPr="0063748C">
        <w:rPr>
          <w:rFonts w:ascii="Calibri" w:hAnsi="Calibri" w:cs="Arial"/>
          <w:color w:val="000000"/>
          <w:sz w:val="24"/>
          <w:szCs w:val="24"/>
        </w:rPr>
        <w:t xml:space="preserve"> </w:t>
      </w:r>
      <w:r w:rsidRPr="0063748C">
        <w:rPr>
          <w:rFonts w:ascii="Calibri" w:hAnsi="Calibri" w:cs="Arial"/>
          <w:color w:val="000000"/>
          <w:sz w:val="24"/>
          <w:szCs w:val="24"/>
        </w:rPr>
        <w:tab/>
      </w:r>
      <w:r w:rsidR="00FD006D" w:rsidRPr="0063748C">
        <w:rPr>
          <w:rFonts w:ascii="Calibri" w:hAnsi="Calibri" w:cs="Arial"/>
          <w:color w:val="000000"/>
          <w:sz w:val="24"/>
          <w:szCs w:val="24"/>
        </w:rPr>
        <w:t>Police-Public Contact Survey</w:t>
      </w:r>
      <w:r w:rsidR="00FD006D">
        <w:rPr>
          <w:rFonts w:ascii="Calibri" w:hAnsi="Calibri" w:cs="Arial"/>
          <w:color w:val="000000"/>
          <w:sz w:val="24"/>
          <w:szCs w:val="24"/>
        </w:rPr>
        <w:t xml:space="preserve"> (PPCS)</w:t>
      </w:r>
    </w:p>
    <w:p w:rsidR="00193415" w:rsidRPr="0063748C" w:rsidRDefault="00537FC0" w:rsidP="00B8509A">
      <w:pPr>
        <w:ind w:left="630"/>
        <w:rPr>
          <w:rFonts w:ascii="Calibri" w:hAnsi="Calibri" w:cs="Arial"/>
          <w:color w:val="000000"/>
          <w:sz w:val="24"/>
          <w:szCs w:val="24"/>
        </w:rPr>
      </w:pPr>
      <w:r w:rsidRPr="0063748C">
        <w:rPr>
          <w:rFonts w:ascii="Calibri" w:hAnsi="Calibri" w:cs="Arial"/>
          <w:color w:val="000000"/>
          <w:sz w:val="24"/>
          <w:szCs w:val="24"/>
        </w:rPr>
        <w:tab/>
      </w:r>
      <w:r w:rsidRPr="0063748C">
        <w:rPr>
          <w:rFonts w:ascii="Calibri" w:hAnsi="Calibri" w:cs="Arial"/>
          <w:color w:val="000000"/>
          <w:sz w:val="24"/>
          <w:szCs w:val="24"/>
        </w:rPr>
        <w:tab/>
      </w:r>
      <w:r w:rsidRPr="0063748C">
        <w:rPr>
          <w:rFonts w:ascii="Calibri" w:hAnsi="Calibri" w:cs="Arial"/>
          <w:color w:val="000000"/>
          <w:sz w:val="24"/>
          <w:szCs w:val="24"/>
        </w:rPr>
        <w:tab/>
      </w:r>
      <w:r w:rsidR="00815410" w:rsidRPr="0063748C">
        <w:rPr>
          <w:rFonts w:ascii="Calibri" w:hAnsi="Calibri" w:cs="Arial"/>
          <w:color w:val="000000"/>
          <w:sz w:val="24"/>
          <w:szCs w:val="24"/>
        </w:rPr>
        <w:t>January</w:t>
      </w:r>
      <w:r w:rsidR="00FD006D">
        <w:rPr>
          <w:rFonts w:ascii="Calibri" w:hAnsi="Calibri" w:cs="Arial"/>
          <w:color w:val="000000"/>
          <w:sz w:val="24"/>
          <w:szCs w:val="24"/>
        </w:rPr>
        <w:t xml:space="preserve"> –</w:t>
      </w:r>
      <w:r w:rsidRPr="0063748C">
        <w:rPr>
          <w:rFonts w:ascii="Calibri" w:hAnsi="Calibri" w:cs="Arial"/>
          <w:color w:val="000000"/>
          <w:sz w:val="24"/>
          <w:szCs w:val="24"/>
        </w:rPr>
        <w:t xml:space="preserve"> </w:t>
      </w:r>
      <w:r w:rsidR="00815410" w:rsidRPr="0063748C">
        <w:rPr>
          <w:rFonts w:ascii="Calibri" w:hAnsi="Calibri" w:cs="Arial"/>
          <w:color w:val="000000"/>
          <w:sz w:val="24"/>
          <w:szCs w:val="24"/>
        </w:rPr>
        <w:t>June</w:t>
      </w:r>
      <w:r w:rsidR="00FD006D">
        <w:rPr>
          <w:rFonts w:ascii="Calibri" w:hAnsi="Calibri" w:cs="Arial"/>
          <w:color w:val="000000"/>
          <w:sz w:val="24"/>
          <w:szCs w:val="24"/>
        </w:rPr>
        <w:t>, 2019</w:t>
      </w:r>
      <w:r w:rsidRPr="0063748C">
        <w:rPr>
          <w:rFonts w:ascii="Calibri" w:hAnsi="Calibri" w:cs="Arial"/>
          <w:color w:val="000000"/>
          <w:sz w:val="24"/>
          <w:szCs w:val="24"/>
        </w:rPr>
        <w:t xml:space="preserve"> </w:t>
      </w:r>
      <w:r w:rsidR="00193415" w:rsidRPr="0063748C">
        <w:rPr>
          <w:rFonts w:ascii="Calibri" w:hAnsi="Calibri" w:cs="Arial"/>
          <w:color w:val="000000"/>
          <w:sz w:val="24"/>
          <w:szCs w:val="24"/>
        </w:rPr>
        <w:tab/>
      </w:r>
      <w:r w:rsidR="00815410" w:rsidRPr="0063748C">
        <w:rPr>
          <w:rFonts w:ascii="Calibri" w:hAnsi="Calibri" w:cs="Arial"/>
          <w:color w:val="000000"/>
          <w:sz w:val="24"/>
          <w:szCs w:val="24"/>
        </w:rPr>
        <w:tab/>
        <w:t>School Crime Supplement</w:t>
      </w:r>
      <w:r w:rsidR="00C61FB2">
        <w:rPr>
          <w:rFonts w:ascii="Calibri" w:hAnsi="Calibri" w:cs="Arial"/>
          <w:color w:val="000000"/>
          <w:sz w:val="24"/>
          <w:szCs w:val="24"/>
        </w:rPr>
        <w:t xml:space="preserve"> (SCS)</w:t>
      </w:r>
    </w:p>
    <w:p w:rsidR="00193415" w:rsidRDefault="00193415" w:rsidP="00B8509A">
      <w:pPr>
        <w:ind w:left="630"/>
        <w:rPr>
          <w:rFonts w:ascii="Calibri" w:hAnsi="Calibri" w:cs="Arial"/>
          <w:color w:val="000000"/>
          <w:sz w:val="24"/>
          <w:szCs w:val="24"/>
        </w:rPr>
      </w:pPr>
      <w:r w:rsidRPr="0063748C">
        <w:rPr>
          <w:rFonts w:ascii="Calibri" w:hAnsi="Calibri" w:cs="Arial"/>
          <w:color w:val="000000"/>
          <w:sz w:val="24"/>
          <w:szCs w:val="24"/>
        </w:rPr>
        <w:tab/>
      </w:r>
      <w:r w:rsidRPr="0063748C">
        <w:rPr>
          <w:rFonts w:ascii="Calibri" w:hAnsi="Calibri" w:cs="Arial"/>
          <w:color w:val="000000"/>
          <w:sz w:val="24"/>
          <w:szCs w:val="24"/>
        </w:rPr>
        <w:tab/>
      </w:r>
      <w:r w:rsidRPr="0063748C">
        <w:rPr>
          <w:rFonts w:ascii="Calibri" w:hAnsi="Calibri" w:cs="Arial"/>
          <w:color w:val="000000"/>
          <w:sz w:val="24"/>
          <w:szCs w:val="24"/>
        </w:rPr>
        <w:tab/>
      </w:r>
      <w:r w:rsidR="00FD006D">
        <w:rPr>
          <w:rFonts w:ascii="Calibri" w:hAnsi="Calibri" w:cs="Arial"/>
          <w:color w:val="000000"/>
          <w:sz w:val="24"/>
          <w:szCs w:val="24"/>
        </w:rPr>
        <w:t>July</w:t>
      </w:r>
      <w:r w:rsidR="00815410" w:rsidRPr="0063748C">
        <w:rPr>
          <w:rFonts w:ascii="Calibri" w:hAnsi="Calibri" w:cs="Arial"/>
          <w:color w:val="000000"/>
          <w:sz w:val="24"/>
          <w:szCs w:val="24"/>
        </w:rPr>
        <w:t xml:space="preserve"> – </w:t>
      </w:r>
      <w:r w:rsidR="00FD006D">
        <w:rPr>
          <w:rFonts w:ascii="Calibri" w:hAnsi="Calibri" w:cs="Arial"/>
          <w:color w:val="000000"/>
          <w:sz w:val="24"/>
          <w:szCs w:val="24"/>
        </w:rPr>
        <w:t>December, 2019</w:t>
      </w:r>
      <w:r w:rsidRPr="0063748C">
        <w:rPr>
          <w:rFonts w:ascii="Calibri" w:hAnsi="Calibri" w:cs="Arial"/>
          <w:color w:val="000000"/>
          <w:sz w:val="24"/>
          <w:szCs w:val="24"/>
        </w:rPr>
        <w:tab/>
      </w:r>
      <w:r w:rsidR="006976D4">
        <w:rPr>
          <w:rFonts w:ascii="Calibri" w:hAnsi="Calibri" w:cs="Arial"/>
          <w:color w:val="000000"/>
          <w:sz w:val="24"/>
          <w:szCs w:val="24"/>
        </w:rPr>
        <w:t>Supplement</w:t>
      </w:r>
      <w:r w:rsidR="00B9034B">
        <w:rPr>
          <w:rFonts w:ascii="Calibri" w:hAnsi="Calibri" w:cs="Arial"/>
          <w:color w:val="000000"/>
          <w:sz w:val="24"/>
          <w:szCs w:val="24"/>
        </w:rPr>
        <w:t>al Victimization Survey</w:t>
      </w:r>
      <w:r w:rsidR="006976D4">
        <w:rPr>
          <w:rFonts w:ascii="Calibri" w:hAnsi="Calibri" w:cs="Arial"/>
          <w:color w:val="000000"/>
          <w:sz w:val="24"/>
          <w:szCs w:val="24"/>
        </w:rPr>
        <w:t xml:space="preserve"> (SVS) </w:t>
      </w:r>
    </w:p>
    <w:p w:rsidR="00BE174D" w:rsidRDefault="00BE174D" w:rsidP="00B8509A">
      <w:pPr>
        <w:ind w:left="630"/>
        <w:rPr>
          <w:rFonts w:ascii="Calibri" w:hAnsi="Calibri" w:cs="Arial"/>
          <w:color w:val="000000"/>
          <w:sz w:val="24"/>
          <w:szCs w:val="24"/>
        </w:rPr>
      </w:pP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t>(covers stalking victimization)</w:t>
      </w:r>
    </w:p>
    <w:p w:rsidR="006976D4" w:rsidRDefault="006976D4" w:rsidP="006976D4">
      <w:pPr>
        <w:ind w:left="2070" w:firstLine="90"/>
        <w:rPr>
          <w:rFonts w:ascii="Calibri" w:hAnsi="Calibri" w:cs="Arial"/>
          <w:color w:val="000000"/>
          <w:sz w:val="24"/>
          <w:szCs w:val="24"/>
        </w:rPr>
      </w:pPr>
      <w:r w:rsidRPr="0063748C">
        <w:rPr>
          <w:rFonts w:ascii="Calibri" w:hAnsi="Calibri" w:cs="Arial"/>
          <w:color w:val="000000"/>
          <w:sz w:val="24"/>
          <w:szCs w:val="24"/>
        </w:rPr>
        <w:t xml:space="preserve">January </w:t>
      </w:r>
      <w:r>
        <w:rPr>
          <w:rFonts w:ascii="Calibri" w:hAnsi="Calibri" w:cs="Arial"/>
          <w:color w:val="000000"/>
          <w:sz w:val="24"/>
          <w:szCs w:val="24"/>
        </w:rPr>
        <w:t>–</w:t>
      </w:r>
      <w:r w:rsidRPr="0063748C">
        <w:rPr>
          <w:rFonts w:ascii="Calibri" w:hAnsi="Calibri" w:cs="Arial"/>
          <w:color w:val="000000"/>
          <w:sz w:val="24"/>
          <w:szCs w:val="24"/>
        </w:rPr>
        <w:t xml:space="preserve"> June, 20</w:t>
      </w:r>
      <w:r>
        <w:rPr>
          <w:rFonts w:ascii="Calibri" w:hAnsi="Calibri" w:cs="Arial"/>
          <w:color w:val="000000"/>
          <w:sz w:val="24"/>
          <w:szCs w:val="24"/>
        </w:rPr>
        <w:t>20</w:t>
      </w:r>
      <w:r w:rsidRPr="0063748C">
        <w:rPr>
          <w:rFonts w:ascii="Calibri" w:hAnsi="Calibri" w:cs="Arial"/>
          <w:color w:val="000000"/>
          <w:sz w:val="24"/>
          <w:szCs w:val="24"/>
        </w:rPr>
        <w:tab/>
      </w:r>
      <w:r w:rsidRPr="0063748C">
        <w:rPr>
          <w:rFonts w:ascii="Calibri" w:hAnsi="Calibri" w:cs="Arial"/>
          <w:color w:val="000000"/>
          <w:sz w:val="24"/>
          <w:szCs w:val="24"/>
        </w:rPr>
        <w:tab/>
        <w:t>Identity Theft Supplement</w:t>
      </w:r>
      <w:r>
        <w:rPr>
          <w:rFonts w:ascii="Calibri" w:hAnsi="Calibri" w:cs="Arial"/>
          <w:color w:val="000000"/>
          <w:sz w:val="24"/>
          <w:szCs w:val="24"/>
        </w:rPr>
        <w:t xml:space="preserve"> (ITS)</w:t>
      </w:r>
    </w:p>
    <w:p w:rsidR="006976D4" w:rsidRPr="0063748C" w:rsidRDefault="006976D4" w:rsidP="006976D4">
      <w:pPr>
        <w:ind w:left="2070" w:firstLine="90"/>
        <w:rPr>
          <w:rFonts w:ascii="Calibri" w:hAnsi="Calibri" w:cs="Arial"/>
          <w:color w:val="000000"/>
          <w:sz w:val="24"/>
          <w:szCs w:val="24"/>
        </w:rPr>
      </w:pPr>
      <w:r>
        <w:rPr>
          <w:rFonts w:ascii="Calibri" w:hAnsi="Calibri" w:cs="Arial"/>
          <w:color w:val="000000"/>
          <w:sz w:val="24"/>
          <w:szCs w:val="24"/>
        </w:rPr>
        <w:t>July</w:t>
      </w:r>
      <w:r w:rsidRPr="0063748C">
        <w:rPr>
          <w:rFonts w:ascii="Calibri" w:hAnsi="Calibri" w:cs="Arial"/>
          <w:color w:val="000000"/>
          <w:sz w:val="24"/>
          <w:szCs w:val="24"/>
        </w:rPr>
        <w:t xml:space="preserve"> – </w:t>
      </w:r>
      <w:r>
        <w:rPr>
          <w:rFonts w:ascii="Calibri" w:hAnsi="Calibri" w:cs="Arial"/>
          <w:color w:val="000000"/>
          <w:sz w:val="24"/>
          <w:szCs w:val="24"/>
        </w:rPr>
        <w:t>December, 2020</w:t>
      </w:r>
      <w:r>
        <w:rPr>
          <w:rFonts w:ascii="Calibri" w:hAnsi="Calibri" w:cs="Arial"/>
          <w:color w:val="000000"/>
          <w:sz w:val="24"/>
          <w:szCs w:val="24"/>
        </w:rPr>
        <w:tab/>
      </w:r>
      <w:r w:rsidR="005A7D5B">
        <w:rPr>
          <w:rFonts w:ascii="Calibri" w:hAnsi="Calibri" w:cs="Arial"/>
          <w:color w:val="000000"/>
          <w:sz w:val="24"/>
          <w:szCs w:val="24"/>
        </w:rPr>
        <w:t xml:space="preserve">Supplemental Fraud Survey (SFS) </w:t>
      </w:r>
    </w:p>
    <w:p w:rsidR="00782AF9" w:rsidRDefault="00782AF9" w:rsidP="00B8509A">
      <w:pPr>
        <w:ind w:left="630"/>
        <w:rPr>
          <w:rFonts w:ascii="Calibri" w:hAnsi="Calibri" w:cs="Arial"/>
          <w:color w:val="000000"/>
          <w:sz w:val="24"/>
          <w:szCs w:val="24"/>
        </w:rPr>
      </w:pPr>
    </w:p>
    <w:p w:rsidR="00DA2CAF" w:rsidRPr="000000EB" w:rsidRDefault="00DA2CAF" w:rsidP="00B8509A">
      <w:pPr>
        <w:ind w:left="630"/>
        <w:rPr>
          <w:rFonts w:ascii="Calibri" w:hAnsi="Calibri" w:cs="Arial"/>
          <w:color w:val="000000"/>
          <w:sz w:val="24"/>
          <w:szCs w:val="24"/>
        </w:rPr>
      </w:pPr>
    </w:p>
    <w:p w:rsidR="0011394D" w:rsidRPr="000000EB" w:rsidRDefault="007E1EAD" w:rsidP="00B8509A">
      <w:pPr>
        <w:ind w:left="630"/>
        <w:rPr>
          <w:rFonts w:ascii="Calibri" w:hAnsi="Calibri" w:cs="Arial"/>
          <w:b/>
          <w:color w:val="000000"/>
          <w:sz w:val="24"/>
          <w:szCs w:val="24"/>
        </w:rPr>
      </w:pPr>
      <w:r>
        <w:rPr>
          <w:rFonts w:ascii="Calibri" w:hAnsi="Calibri" w:cs="Arial"/>
          <w:b/>
          <w:color w:val="000000"/>
          <w:sz w:val="24"/>
          <w:szCs w:val="24"/>
        </w:rPr>
        <w:t>Improved outreach and d</w:t>
      </w:r>
      <w:r w:rsidR="009A4D1A">
        <w:rPr>
          <w:rFonts w:ascii="Calibri" w:hAnsi="Calibri" w:cs="Arial"/>
          <w:b/>
          <w:color w:val="000000"/>
          <w:sz w:val="24"/>
          <w:szCs w:val="24"/>
        </w:rPr>
        <w:t>issemination of crime data</w:t>
      </w:r>
    </w:p>
    <w:p w:rsidR="00997D74" w:rsidRPr="000000EB" w:rsidRDefault="00997D74" w:rsidP="00B8509A">
      <w:pPr>
        <w:ind w:left="630"/>
        <w:rPr>
          <w:rFonts w:ascii="Calibri" w:hAnsi="Calibri" w:cs="Arial"/>
          <w:b/>
          <w:color w:val="000000"/>
          <w:sz w:val="24"/>
          <w:szCs w:val="24"/>
        </w:rPr>
      </w:pPr>
    </w:p>
    <w:p w:rsidR="00997D74" w:rsidRPr="000000EB" w:rsidRDefault="00997D74" w:rsidP="00B8509A">
      <w:pPr>
        <w:ind w:left="630"/>
        <w:rPr>
          <w:rFonts w:ascii="Calibri" w:hAnsi="Calibri" w:cs="Arial"/>
          <w:color w:val="000000"/>
          <w:sz w:val="24"/>
          <w:szCs w:val="24"/>
        </w:rPr>
      </w:pPr>
      <w:r w:rsidRPr="000000EB">
        <w:rPr>
          <w:rFonts w:ascii="Calibri" w:hAnsi="Calibri" w:cs="Arial"/>
          <w:color w:val="000000"/>
          <w:sz w:val="24"/>
          <w:szCs w:val="24"/>
        </w:rPr>
        <w:t xml:space="preserve">One of the </w:t>
      </w:r>
      <w:r w:rsidR="005B4203" w:rsidRPr="000000EB">
        <w:rPr>
          <w:rFonts w:ascii="Calibri" w:hAnsi="Calibri" w:cs="Arial"/>
          <w:color w:val="000000"/>
          <w:sz w:val="24"/>
          <w:szCs w:val="24"/>
        </w:rPr>
        <w:t>other major</w:t>
      </w:r>
      <w:r w:rsidRPr="000000EB">
        <w:rPr>
          <w:rFonts w:ascii="Calibri" w:hAnsi="Calibri" w:cs="Arial"/>
          <w:color w:val="000000"/>
          <w:sz w:val="24"/>
          <w:szCs w:val="24"/>
        </w:rPr>
        <w:t xml:space="preserve"> goals for th</w:t>
      </w:r>
      <w:r w:rsidR="00FF5B28">
        <w:rPr>
          <w:rFonts w:ascii="Calibri" w:hAnsi="Calibri" w:cs="Arial"/>
          <w:color w:val="000000"/>
          <w:sz w:val="24"/>
          <w:szCs w:val="24"/>
        </w:rPr>
        <w:t>e NCVS in 201</w:t>
      </w:r>
      <w:r w:rsidR="00196331">
        <w:rPr>
          <w:rFonts w:ascii="Calibri" w:hAnsi="Calibri" w:cs="Arial"/>
          <w:color w:val="000000"/>
          <w:sz w:val="24"/>
          <w:szCs w:val="24"/>
        </w:rPr>
        <w:t>8</w:t>
      </w:r>
      <w:r w:rsidR="00FF5B28">
        <w:rPr>
          <w:rFonts w:ascii="Calibri" w:hAnsi="Calibri" w:cs="Arial"/>
          <w:color w:val="000000"/>
          <w:sz w:val="24"/>
          <w:szCs w:val="24"/>
        </w:rPr>
        <w:t xml:space="preserve"> through 20</w:t>
      </w:r>
      <w:r w:rsidR="00196331">
        <w:rPr>
          <w:rFonts w:ascii="Calibri" w:hAnsi="Calibri" w:cs="Arial"/>
          <w:color w:val="000000"/>
          <w:sz w:val="24"/>
          <w:szCs w:val="24"/>
        </w:rPr>
        <w:t>2</w:t>
      </w:r>
      <w:r w:rsidR="00465802">
        <w:rPr>
          <w:rFonts w:ascii="Calibri" w:hAnsi="Calibri" w:cs="Arial"/>
          <w:color w:val="000000"/>
          <w:sz w:val="24"/>
          <w:szCs w:val="24"/>
        </w:rPr>
        <w:t>1</w:t>
      </w:r>
      <w:r w:rsidRPr="000000EB">
        <w:rPr>
          <w:rFonts w:ascii="Calibri" w:hAnsi="Calibri" w:cs="Arial"/>
          <w:color w:val="000000"/>
          <w:sz w:val="24"/>
          <w:szCs w:val="24"/>
        </w:rPr>
        <w:t xml:space="preserve"> is improved outreach and </w:t>
      </w:r>
      <w:r w:rsidR="00670701">
        <w:rPr>
          <w:rFonts w:ascii="Calibri" w:hAnsi="Calibri" w:cs="Arial"/>
          <w:color w:val="000000"/>
          <w:sz w:val="24"/>
          <w:szCs w:val="24"/>
        </w:rPr>
        <w:t xml:space="preserve">data </w:t>
      </w:r>
      <w:r w:rsidRPr="000000EB">
        <w:rPr>
          <w:rFonts w:ascii="Calibri" w:hAnsi="Calibri" w:cs="Arial"/>
          <w:color w:val="000000"/>
          <w:sz w:val="24"/>
          <w:szCs w:val="24"/>
        </w:rPr>
        <w:t xml:space="preserve">accessibility. </w:t>
      </w:r>
      <w:r w:rsidR="00710C0C" w:rsidRPr="000000EB">
        <w:rPr>
          <w:rFonts w:ascii="Calibri" w:hAnsi="Calibri" w:cs="Arial"/>
          <w:color w:val="000000"/>
          <w:sz w:val="24"/>
          <w:szCs w:val="24"/>
        </w:rPr>
        <w:t xml:space="preserve">Beginning in 2012, BJS began providing wider access to NCVS statistics though an on-line data analysis tool, the National Victimization Analysis Tool (NVAT). </w:t>
      </w:r>
      <w:r w:rsidR="00FD505C" w:rsidRPr="000000EB">
        <w:rPr>
          <w:rFonts w:ascii="Calibri" w:hAnsi="Calibri" w:cs="Arial"/>
          <w:color w:val="000000"/>
          <w:sz w:val="24"/>
          <w:szCs w:val="24"/>
        </w:rPr>
        <w:t xml:space="preserve">The NVAT is now a component of the NCVS </w:t>
      </w:r>
      <w:r w:rsidR="00E91199">
        <w:rPr>
          <w:rFonts w:ascii="Calibri" w:hAnsi="Calibri" w:cs="Arial"/>
          <w:color w:val="000000"/>
          <w:sz w:val="24"/>
          <w:szCs w:val="24"/>
        </w:rPr>
        <w:t xml:space="preserve">project </w:t>
      </w:r>
      <w:r w:rsidR="00FD505C" w:rsidRPr="000000EB">
        <w:rPr>
          <w:rFonts w:ascii="Calibri" w:hAnsi="Calibri" w:cs="Arial"/>
          <w:color w:val="000000"/>
          <w:sz w:val="24"/>
          <w:szCs w:val="24"/>
        </w:rPr>
        <w:t xml:space="preserve">that </w:t>
      </w:r>
      <w:r w:rsidR="00710C0C" w:rsidRPr="000000EB">
        <w:rPr>
          <w:rFonts w:ascii="Calibri" w:hAnsi="Calibri" w:cs="Arial"/>
          <w:color w:val="000000"/>
          <w:sz w:val="24"/>
          <w:szCs w:val="24"/>
        </w:rPr>
        <w:t xml:space="preserve">allows users to examine NCVS data and generate tables on violent and property victimization by select victim, household, and incident characteristics. The NVAT data </w:t>
      </w:r>
      <w:r w:rsidR="00196331">
        <w:rPr>
          <w:rFonts w:ascii="Calibri" w:hAnsi="Calibri" w:cs="Arial"/>
          <w:color w:val="000000"/>
          <w:sz w:val="24"/>
          <w:szCs w:val="24"/>
        </w:rPr>
        <w:t>is</w:t>
      </w:r>
      <w:r w:rsidR="00710C0C" w:rsidRPr="000000EB">
        <w:rPr>
          <w:rFonts w:ascii="Calibri" w:hAnsi="Calibri" w:cs="Arial"/>
          <w:color w:val="000000"/>
          <w:sz w:val="24"/>
          <w:szCs w:val="24"/>
        </w:rPr>
        <w:t xml:space="preserve"> updated annually and BJS will continue to improve upon the performance and capabilities of the tool and ex</w:t>
      </w:r>
      <w:r w:rsidR="00EC63F5" w:rsidRPr="000000EB">
        <w:rPr>
          <w:rFonts w:ascii="Calibri" w:hAnsi="Calibri" w:cs="Arial"/>
          <w:color w:val="000000"/>
          <w:sz w:val="24"/>
          <w:szCs w:val="24"/>
        </w:rPr>
        <w:t>pand on the available variables</w:t>
      </w:r>
      <w:r w:rsidR="00BE174D">
        <w:rPr>
          <w:rFonts w:ascii="Calibri" w:hAnsi="Calibri" w:cs="Arial"/>
          <w:color w:val="000000"/>
          <w:sz w:val="24"/>
          <w:szCs w:val="24"/>
        </w:rPr>
        <w:t xml:space="preserve"> (</w:t>
      </w:r>
      <w:r w:rsidR="00BE174D" w:rsidRPr="00BE174D">
        <w:rPr>
          <w:rFonts w:ascii="Calibri" w:hAnsi="Calibri" w:cs="Arial"/>
          <w:color w:val="000000"/>
          <w:sz w:val="24"/>
          <w:szCs w:val="24"/>
        </w:rPr>
        <w:t>https://www.bjs.gov/index.cfm?ty=nvat</w:t>
      </w:r>
      <w:r w:rsidR="00BE174D">
        <w:rPr>
          <w:rFonts w:ascii="Calibri" w:hAnsi="Calibri" w:cs="Arial"/>
          <w:color w:val="000000"/>
          <w:sz w:val="24"/>
          <w:szCs w:val="24"/>
        </w:rPr>
        <w:t>)</w:t>
      </w:r>
      <w:r w:rsidR="00EC63F5" w:rsidRPr="000000EB">
        <w:rPr>
          <w:rFonts w:ascii="Calibri" w:hAnsi="Calibri" w:cs="Arial"/>
          <w:color w:val="000000"/>
          <w:sz w:val="24"/>
          <w:szCs w:val="24"/>
        </w:rPr>
        <w:t xml:space="preserve">. </w:t>
      </w:r>
      <w:r w:rsidR="009E6E82">
        <w:rPr>
          <w:rFonts w:ascii="Calibri" w:hAnsi="Calibri" w:cs="Arial"/>
          <w:color w:val="000000"/>
          <w:sz w:val="24"/>
          <w:szCs w:val="24"/>
        </w:rPr>
        <w:t xml:space="preserve">Additionally, BJS and the Census Bureau are continuing to work on adding </w:t>
      </w:r>
      <w:r w:rsidR="00722731">
        <w:rPr>
          <w:rFonts w:ascii="Calibri" w:hAnsi="Calibri" w:cs="Arial"/>
          <w:color w:val="000000"/>
          <w:sz w:val="24"/>
          <w:szCs w:val="24"/>
        </w:rPr>
        <w:t xml:space="preserve">historic </w:t>
      </w:r>
      <w:r w:rsidR="009E6E82">
        <w:rPr>
          <w:rFonts w:ascii="Calibri" w:hAnsi="Calibri" w:cs="Arial"/>
          <w:color w:val="000000"/>
          <w:sz w:val="24"/>
          <w:szCs w:val="24"/>
        </w:rPr>
        <w:t xml:space="preserve">NCVS data files going back to </w:t>
      </w:r>
      <w:r w:rsidR="00722731">
        <w:rPr>
          <w:rFonts w:ascii="Calibri" w:hAnsi="Calibri" w:cs="Arial"/>
          <w:color w:val="000000"/>
          <w:sz w:val="24"/>
          <w:szCs w:val="24"/>
        </w:rPr>
        <w:t xml:space="preserve">the Federal Statistical </w:t>
      </w:r>
      <w:r w:rsidR="009E6E82">
        <w:rPr>
          <w:rFonts w:ascii="Calibri" w:hAnsi="Calibri" w:cs="Arial"/>
          <w:color w:val="000000"/>
          <w:sz w:val="24"/>
          <w:szCs w:val="24"/>
        </w:rPr>
        <w:t>Research Data Centers (</w:t>
      </w:r>
      <w:r w:rsidR="00722731">
        <w:rPr>
          <w:rFonts w:ascii="Calibri" w:hAnsi="Calibri" w:cs="Arial"/>
          <w:color w:val="000000"/>
          <w:sz w:val="24"/>
          <w:szCs w:val="24"/>
        </w:rPr>
        <w:t>FS</w:t>
      </w:r>
      <w:r w:rsidR="009E6E82">
        <w:rPr>
          <w:rFonts w:ascii="Calibri" w:hAnsi="Calibri" w:cs="Arial"/>
          <w:color w:val="000000"/>
          <w:sz w:val="24"/>
          <w:szCs w:val="24"/>
        </w:rPr>
        <w:t xml:space="preserve">RDCs). The </w:t>
      </w:r>
      <w:r w:rsidR="00722731">
        <w:rPr>
          <w:rFonts w:ascii="Calibri" w:hAnsi="Calibri" w:cs="Arial"/>
          <w:color w:val="000000"/>
          <w:sz w:val="24"/>
          <w:szCs w:val="24"/>
        </w:rPr>
        <w:t>FS</w:t>
      </w:r>
      <w:r w:rsidR="009E6E82">
        <w:rPr>
          <w:rFonts w:ascii="Calibri" w:hAnsi="Calibri" w:cs="Arial"/>
          <w:color w:val="000000"/>
          <w:sz w:val="24"/>
          <w:szCs w:val="24"/>
        </w:rPr>
        <w:t xml:space="preserve">RDCs currently house </w:t>
      </w:r>
      <w:r w:rsidR="00BE174D">
        <w:rPr>
          <w:rFonts w:ascii="Calibri" w:hAnsi="Calibri" w:cs="Arial"/>
          <w:color w:val="000000"/>
          <w:sz w:val="24"/>
          <w:szCs w:val="24"/>
        </w:rPr>
        <w:t xml:space="preserve">data from the </w:t>
      </w:r>
      <w:r w:rsidR="009E6E82">
        <w:rPr>
          <w:rFonts w:ascii="Calibri" w:hAnsi="Calibri" w:cs="Arial"/>
          <w:color w:val="000000"/>
          <w:sz w:val="24"/>
          <w:szCs w:val="24"/>
        </w:rPr>
        <w:t>NCVS</w:t>
      </w:r>
      <w:r w:rsidR="00722731">
        <w:rPr>
          <w:rFonts w:ascii="Calibri" w:hAnsi="Calibri" w:cs="Arial"/>
          <w:color w:val="000000"/>
          <w:sz w:val="24"/>
          <w:szCs w:val="24"/>
        </w:rPr>
        <w:t xml:space="preserve"> core</w:t>
      </w:r>
      <w:r w:rsidR="009E6E82">
        <w:rPr>
          <w:rFonts w:ascii="Calibri" w:hAnsi="Calibri" w:cs="Arial"/>
          <w:color w:val="000000"/>
          <w:sz w:val="24"/>
          <w:szCs w:val="24"/>
        </w:rPr>
        <w:t xml:space="preserve"> </w:t>
      </w:r>
      <w:r w:rsidR="00A14A0D">
        <w:rPr>
          <w:rFonts w:ascii="Calibri" w:hAnsi="Calibri" w:cs="Arial"/>
          <w:color w:val="000000"/>
          <w:sz w:val="24"/>
          <w:szCs w:val="24"/>
        </w:rPr>
        <w:t>survey</w:t>
      </w:r>
      <w:r w:rsidR="00BE174D">
        <w:rPr>
          <w:rFonts w:ascii="Calibri" w:hAnsi="Calibri" w:cs="Arial"/>
          <w:color w:val="000000"/>
          <w:sz w:val="24"/>
          <w:szCs w:val="24"/>
        </w:rPr>
        <w:t xml:space="preserve"> </w:t>
      </w:r>
      <w:r w:rsidR="009E6E82">
        <w:rPr>
          <w:rFonts w:ascii="Calibri" w:hAnsi="Calibri" w:cs="Arial"/>
          <w:color w:val="000000"/>
          <w:sz w:val="24"/>
          <w:szCs w:val="24"/>
        </w:rPr>
        <w:t>from 2006 to 201</w:t>
      </w:r>
      <w:r w:rsidR="00B9034B">
        <w:rPr>
          <w:rFonts w:ascii="Calibri" w:hAnsi="Calibri" w:cs="Arial"/>
          <w:color w:val="000000"/>
          <w:sz w:val="24"/>
          <w:szCs w:val="24"/>
        </w:rPr>
        <w:t>6</w:t>
      </w:r>
      <w:r w:rsidR="009E6E82">
        <w:rPr>
          <w:rFonts w:ascii="Calibri" w:hAnsi="Calibri" w:cs="Arial"/>
          <w:color w:val="000000"/>
          <w:sz w:val="24"/>
          <w:szCs w:val="24"/>
        </w:rPr>
        <w:t>. This allows researchers who submit a justifiable proposal to access the geo-identified, restricted-use NCVS data files.</w:t>
      </w:r>
    </w:p>
    <w:p w:rsidR="008E4126" w:rsidRPr="000000EB" w:rsidRDefault="008E4126" w:rsidP="00B8509A">
      <w:pPr>
        <w:ind w:left="630"/>
        <w:rPr>
          <w:rFonts w:ascii="Calibri" w:hAnsi="Calibri" w:cs="Arial"/>
          <w:color w:val="000000"/>
          <w:sz w:val="24"/>
          <w:szCs w:val="24"/>
        </w:rPr>
      </w:pPr>
      <w:r w:rsidRPr="000000EB">
        <w:rPr>
          <w:rFonts w:ascii="Calibri" w:hAnsi="Calibri" w:cs="Arial"/>
          <w:color w:val="000000"/>
          <w:sz w:val="24"/>
          <w:szCs w:val="24"/>
        </w:rPr>
        <w:t xml:space="preserve"> </w:t>
      </w:r>
    </w:p>
    <w:p w:rsidR="006E74C8" w:rsidRPr="000000EB" w:rsidRDefault="00FF5B28" w:rsidP="00B8509A">
      <w:pPr>
        <w:ind w:left="630"/>
        <w:rPr>
          <w:rFonts w:ascii="Calibri" w:hAnsi="Calibri" w:cs="Arial"/>
          <w:color w:val="000000"/>
          <w:sz w:val="24"/>
          <w:szCs w:val="24"/>
        </w:rPr>
      </w:pPr>
      <w:r>
        <w:rPr>
          <w:rFonts w:ascii="Calibri" w:hAnsi="Calibri" w:cs="Arial"/>
          <w:color w:val="000000"/>
          <w:sz w:val="24"/>
          <w:szCs w:val="24"/>
        </w:rPr>
        <w:t>From 201</w:t>
      </w:r>
      <w:r w:rsidR="002971D8">
        <w:rPr>
          <w:rFonts w:ascii="Calibri" w:hAnsi="Calibri" w:cs="Arial"/>
          <w:color w:val="000000"/>
          <w:sz w:val="24"/>
          <w:szCs w:val="24"/>
        </w:rPr>
        <w:t>8</w:t>
      </w:r>
      <w:r>
        <w:rPr>
          <w:rFonts w:ascii="Calibri" w:hAnsi="Calibri" w:cs="Arial"/>
          <w:color w:val="000000"/>
          <w:sz w:val="24"/>
          <w:szCs w:val="24"/>
        </w:rPr>
        <w:t xml:space="preserve"> through 20</w:t>
      </w:r>
      <w:r w:rsidR="002971D8">
        <w:rPr>
          <w:rFonts w:ascii="Calibri" w:hAnsi="Calibri" w:cs="Arial"/>
          <w:color w:val="000000"/>
          <w:sz w:val="24"/>
          <w:szCs w:val="24"/>
        </w:rPr>
        <w:t>2</w:t>
      </w:r>
      <w:r w:rsidR="005C6E5E">
        <w:rPr>
          <w:rFonts w:ascii="Calibri" w:hAnsi="Calibri" w:cs="Arial"/>
          <w:color w:val="000000"/>
          <w:sz w:val="24"/>
          <w:szCs w:val="24"/>
        </w:rPr>
        <w:t>1</w:t>
      </w:r>
      <w:r w:rsidR="00F87F2B" w:rsidRPr="000000EB">
        <w:rPr>
          <w:rFonts w:ascii="Calibri" w:hAnsi="Calibri" w:cs="Arial"/>
          <w:color w:val="000000"/>
          <w:sz w:val="24"/>
          <w:szCs w:val="24"/>
        </w:rPr>
        <w:t xml:space="preserve">, BJS statisticians will </w:t>
      </w:r>
      <w:r w:rsidR="00196331">
        <w:rPr>
          <w:rFonts w:ascii="Calibri" w:hAnsi="Calibri" w:cs="Arial"/>
          <w:color w:val="000000"/>
          <w:sz w:val="24"/>
          <w:szCs w:val="24"/>
        </w:rPr>
        <w:t xml:space="preserve">also </w:t>
      </w:r>
      <w:r w:rsidR="00F87F2B" w:rsidRPr="000000EB">
        <w:rPr>
          <w:rFonts w:ascii="Calibri" w:hAnsi="Calibri" w:cs="Arial"/>
          <w:color w:val="000000"/>
          <w:sz w:val="24"/>
          <w:szCs w:val="24"/>
        </w:rPr>
        <w:t>use</w:t>
      </w:r>
      <w:r w:rsidR="00EC63F5" w:rsidRPr="000000EB">
        <w:rPr>
          <w:rFonts w:ascii="Calibri" w:hAnsi="Calibri" w:cs="Arial"/>
          <w:color w:val="000000"/>
          <w:sz w:val="24"/>
          <w:szCs w:val="24"/>
        </w:rPr>
        <w:t xml:space="preserve"> </w:t>
      </w:r>
      <w:r w:rsidR="00F87F2B" w:rsidRPr="000000EB">
        <w:rPr>
          <w:rFonts w:ascii="Calibri" w:hAnsi="Calibri" w:cs="Arial"/>
          <w:color w:val="000000"/>
          <w:sz w:val="24"/>
          <w:szCs w:val="24"/>
        </w:rPr>
        <w:t>NCVS data to produce a number of timely and relevant reports</w:t>
      </w:r>
      <w:r w:rsidR="000E1F85" w:rsidRPr="000000EB">
        <w:rPr>
          <w:rFonts w:ascii="Calibri" w:hAnsi="Calibri" w:cs="Arial"/>
          <w:color w:val="000000"/>
          <w:sz w:val="24"/>
          <w:szCs w:val="24"/>
        </w:rPr>
        <w:t xml:space="preserve"> and products</w:t>
      </w:r>
      <w:r w:rsidR="00F87F2B" w:rsidRPr="000000EB">
        <w:rPr>
          <w:rFonts w:ascii="Calibri" w:hAnsi="Calibri" w:cs="Arial"/>
          <w:color w:val="000000"/>
          <w:sz w:val="24"/>
          <w:szCs w:val="24"/>
        </w:rPr>
        <w:t xml:space="preserve">. </w:t>
      </w:r>
      <w:r w:rsidR="00FD505C" w:rsidRPr="000000EB">
        <w:rPr>
          <w:rFonts w:ascii="Calibri" w:hAnsi="Calibri" w:cs="Arial"/>
          <w:color w:val="000000"/>
          <w:sz w:val="24"/>
          <w:szCs w:val="24"/>
        </w:rPr>
        <w:t xml:space="preserve">These reports are </w:t>
      </w:r>
      <w:r w:rsidR="00E76B0B">
        <w:rPr>
          <w:rFonts w:ascii="Calibri" w:hAnsi="Calibri" w:cs="Arial"/>
          <w:color w:val="000000"/>
          <w:sz w:val="24"/>
          <w:szCs w:val="24"/>
        </w:rPr>
        <w:t xml:space="preserve">relevant </w:t>
      </w:r>
      <w:r w:rsidR="00FD505C" w:rsidRPr="000000EB">
        <w:rPr>
          <w:rFonts w:ascii="Calibri" w:hAnsi="Calibri" w:cs="Arial"/>
          <w:color w:val="000000"/>
          <w:sz w:val="24"/>
          <w:szCs w:val="24"/>
        </w:rPr>
        <w:t xml:space="preserve">to the priorities of the Department of Justice and the Office of Justice Programs, expressed needs and interests of other government agencies and the criminal justice community, current events, and methods for improving the usability and reliability of the NCVS, including research related to redesign projects. They are widely disseminated through the BJS website, the National Criminal Justice Reference Service, the BJS JUSTSTATS listserv, which has about </w:t>
      </w:r>
      <w:r w:rsidR="00E91199">
        <w:rPr>
          <w:rFonts w:ascii="Calibri" w:hAnsi="Calibri" w:cs="Arial"/>
          <w:color w:val="000000"/>
          <w:sz w:val="24"/>
          <w:szCs w:val="24"/>
        </w:rPr>
        <w:t>6</w:t>
      </w:r>
      <w:r w:rsidR="00FD505C" w:rsidRPr="00E91199">
        <w:rPr>
          <w:rFonts w:ascii="Calibri" w:hAnsi="Calibri" w:cs="Arial"/>
          <w:color w:val="000000"/>
          <w:sz w:val="24"/>
          <w:szCs w:val="24"/>
        </w:rPr>
        <w:t>,</w:t>
      </w:r>
      <w:r w:rsidR="00E91199">
        <w:rPr>
          <w:rFonts w:ascii="Calibri" w:hAnsi="Calibri" w:cs="Arial"/>
          <w:color w:val="000000"/>
          <w:sz w:val="24"/>
          <w:szCs w:val="24"/>
        </w:rPr>
        <w:t>1</w:t>
      </w:r>
      <w:r w:rsidR="00FD505C" w:rsidRPr="00E91199">
        <w:rPr>
          <w:rFonts w:ascii="Calibri" w:hAnsi="Calibri" w:cs="Arial"/>
          <w:color w:val="000000"/>
          <w:sz w:val="24"/>
          <w:szCs w:val="24"/>
        </w:rPr>
        <w:t>00 members</w:t>
      </w:r>
      <w:r w:rsidR="00FD505C" w:rsidRPr="000000EB">
        <w:rPr>
          <w:rFonts w:ascii="Calibri" w:hAnsi="Calibri" w:cs="Arial"/>
          <w:color w:val="000000"/>
          <w:sz w:val="24"/>
          <w:szCs w:val="24"/>
        </w:rPr>
        <w:t>, and press releases circulated to the Associated Press and other major news sources. They also demonstrate the breadth of information collected through the NCVS, covering topics that stem from the design of the instrument and relate to each of the major sections of the survey instrument</w:t>
      </w:r>
      <w:r w:rsidR="00722731">
        <w:rPr>
          <w:rFonts w:ascii="Calibri" w:hAnsi="Calibri" w:cs="Arial"/>
          <w:color w:val="000000"/>
          <w:sz w:val="24"/>
          <w:szCs w:val="24"/>
        </w:rPr>
        <w:t xml:space="preserve">. </w:t>
      </w:r>
      <w:r w:rsidR="00FD505C" w:rsidRPr="000000EB">
        <w:rPr>
          <w:rFonts w:ascii="Calibri" w:hAnsi="Calibri" w:cs="Arial"/>
          <w:color w:val="000000"/>
          <w:sz w:val="24"/>
          <w:szCs w:val="24"/>
        </w:rPr>
        <w:t xml:space="preserve">Examples of </w:t>
      </w:r>
      <w:r w:rsidR="00F969B4">
        <w:rPr>
          <w:rFonts w:ascii="Calibri" w:hAnsi="Calibri" w:cs="Arial"/>
          <w:color w:val="000000"/>
          <w:sz w:val="24"/>
          <w:szCs w:val="24"/>
        </w:rPr>
        <w:t xml:space="preserve">recent and </w:t>
      </w:r>
      <w:r w:rsidR="00FD505C" w:rsidRPr="000000EB">
        <w:rPr>
          <w:rFonts w:ascii="Calibri" w:hAnsi="Calibri" w:cs="Arial"/>
          <w:color w:val="000000"/>
          <w:sz w:val="24"/>
          <w:szCs w:val="24"/>
        </w:rPr>
        <w:t xml:space="preserve">planned topical reports and products by each section of the NCVS include: </w:t>
      </w:r>
    </w:p>
    <w:p w:rsidR="00EB1289" w:rsidRPr="000000EB" w:rsidRDefault="00EB1289" w:rsidP="00B8509A">
      <w:pPr>
        <w:ind w:left="630"/>
        <w:rPr>
          <w:rFonts w:ascii="Calibri" w:hAnsi="Calibri" w:cs="Arial"/>
          <w:color w:val="000000"/>
          <w:sz w:val="24"/>
          <w:szCs w:val="24"/>
        </w:rPr>
      </w:pPr>
    </w:p>
    <w:p w:rsidR="006E74C8" w:rsidRDefault="006E74C8" w:rsidP="00B8509A">
      <w:pPr>
        <w:ind w:left="630"/>
        <w:rPr>
          <w:rFonts w:ascii="Calibri" w:hAnsi="Calibri" w:cs="Arial"/>
          <w:b/>
          <w:i/>
          <w:color w:val="000000"/>
          <w:sz w:val="24"/>
          <w:szCs w:val="24"/>
        </w:rPr>
      </w:pPr>
      <w:r w:rsidRPr="000000EB">
        <w:rPr>
          <w:rFonts w:ascii="Calibri" w:hAnsi="Calibri" w:cs="Arial"/>
          <w:b/>
          <w:i/>
          <w:color w:val="000000"/>
          <w:sz w:val="24"/>
          <w:szCs w:val="24"/>
        </w:rPr>
        <w:t>Topical</w:t>
      </w:r>
      <w:r w:rsidR="00637729" w:rsidRPr="000000EB">
        <w:rPr>
          <w:rFonts w:ascii="Calibri" w:hAnsi="Calibri" w:cs="Arial"/>
          <w:b/>
          <w:i/>
          <w:color w:val="000000"/>
          <w:sz w:val="24"/>
          <w:szCs w:val="24"/>
        </w:rPr>
        <w:t xml:space="preserve"> Reports</w:t>
      </w:r>
    </w:p>
    <w:p w:rsidR="00FD505C" w:rsidRPr="000000EB" w:rsidRDefault="00FD505C" w:rsidP="00B8509A">
      <w:pPr>
        <w:numPr>
          <w:ilvl w:val="0"/>
          <w:numId w:val="31"/>
        </w:numPr>
        <w:rPr>
          <w:rFonts w:ascii="Calibri" w:hAnsi="Calibri" w:cs="Arial"/>
          <w:b/>
          <w:color w:val="000000"/>
          <w:sz w:val="24"/>
          <w:szCs w:val="24"/>
          <w:u w:val="single"/>
        </w:rPr>
      </w:pPr>
      <w:r w:rsidRPr="000000EB">
        <w:rPr>
          <w:rFonts w:ascii="Calibri" w:hAnsi="Calibri" w:cs="Arial"/>
          <w:b/>
          <w:color w:val="000000"/>
          <w:sz w:val="24"/>
          <w:szCs w:val="24"/>
          <w:u w:val="single"/>
        </w:rPr>
        <w:t>Enumeration of crime rates</w:t>
      </w:r>
    </w:p>
    <w:p w:rsidR="00F10DAF" w:rsidRPr="000000EB" w:rsidRDefault="00EB1289" w:rsidP="00B8509A">
      <w:pPr>
        <w:numPr>
          <w:ilvl w:val="0"/>
          <w:numId w:val="23"/>
        </w:numPr>
        <w:rPr>
          <w:rFonts w:ascii="Calibri" w:hAnsi="Calibri" w:cs="Arial"/>
          <w:color w:val="000000"/>
          <w:sz w:val="24"/>
          <w:szCs w:val="24"/>
        </w:rPr>
      </w:pPr>
      <w:r>
        <w:rPr>
          <w:rFonts w:ascii="Calibri" w:hAnsi="Calibri" w:cs="Arial"/>
          <w:i/>
          <w:color w:val="000000"/>
          <w:sz w:val="24"/>
          <w:szCs w:val="24"/>
        </w:rPr>
        <w:t xml:space="preserve">Criminal Victimization </w:t>
      </w:r>
      <w:r>
        <w:rPr>
          <w:rFonts w:ascii="Calibri" w:hAnsi="Calibri" w:cs="Arial"/>
          <w:color w:val="000000"/>
          <w:sz w:val="24"/>
          <w:szCs w:val="24"/>
        </w:rPr>
        <w:t>–</w:t>
      </w:r>
      <w:r w:rsidR="00F10DAF" w:rsidRPr="000000EB">
        <w:rPr>
          <w:rFonts w:ascii="Calibri" w:hAnsi="Calibri" w:cs="Arial"/>
          <w:i/>
          <w:color w:val="000000"/>
          <w:sz w:val="24"/>
          <w:szCs w:val="24"/>
        </w:rPr>
        <w:t xml:space="preserve"> </w:t>
      </w:r>
      <w:r w:rsidR="00E76B0B">
        <w:rPr>
          <w:rFonts w:ascii="Calibri" w:hAnsi="Calibri" w:cs="Arial"/>
          <w:color w:val="000000"/>
          <w:sz w:val="24"/>
          <w:szCs w:val="24"/>
        </w:rPr>
        <w:t>Annual reports that p</w:t>
      </w:r>
      <w:r w:rsidR="00F10DAF" w:rsidRPr="000000EB">
        <w:rPr>
          <w:rFonts w:ascii="Calibri" w:hAnsi="Calibri" w:cs="Arial"/>
          <w:color w:val="000000"/>
          <w:sz w:val="24"/>
          <w:szCs w:val="24"/>
        </w:rPr>
        <w:t xml:space="preserve">resent estimates of rates and levels of violent and property crime victimization in the U.S. </w:t>
      </w:r>
    </w:p>
    <w:p w:rsidR="00F10DAF" w:rsidRPr="000000EB" w:rsidRDefault="00F10DAF" w:rsidP="004D24A6">
      <w:pPr>
        <w:ind w:left="1350"/>
        <w:rPr>
          <w:rFonts w:ascii="Calibri" w:hAnsi="Calibri" w:cs="Arial"/>
          <w:color w:val="000000"/>
          <w:sz w:val="24"/>
          <w:szCs w:val="24"/>
        </w:rPr>
      </w:pPr>
      <w:r w:rsidRPr="000000EB">
        <w:rPr>
          <w:rFonts w:ascii="Calibri" w:hAnsi="Calibri" w:cs="Arial"/>
          <w:color w:val="000000"/>
          <w:sz w:val="24"/>
          <w:szCs w:val="24"/>
        </w:rPr>
        <w:t>(</w:t>
      </w:r>
      <w:hyperlink r:id="rId16" w:history="1">
        <w:r w:rsidR="00EB1289" w:rsidRPr="000A6A3B">
          <w:rPr>
            <w:rStyle w:val="Hyperlink"/>
            <w:rFonts w:asciiTheme="minorHAnsi" w:hAnsiTheme="minorHAnsi"/>
            <w:sz w:val="24"/>
          </w:rPr>
          <w:t>https://www.bjs.gov/content/pub/pdf/cv16.pdf</w:t>
        </w:r>
      </w:hyperlink>
      <w:r w:rsidRPr="000000EB">
        <w:rPr>
          <w:rFonts w:ascii="Calibri" w:hAnsi="Calibri" w:cs="Arial"/>
          <w:color w:val="000000"/>
          <w:sz w:val="24"/>
          <w:szCs w:val="24"/>
        </w:rPr>
        <w:t>)</w:t>
      </w:r>
      <w:r w:rsidR="00CF2100">
        <w:rPr>
          <w:rFonts w:ascii="Calibri" w:hAnsi="Calibri" w:cs="Arial"/>
          <w:color w:val="000000"/>
          <w:sz w:val="24"/>
          <w:szCs w:val="24"/>
        </w:rPr>
        <w:t>. Last published 2017.</w:t>
      </w:r>
      <w:r w:rsidR="00EB1289">
        <w:rPr>
          <w:rFonts w:ascii="Calibri" w:hAnsi="Calibri" w:cs="Arial"/>
          <w:color w:val="000000"/>
          <w:sz w:val="24"/>
          <w:szCs w:val="24"/>
        </w:rPr>
        <w:t xml:space="preserve"> </w:t>
      </w:r>
    </w:p>
    <w:p w:rsidR="00F10DAF" w:rsidRPr="000000EB" w:rsidRDefault="00F10DAF" w:rsidP="00B8509A">
      <w:pPr>
        <w:numPr>
          <w:ilvl w:val="0"/>
          <w:numId w:val="23"/>
        </w:numPr>
        <w:rPr>
          <w:rFonts w:ascii="Calibri" w:hAnsi="Calibri" w:cs="Arial"/>
          <w:i/>
          <w:color w:val="000000"/>
          <w:sz w:val="24"/>
          <w:szCs w:val="24"/>
        </w:rPr>
      </w:pPr>
      <w:r w:rsidRPr="000000EB">
        <w:rPr>
          <w:rFonts w:ascii="Calibri" w:hAnsi="Calibri" w:cs="Arial"/>
          <w:i/>
          <w:color w:val="000000"/>
          <w:sz w:val="24"/>
          <w:szCs w:val="24"/>
        </w:rPr>
        <w:t>NCVS Victimization Analysis Tool (NVAT)</w:t>
      </w:r>
      <w:r w:rsidR="00EB1289">
        <w:rPr>
          <w:rFonts w:ascii="Calibri" w:hAnsi="Calibri" w:cs="Arial"/>
          <w:i/>
          <w:color w:val="000000"/>
          <w:sz w:val="24"/>
          <w:szCs w:val="24"/>
        </w:rPr>
        <w:t xml:space="preserve"> </w:t>
      </w:r>
      <w:r w:rsidR="00EB1289">
        <w:rPr>
          <w:rFonts w:ascii="Calibri" w:hAnsi="Calibri" w:cs="Arial"/>
          <w:color w:val="000000"/>
          <w:sz w:val="24"/>
          <w:szCs w:val="24"/>
        </w:rPr>
        <w:t>–</w:t>
      </w:r>
      <w:r w:rsidRPr="000000EB">
        <w:rPr>
          <w:rFonts w:ascii="Calibri" w:hAnsi="Calibri" w:cs="Arial"/>
          <w:i/>
          <w:color w:val="000000"/>
          <w:sz w:val="24"/>
          <w:szCs w:val="24"/>
        </w:rPr>
        <w:t xml:space="preserve"> </w:t>
      </w:r>
      <w:r w:rsidRPr="000000EB">
        <w:rPr>
          <w:rFonts w:ascii="Calibri" w:hAnsi="Calibri" w:cs="Arial"/>
          <w:color w:val="000000"/>
          <w:sz w:val="24"/>
          <w:szCs w:val="24"/>
        </w:rPr>
        <w:t>Online dynamic analysis tool</w:t>
      </w:r>
      <w:r w:rsidR="00A14A0D">
        <w:rPr>
          <w:rFonts w:ascii="Calibri" w:hAnsi="Calibri" w:cs="Arial"/>
          <w:color w:val="000000"/>
          <w:sz w:val="24"/>
          <w:szCs w:val="24"/>
        </w:rPr>
        <w:t>, updated annually,</w:t>
      </w:r>
      <w:r w:rsidRPr="000000EB">
        <w:rPr>
          <w:rFonts w:ascii="Calibri" w:hAnsi="Calibri" w:cs="Arial"/>
          <w:color w:val="000000"/>
          <w:sz w:val="24"/>
          <w:szCs w:val="24"/>
        </w:rPr>
        <w:t xml:space="preserve"> that allows users to examine NCVS data and generate tables on violent and property victimization by select victim, household, and incident characteristics.</w:t>
      </w:r>
      <w:r w:rsidR="00062E4A">
        <w:rPr>
          <w:rFonts w:ascii="Calibri" w:hAnsi="Calibri" w:cs="Arial"/>
          <w:color w:val="000000"/>
          <w:sz w:val="24"/>
          <w:szCs w:val="24"/>
        </w:rPr>
        <w:t xml:space="preserve"> Data are available for</w:t>
      </w:r>
      <w:r w:rsidR="00E76B0B">
        <w:rPr>
          <w:rFonts w:ascii="Calibri" w:hAnsi="Calibri" w:cs="Arial"/>
          <w:color w:val="000000"/>
          <w:sz w:val="24"/>
          <w:szCs w:val="24"/>
        </w:rPr>
        <w:t xml:space="preserve"> 1993 through 2016.</w:t>
      </w:r>
    </w:p>
    <w:p w:rsidR="00F05D79" w:rsidRDefault="00F05D79" w:rsidP="00F969B4">
      <w:pPr>
        <w:numPr>
          <w:ilvl w:val="0"/>
          <w:numId w:val="23"/>
        </w:numPr>
        <w:rPr>
          <w:rFonts w:ascii="Calibri" w:hAnsi="Calibri" w:cs="Arial"/>
          <w:i/>
          <w:color w:val="000000"/>
          <w:sz w:val="24"/>
          <w:szCs w:val="24"/>
        </w:rPr>
      </w:pPr>
      <w:r>
        <w:rPr>
          <w:rFonts w:ascii="Calibri" w:hAnsi="Calibri" w:cs="Arial"/>
          <w:i/>
          <w:color w:val="000000"/>
          <w:sz w:val="24"/>
          <w:szCs w:val="24"/>
        </w:rPr>
        <w:t>Repeat Violent Victimization</w:t>
      </w:r>
      <w:r>
        <w:rPr>
          <w:rFonts w:ascii="Calibri" w:hAnsi="Calibri" w:cs="Arial"/>
          <w:color w:val="000000"/>
          <w:sz w:val="24"/>
          <w:szCs w:val="24"/>
        </w:rPr>
        <w:t xml:space="preserve"> – Presents national data on the prevalence of repeat violent victimization and the characteristics of repeat violence</w:t>
      </w:r>
      <w:r w:rsidR="00CF2100">
        <w:rPr>
          <w:rFonts w:ascii="Calibri" w:hAnsi="Calibri" w:cs="Arial"/>
          <w:color w:val="000000"/>
          <w:sz w:val="24"/>
          <w:szCs w:val="24"/>
        </w:rPr>
        <w:t xml:space="preserve"> (published 2017)</w:t>
      </w:r>
      <w:r>
        <w:rPr>
          <w:rFonts w:ascii="Calibri" w:hAnsi="Calibri" w:cs="Arial"/>
          <w:color w:val="000000"/>
          <w:sz w:val="24"/>
          <w:szCs w:val="24"/>
        </w:rPr>
        <w:t xml:space="preserve">. </w:t>
      </w:r>
    </w:p>
    <w:p w:rsidR="007A73FB" w:rsidRPr="008D74D7" w:rsidRDefault="00F10DAF" w:rsidP="00F969B4">
      <w:pPr>
        <w:numPr>
          <w:ilvl w:val="0"/>
          <w:numId w:val="23"/>
        </w:numPr>
        <w:rPr>
          <w:rFonts w:ascii="Calibri" w:hAnsi="Calibri" w:cs="Arial"/>
          <w:i/>
          <w:color w:val="000000"/>
          <w:sz w:val="24"/>
          <w:szCs w:val="24"/>
        </w:rPr>
      </w:pPr>
      <w:r w:rsidRPr="00F969B4">
        <w:rPr>
          <w:rFonts w:ascii="Calibri" w:hAnsi="Calibri" w:cs="Arial"/>
          <w:i/>
          <w:color w:val="000000"/>
          <w:sz w:val="24"/>
          <w:szCs w:val="24"/>
        </w:rPr>
        <w:t xml:space="preserve">Rape and Sexual Assault </w:t>
      </w:r>
      <w:r w:rsidR="00F969B4" w:rsidRPr="00F969B4">
        <w:rPr>
          <w:rFonts w:ascii="Calibri" w:hAnsi="Calibri" w:cs="Arial"/>
          <w:i/>
          <w:color w:val="000000"/>
          <w:sz w:val="24"/>
          <w:szCs w:val="24"/>
        </w:rPr>
        <w:t>Against College-Aged Females</w:t>
      </w:r>
      <w:r w:rsidR="00F05D79">
        <w:rPr>
          <w:rFonts w:ascii="Calibri" w:hAnsi="Calibri" w:cs="Arial"/>
          <w:i/>
          <w:color w:val="000000"/>
          <w:sz w:val="24"/>
          <w:szCs w:val="24"/>
        </w:rPr>
        <w:t xml:space="preserve"> </w:t>
      </w:r>
      <w:r w:rsidRPr="00F969B4">
        <w:rPr>
          <w:rFonts w:ascii="Calibri" w:hAnsi="Calibri" w:cs="Arial"/>
          <w:i/>
          <w:color w:val="000000"/>
          <w:sz w:val="24"/>
          <w:szCs w:val="24"/>
        </w:rPr>
        <w:t xml:space="preserve">– </w:t>
      </w:r>
      <w:r w:rsidR="00F969B4" w:rsidRPr="00F969B4">
        <w:rPr>
          <w:rFonts w:ascii="Calibri" w:hAnsi="Calibri" w:cs="Arial"/>
          <w:color w:val="000000"/>
          <w:sz w:val="24"/>
          <w:szCs w:val="24"/>
        </w:rPr>
        <w:t>Compares the characteristics of rape and sexual assault victimization against females ages 18 to 24 who are enrolled and not enrolled in college</w:t>
      </w:r>
      <w:r w:rsidR="00CF2100">
        <w:rPr>
          <w:rFonts w:ascii="Calibri" w:hAnsi="Calibri" w:cs="Arial"/>
          <w:color w:val="000000"/>
          <w:sz w:val="24"/>
          <w:szCs w:val="24"/>
        </w:rPr>
        <w:t xml:space="preserve"> (published 2014)</w:t>
      </w:r>
      <w:r w:rsidR="00F969B4" w:rsidRPr="00F969B4">
        <w:rPr>
          <w:rFonts w:ascii="Calibri" w:hAnsi="Calibri" w:cs="Arial"/>
          <w:color w:val="000000"/>
          <w:sz w:val="24"/>
          <w:szCs w:val="24"/>
        </w:rPr>
        <w:t>.</w:t>
      </w:r>
    </w:p>
    <w:p w:rsidR="008D74D7" w:rsidRPr="008D74D7" w:rsidRDefault="008D74D7" w:rsidP="008D74D7">
      <w:pPr>
        <w:numPr>
          <w:ilvl w:val="0"/>
          <w:numId w:val="23"/>
        </w:numPr>
        <w:rPr>
          <w:rFonts w:ascii="Calibri" w:hAnsi="Calibri" w:cs="Arial"/>
          <w:i/>
          <w:color w:val="000000"/>
          <w:sz w:val="24"/>
          <w:szCs w:val="24"/>
        </w:rPr>
      </w:pPr>
      <w:r w:rsidRPr="00C72DB7">
        <w:rPr>
          <w:rFonts w:ascii="Calibri" w:hAnsi="Calibri" w:cs="Arial"/>
          <w:i/>
          <w:color w:val="000000"/>
          <w:sz w:val="24"/>
          <w:szCs w:val="24"/>
        </w:rPr>
        <w:t xml:space="preserve">Historical trend online data tool, 1973-1992 – </w:t>
      </w:r>
      <w:r w:rsidRPr="00C72DB7">
        <w:rPr>
          <w:rFonts w:ascii="Calibri" w:hAnsi="Calibri" w:cs="Arial"/>
          <w:color w:val="000000"/>
          <w:sz w:val="24"/>
          <w:szCs w:val="24"/>
        </w:rPr>
        <w:t>Online dynamic analysis tool that allows users to examine data from the predecessor of the NCVS, the NCS</w:t>
      </w:r>
      <w:r w:rsidR="00AB0EF6">
        <w:rPr>
          <w:rFonts w:ascii="Calibri" w:hAnsi="Calibri" w:cs="Arial"/>
          <w:color w:val="000000"/>
          <w:sz w:val="24"/>
          <w:szCs w:val="24"/>
        </w:rPr>
        <w:t xml:space="preserve"> (p</w:t>
      </w:r>
      <w:r w:rsidR="001674AF">
        <w:rPr>
          <w:rFonts w:ascii="Calibri" w:hAnsi="Calibri" w:cs="Arial"/>
          <w:color w:val="000000"/>
          <w:sz w:val="24"/>
          <w:szCs w:val="24"/>
        </w:rPr>
        <w:t>lanned</w:t>
      </w:r>
      <w:r w:rsidR="00AB0EF6">
        <w:rPr>
          <w:rFonts w:ascii="Calibri" w:hAnsi="Calibri" w:cs="Arial"/>
          <w:color w:val="000000"/>
          <w:sz w:val="24"/>
          <w:szCs w:val="24"/>
        </w:rPr>
        <w:t>)</w:t>
      </w:r>
      <w:r w:rsidR="001674AF">
        <w:rPr>
          <w:rFonts w:ascii="Calibri" w:hAnsi="Calibri" w:cs="Arial"/>
          <w:color w:val="000000"/>
          <w:sz w:val="24"/>
          <w:szCs w:val="24"/>
        </w:rPr>
        <w:t>.</w:t>
      </w:r>
    </w:p>
    <w:p w:rsidR="008F2208" w:rsidRPr="00C72DB7" w:rsidRDefault="008F2208" w:rsidP="008F2208">
      <w:pPr>
        <w:numPr>
          <w:ilvl w:val="0"/>
          <w:numId w:val="23"/>
        </w:numPr>
        <w:rPr>
          <w:rFonts w:ascii="Calibri" w:hAnsi="Calibri" w:cs="Arial"/>
          <w:i/>
          <w:color w:val="000000"/>
          <w:sz w:val="24"/>
          <w:szCs w:val="24"/>
        </w:rPr>
      </w:pPr>
      <w:r w:rsidRPr="00C72DB7">
        <w:rPr>
          <w:rFonts w:ascii="Calibri" w:hAnsi="Calibri" w:cs="Arial"/>
          <w:i/>
          <w:color w:val="000000"/>
          <w:sz w:val="24"/>
          <w:szCs w:val="24"/>
        </w:rPr>
        <w:t xml:space="preserve">Long term trends </w:t>
      </w:r>
      <w:r w:rsidRPr="00C72DB7">
        <w:rPr>
          <w:rFonts w:ascii="Calibri" w:hAnsi="Calibri" w:cs="Arial"/>
          <w:color w:val="000000"/>
          <w:sz w:val="24"/>
          <w:szCs w:val="24"/>
        </w:rPr>
        <w:t>–</w:t>
      </w:r>
      <w:r w:rsidRPr="00C72DB7">
        <w:rPr>
          <w:rFonts w:ascii="Calibri" w:hAnsi="Calibri" w:cs="Arial"/>
          <w:i/>
          <w:color w:val="000000"/>
          <w:sz w:val="24"/>
          <w:szCs w:val="24"/>
        </w:rPr>
        <w:t xml:space="preserve"> </w:t>
      </w:r>
      <w:r>
        <w:rPr>
          <w:rFonts w:ascii="Calibri" w:hAnsi="Calibri" w:cs="Arial"/>
          <w:color w:val="000000"/>
          <w:sz w:val="24"/>
          <w:szCs w:val="24"/>
        </w:rPr>
        <w:t>Will c</w:t>
      </w:r>
      <w:r w:rsidRPr="00C72DB7">
        <w:rPr>
          <w:rFonts w:ascii="Calibri" w:hAnsi="Calibri" w:cs="Arial"/>
          <w:color w:val="000000"/>
          <w:sz w:val="24"/>
          <w:szCs w:val="24"/>
        </w:rPr>
        <w:t>ombine data from the NCVS with its predecessor the National Crime Survey (NCS) to examine trends in victimization going back to the 1970s</w:t>
      </w:r>
      <w:r w:rsidR="001674AF">
        <w:rPr>
          <w:rFonts w:ascii="Calibri" w:hAnsi="Calibri" w:cs="Arial"/>
          <w:color w:val="000000"/>
          <w:sz w:val="24"/>
          <w:szCs w:val="24"/>
        </w:rPr>
        <w:t xml:space="preserve"> </w:t>
      </w:r>
      <w:r w:rsidR="00CF2100">
        <w:rPr>
          <w:rFonts w:ascii="Calibri" w:hAnsi="Calibri" w:cs="Arial"/>
          <w:color w:val="000000"/>
          <w:sz w:val="24"/>
          <w:szCs w:val="24"/>
        </w:rPr>
        <w:t>(p</w:t>
      </w:r>
      <w:r>
        <w:rPr>
          <w:rFonts w:ascii="Calibri" w:hAnsi="Calibri" w:cs="Arial"/>
          <w:color w:val="000000"/>
          <w:sz w:val="24"/>
          <w:szCs w:val="24"/>
        </w:rPr>
        <w:t>lanned</w:t>
      </w:r>
      <w:r w:rsidR="00CF2100">
        <w:rPr>
          <w:rFonts w:ascii="Calibri" w:hAnsi="Calibri" w:cs="Arial"/>
          <w:color w:val="000000"/>
          <w:sz w:val="24"/>
          <w:szCs w:val="24"/>
        </w:rPr>
        <w:t>)</w:t>
      </w:r>
      <w:r>
        <w:rPr>
          <w:rFonts w:ascii="Calibri" w:hAnsi="Calibri" w:cs="Arial"/>
          <w:color w:val="000000"/>
          <w:sz w:val="24"/>
          <w:szCs w:val="24"/>
        </w:rPr>
        <w:t>.</w:t>
      </w:r>
    </w:p>
    <w:p w:rsidR="00F10DAF" w:rsidRPr="000000EB" w:rsidRDefault="00F10DAF" w:rsidP="00B8509A">
      <w:pPr>
        <w:ind w:left="1350"/>
        <w:rPr>
          <w:rFonts w:ascii="Calibri" w:hAnsi="Calibri" w:cs="Arial"/>
          <w:i/>
          <w:color w:val="000000"/>
          <w:sz w:val="24"/>
          <w:szCs w:val="24"/>
        </w:rPr>
      </w:pPr>
    </w:p>
    <w:p w:rsidR="00F10DAF" w:rsidRPr="000000EB" w:rsidRDefault="00F10DAF" w:rsidP="00B8509A">
      <w:pPr>
        <w:numPr>
          <w:ilvl w:val="0"/>
          <w:numId w:val="31"/>
        </w:numPr>
        <w:rPr>
          <w:rFonts w:ascii="Calibri" w:hAnsi="Calibri" w:cs="Arial"/>
          <w:b/>
          <w:color w:val="000000"/>
          <w:sz w:val="24"/>
          <w:szCs w:val="24"/>
          <w:u w:val="single"/>
        </w:rPr>
      </w:pPr>
      <w:r w:rsidRPr="000000EB">
        <w:rPr>
          <w:rFonts w:ascii="Calibri" w:hAnsi="Calibri" w:cs="Arial"/>
          <w:b/>
          <w:color w:val="000000"/>
          <w:sz w:val="24"/>
          <w:szCs w:val="24"/>
          <w:u w:val="single"/>
        </w:rPr>
        <w:t>Incident characteristics</w:t>
      </w:r>
    </w:p>
    <w:p w:rsidR="00F10DAF" w:rsidRPr="000000EB" w:rsidRDefault="00F10DAF" w:rsidP="00B8509A">
      <w:pPr>
        <w:numPr>
          <w:ilvl w:val="0"/>
          <w:numId w:val="24"/>
        </w:numPr>
        <w:rPr>
          <w:rFonts w:ascii="Calibri" w:hAnsi="Calibri" w:cs="Arial"/>
          <w:i/>
          <w:color w:val="000000"/>
          <w:sz w:val="24"/>
          <w:szCs w:val="24"/>
        </w:rPr>
      </w:pPr>
      <w:r w:rsidRPr="000000EB">
        <w:rPr>
          <w:rFonts w:ascii="Calibri" w:hAnsi="Calibri" w:cs="Arial"/>
          <w:i/>
          <w:color w:val="000000"/>
          <w:sz w:val="24"/>
          <w:szCs w:val="24"/>
        </w:rPr>
        <w:t xml:space="preserve">Trends in </w:t>
      </w:r>
      <w:r w:rsidR="008D47AD">
        <w:rPr>
          <w:rFonts w:ascii="Calibri" w:hAnsi="Calibri" w:cs="Arial"/>
          <w:i/>
          <w:color w:val="000000"/>
          <w:sz w:val="24"/>
          <w:szCs w:val="24"/>
        </w:rPr>
        <w:t>H</w:t>
      </w:r>
      <w:r w:rsidRPr="000000EB">
        <w:rPr>
          <w:rFonts w:ascii="Calibri" w:hAnsi="Calibri" w:cs="Arial"/>
          <w:i/>
          <w:color w:val="000000"/>
          <w:sz w:val="24"/>
          <w:szCs w:val="24"/>
        </w:rPr>
        <w:t xml:space="preserve">ousehold </w:t>
      </w:r>
      <w:r w:rsidR="008D47AD">
        <w:rPr>
          <w:rFonts w:ascii="Calibri" w:hAnsi="Calibri" w:cs="Arial"/>
          <w:i/>
          <w:color w:val="000000"/>
          <w:sz w:val="24"/>
          <w:szCs w:val="24"/>
        </w:rPr>
        <w:t>P</w:t>
      </w:r>
      <w:r w:rsidRPr="000000EB">
        <w:rPr>
          <w:rFonts w:ascii="Calibri" w:hAnsi="Calibri" w:cs="Arial"/>
          <w:i/>
          <w:color w:val="000000"/>
          <w:sz w:val="24"/>
          <w:szCs w:val="24"/>
        </w:rPr>
        <w:t xml:space="preserve">roperty </w:t>
      </w:r>
      <w:r w:rsidR="008D47AD">
        <w:rPr>
          <w:rFonts w:ascii="Calibri" w:hAnsi="Calibri" w:cs="Arial"/>
          <w:i/>
          <w:color w:val="000000"/>
          <w:sz w:val="24"/>
          <w:szCs w:val="24"/>
        </w:rPr>
        <w:t>C</w:t>
      </w:r>
      <w:r w:rsidRPr="000000EB">
        <w:rPr>
          <w:rFonts w:ascii="Calibri" w:hAnsi="Calibri" w:cs="Arial"/>
          <w:i/>
          <w:color w:val="000000"/>
          <w:sz w:val="24"/>
          <w:szCs w:val="24"/>
        </w:rPr>
        <w:t xml:space="preserve">rime </w:t>
      </w:r>
      <w:r w:rsidR="008D47AD">
        <w:rPr>
          <w:rFonts w:ascii="Calibri" w:hAnsi="Calibri" w:cs="Arial"/>
          <w:i/>
          <w:color w:val="000000"/>
          <w:sz w:val="24"/>
          <w:szCs w:val="24"/>
        </w:rPr>
        <w:t>L</w:t>
      </w:r>
      <w:r w:rsidRPr="000000EB">
        <w:rPr>
          <w:rFonts w:ascii="Calibri" w:hAnsi="Calibri" w:cs="Arial"/>
          <w:i/>
          <w:color w:val="000000"/>
          <w:sz w:val="24"/>
          <w:szCs w:val="24"/>
        </w:rPr>
        <w:t xml:space="preserve">osses – </w:t>
      </w:r>
      <w:r w:rsidRPr="000000EB">
        <w:rPr>
          <w:rFonts w:ascii="Calibri" w:hAnsi="Calibri" w:cs="Arial"/>
          <w:color w:val="000000"/>
          <w:sz w:val="24"/>
          <w:szCs w:val="24"/>
        </w:rPr>
        <w:t>Presents patterns and trends in the types of items stolen and the total and recovered losses attributed to household burglary, motor vehicle theft, and other theft</w:t>
      </w:r>
      <w:r w:rsidR="00CF2100">
        <w:rPr>
          <w:rFonts w:ascii="Calibri" w:hAnsi="Calibri" w:cs="Arial"/>
          <w:color w:val="000000"/>
          <w:sz w:val="24"/>
          <w:szCs w:val="24"/>
        </w:rPr>
        <w:t xml:space="preserve"> (published 2013)</w:t>
      </w:r>
      <w:r w:rsidRPr="000000EB">
        <w:rPr>
          <w:rFonts w:ascii="Calibri" w:hAnsi="Calibri" w:cs="Arial"/>
          <w:color w:val="000000"/>
          <w:sz w:val="24"/>
          <w:szCs w:val="24"/>
        </w:rPr>
        <w:t xml:space="preserve">. </w:t>
      </w:r>
    </w:p>
    <w:p w:rsidR="00F10DAF" w:rsidRPr="008D74D7" w:rsidRDefault="00F10DAF" w:rsidP="00B8509A">
      <w:pPr>
        <w:numPr>
          <w:ilvl w:val="0"/>
          <w:numId w:val="24"/>
        </w:numPr>
        <w:rPr>
          <w:rFonts w:ascii="Calibri" w:hAnsi="Calibri" w:cs="Arial"/>
          <w:i/>
          <w:color w:val="000000"/>
          <w:sz w:val="24"/>
          <w:szCs w:val="24"/>
        </w:rPr>
      </w:pPr>
      <w:r w:rsidRPr="000000EB">
        <w:rPr>
          <w:rFonts w:ascii="Calibri" w:hAnsi="Calibri" w:cs="Arial"/>
          <w:i/>
          <w:color w:val="000000"/>
          <w:sz w:val="24"/>
          <w:szCs w:val="24"/>
        </w:rPr>
        <w:t xml:space="preserve">Violence in the Workplace – </w:t>
      </w:r>
      <w:r w:rsidRPr="000000EB">
        <w:rPr>
          <w:rFonts w:ascii="Calibri" w:hAnsi="Calibri" w:cs="Arial"/>
          <w:color w:val="000000"/>
          <w:sz w:val="24"/>
          <w:szCs w:val="24"/>
        </w:rPr>
        <w:t>Presents estimates on the extent of violence in the workplace.</w:t>
      </w:r>
      <w:r w:rsidR="00A919A7">
        <w:rPr>
          <w:rFonts w:ascii="Calibri" w:hAnsi="Calibri" w:cs="Arial"/>
          <w:color w:val="000000"/>
          <w:sz w:val="24"/>
          <w:szCs w:val="24"/>
        </w:rPr>
        <w:t xml:space="preserve"> Last published 2013. </w:t>
      </w:r>
      <w:r w:rsidR="008F2208">
        <w:rPr>
          <w:rFonts w:ascii="Calibri" w:hAnsi="Calibri" w:cs="Arial"/>
          <w:color w:val="000000"/>
          <w:sz w:val="24"/>
          <w:szCs w:val="24"/>
        </w:rPr>
        <w:t xml:space="preserve">Planned for </w:t>
      </w:r>
      <w:r w:rsidR="00A919A7">
        <w:rPr>
          <w:rFonts w:ascii="Calibri" w:hAnsi="Calibri" w:cs="Arial"/>
          <w:color w:val="000000"/>
          <w:sz w:val="24"/>
          <w:szCs w:val="24"/>
        </w:rPr>
        <w:t>2018.</w:t>
      </w:r>
    </w:p>
    <w:p w:rsidR="008D74D7" w:rsidRPr="001674AF" w:rsidRDefault="00B41644" w:rsidP="008D74D7">
      <w:pPr>
        <w:numPr>
          <w:ilvl w:val="0"/>
          <w:numId w:val="24"/>
        </w:numPr>
        <w:rPr>
          <w:rFonts w:ascii="Calibri" w:hAnsi="Calibri" w:cs="Arial"/>
          <w:i/>
          <w:color w:val="000000"/>
          <w:sz w:val="24"/>
          <w:szCs w:val="24"/>
        </w:rPr>
      </w:pPr>
      <w:r>
        <w:rPr>
          <w:rFonts w:ascii="Calibri" w:hAnsi="Calibri" w:cs="Arial"/>
          <w:i/>
          <w:color w:val="000000"/>
          <w:sz w:val="24"/>
          <w:szCs w:val="24"/>
        </w:rPr>
        <w:t>Firearm V</w:t>
      </w:r>
      <w:r w:rsidR="008D74D7">
        <w:rPr>
          <w:rFonts w:ascii="Calibri" w:hAnsi="Calibri" w:cs="Arial"/>
          <w:i/>
          <w:color w:val="000000"/>
          <w:sz w:val="24"/>
          <w:szCs w:val="24"/>
        </w:rPr>
        <w:t>iolence</w:t>
      </w:r>
      <w:r w:rsidR="008D74D7">
        <w:rPr>
          <w:rFonts w:ascii="Calibri" w:hAnsi="Calibri" w:cs="Arial"/>
          <w:color w:val="000000"/>
          <w:sz w:val="24"/>
          <w:szCs w:val="24"/>
        </w:rPr>
        <w:t xml:space="preserve"> – Examines patterns and trends in nonfatal and fatal violent victimizations that involved a firearm. </w:t>
      </w:r>
      <w:r w:rsidR="00A919A7">
        <w:rPr>
          <w:rFonts w:ascii="Calibri" w:hAnsi="Calibri" w:cs="Arial"/>
          <w:color w:val="000000"/>
          <w:sz w:val="24"/>
          <w:szCs w:val="24"/>
        </w:rPr>
        <w:t xml:space="preserve">Last published 2013. </w:t>
      </w:r>
      <w:r w:rsidR="008F2208">
        <w:rPr>
          <w:rFonts w:ascii="Calibri" w:hAnsi="Calibri" w:cs="Arial"/>
          <w:color w:val="000000"/>
          <w:sz w:val="24"/>
          <w:szCs w:val="24"/>
        </w:rPr>
        <w:t xml:space="preserve">Planned for </w:t>
      </w:r>
      <w:r w:rsidR="00A919A7">
        <w:rPr>
          <w:rFonts w:ascii="Calibri" w:hAnsi="Calibri" w:cs="Arial"/>
          <w:color w:val="000000"/>
          <w:sz w:val="24"/>
          <w:szCs w:val="24"/>
        </w:rPr>
        <w:t>2018.</w:t>
      </w:r>
    </w:p>
    <w:p w:rsidR="00F37562" w:rsidRPr="008D74D7" w:rsidRDefault="00F37562" w:rsidP="008D74D7">
      <w:pPr>
        <w:numPr>
          <w:ilvl w:val="0"/>
          <w:numId w:val="24"/>
        </w:numPr>
        <w:rPr>
          <w:rFonts w:ascii="Calibri" w:hAnsi="Calibri" w:cs="Arial"/>
          <w:i/>
          <w:color w:val="000000"/>
          <w:sz w:val="24"/>
          <w:szCs w:val="24"/>
        </w:rPr>
      </w:pPr>
      <w:r>
        <w:rPr>
          <w:rFonts w:ascii="Calibri" w:hAnsi="Calibri" w:cs="Arial"/>
          <w:i/>
          <w:color w:val="000000"/>
          <w:sz w:val="24"/>
          <w:szCs w:val="24"/>
        </w:rPr>
        <w:t>Location of Criminal Victimization</w:t>
      </w:r>
      <w:r>
        <w:rPr>
          <w:rFonts w:ascii="Calibri" w:hAnsi="Calibri" w:cs="Arial"/>
          <w:color w:val="000000"/>
          <w:sz w:val="24"/>
          <w:szCs w:val="24"/>
        </w:rPr>
        <w:t xml:space="preserve"> </w:t>
      </w:r>
      <w:r w:rsidR="00CF2100">
        <w:rPr>
          <w:rFonts w:ascii="Calibri" w:hAnsi="Calibri" w:cs="Arial"/>
          <w:color w:val="000000"/>
          <w:sz w:val="24"/>
          <w:szCs w:val="24"/>
        </w:rPr>
        <w:t xml:space="preserve">– Will examine patterns in victimization by location </w:t>
      </w:r>
      <w:r w:rsidR="00AA7B9A">
        <w:rPr>
          <w:rFonts w:ascii="Calibri" w:hAnsi="Calibri" w:cs="Arial"/>
          <w:color w:val="000000"/>
          <w:sz w:val="24"/>
          <w:szCs w:val="24"/>
        </w:rPr>
        <w:t xml:space="preserve">of incident </w:t>
      </w:r>
      <w:r w:rsidR="00CF2100">
        <w:rPr>
          <w:rFonts w:ascii="Calibri" w:hAnsi="Calibri" w:cs="Arial"/>
          <w:color w:val="000000"/>
          <w:sz w:val="24"/>
          <w:szCs w:val="24"/>
        </w:rPr>
        <w:t>(p</w:t>
      </w:r>
      <w:r>
        <w:rPr>
          <w:rFonts w:ascii="Calibri" w:hAnsi="Calibri" w:cs="Arial"/>
          <w:color w:val="000000"/>
          <w:sz w:val="24"/>
          <w:szCs w:val="24"/>
        </w:rPr>
        <w:t>lanned</w:t>
      </w:r>
      <w:r w:rsidR="00CF2100">
        <w:rPr>
          <w:rFonts w:ascii="Calibri" w:hAnsi="Calibri" w:cs="Arial"/>
          <w:color w:val="000000"/>
          <w:sz w:val="24"/>
          <w:szCs w:val="24"/>
        </w:rPr>
        <w:t>)</w:t>
      </w:r>
      <w:r>
        <w:rPr>
          <w:rFonts w:ascii="Calibri" w:hAnsi="Calibri" w:cs="Arial"/>
          <w:color w:val="000000"/>
          <w:sz w:val="24"/>
          <w:szCs w:val="24"/>
        </w:rPr>
        <w:t>.</w:t>
      </w:r>
    </w:p>
    <w:p w:rsidR="00F10DAF" w:rsidRPr="000000EB" w:rsidRDefault="00F10DAF" w:rsidP="00B8509A">
      <w:pPr>
        <w:ind w:left="990"/>
        <w:rPr>
          <w:rFonts w:ascii="Calibri" w:hAnsi="Calibri" w:cs="Arial"/>
          <w:b/>
          <w:color w:val="000000"/>
          <w:sz w:val="24"/>
          <w:szCs w:val="24"/>
          <w:u w:val="single"/>
        </w:rPr>
      </w:pPr>
    </w:p>
    <w:p w:rsidR="00F10DAF" w:rsidRPr="000000EB" w:rsidRDefault="00F10DAF" w:rsidP="00B8509A">
      <w:pPr>
        <w:numPr>
          <w:ilvl w:val="0"/>
          <w:numId w:val="31"/>
        </w:numPr>
        <w:rPr>
          <w:rFonts w:ascii="Calibri" w:hAnsi="Calibri" w:cs="Arial"/>
          <w:b/>
          <w:color w:val="000000"/>
          <w:sz w:val="24"/>
          <w:szCs w:val="24"/>
          <w:u w:val="single"/>
        </w:rPr>
      </w:pPr>
      <w:r w:rsidRPr="000000EB">
        <w:rPr>
          <w:rFonts w:ascii="Calibri" w:hAnsi="Calibri" w:cs="Arial"/>
          <w:b/>
          <w:color w:val="000000"/>
          <w:sz w:val="24"/>
          <w:szCs w:val="24"/>
          <w:u w:val="single"/>
        </w:rPr>
        <w:t>Victim characteristics</w:t>
      </w:r>
    </w:p>
    <w:p w:rsidR="00246E2F" w:rsidRDefault="00246E2F" w:rsidP="00246E2F">
      <w:pPr>
        <w:numPr>
          <w:ilvl w:val="0"/>
          <w:numId w:val="34"/>
        </w:numPr>
        <w:rPr>
          <w:rFonts w:ascii="Calibri" w:hAnsi="Calibri" w:cs="Arial"/>
          <w:color w:val="000000"/>
          <w:sz w:val="24"/>
          <w:szCs w:val="24"/>
        </w:rPr>
      </w:pPr>
      <w:r w:rsidRPr="000000EB">
        <w:rPr>
          <w:rFonts w:ascii="Calibri" w:hAnsi="Calibri" w:cs="Arial"/>
          <w:i/>
          <w:color w:val="000000"/>
          <w:sz w:val="24"/>
          <w:szCs w:val="24"/>
        </w:rPr>
        <w:t>Crime Against Persons with Disabilities</w:t>
      </w:r>
      <w:r>
        <w:rPr>
          <w:rFonts w:ascii="Calibri" w:hAnsi="Calibri" w:cs="Arial"/>
          <w:i/>
          <w:color w:val="000000"/>
          <w:sz w:val="24"/>
          <w:szCs w:val="24"/>
        </w:rPr>
        <w:t xml:space="preserve"> </w:t>
      </w:r>
      <w:r w:rsidRPr="000000EB">
        <w:rPr>
          <w:rFonts w:ascii="Calibri" w:hAnsi="Calibri" w:cs="Arial"/>
          <w:color w:val="000000"/>
          <w:sz w:val="24"/>
          <w:szCs w:val="24"/>
        </w:rPr>
        <w:t xml:space="preserve">– </w:t>
      </w:r>
      <w:r w:rsidR="00AB0E24">
        <w:rPr>
          <w:rFonts w:ascii="Calibri" w:hAnsi="Calibri" w:cs="Arial"/>
          <w:color w:val="000000"/>
          <w:sz w:val="24"/>
          <w:szCs w:val="24"/>
        </w:rPr>
        <w:t>Annual Congressionally mandated report p</w:t>
      </w:r>
      <w:r w:rsidRPr="000000EB">
        <w:rPr>
          <w:rFonts w:ascii="Calibri" w:hAnsi="Calibri" w:cs="Arial"/>
          <w:color w:val="000000"/>
          <w:sz w:val="24"/>
          <w:szCs w:val="24"/>
        </w:rPr>
        <w:t>resents estimates of nonfatal violent victimizations against person 12 years old or older with disabilities (</w:t>
      </w:r>
      <w:hyperlink r:id="rId17" w:history="1">
        <w:r w:rsidRPr="000A6A3B">
          <w:rPr>
            <w:rStyle w:val="Hyperlink"/>
            <w:rFonts w:ascii="Calibri" w:hAnsi="Calibri" w:cs="Arial"/>
            <w:sz w:val="24"/>
            <w:szCs w:val="24"/>
          </w:rPr>
          <w:t>http://www.bjs.gov/content/pub/pdf/capd0915st.pdf</w:t>
        </w:r>
      </w:hyperlink>
      <w:r w:rsidRPr="00F969B4">
        <w:rPr>
          <w:rFonts w:ascii="Calibri" w:hAnsi="Calibri" w:cs="Arial"/>
          <w:color w:val="000000"/>
          <w:sz w:val="24"/>
          <w:szCs w:val="24"/>
        </w:rPr>
        <w:t>).</w:t>
      </w:r>
      <w:r w:rsidR="00A919A7">
        <w:rPr>
          <w:rFonts w:ascii="Calibri" w:hAnsi="Calibri" w:cs="Arial"/>
          <w:color w:val="000000"/>
          <w:sz w:val="24"/>
          <w:szCs w:val="24"/>
        </w:rPr>
        <w:t xml:space="preserve"> Last published 2017.</w:t>
      </w:r>
    </w:p>
    <w:p w:rsidR="006F7B4C" w:rsidRPr="000000EB" w:rsidRDefault="00F10DAF" w:rsidP="006F7B4C">
      <w:pPr>
        <w:numPr>
          <w:ilvl w:val="0"/>
          <w:numId w:val="34"/>
        </w:numPr>
        <w:rPr>
          <w:rFonts w:ascii="Calibri" w:hAnsi="Calibri" w:cs="Arial"/>
          <w:color w:val="000000"/>
          <w:sz w:val="24"/>
          <w:szCs w:val="24"/>
        </w:rPr>
      </w:pPr>
      <w:r w:rsidRPr="000000EB">
        <w:rPr>
          <w:rFonts w:ascii="Calibri" w:hAnsi="Calibri" w:cs="Arial"/>
          <w:i/>
          <w:color w:val="000000"/>
          <w:sz w:val="24"/>
          <w:szCs w:val="24"/>
        </w:rPr>
        <w:t>Children in Households with Violence</w:t>
      </w:r>
      <w:r w:rsidR="00B41644">
        <w:rPr>
          <w:rFonts w:ascii="Calibri" w:hAnsi="Calibri" w:cs="Arial"/>
          <w:i/>
          <w:color w:val="000000"/>
          <w:sz w:val="24"/>
          <w:szCs w:val="24"/>
        </w:rPr>
        <w:t xml:space="preserve"> </w:t>
      </w:r>
      <w:r w:rsidR="00B41644">
        <w:rPr>
          <w:rFonts w:ascii="Calibri" w:hAnsi="Calibri" w:cs="Arial"/>
          <w:color w:val="000000"/>
          <w:sz w:val="24"/>
          <w:szCs w:val="24"/>
        </w:rPr>
        <w:t>–</w:t>
      </w:r>
      <w:r w:rsidRPr="000000EB">
        <w:rPr>
          <w:rFonts w:ascii="Calibri" w:hAnsi="Calibri" w:cs="Arial"/>
          <w:i/>
          <w:color w:val="000000"/>
          <w:sz w:val="24"/>
          <w:szCs w:val="24"/>
        </w:rPr>
        <w:t xml:space="preserve"> </w:t>
      </w:r>
      <w:r w:rsidRPr="000000EB">
        <w:rPr>
          <w:rFonts w:ascii="Calibri" w:hAnsi="Calibri" w:cs="Arial"/>
          <w:color w:val="000000"/>
          <w:sz w:val="24"/>
          <w:szCs w:val="24"/>
        </w:rPr>
        <w:t>Presents estimates of the number and characteristics of children living in households in which one or more household member has experienced violent victimization</w:t>
      </w:r>
      <w:r w:rsidR="00CF2100">
        <w:rPr>
          <w:rFonts w:ascii="Calibri" w:hAnsi="Calibri" w:cs="Arial"/>
          <w:color w:val="000000"/>
          <w:sz w:val="24"/>
          <w:szCs w:val="24"/>
        </w:rPr>
        <w:t xml:space="preserve"> (published 2012)</w:t>
      </w:r>
      <w:r w:rsidRPr="000000EB">
        <w:rPr>
          <w:rFonts w:ascii="Calibri" w:hAnsi="Calibri" w:cs="Arial"/>
          <w:color w:val="000000"/>
          <w:sz w:val="24"/>
          <w:szCs w:val="24"/>
        </w:rPr>
        <w:t>.</w:t>
      </w:r>
    </w:p>
    <w:p w:rsidR="006F7B4C" w:rsidRDefault="00F10DAF" w:rsidP="006F7B4C">
      <w:pPr>
        <w:numPr>
          <w:ilvl w:val="0"/>
          <w:numId w:val="34"/>
        </w:numPr>
        <w:rPr>
          <w:rFonts w:ascii="Calibri" w:hAnsi="Calibri" w:cs="Arial"/>
          <w:color w:val="000000"/>
          <w:sz w:val="24"/>
          <w:szCs w:val="24"/>
        </w:rPr>
      </w:pPr>
      <w:r w:rsidRPr="000000EB">
        <w:rPr>
          <w:rFonts w:ascii="Calibri" w:hAnsi="Calibri" w:cs="Arial"/>
          <w:i/>
          <w:color w:val="000000"/>
          <w:sz w:val="24"/>
          <w:szCs w:val="24"/>
        </w:rPr>
        <w:t>Crime Against the Elderly</w:t>
      </w:r>
      <w:r w:rsidR="00B41644">
        <w:rPr>
          <w:rFonts w:ascii="Calibri" w:hAnsi="Calibri" w:cs="Arial"/>
          <w:i/>
          <w:color w:val="000000"/>
          <w:sz w:val="24"/>
          <w:szCs w:val="24"/>
        </w:rPr>
        <w:t xml:space="preserve"> </w:t>
      </w:r>
      <w:r w:rsidR="00B41644">
        <w:rPr>
          <w:rFonts w:ascii="Calibri" w:hAnsi="Calibri" w:cs="Arial"/>
          <w:color w:val="000000"/>
          <w:sz w:val="24"/>
          <w:szCs w:val="24"/>
        </w:rPr>
        <w:t>–</w:t>
      </w:r>
      <w:r w:rsidRPr="000000EB">
        <w:rPr>
          <w:rFonts w:ascii="Calibri" w:hAnsi="Calibri" w:cs="Arial"/>
          <w:i/>
          <w:color w:val="000000"/>
          <w:sz w:val="24"/>
          <w:szCs w:val="24"/>
        </w:rPr>
        <w:t xml:space="preserve"> </w:t>
      </w:r>
      <w:r w:rsidRPr="000000EB">
        <w:rPr>
          <w:rFonts w:ascii="Calibri" w:hAnsi="Calibri" w:cs="Arial"/>
          <w:color w:val="000000"/>
          <w:sz w:val="24"/>
          <w:szCs w:val="24"/>
        </w:rPr>
        <w:t>Presents estimates of the prevalence and victim, crime, and offender characteristics of victimizations against persons age 65 or older</w:t>
      </w:r>
      <w:r w:rsidR="00CF2100">
        <w:rPr>
          <w:rFonts w:ascii="Calibri" w:hAnsi="Calibri" w:cs="Arial"/>
          <w:color w:val="000000"/>
          <w:sz w:val="24"/>
          <w:szCs w:val="24"/>
        </w:rPr>
        <w:t xml:space="preserve"> (published 2014)</w:t>
      </w:r>
      <w:r w:rsidRPr="000000EB">
        <w:rPr>
          <w:rFonts w:ascii="Calibri" w:hAnsi="Calibri" w:cs="Arial"/>
          <w:color w:val="000000"/>
          <w:sz w:val="24"/>
          <w:szCs w:val="24"/>
        </w:rPr>
        <w:t>.</w:t>
      </w:r>
    </w:p>
    <w:p w:rsidR="00F969B4" w:rsidRPr="00F969B4" w:rsidRDefault="00F969B4" w:rsidP="00F969B4">
      <w:pPr>
        <w:numPr>
          <w:ilvl w:val="0"/>
          <w:numId w:val="34"/>
        </w:numPr>
        <w:rPr>
          <w:rFonts w:ascii="Calibri" w:hAnsi="Calibri" w:cs="Arial"/>
          <w:color w:val="000000"/>
          <w:sz w:val="24"/>
          <w:szCs w:val="24"/>
        </w:rPr>
      </w:pPr>
      <w:r w:rsidRPr="00F969B4">
        <w:rPr>
          <w:rFonts w:ascii="Calibri" w:hAnsi="Calibri" w:cs="Arial"/>
          <w:i/>
          <w:color w:val="000000"/>
          <w:sz w:val="24"/>
          <w:szCs w:val="24"/>
        </w:rPr>
        <w:t>Household Poverty and Nonfatal Violent Victimization</w:t>
      </w:r>
      <w:r w:rsidR="00246E2F">
        <w:rPr>
          <w:rFonts w:ascii="Calibri" w:hAnsi="Calibri" w:cs="Arial"/>
          <w:i/>
          <w:color w:val="000000"/>
          <w:sz w:val="24"/>
          <w:szCs w:val="24"/>
        </w:rPr>
        <w:t xml:space="preserve"> </w:t>
      </w:r>
      <w:r w:rsidR="00246E2F" w:rsidRPr="000000EB">
        <w:rPr>
          <w:rFonts w:ascii="Calibri" w:hAnsi="Calibri" w:cs="Arial"/>
          <w:color w:val="000000"/>
          <w:sz w:val="24"/>
          <w:szCs w:val="24"/>
        </w:rPr>
        <w:t>–</w:t>
      </w:r>
      <w:r w:rsidRPr="00F969B4">
        <w:rPr>
          <w:rFonts w:ascii="Calibri" w:hAnsi="Calibri" w:cs="Arial"/>
          <w:color w:val="000000"/>
          <w:sz w:val="24"/>
          <w:szCs w:val="24"/>
        </w:rPr>
        <w:t xml:space="preserve"> Presents findings on the relationship between households that were above or below the federal poverty level and nonfatal violent victimization</w:t>
      </w:r>
      <w:r w:rsidR="00CF2100">
        <w:rPr>
          <w:rFonts w:ascii="Calibri" w:hAnsi="Calibri" w:cs="Arial"/>
          <w:color w:val="000000"/>
          <w:sz w:val="24"/>
          <w:szCs w:val="24"/>
        </w:rPr>
        <w:t xml:space="preserve"> (published 2014)</w:t>
      </w:r>
      <w:r>
        <w:rPr>
          <w:rFonts w:ascii="Calibri" w:hAnsi="Calibri" w:cs="Arial"/>
          <w:color w:val="000000"/>
          <w:sz w:val="24"/>
          <w:szCs w:val="24"/>
        </w:rPr>
        <w:t>.</w:t>
      </w:r>
    </w:p>
    <w:p w:rsidR="00F10DAF" w:rsidRPr="000000EB" w:rsidRDefault="004710A5" w:rsidP="00246E2F">
      <w:pPr>
        <w:numPr>
          <w:ilvl w:val="0"/>
          <w:numId w:val="34"/>
        </w:numPr>
        <w:rPr>
          <w:rFonts w:ascii="Calibri" w:hAnsi="Calibri" w:cs="Arial"/>
          <w:color w:val="000000"/>
          <w:sz w:val="24"/>
          <w:szCs w:val="24"/>
        </w:rPr>
      </w:pPr>
      <w:r w:rsidRPr="000000EB">
        <w:rPr>
          <w:rFonts w:ascii="Calibri" w:hAnsi="Calibri" w:cs="Arial"/>
          <w:i/>
          <w:color w:val="000000"/>
          <w:sz w:val="24"/>
          <w:szCs w:val="24"/>
        </w:rPr>
        <w:t>Indicators of School Crime and Safety</w:t>
      </w:r>
      <w:r w:rsidR="00246E2F">
        <w:rPr>
          <w:rFonts w:ascii="Calibri" w:hAnsi="Calibri" w:cs="Arial"/>
          <w:i/>
          <w:color w:val="000000"/>
          <w:sz w:val="24"/>
          <w:szCs w:val="24"/>
        </w:rPr>
        <w:t xml:space="preserve"> </w:t>
      </w:r>
      <w:r w:rsidR="00246E2F" w:rsidRPr="000000EB">
        <w:rPr>
          <w:rFonts w:ascii="Calibri" w:hAnsi="Calibri" w:cs="Arial"/>
          <w:color w:val="000000"/>
          <w:sz w:val="24"/>
          <w:szCs w:val="24"/>
        </w:rPr>
        <w:t>–</w:t>
      </w:r>
      <w:r w:rsidRPr="000000EB">
        <w:rPr>
          <w:rFonts w:ascii="Calibri" w:hAnsi="Calibri" w:cs="Arial"/>
          <w:color w:val="000000"/>
          <w:sz w:val="24"/>
          <w:szCs w:val="24"/>
        </w:rPr>
        <w:t xml:space="preserve"> </w:t>
      </w:r>
      <w:r w:rsidR="00AB0E24">
        <w:rPr>
          <w:rFonts w:ascii="Calibri" w:hAnsi="Calibri" w:cs="Arial"/>
          <w:color w:val="000000"/>
          <w:sz w:val="24"/>
          <w:szCs w:val="24"/>
        </w:rPr>
        <w:t>Annual report, produced jointly with the Department of Education, p</w:t>
      </w:r>
      <w:r w:rsidRPr="000000EB">
        <w:rPr>
          <w:rFonts w:ascii="Calibri" w:hAnsi="Calibri" w:cs="Arial"/>
          <w:color w:val="000000"/>
          <w:sz w:val="24"/>
          <w:szCs w:val="24"/>
        </w:rPr>
        <w:t>resents estimates of crime occurring at school or on the way to and from school against persons age 12 to 18 years of age (</w:t>
      </w:r>
      <w:hyperlink r:id="rId18" w:history="1">
        <w:r w:rsidR="00246E2F" w:rsidRPr="00246E2F">
          <w:rPr>
            <w:rStyle w:val="Hyperlink"/>
            <w:rFonts w:asciiTheme="minorHAnsi" w:hAnsiTheme="minorHAnsi"/>
            <w:sz w:val="24"/>
          </w:rPr>
          <w:t>https://www.bjs.gov/content/pub/pdf/iscs16.pdf</w:t>
        </w:r>
      </w:hyperlink>
      <w:r w:rsidRPr="000000EB">
        <w:rPr>
          <w:rFonts w:ascii="Calibri" w:hAnsi="Calibri" w:cs="Arial"/>
          <w:color w:val="000000"/>
          <w:sz w:val="24"/>
          <w:szCs w:val="24"/>
        </w:rPr>
        <w:t>)</w:t>
      </w:r>
      <w:r w:rsidR="00246E2F">
        <w:rPr>
          <w:rFonts w:ascii="Calibri" w:hAnsi="Calibri" w:cs="Arial"/>
          <w:color w:val="000000"/>
          <w:sz w:val="24"/>
          <w:szCs w:val="24"/>
        </w:rPr>
        <w:t xml:space="preserve">. </w:t>
      </w:r>
      <w:r w:rsidR="00AB0E24">
        <w:rPr>
          <w:rFonts w:ascii="Calibri" w:hAnsi="Calibri" w:cs="Arial"/>
          <w:color w:val="000000"/>
          <w:sz w:val="24"/>
          <w:szCs w:val="24"/>
        </w:rPr>
        <w:t>Last published 2017.</w:t>
      </w:r>
    </w:p>
    <w:p w:rsidR="006F7B4C" w:rsidRPr="000000EB" w:rsidRDefault="006F7B4C" w:rsidP="006F7B4C">
      <w:pPr>
        <w:rPr>
          <w:rFonts w:ascii="Calibri" w:hAnsi="Calibri" w:cs="Arial"/>
          <w:b/>
          <w:color w:val="000000"/>
          <w:sz w:val="24"/>
          <w:szCs w:val="24"/>
          <w:u w:val="single"/>
        </w:rPr>
      </w:pPr>
    </w:p>
    <w:p w:rsidR="00F10DAF" w:rsidRPr="000000EB" w:rsidRDefault="00114E05" w:rsidP="00B8509A">
      <w:pPr>
        <w:numPr>
          <w:ilvl w:val="0"/>
          <w:numId w:val="31"/>
        </w:numPr>
        <w:rPr>
          <w:rFonts w:ascii="Calibri" w:hAnsi="Calibri" w:cs="Arial"/>
          <w:b/>
          <w:color w:val="000000"/>
          <w:sz w:val="24"/>
          <w:szCs w:val="24"/>
          <w:u w:val="single"/>
        </w:rPr>
      </w:pPr>
      <w:r>
        <w:rPr>
          <w:rFonts w:ascii="Calibri" w:hAnsi="Calibri" w:cs="Arial"/>
          <w:b/>
          <w:color w:val="000000"/>
          <w:sz w:val="24"/>
          <w:szCs w:val="24"/>
          <w:u w:val="single"/>
        </w:rPr>
        <w:t>Victim-o</w:t>
      </w:r>
      <w:r w:rsidR="00F10DAF" w:rsidRPr="000000EB">
        <w:rPr>
          <w:rFonts w:ascii="Calibri" w:hAnsi="Calibri" w:cs="Arial"/>
          <w:b/>
          <w:color w:val="000000"/>
          <w:sz w:val="24"/>
          <w:szCs w:val="24"/>
          <w:u w:val="single"/>
        </w:rPr>
        <w:t>ffender relationship</w:t>
      </w:r>
      <w:r>
        <w:rPr>
          <w:rFonts w:ascii="Calibri" w:hAnsi="Calibri" w:cs="Arial"/>
          <w:b/>
          <w:color w:val="000000"/>
          <w:sz w:val="24"/>
          <w:szCs w:val="24"/>
          <w:u w:val="single"/>
        </w:rPr>
        <w:t xml:space="preserve"> and offender characteristics</w:t>
      </w:r>
    </w:p>
    <w:p w:rsidR="00F10DAF" w:rsidRPr="00F969B4" w:rsidRDefault="00246E2F" w:rsidP="00246E2F">
      <w:pPr>
        <w:numPr>
          <w:ilvl w:val="0"/>
          <w:numId w:val="24"/>
        </w:numPr>
        <w:rPr>
          <w:rFonts w:ascii="Calibri" w:hAnsi="Calibri" w:cs="Arial"/>
          <w:i/>
          <w:color w:val="000000"/>
          <w:sz w:val="24"/>
          <w:szCs w:val="24"/>
        </w:rPr>
      </w:pPr>
      <w:r>
        <w:rPr>
          <w:rFonts w:ascii="Calibri" w:hAnsi="Calibri" w:cs="Arial"/>
          <w:i/>
          <w:color w:val="000000"/>
          <w:sz w:val="24"/>
          <w:szCs w:val="24"/>
        </w:rPr>
        <w:t xml:space="preserve">Race and Hispanic Origin of Victims and Offenders </w:t>
      </w:r>
      <w:r w:rsidRPr="000000EB">
        <w:rPr>
          <w:rFonts w:ascii="Calibri" w:hAnsi="Calibri" w:cs="Arial"/>
          <w:color w:val="000000"/>
          <w:sz w:val="24"/>
          <w:szCs w:val="24"/>
        </w:rPr>
        <w:t>–</w:t>
      </w:r>
      <w:r w:rsidR="00F10DAF" w:rsidRPr="000000EB">
        <w:rPr>
          <w:rFonts w:ascii="Calibri" w:hAnsi="Calibri" w:cs="Arial"/>
          <w:i/>
          <w:color w:val="000000"/>
          <w:sz w:val="24"/>
          <w:szCs w:val="24"/>
        </w:rPr>
        <w:t xml:space="preserve"> </w:t>
      </w:r>
      <w:r w:rsidRPr="00246E2F">
        <w:rPr>
          <w:rFonts w:ascii="Calibri" w:hAnsi="Calibri" w:cs="Arial"/>
          <w:color w:val="000000"/>
          <w:sz w:val="24"/>
          <w:szCs w:val="24"/>
        </w:rPr>
        <w:t>Presents estimates of violent victimization (rape or sexual assault, robbery, aggravated assault, and simple assault) by the race and Hispanic origin of victims and offenders</w:t>
      </w:r>
      <w:r w:rsidR="008D47AD">
        <w:rPr>
          <w:rFonts w:ascii="Calibri" w:hAnsi="Calibri" w:cs="Arial"/>
          <w:color w:val="000000"/>
          <w:sz w:val="24"/>
          <w:szCs w:val="24"/>
        </w:rPr>
        <w:t>, and examines expanded race of offender categories</w:t>
      </w:r>
      <w:r w:rsidR="009A444A">
        <w:rPr>
          <w:rFonts w:ascii="Calibri" w:hAnsi="Calibri" w:cs="Arial"/>
          <w:color w:val="000000"/>
          <w:sz w:val="24"/>
          <w:szCs w:val="24"/>
        </w:rPr>
        <w:t xml:space="preserve"> (published 2016)</w:t>
      </w:r>
      <w:r w:rsidRPr="00246E2F">
        <w:rPr>
          <w:rFonts w:ascii="Calibri" w:hAnsi="Calibri" w:cs="Arial"/>
          <w:color w:val="000000"/>
          <w:sz w:val="24"/>
          <w:szCs w:val="24"/>
        </w:rPr>
        <w:t xml:space="preserve">. </w:t>
      </w:r>
    </w:p>
    <w:p w:rsidR="00F969B4" w:rsidRPr="008D74D7" w:rsidRDefault="00246E2F" w:rsidP="00246E2F">
      <w:pPr>
        <w:numPr>
          <w:ilvl w:val="0"/>
          <w:numId w:val="24"/>
        </w:numPr>
        <w:rPr>
          <w:rFonts w:ascii="Calibri" w:hAnsi="Calibri" w:cs="Arial"/>
          <w:i/>
          <w:color w:val="000000"/>
          <w:sz w:val="24"/>
          <w:szCs w:val="24"/>
        </w:rPr>
      </w:pPr>
      <w:r w:rsidRPr="00246E2F">
        <w:rPr>
          <w:rFonts w:ascii="Calibri" w:hAnsi="Calibri" w:cs="Arial"/>
          <w:i/>
          <w:color w:val="000000"/>
          <w:sz w:val="24"/>
          <w:szCs w:val="24"/>
        </w:rPr>
        <w:t>Co-Offending Among Adolescents In Violent Victimizations</w:t>
      </w:r>
      <w:r>
        <w:rPr>
          <w:rFonts w:ascii="Calibri" w:hAnsi="Calibri" w:cs="Arial"/>
          <w:i/>
          <w:color w:val="000000"/>
          <w:sz w:val="24"/>
          <w:szCs w:val="24"/>
        </w:rPr>
        <w:t xml:space="preserve"> </w:t>
      </w:r>
      <w:r w:rsidRPr="000000EB">
        <w:rPr>
          <w:rFonts w:ascii="Calibri" w:hAnsi="Calibri" w:cs="Arial"/>
          <w:color w:val="000000"/>
          <w:sz w:val="24"/>
          <w:szCs w:val="24"/>
        </w:rPr>
        <w:t>–</w:t>
      </w:r>
      <w:r w:rsidR="00F969B4">
        <w:rPr>
          <w:rFonts w:ascii="Calibri" w:hAnsi="Calibri" w:cs="Arial"/>
          <w:color w:val="000000"/>
          <w:sz w:val="24"/>
          <w:szCs w:val="24"/>
        </w:rPr>
        <w:t xml:space="preserve"> </w:t>
      </w:r>
      <w:r w:rsidRPr="00246E2F">
        <w:rPr>
          <w:rFonts w:ascii="Calibri" w:hAnsi="Calibri" w:cs="Arial"/>
          <w:color w:val="000000"/>
          <w:sz w:val="24"/>
          <w:szCs w:val="24"/>
        </w:rPr>
        <w:t>Presents estimates of nonfatal violent victimizations perceived by the victim to be committed by adolescents ages 12 to 17</w:t>
      </w:r>
      <w:r w:rsidR="009A444A">
        <w:rPr>
          <w:rFonts w:ascii="Calibri" w:hAnsi="Calibri" w:cs="Arial"/>
          <w:color w:val="000000"/>
          <w:sz w:val="24"/>
          <w:szCs w:val="24"/>
        </w:rPr>
        <w:t xml:space="preserve"> (published 2016)</w:t>
      </w:r>
      <w:r>
        <w:rPr>
          <w:rFonts w:ascii="Calibri" w:hAnsi="Calibri" w:cs="Arial"/>
          <w:color w:val="000000"/>
          <w:sz w:val="24"/>
          <w:szCs w:val="24"/>
        </w:rPr>
        <w:t xml:space="preserve">. </w:t>
      </w:r>
    </w:p>
    <w:p w:rsidR="008D74D7" w:rsidRDefault="008D74D7" w:rsidP="008D74D7">
      <w:pPr>
        <w:numPr>
          <w:ilvl w:val="0"/>
          <w:numId w:val="24"/>
        </w:numPr>
        <w:rPr>
          <w:rFonts w:ascii="Calibri" w:hAnsi="Calibri" w:cs="Arial"/>
          <w:color w:val="000000"/>
          <w:sz w:val="24"/>
          <w:szCs w:val="24"/>
        </w:rPr>
      </w:pPr>
      <w:r>
        <w:rPr>
          <w:rFonts w:ascii="Calibri" w:hAnsi="Calibri" w:cs="Arial"/>
          <w:i/>
          <w:color w:val="000000"/>
          <w:sz w:val="24"/>
          <w:szCs w:val="24"/>
        </w:rPr>
        <w:t>Nonfatal Domestic Violence</w:t>
      </w:r>
      <w:r w:rsidR="00246E2F">
        <w:rPr>
          <w:rFonts w:ascii="Calibri" w:hAnsi="Calibri" w:cs="Arial"/>
          <w:i/>
          <w:color w:val="000000"/>
          <w:sz w:val="24"/>
          <w:szCs w:val="24"/>
        </w:rPr>
        <w:t xml:space="preserve"> </w:t>
      </w:r>
      <w:r w:rsidR="00246E2F" w:rsidRPr="000000EB">
        <w:rPr>
          <w:rFonts w:ascii="Calibri" w:hAnsi="Calibri" w:cs="Arial"/>
          <w:color w:val="000000"/>
          <w:sz w:val="24"/>
          <w:szCs w:val="24"/>
        </w:rPr>
        <w:t>–</w:t>
      </w:r>
      <w:r>
        <w:rPr>
          <w:rFonts w:ascii="Calibri" w:hAnsi="Calibri" w:cs="Arial"/>
          <w:i/>
          <w:color w:val="000000"/>
          <w:sz w:val="24"/>
          <w:szCs w:val="24"/>
        </w:rPr>
        <w:t xml:space="preserve"> </w:t>
      </w:r>
      <w:r w:rsidRPr="008D74D7">
        <w:rPr>
          <w:rFonts w:ascii="Calibri" w:hAnsi="Calibri" w:cs="Arial"/>
          <w:color w:val="000000"/>
          <w:sz w:val="24"/>
          <w:szCs w:val="24"/>
        </w:rPr>
        <w:t>Presents estimate</w:t>
      </w:r>
      <w:r>
        <w:rPr>
          <w:rFonts w:ascii="Calibri" w:hAnsi="Calibri" w:cs="Arial"/>
          <w:color w:val="000000"/>
          <w:sz w:val="24"/>
          <w:szCs w:val="24"/>
        </w:rPr>
        <w:t>s on nonfatal domestic violence, which</w:t>
      </w:r>
      <w:r w:rsidRPr="008D74D7">
        <w:rPr>
          <w:rFonts w:ascii="Calibri" w:hAnsi="Calibri" w:cs="Arial"/>
          <w:color w:val="000000"/>
          <w:sz w:val="24"/>
          <w:szCs w:val="24"/>
        </w:rPr>
        <w:t xml:space="preserve"> includes victimization committed by current or former intimate partners (spouses, boyfriends or girlfriends), parents, children, siblings and other relatives</w:t>
      </w:r>
      <w:r w:rsidR="002A665B">
        <w:rPr>
          <w:rFonts w:ascii="Calibri" w:hAnsi="Calibri" w:cs="Arial"/>
          <w:color w:val="000000"/>
          <w:sz w:val="24"/>
          <w:szCs w:val="24"/>
        </w:rPr>
        <w:t xml:space="preserve"> (published 2014)</w:t>
      </w:r>
      <w:r w:rsidRPr="008D74D7">
        <w:rPr>
          <w:rFonts w:ascii="Calibri" w:hAnsi="Calibri" w:cs="Arial"/>
          <w:color w:val="000000"/>
          <w:sz w:val="24"/>
          <w:szCs w:val="24"/>
        </w:rPr>
        <w:t>.</w:t>
      </w:r>
      <w:r w:rsidR="00AB0E24">
        <w:rPr>
          <w:rFonts w:ascii="Calibri" w:hAnsi="Calibri" w:cs="Arial"/>
          <w:color w:val="000000"/>
          <w:sz w:val="24"/>
          <w:szCs w:val="24"/>
        </w:rPr>
        <w:t xml:space="preserve"> </w:t>
      </w:r>
    </w:p>
    <w:p w:rsidR="00F37562" w:rsidRDefault="00F37562" w:rsidP="008D74D7">
      <w:pPr>
        <w:numPr>
          <w:ilvl w:val="0"/>
          <w:numId w:val="24"/>
        </w:numPr>
        <w:rPr>
          <w:rFonts w:ascii="Calibri" w:hAnsi="Calibri" w:cs="Arial"/>
          <w:color w:val="000000"/>
          <w:sz w:val="24"/>
          <w:szCs w:val="24"/>
        </w:rPr>
      </w:pPr>
      <w:r>
        <w:rPr>
          <w:rFonts w:ascii="Calibri" w:hAnsi="Calibri" w:cs="Arial"/>
          <w:i/>
          <w:color w:val="000000"/>
          <w:sz w:val="24"/>
          <w:szCs w:val="24"/>
        </w:rPr>
        <w:t>Asian, Native Hawaiian and Other Pacific Islander Victims of Crime</w:t>
      </w:r>
      <w:r w:rsidR="003D1799">
        <w:rPr>
          <w:rFonts w:ascii="Calibri" w:hAnsi="Calibri" w:cs="Arial"/>
          <w:i/>
          <w:color w:val="000000"/>
          <w:sz w:val="24"/>
          <w:szCs w:val="24"/>
        </w:rPr>
        <w:t xml:space="preserve"> </w:t>
      </w:r>
      <w:r w:rsidR="003D1799" w:rsidRPr="00B86550">
        <w:rPr>
          <w:rFonts w:ascii="Calibri" w:hAnsi="Calibri" w:cs="Arial"/>
          <w:color w:val="000000"/>
          <w:sz w:val="24"/>
          <w:szCs w:val="24"/>
        </w:rPr>
        <w:t>– Will</w:t>
      </w:r>
      <w:r w:rsidR="003D1799">
        <w:rPr>
          <w:rFonts w:ascii="Calibri" w:hAnsi="Calibri" w:cs="Arial"/>
          <w:color w:val="000000"/>
          <w:sz w:val="24"/>
          <w:szCs w:val="24"/>
        </w:rPr>
        <w:t xml:space="preserve"> examine patterns in violent and property victimization for Asian, Native Hawaiian and Other Pacific Islander victims of crime</w:t>
      </w:r>
      <w:r>
        <w:rPr>
          <w:rFonts w:ascii="Calibri" w:hAnsi="Calibri" w:cs="Arial"/>
          <w:color w:val="000000"/>
          <w:sz w:val="24"/>
          <w:szCs w:val="24"/>
        </w:rPr>
        <w:t xml:space="preserve"> </w:t>
      </w:r>
      <w:r w:rsidR="002A665B">
        <w:rPr>
          <w:rFonts w:ascii="Calibri" w:hAnsi="Calibri" w:cs="Arial"/>
          <w:color w:val="000000"/>
          <w:sz w:val="24"/>
          <w:szCs w:val="24"/>
        </w:rPr>
        <w:t>(p</w:t>
      </w:r>
      <w:r>
        <w:rPr>
          <w:rFonts w:ascii="Calibri" w:hAnsi="Calibri" w:cs="Arial"/>
          <w:color w:val="000000"/>
          <w:sz w:val="24"/>
          <w:szCs w:val="24"/>
        </w:rPr>
        <w:t>lanned</w:t>
      </w:r>
      <w:r w:rsidR="002A665B">
        <w:rPr>
          <w:rFonts w:ascii="Calibri" w:hAnsi="Calibri" w:cs="Arial"/>
          <w:color w:val="000000"/>
          <w:sz w:val="24"/>
          <w:szCs w:val="24"/>
        </w:rPr>
        <w:t>)</w:t>
      </w:r>
      <w:r>
        <w:rPr>
          <w:rFonts w:ascii="Calibri" w:hAnsi="Calibri" w:cs="Arial"/>
          <w:color w:val="000000"/>
          <w:sz w:val="24"/>
          <w:szCs w:val="24"/>
        </w:rPr>
        <w:t>.</w:t>
      </w:r>
    </w:p>
    <w:p w:rsidR="00F10DAF" w:rsidRPr="000000EB" w:rsidRDefault="00F10DAF" w:rsidP="00B8509A">
      <w:pPr>
        <w:ind w:left="990"/>
        <w:rPr>
          <w:rFonts w:ascii="Calibri" w:hAnsi="Calibri" w:cs="Arial"/>
          <w:b/>
          <w:color w:val="000000"/>
          <w:sz w:val="24"/>
          <w:szCs w:val="24"/>
          <w:u w:val="single"/>
        </w:rPr>
      </w:pPr>
    </w:p>
    <w:p w:rsidR="00F10DAF" w:rsidRPr="000000EB" w:rsidRDefault="00F10DAF" w:rsidP="00B8509A">
      <w:pPr>
        <w:numPr>
          <w:ilvl w:val="0"/>
          <w:numId w:val="31"/>
        </w:numPr>
        <w:rPr>
          <w:rFonts w:ascii="Calibri" w:hAnsi="Calibri" w:cs="Arial"/>
          <w:b/>
          <w:color w:val="000000"/>
          <w:sz w:val="24"/>
          <w:szCs w:val="24"/>
          <w:u w:val="single"/>
        </w:rPr>
      </w:pPr>
      <w:r w:rsidRPr="000000EB">
        <w:rPr>
          <w:rFonts w:ascii="Calibri" w:hAnsi="Calibri" w:cs="Arial"/>
          <w:b/>
          <w:color w:val="000000"/>
          <w:sz w:val="24"/>
          <w:szCs w:val="24"/>
          <w:u w:val="single"/>
        </w:rPr>
        <w:t>Physical and emotional impact of victimization</w:t>
      </w:r>
    </w:p>
    <w:p w:rsidR="00F10DAF" w:rsidRPr="00F969B4" w:rsidRDefault="00F10DAF" w:rsidP="00B8509A">
      <w:pPr>
        <w:numPr>
          <w:ilvl w:val="0"/>
          <w:numId w:val="24"/>
        </w:numPr>
        <w:rPr>
          <w:rFonts w:ascii="Calibri" w:hAnsi="Calibri" w:cs="Arial"/>
          <w:i/>
          <w:color w:val="000000"/>
          <w:sz w:val="24"/>
          <w:szCs w:val="24"/>
        </w:rPr>
      </w:pPr>
      <w:r w:rsidRPr="000000EB">
        <w:rPr>
          <w:rFonts w:ascii="Calibri" w:hAnsi="Calibri" w:cs="Arial"/>
          <w:i/>
          <w:color w:val="000000"/>
          <w:sz w:val="24"/>
          <w:szCs w:val="24"/>
        </w:rPr>
        <w:t xml:space="preserve">Violent Crime and Emotional Distress </w:t>
      </w:r>
      <w:r w:rsidRPr="000000EB">
        <w:rPr>
          <w:rFonts w:ascii="Calibri" w:hAnsi="Calibri" w:cs="Arial"/>
          <w:color w:val="000000"/>
          <w:sz w:val="24"/>
          <w:szCs w:val="24"/>
        </w:rPr>
        <w:t>– Examines the psychological and physiological consequences of violent crime victimization</w:t>
      </w:r>
      <w:r w:rsidR="009A444A">
        <w:rPr>
          <w:rFonts w:ascii="Calibri" w:hAnsi="Calibri" w:cs="Arial"/>
          <w:color w:val="000000"/>
          <w:sz w:val="24"/>
          <w:szCs w:val="24"/>
        </w:rPr>
        <w:t xml:space="preserve"> (published 2014)</w:t>
      </w:r>
      <w:r w:rsidRPr="000000EB">
        <w:rPr>
          <w:rFonts w:ascii="Calibri" w:hAnsi="Calibri" w:cs="Arial"/>
          <w:color w:val="000000"/>
          <w:sz w:val="24"/>
          <w:szCs w:val="24"/>
        </w:rPr>
        <w:t>.</w:t>
      </w:r>
    </w:p>
    <w:p w:rsidR="00F37562" w:rsidRPr="000000EB" w:rsidRDefault="00F37562" w:rsidP="00F969B4">
      <w:pPr>
        <w:numPr>
          <w:ilvl w:val="0"/>
          <w:numId w:val="24"/>
        </w:numPr>
        <w:rPr>
          <w:rFonts w:ascii="Calibri" w:hAnsi="Calibri" w:cs="Arial"/>
          <w:i/>
          <w:color w:val="000000"/>
          <w:sz w:val="24"/>
          <w:szCs w:val="24"/>
        </w:rPr>
      </w:pPr>
      <w:r>
        <w:rPr>
          <w:rFonts w:ascii="Calibri" w:hAnsi="Calibri" w:cs="Arial"/>
          <w:i/>
          <w:color w:val="000000"/>
          <w:sz w:val="24"/>
          <w:szCs w:val="24"/>
        </w:rPr>
        <w:t>Formal Help-Seeking in Violent Victimizations, 2009-2016</w:t>
      </w:r>
      <w:r w:rsidR="003D1799">
        <w:rPr>
          <w:rFonts w:ascii="Calibri" w:hAnsi="Calibri" w:cs="Arial"/>
          <w:i/>
          <w:color w:val="000000"/>
          <w:sz w:val="24"/>
          <w:szCs w:val="24"/>
        </w:rPr>
        <w:t xml:space="preserve"> </w:t>
      </w:r>
      <w:r w:rsidR="003D1799" w:rsidRPr="009A444A">
        <w:rPr>
          <w:rFonts w:ascii="Calibri" w:hAnsi="Calibri" w:cs="Arial"/>
          <w:color w:val="000000"/>
          <w:sz w:val="24"/>
          <w:szCs w:val="24"/>
        </w:rPr>
        <w:t>– Will</w:t>
      </w:r>
      <w:r w:rsidR="003D1799">
        <w:rPr>
          <w:rFonts w:ascii="Calibri" w:hAnsi="Calibri" w:cs="Arial"/>
          <w:color w:val="000000"/>
          <w:sz w:val="24"/>
          <w:szCs w:val="24"/>
        </w:rPr>
        <w:t xml:space="preserve"> examine patterns and trends in victim help-seeking following violent victimization</w:t>
      </w:r>
      <w:r>
        <w:rPr>
          <w:rFonts w:ascii="Calibri" w:hAnsi="Calibri" w:cs="Arial"/>
          <w:color w:val="000000"/>
          <w:sz w:val="24"/>
          <w:szCs w:val="24"/>
        </w:rPr>
        <w:t xml:space="preserve"> </w:t>
      </w:r>
      <w:r w:rsidR="002A665B">
        <w:rPr>
          <w:rFonts w:ascii="Calibri" w:hAnsi="Calibri" w:cs="Arial"/>
          <w:color w:val="000000"/>
          <w:sz w:val="24"/>
          <w:szCs w:val="24"/>
        </w:rPr>
        <w:t>(p</w:t>
      </w:r>
      <w:r>
        <w:rPr>
          <w:rFonts w:ascii="Calibri" w:hAnsi="Calibri" w:cs="Arial"/>
          <w:color w:val="000000"/>
          <w:sz w:val="24"/>
          <w:szCs w:val="24"/>
        </w:rPr>
        <w:t>lanned</w:t>
      </w:r>
      <w:r w:rsidR="002A665B">
        <w:rPr>
          <w:rFonts w:ascii="Calibri" w:hAnsi="Calibri" w:cs="Arial"/>
          <w:color w:val="000000"/>
          <w:sz w:val="24"/>
          <w:szCs w:val="24"/>
        </w:rPr>
        <w:t>)</w:t>
      </w:r>
      <w:r>
        <w:rPr>
          <w:rFonts w:ascii="Calibri" w:hAnsi="Calibri" w:cs="Arial"/>
          <w:color w:val="000000"/>
          <w:sz w:val="24"/>
          <w:szCs w:val="24"/>
        </w:rPr>
        <w:t>.</w:t>
      </w:r>
    </w:p>
    <w:p w:rsidR="00F10DAF" w:rsidRPr="000000EB" w:rsidRDefault="00F10DAF" w:rsidP="00B8509A">
      <w:pPr>
        <w:ind w:left="990"/>
        <w:rPr>
          <w:rFonts w:ascii="Calibri" w:hAnsi="Calibri" w:cs="Arial"/>
          <w:b/>
          <w:color w:val="000000"/>
          <w:sz w:val="24"/>
          <w:szCs w:val="24"/>
          <w:u w:val="single"/>
        </w:rPr>
      </w:pPr>
    </w:p>
    <w:p w:rsidR="00F10DAF" w:rsidRPr="000000EB" w:rsidRDefault="00F10DAF" w:rsidP="00B8509A">
      <w:pPr>
        <w:numPr>
          <w:ilvl w:val="0"/>
          <w:numId w:val="31"/>
        </w:numPr>
        <w:rPr>
          <w:rFonts w:ascii="Calibri" w:hAnsi="Calibri" w:cs="Arial"/>
          <w:b/>
          <w:color w:val="000000"/>
          <w:sz w:val="24"/>
          <w:szCs w:val="24"/>
          <w:u w:val="single"/>
        </w:rPr>
      </w:pPr>
      <w:r w:rsidRPr="000000EB">
        <w:rPr>
          <w:rFonts w:ascii="Calibri" w:hAnsi="Calibri" w:cs="Arial"/>
          <w:b/>
          <w:color w:val="000000"/>
          <w:sz w:val="24"/>
          <w:szCs w:val="24"/>
          <w:u w:val="single"/>
        </w:rPr>
        <w:t>Reporting to police and police response</w:t>
      </w:r>
    </w:p>
    <w:p w:rsidR="00246E2F" w:rsidRPr="005D1CE6" w:rsidRDefault="00246E2F" w:rsidP="00246E2F">
      <w:pPr>
        <w:numPr>
          <w:ilvl w:val="0"/>
          <w:numId w:val="24"/>
        </w:numPr>
        <w:rPr>
          <w:rFonts w:ascii="Calibri" w:hAnsi="Calibri" w:cs="Arial"/>
          <w:i/>
          <w:color w:val="000000"/>
          <w:sz w:val="24"/>
          <w:szCs w:val="24"/>
        </w:rPr>
      </w:pPr>
      <w:r>
        <w:rPr>
          <w:rFonts w:ascii="Calibri" w:hAnsi="Calibri" w:cs="Arial"/>
          <w:i/>
          <w:color w:val="000000"/>
          <w:sz w:val="24"/>
          <w:szCs w:val="24"/>
        </w:rPr>
        <w:t xml:space="preserve">Police Response to Domestic Violence </w:t>
      </w:r>
      <w:r w:rsidRPr="000000EB">
        <w:rPr>
          <w:rFonts w:ascii="Calibri" w:hAnsi="Calibri" w:cs="Arial"/>
          <w:color w:val="000000"/>
          <w:sz w:val="24"/>
          <w:szCs w:val="24"/>
        </w:rPr>
        <w:t>–</w:t>
      </w:r>
      <w:r>
        <w:rPr>
          <w:rFonts w:ascii="Calibri" w:hAnsi="Calibri" w:cs="Arial"/>
          <w:color w:val="000000"/>
          <w:sz w:val="24"/>
          <w:szCs w:val="24"/>
        </w:rPr>
        <w:t xml:space="preserve"> Presents data </w:t>
      </w:r>
      <w:r w:rsidR="000D6E53">
        <w:rPr>
          <w:rFonts w:ascii="Calibri" w:hAnsi="Calibri" w:cs="Arial"/>
          <w:color w:val="000000"/>
          <w:sz w:val="24"/>
          <w:szCs w:val="24"/>
        </w:rPr>
        <w:t xml:space="preserve">on </w:t>
      </w:r>
      <w:r w:rsidRPr="00246E2F">
        <w:rPr>
          <w:rFonts w:ascii="Calibri" w:hAnsi="Calibri" w:cs="Arial"/>
          <w:color w:val="000000"/>
          <w:sz w:val="24"/>
          <w:szCs w:val="24"/>
        </w:rPr>
        <w:t>nonfatal domestic violence victimizations reported to police, the police response to these victimizations, the prevalence of related arrests or charges, and criminal complaints signed against the offender</w:t>
      </w:r>
      <w:r w:rsidR="002A665B">
        <w:rPr>
          <w:rFonts w:ascii="Calibri" w:hAnsi="Calibri" w:cs="Arial"/>
          <w:color w:val="000000"/>
          <w:sz w:val="24"/>
          <w:szCs w:val="24"/>
        </w:rPr>
        <w:t xml:space="preserve"> (published 2017)</w:t>
      </w:r>
      <w:r w:rsidRPr="00246E2F">
        <w:rPr>
          <w:rFonts w:ascii="Calibri" w:hAnsi="Calibri" w:cs="Arial"/>
          <w:color w:val="000000"/>
          <w:sz w:val="24"/>
          <w:szCs w:val="24"/>
        </w:rPr>
        <w:t>.</w:t>
      </w:r>
    </w:p>
    <w:p w:rsidR="005D1CE6" w:rsidRDefault="005D1CE6" w:rsidP="005D1CE6">
      <w:pPr>
        <w:numPr>
          <w:ilvl w:val="0"/>
          <w:numId w:val="24"/>
        </w:numPr>
        <w:rPr>
          <w:rFonts w:ascii="Calibri" w:hAnsi="Calibri" w:cs="Arial"/>
          <w:i/>
          <w:color w:val="000000"/>
          <w:sz w:val="24"/>
          <w:szCs w:val="24"/>
        </w:rPr>
      </w:pPr>
      <w:r>
        <w:rPr>
          <w:rFonts w:ascii="Calibri" w:hAnsi="Calibri" w:cs="Arial"/>
          <w:i/>
          <w:color w:val="000000"/>
          <w:sz w:val="24"/>
          <w:szCs w:val="24"/>
        </w:rPr>
        <w:t xml:space="preserve">Victimizations Reported to Police by Place </w:t>
      </w:r>
      <w:r>
        <w:rPr>
          <w:rFonts w:ascii="Calibri" w:hAnsi="Calibri" w:cs="Arial"/>
          <w:color w:val="000000"/>
          <w:sz w:val="24"/>
          <w:szCs w:val="24"/>
        </w:rPr>
        <w:t>– Presents data on victimizations reported to police across different types of areas in the U.S.</w:t>
      </w:r>
      <w:r w:rsidR="001674AF">
        <w:rPr>
          <w:rFonts w:ascii="Calibri" w:hAnsi="Calibri" w:cs="Arial"/>
          <w:color w:val="000000"/>
          <w:sz w:val="24"/>
          <w:szCs w:val="24"/>
        </w:rPr>
        <w:t xml:space="preserve"> </w:t>
      </w:r>
      <w:r w:rsidR="00AA7B9A">
        <w:rPr>
          <w:rFonts w:ascii="Calibri" w:hAnsi="Calibri" w:cs="Arial"/>
          <w:color w:val="000000"/>
          <w:sz w:val="24"/>
          <w:szCs w:val="24"/>
        </w:rPr>
        <w:t>(p</w:t>
      </w:r>
      <w:r w:rsidR="001674AF">
        <w:rPr>
          <w:rFonts w:ascii="Calibri" w:hAnsi="Calibri" w:cs="Arial"/>
          <w:color w:val="000000"/>
          <w:sz w:val="24"/>
          <w:szCs w:val="24"/>
        </w:rPr>
        <w:t>lanned</w:t>
      </w:r>
      <w:r w:rsidR="00AA7B9A">
        <w:rPr>
          <w:rFonts w:ascii="Calibri" w:hAnsi="Calibri" w:cs="Arial"/>
          <w:color w:val="000000"/>
          <w:sz w:val="24"/>
          <w:szCs w:val="24"/>
        </w:rPr>
        <w:t>)</w:t>
      </w:r>
      <w:r w:rsidR="001674AF">
        <w:rPr>
          <w:rFonts w:ascii="Calibri" w:hAnsi="Calibri" w:cs="Arial"/>
          <w:color w:val="000000"/>
          <w:sz w:val="24"/>
          <w:szCs w:val="24"/>
        </w:rPr>
        <w:t>.</w:t>
      </w:r>
    </w:p>
    <w:p w:rsidR="00F10DAF" w:rsidRPr="000000EB" w:rsidRDefault="00F10DAF" w:rsidP="00B8509A">
      <w:pPr>
        <w:numPr>
          <w:ilvl w:val="0"/>
          <w:numId w:val="24"/>
        </w:numPr>
        <w:rPr>
          <w:rFonts w:ascii="Calibri" w:hAnsi="Calibri" w:cs="Arial"/>
          <w:i/>
          <w:color w:val="000000"/>
          <w:sz w:val="24"/>
          <w:szCs w:val="24"/>
        </w:rPr>
      </w:pPr>
      <w:r w:rsidRPr="000000EB">
        <w:rPr>
          <w:rFonts w:ascii="Calibri" w:hAnsi="Calibri" w:cs="Arial"/>
          <w:i/>
          <w:color w:val="000000"/>
          <w:sz w:val="24"/>
          <w:szCs w:val="24"/>
        </w:rPr>
        <w:t>Victimizations Not Reported to Police</w:t>
      </w:r>
      <w:r w:rsidR="00246E2F">
        <w:rPr>
          <w:rFonts w:ascii="Calibri" w:hAnsi="Calibri" w:cs="Arial"/>
          <w:i/>
          <w:color w:val="000000"/>
          <w:sz w:val="24"/>
          <w:szCs w:val="24"/>
        </w:rPr>
        <w:t xml:space="preserve"> </w:t>
      </w:r>
      <w:r w:rsidR="00246E2F" w:rsidRPr="000000EB">
        <w:rPr>
          <w:rFonts w:ascii="Calibri" w:hAnsi="Calibri" w:cs="Arial"/>
          <w:color w:val="000000"/>
          <w:sz w:val="24"/>
          <w:szCs w:val="24"/>
        </w:rPr>
        <w:t>–</w:t>
      </w:r>
      <w:r w:rsidRPr="000000EB">
        <w:rPr>
          <w:rFonts w:ascii="Calibri" w:hAnsi="Calibri" w:cs="Arial"/>
          <w:color w:val="000000"/>
          <w:sz w:val="24"/>
          <w:szCs w:val="24"/>
        </w:rPr>
        <w:t xml:space="preserve"> </w:t>
      </w:r>
      <w:r w:rsidR="00AB0EF6">
        <w:rPr>
          <w:rFonts w:ascii="Calibri" w:hAnsi="Calibri" w:cs="Arial"/>
          <w:color w:val="000000"/>
          <w:sz w:val="24"/>
          <w:szCs w:val="24"/>
        </w:rPr>
        <w:t>Will p</w:t>
      </w:r>
      <w:r w:rsidRPr="000000EB">
        <w:rPr>
          <w:rFonts w:ascii="Calibri" w:hAnsi="Calibri" w:cs="Arial"/>
          <w:color w:val="000000"/>
          <w:sz w:val="24"/>
          <w:szCs w:val="24"/>
        </w:rPr>
        <w:t>resents patterns and trends in victimizations that go unreported and the reasons why victims do not report to police.</w:t>
      </w:r>
      <w:r w:rsidR="00A33DA4">
        <w:rPr>
          <w:rFonts w:ascii="Calibri" w:hAnsi="Calibri" w:cs="Arial"/>
          <w:color w:val="000000"/>
          <w:sz w:val="24"/>
          <w:szCs w:val="24"/>
        </w:rPr>
        <w:t xml:space="preserve"> </w:t>
      </w:r>
      <w:r w:rsidR="00B57991">
        <w:rPr>
          <w:rFonts w:ascii="Calibri" w:hAnsi="Calibri" w:cs="Arial"/>
          <w:color w:val="000000"/>
          <w:sz w:val="24"/>
          <w:szCs w:val="24"/>
        </w:rPr>
        <w:t>Last p</w:t>
      </w:r>
      <w:r w:rsidR="00A33DA4">
        <w:rPr>
          <w:rFonts w:ascii="Calibri" w:hAnsi="Calibri" w:cs="Arial"/>
          <w:color w:val="000000"/>
          <w:sz w:val="24"/>
          <w:szCs w:val="24"/>
        </w:rPr>
        <w:t>ublished 2012.</w:t>
      </w:r>
      <w:r w:rsidR="00B57991">
        <w:rPr>
          <w:rFonts w:ascii="Calibri" w:hAnsi="Calibri" w:cs="Arial"/>
          <w:color w:val="000000"/>
          <w:sz w:val="24"/>
          <w:szCs w:val="24"/>
        </w:rPr>
        <w:t xml:space="preserve"> Planned for 2018.</w:t>
      </w:r>
    </w:p>
    <w:p w:rsidR="00F10DAF" w:rsidRPr="000000EB" w:rsidRDefault="00F10DAF" w:rsidP="00B8509A">
      <w:pPr>
        <w:ind w:left="990"/>
        <w:rPr>
          <w:rFonts w:ascii="Calibri" w:hAnsi="Calibri" w:cs="Arial"/>
          <w:b/>
          <w:color w:val="000000"/>
          <w:sz w:val="24"/>
          <w:szCs w:val="24"/>
          <w:u w:val="single"/>
        </w:rPr>
      </w:pPr>
    </w:p>
    <w:p w:rsidR="00F10DAF" w:rsidRPr="000000EB" w:rsidRDefault="00F10DAF" w:rsidP="00B8509A">
      <w:pPr>
        <w:numPr>
          <w:ilvl w:val="0"/>
          <w:numId w:val="31"/>
        </w:numPr>
        <w:rPr>
          <w:rFonts w:ascii="Calibri" w:hAnsi="Calibri" w:cs="Arial"/>
          <w:b/>
          <w:color w:val="000000"/>
          <w:sz w:val="24"/>
          <w:szCs w:val="24"/>
          <w:u w:val="single"/>
        </w:rPr>
      </w:pPr>
      <w:r w:rsidRPr="000000EB">
        <w:rPr>
          <w:rFonts w:ascii="Calibri" w:hAnsi="Calibri" w:cs="Arial"/>
          <w:b/>
          <w:color w:val="000000"/>
          <w:sz w:val="24"/>
          <w:szCs w:val="24"/>
          <w:u w:val="single"/>
        </w:rPr>
        <w:t>Bias-motivated victimizations</w:t>
      </w:r>
    </w:p>
    <w:p w:rsidR="00F10DAF" w:rsidRPr="000000EB" w:rsidRDefault="00F10DAF" w:rsidP="00B8509A">
      <w:pPr>
        <w:numPr>
          <w:ilvl w:val="0"/>
          <w:numId w:val="24"/>
        </w:numPr>
        <w:rPr>
          <w:rFonts w:ascii="Calibri" w:hAnsi="Calibri" w:cs="Arial"/>
          <w:i/>
          <w:color w:val="000000"/>
          <w:sz w:val="24"/>
          <w:szCs w:val="24"/>
        </w:rPr>
      </w:pPr>
      <w:r w:rsidRPr="000000EB">
        <w:rPr>
          <w:rFonts w:ascii="Calibri" w:hAnsi="Calibri" w:cs="Arial"/>
          <w:i/>
          <w:color w:val="000000"/>
          <w:sz w:val="24"/>
          <w:szCs w:val="24"/>
        </w:rPr>
        <w:t xml:space="preserve">Hate Crime – </w:t>
      </w:r>
      <w:r w:rsidRPr="000000EB">
        <w:rPr>
          <w:rFonts w:ascii="Calibri" w:hAnsi="Calibri" w:cs="Arial"/>
          <w:color w:val="000000"/>
          <w:sz w:val="24"/>
          <w:szCs w:val="24"/>
        </w:rPr>
        <w:t>Presents patterns and trends in victimizations motivated by racial, ethnic, gender, sexual orientation, or disability bias</w:t>
      </w:r>
      <w:r w:rsidR="00AA7B9A">
        <w:rPr>
          <w:rFonts w:ascii="Calibri" w:hAnsi="Calibri" w:cs="Arial"/>
          <w:color w:val="000000"/>
          <w:sz w:val="24"/>
          <w:szCs w:val="24"/>
        </w:rPr>
        <w:t xml:space="preserve">. Last </w:t>
      </w:r>
      <w:r w:rsidR="002A665B">
        <w:rPr>
          <w:rFonts w:ascii="Calibri" w:hAnsi="Calibri" w:cs="Arial"/>
          <w:color w:val="000000"/>
          <w:sz w:val="24"/>
          <w:szCs w:val="24"/>
        </w:rPr>
        <w:t>published 2017</w:t>
      </w:r>
      <w:r w:rsidRPr="000000EB">
        <w:rPr>
          <w:rFonts w:ascii="Calibri" w:hAnsi="Calibri" w:cs="Arial"/>
          <w:color w:val="000000"/>
          <w:sz w:val="24"/>
          <w:szCs w:val="24"/>
        </w:rPr>
        <w:t>.</w:t>
      </w:r>
    </w:p>
    <w:p w:rsidR="006E74C8" w:rsidRDefault="006E74C8" w:rsidP="00B8509A">
      <w:pPr>
        <w:ind w:left="1080"/>
        <w:rPr>
          <w:rFonts w:ascii="Calibri" w:hAnsi="Calibri" w:cs="Arial"/>
          <w:i/>
          <w:color w:val="000000"/>
          <w:sz w:val="24"/>
          <w:szCs w:val="24"/>
        </w:rPr>
      </w:pPr>
    </w:p>
    <w:p w:rsidR="009A43E3" w:rsidRPr="000000EB" w:rsidRDefault="009A43E3" w:rsidP="00B8509A">
      <w:pPr>
        <w:ind w:left="1080"/>
        <w:rPr>
          <w:rFonts w:ascii="Calibri" w:hAnsi="Calibri" w:cs="Arial"/>
          <w:i/>
          <w:color w:val="000000"/>
          <w:sz w:val="24"/>
          <w:szCs w:val="24"/>
        </w:rPr>
      </w:pPr>
    </w:p>
    <w:p w:rsidR="00A24274" w:rsidRDefault="00FD505C" w:rsidP="00B8509A">
      <w:pPr>
        <w:ind w:left="630"/>
        <w:rPr>
          <w:rFonts w:ascii="Calibri" w:hAnsi="Calibri" w:cs="Arial"/>
          <w:color w:val="000000"/>
          <w:sz w:val="24"/>
          <w:szCs w:val="24"/>
        </w:rPr>
      </w:pPr>
      <w:r w:rsidRPr="000000EB">
        <w:rPr>
          <w:rFonts w:ascii="Calibri" w:hAnsi="Calibri" w:cs="Arial"/>
          <w:color w:val="000000"/>
          <w:sz w:val="24"/>
          <w:szCs w:val="24"/>
        </w:rPr>
        <w:t xml:space="preserve">Each of these products provides unique information that cannot be ascertained from other sources of data and the public, government agencies, and the criminal justice community rely </w:t>
      </w:r>
      <w:r w:rsidR="001B477B" w:rsidRPr="000000EB">
        <w:rPr>
          <w:rFonts w:ascii="Calibri" w:hAnsi="Calibri" w:cs="Arial"/>
          <w:color w:val="000000"/>
          <w:sz w:val="24"/>
          <w:szCs w:val="24"/>
        </w:rPr>
        <w:t>upon</w:t>
      </w:r>
      <w:r w:rsidRPr="000000EB">
        <w:rPr>
          <w:rFonts w:ascii="Calibri" w:hAnsi="Calibri" w:cs="Arial"/>
          <w:color w:val="000000"/>
          <w:sz w:val="24"/>
          <w:szCs w:val="24"/>
        </w:rPr>
        <w:t xml:space="preserve">. </w:t>
      </w:r>
    </w:p>
    <w:p w:rsidR="008F2208" w:rsidRDefault="008F2208" w:rsidP="00B8509A">
      <w:pPr>
        <w:ind w:left="630"/>
        <w:rPr>
          <w:rFonts w:ascii="Calibri" w:hAnsi="Calibri" w:cs="Arial"/>
          <w:color w:val="000000"/>
          <w:sz w:val="24"/>
          <w:szCs w:val="24"/>
        </w:rPr>
      </w:pPr>
    </w:p>
    <w:p w:rsidR="00FD505C" w:rsidRPr="000000EB" w:rsidRDefault="00FD505C" w:rsidP="00B8509A">
      <w:pPr>
        <w:ind w:left="630"/>
        <w:rPr>
          <w:rFonts w:ascii="Calibri" w:hAnsi="Calibri" w:cs="Arial"/>
          <w:color w:val="000000"/>
          <w:sz w:val="24"/>
          <w:szCs w:val="24"/>
        </w:rPr>
      </w:pPr>
      <w:r w:rsidRPr="000000EB">
        <w:rPr>
          <w:rFonts w:ascii="Calibri" w:hAnsi="Calibri" w:cs="Arial"/>
          <w:color w:val="000000"/>
          <w:sz w:val="24"/>
          <w:szCs w:val="24"/>
        </w:rPr>
        <w:t>BJS also produce</w:t>
      </w:r>
      <w:r w:rsidR="00EC4721">
        <w:rPr>
          <w:rFonts w:ascii="Calibri" w:hAnsi="Calibri" w:cs="Arial"/>
          <w:color w:val="000000"/>
          <w:sz w:val="24"/>
          <w:szCs w:val="24"/>
        </w:rPr>
        <w:t>s</w:t>
      </w:r>
      <w:r w:rsidRPr="000000EB">
        <w:rPr>
          <w:rFonts w:ascii="Calibri" w:hAnsi="Calibri" w:cs="Arial"/>
          <w:color w:val="000000"/>
          <w:sz w:val="24"/>
          <w:szCs w:val="24"/>
        </w:rPr>
        <w:t xml:space="preserve"> a number of technical and methodological reports as a part of the NCVS </w:t>
      </w:r>
      <w:r w:rsidR="00A24274" w:rsidRPr="000000EB">
        <w:rPr>
          <w:rFonts w:ascii="Calibri" w:hAnsi="Calibri" w:cs="Arial"/>
          <w:color w:val="000000"/>
          <w:sz w:val="24"/>
          <w:szCs w:val="24"/>
        </w:rPr>
        <w:t xml:space="preserve">core </w:t>
      </w:r>
      <w:r w:rsidR="00A24274">
        <w:rPr>
          <w:rFonts w:ascii="Calibri" w:hAnsi="Calibri" w:cs="Arial"/>
          <w:color w:val="000000"/>
          <w:sz w:val="24"/>
          <w:szCs w:val="24"/>
        </w:rPr>
        <w:t xml:space="preserve">project </w:t>
      </w:r>
      <w:r w:rsidRPr="000000EB">
        <w:rPr>
          <w:rFonts w:ascii="Calibri" w:hAnsi="Calibri" w:cs="Arial"/>
          <w:color w:val="000000"/>
          <w:sz w:val="24"/>
          <w:szCs w:val="24"/>
        </w:rPr>
        <w:t xml:space="preserve">work. </w:t>
      </w:r>
    </w:p>
    <w:p w:rsidR="00FD505C" w:rsidRPr="000000EB" w:rsidRDefault="00FD505C" w:rsidP="00B8509A">
      <w:pPr>
        <w:ind w:left="1080"/>
        <w:rPr>
          <w:rFonts w:ascii="Calibri" w:hAnsi="Calibri" w:cs="Arial"/>
          <w:i/>
          <w:color w:val="000000"/>
          <w:sz w:val="24"/>
          <w:szCs w:val="24"/>
        </w:rPr>
      </w:pPr>
    </w:p>
    <w:p w:rsidR="006E74C8" w:rsidRPr="000000EB" w:rsidRDefault="006E74C8" w:rsidP="00B8509A">
      <w:pPr>
        <w:ind w:left="630"/>
        <w:rPr>
          <w:rFonts w:ascii="Calibri" w:hAnsi="Calibri" w:cs="Arial"/>
          <w:b/>
          <w:i/>
          <w:color w:val="000000"/>
          <w:sz w:val="24"/>
          <w:szCs w:val="24"/>
        </w:rPr>
      </w:pPr>
      <w:r w:rsidRPr="000000EB">
        <w:rPr>
          <w:rFonts w:ascii="Calibri" w:hAnsi="Calibri" w:cs="Arial"/>
          <w:b/>
          <w:i/>
          <w:color w:val="000000"/>
          <w:sz w:val="24"/>
          <w:szCs w:val="24"/>
        </w:rPr>
        <w:t>Technical/Methodological</w:t>
      </w:r>
      <w:r w:rsidR="00637729" w:rsidRPr="000000EB">
        <w:rPr>
          <w:rFonts w:ascii="Calibri" w:hAnsi="Calibri" w:cs="Arial"/>
          <w:b/>
          <w:i/>
          <w:color w:val="000000"/>
          <w:sz w:val="24"/>
          <w:szCs w:val="24"/>
        </w:rPr>
        <w:t xml:space="preserve"> Research</w:t>
      </w:r>
    </w:p>
    <w:p w:rsidR="00464443" w:rsidRDefault="008D47AD" w:rsidP="008D47AD">
      <w:pPr>
        <w:numPr>
          <w:ilvl w:val="0"/>
          <w:numId w:val="24"/>
        </w:numPr>
        <w:rPr>
          <w:rFonts w:ascii="Calibri" w:hAnsi="Calibri" w:cs="Arial"/>
          <w:i/>
          <w:color w:val="000000"/>
          <w:sz w:val="24"/>
          <w:szCs w:val="24"/>
        </w:rPr>
      </w:pPr>
      <w:r w:rsidRPr="008D47AD">
        <w:rPr>
          <w:rFonts w:ascii="Calibri" w:hAnsi="Calibri" w:cs="Arial"/>
          <w:i/>
          <w:color w:val="000000"/>
          <w:sz w:val="24"/>
          <w:szCs w:val="24"/>
        </w:rPr>
        <w:t>Developmental Estimates Of Subnational Crime Rates Based On The National Crime Victimization Survey</w:t>
      </w:r>
      <w:r w:rsidR="00464443">
        <w:rPr>
          <w:rFonts w:ascii="Calibri" w:hAnsi="Calibri" w:cs="Arial"/>
          <w:i/>
          <w:color w:val="000000"/>
          <w:sz w:val="24"/>
          <w:szCs w:val="24"/>
        </w:rPr>
        <w:t xml:space="preserve"> –</w:t>
      </w:r>
      <w:r w:rsidR="00464443">
        <w:rPr>
          <w:rFonts w:ascii="Calibri" w:hAnsi="Calibri" w:cs="Arial"/>
          <w:color w:val="000000"/>
          <w:sz w:val="24"/>
          <w:szCs w:val="24"/>
        </w:rPr>
        <w:t xml:space="preserve"> Presents work on the use of small-area estimation to generate estimates of violent and property victimization in the 50 largest states and largest counties in the U</w:t>
      </w:r>
      <w:r w:rsidR="000D6E53">
        <w:rPr>
          <w:rFonts w:ascii="Calibri" w:hAnsi="Calibri" w:cs="Arial"/>
          <w:color w:val="000000"/>
          <w:sz w:val="24"/>
          <w:szCs w:val="24"/>
        </w:rPr>
        <w:t>.</w:t>
      </w:r>
      <w:r w:rsidR="00464443">
        <w:rPr>
          <w:rFonts w:ascii="Calibri" w:hAnsi="Calibri" w:cs="Arial"/>
          <w:color w:val="000000"/>
          <w:sz w:val="24"/>
          <w:szCs w:val="24"/>
        </w:rPr>
        <w:t>S</w:t>
      </w:r>
      <w:r w:rsidR="000D6E53">
        <w:rPr>
          <w:rFonts w:ascii="Calibri" w:hAnsi="Calibri" w:cs="Arial"/>
          <w:color w:val="000000"/>
          <w:sz w:val="24"/>
          <w:szCs w:val="24"/>
        </w:rPr>
        <w:t>.</w:t>
      </w:r>
      <w:r w:rsidR="00A24274">
        <w:rPr>
          <w:rFonts w:ascii="Calibri" w:hAnsi="Calibri" w:cs="Arial"/>
          <w:color w:val="000000"/>
          <w:sz w:val="24"/>
          <w:szCs w:val="24"/>
        </w:rPr>
        <w:t xml:space="preserve"> Published 2015.</w:t>
      </w:r>
    </w:p>
    <w:p w:rsidR="00F824A4" w:rsidRPr="008D47AD" w:rsidRDefault="008D47AD" w:rsidP="008D47AD">
      <w:pPr>
        <w:numPr>
          <w:ilvl w:val="0"/>
          <w:numId w:val="24"/>
        </w:numPr>
        <w:rPr>
          <w:rFonts w:ascii="Calibri" w:hAnsi="Calibri" w:cs="Arial"/>
          <w:i/>
          <w:color w:val="000000"/>
          <w:sz w:val="24"/>
          <w:szCs w:val="24"/>
        </w:rPr>
      </w:pPr>
      <w:r w:rsidRPr="008D47AD">
        <w:rPr>
          <w:rFonts w:ascii="Calibri" w:hAnsi="Calibri" w:cs="Arial"/>
          <w:i/>
          <w:color w:val="000000"/>
          <w:sz w:val="24"/>
          <w:szCs w:val="24"/>
        </w:rPr>
        <w:t>Assessing The Coverage And Reliability Of Subnational Geographic Identifiers In The NCVS Public-Use File</w:t>
      </w:r>
      <w:r>
        <w:rPr>
          <w:rFonts w:ascii="Calibri" w:hAnsi="Calibri" w:cs="Arial"/>
          <w:i/>
          <w:color w:val="000000"/>
          <w:sz w:val="24"/>
          <w:szCs w:val="24"/>
        </w:rPr>
        <w:t xml:space="preserve"> –</w:t>
      </w:r>
      <w:r w:rsidR="00F824A4" w:rsidRPr="000000EB">
        <w:rPr>
          <w:rFonts w:ascii="Calibri" w:hAnsi="Calibri" w:cs="Arial"/>
          <w:color w:val="000000"/>
          <w:sz w:val="24"/>
          <w:szCs w:val="24"/>
        </w:rPr>
        <w:t xml:space="preserve"> Presents research on the feasibility of </w:t>
      </w:r>
      <w:r w:rsidR="002B445C" w:rsidRPr="000000EB">
        <w:rPr>
          <w:rFonts w:ascii="Calibri" w:hAnsi="Calibri" w:cs="Arial"/>
          <w:color w:val="000000"/>
          <w:sz w:val="24"/>
          <w:szCs w:val="24"/>
        </w:rPr>
        <w:t xml:space="preserve">and initial efforts at </w:t>
      </w:r>
      <w:r w:rsidR="00F824A4" w:rsidRPr="000000EB">
        <w:rPr>
          <w:rFonts w:ascii="Calibri" w:hAnsi="Calibri" w:cs="Arial"/>
          <w:color w:val="000000"/>
          <w:sz w:val="24"/>
          <w:szCs w:val="24"/>
        </w:rPr>
        <w:t>examining patterns and trends in crime for subnational, generic areas based on region, MSA, and population.</w:t>
      </w:r>
      <w:r w:rsidR="00A24274">
        <w:rPr>
          <w:rFonts w:ascii="Calibri" w:hAnsi="Calibri" w:cs="Arial"/>
          <w:color w:val="000000"/>
          <w:sz w:val="24"/>
          <w:szCs w:val="24"/>
        </w:rPr>
        <w:t xml:space="preserve"> Published 2015.</w:t>
      </w:r>
    </w:p>
    <w:p w:rsidR="008D47AD" w:rsidRPr="000000EB" w:rsidRDefault="008D47AD" w:rsidP="008D47AD">
      <w:pPr>
        <w:numPr>
          <w:ilvl w:val="0"/>
          <w:numId w:val="24"/>
        </w:numPr>
        <w:rPr>
          <w:rFonts w:ascii="Calibri" w:hAnsi="Calibri" w:cs="Arial"/>
          <w:i/>
          <w:color w:val="000000"/>
          <w:sz w:val="24"/>
          <w:szCs w:val="24"/>
        </w:rPr>
      </w:pPr>
      <w:r w:rsidRPr="008D47AD">
        <w:rPr>
          <w:rFonts w:ascii="Calibri" w:hAnsi="Calibri" w:cs="Arial"/>
          <w:i/>
          <w:color w:val="000000"/>
          <w:sz w:val="24"/>
          <w:szCs w:val="24"/>
        </w:rPr>
        <w:t>Evaluation Of Direct Variance Estimation, Estimate Reliability, And Confidence Intervals For The National Crime Victimization Survey</w:t>
      </w:r>
      <w:r>
        <w:rPr>
          <w:rFonts w:ascii="Calibri" w:hAnsi="Calibri" w:cs="Arial"/>
          <w:i/>
          <w:color w:val="000000"/>
          <w:sz w:val="24"/>
          <w:szCs w:val="24"/>
        </w:rPr>
        <w:t xml:space="preserve"> </w:t>
      </w:r>
      <w:r>
        <w:rPr>
          <w:rFonts w:ascii="Calibri" w:hAnsi="Calibri" w:cs="Arial"/>
          <w:color w:val="000000"/>
          <w:sz w:val="24"/>
          <w:szCs w:val="24"/>
        </w:rPr>
        <w:t xml:space="preserve">– </w:t>
      </w:r>
      <w:r w:rsidR="00065CC6" w:rsidRPr="000000EB">
        <w:rPr>
          <w:rFonts w:ascii="Calibri" w:hAnsi="Calibri" w:cs="Arial"/>
          <w:color w:val="000000"/>
          <w:sz w:val="24"/>
          <w:szCs w:val="24"/>
        </w:rPr>
        <w:t xml:space="preserve">Examines the benefits and </w:t>
      </w:r>
      <w:r w:rsidR="00EC4721">
        <w:rPr>
          <w:rFonts w:ascii="Calibri" w:hAnsi="Calibri" w:cs="Arial"/>
          <w:color w:val="000000"/>
          <w:sz w:val="24"/>
          <w:szCs w:val="24"/>
        </w:rPr>
        <w:t xml:space="preserve">drawbacks </w:t>
      </w:r>
      <w:r w:rsidR="00065CC6" w:rsidRPr="000000EB">
        <w:rPr>
          <w:rFonts w:ascii="Calibri" w:hAnsi="Calibri" w:cs="Arial"/>
          <w:color w:val="000000"/>
          <w:sz w:val="24"/>
          <w:szCs w:val="24"/>
        </w:rPr>
        <w:t>to each of the approaches for variance estimation, including issues related to variance estimation for counts, rates, percentages, grouped years of data (e.g., rolling averages, multi-year aggregation), and supplements, data file configuration and internal and external usability.</w:t>
      </w:r>
      <w:r w:rsidR="00A24274">
        <w:rPr>
          <w:rFonts w:ascii="Calibri" w:hAnsi="Calibri" w:cs="Arial"/>
          <w:color w:val="000000"/>
          <w:sz w:val="24"/>
          <w:szCs w:val="24"/>
        </w:rPr>
        <w:t xml:space="preserve"> Published 2015.</w:t>
      </w:r>
    </w:p>
    <w:p w:rsidR="00464443" w:rsidRDefault="00B53D04" w:rsidP="00B53D04">
      <w:pPr>
        <w:numPr>
          <w:ilvl w:val="0"/>
          <w:numId w:val="24"/>
        </w:numPr>
        <w:rPr>
          <w:rFonts w:ascii="Calibri" w:hAnsi="Calibri" w:cs="Arial"/>
          <w:color w:val="000000"/>
          <w:sz w:val="24"/>
          <w:szCs w:val="24"/>
        </w:rPr>
      </w:pPr>
      <w:r w:rsidRPr="00B53D04">
        <w:rPr>
          <w:rFonts w:ascii="Calibri" w:hAnsi="Calibri" w:cs="Arial"/>
          <w:i/>
          <w:color w:val="000000"/>
          <w:sz w:val="24"/>
          <w:szCs w:val="24"/>
        </w:rPr>
        <w:t>Determining The Optimal Number Of Interview Waves In A Panel Survey With Application To The NCVS</w:t>
      </w:r>
      <w:r w:rsidR="00065CC6">
        <w:rPr>
          <w:rFonts w:ascii="Calibri" w:hAnsi="Calibri" w:cs="Arial"/>
          <w:i/>
          <w:color w:val="000000"/>
          <w:sz w:val="24"/>
          <w:szCs w:val="24"/>
        </w:rPr>
        <w:t xml:space="preserve"> </w:t>
      </w:r>
      <w:r w:rsidR="00065CC6" w:rsidRPr="00065CC6">
        <w:rPr>
          <w:rFonts w:ascii="Calibri" w:hAnsi="Calibri" w:cs="Arial"/>
          <w:color w:val="000000"/>
          <w:sz w:val="24"/>
          <w:szCs w:val="24"/>
        </w:rPr>
        <w:t>–</w:t>
      </w:r>
      <w:r w:rsidR="00065CC6">
        <w:rPr>
          <w:rFonts w:ascii="Calibri" w:hAnsi="Calibri" w:cs="Arial"/>
          <w:color w:val="000000"/>
          <w:sz w:val="24"/>
          <w:szCs w:val="24"/>
        </w:rPr>
        <w:t xml:space="preserve"> </w:t>
      </w:r>
      <w:r w:rsidRPr="00B53D04">
        <w:rPr>
          <w:rFonts w:ascii="Calibri" w:hAnsi="Calibri" w:cs="Arial"/>
          <w:color w:val="000000"/>
          <w:sz w:val="24"/>
          <w:szCs w:val="24"/>
        </w:rPr>
        <w:t>Presents the results of a study that evaluated the data quality and cost of changing the NCVS from the current longitudinal design in which household members are interviewed every 6 months for a total of 7 times over a 3.5-year period to designs in which respondents are interviewed 1, 3, 4, or 5 times.</w:t>
      </w:r>
      <w:r w:rsidR="00A24274">
        <w:rPr>
          <w:rFonts w:ascii="Calibri" w:hAnsi="Calibri" w:cs="Arial"/>
          <w:color w:val="000000"/>
          <w:sz w:val="24"/>
          <w:szCs w:val="24"/>
        </w:rPr>
        <w:t xml:space="preserve"> Published 2016.</w:t>
      </w:r>
    </w:p>
    <w:p w:rsidR="00B53D04" w:rsidRPr="000000EB" w:rsidRDefault="00B53D04" w:rsidP="00B53D04">
      <w:pPr>
        <w:numPr>
          <w:ilvl w:val="0"/>
          <w:numId w:val="24"/>
        </w:numPr>
        <w:rPr>
          <w:rFonts w:ascii="Calibri" w:hAnsi="Calibri" w:cs="Arial"/>
          <w:color w:val="000000"/>
          <w:sz w:val="24"/>
          <w:szCs w:val="24"/>
        </w:rPr>
      </w:pPr>
      <w:r w:rsidRPr="00B53D04">
        <w:rPr>
          <w:rFonts w:ascii="Calibri" w:hAnsi="Calibri" w:cs="Arial"/>
          <w:i/>
          <w:color w:val="000000"/>
          <w:sz w:val="24"/>
          <w:szCs w:val="24"/>
        </w:rPr>
        <w:t>Interviewing Conditions In The National Crime Victimization Survey</w:t>
      </w:r>
      <w:r>
        <w:rPr>
          <w:rFonts w:ascii="Calibri" w:hAnsi="Calibri" w:cs="Arial"/>
          <w:color w:val="000000"/>
          <w:sz w:val="24"/>
          <w:szCs w:val="24"/>
        </w:rPr>
        <w:t xml:space="preserve"> – </w:t>
      </w:r>
      <w:r w:rsidRPr="00B53D04">
        <w:rPr>
          <w:rFonts w:ascii="Calibri" w:hAnsi="Calibri" w:cs="Arial"/>
          <w:color w:val="000000"/>
          <w:sz w:val="24"/>
          <w:szCs w:val="24"/>
        </w:rPr>
        <w:t>Describes the circumstances under which interviews are conducted with persons in t</w:t>
      </w:r>
      <w:r>
        <w:rPr>
          <w:rFonts w:ascii="Calibri" w:hAnsi="Calibri" w:cs="Arial"/>
          <w:color w:val="000000"/>
          <w:sz w:val="24"/>
          <w:szCs w:val="24"/>
        </w:rPr>
        <w:t xml:space="preserve">he NCVS. </w:t>
      </w:r>
      <w:r w:rsidR="00A24274">
        <w:rPr>
          <w:rFonts w:ascii="Calibri" w:hAnsi="Calibri" w:cs="Arial"/>
          <w:color w:val="000000"/>
          <w:sz w:val="24"/>
          <w:szCs w:val="24"/>
        </w:rPr>
        <w:t>Published 2016.</w:t>
      </w:r>
    </w:p>
    <w:p w:rsidR="00E31CA6" w:rsidRDefault="00E31CA6" w:rsidP="00E31CA6">
      <w:pPr>
        <w:numPr>
          <w:ilvl w:val="0"/>
          <w:numId w:val="24"/>
        </w:numPr>
        <w:rPr>
          <w:rFonts w:ascii="Calibri" w:hAnsi="Calibri" w:cs="Arial"/>
          <w:color w:val="000000"/>
          <w:sz w:val="24"/>
          <w:szCs w:val="24"/>
        </w:rPr>
      </w:pPr>
      <w:r w:rsidRPr="000000EB">
        <w:rPr>
          <w:rFonts w:ascii="Calibri" w:hAnsi="Calibri" w:cs="Arial"/>
          <w:i/>
          <w:color w:val="000000"/>
          <w:sz w:val="24"/>
          <w:szCs w:val="24"/>
        </w:rPr>
        <w:t>Bounding Adjustment</w:t>
      </w:r>
      <w:r w:rsidRPr="00065CC6">
        <w:rPr>
          <w:rFonts w:ascii="Calibri" w:hAnsi="Calibri" w:cs="Arial"/>
          <w:color w:val="000000"/>
          <w:sz w:val="24"/>
          <w:szCs w:val="24"/>
        </w:rPr>
        <w:t xml:space="preserve"> – </w:t>
      </w:r>
      <w:r>
        <w:rPr>
          <w:rFonts w:ascii="Calibri" w:hAnsi="Calibri" w:cs="Arial"/>
          <w:color w:val="000000"/>
          <w:sz w:val="24"/>
          <w:szCs w:val="24"/>
        </w:rPr>
        <w:t>Will e</w:t>
      </w:r>
      <w:r w:rsidRPr="000000EB">
        <w:rPr>
          <w:rFonts w:ascii="Calibri" w:hAnsi="Calibri" w:cs="Arial"/>
          <w:color w:val="000000"/>
          <w:sz w:val="24"/>
          <w:szCs w:val="24"/>
        </w:rPr>
        <w:t>xamine how BJS should handle unbounded interviews, sample fatigue, and attrition/nonresponse when generating point estimates</w:t>
      </w:r>
      <w:r>
        <w:rPr>
          <w:rFonts w:ascii="Calibri" w:hAnsi="Calibri" w:cs="Arial"/>
          <w:color w:val="000000"/>
          <w:sz w:val="24"/>
          <w:szCs w:val="24"/>
        </w:rPr>
        <w:t xml:space="preserve"> </w:t>
      </w:r>
      <w:r w:rsidR="003D4EE9">
        <w:rPr>
          <w:rFonts w:ascii="Calibri" w:hAnsi="Calibri" w:cs="Arial"/>
          <w:color w:val="000000"/>
          <w:sz w:val="24"/>
          <w:szCs w:val="24"/>
        </w:rPr>
        <w:t>(p</w:t>
      </w:r>
      <w:r>
        <w:rPr>
          <w:rFonts w:ascii="Calibri" w:hAnsi="Calibri" w:cs="Arial"/>
          <w:color w:val="000000"/>
          <w:sz w:val="24"/>
          <w:szCs w:val="24"/>
        </w:rPr>
        <w:t>lanned</w:t>
      </w:r>
      <w:r w:rsidR="003D4EE9">
        <w:rPr>
          <w:rFonts w:ascii="Calibri" w:hAnsi="Calibri" w:cs="Arial"/>
          <w:color w:val="000000"/>
          <w:sz w:val="24"/>
          <w:szCs w:val="24"/>
        </w:rPr>
        <w:t>)</w:t>
      </w:r>
      <w:r>
        <w:rPr>
          <w:rFonts w:ascii="Calibri" w:hAnsi="Calibri" w:cs="Arial"/>
          <w:color w:val="000000"/>
          <w:sz w:val="24"/>
          <w:szCs w:val="24"/>
        </w:rPr>
        <w:t>.</w:t>
      </w:r>
    </w:p>
    <w:p w:rsidR="003D4EE9" w:rsidRDefault="003D4EE9" w:rsidP="00E31CA6">
      <w:pPr>
        <w:numPr>
          <w:ilvl w:val="0"/>
          <w:numId w:val="24"/>
        </w:numPr>
        <w:rPr>
          <w:rFonts w:ascii="Calibri" w:hAnsi="Calibri" w:cs="Arial"/>
          <w:color w:val="000000"/>
          <w:sz w:val="24"/>
          <w:szCs w:val="24"/>
        </w:rPr>
      </w:pPr>
      <w:r>
        <w:rPr>
          <w:rFonts w:ascii="Calibri" w:hAnsi="Calibri" w:cs="Arial"/>
          <w:i/>
          <w:color w:val="000000"/>
          <w:sz w:val="24"/>
          <w:szCs w:val="24"/>
        </w:rPr>
        <w:t>Measuring Sexual Orientation and Gender Identity with the NCVS</w:t>
      </w:r>
      <w:r>
        <w:rPr>
          <w:rFonts w:ascii="Calibri" w:hAnsi="Calibri" w:cs="Arial"/>
          <w:color w:val="000000"/>
          <w:sz w:val="24"/>
          <w:szCs w:val="24"/>
        </w:rPr>
        <w:t xml:space="preserve"> </w:t>
      </w:r>
      <w:r w:rsidR="002A665B">
        <w:rPr>
          <w:rFonts w:ascii="Calibri" w:hAnsi="Calibri" w:cs="Arial"/>
          <w:color w:val="000000"/>
          <w:sz w:val="24"/>
          <w:szCs w:val="24"/>
        </w:rPr>
        <w:t xml:space="preserve">– Will </w:t>
      </w:r>
      <w:r w:rsidR="003A6A63">
        <w:rPr>
          <w:rFonts w:ascii="Calibri" w:hAnsi="Calibri" w:cs="Arial"/>
          <w:color w:val="000000"/>
          <w:sz w:val="24"/>
          <w:szCs w:val="24"/>
        </w:rPr>
        <w:t>present findings from cognitive testing and initial data collection of sexual orientation and gender identity</w:t>
      </w:r>
      <w:r w:rsidR="002A665B">
        <w:rPr>
          <w:rFonts w:ascii="Calibri" w:hAnsi="Calibri" w:cs="Arial"/>
          <w:color w:val="000000"/>
          <w:sz w:val="24"/>
          <w:szCs w:val="24"/>
        </w:rPr>
        <w:t xml:space="preserve"> </w:t>
      </w:r>
      <w:r>
        <w:rPr>
          <w:rFonts w:ascii="Calibri" w:hAnsi="Calibri" w:cs="Arial"/>
          <w:color w:val="000000"/>
          <w:sz w:val="24"/>
          <w:szCs w:val="24"/>
        </w:rPr>
        <w:t>(planned).</w:t>
      </w:r>
    </w:p>
    <w:p w:rsidR="003D4EE9" w:rsidRPr="00AA7B9A" w:rsidRDefault="00EC4721" w:rsidP="00EC4721">
      <w:pPr>
        <w:numPr>
          <w:ilvl w:val="0"/>
          <w:numId w:val="24"/>
        </w:numPr>
        <w:rPr>
          <w:rFonts w:ascii="Calibri" w:hAnsi="Calibri" w:cs="Arial"/>
          <w:i/>
          <w:color w:val="000000"/>
          <w:sz w:val="24"/>
          <w:szCs w:val="24"/>
        </w:rPr>
      </w:pPr>
      <w:r>
        <w:rPr>
          <w:rFonts w:ascii="Calibri" w:hAnsi="Calibri" w:cs="Arial"/>
          <w:i/>
          <w:color w:val="000000"/>
          <w:sz w:val="24"/>
          <w:szCs w:val="24"/>
        </w:rPr>
        <w:t>Estimates of Victimization for Metropolitan Statistical Areas, 2006-2015</w:t>
      </w:r>
      <w:r w:rsidR="005D1CE6">
        <w:rPr>
          <w:rFonts w:ascii="Calibri" w:hAnsi="Calibri" w:cs="Arial"/>
          <w:color w:val="000000"/>
          <w:sz w:val="24"/>
          <w:szCs w:val="24"/>
        </w:rPr>
        <w:t xml:space="preserve"> – </w:t>
      </w:r>
      <w:r w:rsidR="00A24274">
        <w:rPr>
          <w:rFonts w:ascii="Calibri" w:hAnsi="Calibri" w:cs="Arial"/>
          <w:color w:val="000000"/>
          <w:sz w:val="24"/>
          <w:szCs w:val="24"/>
        </w:rPr>
        <w:t>Will p</w:t>
      </w:r>
      <w:r w:rsidR="005D1CE6">
        <w:rPr>
          <w:rFonts w:ascii="Calibri" w:hAnsi="Calibri" w:cs="Arial"/>
          <w:color w:val="000000"/>
          <w:sz w:val="24"/>
          <w:szCs w:val="24"/>
        </w:rPr>
        <w:t>resent direct victimization estimates for certain MSAs</w:t>
      </w:r>
      <w:r w:rsidR="003D4EE9">
        <w:rPr>
          <w:rFonts w:ascii="Calibri" w:hAnsi="Calibri" w:cs="Arial"/>
          <w:color w:val="000000"/>
          <w:sz w:val="24"/>
          <w:szCs w:val="24"/>
        </w:rPr>
        <w:t xml:space="preserve"> (planned)</w:t>
      </w:r>
      <w:r w:rsidR="005D1CE6">
        <w:rPr>
          <w:rFonts w:ascii="Calibri" w:hAnsi="Calibri" w:cs="Arial"/>
          <w:color w:val="000000"/>
          <w:sz w:val="24"/>
          <w:szCs w:val="24"/>
        </w:rPr>
        <w:t>.</w:t>
      </w:r>
    </w:p>
    <w:p w:rsidR="00EC4721" w:rsidRPr="00AA7B9A" w:rsidRDefault="003D4EE9" w:rsidP="00EC4721">
      <w:pPr>
        <w:numPr>
          <w:ilvl w:val="0"/>
          <w:numId w:val="24"/>
        </w:numPr>
        <w:rPr>
          <w:rFonts w:ascii="Calibri" w:hAnsi="Calibri" w:cs="Arial"/>
          <w:i/>
          <w:color w:val="000000"/>
          <w:sz w:val="24"/>
          <w:szCs w:val="24"/>
        </w:rPr>
      </w:pPr>
      <w:r>
        <w:rPr>
          <w:rFonts w:ascii="Calibri" w:hAnsi="Calibri" w:cs="Arial"/>
          <w:i/>
          <w:color w:val="000000"/>
          <w:sz w:val="24"/>
          <w:szCs w:val="24"/>
        </w:rPr>
        <w:t xml:space="preserve">Utility of Adult Protective Services Data for Measuring Elder Abuse </w:t>
      </w:r>
      <w:r w:rsidR="001B210A">
        <w:rPr>
          <w:rFonts w:ascii="Calibri" w:hAnsi="Calibri" w:cs="Arial"/>
          <w:color w:val="000000"/>
          <w:sz w:val="24"/>
          <w:szCs w:val="24"/>
        </w:rPr>
        <w:t xml:space="preserve">– Will evaluate the capacity to use data on adult protective services for measuring abuse of the elderly </w:t>
      </w:r>
      <w:r>
        <w:rPr>
          <w:rFonts w:ascii="Calibri" w:hAnsi="Calibri" w:cs="Arial"/>
          <w:color w:val="000000"/>
          <w:sz w:val="24"/>
          <w:szCs w:val="24"/>
        </w:rPr>
        <w:t>(planned).</w:t>
      </w:r>
      <w:r w:rsidR="005D1CE6">
        <w:rPr>
          <w:rFonts w:ascii="Calibri" w:hAnsi="Calibri" w:cs="Arial"/>
          <w:color w:val="000000"/>
          <w:sz w:val="24"/>
          <w:szCs w:val="24"/>
        </w:rPr>
        <w:t xml:space="preserve"> </w:t>
      </w:r>
    </w:p>
    <w:p w:rsidR="002A665B" w:rsidRDefault="002A665B" w:rsidP="00EC4721">
      <w:pPr>
        <w:numPr>
          <w:ilvl w:val="0"/>
          <w:numId w:val="24"/>
        </w:numPr>
        <w:rPr>
          <w:rFonts w:ascii="Calibri" w:hAnsi="Calibri" w:cs="Arial"/>
          <w:i/>
          <w:color w:val="000000"/>
          <w:sz w:val="24"/>
          <w:szCs w:val="24"/>
        </w:rPr>
      </w:pPr>
      <w:r>
        <w:rPr>
          <w:rFonts w:ascii="Calibri" w:hAnsi="Calibri" w:cs="Arial"/>
          <w:i/>
          <w:color w:val="000000"/>
          <w:sz w:val="24"/>
          <w:szCs w:val="24"/>
        </w:rPr>
        <w:t>Methodological Research on Measuring Rape and Sexual Assault</w:t>
      </w:r>
      <w:r>
        <w:rPr>
          <w:rFonts w:ascii="Calibri" w:hAnsi="Calibri" w:cs="Arial"/>
          <w:color w:val="000000"/>
          <w:sz w:val="24"/>
          <w:szCs w:val="24"/>
        </w:rPr>
        <w:t xml:space="preserve"> – Will evaluate approaches to collecting data on rape and sexual assault and present recommendations for the NCVS</w:t>
      </w:r>
      <w:r>
        <w:rPr>
          <w:rFonts w:ascii="Calibri" w:hAnsi="Calibri" w:cs="Arial"/>
          <w:i/>
          <w:color w:val="000000"/>
          <w:sz w:val="24"/>
          <w:szCs w:val="24"/>
        </w:rPr>
        <w:t xml:space="preserve"> </w:t>
      </w:r>
      <w:r w:rsidRPr="00AA7B9A">
        <w:rPr>
          <w:rFonts w:ascii="Calibri" w:hAnsi="Calibri" w:cs="Arial"/>
          <w:color w:val="000000"/>
          <w:sz w:val="24"/>
          <w:szCs w:val="24"/>
        </w:rPr>
        <w:t>(planned)</w:t>
      </w:r>
      <w:r>
        <w:rPr>
          <w:rFonts w:ascii="Calibri" w:hAnsi="Calibri" w:cs="Arial"/>
          <w:i/>
          <w:color w:val="000000"/>
          <w:sz w:val="24"/>
          <w:szCs w:val="24"/>
        </w:rPr>
        <w:t>.</w:t>
      </w:r>
    </w:p>
    <w:p w:rsidR="00AA7B9A" w:rsidRDefault="00AA7B9A" w:rsidP="00EC4721">
      <w:pPr>
        <w:numPr>
          <w:ilvl w:val="0"/>
          <w:numId w:val="24"/>
        </w:numPr>
        <w:rPr>
          <w:rFonts w:ascii="Calibri" w:hAnsi="Calibri" w:cs="Arial"/>
          <w:i/>
          <w:color w:val="000000"/>
          <w:sz w:val="24"/>
          <w:szCs w:val="24"/>
        </w:rPr>
      </w:pPr>
      <w:r>
        <w:rPr>
          <w:rFonts w:ascii="Calibri" w:hAnsi="Calibri" w:cs="Arial"/>
          <w:i/>
          <w:color w:val="000000"/>
          <w:sz w:val="24"/>
          <w:szCs w:val="24"/>
        </w:rPr>
        <w:t>Imputation of Supplemental Homicide Report (SHR) Homicide Data</w:t>
      </w:r>
      <w:r w:rsidR="001B210A" w:rsidRPr="001B210A">
        <w:rPr>
          <w:rFonts w:ascii="Calibri" w:hAnsi="Calibri" w:cs="Arial"/>
          <w:color w:val="000000"/>
          <w:sz w:val="24"/>
          <w:szCs w:val="24"/>
        </w:rPr>
        <w:t xml:space="preserve"> – Will provide recommendations for imputing missing homicide data (planned).</w:t>
      </w:r>
    </w:p>
    <w:p w:rsidR="00AA7B9A" w:rsidRDefault="00AA7B9A" w:rsidP="00EC4721">
      <w:pPr>
        <w:numPr>
          <w:ilvl w:val="0"/>
          <w:numId w:val="24"/>
        </w:numPr>
        <w:rPr>
          <w:rFonts w:ascii="Calibri" w:hAnsi="Calibri" w:cs="Arial"/>
          <w:i/>
          <w:color w:val="000000"/>
          <w:sz w:val="24"/>
          <w:szCs w:val="24"/>
        </w:rPr>
      </w:pPr>
      <w:r>
        <w:rPr>
          <w:rFonts w:ascii="Calibri" w:hAnsi="Calibri" w:cs="Arial"/>
          <w:i/>
          <w:color w:val="000000"/>
          <w:sz w:val="24"/>
          <w:szCs w:val="24"/>
        </w:rPr>
        <w:t>Pilot Test of the NCVS Subnational Sample Boost</w:t>
      </w:r>
      <w:r w:rsidR="001B210A">
        <w:rPr>
          <w:rFonts w:ascii="Calibri" w:hAnsi="Calibri" w:cs="Arial"/>
          <w:color w:val="000000"/>
          <w:sz w:val="24"/>
          <w:szCs w:val="24"/>
        </w:rPr>
        <w:t xml:space="preserve"> – Will </w:t>
      </w:r>
      <w:r w:rsidR="00337A9F">
        <w:rPr>
          <w:rFonts w:ascii="Calibri" w:hAnsi="Calibri" w:cs="Arial"/>
          <w:color w:val="000000"/>
          <w:sz w:val="24"/>
          <w:szCs w:val="24"/>
        </w:rPr>
        <w:t xml:space="preserve">describe the methodology and findings from the 11-state NCVS pilot sample boost. </w:t>
      </w:r>
      <w:r w:rsidR="001B210A">
        <w:rPr>
          <w:rFonts w:ascii="Calibri" w:hAnsi="Calibri" w:cs="Arial"/>
          <w:color w:val="000000"/>
          <w:sz w:val="24"/>
          <w:szCs w:val="24"/>
        </w:rPr>
        <w:t xml:space="preserve"> </w:t>
      </w:r>
    </w:p>
    <w:p w:rsidR="00AA7B9A" w:rsidRDefault="00AA7B9A" w:rsidP="00EC4721">
      <w:pPr>
        <w:numPr>
          <w:ilvl w:val="0"/>
          <w:numId w:val="24"/>
        </w:numPr>
        <w:rPr>
          <w:rFonts w:ascii="Calibri" w:hAnsi="Calibri" w:cs="Arial"/>
          <w:i/>
          <w:color w:val="000000"/>
          <w:sz w:val="24"/>
          <w:szCs w:val="24"/>
        </w:rPr>
      </w:pPr>
      <w:r>
        <w:rPr>
          <w:rFonts w:ascii="Calibri" w:hAnsi="Calibri" w:cs="Arial"/>
          <w:i/>
          <w:color w:val="000000"/>
          <w:sz w:val="24"/>
          <w:szCs w:val="24"/>
        </w:rPr>
        <w:t xml:space="preserve">Criminal Victimization in the </w:t>
      </w:r>
      <w:r w:rsidR="00337A9F">
        <w:rPr>
          <w:rFonts w:ascii="Calibri" w:hAnsi="Calibri" w:cs="Arial"/>
          <w:i/>
          <w:color w:val="000000"/>
          <w:sz w:val="24"/>
          <w:szCs w:val="24"/>
        </w:rPr>
        <w:t>Most Populous</w:t>
      </w:r>
      <w:r>
        <w:rPr>
          <w:rFonts w:ascii="Calibri" w:hAnsi="Calibri" w:cs="Arial"/>
          <w:i/>
          <w:color w:val="000000"/>
          <w:sz w:val="24"/>
          <w:szCs w:val="24"/>
        </w:rPr>
        <w:t xml:space="preserve">  States </w:t>
      </w:r>
      <w:r w:rsidR="001B210A">
        <w:rPr>
          <w:rFonts w:ascii="Calibri" w:hAnsi="Calibri" w:cs="Arial"/>
          <w:color w:val="000000"/>
          <w:sz w:val="24"/>
          <w:szCs w:val="24"/>
        </w:rPr>
        <w:t xml:space="preserve">– Will present 1-year estimates of violent and property victimization in the  </w:t>
      </w:r>
      <w:r w:rsidR="003A6A63">
        <w:rPr>
          <w:rFonts w:ascii="Calibri" w:hAnsi="Calibri" w:cs="Arial"/>
          <w:color w:val="000000"/>
          <w:sz w:val="24"/>
          <w:szCs w:val="24"/>
        </w:rPr>
        <w:t>most populous</w:t>
      </w:r>
      <w:r w:rsidR="001B210A">
        <w:rPr>
          <w:rFonts w:ascii="Calibri" w:hAnsi="Calibri" w:cs="Arial"/>
          <w:color w:val="000000"/>
          <w:sz w:val="24"/>
          <w:szCs w:val="24"/>
        </w:rPr>
        <w:t xml:space="preserve"> states (planned).</w:t>
      </w:r>
    </w:p>
    <w:p w:rsidR="00AA7B9A" w:rsidRDefault="00AA7B9A" w:rsidP="00EC4721">
      <w:pPr>
        <w:numPr>
          <w:ilvl w:val="0"/>
          <w:numId w:val="24"/>
        </w:numPr>
        <w:rPr>
          <w:rFonts w:ascii="Calibri" w:hAnsi="Calibri" w:cs="Arial"/>
          <w:i/>
          <w:color w:val="000000"/>
          <w:sz w:val="24"/>
          <w:szCs w:val="24"/>
        </w:rPr>
      </w:pPr>
      <w:r>
        <w:rPr>
          <w:rFonts w:ascii="Calibri" w:hAnsi="Calibri" w:cs="Arial"/>
          <w:i/>
          <w:color w:val="000000"/>
          <w:sz w:val="24"/>
          <w:szCs w:val="24"/>
        </w:rPr>
        <w:t>Findings from the American Crime Victimization Survey – A Complement to the NCVS</w:t>
      </w:r>
      <w:r w:rsidR="001B210A">
        <w:rPr>
          <w:rFonts w:ascii="Calibri" w:hAnsi="Calibri" w:cs="Arial"/>
          <w:color w:val="000000"/>
          <w:sz w:val="24"/>
          <w:szCs w:val="24"/>
        </w:rPr>
        <w:t xml:space="preserve"> – Will describe findings on perceptions of police and community safety from a 2-year field test of a companion study to the NCVS (planned).</w:t>
      </w:r>
    </w:p>
    <w:p w:rsidR="00DF355B" w:rsidRPr="000000EB" w:rsidRDefault="00DF355B" w:rsidP="00B8509A">
      <w:pPr>
        <w:ind w:left="630"/>
        <w:rPr>
          <w:rFonts w:ascii="Calibri" w:hAnsi="Calibri" w:cs="Arial"/>
          <w:color w:val="000000"/>
          <w:sz w:val="24"/>
          <w:szCs w:val="24"/>
        </w:rPr>
      </w:pPr>
    </w:p>
    <w:p w:rsidR="00F80F1F" w:rsidRPr="00FD5089" w:rsidRDefault="00F80F1F" w:rsidP="00B8509A">
      <w:pPr>
        <w:ind w:firstLine="630"/>
        <w:rPr>
          <w:rFonts w:ascii="Calibri" w:hAnsi="Calibri" w:cs="Arial"/>
          <w:b/>
          <w:color w:val="000000"/>
          <w:sz w:val="24"/>
          <w:szCs w:val="24"/>
          <w:u w:val="single"/>
        </w:rPr>
      </w:pPr>
      <w:r w:rsidRPr="00FD5089">
        <w:rPr>
          <w:rFonts w:ascii="Calibri" w:hAnsi="Calibri" w:cs="Arial"/>
          <w:b/>
          <w:i/>
          <w:color w:val="000000"/>
          <w:sz w:val="24"/>
          <w:szCs w:val="24"/>
          <w:u w:val="single"/>
        </w:rPr>
        <w:t>D</w:t>
      </w:r>
      <w:r w:rsidR="00FD5089" w:rsidRPr="00FD5089">
        <w:rPr>
          <w:rFonts w:ascii="Calibri" w:hAnsi="Calibri" w:cs="Arial"/>
          <w:b/>
          <w:i/>
          <w:color w:val="000000"/>
          <w:sz w:val="24"/>
          <w:szCs w:val="24"/>
          <w:u w:val="single"/>
        </w:rPr>
        <w:t>ata</w:t>
      </w:r>
      <w:r w:rsidRPr="00FD5089">
        <w:rPr>
          <w:rFonts w:ascii="Calibri" w:hAnsi="Calibri" w:cs="Arial"/>
          <w:b/>
          <w:i/>
          <w:color w:val="000000"/>
          <w:sz w:val="24"/>
          <w:szCs w:val="24"/>
          <w:u w:val="single"/>
        </w:rPr>
        <w:t xml:space="preserve"> U</w:t>
      </w:r>
      <w:r w:rsidR="00FD5089" w:rsidRPr="00FD5089">
        <w:rPr>
          <w:rFonts w:ascii="Calibri" w:hAnsi="Calibri" w:cs="Arial"/>
          <w:b/>
          <w:i/>
          <w:color w:val="000000"/>
          <w:sz w:val="24"/>
          <w:szCs w:val="24"/>
          <w:u w:val="single"/>
        </w:rPr>
        <w:t>sers</w:t>
      </w:r>
      <w:r w:rsidR="00A2559E" w:rsidRPr="00FD5089">
        <w:rPr>
          <w:rFonts w:ascii="Calibri" w:hAnsi="Calibri" w:cs="Arial"/>
          <w:b/>
          <w:i/>
          <w:color w:val="000000"/>
          <w:sz w:val="24"/>
          <w:szCs w:val="24"/>
          <w:u w:val="single"/>
        </w:rPr>
        <w:t xml:space="preserve"> </w:t>
      </w:r>
      <w:r w:rsidR="00FD5089" w:rsidRPr="00FD5089">
        <w:rPr>
          <w:rFonts w:ascii="Calibri" w:hAnsi="Calibri" w:cs="Arial"/>
          <w:b/>
          <w:i/>
          <w:color w:val="000000"/>
          <w:sz w:val="24"/>
          <w:szCs w:val="24"/>
          <w:u w:val="single"/>
        </w:rPr>
        <w:t>and</w:t>
      </w:r>
      <w:r w:rsidR="00A2559E" w:rsidRPr="00FD5089">
        <w:rPr>
          <w:rFonts w:ascii="Calibri" w:hAnsi="Calibri" w:cs="Arial"/>
          <w:b/>
          <w:i/>
          <w:color w:val="000000"/>
          <w:sz w:val="24"/>
          <w:szCs w:val="24"/>
          <w:u w:val="single"/>
        </w:rPr>
        <w:t xml:space="preserve"> S</w:t>
      </w:r>
      <w:r w:rsidR="00FD5089" w:rsidRPr="00FD5089">
        <w:rPr>
          <w:rFonts w:ascii="Calibri" w:hAnsi="Calibri" w:cs="Arial"/>
          <w:b/>
          <w:i/>
          <w:color w:val="000000"/>
          <w:sz w:val="24"/>
          <w:szCs w:val="24"/>
          <w:u w:val="single"/>
        </w:rPr>
        <w:t>takeholders</w:t>
      </w:r>
    </w:p>
    <w:p w:rsidR="00CF44FB" w:rsidRPr="000000EB" w:rsidRDefault="001D3F9E" w:rsidP="00B8509A">
      <w:pPr>
        <w:ind w:left="630"/>
        <w:rPr>
          <w:rFonts w:ascii="Calibri" w:hAnsi="Calibri" w:cs="Arial"/>
          <w:color w:val="000000"/>
          <w:sz w:val="24"/>
          <w:szCs w:val="24"/>
        </w:rPr>
      </w:pPr>
      <w:r w:rsidRPr="000000EB">
        <w:rPr>
          <w:rFonts w:ascii="Calibri" w:hAnsi="Calibri" w:cs="Arial"/>
          <w:color w:val="000000"/>
          <w:sz w:val="24"/>
          <w:szCs w:val="24"/>
        </w:rPr>
        <w:t>The reports and data generated through the NCVS</w:t>
      </w:r>
      <w:r w:rsidR="00CF44FB" w:rsidRPr="000000EB">
        <w:rPr>
          <w:rFonts w:ascii="Calibri" w:hAnsi="Calibri" w:cs="Arial"/>
          <w:color w:val="000000"/>
          <w:sz w:val="24"/>
          <w:szCs w:val="24"/>
        </w:rPr>
        <w:t xml:space="preserve"> are of </w:t>
      </w:r>
      <w:r w:rsidRPr="000000EB">
        <w:rPr>
          <w:rFonts w:ascii="Calibri" w:hAnsi="Calibri" w:cs="Arial"/>
          <w:color w:val="000000"/>
          <w:sz w:val="24"/>
          <w:szCs w:val="24"/>
        </w:rPr>
        <w:t xml:space="preserve">use and </w:t>
      </w:r>
      <w:r w:rsidR="00CF44FB" w:rsidRPr="000000EB">
        <w:rPr>
          <w:rFonts w:ascii="Calibri" w:hAnsi="Calibri" w:cs="Arial"/>
          <w:color w:val="000000"/>
          <w:sz w:val="24"/>
          <w:szCs w:val="24"/>
        </w:rPr>
        <w:t xml:space="preserve">interest to </w:t>
      </w:r>
      <w:r w:rsidRPr="000000EB">
        <w:rPr>
          <w:rFonts w:ascii="Calibri" w:hAnsi="Calibri" w:cs="Arial"/>
          <w:color w:val="000000"/>
          <w:sz w:val="24"/>
          <w:szCs w:val="24"/>
        </w:rPr>
        <w:t xml:space="preserve">a wide range of audiences, including </w:t>
      </w:r>
      <w:r w:rsidR="00CF44FB" w:rsidRPr="000000EB">
        <w:rPr>
          <w:rFonts w:ascii="Calibri" w:hAnsi="Calibri" w:cs="Arial"/>
          <w:color w:val="000000"/>
          <w:sz w:val="24"/>
          <w:szCs w:val="24"/>
        </w:rPr>
        <w:t>the government agencies, the criminal justice community</w:t>
      </w:r>
      <w:r w:rsidRPr="000000EB">
        <w:rPr>
          <w:rFonts w:ascii="Calibri" w:hAnsi="Calibri" w:cs="Arial"/>
          <w:color w:val="000000"/>
          <w:sz w:val="24"/>
          <w:szCs w:val="24"/>
        </w:rPr>
        <w:t>, and the public</w:t>
      </w:r>
      <w:r w:rsidR="00CF44FB" w:rsidRPr="000000EB">
        <w:rPr>
          <w:rFonts w:ascii="Calibri" w:hAnsi="Calibri" w:cs="Arial"/>
          <w:color w:val="000000"/>
          <w:sz w:val="24"/>
          <w:szCs w:val="24"/>
        </w:rPr>
        <w:t xml:space="preserve">.  </w:t>
      </w:r>
    </w:p>
    <w:p w:rsidR="00CF44FB" w:rsidRPr="000000EB" w:rsidRDefault="00CF44FB" w:rsidP="00B8509A">
      <w:pPr>
        <w:ind w:left="630"/>
        <w:rPr>
          <w:rFonts w:ascii="Calibri" w:hAnsi="Calibri" w:cs="Arial"/>
          <w:color w:val="000000"/>
          <w:sz w:val="24"/>
          <w:szCs w:val="24"/>
        </w:rPr>
      </w:pPr>
    </w:p>
    <w:p w:rsidR="00CF44FB" w:rsidRPr="000000EB" w:rsidRDefault="00CF44FB" w:rsidP="00B8509A">
      <w:pPr>
        <w:pStyle w:val="Heading2"/>
        <w:rPr>
          <w:rFonts w:ascii="Calibri" w:hAnsi="Calibri" w:cs="Arial"/>
          <w:b/>
          <w:bCs/>
          <w:i/>
          <w:color w:val="000000"/>
        </w:rPr>
      </w:pPr>
      <w:r w:rsidRPr="000000EB">
        <w:rPr>
          <w:rFonts w:ascii="Calibri" w:hAnsi="Calibri" w:cs="Arial"/>
          <w:color w:val="000000"/>
        </w:rPr>
        <w:tab/>
      </w:r>
      <w:r w:rsidRPr="000000EB">
        <w:rPr>
          <w:rFonts w:ascii="Calibri" w:hAnsi="Calibri" w:cs="Arial"/>
          <w:color w:val="000000"/>
        </w:rPr>
        <w:tab/>
      </w:r>
      <w:r w:rsidRPr="000000EB">
        <w:rPr>
          <w:rFonts w:ascii="Calibri" w:hAnsi="Calibri" w:cs="Arial"/>
          <w:color w:val="000000"/>
        </w:rPr>
        <w:tab/>
      </w:r>
      <w:r w:rsidRPr="000000EB">
        <w:rPr>
          <w:rFonts w:ascii="Calibri" w:hAnsi="Calibri" w:cs="Arial"/>
          <w:color w:val="000000"/>
        </w:rPr>
        <w:tab/>
      </w:r>
      <w:r w:rsidR="00637729" w:rsidRPr="000000EB">
        <w:rPr>
          <w:rFonts w:ascii="Calibri" w:hAnsi="Calibri" w:cs="Arial"/>
          <w:bCs/>
          <w:i/>
          <w:color w:val="000000"/>
        </w:rPr>
        <w:tab/>
      </w:r>
      <w:r w:rsidR="00637729" w:rsidRPr="000000EB">
        <w:rPr>
          <w:rFonts w:ascii="Calibri" w:hAnsi="Calibri" w:cs="Arial"/>
          <w:b/>
          <w:bCs/>
          <w:i/>
          <w:color w:val="000000"/>
        </w:rPr>
        <w:t>Government Agencies</w:t>
      </w:r>
    </w:p>
    <w:p w:rsidR="00CF44FB" w:rsidRPr="000000EB" w:rsidRDefault="00CF44FB" w:rsidP="00B8509A">
      <w:pPr>
        <w:ind w:left="630"/>
        <w:rPr>
          <w:rFonts w:ascii="Calibri" w:hAnsi="Calibri" w:cs="Arial"/>
          <w:color w:val="000000"/>
          <w:sz w:val="24"/>
          <w:szCs w:val="24"/>
        </w:rPr>
      </w:pPr>
      <w:r w:rsidRPr="000000EB">
        <w:rPr>
          <w:rFonts w:ascii="Calibri" w:hAnsi="Calibri" w:cs="Arial"/>
          <w:sz w:val="24"/>
          <w:szCs w:val="24"/>
        </w:rPr>
        <w:t xml:space="preserve">Because the NCVS is the only ongoing vehicle for producing data related to a broad spectrum of subjects related to crime and crime victimization, legislators and </w:t>
      </w:r>
      <w:r w:rsidR="00E22984" w:rsidRPr="000000EB">
        <w:rPr>
          <w:rFonts w:ascii="Calibri" w:hAnsi="Calibri" w:cs="Arial"/>
          <w:sz w:val="24"/>
          <w:szCs w:val="24"/>
        </w:rPr>
        <w:t>policymaker</w:t>
      </w:r>
      <w:r w:rsidRPr="000000EB">
        <w:rPr>
          <w:rFonts w:ascii="Calibri" w:hAnsi="Calibri" w:cs="Arial"/>
          <w:sz w:val="24"/>
          <w:szCs w:val="24"/>
        </w:rPr>
        <w:t xml:space="preserve">s at all levels of government </w:t>
      </w:r>
      <w:r w:rsidR="004F0DBF" w:rsidRPr="000000EB">
        <w:rPr>
          <w:rFonts w:ascii="Calibri" w:hAnsi="Calibri" w:cs="Arial"/>
          <w:sz w:val="24"/>
          <w:szCs w:val="24"/>
        </w:rPr>
        <w:t>rely on</w:t>
      </w:r>
      <w:r w:rsidRPr="000000EB">
        <w:rPr>
          <w:rFonts w:ascii="Calibri" w:hAnsi="Calibri" w:cs="Arial"/>
          <w:sz w:val="24"/>
          <w:szCs w:val="24"/>
        </w:rPr>
        <w:t xml:space="preserve"> the NCVS data.  For example, Congressional debates on bills concerning victim compensation, gun control, crime and unemployment, and development of crime prevention programs for the elderly have used the NCVS data.  Also, Federal executive departments have used the NCVS data to support development of programs related to a broad variety of issues, including violence against women, intimate partner violence, </w:t>
      </w:r>
      <w:r w:rsidR="00C87B05" w:rsidRPr="000000EB">
        <w:rPr>
          <w:rFonts w:ascii="Calibri" w:hAnsi="Calibri" w:cs="Arial"/>
          <w:sz w:val="24"/>
          <w:szCs w:val="24"/>
        </w:rPr>
        <w:t xml:space="preserve">violence against racial and </w:t>
      </w:r>
      <w:r w:rsidR="007B05D6" w:rsidRPr="000000EB">
        <w:rPr>
          <w:rFonts w:ascii="Calibri" w:hAnsi="Calibri" w:cs="Arial"/>
          <w:sz w:val="24"/>
          <w:szCs w:val="24"/>
        </w:rPr>
        <w:t>ethnic</w:t>
      </w:r>
      <w:r w:rsidR="00C87B05" w:rsidRPr="000000EB">
        <w:rPr>
          <w:rFonts w:ascii="Calibri" w:hAnsi="Calibri" w:cs="Arial"/>
          <w:sz w:val="24"/>
          <w:szCs w:val="24"/>
        </w:rPr>
        <w:t xml:space="preserve"> groups including American Indians, </w:t>
      </w:r>
      <w:r w:rsidRPr="000000EB">
        <w:rPr>
          <w:rFonts w:ascii="Calibri" w:hAnsi="Calibri" w:cs="Arial"/>
          <w:sz w:val="24"/>
          <w:szCs w:val="24"/>
        </w:rPr>
        <w:t>school crime, juvenile justice and crime against the elderly.</w:t>
      </w:r>
      <w:r w:rsidRPr="000000EB">
        <w:rPr>
          <w:rFonts w:ascii="Calibri" w:hAnsi="Calibri" w:cs="Arial"/>
          <w:color w:val="000000"/>
          <w:sz w:val="24"/>
          <w:szCs w:val="24"/>
        </w:rPr>
        <w:t xml:space="preserve">  Some specific examples of government agencies that make use of the NCVS data include the following:</w:t>
      </w:r>
    </w:p>
    <w:p w:rsidR="00B8509A" w:rsidRPr="000000EB" w:rsidRDefault="00B8509A" w:rsidP="00B8509A">
      <w:pPr>
        <w:ind w:left="630"/>
        <w:rPr>
          <w:rFonts w:ascii="Calibri" w:hAnsi="Calibri" w:cs="Arial"/>
          <w:color w:val="000000"/>
          <w:sz w:val="24"/>
          <w:szCs w:val="24"/>
        </w:rPr>
      </w:pPr>
    </w:p>
    <w:p w:rsidR="00CF44FB" w:rsidRPr="000000EB" w:rsidRDefault="00CF44FB" w:rsidP="006F7B4C">
      <w:pPr>
        <w:pStyle w:val="Heading2"/>
        <w:ind w:firstLine="0"/>
        <w:rPr>
          <w:rFonts w:ascii="Calibri" w:hAnsi="Calibri" w:cs="Arial"/>
          <w:i/>
          <w:color w:val="000000"/>
        </w:rPr>
      </w:pPr>
      <w:r w:rsidRPr="000000EB">
        <w:rPr>
          <w:rFonts w:ascii="Calibri" w:hAnsi="Calibri" w:cs="Arial"/>
          <w:i/>
          <w:color w:val="000000"/>
        </w:rPr>
        <w:t xml:space="preserve">Department of Justice </w:t>
      </w:r>
    </w:p>
    <w:p w:rsidR="00463F6B" w:rsidRPr="000000EB" w:rsidRDefault="00224635" w:rsidP="00B8509A">
      <w:pPr>
        <w:pStyle w:val="Heading2"/>
        <w:tabs>
          <w:tab w:val="clear" w:pos="2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ind w:firstLine="0"/>
        <w:rPr>
          <w:rFonts w:ascii="Calibri" w:hAnsi="Calibri" w:cs="Arial"/>
          <w:color w:val="000000"/>
        </w:rPr>
      </w:pPr>
      <w:r>
        <w:rPr>
          <w:rFonts w:ascii="Calibri" w:hAnsi="Calibri" w:cs="Arial"/>
          <w:color w:val="000000"/>
        </w:rPr>
        <w:t>Within the Department of Justice, t</w:t>
      </w:r>
      <w:r w:rsidR="00421117">
        <w:rPr>
          <w:rFonts w:ascii="Calibri" w:hAnsi="Calibri" w:cs="Arial"/>
          <w:color w:val="000000"/>
        </w:rPr>
        <w:t xml:space="preserve">he importance and utility of the NCVS </w:t>
      </w:r>
      <w:r>
        <w:rPr>
          <w:rFonts w:ascii="Calibri" w:hAnsi="Calibri" w:cs="Arial"/>
          <w:color w:val="000000"/>
        </w:rPr>
        <w:t xml:space="preserve">are </w:t>
      </w:r>
      <w:r w:rsidR="00421117">
        <w:rPr>
          <w:rFonts w:ascii="Calibri" w:hAnsi="Calibri" w:cs="Arial"/>
          <w:color w:val="000000"/>
        </w:rPr>
        <w:t>recognized</w:t>
      </w:r>
      <w:r>
        <w:rPr>
          <w:rFonts w:ascii="Calibri" w:hAnsi="Calibri" w:cs="Arial"/>
          <w:color w:val="000000"/>
        </w:rPr>
        <w:t xml:space="preserve">, and </w:t>
      </w:r>
      <w:r w:rsidR="00A06525">
        <w:rPr>
          <w:rFonts w:ascii="Calibri" w:hAnsi="Calibri" w:cs="Arial"/>
          <w:color w:val="000000"/>
        </w:rPr>
        <w:t xml:space="preserve">the </w:t>
      </w:r>
      <w:r>
        <w:rPr>
          <w:rFonts w:ascii="Calibri" w:hAnsi="Calibri" w:cs="Arial"/>
          <w:color w:val="000000"/>
        </w:rPr>
        <w:t xml:space="preserve">data </w:t>
      </w:r>
      <w:r w:rsidR="003D1799">
        <w:rPr>
          <w:rFonts w:ascii="Calibri" w:hAnsi="Calibri" w:cs="Arial"/>
          <w:color w:val="000000"/>
        </w:rPr>
        <w:t xml:space="preserve">are </w:t>
      </w:r>
      <w:r>
        <w:rPr>
          <w:rFonts w:ascii="Calibri" w:hAnsi="Calibri" w:cs="Arial"/>
          <w:color w:val="000000"/>
        </w:rPr>
        <w:t>used for various purposes</w:t>
      </w:r>
      <w:r w:rsidR="00421117">
        <w:rPr>
          <w:rFonts w:ascii="Calibri" w:hAnsi="Calibri" w:cs="Arial"/>
          <w:color w:val="000000"/>
        </w:rPr>
        <w:t>.</w:t>
      </w:r>
      <w:r w:rsidR="00CF44FB" w:rsidRPr="000000EB">
        <w:rPr>
          <w:rFonts w:ascii="Calibri" w:hAnsi="Calibri" w:cs="Arial"/>
          <w:color w:val="000000"/>
        </w:rPr>
        <w:t xml:space="preserve">  The </w:t>
      </w:r>
      <w:r w:rsidR="00D407B7">
        <w:rPr>
          <w:rFonts w:ascii="Calibri" w:hAnsi="Calibri" w:cs="Arial"/>
          <w:color w:val="000000"/>
        </w:rPr>
        <w:t>Justice Department supports BJS’s efforts to release state estimates of violent and property victimization</w:t>
      </w:r>
      <w:r w:rsidR="00C2537D">
        <w:rPr>
          <w:rFonts w:ascii="Calibri" w:hAnsi="Calibri" w:cs="Arial"/>
          <w:color w:val="000000"/>
        </w:rPr>
        <w:t xml:space="preserve"> (</w:t>
      </w:r>
      <w:r w:rsidR="00C2537D" w:rsidRPr="00C2537D">
        <w:rPr>
          <w:rFonts w:ascii="Calibri" w:hAnsi="Calibri" w:cs="Arial"/>
          <w:color w:val="000000"/>
        </w:rPr>
        <w:t>https://www.justice.gov/opa/pr/department-justice-supports-bjs-s-efforts-release-state-estimates-crime-national-crime</w:t>
      </w:r>
      <w:r w:rsidR="00C2537D">
        <w:rPr>
          <w:rFonts w:ascii="Calibri" w:hAnsi="Calibri" w:cs="Arial"/>
          <w:color w:val="000000"/>
        </w:rPr>
        <w:t>)</w:t>
      </w:r>
      <w:r w:rsidR="00CF44FB" w:rsidRPr="000000EB">
        <w:rPr>
          <w:rFonts w:ascii="Calibri" w:hAnsi="Calibri" w:cs="Arial"/>
          <w:color w:val="000000"/>
        </w:rPr>
        <w:t>.</w:t>
      </w:r>
      <w:r w:rsidR="00A65F45" w:rsidRPr="000000EB">
        <w:rPr>
          <w:rFonts w:ascii="Calibri" w:hAnsi="Calibri" w:cs="Arial"/>
          <w:color w:val="000000"/>
        </w:rPr>
        <w:t xml:space="preserve"> </w:t>
      </w:r>
      <w:r w:rsidR="00E93EA7" w:rsidRPr="000000EB">
        <w:rPr>
          <w:rFonts w:ascii="Calibri" w:hAnsi="Calibri" w:cs="Arial"/>
          <w:color w:val="000000"/>
        </w:rPr>
        <w:t>T</w:t>
      </w:r>
      <w:r w:rsidR="00A65F45" w:rsidRPr="000000EB">
        <w:rPr>
          <w:rFonts w:ascii="Calibri" w:hAnsi="Calibri" w:cs="Arial"/>
          <w:color w:val="000000"/>
        </w:rPr>
        <w:t xml:space="preserve">he Office for Victims of Crime (OVC) </w:t>
      </w:r>
      <w:r w:rsidR="00C00324" w:rsidRPr="000000EB">
        <w:rPr>
          <w:rFonts w:ascii="Calibri" w:hAnsi="Calibri" w:cs="Arial"/>
          <w:color w:val="000000"/>
        </w:rPr>
        <w:t>has used</w:t>
      </w:r>
      <w:r w:rsidR="00A65F45" w:rsidRPr="000000EB">
        <w:rPr>
          <w:rFonts w:ascii="Calibri" w:hAnsi="Calibri" w:cs="Arial"/>
          <w:color w:val="000000"/>
        </w:rPr>
        <w:t xml:space="preserve"> the NCVS data to estimate the ratio of victims that receive crime victim fund assistance to the total number of victimizations</w:t>
      </w:r>
      <w:r w:rsidR="00E93EA7" w:rsidRPr="000000EB">
        <w:rPr>
          <w:rFonts w:ascii="Calibri" w:hAnsi="Calibri" w:cs="Arial"/>
          <w:color w:val="000000"/>
        </w:rPr>
        <w:t xml:space="preserve"> and to identify vulnerable populations not receiving assistance</w:t>
      </w:r>
      <w:r w:rsidR="00A65F45" w:rsidRPr="000000EB">
        <w:rPr>
          <w:rFonts w:ascii="Calibri" w:hAnsi="Calibri" w:cs="Arial"/>
          <w:color w:val="000000"/>
        </w:rPr>
        <w:t>.</w:t>
      </w:r>
      <w:r w:rsidR="00C00324" w:rsidRPr="000000EB">
        <w:rPr>
          <w:rFonts w:ascii="Calibri" w:hAnsi="Calibri" w:cs="Arial"/>
          <w:color w:val="000000"/>
        </w:rPr>
        <w:t xml:space="preserve"> </w:t>
      </w:r>
      <w:r w:rsidR="00463F6B" w:rsidRPr="000000EB">
        <w:rPr>
          <w:rFonts w:ascii="Calibri" w:hAnsi="Calibri" w:cs="Arial"/>
          <w:color w:val="000000"/>
        </w:rPr>
        <w:t xml:space="preserve">OVC has </w:t>
      </w:r>
      <w:r w:rsidR="00C87B05" w:rsidRPr="000000EB">
        <w:rPr>
          <w:rFonts w:ascii="Calibri" w:hAnsi="Calibri" w:cs="Arial"/>
          <w:color w:val="000000"/>
        </w:rPr>
        <w:t xml:space="preserve">also </w:t>
      </w:r>
      <w:r w:rsidR="00463F6B" w:rsidRPr="000000EB">
        <w:rPr>
          <w:rFonts w:ascii="Calibri" w:hAnsi="Calibri" w:cs="Arial"/>
          <w:color w:val="000000"/>
        </w:rPr>
        <w:t>used NCVS data to discuss improvements and gaps in the provision of victim services for congressional hearings and has links to a number of BJS reports on homicide trends, identity theft, the provision of victim services, and hate crime on their website (</w:t>
      </w:r>
      <w:hyperlink r:id="rId19" w:anchor="tabs2" w:history="1">
        <w:r w:rsidR="00D407B7" w:rsidRPr="000A6A3B">
          <w:rPr>
            <w:rStyle w:val="Hyperlink"/>
          </w:rPr>
          <w:t>https://ovc.ncjrs.gov/Publications.aspx?TopicID=2#tabs2</w:t>
        </w:r>
      </w:hyperlink>
      <w:r w:rsidR="00D407B7">
        <w:t xml:space="preserve">). </w:t>
      </w:r>
    </w:p>
    <w:p w:rsidR="00CF44FB" w:rsidRPr="000000EB" w:rsidRDefault="00CF44FB" w:rsidP="00B85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Arial"/>
          <w:color w:val="000000"/>
          <w:sz w:val="24"/>
          <w:szCs w:val="24"/>
        </w:rPr>
      </w:pPr>
    </w:p>
    <w:p w:rsidR="00CF44FB" w:rsidRPr="000000EB" w:rsidRDefault="00CF44FB" w:rsidP="00B8509A">
      <w:pPr>
        <w:pStyle w:val="Heading2"/>
        <w:ind w:left="0" w:firstLine="0"/>
        <w:rPr>
          <w:rFonts w:ascii="Calibri" w:hAnsi="Calibri" w:cs="Arial"/>
          <w:i/>
          <w:color w:val="000000"/>
        </w:rPr>
      </w:pPr>
      <w:r w:rsidRPr="000000EB">
        <w:rPr>
          <w:rFonts w:ascii="Calibri" w:hAnsi="Calibri" w:cs="Arial"/>
          <w:color w:val="000000"/>
        </w:rPr>
        <w:tab/>
      </w:r>
      <w:r w:rsidRPr="000000EB">
        <w:rPr>
          <w:rFonts w:ascii="Calibri" w:hAnsi="Calibri" w:cs="Arial"/>
          <w:color w:val="000000"/>
        </w:rPr>
        <w:tab/>
      </w:r>
      <w:r w:rsidRPr="000000EB">
        <w:rPr>
          <w:rFonts w:ascii="Calibri" w:hAnsi="Calibri" w:cs="Arial"/>
          <w:color w:val="000000"/>
        </w:rPr>
        <w:tab/>
      </w:r>
      <w:r w:rsidRPr="000000EB">
        <w:rPr>
          <w:rFonts w:ascii="Calibri" w:hAnsi="Calibri" w:cs="Arial"/>
          <w:color w:val="000000"/>
        </w:rPr>
        <w:tab/>
      </w:r>
      <w:r w:rsidRPr="000000EB">
        <w:rPr>
          <w:rFonts w:ascii="Calibri" w:hAnsi="Calibri" w:cs="Arial"/>
          <w:color w:val="000000"/>
        </w:rPr>
        <w:tab/>
      </w:r>
      <w:r w:rsidRPr="000000EB">
        <w:rPr>
          <w:rFonts w:ascii="Calibri" w:hAnsi="Calibri" w:cs="Arial"/>
          <w:i/>
          <w:color w:val="000000"/>
        </w:rPr>
        <w:t xml:space="preserve">Department of Education </w:t>
      </w:r>
    </w:p>
    <w:p w:rsidR="00CF44FB" w:rsidRPr="000000EB" w:rsidRDefault="00BC5ED7" w:rsidP="00B8509A">
      <w:pPr>
        <w:pStyle w:val="Heading2"/>
        <w:tabs>
          <w:tab w:val="left" w:pos="360"/>
        </w:tabs>
        <w:ind w:firstLine="0"/>
        <w:rPr>
          <w:rFonts w:ascii="Calibri" w:hAnsi="Calibri" w:cs="Arial"/>
          <w:color w:val="000000"/>
        </w:rPr>
      </w:pPr>
      <w:r w:rsidRPr="000000EB">
        <w:rPr>
          <w:rFonts w:ascii="Calibri" w:hAnsi="Calibri" w:cs="Arial"/>
          <w:color w:val="000000"/>
        </w:rPr>
        <w:t>The NCVS is used to m</w:t>
      </w:r>
      <w:r w:rsidR="00CF44FB" w:rsidRPr="000000EB">
        <w:rPr>
          <w:rFonts w:ascii="Calibri" w:hAnsi="Calibri" w:cs="Arial"/>
          <w:color w:val="000000"/>
        </w:rPr>
        <w:t xml:space="preserve">easure nonfatal victimizations at school in order </w:t>
      </w:r>
      <w:r w:rsidR="00CF44FB" w:rsidRPr="000000EB">
        <w:rPr>
          <w:rStyle w:val="contenttext1"/>
          <w:rFonts w:ascii="Calibri" w:hAnsi="Calibri" w:cs="Arial"/>
          <w:color w:val="000000"/>
          <w:sz w:val="24"/>
          <w:szCs w:val="24"/>
        </w:rPr>
        <w:t xml:space="preserve">to inform the nation on the current nature of crime in schools and the prevalence of </w:t>
      </w:r>
      <w:r w:rsidR="00CF44FB" w:rsidRPr="000000EB">
        <w:rPr>
          <w:rFonts w:ascii="Calibri" w:hAnsi="Calibri" w:cs="Arial"/>
          <w:color w:val="000000"/>
        </w:rPr>
        <w:t>s</w:t>
      </w:r>
      <w:r w:rsidRPr="000000EB">
        <w:rPr>
          <w:rFonts w:ascii="Calibri" w:hAnsi="Calibri" w:cs="Arial"/>
          <w:color w:val="000000"/>
        </w:rPr>
        <w:t xml:space="preserve">tudents victimized at school. These findings are released in the annual report, </w:t>
      </w:r>
      <w:r w:rsidRPr="000000EB">
        <w:rPr>
          <w:rFonts w:ascii="Calibri" w:hAnsi="Calibri" w:cs="Arial"/>
          <w:i/>
          <w:color w:val="000000"/>
        </w:rPr>
        <w:t>Indicators of School Crime and Safety</w:t>
      </w:r>
      <w:r w:rsidRPr="000000EB">
        <w:rPr>
          <w:rFonts w:ascii="Calibri" w:hAnsi="Calibri" w:cs="Arial"/>
          <w:color w:val="000000"/>
        </w:rPr>
        <w:t xml:space="preserve">. In addition, the </w:t>
      </w:r>
      <w:r w:rsidR="000264F5" w:rsidRPr="000000EB">
        <w:rPr>
          <w:rFonts w:ascii="Calibri" w:hAnsi="Calibri" w:cs="Arial"/>
          <w:color w:val="000000"/>
        </w:rPr>
        <w:t xml:space="preserve">National Center for Education Statistics sponsors the School Crime Supplement to the </w:t>
      </w:r>
      <w:r w:rsidRPr="000000EB">
        <w:rPr>
          <w:rFonts w:ascii="Calibri" w:hAnsi="Calibri" w:cs="Arial"/>
          <w:color w:val="000000"/>
        </w:rPr>
        <w:t>NCVS</w:t>
      </w:r>
      <w:r w:rsidR="00EC4721">
        <w:rPr>
          <w:rFonts w:ascii="Calibri" w:hAnsi="Calibri" w:cs="Arial"/>
          <w:color w:val="000000"/>
        </w:rPr>
        <w:t>,</w:t>
      </w:r>
      <w:r w:rsidRPr="000000EB">
        <w:rPr>
          <w:rFonts w:ascii="Calibri" w:hAnsi="Calibri" w:cs="Arial"/>
          <w:color w:val="000000"/>
        </w:rPr>
        <w:t xml:space="preserve"> </w:t>
      </w:r>
      <w:r w:rsidR="00EC4721">
        <w:rPr>
          <w:rFonts w:ascii="Calibri" w:hAnsi="Calibri" w:cs="Arial"/>
          <w:color w:val="000000"/>
        </w:rPr>
        <w:t xml:space="preserve">which is fielded </w:t>
      </w:r>
      <w:r w:rsidR="00224635">
        <w:rPr>
          <w:rFonts w:ascii="Calibri" w:hAnsi="Calibri" w:cs="Arial"/>
          <w:color w:val="000000"/>
        </w:rPr>
        <w:t xml:space="preserve">every other </w:t>
      </w:r>
      <w:r w:rsidR="000264F5" w:rsidRPr="000000EB">
        <w:rPr>
          <w:rFonts w:ascii="Calibri" w:hAnsi="Calibri" w:cs="Arial"/>
          <w:color w:val="000000"/>
        </w:rPr>
        <w:t>year</w:t>
      </w:r>
      <w:r w:rsidRPr="000000EB">
        <w:rPr>
          <w:rFonts w:ascii="Calibri" w:hAnsi="Calibri" w:cs="Arial"/>
          <w:color w:val="000000"/>
        </w:rPr>
        <w:t>.</w:t>
      </w:r>
    </w:p>
    <w:p w:rsidR="00CF44FB" w:rsidRPr="000000EB" w:rsidRDefault="00CF44FB" w:rsidP="00B8509A">
      <w:pPr>
        <w:pStyle w:val="Heading2"/>
        <w:rPr>
          <w:rFonts w:ascii="Calibri" w:hAnsi="Calibri" w:cs="Arial"/>
          <w:color w:val="000000"/>
        </w:rPr>
      </w:pPr>
    </w:p>
    <w:p w:rsidR="006A28DD" w:rsidRPr="000000EB" w:rsidRDefault="006A28DD" w:rsidP="00B8509A">
      <w:pPr>
        <w:pStyle w:val="Heading2"/>
        <w:ind w:firstLine="0"/>
        <w:rPr>
          <w:rFonts w:ascii="Calibri" w:hAnsi="Calibri" w:cs="Arial"/>
          <w:i/>
          <w:color w:val="000000"/>
        </w:rPr>
      </w:pPr>
      <w:r w:rsidRPr="000000EB">
        <w:rPr>
          <w:rFonts w:ascii="Calibri" w:hAnsi="Calibri" w:cs="Arial"/>
          <w:i/>
          <w:color w:val="000000"/>
        </w:rPr>
        <w:t>Federal Trade Commission</w:t>
      </w:r>
    </w:p>
    <w:p w:rsidR="006A28DD" w:rsidRDefault="006A28DD" w:rsidP="00B8509A">
      <w:pPr>
        <w:ind w:left="630"/>
        <w:rPr>
          <w:rFonts w:ascii="Calibri" w:hAnsi="Calibri" w:cs="Arial"/>
          <w:color w:val="000000"/>
          <w:sz w:val="24"/>
          <w:szCs w:val="24"/>
        </w:rPr>
      </w:pPr>
      <w:r w:rsidRPr="000000EB">
        <w:rPr>
          <w:rFonts w:ascii="Calibri" w:hAnsi="Calibri" w:cs="Arial"/>
          <w:color w:val="000000"/>
          <w:sz w:val="24"/>
          <w:szCs w:val="24"/>
        </w:rPr>
        <w:t xml:space="preserve">The Federal Trade Commission </w:t>
      </w:r>
      <w:r w:rsidR="00846FE2">
        <w:rPr>
          <w:rFonts w:ascii="Calibri" w:hAnsi="Calibri" w:cs="Arial"/>
          <w:color w:val="000000"/>
          <w:sz w:val="24"/>
          <w:szCs w:val="24"/>
        </w:rPr>
        <w:t xml:space="preserve">(FTC) </w:t>
      </w:r>
      <w:r w:rsidR="00C00324" w:rsidRPr="000000EB">
        <w:rPr>
          <w:rFonts w:ascii="Calibri" w:hAnsi="Calibri" w:cs="Arial"/>
          <w:color w:val="000000"/>
          <w:sz w:val="24"/>
          <w:szCs w:val="24"/>
        </w:rPr>
        <w:t>worked with BJS to develop and fund the</w:t>
      </w:r>
      <w:r w:rsidRPr="000000EB">
        <w:rPr>
          <w:rFonts w:ascii="Calibri" w:hAnsi="Calibri" w:cs="Arial"/>
          <w:color w:val="000000"/>
          <w:sz w:val="24"/>
          <w:szCs w:val="24"/>
        </w:rPr>
        <w:t xml:space="preserve"> Identity Theft Supplement </w:t>
      </w:r>
      <w:r w:rsidR="00C00324" w:rsidRPr="000000EB">
        <w:rPr>
          <w:rFonts w:ascii="Calibri" w:hAnsi="Calibri" w:cs="Arial"/>
          <w:color w:val="000000"/>
          <w:sz w:val="24"/>
          <w:szCs w:val="24"/>
        </w:rPr>
        <w:t xml:space="preserve">(ITS) </w:t>
      </w:r>
      <w:r w:rsidRPr="000000EB">
        <w:rPr>
          <w:rFonts w:ascii="Calibri" w:hAnsi="Calibri" w:cs="Arial"/>
          <w:color w:val="000000"/>
          <w:sz w:val="24"/>
          <w:szCs w:val="24"/>
        </w:rPr>
        <w:t>to the NCVS</w:t>
      </w:r>
      <w:r w:rsidR="00C00324" w:rsidRPr="000000EB">
        <w:rPr>
          <w:rFonts w:ascii="Calibri" w:hAnsi="Calibri" w:cs="Arial"/>
          <w:color w:val="000000"/>
          <w:sz w:val="24"/>
          <w:szCs w:val="24"/>
        </w:rPr>
        <w:t xml:space="preserve">. </w:t>
      </w:r>
      <w:r w:rsidR="001424C4" w:rsidRPr="000000EB">
        <w:rPr>
          <w:rFonts w:ascii="Calibri" w:hAnsi="Calibri" w:cs="Arial"/>
          <w:color w:val="000000"/>
          <w:sz w:val="24"/>
          <w:szCs w:val="24"/>
        </w:rPr>
        <w:t xml:space="preserve">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  </w:t>
      </w:r>
      <w:r w:rsidR="00C00324" w:rsidRPr="000000EB">
        <w:rPr>
          <w:rFonts w:ascii="Calibri" w:hAnsi="Calibri" w:cs="Arial"/>
          <w:color w:val="000000"/>
          <w:sz w:val="24"/>
          <w:szCs w:val="24"/>
        </w:rPr>
        <w:t>A report based on the 20</w:t>
      </w:r>
      <w:r w:rsidR="00D407B7">
        <w:rPr>
          <w:rFonts w:ascii="Calibri" w:hAnsi="Calibri" w:cs="Arial"/>
          <w:color w:val="000000"/>
          <w:sz w:val="24"/>
          <w:szCs w:val="24"/>
        </w:rPr>
        <w:t>14</w:t>
      </w:r>
      <w:r w:rsidR="00C00324" w:rsidRPr="000000EB">
        <w:rPr>
          <w:rFonts w:ascii="Calibri" w:hAnsi="Calibri" w:cs="Arial"/>
          <w:color w:val="000000"/>
          <w:sz w:val="24"/>
          <w:szCs w:val="24"/>
        </w:rPr>
        <w:t xml:space="preserve"> ITS is available at</w:t>
      </w:r>
      <w:r w:rsidR="00424F76">
        <w:rPr>
          <w:rFonts w:ascii="Calibri" w:hAnsi="Calibri" w:cs="Arial"/>
          <w:color w:val="000000"/>
          <w:sz w:val="24"/>
          <w:szCs w:val="24"/>
        </w:rPr>
        <w:t xml:space="preserve"> </w:t>
      </w:r>
      <w:hyperlink r:id="rId20" w:history="1">
        <w:r w:rsidR="00D407B7" w:rsidRPr="000A6A3B">
          <w:rPr>
            <w:rStyle w:val="Hyperlink"/>
            <w:rFonts w:ascii="Calibri" w:hAnsi="Calibri" w:cs="Arial"/>
            <w:sz w:val="24"/>
            <w:szCs w:val="24"/>
          </w:rPr>
          <w:t>http://www.bjs.gov/content/pub/pdf/vit14.pdf</w:t>
        </w:r>
      </w:hyperlink>
      <w:r w:rsidR="00392D59" w:rsidRPr="000000EB">
        <w:rPr>
          <w:rFonts w:ascii="Calibri" w:hAnsi="Calibri" w:cs="Arial"/>
          <w:color w:val="000000"/>
          <w:sz w:val="24"/>
          <w:szCs w:val="24"/>
        </w:rPr>
        <w:t>.</w:t>
      </w:r>
      <w:r w:rsidR="00DF5F59" w:rsidRPr="000000EB">
        <w:rPr>
          <w:rFonts w:ascii="Calibri" w:hAnsi="Calibri" w:cs="Arial"/>
          <w:color w:val="000000"/>
          <w:sz w:val="24"/>
          <w:szCs w:val="24"/>
        </w:rPr>
        <w:t xml:space="preserve"> The 201</w:t>
      </w:r>
      <w:r w:rsidR="00D407B7">
        <w:rPr>
          <w:rFonts w:ascii="Calibri" w:hAnsi="Calibri" w:cs="Arial"/>
          <w:color w:val="000000"/>
          <w:sz w:val="24"/>
          <w:szCs w:val="24"/>
        </w:rPr>
        <w:t>6</w:t>
      </w:r>
      <w:r w:rsidR="00DF5F59" w:rsidRPr="000000EB">
        <w:rPr>
          <w:rFonts w:ascii="Calibri" w:hAnsi="Calibri" w:cs="Arial"/>
          <w:color w:val="000000"/>
          <w:sz w:val="24"/>
          <w:szCs w:val="24"/>
        </w:rPr>
        <w:t xml:space="preserve"> ITS </w:t>
      </w:r>
      <w:r w:rsidR="00424F76">
        <w:rPr>
          <w:rFonts w:ascii="Calibri" w:hAnsi="Calibri" w:cs="Arial"/>
          <w:color w:val="000000"/>
          <w:sz w:val="24"/>
          <w:szCs w:val="24"/>
        </w:rPr>
        <w:t>report is due out in 201</w:t>
      </w:r>
      <w:r w:rsidR="00D407B7">
        <w:rPr>
          <w:rFonts w:ascii="Calibri" w:hAnsi="Calibri" w:cs="Arial"/>
          <w:color w:val="000000"/>
          <w:sz w:val="24"/>
          <w:szCs w:val="24"/>
        </w:rPr>
        <w:t>8</w:t>
      </w:r>
      <w:r w:rsidR="00424F76">
        <w:rPr>
          <w:rFonts w:ascii="Calibri" w:hAnsi="Calibri" w:cs="Arial"/>
          <w:color w:val="000000"/>
          <w:sz w:val="24"/>
          <w:szCs w:val="24"/>
        </w:rPr>
        <w:t xml:space="preserve"> and t</w:t>
      </w:r>
      <w:r w:rsidR="00D407B7">
        <w:rPr>
          <w:rFonts w:ascii="Calibri" w:hAnsi="Calibri" w:cs="Arial"/>
          <w:color w:val="000000"/>
          <w:sz w:val="24"/>
          <w:szCs w:val="24"/>
        </w:rPr>
        <w:t>he 2018</w:t>
      </w:r>
      <w:r w:rsidR="00424F76">
        <w:rPr>
          <w:rFonts w:ascii="Calibri" w:hAnsi="Calibri" w:cs="Arial"/>
          <w:color w:val="000000"/>
          <w:sz w:val="24"/>
          <w:szCs w:val="24"/>
        </w:rPr>
        <w:t xml:space="preserve"> ITS </w:t>
      </w:r>
      <w:r w:rsidR="00DF5F59" w:rsidRPr="000000EB">
        <w:rPr>
          <w:rFonts w:ascii="Calibri" w:hAnsi="Calibri" w:cs="Arial"/>
          <w:color w:val="000000"/>
          <w:sz w:val="24"/>
          <w:szCs w:val="24"/>
        </w:rPr>
        <w:t>will be in the field from J</w:t>
      </w:r>
      <w:r w:rsidR="00424F76">
        <w:rPr>
          <w:rFonts w:ascii="Calibri" w:hAnsi="Calibri" w:cs="Arial"/>
          <w:color w:val="000000"/>
          <w:sz w:val="24"/>
          <w:szCs w:val="24"/>
        </w:rPr>
        <w:t xml:space="preserve">anuary </w:t>
      </w:r>
      <w:r w:rsidR="00DF5F59" w:rsidRPr="000000EB">
        <w:rPr>
          <w:rFonts w:ascii="Calibri" w:hAnsi="Calibri" w:cs="Arial"/>
          <w:color w:val="000000"/>
          <w:sz w:val="24"/>
          <w:szCs w:val="24"/>
        </w:rPr>
        <w:t xml:space="preserve">through </w:t>
      </w:r>
      <w:r w:rsidR="00424F76">
        <w:rPr>
          <w:rFonts w:ascii="Calibri" w:hAnsi="Calibri" w:cs="Arial"/>
          <w:color w:val="000000"/>
          <w:sz w:val="24"/>
          <w:szCs w:val="24"/>
        </w:rPr>
        <w:t>July</w:t>
      </w:r>
      <w:r w:rsidR="00DF5F59" w:rsidRPr="000000EB">
        <w:rPr>
          <w:rFonts w:ascii="Calibri" w:hAnsi="Calibri" w:cs="Arial"/>
          <w:color w:val="000000"/>
          <w:sz w:val="24"/>
          <w:szCs w:val="24"/>
        </w:rPr>
        <w:t xml:space="preserve"> of 201</w:t>
      </w:r>
      <w:r w:rsidR="00D407B7">
        <w:rPr>
          <w:rFonts w:ascii="Calibri" w:hAnsi="Calibri" w:cs="Arial"/>
          <w:color w:val="000000"/>
          <w:sz w:val="24"/>
          <w:szCs w:val="24"/>
        </w:rPr>
        <w:t>8</w:t>
      </w:r>
      <w:r w:rsidR="00DF5F59" w:rsidRPr="000000EB">
        <w:rPr>
          <w:rFonts w:ascii="Calibri" w:hAnsi="Calibri" w:cs="Arial"/>
          <w:color w:val="000000"/>
          <w:sz w:val="24"/>
          <w:szCs w:val="24"/>
        </w:rPr>
        <w:t xml:space="preserve">. </w:t>
      </w:r>
    </w:p>
    <w:p w:rsidR="00846FE2" w:rsidRDefault="00846FE2" w:rsidP="00B8509A">
      <w:pPr>
        <w:ind w:left="630"/>
        <w:rPr>
          <w:rFonts w:ascii="Calibri" w:hAnsi="Calibri" w:cs="Arial"/>
          <w:color w:val="000000"/>
          <w:sz w:val="24"/>
          <w:szCs w:val="24"/>
        </w:rPr>
      </w:pPr>
    </w:p>
    <w:p w:rsidR="00846FE2" w:rsidRPr="000000EB" w:rsidRDefault="00846FE2" w:rsidP="00B8509A">
      <w:pPr>
        <w:ind w:left="630"/>
        <w:rPr>
          <w:rFonts w:ascii="Calibri" w:hAnsi="Calibri" w:cs="Arial"/>
          <w:color w:val="000000"/>
          <w:sz w:val="24"/>
          <w:szCs w:val="24"/>
        </w:rPr>
      </w:pPr>
      <w:r>
        <w:rPr>
          <w:rFonts w:ascii="Calibri" w:hAnsi="Calibri" w:cs="Arial"/>
          <w:color w:val="000000"/>
          <w:sz w:val="24"/>
          <w:szCs w:val="24"/>
        </w:rPr>
        <w:t xml:space="preserve">In addition, the </w:t>
      </w:r>
      <w:r w:rsidRPr="00846FE2">
        <w:rPr>
          <w:rFonts w:ascii="Calibri" w:hAnsi="Calibri" w:cs="Arial"/>
          <w:color w:val="000000"/>
          <w:sz w:val="24"/>
          <w:szCs w:val="24"/>
        </w:rPr>
        <w:t xml:space="preserve">2017 </w:t>
      </w:r>
      <w:r>
        <w:rPr>
          <w:rFonts w:ascii="Calibri" w:hAnsi="Calibri" w:cs="Arial"/>
          <w:color w:val="000000"/>
          <w:sz w:val="24"/>
          <w:szCs w:val="24"/>
        </w:rPr>
        <w:t>Supplemental Fraud Survey (</w:t>
      </w:r>
      <w:r w:rsidRPr="00846FE2">
        <w:rPr>
          <w:rFonts w:ascii="Calibri" w:hAnsi="Calibri" w:cs="Arial"/>
          <w:color w:val="000000"/>
          <w:sz w:val="24"/>
          <w:szCs w:val="24"/>
        </w:rPr>
        <w:t>SFS</w:t>
      </w:r>
      <w:r>
        <w:rPr>
          <w:rFonts w:ascii="Calibri" w:hAnsi="Calibri" w:cs="Arial"/>
          <w:color w:val="000000"/>
          <w:sz w:val="24"/>
          <w:szCs w:val="24"/>
        </w:rPr>
        <w:t>)</w:t>
      </w:r>
      <w:r w:rsidRPr="00846FE2">
        <w:rPr>
          <w:rFonts w:ascii="Calibri" w:hAnsi="Calibri" w:cs="Arial"/>
          <w:color w:val="000000"/>
          <w:sz w:val="24"/>
          <w:szCs w:val="24"/>
        </w:rPr>
        <w:t xml:space="preserve"> data on the prevalence of financial fraud and the characteristics of victims </w:t>
      </w:r>
      <w:r w:rsidR="00A06525">
        <w:rPr>
          <w:rFonts w:ascii="Calibri" w:hAnsi="Calibri" w:cs="Arial"/>
          <w:color w:val="000000"/>
          <w:sz w:val="24"/>
          <w:szCs w:val="24"/>
        </w:rPr>
        <w:t xml:space="preserve">will </w:t>
      </w:r>
      <w:r w:rsidRPr="00846FE2">
        <w:rPr>
          <w:rFonts w:ascii="Calibri" w:hAnsi="Calibri" w:cs="Arial"/>
          <w:color w:val="000000"/>
          <w:sz w:val="24"/>
          <w:szCs w:val="24"/>
        </w:rPr>
        <w:t>assist agencies like the</w:t>
      </w:r>
      <w:r>
        <w:rPr>
          <w:rFonts w:ascii="Calibri" w:hAnsi="Calibri" w:cs="Arial"/>
          <w:color w:val="000000"/>
          <w:sz w:val="24"/>
          <w:szCs w:val="24"/>
        </w:rPr>
        <w:t xml:space="preserve"> FTC </w:t>
      </w:r>
      <w:r w:rsidRPr="00846FE2">
        <w:rPr>
          <w:rFonts w:ascii="Calibri" w:hAnsi="Calibri" w:cs="Arial"/>
          <w:color w:val="000000"/>
          <w:sz w:val="24"/>
          <w:szCs w:val="24"/>
        </w:rPr>
        <w:t>in identifying populations that may be particularly vulnerable, and appropriately targeting awareness and prevention campaigns.</w:t>
      </w:r>
    </w:p>
    <w:p w:rsidR="006A28DD" w:rsidRPr="000000EB" w:rsidRDefault="006A28DD" w:rsidP="00B8509A">
      <w:pPr>
        <w:rPr>
          <w:rFonts w:ascii="Calibri" w:hAnsi="Calibri"/>
          <w:i/>
          <w:sz w:val="24"/>
          <w:szCs w:val="24"/>
        </w:rPr>
      </w:pPr>
    </w:p>
    <w:p w:rsidR="00CF44FB" w:rsidRPr="000000EB" w:rsidRDefault="00CF44FB" w:rsidP="00B8509A">
      <w:pPr>
        <w:pStyle w:val="Heading2"/>
        <w:rPr>
          <w:rFonts w:ascii="Calibri" w:hAnsi="Calibri" w:cs="Arial"/>
          <w:i/>
          <w:color w:val="000000"/>
        </w:rPr>
      </w:pPr>
      <w:r w:rsidRPr="000000EB">
        <w:rPr>
          <w:rFonts w:ascii="Calibri" w:hAnsi="Calibri" w:cs="Arial"/>
          <w:i/>
          <w:color w:val="000000"/>
        </w:rPr>
        <w:tab/>
      </w:r>
      <w:r w:rsidRPr="000000EB">
        <w:rPr>
          <w:rFonts w:ascii="Calibri" w:hAnsi="Calibri" w:cs="Arial"/>
          <w:i/>
          <w:color w:val="000000"/>
        </w:rPr>
        <w:tab/>
      </w:r>
      <w:r w:rsidRPr="000000EB">
        <w:rPr>
          <w:rFonts w:ascii="Calibri" w:hAnsi="Calibri" w:cs="Arial"/>
          <w:i/>
          <w:color w:val="000000"/>
        </w:rPr>
        <w:tab/>
      </w:r>
      <w:r w:rsidRPr="000000EB">
        <w:rPr>
          <w:rFonts w:ascii="Calibri" w:hAnsi="Calibri" w:cs="Arial"/>
          <w:i/>
          <w:color w:val="000000"/>
        </w:rPr>
        <w:tab/>
      </w:r>
      <w:r w:rsidRPr="000000EB">
        <w:rPr>
          <w:rFonts w:ascii="Calibri" w:hAnsi="Calibri" w:cs="Arial"/>
          <w:i/>
          <w:color w:val="000000"/>
        </w:rPr>
        <w:tab/>
        <w:t xml:space="preserve">Department of Health and Human Services  </w:t>
      </w:r>
    </w:p>
    <w:p w:rsidR="00846FE2" w:rsidRDefault="00DF5F59" w:rsidP="00AC1D84">
      <w:pPr>
        <w:ind w:left="630"/>
        <w:rPr>
          <w:rFonts w:ascii="Calibri" w:hAnsi="Calibri" w:cs="Arial"/>
          <w:color w:val="000000"/>
          <w:sz w:val="24"/>
          <w:szCs w:val="24"/>
        </w:rPr>
      </w:pPr>
      <w:r w:rsidRPr="00AC1D84">
        <w:rPr>
          <w:rFonts w:ascii="Calibri" w:hAnsi="Calibri" w:cs="Arial"/>
          <w:color w:val="000000"/>
          <w:sz w:val="24"/>
          <w:szCs w:val="24"/>
        </w:rPr>
        <w:t xml:space="preserve">The Department of Health and Human Services relies on NCVS data on </w:t>
      </w:r>
      <w:r w:rsidR="00CF44FB" w:rsidRPr="00AC1D84">
        <w:rPr>
          <w:rFonts w:ascii="Calibri" w:hAnsi="Calibri" w:cs="Arial"/>
          <w:color w:val="000000"/>
          <w:sz w:val="24"/>
          <w:szCs w:val="24"/>
        </w:rPr>
        <w:t xml:space="preserve">nonfatal workplace victimizations </w:t>
      </w:r>
      <w:r w:rsidRPr="00AC1D84">
        <w:rPr>
          <w:rFonts w:ascii="Calibri" w:hAnsi="Calibri" w:cs="Arial"/>
          <w:color w:val="000000"/>
          <w:sz w:val="24"/>
          <w:szCs w:val="24"/>
        </w:rPr>
        <w:t>to</w:t>
      </w:r>
      <w:r w:rsidR="00CF44FB" w:rsidRPr="00AC1D84">
        <w:rPr>
          <w:rFonts w:ascii="Calibri" w:hAnsi="Calibri" w:cs="Arial"/>
          <w:color w:val="000000"/>
          <w:sz w:val="24"/>
          <w:szCs w:val="24"/>
        </w:rPr>
        <w:t xml:space="preserve"> identify occupations and workplaces at high</w:t>
      </w:r>
      <w:r w:rsidR="00EC4721">
        <w:rPr>
          <w:rFonts w:ascii="Calibri" w:hAnsi="Calibri" w:cs="Arial"/>
          <w:color w:val="000000"/>
          <w:sz w:val="24"/>
          <w:szCs w:val="24"/>
        </w:rPr>
        <w:t xml:space="preserve"> </w:t>
      </w:r>
      <w:r w:rsidR="00CF44FB" w:rsidRPr="00AC1D84">
        <w:rPr>
          <w:rFonts w:ascii="Calibri" w:hAnsi="Calibri" w:cs="Arial"/>
          <w:color w:val="000000"/>
          <w:sz w:val="24"/>
          <w:szCs w:val="24"/>
        </w:rPr>
        <w:t xml:space="preserve">risk for violence </w:t>
      </w:r>
      <w:r w:rsidR="00092BB2" w:rsidRPr="00AC1D84">
        <w:rPr>
          <w:rFonts w:ascii="Calibri" w:hAnsi="Calibri" w:cs="Arial"/>
          <w:color w:val="000000"/>
          <w:sz w:val="24"/>
          <w:szCs w:val="24"/>
        </w:rPr>
        <w:t xml:space="preserve">and </w:t>
      </w:r>
      <w:r w:rsidR="00A06525">
        <w:rPr>
          <w:rFonts w:ascii="Calibri" w:hAnsi="Calibri" w:cs="Arial"/>
          <w:color w:val="000000"/>
          <w:sz w:val="24"/>
          <w:szCs w:val="24"/>
        </w:rPr>
        <w:t xml:space="preserve">to </w:t>
      </w:r>
      <w:r w:rsidR="00092BB2" w:rsidRPr="00AC1D84">
        <w:rPr>
          <w:rFonts w:ascii="Calibri" w:hAnsi="Calibri" w:cs="Arial"/>
          <w:color w:val="000000"/>
          <w:sz w:val="24"/>
          <w:szCs w:val="24"/>
        </w:rPr>
        <w:t>develop guidelines for dealing with workplace violence</w:t>
      </w:r>
      <w:r w:rsidR="00A65F45" w:rsidRPr="00AC1D84">
        <w:rPr>
          <w:rFonts w:ascii="Calibri" w:hAnsi="Calibri" w:cs="Arial"/>
          <w:color w:val="000000"/>
          <w:sz w:val="24"/>
          <w:szCs w:val="24"/>
        </w:rPr>
        <w:t xml:space="preserve">. The most </w:t>
      </w:r>
      <w:r w:rsidRPr="00AC1D84">
        <w:rPr>
          <w:rFonts w:ascii="Calibri" w:hAnsi="Calibri" w:cs="Arial"/>
          <w:color w:val="000000"/>
          <w:sz w:val="24"/>
          <w:szCs w:val="24"/>
        </w:rPr>
        <w:t xml:space="preserve">recent </w:t>
      </w:r>
      <w:r w:rsidR="00092BB2" w:rsidRPr="00AC1D84">
        <w:rPr>
          <w:rFonts w:ascii="Calibri" w:hAnsi="Calibri" w:cs="Arial"/>
          <w:color w:val="000000"/>
          <w:sz w:val="24"/>
          <w:szCs w:val="24"/>
        </w:rPr>
        <w:t xml:space="preserve">BJS </w:t>
      </w:r>
      <w:r w:rsidRPr="00AC1D84">
        <w:rPr>
          <w:rFonts w:ascii="Calibri" w:hAnsi="Calibri" w:cs="Arial"/>
          <w:color w:val="000000"/>
          <w:sz w:val="24"/>
          <w:szCs w:val="24"/>
        </w:rPr>
        <w:t>report</w:t>
      </w:r>
      <w:r w:rsidR="00424F76" w:rsidRPr="00AC1D84">
        <w:rPr>
          <w:rFonts w:ascii="Calibri" w:hAnsi="Calibri" w:cs="Arial"/>
          <w:color w:val="000000"/>
          <w:sz w:val="24"/>
          <w:szCs w:val="24"/>
        </w:rPr>
        <w:t>s</w:t>
      </w:r>
      <w:r w:rsidRPr="00AC1D84">
        <w:rPr>
          <w:rFonts w:ascii="Calibri" w:hAnsi="Calibri" w:cs="Arial"/>
          <w:color w:val="000000"/>
          <w:sz w:val="24"/>
          <w:szCs w:val="24"/>
        </w:rPr>
        <w:t xml:space="preserve"> on this topic, </w:t>
      </w:r>
      <w:r w:rsidR="00A65F45" w:rsidRPr="00AC1D84">
        <w:rPr>
          <w:rFonts w:ascii="Calibri" w:hAnsi="Calibri" w:cs="Arial"/>
          <w:i/>
          <w:color w:val="000000"/>
          <w:sz w:val="24"/>
          <w:szCs w:val="24"/>
        </w:rPr>
        <w:t>Workplace</w:t>
      </w:r>
      <w:r w:rsidRPr="00AC1D84">
        <w:rPr>
          <w:rFonts w:ascii="Calibri" w:hAnsi="Calibri" w:cs="Arial"/>
          <w:i/>
          <w:color w:val="000000"/>
          <w:sz w:val="24"/>
          <w:szCs w:val="24"/>
        </w:rPr>
        <w:t xml:space="preserve"> Violence</w:t>
      </w:r>
      <w:r w:rsidR="00A65F45" w:rsidRPr="00AC1D84">
        <w:rPr>
          <w:rFonts w:ascii="Calibri" w:hAnsi="Calibri" w:cs="Arial"/>
          <w:i/>
          <w:color w:val="000000"/>
          <w:sz w:val="24"/>
          <w:szCs w:val="24"/>
        </w:rPr>
        <w:t>, 1993-</w:t>
      </w:r>
      <w:r w:rsidRPr="00AC1D84">
        <w:rPr>
          <w:rFonts w:ascii="Calibri" w:hAnsi="Calibri" w:cs="Arial"/>
          <w:i/>
          <w:color w:val="000000"/>
          <w:sz w:val="24"/>
          <w:szCs w:val="24"/>
        </w:rPr>
        <w:t>200</w:t>
      </w:r>
      <w:r w:rsidR="00A65F45" w:rsidRPr="00AC1D84">
        <w:rPr>
          <w:rFonts w:ascii="Calibri" w:hAnsi="Calibri" w:cs="Arial"/>
          <w:i/>
          <w:color w:val="000000"/>
          <w:sz w:val="24"/>
          <w:szCs w:val="24"/>
        </w:rPr>
        <w:t>9</w:t>
      </w:r>
      <w:r w:rsidRPr="00AC1D84">
        <w:rPr>
          <w:rFonts w:ascii="Calibri" w:hAnsi="Calibri" w:cs="Arial"/>
          <w:i/>
          <w:color w:val="000000"/>
          <w:sz w:val="24"/>
          <w:szCs w:val="24"/>
        </w:rPr>
        <w:t>,</w:t>
      </w:r>
      <w:r w:rsidR="00424F76" w:rsidRPr="00AC1D84">
        <w:rPr>
          <w:rFonts w:ascii="Calibri" w:hAnsi="Calibri" w:cs="Arial"/>
          <w:color w:val="000000"/>
          <w:sz w:val="24"/>
          <w:szCs w:val="24"/>
        </w:rPr>
        <w:t xml:space="preserve"> </w:t>
      </w:r>
      <w:r w:rsidR="00424F76" w:rsidRPr="00E20A8C">
        <w:rPr>
          <w:rFonts w:ascii="Calibri" w:hAnsi="Calibri" w:cs="Arial"/>
          <w:color w:val="000000"/>
          <w:sz w:val="24"/>
          <w:szCs w:val="24"/>
        </w:rPr>
        <w:t xml:space="preserve">and </w:t>
      </w:r>
      <w:r w:rsidR="00424F76" w:rsidRPr="00E20A8C">
        <w:rPr>
          <w:rFonts w:ascii="Calibri" w:hAnsi="Calibri"/>
          <w:i/>
          <w:sz w:val="24"/>
          <w:szCs w:val="24"/>
        </w:rPr>
        <w:t>Workplace Violence Against Government Employees, 1994-2011</w:t>
      </w:r>
      <w:r w:rsidRPr="00E20A8C">
        <w:rPr>
          <w:rFonts w:ascii="Calibri" w:hAnsi="Calibri" w:cs="Arial"/>
          <w:i/>
          <w:color w:val="000000"/>
          <w:sz w:val="24"/>
          <w:szCs w:val="24"/>
        </w:rPr>
        <w:t xml:space="preserve"> </w:t>
      </w:r>
      <w:r w:rsidR="00424F76" w:rsidRPr="00E20A8C">
        <w:rPr>
          <w:rFonts w:ascii="Calibri" w:hAnsi="Calibri" w:cs="Arial"/>
          <w:color w:val="000000"/>
          <w:sz w:val="24"/>
          <w:szCs w:val="24"/>
        </w:rPr>
        <w:t>are</w:t>
      </w:r>
      <w:r w:rsidRPr="00E20A8C">
        <w:rPr>
          <w:rFonts w:ascii="Calibri" w:hAnsi="Calibri" w:cs="Arial"/>
          <w:color w:val="000000"/>
          <w:sz w:val="24"/>
          <w:szCs w:val="24"/>
        </w:rPr>
        <w:t xml:space="preserve"> available at </w:t>
      </w:r>
      <w:hyperlink r:id="rId21" w:history="1">
        <w:r w:rsidR="00846FE2" w:rsidRPr="000A6A3B">
          <w:rPr>
            <w:rStyle w:val="Hyperlink"/>
            <w:rFonts w:ascii="Calibri" w:hAnsi="Calibri" w:cs="Arial"/>
            <w:sz w:val="24"/>
            <w:szCs w:val="24"/>
          </w:rPr>
          <w:t>http://www.bjs.gov/index.cfm?ty=pbse&amp;sid=56</w:t>
        </w:r>
      </w:hyperlink>
      <w:r w:rsidR="00D64A39" w:rsidRPr="00E20A8C">
        <w:rPr>
          <w:rFonts w:ascii="Calibri" w:hAnsi="Calibri" w:cs="Arial"/>
          <w:color w:val="000000"/>
          <w:sz w:val="24"/>
          <w:szCs w:val="24"/>
        </w:rPr>
        <w:t>.</w:t>
      </w:r>
    </w:p>
    <w:p w:rsidR="00846FE2" w:rsidRDefault="00846FE2" w:rsidP="00AC1D84">
      <w:pPr>
        <w:ind w:left="630"/>
        <w:rPr>
          <w:rFonts w:ascii="Calibri" w:hAnsi="Calibri" w:cs="Arial"/>
          <w:color w:val="000000"/>
          <w:sz w:val="24"/>
          <w:szCs w:val="24"/>
        </w:rPr>
      </w:pPr>
    </w:p>
    <w:p w:rsidR="00846FE2" w:rsidRPr="00846FE2" w:rsidRDefault="00846FE2" w:rsidP="00AC1D84">
      <w:pPr>
        <w:ind w:left="630"/>
        <w:rPr>
          <w:rFonts w:ascii="Calibri" w:hAnsi="Calibri" w:cs="Arial"/>
          <w:i/>
          <w:color w:val="000000"/>
          <w:sz w:val="24"/>
          <w:szCs w:val="24"/>
        </w:rPr>
      </w:pPr>
      <w:r w:rsidRPr="00846FE2">
        <w:rPr>
          <w:rFonts w:ascii="Calibri" w:hAnsi="Calibri" w:cs="Arial"/>
          <w:i/>
          <w:color w:val="000000"/>
          <w:sz w:val="24"/>
          <w:szCs w:val="24"/>
        </w:rPr>
        <w:t>Other Federal Agencies</w:t>
      </w:r>
    </w:p>
    <w:p w:rsidR="00DF5F59" w:rsidRPr="00AC1D84" w:rsidRDefault="00846FE2" w:rsidP="00AC1D84">
      <w:pPr>
        <w:ind w:left="630"/>
        <w:rPr>
          <w:rFonts w:ascii="Calibri" w:hAnsi="Calibri"/>
          <w:sz w:val="24"/>
          <w:szCs w:val="24"/>
        </w:rPr>
      </w:pPr>
      <w:r w:rsidRPr="00846FE2">
        <w:rPr>
          <w:rFonts w:ascii="Calibri" w:hAnsi="Calibri" w:cs="Arial"/>
          <w:color w:val="000000"/>
          <w:sz w:val="24"/>
          <w:szCs w:val="24"/>
        </w:rPr>
        <w:t xml:space="preserve">The 2017 SFS data on the prevalence of financial fraud and the characteristics of victims </w:t>
      </w:r>
      <w:r w:rsidR="00A06525">
        <w:rPr>
          <w:rFonts w:ascii="Calibri" w:hAnsi="Calibri" w:cs="Arial"/>
          <w:color w:val="000000"/>
          <w:sz w:val="24"/>
          <w:szCs w:val="24"/>
        </w:rPr>
        <w:t xml:space="preserve">will </w:t>
      </w:r>
      <w:r w:rsidRPr="00846FE2">
        <w:rPr>
          <w:rFonts w:ascii="Calibri" w:hAnsi="Calibri" w:cs="Arial"/>
          <w:color w:val="000000"/>
          <w:sz w:val="24"/>
          <w:szCs w:val="24"/>
        </w:rPr>
        <w:t xml:space="preserve">assist agencies like the Securities and Exchange Commission (SEC), Internal Revenue Service (IRS), and U.S. Postal Inspection Service (USPIS) in identifying populations that may be particularly vulnerable, and appropriately targeting awareness and prevention campaigns. </w:t>
      </w:r>
      <w:r w:rsidR="00A06525">
        <w:rPr>
          <w:rFonts w:ascii="Calibri" w:hAnsi="Calibri" w:cs="Arial"/>
          <w:color w:val="000000"/>
          <w:sz w:val="24"/>
          <w:szCs w:val="24"/>
        </w:rPr>
        <w:t xml:space="preserve">Policymakers </w:t>
      </w:r>
      <w:r w:rsidRPr="00846FE2">
        <w:rPr>
          <w:rFonts w:ascii="Calibri" w:hAnsi="Calibri" w:cs="Arial"/>
          <w:color w:val="000000"/>
          <w:sz w:val="24"/>
          <w:szCs w:val="24"/>
        </w:rPr>
        <w:t>would also benefit from data assessing the magnitude of financial fraud in the United States.</w:t>
      </w:r>
      <w:r w:rsidR="00A06525">
        <w:rPr>
          <w:rFonts w:ascii="Calibri" w:hAnsi="Calibri" w:cs="Arial"/>
          <w:color w:val="000000"/>
          <w:sz w:val="24"/>
          <w:szCs w:val="24"/>
        </w:rPr>
        <w:t xml:space="preserve"> Th</w:t>
      </w:r>
      <w:r w:rsidR="008F062B">
        <w:rPr>
          <w:rFonts w:ascii="Calibri" w:hAnsi="Calibri" w:cs="Arial"/>
          <w:color w:val="000000"/>
          <w:sz w:val="24"/>
          <w:szCs w:val="24"/>
        </w:rPr>
        <w:t>ese</w:t>
      </w:r>
      <w:r w:rsidR="00A06525">
        <w:rPr>
          <w:rFonts w:ascii="Calibri" w:hAnsi="Calibri" w:cs="Arial"/>
          <w:color w:val="000000"/>
          <w:sz w:val="24"/>
          <w:szCs w:val="24"/>
        </w:rPr>
        <w:t xml:space="preserve"> data will help inform legislative and other efforts to help protect consumers and the populace.</w:t>
      </w:r>
    </w:p>
    <w:p w:rsidR="00CF44FB" w:rsidRPr="000000EB" w:rsidRDefault="00CF44FB" w:rsidP="00AC1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Arial"/>
          <w:color w:val="000000"/>
        </w:rPr>
      </w:pPr>
    </w:p>
    <w:p w:rsidR="00CF44FB" w:rsidRPr="000000EB" w:rsidRDefault="00CF44FB" w:rsidP="00B8509A">
      <w:pPr>
        <w:pStyle w:val="Heading2"/>
        <w:tabs>
          <w:tab w:val="clear" w:pos="270"/>
          <w:tab w:val="left" w:pos="0"/>
        </w:tabs>
        <w:ind w:left="0" w:firstLine="0"/>
        <w:rPr>
          <w:rFonts w:ascii="Calibri" w:hAnsi="Calibri" w:cs="Arial"/>
          <w:i/>
          <w:color w:val="000000"/>
        </w:rPr>
      </w:pPr>
      <w:r w:rsidRPr="000000EB">
        <w:rPr>
          <w:rFonts w:ascii="Calibri" w:hAnsi="Calibri" w:cs="Arial"/>
          <w:b/>
          <w:bCs/>
          <w:color w:val="000000"/>
        </w:rPr>
        <w:tab/>
      </w:r>
      <w:r w:rsidRPr="000000EB">
        <w:rPr>
          <w:rFonts w:ascii="Calibri" w:hAnsi="Calibri" w:cs="Arial"/>
          <w:b/>
          <w:bCs/>
          <w:color w:val="000000"/>
        </w:rPr>
        <w:tab/>
      </w:r>
      <w:r w:rsidRPr="000000EB">
        <w:rPr>
          <w:rFonts w:ascii="Calibri" w:hAnsi="Calibri" w:cs="Arial"/>
          <w:b/>
          <w:bCs/>
          <w:color w:val="000000"/>
        </w:rPr>
        <w:tab/>
      </w:r>
      <w:r w:rsidRPr="000000EB">
        <w:rPr>
          <w:rFonts w:ascii="Calibri" w:hAnsi="Calibri" w:cs="Arial"/>
          <w:b/>
          <w:bCs/>
          <w:color w:val="000000"/>
        </w:rPr>
        <w:tab/>
      </w:r>
      <w:r w:rsidR="00637729" w:rsidRPr="000000EB">
        <w:rPr>
          <w:rFonts w:ascii="Calibri" w:hAnsi="Calibri" w:cs="Arial"/>
          <w:b/>
          <w:bCs/>
          <w:i/>
          <w:color w:val="000000"/>
        </w:rPr>
        <w:t>Educational Institutions</w:t>
      </w:r>
      <w:r w:rsidRPr="000000EB">
        <w:rPr>
          <w:rFonts w:ascii="Calibri" w:hAnsi="Calibri" w:cs="Arial"/>
          <w:i/>
          <w:color w:val="000000"/>
        </w:rPr>
        <w:t xml:space="preserve"> </w:t>
      </w:r>
    </w:p>
    <w:p w:rsidR="00CF44FB" w:rsidRPr="000000EB" w:rsidRDefault="00CF44FB" w:rsidP="00B8509A">
      <w:pPr>
        <w:pStyle w:val="Heading2"/>
        <w:tabs>
          <w:tab w:val="clear" w:pos="270"/>
          <w:tab w:val="left" w:pos="0"/>
        </w:tabs>
        <w:ind w:firstLine="0"/>
        <w:rPr>
          <w:rFonts w:ascii="Calibri" w:hAnsi="Calibri" w:cs="Arial"/>
          <w:color w:val="000000"/>
        </w:rPr>
      </w:pPr>
      <w:r w:rsidRPr="000000EB">
        <w:rPr>
          <w:rFonts w:ascii="Calibri" w:hAnsi="Calibri" w:cs="Arial"/>
          <w:color w:val="000000"/>
        </w:rPr>
        <w:t xml:space="preserve">Many researchers use the NCVS data to prepare reports and scholarly publications. </w:t>
      </w:r>
      <w:r w:rsidR="00605DAE" w:rsidRPr="000000EB">
        <w:rPr>
          <w:rFonts w:ascii="Calibri" w:hAnsi="Calibri" w:cs="Arial"/>
          <w:color w:val="000000"/>
        </w:rPr>
        <w:t xml:space="preserve">NCVS public-use data files housed at the Inter-university Consortium for Political and Social Research (ICPSR) at the University of Michigan </w:t>
      </w:r>
      <w:r w:rsidR="00911742">
        <w:rPr>
          <w:rFonts w:ascii="Calibri" w:hAnsi="Calibri" w:cs="Arial"/>
          <w:color w:val="000000"/>
        </w:rPr>
        <w:t>are</w:t>
      </w:r>
      <w:r w:rsidR="00605DAE" w:rsidRPr="000000EB">
        <w:rPr>
          <w:rFonts w:ascii="Calibri" w:hAnsi="Calibri" w:cs="Arial"/>
          <w:color w:val="000000"/>
        </w:rPr>
        <w:t xml:space="preserve"> downloaded </w:t>
      </w:r>
      <w:r w:rsidR="00911742">
        <w:rPr>
          <w:rFonts w:ascii="Calibri" w:hAnsi="Calibri" w:cs="Arial"/>
          <w:color w:val="000000"/>
        </w:rPr>
        <w:t xml:space="preserve">thousands of times </w:t>
      </w:r>
      <w:r w:rsidR="00EC4721">
        <w:rPr>
          <w:rFonts w:ascii="Calibri" w:hAnsi="Calibri" w:cs="Arial"/>
          <w:color w:val="000000"/>
        </w:rPr>
        <w:t>e</w:t>
      </w:r>
      <w:r w:rsidR="00911742">
        <w:rPr>
          <w:rFonts w:ascii="Calibri" w:hAnsi="Calibri" w:cs="Arial"/>
          <w:color w:val="000000"/>
        </w:rPr>
        <w:t>a</w:t>
      </w:r>
      <w:r w:rsidR="00EC4721">
        <w:rPr>
          <w:rFonts w:ascii="Calibri" w:hAnsi="Calibri" w:cs="Arial"/>
          <w:color w:val="000000"/>
        </w:rPr>
        <w:t>ch</w:t>
      </w:r>
      <w:r w:rsidR="00911742">
        <w:rPr>
          <w:rFonts w:ascii="Calibri" w:hAnsi="Calibri" w:cs="Arial"/>
          <w:color w:val="000000"/>
        </w:rPr>
        <w:t xml:space="preserve"> year</w:t>
      </w:r>
      <w:r w:rsidR="00605DAE" w:rsidRPr="000000EB">
        <w:rPr>
          <w:rFonts w:ascii="Calibri" w:hAnsi="Calibri" w:cs="Arial"/>
          <w:color w:val="000000"/>
        </w:rPr>
        <w:t xml:space="preserve">. The downloaded data are </w:t>
      </w:r>
      <w:r w:rsidRPr="000000EB">
        <w:rPr>
          <w:rFonts w:ascii="Calibri" w:hAnsi="Calibri" w:cs="Arial"/>
          <w:color w:val="000000"/>
        </w:rPr>
        <w:t>use</w:t>
      </w:r>
      <w:r w:rsidR="00605DAE" w:rsidRPr="000000EB">
        <w:rPr>
          <w:rFonts w:ascii="Calibri" w:hAnsi="Calibri" w:cs="Arial"/>
          <w:color w:val="000000"/>
        </w:rPr>
        <w:t>d</w:t>
      </w:r>
      <w:r w:rsidRPr="000000EB">
        <w:rPr>
          <w:rFonts w:ascii="Calibri" w:hAnsi="Calibri" w:cs="Arial"/>
          <w:color w:val="000000"/>
        </w:rPr>
        <w:t xml:space="preserve"> in conjunction with research projects in a number of academic disciplines, including sociology, criminology, psychology, and political science.  Researchers use the NCVS information to </w:t>
      </w:r>
      <w:r w:rsidR="00724A93" w:rsidRPr="000000EB">
        <w:rPr>
          <w:rFonts w:ascii="Calibri" w:hAnsi="Calibri" w:cs="Arial"/>
          <w:color w:val="000000"/>
        </w:rPr>
        <w:t xml:space="preserve">advance the </w:t>
      </w:r>
      <w:r w:rsidRPr="000000EB">
        <w:rPr>
          <w:rFonts w:ascii="Calibri" w:hAnsi="Calibri" w:cs="Arial"/>
          <w:color w:val="000000"/>
        </w:rPr>
        <w:t xml:space="preserve">study </w:t>
      </w:r>
      <w:r w:rsidR="00724A93" w:rsidRPr="000000EB">
        <w:rPr>
          <w:rFonts w:ascii="Calibri" w:hAnsi="Calibri" w:cs="Arial"/>
          <w:color w:val="000000"/>
        </w:rPr>
        <w:t xml:space="preserve">of </w:t>
      </w:r>
      <w:r w:rsidRPr="000000EB">
        <w:rPr>
          <w:rFonts w:ascii="Calibri" w:hAnsi="Calibri" w:cs="Arial"/>
          <w:color w:val="000000"/>
        </w:rPr>
        <w:t xml:space="preserve">various issues including why certain persons are victimized more than </w:t>
      </w:r>
      <w:r w:rsidR="00D41723" w:rsidRPr="000000EB">
        <w:rPr>
          <w:rFonts w:ascii="Calibri" w:hAnsi="Calibri" w:cs="Arial"/>
          <w:color w:val="000000"/>
        </w:rPr>
        <w:t>others are</w:t>
      </w:r>
      <w:r w:rsidRPr="000000EB">
        <w:rPr>
          <w:rFonts w:ascii="Calibri" w:hAnsi="Calibri" w:cs="Arial"/>
          <w:color w:val="000000"/>
        </w:rPr>
        <w:t xml:space="preserve">; the reasons why persons do </w:t>
      </w:r>
      <w:r w:rsidR="00D41723" w:rsidRPr="000000EB">
        <w:rPr>
          <w:rFonts w:ascii="Calibri" w:hAnsi="Calibri" w:cs="Arial"/>
          <w:color w:val="000000"/>
        </w:rPr>
        <w:t xml:space="preserve">or do </w:t>
      </w:r>
      <w:r w:rsidRPr="000000EB">
        <w:rPr>
          <w:rFonts w:ascii="Calibri" w:hAnsi="Calibri" w:cs="Arial"/>
          <w:color w:val="000000"/>
        </w:rPr>
        <w:t xml:space="preserve">not report crime incidents to the police; </w:t>
      </w:r>
      <w:r w:rsidR="002313AD" w:rsidRPr="000000EB">
        <w:rPr>
          <w:rFonts w:ascii="Calibri" w:hAnsi="Calibri" w:cs="Arial"/>
          <w:color w:val="000000"/>
        </w:rPr>
        <w:t xml:space="preserve">victimizations against particular subpopulations, </w:t>
      </w:r>
      <w:r w:rsidRPr="000000EB">
        <w:rPr>
          <w:rFonts w:ascii="Calibri" w:hAnsi="Calibri" w:cs="Arial"/>
          <w:color w:val="000000"/>
        </w:rPr>
        <w:t xml:space="preserve">domestic violence, </w:t>
      </w:r>
      <w:r w:rsidR="002313AD" w:rsidRPr="000000EB">
        <w:rPr>
          <w:rFonts w:ascii="Calibri" w:hAnsi="Calibri" w:cs="Arial"/>
          <w:color w:val="000000"/>
        </w:rPr>
        <w:t>rape</w:t>
      </w:r>
      <w:r w:rsidRPr="000000EB">
        <w:rPr>
          <w:rFonts w:ascii="Calibri" w:hAnsi="Calibri" w:cs="Arial"/>
          <w:color w:val="000000"/>
        </w:rPr>
        <w:t xml:space="preserve">, </w:t>
      </w:r>
      <w:r w:rsidR="002313AD" w:rsidRPr="000000EB">
        <w:rPr>
          <w:rFonts w:ascii="Calibri" w:hAnsi="Calibri" w:cs="Arial"/>
          <w:color w:val="000000"/>
        </w:rPr>
        <w:t xml:space="preserve">gang crime, </w:t>
      </w:r>
      <w:r w:rsidRPr="000000EB">
        <w:rPr>
          <w:rFonts w:ascii="Calibri" w:hAnsi="Calibri" w:cs="Arial"/>
          <w:color w:val="000000"/>
        </w:rPr>
        <w:t>multiple</w:t>
      </w:r>
      <w:r w:rsidR="003D3064" w:rsidRPr="000000EB">
        <w:rPr>
          <w:rFonts w:ascii="Calibri" w:hAnsi="Calibri" w:cs="Arial"/>
          <w:color w:val="000000"/>
        </w:rPr>
        <w:t xml:space="preserve"> victimizations, and </w:t>
      </w:r>
      <w:r w:rsidR="00A06525">
        <w:rPr>
          <w:rFonts w:ascii="Calibri" w:hAnsi="Calibri" w:cs="Arial"/>
          <w:color w:val="000000"/>
        </w:rPr>
        <w:t>more</w:t>
      </w:r>
      <w:r w:rsidR="00E0477E">
        <w:rPr>
          <w:rFonts w:ascii="Calibri" w:hAnsi="Calibri" w:cs="Arial"/>
          <w:color w:val="000000"/>
        </w:rPr>
        <w:t>. A list of some of the more</w:t>
      </w:r>
      <w:r w:rsidR="003D3064" w:rsidRPr="000000EB">
        <w:rPr>
          <w:rFonts w:ascii="Calibri" w:hAnsi="Calibri" w:cs="Arial"/>
          <w:color w:val="000000"/>
        </w:rPr>
        <w:t xml:space="preserve"> recent articles </w:t>
      </w:r>
      <w:r w:rsidR="00A06525">
        <w:rPr>
          <w:rFonts w:ascii="Calibri" w:hAnsi="Calibri" w:cs="Arial"/>
          <w:color w:val="000000"/>
        </w:rPr>
        <w:t>follows</w:t>
      </w:r>
      <w:r w:rsidR="003D3064" w:rsidRPr="000000EB">
        <w:rPr>
          <w:rFonts w:ascii="Calibri" w:hAnsi="Calibri" w:cs="Arial"/>
          <w:color w:val="000000"/>
        </w:rPr>
        <w:t>:</w:t>
      </w:r>
    </w:p>
    <w:p w:rsidR="003D3064" w:rsidRPr="000000EB" w:rsidRDefault="003D3064" w:rsidP="00B8509A">
      <w:pPr>
        <w:rPr>
          <w:rFonts w:ascii="Calibri" w:hAnsi="Calibri"/>
          <w:sz w:val="24"/>
          <w:szCs w:val="24"/>
        </w:rPr>
      </w:pPr>
    </w:p>
    <w:p w:rsidR="00CC49DB" w:rsidRDefault="00CC49DB" w:rsidP="00B8509A">
      <w:pPr>
        <w:pStyle w:val="citation"/>
        <w:ind w:left="1440"/>
        <w:rPr>
          <w:rFonts w:ascii="Calibri" w:hAnsi="Calibri" w:cs="Arial"/>
        </w:rPr>
      </w:pPr>
      <w:r w:rsidRPr="00CC49DB">
        <w:rPr>
          <w:rFonts w:ascii="Calibri" w:hAnsi="Calibri" w:cs="Arial"/>
        </w:rPr>
        <w:t>Ansari, S</w:t>
      </w:r>
      <w:r>
        <w:rPr>
          <w:rFonts w:ascii="Calibri" w:hAnsi="Calibri" w:cs="Arial"/>
        </w:rPr>
        <w:t>.</w:t>
      </w:r>
      <w:r w:rsidRPr="00CC49DB">
        <w:rPr>
          <w:rFonts w:ascii="Calibri" w:hAnsi="Calibri" w:cs="Arial"/>
        </w:rPr>
        <w:t xml:space="preserve">, </w:t>
      </w:r>
      <w:r>
        <w:rPr>
          <w:rFonts w:ascii="Calibri" w:hAnsi="Calibri" w:cs="Arial"/>
        </w:rPr>
        <w:t>&amp;</w:t>
      </w:r>
      <w:r w:rsidRPr="00CC49DB">
        <w:rPr>
          <w:rFonts w:ascii="Calibri" w:hAnsi="Calibri" w:cs="Arial"/>
        </w:rPr>
        <w:t xml:space="preserve"> He, N. </w:t>
      </w:r>
      <w:r w:rsidR="001427FA">
        <w:rPr>
          <w:rFonts w:ascii="Calibri" w:hAnsi="Calibri" w:cs="Arial"/>
        </w:rPr>
        <w:t xml:space="preserve">(2017). </w:t>
      </w:r>
      <w:r w:rsidRPr="00CC49DB">
        <w:rPr>
          <w:rFonts w:ascii="Calibri" w:hAnsi="Calibri" w:cs="Arial"/>
        </w:rPr>
        <w:t xml:space="preserve">Explaining the UCR-NCVS convergence: A time series analysis. </w:t>
      </w:r>
      <w:r w:rsidRPr="00CC49DB">
        <w:rPr>
          <w:rFonts w:ascii="Calibri" w:hAnsi="Calibri" w:cs="Arial"/>
          <w:i/>
        </w:rPr>
        <w:t>Asian Journal of Criminology</w:t>
      </w:r>
      <w:r w:rsidR="00222328">
        <w:rPr>
          <w:rFonts w:ascii="Calibri" w:hAnsi="Calibri" w:cs="Arial"/>
        </w:rPr>
        <w:t xml:space="preserve">, </w:t>
      </w:r>
      <w:r w:rsidRPr="00CC49DB">
        <w:rPr>
          <w:rFonts w:ascii="Calibri" w:hAnsi="Calibri" w:cs="Arial"/>
        </w:rPr>
        <w:t>12(1), 39-62.</w:t>
      </w:r>
    </w:p>
    <w:p w:rsidR="001427FA" w:rsidRDefault="001427FA" w:rsidP="00E0477E">
      <w:pPr>
        <w:pStyle w:val="citation"/>
        <w:ind w:left="1440"/>
        <w:rPr>
          <w:rFonts w:ascii="Calibri" w:hAnsi="Calibri" w:cs="Arial"/>
        </w:rPr>
      </w:pPr>
      <w:r w:rsidRPr="001427FA">
        <w:rPr>
          <w:rFonts w:ascii="Calibri" w:hAnsi="Calibri" w:cs="Arial"/>
        </w:rPr>
        <w:t>Baumer, E</w:t>
      </w:r>
      <w:r>
        <w:rPr>
          <w:rFonts w:ascii="Calibri" w:hAnsi="Calibri" w:cs="Arial"/>
        </w:rPr>
        <w:t>.</w:t>
      </w:r>
      <w:r w:rsidRPr="001427FA">
        <w:rPr>
          <w:rFonts w:ascii="Calibri" w:hAnsi="Calibri" w:cs="Arial"/>
        </w:rPr>
        <w:t>P., Velez, M</w:t>
      </w:r>
      <w:r>
        <w:rPr>
          <w:rFonts w:ascii="Calibri" w:hAnsi="Calibri" w:cs="Arial"/>
        </w:rPr>
        <w:t>.</w:t>
      </w:r>
      <w:r w:rsidRPr="001427FA">
        <w:rPr>
          <w:rFonts w:ascii="Calibri" w:hAnsi="Calibri" w:cs="Arial"/>
        </w:rPr>
        <w:t xml:space="preserve">B., </w:t>
      </w:r>
      <w:r>
        <w:rPr>
          <w:rFonts w:ascii="Calibri" w:hAnsi="Calibri" w:cs="Arial"/>
        </w:rPr>
        <w:t>&amp;</w:t>
      </w:r>
      <w:r w:rsidRPr="001427FA">
        <w:rPr>
          <w:rFonts w:ascii="Calibri" w:hAnsi="Calibri" w:cs="Arial"/>
        </w:rPr>
        <w:t xml:space="preserve"> Rosenfeld, R. </w:t>
      </w:r>
      <w:r>
        <w:rPr>
          <w:rFonts w:ascii="Calibri" w:hAnsi="Calibri" w:cs="Arial"/>
        </w:rPr>
        <w:t xml:space="preserve">(2018). </w:t>
      </w:r>
      <w:r w:rsidRPr="001427FA">
        <w:rPr>
          <w:rFonts w:ascii="Calibri" w:hAnsi="Calibri" w:cs="Arial"/>
        </w:rPr>
        <w:t xml:space="preserve">Bringing crime trends back into criminology: A critical assessment of the literature and a blueprint for future inquiry. </w:t>
      </w:r>
      <w:r w:rsidRPr="001427FA">
        <w:rPr>
          <w:rFonts w:ascii="Calibri" w:hAnsi="Calibri" w:cs="Arial"/>
          <w:i/>
        </w:rPr>
        <w:t>Annual Review of Criminology</w:t>
      </w:r>
      <w:r>
        <w:rPr>
          <w:rFonts w:ascii="Calibri" w:hAnsi="Calibri" w:cs="Arial"/>
        </w:rPr>
        <w:t>,</w:t>
      </w:r>
      <w:r w:rsidRPr="001427FA">
        <w:rPr>
          <w:rFonts w:ascii="Calibri" w:hAnsi="Calibri" w:cs="Arial"/>
        </w:rPr>
        <w:t xml:space="preserve"> 1</w:t>
      </w:r>
      <w:r>
        <w:rPr>
          <w:rFonts w:ascii="Calibri" w:hAnsi="Calibri" w:cs="Arial"/>
        </w:rPr>
        <w:t>.</w:t>
      </w:r>
    </w:p>
    <w:p w:rsidR="001427FA" w:rsidRDefault="001427FA" w:rsidP="001427FA">
      <w:pPr>
        <w:pStyle w:val="citation"/>
        <w:ind w:left="1440"/>
        <w:rPr>
          <w:rFonts w:ascii="Calibri" w:hAnsi="Calibri" w:cs="Arial"/>
        </w:rPr>
      </w:pPr>
      <w:r w:rsidRPr="001427FA">
        <w:rPr>
          <w:rFonts w:ascii="Calibri" w:hAnsi="Calibri" w:cs="Arial"/>
        </w:rPr>
        <w:t>Beck, A</w:t>
      </w:r>
      <w:r>
        <w:rPr>
          <w:rFonts w:ascii="Calibri" w:hAnsi="Calibri" w:cs="Arial"/>
        </w:rPr>
        <w:t>.</w:t>
      </w:r>
      <w:r w:rsidRPr="001427FA">
        <w:rPr>
          <w:rFonts w:ascii="Calibri" w:hAnsi="Calibri" w:cs="Arial"/>
        </w:rPr>
        <w:t xml:space="preserve">J., </w:t>
      </w:r>
      <w:r>
        <w:rPr>
          <w:rFonts w:ascii="Calibri" w:hAnsi="Calibri" w:cs="Arial"/>
        </w:rPr>
        <w:t>&amp;</w:t>
      </w:r>
      <w:r w:rsidRPr="001427FA">
        <w:rPr>
          <w:rFonts w:ascii="Calibri" w:hAnsi="Calibri" w:cs="Arial"/>
        </w:rPr>
        <w:t xml:space="preserve"> Blumstein, A. </w:t>
      </w:r>
      <w:r>
        <w:rPr>
          <w:rFonts w:ascii="Calibri" w:hAnsi="Calibri" w:cs="Arial"/>
        </w:rPr>
        <w:t xml:space="preserve">(2017). </w:t>
      </w:r>
      <w:r w:rsidRPr="001427FA">
        <w:rPr>
          <w:rFonts w:ascii="Calibri" w:hAnsi="Calibri" w:cs="Arial"/>
        </w:rPr>
        <w:t xml:space="preserve">Racial disproportionality in U.S. state prisons: Accounting for the effects of racial and ethnic differences in criminal involvement, arrests, sentencing, and time served. </w:t>
      </w:r>
      <w:r w:rsidRPr="001427FA">
        <w:rPr>
          <w:rFonts w:ascii="Calibri" w:hAnsi="Calibri" w:cs="Arial"/>
          <w:i/>
        </w:rPr>
        <w:t>Journal of Quantitative Criminology</w:t>
      </w:r>
      <w:r w:rsidRPr="001427FA">
        <w:rPr>
          <w:rFonts w:ascii="Calibri" w:hAnsi="Calibri" w:cs="Arial"/>
        </w:rPr>
        <w:t>.</w:t>
      </w:r>
      <w:r>
        <w:rPr>
          <w:rFonts w:ascii="Calibri" w:hAnsi="Calibri" w:cs="Arial"/>
        </w:rPr>
        <w:t xml:space="preserve"> </w:t>
      </w:r>
      <w:hyperlink r:id="rId22" w:history="1">
        <w:r w:rsidR="002F29F9" w:rsidRPr="00237EDF">
          <w:rPr>
            <w:rStyle w:val="Hyperlink"/>
            <w:rFonts w:ascii="Calibri" w:hAnsi="Calibri" w:cs="Arial"/>
          </w:rPr>
          <w:t>http://dx.doi.org/10.1007/s10940-017-9361-x</w:t>
        </w:r>
      </w:hyperlink>
      <w:r>
        <w:rPr>
          <w:rFonts w:ascii="Calibri" w:hAnsi="Calibri" w:cs="Arial"/>
        </w:rPr>
        <w:t>.</w:t>
      </w:r>
    </w:p>
    <w:p w:rsidR="002F29F9" w:rsidRDefault="002F29F9" w:rsidP="001427FA">
      <w:pPr>
        <w:pStyle w:val="citation"/>
        <w:ind w:left="1440"/>
        <w:rPr>
          <w:rFonts w:ascii="Calibri" w:hAnsi="Calibri" w:cs="Arial"/>
        </w:rPr>
      </w:pPr>
      <w:r w:rsidRPr="002F29F9">
        <w:rPr>
          <w:rFonts w:ascii="Calibri" w:hAnsi="Calibri" w:cs="Arial"/>
        </w:rPr>
        <w:t xml:space="preserve">Cho, Sujung,  Hong, Jun S.,  Espelage, Dorothy L.,  Choi, Kyung-Shick </w:t>
      </w:r>
      <w:r>
        <w:rPr>
          <w:rFonts w:ascii="Calibri" w:hAnsi="Calibri" w:cs="Arial"/>
        </w:rPr>
        <w:t>(2017)</w:t>
      </w:r>
      <w:r w:rsidRPr="002F29F9">
        <w:rPr>
          <w:rFonts w:ascii="Calibri" w:hAnsi="Calibri" w:cs="Arial"/>
        </w:rPr>
        <w:t xml:space="preserve">. Applying the lifestyle routine activities theory to understand physical and nonphysical peer victimization. </w:t>
      </w:r>
      <w:r w:rsidRPr="00527A22">
        <w:rPr>
          <w:rFonts w:ascii="Calibri" w:hAnsi="Calibri" w:cs="Arial"/>
          <w:i/>
        </w:rPr>
        <w:t>Journal of Aggression, Maltreatment and Trauma</w:t>
      </w:r>
      <w:r w:rsidRPr="002F29F9">
        <w:rPr>
          <w:rFonts w:ascii="Calibri" w:hAnsi="Calibri" w:cs="Arial"/>
        </w:rPr>
        <w:t>.</w:t>
      </w:r>
    </w:p>
    <w:p w:rsidR="00643BDB" w:rsidRDefault="00643BDB" w:rsidP="001427FA">
      <w:pPr>
        <w:pStyle w:val="citation"/>
        <w:ind w:left="1440"/>
        <w:rPr>
          <w:rFonts w:ascii="Calibri" w:hAnsi="Calibri" w:cs="Arial"/>
        </w:rPr>
      </w:pPr>
      <w:r w:rsidRPr="00643BDB">
        <w:rPr>
          <w:rFonts w:ascii="Calibri" w:hAnsi="Calibri" w:cs="Arial"/>
        </w:rPr>
        <w:t>Cooc, North,  Gee, Kevin A</w:t>
      </w:r>
      <w:r>
        <w:rPr>
          <w:rFonts w:ascii="Calibri" w:hAnsi="Calibri" w:cs="Arial"/>
        </w:rPr>
        <w:t xml:space="preserve"> (2014)</w:t>
      </w:r>
      <w:r w:rsidRPr="00643BDB">
        <w:rPr>
          <w:rFonts w:ascii="Calibri" w:hAnsi="Calibri" w:cs="Arial"/>
        </w:rPr>
        <w:t xml:space="preserve">. National trends in school victimization among Asian American adolescents. </w:t>
      </w:r>
      <w:r w:rsidRPr="00527A22">
        <w:rPr>
          <w:rFonts w:ascii="Calibri" w:hAnsi="Calibri" w:cs="Arial"/>
          <w:i/>
        </w:rPr>
        <w:t>Journal of Adolescence</w:t>
      </w:r>
      <w:r w:rsidRPr="00643BDB">
        <w:rPr>
          <w:rFonts w:ascii="Calibri" w:hAnsi="Calibri" w:cs="Arial"/>
        </w:rPr>
        <w:t>. 37, (6), 839-849.</w:t>
      </w:r>
    </w:p>
    <w:p w:rsidR="00E0477E" w:rsidRDefault="00E0477E" w:rsidP="00E0477E">
      <w:pPr>
        <w:pStyle w:val="citation"/>
        <w:ind w:left="1440"/>
        <w:rPr>
          <w:rFonts w:ascii="Calibri" w:hAnsi="Calibri" w:cs="Arial"/>
        </w:rPr>
      </w:pPr>
      <w:r>
        <w:rPr>
          <w:rFonts w:ascii="Calibri" w:hAnsi="Calibri" w:cs="Arial"/>
        </w:rPr>
        <w:t>Eckberg, D. (2014)</w:t>
      </w:r>
      <w:r w:rsidR="00222328">
        <w:rPr>
          <w:rFonts w:ascii="Calibri" w:hAnsi="Calibri" w:cs="Arial"/>
        </w:rPr>
        <w:t>.</w:t>
      </w:r>
      <w:r>
        <w:rPr>
          <w:rFonts w:ascii="Calibri" w:hAnsi="Calibri" w:cs="Arial"/>
        </w:rPr>
        <w:t xml:space="preserve"> </w:t>
      </w:r>
      <w:r w:rsidRPr="00E0477E">
        <w:rPr>
          <w:rFonts w:ascii="Calibri" w:hAnsi="Calibri" w:cs="Arial"/>
        </w:rPr>
        <w:t>Trends in Conflict</w:t>
      </w:r>
      <w:r>
        <w:rPr>
          <w:rFonts w:ascii="Calibri" w:hAnsi="Calibri" w:cs="Arial"/>
        </w:rPr>
        <w:t xml:space="preserve"> </w:t>
      </w:r>
      <w:r w:rsidRPr="00E0477E">
        <w:rPr>
          <w:rFonts w:ascii="Calibri" w:hAnsi="Calibri" w:cs="Arial"/>
        </w:rPr>
        <w:t>Uniform Crime Reports, the National Crime Victimization Surveys, and the Lethality of Violent Crime</w:t>
      </w:r>
      <w:r>
        <w:rPr>
          <w:rFonts w:ascii="Calibri" w:hAnsi="Calibri" w:cs="Arial"/>
        </w:rPr>
        <w:t xml:space="preserve">. </w:t>
      </w:r>
      <w:r w:rsidRPr="00E0477E">
        <w:rPr>
          <w:rFonts w:ascii="Calibri" w:hAnsi="Calibri" w:cs="Arial"/>
          <w:i/>
        </w:rPr>
        <w:t>Homicide Studies</w:t>
      </w:r>
      <w:r>
        <w:rPr>
          <w:rFonts w:ascii="Calibri" w:hAnsi="Calibri" w:cs="Arial"/>
        </w:rPr>
        <w:t xml:space="preserve">, </w:t>
      </w:r>
      <w:r w:rsidR="00222328">
        <w:rPr>
          <w:rFonts w:ascii="Calibri" w:hAnsi="Calibri" w:cs="Arial"/>
        </w:rPr>
        <w:t>19,</w:t>
      </w:r>
      <w:r w:rsidR="006A5E03" w:rsidRPr="006A5E03">
        <w:rPr>
          <w:rFonts w:ascii="Calibri" w:hAnsi="Calibri" w:cs="Arial"/>
        </w:rPr>
        <w:t xml:space="preserve"> 58-87</w:t>
      </w:r>
      <w:r w:rsidR="006A5E03">
        <w:rPr>
          <w:rFonts w:ascii="Calibri" w:hAnsi="Calibri" w:cs="Arial"/>
        </w:rPr>
        <w:t>.</w:t>
      </w:r>
    </w:p>
    <w:p w:rsidR="000A7CEC" w:rsidRPr="000A7CEC" w:rsidRDefault="000A7CEC" w:rsidP="000A7CEC">
      <w:pPr>
        <w:pStyle w:val="citation"/>
        <w:ind w:left="1440"/>
        <w:rPr>
          <w:rFonts w:ascii="Calibri" w:hAnsi="Calibri" w:cs="Arial"/>
        </w:rPr>
      </w:pPr>
      <w:r>
        <w:rPr>
          <w:rFonts w:ascii="Calibri" w:hAnsi="Calibri" w:cs="Arial"/>
        </w:rPr>
        <w:t xml:space="preserve">Hart, T.C. (2013). </w:t>
      </w:r>
      <w:r w:rsidRPr="000A7CEC">
        <w:rPr>
          <w:rFonts w:ascii="Calibri" w:hAnsi="Calibri" w:cs="Arial"/>
        </w:rPr>
        <w:t>Violent victimization of college students: Findings from the National Crime Victimization Survey</w:t>
      </w:r>
      <w:r>
        <w:rPr>
          <w:rFonts w:ascii="Calibri" w:hAnsi="Calibri" w:cs="Arial"/>
        </w:rPr>
        <w:t xml:space="preserve"> in </w:t>
      </w:r>
      <w:r w:rsidRPr="000A7CEC">
        <w:rPr>
          <w:rFonts w:ascii="Calibri" w:hAnsi="Calibri" w:cs="Arial"/>
          <w:i/>
        </w:rPr>
        <w:t>Campus Crime: Legal, Social, and Policy Perspectives</w:t>
      </w:r>
      <w:r>
        <w:rPr>
          <w:rFonts w:ascii="Calibri" w:hAnsi="Calibri" w:cs="Arial"/>
          <w:i/>
        </w:rPr>
        <w:t>.</w:t>
      </w:r>
      <w:r>
        <w:rPr>
          <w:rFonts w:ascii="Calibri" w:hAnsi="Calibri" w:cs="Arial"/>
        </w:rPr>
        <w:t xml:space="preserve"> </w:t>
      </w:r>
      <w:r w:rsidRPr="000A7CEC">
        <w:rPr>
          <w:rFonts w:ascii="Calibri" w:hAnsi="Calibri" w:cs="Arial"/>
        </w:rPr>
        <w:t>J. Sloan &amp; B. Fisher</w:t>
      </w:r>
      <w:r>
        <w:rPr>
          <w:rFonts w:ascii="Calibri" w:hAnsi="Calibri" w:cs="Arial"/>
        </w:rPr>
        <w:t xml:space="preserve"> (eds).</w:t>
      </w:r>
      <w:r w:rsidR="00372ED8">
        <w:rPr>
          <w:rFonts w:ascii="Calibri" w:hAnsi="Calibri" w:cs="Arial"/>
        </w:rPr>
        <w:t xml:space="preserve"> </w:t>
      </w:r>
      <w:r w:rsidR="00372ED8" w:rsidRPr="00372ED8">
        <w:rPr>
          <w:rFonts w:ascii="Calibri" w:hAnsi="Calibri" w:cs="Arial"/>
        </w:rPr>
        <w:t>Charles C. Thomas pp. 141-157</w:t>
      </w:r>
      <w:r w:rsidR="00222328">
        <w:rPr>
          <w:rFonts w:ascii="Calibri" w:hAnsi="Calibri" w:cs="Arial"/>
        </w:rPr>
        <w:t>.</w:t>
      </w:r>
    </w:p>
    <w:p w:rsidR="00621CA5" w:rsidRPr="00621CA5" w:rsidRDefault="00621CA5" w:rsidP="00621CA5">
      <w:pPr>
        <w:pStyle w:val="citation"/>
        <w:ind w:left="1440"/>
        <w:rPr>
          <w:rFonts w:ascii="Calibri" w:hAnsi="Calibri" w:cs="Arial"/>
        </w:rPr>
      </w:pPr>
      <w:r w:rsidRPr="00621CA5">
        <w:rPr>
          <w:rFonts w:ascii="Calibri" w:hAnsi="Calibri" w:cs="Arial"/>
        </w:rPr>
        <w:t>Hemenway</w:t>
      </w:r>
      <w:r>
        <w:rPr>
          <w:rFonts w:ascii="Calibri" w:hAnsi="Calibri" w:cs="Arial"/>
        </w:rPr>
        <w:t>, D.</w:t>
      </w:r>
      <w:r w:rsidR="00C12F09">
        <w:rPr>
          <w:rFonts w:ascii="Calibri" w:hAnsi="Calibri" w:cs="Arial"/>
        </w:rPr>
        <w:t>,</w:t>
      </w:r>
      <w:r>
        <w:rPr>
          <w:rFonts w:ascii="Calibri" w:hAnsi="Calibri" w:cs="Arial"/>
        </w:rPr>
        <w:t xml:space="preserve"> &amp; </w:t>
      </w:r>
      <w:r w:rsidR="00C12F09">
        <w:rPr>
          <w:rFonts w:ascii="Calibri" w:hAnsi="Calibri" w:cs="Arial"/>
        </w:rPr>
        <w:t>S</w:t>
      </w:r>
      <w:r>
        <w:rPr>
          <w:rFonts w:ascii="Calibri" w:hAnsi="Calibri" w:cs="Arial"/>
        </w:rPr>
        <w:t>olnick</w:t>
      </w:r>
      <w:r w:rsidR="00C12F09">
        <w:rPr>
          <w:rFonts w:ascii="Calibri" w:hAnsi="Calibri" w:cs="Arial"/>
        </w:rPr>
        <w:t>,</w:t>
      </w:r>
      <w:r w:rsidR="00C12F09" w:rsidRPr="00C12F09">
        <w:rPr>
          <w:rFonts w:ascii="Calibri" w:hAnsi="Calibri" w:cs="Arial"/>
        </w:rPr>
        <w:t xml:space="preserve"> </w:t>
      </w:r>
      <w:r w:rsidR="00C12F09">
        <w:rPr>
          <w:rFonts w:ascii="Calibri" w:hAnsi="Calibri" w:cs="Arial"/>
        </w:rPr>
        <w:t xml:space="preserve">S.J. </w:t>
      </w:r>
      <w:r>
        <w:rPr>
          <w:rFonts w:ascii="Calibri" w:hAnsi="Calibri" w:cs="Arial"/>
        </w:rPr>
        <w:t>(2015)</w:t>
      </w:r>
      <w:r w:rsidR="00C12F09">
        <w:rPr>
          <w:rFonts w:ascii="Calibri" w:hAnsi="Calibri" w:cs="Arial"/>
        </w:rPr>
        <w:t>.</w:t>
      </w:r>
      <w:r>
        <w:rPr>
          <w:rFonts w:ascii="Calibri" w:hAnsi="Calibri" w:cs="Arial"/>
        </w:rPr>
        <w:t xml:space="preserve"> </w:t>
      </w:r>
      <w:r w:rsidRPr="00621CA5">
        <w:rPr>
          <w:rFonts w:ascii="Calibri" w:hAnsi="Calibri" w:cs="Arial"/>
        </w:rPr>
        <w:t>The epidemiology of self-defense gun use: Evidence from the National Crime Victimization Surveys 2007–2011</w:t>
      </w:r>
      <w:r>
        <w:rPr>
          <w:rFonts w:ascii="Calibri" w:hAnsi="Calibri" w:cs="Arial"/>
        </w:rPr>
        <w:t xml:space="preserve">. </w:t>
      </w:r>
      <w:r w:rsidRPr="00621CA5">
        <w:rPr>
          <w:rFonts w:ascii="Calibri" w:hAnsi="Calibri" w:cs="Arial"/>
          <w:i/>
        </w:rPr>
        <w:t>Preventative Medicine</w:t>
      </w:r>
      <w:r>
        <w:rPr>
          <w:rFonts w:ascii="Calibri" w:hAnsi="Calibri" w:cs="Arial"/>
          <w:i/>
        </w:rPr>
        <w:t xml:space="preserve">. </w:t>
      </w:r>
      <w:r w:rsidRPr="00621CA5">
        <w:rPr>
          <w:rFonts w:ascii="Calibri" w:hAnsi="Calibri" w:cs="Arial"/>
        </w:rPr>
        <w:t>doi:10.1016/j.ypmed.2015.03.029</w:t>
      </w:r>
      <w:r>
        <w:rPr>
          <w:rFonts w:ascii="Calibri" w:hAnsi="Calibri" w:cs="Arial"/>
        </w:rPr>
        <w:t>.</w:t>
      </w:r>
    </w:p>
    <w:p w:rsidR="002F29F9" w:rsidRDefault="002F29F9" w:rsidP="00B8509A">
      <w:pPr>
        <w:pStyle w:val="citation"/>
        <w:ind w:left="1440"/>
        <w:rPr>
          <w:rFonts w:ascii="Calibri" w:hAnsi="Calibri" w:cs="Arial"/>
        </w:rPr>
      </w:pPr>
      <w:r w:rsidRPr="002F29F9">
        <w:rPr>
          <w:rFonts w:ascii="Calibri" w:hAnsi="Calibri" w:cs="Arial"/>
        </w:rPr>
        <w:t xml:space="preserve">Kaylen, Maria,  Pridemore, William Alex,  Roche, Sean Patrick </w:t>
      </w:r>
      <w:r>
        <w:rPr>
          <w:rFonts w:ascii="Calibri" w:hAnsi="Calibri" w:cs="Arial"/>
        </w:rPr>
        <w:t>(2017)</w:t>
      </w:r>
      <w:r w:rsidRPr="002F29F9">
        <w:rPr>
          <w:rFonts w:ascii="Calibri" w:hAnsi="Calibri" w:cs="Arial"/>
        </w:rPr>
        <w:t xml:space="preserve">. The impact of changing demographic composition on aggravated assault victimization during the great American crime decline. </w:t>
      </w:r>
      <w:r w:rsidRPr="00527A22">
        <w:rPr>
          <w:rFonts w:ascii="Calibri" w:hAnsi="Calibri" w:cs="Arial"/>
          <w:i/>
        </w:rPr>
        <w:t>Criminal Justice Review</w:t>
      </w:r>
      <w:r w:rsidRPr="002F29F9">
        <w:rPr>
          <w:rFonts w:ascii="Calibri" w:hAnsi="Calibri" w:cs="Arial"/>
        </w:rPr>
        <w:t>. 42, (3), 291-314.</w:t>
      </w:r>
    </w:p>
    <w:p w:rsidR="00643BDB" w:rsidRDefault="00643BDB" w:rsidP="00B8509A">
      <w:pPr>
        <w:pStyle w:val="citation"/>
        <w:ind w:left="1440"/>
        <w:rPr>
          <w:rFonts w:ascii="Calibri" w:hAnsi="Calibri" w:cs="Arial"/>
        </w:rPr>
      </w:pPr>
      <w:r w:rsidRPr="00643BDB">
        <w:rPr>
          <w:rFonts w:ascii="Calibri" w:hAnsi="Calibri" w:cs="Arial"/>
        </w:rPr>
        <w:t xml:space="preserve">Kaylen, Maria T.,  Pridemore, William Alex </w:t>
      </w:r>
      <w:r>
        <w:rPr>
          <w:rFonts w:ascii="Calibri" w:hAnsi="Calibri" w:cs="Arial"/>
        </w:rPr>
        <w:t>(2015)</w:t>
      </w:r>
      <w:r w:rsidRPr="00643BDB">
        <w:rPr>
          <w:rFonts w:ascii="Calibri" w:hAnsi="Calibri" w:cs="Arial"/>
        </w:rPr>
        <w:t xml:space="preserve">. Measuring violent victimization: Rural, suburban, and urban police notification and emergency room treatment. </w:t>
      </w:r>
      <w:r w:rsidRPr="00527A22">
        <w:rPr>
          <w:rFonts w:ascii="Calibri" w:hAnsi="Calibri" w:cs="Arial"/>
          <w:i/>
        </w:rPr>
        <w:t>Journal of Rural Studies</w:t>
      </w:r>
      <w:r w:rsidRPr="00643BDB">
        <w:rPr>
          <w:rFonts w:ascii="Calibri" w:hAnsi="Calibri" w:cs="Arial"/>
        </w:rPr>
        <w:t>. 39, 239-246.</w:t>
      </w:r>
    </w:p>
    <w:p w:rsidR="00372ED8" w:rsidRPr="00372ED8" w:rsidRDefault="00372ED8" w:rsidP="00B8509A">
      <w:pPr>
        <w:pStyle w:val="citation"/>
        <w:ind w:left="1440"/>
        <w:rPr>
          <w:rFonts w:ascii="Calibri" w:hAnsi="Calibri" w:cs="Arial"/>
        </w:rPr>
      </w:pPr>
      <w:r>
        <w:rPr>
          <w:rFonts w:ascii="Calibri" w:hAnsi="Calibri" w:cs="Arial"/>
        </w:rPr>
        <w:t xml:space="preserve">Lauritsen, J.L., Rezey, </w:t>
      </w:r>
      <w:r w:rsidR="00C12F09">
        <w:rPr>
          <w:rFonts w:ascii="Calibri" w:hAnsi="Calibri" w:cs="Arial"/>
        </w:rPr>
        <w:t xml:space="preserve">M.L., </w:t>
      </w:r>
      <w:r>
        <w:rPr>
          <w:rFonts w:ascii="Calibri" w:hAnsi="Calibri" w:cs="Arial"/>
        </w:rPr>
        <w:t>&amp; Heimer</w:t>
      </w:r>
      <w:r w:rsidR="00C12F09">
        <w:rPr>
          <w:rFonts w:ascii="Calibri" w:hAnsi="Calibri" w:cs="Arial"/>
        </w:rPr>
        <w:t>, K.</w:t>
      </w:r>
      <w:r>
        <w:rPr>
          <w:rFonts w:ascii="Calibri" w:hAnsi="Calibri" w:cs="Arial"/>
        </w:rPr>
        <w:t xml:space="preserve"> (2014)</w:t>
      </w:r>
      <w:r w:rsidR="00C12F09">
        <w:rPr>
          <w:rFonts w:ascii="Calibri" w:hAnsi="Calibri" w:cs="Arial"/>
        </w:rPr>
        <w:t>.</w:t>
      </w:r>
      <w:r>
        <w:rPr>
          <w:rFonts w:ascii="Calibri" w:hAnsi="Calibri" w:cs="Arial"/>
        </w:rPr>
        <w:t xml:space="preserve"> </w:t>
      </w:r>
      <w:r w:rsidRPr="00372ED8">
        <w:rPr>
          <w:rFonts w:ascii="Calibri" w:hAnsi="Calibri" w:cs="Arial"/>
        </w:rPr>
        <w:t>Violence and Economic Conditions in the United States, 1973-2011: Gender, Race, and Ethnicity Patterns in the National Crime Victimization Survey</w:t>
      </w:r>
      <w:r>
        <w:rPr>
          <w:rFonts w:ascii="Calibri" w:hAnsi="Calibri" w:cs="Arial"/>
        </w:rPr>
        <w:t xml:space="preserve">. </w:t>
      </w:r>
      <w:r w:rsidRPr="00372ED8">
        <w:rPr>
          <w:rFonts w:ascii="Calibri" w:hAnsi="Calibri" w:cs="Arial"/>
          <w:i/>
        </w:rPr>
        <w:t xml:space="preserve">Journal of Contemporary Criminal </w:t>
      </w:r>
      <w:r w:rsidRPr="00C12F09">
        <w:rPr>
          <w:rFonts w:asciiTheme="minorHAnsi" w:hAnsiTheme="minorHAnsi" w:cs="Arial"/>
          <w:i/>
        </w:rPr>
        <w:t xml:space="preserve">Justice </w:t>
      </w:r>
      <w:r w:rsidRPr="00C12F09">
        <w:rPr>
          <w:rStyle w:val="cit-vol2"/>
          <w:rFonts w:asciiTheme="minorHAnsi" w:hAnsiTheme="minorHAnsi" w:cs="Lucida Sans Unicode"/>
          <w:iCs/>
          <w:color w:val="222222"/>
          <w:lang w:val="en"/>
        </w:rPr>
        <w:t>30</w:t>
      </w:r>
      <w:r w:rsidRPr="00C12F09">
        <w:rPr>
          <w:rStyle w:val="cit-sep2"/>
          <w:rFonts w:asciiTheme="minorHAnsi" w:hAnsiTheme="minorHAnsi" w:cs="Lucida Sans Unicode"/>
          <w:iCs/>
          <w:color w:val="222222"/>
          <w:lang w:val="en"/>
        </w:rPr>
        <w:t xml:space="preserve">: </w:t>
      </w:r>
      <w:r w:rsidRPr="00C12F09">
        <w:rPr>
          <w:rStyle w:val="cit-first-page"/>
          <w:rFonts w:asciiTheme="minorHAnsi" w:hAnsiTheme="minorHAnsi" w:cs="Lucida Sans Unicode"/>
          <w:iCs/>
          <w:color w:val="222222"/>
          <w:lang w:val="en"/>
        </w:rPr>
        <w:t>7</w:t>
      </w:r>
      <w:r w:rsidRPr="00C12F09">
        <w:rPr>
          <w:rStyle w:val="cit-sep2"/>
          <w:rFonts w:asciiTheme="minorHAnsi" w:hAnsiTheme="minorHAnsi" w:cs="Lucida Sans Unicode"/>
          <w:iCs/>
          <w:color w:val="222222"/>
          <w:lang w:val="en"/>
        </w:rPr>
        <w:t>-</w:t>
      </w:r>
      <w:r w:rsidRPr="00C12F09">
        <w:rPr>
          <w:rStyle w:val="cit-last-page2"/>
          <w:rFonts w:asciiTheme="minorHAnsi" w:hAnsiTheme="minorHAnsi" w:cs="Lucida Sans Unicode"/>
          <w:iCs/>
          <w:color w:val="222222"/>
          <w:lang w:val="en"/>
        </w:rPr>
        <w:t>28.</w:t>
      </w:r>
    </w:p>
    <w:p w:rsidR="00F75F00" w:rsidRDefault="00F75F00" w:rsidP="00B8509A">
      <w:pPr>
        <w:pStyle w:val="citation"/>
        <w:ind w:left="1440"/>
        <w:rPr>
          <w:rFonts w:ascii="Calibri" w:hAnsi="Calibri" w:cs="Arial"/>
        </w:rPr>
      </w:pPr>
      <w:r>
        <w:rPr>
          <w:rFonts w:ascii="Calibri" w:hAnsi="Calibri" w:cs="Arial"/>
        </w:rPr>
        <w:t xml:space="preserve">Rennison, C.M., </w:t>
      </w:r>
      <w:r w:rsidRPr="00F75F00">
        <w:rPr>
          <w:rFonts w:ascii="Calibri" w:hAnsi="Calibri" w:cs="Arial"/>
        </w:rPr>
        <w:t>DeKeseredy</w:t>
      </w:r>
      <w:r w:rsidR="00C12F09">
        <w:rPr>
          <w:rFonts w:ascii="Calibri" w:hAnsi="Calibri" w:cs="Arial"/>
        </w:rPr>
        <w:t>, W.S.,</w:t>
      </w:r>
      <w:r>
        <w:rPr>
          <w:rFonts w:ascii="Calibri" w:hAnsi="Calibri" w:cs="Arial"/>
        </w:rPr>
        <w:t xml:space="preserve"> &amp; </w:t>
      </w:r>
      <w:r w:rsidRPr="00F75F00">
        <w:rPr>
          <w:rFonts w:ascii="Calibri" w:hAnsi="Calibri" w:cs="Arial"/>
        </w:rPr>
        <w:t>Dragiewicz</w:t>
      </w:r>
      <w:r w:rsidR="00C12F09">
        <w:rPr>
          <w:rFonts w:ascii="Calibri" w:hAnsi="Calibri" w:cs="Arial"/>
        </w:rPr>
        <w:t>, M.</w:t>
      </w:r>
      <w:r>
        <w:rPr>
          <w:rFonts w:ascii="Calibri" w:hAnsi="Calibri" w:cs="Arial"/>
        </w:rPr>
        <w:t xml:space="preserve"> (2012)</w:t>
      </w:r>
      <w:r w:rsidR="00C12F09">
        <w:rPr>
          <w:rFonts w:ascii="Calibri" w:hAnsi="Calibri" w:cs="Arial"/>
        </w:rPr>
        <w:t>.</w:t>
      </w:r>
      <w:r>
        <w:rPr>
          <w:rFonts w:ascii="Calibri" w:hAnsi="Calibri" w:cs="Arial"/>
        </w:rPr>
        <w:t xml:space="preserve"> </w:t>
      </w:r>
      <w:r w:rsidRPr="00F75F00">
        <w:rPr>
          <w:rFonts w:ascii="Calibri" w:hAnsi="Calibri" w:cs="Arial"/>
        </w:rPr>
        <w:t>Urban, Suburban, and Rural Variations in Separation/Divorc</w:t>
      </w:r>
      <w:r>
        <w:rPr>
          <w:rFonts w:ascii="Calibri" w:hAnsi="Calibri" w:cs="Arial"/>
        </w:rPr>
        <w:t>e Rape/Sexual Assault: Results f</w:t>
      </w:r>
      <w:r w:rsidRPr="00F75F00">
        <w:rPr>
          <w:rFonts w:ascii="Calibri" w:hAnsi="Calibri" w:cs="Arial"/>
        </w:rPr>
        <w:t>rom the National Crime Victimization Survey</w:t>
      </w:r>
      <w:r>
        <w:rPr>
          <w:rFonts w:ascii="Calibri" w:hAnsi="Calibri" w:cs="Arial"/>
        </w:rPr>
        <w:t xml:space="preserve">. </w:t>
      </w:r>
      <w:r w:rsidRPr="00F75F00">
        <w:rPr>
          <w:rFonts w:ascii="Calibri" w:hAnsi="Calibri" w:cs="Arial"/>
          <w:i/>
        </w:rPr>
        <w:t>Feminist Criminology</w:t>
      </w:r>
      <w:r>
        <w:rPr>
          <w:rFonts w:ascii="Calibri" w:hAnsi="Calibri" w:cs="Arial"/>
          <w:i/>
        </w:rPr>
        <w:t xml:space="preserve">, </w:t>
      </w:r>
      <w:r w:rsidRPr="00F75F00">
        <w:rPr>
          <w:rFonts w:ascii="Calibri" w:hAnsi="Calibri" w:cs="Arial"/>
        </w:rPr>
        <w:t>7, 282–297</w:t>
      </w:r>
      <w:r>
        <w:rPr>
          <w:rFonts w:ascii="Calibri" w:hAnsi="Calibri" w:cs="Arial"/>
        </w:rPr>
        <w:t>.</w:t>
      </w:r>
    </w:p>
    <w:p w:rsidR="00F75F00" w:rsidRDefault="00C12F09" w:rsidP="00F75F00">
      <w:pPr>
        <w:pStyle w:val="citation"/>
        <w:ind w:left="1440"/>
        <w:rPr>
          <w:rFonts w:ascii="Calibri" w:hAnsi="Calibri" w:cs="Arial"/>
        </w:rPr>
      </w:pPr>
      <w:r>
        <w:rPr>
          <w:rFonts w:ascii="Calibri" w:hAnsi="Calibri" w:cs="Arial"/>
        </w:rPr>
        <w:t xml:space="preserve">Rennison, C.M., </w:t>
      </w:r>
      <w:r w:rsidRPr="00F75F00">
        <w:rPr>
          <w:rFonts w:ascii="Calibri" w:hAnsi="Calibri" w:cs="Arial"/>
        </w:rPr>
        <w:t>DeKeseredy</w:t>
      </w:r>
      <w:r>
        <w:rPr>
          <w:rFonts w:ascii="Calibri" w:hAnsi="Calibri" w:cs="Arial"/>
        </w:rPr>
        <w:t xml:space="preserve">, W.S., &amp; </w:t>
      </w:r>
      <w:r w:rsidRPr="00F75F00">
        <w:rPr>
          <w:rFonts w:ascii="Calibri" w:hAnsi="Calibri" w:cs="Arial"/>
        </w:rPr>
        <w:t>Dragiewicz</w:t>
      </w:r>
      <w:r>
        <w:rPr>
          <w:rFonts w:ascii="Calibri" w:hAnsi="Calibri" w:cs="Arial"/>
        </w:rPr>
        <w:t xml:space="preserve">, M. </w:t>
      </w:r>
      <w:r w:rsidR="00F75F00" w:rsidRPr="00F75F00">
        <w:rPr>
          <w:rFonts w:ascii="Calibri" w:hAnsi="Calibri" w:cs="Arial"/>
        </w:rPr>
        <w:t>(2013). Intimate</w:t>
      </w:r>
      <w:r w:rsidR="00F75F00">
        <w:rPr>
          <w:rFonts w:ascii="Calibri" w:hAnsi="Calibri" w:cs="Arial"/>
        </w:rPr>
        <w:t xml:space="preserve"> Relationship Status Variations in Violence against W</w:t>
      </w:r>
      <w:r w:rsidR="00F75F00" w:rsidRPr="00F75F00">
        <w:rPr>
          <w:rFonts w:ascii="Calibri" w:hAnsi="Calibri" w:cs="Arial"/>
        </w:rPr>
        <w:t>omen:</w:t>
      </w:r>
      <w:r w:rsidR="00F75F00">
        <w:rPr>
          <w:rFonts w:ascii="Calibri" w:hAnsi="Calibri" w:cs="Arial"/>
        </w:rPr>
        <w:t xml:space="preserve"> Urban, Suburban and Rural D</w:t>
      </w:r>
      <w:r w:rsidR="00F75F00" w:rsidRPr="00F75F00">
        <w:rPr>
          <w:rFonts w:ascii="Calibri" w:hAnsi="Calibri" w:cs="Arial"/>
        </w:rPr>
        <w:t>iff</w:t>
      </w:r>
      <w:r w:rsidR="00F75F00">
        <w:rPr>
          <w:rFonts w:ascii="Calibri" w:hAnsi="Calibri" w:cs="Arial"/>
        </w:rPr>
        <w:t xml:space="preserve">erences. </w:t>
      </w:r>
      <w:r w:rsidR="00F75F00" w:rsidRPr="00F75F00">
        <w:rPr>
          <w:rFonts w:ascii="Calibri" w:hAnsi="Calibri" w:cs="Arial"/>
          <w:i/>
        </w:rPr>
        <w:t>Violence Against Women</w:t>
      </w:r>
      <w:r w:rsidR="00F75F00">
        <w:rPr>
          <w:rFonts w:ascii="Calibri" w:hAnsi="Calibri" w:cs="Arial"/>
        </w:rPr>
        <w:t xml:space="preserve">. </w:t>
      </w:r>
      <w:r w:rsidR="00F75F00" w:rsidRPr="00F75F00">
        <w:rPr>
          <w:rFonts w:ascii="Calibri" w:hAnsi="Calibri" w:cs="Arial"/>
        </w:rPr>
        <w:t>19, 1312–1330.</w:t>
      </w:r>
    </w:p>
    <w:p w:rsidR="00406208" w:rsidRDefault="00406208" w:rsidP="00F75F00">
      <w:pPr>
        <w:pStyle w:val="citation"/>
        <w:ind w:left="1440"/>
        <w:rPr>
          <w:rFonts w:ascii="Calibri" w:hAnsi="Calibri" w:cs="Arial"/>
        </w:rPr>
      </w:pPr>
      <w:r>
        <w:rPr>
          <w:rFonts w:ascii="Calibri" w:hAnsi="Calibri" w:cs="Arial"/>
        </w:rPr>
        <w:t>Salari, S.</w:t>
      </w:r>
      <w:r w:rsidRPr="00406208">
        <w:rPr>
          <w:rFonts w:ascii="Calibri" w:hAnsi="Calibri" w:cs="Arial"/>
        </w:rPr>
        <w:t xml:space="preserve">, </w:t>
      </w:r>
      <w:r>
        <w:rPr>
          <w:rFonts w:ascii="Calibri" w:hAnsi="Calibri" w:cs="Arial"/>
        </w:rPr>
        <w:t>&amp;</w:t>
      </w:r>
      <w:r w:rsidRPr="00406208">
        <w:rPr>
          <w:rFonts w:ascii="Calibri" w:hAnsi="Calibri" w:cs="Arial"/>
        </w:rPr>
        <w:t xml:space="preserve"> Maxwell, C</w:t>
      </w:r>
      <w:r>
        <w:rPr>
          <w:rFonts w:ascii="Calibri" w:hAnsi="Calibri" w:cs="Arial"/>
        </w:rPr>
        <w:t>.</w:t>
      </w:r>
      <w:r w:rsidRPr="00406208">
        <w:rPr>
          <w:rFonts w:ascii="Calibri" w:hAnsi="Calibri" w:cs="Arial"/>
        </w:rPr>
        <w:t xml:space="preserve">D. </w:t>
      </w:r>
      <w:r w:rsidR="001427FA">
        <w:rPr>
          <w:rFonts w:ascii="Calibri" w:hAnsi="Calibri" w:cs="Arial"/>
        </w:rPr>
        <w:t xml:space="preserve">(2017). </w:t>
      </w:r>
      <w:r w:rsidRPr="00406208">
        <w:rPr>
          <w:rFonts w:ascii="Calibri" w:hAnsi="Calibri" w:cs="Arial"/>
        </w:rPr>
        <w:t xml:space="preserve">Lethal intimate partner violence in later life: Understanding measurements, strengths, and limitations of research. </w:t>
      </w:r>
      <w:r w:rsidRPr="00406208">
        <w:rPr>
          <w:rFonts w:ascii="Calibri" w:hAnsi="Calibri" w:cs="Arial"/>
          <w:i/>
        </w:rPr>
        <w:t>Journal of Elder Abuse and Neglect</w:t>
      </w:r>
      <w:r w:rsidRPr="00406208">
        <w:rPr>
          <w:rFonts w:ascii="Calibri" w:hAnsi="Calibri" w:cs="Arial"/>
        </w:rPr>
        <w:t>. 28, (4), 235-262.</w:t>
      </w:r>
    </w:p>
    <w:p w:rsidR="001427FA" w:rsidRPr="000000EB" w:rsidRDefault="001427FA" w:rsidP="00F75F00">
      <w:pPr>
        <w:pStyle w:val="citation"/>
        <w:ind w:left="1440"/>
        <w:rPr>
          <w:rFonts w:ascii="Calibri" w:hAnsi="Calibri" w:cs="Arial"/>
        </w:rPr>
      </w:pPr>
      <w:r w:rsidRPr="001427FA">
        <w:rPr>
          <w:rFonts w:ascii="Calibri" w:hAnsi="Calibri" w:cs="Arial"/>
        </w:rPr>
        <w:t>Scheitle, C</w:t>
      </w:r>
      <w:r>
        <w:rPr>
          <w:rFonts w:ascii="Calibri" w:hAnsi="Calibri" w:cs="Arial"/>
        </w:rPr>
        <w:t>.</w:t>
      </w:r>
      <w:r w:rsidRPr="001427FA">
        <w:rPr>
          <w:rFonts w:ascii="Calibri" w:hAnsi="Calibri" w:cs="Arial"/>
        </w:rPr>
        <w:t xml:space="preserve">P., </w:t>
      </w:r>
      <w:r>
        <w:rPr>
          <w:rFonts w:ascii="Calibri" w:hAnsi="Calibri" w:cs="Arial"/>
        </w:rPr>
        <w:t>&amp;</w:t>
      </w:r>
      <w:r w:rsidRPr="001427FA">
        <w:rPr>
          <w:rFonts w:ascii="Calibri" w:hAnsi="Calibri" w:cs="Arial"/>
        </w:rPr>
        <w:t xml:space="preserve"> Hansmann, M. Religion-related hate crimes: Data, trends, and limitations. </w:t>
      </w:r>
      <w:r w:rsidRPr="001427FA">
        <w:rPr>
          <w:rFonts w:ascii="Calibri" w:hAnsi="Calibri" w:cs="Arial"/>
          <w:i/>
        </w:rPr>
        <w:t>Journal for the Scientific Study of Religion</w:t>
      </w:r>
      <w:r w:rsidR="00222328">
        <w:rPr>
          <w:rFonts w:ascii="Calibri" w:hAnsi="Calibri" w:cs="Arial"/>
        </w:rPr>
        <w:t>, 55: 859-873</w:t>
      </w:r>
      <w:r w:rsidRPr="001427FA">
        <w:rPr>
          <w:rFonts w:ascii="Calibri" w:hAnsi="Calibri" w:cs="Arial"/>
        </w:rPr>
        <w:t>.</w:t>
      </w:r>
    </w:p>
    <w:p w:rsidR="00CC49DB" w:rsidRDefault="00CC49DB" w:rsidP="00B8509A">
      <w:pPr>
        <w:pStyle w:val="citation"/>
        <w:ind w:left="1440"/>
        <w:rPr>
          <w:rFonts w:ascii="Calibri" w:hAnsi="Calibri" w:cs="Arial"/>
        </w:rPr>
      </w:pPr>
      <w:r w:rsidRPr="00CC49DB">
        <w:rPr>
          <w:rFonts w:ascii="Calibri" w:hAnsi="Calibri" w:cs="Arial"/>
        </w:rPr>
        <w:t>Siddique, J</w:t>
      </w:r>
      <w:r>
        <w:rPr>
          <w:rFonts w:ascii="Calibri" w:hAnsi="Calibri" w:cs="Arial"/>
        </w:rPr>
        <w:t>.</w:t>
      </w:r>
      <w:r w:rsidRPr="00CC49DB">
        <w:rPr>
          <w:rFonts w:ascii="Calibri" w:hAnsi="Calibri" w:cs="Arial"/>
        </w:rPr>
        <w:t xml:space="preserve">A. </w:t>
      </w:r>
      <w:r w:rsidR="00C12F09">
        <w:rPr>
          <w:rFonts w:ascii="Calibri" w:hAnsi="Calibri" w:cs="Arial"/>
        </w:rPr>
        <w:t xml:space="preserve">(2016). </w:t>
      </w:r>
      <w:r w:rsidRPr="00CC49DB">
        <w:rPr>
          <w:rFonts w:ascii="Calibri" w:hAnsi="Calibri" w:cs="Arial"/>
        </w:rPr>
        <w:t xml:space="preserve">Age, marital status, and risk of sexual victimization: Similarities and differences across victim-offender relationships. </w:t>
      </w:r>
      <w:r w:rsidRPr="00CC49DB">
        <w:rPr>
          <w:rFonts w:ascii="Calibri" w:hAnsi="Calibri" w:cs="Arial"/>
          <w:i/>
        </w:rPr>
        <w:t>Journal of Interpersonal Violence</w:t>
      </w:r>
      <w:r w:rsidRPr="00CC49DB">
        <w:rPr>
          <w:rFonts w:ascii="Calibri" w:hAnsi="Calibri" w:cs="Arial"/>
        </w:rPr>
        <w:t>, 15, 2556-2575.</w:t>
      </w:r>
    </w:p>
    <w:p w:rsidR="001427FA" w:rsidRDefault="001427FA" w:rsidP="00B8509A">
      <w:pPr>
        <w:pStyle w:val="citation"/>
        <w:ind w:left="1440"/>
        <w:rPr>
          <w:rFonts w:ascii="Calibri" w:hAnsi="Calibri" w:cs="Arial"/>
        </w:rPr>
      </w:pPr>
      <w:r w:rsidRPr="001427FA">
        <w:rPr>
          <w:rFonts w:ascii="Calibri" w:hAnsi="Calibri" w:cs="Arial"/>
        </w:rPr>
        <w:t>Slocum, L</w:t>
      </w:r>
      <w:r>
        <w:rPr>
          <w:rFonts w:ascii="Calibri" w:hAnsi="Calibri" w:cs="Arial"/>
        </w:rPr>
        <w:t>.</w:t>
      </w:r>
      <w:r w:rsidRPr="001427FA">
        <w:rPr>
          <w:rFonts w:ascii="Calibri" w:hAnsi="Calibri" w:cs="Arial"/>
        </w:rPr>
        <w:t xml:space="preserve">A. </w:t>
      </w:r>
      <w:r>
        <w:rPr>
          <w:rFonts w:ascii="Calibri" w:hAnsi="Calibri" w:cs="Arial"/>
        </w:rPr>
        <w:t xml:space="preserve">(2017). </w:t>
      </w:r>
      <w:r w:rsidRPr="001427FA">
        <w:rPr>
          <w:rFonts w:ascii="Calibri" w:hAnsi="Calibri" w:cs="Arial"/>
        </w:rPr>
        <w:t xml:space="preserve">The effect of prior police contact on victimization reporting: Results from the Police-Public Contact and National Crime Victimization Surveys. </w:t>
      </w:r>
      <w:r w:rsidRPr="001427FA">
        <w:rPr>
          <w:rFonts w:ascii="Calibri" w:hAnsi="Calibri" w:cs="Arial"/>
          <w:i/>
        </w:rPr>
        <w:t>Journal of Quantitative Criminology</w:t>
      </w:r>
      <w:r w:rsidRPr="001427FA">
        <w:rPr>
          <w:rFonts w:ascii="Calibri" w:hAnsi="Calibri" w:cs="Arial"/>
        </w:rPr>
        <w:t>.</w:t>
      </w:r>
      <w:r w:rsidR="00222328">
        <w:rPr>
          <w:rFonts w:ascii="Calibri" w:hAnsi="Calibri" w:cs="Arial"/>
        </w:rPr>
        <w:t xml:space="preserve"> </w:t>
      </w:r>
      <w:r w:rsidR="00222328" w:rsidRPr="00222328">
        <w:rPr>
          <w:rFonts w:ascii="Calibri" w:hAnsi="Calibri" w:cs="Arial"/>
        </w:rPr>
        <w:t>https://doi.org/10.1007/s10940-017-9345-x</w:t>
      </w:r>
      <w:r w:rsidR="00222328">
        <w:rPr>
          <w:rFonts w:ascii="Calibri" w:hAnsi="Calibri" w:cs="Arial"/>
        </w:rPr>
        <w:t>.</w:t>
      </w:r>
    </w:p>
    <w:p w:rsidR="00CC49DB" w:rsidRPr="000000EB" w:rsidRDefault="00CC49DB" w:rsidP="00B8509A">
      <w:pPr>
        <w:pStyle w:val="citation"/>
        <w:ind w:left="1440"/>
        <w:rPr>
          <w:rFonts w:ascii="Calibri" w:hAnsi="Calibri" w:cs="Arial"/>
        </w:rPr>
      </w:pPr>
      <w:r w:rsidRPr="00CC49DB">
        <w:rPr>
          <w:rFonts w:ascii="Calibri" w:hAnsi="Calibri" w:cs="Arial"/>
        </w:rPr>
        <w:t>Vidourek, R</w:t>
      </w:r>
      <w:r>
        <w:rPr>
          <w:rFonts w:ascii="Calibri" w:hAnsi="Calibri" w:cs="Arial"/>
        </w:rPr>
        <w:t>.</w:t>
      </w:r>
      <w:r w:rsidRPr="00CC49DB">
        <w:rPr>
          <w:rFonts w:ascii="Calibri" w:hAnsi="Calibri" w:cs="Arial"/>
        </w:rPr>
        <w:t>A., King, K</w:t>
      </w:r>
      <w:r>
        <w:rPr>
          <w:rFonts w:ascii="Calibri" w:hAnsi="Calibri" w:cs="Arial"/>
        </w:rPr>
        <w:t>.</w:t>
      </w:r>
      <w:r w:rsidRPr="00CC49DB">
        <w:rPr>
          <w:rFonts w:ascii="Calibri" w:hAnsi="Calibri" w:cs="Arial"/>
        </w:rPr>
        <w:t xml:space="preserve">A., </w:t>
      </w:r>
      <w:r>
        <w:rPr>
          <w:rFonts w:ascii="Calibri" w:hAnsi="Calibri" w:cs="Arial"/>
        </w:rPr>
        <w:t>&amp;</w:t>
      </w:r>
      <w:r w:rsidRPr="00CC49DB">
        <w:rPr>
          <w:rFonts w:ascii="Calibri" w:hAnsi="Calibri" w:cs="Arial"/>
        </w:rPr>
        <w:t xml:space="preserve"> Merianos, A</w:t>
      </w:r>
      <w:r>
        <w:rPr>
          <w:rFonts w:ascii="Calibri" w:hAnsi="Calibri" w:cs="Arial"/>
        </w:rPr>
        <w:t>.</w:t>
      </w:r>
      <w:r w:rsidRPr="00CC49DB">
        <w:rPr>
          <w:rFonts w:ascii="Calibri" w:hAnsi="Calibri" w:cs="Arial"/>
        </w:rPr>
        <w:t xml:space="preserve">L. </w:t>
      </w:r>
      <w:r w:rsidR="004057F1">
        <w:rPr>
          <w:rFonts w:ascii="Calibri" w:hAnsi="Calibri" w:cs="Arial"/>
        </w:rPr>
        <w:t xml:space="preserve">(2016). </w:t>
      </w:r>
      <w:r w:rsidRPr="00CC49DB">
        <w:rPr>
          <w:rFonts w:ascii="Calibri" w:hAnsi="Calibri" w:cs="Arial"/>
        </w:rPr>
        <w:t xml:space="preserve">School bullying and student trauma: Fear and avoidance associated with victimization. </w:t>
      </w:r>
      <w:r w:rsidRPr="00CC49DB">
        <w:rPr>
          <w:rFonts w:ascii="Calibri" w:hAnsi="Calibri" w:cs="Arial"/>
          <w:i/>
        </w:rPr>
        <w:t>Journal of Prevention and Intervention in the Community</w:t>
      </w:r>
      <w:r w:rsidRPr="00CC49DB">
        <w:rPr>
          <w:rFonts w:ascii="Calibri" w:hAnsi="Calibri" w:cs="Arial"/>
        </w:rPr>
        <w:t>. 44, (2), 121-129.</w:t>
      </w:r>
    </w:p>
    <w:p w:rsidR="00406208" w:rsidRDefault="00406208" w:rsidP="00B8509A">
      <w:pPr>
        <w:pStyle w:val="citation"/>
        <w:ind w:left="1440"/>
        <w:rPr>
          <w:rFonts w:ascii="Calibri" w:hAnsi="Calibri" w:cs="Arial"/>
        </w:rPr>
      </w:pPr>
      <w:r w:rsidRPr="00406208">
        <w:rPr>
          <w:rFonts w:ascii="Calibri" w:hAnsi="Calibri" w:cs="Arial"/>
        </w:rPr>
        <w:t>Wong, J</w:t>
      </w:r>
      <w:r w:rsidR="00CC49DB">
        <w:rPr>
          <w:rFonts w:ascii="Calibri" w:hAnsi="Calibri" w:cs="Arial"/>
        </w:rPr>
        <w:t>.</w:t>
      </w:r>
      <w:r w:rsidRPr="00406208">
        <w:rPr>
          <w:rFonts w:ascii="Calibri" w:hAnsi="Calibri" w:cs="Arial"/>
        </w:rPr>
        <w:t xml:space="preserve">S., </w:t>
      </w:r>
      <w:r w:rsidR="00CC49DB">
        <w:rPr>
          <w:rFonts w:ascii="Calibri" w:hAnsi="Calibri" w:cs="Arial"/>
        </w:rPr>
        <w:t>&amp;</w:t>
      </w:r>
      <w:r w:rsidRPr="00406208">
        <w:rPr>
          <w:rFonts w:ascii="Calibri" w:hAnsi="Calibri" w:cs="Arial"/>
        </w:rPr>
        <w:t xml:space="preserve"> Balemba, S. </w:t>
      </w:r>
      <w:r w:rsidR="00222328">
        <w:rPr>
          <w:rFonts w:ascii="Calibri" w:hAnsi="Calibri" w:cs="Arial"/>
        </w:rPr>
        <w:t xml:space="preserve">(2016). </w:t>
      </w:r>
      <w:r w:rsidRPr="00406208">
        <w:rPr>
          <w:rFonts w:ascii="Calibri" w:hAnsi="Calibri" w:cs="Arial"/>
        </w:rPr>
        <w:t xml:space="preserve">Resisting during sexual assault: A meta-analysis of the effects on injury. </w:t>
      </w:r>
      <w:r w:rsidRPr="00406208">
        <w:rPr>
          <w:rFonts w:ascii="Calibri" w:hAnsi="Calibri" w:cs="Arial"/>
          <w:i/>
        </w:rPr>
        <w:t>Aggression and Violent Behavior</w:t>
      </w:r>
      <w:r w:rsidRPr="00406208">
        <w:rPr>
          <w:rFonts w:ascii="Calibri" w:hAnsi="Calibri" w:cs="Arial"/>
        </w:rPr>
        <w:t>. 28, 1-11.</w:t>
      </w:r>
    </w:p>
    <w:p w:rsidR="00CC49DB" w:rsidRPr="000000EB" w:rsidRDefault="00CC49DB" w:rsidP="00B8509A">
      <w:pPr>
        <w:pStyle w:val="citation"/>
        <w:ind w:left="1440"/>
        <w:rPr>
          <w:rFonts w:ascii="Calibri" w:hAnsi="Calibri" w:cs="Arial"/>
        </w:rPr>
      </w:pPr>
      <w:r w:rsidRPr="00CC49DB">
        <w:rPr>
          <w:rFonts w:ascii="Calibri" w:hAnsi="Calibri" w:cs="Arial"/>
        </w:rPr>
        <w:t>Wong, J</w:t>
      </w:r>
      <w:r>
        <w:rPr>
          <w:rFonts w:ascii="Calibri" w:hAnsi="Calibri" w:cs="Arial"/>
        </w:rPr>
        <w:t>.</w:t>
      </w:r>
      <w:r w:rsidRPr="00CC49DB">
        <w:rPr>
          <w:rFonts w:ascii="Calibri" w:hAnsi="Calibri" w:cs="Arial"/>
        </w:rPr>
        <w:t xml:space="preserve">S., </w:t>
      </w:r>
      <w:r>
        <w:rPr>
          <w:rFonts w:ascii="Calibri" w:hAnsi="Calibri" w:cs="Arial"/>
        </w:rPr>
        <w:t>&amp;</w:t>
      </w:r>
      <w:r w:rsidRPr="00CC49DB">
        <w:rPr>
          <w:rFonts w:ascii="Calibri" w:hAnsi="Calibri" w:cs="Arial"/>
        </w:rPr>
        <w:t xml:space="preserve"> Balemba, S. </w:t>
      </w:r>
      <w:r w:rsidR="00222328">
        <w:rPr>
          <w:rFonts w:ascii="Calibri" w:hAnsi="Calibri" w:cs="Arial"/>
        </w:rPr>
        <w:t xml:space="preserve">(2016). </w:t>
      </w:r>
      <w:r w:rsidRPr="00CC49DB">
        <w:rPr>
          <w:rFonts w:ascii="Calibri" w:hAnsi="Calibri" w:cs="Arial"/>
        </w:rPr>
        <w:t xml:space="preserve">The effect of victim resistance on rape completion: A meta-analysis. </w:t>
      </w:r>
      <w:r w:rsidRPr="00CC49DB">
        <w:rPr>
          <w:rFonts w:ascii="Calibri" w:hAnsi="Calibri" w:cs="Arial"/>
          <w:i/>
        </w:rPr>
        <w:t>Trauma, Violence, and Abuse</w:t>
      </w:r>
      <w:r>
        <w:rPr>
          <w:rFonts w:ascii="Calibri" w:hAnsi="Calibri" w:cs="Arial"/>
        </w:rPr>
        <w:t>, 1-14</w:t>
      </w:r>
      <w:r w:rsidRPr="00CC49DB">
        <w:rPr>
          <w:rFonts w:ascii="Calibri" w:hAnsi="Calibri" w:cs="Arial"/>
        </w:rPr>
        <w:t>.</w:t>
      </w:r>
    </w:p>
    <w:p w:rsidR="00D0337B" w:rsidRPr="000000EB" w:rsidRDefault="004057F1" w:rsidP="00B8509A">
      <w:pPr>
        <w:pStyle w:val="citation"/>
        <w:ind w:left="1440"/>
        <w:rPr>
          <w:rFonts w:ascii="Calibri" w:hAnsi="Calibri" w:cs="Arial"/>
        </w:rPr>
      </w:pPr>
      <w:r>
        <w:rPr>
          <w:rFonts w:ascii="Calibri" w:hAnsi="Calibri" w:cs="Arial"/>
        </w:rPr>
        <w:t xml:space="preserve">Wong, T.M.L., </w:t>
      </w:r>
      <w:r w:rsidR="00D0337B" w:rsidRPr="000000EB">
        <w:rPr>
          <w:rFonts w:ascii="Calibri" w:hAnsi="Calibri" w:cs="Arial"/>
        </w:rPr>
        <w:t>&amp; Van de Schoot</w:t>
      </w:r>
      <w:r>
        <w:rPr>
          <w:rFonts w:ascii="Calibri" w:hAnsi="Calibri" w:cs="Arial"/>
        </w:rPr>
        <w:t>, R.</w:t>
      </w:r>
      <w:r w:rsidR="00D0337B" w:rsidRPr="000000EB">
        <w:rPr>
          <w:rFonts w:ascii="Calibri" w:hAnsi="Calibri" w:cs="Arial"/>
        </w:rPr>
        <w:t xml:space="preserve"> (2012)</w:t>
      </w:r>
      <w:r w:rsidR="00222328">
        <w:rPr>
          <w:rFonts w:ascii="Calibri" w:hAnsi="Calibri" w:cs="Arial"/>
        </w:rPr>
        <w:t>.</w:t>
      </w:r>
      <w:r w:rsidR="00D0337B" w:rsidRPr="000000EB">
        <w:rPr>
          <w:rFonts w:ascii="Calibri" w:hAnsi="Calibri" w:cs="Arial"/>
        </w:rPr>
        <w:t xml:space="preserve"> The effect of sex offenders' sex on reporting crimes to the police. </w:t>
      </w:r>
      <w:r w:rsidR="00D0337B" w:rsidRPr="000000EB">
        <w:rPr>
          <w:rFonts w:ascii="Calibri" w:hAnsi="Calibri" w:cs="Arial"/>
          <w:i/>
        </w:rPr>
        <w:t>Journal of Interpersonal Violence</w:t>
      </w:r>
      <w:r>
        <w:rPr>
          <w:rFonts w:ascii="Calibri" w:hAnsi="Calibri" w:cs="Arial"/>
        </w:rPr>
        <w:t xml:space="preserve">, </w:t>
      </w:r>
      <w:r w:rsidR="00D0337B" w:rsidRPr="000000EB">
        <w:rPr>
          <w:rFonts w:ascii="Calibri" w:hAnsi="Calibri" w:cs="Arial"/>
        </w:rPr>
        <w:t>27</w:t>
      </w:r>
      <w:r>
        <w:rPr>
          <w:rFonts w:ascii="Calibri" w:hAnsi="Calibri" w:cs="Arial"/>
        </w:rPr>
        <w:t>,</w:t>
      </w:r>
      <w:r w:rsidR="00D0337B" w:rsidRPr="000000EB">
        <w:rPr>
          <w:rFonts w:ascii="Calibri" w:hAnsi="Calibri" w:cs="Arial"/>
        </w:rPr>
        <w:t xml:space="preserve"> 1276-1292.</w:t>
      </w:r>
    </w:p>
    <w:p w:rsidR="00D0337B" w:rsidRDefault="004057F1" w:rsidP="00B8509A">
      <w:pPr>
        <w:pStyle w:val="citation"/>
        <w:ind w:left="1440"/>
        <w:rPr>
          <w:rFonts w:ascii="Calibri" w:hAnsi="Calibri" w:cs="Arial"/>
        </w:rPr>
      </w:pPr>
      <w:r>
        <w:rPr>
          <w:rFonts w:ascii="Calibri" w:hAnsi="Calibri" w:cs="Arial"/>
        </w:rPr>
        <w:t xml:space="preserve">Xie, M., &amp; </w:t>
      </w:r>
      <w:r w:rsidR="00D0337B" w:rsidRPr="000000EB">
        <w:rPr>
          <w:rFonts w:ascii="Calibri" w:hAnsi="Calibri" w:cs="Arial"/>
        </w:rPr>
        <w:t>Lauritsen</w:t>
      </w:r>
      <w:r>
        <w:rPr>
          <w:rFonts w:ascii="Calibri" w:hAnsi="Calibri" w:cs="Arial"/>
        </w:rPr>
        <w:t>, J.L.</w:t>
      </w:r>
      <w:r w:rsidR="00D0337B" w:rsidRPr="000000EB">
        <w:rPr>
          <w:rFonts w:ascii="Calibri" w:hAnsi="Calibri" w:cs="Arial"/>
        </w:rPr>
        <w:t xml:space="preserve"> (2012)</w:t>
      </w:r>
      <w:r w:rsidR="00222328">
        <w:rPr>
          <w:rFonts w:ascii="Calibri" w:hAnsi="Calibri" w:cs="Arial"/>
        </w:rPr>
        <w:t>.</w:t>
      </w:r>
      <w:r w:rsidR="00D0337B" w:rsidRPr="000000EB">
        <w:rPr>
          <w:rFonts w:ascii="Calibri" w:hAnsi="Calibri" w:cs="Arial"/>
        </w:rPr>
        <w:t xml:space="preserve"> Racial context and crime reporting: A test of Black's stratification hypothesis. </w:t>
      </w:r>
      <w:r w:rsidR="00D0337B" w:rsidRPr="000000EB">
        <w:rPr>
          <w:rFonts w:ascii="Calibri" w:hAnsi="Calibri" w:cs="Arial"/>
          <w:i/>
        </w:rPr>
        <w:t>Journal of Quantitative Criminology</w:t>
      </w:r>
      <w:r>
        <w:rPr>
          <w:rFonts w:ascii="Calibri" w:hAnsi="Calibri" w:cs="Arial"/>
        </w:rPr>
        <w:t xml:space="preserve">, </w:t>
      </w:r>
      <w:r w:rsidR="00D0337B" w:rsidRPr="000000EB">
        <w:rPr>
          <w:rFonts w:ascii="Calibri" w:hAnsi="Calibri" w:cs="Arial"/>
        </w:rPr>
        <w:t>28</w:t>
      </w:r>
      <w:r>
        <w:rPr>
          <w:rFonts w:ascii="Calibri" w:hAnsi="Calibri" w:cs="Arial"/>
        </w:rPr>
        <w:t>,</w:t>
      </w:r>
      <w:r w:rsidR="00D0337B" w:rsidRPr="000000EB">
        <w:rPr>
          <w:rFonts w:ascii="Calibri" w:hAnsi="Calibri" w:cs="Arial"/>
        </w:rPr>
        <w:t xml:space="preserve"> 265-293.</w:t>
      </w:r>
    </w:p>
    <w:p w:rsidR="00372ED8" w:rsidRDefault="00372ED8" w:rsidP="00B8509A">
      <w:pPr>
        <w:pStyle w:val="citation"/>
        <w:ind w:left="1440"/>
        <w:rPr>
          <w:rFonts w:ascii="Calibri" w:hAnsi="Calibri" w:cs="Arial"/>
        </w:rPr>
      </w:pPr>
      <w:r>
        <w:rPr>
          <w:rFonts w:ascii="Calibri" w:hAnsi="Calibri" w:cs="Arial"/>
        </w:rPr>
        <w:t>Xie, M.</w:t>
      </w:r>
      <w:r w:rsidR="004057F1">
        <w:rPr>
          <w:rFonts w:ascii="Calibri" w:hAnsi="Calibri" w:cs="Arial"/>
        </w:rPr>
        <w:t>,</w:t>
      </w:r>
      <w:r>
        <w:rPr>
          <w:rFonts w:ascii="Calibri" w:hAnsi="Calibri" w:cs="Arial"/>
        </w:rPr>
        <w:t xml:space="preserve"> &amp; Macdowall</w:t>
      </w:r>
      <w:r w:rsidR="004057F1">
        <w:rPr>
          <w:rFonts w:ascii="Calibri" w:hAnsi="Calibri" w:cs="Arial"/>
        </w:rPr>
        <w:t>, D.</w:t>
      </w:r>
      <w:r>
        <w:rPr>
          <w:rFonts w:ascii="Calibri" w:hAnsi="Calibri" w:cs="Arial"/>
        </w:rPr>
        <w:t xml:space="preserve"> (2014)</w:t>
      </w:r>
      <w:r w:rsidR="00222328">
        <w:rPr>
          <w:rFonts w:ascii="Calibri" w:hAnsi="Calibri" w:cs="Arial"/>
        </w:rPr>
        <w:t>.</w:t>
      </w:r>
      <w:r>
        <w:rPr>
          <w:rFonts w:ascii="Calibri" w:hAnsi="Calibri" w:cs="Arial"/>
        </w:rPr>
        <w:t xml:space="preserve"> </w:t>
      </w:r>
      <w:r w:rsidRPr="00372ED8">
        <w:rPr>
          <w:rFonts w:ascii="Calibri" w:hAnsi="Calibri" w:cs="Arial"/>
        </w:rPr>
        <w:t>I</w:t>
      </w:r>
      <w:r>
        <w:rPr>
          <w:rFonts w:ascii="Calibri" w:hAnsi="Calibri" w:cs="Arial"/>
        </w:rPr>
        <w:t xml:space="preserve">mpact of Victimization on Residential Mobility: Explaining Racial and Ethnic Patterns Using the National Crime Victimization Survey. </w:t>
      </w:r>
      <w:r w:rsidRPr="00372ED8">
        <w:rPr>
          <w:rFonts w:ascii="Calibri" w:hAnsi="Calibri" w:cs="Arial"/>
          <w:i/>
        </w:rPr>
        <w:t>Criminology</w:t>
      </w:r>
      <w:r w:rsidR="004057F1">
        <w:rPr>
          <w:rFonts w:ascii="Calibri" w:hAnsi="Calibri" w:cs="Arial"/>
        </w:rPr>
        <w:t xml:space="preserve">, </w:t>
      </w:r>
      <w:r>
        <w:rPr>
          <w:rFonts w:ascii="Calibri" w:hAnsi="Calibri" w:cs="Arial"/>
        </w:rPr>
        <w:t>52</w:t>
      </w:r>
      <w:r w:rsidR="004057F1">
        <w:rPr>
          <w:rFonts w:ascii="Calibri" w:hAnsi="Calibri" w:cs="Arial"/>
        </w:rPr>
        <w:t>,</w:t>
      </w:r>
      <w:r>
        <w:rPr>
          <w:rFonts w:ascii="Calibri" w:hAnsi="Calibri" w:cs="Arial"/>
        </w:rPr>
        <w:t xml:space="preserve"> </w:t>
      </w:r>
      <w:r w:rsidRPr="00372ED8">
        <w:rPr>
          <w:rFonts w:ascii="Calibri" w:hAnsi="Calibri" w:cs="Arial"/>
        </w:rPr>
        <w:t>553</w:t>
      </w:r>
      <w:r w:rsidR="004057F1">
        <w:rPr>
          <w:rFonts w:ascii="Calibri" w:hAnsi="Calibri" w:cs="Arial"/>
        </w:rPr>
        <w:t>-</w:t>
      </w:r>
      <w:r w:rsidRPr="00372ED8">
        <w:rPr>
          <w:rFonts w:ascii="Calibri" w:hAnsi="Calibri" w:cs="Arial"/>
        </w:rPr>
        <w:t>587</w:t>
      </w:r>
      <w:r>
        <w:rPr>
          <w:rFonts w:ascii="Calibri" w:hAnsi="Calibri" w:cs="Arial"/>
        </w:rPr>
        <w:t>.</w:t>
      </w:r>
    </w:p>
    <w:p w:rsidR="00643BDB" w:rsidRPr="000000EB" w:rsidRDefault="00643BDB" w:rsidP="00B8509A">
      <w:pPr>
        <w:pStyle w:val="citation"/>
        <w:ind w:left="1440"/>
        <w:rPr>
          <w:rFonts w:ascii="Calibri" w:hAnsi="Calibri" w:cs="Arial"/>
        </w:rPr>
      </w:pPr>
      <w:r w:rsidRPr="00643BDB">
        <w:rPr>
          <w:rFonts w:ascii="Calibri" w:hAnsi="Calibri" w:cs="Arial"/>
        </w:rPr>
        <w:t xml:space="preserve">Yun, Ilhong,  Lee, Julak </w:t>
      </w:r>
      <w:r>
        <w:rPr>
          <w:rFonts w:ascii="Calibri" w:hAnsi="Calibri" w:cs="Arial"/>
        </w:rPr>
        <w:t>(2014)</w:t>
      </w:r>
      <w:r w:rsidRPr="00643BDB">
        <w:rPr>
          <w:rFonts w:ascii="Calibri" w:hAnsi="Calibri" w:cs="Arial"/>
        </w:rPr>
        <w:t xml:space="preserve">. Revisiting the effects of self-protective behaviors on the risk of injury in assaults against women. </w:t>
      </w:r>
      <w:r w:rsidRPr="00527A22">
        <w:rPr>
          <w:rFonts w:ascii="Calibri" w:hAnsi="Calibri" w:cs="Arial"/>
          <w:i/>
        </w:rPr>
        <w:t>Violence and Victims</w:t>
      </w:r>
      <w:r w:rsidRPr="00643BDB">
        <w:rPr>
          <w:rFonts w:ascii="Calibri" w:hAnsi="Calibri" w:cs="Arial"/>
        </w:rPr>
        <w:t>. 29, (1), 171-192.</w:t>
      </w:r>
    </w:p>
    <w:p w:rsidR="005D7A99" w:rsidRPr="000000EB" w:rsidRDefault="005D7A99" w:rsidP="00B8509A">
      <w:pPr>
        <w:rPr>
          <w:rFonts w:ascii="Calibri" w:hAnsi="Calibri"/>
          <w:sz w:val="24"/>
          <w:szCs w:val="24"/>
        </w:rPr>
      </w:pPr>
    </w:p>
    <w:p w:rsidR="00B335FE" w:rsidRPr="000000EB" w:rsidRDefault="00CF44FB" w:rsidP="00406208">
      <w:pPr>
        <w:pStyle w:val="Heading2"/>
        <w:tabs>
          <w:tab w:val="clear" w:pos="270"/>
          <w:tab w:val="left" w:pos="0"/>
        </w:tabs>
        <w:ind w:left="634" w:firstLine="0"/>
        <w:rPr>
          <w:rFonts w:ascii="Calibri" w:hAnsi="Calibri" w:cs="Arial"/>
          <w:i/>
          <w:color w:val="000000"/>
        </w:rPr>
      </w:pPr>
      <w:r w:rsidRPr="000000EB">
        <w:rPr>
          <w:rFonts w:ascii="Calibri" w:hAnsi="Calibri" w:cs="Arial"/>
          <w:b/>
          <w:bCs/>
          <w:i/>
          <w:color w:val="000000"/>
        </w:rPr>
        <w:t>O</w:t>
      </w:r>
      <w:r w:rsidR="00637729" w:rsidRPr="000000EB">
        <w:rPr>
          <w:rFonts w:ascii="Calibri" w:hAnsi="Calibri" w:cs="Arial"/>
          <w:b/>
          <w:bCs/>
          <w:i/>
          <w:color w:val="000000"/>
        </w:rPr>
        <w:t>thers</w:t>
      </w:r>
      <w:r w:rsidRPr="000000EB">
        <w:rPr>
          <w:rFonts w:ascii="Calibri" w:hAnsi="Calibri" w:cs="Arial"/>
          <w:i/>
          <w:color w:val="000000"/>
        </w:rPr>
        <w:t xml:space="preserve"> </w:t>
      </w:r>
    </w:p>
    <w:p w:rsidR="00406208" w:rsidRPr="00406208" w:rsidRDefault="00406208" w:rsidP="00406208">
      <w:pPr>
        <w:ind w:left="634"/>
        <w:rPr>
          <w:rFonts w:asciiTheme="minorHAnsi" w:hAnsiTheme="minorHAnsi"/>
          <w:i/>
          <w:sz w:val="24"/>
        </w:rPr>
      </w:pPr>
      <w:r w:rsidRPr="00406208">
        <w:rPr>
          <w:rFonts w:asciiTheme="minorHAnsi" w:hAnsiTheme="minorHAnsi"/>
          <w:i/>
          <w:sz w:val="24"/>
        </w:rPr>
        <w:t>Financial Industry Regulatory Authority and Financial Fraud Research Center</w:t>
      </w:r>
    </w:p>
    <w:p w:rsidR="00406208" w:rsidRDefault="00406208" w:rsidP="00406208">
      <w:pPr>
        <w:ind w:left="634"/>
        <w:rPr>
          <w:rFonts w:asciiTheme="minorHAnsi" w:hAnsiTheme="minorHAnsi"/>
          <w:sz w:val="24"/>
          <w:szCs w:val="24"/>
        </w:rPr>
      </w:pPr>
      <w:r w:rsidRPr="00E66616">
        <w:rPr>
          <w:rFonts w:asciiTheme="minorHAnsi" w:hAnsiTheme="minorHAnsi"/>
          <w:sz w:val="24"/>
          <w:szCs w:val="24"/>
        </w:rPr>
        <w:t xml:space="preserve">Researchers from the Financial Fraud Research Center (FFRC), a joint project of the Stanford Center on Longevity and the </w:t>
      </w:r>
      <w:r>
        <w:rPr>
          <w:rFonts w:asciiTheme="minorHAnsi" w:hAnsiTheme="minorHAnsi"/>
          <w:sz w:val="24"/>
        </w:rPr>
        <w:t xml:space="preserve">Financial Industry Regulatory Authority </w:t>
      </w:r>
      <w:r w:rsidRPr="00E66616">
        <w:rPr>
          <w:rFonts w:asciiTheme="minorHAnsi" w:hAnsiTheme="minorHAnsi"/>
          <w:sz w:val="24"/>
          <w:szCs w:val="24"/>
        </w:rPr>
        <w:t>Investor Education Foundation (FINRA Foundation)</w:t>
      </w:r>
      <w:r>
        <w:rPr>
          <w:rFonts w:asciiTheme="minorHAnsi" w:hAnsiTheme="minorHAnsi"/>
          <w:sz w:val="24"/>
          <w:szCs w:val="24"/>
        </w:rPr>
        <w:t xml:space="preserve"> collaborated with BJS to develop a standardized fraud classification scheme.</w:t>
      </w:r>
      <w:r w:rsidR="00E66FBF">
        <w:rPr>
          <w:rStyle w:val="FootnoteReference"/>
          <w:rFonts w:asciiTheme="minorHAnsi" w:hAnsiTheme="minorHAnsi"/>
          <w:sz w:val="24"/>
          <w:szCs w:val="24"/>
        </w:rPr>
        <w:footnoteReference w:id="3"/>
      </w:r>
      <w:r>
        <w:rPr>
          <w:rFonts w:asciiTheme="minorHAnsi" w:hAnsiTheme="minorHAnsi"/>
          <w:sz w:val="24"/>
          <w:szCs w:val="24"/>
        </w:rPr>
        <w:t xml:space="preserve"> This was then translated into survey questions that were administered on the Supplemental Fraud Survey (SFS) to the NCVS. </w:t>
      </w:r>
    </w:p>
    <w:p w:rsidR="00406208" w:rsidRDefault="00406208" w:rsidP="00406208">
      <w:pPr>
        <w:pStyle w:val="Heading2"/>
        <w:tabs>
          <w:tab w:val="clear" w:pos="270"/>
          <w:tab w:val="left" w:pos="0"/>
        </w:tabs>
        <w:ind w:left="634" w:firstLine="0"/>
        <w:rPr>
          <w:rFonts w:ascii="Calibri" w:hAnsi="Calibri" w:cs="Arial"/>
          <w:color w:val="000000"/>
        </w:rPr>
      </w:pPr>
    </w:p>
    <w:p w:rsidR="00CF44FB" w:rsidRPr="000000EB" w:rsidRDefault="00CF44FB" w:rsidP="00406208">
      <w:pPr>
        <w:pStyle w:val="Heading2"/>
        <w:tabs>
          <w:tab w:val="clear" w:pos="270"/>
          <w:tab w:val="left" w:pos="0"/>
        </w:tabs>
        <w:ind w:left="634" w:firstLine="0"/>
        <w:rPr>
          <w:rFonts w:ascii="Calibri" w:hAnsi="Calibri" w:cs="Arial"/>
          <w:color w:val="000000"/>
        </w:rPr>
      </w:pPr>
      <w:r w:rsidRPr="000000EB">
        <w:rPr>
          <w:rFonts w:ascii="Calibri" w:hAnsi="Calibri" w:cs="Arial"/>
          <w:color w:val="000000"/>
        </w:rPr>
        <w:t>Independent groups also use the NCVS for policy an</w:t>
      </w:r>
      <w:r w:rsidR="00E105B5">
        <w:rPr>
          <w:rFonts w:ascii="Calibri" w:hAnsi="Calibri" w:cs="Arial"/>
          <w:color w:val="000000"/>
        </w:rPr>
        <w:t xml:space="preserve">alysis, policy recommendations, </w:t>
      </w:r>
      <w:r w:rsidRPr="000000EB">
        <w:rPr>
          <w:rFonts w:ascii="Calibri" w:hAnsi="Calibri" w:cs="Arial"/>
          <w:color w:val="000000"/>
        </w:rPr>
        <w:t xml:space="preserve">testimony before Congress, and documentation for use in courts.  Examples include the following: </w:t>
      </w:r>
    </w:p>
    <w:p w:rsidR="00CF44FB" w:rsidRPr="000000EB" w:rsidRDefault="00CF44FB" w:rsidP="00406208">
      <w:pPr>
        <w:pStyle w:val="Heading2"/>
        <w:tabs>
          <w:tab w:val="clear" w:pos="270"/>
          <w:tab w:val="left" w:pos="0"/>
        </w:tabs>
        <w:ind w:left="634" w:firstLine="0"/>
        <w:rPr>
          <w:rFonts w:ascii="Calibri" w:hAnsi="Calibri" w:cs="Arial"/>
          <w:color w:val="000000"/>
        </w:rPr>
      </w:pPr>
    </w:p>
    <w:p w:rsidR="00CF44FB" w:rsidRPr="000000EB" w:rsidRDefault="00406208" w:rsidP="00406208">
      <w:pPr>
        <w:pStyle w:val="Heading2"/>
        <w:tabs>
          <w:tab w:val="clear" w:pos="270"/>
          <w:tab w:val="left" w:pos="0"/>
        </w:tabs>
        <w:ind w:left="634"/>
        <w:rPr>
          <w:rFonts w:ascii="Calibri" w:hAnsi="Calibri" w:cs="Arial"/>
          <w:i/>
          <w:color w:val="000000"/>
        </w:rPr>
      </w:pPr>
      <w:r>
        <w:rPr>
          <w:rFonts w:ascii="Calibri" w:hAnsi="Calibri" w:cs="Arial"/>
          <w:i/>
          <w:color w:val="000000"/>
        </w:rPr>
        <w:tab/>
      </w:r>
      <w:r>
        <w:rPr>
          <w:rFonts w:ascii="Calibri" w:hAnsi="Calibri" w:cs="Arial"/>
          <w:i/>
          <w:color w:val="000000"/>
        </w:rPr>
        <w:tab/>
      </w:r>
      <w:r>
        <w:rPr>
          <w:rFonts w:ascii="Calibri" w:hAnsi="Calibri" w:cs="Arial"/>
          <w:i/>
          <w:color w:val="000000"/>
        </w:rPr>
        <w:tab/>
      </w:r>
      <w:r>
        <w:rPr>
          <w:rFonts w:ascii="Calibri" w:hAnsi="Calibri" w:cs="Arial"/>
          <w:i/>
          <w:color w:val="000000"/>
        </w:rPr>
        <w:tab/>
      </w:r>
      <w:r w:rsidR="00CF44FB" w:rsidRPr="000000EB">
        <w:rPr>
          <w:rFonts w:ascii="Calibri" w:hAnsi="Calibri" w:cs="Arial"/>
          <w:i/>
          <w:color w:val="000000"/>
        </w:rPr>
        <w:t>National Crime Prevention Council</w:t>
      </w:r>
    </w:p>
    <w:p w:rsidR="00846FE2" w:rsidRDefault="00CF44FB" w:rsidP="00406208">
      <w:pPr>
        <w:pStyle w:val="Heading2"/>
        <w:tabs>
          <w:tab w:val="clear" w:pos="270"/>
          <w:tab w:val="left" w:pos="0"/>
        </w:tabs>
        <w:ind w:left="634" w:firstLine="0"/>
        <w:rPr>
          <w:rFonts w:ascii="Calibri" w:hAnsi="Calibri" w:cs="Arial"/>
        </w:rPr>
      </w:pPr>
      <w:r w:rsidRPr="000000EB">
        <w:rPr>
          <w:rFonts w:ascii="Calibri" w:hAnsi="Calibri" w:cs="Arial"/>
        </w:rPr>
        <w:t>Uses the NCVS data to develop programs on cr</w:t>
      </w:r>
      <w:r w:rsidR="00B335FE" w:rsidRPr="000000EB">
        <w:rPr>
          <w:rFonts w:ascii="Calibri" w:hAnsi="Calibri" w:cs="Arial"/>
        </w:rPr>
        <w:t xml:space="preserve">ime prevention and to train and </w:t>
      </w:r>
      <w:r w:rsidRPr="000000EB">
        <w:rPr>
          <w:rFonts w:ascii="Calibri" w:hAnsi="Calibri" w:cs="Arial"/>
        </w:rPr>
        <w:t>educate individuals, communities, and organizations throughout the United States on effective crime prevention practices.</w:t>
      </w:r>
    </w:p>
    <w:p w:rsidR="00E105B5" w:rsidRPr="00846FE2" w:rsidRDefault="00E105B5" w:rsidP="00406208">
      <w:pPr>
        <w:ind w:left="634"/>
        <w:rPr>
          <w:rFonts w:asciiTheme="minorHAnsi" w:hAnsiTheme="minorHAnsi"/>
          <w:sz w:val="24"/>
        </w:rPr>
      </w:pPr>
    </w:p>
    <w:p w:rsidR="001424C4" w:rsidRPr="000000EB" w:rsidRDefault="00AE03FF" w:rsidP="00406208">
      <w:pPr>
        <w:ind w:firstLine="634"/>
        <w:rPr>
          <w:rFonts w:ascii="Calibri" w:hAnsi="Calibri" w:cs="Arial"/>
          <w:i/>
          <w:sz w:val="24"/>
          <w:szCs w:val="24"/>
        </w:rPr>
      </w:pPr>
      <w:r w:rsidRPr="000000EB">
        <w:rPr>
          <w:rFonts w:ascii="Calibri" w:hAnsi="Calibri" w:cs="Arial"/>
          <w:i/>
          <w:sz w:val="24"/>
          <w:szCs w:val="24"/>
        </w:rPr>
        <w:t>Victim Advocacy Groups</w:t>
      </w:r>
    </w:p>
    <w:p w:rsidR="00AE03FF" w:rsidRPr="000000EB" w:rsidRDefault="00AE03FF" w:rsidP="00406208">
      <w:pPr>
        <w:ind w:left="634"/>
        <w:rPr>
          <w:rFonts w:ascii="Calibri" w:hAnsi="Calibri" w:cs="Arial"/>
          <w:sz w:val="24"/>
          <w:szCs w:val="24"/>
        </w:rPr>
      </w:pPr>
      <w:r w:rsidRPr="000000EB">
        <w:rPr>
          <w:rFonts w:ascii="Calibri" w:hAnsi="Calibri" w:cs="Arial"/>
          <w:sz w:val="24"/>
          <w:szCs w:val="24"/>
        </w:rPr>
        <w:t xml:space="preserve">Use the data to identify vulnerable populations, crime victims that do not receive necessary criminal justice system resources, and to draw attention to the emotional, physical, and economic consequences of victimization. </w:t>
      </w:r>
    </w:p>
    <w:p w:rsidR="001424C4" w:rsidRPr="000000EB" w:rsidRDefault="001424C4" w:rsidP="00406208">
      <w:pPr>
        <w:ind w:left="634"/>
        <w:rPr>
          <w:rFonts w:ascii="Calibri" w:hAnsi="Calibri" w:cs="Arial"/>
          <w:sz w:val="24"/>
          <w:szCs w:val="24"/>
        </w:rPr>
      </w:pPr>
      <w:r w:rsidRPr="000000EB">
        <w:rPr>
          <w:rFonts w:ascii="Calibri" w:hAnsi="Calibri" w:cs="Arial"/>
          <w:sz w:val="24"/>
          <w:szCs w:val="24"/>
        </w:rPr>
        <w:t xml:space="preserve">        </w:t>
      </w:r>
    </w:p>
    <w:p w:rsidR="00B335FE" w:rsidRPr="000000EB" w:rsidRDefault="00CF44FB" w:rsidP="00406208">
      <w:pPr>
        <w:pStyle w:val="Heading2"/>
        <w:tabs>
          <w:tab w:val="clear" w:pos="270"/>
          <w:tab w:val="left" w:pos="0"/>
        </w:tabs>
        <w:ind w:left="634" w:firstLine="0"/>
        <w:rPr>
          <w:rFonts w:ascii="Calibri" w:hAnsi="Calibri" w:cs="Arial"/>
          <w:i/>
        </w:rPr>
      </w:pPr>
      <w:r w:rsidRPr="000000EB">
        <w:rPr>
          <w:rFonts w:ascii="Calibri" w:hAnsi="Calibri" w:cs="Arial"/>
          <w:i/>
        </w:rPr>
        <w:t xml:space="preserve">Community </w:t>
      </w:r>
      <w:r w:rsidR="00846FE2">
        <w:rPr>
          <w:rFonts w:ascii="Calibri" w:hAnsi="Calibri" w:cs="Arial"/>
          <w:i/>
        </w:rPr>
        <w:t>G</w:t>
      </w:r>
      <w:r w:rsidRPr="000000EB">
        <w:rPr>
          <w:rFonts w:ascii="Calibri" w:hAnsi="Calibri" w:cs="Arial"/>
          <w:i/>
        </w:rPr>
        <w:t xml:space="preserve">roups </w:t>
      </w:r>
    </w:p>
    <w:p w:rsidR="00B335FE" w:rsidRPr="000000EB" w:rsidRDefault="00CF44FB" w:rsidP="00406208">
      <w:pPr>
        <w:pStyle w:val="Heading2"/>
        <w:tabs>
          <w:tab w:val="clear" w:pos="270"/>
          <w:tab w:val="left" w:pos="0"/>
        </w:tabs>
        <w:ind w:left="634" w:firstLine="0"/>
        <w:rPr>
          <w:rFonts w:ascii="Calibri" w:hAnsi="Calibri" w:cs="Arial"/>
        </w:rPr>
      </w:pPr>
      <w:r w:rsidRPr="000000EB">
        <w:rPr>
          <w:rFonts w:ascii="Calibri" w:hAnsi="Calibri" w:cs="Arial"/>
        </w:rPr>
        <w:t xml:space="preserve">Use the data to develop neighborhood watch programs. </w:t>
      </w:r>
    </w:p>
    <w:p w:rsidR="00B335FE" w:rsidRPr="000000EB" w:rsidRDefault="00B335FE" w:rsidP="00406208">
      <w:pPr>
        <w:pStyle w:val="Heading2"/>
        <w:tabs>
          <w:tab w:val="clear" w:pos="270"/>
          <w:tab w:val="left" w:pos="0"/>
        </w:tabs>
        <w:ind w:left="634" w:firstLine="0"/>
        <w:rPr>
          <w:rFonts w:ascii="Calibri" w:hAnsi="Calibri"/>
        </w:rPr>
      </w:pPr>
    </w:p>
    <w:p w:rsidR="00B335FE" w:rsidRPr="000000EB" w:rsidRDefault="00CF44FB" w:rsidP="00406208">
      <w:pPr>
        <w:pStyle w:val="Heading2"/>
        <w:tabs>
          <w:tab w:val="clear" w:pos="270"/>
          <w:tab w:val="left" w:pos="0"/>
        </w:tabs>
        <w:ind w:left="634" w:firstLine="0"/>
        <w:rPr>
          <w:rFonts w:ascii="Calibri" w:hAnsi="Calibri" w:cs="Arial"/>
          <w:i/>
        </w:rPr>
      </w:pPr>
      <w:r w:rsidRPr="000000EB">
        <w:rPr>
          <w:rFonts w:ascii="Calibri" w:hAnsi="Calibri" w:cs="Arial"/>
          <w:i/>
        </w:rPr>
        <w:t>Law enforcement agencies</w:t>
      </w:r>
    </w:p>
    <w:p w:rsidR="00CF44FB" w:rsidRPr="000000EB" w:rsidRDefault="00CF44FB" w:rsidP="00406208">
      <w:pPr>
        <w:pStyle w:val="Heading2"/>
        <w:tabs>
          <w:tab w:val="clear" w:pos="270"/>
          <w:tab w:val="left" w:pos="0"/>
        </w:tabs>
        <w:ind w:left="634" w:firstLine="0"/>
        <w:rPr>
          <w:rFonts w:ascii="Calibri" w:hAnsi="Calibri" w:cs="Arial"/>
          <w:color w:val="000000"/>
        </w:rPr>
      </w:pPr>
      <w:r w:rsidRPr="000000EB">
        <w:rPr>
          <w:rFonts w:ascii="Calibri" w:hAnsi="Calibri" w:cs="Arial"/>
        </w:rPr>
        <w:t xml:space="preserve">Use the NCVS findings </w:t>
      </w:r>
      <w:r w:rsidR="00B37EC4" w:rsidRPr="000000EB">
        <w:rPr>
          <w:rFonts w:ascii="Calibri" w:hAnsi="Calibri" w:cs="Arial"/>
        </w:rPr>
        <w:t>to gain a better understand the types of crimes that are and are not reported to the police and what percentage of crime goes unreported. Also use the NCVS findings to understand the reasons why victims do not report to the police</w:t>
      </w:r>
      <w:r w:rsidR="00CC4291">
        <w:rPr>
          <w:rFonts w:ascii="Calibri" w:hAnsi="Calibri" w:cs="Arial"/>
        </w:rPr>
        <w:t>.</w:t>
      </w:r>
    </w:p>
    <w:p w:rsidR="00CF44FB" w:rsidRPr="000000EB" w:rsidRDefault="00CF44FB" w:rsidP="00406208">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634"/>
        <w:rPr>
          <w:rFonts w:ascii="Calibri" w:hAnsi="Calibri" w:cs="Arial"/>
          <w:color w:val="000000"/>
          <w:sz w:val="24"/>
          <w:szCs w:val="24"/>
        </w:rPr>
      </w:pPr>
    </w:p>
    <w:p w:rsidR="00CF44FB" w:rsidRPr="004A740A" w:rsidRDefault="00CF44FB" w:rsidP="007D4925">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634"/>
        <w:rPr>
          <w:rFonts w:ascii="Calibri" w:hAnsi="Calibri" w:cs="Arial"/>
          <w:i/>
          <w:color w:val="000000"/>
          <w:sz w:val="24"/>
          <w:szCs w:val="24"/>
        </w:rPr>
      </w:pPr>
      <w:r w:rsidRPr="004A740A">
        <w:rPr>
          <w:rFonts w:ascii="Calibri" w:hAnsi="Calibri" w:cs="Arial"/>
          <w:b/>
          <w:bCs/>
          <w:i/>
          <w:color w:val="000000"/>
          <w:sz w:val="24"/>
          <w:szCs w:val="24"/>
        </w:rPr>
        <w:t>Print and broadcast media</w:t>
      </w:r>
      <w:r w:rsidRPr="004A740A">
        <w:rPr>
          <w:rFonts w:ascii="Calibri" w:hAnsi="Calibri" w:cs="Arial"/>
          <w:i/>
          <w:color w:val="000000"/>
          <w:sz w:val="24"/>
          <w:szCs w:val="24"/>
        </w:rPr>
        <w:t xml:space="preserve"> </w:t>
      </w:r>
    </w:p>
    <w:p w:rsidR="002827F8" w:rsidRDefault="00CF44FB" w:rsidP="007D4925">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634"/>
        <w:rPr>
          <w:rFonts w:ascii="Calibri" w:hAnsi="Calibri" w:cs="Arial"/>
          <w:color w:val="000000"/>
          <w:sz w:val="24"/>
          <w:szCs w:val="24"/>
        </w:rPr>
      </w:pPr>
      <w:r w:rsidRPr="000000EB">
        <w:rPr>
          <w:rFonts w:ascii="Calibri" w:hAnsi="Calibri" w:cs="Arial"/>
          <w:color w:val="000000"/>
          <w:sz w:val="24"/>
          <w:szCs w:val="24"/>
        </w:rPr>
        <w:t>The media have become increasingl</w:t>
      </w:r>
      <w:r w:rsidR="002B70E7" w:rsidRPr="000000EB">
        <w:rPr>
          <w:rFonts w:ascii="Calibri" w:hAnsi="Calibri" w:cs="Arial"/>
          <w:color w:val="000000"/>
          <w:sz w:val="24"/>
          <w:szCs w:val="24"/>
        </w:rPr>
        <w:t xml:space="preserve">y familiar with the NCVS data and the public regularly </w:t>
      </w:r>
      <w:r w:rsidR="00A06525">
        <w:rPr>
          <w:rFonts w:ascii="Calibri" w:hAnsi="Calibri" w:cs="Arial"/>
          <w:color w:val="000000"/>
          <w:sz w:val="24"/>
          <w:szCs w:val="24"/>
        </w:rPr>
        <w:t xml:space="preserve">sees </w:t>
      </w:r>
      <w:r w:rsidR="002B70E7" w:rsidRPr="000000EB">
        <w:rPr>
          <w:rFonts w:ascii="Calibri" w:hAnsi="Calibri" w:cs="Arial"/>
          <w:color w:val="000000"/>
          <w:sz w:val="24"/>
          <w:szCs w:val="24"/>
        </w:rPr>
        <w:t xml:space="preserve">news articles and press releases containing NCVS data. </w:t>
      </w:r>
      <w:r w:rsidRPr="000000EB">
        <w:rPr>
          <w:rFonts w:ascii="Calibri" w:hAnsi="Calibri" w:cs="Arial"/>
          <w:color w:val="000000"/>
          <w:sz w:val="24"/>
          <w:szCs w:val="24"/>
        </w:rPr>
        <w:t xml:space="preserve">Findings from the NCVS appear regularly </w:t>
      </w:r>
      <w:r w:rsidR="00A06525" w:rsidRPr="000000EB">
        <w:rPr>
          <w:rFonts w:ascii="Calibri" w:hAnsi="Calibri" w:cs="Arial"/>
          <w:color w:val="000000"/>
          <w:sz w:val="24"/>
          <w:szCs w:val="24"/>
        </w:rPr>
        <w:t xml:space="preserve">on a host of crime-related topics </w:t>
      </w:r>
      <w:r w:rsidRPr="000000EB">
        <w:rPr>
          <w:rFonts w:ascii="Calibri" w:hAnsi="Calibri" w:cs="Arial"/>
          <w:color w:val="000000"/>
          <w:sz w:val="24"/>
          <w:szCs w:val="24"/>
        </w:rPr>
        <w:t>in a wide variety of co</w:t>
      </w:r>
      <w:r w:rsidR="002B70E7" w:rsidRPr="000000EB">
        <w:rPr>
          <w:rFonts w:ascii="Calibri" w:hAnsi="Calibri" w:cs="Arial"/>
          <w:color w:val="000000"/>
          <w:sz w:val="24"/>
          <w:szCs w:val="24"/>
        </w:rPr>
        <w:t>ntexts on television, radio,</w:t>
      </w:r>
      <w:r w:rsidRPr="000000EB">
        <w:rPr>
          <w:rFonts w:ascii="Calibri" w:hAnsi="Calibri" w:cs="Arial"/>
          <w:color w:val="000000"/>
          <w:sz w:val="24"/>
          <w:szCs w:val="24"/>
        </w:rPr>
        <w:t xml:space="preserve"> in print</w:t>
      </w:r>
      <w:r w:rsidR="002B70E7" w:rsidRPr="000000EB">
        <w:rPr>
          <w:rFonts w:ascii="Calibri" w:hAnsi="Calibri" w:cs="Arial"/>
          <w:color w:val="000000"/>
          <w:sz w:val="24"/>
          <w:szCs w:val="24"/>
        </w:rPr>
        <w:t>, and online</w:t>
      </w:r>
      <w:r w:rsidRPr="000000EB">
        <w:rPr>
          <w:rFonts w:ascii="Calibri" w:hAnsi="Calibri" w:cs="Arial"/>
          <w:color w:val="000000"/>
          <w:sz w:val="24"/>
          <w:szCs w:val="24"/>
        </w:rPr>
        <w:t>.</w:t>
      </w:r>
    </w:p>
    <w:p w:rsidR="007D4925" w:rsidRDefault="007D4925" w:rsidP="007D4925">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634"/>
        <w:rPr>
          <w:rFonts w:ascii="Calibri" w:hAnsi="Calibri" w:cs="Arial"/>
          <w:color w:val="000000"/>
          <w:sz w:val="24"/>
          <w:szCs w:val="24"/>
        </w:rPr>
      </w:pPr>
    </w:p>
    <w:p w:rsidR="002827F8" w:rsidRPr="005227F8" w:rsidRDefault="002827F8" w:rsidP="002827F8">
      <w:pPr>
        <w:ind w:left="630"/>
        <w:rPr>
          <w:rFonts w:ascii="Calibri" w:hAnsi="Calibri" w:cs="Arial"/>
          <w:b/>
          <w:color w:val="000000"/>
          <w:sz w:val="24"/>
          <w:szCs w:val="24"/>
        </w:rPr>
      </w:pPr>
      <w:r w:rsidRPr="002508DC">
        <w:rPr>
          <w:rFonts w:ascii="Calibri" w:hAnsi="Calibri" w:cs="Arial"/>
          <w:b/>
          <w:color w:val="000000"/>
          <w:sz w:val="24"/>
          <w:szCs w:val="24"/>
        </w:rPr>
        <w:t xml:space="preserve">Modernization and methodological developments </w:t>
      </w:r>
      <w:r w:rsidR="007D4925" w:rsidRPr="002508DC">
        <w:rPr>
          <w:rFonts w:ascii="Calibri" w:hAnsi="Calibri" w:cs="Arial"/>
          <w:b/>
          <w:color w:val="000000"/>
          <w:sz w:val="24"/>
          <w:szCs w:val="24"/>
        </w:rPr>
        <w:t>to increase utility</w:t>
      </w:r>
      <w:r w:rsidR="007D4925">
        <w:rPr>
          <w:rFonts w:ascii="Calibri" w:hAnsi="Calibri" w:cs="Arial"/>
          <w:b/>
          <w:color w:val="000000"/>
          <w:sz w:val="24"/>
          <w:szCs w:val="24"/>
        </w:rPr>
        <w:t xml:space="preserve"> </w:t>
      </w:r>
    </w:p>
    <w:p w:rsidR="003A6A63" w:rsidRDefault="003A6A63" w:rsidP="002827F8">
      <w:pPr>
        <w:ind w:left="630"/>
        <w:rPr>
          <w:rFonts w:ascii="Calibri" w:hAnsi="Calibri" w:cs="Arial"/>
          <w:color w:val="000000"/>
          <w:sz w:val="24"/>
          <w:szCs w:val="24"/>
        </w:rPr>
      </w:pPr>
    </w:p>
    <w:p w:rsidR="002827F8" w:rsidRDefault="002827F8" w:rsidP="002827F8">
      <w:pPr>
        <w:ind w:left="630"/>
        <w:rPr>
          <w:rFonts w:ascii="Calibri" w:hAnsi="Calibri" w:cs="Arial"/>
          <w:color w:val="000000"/>
          <w:sz w:val="24"/>
          <w:szCs w:val="24"/>
        </w:rPr>
      </w:pPr>
      <w:r>
        <w:rPr>
          <w:rFonts w:ascii="Calibri" w:hAnsi="Calibri" w:cs="Arial"/>
          <w:color w:val="000000"/>
          <w:sz w:val="24"/>
          <w:szCs w:val="24"/>
        </w:rPr>
        <w:t xml:space="preserve">In early 2014, </w:t>
      </w:r>
      <w:r w:rsidRPr="005E2A90">
        <w:rPr>
          <w:rFonts w:ascii="Calibri" w:hAnsi="Calibri" w:cs="Arial"/>
          <w:color w:val="000000"/>
          <w:sz w:val="24"/>
          <w:szCs w:val="24"/>
        </w:rPr>
        <w:t xml:space="preserve">BJS initiated the </w:t>
      </w:r>
      <w:r w:rsidRPr="00ED47CB">
        <w:rPr>
          <w:rFonts w:ascii="Calibri" w:hAnsi="Calibri" w:cs="Arial"/>
          <w:color w:val="000000"/>
          <w:sz w:val="24"/>
          <w:szCs w:val="24"/>
        </w:rPr>
        <w:t>NCVS Instrument Redesign and Testing Project</w:t>
      </w:r>
      <w:r w:rsidRPr="005E2A90">
        <w:rPr>
          <w:rFonts w:ascii="Calibri" w:hAnsi="Calibri" w:cs="Arial"/>
          <w:color w:val="000000"/>
          <w:sz w:val="24"/>
          <w:szCs w:val="24"/>
        </w:rPr>
        <w:t xml:space="preserve"> through a competitive award to Westat, Inc.</w:t>
      </w:r>
      <w:r>
        <w:rPr>
          <w:rFonts w:ascii="Calibri" w:hAnsi="Calibri" w:cs="Arial"/>
          <w:color w:val="000000"/>
          <w:sz w:val="24"/>
          <w:szCs w:val="24"/>
        </w:rPr>
        <w:t xml:space="preserve"> </w:t>
      </w:r>
      <w:r w:rsidRPr="00ED47CB">
        <w:rPr>
          <w:rFonts w:ascii="Calibri" w:hAnsi="Calibri" w:cs="Arial"/>
          <w:color w:val="000000"/>
          <w:sz w:val="24"/>
          <w:szCs w:val="24"/>
        </w:rPr>
        <w:t xml:space="preserve">The NCVS Instrument Redesign and Testing Project is a major multi-year effort to overhaul the existing survey instrument. </w:t>
      </w:r>
      <w:r>
        <w:rPr>
          <w:rFonts w:ascii="Calibri" w:hAnsi="Calibri" w:cs="Arial"/>
          <w:color w:val="000000"/>
          <w:sz w:val="24"/>
          <w:szCs w:val="24"/>
        </w:rPr>
        <w:t>T</w:t>
      </w:r>
      <w:r w:rsidRPr="005E2A90">
        <w:rPr>
          <w:rFonts w:ascii="Calibri" w:hAnsi="Calibri" w:cs="Arial"/>
          <w:color w:val="000000"/>
          <w:sz w:val="24"/>
          <w:szCs w:val="24"/>
        </w:rPr>
        <w:t xml:space="preserve">he </w:t>
      </w:r>
      <w:r>
        <w:rPr>
          <w:rFonts w:ascii="Calibri" w:hAnsi="Calibri" w:cs="Arial"/>
          <w:color w:val="000000"/>
          <w:sz w:val="24"/>
          <w:szCs w:val="24"/>
        </w:rPr>
        <w:t xml:space="preserve">overarching </w:t>
      </w:r>
      <w:r w:rsidRPr="005E2A90">
        <w:rPr>
          <w:rFonts w:ascii="Calibri" w:hAnsi="Calibri" w:cs="Arial"/>
          <w:color w:val="000000"/>
          <w:sz w:val="24"/>
          <w:szCs w:val="24"/>
        </w:rPr>
        <w:t xml:space="preserve">objective </w:t>
      </w:r>
      <w:r>
        <w:rPr>
          <w:rFonts w:ascii="Calibri" w:hAnsi="Calibri" w:cs="Arial"/>
          <w:color w:val="000000"/>
          <w:sz w:val="24"/>
          <w:szCs w:val="24"/>
        </w:rPr>
        <w:t>of the project is to</w:t>
      </w:r>
      <w:r>
        <w:rPr>
          <w:rFonts w:ascii="Calibri" w:hAnsi="Calibri"/>
          <w:sz w:val="24"/>
          <w:szCs w:val="24"/>
        </w:rPr>
        <w:t xml:space="preserve"> provide</w:t>
      </w:r>
      <w:r w:rsidRPr="005E2A90">
        <w:rPr>
          <w:rFonts w:ascii="Calibri" w:hAnsi="Calibri"/>
          <w:sz w:val="24"/>
          <w:szCs w:val="24"/>
        </w:rPr>
        <w:t xml:space="preserve"> scientific and technical support for the redesign and testing of the NCVS roster control card, crime screener (NCVS-1), and crime incident (NCVS-2) instruments in support of BJS’</w:t>
      </w:r>
      <w:r w:rsidR="00A37C06">
        <w:rPr>
          <w:rFonts w:ascii="Calibri" w:hAnsi="Calibri"/>
          <w:sz w:val="24"/>
          <w:szCs w:val="24"/>
        </w:rPr>
        <w:t>s</w:t>
      </w:r>
      <w:r w:rsidRPr="005E2A90">
        <w:rPr>
          <w:rFonts w:ascii="Calibri" w:hAnsi="Calibri"/>
          <w:sz w:val="24"/>
          <w:szCs w:val="24"/>
        </w:rPr>
        <w:t xml:space="preserve"> efforts related to increasing the efficiency, reliability, and utility of the NCVS. </w:t>
      </w:r>
      <w:r w:rsidRPr="00ED47CB">
        <w:rPr>
          <w:rFonts w:ascii="Calibri" w:hAnsi="Calibri" w:cs="Arial"/>
          <w:color w:val="000000"/>
          <w:sz w:val="24"/>
          <w:szCs w:val="24"/>
        </w:rPr>
        <w:t xml:space="preserve">Through </w:t>
      </w:r>
      <w:r>
        <w:rPr>
          <w:rFonts w:ascii="Calibri" w:hAnsi="Calibri" w:cs="Arial"/>
          <w:color w:val="000000"/>
          <w:sz w:val="24"/>
          <w:szCs w:val="24"/>
        </w:rPr>
        <w:t>the</w:t>
      </w:r>
      <w:r w:rsidRPr="00ED47CB">
        <w:rPr>
          <w:rFonts w:ascii="Calibri" w:hAnsi="Calibri" w:cs="Arial"/>
          <w:color w:val="000000"/>
          <w:sz w:val="24"/>
          <w:szCs w:val="24"/>
        </w:rPr>
        <w:t xml:space="preserve"> project, BJS aims to evaluate and modernize the organization and content of the NCVS; improve the efficiency of the instruments and the current core-supplement design; and develop a procedure for introducing routine improvements to the survey in order to capture emerging crime types and time-relevant topics.</w:t>
      </w:r>
      <w:r w:rsidR="003B55E0">
        <w:rPr>
          <w:rFonts w:ascii="Calibri" w:hAnsi="Calibri" w:cs="Arial"/>
          <w:color w:val="000000"/>
          <w:sz w:val="24"/>
          <w:szCs w:val="24"/>
        </w:rPr>
        <w:t xml:space="preserve"> </w:t>
      </w:r>
      <w:r w:rsidR="003B55E0" w:rsidRPr="003B55E0">
        <w:rPr>
          <w:rFonts w:ascii="Calibri" w:hAnsi="Calibri" w:cs="Arial"/>
          <w:color w:val="000000"/>
          <w:sz w:val="24"/>
          <w:szCs w:val="24"/>
        </w:rPr>
        <w:t xml:space="preserve">The </w:t>
      </w:r>
      <w:r w:rsidR="003B55E0">
        <w:rPr>
          <w:rFonts w:ascii="Calibri" w:hAnsi="Calibri" w:cs="Arial"/>
          <w:color w:val="000000"/>
          <w:sz w:val="24"/>
          <w:szCs w:val="24"/>
        </w:rPr>
        <w:t>project work</w:t>
      </w:r>
      <w:r w:rsidR="003B55E0" w:rsidRPr="003B55E0">
        <w:rPr>
          <w:rFonts w:ascii="Calibri" w:hAnsi="Calibri" w:cs="Arial"/>
          <w:color w:val="000000"/>
          <w:sz w:val="24"/>
          <w:szCs w:val="24"/>
        </w:rPr>
        <w:t xml:space="preserve"> is expected to be completed in 2020.</w:t>
      </w:r>
    </w:p>
    <w:p w:rsidR="002827F8" w:rsidRDefault="002827F8" w:rsidP="002827F8">
      <w:pPr>
        <w:ind w:left="630"/>
        <w:rPr>
          <w:rFonts w:ascii="Calibri" w:hAnsi="Calibri" w:cs="Arial"/>
          <w:color w:val="000000"/>
          <w:sz w:val="24"/>
          <w:szCs w:val="24"/>
        </w:rPr>
      </w:pPr>
    </w:p>
    <w:p w:rsidR="00E66FBF" w:rsidRDefault="002827F8" w:rsidP="00E66FBF">
      <w:pPr>
        <w:ind w:left="630"/>
        <w:rPr>
          <w:rFonts w:ascii="Calibri" w:hAnsi="Calibri" w:cs="Arial"/>
          <w:color w:val="000000"/>
          <w:sz w:val="24"/>
          <w:szCs w:val="24"/>
        </w:rPr>
      </w:pPr>
      <w:r w:rsidRPr="00ED47CB">
        <w:rPr>
          <w:rFonts w:ascii="Calibri" w:hAnsi="Calibri" w:cs="Arial"/>
          <w:color w:val="000000"/>
          <w:sz w:val="24"/>
          <w:szCs w:val="24"/>
        </w:rPr>
        <w:t xml:space="preserve">One of the first steps in the project was a comprehensive assessment of the instrument to determine which survey items are being utilized and how, which survey items are problematic in their language and placement, and where there are gaps in the content of the instrument. The initial assessment provided a better understanding of the substantive and procedural issues with the instrument and helped to identify areas where the content could be improved to enhance current knowledge of victimization and its correlates. Through the initial assessment work, several major areas </w:t>
      </w:r>
      <w:r>
        <w:rPr>
          <w:rFonts w:ascii="Calibri" w:hAnsi="Calibri" w:cs="Arial"/>
          <w:color w:val="000000"/>
          <w:sz w:val="24"/>
          <w:szCs w:val="24"/>
        </w:rPr>
        <w:t>in need of modernization</w:t>
      </w:r>
      <w:r w:rsidRPr="00ED47CB">
        <w:rPr>
          <w:rFonts w:ascii="Calibri" w:hAnsi="Calibri" w:cs="Arial"/>
          <w:color w:val="000000"/>
          <w:sz w:val="24"/>
          <w:szCs w:val="24"/>
        </w:rPr>
        <w:t xml:space="preserve"> became apparent</w:t>
      </w:r>
      <w:r w:rsidR="00E66FBF">
        <w:rPr>
          <w:rFonts w:ascii="Calibri" w:hAnsi="Calibri" w:cs="Arial"/>
          <w:color w:val="000000"/>
          <w:sz w:val="24"/>
          <w:szCs w:val="24"/>
        </w:rPr>
        <w:t xml:space="preserve">, including the need for 1. Improved victim demographics; </w:t>
      </w:r>
      <w:r w:rsidR="00AC4A8B">
        <w:rPr>
          <w:rFonts w:ascii="Calibri" w:hAnsi="Calibri" w:cs="Arial"/>
          <w:color w:val="000000"/>
          <w:sz w:val="24"/>
          <w:szCs w:val="24"/>
        </w:rPr>
        <w:t>2. Non</w:t>
      </w:r>
      <w:r w:rsidR="00C27357">
        <w:rPr>
          <w:rFonts w:ascii="Calibri" w:hAnsi="Calibri" w:cs="Arial"/>
          <w:color w:val="000000"/>
          <w:sz w:val="24"/>
          <w:szCs w:val="24"/>
        </w:rPr>
        <w:t>-</w:t>
      </w:r>
      <w:r w:rsidR="00AC4A8B">
        <w:rPr>
          <w:rFonts w:ascii="Calibri" w:hAnsi="Calibri" w:cs="Arial"/>
          <w:color w:val="000000"/>
          <w:sz w:val="24"/>
          <w:szCs w:val="24"/>
        </w:rPr>
        <w:t>crime questions on perceptions of police and community safety; 3. Enhanced measures of victim help-seeking; 4. Improved measurement of sensitive crimes like intimate partner violence and rape and sexual assault</w:t>
      </w:r>
      <w:r w:rsidR="000732DE">
        <w:rPr>
          <w:rFonts w:ascii="Calibri" w:hAnsi="Calibri" w:cs="Arial"/>
          <w:color w:val="000000"/>
          <w:sz w:val="24"/>
          <w:szCs w:val="24"/>
        </w:rPr>
        <w:t xml:space="preserve"> and 5. Increased flexibility in the instrument design to allow for the measurement of new and emerging crime types. </w:t>
      </w:r>
    </w:p>
    <w:p w:rsidR="005A2077" w:rsidRDefault="005A2077" w:rsidP="00E66FBF">
      <w:pPr>
        <w:rPr>
          <w:rFonts w:ascii="Calibri" w:hAnsi="Calibri" w:cs="Arial"/>
          <w:color w:val="000000"/>
          <w:sz w:val="24"/>
          <w:szCs w:val="24"/>
        </w:rPr>
      </w:pPr>
    </w:p>
    <w:p w:rsidR="00AC4A8B" w:rsidRPr="00AC4A8B" w:rsidRDefault="00AC4A8B" w:rsidP="00851908">
      <w:pPr>
        <w:ind w:left="630"/>
        <w:rPr>
          <w:rFonts w:ascii="Calibri" w:hAnsi="Calibri" w:cs="Arial"/>
          <w:b/>
          <w:i/>
          <w:color w:val="000000"/>
          <w:sz w:val="24"/>
          <w:szCs w:val="24"/>
        </w:rPr>
      </w:pPr>
      <w:r w:rsidRPr="00AC4A8B">
        <w:rPr>
          <w:rFonts w:ascii="Calibri" w:hAnsi="Calibri" w:cs="Arial"/>
          <w:b/>
          <w:i/>
          <w:color w:val="000000"/>
          <w:sz w:val="24"/>
          <w:szCs w:val="24"/>
        </w:rPr>
        <w:t>Improved victim demographics</w:t>
      </w:r>
    </w:p>
    <w:p w:rsidR="00851908" w:rsidRDefault="00851908" w:rsidP="00851908">
      <w:pPr>
        <w:ind w:left="630"/>
        <w:rPr>
          <w:rFonts w:ascii="Calibri" w:hAnsi="Calibri" w:cs="Arial"/>
          <w:color w:val="000000"/>
          <w:sz w:val="24"/>
          <w:szCs w:val="24"/>
        </w:rPr>
      </w:pPr>
      <w:r>
        <w:rPr>
          <w:rFonts w:ascii="Calibri" w:hAnsi="Calibri" w:cs="Arial"/>
          <w:color w:val="000000"/>
          <w:sz w:val="24"/>
          <w:szCs w:val="24"/>
        </w:rPr>
        <w:t xml:space="preserve">Because the project work for the </w:t>
      </w:r>
      <w:r w:rsidRPr="00851908">
        <w:rPr>
          <w:rFonts w:ascii="Calibri" w:hAnsi="Calibri" w:cs="Arial"/>
          <w:color w:val="000000"/>
          <w:sz w:val="24"/>
          <w:szCs w:val="24"/>
        </w:rPr>
        <w:t xml:space="preserve">NCVS Instrument Redesign and Testing Project </w:t>
      </w:r>
      <w:r>
        <w:rPr>
          <w:rFonts w:ascii="Calibri" w:hAnsi="Calibri" w:cs="Arial"/>
          <w:color w:val="000000"/>
          <w:sz w:val="24"/>
          <w:szCs w:val="24"/>
        </w:rPr>
        <w:t xml:space="preserve">and recommended changes to the NCVS instruments will not be completed </w:t>
      </w:r>
      <w:r w:rsidR="00AC4A8B">
        <w:rPr>
          <w:rFonts w:ascii="Calibri" w:hAnsi="Calibri" w:cs="Arial"/>
          <w:color w:val="000000"/>
          <w:sz w:val="24"/>
          <w:szCs w:val="24"/>
        </w:rPr>
        <w:t>until 2020</w:t>
      </w:r>
      <w:r>
        <w:rPr>
          <w:rFonts w:ascii="Calibri" w:hAnsi="Calibri" w:cs="Arial"/>
          <w:color w:val="000000"/>
          <w:sz w:val="24"/>
          <w:szCs w:val="24"/>
        </w:rPr>
        <w:t>, BJS felt that important near term changes could be made to improve the relevance and utility of the NCVS without affecting the victimization rates. One are</w:t>
      </w:r>
      <w:r w:rsidR="00CC4291">
        <w:rPr>
          <w:rFonts w:ascii="Calibri" w:hAnsi="Calibri" w:cs="Arial"/>
          <w:color w:val="000000"/>
          <w:sz w:val="24"/>
          <w:szCs w:val="24"/>
        </w:rPr>
        <w:t>a</w:t>
      </w:r>
      <w:r>
        <w:rPr>
          <w:rFonts w:ascii="Calibri" w:hAnsi="Calibri" w:cs="Arial"/>
          <w:color w:val="000000"/>
          <w:sz w:val="24"/>
          <w:szCs w:val="24"/>
        </w:rPr>
        <w:t xml:space="preserve"> in need of modernization </w:t>
      </w:r>
      <w:r w:rsidR="00AC4A8B">
        <w:rPr>
          <w:rFonts w:ascii="Calibri" w:hAnsi="Calibri" w:cs="Arial"/>
          <w:color w:val="000000"/>
          <w:sz w:val="24"/>
          <w:szCs w:val="24"/>
        </w:rPr>
        <w:t>to better address policy-relevant questions</w:t>
      </w:r>
      <w:r>
        <w:rPr>
          <w:rFonts w:ascii="Calibri" w:hAnsi="Calibri" w:cs="Arial"/>
          <w:color w:val="000000"/>
          <w:sz w:val="24"/>
          <w:szCs w:val="24"/>
        </w:rPr>
        <w:t xml:space="preserve"> was the </w:t>
      </w:r>
      <w:r w:rsidRPr="00ED47CB">
        <w:rPr>
          <w:rFonts w:ascii="Calibri" w:hAnsi="Calibri" w:cs="Arial"/>
          <w:color w:val="000000"/>
          <w:sz w:val="24"/>
          <w:szCs w:val="24"/>
        </w:rPr>
        <w:t>socio-demographic information collected about respondents</w:t>
      </w:r>
      <w:r>
        <w:rPr>
          <w:rFonts w:ascii="Calibri" w:hAnsi="Calibri" w:cs="Arial"/>
          <w:color w:val="000000"/>
          <w:sz w:val="24"/>
          <w:szCs w:val="24"/>
        </w:rPr>
        <w:t xml:space="preserve">. </w:t>
      </w:r>
      <w:r w:rsidR="00AC4A8B">
        <w:rPr>
          <w:rFonts w:ascii="Calibri" w:hAnsi="Calibri" w:cs="Arial"/>
          <w:color w:val="000000"/>
          <w:sz w:val="24"/>
          <w:szCs w:val="24"/>
        </w:rPr>
        <w:t>Based on initial redesign efforts</w:t>
      </w:r>
      <w:r w:rsidRPr="00851908">
        <w:rPr>
          <w:rFonts w:ascii="Calibri" w:hAnsi="Calibri" w:cs="Arial"/>
          <w:color w:val="000000"/>
          <w:sz w:val="24"/>
          <w:szCs w:val="24"/>
        </w:rPr>
        <w:t xml:space="preserve"> new socio-demographic measures </w:t>
      </w:r>
      <w:r>
        <w:rPr>
          <w:rFonts w:ascii="Calibri" w:hAnsi="Calibri" w:cs="Arial"/>
          <w:color w:val="000000"/>
          <w:sz w:val="24"/>
          <w:szCs w:val="24"/>
        </w:rPr>
        <w:t>were</w:t>
      </w:r>
      <w:r w:rsidRPr="00851908">
        <w:rPr>
          <w:rFonts w:ascii="Calibri" w:hAnsi="Calibri" w:cs="Arial"/>
          <w:color w:val="000000"/>
          <w:sz w:val="24"/>
          <w:szCs w:val="24"/>
        </w:rPr>
        <w:t xml:space="preserve"> added </w:t>
      </w:r>
      <w:r>
        <w:rPr>
          <w:rFonts w:ascii="Calibri" w:hAnsi="Calibri" w:cs="Arial"/>
          <w:color w:val="000000"/>
          <w:sz w:val="24"/>
          <w:szCs w:val="24"/>
        </w:rPr>
        <w:t>to the NCVS</w:t>
      </w:r>
      <w:r w:rsidR="00AC4A8B">
        <w:rPr>
          <w:rFonts w:ascii="Calibri" w:hAnsi="Calibri" w:cs="Arial"/>
          <w:color w:val="000000"/>
          <w:sz w:val="24"/>
          <w:szCs w:val="24"/>
        </w:rPr>
        <w:t xml:space="preserve"> beginning July 1, 2016</w:t>
      </w:r>
      <w:r w:rsidRPr="00851908">
        <w:rPr>
          <w:rFonts w:ascii="Calibri" w:hAnsi="Calibri" w:cs="Arial"/>
          <w:color w:val="000000"/>
          <w:sz w:val="24"/>
          <w:szCs w:val="24"/>
        </w:rPr>
        <w:t xml:space="preserve">: veteran status, citizenship, sexual orientation, and gender identity. </w:t>
      </w:r>
      <w:r>
        <w:rPr>
          <w:rFonts w:ascii="Calibri" w:hAnsi="Calibri" w:cs="Arial"/>
          <w:color w:val="000000"/>
          <w:sz w:val="24"/>
          <w:szCs w:val="24"/>
        </w:rPr>
        <w:t xml:space="preserve">In addition, disability status is now asked of all respondents and the household income response categories </w:t>
      </w:r>
      <w:r w:rsidR="00CC4291">
        <w:rPr>
          <w:rFonts w:ascii="Calibri" w:hAnsi="Calibri" w:cs="Arial"/>
          <w:color w:val="000000"/>
          <w:sz w:val="24"/>
          <w:szCs w:val="24"/>
        </w:rPr>
        <w:t xml:space="preserve">have been </w:t>
      </w:r>
      <w:r>
        <w:rPr>
          <w:rFonts w:ascii="Calibri" w:hAnsi="Calibri" w:cs="Arial"/>
          <w:color w:val="000000"/>
          <w:sz w:val="24"/>
          <w:szCs w:val="24"/>
        </w:rPr>
        <w:t xml:space="preserve">expanded. </w:t>
      </w:r>
      <w:r w:rsidRPr="00851908">
        <w:rPr>
          <w:rFonts w:ascii="Calibri" w:hAnsi="Calibri" w:cs="Arial"/>
          <w:color w:val="000000"/>
          <w:sz w:val="24"/>
          <w:szCs w:val="24"/>
        </w:rPr>
        <w:t xml:space="preserve">These measures have been identified in other research as subgroups of interest to key stakeholders and correlates to victimization. For example, sexual orientation and gender identity are recognized in the 2013 reauthorized Violence Against Women Act (VAWA). Additionally, the inclusion of these items will allow researchers to better understand the relationships between these variables and experiences with criminal victimization. These </w:t>
      </w:r>
      <w:r>
        <w:rPr>
          <w:rFonts w:ascii="Calibri" w:hAnsi="Calibri" w:cs="Arial"/>
          <w:color w:val="000000"/>
          <w:sz w:val="24"/>
          <w:szCs w:val="24"/>
        </w:rPr>
        <w:t>new</w:t>
      </w:r>
      <w:r w:rsidRPr="00851908">
        <w:rPr>
          <w:rFonts w:ascii="Calibri" w:hAnsi="Calibri" w:cs="Arial"/>
          <w:color w:val="000000"/>
          <w:sz w:val="24"/>
          <w:szCs w:val="24"/>
        </w:rPr>
        <w:t xml:space="preserve"> socio-demographic measures </w:t>
      </w:r>
      <w:r>
        <w:rPr>
          <w:rFonts w:ascii="Calibri" w:hAnsi="Calibri" w:cs="Arial"/>
          <w:color w:val="000000"/>
          <w:sz w:val="24"/>
          <w:szCs w:val="24"/>
        </w:rPr>
        <w:t>were</w:t>
      </w:r>
      <w:r w:rsidRPr="00851908">
        <w:rPr>
          <w:rFonts w:ascii="Calibri" w:hAnsi="Calibri" w:cs="Arial"/>
          <w:color w:val="000000"/>
          <w:sz w:val="24"/>
          <w:szCs w:val="24"/>
        </w:rPr>
        <w:t xml:space="preserve"> </w:t>
      </w:r>
      <w:r>
        <w:rPr>
          <w:rFonts w:ascii="Calibri" w:hAnsi="Calibri" w:cs="Arial"/>
          <w:color w:val="000000"/>
          <w:sz w:val="24"/>
          <w:szCs w:val="24"/>
        </w:rPr>
        <w:t xml:space="preserve">approved by OMB </w:t>
      </w:r>
      <w:r w:rsidR="00D14A11">
        <w:rPr>
          <w:rFonts w:ascii="Calibri" w:hAnsi="Calibri" w:cs="Arial"/>
          <w:color w:val="000000"/>
          <w:sz w:val="24"/>
          <w:szCs w:val="24"/>
        </w:rPr>
        <w:t>through</w:t>
      </w:r>
      <w:r>
        <w:rPr>
          <w:rFonts w:ascii="Calibri" w:hAnsi="Calibri" w:cs="Arial"/>
          <w:color w:val="000000"/>
          <w:sz w:val="24"/>
          <w:szCs w:val="24"/>
        </w:rPr>
        <w:t xml:space="preserve"> a non-substantive modification to the NCVS under the existing clearance (OMB </w:t>
      </w:r>
      <w:r w:rsidR="00D5440C">
        <w:rPr>
          <w:rFonts w:ascii="Calibri" w:hAnsi="Calibri" w:cs="Arial"/>
          <w:color w:val="000000"/>
          <w:sz w:val="24"/>
          <w:szCs w:val="24"/>
        </w:rPr>
        <w:t xml:space="preserve">No. </w:t>
      </w:r>
      <w:r>
        <w:rPr>
          <w:rFonts w:ascii="Calibri" w:hAnsi="Calibri" w:cs="Arial"/>
          <w:color w:val="000000"/>
          <w:sz w:val="24"/>
          <w:szCs w:val="24"/>
        </w:rPr>
        <w:t>1121-0111)</w:t>
      </w:r>
      <w:r w:rsidRPr="00851908">
        <w:rPr>
          <w:rFonts w:ascii="Calibri" w:hAnsi="Calibri" w:cs="Arial"/>
          <w:color w:val="000000"/>
          <w:sz w:val="24"/>
          <w:szCs w:val="24"/>
        </w:rPr>
        <w:t>.</w:t>
      </w:r>
    </w:p>
    <w:p w:rsidR="00423FE7" w:rsidRDefault="00423FE7" w:rsidP="00851908">
      <w:pPr>
        <w:ind w:left="630"/>
        <w:rPr>
          <w:rFonts w:ascii="Calibri" w:hAnsi="Calibri" w:cs="Arial"/>
          <w:color w:val="000000"/>
          <w:sz w:val="24"/>
          <w:szCs w:val="24"/>
        </w:rPr>
      </w:pPr>
    </w:p>
    <w:p w:rsidR="00C24281" w:rsidRDefault="00237096" w:rsidP="00851908">
      <w:pPr>
        <w:ind w:left="630"/>
        <w:rPr>
          <w:rFonts w:ascii="Calibri" w:hAnsi="Calibri" w:cs="Arial"/>
          <w:color w:val="000000"/>
          <w:sz w:val="24"/>
          <w:szCs w:val="24"/>
        </w:rPr>
      </w:pPr>
      <w:r>
        <w:rPr>
          <w:rFonts w:ascii="Calibri" w:hAnsi="Calibri" w:cs="Arial"/>
          <w:color w:val="000000"/>
          <w:sz w:val="24"/>
          <w:szCs w:val="24"/>
        </w:rPr>
        <w:t>Upon implementation in July of 2016, q</w:t>
      </w:r>
      <w:r w:rsidR="00C24281">
        <w:rPr>
          <w:rFonts w:ascii="Calibri" w:hAnsi="Calibri" w:cs="Arial"/>
          <w:color w:val="000000"/>
          <w:sz w:val="24"/>
          <w:szCs w:val="24"/>
        </w:rPr>
        <w:t xml:space="preserve">uestions pertaining to sexual orientation and gender identity were initially administered to all respondents age 16 or older at their first, third, fifth, or seventh interview, or if they had not been asked the questions before. </w:t>
      </w:r>
      <w:r>
        <w:rPr>
          <w:rFonts w:ascii="Calibri" w:hAnsi="Calibri" w:cs="Arial"/>
          <w:color w:val="000000"/>
          <w:sz w:val="24"/>
          <w:szCs w:val="24"/>
        </w:rPr>
        <w:t xml:space="preserve">In </w:t>
      </w:r>
      <w:r w:rsidR="00C05683">
        <w:rPr>
          <w:rFonts w:ascii="Calibri" w:hAnsi="Calibri" w:cs="Arial"/>
          <w:color w:val="000000"/>
          <w:sz w:val="24"/>
          <w:szCs w:val="24"/>
        </w:rPr>
        <w:t>April</w:t>
      </w:r>
      <w:r>
        <w:rPr>
          <w:rFonts w:ascii="Calibri" w:hAnsi="Calibri" w:cs="Arial"/>
          <w:color w:val="000000"/>
          <w:sz w:val="24"/>
          <w:szCs w:val="24"/>
        </w:rPr>
        <w:t xml:space="preserve"> 2018, </w:t>
      </w:r>
      <w:r w:rsidR="00C24281">
        <w:rPr>
          <w:rFonts w:ascii="Calibri" w:hAnsi="Calibri" w:cs="Arial"/>
          <w:color w:val="000000"/>
          <w:sz w:val="24"/>
          <w:szCs w:val="24"/>
        </w:rPr>
        <w:t>BJS submitted a proposal to raise the minimum age at which questions pertaining to sexual orientation and gender identity are asked</w:t>
      </w:r>
      <w:r>
        <w:rPr>
          <w:rFonts w:ascii="Calibri" w:hAnsi="Calibri" w:cs="Arial"/>
          <w:color w:val="000000"/>
          <w:sz w:val="24"/>
          <w:szCs w:val="24"/>
        </w:rPr>
        <w:t>,</w:t>
      </w:r>
      <w:r w:rsidR="00C24281">
        <w:rPr>
          <w:rFonts w:ascii="Calibri" w:hAnsi="Calibri" w:cs="Arial"/>
          <w:color w:val="000000"/>
          <w:sz w:val="24"/>
          <w:szCs w:val="24"/>
        </w:rPr>
        <w:t xml:space="preserve"> from 16 to 18</w:t>
      </w:r>
      <w:r>
        <w:rPr>
          <w:rFonts w:ascii="Calibri" w:hAnsi="Calibri" w:cs="Arial"/>
          <w:color w:val="000000"/>
          <w:sz w:val="24"/>
          <w:szCs w:val="24"/>
        </w:rPr>
        <w:t>,</w:t>
      </w:r>
      <w:r w:rsidR="00C24281">
        <w:rPr>
          <w:rFonts w:ascii="Calibri" w:hAnsi="Calibri" w:cs="Arial"/>
          <w:color w:val="000000"/>
          <w:sz w:val="24"/>
          <w:szCs w:val="24"/>
        </w:rPr>
        <w:t xml:space="preserve"> out of concern over the potential sensitivity of these items. When comments on the proposed revision were solicited as part of the overall review and approval process through a 30-day notice in the Federal Register, BJS received numerous comments in response to this proposal. In weighing these comments along with BJS’</w:t>
      </w:r>
      <w:r w:rsidR="00B31811">
        <w:rPr>
          <w:rFonts w:ascii="Calibri" w:hAnsi="Calibri" w:cs="Arial"/>
          <w:color w:val="000000"/>
          <w:sz w:val="24"/>
          <w:szCs w:val="24"/>
        </w:rPr>
        <w:t>s</w:t>
      </w:r>
      <w:r w:rsidR="00C24281">
        <w:rPr>
          <w:rFonts w:ascii="Calibri" w:hAnsi="Calibri" w:cs="Arial"/>
          <w:color w:val="000000"/>
          <w:sz w:val="24"/>
          <w:szCs w:val="24"/>
        </w:rPr>
        <w:t xml:space="preserve"> goals to </w:t>
      </w:r>
      <w:r>
        <w:rPr>
          <w:rFonts w:ascii="Calibri" w:hAnsi="Calibri" w:cs="Arial"/>
          <w:color w:val="000000"/>
          <w:sz w:val="24"/>
          <w:szCs w:val="24"/>
        </w:rPr>
        <w:t xml:space="preserve">preserve </w:t>
      </w:r>
      <w:r w:rsidR="00C24281">
        <w:rPr>
          <w:rFonts w:ascii="Calibri" w:hAnsi="Calibri" w:cs="Arial"/>
          <w:color w:val="000000"/>
          <w:sz w:val="24"/>
          <w:szCs w:val="24"/>
        </w:rPr>
        <w:t xml:space="preserve">the utility of the </w:t>
      </w:r>
      <w:r w:rsidR="00C05683">
        <w:rPr>
          <w:rFonts w:ascii="Calibri" w:hAnsi="Calibri" w:cs="Arial"/>
          <w:color w:val="000000"/>
          <w:sz w:val="24"/>
          <w:szCs w:val="24"/>
        </w:rPr>
        <w:t xml:space="preserve">survey </w:t>
      </w:r>
      <w:r w:rsidR="00C24281">
        <w:rPr>
          <w:rFonts w:ascii="Calibri" w:hAnsi="Calibri" w:cs="Arial"/>
          <w:color w:val="000000"/>
          <w:sz w:val="24"/>
          <w:szCs w:val="24"/>
        </w:rPr>
        <w:t xml:space="preserve">data, BJS amended the proposal. </w:t>
      </w:r>
    </w:p>
    <w:p w:rsidR="00C24281" w:rsidRDefault="00C24281" w:rsidP="00851908">
      <w:pPr>
        <w:ind w:left="630"/>
        <w:rPr>
          <w:rFonts w:ascii="Calibri" w:hAnsi="Calibri" w:cs="Arial"/>
          <w:color w:val="000000"/>
          <w:sz w:val="24"/>
          <w:szCs w:val="24"/>
        </w:rPr>
      </w:pPr>
    </w:p>
    <w:p w:rsidR="00423FE7" w:rsidRDefault="00C24281" w:rsidP="00EE0B1D">
      <w:pPr>
        <w:ind w:left="630"/>
        <w:rPr>
          <w:rFonts w:ascii="Calibri" w:hAnsi="Calibri" w:cs="Arial"/>
          <w:color w:val="000000"/>
          <w:sz w:val="24"/>
          <w:szCs w:val="24"/>
        </w:rPr>
      </w:pPr>
      <w:r>
        <w:rPr>
          <w:rFonts w:ascii="Calibri" w:hAnsi="Calibri" w:cs="Arial"/>
          <w:color w:val="000000"/>
          <w:sz w:val="24"/>
          <w:szCs w:val="24"/>
        </w:rPr>
        <w:t xml:space="preserve">As a result, </w:t>
      </w:r>
      <w:r w:rsidR="003018DD">
        <w:rPr>
          <w:sz w:val="24"/>
          <w:szCs w:val="24"/>
        </w:rPr>
        <w:t xml:space="preserve">BJS determined that the sexual orientation </w:t>
      </w:r>
      <w:r w:rsidR="00EE0B1D">
        <w:rPr>
          <w:sz w:val="24"/>
          <w:szCs w:val="24"/>
        </w:rPr>
        <w:t xml:space="preserve">and gender identity </w:t>
      </w:r>
      <w:r w:rsidR="003018DD">
        <w:rPr>
          <w:sz w:val="24"/>
          <w:szCs w:val="24"/>
        </w:rPr>
        <w:t xml:space="preserve">questions will be retained on the instrument and will be administered only to victims age 16 or older. In addition, these questions will only be asked once of all victims during the time they remain in sample, rather than asking at their first, third, fifth, and seventh interview. </w:t>
      </w:r>
      <w:r w:rsidR="00EE0B1D">
        <w:rPr>
          <w:sz w:val="24"/>
          <w:szCs w:val="24"/>
        </w:rPr>
        <w:t xml:space="preserve">With these revisions to the questionnaire, BJS will be able to produce victimization estimates (counts and percentages of victims) by sexual orientation and gender identity for persons age 16 or older. BJS will use other federal data collections to produce rates of victimization by sexual orientation. </w:t>
      </w:r>
      <w:r w:rsidR="00344D95">
        <w:rPr>
          <w:rFonts w:ascii="Calibri" w:hAnsi="Calibri" w:cs="Arial"/>
          <w:color w:val="000000"/>
          <w:sz w:val="24"/>
          <w:szCs w:val="24"/>
        </w:rPr>
        <w:t>The change will be implemented no later</w:t>
      </w:r>
      <w:r w:rsidR="00EE0B1D">
        <w:rPr>
          <w:rFonts w:ascii="Calibri" w:hAnsi="Calibri" w:cs="Arial"/>
          <w:color w:val="000000"/>
          <w:sz w:val="24"/>
          <w:szCs w:val="24"/>
        </w:rPr>
        <w:t xml:space="preserve"> </w:t>
      </w:r>
      <w:r w:rsidR="00344D95">
        <w:rPr>
          <w:rFonts w:ascii="Calibri" w:hAnsi="Calibri" w:cs="Arial"/>
          <w:color w:val="000000"/>
          <w:sz w:val="24"/>
          <w:szCs w:val="24"/>
        </w:rPr>
        <w:t xml:space="preserve">than </w:t>
      </w:r>
      <w:r w:rsidR="00897A71">
        <w:rPr>
          <w:rFonts w:ascii="Calibri" w:hAnsi="Calibri" w:cs="Arial"/>
          <w:color w:val="000000"/>
          <w:sz w:val="24"/>
          <w:szCs w:val="24"/>
        </w:rPr>
        <w:t>July 1</w:t>
      </w:r>
      <w:r w:rsidR="00344D95">
        <w:rPr>
          <w:rFonts w:ascii="Calibri" w:hAnsi="Calibri" w:cs="Arial"/>
          <w:color w:val="000000"/>
          <w:sz w:val="24"/>
          <w:szCs w:val="24"/>
        </w:rPr>
        <w:t xml:space="preserve">, 2019, pending OMB approval of the requested substantive revision. </w:t>
      </w:r>
    </w:p>
    <w:p w:rsidR="003018DD" w:rsidRDefault="003018DD" w:rsidP="002827F8">
      <w:pPr>
        <w:ind w:left="630"/>
        <w:rPr>
          <w:rFonts w:ascii="Calibri" w:hAnsi="Calibri" w:cs="Arial"/>
          <w:color w:val="000000"/>
          <w:sz w:val="24"/>
          <w:szCs w:val="24"/>
        </w:rPr>
      </w:pPr>
    </w:p>
    <w:p w:rsidR="00AC4A8B" w:rsidRPr="00AC4A8B" w:rsidRDefault="00AC4A8B" w:rsidP="006D6360">
      <w:pPr>
        <w:ind w:left="630"/>
        <w:rPr>
          <w:rFonts w:ascii="Calibri" w:hAnsi="Calibri" w:cs="Arial"/>
          <w:b/>
          <w:i/>
          <w:color w:val="000000"/>
          <w:sz w:val="24"/>
          <w:szCs w:val="24"/>
        </w:rPr>
      </w:pPr>
      <w:r w:rsidRPr="00AC4A8B">
        <w:rPr>
          <w:rFonts w:ascii="Calibri" w:hAnsi="Calibri" w:cs="Arial"/>
          <w:b/>
          <w:i/>
          <w:color w:val="000000"/>
          <w:sz w:val="24"/>
          <w:szCs w:val="24"/>
        </w:rPr>
        <w:t>Non</w:t>
      </w:r>
      <w:r w:rsidR="00C27357">
        <w:rPr>
          <w:rFonts w:ascii="Calibri" w:hAnsi="Calibri" w:cs="Arial"/>
          <w:b/>
          <w:i/>
          <w:color w:val="000000"/>
          <w:sz w:val="24"/>
          <w:szCs w:val="24"/>
        </w:rPr>
        <w:t>-</w:t>
      </w:r>
      <w:r w:rsidRPr="00AC4A8B">
        <w:rPr>
          <w:rFonts w:ascii="Calibri" w:hAnsi="Calibri" w:cs="Arial"/>
          <w:b/>
          <w:i/>
          <w:color w:val="000000"/>
          <w:sz w:val="24"/>
          <w:szCs w:val="24"/>
        </w:rPr>
        <w:t>crime questions</w:t>
      </w:r>
    </w:p>
    <w:p w:rsidR="006D6360" w:rsidRPr="006D6360" w:rsidRDefault="006D6360" w:rsidP="006D6360">
      <w:pPr>
        <w:ind w:left="630"/>
        <w:rPr>
          <w:rFonts w:ascii="Calibri" w:hAnsi="Calibri" w:cs="Arial"/>
          <w:color w:val="000000"/>
          <w:sz w:val="24"/>
          <w:szCs w:val="24"/>
        </w:rPr>
      </w:pPr>
      <w:r>
        <w:rPr>
          <w:rFonts w:ascii="Calibri" w:hAnsi="Calibri" w:cs="Arial"/>
          <w:color w:val="000000"/>
          <w:sz w:val="24"/>
          <w:szCs w:val="24"/>
        </w:rPr>
        <w:t xml:space="preserve">Another </w:t>
      </w:r>
      <w:r w:rsidRPr="006D6360">
        <w:rPr>
          <w:rFonts w:ascii="Calibri" w:hAnsi="Calibri" w:cs="Arial"/>
          <w:color w:val="000000"/>
          <w:sz w:val="24"/>
          <w:szCs w:val="24"/>
        </w:rPr>
        <w:t xml:space="preserve">key component of the redesigned instrument will be </w:t>
      </w:r>
      <w:r>
        <w:rPr>
          <w:rFonts w:ascii="Calibri" w:hAnsi="Calibri" w:cs="Arial"/>
          <w:color w:val="000000"/>
          <w:sz w:val="24"/>
          <w:szCs w:val="24"/>
        </w:rPr>
        <w:t xml:space="preserve">building a </w:t>
      </w:r>
      <w:r w:rsidRPr="006D6360">
        <w:rPr>
          <w:rFonts w:ascii="Calibri" w:hAnsi="Calibri" w:cs="Arial"/>
          <w:color w:val="000000"/>
          <w:sz w:val="24"/>
          <w:szCs w:val="24"/>
        </w:rPr>
        <w:t xml:space="preserve">series of questions pertaining to </w:t>
      </w:r>
      <w:r w:rsidR="00AC4A8B">
        <w:rPr>
          <w:rFonts w:ascii="Calibri" w:hAnsi="Calibri" w:cs="Arial"/>
          <w:color w:val="000000"/>
          <w:sz w:val="24"/>
          <w:szCs w:val="24"/>
        </w:rPr>
        <w:t>resident</w:t>
      </w:r>
      <w:r w:rsidR="00AC4A8B" w:rsidRPr="006D6360">
        <w:rPr>
          <w:rFonts w:ascii="Calibri" w:hAnsi="Calibri" w:cs="Arial"/>
          <w:color w:val="000000"/>
          <w:sz w:val="24"/>
          <w:szCs w:val="24"/>
        </w:rPr>
        <w:t xml:space="preserve">s’ </w:t>
      </w:r>
      <w:r w:rsidRPr="006D6360">
        <w:rPr>
          <w:rFonts w:ascii="Calibri" w:hAnsi="Calibri" w:cs="Arial"/>
          <w:color w:val="000000"/>
          <w:sz w:val="24"/>
          <w:szCs w:val="24"/>
        </w:rPr>
        <w:t>perception of safety, disorder, police legitimacy and satisfaction with police, known as ‘non</w:t>
      </w:r>
      <w:r w:rsidR="00C27357">
        <w:rPr>
          <w:rFonts w:ascii="Calibri" w:hAnsi="Calibri" w:cs="Arial"/>
          <w:color w:val="000000"/>
          <w:sz w:val="24"/>
          <w:szCs w:val="24"/>
        </w:rPr>
        <w:t>-</w:t>
      </w:r>
      <w:r w:rsidRPr="006D6360">
        <w:rPr>
          <w:rFonts w:ascii="Calibri" w:hAnsi="Calibri" w:cs="Arial"/>
          <w:color w:val="000000"/>
          <w:sz w:val="24"/>
          <w:szCs w:val="24"/>
        </w:rPr>
        <w:t>crime’ questions.  Recent events in places such as Ferguson, MO and Baltimore, MD have demonstrated the need for data on residents’ perceptions of police and for understanding the relationship between experiencing victimization, reporting crime to police, and perceived police legitimacy. Questions on satisfaction with police, police legitimacy, fear, perceptions of community disorder, and feelings of safety will be asked of all NCVS</w:t>
      </w:r>
      <w:r w:rsidR="00533C9F">
        <w:rPr>
          <w:rFonts w:ascii="Calibri" w:hAnsi="Calibri" w:cs="Arial"/>
          <w:color w:val="000000"/>
          <w:sz w:val="24"/>
          <w:szCs w:val="24"/>
        </w:rPr>
        <w:t xml:space="preserve"> </w:t>
      </w:r>
      <w:r w:rsidR="00067BA3">
        <w:rPr>
          <w:rFonts w:ascii="Calibri" w:hAnsi="Calibri" w:cs="Arial"/>
          <w:color w:val="000000"/>
          <w:sz w:val="24"/>
          <w:szCs w:val="24"/>
        </w:rPr>
        <w:t>respondents</w:t>
      </w:r>
      <w:r w:rsidRPr="006D6360">
        <w:rPr>
          <w:rFonts w:ascii="Calibri" w:hAnsi="Calibri" w:cs="Arial"/>
          <w:color w:val="000000"/>
          <w:sz w:val="24"/>
          <w:szCs w:val="24"/>
        </w:rPr>
        <w:t>, not just those who e</w:t>
      </w:r>
      <w:r>
        <w:rPr>
          <w:rFonts w:ascii="Calibri" w:hAnsi="Calibri" w:cs="Arial"/>
          <w:color w:val="000000"/>
          <w:sz w:val="24"/>
          <w:szCs w:val="24"/>
        </w:rPr>
        <w:t>xperienced a victimization. These items</w:t>
      </w:r>
      <w:r w:rsidRPr="006D6360">
        <w:rPr>
          <w:rFonts w:ascii="Calibri" w:hAnsi="Calibri" w:cs="Arial"/>
          <w:color w:val="000000"/>
          <w:sz w:val="24"/>
          <w:szCs w:val="24"/>
        </w:rPr>
        <w:t xml:space="preserve"> are intended to increase the relevance of the survey for the majority of respondents who never experience a victimization. Additionally, because the items are answered by all respondents the estimates are expected to have stronger precision at the subnational level compared to </w:t>
      </w:r>
      <w:r w:rsidR="00E87C55">
        <w:rPr>
          <w:rFonts w:ascii="Calibri" w:hAnsi="Calibri" w:cs="Arial"/>
          <w:color w:val="000000"/>
          <w:sz w:val="24"/>
          <w:szCs w:val="24"/>
        </w:rPr>
        <w:t xml:space="preserve">national-level </w:t>
      </w:r>
      <w:r w:rsidRPr="006D6360">
        <w:rPr>
          <w:rFonts w:ascii="Calibri" w:hAnsi="Calibri" w:cs="Arial"/>
          <w:color w:val="000000"/>
          <w:sz w:val="24"/>
          <w:szCs w:val="24"/>
        </w:rPr>
        <w:t xml:space="preserve">victimization rates. </w:t>
      </w:r>
    </w:p>
    <w:p w:rsidR="006D6360" w:rsidRPr="006D6360" w:rsidRDefault="006D6360" w:rsidP="006D6360">
      <w:pPr>
        <w:ind w:left="630"/>
        <w:rPr>
          <w:rFonts w:ascii="Calibri" w:hAnsi="Calibri" w:cs="Arial"/>
          <w:color w:val="000000"/>
          <w:sz w:val="24"/>
          <w:szCs w:val="24"/>
        </w:rPr>
      </w:pPr>
    </w:p>
    <w:p w:rsidR="002827F8" w:rsidRDefault="006D6360" w:rsidP="006D6360">
      <w:pPr>
        <w:ind w:left="630"/>
        <w:rPr>
          <w:rFonts w:ascii="Calibri" w:hAnsi="Calibri" w:cs="Arial"/>
          <w:color w:val="000000"/>
          <w:sz w:val="24"/>
          <w:szCs w:val="24"/>
        </w:rPr>
      </w:pPr>
      <w:r w:rsidRPr="006D6360">
        <w:rPr>
          <w:rFonts w:ascii="Calibri" w:hAnsi="Calibri" w:cs="Arial"/>
          <w:color w:val="000000"/>
          <w:sz w:val="24"/>
          <w:szCs w:val="24"/>
        </w:rPr>
        <w:t>The data from these ‘non</w:t>
      </w:r>
      <w:r w:rsidR="00C27357">
        <w:rPr>
          <w:rFonts w:ascii="Calibri" w:hAnsi="Calibri" w:cs="Arial"/>
          <w:color w:val="000000"/>
          <w:sz w:val="24"/>
          <w:szCs w:val="24"/>
        </w:rPr>
        <w:t>-</w:t>
      </w:r>
      <w:r w:rsidRPr="006D6360">
        <w:rPr>
          <w:rFonts w:ascii="Calibri" w:hAnsi="Calibri" w:cs="Arial"/>
          <w:color w:val="000000"/>
          <w:sz w:val="24"/>
          <w:szCs w:val="24"/>
        </w:rPr>
        <w:t>crime’ question</w:t>
      </w:r>
      <w:r w:rsidR="00E87C55">
        <w:rPr>
          <w:rFonts w:ascii="Calibri" w:hAnsi="Calibri" w:cs="Arial"/>
          <w:color w:val="000000"/>
          <w:sz w:val="24"/>
          <w:szCs w:val="24"/>
        </w:rPr>
        <w:t>s</w:t>
      </w:r>
      <w:r w:rsidRPr="006D6360">
        <w:rPr>
          <w:rFonts w:ascii="Calibri" w:hAnsi="Calibri" w:cs="Arial"/>
          <w:color w:val="000000"/>
          <w:sz w:val="24"/>
          <w:szCs w:val="24"/>
        </w:rPr>
        <w:t xml:space="preserve"> will have utility for members of the law enforcement community, as well as researchers and policy makers. The BJS Crime Indicators Working Group (CIWG), which </w:t>
      </w:r>
      <w:r w:rsidR="00067BA3">
        <w:rPr>
          <w:rFonts w:ascii="Calibri" w:hAnsi="Calibri" w:cs="Arial"/>
          <w:color w:val="000000"/>
          <w:sz w:val="24"/>
          <w:szCs w:val="24"/>
        </w:rPr>
        <w:t>wa</w:t>
      </w:r>
      <w:r w:rsidRPr="006D6360">
        <w:rPr>
          <w:rFonts w:ascii="Calibri" w:hAnsi="Calibri" w:cs="Arial"/>
          <w:color w:val="000000"/>
          <w:sz w:val="24"/>
          <w:szCs w:val="24"/>
        </w:rPr>
        <w:t>s comprised of members of the law enforcement community provid</w:t>
      </w:r>
      <w:r w:rsidR="00067BA3">
        <w:rPr>
          <w:rFonts w:ascii="Calibri" w:hAnsi="Calibri" w:cs="Arial"/>
          <w:color w:val="000000"/>
          <w:sz w:val="24"/>
          <w:szCs w:val="24"/>
        </w:rPr>
        <w:t>ed</w:t>
      </w:r>
      <w:r w:rsidRPr="006D6360">
        <w:rPr>
          <w:rFonts w:ascii="Calibri" w:hAnsi="Calibri" w:cs="Arial"/>
          <w:color w:val="000000"/>
          <w:sz w:val="24"/>
          <w:szCs w:val="24"/>
        </w:rPr>
        <w:t xml:space="preserve"> knowledge and insight into contemporary challenges facing the law enforcement fields, noted that public perceptions of crime and safety are often as important as indicators of crime problems, as the crime rates themselves. The </w:t>
      </w:r>
      <w:r>
        <w:rPr>
          <w:rFonts w:ascii="Calibri" w:hAnsi="Calibri" w:cs="Arial"/>
          <w:color w:val="000000"/>
          <w:sz w:val="24"/>
          <w:szCs w:val="24"/>
        </w:rPr>
        <w:t>‘</w:t>
      </w:r>
      <w:r w:rsidRPr="006D6360">
        <w:rPr>
          <w:rFonts w:ascii="Calibri" w:hAnsi="Calibri" w:cs="Arial"/>
          <w:color w:val="000000"/>
          <w:sz w:val="24"/>
          <w:szCs w:val="24"/>
        </w:rPr>
        <w:t>non</w:t>
      </w:r>
      <w:r w:rsidR="00C27357">
        <w:rPr>
          <w:rFonts w:ascii="Calibri" w:hAnsi="Calibri" w:cs="Arial"/>
          <w:color w:val="000000"/>
          <w:sz w:val="24"/>
          <w:szCs w:val="24"/>
        </w:rPr>
        <w:t>-</w:t>
      </w:r>
      <w:r w:rsidRPr="006D6360">
        <w:rPr>
          <w:rFonts w:ascii="Calibri" w:hAnsi="Calibri" w:cs="Arial"/>
          <w:color w:val="000000"/>
          <w:sz w:val="24"/>
          <w:szCs w:val="24"/>
        </w:rPr>
        <w:t>crime</w:t>
      </w:r>
      <w:r>
        <w:rPr>
          <w:rFonts w:ascii="Calibri" w:hAnsi="Calibri" w:cs="Arial"/>
          <w:color w:val="000000"/>
          <w:sz w:val="24"/>
          <w:szCs w:val="24"/>
        </w:rPr>
        <w:t>’</w:t>
      </w:r>
      <w:r w:rsidRPr="006D6360">
        <w:rPr>
          <w:rFonts w:ascii="Calibri" w:hAnsi="Calibri" w:cs="Arial"/>
          <w:color w:val="000000"/>
          <w:sz w:val="24"/>
          <w:szCs w:val="24"/>
        </w:rPr>
        <w:t xml:space="preserve"> questions could be used to address the expressed </w:t>
      </w:r>
      <w:r w:rsidR="00067BA3">
        <w:rPr>
          <w:rFonts w:ascii="Calibri" w:hAnsi="Calibri" w:cs="Arial"/>
          <w:color w:val="000000"/>
          <w:sz w:val="24"/>
          <w:szCs w:val="24"/>
        </w:rPr>
        <w:t xml:space="preserve">concerns </w:t>
      </w:r>
      <w:r w:rsidRPr="006D6360">
        <w:rPr>
          <w:rFonts w:ascii="Calibri" w:hAnsi="Calibri" w:cs="Arial"/>
          <w:color w:val="000000"/>
          <w:sz w:val="24"/>
          <w:szCs w:val="24"/>
        </w:rPr>
        <w:t xml:space="preserve">of the CIWG and other law enforcement officials </w:t>
      </w:r>
      <w:r w:rsidR="00067BA3">
        <w:rPr>
          <w:rFonts w:ascii="Calibri" w:hAnsi="Calibri" w:cs="Arial"/>
          <w:color w:val="000000"/>
          <w:sz w:val="24"/>
          <w:szCs w:val="24"/>
        </w:rPr>
        <w:t xml:space="preserve">who want </w:t>
      </w:r>
      <w:r w:rsidRPr="006D6360">
        <w:rPr>
          <w:rFonts w:ascii="Calibri" w:hAnsi="Calibri" w:cs="Arial"/>
          <w:color w:val="000000"/>
          <w:sz w:val="24"/>
          <w:szCs w:val="24"/>
        </w:rPr>
        <w:t>to be able to assess the relationship between demographic characteristics of residents and their perceptions of neighborhood safety and satisfaction with police.</w:t>
      </w:r>
    </w:p>
    <w:p w:rsidR="00AC4A8B" w:rsidRDefault="00AC4A8B" w:rsidP="006D6360">
      <w:pPr>
        <w:ind w:left="630"/>
        <w:rPr>
          <w:rFonts w:ascii="Calibri" w:hAnsi="Calibri" w:cs="Arial"/>
          <w:color w:val="000000"/>
          <w:sz w:val="24"/>
          <w:szCs w:val="24"/>
        </w:rPr>
      </w:pPr>
    </w:p>
    <w:p w:rsidR="009A43E3" w:rsidRDefault="009A43E3" w:rsidP="006D6360">
      <w:pPr>
        <w:ind w:left="630"/>
        <w:rPr>
          <w:rFonts w:ascii="Calibri" w:hAnsi="Calibri" w:cs="Arial"/>
          <w:color w:val="000000"/>
          <w:sz w:val="24"/>
          <w:szCs w:val="24"/>
        </w:rPr>
      </w:pPr>
    </w:p>
    <w:p w:rsidR="006D6360" w:rsidRPr="00AC4A8B" w:rsidRDefault="00AC4A8B" w:rsidP="002827F8">
      <w:pPr>
        <w:ind w:left="630"/>
        <w:rPr>
          <w:rFonts w:ascii="Calibri" w:hAnsi="Calibri" w:cs="Arial"/>
          <w:b/>
          <w:i/>
          <w:color w:val="000000"/>
          <w:sz w:val="24"/>
          <w:szCs w:val="24"/>
        </w:rPr>
      </w:pPr>
      <w:r w:rsidRPr="00AC4A8B">
        <w:rPr>
          <w:rFonts w:ascii="Calibri" w:hAnsi="Calibri" w:cs="Arial"/>
          <w:b/>
          <w:i/>
          <w:color w:val="000000"/>
          <w:sz w:val="24"/>
          <w:szCs w:val="24"/>
        </w:rPr>
        <w:t>Victim help-seeking</w:t>
      </w:r>
    </w:p>
    <w:p w:rsidR="00343509" w:rsidRPr="00343509" w:rsidRDefault="00343509" w:rsidP="00343509">
      <w:pPr>
        <w:ind w:left="630"/>
        <w:rPr>
          <w:rFonts w:ascii="Calibri" w:hAnsi="Calibri" w:cs="Arial"/>
          <w:color w:val="000000"/>
          <w:sz w:val="24"/>
          <w:szCs w:val="24"/>
        </w:rPr>
      </w:pPr>
      <w:r w:rsidRPr="00343509">
        <w:rPr>
          <w:rFonts w:ascii="Calibri" w:hAnsi="Calibri" w:cs="Arial"/>
          <w:color w:val="000000"/>
          <w:sz w:val="24"/>
          <w:szCs w:val="24"/>
        </w:rPr>
        <w:t xml:space="preserve">The redesigned instrument will also better address stakeholder needs with a more extensive series of questions </w:t>
      </w:r>
      <w:r w:rsidR="00B9034B">
        <w:rPr>
          <w:rFonts w:ascii="Calibri" w:hAnsi="Calibri" w:cs="Arial"/>
          <w:color w:val="000000"/>
          <w:sz w:val="24"/>
          <w:szCs w:val="24"/>
        </w:rPr>
        <w:t xml:space="preserve">on </w:t>
      </w:r>
      <w:r w:rsidRPr="00343509">
        <w:rPr>
          <w:rFonts w:ascii="Calibri" w:hAnsi="Calibri" w:cs="Arial"/>
          <w:color w:val="000000"/>
          <w:sz w:val="24"/>
          <w:szCs w:val="24"/>
        </w:rPr>
        <w:t xml:space="preserve">formal and informal help-seeking behavior. Despite the fact that the federal government allocates billions of dollars a year to provide services and compensation to crime victims, very little data currently exists about who receives this money and where there are gaps in the services and compensation provided. The current NCVS instrument asks only two questions related to whether the victim received victim services. </w:t>
      </w:r>
    </w:p>
    <w:p w:rsidR="00343509" w:rsidRPr="00343509" w:rsidRDefault="00343509" w:rsidP="00343509">
      <w:pPr>
        <w:ind w:left="630"/>
        <w:rPr>
          <w:rFonts w:ascii="Calibri" w:hAnsi="Calibri" w:cs="Arial"/>
          <w:color w:val="000000"/>
          <w:sz w:val="24"/>
          <w:szCs w:val="24"/>
        </w:rPr>
      </w:pPr>
    </w:p>
    <w:p w:rsidR="00A16966" w:rsidRDefault="00343509" w:rsidP="00343509">
      <w:pPr>
        <w:ind w:left="630"/>
        <w:rPr>
          <w:rFonts w:ascii="Calibri" w:hAnsi="Calibri" w:cs="Arial"/>
          <w:color w:val="000000"/>
          <w:sz w:val="24"/>
          <w:szCs w:val="24"/>
        </w:rPr>
      </w:pPr>
      <w:r w:rsidRPr="00343509">
        <w:rPr>
          <w:rFonts w:ascii="Calibri" w:hAnsi="Calibri" w:cs="Arial"/>
          <w:color w:val="000000"/>
          <w:sz w:val="24"/>
          <w:szCs w:val="24"/>
        </w:rPr>
        <w:t>The Office for Victims of Crime laid out the need for more comprehensive data in their Vision 21 report (</w:t>
      </w:r>
      <w:hyperlink r:id="rId23" w:history="1">
        <w:r w:rsidRPr="000D38D1">
          <w:rPr>
            <w:rStyle w:val="Hyperlink"/>
            <w:rFonts w:ascii="Calibri" w:hAnsi="Calibri" w:cs="Arial"/>
            <w:sz w:val="24"/>
            <w:szCs w:val="24"/>
          </w:rPr>
          <w:t>http://ovc.ncjrs.gov/vision21/pdfs/Vision21_Report.pdf</w:t>
        </w:r>
      </w:hyperlink>
      <w:r w:rsidRPr="00343509">
        <w:rPr>
          <w:rFonts w:ascii="Calibri" w:hAnsi="Calibri" w:cs="Arial"/>
          <w:color w:val="000000"/>
          <w:sz w:val="24"/>
          <w:szCs w:val="24"/>
        </w:rPr>
        <w:t>)</w:t>
      </w:r>
      <w:r>
        <w:rPr>
          <w:rFonts w:ascii="Calibri" w:hAnsi="Calibri" w:cs="Arial"/>
          <w:color w:val="000000"/>
          <w:sz w:val="24"/>
          <w:szCs w:val="24"/>
        </w:rPr>
        <w:t xml:space="preserve"> </w:t>
      </w:r>
      <w:r w:rsidRPr="00343509">
        <w:rPr>
          <w:rFonts w:ascii="Calibri" w:hAnsi="Calibri" w:cs="Arial"/>
          <w:color w:val="000000"/>
          <w:sz w:val="24"/>
          <w:szCs w:val="24"/>
        </w:rPr>
        <w:t>and BJS’s redesigned instrument will enhance the capacity of the survey to measure both formal and informal victim help-seeking behaviors. Plans for the redesigned instrument include expanding the information collected about why victims do or do not receive formal services, and among those that do, the type of assistance they received</w:t>
      </w:r>
      <w:r w:rsidR="00A37C06">
        <w:rPr>
          <w:rFonts w:ascii="Calibri" w:hAnsi="Calibri" w:cs="Arial"/>
          <w:color w:val="000000"/>
          <w:sz w:val="24"/>
          <w:szCs w:val="24"/>
        </w:rPr>
        <w:t xml:space="preserve"> and their levels of satisfaction with the assistance received</w:t>
      </w:r>
      <w:r w:rsidRPr="00343509">
        <w:rPr>
          <w:rFonts w:ascii="Calibri" w:hAnsi="Calibri" w:cs="Arial"/>
          <w:color w:val="000000"/>
          <w:sz w:val="24"/>
          <w:szCs w:val="24"/>
        </w:rPr>
        <w:t xml:space="preserve">. The redesign effort will also </w:t>
      </w:r>
      <w:r w:rsidR="004A740A" w:rsidRPr="00343509">
        <w:rPr>
          <w:rFonts w:ascii="Calibri" w:hAnsi="Calibri" w:cs="Arial"/>
          <w:color w:val="000000"/>
          <w:sz w:val="24"/>
          <w:szCs w:val="24"/>
        </w:rPr>
        <w:t xml:space="preserve">add questions about informal help-seeking behaviors, such as speaking to a family member, friend, or religious leader </w:t>
      </w:r>
      <w:r w:rsidR="004A740A">
        <w:rPr>
          <w:rFonts w:ascii="Calibri" w:hAnsi="Calibri" w:cs="Arial"/>
          <w:color w:val="000000"/>
          <w:sz w:val="24"/>
          <w:szCs w:val="24"/>
        </w:rPr>
        <w:t xml:space="preserve">and </w:t>
      </w:r>
      <w:r w:rsidRPr="00343509">
        <w:rPr>
          <w:rFonts w:ascii="Calibri" w:hAnsi="Calibri" w:cs="Arial"/>
          <w:color w:val="000000"/>
          <w:sz w:val="24"/>
          <w:szCs w:val="24"/>
        </w:rPr>
        <w:t xml:space="preserve">seek to improve current NCVS questions about the </w:t>
      </w:r>
      <w:r w:rsidR="004A740A">
        <w:rPr>
          <w:rFonts w:ascii="Calibri" w:hAnsi="Calibri" w:cs="Arial"/>
          <w:color w:val="000000"/>
          <w:sz w:val="24"/>
          <w:szCs w:val="24"/>
        </w:rPr>
        <w:t xml:space="preserve">consequences of victimization including injuries, </w:t>
      </w:r>
      <w:r w:rsidRPr="00343509">
        <w:rPr>
          <w:rFonts w:ascii="Calibri" w:hAnsi="Calibri" w:cs="Arial"/>
          <w:color w:val="000000"/>
          <w:sz w:val="24"/>
          <w:szCs w:val="24"/>
        </w:rPr>
        <w:t>receipt of medical and mental health care</w:t>
      </w:r>
      <w:r w:rsidR="004A740A">
        <w:rPr>
          <w:rFonts w:ascii="Calibri" w:hAnsi="Calibri" w:cs="Arial"/>
          <w:color w:val="000000"/>
          <w:sz w:val="24"/>
          <w:szCs w:val="24"/>
        </w:rPr>
        <w:t xml:space="preserve">, and emotional reactions following a victimization. </w:t>
      </w:r>
    </w:p>
    <w:p w:rsidR="006D6360" w:rsidRDefault="006D6360" w:rsidP="002827F8">
      <w:pPr>
        <w:ind w:left="630"/>
        <w:rPr>
          <w:rFonts w:ascii="Calibri" w:hAnsi="Calibri" w:cs="Arial"/>
          <w:color w:val="000000"/>
          <w:sz w:val="24"/>
          <w:szCs w:val="24"/>
        </w:rPr>
      </w:pPr>
    </w:p>
    <w:p w:rsidR="00AC4A8B" w:rsidRPr="00AC4A8B" w:rsidRDefault="00AC4A8B" w:rsidP="009A4D1A">
      <w:pPr>
        <w:ind w:left="630"/>
        <w:rPr>
          <w:rFonts w:ascii="Calibri" w:hAnsi="Calibri" w:cs="Arial"/>
          <w:b/>
          <w:i/>
          <w:color w:val="000000"/>
          <w:sz w:val="24"/>
          <w:szCs w:val="24"/>
        </w:rPr>
      </w:pPr>
      <w:r w:rsidRPr="00AC4A8B">
        <w:rPr>
          <w:rFonts w:ascii="Calibri" w:hAnsi="Calibri" w:cs="Arial"/>
          <w:b/>
          <w:i/>
          <w:color w:val="000000"/>
          <w:sz w:val="24"/>
          <w:szCs w:val="24"/>
        </w:rPr>
        <w:t>Measurement of rape and sexual assault</w:t>
      </w:r>
    </w:p>
    <w:p w:rsidR="009A4D1A" w:rsidRPr="000000EB" w:rsidRDefault="009A4D1A" w:rsidP="009A4D1A">
      <w:pPr>
        <w:ind w:left="630"/>
        <w:rPr>
          <w:rFonts w:ascii="Calibri" w:hAnsi="Calibri" w:cs="Arial"/>
          <w:color w:val="000000"/>
          <w:sz w:val="24"/>
          <w:szCs w:val="24"/>
        </w:rPr>
      </w:pPr>
      <w:r w:rsidRPr="000000EB">
        <w:rPr>
          <w:rFonts w:ascii="Calibri" w:hAnsi="Calibri" w:cs="Arial"/>
          <w:color w:val="000000"/>
          <w:sz w:val="24"/>
          <w:szCs w:val="24"/>
        </w:rPr>
        <w:t xml:space="preserve">BJS is also improving the responsiveness of the NCVS to measurement issues with the collection of data on sensitive topics like intimate partner violence and rape and sexual assault. To this end, BJS has initiated </w:t>
      </w:r>
      <w:r w:rsidR="00AC4A8B">
        <w:rPr>
          <w:rFonts w:ascii="Calibri" w:hAnsi="Calibri" w:cs="Arial"/>
          <w:color w:val="000000"/>
          <w:sz w:val="24"/>
          <w:szCs w:val="24"/>
        </w:rPr>
        <w:t>several</w:t>
      </w:r>
      <w:r w:rsidR="00AC4A8B" w:rsidRPr="000000EB">
        <w:rPr>
          <w:rFonts w:ascii="Calibri" w:hAnsi="Calibri" w:cs="Arial"/>
          <w:color w:val="000000"/>
          <w:sz w:val="24"/>
          <w:szCs w:val="24"/>
        </w:rPr>
        <w:t xml:space="preserve"> </w:t>
      </w:r>
      <w:r w:rsidRPr="000000EB">
        <w:rPr>
          <w:rFonts w:ascii="Calibri" w:hAnsi="Calibri" w:cs="Arial"/>
          <w:color w:val="000000"/>
          <w:sz w:val="24"/>
          <w:szCs w:val="24"/>
        </w:rPr>
        <w:t xml:space="preserve">projects to identify, develop, and test the optimal methods for collecting self-report data on rape and sexual assault. </w:t>
      </w:r>
      <w:r>
        <w:rPr>
          <w:rFonts w:ascii="Calibri" w:hAnsi="Calibri" w:cs="Arial"/>
          <w:color w:val="000000"/>
          <w:sz w:val="24"/>
          <w:szCs w:val="24"/>
        </w:rPr>
        <w:t xml:space="preserve">The findings from these projects will be incorporated into the instrument redesign work. </w:t>
      </w:r>
    </w:p>
    <w:p w:rsidR="009A4D1A" w:rsidRPr="000000EB" w:rsidRDefault="009A4D1A" w:rsidP="009A4D1A">
      <w:pPr>
        <w:ind w:left="630"/>
        <w:rPr>
          <w:rFonts w:ascii="Calibri" w:hAnsi="Calibri" w:cs="Arial"/>
          <w:color w:val="000000"/>
          <w:sz w:val="24"/>
          <w:szCs w:val="24"/>
        </w:rPr>
      </w:pPr>
    </w:p>
    <w:p w:rsidR="009A4D1A" w:rsidRDefault="009A4D1A" w:rsidP="009A4D1A">
      <w:pPr>
        <w:ind w:left="630"/>
        <w:rPr>
          <w:rFonts w:ascii="Calibri" w:hAnsi="Calibri" w:cs="Arial"/>
          <w:sz w:val="24"/>
          <w:szCs w:val="24"/>
        </w:rPr>
      </w:pPr>
      <w:r w:rsidRPr="000000EB">
        <w:rPr>
          <w:rFonts w:ascii="Calibri" w:hAnsi="Calibri" w:cs="Arial"/>
          <w:color w:val="000000"/>
          <w:sz w:val="24"/>
          <w:szCs w:val="24"/>
        </w:rPr>
        <w:t xml:space="preserve">In June 2011, BJS charged an expert panel from the National Research Council's Committee on National Statistics (CNSTAT) to examine conceptual and methodological issues surrounding existing U.S. survey statistics on rape and sexual assault and to recommend the optimal methods for obtaining this type of sensitive data on an ongoing basis. </w:t>
      </w:r>
      <w:r>
        <w:rPr>
          <w:rFonts w:ascii="Calibri" w:hAnsi="Calibri" w:cs="Arial"/>
          <w:color w:val="000000"/>
          <w:sz w:val="24"/>
          <w:szCs w:val="24"/>
        </w:rPr>
        <w:t xml:space="preserve">In 2014, the </w:t>
      </w:r>
      <w:r>
        <w:rPr>
          <w:rFonts w:ascii="Calibri" w:hAnsi="Calibri" w:cs="Arial"/>
          <w:sz w:val="24"/>
          <w:szCs w:val="24"/>
        </w:rPr>
        <w:t xml:space="preserve">panel produced recommendations for the measurement of rape and sexual assault in the NCVS in a publication titled, </w:t>
      </w:r>
      <w:r w:rsidRPr="007661F6">
        <w:rPr>
          <w:rFonts w:ascii="Calibri" w:hAnsi="Calibri" w:cs="Arial"/>
          <w:i/>
          <w:sz w:val="24"/>
          <w:szCs w:val="24"/>
        </w:rPr>
        <w:t>Estimating the Incidence of Rape and Sexual Assault</w:t>
      </w:r>
      <w:r>
        <w:rPr>
          <w:rFonts w:ascii="Calibri" w:hAnsi="Calibri" w:cs="Arial"/>
          <w:sz w:val="24"/>
          <w:szCs w:val="24"/>
        </w:rPr>
        <w:t>.</w:t>
      </w:r>
      <w:r>
        <w:rPr>
          <w:rStyle w:val="FootnoteReference"/>
          <w:rFonts w:ascii="Calibri" w:hAnsi="Calibri" w:cs="Arial"/>
          <w:sz w:val="24"/>
          <w:szCs w:val="24"/>
        </w:rPr>
        <w:footnoteReference w:id="4"/>
      </w:r>
      <w:r>
        <w:rPr>
          <w:rFonts w:ascii="Calibri" w:hAnsi="Calibri" w:cs="Arial"/>
          <w:sz w:val="24"/>
          <w:szCs w:val="24"/>
        </w:rPr>
        <w:t xml:space="preserve"> </w:t>
      </w:r>
    </w:p>
    <w:p w:rsidR="009A4D1A" w:rsidRPr="000000EB" w:rsidRDefault="009A4D1A" w:rsidP="009A4D1A">
      <w:pPr>
        <w:ind w:left="630"/>
        <w:rPr>
          <w:rFonts w:ascii="Calibri" w:hAnsi="Calibri" w:cs="Arial"/>
          <w:color w:val="000000"/>
          <w:sz w:val="24"/>
          <w:szCs w:val="24"/>
        </w:rPr>
      </w:pPr>
    </w:p>
    <w:p w:rsidR="009A4D1A" w:rsidRPr="000000EB" w:rsidRDefault="009A4D1A" w:rsidP="009A4D1A">
      <w:pPr>
        <w:ind w:left="630"/>
        <w:rPr>
          <w:rFonts w:ascii="Calibri" w:hAnsi="Calibri" w:cs="Arial"/>
          <w:color w:val="000000"/>
          <w:sz w:val="24"/>
          <w:szCs w:val="24"/>
        </w:rPr>
      </w:pPr>
      <w:r w:rsidRPr="000000EB">
        <w:rPr>
          <w:rFonts w:ascii="Calibri" w:hAnsi="Calibri" w:cs="Arial"/>
          <w:color w:val="000000"/>
          <w:sz w:val="24"/>
          <w:szCs w:val="24"/>
        </w:rPr>
        <w:t xml:space="preserve">In September 2011, BJS also made a competitive award to Westat, Inc., to develop and test two different survey designs for collecting self-report data on rape and sexual assault. One design is to be an optimal design identified in collaboration with the CNSTAT panel. The other will be similar to designs used in the public health field that collect data on rape and sexual assault (e.g., National Women’s Study and the National Intimate Partner and Sexual Violence Surveillance System). BJS will compare estimates from these two alternative designs with estimates from the current NCVS. </w:t>
      </w:r>
      <w:r>
        <w:rPr>
          <w:rFonts w:ascii="Calibri" w:hAnsi="Calibri" w:cs="Arial"/>
          <w:color w:val="000000"/>
          <w:sz w:val="24"/>
          <w:szCs w:val="24"/>
        </w:rPr>
        <w:t xml:space="preserve">Field testing of these alternative designs </w:t>
      </w:r>
      <w:r w:rsidR="006F4820">
        <w:rPr>
          <w:rFonts w:ascii="Calibri" w:hAnsi="Calibri" w:cs="Arial"/>
          <w:color w:val="000000"/>
          <w:sz w:val="24"/>
          <w:szCs w:val="24"/>
        </w:rPr>
        <w:t>is completed</w:t>
      </w:r>
      <w:r>
        <w:rPr>
          <w:rFonts w:ascii="Calibri" w:hAnsi="Calibri" w:cs="Arial"/>
          <w:color w:val="000000"/>
          <w:sz w:val="24"/>
          <w:szCs w:val="24"/>
        </w:rPr>
        <w:t xml:space="preserve"> with findings expected to be </w:t>
      </w:r>
      <w:r w:rsidR="00AC4A8B">
        <w:rPr>
          <w:rFonts w:ascii="Calibri" w:hAnsi="Calibri" w:cs="Arial"/>
          <w:color w:val="000000"/>
          <w:sz w:val="24"/>
          <w:szCs w:val="24"/>
        </w:rPr>
        <w:t xml:space="preserve">released </w:t>
      </w:r>
      <w:r>
        <w:rPr>
          <w:rFonts w:ascii="Calibri" w:hAnsi="Calibri" w:cs="Arial"/>
          <w:color w:val="000000"/>
          <w:sz w:val="24"/>
          <w:szCs w:val="24"/>
        </w:rPr>
        <w:t>in 201</w:t>
      </w:r>
      <w:r w:rsidR="006F4820">
        <w:rPr>
          <w:rFonts w:ascii="Calibri" w:hAnsi="Calibri" w:cs="Arial"/>
          <w:color w:val="000000"/>
          <w:sz w:val="24"/>
          <w:szCs w:val="24"/>
        </w:rPr>
        <w:t>8</w:t>
      </w:r>
      <w:r>
        <w:rPr>
          <w:rFonts w:ascii="Calibri" w:hAnsi="Calibri" w:cs="Arial"/>
          <w:color w:val="000000"/>
          <w:sz w:val="24"/>
          <w:szCs w:val="24"/>
        </w:rPr>
        <w:t>.</w:t>
      </w:r>
      <w:r w:rsidR="006F4820">
        <w:rPr>
          <w:rFonts w:ascii="Calibri" w:hAnsi="Calibri" w:cs="Arial"/>
          <w:color w:val="000000"/>
          <w:sz w:val="24"/>
          <w:szCs w:val="24"/>
        </w:rPr>
        <w:t xml:space="preserve"> The recommendations from these findings will be incorporated into the redesign work</w:t>
      </w:r>
      <w:r w:rsidR="000732DE">
        <w:rPr>
          <w:rFonts w:ascii="Calibri" w:hAnsi="Calibri" w:cs="Arial"/>
          <w:color w:val="000000"/>
          <w:sz w:val="24"/>
          <w:szCs w:val="24"/>
        </w:rPr>
        <w:t xml:space="preserve"> through</w:t>
      </w:r>
      <w:r w:rsidR="006F4820">
        <w:rPr>
          <w:rFonts w:ascii="Calibri" w:hAnsi="Calibri" w:cs="Arial"/>
          <w:color w:val="000000"/>
          <w:sz w:val="24"/>
          <w:szCs w:val="24"/>
        </w:rPr>
        <w:t xml:space="preserve"> improvement</w:t>
      </w:r>
      <w:r w:rsidR="000732DE">
        <w:rPr>
          <w:rFonts w:ascii="Calibri" w:hAnsi="Calibri" w:cs="Arial"/>
          <w:color w:val="000000"/>
          <w:sz w:val="24"/>
          <w:szCs w:val="24"/>
        </w:rPr>
        <w:t>s</w:t>
      </w:r>
      <w:r w:rsidR="006F4820">
        <w:rPr>
          <w:rFonts w:ascii="Calibri" w:hAnsi="Calibri" w:cs="Arial"/>
          <w:color w:val="000000"/>
          <w:sz w:val="24"/>
          <w:szCs w:val="24"/>
        </w:rPr>
        <w:t xml:space="preserve"> </w:t>
      </w:r>
      <w:r w:rsidR="000732DE">
        <w:rPr>
          <w:rFonts w:ascii="Calibri" w:hAnsi="Calibri" w:cs="Arial"/>
          <w:color w:val="000000"/>
          <w:sz w:val="24"/>
          <w:szCs w:val="24"/>
        </w:rPr>
        <w:t xml:space="preserve">to </w:t>
      </w:r>
      <w:r w:rsidR="006F4820">
        <w:rPr>
          <w:rFonts w:ascii="Calibri" w:hAnsi="Calibri" w:cs="Arial"/>
          <w:color w:val="000000"/>
          <w:sz w:val="24"/>
          <w:szCs w:val="24"/>
        </w:rPr>
        <w:t>the screeners to measure rape and sexual assault</w:t>
      </w:r>
      <w:r w:rsidR="000732DE">
        <w:rPr>
          <w:rFonts w:ascii="Calibri" w:hAnsi="Calibri" w:cs="Arial"/>
          <w:color w:val="000000"/>
          <w:sz w:val="24"/>
          <w:szCs w:val="24"/>
        </w:rPr>
        <w:t xml:space="preserve">, the transition to a self-administered survey mode for increased respondent privacy, </w:t>
      </w:r>
      <w:r w:rsidR="006F4820">
        <w:rPr>
          <w:rFonts w:ascii="Calibri" w:hAnsi="Calibri" w:cs="Arial"/>
          <w:color w:val="000000"/>
          <w:sz w:val="24"/>
          <w:szCs w:val="24"/>
        </w:rPr>
        <w:t xml:space="preserve">and the testing of </w:t>
      </w:r>
      <w:r w:rsidR="000732DE">
        <w:rPr>
          <w:rFonts w:ascii="Calibri" w:hAnsi="Calibri" w:cs="Arial"/>
          <w:color w:val="000000"/>
          <w:sz w:val="24"/>
          <w:szCs w:val="24"/>
        </w:rPr>
        <w:t>a separate supplemental</w:t>
      </w:r>
      <w:r w:rsidR="006F4820">
        <w:rPr>
          <w:rFonts w:ascii="Calibri" w:hAnsi="Calibri" w:cs="Arial"/>
          <w:color w:val="000000"/>
          <w:sz w:val="24"/>
          <w:szCs w:val="24"/>
        </w:rPr>
        <w:t xml:space="preserve"> survey instrument to collect rape and sexual assault victimization estimates. </w:t>
      </w:r>
    </w:p>
    <w:p w:rsidR="009A4D1A" w:rsidRPr="000000EB" w:rsidRDefault="009A4D1A" w:rsidP="009A4D1A">
      <w:pPr>
        <w:ind w:left="630"/>
        <w:rPr>
          <w:rFonts w:ascii="Calibri" w:hAnsi="Calibri" w:cs="Arial"/>
          <w:color w:val="000000"/>
          <w:sz w:val="24"/>
          <w:szCs w:val="24"/>
        </w:rPr>
      </w:pPr>
    </w:p>
    <w:p w:rsidR="00AC4A8B" w:rsidRPr="000732DE" w:rsidRDefault="00914446" w:rsidP="004A740A">
      <w:pPr>
        <w:ind w:left="630"/>
        <w:rPr>
          <w:rFonts w:ascii="Calibri" w:hAnsi="Calibri" w:cs="Arial"/>
          <w:b/>
          <w:i/>
          <w:color w:val="000000"/>
          <w:sz w:val="24"/>
          <w:szCs w:val="24"/>
        </w:rPr>
      </w:pPr>
      <w:r>
        <w:rPr>
          <w:rFonts w:ascii="Calibri" w:hAnsi="Calibri" w:cs="Arial"/>
          <w:b/>
          <w:i/>
          <w:color w:val="000000"/>
          <w:sz w:val="24"/>
          <w:szCs w:val="24"/>
        </w:rPr>
        <w:t>Expansion and enhanced measurement of crime types</w:t>
      </w:r>
    </w:p>
    <w:p w:rsidR="004A740A" w:rsidRDefault="004A740A" w:rsidP="004A740A">
      <w:pPr>
        <w:ind w:left="630"/>
        <w:rPr>
          <w:rFonts w:ascii="Calibri" w:hAnsi="Calibri" w:cs="Arial"/>
          <w:color w:val="000000"/>
          <w:sz w:val="24"/>
          <w:szCs w:val="24"/>
        </w:rPr>
      </w:pPr>
      <w:r>
        <w:rPr>
          <w:rFonts w:ascii="Calibri" w:hAnsi="Calibri" w:cs="Arial"/>
          <w:color w:val="000000"/>
          <w:sz w:val="24"/>
          <w:szCs w:val="24"/>
        </w:rPr>
        <w:t xml:space="preserve">Another </w:t>
      </w:r>
      <w:r w:rsidRPr="00ED47CB">
        <w:rPr>
          <w:rFonts w:ascii="Calibri" w:hAnsi="Calibri" w:cs="Arial"/>
          <w:color w:val="000000"/>
          <w:sz w:val="24"/>
          <w:szCs w:val="24"/>
        </w:rPr>
        <w:t xml:space="preserve">area of focus is on improving the measurement of and increasing the crime types covered by the survey. </w:t>
      </w:r>
      <w:r w:rsidR="00E43B77" w:rsidRPr="00E43B77">
        <w:rPr>
          <w:rFonts w:ascii="Calibri" w:hAnsi="Calibri" w:cs="Arial"/>
          <w:color w:val="000000"/>
          <w:sz w:val="24"/>
          <w:szCs w:val="24"/>
        </w:rPr>
        <w:t xml:space="preserve">In 2016, the National Academy of Sciences (NAS) released a report recommending that BJS turn a focus toward measuring new and emerging crimes </w:t>
      </w:r>
      <w:r w:rsidR="00730D9C">
        <w:rPr>
          <w:rFonts w:ascii="Calibri" w:hAnsi="Calibri" w:cs="Arial"/>
          <w:color w:val="000000"/>
          <w:sz w:val="24"/>
          <w:szCs w:val="24"/>
        </w:rPr>
        <w:t xml:space="preserve">in addition to </w:t>
      </w:r>
      <w:r w:rsidR="00E43B77" w:rsidRPr="00E43B77">
        <w:rPr>
          <w:rFonts w:ascii="Calibri" w:hAnsi="Calibri" w:cs="Arial"/>
          <w:color w:val="000000"/>
          <w:sz w:val="24"/>
          <w:szCs w:val="24"/>
        </w:rPr>
        <w:t>the current street crimes already included on the NCVS</w:t>
      </w:r>
      <w:r w:rsidR="00E43B77">
        <w:rPr>
          <w:rFonts w:ascii="Calibri" w:hAnsi="Calibri" w:cs="Arial"/>
          <w:color w:val="000000"/>
          <w:sz w:val="24"/>
          <w:szCs w:val="24"/>
        </w:rPr>
        <w:t>.</w:t>
      </w:r>
      <w:r w:rsidR="00E43B77">
        <w:rPr>
          <w:rStyle w:val="FootnoteReference"/>
          <w:rFonts w:ascii="Calibri" w:hAnsi="Calibri" w:cs="Arial"/>
          <w:color w:val="000000"/>
          <w:sz w:val="24"/>
          <w:szCs w:val="24"/>
        </w:rPr>
        <w:footnoteReference w:id="5"/>
      </w:r>
      <w:r w:rsidR="00E43B77">
        <w:rPr>
          <w:rFonts w:ascii="Calibri" w:hAnsi="Calibri" w:cs="Arial"/>
          <w:color w:val="000000"/>
          <w:sz w:val="24"/>
          <w:szCs w:val="24"/>
        </w:rPr>
        <w:t xml:space="preserve"> </w:t>
      </w:r>
      <w:r w:rsidRPr="00ED47CB">
        <w:rPr>
          <w:rFonts w:ascii="Calibri" w:hAnsi="Calibri" w:cs="Arial"/>
          <w:color w:val="000000"/>
          <w:sz w:val="24"/>
          <w:szCs w:val="24"/>
        </w:rPr>
        <w:t xml:space="preserve">The current NCVS captures rape and sexual assault, robbery, physical assault, burglary, larceny, and motor vehicle through the core survey instrument and uses routine supplements to collect information on other crime types like identity theft and stalking. </w:t>
      </w:r>
      <w:r w:rsidR="00E43B77">
        <w:rPr>
          <w:rFonts w:ascii="Calibri" w:hAnsi="Calibri" w:cs="Arial"/>
          <w:color w:val="000000"/>
          <w:sz w:val="24"/>
          <w:szCs w:val="24"/>
        </w:rPr>
        <w:t xml:space="preserve">One strength of the NCVS is its ability to capture hard-to-measure crimes. </w:t>
      </w:r>
      <w:r w:rsidRPr="00ED47CB">
        <w:rPr>
          <w:rFonts w:ascii="Calibri" w:hAnsi="Calibri" w:cs="Arial"/>
          <w:color w:val="000000"/>
          <w:sz w:val="24"/>
          <w:szCs w:val="24"/>
        </w:rPr>
        <w:t>One of the goals of the redesign is to expand the crime</w:t>
      </w:r>
      <w:r w:rsidR="00E43B77">
        <w:rPr>
          <w:rFonts w:ascii="Calibri" w:hAnsi="Calibri" w:cs="Arial"/>
          <w:color w:val="000000"/>
          <w:sz w:val="24"/>
          <w:szCs w:val="24"/>
        </w:rPr>
        <w:t>s collected</w:t>
      </w:r>
      <w:r w:rsidRPr="00ED47CB">
        <w:rPr>
          <w:rFonts w:ascii="Calibri" w:hAnsi="Calibri" w:cs="Arial"/>
          <w:color w:val="000000"/>
          <w:sz w:val="24"/>
          <w:szCs w:val="24"/>
        </w:rPr>
        <w:t xml:space="preserve"> to incorporate a broader range of crimes, including some, like fraud, that are not typically reported through official police statistics. </w:t>
      </w:r>
      <w:r w:rsidR="00E43B77">
        <w:rPr>
          <w:rFonts w:ascii="Calibri" w:hAnsi="Calibri" w:cs="Arial"/>
          <w:color w:val="000000"/>
          <w:sz w:val="24"/>
          <w:szCs w:val="24"/>
        </w:rPr>
        <w:t>In 2017, a supplement on financial fraud victimization was added to the NCVS. In order to continue to expand the crimes collected by the NCVS</w:t>
      </w:r>
      <w:r w:rsidR="00914446">
        <w:rPr>
          <w:rFonts w:ascii="Calibri" w:hAnsi="Calibri" w:cs="Arial"/>
          <w:color w:val="000000"/>
          <w:sz w:val="24"/>
          <w:szCs w:val="24"/>
        </w:rPr>
        <w:t xml:space="preserve"> while maintaining or reducing burden</w:t>
      </w:r>
      <w:r w:rsidR="00E43B77">
        <w:rPr>
          <w:rFonts w:ascii="Calibri" w:hAnsi="Calibri" w:cs="Arial"/>
          <w:color w:val="000000"/>
          <w:sz w:val="24"/>
          <w:szCs w:val="24"/>
        </w:rPr>
        <w:t xml:space="preserve">, the redesign effort will also focus on making the survey </w:t>
      </w:r>
      <w:r w:rsidR="00914446">
        <w:rPr>
          <w:rFonts w:ascii="Calibri" w:hAnsi="Calibri" w:cs="Arial"/>
          <w:color w:val="000000"/>
          <w:sz w:val="24"/>
          <w:szCs w:val="24"/>
        </w:rPr>
        <w:t xml:space="preserve">instrument </w:t>
      </w:r>
      <w:r w:rsidR="00E43B77">
        <w:rPr>
          <w:rFonts w:ascii="Calibri" w:hAnsi="Calibri" w:cs="Arial"/>
          <w:color w:val="000000"/>
          <w:sz w:val="24"/>
          <w:szCs w:val="24"/>
        </w:rPr>
        <w:t xml:space="preserve">more flexible including </w:t>
      </w:r>
      <w:r w:rsidR="00914446">
        <w:rPr>
          <w:rFonts w:ascii="Calibri" w:hAnsi="Calibri" w:cs="Arial"/>
          <w:color w:val="000000"/>
          <w:sz w:val="24"/>
          <w:szCs w:val="24"/>
        </w:rPr>
        <w:t xml:space="preserve">exploring options such as </w:t>
      </w:r>
      <w:r w:rsidR="00E43B77">
        <w:rPr>
          <w:rFonts w:ascii="Calibri" w:hAnsi="Calibri" w:cs="Arial"/>
          <w:color w:val="000000"/>
          <w:sz w:val="24"/>
          <w:szCs w:val="24"/>
        </w:rPr>
        <w:t xml:space="preserve">incorporating a modular approach which will allow for multiple modules (more than the current supplement structure allows) to be in the field at once. </w:t>
      </w:r>
      <w:r>
        <w:rPr>
          <w:rFonts w:ascii="Calibri" w:hAnsi="Calibri" w:cs="Arial"/>
          <w:color w:val="000000"/>
          <w:sz w:val="24"/>
          <w:szCs w:val="24"/>
        </w:rPr>
        <w:t xml:space="preserve">  </w:t>
      </w:r>
    </w:p>
    <w:p w:rsidR="00D5440C" w:rsidRDefault="00D5440C" w:rsidP="004A740A">
      <w:pPr>
        <w:ind w:left="630"/>
        <w:rPr>
          <w:rFonts w:ascii="Calibri" w:hAnsi="Calibri" w:cs="Arial"/>
          <w:color w:val="000000"/>
          <w:sz w:val="24"/>
          <w:szCs w:val="24"/>
        </w:rPr>
      </w:pPr>
    </w:p>
    <w:p w:rsidR="003922AD" w:rsidRPr="005A2077" w:rsidRDefault="003922AD" w:rsidP="003922AD">
      <w:pPr>
        <w:ind w:firstLine="630"/>
        <w:rPr>
          <w:rFonts w:ascii="Calibri" w:hAnsi="Calibri" w:cs="Arial"/>
          <w:b/>
          <w:i/>
          <w:color w:val="000000"/>
          <w:sz w:val="24"/>
          <w:szCs w:val="24"/>
        </w:rPr>
      </w:pPr>
      <w:r>
        <w:rPr>
          <w:rFonts w:ascii="Calibri" w:hAnsi="Calibri" w:cs="Arial"/>
          <w:b/>
          <w:i/>
          <w:color w:val="000000"/>
          <w:sz w:val="24"/>
          <w:szCs w:val="24"/>
        </w:rPr>
        <w:t>S</w:t>
      </w:r>
      <w:r w:rsidRPr="005A2077">
        <w:rPr>
          <w:rFonts w:ascii="Calibri" w:hAnsi="Calibri" w:cs="Arial"/>
          <w:b/>
          <w:i/>
          <w:color w:val="000000"/>
          <w:sz w:val="24"/>
          <w:szCs w:val="24"/>
        </w:rPr>
        <w:t>elf-administ</w:t>
      </w:r>
      <w:r w:rsidR="008F062B">
        <w:rPr>
          <w:rFonts w:ascii="Calibri" w:hAnsi="Calibri" w:cs="Arial"/>
          <w:b/>
          <w:i/>
          <w:color w:val="000000"/>
          <w:sz w:val="24"/>
          <w:szCs w:val="24"/>
        </w:rPr>
        <w:t>ered</w:t>
      </w:r>
      <w:r w:rsidRPr="005A2077">
        <w:rPr>
          <w:rFonts w:ascii="Calibri" w:hAnsi="Calibri" w:cs="Arial"/>
          <w:b/>
          <w:i/>
          <w:color w:val="000000"/>
          <w:sz w:val="24"/>
          <w:szCs w:val="24"/>
        </w:rPr>
        <w:t xml:space="preserve"> </w:t>
      </w:r>
      <w:r>
        <w:rPr>
          <w:rFonts w:ascii="Calibri" w:hAnsi="Calibri" w:cs="Arial"/>
          <w:b/>
          <w:i/>
          <w:color w:val="000000"/>
          <w:sz w:val="24"/>
          <w:szCs w:val="24"/>
        </w:rPr>
        <w:t>mode</w:t>
      </w:r>
    </w:p>
    <w:p w:rsidR="004A740A" w:rsidRDefault="004A740A" w:rsidP="004A740A">
      <w:pPr>
        <w:ind w:left="630"/>
        <w:rPr>
          <w:rFonts w:ascii="Calibri" w:hAnsi="Calibri" w:cs="Arial"/>
          <w:color w:val="000000"/>
          <w:sz w:val="24"/>
          <w:szCs w:val="24"/>
        </w:rPr>
      </w:pPr>
      <w:r>
        <w:rPr>
          <w:rFonts w:ascii="Calibri" w:hAnsi="Calibri" w:cs="Arial"/>
          <w:color w:val="000000"/>
          <w:sz w:val="24"/>
          <w:szCs w:val="24"/>
        </w:rPr>
        <w:t>The anticipated changes to and improvement of the types of crimes measured by the NCVS, may require changes to the survey methodology to ensure that the information collected is accurate and reliable. Through the NCVS redesign project, BJS is examining the feasibility of using self-administered approaches</w:t>
      </w:r>
      <w:r w:rsidR="00506A84">
        <w:rPr>
          <w:rFonts w:ascii="Calibri" w:hAnsi="Calibri" w:cs="Arial"/>
          <w:color w:val="000000"/>
          <w:sz w:val="24"/>
          <w:szCs w:val="24"/>
        </w:rPr>
        <w:t xml:space="preserve">, an effort that includes many potential benefits but also some challenges. </w:t>
      </w:r>
      <w:r w:rsidR="00452872">
        <w:rPr>
          <w:rFonts w:ascii="Calibri" w:hAnsi="Calibri" w:cs="Arial"/>
          <w:color w:val="000000"/>
          <w:sz w:val="24"/>
          <w:szCs w:val="24"/>
        </w:rPr>
        <w:t xml:space="preserve">The NCVS collects sensitive information about respondents’ victimization experiences, and using self-administration will increase privacy for respondents. In addition, moving to a self-administered survey will cut costs for data collection. The redesigned instrument will be programmed and tested using a web-based self-administered mode. </w:t>
      </w:r>
    </w:p>
    <w:p w:rsidR="004A740A" w:rsidRDefault="004A740A" w:rsidP="002827F8">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sz w:val="24"/>
          <w:szCs w:val="24"/>
        </w:rPr>
      </w:pPr>
    </w:p>
    <w:p w:rsidR="000732DE" w:rsidRPr="000732DE" w:rsidRDefault="00FE5F13" w:rsidP="007D4925">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b/>
          <w:i/>
          <w:sz w:val="24"/>
          <w:szCs w:val="24"/>
        </w:rPr>
      </w:pPr>
      <w:r>
        <w:rPr>
          <w:rFonts w:ascii="Calibri" w:hAnsi="Calibri" w:cs="Arial"/>
          <w:b/>
          <w:i/>
          <w:sz w:val="24"/>
          <w:szCs w:val="24"/>
        </w:rPr>
        <w:t>Expand and enhance other sources of data related to the NCVS</w:t>
      </w:r>
    </w:p>
    <w:p w:rsidR="00FA03E0" w:rsidDel="000732DE" w:rsidRDefault="00FA03E0" w:rsidP="00FA03E0">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D5440C" w:rsidDel="000732DE">
        <w:rPr>
          <w:rFonts w:ascii="Calibri" w:hAnsi="Calibri" w:cs="Arial"/>
          <w:sz w:val="24"/>
          <w:szCs w:val="24"/>
        </w:rPr>
        <w:t xml:space="preserve">To supplement the NCVS data and further improve the responsiveness of the BJS Victimization Statistics Unit to priority victimization issues, BJS has also been working to develop new data collections or improve existing data collections related to victims that </w:t>
      </w:r>
      <w:r w:rsidDel="000732DE">
        <w:rPr>
          <w:rFonts w:ascii="Calibri" w:hAnsi="Calibri" w:cs="Arial"/>
          <w:sz w:val="24"/>
          <w:szCs w:val="24"/>
        </w:rPr>
        <w:t xml:space="preserve">are </w:t>
      </w:r>
      <w:r w:rsidRPr="00D5440C" w:rsidDel="000732DE">
        <w:rPr>
          <w:rFonts w:ascii="Calibri" w:hAnsi="Calibri" w:cs="Arial"/>
          <w:sz w:val="24"/>
          <w:szCs w:val="24"/>
        </w:rPr>
        <w:t>separate from the NCVS but can be used in conjunction with NCVS data. To this end, BJS is in the process of conducting work to: 1. Collect data from victim service agencies on the types of services provided and victims served</w:t>
      </w:r>
      <w:r w:rsidDel="000732DE">
        <w:rPr>
          <w:rFonts w:ascii="Calibri" w:hAnsi="Calibri" w:cs="Arial"/>
          <w:sz w:val="24"/>
          <w:szCs w:val="24"/>
        </w:rPr>
        <w:t xml:space="preserve"> (OMB No. </w:t>
      </w:r>
      <w:r w:rsidRPr="00DA2CAF" w:rsidDel="000732DE">
        <w:rPr>
          <w:rFonts w:ascii="Calibri" w:hAnsi="Calibri" w:cs="Arial"/>
          <w:sz w:val="24"/>
          <w:szCs w:val="24"/>
        </w:rPr>
        <w:t>1121-0355</w:t>
      </w:r>
      <w:r w:rsidDel="000732DE">
        <w:rPr>
          <w:rFonts w:ascii="Calibri" w:hAnsi="Calibri" w:cs="Arial"/>
          <w:sz w:val="24"/>
          <w:szCs w:val="24"/>
        </w:rPr>
        <w:t>)</w:t>
      </w:r>
      <w:r w:rsidRPr="00D5440C" w:rsidDel="000732DE">
        <w:rPr>
          <w:rFonts w:ascii="Calibri" w:hAnsi="Calibri" w:cs="Arial"/>
          <w:sz w:val="24"/>
          <w:szCs w:val="24"/>
        </w:rPr>
        <w:t>;</w:t>
      </w:r>
      <w:r w:rsidR="000D6E53">
        <w:rPr>
          <w:rFonts w:ascii="Calibri" w:hAnsi="Calibri" w:cs="Arial"/>
          <w:sz w:val="24"/>
          <w:szCs w:val="24"/>
        </w:rPr>
        <w:t xml:space="preserve"> 2</w:t>
      </w:r>
      <w:r w:rsidRPr="00D5440C" w:rsidDel="000732DE">
        <w:rPr>
          <w:rFonts w:ascii="Calibri" w:hAnsi="Calibri" w:cs="Arial"/>
          <w:sz w:val="24"/>
          <w:szCs w:val="24"/>
        </w:rPr>
        <w:t>. Develop a lower cost companion survey to the NCVS that can be used to generate comparable local level estimates of victimization (OMB N</w:t>
      </w:r>
      <w:r w:rsidDel="000732DE">
        <w:rPr>
          <w:rFonts w:ascii="Calibri" w:hAnsi="Calibri" w:cs="Arial"/>
          <w:sz w:val="24"/>
          <w:szCs w:val="24"/>
        </w:rPr>
        <w:t>o.</w:t>
      </w:r>
      <w:r w:rsidRPr="00D5440C" w:rsidDel="000732DE">
        <w:rPr>
          <w:rFonts w:ascii="Calibri" w:hAnsi="Calibri" w:cs="Arial"/>
          <w:sz w:val="24"/>
          <w:szCs w:val="24"/>
        </w:rPr>
        <w:t xml:space="preserve"> 1121-0351)</w:t>
      </w:r>
      <w:r w:rsidDel="000732DE">
        <w:rPr>
          <w:rFonts w:ascii="Calibri" w:hAnsi="Calibri" w:cs="Arial"/>
          <w:sz w:val="24"/>
          <w:szCs w:val="24"/>
        </w:rPr>
        <w:t xml:space="preserve">; </w:t>
      </w:r>
      <w:r w:rsidR="000D6E53">
        <w:rPr>
          <w:rFonts w:ascii="Calibri" w:hAnsi="Calibri" w:cs="Arial"/>
          <w:sz w:val="24"/>
          <w:szCs w:val="24"/>
        </w:rPr>
        <w:t>and 3</w:t>
      </w:r>
      <w:r w:rsidDel="000732DE">
        <w:rPr>
          <w:rFonts w:ascii="Calibri" w:hAnsi="Calibri" w:cs="Arial"/>
          <w:sz w:val="24"/>
          <w:szCs w:val="24"/>
        </w:rPr>
        <w:t>. Develop a Victim-Offender Overlap Survey to better understand the relationship between victimization and offenders</w:t>
      </w:r>
      <w:r w:rsidRPr="00D5440C" w:rsidDel="000732DE">
        <w:rPr>
          <w:rFonts w:ascii="Calibri" w:hAnsi="Calibri" w:cs="Arial"/>
          <w:sz w:val="24"/>
          <w:szCs w:val="24"/>
        </w:rPr>
        <w:t>. These project</w:t>
      </w:r>
      <w:r w:rsidDel="000732DE">
        <w:rPr>
          <w:rFonts w:ascii="Calibri" w:hAnsi="Calibri" w:cs="Arial"/>
          <w:sz w:val="24"/>
          <w:szCs w:val="24"/>
        </w:rPr>
        <w:t>s</w:t>
      </w:r>
      <w:r w:rsidRPr="00D5440C" w:rsidDel="000732DE">
        <w:rPr>
          <w:rFonts w:ascii="Calibri" w:hAnsi="Calibri" w:cs="Arial"/>
          <w:sz w:val="24"/>
          <w:szCs w:val="24"/>
        </w:rPr>
        <w:t xml:space="preserve"> and data collections will enhance the information generated by the Victimization Statistics Unit and when used in conjunction with NCVS data, particularly at the subnational level, will provide a more comprehensive picture of victimization and the response to victimization in the U</w:t>
      </w:r>
      <w:r w:rsidDel="000732DE">
        <w:rPr>
          <w:rFonts w:ascii="Calibri" w:hAnsi="Calibri" w:cs="Arial"/>
          <w:sz w:val="24"/>
          <w:szCs w:val="24"/>
        </w:rPr>
        <w:t>.</w:t>
      </w:r>
      <w:r w:rsidRPr="00D5440C" w:rsidDel="000732DE">
        <w:rPr>
          <w:rFonts w:ascii="Calibri" w:hAnsi="Calibri" w:cs="Arial"/>
          <w:sz w:val="24"/>
          <w:szCs w:val="24"/>
        </w:rPr>
        <w:t>S.</w:t>
      </w:r>
    </w:p>
    <w:p w:rsidR="00FA03E0" w:rsidRDefault="00FA03E0" w:rsidP="007D4925">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FE5F13" w:rsidRPr="00FE5F13" w:rsidRDefault="00FE5F13" w:rsidP="007D4925">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b/>
          <w:i/>
          <w:sz w:val="24"/>
          <w:szCs w:val="24"/>
        </w:rPr>
      </w:pPr>
      <w:r w:rsidRPr="00FE5F13">
        <w:rPr>
          <w:rFonts w:ascii="Calibri" w:hAnsi="Calibri" w:cs="Arial"/>
          <w:b/>
          <w:i/>
          <w:sz w:val="24"/>
          <w:szCs w:val="24"/>
        </w:rPr>
        <w:t>Inform and improve methodology</w:t>
      </w:r>
    </w:p>
    <w:p w:rsidR="007D4925" w:rsidRDefault="007D4925" w:rsidP="007D4925">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Pr>
          <w:rFonts w:ascii="Calibri" w:hAnsi="Calibri" w:cs="Arial"/>
          <w:sz w:val="24"/>
          <w:szCs w:val="24"/>
        </w:rPr>
        <w:t>Additionally</w:t>
      </w:r>
      <w:r w:rsidRPr="004956DA">
        <w:rPr>
          <w:rFonts w:ascii="Calibri" w:hAnsi="Calibri" w:cs="Arial"/>
          <w:sz w:val="24"/>
          <w:szCs w:val="24"/>
        </w:rPr>
        <w:t xml:space="preserve">, in order to </w:t>
      </w:r>
      <w:r>
        <w:rPr>
          <w:rFonts w:ascii="Calibri" w:hAnsi="Calibri" w:cs="Arial"/>
          <w:sz w:val="24"/>
          <w:szCs w:val="24"/>
        </w:rPr>
        <w:t>improve the NCVS methodology</w:t>
      </w:r>
      <w:r w:rsidRPr="004956DA">
        <w:rPr>
          <w:rFonts w:ascii="Calibri" w:hAnsi="Calibri" w:cs="Arial"/>
          <w:sz w:val="24"/>
          <w:szCs w:val="24"/>
        </w:rPr>
        <w:t>, BJS has also invested in a support center for the NCVS called the National Victimization Survey Support Program (NVSSP). The researchers in the NVSSP, on contract from RTI International, have substantial expertise in survey methodology and data analysis</w:t>
      </w:r>
      <w:r>
        <w:rPr>
          <w:rFonts w:ascii="Calibri" w:hAnsi="Calibri" w:cs="Arial"/>
          <w:sz w:val="24"/>
          <w:szCs w:val="24"/>
        </w:rPr>
        <w:t xml:space="preserve">. In addition to work related to the development of the NCVS subnational program, these researchers are working on a number of projects to improve the precision and reliability of victimization estimates. </w:t>
      </w:r>
      <w:r w:rsidR="00452872">
        <w:rPr>
          <w:rFonts w:ascii="Calibri" w:hAnsi="Calibri" w:cs="Arial"/>
          <w:sz w:val="24"/>
          <w:szCs w:val="24"/>
        </w:rPr>
        <w:t>These projects include</w:t>
      </w:r>
      <w:r w:rsidR="00DB5645">
        <w:rPr>
          <w:rFonts w:ascii="Calibri" w:hAnsi="Calibri" w:cs="Arial"/>
          <w:sz w:val="24"/>
          <w:szCs w:val="24"/>
        </w:rPr>
        <w:t xml:space="preserve"> research on</w:t>
      </w:r>
      <w:r w:rsidR="00452872">
        <w:rPr>
          <w:rFonts w:ascii="Calibri" w:hAnsi="Calibri" w:cs="Arial"/>
          <w:sz w:val="24"/>
          <w:szCs w:val="24"/>
        </w:rPr>
        <w:t xml:space="preserve">: </w:t>
      </w:r>
      <w:r w:rsidR="00506A84">
        <w:rPr>
          <w:rFonts w:ascii="Calibri" w:hAnsi="Calibri" w:cs="Arial"/>
          <w:sz w:val="24"/>
          <w:szCs w:val="24"/>
        </w:rPr>
        <w:t xml:space="preserve">cognitive interviewing of juveniles, </w:t>
      </w:r>
      <w:r w:rsidR="00452872">
        <w:rPr>
          <w:rFonts w:ascii="Calibri" w:hAnsi="Calibri" w:cs="Arial"/>
          <w:sz w:val="24"/>
          <w:szCs w:val="24"/>
        </w:rPr>
        <w:t>improving measurement of rape and sexual assault</w:t>
      </w:r>
      <w:r w:rsidR="00506A84">
        <w:rPr>
          <w:rFonts w:ascii="Calibri" w:hAnsi="Calibri" w:cs="Arial"/>
          <w:sz w:val="24"/>
          <w:szCs w:val="24"/>
        </w:rPr>
        <w:t>,</w:t>
      </w:r>
      <w:r w:rsidR="00452872">
        <w:rPr>
          <w:rFonts w:ascii="Calibri" w:hAnsi="Calibri" w:cs="Arial"/>
          <w:sz w:val="24"/>
          <w:szCs w:val="24"/>
        </w:rPr>
        <w:t xml:space="preserve"> </w:t>
      </w:r>
      <w:r w:rsidR="00FA03E0">
        <w:rPr>
          <w:rFonts w:ascii="Calibri" w:hAnsi="Calibri" w:cs="Arial"/>
          <w:sz w:val="24"/>
          <w:szCs w:val="24"/>
        </w:rPr>
        <w:t xml:space="preserve">and developing </w:t>
      </w:r>
      <w:r w:rsidR="000732DE">
        <w:rPr>
          <w:rFonts w:ascii="Calibri" w:hAnsi="Calibri" w:cs="Arial"/>
          <w:sz w:val="24"/>
          <w:szCs w:val="24"/>
        </w:rPr>
        <w:t xml:space="preserve">alternative </w:t>
      </w:r>
      <w:r w:rsidR="00DB5645">
        <w:rPr>
          <w:rFonts w:ascii="Calibri" w:hAnsi="Calibri" w:cs="Arial"/>
          <w:sz w:val="24"/>
          <w:szCs w:val="24"/>
        </w:rPr>
        <w:t>sampl</w:t>
      </w:r>
      <w:r w:rsidR="000732DE">
        <w:rPr>
          <w:rFonts w:ascii="Calibri" w:hAnsi="Calibri" w:cs="Arial"/>
          <w:sz w:val="24"/>
          <w:szCs w:val="24"/>
        </w:rPr>
        <w:t>e</w:t>
      </w:r>
      <w:r w:rsidR="00DB5645">
        <w:rPr>
          <w:rFonts w:ascii="Calibri" w:hAnsi="Calibri" w:cs="Arial"/>
          <w:sz w:val="24"/>
          <w:szCs w:val="24"/>
        </w:rPr>
        <w:t xml:space="preserve"> </w:t>
      </w:r>
      <w:r w:rsidR="000732DE">
        <w:rPr>
          <w:rFonts w:ascii="Calibri" w:hAnsi="Calibri" w:cs="Arial"/>
          <w:sz w:val="24"/>
          <w:szCs w:val="24"/>
        </w:rPr>
        <w:t>designs</w:t>
      </w:r>
      <w:r w:rsidR="00FA03E0">
        <w:rPr>
          <w:rFonts w:ascii="Calibri" w:hAnsi="Calibri" w:cs="Arial"/>
          <w:sz w:val="24"/>
          <w:szCs w:val="24"/>
        </w:rPr>
        <w:t>, and weighting and bounding approaches</w:t>
      </w:r>
      <w:r w:rsidR="00DB5645">
        <w:rPr>
          <w:rFonts w:ascii="Calibri" w:hAnsi="Calibri" w:cs="Arial"/>
          <w:sz w:val="24"/>
          <w:szCs w:val="24"/>
        </w:rPr>
        <w:t xml:space="preserve">. </w:t>
      </w:r>
    </w:p>
    <w:p w:rsidR="00CF44FB" w:rsidRPr="000000EB" w:rsidRDefault="00CF44FB" w:rsidP="00B8509A">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540"/>
        <w:rPr>
          <w:rFonts w:ascii="Calibri" w:hAnsi="Calibri" w:cs="Arial"/>
          <w:color w:val="000000"/>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0000EB">
        <w:rPr>
          <w:rFonts w:ascii="Calibri" w:hAnsi="Calibri" w:cs="Arial"/>
          <w:b/>
          <w:sz w:val="24"/>
          <w:szCs w:val="24"/>
        </w:rPr>
        <w:t xml:space="preserve">3. </w:t>
      </w:r>
      <w:r w:rsidRPr="000000EB">
        <w:rPr>
          <w:rFonts w:ascii="Calibri" w:hAnsi="Calibri" w:cs="Arial"/>
          <w:b/>
          <w:sz w:val="24"/>
          <w:szCs w:val="24"/>
        </w:rPr>
        <w:tab/>
      </w:r>
      <w:r w:rsidRPr="007D4260">
        <w:rPr>
          <w:rFonts w:ascii="Calibri" w:hAnsi="Calibri" w:cs="Arial"/>
          <w:b/>
          <w:sz w:val="24"/>
          <w:szCs w:val="24"/>
          <w:u w:val="single"/>
        </w:rPr>
        <w:t>Use of Information Technology</w:t>
      </w:r>
      <w:r w:rsidRPr="000000EB">
        <w:rPr>
          <w:rFonts w:ascii="Calibri" w:hAnsi="Calibri" w:cs="Arial"/>
          <w:b/>
          <w:sz w:val="24"/>
          <w:szCs w:val="24"/>
        </w:rPr>
        <w:tab/>
      </w:r>
      <w:r w:rsidRPr="000000EB">
        <w:rPr>
          <w:rFonts w:ascii="Calibri" w:hAnsi="Calibri" w:cs="Arial"/>
          <w:b/>
          <w:sz w:val="24"/>
          <w:szCs w:val="24"/>
        </w:rPr>
        <w:tab/>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rsidR="00CF44FB" w:rsidRPr="000000EB" w:rsidRDefault="00CF44FB" w:rsidP="00B8509A">
      <w:pPr>
        <w:ind w:left="630"/>
        <w:rPr>
          <w:rFonts w:ascii="Calibri" w:hAnsi="Calibri" w:cs="Arial"/>
          <w:color w:val="000000"/>
          <w:sz w:val="24"/>
          <w:szCs w:val="24"/>
        </w:rPr>
      </w:pPr>
      <w:r w:rsidRPr="000000EB">
        <w:rPr>
          <w:rFonts w:ascii="Calibri" w:hAnsi="Calibri" w:cs="Arial"/>
          <w:sz w:val="24"/>
          <w:szCs w:val="24"/>
        </w:rPr>
        <w:t xml:space="preserve">Respondents </w:t>
      </w:r>
      <w:r w:rsidR="00256D11" w:rsidRPr="000000EB">
        <w:rPr>
          <w:rFonts w:ascii="Calibri" w:hAnsi="Calibri" w:cs="Arial"/>
          <w:sz w:val="24"/>
          <w:szCs w:val="24"/>
        </w:rPr>
        <w:t xml:space="preserve">to the NCVS </w:t>
      </w:r>
      <w:r w:rsidRPr="000000EB">
        <w:rPr>
          <w:rFonts w:ascii="Calibri" w:hAnsi="Calibri" w:cs="Arial"/>
          <w:sz w:val="24"/>
          <w:szCs w:val="24"/>
        </w:rPr>
        <w:t>are individuals</w:t>
      </w:r>
      <w:r w:rsidR="00D61396" w:rsidRPr="000000EB">
        <w:rPr>
          <w:rFonts w:ascii="Calibri" w:hAnsi="Calibri" w:cs="Arial"/>
          <w:sz w:val="24"/>
          <w:szCs w:val="24"/>
        </w:rPr>
        <w:t xml:space="preserve"> living in households</w:t>
      </w:r>
      <w:r w:rsidRPr="000000EB">
        <w:rPr>
          <w:rFonts w:ascii="Calibri" w:hAnsi="Calibri" w:cs="Arial"/>
          <w:sz w:val="24"/>
          <w:szCs w:val="24"/>
        </w:rPr>
        <w:t xml:space="preserve">.  The Census Bureau collects the data </w:t>
      </w:r>
      <w:r w:rsidR="00FE5F13">
        <w:rPr>
          <w:rFonts w:ascii="Calibri" w:hAnsi="Calibri" w:cs="Arial"/>
          <w:sz w:val="24"/>
          <w:szCs w:val="24"/>
        </w:rPr>
        <w:t xml:space="preserve">using </w:t>
      </w:r>
      <w:r w:rsidRPr="000000EB">
        <w:rPr>
          <w:rFonts w:ascii="Calibri" w:hAnsi="Calibri" w:cs="Arial"/>
          <w:sz w:val="24"/>
          <w:szCs w:val="24"/>
        </w:rPr>
        <w:t>in-person and telephon</w:t>
      </w:r>
      <w:r w:rsidR="005E7222" w:rsidRPr="000000EB">
        <w:rPr>
          <w:rFonts w:ascii="Calibri" w:hAnsi="Calibri" w:cs="Arial"/>
          <w:sz w:val="24"/>
          <w:szCs w:val="24"/>
        </w:rPr>
        <w:t>e</w:t>
      </w:r>
      <w:r w:rsidRPr="000000EB">
        <w:rPr>
          <w:rFonts w:ascii="Calibri" w:hAnsi="Calibri" w:cs="Arial"/>
          <w:sz w:val="24"/>
          <w:szCs w:val="24"/>
        </w:rPr>
        <w:t xml:space="preserve"> interviews.  I</w:t>
      </w:r>
      <w:r w:rsidRPr="000000EB">
        <w:rPr>
          <w:rFonts w:ascii="Calibri" w:hAnsi="Calibri" w:cs="Arial"/>
          <w:color w:val="000000"/>
          <w:sz w:val="24"/>
          <w:szCs w:val="24"/>
        </w:rPr>
        <w:t xml:space="preserve">n July 2006, field representatives began conducting interviews using computer-assisted personal interviewing (CAPI) methods. </w:t>
      </w:r>
      <w:r w:rsidR="00256D11" w:rsidRPr="000000EB">
        <w:rPr>
          <w:rFonts w:ascii="Calibri" w:hAnsi="Calibri" w:cs="Arial"/>
          <w:color w:val="000000"/>
          <w:sz w:val="24"/>
          <w:szCs w:val="24"/>
        </w:rPr>
        <w:t>Paper and pencil interviewing</w:t>
      </w:r>
      <w:r w:rsidR="00D61396" w:rsidRPr="000000EB">
        <w:rPr>
          <w:rFonts w:ascii="Calibri" w:hAnsi="Calibri" w:cs="Arial"/>
          <w:color w:val="000000"/>
          <w:sz w:val="24"/>
          <w:szCs w:val="24"/>
        </w:rPr>
        <w:t xml:space="preserve"> (PAPI)</w:t>
      </w:r>
      <w:r w:rsidR="00256D11" w:rsidRPr="000000EB">
        <w:rPr>
          <w:rFonts w:ascii="Calibri" w:hAnsi="Calibri" w:cs="Arial"/>
          <w:color w:val="000000"/>
          <w:sz w:val="24"/>
          <w:szCs w:val="24"/>
        </w:rPr>
        <w:t xml:space="preserve"> was discontinued when data collection with CAPI began.</w:t>
      </w:r>
      <w:r w:rsidR="00FE5F13">
        <w:rPr>
          <w:rFonts w:ascii="Calibri" w:hAnsi="Calibri" w:cs="Arial"/>
          <w:color w:val="000000"/>
          <w:sz w:val="24"/>
          <w:szCs w:val="24"/>
        </w:rPr>
        <w:t xml:space="preserve"> The NCVS continues to use CAPI to reduce cost and improve data quality, streamline processing, and eliminate the need for two different modes.</w:t>
      </w:r>
    </w:p>
    <w:p w:rsidR="00CF44FB" w:rsidRPr="000000EB" w:rsidRDefault="00CF44FB" w:rsidP="009A43E3">
      <w:pPr>
        <w:ind w:left="630"/>
        <w:rPr>
          <w:rFonts w:ascii="Calibri" w:hAnsi="Calibri" w:cs="Arial"/>
          <w:sz w:val="24"/>
          <w:szCs w:val="24"/>
        </w:rPr>
      </w:pPr>
      <w:r w:rsidRPr="000000EB">
        <w:rPr>
          <w:rFonts w:ascii="Calibri" w:hAnsi="Calibri" w:cs="Arial"/>
          <w:color w:val="000000"/>
          <w:sz w:val="24"/>
          <w:szCs w:val="24"/>
        </w:rPr>
        <w:t xml:space="preserve"> </w:t>
      </w:r>
      <w:r w:rsidRPr="000000EB">
        <w:rPr>
          <w:rFonts w:ascii="Calibri" w:hAnsi="Calibri" w:cs="Arial"/>
          <w:sz w:val="24"/>
          <w:szCs w:val="24"/>
        </w:rPr>
        <w:t xml:space="preserve">      </w:t>
      </w:r>
    </w:p>
    <w:p w:rsidR="00CF44FB" w:rsidRPr="007D4260" w:rsidRDefault="00CF44FB" w:rsidP="00B8509A">
      <w:pPr>
        <w:widowControl/>
        <w:numPr>
          <w:ilvl w:val="0"/>
          <w:numId w:val="5"/>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7D4260">
        <w:rPr>
          <w:rFonts w:ascii="Calibri" w:hAnsi="Calibri" w:cs="Arial"/>
          <w:b/>
          <w:sz w:val="24"/>
          <w:szCs w:val="24"/>
          <w:u w:val="single"/>
        </w:rPr>
        <w:t>Efforts to Identify Duplication</w:t>
      </w:r>
    </w:p>
    <w:p w:rsidR="00CF44FB"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sz w:val="24"/>
          <w:szCs w:val="24"/>
          <w:u w:val="single"/>
        </w:rPr>
      </w:pPr>
    </w:p>
    <w:p w:rsidR="00FA5790"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 xml:space="preserve">The NCVS does not duplicate any other effort in the field. </w:t>
      </w:r>
      <w:r w:rsidR="00FA5790" w:rsidRPr="000000EB">
        <w:rPr>
          <w:rFonts w:ascii="Calibri" w:hAnsi="Calibri" w:cs="Arial"/>
          <w:sz w:val="24"/>
          <w:szCs w:val="24"/>
        </w:rPr>
        <w:t xml:space="preserve">There is no other omnibus survey that can be used to generate </w:t>
      </w:r>
      <w:r w:rsidR="00AD000D">
        <w:rPr>
          <w:rFonts w:ascii="Calibri" w:hAnsi="Calibri" w:cs="Arial"/>
          <w:sz w:val="24"/>
          <w:szCs w:val="24"/>
        </w:rPr>
        <w:t xml:space="preserve">annual </w:t>
      </w:r>
      <w:r w:rsidR="00FA5790" w:rsidRPr="000000EB">
        <w:rPr>
          <w:rFonts w:ascii="Calibri" w:hAnsi="Calibri" w:cs="Arial"/>
          <w:sz w:val="24"/>
          <w:szCs w:val="24"/>
        </w:rPr>
        <w:t>national statistics on a range of crimes and victim responses to crimes regardless of whether the victimization was reported to the police.</w:t>
      </w:r>
    </w:p>
    <w:p w:rsidR="00A2559E" w:rsidRPr="000000EB" w:rsidRDefault="00A2559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83598F" w:rsidRPr="000000EB" w:rsidRDefault="0011520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The FBI’s</w:t>
      </w:r>
      <w:r w:rsidR="00CF44FB" w:rsidRPr="000000EB">
        <w:rPr>
          <w:rFonts w:ascii="Calibri" w:hAnsi="Calibri" w:cs="Arial"/>
          <w:sz w:val="24"/>
          <w:szCs w:val="24"/>
        </w:rPr>
        <w:t xml:space="preserve"> Uniform Crime Reports (UCR) data</w:t>
      </w:r>
      <w:r w:rsidR="00FA5790" w:rsidRPr="000000EB">
        <w:rPr>
          <w:rFonts w:ascii="Calibri" w:hAnsi="Calibri" w:cs="Arial"/>
          <w:sz w:val="24"/>
          <w:szCs w:val="24"/>
        </w:rPr>
        <w:t xml:space="preserve"> covers a similar range of crimes</w:t>
      </w:r>
      <w:r w:rsidRPr="000000EB">
        <w:rPr>
          <w:rFonts w:ascii="Calibri" w:hAnsi="Calibri" w:cs="Arial"/>
          <w:sz w:val="24"/>
          <w:szCs w:val="24"/>
        </w:rPr>
        <w:t xml:space="preserve"> as the NCVS</w:t>
      </w:r>
      <w:r w:rsidR="00FA5790" w:rsidRPr="000000EB">
        <w:rPr>
          <w:rFonts w:ascii="Calibri" w:hAnsi="Calibri" w:cs="Arial"/>
          <w:sz w:val="24"/>
          <w:szCs w:val="24"/>
        </w:rPr>
        <w:t xml:space="preserve">, but is limited to only those </w:t>
      </w:r>
      <w:r w:rsidRPr="000000EB">
        <w:rPr>
          <w:rFonts w:ascii="Calibri" w:hAnsi="Calibri" w:cs="Arial"/>
          <w:sz w:val="24"/>
          <w:szCs w:val="24"/>
        </w:rPr>
        <w:t xml:space="preserve">crimes </w:t>
      </w:r>
      <w:r w:rsidR="00FA5790" w:rsidRPr="000000EB">
        <w:rPr>
          <w:rFonts w:ascii="Calibri" w:hAnsi="Calibri" w:cs="Arial"/>
          <w:sz w:val="24"/>
          <w:szCs w:val="24"/>
        </w:rPr>
        <w:t>known to the police</w:t>
      </w:r>
      <w:r w:rsidRPr="000000EB">
        <w:rPr>
          <w:rFonts w:ascii="Calibri" w:hAnsi="Calibri" w:cs="Arial"/>
          <w:sz w:val="24"/>
          <w:szCs w:val="24"/>
        </w:rPr>
        <w:t xml:space="preserve">. The UCR data is also limited by a lack of information on the characteristics of victims and </w:t>
      </w:r>
      <w:r w:rsidR="00AD000D">
        <w:rPr>
          <w:rFonts w:ascii="Calibri" w:hAnsi="Calibri" w:cs="Arial"/>
          <w:sz w:val="24"/>
          <w:szCs w:val="24"/>
        </w:rPr>
        <w:t>incidents</w:t>
      </w:r>
      <w:r w:rsidRPr="000000EB">
        <w:rPr>
          <w:rFonts w:ascii="Calibri" w:hAnsi="Calibri" w:cs="Arial"/>
          <w:sz w:val="24"/>
          <w:szCs w:val="24"/>
        </w:rPr>
        <w:t xml:space="preserve">. </w:t>
      </w:r>
    </w:p>
    <w:p w:rsidR="0083598F" w:rsidRPr="000000EB" w:rsidRDefault="0083598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D704E1" w:rsidRPr="000000EB" w:rsidRDefault="003878E7"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 xml:space="preserve">The FBI’s National Incident-Based Reporting System </w:t>
      </w:r>
      <w:r w:rsidR="00200A78" w:rsidRPr="000000EB">
        <w:rPr>
          <w:rFonts w:ascii="Calibri" w:hAnsi="Calibri" w:cs="Arial"/>
          <w:sz w:val="24"/>
          <w:szCs w:val="24"/>
        </w:rPr>
        <w:t xml:space="preserve">(NIBRS) </w:t>
      </w:r>
      <w:r w:rsidR="001D70BA" w:rsidRPr="000000EB">
        <w:rPr>
          <w:rFonts w:ascii="Calibri" w:hAnsi="Calibri" w:cs="Arial"/>
          <w:sz w:val="24"/>
          <w:szCs w:val="24"/>
        </w:rPr>
        <w:t xml:space="preserve">also </w:t>
      </w:r>
      <w:r w:rsidRPr="000000EB">
        <w:rPr>
          <w:rFonts w:ascii="Calibri" w:hAnsi="Calibri" w:cs="Arial"/>
          <w:sz w:val="24"/>
          <w:szCs w:val="24"/>
        </w:rPr>
        <w:t>includes similar crimes as the NCVS</w:t>
      </w:r>
      <w:r w:rsidR="00200A78" w:rsidRPr="000000EB">
        <w:rPr>
          <w:rFonts w:ascii="Calibri" w:hAnsi="Calibri" w:cs="Arial"/>
          <w:sz w:val="24"/>
          <w:szCs w:val="24"/>
        </w:rPr>
        <w:t xml:space="preserve"> (as well as a number of additional offense types) and collects basic demographic data on the age, sex, and race of </w:t>
      </w:r>
      <w:r w:rsidR="00AD000D">
        <w:rPr>
          <w:rFonts w:ascii="Calibri" w:hAnsi="Calibri" w:cs="Arial"/>
          <w:sz w:val="24"/>
          <w:szCs w:val="24"/>
        </w:rPr>
        <w:t xml:space="preserve">victim and </w:t>
      </w:r>
      <w:r w:rsidR="00200A78" w:rsidRPr="000000EB">
        <w:rPr>
          <w:rFonts w:ascii="Calibri" w:hAnsi="Calibri" w:cs="Arial"/>
          <w:sz w:val="24"/>
          <w:szCs w:val="24"/>
        </w:rPr>
        <w:t>offenders. Like the UCR, NIBRS includes only crimes known to police</w:t>
      </w:r>
      <w:r w:rsidR="00551795" w:rsidRPr="000000EB">
        <w:rPr>
          <w:rFonts w:ascii="Calibri" w:hAnsi="Calibri" w:cs="Arial"/>
          <w:sz w:val="24"/>
          <w:szCs w:val="24"/>
        </w:rPr>
        <w:t>.</w:t>
      </w:r>
      <w:r w:rsidR="00200A78" w:rsidRPr="000000EB">
        <w:rPr>
          <w:rFonts w:ascii="Calibri" w:hAnsi="Calibri" w:cs="Arial"/>
          <w:sz w:val="24"/>
          <w:szCs w:val="24"/>
        </w:rPr>
        <w:t xml:space="preserve"> It is also limited by a lack of information on the victi</w:t>
      </w:r>
      <w:r w:rsidR="00551795" w:rsidRPr="000000EB">
        <w:rPr>
          <w:rFonts w:ascii="Calibri" w:hAnsi="Calibri" w:cs="Arial"/>
          <w:sz w:val="24"/>
          <w:szCs w:val="24"/>
        </w:rPr>
        <w:t xml:space="preserve">m response to criminal incidents. To date, </w:t>
      </w:r>
      <w:r w:rsidR="008C0F30">
        <w:rPr>
          <w:rFonts w:ascii="Calibri" w:hAnsi="Calibri" w:cs="Arial"/>
          <w:sz w:val="24"/>
          <w:szCs w:val="24"/>
        </w:rPr>
        <w:t>about a third</w:t>
      </w:r>
      <w:r w:rsidR="00551795" w:rsidRPr="000000EB">
        <w:rPr>
          <w:rFonts w:ascii="Calibri" w:hAnsi="Calibri" w:cs="Arial"/>
          <w:sz w:val="24"/>
          <w:szCs w:val="24"/>
        </w:rPr>
        <w:t xml:space="preserve"> of </w:t>
      </w:r>
      <w:r w:rsidR="008C0F30">
        <w:rPr>
          <w:rFonts w:ascii="Calibri" w:hAnsi="Calibri" w:cs="Arial"/>
          <w:sz w:val="24"/>
          <w:szCs w:val="24"/>
        </w:rPr>
        <w:t xml:space="preserve">all </w:t>
      </w:r>
      <w:r w:rsidR="00551795" w:rsidRPr="000000EB">
        <w:rPr>
          <w:rFonts w:ascii="Calibri" w:hAnsi="Calibri" w:cs="Arial"/>
          <w:sz w:val="24"/>
          <w:szCs w:val="24"/>
        </w:rPr>
        <w:t>law enforcement agencies report NIBRS data to the FBI.</w:t>
      </w:r>
      <w:r w:rsidR="00551795" w:rsidRPr="000000EB">
        <w:rPr>
          <w:rStyle w:val="FootnoteReference"/>
          <w:rFonts w:ascii="Calibri" w:hAnsi="Calibri" w:cs="Arial"/>
          <w:sz w:val="24"/>
          <w:szCs w:val="24"/>
        </w:rPr>
        <w:footnoteReference w:id="6"/>
      </w:r>
      <w:r w:rsidR="00551795" w:rsidRPr="000000EB">
        <w:rPr>
          <w:rFonts w:ascii="Calibri" w:hAnsi="Calibri" w:cs="Arial"/>
          <w:sz w:val="24"/>
          <w:szCs w:val="24"/>
        </w:rPr>
        <w:t xml:space="preserve"> The</w:t>
      </w:r>
      <w:r w:rsidR="008C0F30">
        <w:rPr>
          <w:rFonts w:ascii="Calibri" w:hAnsi="Calibri" w:cs="Arial"/>
          <w:sz w:val="24"/>
          <w:szCs w:val="24"/>
        </w:rPr>
        <w:t>se</w:t>
      </w:r>
      <w:r w:rsidR="00551795" w:rsidRPr="000000EB">
        <w:rPr>
          <w:rFonts w:ascii="Calibri" w:hAnsi="Calibri" w:cs="Arial"/>
          <w:sz w:val="24"/>
          <w:szCs w:val="24"/>
        </w:rPr>
        <w:t xml:space="preserve"> reporting agencies cover </w:t>
      </w:r>
      <w:r w:rsidR="008C0F30">
        <w:rPr>
          <w:rFonts w:ascii="Calibri" w:hAnsi="Calibri" w:cs="Arial"/>
          <w:sz w:val="24"/>
          <w:szCs w:val="24"/>
        </w:rPr>
        <w:t>only a portion</w:t>
      </w:r>
      <w:r w:rsidR="00551795" w:rsidRPr="000000EB">
        <w:rPr>
          <w:rFonts w:ascii="Calibri" w:hAnsi="Calibri" w:cs="Arial"/>
          <w:sz w:val="24"/>
          <w:szCs w:val="24"/>
        </w:rPr>
        <w:t xml:space="preserve"> of the population of the United States, meaning that the data are not nationally representative</w:t>
      </w:r>
      <w:r w:rsidR="00AD000D">
        <w:rPr>
          <w:rFonts w:ascii="Calibri" w:hAnsi="Calibri" w:cs="Arial"/>
          <w:sz w:val="24"/>
          <w:szCs w:val="24"/>
        </w:rPr>
        <w:t>.</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CF44FB" w:rsidRPr="007D4260" w:rsidRDefault="008C0F30" w:rsidP="00B8509A">
      <w:pPr>
        <w:widowControl/>
        <w:numPr>
          <w:ilvl w:val="0"/>
          <w:numId w:val="5"/>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4"/>
        <w:rPr>
          <w:rFonts w:ascii="Calibri" w:hAnsi="Calibri" w:cs="Arial"/>
          <w:b/>
          <w:sz w:val="24"/>
          <w:szCs w:val="24"/>
          <w:u w:val="single"/>
        </w:rPr>
      </w:pPr>
      <w:r>
        <w:rPr>
          <w:rFonts w:ascii="Calibri" w:hAnsi="Calibri" w:cs="Arial"/>
          <w:b/>
          <w:sz w:val="24"/>
          <w:szCs w:val="24"/>
          <w:u w:val="single"/>
        </w:rPr>
        <w:t xml:space="preserve">Efforts to </w:t>
      </w:r>
      <w:r w:rsidR="00CF44FB" w:rsidRPr="007D4260">
        <w:rPr>
          <w:rFonts w:ascii="Calibri" w:hAnsi="Calibri" w:cs="Arial"/>
          <w:b/>
          <w:sz w:val="24"/>
          <w:szCs w:val="24"/>
          <w:u w:val="single"/>
        </w:rPr>
        <w:t>Minimiz</w:t>
      </w:r>
      <w:r>
        <w:rPr>
          <w:rFonts w:ascii="Calibri" w:hAnsi="Calibri" w:cs="Arial"/>
          <w:b/>
          <w:sz w:val="24"/>
          <w:szCs w:val="24"/>
          <w:u w:val="single"/>
        </w:rPr>
        <w:t>e</w:t>
      </w:r>
      <w:r w:rsidR="00CF44FB" w:rsidRPr="007D4260">
        <w:rPr>
          <w:rFonts w:ascii="Calibri" w:hAnsi="Calibri" w:cs="Arial"/>
          <w:b/>
          <w:sz w:val="24"/>
          <w:szCs w:val="24"/>
          <w:u w:val="single"/>
        </w:rPr>
        <w:t xml:space="preserve"> Burden</w:t>
      </w:r>
    </w:p>
    <w:p w:rsidR="00CF44FB"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CF44FB" w:rsidRPr="007D4260"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7D4260">
        <w:rPr>
          <w:rFonts w:ascii="Calibri" w:hAnsi="Calibri" w:cs="Arial"/>
          <w:sz w:val="24"/>
          <w:szCs w:val="24"/>
        </w:rPr>
        <w:t>N/A.  The NCVS is a household-based sample and does not impact small businesses or small entities.</w:t>
      </w:r>
    </w:p>
    <w:p w:rsidR="00CF44FB" w:rsidRPr="007D4260"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rPr>
      </w:pPr>
    </w:p>
    <w:p w:rsidR="00CF44FB" w:rsidRPr="007D4260" w:rsidRDefault="006922B9" w:rsidP="00B8509A">
      <w:pPr>
        <w:widowControl/>
        <w:numPr>
          <w:ilvl w:val="0"/>
          <w:numId w:val="5"/>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7D4260">
        <w:rPr>
          <w:rFonts w:ascii="Calibri" w:hAnsi="Calibri" w:cs="Arial"/>
          <w:b/>
          <w:sz w:val="24"/>
          <w:szCs w:val="24"/>
        </w:rPr>
        <w:t xml:space="preserve"> </w:t>
      </w:r>
      <w:r w:rsidR="00CF44FB" w:rsidRPr="007D4260">
        <w:rPr>
          <w:rFonts w:ascii="Calibri" w:hAnsi="Calibri" w:cs="Arial"/>
          <w:b/>
          <w:sz w:val="24"/>
          <w:szCs w:val="24"/>
          <w:u w:val="single"/>
        </w:rPr>
        <w:t>Consequences of Less Frequent Collection</w:t>
      </w:r>
    </w:p>
    <w:p w:rsidR="00CF44FB" w:rsidRPr="007D4260"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C26617" w:rsidRPr="000000EB" w:rsidRDefault="0081301F" w:rsidP="0081301F">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7D4260">
        <w:rPr>
          <w:rFonts w:ascii="Calibri" w:hAnsi="Calibri" w:cs="Arial"/>
          <w:sz w:val="24"/>
          <w:szCs w:val="24"/>
        </w:rPr>
        <w:t xml:space="preserve">There are several reasons why it is necessary to </w:t>
      </w:r>
      <w:r w:rsidR="009942C0">
        <w:rPr>
          <w:rFonts w:ascii="Calibri" w:hAnsi="Calibri" w:cs="Arial"/>
          <w:sz w:val="24"/>
          <w:szCs w:val="24"/>
        </w:rPr>
        <w:t xml:space="preserve">do an ongoing </w:t>
      </w:r>
      <w:r w:rsidRPr="007D4260">
        <w:rPr>
          <w:rFonts w:ascii="Calibri" w:hAnsi="Calibri" w:cs="Arial"/>
          <w:sz w:val="24"/>
          <w:szCs w:val="24"/>
        </w:rPr>
        <w:t>collect</w:t>
      </w:r>
      <w:r w:rsidR="009942C0">
        <w:rPr>
          <w:rFonts w:ascii="Calibri" w:hAnsi="Calibri" w:cs="Arial"/>
          <w:sz w:val="24"/>
          <w:szCs w:val="24"/>
        </w:rPr>
        <w:t xml:space="preserve">ion of the </w:t>
      </w:r>
      <w:r w:rsidRPr="007D4260">
        <w:rPr>
          <w:rFonts w:ascii="Calibri" w:hAnsi="Calibri" w:cs="Arial"/>
          <w:sz w:val="24"/>
          <w:szCs w:val="24"/>
        </w:rPr>
        <w:t xml:space="preserve">NCVS data. First, </w:t>
      </w:r>
      <w:r w:rsidR="005E7222" w:rsidRPr="007D4260">
        <w:rPr>
          <w:rFonts w:ascii="Calibri" w:hAnsi="Calibri" w:cs="Arial"/>
          <w:sz w:val="24"/>
          <w:szCs w:val="24"/>
        </w:rPr>
        <w:t>t</w:t>
      </w:r>
      <w:r w:rsidR="00CF44FB" w:rsidRPr="007D4260">
        <w:rPr>
          <w:rFonts w:ascii="Calibri" w:hAnsi="Calibri" w:cs="Arial"/>
          <w:sz w:val="24"/>
          <w:szCs w:val="24"/>
        </w:rPr>
        <w:t>o produce a</w:t>
      </w:r>
      <w:r w:rsidR="005E7222" w:rsidRPr="007D4260">
        <w:rPr>
          <w:rFonts w:ascii="Calibri" w:hAnsi="Calibri" w:cs="Arial"/>
          <w:sz w:val="24"/>
          <w:szCs w:val="24"/>
        </w:rPr>
        <w:t xml:space="preserve">nnual estimates </w:t>
      </w:r>
      <w:r w:rsidR="0076538C" w:rsidRPr="007D4260">
        <w:rPr>
          <w:rFonts w:ascii="Calibri" w:hAnsi="Calibri" w:cs="Arial"/>
          <w:sz w:val="24"/>
          <w:szCs w:val="24"/>
        </w:rPr>
        <w:t>and track year-to-year change in crime</w:t>
      </w:r>
      <w:r w:rsidR="005E7222" w:rsidRPr="007D4260">
        <w:rPr>
          <w:rFonts w:ascii="Calibri" w:hAnsi="Calibri" w:cs="Arial"/>
          <w:sz w:val="24"/>
          <w:szCs w:val="24"/>
        </w:rPr>
        <w:t xml:space="preserve">, </w:t>
      </w:r>
      <w:r w:rsidRPr="007D4260">
        <w:rPr>
          <w:rFonts w:ascii="Calibri" w:hAnsi="Calibri" w:cs="Arial"/>
          <w:sz w:val="24"/>
          <w:szCs w:val="24"/>
        </w:rPr>
        <w:t>data must be collected</w:t>
      </w:r>
      <w:r w:rsidR="005E7222" w:rsidRPr="007D4260">
        <w:rPr>
          <w:rFonts w:ascii="Calibri" w:hAnsi="Calibri" w:cs="Arial"/>
          <w:sz w:val="24"/>
          <w:szCs w:val="24"/>
        </w:rPr>
        <w:t xml:space="preserve"> </w:t>
      </w:r>
      <w:r w:rsidRPr="007D4260">
        <w:rPr>
          <w:rFonts w:ascii="Calibri" w:hAnsi="Calibri" w:cs="Arial"/>
          <w:sz w:val="24"/>
          <w:szCs w:val="24"/>
        </w:rPr>
        <w:t xml:space="preserve">on an </w:t>
      </w:r>
      <w:r w:rsidR="005E7222" w:rsidRPr="007D4260">
        <w:rPr>
          <w:rFonts w:ascii="Calibri" w:hAnsi="Calibri" w:cs="Arial"/>
          <w:sz w:val="24"/>
          <w:szCs w:val="24"/>
        </w:rPr>
        <w:t>ongoing basis.</w:t>
      </w:r>
      <w:r w:rsidR="00CF44FB" w:rsidRPr="007D4260">
        <w:rPr>
          <w:rFonts w:ascii="Calibri" w:hAnsi="Calibri" w:cs="Arial"/>
          <w:sz w:val="24"/>
          <w:szCs w:val="24"/>
        </w:rPr>
        <w:t xml:space="preserve"> </w:t>
      </w:r>
      <w:r w:rsidRPr="007D4260">
        <w:rPr>
          <w:rFonts w:ascii="Calibri" w:hAnsi="Calibri" w:cs="Arial"/>
          <w:sz w:val="24"/>
          <w:szCs w:val="24"/>
        </w:rPr>
        <w:t>Second, because of the relative</w:t>
      </w:r>
      <w:r w:rsidR="00294193" w:rsidRPr="007D4260">
        <w:rPr>
          <w:rFonts w:ascii="Calibri" w:hAnsi="Calibri" w:cs="Arial"/>
          <w:sz w:val="24"/>
          <w:szCs w:val="24"/>
        </w:rPr>
        <w:t xml:space="preserve"> rarity of crime and declining crime rates, rolling averages often must be used to increase the precision of </w:t>
      </w:r>
      <w:r w:rsidR="00CA117E" w:rsidRPr="007D4260">
        <w:rPr>
          <w:rFonts w:ascii="Calibri" w:hAnsi="Calibri" w:cs="Arial"/>
          <w:sz w:val="24"/>
          <w:szCs w:val="24"/>
        </w:rPr>
        <w:t xml:space="preserve">national </w:t>
      </w:r>
      <w:r w:rsidR="00294193" w:rsidRPr="007D4260">
        <w:rPr>
          <w:rFonts w:ascii="Calibri" w:hAnsi="Calibri" w:cs="Arial"/>
          <w:sz w:val="24"/>
          <w:szCs w:val="24"/>
        </w:rPr>
        <w:t>estimates that are based on small</w:t>
      </w:r>
      <w:r w:rsidR="00294193" w:rsidRPr="000000EB">
        <w:rPr>
          <w:rFonts w:ascii="Calibri" w:hAnsi="Calibri" w:cs="Arial"/>
          <w:sz w:val="24"/>
          <w:szCs w:val="24"/>
        </w:rPr>
        <w:t xml:space="preserve"> sample sizes</w:t>
      </w:r>
      <w:r w:rsidR="00A2559E" w:rsidRPr="000000EB">
        <w:rPr>
          <w:rFonts w:ascii="Calibri" w:hAnsi="Calibri" w:cs="Arial"/>
          <w:sz w:val="24"/>
          <w:szCs w:val="24"/>
        </w:rPr>
        <w:t xml:space="preserve">, such as estimates for populations like </w:t>
      </w:r>
      <w:r w:rsidR="00DF37A0">
        <w:rPr>
          <w:rFonts w:ascii="Calibri" w:hAnsi="Calibri" w:cs="Arial"/>
          <w:sz w:val="24"/>
          <w:szCs w:val="24"/>
        </w:rPr>
        <w:t>the elder</w:t>
      </w:r>
      <w:r w:rsidR="00AC1D84">
        <w:rPr>
          <w:rFonts w:ascii="Calibri" w:hAnsi="Calibri" w:cs="Arial"/>
          <w:sz w:val="24"/>
          <w:szCs w:val="24"/>
        </w:rPr>
        <w:t>l</w:t>
      </w:r>
      <w:r w:rsidR="00DF37A0">
        <w:rPr>
          <w:rFonts w:ascii="Calibri" w:hAnsi="Calibri" w:cs="Arial"/>
          <w:sz w:val="24"/>
          <w:szCs w:val="24"/>
        </w:rPr>
        <w:t>y</w:t>
      </w:r>
      <w:r w:rsidR="00F22069" w:rsidRPr="000000EB">
        <w:rPr>
          <w:rFonts w:ascii="Calibri" w:hAnsi="Calibri" w:cs="Arial"/>
          <w:sz w:val="24"/>
          <w:szCs w:val="24"/>
        </w:rPr>
        <w:t xml:space="preserve"> and victims of sexual assault</w:t>
      </w:r>
      <w:r w:rsidR="00A2559E" w:rsidRPr="000000EB">
        <w:rPr>
          <w:rFonts w:ascii="Calibri" w:hAnsi="Calibri" w:cs="Arial"/>
          <w:sz w:val="24"/>
          <w:szCs w:val="24"/>
        </w:rPr>
        <w:t>.</w:t>
      </w:r>
      <w:r w:rsidR="00294193" w:rsidRPr="000000EB">
        <w:rPr>
          <w:rFonts w:ascii="Calibri" w:hAnsi="Calibri" w:cs="Arial"/>
          <w:sz w:val="24"/>
          <w:szCs w:val="24"/>
        </w:rPr>
        <w:t xml:space="preserve">  </w:t>
      </w:r>
      <w:r w:rsidRPr="000000EB">
        <w:rPr>
          <w:rFonts w:ascii="Calibri" w:hAnsi="Calibri" w:cs="Arial"/>
          <w:sz w:val="24"/>
          <w:szCs w:val="24"/>
        </w:rPr>
        <w:t xml:space="preserve">Rolling averages are also necessary for generating </w:t>
      </w:r>
      <w:r w:rsidR="00DF37A0">
        <w:rPr>
          <w:rFonts w:ascii="Calibri" w:hAnsi="Calibri" w:cs="Arial"/>
          <w:sz w:val="24"/>
          <w:szCs w:val="24"/>
        </w:rPr>
        <w:t xml:space="preserve">precise </w:t>
      </w:r>
      <w:r w:rsidRPr="000000EB">
        <w:rPr>
          <w:rFonts w:ascii="Calibri" w:hAnsi="Calibri" w:cs="Arial"/>
          <w:sz w:val="24"/>
          <w:szCs w:val="24"/>
        </w:rPr>
        <w:t xml:space="preserve">state-level estimates of victimization. </w:t>
      </w:r>
      <w:r w:rsidR="009942C0">
        <w:rPr>
          <w:rFonts w:ascii="Calibri" w:hAnsi="Calibri" w:cs="Arial"/>
          <w:sz w:val="24"/>
          <w:szCs w:val="24"/>
        </w:rPr>
        <w:t>T</w:t>
      </w:r>
      <w:r w:rsidR="00294193" w:rsidRPr="000000EB">
        <w:rPr>
          <w:rFonts w:ascii="Calibri" w:hAnsi="Calibri" w:cs="Arial"/>
          <w:sz w:val="24"/>
          <w:szCs w:val="24"/>
        </w:rPr>
        <w:t xml:space="preserve">o produce rolling averages and generate victimization </w:t>
      </w:r>
      <w:r w:rsidRPr="000000EB">
        <w:rPr>
          <w:rFonts w:ascii="Calibri" w:hAnsi="Calibri" w:cs="Arial"/>
          <w:sz w:val="24"/>
          <w:szCs w:val="24"/>
        </w:rPr>
        <w:t>estimates for subpopulations,</w:t>
      </w:r>
      <w:r w:rsidR="00294193" w:rsidRPr="000000EB">
        <w:rPr>
          <w:rFonts w:ascii="Calibri" w:hAnsi="Calibri" w:cs="Arial"/>
          <w:sz w:val="24"/>
          <w:szCs w:val="24"/>
        </w:rPr>
        <w:t xml:space="preserve"> </w:t>
      </w:r>
      <w:r w:rsidR="00C26617" w:rsidRPr="000000EB">
        <w:rPr>
          <w:rFonts w:ascii="Calibri" w:hAnsi="Calibri" w:cs="Arial"/>
          <w:sz w:val="24"/>
          <w:szCs w:val="24"/>
        </w:rPr>
        <w:t>specific crime character</w:t>
      </w:r>
      <w:r w:rsidRPr="000000EB">
        <w:rPr>
          <w:rFonts w:ascii="Calibri" w:hAnsi="Calibri" w:cs="Arial"/>
          <w:sz w:val="24"/>
          <w:szCs w:val="24"/>
        </w:rPr>
        <w:t>istics, and at the state and local level</w:t>
      </w:r>
      <w:r w:rsidR="00506A84">
        <w:rPr>
          <w:rFonts w:ascii="Calibri" w:hAnsi="Calibri" w:cs="Arial"/>
          <w:sz w:val="24"/>
          <w:szCs w:val="24"/>
        </w:rPr>
        <w:t>s</w:t>
      </w:r>
      <w:r w:rsidRPr="000000EB">
        <w:rPr>
          <w:rFonts w:ascii="Calibri" w:hAnsi="Calibri" w:cs="Arial"/>
          <w:sz w:val="24"/>
          <w:szCs w:val="24"/>
        </w:rPr>
        <w:t>, annual data are necessary. Third, i</w:t>
      </w:r>
      <w:r w:rsidR="00EB2B79" w:rsidRPr="000000EB">
        <w:rPr>
          <w:rFonts w:ascii="Calibri" w:hAnsi="Calibri" w:cs="Arial"/>
          <w:sz w:val="24"/>
          <w:szCs w:val="24"/>
        </w:rPr>
        <w:t>f the data w</w:t>
      </w:r>
      <w:r w:rsidR="004C3E3E" w:rsidRPr="000000EB">
        <w:rPr>
          <w:rFonts w:ascii="Calibri" w:hAnsi="Calibri" w:cs="Arial"/>
          <w:sz w:val="24"/>
          <w:szCs w:val="24"/>
        </w:rPr>
        <w:t>ere</w:t>
      </w:r>
      <w:r w:rsidR="00EB2B79" w:rsidRPr="000000EB">
        <w:rPr>
          <w:rFonts w:ascii="Calibri" w:hAnsi="Calibri" w:cs="Arial"/>
          <w:sz w:val="24"/>
          <w:szCs w:val="24"/>
        </w:rPr>
        <w:t xml:space="preserve"> collected at </w:t>
      </w:r>
      <w:r w:rsidR="004C3E3E" w:rsidRPr="000000EB">
        <w:rPr>
          <w:rFonts w:ascii="Calibri" w:hAnsi="Calibri" w:cs="Arial"/>
          <w:sz w:val="24"/>
          <w:szCs w:val="24"/>
        </w:rPr>
        <w:t xml:space="preserve">a </w:t>
      </w:r>
      <w:r w:rsidR="00EB2B79" w:rsidRPr="000000EB">
        <w:rPr>
          <w:rFonts w:ascii="Calibri" w:hAnsi="Calibri" w:cs="Arial"/>
          <w:sz w:val="24"/>
          <w:szCs w:val="24"/>
        </w:rPr>
        <w:t>single point</w:t>
      </w:r>
      <w:r w:rsidR="004C3E3E" w:rsidRPr="000000EB">
        <w:rPr>
          <w:rFonts w:ascii="Calibri" w:hAnsi="Calibri" w:cs="Arial"/>
          <w:sz w:val="24"/>
          <w:szCs w:val="24"/>
        </w:rPr>
        <w:t xml:space="preserve"> in time</w:t>
      </w:r>
      <w:r w:rsidR="00EB2B79" w:rsidRPr="000000EB">
        <w:rPr>
          <w:rFonts w:ascii="Calibri" w:hAnsi="Calibri" w:cs="Arial"/>
          <w:sz w:val="24"/>
          <w:szCs w:val="24"/>
        </w:rPr>
        <w:t xml:space="preserve"> biannually or annually rather than on a continuous basis, the survey would be more costly due to start-up and </w:t>
      </w:r>
      <w:r w:rsidR="009942C0">
        <w:rPr>
          <w:rFonts w:ascii="Calibri" w:hAnsi="Calibri" w:cs="Arial"/>
          <w:sz w:val="24"/>
          <w:szCs w:val="24"/>
        </w:rPr>
        <w:t xml:space="preserve">interviewer </w:t>
      </w:r>
      <w:r w:rsidR="00EB2B79" w:rsidRPr="000000EB">
        <w:rPr>
          <w:rFonts w:ascii="Calibri" w:hAnsi="Calibri" w:cs="Arial"/>
          <w:sz w:val="24"/>
          <w:szCs w:val="24"/>
        </w:rPr>
        <w:t xml:space="preserve">training costs. </w:t>
      </w:r>
    </w:p>
    <w:p w:rsidR="00762938" w:rsidRPr="000000EB" w:rsidRDefault="00762938"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rsidR="00724A93" w:rsidRPr="000000EB" w:rsidRDefault="00724A93"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color w:val="000000"/>
          <w:sz w:val="24"/>
          <w:szCs w:val="24"/>
        </w:rPr>
        <w:t xml:space="preserve">If the NCVS program were discontinued or conducted on a less frequent basis, executive and legislative branch policymakers would no longer have </w:t>
      </w:r>
      <w:r w:rsidR="00DC55CE" w:rsidRPr="000000EB">
        <w:rPr>
          <w:rFonts w:ascii="Calibri" w:hAnsi="Calibri" w:cs="Arial"/>
          <w:color w:val="000000"/>
          <w:sz w:val="24"/>
          <w:szCs w:val="24"/>
        </w:rPr>
        <w:t>detailed crime and victimization data, including the demographic, victim response, and incident characteristic information</w:t>
      </w:r>
      <w:r w:rsidRPr="000000EB">
        <w:rPr>
          <w:rFonts w:ascii="Calibri" w:hAnsi="Calibri" w:cs="Arial"/>
          <w:color w:val="000000"/>
          <w:sz w:val="24"/>
          <w:szCs w:val="24"/>
        </w:rPr>
        <w:t xml:space="preserve"> </w:t>
      </w:r>
      <w:r w:rsidR="00DC55CE" w:rsidRPr="000000EB">
        <w:rPr>
          <w:rFonts w:ascii="Calibri" w:hAnsi="Calibri" w:cs="Arial"/>
          <w:color w:val="000000"/>
          <w:sz w:val="24"/>
          <w:szCs w:val="24"/>
        </w:rPr>
        <w:t xml:space="preserve">not collected through the FBI, </w:t>
      </w:r>
      <w:r w:rsidRPr="000000EB">
        <w:rPr>
          <w:rFonts w:ascii="Calibri" w:hAnsi="Calibri" w:cs="Arial"/>
          <w:color w:val="000000"/>
          <w:sz w:val="24"/>
          <w:szCs w:val="24"/>
        </w:rPr>
        <w:t>available when making deci</w:t>
      </w:r>
      <w:r w:rsidR="00DC55CE" w:rsidRPr="000000EB">
        <w:rPr>
          <w:rFonts w:ascii="Calibri" w:hAnsi="Calibri" w:cs="Arial"/>
          <w:color w:val="000000"/>
          <w:sz w:val="24"/>
          <w:szCs w:val="24"/>
        </w:rPr>
        <w:t>sions o</w:t>
      </w:r>
      <w:r w:rsidR="009942C0">
        <w:rPr>
          <w:rFonts w:ascii="Calibri" w:hAnsi="Calibri" w:cs="Arial"/>
          <w:color w:val="000000"/>
          <w:sz w:val="24"/>
          <w:szCs w:val="24"/>
        </w:rPr>
        <w:t>r</w:t>
      </w:r>
      <w:r w:rsidR="00DC55CE" w:rsidRPr="000000EB">
        <w:rPr>
          <w:rFonts w:ascii="Calibri" w:hAnsi="Calibri" w:cs="Arial"/>
          <w:color w:val="000000"/>
          <w:sz w:val="24"/>
          <w:szCs w:val="24"/>
        </w:rPr>
        <w:t xml:space="preserve"> formulating legislation</w:t>
      </w:r>
      <w:r w:rsidRPr="000000EB">
        <w:rPr>
          <w:rFonts w:ascii="Calibri" w:hAnsi="Calibri" w:cs="Arial"/>
          <w:color w:val="000000"/>
          <w:sz w:val="24"/>
          <w:szCs w:val="24"/>
        </w:rPr>
        <w:t xml:space="preserve">. </w:t>
      </w:r>
      <w:r w:rsidR="00DC55CE" w:rsidRPr="000000EB">
        <w:rPr>
          <w:rFonts w:ascii="Calibri" w:hAnsi="Calibri" w:cs="Arial"/>
          <w:color w:val="000000"/>
          <w:sz w:val="24"/>
          <w:szCs w:val="24"/>
        </w:rPr>
        <w:t xml:space="preserve">Additionally, </w:t>
      </w:r>
      <w:r w:rsidRPr="000000EB">
        <w:rPr>
          <w:rFonts w:ascii="Calibri" w:hAnsi="Calibri" w:cs="Arial"/>
          <w:color w:val="000000"/>
          <w:sz w:val="24"/>
          <w:szCs w:val="24"/>
        </w:rPr>
        <w:t>there would b</w:t>
      </w:r>
      <w:r w:rsidR="00DC55CE" w:rsidRPr="000000EB">
        <w:rPr>
          <w:rFonts w:ascii="Calibri" w:hAnsi="Calibri" w:cs="Arial"/>
          <w:color w:val="000000"/>
          <w:sz w:val="24"/>
          <w:szCs w:val="24"/>
        </w:rPr>
        <w:t>e no reliable measure of change</w:t>
      </w:r>
      <w:r w:rsidRPr="000000EB">
        <w:rPr>
          <w:rFonts w:ascii="Calibri" w:hAnsi="Calibri" w:cs="Arial"/>
          <w:color w:val="000000"/>
          <w:sz w:val="24"/>
          <w:szCs w:val="24"/>
        </w:rPr>
        <w:t xml:space="preserve"> in the rate of serious crime for the United States that include</w:t>
      </w:r>
      <w:r w:rsidR="00DC55CE" w:rsidRPr="000000EB">
        <w:rPr>
          <w:rFonts w:ascii="Calibri" w:hAnsi="Calibri" w:cs="Arial"/>
          <w:color w:val="000000"/>
          <w:sz w:val="24"/>
          <w:szCs w:val="24"/>
        </w:rPr>
        <w:t>s</w:t>
      </w:r>
      <w:r w:rsidRPr="000000EB">
        <w:rPr>
          <w:rFonts w:ascii="Calibri" w:hAnsi="Calibri" w:cs="Arial"/>
          <w:color w:val="000000"/>
          <w:sz w:val="24"/>
          <w:szCs w:val="24"/>
        </w:rPr>
        <w:t xml:space="preserve"> crimes not </w:t>
      </w:r>
      <w:r w:rsidR="00DC55CE" w:rsidRPr="000000EB">
        <w:rPr>
          <w:rFonts w:ascii="Calibri" w:hAnsi="Calibri" w:cs="Arial"/>
          <w:color w:val="000000"/>
          <w:sz w:val="24"/>
          <w:szCs w:val="24"/>
        </w:rPr>
        <w:t>known</w:t>
      </w:r>
      <w:r w:rsidRPr="000000EB">
        <w:rPr>
          <w:rFonts w:ascii="Calibri" w:hAnsi="Calibri" w:cs="Arial"/>
          <w:sz w:val="24"/>
          <w:szCs w:val="24"/>
        </w:rPr>
        <w:t xml:space="preserve"> to the police.</w:t>
      </w:r>
      <w:r w:rsidR="00EB2B79" w:rsidRPr="000000EB">
        <w:rPr>
          <w:rFonts w:ascii="Calibri" w:hAnsi="Calibri" w:cs="Arial"/>
          <w:sz w:val="24"/>
          <w:szCs w:val="24"/>
        </w:rPr>
        <w:t xml:space="preserve"> </w:t>
      </w:r>
    </w:p>
    <w:p w:rsidR="00724A93" w:rsidRPr="000000EB" w:rsidRDefault="00724A93"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7D4260">
        <w:rPr>
          <w:rFonts w:ascii="Calibri" w:hAnsi="Calibri" w:cs="Arial"/>
          <w:b/>
          <w:sz w:val="24"/>
          <w:szCs w:val="24"/>
        </w:rPr>
        <w:t>7.</w:t>
      </w:r>
      <w:r w:rsidRPr="007D4260">
        <w:rPr>
          <w:rFonts w:ascii="Calibri" w:hAnsi="Calibri" w:cs="Arial"/>
          <w:b/>
          <w:sz w:val="24"/>
          <w:szCs w:val="24"/>
        </w:rPr>
        <w:tab/>
      </w:r>
      <w:r w:rsidRPr="007D4260">
        <w:rPr>
          <w:rFonts w:ascii="Calibri" w:hAnsi="Calibri" w:cs="Arial"/>
          <w:b/>
          <w:sz w:val="24"/>
          <w:szCs w:val="24"/>
        </w:rPr>
        <w:tab/>
      </w:r>
      <w:r w:rsidRPr="007D4260">
        <w:rPr>
          <w:rFonts w:ascii="Calibri" w:hAnsi="Calibri" w:cs="Arial"/>
          <w:b/>
          <w:sz w:val="24"/>
          <w:szCs w:val="24"/>
          <w:u w:val="single"/>
        </w:rPr>
        <w:t>Special Circumstances</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N/A.  Collection is consistent with the guidelines in 5 CFR 1320.9.</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0000EB">
        <w:rPr>
          <w:rFonts w:ascii="Calibri" w:hAnsi="Calibri" w:cs="Arial"/>
          <w:b/>
          <w:sz w:val="24"/>
          <w:szCs w:val="24"/>
        </w:rPr>
        <w:t>8.</w:t>
      </w:r>
      <w:r w:rsidRPr="000000EB">
        <w:rPr>
          <w:rFonts w:ascii="Calibri" w:hAnsi="Calibri" w:cs="Arial"/>
          <w:sz w:val="24"/>
          <w:szCs w:val="24"/>
        </w:rPr>
        <w:tab/>
      </w:r>
      <w:r w:rsidRPr="000000EB">
        <w:rPr>
          <w:rFonts w:ascii="Calibri" w:hAnsi="Calibri" w:cs="Arial"/>
          <w:sz w:val="24"/>
          <w:szCs w:val="24"/>
        </w:rPr>
        <w:tab/>
      </w:r>
      <w:r w:rsidR="0096305C" w:rsidRPr="0096305C">
        <w:rPr>
          <w:rFonts w:ascii="Calibri" w:hAnsi="Calibri" w:cs="Arial"/>
          <w:b/>
          <w:sz w:val="24"/>
          <w:szCs w:val="24"/>
          <w:u w:val="single"/>
        </w:rPr>
        <w:t>Adherence to 5 CFR 1320.8(d) and Outside Consultations</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rsidR="0096305C" w:rsidRPr="009A43E3" w:rsidRDefault="00F86068" w:rsidP="0096305C">
      <w:pPr>
        <w:pStyle w:val="Heading1"/>
        <w:ind w:firstLine="0"/>
        <w:rPr>
          <w:rFonts w:ascii="Calibri" w:hAnsi="Calibri" w:cs="Arial"/>
        </w:rPr>
      </w:pPr>
      <w:r w:rsidRPr="002F47E2">
        <w:rPr>
          <w:rFonts w:ascii="Calibri" w:hAnsi="Calibri" w:cs="Arial"/>
        </w:rPr>
        <w:t xml:space="preserve">The research under this clearance is consistent with the guidelines in 5 CFR 1320.6 </w:t>
      </w:r>
      <w:r w:rsidR="00912D78">
        <w:rPr>
          <w:rFonts w:cs="Arial"/>
        </w:rPr>
        <w:t>and 5 CFR 1320.8(d).</w:t>
      </w:r>
      <w:r w:rsidRPr="002F47E2">
        <w:rPr>
          <w:rFonts w:ascii="Calibri" w:hAnsi="Calibri" w:cs="Arial"/>
        </w:rPr>
        <w:t xml:space="preserve"> Comments on </w:t>
      </w:r>
      <w:r w:rsidR="00533C9F">
        <w:rPr>
          <w:rFonts w:ascii="Calibri" w:hAnsi="Calibri" w:cs="Arial"/>
        </w:rPr>
        <w:t>the overall NCVS</w:t>
      </w:r>
      <w:r w:rsidR="00533C9F" w:rsidRPr="002F47E2">
        <w:rPr>
          <w:rFonts w:ascii="Calibri" w:hAnsi="Calibri" w:cs="Arial"/>
        </w:rPr>
        <w:t xml:space="preserve"> </w:t>
      </w:r>
      <w:r w:rsidRPr="002F47E2">
        <w:rPr>
          <w:rFonts w:ascii="Calibri" w:hAnsi="Calibri" w:cs="Arial"/>
        </w:rPr>
        <w:t xml:space="preserve">data collection effort were solicited </w:t>
      </w:r>
      <w:r w:rsidR="00764D46" w:rsidRPr="002F47E2">
        <w:rPr>
          <w:rFonts w:ascii="Calibri" w:hAnsi="Calibri" w:cs="Arial"/>
        </w:rPr>
        <w:t xml:space="preserve">in the Federal Register, </w:t>
      </w:r>
      <w:r w:rsidR="0066766A" w:rsidRPr="002F47E2">
        <w:rPr>
          <w:rFonts w:ascii="Calibri" w:hAnsi="Calibri" w:cs="Arial"/>
        </w:rPr>
        <w:t>Vol. 8</w:t>
      </w:r>
      <w:r w:rsidR="0096305C">
        <w:rPr>
          <w:rFonts w:ascii="Calibri" w:hAnsi="Calibri" w:cs="Arial"/>
        </w:rPr>
        <w:t>2</w:t>
      </w:r>
      <w:r w:rsidR="0066766A" w:rsidRPr="002F47E2">
        <w:rPr>
          <w:rFonts w:ascii="Calibri" w:hAnsi="Calibri" w:cs="Arial"/>
        </w:rPr>
        <w:t xml:space="preserve">, No. </w:t>
      </w:r>
      <w:r w:rsidR="0096305C">
        <w:rPr>
          <w:rFonts w:ascii="Calibri" w:hAnsi="Calibri" w:cs="Arial"/>
        </w:rPr>
        <w:t>231</w:t>
      </w:r>
      <w:r w:rsidR="0066766A" w:rsidRPr="002F47E2">
        <w:rPr>
          <w:rFonts w:ascii="Calibri" w:hAnsi="Calibri" w:cs="Arial"/>
        </w:rPr>
        <w:t xml:space="preserve"> on </w:t>
      </w:r>
      <w:r w:rsidR="0096305C">
        <w:rPr>
          <w:rFonts w:ascii="Calibri" w:hAnsi="Calibri" w:cs="Arial"/>
        </w:rPr>
        <w:t xml:space="preserve">December </w:t>
      </w:r>
      <w:r w:rsidR="0066766A" w:rsidRPr="002F47E2">
        <w:rPr>
          <w:rFonts w:ascii="Calibri" w:hAnsi="Calibri" w:cs="Arial"/>
        </w:rPr>
        <w:t>4, 201</w:t>
      </w:r>
      <w:r w:rsidR="00B16D9A">
        <w:rPr>
          <w:rFonts w:ascii="Calibri" w:hAnsi="Calibri" w:cs="Arial"/>
        </w:rPr>
        <w:t>7</w:t>
      </w:r>
      <w:r w:rsidR="0066766A" w:rsidRPr="002F47E2">
        <w:rPr>
          <w:rFonts w:ascii="Calibri" w:hAnsi="Calibri" w:cs="Arial"/>
        </w:rPr>
        <w:t xml:space="preserve"> and in</w:t>
      </w:r>
      <w:r w:rsidR="0066766A" w:rsidRPr="00417702">
        <w:rPr>
          <w:rFonts w:ascii="Calibri" w:hAnsi="Calibri" w:cs="Arial"/>
        </w:rPr>
        <w:t xml:space="preserve"> </w:t>
      </w:r>
      <w:r w:rsidR="00764D46" w:rsidRPr="00417702">
        <w:rPr>
          <w:rFonts w:ascii="Calibri" w:hAnsi="Calibri" w:cs="Arial"/>
        </w:rPr>
        <w:t xml:space="preserve">Vol. </w:t>
      </w:r>
      <w:r w:rsidR="00417702" w:rsidRPr="00417702">
        <w:rPr>
          <w:rFonts w:ascii="Calibri" w:hAnsi="Calibri" w:cs="Arial"/>
        </w:rPr>
        <w:t>83</w:t>
      </w:r>
      <w:r w:rsidR="007047FE" w:rsidRPr="00417702">
        <w:rPr>
          <w:rFonts w:ascii="Calibri" w:hAnsi="Calibri" w:cs="Arial"/>
        </w:rPr>
        <w:t xml:space="preserve">, </w:t>
      </w:r>
      <w:r w:rsidRPr="00417702">
        <w:rPr>
          <w:rFonts w:ascii="Calibri" w:hAnsi="Calibri" w:cs="Arial"/>
        </w:rPr>
        <w:t>No</w:t>
      </w:r>
      <w:r w:rsidR="0063748C" w:rsidRPr="00417702">
        <w:rPr>
          <w:rFonts w:ascii="Calibri" w:hAnsi="Calibri" w:cs="Arial"/>
        </w:rPr>
        <w:t xml:space="preserve">. </w:t>
      </w:r>
      <w:r w:rsidR="00417702" w:rsidRPr="00417702">
        <w:rPr>
          <w:rFonts w:ascii="Calibri" w:hAnsi="Calibri" w:cs="Arial"/>
        </w:rPr>
        <w:t>53</w:t>
      </w:r>
      <w:r w:rsidR="0063748C" w:rsidRPr="00417702">
        <w:rPr>
          <w:rFonts w:ascii="Calibri" w:hAnsi="Calibri" w:cs="Arial"/>
        </w:rPr>
        <w:t xml:space="preserve">, </w:t>
      </w:r>
      <w:r w:rsidR="00417702" w:rsidRPr="00417702">
        <w:rPr>
          <w:rFonts w:ascii="Calibri" w:hAnsi="Calibri" w:cs="Arial"/>
        </w:rPr>
        <w:t>March 19, 2018</w:t>
      </w:r>
      <w:r w:rsidR="005D507C" w:rsidRPr="00417702">
        <w:rPr>
          <w:rFonts w:ascii="Calibri" w:hAnsi="Calibri" w:cs="Arial"/>
        </w:rPr>
        <w:t>.</w:t>
      </w:r>
      <w:r w:rsidR="005D507C" w:rsidRPr="002F47E2">
        <w:rPr>
          <w:rFonts w:ascii="Calibri" w:hAnsi="Calibri" w:cs="Arial"/>
        </w:rPr>
        <w:t xml:space="preserve"> </w:t>
      </w:r>
      <w:r w:rsidR="007B6991" w:rsidRPr="002F47E2">
        <w:rPr>
          <w:rFonts w:ascii="Calibri" w:hAnsi="Calibri" w:cs="Arial"/>
        </w:rPr>
        <w:t xml:space="preserve"> </w:t>
      </w:r>
      <w:r w:rsidR="007B6991" w:rsidRPr="009A43E3">
        <w:rPr>
          <w:rFonts w:ascii="Calibri" w:hAnsi="Calibri" w:cs="Arial"/>
        </w:rPr>
        <w:t>In response to the Federal Register submission, the follow</w:t>
      </w:r>
      <w:r w:rsidR="0096305C" w:rsidRPr="009A43E3">
        <w:rPr>
          <w:rFonts w:ascii="Calibri" w:hAnsi="Calibri" w:cs="Arial"/>
        </w:rPr>
        <w:t>ing</w:t>
      </w:r>
      <w:r w:rsidR="007B6991" w:rsidRPr="009A43E3">
        <w:rPr>
          <w:rFonts w:ascii="Calibri" w:hAnsi="Calibri" w:cs="Arial"/>
        </w:rPr>
        <w:t xml:space="preserve"> comments were received:</w:t>
      </w:r>
    </w:p>
    <w:p w:rsidR="00912D78" w:rsidRDefault="00912D78" w:rsidP="00912D78">
      <w:pPr>
        <w:pStyle w:val="Heading1"/>
        <w:ind w:firstLine="0"/>
        <w:rPr>
          <w:rFonts w:ascii="Calibri" w:hAnsi="Calibri" w:cs="Arial"/>
        </w:rPr>
      </w:pPr>
    </w:p>
    <w:p w:rsidR="00912D78" w:rsidRDefault="00912D78" w:rsidP="00912D78">
      <w:pPr>
        <w:pStyle w:val="Heading1"/>
        <w:numPr>
          <w:ilvl w:val="0"/>
          <w:numId w:val="39"/>
        </w:numPr>
        <w:rPr>
          <w:rFonts w:ascii="Calibri" w:hAnsi="Calibri" w:cs="Arial"/>
        </w:rPr>
      </w:pPr>
      <w:r w:rsidRPr="00912D78">
        <w:rPr>
          <w:rFonts w:ascii="Calibri" w:hAnsi="Calibri" w:cs="Arial"/>
        </w:rPr>
        <w:t xml:space="preserve">The New York State Office of Victim Services suggested adding additional questions related to victim services and expanding response categories for not reporting to police. </w:t>
      </w:r>
    </w:p>
    <w:p w:rsidR="00912D78" w:rsidRDefault="00912D78" w:rsidP="00912D78"/>
    <w:p w:rsidR="00912D78" w:rsidRPr="00912D78" w:rsidRDefault="00912D78" w:rsidP="00912D78">
      <w:pPr>
        <w:pStyle w:val="Heading1"/>
        <w:ind w:firstLine="0"/>
        <w:rPr>
          <w:rFonts w:ascii="Calibri" w:hAnsi="Calibri" w:cs="Arial"/>
        </w:rPr>
      </w:pPr>
      <w:r w:rsidRPr="00912D78">
        <w:rPr>
          <w:rFonts w:ascii="Calibri" w:hAnsi="Calibri" w:cs="Arial"/>
        </w:rPr>
        <w:t xml:space="preserve">BJS responded via email to these suggestions. </w:t>
      </w:r>
      <w:r w:rsidR="008F062B">
        <w:rPr>
          <w:rFonts w:ascii="Calibri" w:hAnsi="Calibri" w:cs="Arial"/>
        </w:rPr>
        <w:t xml:space="preserve">While the suggested additions would require extensive cognitive testing and could not be feasibly </w:t>
      </w:r>
      <w:r w:rsidR="00B14D26">
        <w:rPr>
          <w:rFonts w:ascii="Calibri" w:hAnsi="Calibri" w:cs="Arial"/>
        </w:rPr>
        <w:t xml:space="preserve">added to the current instrument, </w:t>
      </w:r>
      <w:r w:rsidRPr="00912D78">
        <w:rPr>
          <w:rFonts w:ascii="Calibri" w:hAnsi="Calibri" w:cs="Arial"/>
        </w:rPr>
        <w:t>BJS will consider the expansion of victim service questions and response categories for not reporting to police</w:t>
      </w:r>
      <w:r w:rsidR="00B14D26">
        <w:rPr>
          <w:rFonts w:ascii="Calibri" w:hAnsi="Calibri" w:cs="Arial"/>
        </w:rPr>
        <w:t xml:space="preserve"> through the Instrument Redesign and Testing Project. </w:t>
      </w:r>
    </w:p>
    <w:p w:rsidR="007B6991" w:rsidRDefault="007B6991" w:rsidP="002F47E2">
      <w:pPr>
        <w:ind w:left="630"/>
        <w:rPr>
          <w:sz w:val="24"/>
          <w:szCs w:val="24"/>
        </w:rPr>
      </w:pPr>
    </w:p>
    <w:p w:rsidR="00533C9F" w:rsidRDefault="00C05683" w:rsidP="002F47E2">
      <w:pPr>
        <w:ind w:left="630"/>
        <w:rPr>
          <w:sz w:val="24"/>
          <w:szCs w:val="24"/>
        </w:rPr>
      </w:pPr>
      <w:r>
        <w:rPr>
          <w:rFonts w:ascii="Calibri" w:hAnsi="Calibri" w:cs="Arial"/>
          <w:color w:val="000000"/>
          <w:sz w:val="24"/>
          <w:szCs w:val="24"/>
        </w:rPr>
        <w:t xml:space="preserve">Upon implementation in July of 2016, questions pertaining to sexual orientation and gender identity were administered to all respondents age 16 or older at their first, third, fifth, or seventh interview, or if they had not been asked the questions before. In April 2018, BJS submitted a proposal to raise the minimum age at which questions pertaining to sexual orientation and gender identity are asked, from 16 to 18, out of concern over the potential sensitivity of these items. </w:t>
      </w:r>
      <w:r w:rsidR="00533C9F">
        <w:rPr>
          <w:sz w:val="24"/>
          <w:szCs w:val="24"/>
        </w:rPr>
        <w:t xml:space="preserve">Comments on </w:t>
      </w:r>
      <w:r w:rsidR="00B857E9">
        <w:rPr>
          <w:sz w:val="24"/>
          <w:szCs w:val="24"/>
        </w:rPr>
        <w:t>the</w:t>
      </w:r>
      <w:r w:rsidR="00533C9F">
        <w:rPr>
          <w:sz w:val="24"/>
          <w:szCs w:val="24"/>
        </w:rPr>
        <w:t xml:space="preserve"> previous </w:t>
      </w:r>
      <w:r w:rsidR="00B857E9">
        <w:rPr>
          <w:sz w:val="24"/>
          <w:szCs w:val="24"/>
        </w:rPr>
        <w:t xml:space="preserve">proposed </w:t>
      </w:r>
      <w:r w:rsidR="00533C9F">
        <w:rPr>
          <w:sz w:val="24"/>
          <w:szCs w:val="24"/>
        </w:rPr>
        <w:t>substantive revision to the NCVS data collection to increase the minimum age at which the sexual orientation and gender identity questio</w:t>
      </w:r>
      <w:r w:rsidR="00B857E9">
        <w:rPr>
          <w:sz w:val="24"/>
          <w:szCs w:val="24"/>
        </w:rPr>
        <w:t xml:space="preserve">ns are asked to 18 were solicited through a 30-day notice in the Federal Register, Vol. 83, No. 70 on April 11, 2018. BJS received a total of 87 comments from individuals and organizations. BJS also received a letter of opposition signed by 55 </w:t>
      </w:r>
      <w:r w:rsidR="00B857E9" w:rsidRPr="00B857E9">
        <w:rPr>
          <w:sz w:val="24"/>
          <w:szCs w:val="24"/>
        </w:rPr>
        <w:t xml:space="preserve">Members of the House of Representatives and a letter </w:t>
      </w:r>
      <w:r w:rsidR="00945783">
        <w:rPr>
          <w:sz w:val="24"/>
          <w:szCs w:val="24"/>
        </w:rPr>
        <w:t xml:space="preserve">of opposition </w:t>
      </w:r>
      <w:r w:rsidR="00B857E9" w:rsidRPr="00B857E9">
        <w:rPr>
          <w:sz w:val="24"/>
          <w:szCs w:val="24"/>
        </w:rPr>
        <w:t xml:space="preserve">signed by 10 State Attorneys General. </w:t>
      </w:r>
      <w:r w:rsidR="00897A71">
        <w:rPr>
          <w:sz w:val="24"/>
          <w:szCs w:val="24"/>
        </w:rPr>
        <w:t xml:space="preserve">See Attachment 7 for a synopsis of the public comments that were received. </w:t>
      </w:r>
    </w:p>
    <w:p w:rsidR="00B857E9" w:rsidRDefault="00B857E9" w:rsidP="002F47E2">
      <w:pPr>
        <w:ind w:left="630"/>
        <w:rPr>
          <w:sz w:val="24"/>
          <w:szCs w:val="24"/>
        </w:rPr>
      </w:pPr>
    </w:p>
    <w:p w:rsidR="005E644D" w:rsidRDefault="00C05683" w:rsidP="005E644D">
      <w:pPr>
        <w:ind w:left="630"/>
        <w:rPr>
          <w:rFonts w:ascii="Calibri" w:hAnsi="Calibri" w:cs="Arial"/>
          <w:color w:val="000000"/>
          <w:sz w:val="24"/>
          <w:szCs w:val="24"/>
        </w:rPr>
      </w:pPr>
      <w:r>
        <w:rPr>
          <w:sz w:val="24"/>
          <w:szCs w:val="24"/>
        </w:rPr>
        <w:t xml:space="preserve">Upon </w:t>
      </w:r>
      <w:r w:rsidR="009C2CB4">
        <w:rPr>
          <w:sz w:val="24"/>
          <w:szCs w:val="24"/>
        </w:rPr>
        <w:t xml:space="preserve">review </w:t>
      </w:r>
      <w:r>
        <w:rPr>
          <w:sz w:val="24"/>
          <w:szCs w:val="24"/>
        </w:rPr>
        <w:t xml:space="preserve">of </w:t>
      </w:r>
      <w:r w:rsidR="009C2CB4">
        <w:rPr>
          <w:sz w:val="24"/>
          <w:szCs w:val="24"/>
        </w:rPr>
        <w:t xml:space="preserve">these responses, </w:t>
      </w:r>
      <w:r>
        <w:rPr>
          <w:sz w:val="24"/>
          <w:szCs w:val="24"/>
        </w:rPr>
        <w:t xml:space="preserve">BJS weighed </w:t>
      </w:r>
      <w:r w:rsidR="0029413B">
        <w:rPr>
          <w:sz w:val="24"/>
          <w:szCs w:val="24"/>
        </w:rPr>
        <w:t xml:space="preserve">the concern over potential sensitivity of the questions with the goal of preserving the overall utility of the data. </w:t>
      </w:r>
      <w:r w:rsidR="005E644D">
        <w:rPr>
          <w:sz w:val="24"/>
          <w:szCs w:val="24"/>
        </w:rPr>
        <w:t xml:space="preserve">BJS determined that the sexual orientation and gender identity questions will be retained on the instrument and will be administered only to victims age 16 or older. In addition, these questions will be asked only once of all victims during the time they remain in sample, rather than being asked at their first, third, fifth, and seventh interview. With these revisions to the questionnaire, BJS will be able to produce victimization estimates (counts and percentages of victims) by sexual orientation and gender identity for persons age 16 or older. BJS will use other federal data collections to produce rates of victimization by sexual orientation. </w:t>
      </w:r>
      <w:r w:rsidR="005E644D">
        <w:rPr>
          <w:rFonts w:ascii="Calibri" w:hAnsi="Calibri" w:cs="Arial"/>
          <w:color w:val="000000"/>
          <w:sz w:val="24"/>
          <w:szCs w:val="24"/>
        </w:rPr>
        <w:t xml:space="preserve">The change will be implemented no later than July 1, 2019, pending OMB approval of the requested substantive revision. </w:t>
      </w:r>
    </w:p>
    <w:p w:rsidR="00533C9F" w:rsidRDefault="00533C9F" w:rsidP="002F47E2">
      <w:pPr>
        <w:ind w:left="630"/>
        <w:rPr>
          <w:sz w:val="24"/>
          <w:szCs w:val="24"/>
        </w:rPr>
      </w:pPr>
    </w:p>
    <w:p w:rsidR="0096305C" w:rsidRPr="00912D78" w:rsidRDefault="002369B1" w:rsidP="002F47E2">
      <w:pPr>
        <w:ind w:left="630"/>
        <w:rPr>
          <w:b/>
          <w:sz w:val="24"/>
          <w:szCs w:val="24"/>
        </w:rPr>
      </w:pPr>
      <w:r w:rsidRPr="00912D78">
        <w:rPr>
          <w:b/>
          <w:sz w:val="24"/>
          <w:szCs w:val="24"/>
        </w:rPr>
        <w:t xml:space="preserve">Outside </w:t>
      </w:r>
      <w:r w:rsidR="00055B19">
        <w:rPr>
          <w:b/>
          <w:sz w:val="24"/>
          <w:szCs w:val="24"/>
        </w:rPr>
        <w:t>C</w:t>
      </w:r>
      <w:r w:rsidRPr="00912D78">
        <w:rPr>
          <w:b/>
          <w:sz w:val="24"/>
          <w:szCs w:val="24"/>
        </w:rPr>
        <w:t>onsultation</w:t>
      </w:r>
      <w:r w:rsidR="00C11A04">
        <w:rPr>
          <w:b/>
          <w:sz w:val="24"/>
          <w:szCs w:val="24"/>
        </w:rPr>
        <w:t>s</w:t>
      </w:r>
      <w:r w:rsidRPr="00912D78">
        <w:rPr>
          <w:b/>
          <w:sz w:val="24"/>
          <w:szCs w:val="24"/>
        </w:rPr>
        <w:t>:</w:t>
      </w:r>
    </w:p>
    <w:p w:rsidR="00055B19" w:rsidRDefault="00847ABF" w:rsidP="00055B19">
      <w:pPr>
        <w:ind w:left="630"/>
        <w:rPr>
          <w:rFonts w:ascii="Calibri" w:hAnsi="Calibri" w:cs="Arial"/>
          <w:sz w:val="24"/>
          <w:szCs w:val="24"/>
        </w:rPr>
      </w:pPr>
      <w:r w:rsidRPr="000000EB">
        <w:rPr>
          <w:rFonts w:ascii="Calibri" w:hAnsi="Calibri" w:cs="Arial"/>
          <w:sz w:val="24"/>
          <w:szCs w:val="24"/>
        </w:rPr>
        <w:t xml:space="preserve">In the process of </w:t>
      </w:r>
      <w:r w:rsidR="0066766A" w:rsidRPr="000000EB">
        <w:rPr>
          <w:rFonts w:ascii="Calibri" w:hAnsi="Calibri" w:cs="Arial"/>
          <w:sz w:val="24"/>
          <w:szCs w:val="24"/>
        </w:rPr>
        <w:t>develo</w:t>
      </w:r>
      <w:r w:rsidR="006F68D6" w:rsidRPr="000000EB">
        <w:rPr>
          <w:rFonts w:ascii="Calibri" w:hAnsi="Calibri" w:cs="Arial"/>
          <w:sz w:val="24"/>
          <w:szCs w:val="24"/>
        </w:rPr>
        <w:t>ping the subnational program, increasing the efficiency and productivity of the survey methodology, and redesigning and modernizing the survey instrument,</w:t>
      </w:r>
      <w:r w:rsidR="0066766A" w:rsidRPr="000000EB">
        <w:rPr>
          <w:rFonts w:ascii="Calibri" w:hAnsi="Calibri" w:cs="Arial"/>
          <w:sz w:val="24"/>
          <w:szCs w:val="24"/>
        </w:rPr>
        <w:t xml:space="preserve"> </w:t>
      </w:r>
      <w:r w:rsidRPr="000000EB">
        <w:rPr>
          <w:rFonts w:ascii="Calibri" w:hAnsi="Calibri" w:cs="Arial"/>
          <w:sz w:val="24"/>
          <w:szCs w:val="24"/>
        </w:rPr>
        <w:t>BJS consult</w:t>
      </w:r>
      <w:r w:rsidR="00B14D26">
        <w:rPr>
          <w:rFonts w:ascii="Calibri" w:hAnsi="Calibri" w:cs="Arial"/>
          <w:sz w:val="24"/>
          <w:szCs w:val="24"/>
        </w:rPr>
        <w:t>s</w:t>
      </w:r>
      <w:r w:rsidRPr="000000EB">
        <w:rPr>
          <w:rFonts w:ascii="Calibri" w:hAnsi="Calibri" w:cs="Arial"/>
          <w:sz w:val="24"/>
          <w:szCs w:val="24"/>
        </w:rPr>
        <w:t xml:space="preserve"> with a </w:t>
      </w:r>
      <w:r w:rsidR="00B14D26">
        <w:rPr>
          <w:rFonts w:ascii="Calibri" w:hAnsi="Calibri" w:cs="Arial"/>
          <w:sz w:val="24"/>
          <w:szCs w:val="24"/>
        </w:rPr>
        <w:t>variety</w:t>
      </w:r>
      <w:r w:rsidR="00B14D26" w:rsidRPr="000000EB">
        <w:rPr>
          <w:rFonts w:ascii="Calibri" w:hAnsi="Calibri" w:cs="Arial"/>
          <w:sz w:val="24"/>
          <w:szCs w:val="24"/>
        </w:rPr>
        <w:t xml:space="preserve"> </w:t>
      </w:r>
      <w:r w:rsidRPr="000000EB">
        <w:rPr>
          <w:rFonts w:ascii="Calibri" w:hAnsi="Calibri" w:cs="Arial"/>
          <w:sz w:val="24"/>
          <w:szCs w:val="24"/>
        </w:rPr>
        <w:t xml:space="preserve">of data users, as well as federal government and outside experts with knowledge and experience in </w:t>
      </w:r>
      <w:r w:rsidR="006F68D6" w:rsidRPr="000000EB">
        <w:rPr>
          <w:rFonts w:ascii="Calibri" w:hAnsi="Calibri" w:cs="Arial"/>
          <w:sz w:val="24"/>
          <w:szCs w:val="24"/>
        </w:rPr>
        <w:t xml:space="preserve">criminal justice research and </w:t>
      </w:r>
      <w:r w:rsidRPr="000000EB">
        <w:rPr>
          <w:rFonts w:ascii="Calibri" w:hAnsi="Calibri" w:cs="Arial"/>
          <w:sz w:val="24"/>
          <w:szCs w:val="24"/>
        </w:rPr>
        <w:t xml:space="preserve">survey methodology. </w:t>
      </w:r>
      <w:r w:rsidR="00055B19">
        <w:rPr>
          <w:rFonts w:ascii="Calibri" w:hAnsi="Calibri" w:cs="Arial"/>
          <w:sz w:val="24"/>
          <w:szCs w:val="24"/>
        </w:rPr>
        <w:t>Recent consultations include:</w:t>
      </w:r>
    </w:p>
    <w:p w:rsidR="004C66D3" w:rsidRDefault="004C66D3" w:rsidP="00C1460E">
      <w:pPr>
        <w:rPr>
          <w:rFonts w:ascii="Calibri" w:hAnsi="Calibri" w:cs="Arial"/>
          <w:bCs/>
          <w:iCs/>
          <w:sz w:val="24"/>
          <w:szCs w:val="24"/>
        </w:rPr>
      </w:pPr>
    </w:p>
    <w:p w:rsidR="00567FD4" w:rsidRDefault="00567FD4" w:rsidP="003A1BB2">
      <w:pPr>
        <w:numPr>
          <w:ilvl w:val="0"/>
          <w:numId w:val="36"/>
        </w:numPr>
        <w:rPr>
          <w:rFonts w:ascii="Calibri" w:hAnsi="Calibri" w:cs="Arial"/>
          <w:bCs/>
          <w:iCs/>
          <w:sz w:val="24"/>
          <w:szCs w:val="24"/>
        </w:rPr>
      </w:pPr>
      <w:r>
        <w:rPr>
          <w:rFonts w:ascii="Calibri" w:hAnsi="Calibri" w:cs="Arial"/>
          <w:bCs/>
          <w:iCs/>
          <w:sz w:val="24"/>
          <w:szCs w:val="24"/>
        </w:rPr>
        <w:t xml:space="preserve">Dr. Bonnie Fisher, University of Cincinnati </w:t>
      </w:r>
    </w:p>
    <w:p w:rsidR="003A1BB2" w:rsidRDefault="00DF37A0" w:rsidP="003A1BB2">
      <w:pPr>
        <w:numPr>
          <w:ilvl w:val="0"/>
          <w:numId w:val="36"/>
        </w:numPr>
        <w:rPr>
          <w:rFonts w:ascii="Calibri" w:hAnsi="Calibri" w:cs="Arial"/>
          <w:bCs/>
          <w:iCs/>
          <w:sz w:val="24"/>
          <w:szCs w:val="24"/>
        </w:rPr>
      </w:pPr>
      <w:r>
        <w:rPr>
          <w:rFonts w:ascii="Calibri" w:hAnsi="Calibri" w:cs="Arial"/>
          <w:bCs/>
          <w:iCs/>
          <w:sz w:val="24"/>
          <w:szCs w:val="24"/>
        </w:rPr>
        <w:t>Rachel Hansen</w:t>
      </w:r>
      <w:r w:rsidR="003A1BB2">
        <w:rPr>
          <w:rFonts w:ascii="Calibri" w:hAnsi="Calibri" w:cs="Arial"/>
          <w:bCs/>
          <w:iCs/>
          <w:sz w:val="24"/>
          <w:szCs w:val="24"/>
        </w:rPr>
        <w:t>, Statistician, National Center for Education Statistics</w:t>
      </w:r>
    </w:p>
    <w:p w:rsidR="00834AF8" w:rsidRDefault="00834AF8" w:rsidP="00B5230C">
      <w:pPr>
        <w:numPr>
          <w:ilvl w:val="0"/>
          <w:numId w:val="36"/>
        </w:numPr>
        <w:rPr>
          <w:rFonts w:ascii="Calibri" w:hAnsi="Calibri" w:cs="Arial"/>
          <w:bCs/>
          <w:iCs/>
          <w:sz w:val="24"/>
          <w:szCs w:val="24"/>
        </w:rPr>
      </w:pPr>
      <w:r>
        <w:rPr>
          <w:rFonts w:ascii="Calibri" w:hAnsi="Calibri" w:cs="Arial"/>
          <w:bCs/>
          <w:iCs/>
          <w:sz w:val="24"/>
          <w:szCs w:val="24"/>
        </w:rPr>
        <w:t xml:space="preserve">Dr. </w:t>
      </w:r>
      <w:r w:rsidRPr="00834AF8">
        <w:rPr>
          <w:rFonts w:ascii="Calibri" w:hAnsi="Calibri" w:cs="Arial"/>
          <w:bCs/>
          <w:iCs/>
          <w:sz w:val="24"/>
          <w:szCs w:val="24"/>
        </w:rPr>
        <w:t>Dan Hartley</w:t>
      </w:r>
      <w:r>
        <w:rPr>
          <w:rFonts w:ascii="Calibri" w:hAnsi="Calibri" w:cs="Arial"/>
          <w:bCs/>
          <w:iCs/>
          <w:sz w:val="24"/>
          <w:szCs w:val="24"/>
        </w:rPr>
        <w:t xml:space="preserve">, </w:t>
      </w:r>
      <w:r w:rsidRPr="00834AF8">
        <w:rPr>
          <w:rFonts w:ascii="Calibri" w:hAnsi="Calibri" w:cs="Arial"/>
          <w:bCs/>
          <w:iCs/>
          <w:sz w:val="24"/>
          <w:szCs w:val="24"/>
        </w:rPr>
        <w:t>Coordinator for Workplace Violence Prevention Research</w:t>
      </w:r>
      <w:r>
        <w:rPr>
          <w:rFonts w:ascii="Calibri" w:hAnsi="Calibri" w:cs="Arial"/>
          <w:bCs/>
          <w:iCs/>
          <w:sz w:val="24"/>
          <w:szCs w:val="24"/>
        </w:rPr>
        <w:t>,</w:t>
      </w:r>
      <w:r w:rsidRPr="00834AF8">
        <w:rPr>
          <w:rFonts w:ascii="Calibri" w:hAnsi="Calibri" w:cs="Arial"/>
          <w:bCs/>
          <w:iCs/>
          <w:sz w:val="24"/>
          <w:szCs w:val="24"/>
        </w:rPr>
        <w:t xml:space="preserve"> </w:t>
      </w:r>
      <w:r>
        <w:rPr>
          <w:rFonts w:ascii="Calibri" w:hAnsi="Calibri" w:cs="Arial"/>
          <w:bCs/>
          <w:iCs/>
          <w:sz w:val="24"/>
          <w:szCs w:val="24"/>
        </w:rPr>
        <w:t xml:space="preserve">   National Institute for Occupation Safety and Health</w:t>
      </w:r>
    </w:p>
    <w:p w:rsidR="004C66D3" w:rsidRDefault="004C66D3" w:rsidP="004C66D3">
      <w:pPr>
        <w:numPr>
          <w:ilvl w:val="0"/>
          <w:numId w:val="36"/>
        </w:numPr>
        <w:rPr>
          <w:rFonts w:ascii="Calibri" w:hAnsi="Calibri" w:cs="Arial"/>
          <w:bCs/>
          <w:iCs/>
          <w:sz w:val="24"/>
          <w:szCs w:val="24"/>
        </w:rPr>
      </w:pPr>
      <w:r>
        <w:rPr>
          <w:rFonts w:ascii="Calibri" w:hAnsi="Calibri" w:cs="Arial"/>
          <w:bCs/>
          <w:iCs/>
          <w:sz w:val="24"/>
          <w:szCs w:val="24"/>
        </w:rPr>
        <w:t xml:space="preserve">Dr. </w:t>
      </w:r>
      <w:r w:rsidRPr="004C66D3">
        <w:rPr>
          <w:rFonts w:ascii="Calibri" w:hAnsi="Calibri" w:cs="Arial"/>
          <w:bCs/>
          <w:iCs/>
          <w:sz w:val="24"/>
          <w:szCs w:val="24"/>
        </w:rPr>
        <w:t>Allyson Holbrook</w:t>
      </w:r>
      <w:r>
        <w:rPr>
          <w:rFonts w:ascii="Calibri" w:hAnsi="Calibri" w:cs="Arial"/>
          <w:bCs/>
          <w:iCs/>
          <w:sz w:val="24"/>
          <w:szCs w:val="24"/>
        </w:rPr>
        <w:t>, University of Illinois at Chicago</w:t>
      </w:r>
    </w:p>
    <w:p w:rsidR="004C66D3" w:rsidRDefault="004C66D3" w:rsidP="004C66D3">
      <w:pPr>
        <w:numPr>
          <w:ilvl w:val="0"/>
          <w:numId w:val="36"/>
        </w:numPr>
        <w:rPr>
          <w:rFonts w:ascii="Calibri" w:hAnsi="Calibri" w:cs="Arial"/>
          <w:bCs/>
          <w:iCs/>
          <w:sz w:val="24"/>
          <w:szCs w:val="24"/>
        </w:rPr>
      </w:pPr>
      <w:r>
        <w:rPr>
          <w:rFonts w:ascii="Calibri" w:hAnsi="Calibri" w:cs="Arial"/>
          <w:bCs/>
          <w:iCs/>
          <w:sz w:val="24"/>
          <w:szCs w:val="24"/>
        </w:rPr>
        <w:t xml:space="preserve">Dr. </w:t>
      </w:r>
      <w:r w:rsidRPr="004C66D3">
        <w:rPr>
          <w:rFonts w:ascii="Calibri" w:hAnsi="Calibri" w:cs="Arial"/>
          <w:bCs/>
          <w:iCs/>
          <w:sz w:val="24"/>
          <w:szCs w:val="24"/>
        </w:rPr>
        <w:t>Kristy Holtfreter</w:t>
      </w:r>
      <w:r>
        <w:rPr>
          <w:rFonts w:ascii="Calibri" w:hAnsi="Calibri" w:cs="Arial"/>
          <w:bCs/>
          <w:iCs/>
          <w:sz w:val="24"/>
          <w:szCs w:val="24"/>
        </w:rPr>
        <w:t>, Arizona State University</w:t>
      </w:r>
    </w:p>
    <w:p w:rsidR="00567FD4" w:rsidRDefault="00567FD4" w:rsidP="004C66D3">
      <w:pPr>
        <w:numPr>
          <w:ilvl w:val="0"/>
          <w:numId w:val="36"/>
        </w:numPr>
        <w:rPr>
          <w:rFonts w:ascii="Calibri" w:hAnsi="Calibri" w:cs="Arial"/>
          <w:bCs/>
          <w:iCs/>
          <w:sz w:val="24"/>
          <w:szCs w:val="24"/>
        </w:rPr>
      </w:pPr>
      <w:r>
        <w:rPr>
          <w:rFonts w:ascii="Calibri" w:hAnsi="Calibri" w:cs="Arial"/>
          <w:bCs/>
          <w:iCs/>
          <w:sz w:val="24"/>
          <w:szCs w:val="24"/>
        </w:rPr>
        <w:t>Aviva Kurash, International Association of Chiefs of Police</w:t>
      </w:r>
    </w:p>
    <w:p w:rsidR="004C66D3" w:rsidRDefault="004C66D3" w:rsidP="004C66D3">
      <w:pPr>
        <w:numPr>
          <w:ilvl w:val="0"/>
          <w:numId w:val="36"/>
        </w:numPr>
        <w:rPr>
          <w:rFonts w:ascii="Calibri" w:hAnsi="Calibri" w:cs="Arial"/>
          <w:bCs/>
          <w:iCs/>
          <w:sz w:val="24"/>
          <w:szCs w:val="24"/>
        </w:rPr>
      </w:pPr>
      <w:r>
        <w:rPr>
          <w:rFonts w:ascii="Calibri" w:hAnsi="Calibri" w:cs="Arial"/>
          <w:bCs/>
          <w:iCs/>
          <w:sz w:val="24"/>
          <w:szCs w:val="24"/>
        </w:rPr>
        <w:t xml:space="preserve">Dr. </w:t>
      </w:r>
      <w:r w:rsidRPr="004C66D3">
        <w:rPr>
          <w:rFonts w:ascii="Calibri" w:hAnsi="Calibri" w:cs="Arial"/>
          <w:bCs/>
          <w:iCs/>
          <w:sz w:val="24"/>
          <w:szCs w:val="24"/>
        </w:rPr>
        <w:t>Frauke Kreuter</w:t>
      </w:r>
      <w:r>
        <w:rPr>
          <w:rFonts w:ascii="Calibri" w:hAnsi="Calibri" w:cs="Arial"/>
          <w:bCs/>
          <w:iCs/>
          <w:sz w:val="24"/>
          <w:szCs w:val="24"/>
        </w:rPr>
        <w:t>, Survey Methodologist, Joint Program of Survey Meth</w:t>
      </w:r>
      <w:r w:rsidR="00834AF8">
        <w:rPr>
          <w:rFonts w:ascii="Calibri" w:hAnsi="Calibri" w:cs="Arial"/>
          <w:bCs/>
          <w:iCs/>
          <w:sz w:val="24"/>
          <w:szCs w:val="24"/>
        </w:rPr>
        <w:t>o</w:t>
      </w:r>
      <w:r>
        <w:rPr>
          <w:rFonts w:ascii="Calibri" w:hAnsi="Calibri" w:cs="Arial"/>
          <w:bCs/>
          <w:iCs/>
          <w:sz w:val="24"/>
          <w:szCs w:val="24"/>
        </w:rPr>
        <w:t>dology</w:t>
      </w:r>
    </w:p>
    <w:p w:rsidR="00834AF8" w:rsidRDefault="00834AF8" w:rsidP="00834AF8">
      <w:pPr>
        <w:numPr>
          <w:ilvl w:val="0"/>
          <w:numId w:val="36"/>
        </w:numPr>
        <w:rPr>
          <w:rFonts w:ascii="Calibri" w:hAnsi="Calibri" w:cs="Arial"/>
          <w:bCs/>
          <w:iCs/>
          <w:sz w:val="24"/>
          <w:szCs w:val="24"/>
        </w:rPr>
      </w:pPr>
      <w:r>
        <w:rPr>
          <w:rFonts w:ascii="Calibri" w:hAnsi="Calibri" w:cs="Arial"/>
          <w:bCs/>
          <w:iCs/>
          <w:sz w:val="24"/>
          <w:szCs w:val="24"/>
        </w:rPr>
        <w:t xml:space="preserve">Dr. </w:t>
      </w:r>
      <w:r w:rsidRPr="00834AF8">
        <w:rPr>
          <w:rFonts w:ascii="Calibri" w:hAnsi="Calibri" w:cs="Arial"/>
          <w:bCs/>
          <w:iCs/>
          <w:sz w:val="24"/>
          <w:szCs w:val="24"/>
        </w:rPr>
        <w:t>Janet Lauritsen</w:t>
      </w:r>
      <w:r>
        <w:rPr>
          <w:rFonts w:ascii="Calibri" w:hAnsi="Calibri" w:cs="Arial"/>
          <w:bCs/>
          <w:iCs/>
          <w:sz w:val="24"/>
          <w:szCs w:val="24"/>
        </w:rPr>
        <w:t>, University of Missouri, St. Louis</w:t>
      </w:r>
    </w:p>
    <w:p w:rsidR="00B5230C" w:rsidRPr="00B5230C" w:rsidRDefault="00834AF8" w:rsidP="00B5230C">
      <w:pPr>
        <w:numPr>
          <w:ilvl w:val="0"/>
          <w:numId w:val="36"/>
        </w:numPr>
        <w:rPr>
          <w:rFonts w:ascii="Calibri" w:hAnsi="Calibri" w:cs="Arial"/>
          <w:bCs/>
          <w:iCs/>
          <w:sz w:val="24"/>
          <w:szCs w:val="24"/>
        </w:rPr>
      </w:pPr>
      <w:r>
        <w:rPr>
          <w:rFonts w:ascii="Calibri" w:hAnsi="Calibri" w:cs="Arial"/>
          <w:bCs/>
          <w:iCs/>
          <w:sz w:val="24"/>
          <w:szCs w:val="24"/>
        </w:rPr>
        <w:t>Dr. Co</w:t>
      </w:r>
      <w:r w:rsidR="00B5230C">
        <w:rPr>
          <w:rFonts w:ascii="Calibri" w:hAnsi="Calibri" w:cs="Arial"/>
          <w:bCs/>
          <w:iCs/>
          <w:sz w:val="24"/>
          <w:szCs w:val="24"/>
        </w:rPr>
        <w:t>lin Loftin, University of Albany</w:t>
      </w:r>
    </w:p>
    <w:p w:rsidR="004C66D3" w:rsidRPr="000000EB" w:rsidRDefault="004C66D3" w:rsidP="004C66D3">
      <w:pPr>
        <w:numPr>
          <w:ilvl w:val="0"/>
          <w:numId w:val="35"/>
        </w:numPr>
        <w:rPr>
          <w:rFonts w:ascii="Calibri" w:hAnsi="Calibri" w:cs="Arial"/>
          <w:sz w:val="24"/>
          <w:szCs w:val="24"/>
        </w:rPr>
      </w:pPr>
      <w:r w:rsidRPr="000000EB">
        <w:rPr>
          <w:rFonts w:ascii="Calibri" w:hAnsi="Calibri" w:cs="Arial"/>
          <w:sz w:val="24"/>
          <w:szCs w:val="24"/>
        </w:rPr>
        <w:t>Dr. James Lynch, Chair, Department of Criminology, University of Maryland</w:t>
      </w:r>
    </w:p>
    <w:p w:rsidR="004C66D3" w:rsidRPr="000000EB" w:rsidRDefault="004C66D3" w:rsidP="00B5230C">
      <w:pPr>
        <w:numPr>
          <w:ilvl w:val="0"/>
          <w:numId w:val="35"/>
        </w:numPr>
        <w:rPr>
          <w:rFonts w:ascii="Calibri" w:hAnsi="Calibri" w:cs="Arial"/>
          <w:sz w:val="24"/>
          <w:szCs w:val="24"/>
        </w:rPr>
      </w:pPr>
      <w:r w:rsidRPr="00B5230C">
        <w:rPr>
          <w:rFonts w:ascii="Calibri" w:hAnsi="Calibri" w:cs="Arial"/>
          <w:sz w:val="24"/>
          <w:szCs w:val="24"/>
        </w:rPr>
        <w:t>Anne Menard, Chief Executive Officer, National Resource Center on Domestic Violence</w:t>
      </w:r>
    </w:p>
    <w:p w:rsidR="004C66D3" w:rsidRPr="000000EB" w:rsidRDefault="004C66D3" w:rsidP="004C66D3">
      <w:pPr>
        <w:numPr>
          <w:ilvl w:val="0"/>
          <w:numId w:val="35"/>
        </w:numPr>
        <w:rPr>
          <w:rFonts w:ascii="Calibri" w:hAnsi="Calibri" w:cs="Arial"/>
          <w:sz w:val="24"/>
          <w:szCs w:val="24"/>
        </w:rPr>
      </w:pPr>
      <w:r>
        <w:rPr>
          <w:rFonts w:ascii="Calibri" w:hAnsi="Calibri" w:cs="Arial"/>
          <w:sz w:val="24"/>
          <w:szCs w:val="24"/>
        </w:rPr>
        <w:t xml:space="preserve">Dr. </w:t>
      </w:r>
      <w:r w:rsidRPr="004C66D3">
        <w:rPr>
          <w:rFonts w:ascii="Calibri" w:hAnsi="Calibri" w:cs="Arial"/>
          <w:sz w:val="24"/>
          <w:szCs w:val="24"/>
        </w:rPr>
        <w:t>Michael Reisig</w:t>
      </w:r>
      <w:r>
        <w:rPr>
          <w:rFonts w:ascii="Calibri" w:hAnsi="Calibri" w:cs="Arial"/>
          <w:sz w:val="24"/>
          <w:szCs w:val="24"/>
        </w:rPr>
        <w:t>, Arizona State University</w:t>
      </w:r>
    </w:p>
    <w:p w:rsidR="00A71435" w:rsidRDefault="00834AF8" w:rsidP="00A71435">
      <w:pPr>
        <w:numPr>
          <w:ilvl w:val="0"/>
          <w:numId w:val="35"/>
        </w:numPr>
        <w:rPr>
          <w:rFonts w:ascii="Calibri" w:hAnsi="Calibri" w:cs="Arial"/>
          <w:sz w:val="24"/>
          <w:szCs w:val="24"/>
        </w:rPr>
      </w:pPr>
      <w:r>
        <w:rPr>
          <w:rFonts w:ascii="Calibri" w:hAnsi="Calibri" w:cs="Arial"/>
          <w:sz w:val="24"/>
          <w:szCs w:val="24"/>
        </w:rPr>
        <w:t xml:space="preserve">Dr. </w:t>
      </w:r>
      <w:r w:rsidRPr="00834AF8">
        <w:rPr>
          <w:rFonts w:ascii="Calibri" w:hAnsi="Calibri" w:cs="Arial"/>
          <w:sz w:val="24"/>
          <w:szCs w:val="24"/>
        </w:rPr>
        <w:t>Wes Skogan</w:t>
      </w:r>
      <w:r>
        <w:rPr>
          <w:rFonts w:ascii="Calibri" w:hAnsi="Calibri" w:cs="Arial"/>
          <w:sz w:val="24"/>
          <w:szCs w:val="24"/>
        </w:rPr>
        <w:t>, Northwestern University</w:t>
      </w:r>
    </w:p>
    <w:p w:rsidR="00567FD4" w:rsidRPr="00A71435" w:rsidRDefault="00567FD4" w:rsidP="00A71435">
      <w:pPr>
        <w:numPr>
          <w:ilvl w:val="0"/>
          <w:numId w:val="35"/>
        </w:numPr>
        <w:rPr>
          <w:rFonts w:ascii="Calibri" w:hAnsi="Calibri" w:cs="Arial"/>
          <w:sz w:val="24"/>
          <w:szCs w:val="24"/>
        </w:rPr>
      </w:pPr>
      <w:r>
        <w:rPr>
          <w:rFonts w:ascii="Calibri" w:hAnsi="Calibri" w:cs="Arial"/>
          <w:sz w:val="24"/>
          <w:szCs w:val="24"/>
        </w:rPr>
        <w:t xml:space="preserve">Dr. Min Xie, University of Maryland </w:t>
      </w:r>
    </w:p>
    <w:p w:rsidR="00DE22C2" w:rsidRDefault="00DE22C2" w:rsidP="00B8509A">
      <w:pPr>
        <w:ind w:left="630"/>
        <w:rPr>
          <w:rFonts w:ascii="Calibri" w:hAnsi="Calibri"/>
          <w:sz w:val="24"/>
          <w:szCs w:val="24"/>
        </w:rPr>
      </w:pPr>
    </w:p>
    <w:p w:rsidR="0084206A" w:rsidRPr="00FF120E" w:rsidRDefault="0084206A" w:rsidP="006B2E5A">
      <w:pPr>
        <w:tabs>
          <w:tab w:val="left" w:pos="6874"/>
        </w:tabs>
        <w:ind w:left="630"/>
        <w:rPr>
          <w:rFonts w:ascii="Calibri" w:hAnsi="Calibri"/>
          <w:b/>
          <w:sz w:val="24"/>
          <w:szCs w:val="24"/>
        </w:rPr>
      </w:pPr>
      <w:r w:rsidRPr="00FF120E">
        <w:rPr>
          <w:rFonts w:ascii="Calibri" w:hAnsi="Calibri"/>
          <w:b/>
          <w:sz w:val="24"/>
          <w:szCs w:val="24"/>
        </w:rPr>
        <w:t>Measurement of sexual orientation and gender identity</w:t>
      </w:r>
      <w:r w:rsidR="006B2E5A">
        <w:rPr>
          <w:rFonts w:ascii="Calibri" w:hAnsi="Calibri"/>
          <w:b/>
          <w:sz w:val="24"/>
          <w:szCs w:val="24"/>
        </w:rPr>
        <w:t xml:space="preserve"> in the NCVS </w:t>
      </w:r>
    </w:p>
    <w:p w:rsidR="0084206A" w:rsidRDefault="006B2E5A" w:rsidP="00B8509A">
      <w:pPr>
        <w:ind w:left="630"/>
        <w:rPr>
          <w:rFonts w:ascii="Calibri" w:hAnsi="Calibri"/>
          <w:sz w:val="24"/>
          <w:szCs w:val="24"/>
        </w:rPr>
      </w:pPr>
      <w:r>
        <w:rPr>
          <w:rFonts w:ascii="Calibri" w:hAnsi="Calibri"/>
          <w:sz w:val="24"/>
          <w:szCs w:val="24"/>
        </w:rPr>
        <w:t xml:space="preserve">BJS </w:t>
      </w:r>
      <w:r w:rsidR="00A70D47">
        <w:rPr>
          <w:rFonts w:ascii="Calibri" w:hAnsi="Calibri"/>
          <w:sz w:val="24"/>
          <w:szCs w:val="24"/>
        </w:rPr>
        <w:t>consulted with several stakeholders, advocates, and researchers on the proposed measures of sexual orientation and gender identity that were added to the NCVS</w:t>
      </w:r>
      <w:r w:rsidR="00B857E9">
        <w:rPr>
          <w:rFonts w:ascii="Calibri" w:hAnsi="Calibri"/>
          <w:sz w:val="24"/>
          <w:szCs w:val="24"/>
        </w:rPr>
        <w:t xml:space="preserve"> in July of 2016</w:t>
      </w:r>
      <w:r w:rsidR="00A70D47">
        <w:rPr>
          <w:rFonts w:ascii="Calibri" w:hAnsi="Calibri"/>
          <w:sz w:val="24"/>
          <w:szCs w:val="24"/>
        </w:rPr>
        <w:t xml:space="preserve">. </w:t>
      </w:r>
      <w:r w:rsidR="00FF120E">
        <w:rPr>
          <w:rFonts w:ascii="Calibri" w:hAnsi="Calibri"/>
          <w:sz w:val="24"/>
          <w:szCs w:val="24"/>
        </w:rPr>
        <w:t xml:space="preserve">In May of 2016, BJS met with stakeholders in the LGBT community to consult on the sexual orientation and gender identity measures that were being proposed. These included members from the Williams Institute, Human Rights Campaign, </w:t>
      </w:r>
      <w:r>
        <w:rPr>
          <w:rFonts w:ascii="Calibri" w:hAnsi="Calibri"/>
          <w:sz w:val="24"/>
          <w:szCs w:val="24"/>
        </w:rPr>
        <w:t xml:space="preserve">National LGBTQ Task Force, </w:t>
      </w:r>
      <w:r w:rsidR="00FF120E">
        <w:rPr>
          <w:rFonts w:ascii="Calibri" w:hAnsi="Calibri"/>
          <w:sz w:val="24"/>
          <w:szCs w:val="24"/>
        </w:rPr>
        <w:t xml:space="preserve">National Center for Transgender Rights, Lambda Legal, Transgender Law Center, and Just Detention International. </w:t>
      </w:r>
      <w:r>
        <w:rPr>
          <w:rFonts w:ascii="Calibri" w:hAnsi="Calibri"/>
          <w:sz w:val="24"/>
          <w:szCs w:val="24"/>
        </w:rPr>
        <w:t xml:space="preserve">BJS also serves as active members of the </w:t>
      </w:r>
      <w:r w:rsidRPr="006B2E5A">
        <w:rPr>
          <w:rFonts w:ascii="Calibri" w:hAnsi="Calibri"/>
          <w:sz w:val="24"/>
          <w:szCs w:val="24"/>
        </w:rPr>
        <w:t>Federal Interagency Working Group on Measuring Sexual Orientation and Gender Identity</w:t>
      </w:r>
      <w:r>
        <w:rPr>
          <w:rFonts w:ascii="Calibri" w:hAnsi="Calibri"/>
          <w:sz w:val="24"/>
          <w:szCs w:val="24"/>
        </w:rPr>
        <w:t xml:space="preserve">. </w:t>
      </w:r>
      <w:r w:rsidR="00A70D47">
        <w:rPr>
          <w:rFonts w:ascii="Calibri" w:hAnsi="Calibri"/>
          <w:sz w:val="24"/>
          <w:szCs w:val="24"/>
        </w:rPr>
        <w:t xml:space="preserve">BJS consulted with members of the Working Group and OMB throughout the development and </w:t>
      </w:r>
      <w:r w:rsidR="00B857E9">
        <w:rPr>
          <w:rFonts w:ascii="Calibri" w:hAnsi="Calibri"/>
          <w:sz w:val="24"/>
          <w:szCs w:val="24"/>
        </w:rPr>
        <w:t xml:space="preserve">initial </w:t>
      </w:r>
      <w:r w:rsidR="00A70D47">
        <w:rPr>
          <w:rFonts w:ascii="Calibri" w:hAnsi="Calibri"/>
          <w:sz w:val="24"/>
          <w:szCs w:val="24"/>
        </w:rPr>
        <w:t xml:space="preserve">administration of the sexual orientation and gender identity measures. </w:t>
      </w:r>
    </w:p>
    <w:p w:rsidR="0084206A" w:rsidRDefault="0084206A" w:rsidP="00B8509A">
      <w:pPr>
        <w:ind w:left="630"/>
        <w:rPr>
          <w:rFonts w:ascii="Calibri" w:hAnsi="Calibri"/>
          <w:sz w:val="24"/>
          <w:szCs w:val="24"/>
        </w:rPr>
      </w:pPr>
    </w:p>
    <w:p w:rsidR="00B857E9" w:rsidRDefault="00B857E9" w:rsidP="00B8509A">
      <w:pPr>
        <w:ind w:left="630"/>
        <w:rPr>
          <w:rFonts w:ascii="Calibri" w:hAnsi="Calibri"/>
          <w:sz w:val="24"/>
          <w:szCs w:val="24"/>
        </w:rPr>
      </w:pPr>
      <w:r>
        <w:rPr>
          <w:rFonts w:ascii="Calibri" w:hAnsi="Calibri"/>
          <w:sz w:val="24"/>
          <w:szCs w:val="24"/>
        </w:rPr>
        <w:t xml:space="preserve">The current revision request will </w:t>
      </w:r>
      <w:r w:rsidR="00DC283D" w:rsidRPr="00DC283D">
        <w:rPr>
          <w:rFonts w:ascii="Calibri" w:hAnsi="Calibri"/>
          <w:sz w:val="24"/>
          <w:szCs w:val="24"/>
        </w:rPr>
        <w:t>only administer</w:t>
      </w:r>
      <w:r w:rsidR="00DC283D">
        <w:rPr>
          <w:rFonts w:ascii="Calibri" w:hAnsi="Calibri"/>
          <w:sz w:val="24"/>
          <w:szCs w:val="24"/>
        </w:rPr>
        <w:t xml:space="preserve"> the sexual orientation and gender identity questions</w:t>
      </w:r>
      <w:r w:rsidR="00DC283D" w:rsidRPr="00DC283D">
        <w:rPr>
          <w:rFonts w:ascii="Calibri" w:hAnsi="Calibri"/>
          <w:sz w:val="24"/>
          <w:szCs w:val="24"/>
        </w:rPr>
        <w:t xml:space="preserve"> to persons age 16 or older who self-identify as a crime victim. In addition, BJS will only administer these questions once to all victims</w:t>
      </w:r>
      <w:r w:rsidR="00DC283D">
        <w:rPr>
          <w:rFonts w:ascii="Calibri" w:hAnsi="Calibri"/>
          <w:sz w:val="24"/>
          <w:szCs w:val="24"/>
        </w:rPr>
        <w:t xml:space="preserve">. </w:t>
      </w:r>
    </w:p>
    <w:p w:rsidR="00B857E9" w:rsidRPr="000000EB" w:rsidRDefault="00B857E9" w:rsidP="00B8509A">
      <w:pPr>
        <w:ind w:left="630"/>
        <w:rPr>
          <w:rFonts w:ascii="Calibri" w:hAnsi="Calibri"/>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0000EB">
        <w:rPr>
          <w:rFonts w:ascii="Calibri" w:hAnsi="Calibri" w:cs="Arial"/>
          <w:b/>
          <w:sz w:val="24"/>
          <w:szCs w:val="24"/>
        </w:rPr>
        <w:t>9.</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Paying Respondents</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 xml:space="preserve">N/A.  Payment or gifts to respondents </w:t>
      </w:r>
      <w:r w:rsidR="005D7A99" w:rsidRPr="000000EB">
        <w:rPr>
          <w:rFonts w:ascii="Calibri" w:hAnsi="Calibri" w:cs="Arial"/>
          <w:sz w:val="24"/>
          <w:szCs w:val="24"/>
        </w:rPr>
        <w:t>are</w:t>
      </w:r>
      <w:r w:rsidRPr="000000EB">
        <w:rPr>
          <w:rFonts w:ascii="Calibri" w:hAnsi="Calibri" w:cs="Arial"/>
          <w:sz w:val="24"/>
          <w:szCs w:val="24"/>
        </w:rPr>
        <w:t xml:space="preserve"> not provided in return for participation in the survey.</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p>
    <w:p w:rsidR="00CF44FB" w:rsidRPr="00C475AF"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7D4260">
        <w:rPr>
          <w:rFonts w:ascii="Calibri" w:hAnsi="Calibri" w:cs="Arial"/>
          <w:b/>
          <w:sz w:val="24"/>
          <w:szCs w:val="24"/>
        </w:rPr>
        <w:t>10.</w:t>
      </w:r>
      <w:r w:rsidRPr="007D4260">
        <w:rPr>
          <w:rFonts w:ascii="Calibri" w:hAnsi="Calibri" w:cs="Arial"/>
          <w:b/>
          <w:sz w:val="24"/>
          <w:szCs w:val="24"/>
        </w:rPr>
        <w:tab/>
      </w:r>
      <w:r w:rsidRPr="007D4260">
        <w:rPr>
          <w:rFonts w:ascii="Calibri" w:hAnsi="Calibri" w:cs="Arial"/>
          <w:b/>
          <w:sz w:val="24"/>
          <w:szCs w:val="24"/>
        </w:rPr>
        <w:tab/>
      </w:r>
      <w:r w:rsidRPr="007D4260">
        <w:rPr>
          <w:rFonts w:ascii="Calibri" w:hAnsi="Calibri" w:cs="Arial"/>
          <w:b/>
          <w:sz w:val="24"/>
          <w:szCs w:val="24"/>
          <w:u w:val="single"/>
        </w:rPr>
        <w:t>Assurance of Confidentiality</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rsidR="00CF44FB" w:rsidRPr="000000EB" w:rsidRDefault="00CF44FB" w:rsidP="00B8509A">
      <w:pPr>
        <w:pStyle w:val="BodyTextIndent3"/>
        <w:rPr>
          <w:rFonts w:ascii="Calibri" w:hAnsi="Calibri" w:cs="Arial"/>
        </w:rPr>
      </w:pP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t>All NCVS information about individuals or hou</w:t>
      </w:r>
      <w:r w:rsidR="002A23DC" w:rsidRPr="000000EB">
        <w:rPr>
          <w:rFonts w:ascii="Calibri" w:hAnsi="Calibri" w:cs="Arial"/>
        </w:rPr>
        <w:t xml:space="preserve">seholds is confidential by law under </w:t>
      </w:r>
      <w:r w:rsidRPr="000000EB">
        <w:rPr>
          <w:rFonts w:ascii="Calibri" w:hAnsi="Calibri" w:cs="Arial"/>
        </w:rPr>
        <w:t xml:space="preserve">Title </w:t>
      </w:r>
      <w:r w:rsidR="00940325">
        <w:rPr>
          <w:rFonts w:ascii="Calibri" w:hAnsi="Calibri" w:cs="Arial"/>
        </w:rPr>
        <w:t>34</w:t>
      </w:r>
      <w:r w:rsidRPr="000000EB">
        <w:rPr>
          <w:rFonts w:ascii="Calibri" w:hAnsi="Calibri" w:cs="Arial"/>
        </w:rPr>
        <w:t xml:space="preserve">, United States Code, Sections </w:t>
      </w:r>
      <w:r w:rsidR="00940325">
        <w:rPr>
          <w:rFonts w:ascii="Calibri" w:hAnsi="Calibri" w:cs="Arial"/>
        </w:rPr>
        <w:t>10231</w:t>
      </w:r>
      <w:r w:rsidRPr="000000EB">
        <w:rPr>
          <w:rFonts w:ascii="Calibri" w:hAnsi="Calibri" w:cs="Arial"/>
        </w:rPr>
        <w:t xml:space="preserve"> and </w:t>
      </w:r>
      <w:r w:rsidR="00940325">
        <w:rPr>
          <w:rFonts w:ascii="Calibri" w:hAnsi="Calibri" w:cs="Arial"/>
        </w:rPr>
        <w:t>10134</w:t>
      </w:r>
      <w:r w:rsidRPr="000000EB">
        <w:rPr>
          <w:rFonts w:ascii="Calibri" w:hAnsi="Calibri" w:cs="Arial"/>
        </w:rPr>
        <w:t xml:space="preserve"> and Title 13, United States Code, Section 9. </w:t>
      </w:r>
      <w:r w:rsidR="00B9034B" w:rsidRPr="00B9034B">
        <w:rPr>
          <w:rFonts w:ascii="Calibri" w:hAnsi="Calibri" w:cs="Arial"/>
        </w:rPr>
        <w:t>By law, the Census Bureau is not permitted to publicly release survey responses in a way that could identify survey r</w:t>
      </w:r>
      <w:r w:rsidR="00B9034B">
        <w:rPr>
          <w:rFonts w:ascii="Calibri" w:hAnsi="Calibri" w:cs="Arial"/>
        </w:rPr>
        <w:t xml:space="preserve">espondents or their households. </w:t>
      </w:r>
      <w:r w:rsidRPr="000000EB">
        <w:rPr>
          <w:rFonts w:ascii="Calibri" w:hAnsi="Calibri" w:cs="Arial"/>
        </w:rPr>
        <w:t xml:space="preserve">Census Bureau employees </w:t>
      </w:r>
      <w:r w:rsidR="00B9034B">
        <w:rPr>
          <w:rFonts w:ascii="Calibri" w:hAnsi="Calibri" w:cs="Arial"/>
        </w:rPr>
        <w:t xml:space="preserve">who may see the survey responses are </w:t>
      </w:r>
      <w:r w:rsidRPr="000000EB">
        <w:rPr>
          <w:rFonts w:ascii="Calibri" w:hAnsi="Calibri" w:cs="Arial"/>
        </w:rPr>
        <w:t xml:space="preserve">sworn to preserve this confidentiality. Even </w:t>
      </w:r>
      <w:r w:rsidR="00E22984" w:rsidRPr="000000EB">
        <w:rPr>
          <w:rFonts w:ascii="Calibri" w:hAnsi="Calibri" w:cs="Arial"/>
        </w:rPr>
        <w:t>BJS</w:t>
      </w:r>
      <w:r w:rsidRPr="000000EB">
        <w:rPr>
          <w:rFonts w:ascii="Calibri" w:hAnsi="Calibri" w:cs="Arial"/>
        </w:rPr>
        <w:t xml:space="preserve">, as the sponsor of the survey, is not authorized to see or handle the data in its raw form. All unique and identifying information is scrambled or suppressed before it is </w:t>
      </w:r>
      <w:r w:rsidR="00CF74E3" w:rsidRPr="000000EB">
        <w:rPr>
          <w:rFonts w:ascii="Calibri" w:hAnsi="Calibri" w:cs="Arial"/>
        </w:rPr>
        <w:t>provided</w:t>
      </w:r>
      <w:r w:rsidRPr="000000EB">
        <w:rPr>
          <w:rFonts w:ascii="Calibri" w:hAnsi="Calibri" w:cs="Arial"/>
        </w:rPr>
        <w:t xml:space="preserve"> to </w:t>
      </w:r>
      <w:r w:rsidR="00E22984" w:rsidRPr="000000EB">
        <w:rPr>
          <w:rFonts w:ascii="Calibri" w:hAnsi="Calibri" w:cs="Arial"/>
        </w:rPr>
        <w:t>BJS</w:t>
      </w:r>
      <w:r w:rsidRPr="000000EB">
        <w:rPr>
          <w:rFonts w:ascii="Calibri" w:hAnsi="Calibri" w:cs="Arial"/>
        </w:rPr>
        <w:t xml:space="preserve"> to analyze. Data </w:t>
      </w:r>
      <w:r w:rsidR="00CF74E3" w:rsidRPr="000000EB">
        <w:rPr>
          <w:rFonts w:ascii="Calibri" w:hAnsi="Calibri" w:cs="Arial"/>
        </w:rPr>
        <w:t>are</w:t>
      </w:r>
      <w:r w:rsidRPr="000000EB">
        <w:rPr>
          <w:rFonts w:ascii="Calibri" w:hAnsi="Calibri" w:cs="Arial"/>
        </w:rPr>
        <w:t xml:space="preserve"> maintained in secure environments and in restricted access locations within the Census Bureau. All data </w:t>
      </w:r>
      <w:r w:rsidR="00CF74E3" w:rsidRPr="000000EB">
        <w:rPr>
          <w:rFonts w:ascii="Calibri" w:hAnsi="Calibri" w:cs="Arial"/>
        </w:rPr>
        <w:t>provided</w:t>
      </w:r>
      <w:r w:rsidRPr="000000EB">
        <w:rPr>
          <w:rFonts w:ascii="Calibri" w:hAnsi="Calibri" w:cs="Arial"/>
        </w:rPr>
        <w:t xml:space="preserve"> to </w:t>
      </w:r>
      <w:r w:rsidR="00E22984" w:rsidRPr="000000EB">
        <w:rPr>
          <w:rFonts w:ascii="Calibri" w:hAnsi="Calibri" w:cs="Arial"/>
        </w:rPr>
        <w:t>BJS</w:t>
      </w:r>
      <w:r w:rsidRPr="000000EB">
        <w:rPr>
          <w:rFonts w:ascii="Calibri" w:hAnsi="Calibri" w:cs="Arial"/>
        </w:rPr>
        <w:t xml:space="preserve"> must meet the confidentiality requirements set forth by the Disclosure Review Board at the Census Bureau.</w:t>
      </w:r>
    </w:p>
    <w:p w:rsidR="00CF44FB" w:rsidRPr="000000EB" w:rsidRDefault="00CF44FB" w:rsidP="00B8509A">
      <w:pPr>
        <w:pStyle w:val="BodyTextIndent3"/>
        <w:rPr>
          <w:rFonts w:ascii="Calibri" w:hAnsi="Calibri" w:cs="Arial"/>
        </w:rPr>
      </w:pPr>
    </w:p>
    <w:p w:rsidR="00CF44FB" w:rsidRPr="000000EB" w:rsidRDefault="00CF44FB" w:rsidP="00B8509A">
      <w:pPr>
        <w:pStyle w:val="BodyTextIndent3"/>
        <w:rPr>
          <w:rFonts w:ascii="Calibri" w:hAnsi="Calibri" w:cs="Arial"/>
        </w:rPr>
      </w:pP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t xml:space="preserve">In a letter </w:t>
      </w:r>
      <w:r w:rsidR="00B9034B">
        <w:rPr>
          <w:rFonts w:ascii="Calibri" w:hAnsi="Calibri" w:cs="Arial"/>
        </w:rPr>
        <w:t>from</w:t>
      </w:r>
      <w:r w:rsidRPr="000000EB">
        <w:rPr>
          <w:rFonts w:ascii="Calibri" w:hAnsi="Calibri" w:cs="Arial"/>
        </w:rPr>
        <w:t xml:space="preserve"> the Director of the Census Bureau, sent to all </w:t>
      </w:r>
      <w:r w:rsidR="00B9034B">
        <w:rPr>
          <w:rFonts w:ascii="Calibri" w:hAnsi="Calibri" w:cs="Arial"/>
        </w:rPr>
        <w:t>households</w:t>
      </w:r>
      <w:r w:rsidRPr="000000EB">
        <w:rPr>
          <w:rFonts w:ascii="Calibri" w:hAnsi="Calibri" w:cs="Arial"/>
        </w:rPr>
        <w:t xml:space="preserve"> in the survey, respondents are informed of th</w:t>
      </w:r>
      <w:r w:rsidR="00B9034B">
        <w:rPr>
          <w:rFonts w:ascii="Calibri" w:hAnsi="Calibri" w:cs="Arial"/>
        </w:rPr>
        <w:t>ese</w:t>
      </w:r>
      <w:r w:rsidRPr="000000EB">
        <w:rPr>
          <w:rFonts w:ascii="Calibri" w:hAnsi="Calibri" w:cs="Arial"/>
        </w:rPr>
        <w:t xml:space="preserve"> law</w:t>
      </w:r>
      <w:r w:rsidR="00B9034B">
        <w:rPr>
          <w:rFonts w:ascii="Calibri" w:hAnsi="Calibri" w:cs="Arial"/>
        </w:rPr>
        <w:t>s</w:t>
      </w:r>
      <w:r w:rsidRPr="000000EB">
        <w:rPr>
          <w:rFonts w:ascii="Calibri" w:hAnsi="Calibri" w:cs="Arial"/>
        </w:rPr>
        <w:t xml:space="preserve">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rsidR="00CF44FB" w:rsidRPr="000000EB" w:rsidRDefault="00CF44FB" w:rsidP="00B8509A">
      <w:pPr>
        <w:pStyle w:val="BodyTextIndent3"/>
        <w:rPr>
          <w:rFonts w:ascii="Calibri" w:hAnsi="Calibri" w:cs="Arial"/>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0000EB">
        <w:rPr>
          <w:rFonts w:ascii="Calibri" w:hAnsi="Calibri" w:cs="Arial"/>
          <w:b/>
          <w:sz w:val="24"/>
          <w:szCs w:val="24"/>
        </w:rPr>
        <w:t>11.</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Justification for Sensitive Questions</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rsidR="00CF44FB" w:rsidRPr="000000EB" w:rsidRDefault="00CF44FB" w:rsidP="005E31E3">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 xml:space="preserve">The NCVS asks about experiences </w:t>
      </w:r>
      <w:r w:rsidR="00F86068" w:rsidRPr="000000EB">
        <w:rPr>
          <w:rFonts w:ascii="Calibri" w:hAnsi="Calibri" w:cs="Arial"/>
          <w:sz w:val="24"/>
          <w:szCs w:val="24"/>
        </w:rPr>
        <w:t xml:space="preserve">such as rape </w:t>
      </w:r>
      <w:r w:rsidR="002369B1">
        <w:rPr>
          <w:rFonts w:ascii="Calibri" w:hAnsi="Calibri" w:cs="Arial"/>
          <w:sz w:val="24"/>
          <w:szCs w:val="24"/>
        </w:rPr>
        <w:t xml:space="preserve">and other types of victimization </w:t>
      </w:r>
      <w:r w:rsidRPr="000000EB">
        <w:rPr>
          <w:rFonts w:ascii="Calibri" w:hAnsi="Calibri" w:cs="Arial"/>
          <w:sz w:val="24"/>
          <w:szCs w:val="24"/>
        </w:rPr>
        <w:t xml:space="preserve">that </w:t>
      </w:r>
      <w:r w:rsidR="00CF74E3" w:rsidRPr="000000EB">
        <w:rPr>
          <w:rFonts w:ascii="Calibri" w:hAnsi="Calibri" w:cs="Arial"/>
          <w:sz w:val="24"/>
          <w:szCs w:val="24"/>
        </w:rPr>
        <w:t>may be</w:t>
      </w:r>
      <w:r w:rsidRPr="000000EB">
        <w:rPr>
          <w:rFonts w:ascii="Calibri" w:hAnsi="Calibri" w:cs="Arial"/>
          <w:sz w:val="24"/>
          <w:szCs w:val="24"/>
        </w:rPr>
        <w:t xml:space="preserve"> sensitive for some respondents.  Given the objective of the NCVS--to estimate the amount of victimization in the Nation--this is</w:t>
      </w:r>
      <w:r w:rsidR="002369B1">
        <w:rPr>
          <w:rFonts w:ascii="Calibri" w:hAnsi="Calibri" w:cs="Arial"/>
          <w:sz w:val="24"/>
          <w:szCs w:val="24"/>
        </w:rPr>
        <w:t xml:space="preserve"> necessary as BJS would not be able to provide a complete picture of nonfatal violent victimization without asking about such experiences</w:t>
      </w:r>
      <w:r w:rsidRPr="000000EB">
        <w:rPr>
          <w:rFonts w:ascii="Calibri" w:hAnsi="Calibri" w:cs="Arial"/>
          <w:sz w:val="24"/>
          <w:szCs w:val="24"/>
        </w:rPr>
        <w:t xml:space="preserve">.  </w:t>
      </w:r>
      <w:r w:rsidR="001C3674" w:rsidRPr="000000EB">
        <w:rPr>
          <w:rFonts w:ascii="Calibri" w:hAnsi="Calibri" w:cs="Arial"/>
          <w:sz w:val="24"/>
          <w:szCs w:val="24"/>
        </w:rPr>
        <w:t xml:space="preserve">NCVS interviewers receive training and guidance on how to ask sensitive questions. </w:t>
      </w:r>
      <w:r w:rsidRPr="000000EB">
        <w:rPr>
          <w:rFonts w:ascii="Calibri" w:hAnsi="Calibri" w:cs="Arial"/>
          <w:sz w:val="24"/>
          <w:szCs w:val="24"/>
        </w:rPr>
        <w:t xml:space="preserve">The importance of estimating crime levels, as well as the potential value of detailed information about victimization for designing crime prevention strategies, </w:t>
      </w:r>
      <w:r w:rsidR="00CF74E3" w:rsidRPr="000000EB">
        <w:rPr>
          <w:rFonts w:ascii="Calibri" w:hAnsi="Calibri" w:cs="Arial"/>
          <w:sz w:val="24"/>
          <w:szCs w:val="24"/>
        </w:rPr>
        <w:t>is</w:t>
      </w:r>
      <w:r w:rsidRPr="000000EB">
        <w:rPr>
          <w:rFonts w:ascii="Calibri" w:hAnsi="Calibri" w:cs="Arial"/>
          <w:sz w:val="24"/>
          <w:szCs w:val="24"/>
        </w:rPr>
        <w:t xml:space="preserve"> explained to any respondent who seems hesitant to answer.  All respondents have the option of refusing to answer any question.</w:t>
      </w:r>
    </w:p>
    <w:p w:rsidR="00A07020" w:rsidRPr="000000EB" w:rsidRDefault="00A07020"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rsidR="00A07020" w:rsidRPr="000000EB" w:rsidRDefault="00A07020"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 xml:space="preserve">In 2015, the Office for Justice Programs Institutional Review Board (IRB) declared the NCVS exempt from </w:t>
      </w:r>
      <w:r w:rsidR="00D642FF" w:rsidRPr="000000EB">
        <w:rPr>
          <w:rFonts w:ascii="Calibri" w:hAnsi="Calibri" w:cs="Arial"/>
          <w:sz w:val="24"/>
          <w:szCs w:val="24"/>
        </w:rPr>
        <w:t>review and approval by an Institutional Review Board.</w:t>
      </w:r>
      <w:r w:rsidRPr="000000EB">
        <w:rPr>
          <w:rFonts w:ascii="Calibri" w:hAnsi="Calibri" w:cs="Arial"/>
          <w:sz w:val="24"/>
          <w:szCs w:val="24"/>
        </w:rPr>
        <w:t xml:space="preserve"> </w:t>
      </w:r>
      <w:r w:rsidR="00D642FF" w:rsidRPr="000000EB">
        <w:rPr>
          <w:rFonts w:ascii="Calibri" w:hAnsi="Calibri" w:cs="Arial"/>
          <w:sz w:val="24"/>
          <w:szCs w:val="24"/>
        </w:rPr>
        <w:t xml:space="preserve">Pursuant to the OJP Instruction for Protection of Human Subjects and Privacy Certification Requirements, the NCVS was declared exempt from review because the research is covered by provisions of the confidentiality statute at </w:t>
      </w:r>
      <w:r w:rsidR="00C475AF">
        <w:rPr>
          <w:rFonts w:ascii="Calibri" w:hAnsi="Calibri" w:cs="Arial"/>
          <w:sz w:val="24"/>
          <w:szCs w:val="24"/>
        </w:rPr>
        <w:t>34</w:t>
      </w:r>
      <w:r w:rsidR="00D642FF" w:rsidRPr="000000EB">
        <w:rPr>
          <w:rFonts w:ascii="Calibri" w:hAnsi="Calibri" w:cs="Arial"/>
          <w:sz w:val="24"/>
          <w:szCs w:val="24"/>
        </w:rPr>
        <w:t xml:space="preserve"> USC </w:t>
      </w:r>
      <w:r w:rsidR="00C475AF">
        <w:rPr>
          <w:rFonts w:ascii="Calibri" w:hAnsi="Calibri" w:cs="Arial"/>
          <w:sz w:val="24"/>
          <w:szCs w:val="24"/>
        </w:rPr>
        <w:t>10231</w:t>
      </w:r>
      <w:r w:rsidR="00D642FF" w:rsidRPr="000000EB">
        <w:rPr>
          <w:rFonts w:ascii="Calibri" w:hAnsi="Calibri" w:cs="Arial"/>
          <w:sz w:val="24"/>
          <w:szCs w:val="24"/>
        </w:rPr>
        <w:t xml:space="preserve"> and the respondents’ confidentiality is protected unde</w:t>
      </w:r>
      <w:r w:rsidR="005E31E3" w:rsidRPr="000000EB">
        <w:rPr>
          <w:rFonts w:ascii="Calibri" w:hAnsi="Calibri" w:cs="Arial"/>
          <w:sz w:val="24"/>
          <w:szCs w:val="24"/>
        </w:rPr>
        <w:t>r Title 13 USC 9. The only involvement of human subjects consists of the administration of an interview questionnaire and the only predictable potential harm is release of the information with identifiers.</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0000EB">
        <w:rPr>
          <w:rFonts w:ascii="Calibri" w:hAnsi="Calibri" w:cs="Arial"/>
          <w:b/>
          <w:sz w:val="24"/>
          <w:szCs w:val="24"/>
        </w:rPr>
        <w:t>12.</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 xml:space="preserve">Estimate </w:t>
      </w:r>
      <w:r w:rsidR="008A4344">
        <w:rPr>
          <w:rFonts w:ascii="Calibri" w:hAnsi="Calibri" w:cs="Arial"/>
          <w:b/>
          <w:sz w:val="24"/>
          <w:szCs w:val="24"/>
          <w:u w:val="single"/>
        </w:rPr>
        <w:t xml:space="preserve">of </w:t>
      </w:r>
      <w:r w:rsidR="00FA7995" w:rsidRPr="007D4260">
        <w:rPr>
          <w:rFonts w:ascii="Calibri" w:hAnsi="Calibri" w:cs="Arial"/>
          <w:b/>
          <w:sz w:val="24"/>
          <w:szCs w:val="24"/>
          <w:u w:val="single"/>
        </w:rPr>
        <w:t>Respondent</w:t>
      </w:r>
      <w:r w:rsidRPr="007D4260">
        <w:rPr>
          <w:rFonts w:ascii="Calibri" w:hAnsi="Calibri" w:cs="Arial"/>
          <w:b/>
          <w:sz w:val="24"/>
          <w:szCs w:val="24"/>
          <w:u w:val="single"/>
        </w:rPr>
        <w:t xml:space="preserve"> Burden</w:t>
      </w:r>
    </w:p>
    <w:p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rsidR="008A3D72" w:rsidRDefault="00CF44FB" w:rsidP="0025529A">
      <w:pPr>
        <w:pStyle w:val="Heading2"/>
        <w:rPr>
          <w:rFonts w:ascii="Calibri" w:hAnsi="Calibri" w:cs="Arial"/>
        </w:rPr>
      </w:pPr>
      <w:r w:rsidRPr="000000EB">
        <w:rPr>
          <w:rFonts w:ascii="Calibri" w:hAnsi="Calibri"/>
        </w:rPr>
        <w:tab/>
      </w:r>
      <w:r w:rsidRPr="000000EB">
        <w:rPr>
          <w:rFonts w:ascii="Calibri" w:hAnsi="Calibri"/>
        </w:rPr>
        <w:tab/>
      </w:r>
      <w:r w:rsidRPr="000000EB">
        <w:rPr>
          <w:rFonts w:ascii="Calibri" w:hAnsi="Calibri"/>
        </w:rPr>
        <w:tab/>
      </w:r>
      <w:r w:rsidRPr="000000EB">
        <w:rPr>
          <w:rFonts w:ascii="Calibri" w:hAnsi="Calibri"/>
        </w:rPr>
        <w:tab/>
      </w:r>
      <w:r w:rsidRPr="000000EB">
        <w:rPr>
          <w:rFonts w:ascii="Calibri" w:hAnsi="Calibri"/>
        </w:rPr>
        <w:tab/>
      </w:r>
      <w:r w:rsidR="00FA7995" w:rsidRPr="000000EB">
        <w:rPr>
          <w:rFonts w:ascii="Calibri" w:hAnsi="Calibri" w:cs="Arial"/>
        </w:rPr>
        <w:t>Table 1</w:t>
      </w:r>
      <w:r w:rsidRPr="000000EB">
        <w:rPr>
          <w:rFonts w:ascii="Calibri" w:hAnsi="Calibri" w:cs="Arial"/>
        </w:rPr>
        <w:t xml:space="preserve"> shows the estimated respondent reporting burden for </w:t>
      </w:r>
      <w:r w:rsidR="002369B1">
        <w:rPr>
          <w:rFonts w:ascii="Calibri" w:hAnsi="Calibri" w:cs="Arial"/>
        </w:rPr>
        <w:t xml:space="preserve">both </w:t>
      </w:r>
      <w:r w:rsidRPr="000000EB">
        <w:rPr>
          <w:rFonts w:ascii="Calibri" w:hAnsi="Calibri" w:cs="Arial"/>
        </w:rPr>
        <w:t>interviewed and</w:t>
      </w:r>
      <w:r w:rsidR="00130015" w:rsidRPr="000000EB">
        <w:rPr>
          <w:rFonts w:ascii="Calibri" w:hAnsi="Calibri" w:cs="Arial"/>
        </w:rPr>
        <w:t xml:space="preserve"> </w:t>
      </w:r>
      <w:r w:rsidRPr="000000EB">
        <w:rPr>
          <w:rFonts w:ascii="Calibri" w:hAnsi="Calibri" w:cs="Arial"/>
        </w:rPr>
        <w:t xml:space="preserve">noninterviewed </w:t>
      </w:r>
      <w:r w:rsidR="00C76614">
        <w:rPr>
          <w:rFonts w:ascii="Calibri" w:hAnsi="Calibri" w:cs="Arial"/>
        </w:rPr>
        <w:t>respondents</w:t>
      </w:r>
      <w:r w:rsidRPr="000000EB">
        <w:rPr>
          <w:rFonts w:ascii="Calibri" w:hAnsi="Calibri" w:cs="Arial"/>
        </w:rPr>
        <w:t xml:space="preserve">.  The estimates are based on </w:t>
      </w:r>
      <w:r w:rsidR="00FE4826">
        <w:rPr>
          <w:rFonts w:ascii="Calibri" w:hAnsi="Calibri" w:cs="Arial"/>
        </w:rPr>
        <w:t>anticipated 2018</w:t>
      </w:r>
      <w:r w:rsidRPr="000000EB">
        <w:rPr>
          <w:rFonts w:ascii="Calibri" w:hAnsi="Calibri" w:cs="Arial"/>
        </w:rPr>
        <w:t xml:space="preserve"> interview/noninterview counts</w:t>
      </w:r>
      <w:r w:rsidR="00FE4826">
        <w:rPr>
          <w:rFonts w:ascii="Calibri" w:hAnsi="Calibri" w:cs="Arial"/>
        </w:rPr>
        <w:t xml:space="preserve">, </w:t>
      </w:r>
      <w:r w:rsidR="00D93A00">
        <w:rPr>
          <w:rFonts w:ascii="Calibri" w:hAnsi="Calibri" w:cs="Arial"/>
        </w:rPr>
        <w:t>including</w:t>
      </w:r>
      <w:r w:rsidR="00FE4826">
        <w:rPr>
          <w:rFonts w:ascii="Calibri" w:hAnsi="Calibri" w:cs="Arial"/>
        </w:rPr>
        <w:t xml:space="preserve"> the 22-state sample boost </w:t>
      </w:r>
      <w:r w:rsidR="00D93A00">
        <w:rPr>
          <w:rFonts w:ascii="Calibri" w:hAnsi="Calibri" w:cs="Arial"/>
        </w:rPr>
        <w:t>that has been</w:t>
      </w:r>
      <w:r w:rsidR="00FE4826">
        <w:rPr>
          <w:rFonts w:ascii="Calibri" w:hAnsi="Calibri" w:cs="Arial"/>
        </w:rPr>
        <w:t xml:space="preserve"> in place </w:t>
      </w:r>
      <w:r w:rsidR="00CD5CBB">
        <w:rPr>
          <w:rFonts w:ascii="Calibri" w:hAnsi="Calibri" w:cs="Arial"/>
        </w:rPr>
        <w:t xml:space="preserve">since </w:t>
      </w:r>
      <w:r w:rsidR="00FE4826">
        <w:rPr>
          <w:rFonts w:ascii="Calibri" w:hAnsi="Calibri" w:cs="Arial"/>
        </w:rPr>
        <w:t>January of 2016</w:t>
      </w:r>
      <w:r w:rsidRPr="000000EB">
        <w:rPr>
          <w:rFonts w:ascii="Calibri" w:hAnsi="Calibri" w:cs="Arial"/>
        </w:rPr>
        <w:t>.</w:t>
      </w:r>
      <w:r w:rsidR="00DE70B0" w:rsidRPr="000000EB">
        <w:rPr>
          <w:rFonts w:ascii="Calibri" w:hAnsi="Calibri" w:cs="Arial"/>
        </w:rPr>
        <w:t xml:space="preserve"> The current annual inventory is based on the actual hours required to collect the data from the </w:t>
      </w:r>
      <w:r w:rsidR="00FE4826">
        <w:rPr>
          <w:rFonts w:ascii="Calibri" w:hAnsi="Calibri" w:cs="Arial"/>
        </w:rPr>
        <w:t>NCVS</w:t>
      </w:r>
      <w:r w:rsidR="00DE70B0" w:rsidRPr="000000EB">
        <w:rPr>
          <w:rFonts w:ascii="Calibri" w:hAnsi="Calibri" w:cs="Arial"/>
        </w:rPr>
        <w:t xml:space="preserve"> and accounts for a full 12-month cycle of data collection.</w:t>
      </w:r>
    </w:p>
    <w:p w:rsidR="004815EB" w:rsidRPr="00454ADD" w:rsidRDefault="004815EB" w:rsidP="00454ADD"/>
    <w:p w:rsidR="004815EB" w:rsidRPr="00454ADD" w:rsidRDefault="00D33780" w:rsidP="00D33780">
      <w:pPr>
        <w:jc w:val="center"/>
      </w:pPr>
      <w:r w:rsidRPr="00D33780">
        <w:rPr>
          <w:noProof/>
        </w:rPr>
        <w:drawing>
          <wp:inline distT="0" distB="0" distL="0" distR="0" wp14:anchorId="0BE0C89A" wp14:editId="497C7BB6">
            <wp:extent cx="4628655" cy="3522428"/>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8655" cy="3522428"/>
                    </a:xfrm>
                    <a:prstGeom prst="rect">
                      <a:avLst/>
                    </a:prstGeom>
                    <a:noFill/>
                    <a:ln>
                      <a:noFill/>
                    </a:ln>
                  </pic:spPr>
                </pic:pic>
              </a:graphicData>
            </a:graphic>
          </wp:inline>
        </w:drawing>
      </w:r>
    </w:p>
    <w:p w:rsidR="006E2D73" w:rsidRPr="000000EB" w:rsidRDefault="006E2D73" w:rsidP="009A43E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sz w:val="24"/>
          <w:szCs w:val="24"/>
        </w:rPr>
      </w:pPr>
      <w:bookmarkStart w:id="1" w:name="OLE_LINK3"/>
    </w:p>
    <w:p w:rsidR="006E2D73" w:rsidRDefault="006E2D73"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p>
    <w:p w:rsidR="00D8407D" w:rsidRDefault="00D8407D"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p>
    <w:p w:rsidR="00D8407D" w:rsidRPr="000000EB" w:rsidRDefault="00D8407D"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p>
    <w:p w:rsidR="00CF44FB" w:rsidRPr="000000EB" w:rsidRDefault="00FE4826"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r>
        <w:rPr>
          <w:rFonts w:ascii="Calibri" w:hAnsi="Calibri" w:cs="Arial"/>
          <w:b/>
          <w:sz w:val="24"/>
          <w:szCs w:val="24"/>
        </w:rPr>
        <w:tab/>
      </w:r>
      <w:r>
        <w:rPr>
          <w:rFonts w:ascii="Calibri" w:hAnsi="Calibri" w:cs="Arial"/>
          <w:b/>
          <w:sz w:val="24"/>
          <w:szCs w:val="24"/>
        </w:rPr>
        <w:tab/>
        <w:t>1</w:t>
      </w:r>
      <w:r w:rsidR="00CF44FB" w:rsidRPr="000000EB">
        <w:rPr>
          <w:rFonts w:ascii="Calibri" w:hAnsi="Calibri" w:cs="Arial"/>
          <w:b/>
          <w:sz w:val="24"/>
          <w:szCs w:val="24"/>
        </w:rPr>
        <w:t>3.</w:t>
      </w:r>
      <w:r w:rsidR="00CF44FB" w:rsidRPr="000000EB">
        <w:rPr>
          <w:rFonts w:ascii="Calibri" w:hAnsi="Calibri" w:cs="Arial"/>
          <w:b/>
          <w:sz w:val="24"/>
          <w:szCs w:val="24"/>
        </w:rPr>
        <w:tab/>
      </w:r>
      <w:r>
        <w:rPr>
          <w:rFonts w:ascii="Calibri" w:hAnsi="Calibri" w:cs="Arial"/>
          <w:b/>
          <w:sz w:val="24"/>
          <w:szCs w:val="24"/>
        </w:rPr>
        <w:t xml:space="preserve">    </w:t>
      </w:r>
      <w:r w:rsidR="00CF44FB" w:rsidRPr="007D4260">
        <w:rPr>
          <w:rFonts w:ascii="Calibri" w:hAnsi="Calibri" w:cs="Arial"/>
          <w:b/>
          <w:sz w:val="24"/>
          <w:szCs w:val="24"/>
          <w:u w:val="single"/>
        </w:rPr>
        <w:t xml:space="preserve">Estimate of </w:t>
      </w:r>
      <w:r w:rsidR="008A4344">
        <w:rPr>
          <w:rFonts w:ascii="Calibri" w:hAnsi="Calibri" w:cs="Arial"/>
          <w:b/>
          <w:sz w:val="24"/>
          <w:szCs w:val="24"/>
          <w:u w:val="single"/>
        </w:rPr>
        <w:t xml:space="preserve">Respondent’s </w:t>
      </w:r>
      <w:r w:rsidR="00CF44FB" w:rsidRPr="007D4260">
        <w:rPr>
          <w:rFonts w:ascii="Calibri" w:hAnsi="Calibri" w:cs="Arial"/>
          <w:b/>
          <w:sz w:val="24"/>
          <w:szCs w:val="24"/>
          <w:u w:val="single"/>
        </w:rPr>
        <w:t>Cost Burden</w:t>
      </w:r>
    </w:p>
    <w:p w:rsidR="00CF44FB" w:rsidRPr="000000EB" w:rsidRDefault="00CF44F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sz w:val="24"/>
          <w:szCs w:val="24"/>
        </w:rPr>
      </w:pPr>
    </w:p>
    <w:p w:rsidR="00CF44FB" w:rsidRPr="000000EB" w:rsidRDefault="00CF44FB" w:rsidP="006F7B4C">
      <w:pPr>
        <w:pStyle w:val="Heading3"/>
        <w:rPr>
          <w:rFonts w:ascii="Calibri" w:hAnsi="Calibri" w:cs="Arial"/>
        </w:rPr>
      </w:pP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t>There are no costs to respondents other than that of their time to respond.</w:t>
      </w: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sz w:val="24"/>
          <w:szCs w:val="24"/>
        </w:rPr>
      </w:pP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b/>
          <w:sz w:val="24"/>
          <w:szCs w:val="24"/>
        </w:rPr>
      </w:pPr>
      <w:r w:rsidRPr="000000EB">
        <w:rPr>
          <w:rFonts w:ascii="Calibri" w:hAnsi="Calibri" w:cs="Arial"/>
          <w:sz w:val="24"/>
          <w:szCs w:val="24"/>
        </w:rPr>
        <w:tab/>
      </w:r>
      <w:bookmarkStart w:id="2" w:name="OLE_LINK2"/>
      <w:r w:rsidRPr="000000EB">
        <w:rPr>
          <w:rFonts w:ascii="Calibri" w:hAnsi="Calibri" w:cs="Arial"/>
          <w:sz w:val="24"/>
          <w:szCs w:val="24"/>
        </w:rPr>
        <w:tab/>
      </w:r>
      <w:r w:rsidRPr="000000EB">
        <w:rPr>
          <w:rFonts w:ascii="Calibri" w:hAnsi="Calibri" w:cs="Arial"/>
          <w:b/>
          <w:sz w:val="24"/>
          <w:szCs w:val="24"/>
        </w:rPr>
        <w:t>14</w:t>
      </w:r>
      <w:r w:rsidRPr="007D4260">
        <w:rPr>
          <w:rFonts w:ascii="Calibri" w:hAnsi="Calibri" w:cs="Arial"/>
          <w:b/>
          <w:sz w:val="24"/>
          <w:szCs w:val="24"/>
        </w:rPr>
        <w:t>.</w:t>
      </w:r>
      <w:r w:rsidRPr="007D4260">
        <w:rPr>
          <w:rFonts w:ascii="Calibri" w:hAnsi="Calibri" w:cs="Arial"/>
          <w:b/>
          <w:sz w:val="24"/>
          <w:szCs w:val="24"/>
        </w:rPr>
        <w:tab/>
      </w:r>
      <w:r w:rsidRPr="007D4260">
        <w:rPr>
          <w:rFonts w:ascii="Calibri" w:hAnsi="Calibri" w:cs="Arial"/>
          <w:b/>
          <w:sz w:val="24"/>
          <w:szCs w:val="24"/>
        </w:rPr>
        <w:tab/>
      </w:r>
      <w:r w:rsidR="00FA7995" w:rsidRPr="007D4260">
        <w:rPr>
          <w:rFonts w:ascii="Calibri" w:hAnsi="Calibri" w:cs="Arial"/>
          <w:b/>
          <w:sz w:val="24"/>
          <w:szCs w:val="24"/>
          <w:u w:val="single"/>
        </w:rPr>
        <w:t>C</w:t>
      </w:r>
      <w:r w:rsidRPr="007D4260">
        <w:rPr>
          <w:rFonts w:ascii="Calibri" w:hAnsi="Calibri" w:cs="Arial"/>
          <w:b/>
          <w:sz w:val="24"/>
          <w:szCs w:val="24"/>
          <w:u w:val="single"/>
        </w:rPr>
        <w:t>ost</w:t>
      </w:r>
      <w:r w:rsidR="00FA7995" w:rsidRPr="007D4260">
        <w:rPr>
          <w:rFonts w:ascii="Calibri" w:hAnsi="Calibri" w:cs="Arial"/>
          <w:b/>
          <w:sz w:val="24"/>
          <w:szCs w:val="24"/>
          <w:u w:val="single"/>
        </w:rPr>
        <w:t>s</w:t>
      </w:r>
      <w:r w:rsidRPr="007D4260">
        <w:rPr>
          <w:rFonts w:ascii="Calibri" w:hAnsi="Calibri" w:cs="Arial"/>
          <w:b/>
          <w:sz w:val="24"/>
          <w:szCs w:val="24"/>
          <w:u w:val="single"/>
        </w:rPr>
        <w:t xml:space="preserve"> to Federal Government</w:t>
      </w: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sz w:val="24"/>
          <w:szCs w:val="24"/>
        </w:rPr>
      </w:pP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 xml:space="preserve">There are no capital or start-up costs associated with the data collection.  </w:t>
      </w: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sz w:val="24"/>
          <w:szCs w:val="24"/>
        </w:rPr>
      </w:pPr>
    </w:p>
    <w:p w:rsidR="00CF44F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008376B7" w:rsidRPr="00AE7958">
        <w:rPr>
          <w:rFonts w:ascii="Calibri" w:hAnsi="Calibri" w:cs="Arial"/>
          <w:sz w:val="24"/>
          <w:szCs w:val="24"/>
        </w:rPr>
        <w:t>Table 2 shows a breakdown of the estimated annual cost to the Federal Government</w:t>
      </w:r>
      <w:r w:rsidR="00FE4826" w:rsidRPr="00AE7958">
        <w:rPr>
          <w:rFonts w:ascii="Calibri" w:hAnsi="Calibri" w:cs="Arial"/>
          <w:sz w:val="24"/>
          <w:szCs w:val="24"/>
        </w:rPr>
        <w:t xml:space="preserve"> for activities associated with </w:t>
      </w:r>
      <w:r w:rsidR="0063748C" w:rsidRPr="00AE7958">
        <w:rPr>
          <w:rFonts w:ascii="Calibri" w:hAnsi="Calibri" w:cs="Arial"/>
          <w:sz w:val="24"/>
          <w:szCs w:val="24"/>
        </w:rPr>
        <w:t xml:space="preserve">the national NCVS </w:t>
      </w:r>
      <w:r w:rsidR="00FE4826" w:rsidRPr="00AE7958">
        <w:rPr>
          <w:rFonts w:ascii="Calibri" w:hAnsi="Calibri" w:cs="Arial"/>
          <w:sz w:val="24"/>
          <w:szCs w:val="24"/>
        </w:rPr>
        <w:t>data collection</w:t>
      </w:r>
      <w:r w:rsidR="0063748C" w:rsidRPr="00AE7958">
        <w:rPr>
          <w:rFonts w:ascii="Calibri" w:hAnsi="Calibri" w:cs="Arial"/>
          <w:sz w:val="24"/>
          <w:szCs w:val="24"/>
        </w:rPr>
        <w:t xml:space="preserve"> and the sample boost in 22 states</w:t>
      </w:r>
      <w:r w:rsidR="008376B7" w:rsidRPr="00AE7958">
        <w:rPr>
          <w:rFonts w:ascii="Calibri" w:hAnsi="Calibri" w:cs="Arial"/>
          <w:sz w:val="24"/>
          <w:szCs w:val="24"/>
        </w:rPr>
        <w:t xml:space="preserve">. </w:t>
      </w:r>
      <w:r w:rsidR="00B9034B" w:rsidRPr="00B9034B">
        <w:rPr>
          <w:rFonts w:ascii="Calibri" w:hAnsi="Calibri" w:cs="Arial"/>
          <w:sz w:val="24"/>
          <w:szCs w:val="24"/>
        </w:rPr>
        <w:t>The Census Bureau will act as the data collection agent for the NCVS at an estimated cost of about $40.5 million for the 2018 cycle. Census will develop, test, and finalize the NCVS instrument, develop all data collection support and training materials, train interviewers and support staff, and collect, process, and disseminate the NCVS data.</w:t>
      </w:r>
      <w:r w:rsidRPr="00AE7958">
        <w:rPr>
          <w:rFonts w:ascii="Calibri" w:hAnsi="Calibri" w:cs="Arial"/>
          <w:sz w:val="24"/>
          <w:szCs w:val="24"/>
        </w:rPr>
        <w:t xml:space="preserve"> </w:t>
      </w:r>
      <w:r w:rsidR="00E22984" w:rsidRPr="00AE7958">
        <w:rPr>
          <w:rFonts w:ascii="Calibri" w:hAnsi="Calibri" w:cs="Arial"/>
          <w:sz w:val="24"/>
          <w:szCs w:val="24"/>
        </w:rPr>
        <w:t>BJS</w:t>
      </w:r>
      <w:r w:rsidR="00130015" w:rsidRPr="00AE7958">
        <w:rPr>
          <w:rFonts w:ascii="Calibri" w:hAnsi="Calibri" w:cs="Arial"/>
          <w:sz w:val="24"/>
          <w:szCs w:val="24"/>
        </w:rPr>
        <w:t xml:space="preserve"> staff time costs </w:t>
      </w:r>
      <w:r w:rsidR="001C3674" w:rsidRPr="00AE7958">
        <w:rPr>
          <w:rFonts w:ascii="Calibri" w:hAnsi="Calibri" w:cs="Arial"/>
          <w:sz w:val="24"/>
          <w:szCs w:val="24"/>
        </w:rPr>
        <w:t xml:space="preserve">about </w:t>
      </w:r>
      <w:r w:rsidR="00130015" w:rsidRPr="00AE7958">
        <w:rPr>
          <w:rFonts w:ascii="Calibri" w:hAnsi="Calibri" w:cs="Arial"/>
          <w:sz w:val="24"/>
          <w:szCs w:val="24"/>
        </w:rPr>
        <w:t>$</w:t>
      </w:r>
      <w:r w:rsidR="00A821CB" w:rsidRPr="00AE7958">
        <w:rPr>
          <w:rFonts w:ascii="Calibri" w:hAnsi="Calibri" w:cs="Arial"/>
          <w:sz w:val="24"/>
          <w:szCs w:val="24"/>
        </w:rPr>
        <w:t>1.</w:t>
      </w:r>
      <w:r w:rsidR="00F1083F">
        <w:rPr>
          <w:rFonts w:ascii="Calibri" w:hAnsi="Calibri" w:cs="Arial"/>
          <w:sz w:val="24"/>
          <w:szCs w:val="24"/>
        </w:rPr>
        <w:t>1</w:t>
      </w:r>
      <w:r w:rsidR="00A821CB" w:rsidRPr="00AE7958">
        <w:rPr>
          <w:rFonts w:ascii="Calibri" w:hAnsi="Calibri" w:cs="Arial"/>
          <w:sz w:val="24"/>
          <w:szCs w:val="24"/>
        </w:rPr>
        <w:t xml:space="preserve"> million</w:t>
      </w:r>
      <w:r w:rsidRPr="00AE7958">
        <w:rPr>
          <w:rFonts w:ascii="Calibri" w:hAnsi="Calibri" w:cs="Arial"/>
          <w:sz w:val="24"/>
          <w:szCs w:val="24"/>
        </w:rPr>
        <w:t xml:space="preserve">. </w:t>
      </w:r>
      <w:r w:rsidR="00E22984" w:rsidRPr="00AE7958">
        <w:rPr>
          <w:rFonts w:ascii="Calibri" w:hAnsi="Calibri" w:cs="Arial"/>
          <w:sz w:val="24"/>
          <w:szCs w:val="24"/>
        </w:rPr>
        <w:t>BJS</w:t>
      </w:r>
      <w:r w:rsidRPr="00AE7958">
        <w:rPr>
          <w:rFonts w:ascii="Calibri" w:hAnsi="Calibri" w:cs="Arial"/>
          <w:sz w:val="24"/>
          <w:szCs w:val="24"/>
        </w:rPr>
        <w:t xml:space="preserve"> of the U.S. Department of Justice bears all costs of the survey. </w:t>
      </w:r>
      <w:r w:rsidR="00FE4826" w:rsidRPr="00AE7958">
        <w:rPr>
          <w:rFonts w:ascii="Calibri" w:hAnsi="Calibri" w:cs="Arial"/>
          <w:sz w:val="24"/>
          <w:szCs w:val="24"/>
        </w:rPr>
        <w:t>The estimated annual cost to the Fed</w:t>
      </w:r>
      <w:r w:rsidR="006177B0">
        <w:rPr>
          <w:rFonts w:ascii="Calibri" w:hAnsi="Calibri" w:cs="Arial"/>
          <w:sz w:val="24"/>
          <w:szCs w:val="24"/>
        </w:rPr>
        <w:t>eral Government for the NCVS is $41.7</w:t>
      </w:r>
      <w:r w:rsidR="00F1083F">
        <w:rPr>
          <w:rFonts w:ascii="Calibri" w:hAnsi="Calibri" w:cs="Arial"/>
          <w:sz w:val="24"/>
          <w:szCs w:val="24"/>
        </w:rPr>
        <w:t xml:space="preserve"> million in FY 2018</w:t>
      </w:r>
      <w:r w:rsidR="00FE4826" w:rsidRPr="00AE7958">
        <w:rPr>
          <w:rFonts w:ascii="Calibri" w:hAnsi="Calibri" w:cs="Arial"/>
          <w:sz w:val="24"/>
          <w:szCs w:val="24"/>
        </w:rPr>
        <w:t>.</w:t>
      </w:r>
      <w:r w:rsidR="00FE4826" w:rsidRPr="000000EB">
        <w:rPr>
          <w:rFonts w:ascii="Calibri" w:hAnsi="Calibri" w:cs="Arial"/>
          <w:sz w:val="24"/>
          <w:szCs w:val="24"/>
        </w:rPr>
        <w:t xml:space="preserve"> </w:t>
      </w:r>
      <w:r w:rsidR="00B857E9">
        <w:rPr>
          <w:rFonts w:ascii="Calibri" w:hAnsi="Calibri" w:cs="Arial"/>
          <w:sz w:val="24"/>
          <w:szCs w:val="24"/>
        </w:rPr>
        <w:t xml:space="preserve">The requested revision will have a negligible impact on survey costs. </w:t>
      </w:r>
      <w:r w:rsidR="00FE4826" w:rsidRPr="000000EB">
        <w:rPr>
          <w:rFonts w:ascii="Calibri" w:hAnsi="Calibri" w:cs="Arial"/>
          <w:b/>
          <w:bCs/>
          <w:sz w:val="24"/>
          <w:szCs w:val="24"/>
        </w:rPr>
        <w:t xml:space="preserve"> </w:t>
      </w:r>
    </w:p>
    <w:p w:rsidR="009A43E3" w:rsidRDefault="009A43E3"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p>
    <w:p w:rsidR="00B857E9" w:rsidRDefault="00B857E9"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p>
    <w:p w:rsidR="00B857E9" w:rsidRDefault="00B857E9"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p>
    <w:p w:rsidR="009A43E3" w:rsidRDefault="009A43E3"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p>
    <w:p w:rsidR="002966A1" w:rsidRDefault="002966A1">
      <w:r>
        <w:br w:type="page"/>
      </w:r>
    </w:p>
    <w:tbl>
      <w:tblPr>
        <w:tblStyle w:val="TableGrid"/>
        <w:tblpPr w:leftFromText="180" w:rightFromText="180" w:vertAnchor="text" w:horzAnchor="margin" w:tblpXSpec="center" w:tblpY="3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9"/>
        <w:gridCol w:w="1411"/>
        <w:gridCol w:w="1215"/>
        <w:gridCol w:w="2025"/>
      </w:tblGrid>
      <w:tr w:rsidR="00D71BB8" w:rsidRPr="00005BF7" w:rsidTr="006177B0">
        <w:trPr>
          <w:trHeight w:val="315"/>
        </w:trPr>
        <w:tc>
          <w:tcPr>
            <w:tcW w:w="4709" w:type="dxa"/>
            <w:tcBorders>
              <w:bottom w:val="single" w:sz="4" w:space="0" w:color="auto"/>
            </w:tcBorders>
            <w:noWrap/>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D71BB8">
              <w:rPr>
                <w:rFonts w:asciiTheme="minorHAnsi" w:hAnsiTheme="minorHAnsi"/>
                <w:b/>
                <w:bCs/>
                <w:sz w:val="24"/>
                <w:szCs w:val="24"/>
              </w:rPr>
              <w:t>Table 2. Estimated costs for NCVS</w:t>
            </w:r>
          </w:p>
        </w:tc>
        <w:tc>
          <w:tcPr>
            <w:tcW w:w="1411" w:type="dxa"/>
            <w:tcBorders>
              <w:bottom w:val="single" w:sz="4" w:space="0" w:color="auto"/>
            </w:tcBorders>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1215" w:type="dxa"/>
            <w:tcBorders>
              <w:bottom w:val="single" w:sz="4" w:space="0" w:color="auto"/>
            </w:tcBorders>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2025" w:type="dxa"/>
            <w:tcBorders>
              <w:bottom w:val="single" w:sz="4" w:space="0" w:color="auto"/>
            </w:tcBorders>
            <w:noWrap/>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r>
      <w:tr w:rsidR="00CC6C66" w:rsidRPr="00005BF7" w:rsidTr="006177B0">
        <w:trPr>
          <w:trHeight w:val="315"/>
        </w:trPr>
        <w:tc>
          <w:tcPr>
            <w:tcW w:w="4709" w:type="dxa"/>
            <w:tcBorders>
              <w:top w:val="single" w:sz="4" w:space="0" w:color="auto"/>
              <w:bottom w:val="single" w:sz="4" w:space="0" w:color="auto"/>
            </w:tcBorders>
            <w:noWrap/>
          </w:tcPr>
          <w:p w:rsidR="00CC6C66" w:rsidRPr="00D71BB8" w:rsidRDefault="00CC6C66"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CC6C66">
              <w:rPr>
                <w:rFonts w:asciiTheme="minorHAnsi" w:hAnsiTheme="minorHAnsi"/>
                <w:b/>
                <w:bCs/>
                <w:sz w:val="24"/>
                <w:szCs w:val="24"/>
              </w:rPr>
              <w:t>Estimated U.S. Census Bureau costs</w:t>
            </w:r>
          </w:p>
        </w:tc>
        <w:tc>
          <w:tcPr>
            <w:tcW w:w="1411" w:type="dxa"/>
            <w:tcBorders>
              <w:top w:val="single" w:sz="4" w:space="0" w:color="auto"/>
              <w:bottom w:val="single" w:sz="4" w:space="0" w:color="auto"/>
            </w:tcBorders>
          </w:tcPr>
          <w:p w:rsidR="00CC6C66" w:rsidRPr="00005BF7" w:rsidRDefault="00CC6C66"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1215" w:type="dxa"/>
            <w:tcBorders>
              <w:top w:val="single" w:sz="4" w:space="0" w:color="auto"/>
              <w:bottom w:val="single" w:sz="4" w:space="0" w:color="auto"/>
            </w:tcBorders>
          </w:tcPr>
          <w:p w:rsidR="00CC6C66" w:rsidRPr="00005BF7" w:rsidRDefault="00CC6C66"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2025" w:type="dxa"/>
            <w:tcBorders>
              <w:top w:val="single" w:sz="4" w:space="0" w:color="auto"/>
              <w:bottom w:val="single" w:sz="4" w:space="0" w:color="auto"/>
            </w:tcBorders>
            <w:noWrap/>
          </w:tcPr>
          <w:p w:rsidR="00CC6C66" w:rsidRPr="00005BF7" w:rsidRDefault="00CC6C66"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r>
      <w:tr w:rsidR="006177B0" w:rsidRPr="00005BF7" w:rsidTr="006177B0">
        <w:trPr>
          <w:trHeight w:val="315"/>
        </w:trPr>
        <w:tc>
          <w:tcPr>
            <w:tcW w:w="4709" w:type="dxa"/>
            <w:tcBorders>
              <w:top w:val="single" w:sz="4" w:space="0" w:color="auto"/>
            </w:tcBorders>
            <w:noWrap/>
            <w:hideMark/>
          </w:tcPr>
          <w:p w:rsidR="00D71BB8" w:rsidRPr="000E676C"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Cs/>
                <w:i/>
                <w:sz w:val="24"/>
                <w:szCs w:val="24"/>
              </w:rPr>
            </w:pPr>
            <w:r w:rsidRPr="000E676C">
              <w:rPr>
                <w:rFonts w:asciiTheme="minorHAnsi" w:hAnsiTheme="minorHAnsi"/>
                <w:bCs/>
                <w:i/>
                <w:sz w:val="24"/>
                <w:szCs w:val="24"/>
              </w:rPr>
              <w:t>Division</w:t>
            </w:r>
          </w:p>
        </w:tc>
        <w:tc>
          <w:tcPr>
            <w:tcW w:w="1411" w:type="dxa"/>
            <w:tcBorders>
              <w:top w:val="single" w:sz="4" w:space="0" w:color="auto"/>
            </w:tcBorders>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1215" w:type="dxa"/>
            <w:tcBorders>
              <w:top w:val="single" w:sz="4" w:space="0" w:color="auto"/>
            </w:tcBorders>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2025" w:type="dxa"/>
            <w:tcBorders>
              <w:top w:val="single" w:sz="4" w:space="0" w:color="auto"/>
            </w:tcBorders>
            <w:noWrap/>
            <w:hideMark/>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Estimated Cost</w:t>
            </w:r>
          </w:p>
        </w:tc>
      </w:tr>
      <w:tr w:rsidR="00D71BB8" w:rsidRPr="00005BF7" w:rsidTr="00D71BB8">
        <w:trPr>
          <w:trHeight w:val="315"/>
        </w:trPr>
        <w:tc>
          <w:tcPr>
            <w:tcW w:w="4709" w:type="dxa"/>
            <w:noWrap/>
            <w:hideMark/>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DSMD (Sample Design and Estimation)</w:t>
            </w:r>
          </w:p>
        </w:tc>
        <w:tc>
          <w:tcPr>
            <w:tcW w:w="1411"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hideMark/>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sidRPr="00005BF7">
              <w:rPr>
                <w:rFonts w:asciiTheme="minorHAnsi" w:hAnsiTheme="minorHAnsi"/>
                <w:sz w:val="24"/>
                <w:szCs w:val="24"/>
              </w:rPr>
              <w:t>$</w:t>
            </w:r>
            <w:r>
              <w:rPr>
                <w:rFonts w:asciiTheme="minorHAnsi" w:hAnsiTheme="minorHAnsi"/>
                <w:sz w:val="24"/>
                <w:szCs w:val="24"/>
              </w:rPr>
              <w:t>1,250,76</w:t>
            </w:r>
            <w:r w:rsidR="006177B0">
              <w:rPr>
                <w:rFonts w:asciiTheme="minorHAnsi" w:hAnsiTheme="minorHAnsi"/>
                <w:sz w:val="24"/>
                <w:szCs w:val="24"/>
              </w:rPr>
              <w:t>0</w:t>
            </w:r>
          </w:p>
        </w:tc>
      </w:tr>
      <w:tr w:rsidR="00D71BB8" w:rsidRPr="00005BF7" w:rsidTr="00D71BB8">
        <w:trPr>
          <w:trHeight w:val="315"/>
        </w:trPr>
        <w:tc>
          <w:tcPr>
            <w:tcW w:w="4709" w:type="dxa"/>
            <w:noWrap/>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POP (Population Estimate Support)</w:t>
            </w:r>
          </w:p>
        </w:tc>
        <w:tc>
          <w:tcPr>
            <w:tcW w:w="1411" w:type="dxa"/>
          </w:tcPr>
          <w:p w:rsidR="00D71BB8"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Pr>
                <w:rFonts w:asciiTheme="minorHAnsi" w:hAnsiTheme="minorHAnsi"/>
                <w:sz w:val="24"/>
                <w:szCs w:val="24"/>
              </w:rPr>
              <w:t>$4,22</w:t>
            </w:r>
            <w:r w:rsidR="006177B0">
              <w:rPr>
                <w:rFonts w:asciiTheme="minorHAnsi" w:hAnsiTheme="minorHAnsi"/>
                <w:sz w:val="24"/>
                <w:szCs w:val="24"/>
              </w:rPr>
              <w:t>0</w:t>
            </w:r>
          </w:p>
        </w:tc>
      </w:tr>
      <w:tr w:rsidR="00D71BB8" w:rsidRPr="00005BF7" w:rsidTr="00D71BB8">
        <w:trPr>
          <w:trHeight w:val="315"/>
        </w:trPr>
        <w:tc>
          <w:tcPr>
            <w:tcW w:w="4709" w:type="dxa"/>
            <w:noWrap/>
            <w:hideMark/>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ADSD (Instrument Development)</w:t>
            </w:r>
          </w:p>
        </w:tc>
        <w:tc>
          <w:tcPr>
            <w:tcW w:w="1411"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hideMark/>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sidRPr="00005BF7">
              <w:rPr>
                <w:rFonts w:asciiTheme="minorHAnsi" w:hAnsiTheme="minorHAnsi"/>
                <w:sz w:val="24"/>
                <w:szCs w:val="24"/>
              </w:rPr>
              <w:t>$</w:t>
            </w:r>
            <w:r>
              <w:rPr>
                <w:rFonts w:asciiTheme="minorHAnsi" w:hAnsiTheme="minorHAnsi"/>
                <w:sz w:val="24"/>
                <w:szCs w:val="24"/>
              </w:rPr>
              <w:t>1,516,28</w:t>
            </w:r>
            <w:r w:rsidR="006177B0">
              <w:rPr>
                <w:rFonts w:asciiTheme="minorHAnsi" w:hAnsiTheme="minorHAnsi"/>
                <w:sz w:val="24"/>
                <w:szCs w:val="24"/>
              </w:rPr>
              <w:t>0</w:t>
            </w:r>
          </w:p>
        </w:tc>
      </w:tr>
      <w:tr w:rsidR="00D71BB8" w:rsidRPr="00005BF7" w:rsidTr="00D71BB8">
        <w:trPr>
          <w:trHeight w:val="315"/>
        </w:trPr>
        <w:tc>
          <w:tcPr>
            <w:tcW w:w="4709" w:type="dxa"/>
            <w:noWrap/>
            <w:hideMark/>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DSD (Data Processing)</w:t>
            </w:r>
          </w:p>
        </w:tc>
        <w:tc>
          <w:tcPr>
            <w:tcW w:w="1411"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hideMark/>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sidRPr="00005BF7">
              <w:rPr>
                <w:rFonts w:asciiTheme="minorHAnsi" w:hAnsiTheme="minorHAnsi"/>
                <w:sz w:val="24"/>
                <w:szCs w:val="24"/>
              </w:rPr>
              <w:t>$</w:t>
            </w:r>
            <w:r w:rsidR="006177B0">
              <w:rPr>
                <w:rFonts w:asciiTheme="minorHAnsi" w:hAnsiTheme="minorHAnsi"/>
                <w:sz w:val="24"/>
                <w:szCs w:val="24"/>
              </w:rPr>
              <w:t>1,448,420</w:t>
            </w:r>
          </w:p>
        </w:tc>
      </w:tr>
      <w:tr w:rsidR="00D71BB8" w:rsidRPr="00005BF7" w:rsidTr="00D71BB8">
        <w:trPr>
          <w:trHeight w:val="315"/>
        </w:trPr>
        <w:tc>
          <w:tcPr>
            <w:tcW w:w="4709" w:type="dxa"/>
            <w:noWrap/>
            <w:hideMark/>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FLD (Data Collection)</w:t>
            </w:r>
          </w:p>
        </w:tc>
        <w:tc>
          <w:tcPr>
            <w:tcW w:w="1411"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hideMark/>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sidRPr="00005BF7">
              <w:rPr>
                <w:rFonts w:asciiTheme="minorHAnsi" w:hAnsiTheme="minorHAnsi"/>
                <w:sz w:val="24"/>
                <w:szCs w:val="24"/>
              </w:rPr>
              <w:t>$</w:t>
            </w:r>
            <w:r>
              <w:rPr>
                <w:rFonts w:asciiTheme="minorHAnsi" w:hAnsiTheme="minorHAnsi"/>
                <w:sz w:val="24"/>
                <w:szCs w:val="24"/>
              </w:rPr>
              <w:t>31,621,680</w:t>
            </w:r>
          </w:p>
        </w:tc>
      </w:tr>
      <w:tr w:rsidR="00D71BB8" w:rsidRPr="00005BF7" w:rsidTr="00D71BB8">
        <w:trPr>
          <w:trHeight w:val="315"/>
        </w:trPr>
        <w:tc>
          <w:tcPr>
            <w:tcW w:w="4709" w:type="dxa"/>
            <w:noWrap/>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LCC (Telephone Centers)</w:t>
            </w:r>
          </w:p>
        </w:tc>
        <w:tc>
          <w:tcPr>
            <w:tcW w:w="1411" w:type="dxa"/>
          </w:tcPr>
          <w:p w:rsidR="00D71BB8"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Pr>
                <w:rFonts w:asciiTheme="minorHAnsi" w:hAnsiTheme="minorHAnsi"/>
                <w:sz w:val="24"/>
                <w:szCs w:val="24"/>
              </w:rPr>
              <w:t>$134,080</w:t>
            </w:r>
          </w:p>
        </w:tc>
      </w:tr>
      <w:tr w:rsidR="00D71BB8" w:rsidRPr="00005BF7" w:rsidTr="00D71BB8">
        <w:trPr>
          <w:trHeight w:val="315"/>
        </w:trPr>
        <w:tc>
          <w:tcPr>
            <w:tcW w:w="4709" w:type="dxa"/>
            <w:noWrap/>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NPC (Data Collection Support)</w:t>
            </w:r>
          </w:p>
        </w:tc>
        <w:tc>
          <w:tcPr>
            <w:tcW w:w="1411" w:type="dxa"/>
          </w:tcPr>
          <w:p w:rsidR="00D71BB8"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tcPr>
          <w:p w:rsidR="00D71BB8" w:rsidRPr="00005BF7" w:rsidRDefault="006177B0"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Pr>
                <w:rFonts w:asciiTheme="minorHAnsi" w:hAnsiTheme="minorHAnsi"/>
                <w:sz w:val="24"/>
                <w:szCs w:val="24"/>
              </w:rPr>
              <w:t>$960,610</w:t>
            </w:r>
          </w:p>
        </w:tc>
      </w:tr>
      <w:tr w:rsidR="00D71BB8" w:rsidRPr="00005BF7" w:rsidTr="00CC6C66">
        <w:trPr>
          <w:trHeight w:val="315"/>
        </w:trPr>
        <w:tc>
          <w:tcPr>
            <w:tcW w:w="4709" w:type="dxa"/>
            <w:noWrap/>
            <w:hideMark/>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ADDP</w:t>
            </w:r>
            <w:r w:rsidR="000E676C">
              <w:rPr>
                <w:rFonts w:asciiTheme="minorHAnsi" w:hAnsiTheme="minorHAnsi"/>
                <w:sz w:val="24"/>
                <w:szCs w:val="24"/>
              </w:rPr>
              <w:t xml:space="preserve"> (Survey Operations and Project </w:t>
            </w:r>
            <w:r w:rsidRPr="00005BF7">
              <w:rPr>
                <w:rFonts w:asciiTheme="minorHAnsi" w:hAnsiTheme="minorHAnsi"/>
                <w:sz w:val="24"/>
                <w:szCs w:val="24"/>
              </w:rPr>
              <w:t>Management)</w:t>
            </w:r>
          </w:p>
        </w:tc>
        <w:tc>
          <w:tcPr>
            <w:tcW w:w="1411"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1215"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tc>
        <w:tc>
          <w:tcPr>
            <w:tcW w:w="2025" w:type="dxa"/>
            <w:noWrap/>
            <w:hideMark/>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sz w:val="24"/>
                <w:szCs w:val="24"/>
              </w:rPr>
            </w:pPr>
            <w:r w:rsidRPr="00005BF7">
              <w:rPr>
                <w:rFonts w:asciiTheme="minorHAnsi" w:hAnsiTheme="minorHAnsi"/>
                <w:sz w:val="24"/>
                <w:szCs w:val="24"/>
              </w:rPr>
              <w:t>$</w:t>
            </w:r>
            <w:r>
              <w:rPr>
                <w:rFonts w:asciiTheme="minorHAnsi" w:hAnsiTheme="minorHAnsi"/>
                <w:sz w:val="24"/>
                <w:szCs w:val="24"/>
              </w:rPr>
              <w:t>3,580,21</w:t>
            </w:r>
            <w:r w:rsidR="006177B0">
              <w:rPr>
                <w:rFonts w:asciiTheme="minorHAnsi" w:hAnsiTheme="minorHAnsi"/>
                <w:sz w:val="24"/>
                <w:szCs w:val="24"/>
              </w:rPr>
              <w:t>0</w:t>
            </w:r>
          </w:p>
        </w:tc>
      </w:tr>
      <w:tr w:rsidR="00D71BB8" w:rsidRPr="006177B0" w:rsidTr="00CC6C66">
        <w:trPr>
          <w:trHeight w:val="315"/>
        </w:trPr>
        <w:tc>
          <w:tcPr>
            <w:tcW w:w="4709" w:type="dxa"/>
            <w:noWrap/>
            <w:hideMark/>
          </w:tcPr>
          <w:p w:rsidR="00D71BB8" w:rsidRPr="006177B0" w:rsidRDefault="00CC6C66" w:rsidP="00CC6C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Cs/>
                <w:sz w:val="24"/>
                <w:szCs w:val="24"/>
              </w:rPr>
            </w:pPr>
            <w:r w:rsidRPr="006177B0">
              <w:rPr>
                <w:rFonts w:asciiTheme="minorHAnsi" w:hAnsiTheme="minorHAnsi"/>
                <w:bCs/>
                <w:sz w:val="24"/>
                <w:szCs w:val="24"/>
              </w:rPr>
              <w:t>Subt</w:t>
            </w:r>
            <w:r w:rsidR="00D71BB8" w:rsidRPr="006177B0">
              <w:rPr>
                <w:rFonts w:asciiTheme="minorHAnsi" w:hAnsiTheme="minorHAnsi"/>
                <w:bCs/>
                <w:sz w:val="24"/>
                <w:szCs w:val="24"/>
              </w:rPr>
              <w:t>otal</w:t>
            </w:r>
            <w:r w:rsidRPr="006177B0">
              <w:rPr>
                <w:rFonts w:asciiTheme="minorHAnsi" w:hAnsiTheme="minorHAnsi"/>
                <w:bCs/>
                <w:sz w:val="24"/>
                <w:szCs w:val="24"/>
              </w:rPr>
              <w:t>:</w:t>
            </w:r>
            <w:r w:rsidR="00D71BB8" w:rsidRPr="006177B0">
              <w:rPr>
                <w:rFonts w:asciiTheme="minorHAnsi" w:hAnsiTheme="minorHAnsi"/>
                <w:bCs/>
                <w:sz w:val="24"/>
                <w:szCs w:val="24"/>
              </w:rPr>
              <w:t xml:space="preserve"> estimated costs</w:t>
            </w:r>
            <w:r w:rsidRPr="006177B0">
              <w:rPr>
                <w:rFonts w:asciiTheme="minorHAnsi" w:hAnsiTheme="minorHAnsi"/>
                <w:bCs/>
                <w:sz w:val="24"/>
                <w:szCs w:val="24"/>
              </w:rPr>
              <w:t xml:space="preserve"> for Census Bureau</w:t>
            </w:r>
          </w:p>
        </w:tc>
        <w:tc>
          <w:tcPr>
            <w:tcW w:w="1411" w:type="dxa"/>
          </w:tcPr>
          <w:p w:rsidR="00D71BB8" w:rsidRPr="006177B0"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Cs/>
                <w:sz w:val="24"/>
                <w:szCs w:val="24"/>
              </w:rPr>
            </w:pPr>
          </w:p>
        </w:tc>
        <w:tc>
          <w:tcPr>
            <w:tcW w:w="1215" w:type="dxa"/>
          </w:tcPr>
          <w:p w:rsidR="00D71BB8" w:rsidRPr="006177B0"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Cs/>
                <w:sz w:val="24"/>
                <w:szCs w:val="24"/>
              </w:rPr>
            </w:pPr>
          </w:p>
        </w:tc>
        <w:tc>
          <w:tcPr>
            <w:tcW w:w="2025" w:type="dxa"/>
            <w:noWrap/>
            <w:hideMark/>
          </w:tcPr>
          <w:p w:rsidR="00D71BB8" w:rsidRPr="006177B0"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Cs/>
                <w:sz w:val="24"/>
                <w:szCs w:val="24"/>
              </w:rPr>
            </w:pPr>
            <w:r w:rsidRPr="006177B0">
              <w:rPr>
                <w:rFonts w:asciiTheme="minorHAnsi" w:hAnsiTheme="minorHAnsi"/>
                <w:bCs/>
                <w:sz w:val="24"/>
                <w:szCs w:val="24"/>
              </w:rPr>
              <w:t>$40,516,2</w:t>
            </w:r>
            <w:r w:rsidR="006177B0">
              <w:rPr>
                <w:rFonts w:asciiTheme="minorHAnsi" w:hAnsiTheme="minorHAnsi"/>
                <w:bCs/>
                <w:sz w:val="24"/>
                <w:szCs w:val="24"/>
              </w:rPr>
              <w:t>70</w:t>
            </w:r>
          </w:p>
        </w:tc>
      </w:tr>
      <w:tr w:rsidR="006177B0" w:rsidRPr="00005BF7" w:rsidTr="006177B0">
        <w:trPr>
          <w:trHeight w:val="315"/>
        </w:trPr>
        <w:tc>
          <w:tcPr>
            <w:tcW w:w="4709" w:type="dxa"/>
            <w:noWrap/>
          </w:tcPr>
          <w:p w:rsidR="00D71BB8" w:rsidRDefault="00D71BB8" w:rsidP="00D71BB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1411"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1215" w:type="dxa"/>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2025" w:type="dxa"/>
            <w:noWrap/>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r>
      <w:tr w:rsidR="006177B0" w:rsidRPr="00005BF7" w:rsidTr="006177B0">
        <w:trPr>
          <w:trHeight w:val="315"/>
        </w:trPr>
        <w:tc>
          <w:tcPr>
            <w:tcW w:w="4709" w:type="dxa"/>
            <w:tcBorders>
              <w:bottom w:val="single" w:sz="4" w:space="0" w:color="auto"/>
            </w:tcBorders>
            <w:noWrap/>
          </w:tcPr>
          <w:p w:rsidR="00D71BB8" w:rsidRDefault="00CC6C66" w:rsidP="00D71BB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Pr>
                <w:rFonts w:asciiTheme="minorHAnsi" w:hAnsiTheme="minorHAnsi"/>
                <w:b/>
                <w:bCs/>
                <w:sz w:val="24"/>
                <w:szCs w:val="24"/>
              </w:rPr>
              <w:t xml:space="preserve">Estimated </w:t>
            </w:r>
            <w:r w:rsidR="00D71BB8">
              <w:rPr>
                <w:rFonts w:asciiTheme="minorHAnsi" w:hAnsiTheme="minorHAnsi"/>
                <w:b/>
                <w:bCs/>
                <w:sz w:val="24"/>
                <w:szCs w:val="24"/>
              </w:rPr>
              <w:t>BJS Costs</w:t>
            </w:r>
          </w:p>
        </w:tc>
        <w:tc>
          <w:tcPr>
            <w:tcW w:w="1411" w:type="dxa"/>
            <w:tcBorders>
              <w:bottom w:val="single" w:sz="4" w:space="0" w:color="auto"/>
            </w:tcBorders>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1215" w:type="dxa"/>
            <w:tcBorders>
              <w:bottom w:val="single" w:sz="4" w:space="0" w:color="auto"/>
            </w:tcBorders>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c>
          <w:tcPr>
            <w:tcW w:w="2025" w:type="dxa"/>
            <w:tcBorders>
              <w:bottom w:val="single" w:sz="4" w:space="0" w:color="auto"/>
            </w:tcBorders>
            <w:noWrap/>
          </w:tcPr>
          <w:p w:rsidR="00D71BB8" w:rsidRPr="00005BF7"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p>
        </w:tc>
      </w:tr>
      <w:tr w:rsidR="006177B0" w:rsidRPr="00005BF7" w:rsidTr="006177B0">
        <w:trPr>
          <w:trHeight w:val="315"/>
        </w:trPr>
        <w:tc>
          <w:tcPr>
            <w:tcW w:w="4709" w:type="dxa"/>
            <w:tcBorders>
              <w:top w:val="single" w:sz="4" w:space="0" w:color="auto"/>
            </w:tcBorders>
            <w:noWrap/>
          </w:tcPr>
          <w:p w:rsidR="00D71BB8" w:rsidRPr="00D71BB8" w:rsidRDefault="00D71BB8" w:rsidP="00D71BB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Cs/>
                <w:sz w:val="24"/>
                <w:szCs w:val="24"/>
              </w:rPr>
            </w:pPr>
            <w:r>
              <w:rPr>
                <w:rFonts w:asciiTheme="minorHAnsi" w:hAnsiTheme="minorHAnsi"/>
                <w:bCs/>
                <w:sz w:val="24"/>
                <w:szCs w:val="24"/>
              </w:rPr>
              <w:t>Staff salaries</w:t>
            </w:r>
          </w:p>
        </w:tc>
        <w:tc>
          <w:tcPr>
            <w:tcW w:w="1411" w:type="dxa"/>
            <w:tcBorders>
              <w:top w:val="single" w:sz="4" w:space="0" w:color="auto"/>
            </w:tcBorders>
          </w:tcPr>
          <w:p w:rsidR="00D71BB8" w:rsidRPr="00CC6C66"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CC6C66">
              <w:rPr>
                <w:rFonts w:asciiTheme="minorHAnsi" w:hAnsiTheme="minorHAnsi"/>
                <w:b/>
                <w:bCs/>
                <w:sz w:val="24"/>
                <w:szCs w:val="24"/>
              </w:rPr>
              <w:t>Base salary</w:t>
            </w:r>
          </w:p>
        </w:tc>
        <w:tc>
          <w:tcPr>
            <w:tcW w:w="1215" w:type="dxa"/>
            <w:tcBorders>
              <w:top w:val="single" w:sz="4" w:space="0" w:color="auto"/>
            </w:tcBorders>
          </w:tcPr>
          <w:p w:rsidR="00D71BB8" w:rsidRPr="00CC6C66" w:rsidRDefault="00D71BB8" w:rsidP="00D71BB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CC6C66">
              <w:rPr>
                <w:rFonts w:asciiTheme="minorHAnsi" w:hAnsiTheme="minorHAnsi"/>
                <w:b/>
                <w:bCs/>
                <w:sz w:val="24"/>
                <w:szCs w:val="24"/>
              </w:rPr>
              <w:t>Fringe</w:t>
            </w:r>
          </w:p>
        </w:tc>
        <w:tc>
          <w:tcPr>
            <w:tcW w:w="2025" w:type="dxa"/>
            <w:tcBorders>
              <w:top w:val="single" w:sz="4" w:space="0" w:color="auto"/>
            </w:tcBorders>
            <w:noWrap/>
          </w:tcPr>
          <w:p w:rsidR="00D71BB8" w:rsidRPr="00CC6C66" w:rsidRDefault="00D71BB8" w:rsidP="004559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CC6C66">
              <w:rPr>
                <w:rFonts w:asciiTheme="minorHAnsi" w:hAnsiTheme="minorHAnsi"/>
                <w:b/>
                <w:bCs/>
                <w:sz w:val="24"/>
                <w:szCs w:val="24"/>
              </w:rPr>
              <w:t>Salary estimates</w:t>
            </w:r>
          </w:p>
        </w:tc>
      </w:tr>
      <w:tr w:rsidR="00D71BB8" w:rsidRPr="00005BF7" w:rsidTr="00CC6C66">
        <w:trPr>
          <w:trHeight w:val="315"/>
        </w:trPr>
        <w:tc>
          <w:tcPr>
            <w:tcW w:w="4709" w:type="dxa"/>
            <w:shd w:val="clear" w:color="auto" w:fill="auto"/>
            <w:noWrap/>
            <w:vAlign w:val="bottom"/>
          </w:tcPr>
          <w:p w:rsidR="00D71BB8" w:rsidRPr="000000EB" w:rsidRDefault="00D71BB8" w:rsidP="00CC6C66">
            <w:pPr>
              <w:widowControl/>
              <w:autoSpaceDE/>
              <w:autoSpaceDN/>
              <w:adjustRightInd/>
              <w:rPr>
                <w:rFonts w:ascii="Calibri" w:hAnsi="Calibri" w:cs="Arial"/>
                <w:sz w:val="24"/>
                <w:szCs w:val="24"/>
              </w:rPr>
            </w:pPr>
            <w:r w:rsidRPr="000000EB">
              <w:rPr>
                <w:rFonts w:ascii="Calibri" w:hAnsi="Calibri" w:cs="Arial"/>
                <w:sz w:val="24"/>
                <w:szCs w:val="24"/>
              </w:rPr>
              <w:t xml:space="preserve">GS15 </w:t>
            </w:r>
            <w:r w:rsidR="00CC6C66">
              <w:rPr>
                <w:rFonts w:ascii="Calibri" w:hAnsi="Calibri" w:cs="Arial"/>
                <w:sz w:val="24"/>
                <w:szCs w:val="24"/>
              </w:rPr>
              <w:t>Supervisory Statistician</w:t>
            </w:r>
            <w:r w:rsidRPr="000000EB">
              <w:rPr>
                <w:rFonts w:ascii="Calibri" w:hAnsi="Calibri" w:cs="Arial"/>
                <w:sz w:val="24"/>
                <w:szCs w:val="24"/>
              </w:rPr>
              <w:t xml:space="preserve"> (1</w:t>
            </w:r>
            <w:r w:rsidR="00CC6C66">
              <w:rPr>
                <w:rFonts w:ascii="Calibri" w:hAnsi="Calibri" w:cs="Arial"/>
                <w:sz w:val="24"/>
                <w:szCs w:val="24"/>
              </w:rPr>
              <w:t xml:space="preserve"> </w:t>
            </w:r>
            <w:r w:rsidRPr="000000EB">
              <w:rPr>
                <w:rFonts w:ascii="Calibri" w:hAnsi="Calibri" w:cs="Arial"/>
                <w:sz w:val="24"/>
                <w:szCs w:val="24"/>
              </w:rPr>
              <w:t>@</w:t>
            </w:r>
            <w:r w:rsidR="00CC6C66">
              <w:rPr>
                <w:rFonts w:ascii="Calibri" w:hAnsi="Calibri" w:cs="Arial"/>
                <w:sz w:val="24"/>
                <w:szCs w:val="24"/>
              </w:rPr>
              <w:t xml:space="preserve"> </w:t>
            </w:r>
            <w:r w:rsidRPr="000000EB">
              <w:rPr>
                <w:rFonts w:ascii="Calibri" w:hAnsi="Calibri" w:cs="Arial"/>
                <w:sz w:val="24"/>
                <w:szCs w:val="24"/>
              </w:rPr>
              <w:t>100%)</w:t>
            </w:r>
          </w:p>
        </w:tc>
        <w:tc>
          <w:tcPr>
            <w:tcW w:w="1411"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Pr>
                <w:rFonts w:ascii="Calibri" w:hAnsi="Calibri" w:cs="Arial"/>
                <w:sz w:val="24"/>
                <w:szCs w:val="24"/>
              </w:rPr>
              <w:t>$150,000</w:t>
            </w:r>
          </w:p>
        </w:tc>
        <w:tc>
          <w:tcPr>
            <w:tcW w:w="1215"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42</w:t>
            </w:r>
            <w:r w:rsidRPr="000000EB">
              <w:rPr>
                <w:rFonts w:ascii="Calibri" w:hAnsi="Calibri" w:cs="Arial"/>
                <w:sz w:val="24"/>
                <w:szCs w:val="24"/>
              </w:rPr>
              <w:t>,</w:t>
            </w:r>
            <w:r>
              <w:rPr>
                <w:rFonts w:ascii="Calibri" w:hAnsi="Calibri" w:cs="Arial"/>
                <w:sz w:val="24"/>
                <w:szCs w:val="24"/>
              </w:rPr>
              <w:t>000</w:t>
            </w:r>
          </w:p>
        </w:tc>
        <w:tc>
          <w:tcPr>
            <w:tcW w:w="2025" w:type="dxa"/>
            <w:shd w:val="clear" w:color="auto" w:fill="auto"/>
            <w:noWrap/>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$1</w:t>
            </w:r>
            <w:r>
              <w:rPr>
                <w:rFonts w:ascii="Calibri" w:hAnsi="Calibri" w:cs="Arial"/>
                <w:sz w:val="24"/>
                <w:szCs w:val="24"/>
              </w:rPr>
              <w:t>92</w:t>
            </w:r>
            <w:r w:rsidRPr="000000EB">
              <w:rPr>
                <w:rFonts w:ascii="Calibri" w:hAnsi="Calibri" w:cs="Arial"/>
                <w:sz w:val="24"/>
                <w:szCs w:val="24"/>
              </w:rPr>
              <w:t>,</w:t>
            </w:r>
            <w:r>
              <w:rPr>
                <w:rFonts w:ascii="Calibri" w:hAnsi="Calibri" w:cs="Arial"/>
                <w:sz w:val="24"/>
                <w:szCs w:val="24"/>
              </w:rPr>
              <w:t>000</w:t>
            </w:r>
          </w:p>
        </w:tc>
      </w:tr>
      <w:tr w:rsidR="00D71BB8" w:rsidRPr="00005BF7" w:rsidTr="00CC6C66">
        <w:trPr>
          <w:trHeight w:val="315"/>
        </w:trPr>
        <w:tc>
          <w:tcPr>
            <w:tcW w:w="4709" w:type="dxa"/>
            <w:shd w:val="clear" w:color="auto" w:fill="auto"/>
            <w:noWrap/>
            <w:vAlign w:val="bottom"/>
          </w:tcPr>
          <w:p w:rsidR="00D71BB8" w:rsidRPr="000000EB" w:rsidRDefault="00D71BB8" w:rsidP="00CC6C66">
            <w:pPr>
              <w:widowControl/>
              <w:autoSpaceDE/>
              <w:autoSpaceDN/>
              <w:adjustRightInd/>
              <w:rPr>
                <w:rFonts w:ascii="Calibri" w:hAnsi="Calibri" w:cs="Arial"/>
                <w:sz w:val="24"/>
                <w:szCs w:val="24"/>
              </w:rPr>
            </w:pPr>
            <w:r w:rsidRPr="000000EB">
              <w:rPr>
                <w:rFonts w:ascii="Calibri" w:hAnsi="Calibri" w:cs="Arial"/>
                <w:sz w:val="24"/>
                <w:szCs w:val="24"/>
              </w:rPr>
              <w:t>GS-15 Chief Editor</w:t>
            </w:r>
            <w:r w:rsidR="00CC6C66">
              <w:rPr>
                <w:rFonts w:ascii="Calibri" w:hAnsi="Calibri" w:cs="Arial"/>
                <w:sz w:val="24"/>
                <w:szCs w:val="24"/>
              </w:rPr>
              <w:t>,</w:t>
            </w:r>
            <w:r w:rsidRPr="000000EB">
              <w:rPr>
                <w:rFonts w:ascii="Calibri" w:hAnsi="Calibri" w:cs="Arial"/>
                <w:sz w:val="24"/>
                <w:szCs w:val="24"/>
              </w:rPr>
              <w:t xml:space="preserve"> BJS (1</w:t>
            </w:r>
            <w:r w:rsidR="00CC6C66">
              <w:rPr>
                <w:rFonts w:ascii="Calibri" w:hAnsi="Calibri" w:cs="Arial"/>
                <w:sz w:val="24"/>
                <w:szCs w:val="24"/>
              </w:rPr>
              <w:t xml:space="preserve"> </w:t>
            </w:r>
            <w:r w:rsidRPr="000000EB">
              <w:rPr>
                <w:rFonts w:ascii="Calibri" w:hAnsi="Calibri" w:cs="Arial"/>
                <w:sz w:val="24"/>
                <w:szCs w:val="24"/>
              </w:rPr>
              <w:t>@</w:t>
            </w:r>
            <w:r w:rsidR="00CC6C66">
              <w:rPr>
                <w:rFonts w:ascii="Calibri" w:hAnsi="Calibri" w:cs="Arial"/>
                <w:sz w:val="24"/>
                <w:szCs w:val="24"/>
              </w:rPr>
              <w:t xml:space="preserve"> </w:t>
            </w:r>
            <w:r w:rsidRPr="000000EB">
              <w:rPr>
                <w:rFonts w:ascii="Calibri" w:hAnsi="Calibri" w:cs="Arial"/>
                <w:sz w:val="24"/>
                <w:szCs w:val="24"/>
              </w:rPr>
              <w:t>25%)</w:t>
            </w:r>
          </w:p>
        </w:tc>
        <w:tc>
          <w:tcPr>
            <w:tcW w:w="1411"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Pr>
                <w:rFonts w:ascii="Calibri" w:hAnsi="Calibri" w:cs="Arial"/>
                <w:sz w:val="24"/>
                <w:szCs w:val="24"/>
              </w:rPr>
              <w:t>$150,000</w:t>
            </w:r>
          </w:p>
        </w:tc>
        <w:tc>
          <w:tcPr>
            <w:tcW w:w="1215"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42</w:t>
            </w:r>
            <w:r w:rsidRPr="000000EB">
              <w:rPr>
                <w:rFonts w:ascii="Calibri" w:hAnsi="Calibri" w:cs="Arial"/>
                <w:sz w:val="24"/>
                <w:szCs w:val="24"/>
              </w:rPr>
              <w:t>,</w:t>
            </w:r>
            <w:r>
              <w:rPr>
                <w:rFonts w:ascii="Calibri" w:hAnsi="Calibri" w:cs="Arial"/>
                <w:sz w:val="24"/>
                <w:szCs w:val="24"/>
              </w:rPr>
              <w:t>000</w:t>
            </w:r>
          </w:p>
        </w:tc>
        <w:tc>
          <w:tcPr>
            <w:tcW w:w="2025" w:type="dxa"/>
            <w:shd w:val="clear" w:color="auto" w:fill="auto"/>
            <w:noWrap/>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$4</w:t>
            </w:r>
            <w:r>
              <w:rPr>
                <w:rFonts w:ascii="Calibri" w:hAnsi="Calibri" w:cs="Arial"/>
                <w:sz w:val="24"/>
                <w:szCs w:val="24"/>
              </w:rPr>
              <w:t>8,000</w:t>
            </w:r>
          </w:p>
        </w:tc>
      </w:tr>
      <w:tr w:rsidR="00D71BB8" w:rsidRPr="00005BF7" w:rsidTr="00CC6C66">
        <w:trPr>
          <w:trHeight w:val="315"/>
        </w:trPr>
        <w:tc>
          <w:tcPr>
            <w:tcW w:w="4709" w:type="dxa"/>
            <w:shd w:val="clear" w:color="auto" w:fill="auto"/>
            <w:noWrap/>
            <w:vAlign w:val="bottom"/>
          </w:tcPr>
          <w:p w:rsidR="00D71BB8" w:rsidRPr="000000EB" w:rsidRDefault="00D71BB8" w:rsidP="00CC6C66">
            <w:pPr>
              <w:widowControl/>
              <w:autoSpaceDE/>
              <w:autoSpaceDN/>
              <w:adjustRightInd/>
              <w:rPr>
                <w:rFonts w:ascii="Calibri" w:hAnsi="Calibri" w:cs="Arial"/>
                <w:sz w:val="24"/>
                <w:szCs w:val="24"/>
              </w:rPr>
            </w:pPr>
            <w:r>
              <w:rPr>
                <w:rFonts w:ascii="Calibri" w:hAnsi="Calibri" w:cs="Arial"/>
                <w:sz w:val="24"/>
                <w:szCs w:val="24"/>
              </w:rPr>
              <w:t xml:space="preserve">GS14 </w:t>
            </w:r>
            <w:r w:rsidR="00CC6C66">
              <w:rPr>
                <w:rFonts w:ascii="Calibri" w:hAnsi="Calibri" w:cs="Arial"/>
                <w:sz w:val="24"/>
                <w:szCs w:val="24"/>
              </w:rPr>
              <w:t>–</w:t>
            </w:r>
            <w:r>
              <w:rPr>
                <w:rFonts w:ascii="Calibri" w:hAnsi="Calibri" w:cs="Arial"/>
                <w:sz w:val="24"/>
                <w:szCs w:val="24"/>
              </w:rPr>
              <w:t xml:space="preserve"> Statistician</w:t>
            </w:r>
            <w:r w:rsidR="00CC6C66">
              <w:rPr>
                <w:rFonts w:ascii="Calibri" w:hAnsi="Calibri" w:cs="Arial"/>
                <w:sz w:val="24"/>
                <w:szCs w:val="24"/>
              </w:rPr>
              <w:t>,</w:t>
            </w:r>
            <w:r>
              <w:rPr>
                <w:rFonts w:ascii="Calibri" w:hAnsi="Calibri" w:cs="Arial"/>
                <w:sz w:val="24"/>
                <w:szCs w:val="24"/>
              </w:rPr>
              <w:t xml:space="preserve"> BJS (1</w:t>
            </w:r>
            <w:r w:rsidR="00CC6C66">
              <w:rPr>
                <w:rFonts w:ascii="Calibri" w:hAnsi="Calibri" w:cs="Arial"/>
                <w:sz w:val="24"/>
                <w:szCs w:val="24"/>
              </w:rPr>
              <w:t xml:space="preserve"> </w:t>
            </w:r>
            <w:r w:rsidRPr="000000EB">
              <w:rPr>
                <w:rFonts w:ascii="Calibri" w:hAnsi="Calibri" w:cs="Arial"/>
                <w:sz w:val="24"/>
                <w:szCs w:val="24"/>
              </w:rPr>
              <w:t>@ 100%)</w:t>
            </w:r>
          </w:p>
        </w:tc>
        <w:tc>
          <w:tcPr>
            <w:tcW w:w="1411"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Pr>
                <w:rFonts w:ascii="Calibri" w:hAnsi="Calibri" w:cs="Arial"/>
                <w:sz w:val="24"/>
                <w:szCs w:val="24"/>
              </w:rPr>
              <w:t>$130</w:t>
            </w:r>
            <w:r w:rsidRPr="000000EB">
              <w:rPr>
                <w:rFonts w:ascii="Calibri" w:hAnsi="Calibri" w:cs="Arial"/>
                <w:sz w:val="24"/>
                <w:szCs w:val="24"/>
              </w:rPr>
              <w:t>,</w:t>
            </w:r>
            <w:r>
              <w:rPr>
                <w:rFonts w:ascii="Calibri" w:hAnsi="Calibri" w:cs="Arial"/>
                <w:sz w:val="24"/>
                <w:szCs w:val="24"/>
              </w:rPr>
              <w:t>000</w:t>
            </w:r>
            <w:r w:rsidRPr="000000EB">
              <w:rPr>
                <w:rFonts w:ascii="Calibri" w:hAnsi="Calibri" w:cs="Arial"/>
                <w:sz w:val="24"/>
                <w:szCs w:val="24"/>
              </w:rPr>
              <w:t xml:space="preserve"> </w:t>
            </w:r>
          </w:p>
        </w:tc>
        <w:tc>
          <w:tcPr>
            <w:tcW w:w="1215"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36</w:t>
            </w:r>
            <w:r w:rsidRPr="000000EB">
              <w:rPr>
                <w:rFonts w:ascii="Calibri" w:hAnsi="Calibri" w:cs="Arial"/>
                <w:sz w:val="24"/>
                <w:szCs w:val="24"/>
              </w:rPr>
              <w:t>,</w:t>
            </w:r>
            <w:r>
              <w:rPr>
                <w:rFonts w:ascii="Calibri" w:hAnsi="Calibri" w:cs="Arial"/>
                <w:sz w:val="24"/>
                <w:szCs w:val="24"/>
              </w:rPr>
              <w:t>400</w:t>
            </w:r>
            <w:r w:rsidRPr="000000EB">
              <w:rPr>
                <w:rFonts w:ascii="Calibri" w:hAnsi="Calibri" w:cs="Arial"/>
                <w:sz w:val="24"/>
                <w:szCs w:val="24"/>
              </w:rPr>
              <w:t xml:space="preserve"> </w:t>
            </w:r>
          </w:p>
        </w:tc>
        <w:tc>
          <w:tcPr>
            <w:tcW w:w="2025" w:type="dxa"/>
            <w:shd w:val="clear" w:color="auto" w:fill="auto"/>
            <w:noWrap/>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166</w:t>
            </w:r>
            <w:r w:rsidRPr="000000EB">
              <w:rPr>
                <w:rFonts w:ascii="Calibri" w:hAnsi="Calibri" w:cs="Arial"/>
                <w:sz w:val="24"/>
                <w:szCs w:val="24"/>
              </w:rPr>
              <w:t>,</w:t>
            </w:r>
            <w:r>
              <w:rPr>
                <w:rFonts w:ascii="Calibri" w:hAnsi="Calibri" w:cs="Arial"/>
                <w:sz w:val="24"/>
                <w:szCs w:val="24"/>
              </w:rPr>
              <w:t>400</w:t>
            </w:r>
          </w:p>
        </w:tc>
      </w:tr>
      <w:tr w:rsidR="00D71BB8" w:rsidRPr="00005BF7" w:rsidTr="00CC6C66">
        <w:trPr>
          <w:trHeight w:val="315"/>
        </w:trPr>
        <w:tc>
          <w:tcPr>
            <w:tcW w:w="4709" w:type="dxa"/>
            <w:shd w:val="clear" w:color="auto" w:fill="auto"/>
            <w:noWrap/>
            <w:vAlign w:val="bottom"/>
          </w:tcPr>
          <w:p w:rsidR="00D71BB8" w:rsidRPr="000000EB" w:rsidRDefault="00D71BB8" w:rsidP="00CC6C66">
            <w:pPr>
              <w:widowControl/>
              <w:autoSpaceDE/>
              <w:autoSpaceDN/>
              <w:adjustRightInd/>
              <w:rPr>
                <w:rFonts w:ascii="Calibri" w:hAnsi="Calibri" w:cs="Arial"/>
                <w:sz w:val="24"/>
                <w:szCs w:val="24"/>
              </w:rPr>
            </w:pPr>
            <w:r>
              <w:rPr>
                <w:rFonts w:ascii="Calibri" w:hAnsi="Calibri" w:cs="Arial"/>
                <w:sz w:val="24"/>
                <w:szCs w:val="24"/>
              </w:rPr>
              <w:t>GS13</w:t>
            </w:r>
            <w:r w:rsidRPr="000000EB">
              <w:rPr>
                <w:rFonts w:ascii="Calibri" w:hAnsi="Calibri" w:cs="Arial"/>
                <w:sz w:val="24"/>
                <w:szCs w:val="24"/>
              </w:rPr>
              <w:t xml:space="preserve"> – Statistician</w:t>
            </w:r>
            <w:r w:rsidR="00CC6C66">
              <w:rPr>
                <w:rFonts w:ascii="Calibri" w:hAnsi="Calibri" w:cs="Arial"/>
                <w:sz w:val="24"/>
                <w:szCs w:val="24"/>
              </w:rPr>
              <w:t>,</w:t>
            </w:r>
            <w:r w:rsidRPr="000000EB">
              <w:rPr>
                <w:rFonts w:ascii="Calibri" w:hAnsi="Calibri" w:cs="Arial"/>
                <w:sz w:val="24"/>
                <w:szCs w:val="24"/>
              </w:rPr>
              <w:t xml:space="preserve"> BJS (</w:t>
            </w:r>
            <w:r>
              <w:rPr>
                <w:rFonts w:ascii="Calibri" w:hAnsi="Calibri" w:cs="Arial"/>
                <w:sz w:val="24"/>
                <w:szCs w:val="24"/>
              </w:rPr>
              <w:t>4</w:t>
            </w:r>
            <w:r w:rsidR="00CC6C66">
              <w:rPr>
                <w:rFonts w:ascii="Calibri" w:hAnsi="Calibri" w:cs="Arial"/>
                <w:sz w:val="24"/>
                <w:szCs w:val="24"/>
              </w:rPr>
              <w:t xml:space="preserve"> </w:t>
            </w:r>
            <w:r w:rsidRPr="000000EB">
              <w:rPr>
                <w:rFonts w:ascii="Calibri" w:hAnsi="Calibri" w:cs="Arial"/>
                <w:sz w:val="24"/>
                <w:szCs w:val="24"/>
              </w:rPr>
              <w:t>@</w:t>
            </w:r>
            <w:r w:rsidR="00CC6C66">
              <w:rPr>
                <w:rFonts w:ascii="Calibri" w:hAnsi="Calibri" w:cs="Arial"/>
                <w:sz w:val="24"/>
                <w:szCs w:val="24"/>
              </w:rPr>
              <w:t xml:space="preserve"> </w:t>
            </w:r>
            <w:r w:rsidRPr="000000EB">
              <w:rPr>
                <w:rFonts w:ascii="Calibri" w:hAnsi="Calibri" w:cs="Arial"/>
                <w:sz w:val="24"/>
                <w:szCs w:val="24"/>
              </w:rPr>
              <w:t>100%)</w:t>
            </w:r>
          </w:p>
        </w:tc>
        <w:tc>
          <w:tcPr>
            <w:tcW w:w="1411"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110</w:t>
            </w:r>
            <w:r w:rsidRPr="000000EB">
              <w:rPr>
                <w:rFonts w:ascii="Calibri" w:hAnsi="Calibri" w:cs="Arial"/>
                <w:sz w:val="24"/>
                <w:szCs w:val="24"/>
              </w:rPr>
              <w:t>,</w:t>
            </w:r>
            <w:r>
              <w:rPr>
                <w:rFonts w:ascii="Calibri" w:hAnsi="Calibri" w:cs="Arial"/>
                <w:sz w:val="24"/>
                <w:szCs w:val="24"/>
              </w:rPr>
              <w:t>000</w:t>
            </w:r>
          </w:p>
        </w:tc>
        <w:tc>
          <w:tcPr>
            <w:tcW w:w="1215"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30</w:t>
            </w:r>
            <w:r w:rsidRPr="000000EB">
              <w:rPr>
                <w:rFonts w:ascii="Calibri" w:hAnsi="Calibri" w:cs="Arial"/>
                <w:sz w:val="24"/>
                <w:szCs w:val="24"/>
              </w:rPr>
              <w:t>,</w:t>
            </w:r>
            <w:r>
              <w:rPr>
                <w:rFonts w:ascii="Calibri" w:hAnsi="Calibri" w:cs="Arial"/>
                <w:sz w:val="24"/>
                <w:szCs w:val="24"/>
              </w:rPr>
              <w:t>800</w:t>
            </w:r>
          </w:p>
        </w:tc>
        <w:tc>
          <w:tcPr>
            <w:tcW w:w="2025" w:type="dxa"/>
            <w:shd w:val="clear" w:color="auto" w:fill="auto"/>
            <w:noWrap/>
            <w:vAlign w:val="bottom"/>
          </w:tcPr>
          <w:p w:rsidR="00D71BB8" w:rsidRPr="000000EB" w:rsidRDefault="00D71BB8" w:rsidP="000E676C">
            <w:pPr>
              <w:widowControl/>
              <w:autoSpaceDE/>
              <w:autoSpaceDN/>
              <w:adjustRightInd/>
              <w:jc w:val="right"/>
              <w:rPr>
                <w:rFonts w:ascii="Calibri" w:hAnsi="Calibri" w:cs="Arial"/>
                <w:sz w:val="24"/>
                <w:szCs w:val="24"/>
              </w:rPr>
            </w:pPr>
            <w:r w:rsidRPr="000000EB">
              <w:rPr>
                <w:rFonts w:ascii="Calibri" w:hAnsi="Calibri" w:cs="Arial"/>
                <w:sz w:val="24"/>
                <w:szCs w:val="24"/>
              </w:rPr>
              <w:t>$</w:t>
            </w:r>
            <w:r>
              <w:rPr>
                <w:rFonts w:ascii="Calibri" w:hAnsi="Calibri" w:cs="Arial"/>
                <w:sz w:val="24"/>
                <w:szCs w:val="24"/>
              </w:rPr>
              <w:t>563</w:t>
            </w:r>
            <w:r w:rsidRPr="000000EB">
              <w:rPr>
                <w:rFonts w:ascii="Calibri" w:hAnsi="Calibri" w:cs="Arial"/>
                <w:sz w:val="24"/>
                <w:szCs w:val="24"/>
              </w:rPr>
              <w:t>,</w:t>
            </w:r>
            <w:r>
              <w:rPr>
                <w:rFonts w:ascii="Calibri" w:hAnsi="Calibri" w:cs="Arial"/>
                <w:sz w:val="24"/>
                <w:szCs w:val="24"/>
              </w:rPr>
              <w:t>200</w:t>
            </w:r>
          </w:p>
        </w:tc>
      </w:tr>
      <w:tr w:rsidR="00D71BB8" w:rsidRPr="00005BF7" w:rsidTr="00CC6C66">
        <w:trPr>
          <w:trHeight w:val="315"/>
        </w:trPr>
        <w:tc>
          <w:tcPr>
            <w:tcW w:w="4709" w:type="dxa"/>
            <w:shd w:val="clear" w:color="auto" w:fill="auto"/>
            <w:noWrap/>
            <w:vAlign w:val="bottom"/>
          </w:tcPr>
          <w:p w:rsidR="00D71BB8" w:rsidRPr="000000EB" w:rsidRDefault="00D71BB8" w:rsidP="00CC6C66">
            <w:pPr>
              <w:widowControl/>
              <w:autoSpaceDE/>
              <w:autoSpaceDN/>
              <w:adjustRightInd/>
              <w:rPr>
                <w:rFonts w:ascii="Calibri" w:hAnsi="Calibri" w:cs="Arial"/>
                <w:sz w:val="24"/>
                <w:szCs w:val="24"/>
              </w:rPr>
            </w:pPr>
          </w:p>
        </w:tc>
        <w:tc>
          <w:tcPr>
            <w:tcW w:w="1411"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p>
        </w:tc>
        <w:tc>
          <w:tcPr>
            <w:tcW w:w="1215"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p>
        </w:tc>
        <w:tc>
          <w:tcPr>
            <w:tcW w:w="2025" w:type="dxa"/>
            <w:shd w:val="clear" w:color="auto" w:fill="auto"/>
            <w:noWrap/>
            <w:vAlign w:val="bottom"/>
          </w:tcPr>
          <w:p w:rsidR="00D71BB8" w:rsidRPr="000000EB" w:rsidRDefault="00D71BB8" w:rsidP="000E676C">
            <w:pPr>
              <w:widowControl/>
              <w:autoSpaceDE/>
              <w:autoSpaceDN/>
              <w:adjustRightInd/>
              <w:jc w:val="right"/>
              <w:rPr>
                <w:rFonts w:ascii="Calibri" w:hAnsi="Calibri" w:cs="Arial"/>
                <w:sz w:val="24"/>
                <w:szCs w:val="24"/>
              </w:rPr>
            </w:pPr>
          </w:p>
        </w:tc>
      </w:tr>
      <w:tr w:rsidR="00D71BB8" w:rsidRPr="00005BF7" w:rsidTr="00CC6C66">
        <w:trPr>
          <w:trHeight w:val="315"/>
        </w:trPr>
        <w:tc>
          <w:tcPr>
            <w:tcW w:w="4709" w:type="dxa"/>
            <w:shd w:val="clear" w:color="auto" w:fill="auto"/>
            <w:noWrap/>
            <w:vAlign w:val="bottom"/>
          </w:tcPr>
          <w:p w:rsidR="00D71BB8" w:rsidRPr="00D71BB8" w:rsidRDefault="00D71BB8" w:rsidP="00CC6C66">
            <w:pPr>
              <w:widowControl/>
              <w:autoSpaceDE/>
              <w:autoSpaceDN/>
              <w:adjustRightInd/>
              <w:jc w:val="right"/>
              <w:rPr>
                <w:rFonts w:ascii="Calibri" w:hAnsi="Calibri" w:cs="Arial"/>
                <w:sz w:val="24"/>
                <w:szCs w:val="24"/>
              </w:rPr>
            </w:pPr>
            <w:r w:rsidRPr="00D71BB8">
              <w:rPr>
                <w:rFonts w:ascii="Calibri" w:hAnsi="Calibri" w:cs="Arial"/>
                <w:sz w:val="24"/>
                <w:szCs w:val="24"/>
              </w:rPr>
              <w:t xml:space="preserve">Subtotal: Salary </w:t>
            </w:r>
            <w:r w:rsidR="00CC6C66">
              <w:rPr>
                <w:rFonts w:ascii="Calibri" w:hAnsi="Calibri" w:cs="Arial"/>
                <w:sz w:val="24"/>
                <w:szCs w:val="24"/>
              </w:rPr>
              <w:t>and</w:t>
            </w:r>
            <w:r w:rsidRPr="00D71BB8">
              <w:rPr>
                <w:rFonts w:ascii="Calibri" w:hAnsi="Calibri" w:cs="Arial"/>
                <w:sz w:val="24"/>
                <w:szCs w:val="24"/>
              </w:rPr>
              <w:t xml:space="preserve"> fringe</w:t>
            </w:r>
            <w:r w:rsidR="00CC6C66">
              <w:rPr>
                <w:rFonts w:ascii="Calibri" w:hAnsi="Calibri" w:cs="Arial"/>
                <w:sz w:val="24"/>
                <w:szCs w:val="24"/>
              </w:rPr>
              <w:t xml:space="preserve"> (28%)</w:t>
            </w:r>
          </w:p>
        </w:tc>
        <w:tc>
          <w:tcPr>
            <w:tcW w:w="1411"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p>
        </w:tc>
        <w:tc>
          <w:tcPr>
            <w:tcW w:w="1215" w:type="dxa"/>
            <w:shd w:val="clear" w:color="auto" w:fill="auto"/>
            <w:vAlign w:val="bottom"/>
          </w:tcPr>
          <w:p w:rsidR="00D71BB8" w:rsidRPr="000000EB" w:rsidRDefault="00D71BB8" w:rsidP="000E676C">
            <w:pPr>
              <w:widowControl/>
              <w:autoSpaceDE/>
              <w:autoSpaceDN/>
              <w:adjustRightInd/>
              <w:jc w:val="right"/>
              <w:rPr>
                <w:rFonts w:ascii="Calibri" w:hAnsi="Calibri" w:cs="Arial"/>
                <w:sz w:val="24"/>
                <w:szCs w:val="24"/>
              </w:rPr>
            </w:pPr>
          </w:p>
        </w:tc>
        <w:tc>
          <w:tcPr>
            <w:tcW w:w="2025" w:type="dxa"/>
            <w:shd w:val="clear" w:color="auto" w:fill="auto"/>
            <w:noWrap/>
            <w:vAlign w:val="bottom"/>
          </w:tcPr>
          <w:p w:rsidR="00D71BB8" w:rsidRPr="000000EB" w:rsidRDefault="00D71BB8" w:rsidP="00124FD7">
            <w:pPr>
              <w:widowControl/>
              <w:autoSpaceDE/>
              <w:autoSpaceDN/>
              <w:adjustRightInd/>
              <w:jc w:val="right"/>
              <w:rPr>
                <w:rFonts w:ascii="Calibri" w:hAnsi="Calibri" w:cs="Arial"/>
                <w:sz w:val="24"/>
                <w:szCs w:val="24"/>
              </w:rPr>
            </w:pPr>
            <w:r w:rsidRPr="000000EB">
              <w:rPr>
                <w:rFonts w:ascii="Calibri" w:hAnsi="Calibri" w:cs="Arial"/>
                <w:sz w:val="24"/>
                <w:szCs w:val="24"/>
              </w:rPr>
              <w:t>$</w:t>
            </w:r>
            <w:r w:rsidR="00124FD7">
              <w:rPr>
                <w:rFonts w:ascii="Calibri" w:hAnsi="Calibri" w:cs="Arial"/>
                <w:sz w:val="24"/>
                <w:szCs w:val="24"/>
              </w:rPr>
              <w:t>969,600</w:t>
            </w:r>
          </w:p>
        </w:tc>
      </w:tr>
      <w:tr w:rsidR="00D71BB8" w:rsidRPr="00005BF7" w:rsidTr="00CC6C66">
        <w:trPr>
          <w:trHeight w:val="315"/>
        </w:trPr>
        <w:tc>
          <w:tcPr>
            <w:tcW w:w="4709" w:type="dxa"/>
            <w:shd w:val="clear" w:color="auto" w:fill="auto"/>
            <w:noWrap/>
            <w:vAlign w:val="bottom"/>
          </w:tcPr>
          <w:p w:rsidR="00D71BB8" w:rsidRPr="00D71BB8" w:rsidRDefault="00D71BB8" w:rsidP="00CC6C66">
            <w:pPr>
              <w:widowControl/>
              <w:autoSpaceDE/>
              <w:autoSpaceDN/>
              <w:adjustRightInd/>
              <w:jc w:val="both"/>
              <w:rPr>
                <w:rFonts w:ascii="Calibri" w:hAnsi="Calibri" w:cs="Arial"/>
                <w:sz w:val="24"/>
                <w:szCs w:val="24"/>
              </w:rPr>
            </w:pPr>
            <w:r w:rsidRPr="00D71BB8">
              <w:rPr>
                <w:rFonts w:ascii="Calibri" w:hAnsi="Calibri" w:cs="Arial"/>
                <w:sz w:val="24"/>
                <w:szCs w:val="24"/>
              </w:rPr>
              <w:t>Other administrative costs</w:t>
            </w:r>
            <w:r w:rsidR="00CC6C66">
              <w:rPr>
                <w:rFonts w:ascii="Calibri" w:hAnsi="Calibri" w:cs="Arial"/>
                <w:sz w:val="24"/>
                <w:szCs w:val="24"/>
              </w:rPr>
              <w:t xml:space="preserve"> of s</w:t>
            </w:r>
            <w:r w:rsidRPr="00D71BB8">
              <w:rPr>
                <w:rFonts w:ascii="Calibri" w:hAnsi="Calibri" w:cs="Arial"/>
                <w:sz w:val="24"/>
                <w:szCs w:val="24"/>
              </w:rPr>
              <w:t>alary &amp; fringe (</w:t>
            </w:r>
            <w:r w:rsidR="00CC6C66">
              <w:rPr>
                <w:rFonts w:ascii="Calibri" w:hAnsi="Calibri" w:cs="Arial"/>
                <w:sz w:val="24"/>
                <w:szCs w:val="24"/>
              </w:rPr>
              <w:t>15</w:t>
            </w:r>
            <w:r w:rsidRPr="00D71BB8">
              <w:rPr>
                <w:rFonts w:ascii="Calibri" w:hAnsi="Calibri" w:cs="Arial"/>
                <w:sz w:val="24"/>
                <w:szCs w:val="24"/>
              </w:rPr>
              <w:t>%)</w:t>
            </w:r>
          </w:p>
        </w:tc>
        <w:tc>
          <w:tcPr>
            <w:tcW w:w="1411" w:type="dxa"/>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1215" w:type="dxa"/>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2025" w:type="dxa"/>
            <w:shd w:val="clear" w:color="auto" w:fill="auto"/>
            <w:noWrap/>
            <w:vAlign w:val="bottom"/>
          </w:tcPr>
          <w:p w:rsidR="00D71BB8" w:rsidRPr="000000EB" w:rsidRDefault="00D71BB8" w:rsidP="00124FD7">
            <w:pPr>
              <w:widowControl/>
              <w:autoSpaceDE/>
              <w:autoSpaceDN/>
              <w:adjustRightInd/>
              <w:jc w:val="right"/>
              <w:rPr>
                <w:rFonts w:ascii="Calibri" w:hAnsi="Calibri" w:cs="Arial"/>
                <w:sz w:val="24"/>
                <w:szCs w:val="24"/>
              </w:rPr>
            </w:pPr>
            <w:r w:rsidRPr="000000EB">
              <w:rPr>
                <w:rFonts w:ascii="Calibri" w:hAnsi="Calibri" w:cs="Arial"/>
                <w:sz w:val="24"/>
                <w:szCs w:val="24"/>
              </w:rPr>
              <w:t>$</w:t>
            </w:r>
            <w:r w:rsidR="00124FD7">
              <w:rPr>
                <w:rFonts w:ascii="Calibri" w:hAnsi="Calibri" w:cs="Arial"/>
                <w:sz w:val="24"/>
                <w:szCs w:val="24"/>
              </w:rPr>
              <w:t>145,440</w:t>
            </w:r>
          </w:p>
        </w:tc>
      </w:tr>
      <w:tr w:rsidR="00D71BB8" w:rsidRPr="00005BF7" w:rsidTr="00CC6C66">
        <w:trPr>
          <w:trHeight w:val="315"/>
        </w:trPr>
        <w:tc>
          <w:tcPr>
            <w:tcW w:w="4709" w:type="dxa"/>
            <w:shd w:val="clear" w:color="auto" w:fill="auto"/>
            <w:noWrap/>
            <w:vAlign w:val="bottom"/>
          </w:tcPr>
          <w:p w:rsidR="00D71BB8" w:rsidRPr="00D71BB8" w:rsidRDefault="00D71BB8" w:rsidP="00D71BB8">
            <w:pPr>
              <w:widowControl/>
              <w:autoSpaceDE/>
              <w:autoSpaceDN/>
              <w:adjustRightInd/>
              <w:jc w:val="right"/>
              <w:rPr>
                <w:rFonts w:ascii="Calibri" w:hAnsi="Calibri" w:cs="Arial"/>
                <w:sz w:val="24"/>
                <w:szCs w:val="24"/>
              </w:rPr>
            </w:pPr>
            <w:r w:rsidRPr="00D71BB8">
              <w:rPr>
                <w:rFonts w:ascii="Calibri" w:hAnsi="Calibri" w:cs="Arial"/>
                <w:sz w:val="24"/>
                <w:szCs w:val="24"/>
              </w:rPr>
              <w:t xml:space="preserve">Subtotal: </w:t>
            </w:r>
            <w:r w:rsidR="00FE33C0">
              <w:rPr>
                <w:rFonts w:ascii="Calibri" w:hAnsi="Calibri" w:cs="Arial"/>
                <w:sz w:val="24"/>
                <w:szCs w:val="24"/>
              </w:rPr>
              <w:t>estimated BJS costs</w:t>
            </w:r>
          </w:p>
        </w:tc>
        <w:tc>
          <w:tcPr>
            <w:tcW w:w="1411" w:type="dxa"/>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1215" w:type="dxa"/>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2025" w:type="dxa"/>
            <w:noWrap/>
          </w:tcPr>
          <w:p w:rsidR="00D71BB8" w:rsidRPr="00CC6C66" w:rsidRDefault="00CC6C66" w:rsidP="00124FD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Cs/>
                <w:sz w:val="24"/>
                <w:szCs w:val="24"/>
              </w:rPr>
            </w:pPr>
            <w:r>
              <w:rPr>
                <w:rFonts w:asciiTheme="minorHAnsi" w:hAnsiTheme="minorHAnsi"/>
                <w:bCs/>
                <w:sz w:val="24"/>
                <w:szCs w:val="24"/>
              </w:rPr>
              <w:t>$</w:t>
            </w:r>
            <w:r w:rsidR="00124FD7">
              <w:rPr>
                <w:rFonts w:asciiTheme="minorHAnsi" w:hAnsiTheme="minorHAnsi"/>
                <w:bCs/>
                <w:sz w:val="24"/>
                <w:szCs w:val="24"/>
              </w:rPr>
              <w:t>1,115,040</w:t>
            </w:r>
          </w:p>
        </w:tc>
      </w:tr>
      <w:tr w:rsidR="00D71BB8" w:rsidRPr="00005BF7" w:rsidTr="006177B0">
        <w:trPr>
          <w:trHeight w:val="315"/>
        </w:trPr>
        <w:tc>
          <w:tcPr>
            <w:tcW w:w="4709" w:type="dxa"/>
            <w:shd w:val="clear" w:color="auto" w:fill="auto"/>
            <w:noWrap/>
            <w:vAlign w:val="bottom"/>
          </w:tcPr>
          <w:p w:rsidR="00D71BB8" w:rsidRPr="00D71BB8" w:rsidRDefault="00D71BB8" w:rsidP="00D71BB8">
            <w:pPr>
              <w:widowControl/>
              <w:autoSpaceDE/>
              <w:autoSpaceDN/>
              <w:adjustRightInd/>
              <w:jc w:val="right"/>
              <w:rPr>
                <w:rFonts w:ascii="Calibri" w:hAnsi="Calibri" w:cs="Arial"/>
                <w:sz w:val="24"/>
                <w:szCs w:val="24"/>
              </w:rPr>
            </w:pPr>
            <w:r w:rsidRPr="00D71BB8">
              <w:rPr>
                <w:rFonts w:ascii="Calibri" w:hAnsi="Calibri" w:cs="Arial"/>
                <w:sz w:val="24"/>
                <w:szCs w:val="24"/>
              </w:rPr>
              <w:t xml:space="preserve">Subtotal: Annual estimated BJS and </w:t>
            </w:r>
            <w:r w:rsidR="00FE33C0">
              <w:rPr>
                <w:rFonts w:ascii="Calibri" w:hAnsi="Calibri" w:cs="Arial"/>
                <w:sz w:val="24"/>
                <w:szCs w:val="24"/>
              </w:rPr>
              <w:t xml:space="preserve">U.S. </w:t>
            </w:r>
            <w:r w:rsidRPr="00D71BB8">
              <w:rPr>
                <w:rFonts w:ascii="Calibri" w:hAnsi="Calibri" w:cs="Arial"/>
                <w:sz w:val="24"/>
                <w:szCs w:val="24"/>
              </w:rPr>
              <w:t>Census Bureau costs</w:t>
            </w:r>
          </w:p>
        </w:tc>
        <w:tc>
          <w:tcPr>
            <w:tcW w:w="1411" w:type="dxa"/>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1215" w:type="dxa"/>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2025" w:type="dxa"/>
            <w:noWrap/>
          </w:tcPr>
          <w:p w:rsidR="00D71BB8" w:rsidRPr="00CC6C66" w:rsidRDefault="00CC6C66" w:rsidP="00124FD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Cs/>
                <w:sz w:val="24"/>
                <w:szCs w:val="24"/>
              </w:rPr>
            </w:pPr>
            <w:r w:rsidRPr="00CC6C66">
              <w:rPr>
                <w:rFonts w:asciiTheme="minorHAnsi" w:hAnsiTheme="minorHAnsi"/>
                <w:bCs/>
                <w:sz w:val="24"/>
                <w:szCs w:val="24"/>
              </w:rPr>
              <w:t>$</w:t>
            </w:r>
            <w:r w:rsidR="00124FD7">
              <w:rPr>
                <w:rFonts w:asciiTheme="minorHAnsi" w:hAnsiTheme="minorHAnsi"/>
                <w:bCs/>
                <w:sz w:val="24"/>
                <w:szCs w:val="24"/>
              </w:rPr>
              <w:t>41,631,310</w:t>
            </w:r>
          </w:p>
        </w:tc>
      </w:tr>
      <w:tr w:rsidR="006177B0" w:rsidRPr="00005BF7" w:rsidTr="006177B0">
        <w:trPr>
          <w:trHeight w:val="315"/>
        </w:trPr>
        <w:tc>
          <w:tcPr>
            <w:tcW w:w="4709" w:type="dxa"/>
            <w:tcBorders>
              <w:bottom w:val="single" w:sz="4" w:space="0" w:color="auto"/>
            </w:tcBorders>
            <w:noWrap/>
          </w:tcPr>
          <w:p w:rsidR="00D71BB8" w:rsidRDefault="00D71BB8" w:rsidP="00D71BB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r w:rsidRPr="00D71BB8">
              <w:rPr>
                <w:rFonts w:asciiTheme="minorHAnsi" w:hAnsiTheme="minorHAnsi"/>
                <w:b/>
                <w:bCs/>
                <w:sz w:val="24"/>
                <w:szCs w:val="24"/>
              </w:rPr>
              <w:t>Total: Estimated costs @ 3 years</w:t>
            </w:r>
          </w:p>
        </w:tc>
        <w:tc>
          <w:tcPr>
            <w:tcW w:w="1411" w:type="dxa"/>
            <w:tcBorders>
              <w:bottom w:val="single" w:sz="4" w:space="0" w:color="auto"/>
            </w:tcBorders>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1215" w:type="dxa"/>
            <w:tcBorders>
              <w:bottom w:val="single" w:sz="4" w:space="0" w:color="auto"/>
            </w:tcBorders>
          </w:tcPr>
          <w:p w:rsidR="00D71BB8" w:rsidRPr="00005BF7" w:rsidRDefault="00D71BB8" w:rsidP="000E676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p>
        </w:tc>
        <w:tc>
          <w:tcPr>
            <w:tcW w:w="2025" w:type="dxa"/>
            <w:tcBorders>
              <w:bottom w:val="single" w:sz="4" w:space="0" w:color="auto"/>
            </w:tcBorders>
            <w:noWrap/>
          </w:tcPr>
          <w:p w:rsidR="00D71BB8" w:rsidRPr="00005BF7" w:rsidRDefault="00CC6C66" w:rsidP="00124FD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r>
              <w:rPr>
                <w:rFonts w:asciiTheme="minorHAnsi" w:hAnsiTheme="minorHAnsi"/>
                <w:b/>
                <w:bCs/>
                <w:sz w:val="24"/>
                <w:szCs w:val="24"/>
              </w:rPr>
              <w:t>$</w:t>
            </w:r>
            <w:r w:rsidR="00124FD7">
              <w:rPr>
                <w:rFonts w:asciiTheme="minorHAnsi" w:hAnsiTheme="minorHAnsi"/>
                <w:b/>
                <w:bCs/>
                <w:sz w:val="24"/>
                <w:szCs w:val="24"/>
              </w:rPr>
              <w:t>124,893,930</w:t>
            </w:r>
          </w:p>
        </w:tc>
      </w:tr>
    </w:tbl>
    <w:p w:rsidR="00B9034B" w:rsidRPr="000000EB" w:rsidRDefault="00B9034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sz w:val="24"/>
          <w:szCs w:val="24"/>
        </w:rPr>
      </w:pPr>
    </w:p>
    <w:bookmarkEnd w:id="1"/>
    <w:bookmarkEnd w:id="2"/>
    <w:p w:rsidR="001A36B3" w:rsidRDefault="001A36B3"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p>
    <w:p w:rsidR="00CF44FB" w:rsidRPr="000000EB" w:rsidRDefault="00CF44F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b/>
          <w:sz w:val="24"/>
          <w:szCs w:val="24"/>
        </w:rPr>
        <w:t>15.</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Reason</w:t>
      </w:r>
      <w:r w:rsidR="00FA7995" w:rsidRPr="007D4260">
        <w:rPr>
          <w:rFonts w:ascii="Calibri" w:hAnsi="Calibri" w:cs="Arial"/>
          <w:b/>
          <w:sz w:val="24"/>
          <w:szCs w:val="24"/>
          <w:u w:val="single"/>
        </w:rPr>
        <w:t>s</w:t>
      </w:r>
      <w:r w:rsidRPr="007D4260">
        <w:rPr>
          <w:rFonts w:ascii="Calibri" w:hAnsi="Calibri" w:cs="Arial"/>
          <w:b/>
          <w:sz w:val="24"/>
          <w:szCs w:val="24"/>
          <w:u w:val="single"/>
        </w:rPr>
        <w:t xml:space="preserve"> for Change in Burden</w:t>
      </w:r>
    </w:p>
    <w:p w:rsidR="00CF44FB" w:rsidRPr="000000EB" w:rsidRDefault="00CF44F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sz w:val="24"/>
          <w:szCs w:val="24"/>
        </w:rPr>
      </w:pPr>
    </w:p>
    <w:p w:rsidR="00CC6A16" w:rsidRPr="000000EB" w:rsidRDefault="008376B7"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alibri" w:hAnsi="Calibri" w:cs="Arial"/>
          <w:sz w:val="24"/>
          <w:szCs w:val="24"/>
        </w:rPr>
      </w:pPr>
      <w:r w:rsidRPr="000000EB">
        <w:rPr>
          <w:rFonts w:ascii="Calibri" w:hAnsi="Calibri" w:cs="Arial"/>
          <w:sz w:val="24"/>
          <w:szCs w:val="24"/>
        </w:rPr>
        <w:t xml:space="preserve">The estimated total annual hours </w:t>
      </w:r>
      <w:r w:rsidR="00FE4826">
        <w:rPr>
          <w:rFonts w:ascii="Calibri" w:hAnsi="Calibri" w:cs="Arial"/>
          <w:sz w:val="24"/>
          <w:szCs w:val="24"/>
        </w:rPr>
        <w:t>for 201</w:t>
      </w:r>
      <w:r w:rsidR="00F1083F">
        <w:rPr>
          <w:rFonts w:ascii="Calibri" w:hAnsi="Calibri" w:cs="Arial"/>
          <w:sz w:val="24"/>
          <w:szCs w:val="24"/>
        </w:rPr>
        <w:t>8</w:t>
      </w:r>
      <w:r w:rsidR="00FE4826">
        <w:rPr>
          <w:rFonts w:ascii="Calibri" w:hAnsi="Calibri" w:cs="Arial"/>
          <w:sz w:val="24"/>
          <w:szCs w:val="24"/>
        </w:rPr>
        <w:t xml:space="preserve"> through 20</w:t>
      </w:r>
      <w:r w:rsidR="00F1083F">
        <w:rPr>
          <w:rFonts w:ascii="Calibri" w:hAnsi="Calibri" w:cs="Arial"/>
          <w:sz w:val="24"/>
          <w:szCs w:val="24"/>
        </w:rPr>
        <w:t>2</w:t>
      </w:r>
      <w:r w:rsidR="00465802">
        <w:rPr>
          <w:rFonts w:ascii="Calibri" w:hAnsi="Calibri" w:cs="Arial"/>
          <w:sz w:val="24"/>
          <w:szCs w:val="24"/>
        </w:rPr>
        <w:t>1</w:t>
      </w:r>
      <w:r w:rsidR="00A821CB" w:rsidRPr="000000EB">
        <w:rPr>
          <w:rFonts w:ascii="Calibri" w:hAnsi="Calibri" w:cs="Arial"/>
          <w:sz w:val="24"/>
          <w:szCs w:val="24"/>
        </w:rPr>
        <w:t xml:space="preserve"> (</w:t>
      </w:r>
      <w:r w:rsidR="00F1083F">
        <w:rPr>
          <w:rFonts w:ascii="Calibri" w:hAnsi="Calibri" w:cs="Arial"/>
          <w:sz w:val="24"/>
          <w:szCs w:val="24"/>
        </w:rPr>
        <w:t>120,810</w:t>
      </w:r>
      <w:r w:rsidRPr="000000EB">
        <w:rPr>
          <w:rFonts w:ascii="Calibri" w:hAnsi="Calibri" w:cs="Arial"/>
          <w:sz w:val="24"/>
          <w:szCs w:val="24"/>
        </w:rPr>
        <w:t xml:space="preserve">) is </w:t>
      </w:r>
      <w:r w:rsidR="00A821CB" w:rsidRPr="000000EB">
        <w:rPr>
          <w:rFonts w:ascii="Calibri" w:hAnsi="Calibri" w:cs="Arial"/>
          <w:sz w:val="24"/>
          <w:szCs w:val="24"/>
        </w:rPr>
        <w:t>greater</w:t>
      </w:r>
      <w:r w:rsidRPr="000000EB">
        <w:rPr>
          <w:rFonts w:ascii="Calibri" w:hAnsi="Calibri" w:cs="Arial"/>
          <w:sz w:val="24"/>
          <w:szCs w:val="24"/>
        </w:rPr>
        <w:t xml:space="preserve"> than the </w:t>
      </w:r>
      <w:r w:rsidR="00F1083F">
        <w:rPr>
          <w:rFonts w:ascii="Calibri" w:hAnsi="Calibri" w:cs="Arial"/>
          <w:sz w:val="24"/>
          <w:szCs w:val="24"/>
        </w:rPr>
        <w:t>106,399</w:t>
      </w:r>
      <w:r w:rsidR="00FE4826">
        <w:rPr>
          <w:rFonts w:ascii="Calibri" w:hAnsi="Calibri" w:cs="Arial"/>
          <w:sz w:val="24"/>
          <w:szCs w:val="24"/>
        </w:rPr>
        <w:t xml:space="preserve"> </w:t>
      </w:r>
      <w:r w:rsidRPr="000000EB">
        <w:rPr>
          <w:rFonts w:ascii="Calibri" w:hAnsi="Calibri" w:cs="Arial"/>
          <w:sz w:val="24"/>
          <w:szCs w:val="24"/>
        </w:rPr>
        <w:t xml:space="preserve">requested in </w:t>
      </w:r>
      <w:r w:rsidR="00FE4826">
        <w:rPr>
          <w:rFonts w:ascii="Calibri" w:hAnsi="Calibri" w:cs="Arial"/>
          <w:sz w:val="24"/>
          <w:szCs w:val="24"/>
        </w:rPr>
        <w:t>201</w:t>
      </w:r>
      <w:r w:rsidR="00F1083F">
        <w:rPr>
          <w:rFonts w:ascii="Calibri" w:hAnsi="Calibri" w:cs="Arial"/>
          <w:sz w:val="24"/>
          <w:szCs w:val="24"/>
        </w:rPr>
        <w:t>5</w:t>
      </w:r>
      <w:r w:rsidRPr="000000EB">
        <w:rPr>
          <w:rFonts w:ascii="Calibri" w:hAnsi="Calibri" w:cs="Arial"/>
          <w:sz w:val="24"/>
          <w:szCs w:val="24"/>
        </w:rPr>
        <w:t xml:space="preserve"> because </w:t>
      </w:r>
      <w:r w:rsidR="00460F0C">
        <w:rPr>
          <w:rFonts w:ascii="Calibri" w:hAnsi="Calibri" w:cs="Arial"/>
          <w:sz w:val="24"/>
          <w:szCs w:val="24"/>
        </w:rPr>
        <w:t xml:space="preserve">the NCVS sample was redesigned </w:t>
      </w:r>
      <w:r w:rsidR="00FA03E0">
        <w:rPr>
          <w:rFonts w:ascii="Calibri" w:hAnsi="Calibri" w:cs="Arial"/>
          <w:sz w:val="24"/>
          <w:szCs w:val="24"/>
        </w:rPr>
        <w:t xml:space="preserve">and increased </w:t>
      </w:r>
      <w:r w:rsidR="00460F0C">
        <w:rPr>
          <w:rFonts w:ascii="Calibri" w:hAnsi="Calibri" w:cs="Arial"/>
          <w:sz w:val="24"/>
          <w:szCs w:val="24"/>
        </w:rPr>
        <w:t xml:space="preserve">to </w:t>
      </w:r>
      <w:r w:rsidR="00460F0C" w:rsidRPr="00460F0C">
        <w:rPr>
          <w:rFonts w:ascii="Calibri" w:hAnsi="Calibri" w:cs="Arial"/>
          <w:sz w:val="24"/>
          <w:szCs w:val="24"/>
        </w:rPr>
        <w:t xml:space="preserve">reflect changes in the U.S. population based on the 2010 Decennial Census </w:t>
      </w:r>
      <w:r w:rsidR="00460F0C">
        <w:rPr>
          <w:rFonts w:ascii="Calibri" w:hAnsi="Calibri" w:cs="Arial"/>
          <w:sz w:val="24"/>
          <w:szCs w:val="24"/>
        </w:rPr>
        <w:t xml:space="preserve">and to </w:t>
      </w:r>
      <w:r w:rsidR="00FA03E0">
        <w:rPr>
          <w:rFonts w:ascii="Calibri" w:hAnsi="Calibri" w:cs="Arial"/>
          <w:sz w:val="24"/>
          <w:szCs w:val="24"/>
        </w:rPr>
        <w:t>allow for estimation for</w:t>
      </w:r>
      <w:r w:rsidR="00FE4826">
        <w:rPr>
          <w:rFonts w:ascii="Calibri" w:hAnsi="Calibri" w:cs="Arial"/>
          <w:sz w:val="24"/>
          <w:szCs w:val="24"/>
        </w:rPr>
        <w:t xml:space="preserve"> the 22 </w:t>
      </w:r>
      <w:r w:rsidR="00FA03E0">
        <w:rPr>
          <w:rFonts w:ascii="Calibri" w:hAnsi="Calibri" w:cs="Arial"/>
          <w:sz w:val="24"/>
          <w:szCs w:val="24"/>
        </w:rPr>
        <w:t xml:space="preserve">most populous </w:t>
      </w:r>
      <w:r w:rsidR="00FE4826">
        <w:rPr>
          <w:rFonts w:ascii="Calibri" w:hAnsi="Calibri" w:cs="Arial"/>
          <w:sz w:val="24"/>
          <w:szCs w:val="24"/>
        </w:rPr>
        <w:t>states</w:t>
      </w:r>
      <w:r w:rsidR="00A821CB" w:rsidRPr="000000EB">
        <w:rPr>
          <w:rFonts w:ascii="Calibri" w:hAnsi="Calibri" w:cs="Arial"/>
          <w:sz w:val="24"/>
          <w:szCs w:val="24"/>
        </w:rPr>
        <w:t xml:space="preserve">. </w:t>
      </w:r>
      <w:r w:rsidR="00460F0C">
        <w:rPr>
          <w:rFonts w:ascii="Calibri" w:hAnsi="Calibri" w:cs="Arial"/>
          <w:sz w:val="24"/>
          <w:szCs w:val="24"/>
        </w:rPr>
        <w:t xml:space="preserve">In 2016, a redesign of the NCVS sample was necessary to account for shifts in the population. </w:t>
      </w:r>
      <w:r w:rsidR="00FE4826">
        <w:rPr>
          <w:rFonts w:ascii="Calibri" w:hAnsi="Calibri" w:cs="Arial"/>
          <w:sz w:val="24"/>
          <w:szCs w:val="24"/>
        </w:rPr>
        <w:t xml:space="preserve">The </w:t>
      </w:r>
      <w:r w:rsidR="00FA03E0">
        <w:rPr>
          <w:rFonts w:ascii="Calibri" w:hAnsi="Calibri" w:cs="Arial"/>
          <w:sz w:val="24"/>
          <w:szCs w:val="24"/>
        </w:rPr>
        <w:t xml:space="preserve">increased sample size </w:t>
      </w:r>
      <w:r w:rsidR="00FE4826">
        <w:rPr>
          <w:rFonts w:ascii="Calibri" w:hAnsi="Calibri" w:cs="Arial"/>
          <w:sz w:val="24"/>
          <w:szCs w:val="24"/>
        </w:rPr>
        <w:t>will allow BJS to generate three-year rolling average estimates of victimization in these 22 states</w:t>
      </w:r>
      <w:r w:rsidR="00107E53">
        <w:rPr>
          <w:rFonts w:ascii="Calibri" w:hAnsi="Calibri" w:cs="Arial"/>
          <w:sz w:val="24"/>
          <w:szCs w:val="24"/>
        </w:rPr>
        <w:t xml:space="preserve"> with adequate precision (average RSE 10%)</w:t>
      </w:r>
      <w:r w:rsidR="00FE4826">
        <w:rPr>
          <w:rFonts w:ascii="Calibri" w:hAnsi="Calibri" w:cs="Arial"/>
          <w:sz w:val="24"/>
          <w:szCs w:val="24"/>
        </w:rPr>
        <w:t xml:space="preserve">, in addition to the regular national level estimates. </w:t>
      </w:r>
    </w:p>
    <w:p w:rsidR="009F604C" w:rsidRDefault="009F604C"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alibri" w:hAnsi="Calibri" w:cs="Arial"/>
          <w:sz w:val="24"/>
          <w:szCs w:val="24"/>
        </w:rPr>
      </w:pPr>
    </w:p>
    <w:p w:rsidR="00E4412C" w:rsidRDefault="00E4412C"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alibri" w:hAnsi="Calibri" w:cs="Arial"/>
          <w:sz w:val="24"/>
          <w:szCs w:val="24"/>
        </w:rPr>
      </w:pPr>
      <w:r>
        <w:rPr>
          <w:rFonts w:ascii="Calibri" w:hAnsi="Calibri" w:cs="Arial"/>
          <w:sz w:val="24"/>
          <w:szCs w:val="24"/>
        </w:rPr>
        <w:t xml:space="preserve">The current requested revision to only administer sexual orientation and gender identity questions to crime victims will have a negligible impact on respondent burden. </w:t>
      </w:r>
    </w:p>
    <w:p w:rsidR="00E4412C" w:rsidRPr="000000EB" w:rsidRDefault="00E4412C"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alibri" w:hAnsi="Calibri" w:cs="Arial"/>
          <w:sz w:val="24"/>
          <w:szCs w:val="24"/>
        </w:rPr>
      </w:pP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0000EB">
        <w:rPr>
          <w:rFonts w:ascii="Calibri" w:hAnsi="Calibri" w:cs="Arial"/>
          <w:sz w:val="24"/>
          <w:szCs w:val="24"/>
        </w:rPr>
        <w:tab/>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rPr>
        <w:t xml:space="preserve">16. </w:t>
      </w:r>
      <w:r w:rsidRPr="007D4260">
        <w:rPr>
          <w:rFonts w:ascii="Calibri" w:hAnsi="Calibri" w:cs="Arial"/>
          <w:b/>
          <w:sz w:val="24"/>
          <w:szCs w:val="24"/>
        </w:rPr>
        <w:tab/>
      </w:r>
      <w:r w:rsidRPr="007D4260">
        <w:rPr>
          <w:rFonts w:ascii="Calibri" w:hAnsi="Calibri" w:cs="Arial"/>
          <w:b/>
          <w:sz w:val="24"/>
          <w:szCs w:val="24"/>
          <w:u w:val="single"/>
        </w:rPr>
        <w:t>Project Schedule</w:t>
      </w:r>
      <w:r w:rsidR="008A4344">
        <w:rPr>
          <w:rFonts w:ascii="Calibri" w:hAnsi="Calibri" w:cs="Arial"/>
          <w:b/>
          <w:sz w:val="24"/>
          <w:szCs w:val="24"/>
          <w:u w:val="single"/>
        </w:rPr>
        <w:t xml:space="preserve"> and Publication Plans</w:t>
      </w:r>
    </w:p>
    <w:p w:rsidR="00CF44FB" w:rsidRPr="000000EB" w:rsidRDefault="00CF44FB" w:rsidP="006F7B4C">
      <w:pPr>
        <w:widowControl/>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rsidR="003704EE" w:rsidRPr="000000EB" w:rsidRDefault="008B24E6" w:rsidP="006F7B4C">
      <w:pPr>
        <w:ind w:left="720"/>
        <w:rPr>
          <w:rFonts w:ascii="Calibri" w:hAnsi="Calibri" w:cs="Arial"/>
          <w:sz w:val="24"/>
          <w:szCs w:val="24"/>
        </w:rPr>
      </w:pPr>
      <w:r w:rsidRPr="000000EB">
        <w:rPr>
          <w:rFonts w:ascii="Calibri" w:hAnsi="Calibri" w:cs="Arial"/>
          <w:sz w:val="24"/>
          <w:szCs w:val="24"/>
        </w:rPr>
        <w:t xml:space="preserve">For collection years </w:t>
      </w:r>
      <w:r w:rsidR="006C70BA">
        <w:rPr>
          <w:rFonts w:ascii="Calibri" w:hAnsi="Calibri" w:cs="Arial"/>
          <w:sz w:val="24"/>
          <w:szCs w:val="24"/>
        </w:rPr>
        <w:t xml:space="preserve">2018, 2019, </w:t>
      </w:r>
      <w:r w:rsidRPr="000000EB">
        <w:rPr>
          <w:rFonts w:ascii="Calibri" w:hAnsi="Calibri" w:cs="Arial"/>
          <w:sz w:val="24"/>
          <w:szCs w:val="24"/>
        </w:rPr>
        <w:t>20</w:t>
      </w:r>
      <w:r w:rsidR="006C70BA">
        <w:rPr>
          <w:rFonts w:ascii="Calibri" w:hAnsi="Calibri" w:cs="Arial"/>
          <w:sz w:val="24"/>
          <w:szCs w:val="24"/>
        </w:rPr>
        <w:t>20</w:t>
      </w:r>
      <w:r w:rsidR="00465802">
        <w:rPr>
          <w:rFonts w:ascii="Calibri" w:hAnsi="Calibri" w:cs="Arial"/>
          <w:sz w:val="24"/>
          <w:szCs w:val="24"/>
        </w:rPr>
        <w:t>, and 2021</w:t>
      </w:r>
      <w:r w:rsidR="003704EE" w:rsidRPr="000000EB">
        <w:rPr>
          <w:rFonts w:ascii="Calibri" w:hAnsi="Calibri" w:cs="Arial"/>
          <w:sz w:val="24"/>
          <w:szCs w:val="24"/>
        </w:rPr>
        <w:t>, the NCVS is in the field from January 1 through December 31</w:t>
      </w:r>
      <w:r w:rsidR="003704EE" w:rsidRPr="000000EB">
        <w:rPr>
          <w:rFonts w:ascii="Calibri" w:hAnsi="Calibri" w:cs="Arial"/>
          <w:sz w:val="24"/>
          <w:szCs w:val="24"/>
          <w:vertAlign w:val="superscript"/>
        </w:rPr>
        <w:t>st</w:t>
      </w:r>
      <w:r w:rsidR="003704EE" w:rsidRPr="000000EB">
        <w:rPr>
          <w:rFonts w:ascii="Calibri" w:hAnsi="Calibri" w:cs="Arial"/>
          <w:sz w:val="24"/>
          <w:szCs w:val="24"/>
        </w:rPr>
        <w:t xml:space="preserve">. Interviewing for the national sample </w:t>
      </w:r>
      <w:r w:rsidR="00CB7FB0">
        <w:rPr>
          <w:rFonts w:ascii="Calibri" w:hAnsi="Calibri" w:cs="Arial"/>
          <w:sz w:val="24"/>
          <w:szCs w:val="24"/>
        </w:rPr>
        <w:t xml:space="preserve">and boost sample occurs simultaneously and </w:t>
      </w:r>
      <w:r w:rsidR="003704EE" w:rsidRPr="000000EB">
        <w:rPr>
          <w:rFonts w:ascii="Calibri" w:hAnsi="Calibri" w:cs="Arial"/>
          <w:sz w:val="24"/>
          <w:szCs w:val="24"/>
        </w:rPr>
        <w:t xml:space="preserve">begins on the first of each month.  The CAPI interviewing is conducted over the entire interview month.  Data processing is conducted on both a monthly and quarterly basis.  Because the survey uses a 6-month recall period, crime incidence data for a given calendar year are not fully collected until June of the following year.  However, annual estimates are produced and published based on data collected during a calendar year (collection year) rather than on crimes occurring during a calendar year (data year) starting with the 1996 data.  Annual collection year estimates </w:t>
      </w:r>
      <w:r w:rsidR="00CB7FB0">
        <w:rPr>
          <w:rFonts w:ascii="Calibri" w:hAnsi="Calibri" w:cs="Arial"/>
          <w:sz w:val="24"/>
          <w:szCs w:val="24"/>
        </w:rPr>
        <w:t xml:space="preserve">for the nation </w:t>
      </w:r>
      <w:r w:rsidR="003704EE" w:rsidRPr="000000EB">
        <w:rPr>
          <w:rFonts w:ascii="Calibri" w:hAnsi="Calibri" w:cs="Arial"/>
          <w:sz w:val="24"/>
          <w:szCs w:val="24"/>
        </w:rPr>
        <w:t>are provided to BJS approx</w:t>
      </w:r>
      <w:r w:rsidR="00CB7FB0">
        <w:rPr>
          <w:rFonts w:ascii="Calibri" w:hAnsi="Calibri" w:cs="Arial"/>
          <w:sz w:val="24"/>
          <w:szCs w:val="24"/>
        </w:rPr>
        <w:t>imately in April of each year.</w:t>
      </w:r>
    </w:p>
    <w:p w:rsidR="003704EE" w:rsidRPr="000000EB" w:rsidRDefault="003704EE" w:rsidP="006F7B4C">
      <w:pPr>
        <w:widowControl/>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Arial"/>
          <w:sz w:val="24"/>
          <w:szCs w:val="24"/>
        </w:rPr>
      </w:pPr>
    </w:p>
    <w:p w:rsidR="00CF44FB" w:rsidRPr="000000EB" w:rsidRDefault="00E22984" w:rsidP="006F7B4C">
      <w:pPr>
        <w:widowControl/>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Arial"/>
          <w:sz w:val="24"/>
          <w:szCs w:val="24"/>
        </w:rPr>
      </w:pPr>
      <w:r w:rsidRPr="000000EB">
        <w:rPr>
          <w:rFonts w:ascii="Calibri" w:hAnsi="Calibri" w:cs="Arial"/>
          <w:sz w:val="24"/>
          <w:szCs w:val="24"/>
        </w:rPr>
        <w:t>BJS</w:t>
      </w:r>
      <w:r w:rsidR="00CF44FB" w:rsidRPr="000000EB">
        <w:rPr>
          <w:rFonts w:ascii="Calibri" w:hAnsi="Calibri" w:cs="Arial"/>
          <w:sz w:val="24"/>
          <w:szCs w:val="24"/>
        </w:rPr>
        <w:t xml:space="preserve"> releases information collected in the NCVS in a variety of formats.  Each </w:t>
      </w:r>
      <w:r w:rsidR="00163761" w:rsidRPr="000000EB">
        <w:rPr>
          <w:rFonts w:ascii="Calibri" w:hAnsi="Calibri" w:cs="Arial"/>
          <w:sz w:val="24"/>
          <w:szCs w:val="24"/>
        </w:rPr>
        <w:t>summer</w:t>
      </w:r>
      <w:r w:rsidR="00CF44FB" w:rsidRPr="000000EB">
        <w:rPr>
          <w:rFonts w:ascii="Calibri" w:hAnsi="Calibri" w:cs="Arial"/>
          <w:sz w:val="24"/>
          <w:szCs w:val="24"/>
        </w:rPr>
        <w:t xml:space="preserve"> </w:t>
      </w:r>
      <w:r w:rsidRPr="000000EB">
        <w:rPr>
          <w:rFonts w:ascii="Calibri" w:hAnsi="Calibri" w:cs="Arial"/>
          <w:sz w:val="24"/>
          <w:szCs w:val="24"/>
        </w:rPr>
        <w:t>BJS</w:t>
      </w:r>
      <w:r w:rsidR="00CF44FB" w:rsidRPr="000000EB">
        <w:rPr>
          <w:rFonts w:ascii="Calibri" w:hAnsi="Calibri" w:cs="Arial"/>
          <w:sz w:val="24"/>
          <w:szCs w:val="24"/>
        </w:rPr>
        <w:t xml:space="preserve"> releases a </w:t>
      </w:r>
      <w:r w:rsidR="00B91269" w:rsidRPr="000000EB">
        <w:rPr>
          <w:rFonts w:ascii="Calibri" w:hAnsi="Calibri" w:cs="Arial"/>
          <w:sz w:val="24"/>
          <w:szCs w:val="24"/>
        </w:rPr>
        <w:t>bulletin</w:t>
      </w:r>
      <w:r w:rsidR="003704EE" w:rsidRPr="000000EB">
        <w:rPr>
          <w:rFonts w:ascii="Calibri" w:hAnsi="Calibri" w:cs="Arial"/>
          <w:sz w:val="24"/>
          <w:szCs w:val="24"/>
        </w:rPr>
        <w:t xml:space="preserve">, </w:t>
      </w:r>
      <w:r w:rsidR="003704EE" w:rsidRPr="000000EB">
        <w:rPr>
          <w:rFonts w:ascii="Calibri" w:hAnsi="Calibri" w:cs="Arial"/>
          <w:i/>
          <w:sz w:val="24"/>
          <w:szCs w:val="24"/>
        </w:rPr>
        <w:t>Criminal Victimization</w:t>
      </w:r>
      <w:r w:rsidR="003704EE" w:rsidRPr="000000EB">
        <w:rPr>
          <w:rFonts w:ascii="Calibri" w:hAnsi="Calibri" w:cs="Arial"/>
          <w:sz w:val="24"/>
          <w:szCs w:val="24"/>
        </w:rPr>
        <w:t>,</w:t>
      </w:r>
      <w:r w:rsidR="00CF44FB" w:rsidRPr="000000EB">
        <w:rPr>
          <w:rFonts w:ascii="Calibri" w:hAnsi="Calibri" w:cs="Arial"/>
          <w:sz w:val="24"/>
          <w:szCs w:val="24"/>
        </w:rPr>
        <w:t xml:space="preserve"> </w:t>
      </w:r>
      <w:r w:rsidR="003704EE" w:rsidRPr="000000EB">
        <w:rPr>
          <w:rFonts w:ascii="Calibri" w:hAnsi="Calibri" w:cs="Arial"/>
          <w:sz w:val="24"/>
          <w:szCs w:val="24"/>
        </w:rPr>
        <w:t>which provides</w:t>
      </w:r>
      <w:r w:rsidR="00CF44FB" w:rsidRPr="000000EB">
        <w:rPr>
          <w:rFonts w:ascii="Calibri" w:hAnsi="Calibri" w:cs="Arial"/>
          <w:sz w:val="24"/>
          <w:szCs w:val="24"/>
        </w:rPr>
        <w:t xml:space="preserve"> annual </w:t>
      </w:r>
      <w:r w:rsidR="00CB7FB0">
        <w:rPr>
          <w:rFonts w:ascii="Calibri" w:hAnsi="Calibri" w:cs="Arial"/>
          <w:sz w:val="24"/>
          <w:szCs w:val="24"/>
        </w:rPr>
        <w:t xml:space="preserve">national </w:t>
      </w:r>
      <w:r w:rsidR="00CF44FB" w:rsidRPr="000000EB">
        <w:rPr>
          <w:rFonts w:ascii="Calibri" w:hAnsi="Calibri" w:cs="Arial"/>
          <w:sz w:val="24"/>
          <w:szCs w:val="24"/>
        </w:rPr>
        <w:t xml:space="preserve">estimates from the </w:t>
      </w:r>
      <w:r w:rsidR="008A332D" w:rsidRPr="000000EB">
        <w:rPr>
          <w:rFonts w:ascii="Calibri" w:hAnsi="Calibri" w:cs="Arial"/>
          <w:sz w:val="24"/>
          <w:szCs w:val="24"/>
        </w:rPr>
        <w:t xml:space="preserve">preceding year of </w:t>
      </w:r>
      <w:r w:rsidR="00CF44FB" w:rsidRPr="000000EB">
        <w:rPr>
          <w:rFonts w:ascii="Calibri" w:hAnsi="Calibri" w:cs="Arial"/>
          <w:sz w:val="24"/>
          <w:szCs w:val="24"/>
        </w:rPr>
        <w:t>survey</w:t>
      </w:r>
      <w:r w:rsidR="008A332D" w:rsidRPr="000000EB">
        <w:rPr>
          <w:rFonts w:ascii="Calibri" w:hAnsi="Calibri" w:cs="Arial"/>
          <w:sz w:val="24"/>
          <w:szCs w:val="24"/>
        </w:rPr>
        <w:t xml:space="preserve"> data collection</w:t>
      </w:r>
      <w:r w:rsidR="00CF44FB" w:rsidRPr="000000EB">
        <w:rPr>
          <w:rFonts w:ascii="Calibri" w:hAnsi="Calibri" w:cs="Arial"/>
          <w:sz w:val="24"/>
          <w:szCs w:val="24"/>
        </w:rPr>
        <w:t>, including rates and counts of violent and property crime, characteristics of crimes and victims, year-to-year change estimates and trend estimates.</w:t>
      </w:r>
      <w:r w:rsidR="00AF0F18" w:rsidRPr="000000EB">
        <w:rPr>
          <w:rFonts w:ascii="Calibri" w:hAnsi="Calibri" w:cs="Arial"/>
          <w:sz w:val="24"/>
          <w:szCs w:val="24"/>
        </w:rPr>
        <w:t xml:space="preserve"> Simultaneous </w:t>
      </w:r>
      <w:r w:rsidR="00B0306E" w:rsidRPr="000000EB">
        <w:rPr>
          <w:rFonts w:ascii="Calibri" w:hAnsi="Calibri" w:cs="Arial"/>
          <w:sz w:val="24"/>
          <w:szCs w:val="24"/>
        </w:rPr>
        <w:t xml:space="preserve">with </w:t>
      </w:r>
      <w:r w:rsidR="00AF0F18" w:rsidRPr="000000EB">
        <w:rPr>
          <w:rFonts w:ascii="Calibri" w:hAnsi="Calibri" w:cs="Arial"/>
          <w:sz w:val="24"/>
          <w:szCs w:val="24"/>
        </w:rPr>
        <w:t xml:space="preserve">the release of the annual </w:t>
      </w:r>
      <w:r w:rsidR="00AF0F18" w:rsidRPr="000000EB">
        <w:rPr>
          <w:rFonts w:ascii="Calibri" w:hAnsi="Calibri" w:cs="Arial"/>
          <w:i/>
          <w:sz w:val="24"/>
          <w:szCs w:val="24"/>
        </w:rPr>
        <w:t>Criminal Victimization</w:t>
      </w:r>
      <w:r w:rsidR="00AF0F18" w:rsidRPr="000000EB">
        <w:rPr>
          <w:rFonts w:ascii="Calibri" w:hAnsi="Calibri" w:cs="Arial"/>
          <w:sz w:val="24"/>
          <w:szCs w:val="24"/>
        </w:rPr>
        <w:t xml:space="preserve"> bulletin, the online National Victimization Analysis Tool (NVAT) is updated with the most recent year of data. </w:t>
      </w:r>
    </w:p>
    <w:p w:rsidR="00CF44FB" w:rsidRPr="000000EB" w:rsidRDefault="00CF44FB" w:rsidP="006F7B4C">
      <w:pPr>
        <w:rPr>
          <w:rFonts w:ascii="Calibri" w:hAnsi="Calibri" w:cs="Arial"/>
          <w:sz w:val="24"/>
          <w:szCs w:val="24"/>
        </w:rPr>
      </w:pPr>
    </w:p>
    <w:p w:rsidR="0041718D" w:rsidRPr="000000EB" w:rsidRDefault="008A332D" w:rsidP="006F7B4C">
      <w:pPr>
        <w:ind w:left="720"/>
        <w:rPr>
          <w:rFonts w:ascii="Calibri" w:hAnsi="Calibri" w:cs="Arial"/>
          <w:sz w:val="24"/>
          <w:szCs w:val="24"/>
        </w:rPr>
      </w:pPr>
      <w:r w:rsidRPr="000000EB">
        <w:rPr>
          <w:rFonts w:ascii="Calibri" w:hAnsi="Calibri" w:cs="Arial"/>
          <w:sz w:val="24"/>
          <w:szCs w:val="24"/>
        </w:rPr>
        <w:t xml:space="preserve">Once the data are released by BJS through </w:t>
      </w:r>
      <w:r w:rsidRPr="000000EB">
        <w:rPr>
          <w:rFonts w:ascii="Calibri" w:hAnsi="Calibri" w:cs="Arial"/>
          <w:i/>
          <w:sz w:val="24"/>
          <w:szCs w:val="24"/>
        </w:rPr>
        <w:t xml:space="preserve">Criminal Victimization </w:t>
      </w:r>
      <w:r w:rsidRPr="000000EB">
        <w:rPr>
          <w:rFonts w:ascii="Calibri" w:hAnsi="Calibri" w:cs="Arial"/>
          <w:sz w:val="24"/>
          <w:szCs w:val="24"/>
        </w:rPr>
        <w:t>and the NVAT, the data are archived at the Inter-university Consortium for Political and Social Research (ICPSR) at the University of Michigan.  Researchers can download public use files of the NCVS data and codebooks to conduct their own analyses.  The public use files are produced by the Census Bureau</w:t>
      </w:r>
      <w:r w:rsidR="00B91269" w:rsidRPr="000000EB">
        <w:rPr>
          <w:rFonts w:ascii="Calibri" w:hAnsi="Calibri" w:cs="Arial"/>
          <w:sz w:val="24"/>
          <w:szCs w:val="24"/>
        </w:rPr>
        <w:t xml:space="preserve"> and ICPSR</w:t>
      </w:r>
      <w:r w:rsidRPr="000000EB">
        <w:rPr>
          <w:rFonts w:ascii="Calibri" w:hAnsi="Calibri" w:cs="Arial"/>
          <w:sz w:val="24"/>
          <w:szCs w:val="24"/>
        </w:rPr>
        <w:t>. All information that might identify individual respondents is removed fro</w:t>
      </w:r>
      <w:r w:rsidR="0041718D" w:rsidRPr="000000EB">
        <w:rPr>
          <w:rFonts w:ascii="Calibri" w:hAnsi="Calibri" w:cs="Arial"/>
          <w:sz w:val="24"/>
          <w:szCs w:val="24"/>
        </w:rPr>
        <w:t xml:space="preserve">m the files </w:t>
      </w:r>
      <w:r w:rsidR="00B91269" w:rsidRPr="000000EB">
        <w:rPr>
          <w:rFonts w:ascii="Calibri" w:hAnsi="Calibri" w:cs="Arial"/>
          <w:sz w:val="24"/>
          <w:szCs w:val="24"/>
        </w:rPr>
        <w:t xml:space="preserve">prior to being </w:t>
      </w:r>
      <w:r w:rsidR="0041718D" w:rsidRPr="000000EB">
        <w:rPr>
          <w:rFonts w:ascii="Calibri" w:hAnsi="Calibri" w:cs="Arial"/>
          <w:sz w:val="24"/>
          <w:szCs w:val="24"/>
        </w:rPr>
        <w:t xml:space="preserve">sent to the ICPSR. </w:t>
      </w:r>
    </w:p>
    <w:p w:rsidR="0041718D" w:rsidRPr="000000EB" w:rsidRDefault="0041718D" w:rsidP="006F7B4C">
      <w:pPr>
        <w:ind w:left="720"/>
        <w:rPr>
          <w:rFonts w:ascii="Calibri" w:hAnsi="Calibri" w:cs="Arial"/>
          <w:sz w:val="24"/>
          <w:szCs w:val="24"/>
        </w:rPr>
      </w:pPr>
    </w:p>
    <w:p w:rsidR="008A332D" w:rsidRPr="000000EB" w:rsidRDefault="00055B19" w:rsidP="006F7B4C">
      <w:pPr>
        <w:ind w:left="720"/>
        <w:rPr>
          <w:rFonts w:ascii="Calibri" w:hAnsi="Calibri" w:cs="Arial"/>
          <w:sz w:val="24"/>
          <w:szCs w:val="24"/>
        </w:rPr>
      </w:pPr>
      <w:r>
        <w:rPr>
          <w:rFonts w:ascii="Calibri" w:hAnsi="Calibri" w:cs="Arial"/>
          <w:sz w:val="24"/>
          <w:szCs w:val="24"/>
        </w:rPr>
        <w:t>T</w:t>
      </w:r>
      <w:r w:rsidR="0041718D" w:rsidRPr="000000EB">
        <w:rPr>
          <w:rFonts w:ascii="Calibri" w:hAnsi="Calibri" w:cs="Arial"/>
          <w:sz w:val="24"/>
          <w:szCs w:val="24"/>
        </w:rPr>
        <w:t>o further enhance the utility of the data, in</w:t>
      </w:r>
      <w:r w:rsidR="008A332D" w:rsidRPr="000000EB">
        <w:rPr>
          <w:rFonts w:ascii="Calibri" w:hAnsi="Calibri" w:cs="Arial"/>
          <w:sz w:val="24"/>
          <w:szCs w:val="24"/>
        </w:rPr>
        <w:t xml:space="preserve"> addition to the public use files</w:t>
      </w:r>
      <w:r w:rsidR="007548ED" w:rsidRPr="000000EB">
        <w:rPr>
          <w:rFonts w:ascii="Calibri" w:hAnsi="Calibri" w:cs="Arial"/>
          <w:sz w:val="24"/>
          <w:szCs w:val="24"/>
        </w:rPr>
        <w:t xml:space="preserve"> housed at ICPSR</w:t>
      </w:r>
      <w:r w:rsidR="008A332D" w:rsidRPr="000000EB">
        <w:rPr>
          <w:rFonts w:ascii="Calibri" w:hAnsi="Calibri" w:cs="Arial"/>
          <w:sz w:val="24"/>
          <w:szCs w:val="24"/>
        </w:rPr>
        <w:t xml:space="preserve">, the geographically identified </w:t>
      </w:r>
      <w:r w:rsidR="004822C1" w:rsidRPr="000000EB">
        <w:rPr>
          <w:rFonts w:ascii="Calibri" w:hAnsi="Calibri" w:cs="Arial"/>
          <w:sz w:val="24"/>
          <w:szCs w:val="24"/>
        </w:rPr>
        <w:t xml:space="preserve">NCVS </w:t>
      </w:r>
      <w:r w:rsidR="008A332D" w:rsidRPr="000000EB">
        <w:rPr>
          <w:rFonts w:ascii="Calibri" w:hAnsi="Calibri" w:cs="Arial"/>
          <w:sz w:val="24"/>
          <w:szCs w:val="24"/>
        </w:rPr>
        <w:t xml:space="preserve">files are also </w:t>
      </w:r>
      <w:r w:rsidR="0041718D" w:rsidRPr="000000EB">
        <w:rPr>
          <w:rFonts w:ascii="Calibri" w:hAnsi="Calibri" w:cs="Arial"/>
          <w:sz w:val="24"/>
          <w:szCs w:val="24"/>
        </w:rPr>
        <w:t xml:space="preserve">now </w:t>
      </w:r>
      <w:r w:rsidR="00B0306E" w:rsidRPr="000000EB">
        <w:rPr>
          <w:rFonts w:ascii="Calibri" w:hAnsi="Calibri" w:cs="Arial"/>
          <w:sz w:val="24"/>
          <w:szCs w:val="24"/>
        </w:rPr>
        <w:t>available in</w:t>
      </w:r>
      <w:r w:rsidR="008A332D" w:rsidRPr="000000EB">
        <w:rPr>
          <w:rFonts w:ascii="Calibri" w:hAnsi="Calibri" w:cs="Arial"/>
          <w:sz w:val="24"/>
          <w:szCs w:val="24"/>
        </w:rPr>
        <w:t xml:space="preserve"> </w:t>
      </w:r>
      <w:r w:rsidR="00EC027B">
        <w:rPr>
          <w:rFonts w:ascii="Calibri" w:hAnsi="Calibri" w:cs="Arial"/>
          <w:sz w:val="24"/>
          <w:szCs w:val="24"/>
        </w:rPr>
        <w:t>the Census Bureau</w:t>
      </w:r>
      <w:r w:rsidR="007548ED" w:rsidRPr="000000EB">
        <w:rPr>
          <w:rFonts w:ascii="Calibri" w:hAnsi="Calibri" w:cs="Arial"/>
          <w:sz w:val="24"/>
          <w:szCs w:val="24"/>
        </w:rPr>
        <w:t xml:space="preserve"> secure </w:t>
      </w:r>
      <w:r w:rsidR="00EC027B">
        <w:rPr>
          <w:rFonts w:ascii="Calibri" w:hAnsi="Calibri" w:cs="Arial"/>
          <w:sz w:val="24"/>
          <w:szCs w:val="24"/>
        </w:rPr>
        <w:t xml:space="preserve">federal statistical </w:t>
      </w:r>
      <w:r w:rsidR="004822C1" w:rsidRPr="000000EB">
        <w:rPr>
          <w:rFonts w:ascii="Calibri" w:hAnsi="Calibri" w:cs="Arial"/>
          <w:sz w:val="24"/>
          <w:szCs w:val="24"/>
        </w:rPr>
        <w:t xml:space="preserve">research </w:t>
      </w:r>
      <w:r w:rsidR="007548ED" w:rsidRPr="000000EB">
        <w:rPr>
          <w:rFonts w:ascii="Calibri" w:hAnsi="Calibri" w:cs="Arial"/>
          <w:sz w:val="24"/>
          <w:szCs w:val="24"/>
        </w:rPr>
        <w:t>data center</w:t>
      </w:r>
      <w:r w:rsidR="00EC027B">
        <w:rPr>
          <w:rFonts w:ascii="Calibri" w:hAnsi="Calibri" w:cs="Arial"/>
          <w:sz w:val="24"/>
          <w:szCs w:val="24"/>
        </w:rPr>
        <w:t>s</w:t>
      </w:r>
      <w:r w:rsidR="007548ED" w:rsidRPr="000000EB">
        <w:rPr>
          <w:rFonts w:ascii="Calibri" w:hAnsi="Calibri" w:cs="Arial"/>
          <w:sz w:val="24"/>
          <w:szCs w:val="24"/>
        </w:rPr>
        <w:t xml:space="preserve"> </w:t>
      </w:r>
      <w:r w:rsidR="004822C1" w:rsidRPr="000000EB">
        <w:rPr>
          <w:rFonts w:ascii="Calibri" w:hAnsi="Calibri" w:cs="Arial"/>
          <w:sz w:val="24"/>
          <w:szCs w:val="24"/>
        </w:rPr>
        <w:t>(</w:t>
      </w:r>
      <w:r w:rsidR="00EC027B">
        <w:rPr>
          <w:rFonts w:ascii="Calibri" w:hAnsi="Calibri" w:cs="Arial"/>
          <w:sz w:val="24"/>
          <w:szCs w:val="24"/>
        </w:rPr>
        <w:t>FS</w:t>
      </w:r>
      <w:r w:rsidR="004822C1" w:rsidRPr="000000EB">
        <w:rPr>
          <w:rFonts w:ascii="Calibri" w:hAnsi="Calibri" w:cs="Arial"/>
          <w:sz w:val="24"/>
          <w:szCs w:val="24"/>
        </w:rPr>
        <w:t>RDC)</w:t>
      </w:r>
      <w:r w:rsidR="0041718D" w:rsidRPr="000000EB">
        <w:rPr>
          <w:rFonts w:ascii="Calibri" w:hAnsi="Calibri" w:cs="Arial"/>
          <w:sz w:val="24"/>
          <w:szCs w:val="24"/>
        </w:rPr>
        <w:t xml:space="preserve">. The </w:t>
      </w:r>
      <w:r w:rsidR="00EC027B">
        <w:rPr>
          <w:rFonts w:ascii="Calibri" w:hAnsi="Calibri" w:cs="Arial"/>
          <w:sz w:val="24"/>
          <w:szCs w:val="24"/>
        </w:rPr>
        <w:t>FS</w:t>
      </w:r>
      <w:r w:rsidR="0041718D" w:rsidRPr="000000EB">
        <w:rPr>
          <w:rFonts w:ascii="Calibri" w:hAnsi="Calibri" w:cs="Arial"/>
          <w:sz w:val="24"/>
          <w:szCs w:val="24"/>
        </w:rPr>
        <w:t xml:space="preserve">RDC files </w:t>
      </w:r>
      <w:r w:rsidR="007548ED" w:rsidRPr="000000EB">
        <w:rPr>
          <w:rFonts w:ascii="Calibri" w:hAnsi="Calibri" w:cs="Arial"/>
          <w:sz w:val="24"/>
          <w:szCs w:val="24"/>
        </w:rPr>
        <w:t xml:space="preserve">can be accessed by researchers who submit a proposal for the research they plan to conduct using the data and agree to all confidentiality and protected use constraints. </w:t>
      </w:r>
      <w:r w:rsidR="004822C1" w:rsidRPr="000000EB">
        <w:rPr>
          <w:rFonts w:ascii="Calibri" w:hAnsi="Calibri" w:cs="Arial"/>
          <w:sz w:val="24"/>
          <w:szCs w:val="24"/>
        </w:rPr>
        <w:t xml:space="preserve">Data are available through ICPSR and the </w:t>
      </w:r>
      <w:r w:rsidR="00EC027B">
        <w:rPr>
          <w:rFonts w:ascii="Calibri" w:hAnsi="Calibri" w:cs="Arial"/>
          <w:sz w:val="24"/>
          <w:szCs w:val="24"/>
        </w:rPr>
        <w:t>FS</w:t>
      </w:r>
      <w:r w:rsidR="004822C1" w:rsidRPr="000000EB">
        <w:rPr>
          <w:rFonts w:ascii="Calibri" w:hAnsi="Calibri" w:cs="Arial"/>
          <w:sz w:val="24"/>
          <w:szCs w:val="24"/>
        </w:rPr>
        <w:t xml:space="preserve">RDCs by the fall of the year following collection. </w:t>
      </w:r>
    </w:p>
    <w:p w:rsidR="008A332D" w:rsidRPr="000000EB" w:rsidRDefault="008A332D" w:rsidP="006F7B4C">
      <w:pPr>
        <w:ind w:left="720"/>
        <w:rPr>
          <w:rFonts w:ascii="Calibri" w:hAnsi="Calibri" w:cs="Arial"/>
          <w:sz w:val="24"/>
          <w:szCs w:val="24"/>
        </w:rPr>
      </w:pPr>
    </w:p>
    <w:p w:rsidR="00CF44FB" w:rsidRPr="000000EB" w:rsidRDefault="00C1460E" w:rsidP="006F7B4C">
      <w:pPr>
        <w:ind w:left="720"/>
        <w:rPr>
          <w:rFonts w:ascii="Calibri" w:hAnsi="Calibri" w:cs="Arial"/>
          <w:sz w:val="24"/>
          <w:szCs w:val="24"/>
        </w:rPr>
      </w:pPr>
      <w:r>
        <w:rPr>
          <w:rFonts w:ascii="Calibri" w:hAnsi="Calibri" w:cs="Arial"/>
          <w:sz w:val="24"/>
          <w:szCs w:val="24"/>
        </w:rPr>
        <w:t xml:space="preserve">As </w:t>
      </w:r>
      <w:r w:rsidR="00A8406D">
        <w:rPr>
          <w:rFonts w:ascii="Calibri" w:hAnsi="Calibri" w:cs="Arial"/>
          <w:sz w:val="24"/>
          <w:szCs w:val="24"/>
        </w:rPr>
        <w:t xml:space="preserve">noted </w:t>
      </w:r>
      <w:r>
        <w:rPr>
          <w:rFonts w:ascii="Calibri" w:hAnsi="Calibri" w:cs="Arial"/>
          <w:sz w:val="24"/>
          <w:szCs w:val="24"/>
        </w:rPr>
        <w:t>above, d</w:t>
      </w:r>
      <w:r w:rsidR="004822C1" w:rsidRPr="000000EB">
        <w:rPr>
          <w:rFonts w:ascii="Calibri" w:hAnsi="Calibri" w:cs="Arial"/>
          <w:sz w:val="24"/>
          <w:szCs w:val="24"/>
        </w:rPr>
        <w:t>uring the course of each year,</w:t>
      </w:r>
      <w:r w:rsidR="00CF44FB" w:rsidRPr="000000EB">
        <w:rPr>
          <w:rFonts w:ascii="Calibri" w:hAnsi="Calibri" w:cs="Arial"/>
          <w:sz w:val="24"/>
          <w:szCs w:val="24"/>
        </w:rPr>
        <w:t xml:space="preserve"> </w:t>
      </w:r>
      <w:r w:rsidR="00E22984" w:rsidRPr="000000EB">
        <w:rPr>
          <w:rFonts w:ascii="Calibri" w:hAnsi="Calibri" w:cs="Arial"/>
          <w:sz w:val="24"/>
          <w:szCs w:val="24"/>
        </w:rPr>
        <w:t>BJS</w:t>
      </w:r>
      <w:r w:rsidR="00CF44FB" w:rsidRPr="000000EB">
        <w:rPr>
          <w:rFonts w:ascii="Calibri" w:hAnsi="Calibri" w:cs="Arial"/>
          <w:sz w:val="24"/>
          <w:szCs w:val="24"/>
        </w:rPr>
        <w:t xml:space="preserve"> </w:t>
      </w:r>
      <w:r w:rsidR="004822C1" w:rsidRPr="000000EB">
        <w:rPr>
          <w:rFonts w:ascii="Calibri" w:hAnsi="Calibri" w:cs="Arial"/>
          <w:sz w:val="24"/>
          <w:szCs w:val="24"/>
        </w:rPr>
        <w:t xml:space="preserve">also </w:t>
      </w:r>
      <w:r w:rsidR="00CF44FB" w:rsidRPr="000000EB">
        <w:rPr>
          <w:rFonts w:ascii="Calibri" w:hAnsi="Calibri" w:cs="Arial"/>
          <w:sz w:val="24"/>
          <w:szCs w:val="24"/>
        </w:rPr>
        <w:t xml:space="preserve">releases </w:t>
      </w:r>
      <w:r>
        <w:rPr>
          <w:rFonts w:ascii="Calibri" w:hAnsi="Calibri" w:cs="Arial"/>
          <w:sz w:val="24"/>
          <w:szCs w:val="24"/>
        </w:rPr>
        <w:t>several</w:t>
      </w:r>
      <w:r w:rsidR="00AF0F18" w:rsidRPr="000000EB">
        <w:rPr>
          <w:rFonts w:ascii="Calibri" w:hAnsi="Calibri" w:cs="Arial"/>
          <w:sz w:val="24"/>
          <w:szCs w:val="24"/>
        </w:rPr>
        <w:t xml:space="preserve"> </w:t>
      </w:r>
      <w:r w:rsidR="00CF44FB" w:rsidRPr="000000EB">
        <w:rPr>
          <w:rFonts w:ascii="Calibri" w:hAnsi="Calibri" w:cs="Arial"/>
          <w:sz w:val="24"/>
          <w:szCs w:val="24"/>
        </w:rPr>
        <w:t xml:space="preserve">in-depth analytical </w:t>
      </w:r>
      <w:r w:rsidR="00AF0F18" w:rsidRPr="000000EB">
        <w:rPr>
          <w:rFonts w:ascii="Calibri" w:hAnsi="Calibri" w:cs="Arial"/>
          <w:sz w:val="24"/>
          <w:szCs w:val="24"/>
        </w:rPr>
        <w:t>reports</w:t>
      </w:r>
      <w:r w:rsidR="00CF44FB" w:rsidRPr="000000EB">
        <w:rPr>
          <w:rFonts w:ascii="Calibri" w:hAnsi="Calibri" w:cs="Arial"/>
          <w:sz w:val="24"/>
          <w:szCs w:val="24"/>
        </w:rPr>
        <w:t xml:space="preserve"> and other papers that provide information on some of the broad range of topics covered in the survey.  These reports </w:t>
      </w:r>
      <w:r w:rsidR="0041718D" w:rsidRPr="000000EB">
        <w:rPr>
          <w:rFonts w:ascii="Calibri" w:hAnsi="Calibri" w:cs="Arial"/>
          <w:sz w:val="24"/>
          <w:szCs w:val="24"/>
        </w:rPr>
        <w:t xml:space="preserve">reflect </w:t>
      </w:r>
      <w:r w:rsidR="00CF17C4" w:rsidRPr="000000EB">
        <w:rPr>
          <w:rFonts w:ascii="Calibri" w:hAnsi="Calibri" w:cs="Arial"/>
          <w:sz w:val="24"/>
          <w:szCs w:val="24"/>
        </w:rPr>
        <w:t xml:space="preserve">findings from </w:t>
      </w:r>
      <w:r w:rsidR="0041718D" w:rsidRPr="000000EB">
        <w:rPr>
          <w:rFonts w:ascii="Calibri" w:hAnsi="Calibri" w:cs="Arial"/>
          <w:sz w:val="24"/>
          <w:szCs w:val="24"/>
        </w:rPr>
        <w:t>redesign work regarding topi</w:t>
      </w:r>
      <w:r w:rsidR="00CF17C4" w:rsidRPr="000000EB">
        <w:rPr>
          <w:rFonts w:ascii="Calibri" w:hAnsi="Calibri" w:cs="Arial"/>
          <w:sz w:val="24"/>
          <w:szCs w:val="24"/>
        </w:rPr>
        <w:t>cs of interest to the public, as well as</w:t>
      </w:r>
      <w:r w:rsidR="0041718D" w:rsidRPr="000000EB">
        <w:rPr>
          <w:rFonts w:ascii="Calibri" w:hAnsi="Calibri" w:cs="Arial"/>
          <w:sz w:val="24"/>
          <w:szCs w:val="24"/>
        </w:rPr>
        <w:t xml:space="preserve"> </w:t>
      </w:r>
      <w:r w:rsidR="00CF17C4" w:rsidRPr="000000EB">
        <w:rPr>
          <w:rFonts w:ascii="Calibri" w:hAnsi="Calibri" w:cs="Arial"/>
          <w:sz w:val="24"/>
          <w:szCs w:val="24"/>
        </w:rPr>
        <w:t>methodological reports on improving the usability and reliability of victimization estimates without increasing survey costs. T</w:t>
      </w:r>
      <w:r w:rsidR="00CF44FB" w:rsidRPr="000000EB">
        <w:rPr>
          <w:rFonts w:ascii="Calibri" w:hAnsi="Calibri" w:cs="Arial"/>
          <w:sz w:val="24"/>
          <w:szCs w:val="24"/>
        </w:rPr>
        <w:t xml:space="preserve">opics </w:t>
      </w:r>
      <w:r w:rsidR="00CF17C4" w:rsidRPr="000000EB">
        <w:rPr>
          <w:rFonts w:ascii="Calibri" w:hAnsi="Calibri" w:cs="Arial"/>
          <w:sz w:val="24"/>
          <w:szCs w:val="24"/>
        </w:rPr>
        <w:t>include</w:t>
      </w:r>
      <w:r w:rsidR="00B7586C" w:rsidRPr="000000EB">
        <w:rPr>
          <w:rFonts w:ascii="Calibri" w:hAnsi="Calibri" w:cs="Arial"/>
          <w:sz w:val="24"/>
          <w:szCs w:val="24"/>
        </w:rPr>
        <w:t xml:space="preserve"> </w:t>
      </w:r>
      <w:r w:rsidR="00CF17C4" w:rsidRPr="000000EB">
        <w:rPr>
          <w:rFonts w:ascii="Calibri" w:hAnsi="Calibri" w:cs="Arial"/>
          <w:sz w:val="24"/>
          <w:szCs w:val="24"/>
        </w:rPr>
        <w:t>series or repeat victimization; patterns and trends in victim and offender race; harm caused by violent c</w:t>
      </w:r>
      <w:r w:rsidR="00B7586C" w:rsidRPr="000000EB">
        <w:rPr>
          <w:rFonts w:ascii="Calibri" w:hAnsi="Calibri" w:cs="Arial"/>
          <w:sz w:val="24"/>
          <w:szCs w:val="24"/>
        </w:rPr>
        <w:t>rime; intimate partner violence;</w:t>
      </w:r>
      <w:r w:rsidR="00CF44FB" w:rsidRPr="000000EB">
        <w:rPr>
          <w:rFonts w:ascii="Calibri" w:hAnsi="Calibri" w:cs="Arial"/>
          <w:sz w:val="24"/>
          <w:szCs w:val="24"/>
        </w:rPr>
        <w:t xml:space="preserve"> age pa</w:t>
      </w:r>
      <w:r w:rsidR="00CF17C4" w:rsidRPr="000000EB">
        <w:rPr>
          <w:rFonts w:ascii="Calibri" w:hAnsi="Calibri" w:cs="Arial"/>
          <w:sz w:val="24"/>
          <w:szCs w:val="24"/>
        </w:rPr>
        <w:t>tterns in violent victimization; Hispanic victims of crime;</w:t>
      </w:r>
      <w:r w:rsidR="00CF44FB" w:rsidRPr="000000EB">
        <w:rPr>
          <w:rFonts w:ascii="Calibri" w:hAnsi="Calibri" w:cs="Arial"/>
          <w:sz w:val="24"/>
          <w:szCs w:val="24"/>
        </w:rPr>
        <w:t xml:space="preserve"> </w:t>
      </w:r>
      <w:r w:rsidR="00AF0F18" w:rsidRPr="000000EB">
        <w:rPr>
          <w:rFonts w:ascii="Calibri" w:hAnsi="Calibri" w:cs="Arial"/>
          <w:sz w:val="24"/>
          <w:szCs w:val="24"/>
        </w:rPr>
        <w:t>victimization of persons with disabilities</w:t>
      </w:r>
      <w:r w:rsidR="00CF17C4" w:rsidRPr="000000EB">
        <w:rPr>
          <w:rFonts w:ascii="Calibri" w:hAnsi="Calibri" w:cs="Arial"/>
          <w:sz w:val="24"/>
          <w:szCs w:val="24"/>
        </w:rPr>
        <w:t xml:space="preserve">; </w:t>
      </w:r>
      <w:r w:rsidR="00A8406D">
        <w:rPr>
          <w:rFonts w:ascii="Calibri" w:hAnsi="Calibri" w:cs="Arial"/>
          <w:sz w:val="24"/>
          <w:szCs w:val="24"/>
        </w:rPr>
        <w:t xml:space="preserve">long-term trends in victimization; </w:t>
      </w:r>
      <w:r w:rsidR="00CF17C4" w:rsidRPr="000000EB">
        <w:rPr>
          <w:rFonts w:ascii="Calibri" w:hAnsi="Calibri" w:cs="Arial"/>
          <w:sz w:val="24"/>
          <w:szCs w:val="24"/>
        </w:rPr>
        <w:t>workplace violence;</w:t>
      </w:r>
      <w:r w:rsidR="00AF0F18" w:rsidRPr="000000EB">
        <w:rPr>
          <w:rFonts w:ascii="Calibri" w:hAnsi="Calibri" w:cs="Arial"/>
          <w:sz w:val="24"/>
          <w:szCs w:val="24"/>
        </w:rPr>
        <w:t xml:space="preserve"> hate </w:t>
      </w:r>
      <w:r w:rsidR="00CF17C4" w:rsidRPr="000000EB">
        <w:rPr>
          <w:rFonts w:ascii="Calibri" w:hAnsi="Calibri" w:cs="Arial"/>
          <w:sz w:val="24"/>
          <w:szCs w:val="24"/>
        </w:rPr>
        <w:t>crime; rape and sexual assault; criminal victimization by place;</w:t>
      </w:r>
      <w:r w:rsidR="00AF0F18" w:rsidRPr="000000EB">
        <w:rPr>
          <w:rFonts w:ascii="Calibri" w:hAnsi="Calibri" w:cs="Arial"/>
          <w:sz w:val="24"/>
          <w:szCs w:val="24"/>
        </w:rPr>
        <w:t xml:space="preserve"> </w:t>
      </w:r>
      <w:r w:rsidR="00A8406D">
        <w:rPr>
          <w:rFonts w:ascii="Calibri" w:hAnsi="Calibri" w:cs="Arial"/>
          <w:sz w:val="24"/>
          <w:szCs w:val="24"/>
        </w:rPr>
        <w:t xml:space="preserve">help-seeking patterns among victims; </w:t>
      </w:r>
      <w:r w:rsidR="008A332D" w:rsidRPr="000000EB">
        <w:rPr>
          <w:rFonts w:ascii="Calibri" w:hAnsi="Calibri" w:cs="Arial"/>
          <w:sz w:val="24"/>
          <w:szCs w:val="24"/>
        </w:rPr>
        <w:t xml:space="preserve">and police response and follow-up activities. </w:t>
      </w:r>
      <w:r w:rsidR="0058431A" w:rsidRPr="000000EB">
        <w:rPr>
          <w:rFonts w:ascii="Calibri" w:hAnsi="Calibri" w:cs="Arial"/>
          <w:sz w:val="24"/>
          <w:szCs w:val="24"/>
        </w:rPr>
        <w:t xml:space="preserve">See the </w:t>
      </w:r>
      <w:r w:rsidR="0058431A" w:rsidRPr="006177B0">
        <w:rPr>
          <w:rFonts w:ascii="Calibri" w:hAnsi="Calibri" w:cs="Arial"/>
          <w:sz w:val="24"/>
          <w:szCs w:val="24"/>
        </w:rPr>
        <w:t>specific list of planned topical reports under section 2. Needs and Uses.</w:t>
      </w:r>
    </w:p>
    <w:p w:rsidR="00CF44FB" w:rsidRPr="000000EB" w:rsidRDefault="00CF44FB" w:rsidP="006F7B4C">
      <w:pPr>
        <w:ind w:left="630"/>
        <w:rPr>
          <w:rFonts w:ascii="Calibri" w:hAnsi="Calibri" w:cs="Arial"/>
          <w:i/>
          <w:sz w:val="24"/>
          <w:szCs w:val="24"/>
        </w:rPr>
      </w:pP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0000EB">
        <w:rPr>
          <w:rFonts w:ascii="Calibri" w:hAnsi="Calibri" w:cs="Arial"/>
          <w:b/>
          <w:sz w:val="24"/>
          <w:szCs w:val="24"/>
        </w:rPr>
        <w:tab/>
      </w:r>
      <w:r w:rsidRPr="000000EB">
        <w:rPr>
          <w:rFonts w:ascii="Calibri" w:hAnsi="Calibri" w:cs="Arial"/>
          <w:b/>
          <w:sz w:val="24"/>
          <w:szCs w:val="24"/>
        </w:rPr>
        <w:tab/>
      </w:r>
      <w:r w:rsidRPr="000000EB">
        <w:rPr>
          <w:rFonts w:ascii="Calibri" w:hAnsi="Calibri" w:cs="Arial"/>
          <w:b/>
          <w:sz w:val="24"/>
          <w:szCs w:val="24"/>
        </w:rPr>
        <w:tab/>
        <w:t>17</w:t>
      </w:r>
      <w:r w:rsidRPr="007D4260">
        <w:rPr>
          <w:rFonts w:ascii="Calibri" w:hAnsi="Calibri" w:cs="Arial"/>
          <w:b/>
          <w:sz w:val="24"/>
          <w:szCs w:val="24"/>
        </w:rPr>
        <w:t>.</w:t>
      </w:r>
      <w:r w:rsidR="008B24E6" w:rsidRPr="007D4260">
        <w:rPr>
          <w:rFonts w:ascii="Calibri" w:hAnsi="Calibri" w:cs="Arial"/>
          <w:b/>
          <w:sz w:val="24"/>
          <w:szCs w:val="24"/>
        </w:rPr>
        <w:t xml:space="preserve">  </w:t>
      </w:r>
      <w:r w:rsidR="002E73FC">
        <w:rPr>
          <w:rFonts w:ascii="Calibri" w:hAnsi="Calibri" w:cs="Arial"/>
          <w:b/>
          <w:sz w:val="24"/>
          <w:szCs w:val="24"/>
        </w:rPr>
        <w:tab/>
      </w:r>
      <w:r w:rsidR="008A4344">
        <w:rPr>
          <w:rFonts w:ascii="Calibri" w:hAnsi="Calibri" w:cs="Arial"/>
          <w:b/>
          <w:sz w:val="24"/>
          <w:szCs w:val="24"/>
          <w:u w:val="single"/>
        </w:rPr>
        <w:t>Display of E</w:t>
      </w:r>
      <w:r w:rsidRPr="007D4260">
        <w:rPr>
          <w:rFonts w:ascii="Calibri" w:hAnsi="Calibri" w:cs="Arial"/>
          <w:b/>
          <w:sz w:val="24"/>
          <w:szCs w:val="24"/>
          <w:u w:val="single"/>
        </w:rPr>
        <w:t>xpiration Date</w:t>
      </w:r>
    </w:p>
    <w:p w:rsidR="006B0E2E" w:rsidRPr="000000EB" w:rsidRDefault="006B0E2E" w:rsidP="006B0E2E">
      <w:pPr>
        <w:widowControl/>
        <w:rPr>
          <w:rFonts w:ascii="Calibri" w:hAnsi="Calibri" w:cs="Arial"/>
          <w:sz w:val="24"/>
          <w:szCs w:val="24"/>
        </w:rPr>
      </w:pPr>
    </w:p>
    <w:p w:rsidR="00CF44FB" w:rsidRDefault="002E73FC" w:rsidP="002E73FC">
      <w:pPr>
        <w:widowControl/>
        <w:numPr>
          <w:ilvl w:val="12"/>
          <w:numId w:val="0"/>
        </w:numPr>
        <w:tabs>
          <w:tab w:val="left" w:pos="-720"/>
          <w:tab w:val="left" w:pos="90"/>
          <w:tab w:val="left" w:pos="180"/>
          <w:tab w:val="left" w:pos="270"/>
          <w:tab w:val="left" w:pos="630"/>
          <w:tab w:val="left" w:pos="810"/>
          <w:tab w:val="left" w:pos="900"/>
          <w:tab w:val="left" w:pos="99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540"/>
        <w:rPr>
          <w:rFonts w:ascii="Calibri" w:hAnsi="Calibri" w:cs="Arial"/>
          <w:sz w:val="24"/>
          <w:szCs w:val="24"/>
        </w:rPr>
      </w:pPr>
      <w:r>
        <w:rPr>
          <w:rFonts w:ascii="Calibri" w:hAnsi="Calibri" w:cs="Arial"/>
          <w:sz w:val="24"/>
          <w:szCs w:val="24"/>
        </w:rPr>
        <w:tab/>
        <w:t xml:space="preserve"> </w:t>
      </w:r>
      <w:r>
        <w:rPr>
          <w:rFonts w:ascii="Calibri" w:hAnsi="Calibri" w:cs="Arial"/>
          <w:sz w:val="24"/>
          <w:szCs w:val="24"/>
        </w:rPr>
        <w:tab/>
      </w:r>
      <w:r w:rsidRPr="002E73FC">
        <w:rPr>
          <w:rFonts w:ascii="Calibri" w:hAnsi="Calibri" w:cs="Arial"/>
          <w:sz w:val="24"/>
          <w:szCs w:val="24"/>
        </w:rPr>
        <w:t xml:space="preserve">The OMB control number and expiration date </w:t>
      </w:r>
      <w:r w:rsidR="00EC027B">
        <w:rPr>
          <w:rFonts w:ascii="Calibri" w:hAnsi="Calibri" w:cs="Arial"/>
          <w:sz w:val="24"/>
          <w:szCs w:val="24"/>
        </w:rPr>
        <w:t xml:space="preserve">are </w:t>
      </w:r>
      <w:r w:rsidRPr="002E73FC">
        <w:rPr>
          <w:rFonts w:ascii="Calibri" w:hAnsi="Calibri" w:cs="Arial"/>
          <w:sz w:val="24"/>
          <w:szCs w:val="24"/>
        </w:rPr>
        <w:t>provided to each household in sample as part of the introductory letter sent prior to each enumeration period as well as displayed on the CAPI laptop or read during the interview describing the nature of the survey and authority to collect the information. A screen shot is included in the attachments.</w:t>
      </w:r>
      <w:r w:rsidR="00E4412C">
        <w:rPr>
          <w:rFonts w:ascii="Calibri" w:hAnsi="Calibri" w:cs="Arial"/>
          <w:sz w:val="24"/>
          <w:szCs w:val="24"/>
        </w:rPr>
        <w:t xml:space="preserve"> OMB granted BJS two three-month waivers of the requirement to include the OMB expiration date on the NCVS questionnaire and pre-contact letter sent to sampled households in September, October, November, and December of 2018, and January and February of 2019. BJS will resume the inclusion of the expiration date as soon as it is practicable following OMB clearance.</w:t>
      </w:r>
    </w:p>
    <w:p w:rsidR="002E73FC" w:rsidRPr="000000EB" w:rsidRDefault="002E73FC" w:rsidP="002E73FC">
      <w:pPr>
        <w:widowControl/>
        <w:numPr>
          <w:ilvl w:val="12"/>
          <w:numId w:val="0"/>
        </w:numPr>
        <w:tabs>
          <w:tab w:val="left" w:pos="-720"/>
          <w:tab w:val="left" w:pos="90"/>
          <w:tab w:val="left" w:pos="180"/>
          <w:tab w:val="left" w:pos="270"/>
          <w:tab w:val="left" w:pos="630"/>
          <w:tab w:val="left" w:pos="810"/>
          <w:tab w:val="left" w:pos="900"/>
          <w:tab w:val="left" w:pos="99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540"/>
        <w:rPr>
          <w:rFonts w:ascii="Calibri" w:hAnsi="Calibri" w:cs="Arial"/>
          <w:sz w:val="24"/>
          <w:szCs w:val="24"/>
        </w:rPr>
      </w:pP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b/>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b/>
          <w:sz w:val="24"/>
          <w:szCs w:val="24"/>
        </w:rPr>
        <w:t>18.</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Exception to the Certificat</w:t>
      </w:r>
      <w:r w:rsidR="008A4344">
        <w:rPr>
          <w:rFonts w:ascii="Calibri" w:hAnsi="Calibri" w:cs="Arial"/>
          <w:b/>
          <w:sz w:val="24"/>
          <w:szCs w:val="24"/>
          <w:u w:val="single"/>
        </w:rPr>
        <w:t>e Statement</w:t>
      </w: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sz w:val="24"/>
          <w:szCs w:val="24"/>
        </w:rPr>
      </w:pP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t xml:space="preserve">N/A.  There are no exceptions to Certification for Paperwork Reduction Act </w:t>
      </w:r>
    </w:p>
    <w:p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t xml:space="preserve">Submissions. Collection is consistent with the guidelines in 5 CFR 1320.9.  </w:t>
      </w:r>
    </w:p>
    <w:p w:rsidR="00205B2C" w:rsidRPr="000000EB" w:rsidRDefault="00205B2C" w:rsidP="003B7BF3">
      <w:pPr>
        <w:pStyle w:val="BodyTextIndent"/>
        <w:numPr>
          <w:ilvl w:val="12"/>
          <w:numId w:val="0"/>
        </w:numPr>
        <w:tabs>
          <w:tab w:val="clear" w:pos="450"/>
          <w:tab w:val="clear" w:pos="810"/>
          <w:tab w:val="clear" w:pos="1440"/>
          <w:tab w:val="clear" w:pos="2160"/>
          <w:tab w:val="left" w:pos="1710"/>
        </w:tabs>
        <w:ind w:left="630"/>
        <w:jc w:val="both"/>
        <w:rPr>
          <w:rFonts w:ascii="Calibri" w:hAnsi="Calibri" w:cs="Arial"/>
        </w:rPr>
      </w:pPr>
    </w:p>
    <w:sectPr w:rsidR="00205B2C" w:rsidRPr="000000EB">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9E" w:rsidRDefault="005D409E">
      <w:r>
        <w:separator/>
      </w:r>
    </w:p>
  </w:endnote>
  <w:endnote w:type="continuationSeparator" w:id="0">
    <w:p w:rsidR="005D409E" w:rsidRDefault="005D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10cpi">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9E" w:rsidRDefault="005D4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9E" w:rsidRDefault="005D40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9E" w:rsidRDefault="005D4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9E" w:rsidRDefault="005D409E">
      <w:r>
        <w:separator/>
      </w:r>
    </w:p>
  </w:footnote>
  <w:footnote w:type="continuationSeparator" w:id="0">
    <w:p w:rsidR="005D409E" w:rsidRDefault="005D409E">
      <w:r>
        <w:continuationSeparator/>
      </w:r>
    </w:p>
  </w:footnote>
  <w:footnote w:id="1">
    <w:p w:rsidR="005D409E" w:rsidRDefault="005D409E">
      <w:pPr>
        <w:pStyle w:val="FootnoteText"/>
      </w:pPr>
      <w:r>
        <w:rPr>
          <w:rStyle w:val="FootnoteReference"/>
        </w:rPr>
        <w:footnoteRef/>
      </w:r>
      <w:r>
        <w:t xml:space="preserve"> In this document, the NCVS core instrument refers to the NCVS control card (NCVS-500), NCVS-1 (Basic Screen Questionnaire), and NCVS-2 (Crime Incident Report). In general, the NCVS core project or the NCVS core work refers to all efforts related to the NCVS core instrument as well as to the broader, overall NCVS operation.</w:t>
      </w:r>
    </w:p>
  </w:footnote>
  <w:footnote w:id="2">
    <w:p w:rsidR="005D409E" w:rsidRDefault="005D409E">
      <w:pPr>
        <w:pStyle w:val="FootnoteText"/>
      </w:pPr>
      <w:r w:rsidRPr="00D5440C">
        <w:rPr>
          <w:rStyle w:val="FootnoteReference"/>
          <w:rFonts w:asciiTheme="minorHAnsi" w:hAnsiTheme="minorHAnsi"/>
        </w:rPr>
        <w:footnoteRef/>
      </w:r>
      <w:r w:rsidRPr="00D5440C">
        <w:rPr>
          <w:rFonts w:asciiTheme="minorHAnsi" w:hAnsiTheme="minorHAnsi"/>
        </w:rPr>
        <w:t xml:space="preserve"> The recommendations are contained in two reports, Surveying Victims: Options for Conducting the National Crime Victimization Survey (National Research Council, 2008, </w:t>
      </w:r>
      <w:hyperlink r:id="rId1" w:history="1">
        <w:r w:rsidRPr="00D5440C">
          <w:rPr>
            <w:rStyle w:val="Hyperlink"/>
            <w:rFonts w:asciiTheme="minorHAnsi" w:hAnsiTheme="minorHAnsi"/>
          </w:rPr>
          <w:t>https://www.nap.edu/catalog/12090/surveying-victims-options-for-conducting-the-national-crime-victimization-survey</w:t>
        </w:r>
      </w:hyperlink>
      <w:r w:rsidRPr="00D5440C">
        <w:rPr>
          <w:rFonts w:asciiTheme="minorHAnsi" w:hAnsiTheme="minorHAnsi"/>
        </w:rPr>
        <w:t xml:space="preserve">) and Ensuring the Quality, Credibility, and Relevance of U.S. Justice Statistics (National Research Council, 2009, </w:t>
      </w:r>
      <w:hyperlink r:id="rId2" w:history="1">
        <w:r w:rsidRPr="00D5440C">
          <w:rPr>
            <w:rStyle w:val="Hyperlink"/>
            <w:rFonts w:asciiTheme="minorHAnsi" w:hAnsiTheme="minorHAnsi"/>
          </w:rPr>
          <w:t>https://www.nap.edu/catalog/12671/ensuring-the-quality-credibility-and-relevance-of-us-justice-statistics</w:t>
        </w:r>
      </w:hyperlink>
      <w:r w:rsidRPr="00D5440C">
        <w:rPr>
          <w:rFonts w:asciiTheme="minorHAnsi" w:hAnsiTheme="minorHAnsi"/>
        </w:rPr>
        <w:t xml:space="preserve">). </w:t>
      </w:r>
    </w:p>
  </w:footnote>
  <w:footnote w:id="3">
    <w:p w:rsidR="005D409E" w:rsidRDefault="005D409E">
      <w:pPr>
        <w:pStyle w:val="FootnoteText"/>
      </w:pPr>
      <w:r>
        <w:rPr>
          <w:rStyle w:val="FootnoteReference"/>
        </w:rPr>
        <w:footnoteRef/>
      </w:r>
      <w:r>
        <w:t xml:space="preserve"> </w:t>
      </w:r>
      <w:r w:rsidRPr="00E66FBF">
        <w:t>http://longevity.stanford.edu/financial-fraud-research-center/wp-content/uploads/2016/07/Full-Taxonomy-report.pdf</w:t>
      </w:r>
    </w:p>
  </w:footnote>
  <w:footnote w:id="4">
    <w:p w:rsidR="005D409E" w:rsidRPr="00D5440C" w:rsidRDefault="005D409E" w:rsidP="009A4D1A">
      <w:pPr>
        <w:pStyle w:val="FootnoteText"/>
        <w:rPr>
          <w:rFonts w:asciiTheme="minorHAnsi" w:hAnsiTheme="minorHAnsi"/>
        </w:rPr>
      </w:pPr>
      <w:r w:rsidRPr="00D5440C">
        <w:rPr>
          <w:rStyle w:val="FootnoteReference"/>
          <w:rFonts w:asciiTheme="minorHAnsi" w:hAnsiTheme="minorHAnsi"/>
        </w:rPr>
        <w:footnoteRef/>
      </w:r>
      <w:r w:rsidRPr="00D5440C">
        <w:rPr>
          <w:rFonts w:asciiTheme="minorHAnsi" w:hAnsiTheme="minorHAnsi"/>
        </w:rPr>
        <w:t xml:space="preserve"> Available at </w:t>
      </w:r>
      <w:hyperlink r:id="rId3" w:history="1">
        <w:r w:rsidRPr="00D5440C">
          <w:rPr>
            <w:rStyle w:val="Hyperlink"/>
            <w:rFonts w:asciiTheme="minorHAnsi" w:hAnsiTheme="minorHAnsi"/>
          </w:rPr>
          <w:t>http://www.nap.edu/catalog/18605/estimating-the-incidence-of-rape-and-sexual-assault</w:t>
        </w:r>
      </w:hyperlink>
      <w:r w:rsidRPr="00D5440C">
        <w:rPr>
          <w:rFonts w:asciiTheme="minorHAnsi" w:hAnsiTheme="minorHAnsi"/>
        </w:rPr>
        <w:t>.</w:t>
      </w:r>
    </w:p>
  </w:footnote>
  <w:footnote w:id="5">
    <w:p w:rsidR="005D409E" w:rsidRPr="00E43B77" w:rsidRDefault="005D409E">
      <w:pPr>
        <w:pStyle w:val="FootnoteText"/>
        <w:rPr>
          <w:rFonts w:asciiTheme="minorHAnsi" w:hAnsiTheme="minorHAnsi"/>
        </w:rPr>
      </w:pPr>
      <w:r w:rsidRPr="00E43B77">
        <w:rPr>
          <w:rStyle w:val="FootnoteReference"/>
          <w:rFonts w:asciiTheme="minorHAnsi" w:hAnsiTheme="minorHAnsi"/>
        </w:rPr>
        <w:footnoteRef/>
      </w:r>
      <w:r w:rsidRPr="00E43B77">
        <w:rPr>
          <w:rFonts w:asciiTheme="minorHAnsi" w:hAnsiTheme="minorHAnsi"/>
        </w:rPr>
        <w:t xml:space="preserve"> National Academies of Sciences, Engineering, and Medicine. (2016). Modernizing crime statistics – report 1: Defining and classifying crime. Washington, DC: The National Academies Press.</w:t>
      </w:r>
    </w:p>
  </w:footnote>
  <w:footnote w:id="6">
    <w:p w:rsidR="005D409E" w:rsidRPr="008C0F30" w:rsidRDefault="005D409E">
      <w:pPr>
        <w:pStyle w:val="FootnoteText"/>
        <w:rPr>
          <w:rFonts w:asciiTheme="minorHAnsi" w:hAnsiTheme="minorHAnsi"/>
        </w:rPr>
      </w:pPr>
      <w:r w:rsidRPr="008C0F30">
        <w:rPr>
          <w:rStyle w:val="FootnoteReference"/>
          <w:rFonts w:asciiTheme="minorHAnsi" w:hAnsiTheme="minorHAnsi"/>
        </w:rPr>
        <w:footnoteRef/>
      </w:r>
      <w:r w:rsidRPr="008C0F30">
        <w:rPr>
          <w:rFonts w:asciiTheme="minorHAnsi" w:hAnsiTheme="minorHAnsi"/>
        </w:rPr>
        <w:t xml:space="preserve"> Details on NIBRS reporting are available through the FBI’s website: </w:t>
      </w:r>
      <w:hyperlink r:id="rId4" w:history="1">
        <w:r w:rsidRPr="008C0F30">
          <w:rPr>
            <w:rStyle w:val="Hyperlink"/>
            <w:rFonts w:asciiTheme="minorHAnsi" w:hAnsiTheme="minorHAnsi"/>
          </w:rPr>
          <w:t>https://ucr.fbi.gov/nibrs-overview</w:t>
        </w:r>
      </w:hyperlink>
      <w:r w:rsidRPr="008C0F30">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9E" w:rsidRDefault="005D4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9E" w:rsidRDefault="005D409E">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746">
      <w:rPr>
        <w:rStyle w:val="PageNumber"/>
        <w:noProof/>
      </w:rPr>
      <w:t>2</w:t>
    </w:r>
    <w:r>
      <w:rPr>
        <w:rStyle w:val="PageNumber"/>
      </w:rPr>
      <w:fldChar w:fldCharType="end"/>
    </w:r>
  </w:p>
  <w:p w:rsidR="005D409E" w:rsidRDefault="005D409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9E" w:rsidRDefault="005D4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FE"/>
    <w:multiLevelType w:val="singleLevel"/>
    <w:tmpl w:val="0A1C113E"/>
    <w:lvl w:ilvl="0">
      <w:numFmt w:val="decimal"/>
      <w:lvlText w:val="*"/>
      <w:lvlJc w:val="left"/>
    </w:lvl>
  </w:abstractNum>
  <w:abstractNum w:abstractNumId="1">
    <w:nsid w:val="01235BC7"/>
    <w:multiLevelType w:val="multilevel"/>
    <w:tmpl w:val="C1964E28"/>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2">
    <w:nsid w:val="0A9059AC"/>
    <w:multiLevelType w:val="hybridMultilevel"/>
    <w:tmpl w:val="D5747B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4E71AB0"/>
    <w:multiLevelType w:val="hybridMultilevel"/>
    <w:tmpl w:val="0B5C2ED2"/>
    <w:lvl w:ilvl="0" w:tplc="04090001">
      <w:start w:val="1"/>
      <w:numFmt w:val="bullet"/>
      <w:lvlText w:val=""/>
      <w:lvlJc w:val="left"/>
      <w:pPr>
        <w:tabs>
          <w:tab w:val="num" w:pos="1258"/>
        </w:tabs>
        <w:ind w:left="1258" w:hanging="360"/>
      </w:pPr>
      <w:rPr>
        <w:rFonts w:ascii="Symbol" w:hAnsi="Symbol" w:cs="Symbol" w:hint="default"/>
      </w:rPr>
    </w:lvl>
    <w:lvl w:ilvl="1" w:tplc="04090003">
      <w:start w:val="1"/>
      <w:numFmt w:val="bullet"/>
      <w:lvlText w:val="o"/>
      <w:lvlJc w:val="left"/>
      <w:pPr>
        <w:tabs>
          <w:tab w:val="num" w:pos="1978"/>
        </w:tabs>
        <w:ind w:left="1978" w:hanging="360"/>
      </w:pPr>
      <w:rPr>
        <w:rFonts w:ascii="Courier New" w:hAnsi="Courier New" w:cs="Courier New" w:hint="default"/>
      </w:rPr>
    </w:lvl>
    <w:lvl w:ilvl="2" w:tplc="04090005">
      <w:start w:val="1"/>
      <w:numFmt w:val="bullet"/>
      <w:lvlText w:val=""/>
      <w:lvlJc w:val="left"/>
      <w:pPr>
        <w:tabs>
          <w:tab w:val="num" w:pos="2698"/>
        </w:tabs>
        <w:ind w:left="2698" w:hanging="360"/>
      </w:pPr>
      <w:rPr>
        <w:rFonts w:ascii="Wingdings" w:hAnsi="Wingdings" w:cs="Wingdings" w:hint="default"/>
      </w:rPr>
    </w:lvl>
    <w:lvl w:ilvl="3" w:tplc="04090001">
      <w:start w:val="1"/>
      <w:numFmt w:val="bullet"/>
      <w:lvlText w:val=""/>
      <w:lvlJc w:val="left"/>
      <w:pPr>
        <w:tabs>
          <w:tab w:val="num" w:pos="3418"/>
        </w:tabs>
        <w:ind w:left="3418" w:hanging="360"/>
      </w:pPr>
      <w:rPr>
        <w:rFonts w:ascii="Symbol" w:hAnsi="Symbol" w:cs="Symbol" w:hint="default"/>
      </w:rPr>
    </w:lvl>
    <w:lvl w:ilvl="4" w:tplc="04090003">
      <w:start w:val="1"/>
      <w:numFmt w:val="bullet"/>
      <w:lvlText w:val="o"/>
      <w:lvlJc w:val="left"/>
      <w:pPr>
        <w:tabs>
          <w:tab w:val="num" w:pos="4138"/>
        </w:tabs>
        <w:ind w:left="4138" w:hanging="360"/>
      </w:pPr>
      <w:rPr>
        <w:rFonts w:ascii="Courier New" w:hAnsi="Courier New" w:cs="Courier New" w:hint="default"/>
      </w:rPr>
    </w:lvl>
    <w:lvl w:ilvl="5" w:tplc="04090005">
      <w:start w:val="1"/>
      <w:numFmt w:val="bullet"/>
      <w:lvlText w:val=""/>
      <w:lvlJc w:val="left"/>
      <w:pPr>
        <w:tabs>
          <w:tab w:val="num" w:pos="4858"/>
        </w:tabs>
        <w:ind w:left="4858" w:hanging="360"/>
      </w:pPr>
      <w:rPr>
        <w:rFonts w:ascii="Wingdings" w:hAnsi="Wingdings" w:cs="Wingdings" w:hint="default"/>
      </w:rPr>
    </w:lvl>
    <w:lvl w:ilvl="6" w:tplc="04090001">
      <w:start w:val="1"/>
      <w:numFmt w:val="bullet"/>
      <w:lvlText w:val=""/>
      <w:lvlJc w:val="left"/>
      <w:pPr>
        <w:tabs>
          <w:tab w:val="num" w:pos="5578"/>
        </w:tabs>
        <w:ind w:left="5578" w:hanging="360"/>
      </w:pPr>
      <w:rPr>
        <w:rFonts w:ascii="Symbol" w:hAnsi="Symbol" w:cs="Symbol" w:hint="default"/>
      </w:rPr>
    </w:lvl>
    <w:lvl w:ilvl="7" w:tplc="04090003">
      <w:start w:val="1"/>
      <w:numFmt w:val="bullet"/>
      <w:lvlText w:val="o"/>
      <w:lvlJc w:val="left"/>
      <w:pPr>
        <w:tabs>
          <w:tab w:val="num" w:pos="6298"/>
        </w:tabs>
        <w:ind w:left="6298" w:hanging="360"/>
      </w:pPr>
      <w:rPr>
        <w:rFonts w:ascii="Courier New" w:hAnsi="Courier New" w:cs="Courier New" w:hint="default"/>
      </w:rPr>
    </w:lvl>
    <w:lvl w:ilvl="8" w:tplc="04090005">
      <w:start w:val="1"/>
      <w:numFmt w:val="bullet"/>
      <w:lvlText w:val=""/>
      <w:lvlJc w:val="left"/>
      <w:pPr>
        <w:tabs>
          <w:tab w:val="num" w:pos="7018"/>
        </w:tabs>
        <w:ind w:left="7018" w:hanging="360"/>
      </w:pPr>
      <w:rPr>
        <w:rFonts w:ascii="Wingdings" w:hAnsi="Wingdings" w:cs="Wingdings" w:hint="default"/>
      </w:rPr>
    </w:lvl>
  </w:abstractNum>
  <w:abstractNum w:abstractNumId="4">
    <w:nsid w:val="1A5F5CD7"/>
    <w:multiLevelType w:val="hybridMultilevel"/>
    <w:tmpl w:val="EC201FEE"/>
    <w:lvl w:ilvl="0" w:tplc="2A069F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99042A"/>
    <w:multiLevelType w:val="hybridMultilevel"/>
    <w:tmpl w:val="D6E233E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nsid w:val="27547479"/>
    <w:multiLevelType w:val="hybridMultilevel"/>
    <w:tmpl w:val="16C045D2"/>
    <w:lvl w:ilvl="0" w:tplc="2C6A21EE">
      <w:start w:val="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AE4052"/>
    <w:multiLevelType w:val="hybridMultilevel"/>
    <w:tmpl w:val="7DD86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D8219C4"/>
    <w:multiLevelType w:val="hybridMultilevel"/>
    <w:tmpl w:val="1690DB6A"/>
    <w:lvl w:ilvl="0" w:tplc="A1468588">
      <w:start w:val="2"/>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9">
    <w:nsid w:val="2E2E54F3"/>
    <w:multiLevelType w:val="hybridMultilevel"/>
    <w:tmpl w:val="509276C2"/>
    <w:lvl w:ilvl="0" w:tplc="B4B07412">
      <w:start w:val="2006"/>
      <w:numFmt w:val="decimal"/>
      <w:lvlText w:val="%1."/>
      <w:lvlJc w:val="left"/>
      <w:pPr>
        <w:tabs>
          <w:tab w:val="num" w:pos="1290"/>
        </w:tabs>
        <w:ind w:left="1290" w:hanging="660"/>
      </w:pPr>
      <w:rPr>
        <w:rFonts w:hint="default"/>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10">
    <w:nsid w:val="2F016C26"/>
    <w:multiLevelType w:val="hybridMultilevel"/>
    <w:tmpl w:val="5E182608"/>
    <w:lvl w:ilvl="0" w:tplc="04090001">
      <w:start w:val="1"/>
      <w:numFmt w:val="bullet"/>
      <w:lvlText w:val=""/>
      <w:lvlJc w:val="left"/>
      <w:pPr>
        <w:tabs>
          <w:tab w:val="num" w:pos="1353"/>
        </w:tabs>
        <w:ind w:left="1353" w:hanging="360"/>
      </w:pPr>
      <w:rPr>
        <w:rFonts w:ascii="Symbol" w:hAnsi="Symbol"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cs="Wingdings" w:hint="default"/>
      </w:rPr>
    </w:lvl>
    <w:lvl w:ilvl="3" w:tplc="04090001">
      <w:start w:val="1"/>
      <w:numFmt w:val="bullet"/>
      <w:lvlText w:val=""/>
      <w:lvlJc w:val="left"/>
      <w:pPr>
        <w:tabs>
          <w:tab w:val="num" w:pos="3513"/>
        </w:tabs>
        <w:ind w:left="3513" w:hanging="360"/>
      </w:pPr>
      <w:rPr>
        <w:rFonts w:ascii="Symbol" w:hAnsi="Symbol" w:cs="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cs="Wingdings" w:hint="default"/>
      </w:rPr>
    </w:lvl>
    <w:lvl w:ilvl="6" w:tplc="04090001">
      <w:start w:val="1"/>
      <w:numFmt w:val="bullet"/>
      <w:lvlText w:val=""/>
      <w:lvlJc w:val="left"/>
      <w:pPr>
        <w:tabs>
          <w:tab w:val="num" w:pos="5673"/>
        </w:tabs>
        <w:ind w:left="5673" w:hanging="360"/>
      </w:pPr>
      <w:rPr>
        <w:rFonts w:ascii="Symbol" w:hAnsi="Symbol" w:cs="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cs="Wingdings" w:hint="default"/>
      </w:rPr>
    </w:lvl>
  </w:abstractNum>
  <w:abstractNum w:abstractNumId="11">
    <w:nsid w:val="367B5446"/>
    <w:multiLevelType w:val="hybridMultilevel"/>
    <w:tmpl w:val="2B88639E"/>
    <w:lvl w:ilvl="0" w:tplc="34BEBDA6">
      <w:start w:val="2"/>
      <w:numFmt w:val="decimal"/>
      <w:lvlText w:val="%1."/>
      <w:lvlJc w:val="left"/>
      <w:pPr>
        <w:tabs>
          <w:tab w:val="num" w:pos="450"/>
        </w:tabs>
        <w:ind w:left="450" w:hanging="360"/>
      </w:pPr>
      <w:rPr>
        <w:rFonts w:hint="default"/>
        <w:u w:val="none"/>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2">
    <w:nsid w:val="3D0B0488"/>
    <w:multiLevelType w:val="hybridMultilevel"/>
    <w:tmpl w:val="2C5EA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3D5523A8"/>
    <w:multiLevelType w:val="hybridMultilevel"/>
    <w:tmpl w:val="47C47BD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3F5436F6"/>
    <w:multiLevelType w:val="hybridMultilevel"/>
    <w:tmpl w:val="5ACA75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218595E"/>
    <w:multiLevelType w:val="hybridMultilevel"/>
    <w:tmpl w:val="7A5EE59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6">
    <w:nsid w:val="45675106"/>
    <w:multiLevelType w:val="multilevel"/>
    <w:tmpl w:val="1124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EA44E0"/>
    <w:multiLevelType w:val="hybridMultilevel"/>
    <w:tmpl w:val="EE70BDDE"/>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8">
    <w:nsid w:val="48010E87"/>
    <w:multiLevelType w:val="hybridMultilevel"/>
    <w:tmpl w:val="2ABAA084"/>
    <w:lvl w:ilvl="0" w:tplc="04090001">
      <w:start w:val="1"/>
      <w:numFmt w:val="bullet"/>
      <w:lvlText w:val=""/>
      <w:lvlJc w:val="left"/>
      <w:pPr>
        <w:tabs>
          <w:tab w:val="num" w:pos="1353"/>
        </w:tabs>
        <w:ind w:left="1353" w:hanging="360"/>
      </w:pPr>
      <w:rPr>
        <w:rFonts w:ascii="Symbol" w:hAnsi="Symbol" w:cs="Symbol"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cs="Wingdings" w:hint="default"/>
      </w:rPr>
    </w:lvl>
    <w:lvl w:ilvl="3" w:tplc="04090001">
      <w:start w:val="1"/>
      <w:numFmt w:val="bullet"/>
      <w:lvlText w:val=""/>
      <w:lvlJc w:val="left"/>
      <w:pPr>
        <w:tabs>
          <w:tab w:val="num" w:pos="3513"/>
        </w:tabs>
        <w:ind w:left="3513" w:hanging="360"/>
      </w:pPr>
      <w:rPr>
        <w:rFonts w:ascii="Symbol" w:hAnsi="Symbol" w:cs="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cs="Wingdings" w:hint="default"/>
      </w:rPr>
    </w:lvl>
    <w:lvl w:ilvl="6" w:tplc="04090001">
      <w:start w:val="1"/>
      <w:numFmt w:val="bullet"/>
      <w:lvlText w:val=""/>
      <w:lvlJc w:val="left"/>
      <w:pPr>
        <w:tabs>
          <w:tab w:val="num" w:pos="5673"/>
        </w:tabs>
        <w:ind w:left="5673" w:hanging="360"/>
      </w:pPr>
      <w:rPr>
        <w:rFonts w:ascii="Symbol" w:hAnsi="Symbol" w:cs="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cs="Wingdings" w:hint="default"/>
      </w:rPr>
    </w:lvl>
  </w:abstractNum>
  <w:abstractNum w:abstractNumId="19">
    <w:nsid w:val="4A8D37BE"/>
    <w:multiLevelType w:val="hybridMultilevel"/>
    <w:tmpl w:val="588A1A5C"/>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0">
    <w:nsid w:val="4AB70823"/>
    <w:multiLevelType w:val="hybridMultilevel"/>
    <w:tmpl w:val="9424A75A"/>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1">
    <w:nsid w:val="4B4E46E4"/>
    <w:multiLevelType w:val="hybridMultilevel"/>
    <w:tmpl w:val="0298E4AE"/>
    <w:lvl w:ilvl="0" w:tplc="87C88AB6">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2">
    <w:nsid w:val="4D296F7C"/>
    <w:multiLevelType w:val="hybridMultilevel"/>
    <w:tmpl w:val="C1964E28"/>
    <w:lvl w:ilvl="0" w:tplc="50729E5C">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23">
    <w:nsid w:val="52FA1710"/>
    <w:multiLevelType w:val="hybridMultilevel"/>
    <w:tmpl w:val="FFC0FD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55944E51"/>
    <w:multiLevelType w:val="hybridMultilevel"/>
    <w:tmpl w:val="5CFA7838"/>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nsid w:val="578300CC"/>
    <w:multiLevelType w:val="hybridMultilevel"/>
    <w:tmpl w:val="451838D6"/>
    <w:lvl w:ilvl="0" w:tplc="0409000F">
      <w:start w:val="1"/>
      <w:numFmt w:val="decimal"/>
      <w:lvlText w:val="%1."/>
      <w:lvlJc w:val="left"/>
      <w:pPr>
        <w:ind w:left="990" w:hanging="360"/>
      </w:pPr>
      <w:rPr>
        <w:rFonts w:hint="default"/>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AEF4AA9"/>
    <w:multiLevelType w:val="hybridMultilevel"/>
    <w:tmpl w:val="9FBC8DBA"/>
    <w:lvl w:ilvl="0" w:tplc="8E7A733E">
      <w:start w:val="1"/>
      <w:numFmt w:val="decimal"/>
      <w:lvlText w:val="%1."/>
      <w:lvlJc w:val="left"/>
      <w:pPr>
        <w:ind w:left="990" w:hanging="360"/>
      </w:pPr>
      <w:rPr>
        <w:rFonts w:hint="default"/>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B0D596B"/>
    <w:multiLevelType w:val="hybridMultilevel"/>
    <w:tmpl w:val="21CC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44357F"/>
    <w:multiLevelType w:val="hybridMultilevel"/>
    <w:tmpl w:val="21CE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4B5247"/>
    <w:multiLevelType w:val="hybridMultilevel"/>
    <w:tmpl w:val="5772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D807C6"/>
    <w:multiLevelType w:val="hybridMultilevel"/>
    <w:tmpl w:val="FCD4F85C"/>
    <w:lvl w:ilvl="0" w:tplc="0A0E1F30">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1">
    <w:nsid w:val="65913602"/>
    <w:multiLevelType w:val="hybridMultilevel"/>
    <w:tmpl w:val="373C4E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nsid w:val="6953515C"/>
    <w:multiLevelType w:val="hybridMultilevel"/>
    <w:tmpl w:val="FBDCE2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A6744AD"/>
    <w:multiLevelType w:val="hybridMultilevel"/>
    <w:tmpl w:val="2CB2F158"/>
    <w:lvl w:ilvl="0" w:tplc="3488CA9A">
      <w:start w:val="4"/>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34">
    <w:nsid w:val="6D7917A4"/>
    <w:multiLevelType w:val="hybridMultilevel"/>
    <w:tmpl w:val="26BE99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734038AD"/>
    <w:multiLevelType w:val="hybridMultilevel"/>
    <w:tmpl w:val="2C865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674610"/>
    <w:multiLevelType w:val="hybridMultilevel"/>
    <w:tmpl w:val="1C28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12588F"/>
    <w:multiLevelType w:val="hybridMultilevel"/>
    <w:tmpl w:val="18BAD912"/>
    <w:lvl w:ilvl="0" w:tplc="D98437AC">
      <w:start w:val="16"/>
      <w:numFmt w:val="decimal"/>
      <w:lvlText w:val="%1."/>
      <w:lvlJc w:val="left"/>
      <w:pPr>
        <w:tabs>
          <w:tab w:val="num" w:pos="990"/>
        </w:tabs>
        <w:ind w:left="990" w:hanging="540"/>
      </w:pPr>
      <w:rPr>
        <w:rFonts w:hint="default"/>
        <w:u w:val="none"/>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0"/>
    <w:lvlOverride w:ilvl="0">
      <w:lvl w:ilvl="0">
        <w:start w:val="1"/>
        <w:numFmt w:val="bullet"/>
        <w:lvlText w:val="•"/>
        <w:legacy w:legacy="1" w:legacySpace="0" w:legacyIndent="1"/>
        <w:lvlJc w:val="left"/>
        <w:pPr>
          <w:ind w:left="631" w:hanging="1"/>
        </w:pPr>
        <w:rPr>
          <w:rFonts w:ascii="CG Times" w:hAnsi="CG Times" w:cs="CG Times" w:hint="default"/>
        </w:rPr>
      </w:lvl>
    </w:lvlOverride>
  </w:num>
  <w:num w:numId="2">
    <w:abstractNumId w:val="30"/>
  </w:num>
  <w:num w:numId="3">
    <w:abstractNumId w:val="21"/>
  </w:num>
  <w:num w:numId="4">
    <w:abstractNumId w:val="22"/>
  </w:num>
  <w:num w:numId="5">
    <w:abstractNumId w:val="33"/>
  </w:num>
  <w:num w:numId="6">
    <w:abstractNumId w:val="8"/>
  </w:num>
  <w:num w:numId="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8">
    <w:abstractNumId w:val="20"/>
  </w:num>
  <w:num w:numId="9">
    <w:abstractNumId w:val="32"/>
  </w:num>
  <w:num w:numId="10">
    <w:abstractNumId w:val="3"/>
  </w:num>
  <w:num w:numId="11">
    <w:abstractNumId w:val="19"/>
  </w:num>
  <w:num w:numId="12">
    <w:abstractNumId w:val="24"/>
  </w:num>
  <w:num w:numId="13">
    <w:abstractNumId w:val="17"/>
  </w:num>
  <w:num w:numId="14">
    <w:abstractNumId w:val="18"/>
  </w:num>
  <w:num w:numId="15">
    <w:abstractNumId w:val="10"/>
  </w:num>
  <w:num w:numId="16">
    <w:abstractNumId w:val="9"/>
  </w:num>
  <w:num w:numId="17">
    <w:abstractNumId w:val="11"/>
  </w:num>
  <w:num w:numId="18">
    <w:abstractNumId w:val="37"/>
  </w:num>
  <w:num w:numId="19">
    <w:abstractNumId w:val="5"/>
  </w:num>
  <w:num w:numId="20">
    <w:abstractNumId w:val="15"/>
  </w:num>
  <w:num w:numId="21">
    <w:abstractNumId w:val="1"/>
  </w:num>
  <w:num w:numId="22">
    <w:abstractNumId w:val="6"/>
  </w:num>
  <w:num w:numId="23">
    <w:abstractNumId w:val="34"/>
  </w:num>
  <w:num w:numId="24">
    <w:abstractNumId w:val="27"/>
  </w:num>
  <w:num w:numId="25">
    <w:abstractNumId w:val="16"/>
  </w:num>
  <w:num w:numId="26">
    <w:abstractNumId w:val="14"/>
  </w:num>
  <w:num w:numId="27">
    <w:abstractNumId w:val="26"/>
  </w:num>
  <w:num w:numId="28">
    <w:abstractNumId w:val="25"/>
  </w:num>
  <w:num w:numId="29">
    <w:abstractNumId w:val="13"/>
  </w:num>
  <w:num w:numId="30">
    <w:abstractNumId w:val="31"/>
  </w:num>
  <w:num w:numId="31">
    <w:abstractNumId w:val="4"/>
  </w:num>
  <w:num w:numId="32">
    <w:abstractNumId w:val="28"/>
  </w:num>
  <w:num w:numId="33">
    <w:abstractNumId w:val="2"/>
  </w:num>
  <w:num w:numId="34">
    <w:abstractNumId w:val="35"/>
  </w:num>
  <w:num w:numId="35">
    <w:abstractNumId w:val="12"/>
  </w:num>
  <w:num w:numId="36">
    <w:abstractNumId w:val="7"/>
  </w:num>
  <w:num w:numId="37">
    <w:abstractNumId w:val="36"/>
  </w:num>
  <w:num w:numId="38">
    <w:abstractNumId w:val="29"/>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8A"/>
    <w:rsid w:val="000000EB"/>
    <w:rsid w:val="00001972"/>
    <w:rsid w:val="00020C2A"/>
    <w:rsid w:val="000213E0"/>
    <w:rsid w:val="000264F5"/>
    <w:rsid w:val="00033CA8"/>
    <w:rsid w:val="00034BD5"/>
    <w:rsid w:val="00036D2D"/>
    <w:rsid w:val="00047289"/>
    <w:rsid w:val="000503A6"/>
    <w:rsid w:val="000509D5"/>
    <w:rsid w:val="0005310C"/>
    <w:rsid w:val="000536BE"/>
    <w:rsid w:val="00055B19"/>
    <w:rsid w:val="000579B8"/>
    <w:rsid w:val="000612E8"/>
    <w:rsid w:val="00061B5F"/>
    <w:rsid w:val="00062DAA"/>
    <w:rsid w:val="00062E4A"/>
    <w:rsid w:val="00065B1E"/>
    <w:rsid w:val="00065CC6"/>
    <w:rsid w:val="00067BA3"/>
    <w:rsid w:val="0007044B"/>
    <w:rsid w:val="000732DE"/>
    <w:rsid w:val="00074272"/>
    <w:rsid w:val="00082247"/>
    <w:rsid w:val="00083E8A"/>
    <w:rsid w:val="00087C54"/>
    <w:rsid w:val="00092BB2"/>
    <w:rsid w:val="000A108D"/>
    <w:rsid w:val="000A7CEC"/>
    <w:rsid w:val="000B74AC"/>
    <w:rsid w:val="000C2E72"/>
    <w:rsid w:val="000C3248"/>
    <w:rsid w:val="000C404F"/>
    <w:rsid w:val="000C56C0"/>
    <w:rsid w:val="000C58C5"/>
    <w:rsid w:val="000C6B5F"/>
    <w:rsid w:val="000C7203"/>
    <w:rsid w:val="000D0543"/>
    <w:rsid w:val="000D6E53"/>
    <w:rsid w:val="000E16ED"/>
    <w:rsid w:val="000E1F85"/>
    <w:rsid w:val="000E676C"/>
    <w:rsid w:val="000E68F1"/>
    <w:rsid w:val="000E7763"/>
    <w:rsid w:val="000F5A64"/>
    <w:rsid w:val="0010017C"/>
    <w:rsid w:val="00104C06"/>
    <w:rsid w:val="001051AB"/>
    <w:rsid w:val="00107E53"/>
    <w:rsid w:val="00112E12"/>
    <w:rsid w:val="0011394D"/>
    <w:rsid w:val="0011433E"/>
    <w:rsid w:val="00114E05"/>
    <w:rsid w:val="0011520E"/>
    <w:rsid w:val="00115AB5"/>
    <w:rsid w:val="001174F7"/>
    <w:rsid w:val="00123E9A"/>
    <w:rsid w:val="00124FD7"/>
    <w:rsid w:val="00130015"/>
    <w:rsid w:val="00131213"/>
    <w:rsid w:val="00137E21"/>
    <w:rsid w:val="001424C4"/>
    <w:rsid w:val="001427FA"/>
    <w:rsid w:val="00146D39"/>
    <w:rsid w:val="001501BD"/>
    <w:rsid w:val="00157304"/>
    <w:rsid w:val="00160748"/>
    <w:rsid w:val="00162F2B"/>
    <w:rsid w:val="00163761"/>
    <w:rsid w:val="00163C94"/>
    <w:rsid w:val="00164E88"/>
    <w:rsid w:val="00166E4C"/>
    <w:rsid w:val="00166E91"/>
    <w:rsid w:val="001674AF"/>
    <w:rsid w:val="00171F75"/>
    <w:rsid w:val="00172D50"/>
    <w:rsid w:val="00173195"/>
    <w:rsid w:val="00174E3A"/>
    <w:rsid w:val="00177845"/>
    <w:rsid w:val="00185908"/>
    <w:rsid w:val="0019193F"/>
    <w:rsid w:val="001922E0"/>
    <w:rsid w:val="00192601"/>
    <w:rsid w:val="00193415"/>
    <w:rsid w:val="001948D7"/>
    <w:rsid w:val="00196331"/>
    <w:rsid w:val="00196892"/>
    <w:rsid w:val="00196CF8"/>
    <w:rsid w:val="001A16E8"/>
    <w:rsid w:val="001A1B14"/>
    <w:rsid w:val="001A36B3"/>
    <w:rsid w:val="001A4B51"/>
    <w:rsid w:val="001B210A"/>
    <w:rsid w:val="001B477B"/>
    <w:rsid w:val="001B47EF"/>
    <w:rsid w:val="001B6167"/>
    <w:rsid w:val="001C3674"/>
    <w:rsid w:val="001D178A"/>
    <w:rsid w:val="001D3F9E"/>
    <w:rsid w:val="001D70BA"/>
    <w:rsid w:val="001E18FB"/>
    <w:rsid w:val="001E5914"/>
    <w:rsid w:val="001F180C"/>
    <w:rsid w:val="001F5CE1"/>
    <w:rsid w:val="001F79DC"/>
    <w:rsid w:val="00200A78"/>
    <w:rsid w:val="00202C85"/>
    <w:rsid w:val="00205B2C"/>
    <w:rsid w:val="002061BC"/>
    <w:rsid w:val="00216923"/>
    <w:rsid w:val="00220044"/>
    <w:rsid w:val="00220D0E"/>
    <w:rsid w:val="002217BC"/>
    <w:rsid w:val="00221EB1"/>
    <w:rsid w:val="00222328"/>
    <w:rsid w:val="00223F43"/>
    <w:rsid w:val="00224635"/>
    <w:rsid w:val="00230D26"/>
    <w:rsid w:val="00230F31"/>
    <w:rsid w:val="002313AD"/>
    <w:rsid w:val="00235DB2"/>
    <w:rsid w:val="002369B1"/>
    <w:rsid w:val="00236EC0"/>
    <w:rsid w:val="00237096"/>
    <w:rsid w:val="0023789D"/>
    <w:rsid w:val="0024054B"/>
    <w:rsid w:val="00246E2F"/>
    <w:rsid w:val="00250132"/>
    <w:rsid w:val="002508DC"/>
    <w:rsid w:val="0025440B"/>
    <w:rsid w:val="0025529A"/>
    <w:rsid w:val="00256D11"/>
    <w:rsid w:val="0026217E"/>
    <w:rsid w:val="002622C3"/>
    <w:rsid w:val="0026549A"/>
    <w:rsid w:val="00267B4F"/>
    <w:rsid w:val="00270BD6"/>
    <w:rsid w:val="002720B5"/>
    <w:rsid w:val="00274352"/>
    <w:rsid w:val="002813E7"/>
    <w:rsid w:val="00281B4E"/>
    <w:rsid w:val="002827F8"/>
    <w:rsid w:val="0028288D"/>
    <w:rsid w:val="00286998"/>
    <w:rsid w:val="00286BCA"/>
    <w:rsid w:val="00286F43"/>
    <w:rsid w:val="0029050D"/>
    <w:rsid w:val="0029413B"/>
    <w:rsid w:val="00294193"/>
    <w:rsid w:val="00295417"/>
    <w:rsid w:val="0029598C"/>
    <w:rsid w:val="002966A1"/>
    <w:rsid w:val="002971D8"/>
    <w:rsid w:val="002A1BBD"/>
    <w:rsid w:val="002A23DC"/>
    <w:rsid w:val="002A2448"/>
    <w:rsid w:val="002A3E1C"/>
    <w:rsid w:val="002A665B"/>
    <w:rsid w:val="002B1597"/>
    <w:rsid w:val="002B2510"/>
    <w:rsid w:val="002B445C"/>
    <w:rsid w:val="002B600A"/>
    <w:rsid w:val="002B70E7"/>
    <w:rsid w:val="002C290D"/>
    <w:rsid w:val="002C75AB"/>
    <w:rsid w:val="002C787A"/>
    <w:rsid w:val="002C7A2D"/>
    <w:rsid w:val="002D1A5E"/>
    <w:rsid w:val="002D5746"/>
    <w:rsid w:val="002D79AE"/>
    <w:rsid w:val="002E0AFE"/>
    <w:rsid w:val="002E1D01"/>
    <w:rsid w:val="002E3C9F"/>
    <w:rsid w:val="002E49CD"/>
    <w:rsid w:val="002E73FC"/>
    <w:rsid w:val="002F29F9"/>
    <w:rsid w:val="002F3757"/>
    <w:rsid w:val="002F47E2"/>
    <w:rsid w:val="002F508F"/>
    <w:rsid w:val="00300285"/>
    <w:rsid w:val="00300716"/>
    <w:rsid w:val="003018DD"/>
    <w:rsid w:val="00303425"/>
    <w:rsid w:val="00303D16"/>
    <w:rsid w:val="0031090F"/>
    <w:rsid w:val="00323D6A"/>
    <w:rsid w:val="00324157"/>
    <w:rsid w:val="003270D2"/>
    <w:rsid w:val="0033033E"/>
    <w:rsid w:val="00332DCC"/>
    <w:rsid w:val="0033318A"/>
    <w:rsid w:val="00333876"/>
    <w:rsid w:val="00337A9F"/>
    <w:rsid w:val="00340310"/>
    <w:rsid w:val="00343509"/>
    <w:rsid w:val="00344D95"/>
    <w:rsid w:val="00347D9D"/>
    <w:rsid w:val="00351146"/>
    <w:rsid w:val="003548EE"/>
    <w:rsid w:val="0035573C"/>
    <w:rsid w:val="00356882"/>
    <w:rsid w:val="00361F11"/>
    <w:rsid w:val="00364931"/>
    <w:rsid w:val="003652E4"/>
    <w:rsid w:val="003704EE"/>
    <w:rsid w:val="00372ED8"/>
    <w:rsid w:val="00376492"/>
    <w:rsid w:val="0037669E"/>
    <w:rsid w:val="00376A8B"/>
    <w:rsid w:val="00377BCE"/>
    <w:rsid w:val="0038157B"/>
    <w:rsid w:val="00385B5A"/>
    <w:rsid w:val="003878E7"/>
    <w:rsid w:val="003922AD"/>
    <w:rsid w:val="0039279F"/>
    <w:rsid w:val="00392D59"/>
    <w:rsid w:val="00395A8D"/>
    <w:rsid w:val="00397104"/>
    <w:rsid w:val="003A1BB2"/>
    <w:rsid w:val="003A2C13"/>
    <w:rsid w:val="003A3ECC"/>
    <w:rsid w:val="003A6A63"/>
    <w:rsid w:val="003A7C15"/>
    <w:rsid w:val="003B1FA7"/>
    <w:rsid w:val="003B55E0"/>
    <w:rsid w:val="003B5D32"/>
    <w:rsid w:val="003B7BF3"/>
    <w:rsid w:val="003C2402"/>
    <w:rsid w:val="003C54F1"/>
    <w:rsid w:val="003D00C0"/>
    <w:rsid w:val="003D1278"/>
    <w:rsid w:val="003D1799"/>
    <w:rsid w:val="003D3064"/>
    <w:rsid w:val="003D4EE9"/>
    <w:rsid w:val="003D7BEB"/>
    <w:rsid w:val="003E0E56"/>
    <w:rsid w:val="003E16F7"/>
    <w:rsid w:val="003E1C16"/>
    <w:rsid w:val="003E1E06"/>
    <w:rsid w:val="003E23BB"/>
    <w:rsid w:val="003E2AC5"/>
    <w:rsid w:val="003E2DCB"/>
    <w:rsid w:val="003E48DA"/>
    <w:rsid w:val="003F0A60"/>
    <w:rsid w:val="003F3BA0"/>
    <w:rsid w:val="00400445"/>
    <w:rsid w:val="00401DE6"/>
    <w:rsid w:val="004057F1"/>
    <w:rsid w:val="00406208"/>
    <w:rsid w:val="00413DA0"/>
    <w:rsid w:val="00416632"/>
    <w:rsid w:val="0041718D"/>
    <w:rsid w:val="00417702"/>
    <w:rsid w:val="00421117"/>
    <w:rsid w:val="00423FE7"/>
    <w:rsid w:val="00424F76"/>
    <w:rsid w:val="004307B5"/>
    <w:rsid w:val="004322E3"/>
    <w:rsid w:val="00433525"/>
    <w:rsid w:val="00434155"/>
    <w:rsid w:val="00435B89"/>
    <w:rsid w:val="00450683"/>
    <w:rsid w:val="00452746"/>
    <w:rsid w:val="00452872"/>
    <w:rsid w:val="00454ADD"/>
    <w:rsid w:val="0045596C"/>
    <w:rsid w:val="00460F0C"/>
    <w:rsid w:val="00461A4F"/>
    <w:rsid w:val="00463F6B"/>
    <w:rsid w:val="00464443"/>
    <w:rsid w:val="00465802"/>
    <w:rsid w:val="0046582A"/>
    <w:rsid w:val="00466285"/>
    <w:rsid w:val="004710A5"/>
    <w:rsid w:val="0047349C"/>
    <w:rsid w:val="00473CAC"/>
    <w:rsid w:val="00474170"/>
    <w:rsid w:val="0047473D"/>
    <w:rsid w:val="004815EB"/>
    <w:rsid w:val="00482151"/>
    <w:rsid w:val="004822C1"/>
    <w:rsid w:val="00482A32"/>
    <w:rsid w:val="00484CF3"/>
    <w:rsid w:val="00487F51"/>
    <w:rsid w:val="004956DA"/>
    <w:rsid w:val="004965BA"/>
    <w:rsid w:val="004A2410"/>
    <w:rsid w:val="004A437F"/>
    <w:rsid w:val="004A68E6"/>
    <w:rsid w:val="004A69B0"/>
    <w:rsid w:val="004A740A"/>
    <w:rsid w:val="004A7DA6"/>
    <w:rsid w:val="004B5CBA"/>
    <w:rsid w:val="004B662B"/>
    <w:rsid w:val="004C0496"/>
    <w:rsid w:val="004C265E"/>
    <w:rsid w:val="004C3100"/>
    <w:rsid w:val="004C3E3E"/>
    <w:rsid w:val="004C66D3"/>
    <w:rsid w:val="004C756A"/>
    <w:rsid w:val="004D0763"/>
    <w:rsid w:val="004D19D9"/>
    <w:rsid w:val="004D1B10"/>
    <w:rsid w:val="004D24A6"/>
    <w:rsid w:val="004D7E22"/>
    <w:rsid w:val="004E52C5"/>
    <w:rsid w:val="004E6025"/>
    <w:rsid w:val="004F0DBF"/>
    <w:rsid w:val="004F4B0C"/>
    <w:rsid w:val="00506A84"/>
    <w:rsid w:val="00511720"/>
    <w:rsid w:val="00511BF5"/>
    <w:rsid w:val="00513850"/>
    <w:rsid w:val="005176EF"/>
    <w:rsid w:val="0052084C"/>
    <w:rsid w:val="005227F8"/>
    <w:rsid w:val="0052563C"/>
    <w:rsid w:val="00525CC9"/>
    <w:rsid w:val="00527A22"/>
    <w:rsid w:val="005306C5"/>
    <w:rsid w:val="00531782"/>
    <w:rsid w:val="00533C9F"/>
    <w:rsid w:val="0053634F"/>
    <w:rsid w:val="00537FC0"/>
    <w:rsid w:val="00540C75"/>
    <w:rsid w:val="005502C3"/>
    <w:rsid w:val="0055062C"/>
    <w:rsid w:val="00551795"/>
    <w:rsid w:val="00551E7A"/>
    <w:rsid w:val="005525DB"/>
    <w:rsid w:val="00556A1E"/>
    <w:rsid w:val="00565A56"/>
    <w:rsid w:val="00567FD4"/>
    <w:rsid w:val="00575116"/>
    <w:rsid w:val="00575B62"/>
    <w:rsid w:val="00575D0B"/>
    <w:rsid w:val="0058378B"/>
    <w:rsid w:val="0058431A"/>
    <w:rsid w:val="00585F50"/>
    <w:rsid w:val="005926C1"/>
    <w:rsid w:val="00592709"/>
    <w:rsid w:val="00593A24"/>
    <w:rsid w:val="005A1B4F"/>
    <w:rsid w:val="005A2077"/>
    <w:rsid w:val="005A2793"/>
    <w:rsid w:val="005A45E4"/>
    <w:rsid w:val="005A7D5B"/>
    <w:rsid w:val="005B3EB5"/>
    <w:rsid w:val="005B4203"/>
    <w:rsid w:val="005B4AFC"/>
    <w:rsid w:val="005B6411"/>
    <w:rsid w:val="005C1D0D"/>
    <w:rsid w:val="005C3DE9"/>
    <w:rsid w:val="005C6E5E"/>
    <w:rsid w:val="005C6F5A"/>
    <w:rsid w:val="005D1CE6"/>
    <w:rsid w:val="005D3F85"/>
    <w:rsid w:val="005D409E"/>
    <w:rsid w:val="005D4830"/>
    <w:rsid w:val="005D507C"/>
    <w:rsid w:val="005D6446"/>
    <w:rsid w:val="005D77DA"/>
    <w:rsid w:val="005D7A99"/>
    <w:rsid w:val="005E05D0"/>
    <w:rsid w:val="005E0824"/>
    <w:rsid w:val="005E1699"/>
    <w:rsid w:val="005E2A90"/>
    <w:rsid w:val="005E31E3"/>
    <w:rsid w:val="005E4FD2"/>
    <w:rsid w:val="005E644D"/>
    <w:rsid w:val="005E7222"/>
    <w:rsid w:val="005F490E"/>
    <w:rsid w:val="00604374"/>
    <w:rsid w:val="00605DAE"/>
    <w:rsid w:val="0061239D"/>
    <w:rsid w:val="006177B0"/>
    <w:rsid w:val="00621CA5"/>
    <w:rsid w:val="00623D8A"/>
    <w:rsid w:val="00627DC2"/>
    <w:rsid w:val="00631A11"/>
    <w:rsid w:val="006371BE"/>
    <w:rsid w:val="0063748C"/>
    <w:rsid w:val="0063757C"/>
    <w:rsid w:val="00637729"/>
    <w:rsid w:val="00641D06"/>
    <w:rsid w:val="00643BDB"/>
    <w:rsid w:val="00646B11"/>
    <w:rsid w:val="00652B81"/>
    <w:rsid w:val="00652BF6"/>
    <w:rsid w:val="0065307A"/>
    <w:rsid w:val="006560F7"/>
    <w:rsid w:val="006604FB"/>
    <w:rsid w:val="0066245F"/>
    <w:rsid w:val="006631B4"/>
    <w:rsid w:val="0066326C"/>
    <w:rsid w:val="006641FB"/>
    <w:rsid w:val="00665DBA"/>
    <w:rsid w:val="0066766A"/>
    <w:rsid w:val="00670701"/>
    <w:rsid w:val="00671CC4"/>
    <w:rsid w:val="00676D8F"/>
    <w:rsid w:val="00684FB5"/>
    <w:rsid w:val="0069059B"/>
    <w:rsid w:val="006922B9"/>
    <w:rsid w:val="006976D4"/>
    <w:rsid w:val="00697B36"/>
    <w:rsid w:val="006A0143"/>
    <w:rsid w:val="006A08B2"/>
    <w:rsid w:val="006A1A7B"/>
    <w:rsid w:val="006A1E59"/>
    <w:rsid w:val="006A28DD"/>
    <w:rsid w:val="006A5E03"/>
    <w:rsid w:val="006B0E2E"/>
    <w:rsid w:val="006B2E5A"/>
    <w:rsid w:val="006B4916"/>
    <w:rsid w:val="006B4DC4"/>
    <w:rsid w:val="006C4EE4"/>
    <w:rsid w:val="006C5CBB"/>
    <w:rsid w:val="006C7045"/>
    <w:rsid w:val="006C70BA"/>
    <w:rsid w:val="006D52B3"/>
    <w:rsid w:val="006D6360"/>
    <w:rsid w:val="006D6CE1"/>
    <w:rsid w:val="006E2D73"/>
    <w:rsid w:val="006E74C8"/>
    <w:rsid w:val="006F1F87"/>
    <w:rsid w:val="006F4820"/>
    <w:rsid w:val="006F68D6"/>
    <w:rsid w:val="006F7B4C"/>
    <w:rsid w:val="007025E0"/>
    <w:rsid w:val="00703512"/>
    <w:rsid w:val="007047FE"/>
    <w:rsid w:val="00710958"/>
    <w:rsid w:val="00710C0C"/>
    <w:rsid w:val="00716A51"/>
    <w:rsid w:val="00722731"/>
    <w:rsid w:val="00722DAC"/>
    <w:rsid w:val="00724A93"/>
    <w:rsid w:val="00730808"/>
    <w:rsid w:val="00730D9C"/>
    <w:rsid w:val="007315B5"/>
    <w:rsid w:val="007345CE"/>
    <w:rsid w:val="007410F7"/>
    <w:rsid w:val="00743267"/>
    <w:rsid w:val="00745E51"/>
    <w:rsid w:val="007548ED"/>
    <w:rsid w:val="007549D4"/>
    <w:rsid w:val="007579F8"/>
    <w:rsid w:val="007603D5"/>
    <w:rsid w:val="00762938"/>
    <w:rsid w:val="00763126"/>
    <w:rsid w:val="00763AAD"/>
    <w:rsid w:val="00764D46"/>
    <w:rsid w:val="0076538C"/>
    <w:rsid w:val="007661F6"/>
    <w:rsid w:val="0076629E"/>
    <w:rsid w:val="00773D45"/>
    <w:rsid w:val="00775E03"/>
    <w:rsid w:val="00777F77"/>
    <w:rsid w:val="00782AF9"/>
    <w:rsid w:val="00782CFD"/>
    <w:rsid w:val="0078321B"/>
    <w:rsid w:val="00784D0A"/>
    <w:rsid w:val="0078660E"/>
    <w:rsid w:val="00791A07"/>
    <w:rsid w:val="00794EA1"/>
    <w:rsid w:val="00795E9E"/>
    <w:rsid w:val="007A1CFA"/>
    <w:rsid w:val="007A3FD1"/>
    <w:rsid w:val="007A71E4"/>
    <w:rsid w:val="007A73FB"/>
    <w:rsid w:val="007A7E30"/>
    <w:rsid w:val="007A7EF3"/>
    <w:rsid w:val="007B05D6"/>
    <w:rsid w:val="007B409C"/>
    <w:rsid w:val="007B6991"/>
    <w:rsid w:val="007C016D"/>
    <w:rsid w:val="007C072A"/>
    <w:rsid w:val="007C4B21"/>
    <w:rsid w:val="007C6371"/>
    <w:rsid w:val="007D3E42"/>
    <w:rsid w:val="007D4260"/>
    <w:rsid w:val="007D4925"/>
    <w:rsid w:val="007D5753"/>
    <w:rsid w:val="007E1EAD"/>
    <w:rsid w:val="007E220B"/>
    <w:rsid w:val="007F0D37"/>
    <w:rsid w:val="007F3988"/>
    <w:rsid w:val="007F7123"/>
    <w:rsid w:val="007F7646"/>
    <w:rsid w:val="00805D68"/>
    <w:rsid w:val="00810A52"/>
    <w:rsid w:val="0081301F"/>
    <w:rsid w:val="00815410"/>
    <w:rsid w:val="00815CF0"/>
    <w:rsid w:val="00816BE5"/>
    <w:rsid w:val="00820F9B"/>
    <w:rsid w:val="00823AE2"/>
    <w:rsid w:val="00823C8F"/>
    <w:rsid w:val="008247CD"/>
    <w:rsid w:val="00834AF8"/>
    <w:rsid w:val="0083598F"/>
    <w:rsid w:val="00836B0B"/>
    <w:rsid w:val="008376B7"/>
    <w:rsid w:val="00840B7D"/>
    <w:rsid w:val="0084206A"/>
    <w:rsid w:val="0084304A"/>
    <w:rsid w:val="0084462B"/>
    <w:rsid w:val="008446A9"/>
    <w:rsid w:val="0084578E"/>
    <w:rsid w:val="00846FE2"/>
    <w:rsid w:val="00847ABF"/>
    <w:rsid w:val="00851908"/>
    <w:rsid w:val="0085529A"/>
    <w:rsid w:val="00866E3A"/>
    <w:rsid w:val="00871F76"/>
    <w:rsid w:val="008775A1"/>
    <w:rsid w:val="0088450A"/>
    <w:rsid w:val="00885E9C"/>
    <w:rsid w:val="00897A71"/>
    <w:rsid w:val="008A1024"/>
    <w:rsid w:val="008A332D"/>
    <w:rsid w:val="008A3D72"/>
    <w:rsid w:val="008A4344"/>
    <w:rsid w:val="008A68E3"/>
    <w:rsid w:val="008A6EA3"/>
    <w:rsid w:val="008B0A16"/>
    <w:rsid w:val="008B24E6"/>
    <w:rsid w:val="008B5B79"/>
    <w:rsid w:val="008B6BF4"/>
    <w:rsid w:val="008C0F30"/>
    <w:rsid w:val="008C1FB8"/>
    <w:rsid w:val="008C2230"/>
    <w:rsid w:val="008C2A7C"/>
    <w:rsid w:val="008C3785"/>
    <w:rsid w:val="008C4EE2"/>
    <w:rsid w:val="008C5A72"/>
    <w:rsid w:val="008C7490"/>
    <w:rsid w:val="008C7A9B"/>
    <w:rsid w:val="008D0A74"/>
    <w:rsid w:val="008D1C6C"/>
    <w:rsid w:val="008D20E8"/>
    <w:rsid w:val="008D28A7"/>
    <w:rsid w:val="008D3A9D"/>
    <w:rsid w:val="008D3E1A"/>
    <w:rsid w:val="008D47AD"/>
    <w:rsid w:val="008D492C"/>
    <w:rsid w:val="008D74D7"/>
    <w:rsid w:val="008E019E"/>
    <w:rsid w:val="008E196F"/>
    <w:rsid w:val="008E4126"/>
    <w:rsid w:val="008E79E5"/>
    <w:rsid w:val="008E7E31"/>
    <w:rsid w:val="008F062B"/>
    <w:rsid w:val="008F0AB3"/>
    <w:rsid w:val="008F2208"/>
    <w:rsid w:val="008F271D"/>
    <w:rsid w:val="008F301B"/>
    <w:rsid w:val="009028B9"/>
    <w:rsid w:val="00904DCA"/>
    <w:rsid w:val="009071B5"/>
    <w:rsid w:val="00911742"/>
    <w:rsid w:val="00912D78"/>
    <w:rsid w:val="00914446"/>
    <w:rsid w:val="00915B67"/>
    <w:rsid w:val="00916D58"/>
    <w:rsid w:val="00920DE9"/>
    <w:rsid w:val="00937CE9"/>
    <w:rsid w:val="00937EEF"/>
    <w:rsid w:val="00940325"/>
    <w:rsid w:val="009439CC"/>
    <w:rsid w:val="00945783"/>
    <w:rsid w:val="00947EAB"/>
    <w:rsid w:val="00950137"/>
    <w:rsid w:val="00954966"/>
    <w:rsid w:val="00960028"/>
    <w:rsid w:val="00962B99"/>
    <w:rsid w:val="0096305C"/>
    <w:rsid w:val="009632EF"/>
    <w:rsid w:val="00964760"/>
    <w:rsid w:val="00971FE0"/>
    <w:rsid w:val="00986424"/>
    <w:rsid w:val="00986777"/>
    <w:rsid w:val="00986A34"/>
    <w:rsid w:val="00987937"/>
    <w:rsid w:val="00990444"/>
    <w:rsid w:val="009942C0"/>
    <w:rsid w:val="00994A3D"/>
    <w:rsid w:val="0099600F"/>
    <w:rsid w:val="0099715C"/>
    <w:rsid w:val="00997D74"/>
    <w:rsid w:val="009A43E3"/>
    <w:rsid w:val="009A444A"/>
    <w:rsid w:val="009A4D1A"/>
    <w:rsid w:val="009A65B0"/>
    <w:rsid w:val="009B13B4"/>
    <w:rsid w:val="009B5038"/>
    <w:rsid w:val="009C2972"/>
    <w:rsid w:val="009C2CB4"/>
    <w:rsid w:val="009C40AA"/>
    <w:rsid w:val="009C7AAA"/>
    <w:rsid w:val="009D4269"/>
    <w:rsid w:val="009E4817"/>
    <w:rsid w:val="009E6551"/>
    <w:rsid w:val="009E67C7"/>
    <w:rsid w:val="009E6E82"/>
    <w:rsid w:val="009F30D5"/>
    <w:rsid w:val="009F604C"/>
    <w:rsid w:val="00A0128E"/>
    <w:rsid w:val="00A043EC"/>
    <w:rsid w:val="00A06525"/>
    <w:rsid w:val="00A07020"/>
    <w:rsid w:val="00A14A0D"/>
    <w:rsid w:val="00A16966"/>
    <w:rsid w:val="00A2081F"/>
    <w:rsid w:val="00A22955"/>
    <w:rsid w:val="00A24274"/>
    <w:rsid w:val="00A2559E"/>
    <w:rsid w:val="00A33DA4"/>
    <w:rsid w:val="00A35E3C"/>
    <w:rsid w:val="00A37C06"/>
    <w:rsid w:val="00A37C80"/>
    <w:rsid w:val="00A43F40"/>
    <w:rsid w:val="00A44590"/>
    <w:rsid w:val="00A47153"/>
    <w:rsid w:val="00A5334E"/>
    <w:rsid w:val="00A53F7A"/>
    <w:rsid w:val="00A54B71"/>
    <w:rsid w:val="00A55BF5"/>
    <w:rsid w:val="00A562D6"/>
    <w:rsid w:val="00A567AA"/>
    <w:rsid w:val="00A62161"/>
    <w:rsid w:val="00A62D43"/>
    <w:rsid w:val="00A63697"/>
    <w:rsid w:val="00A65F45"/>
    <w:rsid w:val="00A6786F"/>
    <w:rsid w:val="00A7053F"/>
    <w:rsid w:val="00A705FE"/>
    <w:rsid w:val="00A70D47"/>
    <w:rsid w:val="00A71435"/>
    <w:rsid w:val="00A7221D"/>
    <w:rsid w:val="00A821CB"/>
    <w:rsid w:val="00A83BB2"/>
    <w:rsid w:val="00A83FAE"/>
    <w:rsid w:val="00A8406D"/>
    <w:rsid w:val="00A867DD"/>
    <w:rsid w:val="00A919A7"/>
    <w:rsid w:val="00A93A54"/>
    <w:rsid w:val="00A95837"/>
    <w:rsid w:val="00A97522"/>
    <w:rsid w:val="00A97C46"/>
    <w:rsid w:val="00AA1997"/>
    <w:rsid w:val="00AA4F08"/>
    <w:rsid w:val="00AA6944"/>
    <w:rsid w:val="00AA7B3D"/>
    <w:rsid w:val="00AA7B9A"/>
    <w:rsid w:val="00AB0E24"/>
    <w:rsid w:val="00AB0EF6"/>
    <w:rsid w:val="00AB6439"/>
    <w:rsid w:val="00AB64C3"/>
    <w:rsid w:val="00AB65E3"/>
    <w:rsid w:val="00AC097D"/>
    <w:rsid w:val="00AC09D9"/>
    <w:rsid w:val="00AC0A2A"/>
    <w:rsid w:val="00AC1336"/>
    <w:rsid w:val="00AC1D84"/>
    <w:rsid w:val="00AC4A8B"/>
    <w:rsid w:val="00AC4DF2"/>
    <w:rsid w:val="00AC53E5"/>
    <w:rsid w:val="00AD000D"/>
    <w:rsid w:val="00AD3095"/>
    <w:rsid w:val="00AE03FF"/>
    <w:rsid w:val="00AE5200"/>
    <w:rsid w:val="00AE679A"/>
    <w:rsid w:val="00AE7023"/>
    <w:rsid w:val="00AE7958"/>
    <w:rsid w:val="00AF0F18"/>
    <w:rsid w:val="00AF337E"/>
    <w:rsid w:val="00AF3514"/>
    <w:rsid w:val="00B0306E"/>
    <w:rsid w:val="00B1266C"/>
    <w:rsid w:val="00B14D26"/>
    <w:rsid w:val="00B16D9A"/>
    <w:rsid w:val="00B26F83"/>
    <w:rsid w:val="00B30B6B"/>
    <w:rsid w:val="00B31811"/>
    <w:rsid w:val="00B335FE"/>
    <w:rsid w:val="00B33EDD"/>
    <w:rsid w:val="00B36571"/>
    <w:rsid w:val="00B37EC4"/>
    <w:rsid w:val="00B407BC"/>
    <w:rsid w:val="00B41644"/>
    <w:rsid w:val="00B41E2F"/>
    <w:rsid w:val="00B5230C"/>
    <w:rsid w:val="00B53D04"/>
    <w:rsid w:val="00B54CC3"/>
    <w:rsid w:val="00B57991"/>
    <w:rsid w:val="00B62E9C"/>
    <w:rsid w:val="00B67175"/>
    <w:rsid w:val="00B73D70"/>
    <w:rsid w:val="00B7586C"/>
    <w:rsid w:val="00B831C4"/>
    <w:rsid w:val="00B8509A"/>
    <w:rsid w:val="00B857E9"/>
    <w:rsid w:val="00B867A3"/>
    <w:rsid w:val="00B86BD3"/>
    <w:rsid w:val="00B87426"/>
    <w:rsid w:val="00B879F7"/>
    <w:rsid w:val="00B901A7"/>
    <w:rsid w:val="00B9034B"/>
    <w:rsid w:val="00B90DD0"/>
    <w:rsid w:val="00B91269"/>
    <w:rsid w:val="00B95693"/>
    <w:rsid w:val="00B95FC5"/>
    <w:rsid w:val="00BA3607"/>
    <w:rsid w:val="00BA7133"/>
    <w:rsid w:val="00BB3F60"/>
    <w:rsid w:val="00BB4A6E"/>
    <w:rsid w:val="00BB52D3"/>
    <w:rsid w:val="00BC5ED7"/>
    <w:rsid w:val="00BD2408"/>
    <w:rsid w:val="00BD25A7"/>
    <w:rsid w:val="00BD3263"/>
    <w:rsid w:val="00BD3472"/>
    <w:rsid w:val="00BD40D2"/>
    <w:rsid w:val="00BE174D"/>
    <w:rsid w:val="00BE19FE"/>
    <w:rsid w:val="00BE4A94"/>
    <w:rsid w:val="00BE593E"/>
    <w:rsid w:val="00BE7B99"/>
    <w:rsid w:val="00BF2399"/>
    <w:rsid w:val="00BF27B3"/>
    <w:rsid w:val="00BF4C63"/>
    <w:rsid w:val="00BF764C"/>
    <w:rsid w:val="00C00324"/>
    <w:rsid w:val="00C0422F"/>
    <w:rsid w:val="00C04C86"/>
    <w:rsid w:val="00C052CA"/>
    <w:rsid w:val="00C05683"/>
    <w:rsid w:val="00C11A04"/>
    <w:rsid w:val="00C12D84"/>
    <w:rsid w:val="00C12F09"/>
    <w:rsid w:val="00C1460E"/>
    <w:rsid w:val="00C22CA0"/>
    <w:rsid w:val="00C2354C"/>
    <w:rsid w:val="00C24281"/>
    <w:rsid w:val="00C2537D"/>
    <w:rsid w:val="00C2597F"/>
    <w:rsid w:val="00C26617"/>
    <w:rsid w:val="00C27357"/>
    <w:rsid w:val="00C27CB7"/>
    <w:rsid w:val="00C33EF6"/>
    <w:rsid w:val="00C422B6"/>
    <w:rsid w:val="00C45575"/>
    <w:rsid w:val="00C45B98"/>
    <w:rsid w:val="00C46DFD"/>
    <w:rsid w:val="00C475AF"/>
    <w:rsid w:val="00C51D9A"/>
    <w:rsid w:val="00C61BE8"/>
    <w:rsid w:val="00C61FB2"/>
    <w:rsid w:val="00C647DA"/>
    <w:rsid w:val="00C66EED"/>
    <w:rsid w:val="00C677DE"/>
    <w:rsid w:val="00C72DB7"/>
    <w:rsid w:val="00C76614"/>
    <w:rsid w:val="00C80361"/>
    <w:rsid w:val="00C87B05"/>
    <w:rsid w:val="00C918FC"/>
    <w:rsid w:val="00C91EDF"/>
    <w:rsid w:val="00C92170"/>
    <w:rsid w:val="00C96B83"/>
    <w:rsid w:val="00CA05FF"/>
    <w:rsid w:val="00CA117E"/>
    <w:rsid w:val="00CA33BB"/>
    <w:rsid w:val="00CB79FD"/>
    <w:rsid w:val="00CB7FB0"/>
    <w:rsid w:val="00CC01F9"/>
    <w:rsid w:val="00CC271F"/>
    <w:rsid w:val="00CC41FC"/>
    <w:rsid w:val="00CC4291"/>
    <w:rsid w:val="00CC49DB"/>
    <w:rsid w:val="00CC6A16"/>
    <w:rsid w:val="00CC6C66"/>
    <w:rsid w:val="00CC7A3C"/>
    <w:rsid w:val="00CC7A75"/>
    <w:rsid w:val="00CD0779"/>
    <w:rsid w:val="00CD1E46"/>
    <w:rsid w:val="00CD5CBB"/>
    <w:rsid w:val="00CE6521"/>
    <w:rsid w:val="00CF17C4"/>
    <w:rsid w:val="00CF2100"/>
    <w:rsid w:val="00CF294B"/>
    <w:rsid w:val="00CF44FB"/>
    <w:rsid w:val="00CF74E3"/>
    <w:rsid w:val="00CF7893"/>
    <w:rsid w:val="00D0337B"/>
    <w:rsid w:val="00D05EF1"/>
    <w:rsid w:val="00D06161"/>
    <w:rsid w:val="00D07164"/>
    <w:rsid w:val="00D13812"/>
    <w:rsid w:val="00D14A11"/>
    <w:rsid w:val="00D21BB0"/>
    <w:rsid w:val="00D22448"/>
    <w:rsid w:val="00D3093B"/>
    <w:rsid w:val="00D33780"/>
    <w:rsid w:val="00D4008C"/>
    <w:rsid w:val="00D407B7"/>
    <w:rsid w:val="00D41723"/>
    <w:rsid w:val="00D41A02"/>
    <w:rsid w:val="00D4642C"/>
    <w:rsid w:val="00D52083"/>
    <w:rsid w:val="00D535BF"/>
    <w:rsid w:val="00D5440C"/>
    <w:rsid w:val="00D54669"/>
    <w:rsid w:val="00D54CDE"/>
    <w:rsid w:val="00D55381"/>
    <w:rsid w:val="00D56314"/>
    <w:rsid w:val="00D56F25"/>
    <w:rsid w:val="00D60B34"/>
    <w:rsid w:val="00D61396"/>
    <w:rsid w:val="00D6310E"/>
    <w:rsid w:val="00D642FF"/>
    <w:rsid w:val="00D64A39"/>
    <w:rsid w:val="00D704E1"/>
    <w:rsid w:val="00D71BB8"/>
    <w:rsid w:val="00D721E0"/>
    <w:rsid w:val="00D723BD"/>
    <w:rsid w:val="00D72947"/>
    <w:rsid w:val="00D73F22"/>
    <w:rsid w:val="00D745B4"/>
    <w:rsid w:val="00D750CE"/>
    <w:rsid w:val="00D75E86"/>
    <w:rsid w:val="00D81B33"/>
    <w:rsid w:val="00D822FC"/>
    <w:rsid w:val="00D831C7"/>
    <w:rsid w:val="00D8407D"/>
    <w:rsid w:val="00D877BF"/>
    <w:rsid w:val="00D9302A"/>
    <w:rsid w:val="00D93A00"/>
    <w:rsid w:val="00D94069"/>
    <w:rsid w:val="00D967F8"/>
    <w:rsid w:val="00DA2CAF"/>
    <w:rsid w:val="00DA3479"/>
    <w:rsid w:val="00DA35D3"/>
    <w:rsid w:val="00DA572E"/>
    <w:rsid w:val="00DA596F"/>
    <w:rsid w:val="00DA6C1F"/>
    <w:rsid w:val="00DB33E8"/>
    <w:rsid w:val="00DB513C"/>
    <w:rsid w:val="00DB5645"/>
    <w:rsid w:val="00DC0863"/>
    <w:rsid w:val="00DC2729"/>
    <w:rsid w:val="00DC283D"/>
    <w:rsid w:val="00DC5151"/>
    <w:rsid w:val="00DC55CE"/>
    <w:rsid w:val="00DD0428"/>
    <w:rsid w:val="00DD09CB"/>
    <w:rsid w:val="00DD135F"/>
    <w:rsid w:val="00DD3F42"/>
    <w:rsid w:val="00DD5DA6"/>
    <w:rsid w:val="00DE0997"/>
    <w:rsid w:val="00DE0B24"/>
    <w:rsid w:val="00DE1203"/>
    <w:rsid w:val="00DE1B2B"/>
    <w:rsid w:val="00DE22C2"/>
    <w:rsid w:val="00DE2B4D"/>
    <w:rsid w:val="00DE70B0"/>
    <w:rsid w:val="00DF29E4"/>
    <w:rsid w:val="00DF355B"/>
    <w:rsid w:val="00DF37A0"/>
    <w:rsid w:val="00DF4F13"/>
    <w:rsid w:val="00DF5F59"/>
    <w:rsid w:val="00E0477E"/>
    <w:rsid w:val="00E05B7C"/>
    <w:rsid w:val="00E07F46"/>
    <w:rsid w:val="00E105B5"/>
    <w:rsid w:val="00E12D13"/>
    <w:rsid w:val="00E12F94"/>
    <w:rsid w:val="00E15618"/>
    <w:rsid w:val="00E167EE"/>
    <w:rsid w:val="00E17C19"/>
    <w:rsid w:val="00E17EFB"/>
    <w:rsid w:val="00E20A8C"/>
    <w:rsid w:val="00E22984"/>
    <w:rsid w:val="00E22A4F"/>
    <w:rsid w:val="00E3056B"/>
    <w:rsid w:val="00E309D8"/>
    <w:rsid w:val="00E30BC7"/>
    <w:rsid w:val="00E317E8"/>
    <w:rsid w:val="00E31CA6"/>
    <w:rsid w:val="00E338CB"/>
    <w:rsid w:val="00E419CE"/>
    <w:rsid w:val="00E42B7F"/>
    <w:rsid w:val="00E43B77"/>
    <w:rsid w:val="00E4412C"/>
    <w:rsid w:val="00E45516"/>
    <w:rsid w:val="00E45DDE"/>
    <w:rsid w:val="00E66616"/>
    <w:rsid w:val="00E66FBF"/>
    <w:rsid w:val="00E67132"/>
    <w:rsid w:val="00E719E7"/>
    <w:rsid w:val="00E76B0B"/>
    <w:rsid w:val="00E76C8B"/>
    <w:rsid w:val="00E77CE7"/>
    <w:rsid w:val="00E81B8A"/>
    <w:rsid w:val="00E87C55"/>
    <w:rsid w:val="00E90245"/>
    <w:rsid w:val="00E9050D"/>
    <w:rsid w:val="00E91173"/>
    <w:rsid w:val="00E91199"/>
    <w:rsid w:val="00E91C87"/>
    <w:rsid w:val="00E93EA7"/>
    <w:rsid w:val="00E94DC7"/>
    <w:rsid w:val="00E955E9"/>
    <w:rsid w:val="00EA504F"/>
    <w:rsid w:val="00EB1289"/>
    <w:rsid w:val="00EB2B79"/>
    <w:rsid w:val="00EB5464"/>
    <w:rsid w:val="00EC027B"/>
    <w:rsid w:val="00EC13B3"/>
    <w:rsid w:val="00EC19A2"/>
    <w:rsid w:val="00EC2050"/>
    <w:rsid w:val="00EC4721"/>
    <w:rsid w:val="00EC63F5"/>
    <w:rsid w:val="00EC6EE9"/>
    <w:rsid w:val="00ED4352"/>
    <w:rsid w:val="00ED47CB"/>
    <w:rsid w:val="00EE04FC"/>
    <w:rsid w:val="00EE0B1D"/>
    <w:rsid w:val="00EE38E2"/>
    <w:rsid w:val="00EE435E"/>
    <w:rsid w:val="00EE7B4E"/>
    <w:rsid w:val="00EF3CDA"/>
    <w:rsid w:val="00EF56F7"/>
    <w:rsid w:val="00EF700E"/>
    <w:rsid w:val="00F0231D"/>
    <w:rsid w:val="00F05D79"/>
    <w:rsid w:val="00F1083F"/>
    <w:rsid w:val="00F10DAF"/>
    <w:rsid w:val="00F11BAF"/>
    <w:rsid w:val="00F13B58"/>
    <w:rsid w:val="00F14AA0"/>
    <w:rsid w:val="00F1772B"/>
    <w:rsid w:val="00F17935"/>
    <w:rsid w:val="00F22069"/>
    <w:rsid w:val="00F22E0D"/>
    <w:rsid w:val="00F27996"/>
    <w:rsid w:val="00F34FB3"/>
    <w:rsid w:val="00F35A96"/>
    <w:rsid w:val="00F35FA1"/>
    <w:rsid w:val="00F36A55"/>
    <w:rsid w:val="00F37562"/>
    <w:rsid w:val="00F37CEE"/>
    <w:rsid w:val="00F43B98"/>
    <w:rsid w:val="00F4646D"/>
    <w:rsid w:val="00F46EA0"/>
    <w:rsid w:val="00F5088E"/>
    <w:rsid w:val="00F63167"/>
    <w:rsid w:val="00F67DD3"/>
    <w:rsid w:val="00F71F1E"/>
    <w:rsid w:val="00F745E6"/>
    <w:rsid w:val="00F74DB8"/>
    <w:rsid w:val="00F7564B"/>
    <w:rsid w:val="00F75D48"/>
    <w:rsid w:val="00F75F00"/>
    <w:rsid w:val="00F80160"/>
    <w:rsid w:val="00F80F1F"/>
    <w:rsid w:val="00F824A4"/>
    <w:rsid w:val="00F84865"/>
    <w:rsid w:val="00F86068"/>
    <w:rsid w:val="00F87F2B"/>
    <w:rsid w:val="00F90DE1"/>
    <w:rsid w:val="00F91DC3"/>
    <w:rsid w:val="00F938D1"/>
    <w:rsid w:val="00F969B4"/>
    <w:rsid w:val="00F9732B"/>
    <w:rsid w:val="00F97A71"/>
    <w:rsid w:val="00F97CF5"/>
    <w:rsid w:val="00FA03E0"/>
    <w:rsid w:val="00FA55BD"/>
    <w:rsid w:val="00FA5790"/>
    <w:rsid w:val="00FA7995"/>
    <w:rsid w:val="00FA7C26"/>
    <w:rsid w:val="00FB1063"/>
    <w:rsid w:val="00FB190E"/>
    <w:rsid w:val="00FC5A3A"/>
    <w:rsid w:val="00FC6D75"/>
    <w:rsid w:val="00FC72A7"/>
    <w:rsid w:val="00FC79C5"/>
    <w:rsid w:val="00FD006D"/>
    <w:rsid w:val="00FD0510"/>
    <w:rsid w:val="00FD2A5D"/>
    <w:rsid w:val="00FD42E7"/>
    <w:rsid w:val="00FD505C"/>
    <w:rsid w:val="00FD5089"/>
    <w:rsid w:val="00FD5E87"/>
    <w:rsid w:val="00FD654F"/>
    <w:rsid w:val="00FD6EC1"/>
    <w:rsid w:val="00FE1F2A"/>
    <w:rsid w:val="00FE33C0"/>
    <w:rsid w:val="00FE4572"/>
    <w:rsid w:val="00FE4826"/>
    <w:rsid w:val="00FE4FF4"/>
    <w:rsid w:val="00FE5F13"/>
    <w:rsid w:val="00FF0AF9"/>
    <w:rsid w:val="00FF115E"/>
    <w:rsid w:val="00FF120E"/>
    <w:rsid w:val="00FF5098"/>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44D"/>
    <w:pPr>
      <w:widowControl w:val="0"/>
      <w:autoSpaceDE w:val="0"/>
      <w:autoSpaceDN w:val="0"/>
      <w:adjustRightInd w:val="0"/>
    </w:pPr>
    <w:rPr>
      <w:rFonts w:ascii="Courier 10cpi" w:hAnsi="Courier 10cpi" w:cs="Courier 10cpi"/>
    </w:rPr>
  </w:style>
  <w:style w:type="paragraph" w:styleId="Heading1">
    <w:name w:val="heading 1"/>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outlineLvl w:val="1"/>
    </w:pPr>
    <w:rPr>
      <w:sz w:val="24"/>
      <w:szCs w:val="24"/>
    </w:rPr>
  </w:style>
  <w:style w:type="paragraph" w:styleId="Heading3">
    <w:name w:val="heading 3"/>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outlineLvl w:val="2"/>
    </w:pPr>
    <w:rPr>
      <w:sz w:val="24"/>
      <w:szCs w:val="24"/>
    </w:rPr>
  </w:style>
  <w:style w:type="paragraph" w:styleId="Heading4">
    <w:name w:val="heading 4"/>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sid w:val="00DF4F13"/>
    <w:rPr>
      <w:color w:val="0000FF"/>
      <w:u w:val="single"/>
    </w:rPr>
  </w:style>
  <w:style w:type="table" w:styleId="TableGrid">
    <w:name w:val="Table Grid"/>
    <w:basedOn w:val="TableNormal"/>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rsid w:val="00300285"/>
    <w:rPr>
      <w:sz w:val="16"/>
      <w:szCs w:val="16"/>
    </w:rPr>
  </w:style>
  <w:style w:type="paragraph" w:styleId="CommentText">
    <w:name w:val="annotation text"/>
    <w:basedOn w:val="Normal"/>
    <w:link w:val="CommentTextChar"/>
    <w:rsid w:val="00300285"/>
  </w:style>
  <w:style w:type="character" w:customStyle="1" w:styleId="CommentTextChar">
    <w:name w:val="Comment Text Char"/>
    <w:link w:val="CommentText"/>
    <w:rsid w:val="00300285"/>
    <w:rPr>
      <w:rFonts w:ascii="Courier 10cpi" w:hAnsi="Courier 10cpi" w:cs="Courier 10cpi"/>
    </w:rPr>
  </w:style>
  <w:style w:type="paragraph" w:styleId="CommentSubject">
    <w:name w:val="annotation subject"/>
    <w:basedOn w:val="CommentText"/>
    <w:next w:val="CommentText"/>
    <w:link w:val="CommentSubjectChar"/>
    <w:rsid w:val="00300285"/>
    <w:rPr>
      <w:b/>
      <w:bCs/>
    </w:rPr>
  </w:style>
  <w:style w:type="character" w:customStyle="1" w:styleId="CommentSubjectChar">
    <w:name w:val="Comment Subject Char"/>
    <w:link w:val="CommentSubject"/>
    <w:rsid w:val="00300285"/>
    <w:rPr>
      <w:rFonts w:ascii="Courier 10cpi" w:hAnsi="Courier 10cpi" w:cs="Courier 10cpi"/>
      <w:b/>
      <w:bCs/>
    </w:rPr>
  </w:style>
  <w:style w:type="character" w:styleId="FollowedHyperlink">
    <w:name w:val="FollowedHyperlink"/>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E77CE7"/>
    <w:rPr>
      <w:rFonts w:ascii="Courier 10cpi" w:hAnsi="Courier 10cpi" w:cs="Courier 10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44D"/>
    <w:pPr>
      <w:widowControl w:val="0"/>
      <w:autoSpaceDE w:val="0"/>
      <w:autoSpaceDN w:val="0"/>
      <w:adjustRightInd w:val="0"/>
    </w:pPr>
    <w:rPr>
      <w:rFonts w:ascii="Courier 10cpi" w:hAnsi="Courier 10cpi" w:cs="Courier 10cpi"/>
    </w:rPr>
  </w:style>
  <w:style w:type="paragraph" w:styleId="Heading1">
    <w:name w:val="heading 1"/>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outlineLvl w:val="1"/>
    </w:pPr>
    <w:rPr>
      <w:sz w:val="24"/>
      <w:szCs w:val="24"/>
    </w:rPr>
  </w:style>
  <w:style w:type="paragraph" w:styleId="Heading3">
    <w:name w:val="heading 3"/>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outlineLvl w:val="2"/>
    </w:pPr>
    <w:rPr>
      <w:sz w:val="24"/>
      <w:szCs w:val="24"/>
    </w:rPr>
  </w:style>
  <w:style w:type="paragraph" w:styleId="Heading4">
    <w:name w:val="heading 4"/>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sid w:val="00DF4F13"/>
    <w:rPr>
      <w:color w:val="0000FF"/>
      <w:u w:val="single"/>
    </w:rPr>
  </w:style>
  <w:style w:type="table" w:styleId="TableGrid">
    <w:name w:val="Table Grid"/>
    <w:basedOn w:val="TableNormal"/>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rsid w:val="00300285"/>
    <w:rPr>
      <w:sz w:val="16"/>
      <w:szCs w:val="16"/>
    </w:rPr>
  </w:style>
  <w:style w:type="paragraph" w:styleId="CommentText">
    <w:name w:val="annotation text"/>
    <w:basedOn w:val="Normal"/>
    <w:link w:val="CommentTextChar"/>
    <w:rsid w:val="00300285"/>
  </w:style>
  <w:style w:type="character" w:customStyle="1" w:styleId="CommentTextChar">
    <w:name w:val="Comment Text Char"/>
    <w:link w:val="CommentText"/>
    <w:rsid w:val="00300285"/>
    <w:rPr>
      <w:rFonts w:ascii="Courier 10cpi" w:hAnsi="Courier 10cpi" w:cs="Courier 10cpi"/>
    </w:rPr>
  </w:style>
  <w:style w:type="paragraph" w:styleId="CommentSubject">
    <w:name w:val="annotation subject"/>
    <w:basedOn w:val="CommentText"/>
    <w:next w:val="CommentText"/>
    <w:link w:val="CommentSubjectChar"/>
    <w:rsid w:val="00300285"/>
    <w:rPr>
      <w:b/>
      <w:bCs/>
    </w:rPr>
  </w:style>
  <w:style w:type="character" w:customStyle="1" w:styleId="CommentSubjectChar">
    <w:name w:val="Comment Subject Char"/>
    <w:link w:val="CommentSubject"/>
    <w:rsid w:val="00300285"/>
    <w:rPr>
      <w:rFonts w:ascii="Courier 10cpi" w:hAnsi="Courier 10cpi" w:cs="Courier 10cpi"/>
      <w:b/>
      <w:bCs/>
    </w:rPr>
  </w:style>
  <w:style w:type="character" w:styleId="FollowedHyperlink">
    <w:name w:val="FollowedHyperlink"/>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E77CE7"/>
    <w:rPr>
      <w:rFonts w:ascii="Courier 10cpi" w:hAnsi="Courier 10cpi" w:cs="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7990">
      <w:bodyDiv w:val="1"/>
      <w:marLeft w:val="0"/>
      <w:marRight w:val="0"/>
      <w:marTop w:val="0"/>
      <w:marBottom w:val="0"/>
      <w:divBdr>
        <w:top w:val="none" w:sz="0" w:space="0" w:color="auto"/>
        <w:left w:val="none" w:sz="0" w:space="0" w:color="auto"/>
        <w:bottom w:val="none" w:sz="0" w:space="0" w:color="auto"/>
        <w:right w:val="none" w:sz="0" w:space="0" w:color="auto"/>
      </w:divBdr>
    </w:div>
    <w:div w:id="200172240">
      <w:bodyDiv w:val="1"/>
      <w:marLeft w:val="0"/>
      <w:marRight w:val="0"/>
      <w:marTop w:val="0"/>
      <w:marBottom w:val="0"/>
      <w:divBdr>
        <w:top w:val="none" w:sz="0" w:space="0" w:color="auto"/>
        <w:left w:val="none" w:sz="0" w:space="0" w:color="auto"/>
        <w:bottom w:val="none" w:sz="0" w:space="0" w:color="auto"/>
        <w:right w:val="none" w:sz="0" w:space="0" w:color="auto"/>
      </w:divBdr>
    </w:div>
    <w:div w:id="297102741">
      <w:bodyDiv w:val="1"/>
      <w:marLeft w:val="0"/>
      <w:marRight w:val="0"/>
      <w:marTop w:val="0"/>
      <w:marBottom w:val="0"/>
      <w:divBdr>
        <w:top w:val="none" w:sz="0" w:space="0" w:color="auto"/>
        <w:left w:val="none" w:sz="0" w:space="0" w:color="auto"/>
        <w:bottom w:val="none" w:sz="0" w:space="0" w:color="auto"/>
        <w:right w:val="none" w:sz="0" w:space="0" w:color="auto"/>
      </w:divBdr>
      <w:divsChild>
        <w:div w:id="1804347845">
          <w:marLeft w:val="0"/>
          <w:marRight w:val="0"/>
          <w:marTop w:val="0"/>
          <w:marBottom w:val="0"/>
          <w:divBdr>
            <w:top w:val="none" w:sz="0" w:space="0" w:color="auto"/>
            <w:left w:val="none" w:sz="0" w:space="0" w:color="auto"/>
            <w:bottom w:val="none" w:sz="0" w:space="0" w:color="auto"/>
            <w:right w:val="none" w:sz="0" w:space="0" w:color="auto"/>
          </w:divBdr>
          <w:divsChild>
            <w:div w:id="1424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0080">
      <w:bodyDiv w:val="1"/>
      <w:marLeft w:val="0"/>
      <w:marRight w:val="0"/>
      <w:marTop w:val="0"/>
      <w:marBottom w:val="0"/>
      <w:divBdr>
        <w:top w:val="none" w:sz="0" w:space="0" w:color="auto"/>
        <w:left w:val="none" w:sz="0" w:space="0" w:color="auto"/>
        <w:bottom w:val="none" w:sz="0" w:space="0" w:color="auto"/>
        <w:right w:val="none" w:sz="0" w:space="0" w:color="auto"/>
      </w:divBdr>
    </w:div>
    <w:div w:id="385030169">
      <w:bodyDiv w:val="1"/>
      <w:marLeft w:val="0"/>
      <w:marRight w:val="0"/>
      <w:marTop w:val="0"/>
      <w:marBottom w:val="0"/>
      <w:divBdr>
        <w:top w:val="none" w:sz="0" w:space="0" w:color="auto"/>
        <w:left w:val="none" w:sz="0" w:space="0" w:color="auto"/>
        <w:bottom w:val="none" w:sz="0" w:space="0" w:color="auto"/>
        <w:right w:val="none" w:sz="0" w:space="0" w:color="auto"/>
      </w:divBdr>
      <w:divsChild>
        <w:div w:id="370694650">
          <w:marLeft w:val="360"/>
          <w:marRight w:val="0"/>
          <w:marTop w:val="200"/>
          <w:marBottom w:val="0"/>
          <w:divBdr>
            <w:top w:val="none" w:sz="0" w:space="0" w:color="auto"/>
            <w:left w:val="none" w:sz="0" w:space="0" w:color="auto"/>
            <w:bottom w:val="none" w:sz="0" w:space="0" w:color="auto"/>
            <w:right w:val="none" w:sz="0" w:space="0" w:color="auto"/>
          </w:divBdr>
        </w:div>
        <w:div w:id="1399397996">
          <w:marLeft w:val="360"/>
          <w:marRight w:val="0"/>
          <w:marTop w:val="200"/>
          <w:marBottom w:val="0"/>
          <w:divBdr>
            <w:top w:val="none" w:sz="0" w:space="0" w:color="auto"/>
            <w:left w:val="none" w:sz="0" w:space="0" w:color="auto"/>
            <w:bottom w:val="none" w:sz="0" w:space="0" w:color="auto"/>
            <w:right w:val="none" w:sz="0" w:space="0" w:color="auto"/>
          </w:divBdr>
        </w:div>
      </w:divsChild>
    </w:div>
    <w:div w:id="415178137">
      <w:bodyDiv w:val="1"/>
      <w:marLeft w:val="0"/>
      <w:marRight w:val="0"/>
      <w:marTop w:val="0"/>
      <w:marBottom w:val="0"/>
      <w:divBdr>
        <w:top w:val="none" w:sz="0" w:space="0" w:color="auto"/>
        <w:left w:val="none" w:sz="0" w:space="0" w:color="auto"/>
        <w:bottom w:val="none" w:sz="0" w:space="0" w:color="auto"/>
        <w:right w:val="none" w:sz="0" w:space="0" w:color="auto"/>
      </w:divBdr>
    </w:div>
    <w:div w:id="587543715">
      <w:bodyDiv w:val="1"/>
      <w:marLeft w:val="0"/>
      <w:marRight w:val="0"/>
      <w:marTop w:val="0"/>
      <w:marBottom w:val="0"/>
      <w:divBdr>
        <w:top w:val="none" w:sz="0" w:space="0" w:color="auto"/>
        <w:left w:val="none" w:sz="0" w:space="0" w:color="auto"/>
        <w:bottom w:val="none" w:sz="0" w:space="0" w:color="auto"/>
        <w:right w:val="none" w:sz="0" w:space="0" w:color="auto"/>
      </w:divBdr>
    </w:div>
    <w:div w:id="601038307">
      <w:bodyDiv w:val="1"/>
      <w:marLeft w:val="0"/>
      <w:marRight w:val="0"/>
      <w:marTop w:val="0"/>
      <w:marBottom w:val="0"/>
      <w:divBdr>
        <w:top w:val="none" w:sz="0" w:space="0" w:color="auto"/>
        <w:left w:val="none" w:sz="0" w:space="0" w:color="auto"/>
        <w:bottom w:val="none" w:sz="0" w:space="0" w:color="auto"/>
        <w:right w:val="none" w:sz="0" w:space="0" w:color="auto"/>
      </w:divBdr>
    </w:div>
    <w:div w:id="603611103">
      <w:bodyDiv w:val="1"/>
      <w:marLeft w:val="0"/>
      <w:marRight w:val="0"/>
      <w:marTop w:val="0"/>
      <w:marBottom w:val="0"/>
      <w:divBdr>
        <w:top w:val="none" w:sz="0" w:space="0" w:color="auto"/>
        <w:left w:val="none" w:sz="0" w:space="0" w:color="auto"/>
        <w:bottom w:val="none" w:sz="0" w:space="0" w:color="auto"/>
        <w:right w:val="none" w:sz="0" w:space="0" w:color="auto"/>
      </w:divBdr>
      <w:divsChild>
        <w:div w:id="1393502232">
          <w:marLeft w:val="1005"/>
          <w:marRight w:val="1005"/>
          <w:marTop w:val="0"/>
          <w:marBottom w:val="0"/>
          <w:divBdr>
            <w:top w:val="none" w:sz="0" w:space="0" w:color="auto"/>
            <w:left w:val="none" w:sz="0" w:space="0" w:color="auto"/>
            <w:bottom w:val="none" w:sz="0" w:space="0" w:color="auto"/>
            <w:right w:val="none" w:sz="0" w:space="0" w:color="auto"/>
          </w:divBdr>
        </w:div>
      </w:divsChild>
    </w:div>
    <w:div w:id="806244120">
      <w:bodyDiv w:val="1"/>
      <w:marLeft w:val="0"/>
      <w:marRight w:val="0"/>
      <w:marTop w:val="0"/>
      <w:marBottom w:val="0"/>
      <w:divBdr>
        <w:top w:val="none" w:sz="0" w:space="0" w:color="auto"/>
        <w:left w:val="none" w:sz="0" w:space="0" w:color="auto"/>
        <w:bottom w:val="none" w:sz="0" w:space="0" w:color="auto"/>
        <w:right w:val="none" w:sz="0" w:space="0" w:color="auto"/>
      </w:divBdr>
    </w:div>
    <w:div w:id="827943151">
      <w:bodyDiv w:val="1"/>
      <w:marLeft w:val="0"/>
      <w:marRight w:val="0"/>
      <w:marTop w:val="0"/>
      <w:marBottom w:val="0"/>
      <w:divBdr>
        <w:top w:val="none" w:sz="0" w:space="0" w:color="auto"/>
        <w:left w:val="none" w:sz="0" w:space="0" w:color="auto"/>
        <w:bottom w:val="none" w:sz="0" w:space="0" w:color="auto"/>
        <w:right w:val="none" w:sz="0" w:space="0" w:color="auto"/>
      </w:divBdr>
    </w:div>
    <w:div w:id="914705657">
      <w:bodyDiv w:val="1"/>
      <w:marLeft w:val="0"/>
      <w:marRight w:val="0"/>
      <w:marTop w:val="0"/>
      <w:marBottom w:val="0"/>
      <w:divBdr>
        <w:top w:val="none" w:sz="0" w:space="0" w:color="auto"/>
        <w:left w:val="none" w:sz="0" w:space="0" w:color="auto"/>
        <w:bottom w:val="none" w:sz="0" w:space="0" w:color="auto"/>
        <w:right w:val="none" w:sz="0" w:space="0" w:color="auto"/>
      </w:divBdr>
      <w:divsChild>
        <w:div w:id="1802109663">
          <w:marLeft w:val="0"/>
          <w:marRight w:val="0"/>
          <w:marTop w:val="0"/>
          <w:marBottom w:val="0"/>
          <w:divBdr>
            <w:top w:val="none" w:sz="0" w:space="0" w:color="auto"/>
            <w:left w:val="none" w:sz="0" w:space="0" w:color="auto"/>
            <w:bottom w:val="none" w:sz="0" w:space="0" w:color="auto"/>
            <w:right w:val="none" w:sz="0" w:space="0" w:color="auto"/>
          </w:divBdr>
          <w:divsChild>
            <w:div w:id="1596743282">
              <w:marLeft w:val="0"/>
              <w:marRight w:val="0"/>
              <w:marTop w:val="0"/>
              <w:marBottom w:val="0"/>
              <w:divBdr>
                <w:top w:val="none" w:sz="0" w:space="0" w:color="auto"/>
                <w:left w:val="none" w:sz="0" w:space="0" w:color="auto"/>
                <w:bottom w:val="none" w:sz="0" w:space="0" w:color="auto"/>
                <w:right w:val="none" w:sz="0" w:space="0" w:color="auto"/>
              </w:divBdr>
              <w:divsChild>
                <w:div w:id="615066126">
                  <w:marLeft w:val="0"/>
                  <w:marRight w:val="0"/>
                  <w:marTop w:val="0"/>
                  <w:marBottom w:val="0"/>
                  <w:divBdr>
                    <w:top w:val="none" w:sz="0" w:space="0" w:color="auto"/>
                    <w:left w:val="none" w:sz="0" w:space="0" w:color="auto"/>
                    <w:bottom w:val="none" w:sz="0" w:space="0" w:color="auto"/>
                    <w:right w:val="none" w:sz="0" w:space="0" w:color="auto"/>
                  </w:divBdr>
                  <w:divsChild>
                    <w:div w:id="1694918677">
                      <w:marLeft w:val="0"/>
                      <w:marRight w:val="0"/>
                      <w:marTop w:val="0"/>
                      <w:marBottom w:val="0"/>
                      <w:divBdr>
                        <w:top w:val="none" w:sz="0" w:space="0" w:color="auto"/>
                        <w:left w:val="none" w:sz="0" w:space="0" w:color="auto"/>
                        <w:bottom w:val="none" w:sz="0" w:space="0" w:color="auto"/>
                        <w:right w:val="none" w:sz="0" w:space="0" w:color="auto"/>
                      </w:divBdr>
                      <w:divsChild>
                        <w:div w:id="948127194">
                          <w:marLeft w:val="0"/>
                          <w:marRight w:val="0"/>
                          <w:marTop w:val="0"/>
                          <w:marBottom w:val="0"/>
                          <w:divBdr>
                            <w:top w:val="none" w:sz="0" w:space="0" w:color="auto"/>
                            <w:left w:val="none" w:sz="0" w:space="0" w:color="auto"/>
                            <w:bottom w:val="none" w:sz="0" w:space="0" w:color="auto"/>
                            <w:right w:val="none" w:sz="0" w:space="0" w:color="auto"/>
                          </w:divBdr>
                          <w:divsChild>
                            <w:div w:id="2042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85174">
      <w:bodyDiv w:val="1"/>
      <w:marLeft w:val="0"/>
      <w:marRight w:val="0"/>
      <w:marTop w:val="0"/>
      <w:marBottom w:val="0"/>
      <w:divBdr>
        <w:top w:val="none" w:sz="0" w:space="0" w:color="auto"/>
        <w:left w:val="none" w:sz="0" w:space="0" w:color="auto"/>
        <w:bottom w:val="none" w:sz="0" w:space="0" w:color="auto"/>
        <w:right w:val="none" w:sz="0" w:space="0" w:color="auto"/>
      </w:divBdr>
    </w:div>
    <w:div w:id="1077823660">
      <w:bodyDiv w:val="1"/>
      <w:marLeft w:val="0"/>
      <w:marRight w:val="0"/>
      <w:marTop w:val="0"/>
      <w:marBottom w:val="0"/>
      <w:divBdr>
        <w:top w:val="none" w:sz="0" w:space="0" w:color="auto"/>
        <w:left w:val="none" w:sz="0" w:space="0" w:color="auto"/>
        <w:bottom w:val="none" w:sz="0" w:space="0" w:color="auto"/>
        <w:right w:val="none" w:sz="0" w:space="0" w:color="auto"/>
      </w:divBdr>
    </w:div>
    <w:div w:id="1148715489">
      <w:bodyDiv w:val="1"/>
      <w:marLeft w:val="0"/>
      <w:marRight w:val="0"/>
      <w:marTop w:val="0"/>
      <w:marBottom w:val="0"/>
      <w:divBdr>
        <w:top w:val="none" w:sz="0" w:space="0" w:color="auto"/>
        <w:left w:val="none" w:sz="0" w:space="0" w:color="auto"/>
        <w:bottom w:val="none" w:sz="0" w:space="0" w:color="auto"/>
        <w:right w:val="none" w:sz="0" w:space="0" w:color="auto"/>
      </w:divBdr>
      <w:divsChild>
        <w:div w:id="668018315">
          <w:marLeft w:val="0"/>
          <w:marRight w:val="0"/>
          <w:marTop w:val="0"/>
          <w:marBottom w:val="0"/>
          <w:divBdr>
            <w:top w:val="single" w:sz="2" w:space="0" w:color="2E2E2E"/>
            <w:left w:val="single" w:sz="2" w:space="0" w:color="2E2E2E"/>
            <w:bottom w:val="single" w:sz="2" w:space="0" w:color="2E2E2E"/>
            <w:right w:val="single" w:sz="2" w:space="0" w:color="2E2E2E"/>
          </w:divBdr>
          <w:divsChild>
            <w:div w:id="974600143">
              <w:marLeft w:val="0"/>
              <w:marRight w:val="0"/>
              <w:marTop w:val="0"/>
              <w:marBottom w:val="0"/>
              <w:divBdr>
                <w:top w:val="single" w:sz="6" w:space="0" w:color="C9C9C9"/>
                <w:left w:val="none" w:sz="0" w:space="0" w:color="auto"/>
                <w:bottom w:val="none" w:sz="0" w:space="0" w:color="auto"/>
                <w:right w:val="none" w:sz="0" w:space="0" w:color="auto"/>
              </w:divBdr>
              <w:divsChild>
                <w:div w:id="1605380847">
                  <w:marLeft w:val="0"/>
                  <w:marRight w:val="0"/>
                  <w:marTop w:val="0"/>
                  <w:marBottom w:val="0"/>
                  <w:divBdr>
                    <w:top w:val="none" w:sz="0" w:space="0" w:color="auto"/>
                    <w:left w:val="none" w:sz="0" w:space="0" w:color="auto"/>
                    <w:bottom w:val="none" w:sz="0" w:space="0" w:color="auto"/>
                    <w:right w:val="none" w:sz="0" w:space="0" w:color="auto"/>
                  </w:divBdr>
                  <w:divsChild>
                    <w:div w:id="2120179784">
                      <w:marLeft w:val="0"/>
                      <w:marRight w:val="0"/>
                      <w:marTop w:val="0"/>
                      <w:marBottom w:val="0"/>
                      <w:divBdr>
                        <w:top w:val="none" w:sz="0" w:space="0" w:color="auto"/>
                        <w:left w:val="none" w:sz="0" w:space="0" w:color="auto"/>
                        <w:bottom w:val="none" w:sz="0" w:space="0" w:color="auto"/>
                        <w:right w:val="none" w:sz="0" w:space="0" w:color="auto"/>
                      </w:divBdr>
                      <w:divsChild>
                        <w:div w:id="1109278054">
                          <w:marLeft w:val="0"/>
                          <w:marRight w:val="0"/>
                          <w:marTop w:val="0"/>
                          <w:marBottom w:val="0"/>
                          <w:divBdr>
                            <w:top w:val="none" w:sz="0" w:space="0" w:color="auto"/>
                            <w:left w:val="none" w:sz="0" w:space="0" w:color="auto"/>
                            <w:bottom w:val="none" w:sz="0" w:space="0" w:color="auto"/>
                            <w:right w:val="none" w:sz="0" w:space="0" w:color="auto"/>
                          </w:divBdr>
                          <w:divsChild>
                            <w:div w:id="1192692912">
                              <w:marLeft w:val="0"/>
                              <w:marRight w:val="0"/>
                              <w:marTop w:val="225"/>
                              <w:marBottom w:val="180"/>
                              <w:divBdr>
                                <w:top w:val="single" w:sz="6" w:space="0" w:color="DFDFDF"/>
                                <w:left w:val="single" w:sz="6" w:space="0" w:color="DFDFDF"/>
                                <w:bottom w:val="single" w:sz="6" w:space="0" w:color="DFDFDF"/>
                                <w:right w:val="single" w:sz="6" w:space="0" w:color="DFDFDF"/>
                              </w:divBdr>
                              <w:divsChild>
                                <w:div w:id="45448533">
                                  <w:marLeft w:val="0"/>
                                  <w:marRight w:val="0"/>
                                  <w:marTop w:val="0"/>
                                  <w:marBottom w:val="0"/>
                                  <w:divBdr>
                                    <w:top w:val="none" w:sz="0" w:space="0" w:color="auto"/>
                                    <w:left w:val="none" w:sz="0" w:space="0" w:color="auto"/>
                                    <w:bottom w:val="none" w:sz="0" w:space="0" w:color="auto"/>
                                    <w:right w:val="none" w:sz="0" w:space="0" w:color="auto"/>
                                  </w:divBdr>
                                  <w:divsChild>
                                    <w:div w:id="716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4991">
      <w:bodyDiv w:val="1"/>
      <w:marLeft w:val="0"/>
      <w:marRight w:val="0"/>
      <w:marTop w:val="0"/>
      <w:marBottom w:val="0"/>
      <w:divBdr>
        <w:top w:val="none" w:sz="0" w:space="0" w:color="auto"/>
        <w:left w:val="none" w:sz="0" w:space="0" w:color="auto"/>
        <w:bottom w:val="none" w:sz="0" w:space="0" w:color="auto"/>
        <w:right w:val="none" w:sz="0" w:space="0" w:color="auto"/>
      </w:divBdr>
    </w:div>
    <w:div w:id="1325206758">
      <w:bodyDiv w:val="1"/>
      <w:marLeft w:val="0"/>
      <w:marRight w:val="0"/>
      <w:marTop w:val="0"/>
      <w:marBottom w:val="0"/>
      <w:divBdr>
        <w:top w:val="none" w:sz="0" w:space="0" w:color="auto"/>
        <w:left w:val="none" w:sz="0" w:space="0" w:color="auto"/>
        <w:bottom w:val="none" w:sz="0" w:space="0" w:color="auto"/>
        <w:right w:val="none" w:sz="0" w:space="0" w:color="auto"/>
      </w:divBdr>
      <w:divsChild>
        <w:div w:id="250354655">
          <w:marLeft w:val="0"/>
          <w:marRight w:val="0"/>
          <w:marTop w:val="0"/>
          <w:marBottom w:val="0"/>
          <w:divBdr>
            <w:top w:val="none" w:sz="0" w:space="0" w:color="auto"/>
            <w:left w:val="none" w:sz="0" w:space="0" w:color="auto"/>
            <w:bottom w:val="none" w:sz="0" w:space="0" w:color="auto"/>
            <w:right w:val="none" w:sz="0" w:space="0" w:color="auto"/>
          </w:divBdr>
          <w:divsChild>
            <w:div w:id="1701932647">
              <w:marLeft w:val="0"/>
              <w:marRight w:val="0"/>
              <w:marTop w:val="0"/>
              <w:marBottom w:val="0"/>
              <w:divBdr>
                <w:top w:val="none" w:sz="0" w:space="0" w:color="auto"/>
                <w:left w:val="none" w:sz="0" w:space="0" w:color="auto"/>
                <w:bottom w:val="none" w:sz="0" w:space="0" w:color="auto"/>
                <w:right w:val="none" w:sz="0" w:space="0" w:color="auto"/>
              </w:divBdr>
              <w:divsChild>
                <w:div w:id="833960383">
                  <w:marLeft w:val="0"/>
                  <w:marRight w:val="0"/>
                  <w:marTop w:val="0"/>
                  <w:marBottom w:val="0"/>
                  <w:divBdr>
                    <w:top w:val="none" w:sz="0" w:space="0" w:color="auto"/>
                    <w:left w:val="none" w:sz="0" w:space="0" w:color="auto"/>
                    <w:bottom w:val="none" w:sz="0" w:space="0" w:color="auto"/>
                    <w:right w:val="none" w:sz="0" w:space="0" w:color="auto"/>
                  </w:divBdr>
                  <w:divsChild>
                    <w:div w:id="1360856823">
                      <w:marLeft w:val="0"/>
                      <w:marRight w:val="0"/>
                      <w:marTop w:val="0"/>
                      <w:marBottom w:val="0"/>
                      <w:divBdr>
                        <w:top w:val="none" w:sz="0" w:space="0" w:color="auto"/>
                        <w:left w:val="none" w:sz="0" w:space="0" w:color="auto"/>
                        <w:bottom w:val="none" w:sz="0" w:space="0" w:color="auto"/>
                        <w:right w:val="none" w:sz="0" w:space="0" w:color="auto"/>
                      </w:divBdr>
                      <w:divsChild>
                        <w:div w:id="6796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00420">
      <w:bodyDiv w:val="1"/>
      <w:marLeft w:val="0"/>
      <w:marRight w:val="0"/>
      <w:marTop w:val="0"/>
      <w:marBottom w:val="0"/>
      <w:divBdr>
        <w:top w:val="none" w:sz="0" w:space="0" w:color="auto"/>
        <w:left w:val="none" w:sz="0" w:space="0" w:color="auto"/>
        <w:bottom w:val="none" w:sz="0" w:space="0" w:color="auto"/>
        <w:right w:val="none" w:sz="0" w:space="0" w:color="auto"/>
      </w:divBdr>
    </w:div>
    <w:div w:id="1629779709">
      <w:bodyDiv w:val="1"/>
      <w:marLeft w:val="0"/>
      <w:marRight w:val="0"/>
      <w:marTop w:val="0"/>
      <w:marBottom w:val="0"/>
      <w:divBdr>
        <w:top w:val="none" w:sz="0" w:space="0" w:color="auto"/>
        <w:left w:val="none" w:sz="0" w:space="0" w:color="auto"/>
        <w:bottom w:val="none" w:sz="0" w:space="0" w:color="auto"/>
        <w:right w:val="none" w:sz="0" w:space="0" w:color="auto"/>
      </w:divBdr>
    </w:div>
    <w:div w:id="1665353096">
      <w:bodyDiv w:val="1"/>
      <w:marLeft w:val="0"/>
      <w:marRight w:val="0"/>
      <w:marTop w:val="0"/>
      <w:marBottom w:val="0"/>
      <w:divBdr>
        <w:top w:val="none" w:sz="0" w:space="0" w:color="auto"/>
        <w:left w:val="none" w:sz="0" w:space="0" w:color="auto"/>
        <w:bottom w:val="none" w:sz="0" w:space="0" w:color="auto"/>
        <w:right w:val="none" w:sz="0" w:space="0" w:color="auto"/>
      </w:divBdr>
    </w:div>
    <w:div w:id="1705128799">
      <w:bodyDiv w:val="1"/>
      <w:marLeft w:val="0"/>
      <w:marRight w:val="0"/>
      <w:marTop w:val="0"/>
      <w:marBottom w:val="0"/>
      <w:divBdr>
        <w:top w:val="none" w:sz="0" w:space="0" w:color="auto"/>
        <w:left w:val="none" w:sz="0" w:space="0" w:color="auto"/>
        <w:bottom w:val="none" w:sz="0" w:space="0" w:color="auto"/>
        <w:right w:val="none" w:sz="0" w:space="0" w:color="auto"/>
      </w:divBdr>
      <w:divsChild>
        <w:div w:id="208760085">
          <w:marLeft w:val="0"/>
          <w:marRight w:val="0"/>
          <w:marTop w:val="0"/>
          <w:marBottom w:val="0"/>
          <w:divBdr>
            <w:top w:val="none" w:sz="0" w:space="0" w:color="auto"/>
            <w:left w:val="none" w:sz="0" w:space="0" w:color="auto"/>
            <w:bottom w:val="none" w:sz="0" w:space="0" w:color="auto"/>
            <w:right w:val="none" w:sz="0" w:space="0" w:color="auto"/>
          </w:divBdr>
          <w:divsChild>
            <w:div w:id="811292872">
              <w:marLeft w:val="0"/>
              <w:marRight w:val="0"/>
              <w:marTop w:val="0"/>
              <w:marBottom w:val="0"/>
              <w:divBdr>
                <w:top w:val="none" w:sz="0" w:space="0" w:color="auto"/>
                <w:left w:val="none" w:sz="0" w:space="0" w:color="auto"/>
                <w:bottom w:val="none" w:sz="0" w:space="0" w:color="auto"/>
                <w:right w:val="none" w:sz="0" w:space="0" w:color="auto"/>
              </w:divBdr>
              <w:divsChild>
                <w:div w:id="624507032">
                  <w:marLeft w:val="0"/>
                  <w:marRight w:val="0"/>
                  <w:marTop w:val="0"/>
                  <w:marBottom w:val="0"/>
                  <w:divBdr>
                    <w:top w:val="none" w:sz="0" w:space="0" w:color="auto"/>
                    <w:left w:val="none" w:sz="0" w:space="0" w:color="auto"/>
                    <w:bottom w:val="none" w:sz="0" w:space="0" w:color="auto"/>
                    <w:right w:val="none" w:sz="0" w:space="0" w:color="auto"/>
                  </w:divBdr>
                  <w:divsChild>
                    <w:div w:id="632830474">
                      <w:marLeft w:val="0"/>
                      <w:marRight w:val="0"/>
                      <w:marTop w:val="0"/>
                      <w:marBottom w:val="0"/>
                      <w:divBdr>
                        <w:top w:val="none" w:sz="0" w:space="0" w:color="auto"/>
                        <w:left w:val="none" w:sz="0" w:space="0" w:color="auto"/>
                        <w:bottom w:val="none" w:sz="0" w:space="0" w:color="auto"/>
                        <w:right w:val="none" w:sz="0" w:space="0" w:color="auto"/>
                      </w:divBdr>
                      <w:divsChild>
                        <w:div w:id="626012084">
                          <w:marLeft w:val="0"/>
                          <w:marRight w:val="0"/>
                          <w:marTop w:val="0"/>
                          <w:marBottom w:val="0"/>
                          <w:divBdr>
                            <w:top w:val="none" w:sz="0" w:space="0" w:color="auto"/>
                            <w:left w:val="none" w:sz="0" w:space="0" w:color="auto"/>
                            <w:bottom w:val="none" w:sz="0" w:space="0" w:color="auto"/>
                            <w:right w:val="none" w:sz="0" w:space="0" w:color="auto"/>
                          </w:divBdr>
                          <w:divsChild>
                            <w:div w:id="1493255921">
                              <w:marLeft w:val="0"/>
                              <w:marRight w:val="0"/>
                              <w:marTop w:val="0"/>
                              <w:marBottom w:val="0"/>
                              <w:divBdr>
                                <w:top w:val="none" w:sz="0" w:space="0" w:color="auto"/>
                                <w:left w:val="none" w:sz="0" w:space="0" w:color="auto"/>
                                <w:bottom w:val="none" w:sz="0" w:space="0" w:color="auto"/>
                                <w:right w:val="none" w:sz="0" w:space="0" w:color="auto"/>
                              </w:divBdr>
                              <w:divsChild>
                                <w:div w:id="7128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76419">
      <w:bodyDiv w:val="1"/>
      <w:marLeft w:val="0"/>
      <w:marRight w:val="0"/>
      <w:marTop w:val="0"/>
      <w:marBottom w:val="0"/>
      <w:divBdr>
        <w:top w:val="none" w:sz="0" w:space="0" w:color="auto"/>
        <w:left w:val="none" w:sz="0" w:space="0" w:color="auto"/>
        <w:bottom w:val="none" w:sz="0" w:space="0" w:color="auto"/>
        <w:right w:val="none" w:sz="0" w:space="0" w:color="auto"/>
      </w:divBdr>
      <w:divsChild>
        <w:div w:id="1016417849">
          <w:marLeft w:val="0"/>
          <w:marRight w:val="0"/>
          <w:marTop w:val="0"/>
          <w:marBottom w:val="0"/>
          <w:divBdr>
            <w:top w:val="none" w:sz="0" w:space="0" w:color="auto"/>
            <w:left w:val="none" w:sz="0" w:space="0" w:color="auto"/>
            <w:bottom w:val="none" w:sz="0" w:space="0" w:color="auto"/>
            <w:right w:val="none" w:sz="0" w:space="0" w:color="auto"/>
          </w:divBdr>
          <w:divsChild>
            <w:div w:id="1962691230">
              <w:marLeft w:val="0"/>
              <w:marRight w:val="0"/>
              <w:marTop w:val="0"/>
              <w:marBottom w:val="0"/>
              <w:divBdr>
                <w:top w:val="none" w:sz="0" w:space="0" w:color="auto"/>
                <w:left w:val="none" w:sz="0" w:space="0" w:color="auto"/>
                <w:bottom w:val="none" w:sz="0" w:space="0" w:color="auto"/>
                <w:right w:val="none" w:sz="0" w:space="0" w:color="auto"/>
              </w:divBdr>
              <w:divsChild>
                <w:div w:id="658770761">
                  <w:marLeft w:val="0"/>
                  <w:marRight w:val="0"/>
                  <w:marTop w:val="0"/>
                  <w:marBottom w:val="0"/>
                  <w:divBdr>
                    <w:top w:val="none" w:sz="0" w:space="0" w:color="auto"/>
                    <w:left w:val="none" w:sz="0" w:space="0" w:color="auto"/>
                    <w:bottom w:val="none" w:sz="0" w:space="0" w:color="auto"/>
                    <w:right w:val="none" w:sz="0" w:space="0" w:color="auto"/>
                  </w:divBdr>
                  <w:divsChild>
                    <w:div w:id="1859461377">
                      <w:marLeft w:val="0"/>
                      <w:marRight w:val="0"/>
                      <w:marTop w:val="0"/>
                      <w:marBottom w:val="0"/>
                      <w:divBdr>
                        <w:top w:val="none" w:sz="0" w:space="0" w:color="auto"/>
                        <w:left w:val="none" w:sz="0" w:space="0" w:color="auto"/>
                        <w:bottom w:val="none" w:sz="0" w:space="0" w:color="auto"/>
                        <w:right w:val="none" w:sz="0" w:space="0" w:color="auto"/>
                      </w:divBdr>
                      <w:divsChild>
                        <w:div w:id="1433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2897">
      <w:bodyDiv w:val="1"/>
      <w:marLeft w:val="0"/>
      <w:marRight w:val="0"/>
      <w:marTop w:val="0"/>
      <w:marBottom w:val="0"/>
      <w:divBdr>
        <w:top w:val="none" w:sz="0" w:space="0" w:color="auto"/>
        <w:left w:val="none" w:sz="0" w:space="0" w:color="auto"/>
        <w:bottom w:val="none" w:sz="0" w:space="0" w:color="auto"/>
        <w:right w:val="none" w:sz="0" w:space="0" w:color="auto"/>
      </w:divBdr>
      <w:divsChild>
        <w:div w:id="1297688311">
          <w:marLeft w:val="0"/>
          <w:marRight w:val="0"/>
          <w:marTop w:val="0"/>
          <w:marBottom w:val="0"/>
          <w:divBdr>
            <w:top w:val="none" w:sz="0" w:space="0" w:color="auto"/>
            <w:left w:val="none" w:sz="0" w:space="0" w:color="auto"/>
            <w:bottom w:val="none" w:sz="0" w:space="0" w:color="auto"/>
            <w:right w:val="none" w:sz="0" w:space="0" w:color="auto"/>
          </w:divBdr>
          <w:divsChild>
            <w:div w:id="95492530">
              <w:marLeft w:val="0"/>
              <w:marRight w:val="0"/>
              <w:marTop w:val="0"/>
              <w:marBottom w:val="0"/>
              <w:divBdr>
                <w:top w:val="none" w:sz="0" w:space="0" w:color="auto"/>
                <w:left w:val="none" w:sz="0" w:space="0" w:color="auto"/>
                <w:bottom w:val="none" w:sz="0" w:space="0" w:color="auto"/>
                <w:right w:val="none" w:sz="0" w:space="0" w:color="auto"/>
              </w:divBdr>
              <w:divsChild>
                <w:div w:id="1570455703">
                  <w:marLeft w:val="0"/>
                  <w:marRight w:val="0"/>
                  <w:marTop w:val="0"/>
                  <w:marBottom w:val="0"/>
                  <w:divBdr>
                    <w:top w:val="none" w:sz="0" w:space="0" w:color="auto"/>
                    <w:left w:val="none" w:sz="0" w:space="0" w:color="auto"/>
                    <w:bottom w:val="none" w:sz="0" w:space="0" w:color="auto"/>
                    <w:right w:val="none" w:sz="0" w:space="0" w:color="auto"/>
                  </w:divBdr>
                  <w:divsChild>
                    <w:div w:id="1723600142">
                      <w:marLeft w:val="0"/>
                      <w:marRight w:val="0"/>
                      <w:marTop w:val="0"/>
                      <w:marBottom w:val="0"/>
                      <w:divBdr>
                        <w:top w:val="none" w:sz="0" w:space="0" w:color="auto"/>
                        <w:left w:val="none" w:sz="0" w:space="0" w:color="auto"/>
                        <w:bottom w:val="none" w:sz="0" w:space="0" w:color="auto"/>
                        <w:right w:val="none" w:sz="0" w:space="0" w:color="auto"/>
                      </w:divBdr>
                      <w:divsChild>
                        <w:div w:id="1539320744">
                          <w:marLeft w:val="0"/>
                          <w:marRight w:val="0"/>
                          <w:marTop w:val="0"/>
                          <w:marBottom w:val="0"/>
                          <w:divBdr>
                            <w:top w:val="none" w:sz="0" w:space="0" w:color="auto"/>
                            <w:left w:val="none" w:sz="0" w:space="0" w:color="auto"/>
                            <w:bottom w:val="none" w:sz="0" w:space="0" w:color="auto"/>
                            <w:right w:val="none" w:sz="0" w:space="0" w:color="auto"/>
                          </w:divBdr>
                          <w:divsChild>
                            <w:div w:id="1047221023">
                              <w:marLeft w:val="0"/>
                              <w:marRight w:val="0"/>
                              <w:marTop w:val="0"/>
                              <w:marBottom w:val="0"/>
                              <w:divBdr>
                                <w:top w:val="none" w:sz="0" w:space="0" w:color="auto"/>
                                <w:left w:val="none" w:sz="0" w:space="0" w:color="auto"/>
                                <w:bottom w:val="none" w:sz="0" w:space="0" w:color="auto"/>
                                <w:right w:val="none" w:sz="0" w:space="0" w:color="auto"/>
                              </w:divBdr>
                              <w:divsChild>
                                <w:div w:id="1827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7675">
      <w:bodyDiv w:val="1"/>
      <w:marLeft w:val="0"/>
      <w:marRight w:val="0"/>
      <w:marTop w:val="0"/>
      <w:marBottom w:val="0"/>
      <w:divBdr>
        <w:top w:val="none" w:sz="0" w:space="0" w:color="auto"/>
        <w:left w:val="none" w:sz="0" w:space="0" w:color="auto"/>
        <w:bottom w:val="none" w:sz="0" w:space="0" w:color="auto"/>
        <w:right w:val="none" w:sz="0" w:space="0" w:color="auto"/>
      </w:divBdr>
    </w:div>
    <w:div w:id="2048211299">
      <w:bodyDiv w:val="1"/>
      <w:marLeft w:val="0"/>
      <w:marRight w:val="0"/>
      <w:marTop w:val="0"/>
      <w:marBottom w:val="0"/>
      <w:divBdr>
        <w:top w:val="none" w:sz="0" w:space="0" w:color="auto"/>
        <w:left w:val="none" w:sz="0" w:space="0" w:color="auto"/>
        <w:bottom w:val="none" w:sz="0" w:space="0" w:color="auto"/>
        <w:right w:val="none" w:sz="0" w:space="0" w:color="auto"/>
      </w:divBdr>
      <w:divsChild>
        <w:div w:id="980112800">
          <w:marLeft w:val="0"/>
          <w:marRight w:val="0"/>
          <w:marTop w:val="0"/>
          <w:marBottom w:val="0"/>
          <w:divBdr>
            <w:top w:val="none" w:sz="0" w:space="0" w:color="auto"/>
            <w:left w:val="none" w:sz="0" w:space="0" w:color="auto"/>
            <w:bottom w:val="none" w:sz="0" w:space="0" w:color="auto"/>
            <w:right w:val="none" w:sz="0" w:space="0" w:color="auto"/>
          </w:divBdr>
          <w:divsChild>
            <w:div w:id="209388479">
              <w:marLeft w:val="0"/>
              <w:marRight w:val="0"/>
              <w:marTop w:val="0"/>
              <w:marBottom w:val="0"/>
              <w:divBdr>
                <w:top w:val="none" w:sz="0" w:space="0" w:color="auto"/>
                <w:left w:val="none" w:sz="0" w:space="0" w:color="auto"/>
                <w:bottom w:val="none" w:sz="0" w:space="0" w:color="auto"/>
                <w:right w:val="none" w:sz="0" w:space="0" w:color="auto"/>
              </w:divBdr>
              <w:divsChild>
                <w:div w:id="616333064">
                  <w:marLeft w:val="0"/>
                  <w:marRight w:val="0"/>
                  <w:marTop w:val="0"/>
                  <w:marBottom w:val="0"/>
                  <w:divBdr>
                    <w:top w:val="none" w:sz="0" w:space="0" w:color="auto"/>
                    <w:left w:val="none" w:sz="0" w:space="0" w:color="auto"/>
                    <w:bottom w:val="none" w:sz="0" w:space="0" w:color="auto"/>
                    <w:right w:val="none" w:sz="0" w:space="0" w:color="auto"/>
                  </w:divBdr>
                  <w:divsChild>
                    <w:div w:id="219292579">
                      <w:marLeft w:val="0"/>
                      <w:marRight w:val="0"/>
                      <w:marTop w:val="0"/>
                      <w:marBottom w:val="0"/>
                      <w:divBdr>
                        <w:top w:val="none" w:sz="0" w:space="0" w:color="auto"/>
                        <w:left w:val="none" w:sz="0" w:space="0" w:color="auto"/>
                        <w:bottom w:val="none" w:sz="0" w:space="0" w:color="auto"/>
                        <w:right w:val="none" w:sz="0" w:space="0" w:color="auto"/>
                      </w:divBdr>
                      <w:divsChild>
                        <w:div w:id="1497106713">
                          <w:marLeft w:val="0"/>
                          <w:marRight w:val="0"/>
                          <w:marTop w:val="0"/>
                          <w:marBottom w:val="0"/>
                          <w:divBdr>
                            <w:top w:val="none" w:sz="0" w:space="0" w:color="auto"/>
                            <w:left w:val="none" w:sz="0" w:space="0" w:color="auto"/>
                            <w:bottom w:val="none" w:sz="0" w:space="0" w:color="auto"/>
                            <w:right w:val="none" w:sz="0" w:space="0" w:color="auto"/>
                          </w:divBdr>
                          <w:divsChild>
                            <w:div w:id="549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js.gov/content/pub/pdf/acrsgincvspuf.pdf" TargetMode="External"/><Relationship Id="rId18" Type="http://schemas.openxmlformats.org/officeDocument/2006/relationships/hyperlink" Target="https://www.bjs.gov/content/pub/pdf/iscs16.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js.gov/index.cfm?ty=pbse&amp;sid=56" TargetMode="External"/><Relationship Id="rId7" Type="http://schemas.openxmlformats.org/officeDocument/2006/relationships/footnotes" Target="footnotes.xml"/><Relationship Id="rId12" Type="http://schemas.openxmlformats.org/officeDocument/2006/relationships/hyperlink" Target="https://s3.amazonaws.com/sitesusa/wp-content/uploads/sites/242/2014/05/Fay_2012FCSM_I-B.pdf" TargetMode="External"/><Relationship Id="rId17" Type="http://schemas.openxmlformats.org/officeDocument/2006/relationships/hyperlink" Target="http://www.bjs.gov/content/pub/pdf/capd0915st.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js.gov/content/pub/pdf/cv16.pdf" TargetMode="External"/><Relationship Id="rId20" Type="http://schemas.openxmlformats.org/officeDocument/2006/relationships/hyperlink" Target="http://www.bjs.gov/content/pub/pdf/vit14.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js.gov/index.cfm?ty=pbdetail&amp;iid=5499"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cpsr.umich.edu" TargetMode="External"/><Relationship Id="rId23" Type="http://schemas.openxmlformats.org/officeDocument/2006/relationships/hyperlink" Target="http://ovc.ncjrs.gov/vision21/pdfs/Vision21_Report.pdf" TargetMode="External"/><Relationship Id="rId28" Type="http://schemas.openxmlformats.org/officeDocument/2006/relationships/footer" Target="footer2.xml"/><Relationship Id="rId10" Type="http://schemas.openxmlformats.org/officeDocument/2006/relationships/hyperlink" Target="https://www.bjs.gov/index.cfm?ty=tp&amp;tid=911" TargetMode="External"/><Relationship Id="rId19" Type="http://schemas.openxmlformats.org/officeDocument/2006/relationships/hyperlink" Target="https://ovc.ncjrs.gov/Publications.aspx?TopicID=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js.gov/content/pub/pdf/westat_lae_5-19-10.pdf" TargetMode="External"/><Relationship Id="rId14" Type="http://schemas.openxmlformats.org/officeDocument/2006/relationships/hyperlink" Target="http://www.bjs.gov/content/pub/pdf/vvneha0710.pdf" TargetMode="External"/><Relationship Id="rId22" Type="http://schemas.openxmlformats.org/officeDocument/2006/relationships/hyperlink" Target="http://dx.doi.org/10.1007/s10940-017-9361-x"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nap.edu/catalog/18605/estimating-the-incidence-of-rape-and-sexual-assault" TargetMode="External"/><Relationship Id="rId2" Type="http://schemas.openxmlformats.org/officeDocument/2006/relationships/hyperlink" Target="https://www.nap.edu/catalog/12671/ensuring-the-quality-credibility-and-relevance-of-us-justice-statistics" TargetMode="External"/><Relationship Id="rId1" Type="http://schemas.openxmlformats.org/officeDocument/2006/relationships/hyperlink" Target="https://www.nap.edu/catalog/12090/surveying-victims-options-for-conducting-the-national-crime-victimization-survey" TargetMode="External"/><Relationship Id="rId4" Type="http://schemas.openxmlformats.org/officeDocument/2006/relationships/hyperlink" Target="https://ucr.fbi.gov/nibr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F8BB-EC4A-4B94-A715-0E09A545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10945</Words>
  <Characters>62393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73192</CharactersWithSpaces>
  <SharedDoc>false</SharedDoc>
  <HLinks>
    <vt:vector size="96" baseType="variant">
      <vt:variant>
        <vt:i4>1376269</vt:i4>
      </vt:variant>
      <vt:variant>
        <vt:i4>36</vt:i4>
      </vt:variant>
      <vt:variant>
        <vt:i4>0</vt:i4>
      </vt:variant>
      <vt:variant>
        <vt:i4>5</vt:i4>
      </vt:variant>
      <vt:variant>
        <vt:lpwstr>http://www.bjs.gov/content/pub/pdf/vit12.pdf</vt:lpwstr>
      </vt:variant>
      <vt:variant>
        <vt:lpwstr/>
      </vt:variant>
      <vt:variant>
        <vt:i4>4718656</vt:i4>
      </vt:variant>
      <vt:variant>
        <vt:i4>33</vt:i4>
      </vt:variant>
      <vt:variant>
        <vt:i4>0</vt:i4>
      </vt:variant>
      <vt:variant>
        <vt:i4>5</vt:i4>
      </vt:variant>
      <vt:variant>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http://bjs.ojp.usdoj.gov/content/pub/pdf/iscs11.pdf</vt:lpwstr>
      </vt:variant>
      <vt:variant>
        <vt:lpwstr/>
      </vt:variant>
      <vt:variant>
        <vt:i4>1572884</vt:i4>
      </vt:variant>
      <vt:variant>
        <vt:i4>27</vt:i4>
      </vt:variant>
      <vt:variant>
        <vt:i4>0</vt:i4>
      </vt:variant>
      <vt:variant>
        <vt:i4>5</vt:i4>
      </vt:variant>
      <vt:variant>
        <vt:lpwstr>http://www.bjs.gov/content/pub/pdf/capd0913st.pdf</vt:lpwstr>
      </vt:variant>
      <vt:variant>
        <vt:lpwstr/>
      </vt:variant>
      <vt:variant>
        <vt:i4>5177349</vt:i4>
      </vt:variant>
      <vt:variant>
        <vt:i4>24</vt:i4>
      </vt:variant>
      <vt:variant>
        <vt:i4>0</vt:i4>
      </vt:variant>
      <vt:variant>
        <vt:i4>5</vt:i4>
      </vt:variant>
      <vt:variant>
        <vt:lpwstr>http://bjs.ojp.usdoj.gov/content/pub/pdf/cv13.pdf</vt:lpwstr>
      </vt:variant>
      <vt:variant>
        <vt:lpwstr/>
      </vt:variant>
      <vt:variant>
        <vt:i4>5111853</vt:i4>
      </vt:variant>
      <vt:variant>
        <vt:i4>21</vt:i4>
      </vt:variant>
      <vt:variant>
        <vt:i4>0</vt:i4>
      </vt:variant>
      <vt:variant>
        <vt:i4>5</vt:i4>
      </vt:variant>
      <vt:variant>
        <vt:lpwstr>http://ovc.ncjrs.gov/vision21/pdfs/Vision21_Report.pdf</vt:lpwstr>
      </vt:variant>
      <vt:variant>
        <vt:lpwstr/>
      </vt:variant>
      <vt:variant>
        <vt:i4>2359338</vt:i4>
      </vt:variant>
      <vt:variant>
        <vt:i4>18</vt:i4>
      </vt:variant>
      <vt:variant>
        <vt:i4>0</vt:i4>
      </vt:variant>
      <vt:variant>
        <vt:i4>5</vt:i4>
      </vt:variant>
      <vt:variant>
        <vt:lpwstr>http://www.icpsr.umich.edu/</vt:lpwstr>
      </vt:variant>
      <vt:variant>
        <vt:lpwstr/>
      </vt:variant>
      <vt:variant>
        <vt:i4>524314</vt:i4>
      </vt:variant>
      <vt:variant>
        <vt:i4>15</vt:i4>
      </vt:variant>
      <vt:variant>
        <vt:i4>0</vt:i4>
      </vt:variant>
      <vt:variant>
        <vt:i4>5</vt:i4>
      </vt:variant>
      <vt:variant>
        <vt:lpwstr>http://www.bjs.gov/content/pub/pdf/vvneha0710.pdf</vt:lpwstr>
      </vt:variant>
      <vt:variant>
        <vt:lpwstr/>
      </vt:variant>
      <vt:variant>
        <vt:i4>2359402</vt:i4>
      </vt:variant>
      <vt:variant>
        <vt:i4>12</vt:i4>
      </vt:variant>
      <vt:variant>
        <vt:i4>0</vt:i4>
      </vt:variant>
      <vt:variant>
        <vt:i4>5</vt:i4>
      </vt:variant>
      <vt:variant>
        <vt:lpwstr>http://www.fcsm.gov/12papers/Fay_2012FCSM_I-B.pdf</vt:lpwstr>
      </vt:variant>
      <vt:variant>
        <vt:lpwstr/>
      </vt:variant>
      <vt:variant>
        <vt:i4>3604580</vt:i4>
      </vt:variant>
      <vt:variant>
        <vt:i4>9</vt:i4>
      </vt:variant>
      <vt:variant>
        <vt:i4>0</vt:i4>
      </vt:variant>
      <vt:variant>
        <vt:i4>5</vt:i4>
      </vt:variant>
      <vt:variant>
        <vt:lpwstr>http://www.fcsm.gov/12papers/Li_2012FCSM_I-B.pdf</vt:lpwstr>
      </vt:variant>
      <vt:variant>
        <vt:lpwstr/>
      </vt:variant>
      <vt:variant>
        <vt:i4>2490479</vt:i4>
      </vt:variant>
      <vt:variant>
        <vt:i4>6</vt:i4>
      </vt:variant>
      <vt:variant>
        <vt:i4>0</vt:i4>
      </vt:variant>
      <vt:variant>
        <vt:i4>5</vt:i4>
      </vt:variant>
      <vt:variant>
        <vt:lpwstr>http://www.copafs.org/userfiles/file/fcsm/a2_diallo_2013fcsm.pdf</vt:lpwstr>
      </vt:variant>
      <vt:variant>
        <vt:lpwstr/>
      </vt:variant>
      <vt:variant>
        <vt:i4>3539037</vt:i4>
      </vt:variant>
      <vt:variant>
        <vt:i4>3</vt:i4>
      </vt:variant>
      <vt:variant>
        <vt:i4>0</vt:i4>
      </vt:variant>
      <vt:variant>
        <vt:i4>5</vt:i4>
      </vt:variant>
      <vt:variant>
        <vt:lpwstr>https://www.amstat.org/sections/srms/proceedings/y2012/files/304438_73111.pdf</vt:lpwstr>
      </vt:variant>
      <vt:variant>
        <vt:lpwstr/>
      </vt:variant>
      <vt:variant>
        <vt:i4>5767194</vt:i4>
      </vt:variant>
      <vt:variant>
        <vt:i4>0</vt:i4>
      </vt:variant>
      <vt:variant>
        <vt:i4>0</vt:i4>
      </vt:variant>
      <vt:variant>
        <vt:i4>5</vt:i4>
      </vt:variant>
      <vt:variant>
        <vt:lpwstr>http://www.bjs.gov/content/pub/pdf/westat_lae_5-19-10.pdf</vt:lpwstr>
      </vt:variant>
      <vt:variant>
        <vt:lpwstr/>
      </vt:variant>
      <vt:variant>
        <vt:i4>7602279</vt:i4>
      </vt:variant>
      <vt:variant>
        <vt:i4>6</vt:i4>
      </vt:variant>
      <vt:variant>
        <vt:i4>0</vt:i4>
      </vt:variant>
      <vt:variant>
        <vt:i4>5</vt:i4>
      </vt:variant>
      <vt:variant>
        <vt:lpwstr>http://www.fbi.gov/about-us/cjis/ucr/nibrs</vt:lpwstr>
      </vt:variant>
      <vt:variant>
        <vt:lpwstr/>
      </vt:variant>
      <vt:variant>
        <vt:i4>4980808</vt:i4>
      </vt:variant>
      <vt:variant>
        <vt:i4>3</vt:i4>
      </vt:variant>
      <vt:variant>
        <vt:i4>0</vt:i4>
      </vt:variant>
      <vt:variant>
        <vt:i4>5</vt:i4>
      </vt:variant>
      <vt:variant>
        <vt:lpwstr>http://www.nap.edu/catalog/18605/estimating-the-incidence-of-rape-and-sexual-assault</vt:lpwstr>
      </vt:variant>
      <vt:variant>
        <vt:lpwstr/>
      </vt:variant>
      <vt:variant>
        <vt:i4>1704053</vt:i4>
      </vt:variant>
      <vt:variant>
        <vt:i4>0</vt:i4>
      </vt:variant>
      <vt:variant>
        <vt:i4>0</vt:i4>
      </vt:variant>
      <vt:variant>
        <vt:i4>5</vt:i4>
      </vt:variant>
      <vt:variant>
        <vt:lpwstr>http://www.nap.edu/catlog.-php?record_id=12090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2019-02-08T14:24:00Z</dcterms:created>
  <dcterms:modified xsi:type="dcterms:W3CDTF">2019-02-08T14:24:00Z</dcterms:modified>
</cp:coreProperties>
</file>