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F1" w:rsidRDefault="00097EF1" w:rsidP="00796BBE">
      <w:pPr>
        <w:widowControl/>
      </w:pPr>
      <w:r>
        <w:t>SUPPORTING STATEMENT FOR PAPERWORK REDUCTION ACT 1995 SUBMISSIONS</w:t>
      </w:r>
    </w:p>
    <w:p w:rsidR="00FC46DB" w:rsidRDefault="00FC46DB" w:rsidP="00796BBE">
      <w:pPr>
        <w:widowControl/>
      </w:pPr>
    </w:p>
    <w:p w:rsidR="00097EF1" w:rsidRDefault="00097EF1" w:rsidP="00796BBE">
      <w:pPr>
        <w:widowControl/>
        <w:numPr>
          <w:ilvl w:val="0"/>
          <w:numId w:val="13"/>
        </w:numPr>
        <w:rPr>
          <w:b/>
          <w:bCs/>
        </w:rPr>
      </w:pPr>
      <w:r>
        <w:rPr>
          <w:b/>
          <w:bCs/>
        </w:rPr>
        <w:t>Justification</w:t>
      </w:r>
    </w:p>
    <w:p w:rsidR="00FC46DB" w:rsidRDefault="00FC46DB" w:rsidP="00796BBE">
      <w:pPr>
        <w:widowControl/>
        <w:ind w:left="360"/>
        <w:rPr>
          <w:b/>
          <w:bCs/>
        </w:rPr>
      </w:pPr>
    </w:p>
    <w:p w:rsidR="00097EF1" w:rsidRDefault="00097EF1" w:rsidP="00796BBE">
      <w:pPr>
        <w:pStyle w:val="Quick1"/>
        <w:widowControl/>
      </w:pPr>
      <w:r>
        <w:t>Explain the circumstances that make the collection of information necessary</w:t>
      </w:r>
      <w:r w:rsidR="00AA0582">
        <w:t xml:space="preserve">. </w:t>
      </w:r>
      <w:r>
        <w:t>Identify any legal or administrative requirements that necessitate the collection</w:t>
      </w:r>
      <w:r w:rsidR="00AA0582">
        <w:t>.</w:t>
      </w:r>
      <w:r w:rsidR="006A5744">
        <w:t xml:space="preserve"> </w:t>
      </w:r>
      <w:r>
        <w:t>Attach a copy of the appropriate section of each statute and regulation mandating or authorizing the collection of information.</w:t>
      </w:r>
    </w:p>
    <w:p w:rsidR="00DB3ACC" w:rsidRDefault="00DB3ACC" w:rsidP="00796BBE">
      <w:pPr>
        <w:widowControl/>
        <w:ind w:firstLine="720"/>
      </w:pPr>
    </w:p>
    <w:p w:rsidR="00097EF1" w:rsidRDefault="00097EF1" w:rsidP="00796BBE">
      <w:pPr>
        <w:widowControl/>
      </w:pPr>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w:t>
      </w:r>
      <w:r w:rsidR="00105C4A">
        <w:t>–</w:t>
      </w:r>
      <w:r>
        <w:t>requiring administrators of employee benefit pension and welfare plans (collectively referred to as employee benefit plans) to file returns or reports annually with the federal government</w:t>
      </w:r>
      <w:r w:rsidR="006A5744">
        <w:t>.</w:t>
      </w:r>
    </w:p>
    <w:p w:rsidR="00097EF1" w:rsidRDefault="00097EF1" w:rsidP="00796BBE">
      <w:pPr>
        <w:widowControl/>
      </w:pPr>
    </w:p>
    <w:p w:rsidR="00097EF1" w:rsidRDefault="00097EF1" w:rsidP="00796BBE">
      <w:pPr>
        <w:widowControl/>
      </w:pPr>
      <w:r>
        <w:t>Title I of ERISA, specifically sections 101(b)(1) and 104(a)(1)(A), requires the administrator of an employee benefit plan to file an annual report containing the information described in section 103 of ERISA with the Department of Labor (the Department)</w:t>
      </w:r>
      <w:r w:rsidR="006A5744">
        <w:t xml:space="preserve">. </w:t>
      </w:r>
      <w:r>
        <w:t>Section 104(a</w:t>
      </w:r>
      <w:proofErr w:type="gramStart"/>
      <w:r>
        <w:t>)(</w:t>
      </w:r>
      <w:proofErr w:type="gramEnd"/>
      <w:r>
        <w:t xml:space="preserve">2) of ERISA, provides that the Secretary may by regulation prescribe simplified annual reporting for pension plans </w:t>
      </w:r>
      <w:r w:rsidR="00E853EC">
        <w:t>that</w:t>
      </w:r>
      <w:r>
        <w:t xml:space="preserve"> cover fewer than 100 participant</w:t>
      </w:r>
      <w:r w:rsidR="006A5744">
        <w:t xml:space="preserve">. </w:t>
      </w:r>
      <w:r>
        <w:t>Section 109(a) of ERISA, provides that, with certain exceptions, the Secretary may prescribe forms</w:t>
      </w:r>
      <w:r w:rsidR="006A5744">
        <w:t xml:space="preserve">. </w:t>
      </w:r>
      <w:r>
        <w:t>Sections 104(a)(3) and 110 of ERISA authorize the Secretary to prescribe exemptions and simplified reporting for welfare plans and alternative methods of compliance for pension plans, respectively, if certain findings with respect to such plans can be made by the Secretary</w:t>
      </w:r>
      <w:r w:rsidR="003A58E6">
        <w:t xml:space="preserve">. </w:t>
      </w:r>
      <w:r>
        <w:t>Finally, section 505 of ERISA provides the Secretary with general authority to prescribe such regulations as are “necessary and appropriate” to carry out the provisions of Title I of ERISA.</w:t>
      </w:r>
    </w:p>
    <w:p w:rsidR="00097EF1" w:rsidRDefault="00097EF1" w:rsidP="00796BBE">
      <w:pPr>
        <w:widowControl/>
      </w:pPr>
    </w:p>
    <w:p w:rsidR="00097EF1" w:rsidRDefault="00097EF1" w:rsidP="00796BBE">
      <w:pPr>
        <w:widowControl/>
      </w:pPr>
      <w:r>
        <w:t>Provisions in Title II of ERISA require an annual return to be filed on behalf of specified tax-qualified retirement plans with the Internal Revenue Service (IRS)</w:t>
      </w:r>
      <w:r w:rsidR="003A58E6">
        <w:t xml:space="preserve">. </w:t>
      </w:r>
      <w:r>
        <w:t>Provisions in Title IV require certain annual reports to be filed for employee benefit plans with the Pension Benefit Guaranty Corporation (PBGC)</w:t>
      </w:r>
      <w:r w:rsidR="003A58E6">
        <w:t>.</w:t>
      </w:r>
    </w:p>
    <w:p w:rsidR="00760BBB" w:rsidRDefault="00760BBB" w:rsidP="00796BBE">
      <w:pPr>
        <w:widowControl/>
      </w:pPr>
    </w:p>
    <w:p w:rsidR="00760BBB" w:rsidRDefault="00760BBB" w:rsidP="00796BBE">
      <w:pPr>
        <w:widowControl/>
      </w:pPr>
      <w:r>
        <w:t xml:space="preserve">Since enactment of ERISA, the Department has cooperated with the IRS and the PBGC to produce the Form 5500 Annual Return/Report, through which the regulated public can satisfy the combined reporting/filing requirements applicable to employee benefit </w:t>
      </w:r>
      <w:r w:rsidRPr="006563D6">
        <w:t>plans</w:t>
      </w:r>
      <w:r w:rsidR="003A58E6">
        <w:t xml:space="preserve">. </w:t>
      </w: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w:t>
      </w:r>
      <w:r w:rsidR="003A58E6">
        <w:t xml:space="preserve">. </w:t>
      </w:r>
      <w:r>
        <w:t>L</w:t>
      </w:r>
      <w:r w:rsidR="003A58E6">
        <w:t xml:space="preserve">. </w:t>
      </w:r>
      <w:r>
        <w:t>No</w:t>
      </w:r>
      <w:r w:rsidR="003A58E6">
        <w:t xml:space="preserve">. </w:t>
      </w:r>
      <w:r>
        <w:lastRenderedPageBreak/>
        <w:t>109-280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w:t>
      </w:r>
      <w:r w:rsidR="00822BAF">
        <w:t xml:space="preserve">. </w:t>
      </w:r>
      <w:r>
        <w:t>Specifically, that final rule amends the Department’s regulation at 29 CFR2520.104a-2 to provide that the electronic filing requirement is applicable only for plan years beginning on or after January 1, 2009</w:t>
      </w:r>
      <w:r w:rsidR="00822BAF">
        <w:t>.</w:t>
      </w:r>
    </w:p>
    <w:p w:rsidR="00097EF1" w:rsidRDefault="00097EF1" w:rsidP="00796BBE">
      <w:pPr>
        <w:widowControl/>
      </w:pPr>
    </w:p>
    <w:p w:rsidR="00760BBB" w:rsidRDefault="00760BBB" w:rsidP="00796BBE">
      <w:pPr>
        <w:widowControl/>
      </w:pPr>
      <w:proofErr w:type="gramStart"/>
      <w:r w:rsidRPr="00760BBB">
        <w:t>The Preservation of Access to Care for Medicare Beneficiaries and Pension Relief Act of 2010 (Pension Relief Act), Pub</w:t>
      </w:r>
      <w:r w:rsidR="00822BAF">
        <w:t>.</w:t>
      </w:r>
      <w:proofErr w:type="gramEnd"/>
      <w:r w:rsidR="00822BAF">
        <w:t xml:space="preserve"> </w:t>
      </w:r>
      <w:r w:rsidRPr="00760BBB">
        <w:t>L</w:t>
      </w:r>
      <w:r w:rsidR="00822BAF">
        <w:t xml:space="preserve">. </w:t>
      </w:r>
      <w:r w:rsidRPr="00760BBB">
        <w:t>No</w:t>
      </w:r>
      <w:r w:rsidR="00822BAF">
        <w:t xml:space="preserve">. </w:t>
      </w:r>
      <w:r w:rsidRPr="00760BBB">
        <w:t>111-102), enacted June 25, 2010, amended the Code to allow sponsors of defined benefit pension plans to elect funding relief, including on a retroactive basis</w:t>
      </w:r>
      <w:r w:rsidR="00FA7102">
        <w:t>.</w:t>
      </w:r>
      <w:r w:rsidR="00BD6EDC">
        <w:t xml:space="preserve"> </w:t>
      </w:r>
      <w:r w:rsidRPr="00760BBB">
        <w:t>The IRS issued funding relief guidance for multiemployer plans in Notice 2010-83 on November 26, 2010 and for singl</w:t>
      </w:r>
      <w:r w:rsidR="009D704A">
        <w:t>e-employer plans in Notice 2011-03</w:t>
      </w:r>
      <w:r w:rsidRPr="00760BBB">
        <w:t xml:space="preserve"> on December </w:t>
      </w:r>
      <w:r w:rsidR="009D704A">
        <w:t>17,</w:t>
      </w:r>
      <w:r w:rsidRPr="00760BBB">
        <w:t xml:space="preserve"> 2010</w:t>
      </w:r>
      <w:r w:rsidR="00FA7102">
        <w:t xml:space="preserve">. </w:t>
      </w:r>
      <w:r w:rsidRPr="00760BBB">
        <w:t>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w:t>
      </w:r>
      <w:r w:rsidR="00BD6EDC">
        <w:t xml:space="preserve">. </w:t>
      </w:r>
      <w:r w:rsidRPr="00760BBB">
        <w:t>The retroactive availability of the funding relief under the Pension Relief Act for sponsors of defined benefit plans created an immediate need for changes to the Schedules MB and SB reporting requirements</w:t>
      </w:r>
      <w:r w:rsidR="00BD6EDC">
        <w:t xml:space="preserve">. </w:t>
      </w:r>
      <w:r w:rsidRPr="00760BBB">
        <w:t>Without these changes, filers would be unable to file accurate and complete Schedules MB and SB</w:t>
      </w:r>
      <w:r w:rsidR="00BD6EDC">
        <w:t xml:space="preserve">. </w:t>
      </w:r>
      <w:r w:rsidRPr="00760BBB">
        <w:t>In accordance with the IRS Notices, affected filers must provide the required information either as an attachment to the 2011 Annual Return/Report or by way of amendment of the 2008 or 2009 Annual Return/Report</w:t>
      </w:r>
      <w:r w:rsidR="00BD6EDC">
        <w:t xml:space="preserve">. </w:t>
      </w:r>
      <w:r w:rsidRPr="00760BBB">
        <w:t xml:space="preserve">Only a relatively small number of Form 5500 </w:t>
      </w:r>
      <w:proofErr w:type="gramStart"/>
      <w:r w:rsidRPr="00760BBB">
        <w:t>filers,</w:t>
      </w:r>
      <w:proofErr w:type="gramEnd"/>
      <w:r w:rsidRPr="00760BBB">
        <w:t xml:space="preserve"> comprised of only those defined benefit plan filers that elect the optional relief offered under the Pension Relief Act for 2008, 2009, or 2010 plan years, are affected by the Schedule MB and SB changes.</w:t>
      </w:r>
    </w:p>
    <w:p w:rsidR="00760BBB" w:rsidRDefault="00760BBB" w:rsidP="00796BBE">
      <w:pPr>
        <w:widowControl/>
      </w:pPr>
      <w:r>
        <w:t xml:space="preserve"> </w:t>
      </w:r>
    </w:p>
    <w:p w:rsidR="00760BBB" w:rsidRDefault="00760BBB" w:rsidP="00796BBE">
      <w:pPr>
        <w:widowControl/>
      </w:pPr>
      <w:r>
        <w:t>In 20</w:t>
      </w:r>
      <w:r w:rsidR="003A22F7">
        <w:t>13</w:t>
      </w:r>
      <w:r>
        <w:t>, 20</w:t>
      </w:r>
      <w:r w:rsidR="003A22F7">
        <w:t>14</w:t>
      </w:r>
      <w:r>
        <w:t>, and 201</w:t>
      </w:r>
      <w:r w:rsidR="003A22F7">
        <w:t>5</w:t>
      </w:r>
      <w:r>
        <w:t xml:space="preserve">, </w:t>
      </w:r>
      <w:r w:rsidR="00DC6336">
        <w:t xml:space="preserve">the Department </w:t>
      </w:r>
      <w:r>
        <w:t>submitted non-material,</w:t>
      </w:r>
      <w:r w:rsidR="00A446F0">
        <w:t xml:space="preserve"> </w:t>
      </w:r>
      <w:r>
        <w:t>non</w:t>
      </w:r>
      <w:r w:rsidR="003A22F7">
        <w:t>-</w:t>
      </w:r>
      <w:r>
        <w:t>substantive change requests for the Form 5500 instructions for these years, which were approved by OMB</w:t>
      </w:r>
      <w:r w:rsidR="00BD6EDC">
        <w:t xml:space="preserve">. </w:t>
      </w:r>
      <w:r w:rsidR="009D704A">
        <w:t xml:space="preserve">The Department </w:t>
      </w:r>
      <w:r w:rsidR="008D7E85">
        <w:t xml:space="preserve">amended </w:t>
      </w:r>
      <w:r w:rsidR="009D704A">
        <w:t xml:space="preserve">its request to </w:t>
      </w:r>
      <w:r w:rsidRPr="00760BBB">
        <w:t>reflect the changes made by the Pension Relief Act and the IRS guidance</w:t>
      </w:r>
      <w:r w:rsidR="008D7E85">
        <w:t xml:space="preserve"> after receiving OMB approva</w:t>
      </w:r>
      <w:r w:rsidR="006E7954">
        <w:t>l</w:t>
      </w:r>
      <w:r w:rsidR="00BD6EDC">
        <w:t>.</w:t>
      </w:r>
    </w:p>
    <w:p w:rsidR="006334C4" w:rsidRDefault="006334C4" w:rsidP="00796BBE">
      <w:pPr>
        <w:widowControl/>
      </w:pPr>
    </w:p>
    <w:p w:rsidR="00CA72AC" w:rsidRDefault="00CA72AC" w:rsidP="00796BBE">
      <w:pPr>
        <w:widowControl/>
      </w:pPr>
      <w:r>
        <w:t>January 2013 Revision</w:t>
      </w:r>
    </w:p>
    <w:p w:rsidR="00CA72AC" w:rsidRDefault="00CA72AC" w:rsidP="00796BBE">
      <w:pPr>
        <w:widowControl/>
      </w:pPr>
    </w:p>
    <w:p w:rsidR="004506B0" w:rsidRDefault="003F6F9C" w:rsidP="00796BBE">
      <w:pPr>
        <w:widowControl/>
      </w:pPr>
      <w:r w:rsidRPr="00DA5EF7">
        <w:t xml:space="preserve">The </w:t>
      </w:r>
      <w:r w:rsidR="003A6982">
        <w:t xml:space="preserve">Department </w:t>
      </w:r>
      <w:r w:rsidR="004D5171">
        <w:t>finaliz</w:t>
      </w:r>
      <w:r w:rsidR="00406535">
        <w:t>ed</w:t>
      </w:r>
      <w:r w:rsidR="004D5171">
        <w:t xml:space="preserve"> an</w:t>
      </w:r>
      <w:r w:rsidR="001E3C95">
        <w:t xml:space="preserve"> </w:t>
      </w:r>
      <w:r w:rsidR="0069306C">
        <w:t>amend</w:t>
      </w:r>
      <w:r w:rsidR="004D5171">
        <w:t xml:space="preserve">ment to </w:t>
      </w:r>
      <w:r w:rsidR="0090498E">
        <w:t>the annual reporting requirement</w:t>
      </w:r>
      <w:r w:rsidR="00691AFD">
        <w:t xml:space="preserve"> to require</w:t>
      </w:r>
      <w:r w:rsidR="008D7E85">
        <w:t xml:space="preserve"> all</w:t>
      </w:r>
      <w:r w:rsidR="0090498E">
        <w:t xml:space="preserve"> ERISA-covered plans </w:t>
      </w:r>
      <w:r w:rsidR="00691AFD">
        <w:t>plan MEWAs</w:t>
      </w:r>
      <w:r w:rsidR="00D6200A">
        <w:t xml:space="preserve"> and Entities Claiming E</w:t>
      </w:r>
      <w:r w:rsidR="00192566">
        <w:t>xemption (ECEs)</w:t>
      </w:r>
      <w:r w:rsidR="00691AFD">
        <w:t>)</w:t>
      </w:r>
      <w:r w:rsidR="00D6200A">
        <w:t xml:space="preserve"> that are subject to the M-1 filing requirements</w:t>
      </w:r>
      <w:r w:rsidR="00691AFD">
        <w:t xml:space="preserve"> </w:t>
      </w:r>
      <w:r w:rsidR="0090498E">
        <w:t xml:space="preserve">to prove compliance with </w:t>
      </w:r>
      <w:r w:rsidR="00D6200A">
        <w:t xml:space="preserve">such </w:t>
      </w:r>
      <w:r w:rsidR="0090498E">
        <w:t>requirements in order to satisfy the Form 5500 annual reporting requirements</w:t>
      </w:r>
      <w:r w:rsidR="004506B0">
        <w:t xml:space="preserve">. </w:t>
      </w:r>
      <w:r w:rsidR="001E3C95">
        <w:t xml:space="preserve">Accordingly, the Department </w:t>
      </w:r>
      <w:r w:rsidR="004D5171">
        <w:t>finaliz</w:t>
      </w:r>
      <w:r w:rsidR="00406535">
        <w:t>ed</w:t>
      </w:r>
      <w:r w:rsidR="004D5171">
        <w:t xml:space="preserve"> the </w:t>
      </w:r>
      <w:r w:rsidR="00B57F75">
        <w:t>requirement</w:t>
      </w:r>
      <w:r w:rsidR="004D5171">
        <w:t xml:space="preserve"> </w:t>
      </w:r>
      <w:r w:rsidR="001E3C95">
        <w:t>to add a new Part III to the Form 5500, which require</w:t>
      </w:r>
      <w:r w:rsidR="00406535">
        <w:t>s</w:t>
      </w:r>
      <w:r w:rsidR="001E3C95">
        <w:t xml:space="preserve"> plan administrators to report whether an employee welfare benefit plan is a MEWA subject to the Form M-1 requirements</w:t>
      </w:r>
      <w:r w:rsidR="004506B0">
        <w:t xml:space="preserve">. </w:t>
      </w:r>
      <w:r w:rsidR="001E3C95">
        <w:t xml:space="preserve">Plan administrators that indicate the plan is a MEWA also </w:t>
      </w:r>
      <w:r w:rsidR="00406535">
        <w:t xml:space="preserve">are </w:t>
      </w:r>
      <w:r w:rsidR="001E3C95">
        <w:t xml:space="preserve">required to enter the receipt </w:t>
      </w:r>
    </w:p>
    <w:p w:rsidR="00946B74" w:rsidRDefault="001E3C95" w:rsidP="00796BBE">
      <w:pPr>
        <w:widowControl/>
      </w:pPr>
      <w:proofErr w:type="gramStart"/>
      <w:r>
        <w:lastRenderedPageBreak/>
        <w:t>confirmation</w:t>
      </w:r>
      <w:proofErr w:type="gramEnd"/>
      <w:r>
        <w:t xml:space="preserve"> code for the most recent Form M-1 filed with the Department</w:t>
      </w:r>
      <w:r w:rsidR="004506B0">
        <w:t xml:space="preserve">. </w:t>
      </w:r>
      <w:r>
        <w:t>Failure to answer the Form M-1 compliance questions result</w:t>
      </w:r>
      <w:r w:rsidR="00406535">
        <w:t>s</w:t>
      </w:r>
      <w:r>
        <w:t xml:space="preserve"> in rejection of the Form 5500 as </w:t>
      </w:r>
      <w:r w:rsidR="00946B74">
        <w:t>incomplete and civil penalties under ERISA section 502(c</w:t>
      </w:r>
      <w:proofErr w:type="gramStart"/>
      <w:r w:rsidR="00946B74">
        <w:t>)(</w:t>
      </w:r>
      <w:proofErr w:type="gramEnd"/>
      <w:r w:rsidR="00946B74">
        <w:t>2) may be assessed</w:t>
      </w:r>
      <w:r w:rsidR="004506B0">
        <w:t xml:space="preserve">. </w:t>
      </w:r>
      <w:r w:rsidR="0090498E">
        <w:t>This enhance</w:t>
      </w:r>
      <w:r w:rsidR="00406535">
        <w:t>s</w:t>
      </w:r>
      <w:r w:rsidR="0090498E">
        <w:t xml:space="preserve"> the Department’s ability to enforce the Form M-1 requirements by subjecting </w:t>
      </w:r>
      <w:r w:rsidR="00691AFD">
        <w:t>plan MEWAs that</w:t>
      </w:r>
      <w:r w:rsidR="0090498E">
        <w:t xml:space="preserve"> fail to file Form M-1 to the ERISA section 502(2) civil penalty for failure to file a complete Form 5500.</w:t>
      </w:r>
      <w:r w:rsidR="0090498E" w:rsidRPr="00807E0B">
        <w:rPr>
          <w:rStyle w:val="FootnoteReference"/>
          <w:vertAlign w:val="superscript"/>
        </w:rPr>
        <w:footnoteReference w:id="2"/>
      </w:r>
      <w:r w:rsidR="0090498E">
        <w:t xml:space="preserve"> </w:t>
      </w:r>
    </w:p>
    <w:p w:rsidR="004D5171" w:rsidRPr="00DA5EF7" w:rsidDel="00946B74" w:rsidRDefault="004D5171" w:rsidP="00796BBE">
      <w:pPr>
        <w:widowControl/>
      </w:pPr>
    </w:p>
    <w:p w:rsidR="00FF72A5" w:rsidRDefault="00FF72A5" w:rsidP="00796BBE">
      <w:pPr>
        <w:widowControl/>
      </w:pPr>
      <w:r w:rsidRPr="007E76B7">
        <w:t xml:space="preserve">A corresponding change </w:t>
      </w:r>
      <w:r w:rsidR="00406535">
        <w:t xml:space="preserve">was </w:t>
      </w:r>
      <w:r w:rsidR="001E3C95">
        <w:t xml:space="preserve">made that </w:t>
      </w:r>
      <w:r w:rsidRPr="007E76B7">
        <w:t>eliminate</w:t>
      </w:r>
      <w:r w:rsidR="001E3C95">
        <w:t>s</w:t>
      </w:r>
      <w:r w:rsidRPr="007E76B7">
        <w:t xml:space="preserve"> the limited </w:t>
      </w:r>
      <w:r w:rsidR="00691AFD">
        <w:t xml:space="preserve">Form 5500 </w:t>
      </w:r>
      <w:r w:rsidRPr="007E76B7">
        <w:t>filing exemption for insured or unfunded, fully insured, or combination unfunded/fully insured plan MEWAs with fewer than 100 participants</w:t>
      </w:r>
      <w:r w:rsidR="004506B0">
        <w:t xml:space="preserve">. </w:t>
      </w:r>
      <w:r w:rsidRPr="007E76B7">
        <w:t xml:space="preserve">It is important to note that while </w:t>
      </w:r>
      <w:r w:rsidR="001E3C95">
        <w:t>th</w:t>
      </w:r>
      <w:r w:rsidR="00406535">
        <w:t>e</w:t>
      </w:r>
      <w:r w:rsidR="001E3C95">
        <w:t xml:space="preserve"> </w:t>
      </w:r>
      <w:r w:rsidR="00B57F75">
        <w:t xml:space="preserve">amendment </w:t>
      </w:r>
      <w:r w:rsidR="00B57F75" w:rsidRPr="007E76B7">
        <w:t>eliminates</w:t>
      </w:r>
      <w:r w:rsidRPr="007E76B7">
        <w:t xml:space="preserve"> the annual reporting exemption for </w:t>
      </w:r>
      <w:r w:rsidR="00691AFD">
        <w:t xml:space="preserve">plan </w:t>
      </w:r>
      <w:r w:rsidRPr="007E76B7">
        <w:t xml:space="preserve">MEWAs with fewer than 100 participants, </w:t>
      </w:r>
      <w:r w:rsidR="001E3C95">
        <w:t>such</w:t>
      </w:r>
      <w:r w:rsidRPr="007E76B7">
        <w:t xml:space="preserve"> MEWAs </w:t>
      </w:r>
      <w:r w:rsidR="001E3C95">
        <w:t xml:space="preserve">already </w:t>
      </w:r>
      <w:r w:rsidRPr="007E76B7">
        <w:t xml:space="preserve">are subject to the </w:t>
      </w:r>
      <w:r w:rsidR="001E3C95">
        <w:t>Form M-1 requirements</w:t>
      </w:r>
      <w:r w:rsidR="004506B0">
        <w:t xml:space="preserve">. </w:t>
      </w:r>
      <w:r w:rsidRPr="007E76B7">
        <w:t xml:space="preserve">Moreover, the impact of satisfying the </w:t>
      </w:r>
      <w:r w:rsidR="001E3C95">
        <w:t xml:space="preserve">Form 5500 </w:t>
      </w:r>
      <w:r w:rsidRPr="007E76B7">
        <w:t xml:space="preserve">annual reporting </w:t>
      </w:r>
      <w:r w:rsidR="001E3C95">
        <w:t xml:space="preserve">requirements </w:t>
      </w:r>
      <w:r w:rsidRPr="007E76B7">
        <w:t xml:space="preserve">would be substantially less burdensome </w:t>
      </w:r>
      <w:r w:rsidR="00691AFD">
        <w:t xml:space="preserve">for plan MEWAs, </w:t>
      </w:r>
      <w:r w:rsidRPr="007E76B7">
        <w:t xml:space="preserve">because in addition to being eligible for the simplified annual reporting for small welfare plans, </w:t>
      </w:r>
      <w:r w:rsidR="00691AFD">
        <w:t xml:space="preserve">such </w:t>
      </w:r>
      <w:r w:rsidRPr="007E76B7">
        <w:t xml:space="preserve"> MEWAs would be exempt from completing Schedule I (Financial Information)</w:t>
      </w:r>
      <w:r w:rsidR="005E0EEE">
        <w:t xml:space="preserve"> and Schedule C</w:t>
      </w:r>
      <w:r w:rsidR="00740DFB">
        <w:t xml:space="preserve"> (Service Provider Information)</w:t>
      </w:r>
      <w:r w:rsidR="001E3C95">
        <w:t xml:space="preserve"> of the Form 5500</w:t>
      </w:r>
      <w:r w:rsidR="005E0EEE">
        <w:t xml:space="preserve"> or require an audit</w:t>
      </w:r>
      <w:r w:rsidRPr="007E76B7">
        <w:t>.</w:t>
      </w:r>
      <w:r w:rsidRPr="00807E0B">
        <w:rPr>
          <w:rStyle w:val="FootnoteReference"/>
          <w:vertAlign w:val="superscript"/>
        </w:rPr>
        <w:footnoteReference w:id="3"/>
      </w:r>
      <w:r w:rsidRPr="00807E0B">
        <w:rPr>
          <w:vertAlign w:val="superscript"/>
        </w:rPr>
        <w:t xml:space="preserve">  </w:t>
      </w:r>
      <w:r w:rsidRPr="007E76B7">
        <w:t xml:space="preserve">Thus, these </w:t>
      </w:r>
      <w:r w:rsidR="00691AFD">
        <w:t xml:space="preserve">amendments provide </w:t>
      </w:r>
      <w:r w:rsidRPr="007E76B7">
        <w:t>the Secretary an important enforcement tool while imposing minimal burden</w:t>
      </w:r>
      <w:r w:rsidR="001E3C95">
        <w:t>s</w:t>
      </w:r>
      <w:r w:rsidRPr="007E76B7">
        <w:t xml:space="preserve"> on plan MEWAs</w:t>
      </w:r>
      <w:r w:rsidR="004506B0">
        <w:t xml:space="preserve">. </w:t>
      </w:r>
      <w:r w:rsidR="00D6200A">
        <w:t>The Department’s estimate of the hour and cost burden associated with the January 2013 revision is discussed in Items 12 and 13, below.</w:t>
      </w:r>
    </w:p>
    <w:p w:rsidR="00A32BF1" w:rsidRDefault="00A32BF1" w:rsidP="00796BBE">
      <w:pPr>
        <w:widowControl/>
      </w:pPr>
    </w:p>
    <w:p w:rsidR="00A32BF1" w:rsidRDefault="000B0EF6" w:rsidP="00796BBE">
      <w:pPr>
        <w:widowControl/>
      </w:pPr>
      <w:r>
        <w:t>T</w:t>
      </w:r>
      <w:r w:rsidR="00A32BF1">
        <w:t xml:space="preserve">he Department submitted an additional no-material change to the instructions for the 2014 forms that adds the words “or </w:t>
      </w:r>
      <w:proofErr w:type="spellStart"/>
      <w:r w:rsidR="00A32BF1">
        <w:t>Unprocessable</w:t>
      </w:r>
      <w:proofErr w:type="spellEnd"/>
      <w:r w:rsidR="00A32BF1">
        <w:t>” to a caution in the instructions that informs users that they will get a message of "Processing Stopped" or “</w:t>
      </w:r>
      <w:proofErr w:type="spellStart"/>
      <w:r w:rsidR="00A32BF1">
        <w:t>Unprocessable</w:t>
      </w:r>
      <w:proofErr w:type="spellEnd"/>
      <w:r w:rsidR="00A32BF1">
        <w:t>,” if they file a submission in the Form 5500 electronic filing system without a valid electronic signature.</w:t>
      </w:r>
    </w:p>
    <w:p w:rsidR="00D834A3" w:rsidRDefault="00D834A3" w:rsidP="00796BBE">
      <w:pPr>
        <w:widowControl/>
      </w:pPr>
    </w:p>
    <w:p w:rsidR="00051BA4" w:rsidRDefault="00283EC4" w:rsidP="00796BBE">
      <w:pPr>
        <w:widowControl/>
      </w:pPr>
      <w:r>
        <w:t xml:space="preserve">2014 </w:t>
      </w:r>
      <w:r w:rsidR="000A4116">
        <w:t xml:space="preserve">CSEC Act </w:t>
      </w:r>
      <w:r w:rsidR="00051BA4">
        <w:t>Revision</w:t>
      </w:r>
    </w:p>
    <w:p w:rsidR="00051BA4" w:rsidRDefault="00051BA4" w:rsidP="00796BBE">
      <w:pPr>
        <w:widowControl/>
      </w:pPr>
    </w:p>
    <w:p w:rsidR="0068691F" w:rsidRDefault="0068691F" w:rsidP="00796BBE">
      <w:pPr>
        <w:widowControl/>
      </w:pPr>
      <w:r>
        <w:t xml:space="preserve">The Department revised this ICR pursuant to the emergency PRA clearance procedures set forth under 5 CFR 1320.13 to reflect changes made to the Form 5500 reporting requirements by the Cooperative and Small Employer Charity Pension Flexibility Act </w:t>
      </w:r>
      <w:r w:rsidRPr="0005395B">
        <w:t>(the “CSEC Act”), P.L</w:t>
      </w:r>
      <w:r w:rsidR="006D6C26">
        <w:t xml:space="preserve">. </w:t>
      </w:r>
      <w:r w:rsidRPr="0005395B">
        <w:t>113-97, 128 Stat</w:t>
      </w:r>
      <w:r w:rsidR="006D6C26">
        <w:t xml:space="preserve">. </w:t>
      </w:r>
      <w:r w:rsidRPr="0005395B">
        <w:t>1101, enacted on April 7, 2014</w:t>
      </w:r>
      <w:r w:rsidR="006D6C26">
        <w:t xml:space="preserve">. </w:t>
      </w:r>
      <w:r>
        <w:t>The CSEC Act</w:t>
      </w:r>
      <w:r w:rsidRPr="0005395B">
        <w:t xml:space="preserve"> amended the funding rules for pension plans that are maintained by certain cooperatives or charities</w:t>
      </w:r>
      <w:r w:rsidR="006D6C26">
        <w:t xml:space="preserve">. </w:t>
      </w:r>
      <w:r w:rsidRPr="0005395B">
        <w:t xml:space="preserve">In addition, </w:t>
      </w:r>
      <w:r>
        <w:t xml:space="preserve">it </w:t>
      </w:r>
      <w:r w:rsidRPr="0005395B">
        <w:t>created additional annual reporting requirements for multiple employer plans covered by Title I of ERISA</w:t>
      </w:r>
      <w:r w:rsidR="006D6C26">
        <w:t xml:space="preserve">. </w:t>
      </w:r>
      <w:r w:rsidRPr="00826A83">
        <w:t>Specifically, section 104(c) of the CSEC Act amend</w:t>
      </w:r>
      <w:r>
        <w:t>ed</w:t>
      </w:r>
      <w:r w:rsidRPr="00826A83">
        <w:t xml:space="preserve"> </w:t>
      </w:r>
      <w:r>
        <w:t>s</w:t>
      </w:r>
      <w:r w:rsidRPr="00826A83">
        <w:t xml:space="preserve">ection 103 of </w:t>
      </w:r>
      <w:r>
        <w:t>the Employee Retirement Income Security Act of 1974</w:t>
      </w:r>
      <w:r w:rsidRPr="00826A83">
        <w:t xml:space="preserve"> to require th</w:t>
      </w:r>
      <w:r>
        <w:t>at</w:t>
      </w:r>
      <w:r w:rsidRPr="00826A83">
        <w:t xml:space="preserve"> annual reports of multiple employer plans include </w:t>
      </w:r>
      <w:r>
        <w:t>“</w:t>
      </w:r>
      <w:r w:rsidRPr="00826A83">
        <w:t>a list of participating employers</w:t>
      </w:r>
      <w:r>
        <w:t>” and, with respect to each participating employer “</w:t>
      </w:r>
      <w:r w:rsidRPr="00826A83">
        <w:t xml:space="preserve">a good faith estimate of the percentage of total contributions made </w:t>
      </w:r>
      <w:r>
        <w:t>by such</w:t>
      </w:r>
      <w:r w:rsidRPr="00826A83">
        <w:t xml:space="preserve"> participating </w:t>
      </w:r>
      <w:r w:rsidRPr="00826A83">
        <w:lastRenderedPageBreak/>
        <w:t>employer</w:t>
      </w:r>
      <w:r>
        <w:t>s</w:t>
      </w:r>
      <w:r w:rsidRPr="00826A83">
        <w:t xml:space="preserve"> during the plan year</w:t>
      </w:r>
      <w:r w:rsidR="006D6C26">
        <w:t xml:space="preserve">. </w:t>
      </w:r>
      <w:r>
        <w:t>The provision became effective for plan years beginning on or after December 31, 2013</w:t>
      </w:r>
      <w:r w:rsidR="006D6C26">
        <w:t xml:space="preserve">. </w:t>
      </w:r>
      <w:r>
        <w:t>The new information is reported on the 2014 forms</w:t>
      </w:r>
      <w:r w:rsidR="00D14A1A">
        <w:t xml:space="preserve">. </w:t>
      </w:r>
      <w:r>
        <w:t>EBSA made new forms and amended instructions available so that filers can meet their filing deadlines which generally begin as early as July 31, 2015</w:t>
      </w:r>
      <w:r w:rsidR="00D14A1A">
        <w:t xml:space="preserve">. </w:t>
      </w:r>
      <w:r w:rsidR="00662CD4">
        <w:t>OMB approved the ICR on November 12, 2014, and the ICR is scheduled to expire on May 31, 2015</w:t>
      </w:r>
      <w:r w:rsidR="00D14A1A">
        <w:t xml:space="preserve">. </w:t>
      </w:r>
      <w:r w:rsidR="00662CD4">
        <w:t>The Department is hereby requesting OMB to extend the renewal for three years</w:t>
      </w:r>
      <w:r w:rsidR="00D14A1A">
        <w:t>.</w:t>
      </w:r>
    </w:p>
    <w:p w:rsidR="00097EF1" w:rsidRDefault="00097EF1" w:rsidP="00796BBE">
      <w:pPr>
        <w:widowControl/>
      </w:pPr>
    </w:p>
    <w:p w:rsidR="00097EF1" w:rsidRDefault="00097EF1" w:rsidP="00796BBE">
      <w:pPr>
        <w:pStyle w:val="Quick1"/>
        <w:widowControl/>
      </w:pPr>
      <w:r>
        <w:t>Indicate how, by whom, and for what purpose the information is to be used</w:t>
      </w:r>
      <w:r w:rsidR="00D14A1A">
        <w:t xml:space="preserve">. </w:t>
      </w:r>
      <w:r>
        <w:t>Except for a new collection, indicate the actual use the agency has made of the information received from the current collection.</w:t>
      </w:r>
    </w:p>
    <w:p w:rsidR="00097EF1" w:rsidRDefault="00097EF1" w:rsidP="00796BBE">
      <w:pPr>
        <w:widowControl/>
      </w:pPr>
    </w:p>
    <w:p w:rsidR="00097EF1" w:rsidRDefault="00097EF1" w:rsidP="00796BBE">
      <w:pPr>
        <w:widowControl/>
      </w:pPr>
      <w:r>
        <w:t>The Form 5500 return/reports are the principal source of information and data available to the Department, the IRS</w:t>
      </w:r>
      <w:r w:rsidR="00E853EC">
        <w:t>,</w:t>
      </w:r>
      <w:r>
        <w:t xml:space="preserve"> and the PBGC (the Age</w:t>
      </w:r>
      <w:r w:rsidR="002448D0">
        <w:t>ncies) concerning the operation</w:t>
      </w:r>
      <w:r>
        <w:t xml:space="preserve"> of employee benefit plans</w:t>
      </w:r>
      <w:r w:rsidR="00D14A1A">
        <w:t xml:space="preserve">. </w:t>
      </w:r>
      <w:r>
        <w:t>For this reason, the Form 5500 constitutes an integral part of the Agencies’ enforcement, research</w:t>
      </w:r>
      <w:r w:rsidR="00E853EC">
        <w:t>,</w:t>
      </w:r>
      <w:r>
        <w:t xml:space="preserve"> and policy formulation programs</w:t>
      </w:r>
      <w:r w:rsidR="00D14A1A">
        <w:t xml:space="preserve">. </w:t>
      </w:r>
      <w:r>
        <w:t>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0796BBE">
        <w:t xml:space="preserve">. </w:t>
      </w:r>
      <w:r>
        <w:t>The annual report also provides a fundamental tool for investigators in reviewing the operations and activities of employee benefit plans and identifying potential violations of the statute and regulations</w:t>
      </w:r>
      <w:r w:rsidR="00796BBE">
        <w:t xml:space="preserve">. </w:t>
      </w:r>
      <w:r>
        <w:t>Furthermore, public disclosure of the annual reports is intended to serve as a deterrent to non-compliance with the statutory duties imposed on plan fiduciaries</w:t>
      </w:r>
      <w:r w:rsidR="00796BBE">
        <w:t>.</w:t>
      </w:r>
    </w:p>
    <w:p w:rsidR="00097EF1" w:rsidRDefault="00097EF1" w:rsidP="00796BBE">
      <w:pPr>
        <w:widowControl/>
      </w:pPr>
    </w:p>
    <w:p w:rsidR="00097EF1" w:rsidRDefault="00097EF1" w:rsidP="00796BBE">
      <w:pPr>
        <w:widowControl/>
      </w:pPr>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p>
    <w:p w:rsidR="00097EF1" w:rsidRDefault="00097EF1" w:rsidP="00796BBE">
      <w:pPr>
        <w:widowControl/>
      </w:pPr>
    </w:p>
    <w:p w:rsidR="00097EF1" w:rsidRDefault="00097EF1" w:rsidP="00796BBE">
      <w:pPr>
        <w:widowControl/>
      </w:pPr>
      <w:r>
        <w:t>In addition to providing the Agencies with important enforcement, research, and policy information, the Form 5500 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w:t>
      </w:r>
      <w:r w:rsidR="00796BBE" w:rsidRPr="00796BBE">
        <w:t xml:space="preserve"> </w:t>
      </w:r>
      <w:r w:rsidR="00796BBE">
        <w:t xml:space="preserve">. </w:t>
      </w:r>
      <w:r>
        <w:t>Moreover, the annual report serves as the basis for the summary annual report, which administrators are generally required to furnish to each participant and beneficiary annually</w:t>
      </w:r>
      <w:r w:rsidR="00120DC5">
        <w:t xml:space="preserve">, except </w:t>
      </w:r>
      <w:r w:rsidR="006334C4">
        <w:t>those covered by defined benefit plans</w:t>
      </w:r>
      <w:r>
        <w:t>.</w:t>
      </w:r>
    </w:p>
    <w:p w:rsidR="00097EF1" w:rsidRDefault="00097EF1" w:rsidP="00796BBE">
      <w:pPr>
        <w:widowControl/>
      </w:pPr>
    </w:p>
    <w:p w:rsidR="00097EF1" w:rsidRDefault="006334C4" w:rsidP="00796BBE">
      <w:pPr>
        <w:widowControl/>
      </w:pPr>
      <w:r>
        <w:t xml:space="preserve">Approximately </w:t>
      </w:r>
      <w:r w:rsidR="00097EF1" w:rsidRPr="002104CC">
        <w:t>8</w:t>
      </w:r>
      <w:r w:rsidR="002F5863">
        <w:t>22</w:t>
      </w:r>
      <w:r w:rsidR="00097EF1" w:rsidRPr="002104CC">
        <w:t>,000</w:t>
      </w:r>
      <w:r w:rsidR="00097EF1">
        <w:t xml:space="preserve"> pension and welfare benefit plans must file the Form 5500 under Title I and IV of ERISA and the Code</w:t>
      </w:r>
      <w:r w:rsidR="00796BBE">
        <w:t xml:space="preserve">. </w:t>
      </w:r>
      <w:r w:rsidR="00097EF1">
        <w:t xml:space="preserve">These plans cover an estimated </w:t>
      </w:r>
      <w:r w:rsidR="00097EF1" w:rsidRPr="00750AED">
        <w:t>1</w:t>
      </w:r>
      <w:r w:rsidR="00762302">
        <w:t>42</w:t>
      </w:r>
      <w:r w:rsidR="00097EF1" w:rsidRPr="00750AED">
        <w:t xml:space="preserve"> million participants</w:t>
      </w:r>
      <w:r w:rsidR="00097EF1">
        <w:t xml:space="preserve"> and hold an estimated </w:t>
      </w:r>
      <w:r w:rsidR="00097EF1" w:rsidRPr="00750AED">
        <w:t>$</w:t>
      </w:r>
      <w:r w:rsidR="00762302">
        <w:t>8.5</w:t>
      </w:r>
      <w:r w:rsidR="00097EF1" w:rsidRPr="00750AED">
        <w:t xml:space="preserve"> trillion in assets</w:t>
      </w:r>
      <w:r w:rsidR="00796BBE">
        <w:t xml:space="preserve">. </w:t>
      </w:r>
      <w:r w:rsidR="00097EF1">
        <w:t xml:space="preserve">The annual report/reports are therefore important tools for protecting the benefits of </w:t>
      </w:r>
      <w:r w:rsidR="00FC46DB">
        <w:t xml:space="preserve">millions of </w:t>
      </w:r>
      <w:r w:rsidR="00097EF1">
        <w:t>American workers.</w:t>
      </w:r>
    </w:p>
    <w:p w:rsidR="00097EF1" w:rsidRDefault="00097EF1" w:rsidP="00796BBE">
      <w:pPr>
        <w:widowControl/>
        <w:ind w:firstLine="720"/>
      </w:pPr>
    </w:p>
    <w:p w:rsidR="00097EF1" w:rsidRDefault="00097EF1" w:rsidP="00796BBE">
      <w:pPr>
        <w:pStyle w:val="Quick1"/>
        <w:widowControl/>
      </w:pPr>
      <w: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6BBE">
        <w:t xml:space="preserve">. </w:t>
      </w:r>
      <w:r>
        <w:t>Also describe any consideration for using information technology to reduce burden.</w:t>
      </w:r>
    </w:p>
    <w:p w:rsidR="00097EF1" w:rsidRDefault="00097EF1" w:rsidP="00796BBE">
      <w:pPr>
        <w:widowControl/>
      </w:pPr>
    </w:p>
    <w:p w:rsidR="00097EF1" w:rsidRDefault="00097EF1" w:rsidP="00796BBE">
      <w:pPr>
        <w:widowControl/>
      </w:pPr>
      <w:r>
        <w:t>The Agencies currently use an automated processing system, the ERISA Filing Acceptance System</w:t>
      </w:r>
      <w:r w:rsidR="00FC46DB">
        <w:t xml:space="preserve"> 2</w:t>
      </w:r>
      <w:r>
        <w:t xml:space="preserve"> or EFAST</w:t>
      </w:r>
      <w:r w:rsidR="00FC46DB">
        <w:t>2</w:t>
      </w:r>
      <w:r>
        <w:t xml:space="preserve">, to </w:t>
      </w:r>
      <w:r w:rsidR="00FC46DB">
        <w:t>process the Form 5500 filings</w:t>
      </w:r>
      <w:r w:rsidR="00B2172C">
        <w:t xml:space="preserve">. </w:t>
      </w:r>
      <w:r>
        <w:t xml:space="preserve">The </w:t>
      </w:r>
      <w:r w:rsidR="006334C4">
        <w:t xml:space="preserve">combined effect of the </w:t>
      </w:r>
      <w:r>
        <w:t xml:space="preserve">transition to electronic filing, the </w:t>
      </w:r>
      <w:r w:rsidR="006334C4">
        <w:t>implementation of the EFAST2 proc</w:t>
      </w:r>
      <w:r>
        <w:t>essing system</w:t>
      </w:r>
      <w:r w:rsidR="006334C4">
        <w:t>,</w:t>
      </w:r>
      <w:r>
        <w:t xml:space="preserve"> and the revised Form 5500 return/reports </w:t>
      </w:r>
      <w:r w:rsidR="006334C4">
        <w:t xml:space="preserve">has reduced </w:t>
      </w:r>
      <w:r>
        <w:t>lessen the paperwork burden imposed by the reporting requirements that are the basis for this information collection</w:t>
      </w:r>
      <w:r w:rsidR="00B2172C">
        <w:t xml:space="preserve">. </w:t>
      </w:r>
      <w:r w:rsidR="00E114A8">
        <w:t>For example, the Department’s share of the hour burden has been reduced from 1.9 million hours when the ICR was extended in 2004 to 5</w:t>
      </w:r>
      <w:r w:rsidR="009D17B7">
        <w:t>82</w:t>
      </w:r>
      <w:r w:rsidR="00E114A8">
        <w:t>,000 in the current ICR extension request, and its share of the cost burden has been reduced from $664 million to $</w:t>
      </w:r>
      <w:r w:rsidR="009D17B7">
        <w:t>229</w:t>
      </w:r>
      <w:r w:rsidR="00E114A8">
        <w:t xml:space="preserve"> million over the same timeframe</w:t>
      </w:r>
      <w:r w:rsidR="00B2172C">
        <w:t>.</w:t>
      </w:r>
    </w:p>
    <w:p w:rsidR="00097EF1" w:rsidRDefault="00097EF1" w:rsidP="00796BBE">
      <w:pPr>
        <w:widowControl/>
        <w:ind w:firstLine="720"/>
      </w:pPr>
    </w:p>
    <w:p w:rsidR="00097EF1" w:rsidRDefault="00097EF1" w:rsidP="00796BBE">
      <w:pPr>
        <w:widowControl/>
        <w:ind w:firstLine="720"/>
        <w:sectPr w:rsidR="00097EF1">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rsidR="00097EF1" w:rsidRDefault="00097EF1" w:rsidP="00796BBE">
      <w:pPr>
        <w:pStyle w:val="Quick1"/>
        <w:widowControl/>
      </w:pPr>
      <w:r>
        <w:lastRenderedPageBreak/>
        <w:t>Describe efforts to identify duplication</w:t>
      </w:r>
      <w:r w:rsidR="00B2172C">
        <w:t xml:space="preserve">. </w:t>
      </w:r>
      <w:r>
        <w:t>Show specifically why any similar information already available cannot be used or modified for use for the purposes described in Item 2 above</w:t>
      </w:r>
      <w:r w:rsidR="00B2172C">
        <w:t>.</w:t>
      </w:r>
    </w:p>
    <w:p w:rsidR="00097EF1" w:rsidRDefault="00097EF1" w:rsidP="00796BBE">
      <w:pPr>
        <w:widowControl/>
      </w:pPr>
    </w:p>
    <w:p w:rsidR="00097EF1" w:rsidRDefault="00097EF1" w:rsidP="00796BBE">
      <w:pPr>
        <w:widowControl/>
      </w:pPr>
      <w:r>
        <w:t>The Agencies have developed and use a consolidated annual report that allows filers to satisfy the information collection requirements of all three agencies through a single filing, without duplication of effort or information collection</w:t>
      </w:r>
      <w:r w:rsidR="00B2172C">
        <w:t xml:space="preserve">. </w:t>
      </w:r>
      <w:r>
        <w:t>This eliminates the duplicative reporting that would otherwise result from application of the statutory provisions as written</w:t>
      </w:r>
      <w:r w:rsidR="00B2172C">
        <w:t xml:space="preserve">. </w:t>
      </w:r>
      <w:r>
        <w:t>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w:t>
      </w:r>
      <w:r w:rsidR="00B2172C">
        <w:t xml:space="preserve">. </w:t>
      </w:r>
      <w:r>
        <w:t>Therefore, there is no similar information gathered or maintained by any state or Federal agency or other source that the Agencies would consider adequate for effectively monitoring the activities of employee benefit plans</w:t>
      </w:r>
      <w:r w:rsidR="00B2172C">
        <w:t>.</w:t>
      </w:r>
    </w:p>
    <w:p w:rsidR="00097EF1" w:rsidRDefault="00097EF1" w:rsidP="00796BBE">
      <w:pPr>
        <w:widowControl/>
      </w:pPr>
    </w:p>
    <w:p w:rsidR="00097EF1" w:rsidRDefault="00097EF1" w:rsidP="00796BBE">
      <w:pPr>
        <w:pStyle w:val="Quick1"/>
        <w:widowControl/>
      </w:pPr>
      <w:r>
        <w:t>If the collection of information impacts small businesses or other small entities, describe any methods used to minimize burden.</w:t>
      </w:r>
    </w:p>
    <w:p w:rsidR="00097EF1" w:rsidRDefault="00097EF1" w:rsidP="00796BBE">
      <w:pPr>
        <w:widowControl/>
      </w:pPr>
    </w:p>
    <w:p w:rsidR="00097EF1" w:rsidRDefault="00097EF1" w:rsidP="00796BBE">
      <w:pPr>
        <w:widowControl/>
      </w:pPr>
      <w:r>
        <w:t>For purposes of the Paperwork Reduction Act (PRA) and for other purposes, the Employee Benefit Security Administration (EBSA) defines “small entity” as an employee benefit plan that has fewer than 100 participants</w:t>
      </w:r>
      <w:r w:rsidR="007A2AE6">
        <w:t xml:space="preserve">. </w:t>
      </w:r>
      <w:r>
        <w:t>Support for this definition can be found in section 104(a</w:t>
      </w:r>
      <w:proofErr w:type="gramStart"/>
      <w:r>
        <w:t>)(</w:t>
      </w:r>
      <w:proofErr w:type="gramEnd"/>
      <w:r>
        <w:t>2) of ERISA</w:t>
      </w:r>
      <w:r w:rsidR="00FE29CA">
        <w:t xml:space="preserve"> </w:t>
      </w:r>
      <w:r>
        <w:t>permits the Secretary of Labor to prescribe simplified annual reports for pension plans which cover fewer than 100 participants</w:t>
      </w:r>
      <w:r w:rsidR="007A2AE6">
        <w:t xml:space="preserve">. </w:t>
      </w:r>
      <w:r>
        <w:t>Under section 104(a</w:t>
      </w:r>
      <w:proofErr w:type="gramStart"/>
      <w:r>
        <w:t>)(</w:t>
      </w:r>
      <w:proofErr w:type="gramEnd"/>
      <w:r>
        <w:t xml:space="preserve">3), the Secretary may also provide for simplified annual reporting and disclosure if the statutory requirements of part 1 of </w:t>
      </w:r>
      <w:r>
        <w:lastRenderedPageBreak/>
        <w:t>Title I of ERISA would otherwise be inappropriate for welfare plans</w:t>
      </w:r>
      <w:r w:rsidR="007A2AE6">
        <w:t xml:space="preserve">. </w:t>
      </w:r>
      <w:r>
        <w:t>Some large employers may have small plans, but in general, most small plans are maintained by small employers.</w:t>
      </w:r>
    </w:p>
    <w:p w:rsidR="00097EF1" w:rsidRDefault="00097EF1" w:rsidP="00796BBE">
      <w:pPr>
        <w:widowControl/>
      </w:pPr>
    </w:p>
    <w:p w:rsidR="00097EF1" w:rsidRDefault="00097EF1" w:rsidP="00796BBE">
      <w:pPr>
        <w:widowControl/>
      </w:pPr>
      <w:r>
        <w:t>Pursuant to the authority of section 104(a)(3), the Department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r w:rsidR="007A2AE6">
        <w:t>.</w:t>
      </w:r>
    </w:p>
    <w:p w:rsidR="00097EF1" w:rsidRDefault="00097EF1" w:rsidP="00796BBE">
      <w:pPr>
        <w:widowControl/>
      </w:pPr>
    </w:p>
    <w:p w:rsidR="00097EF1" w:rsidRDefault="00097EF1" w:rsidP="00796BBE">
      <w:pPr>
        <w:widowControl/>
      </w:pPr>
      <w:r>
        <w:t>In the past, the Agencies have taken a number of other steps intended to ease small plans’ burdens and costs attributable to the annual return/report</w:t>
      </w:r>
      <w:r w:rsidR="007A2AE6">
        <w:t xml:space="preserve">. </w:t>
      </w:r>
      <w:r>
        <w:t>For example, the Agencies currently allow plans with between 80 and 120 participants to continue filing the same category of annual report that was filed the previous year in order to provide administrative flexibility at the small/large plan threshold</w:t>
      </w:r>
      <w:r w:rsidR="007A2AE6">
        <w:t xml:space="preserve">. </w:t>
      </w:r>
      <w:r w:rsidR="00FC46DB">
        <w:t xml:space="preserve">In 2009, </w:t>
      </w:r>
      <w:r>
        <w:t>a</w:t>
      </w:r>
      <w:r w:rsidR="00BC5B7B">
        <w:t xml:space="preserve"> simplified reporting option for </w:t>
      </w:r>
      <w:r w:rsidR="00FC46DB">
        <w:t>small plans</w:t>
      </w:r>
      <w:r w:rsidR="003D2AC2">
        <w:t>–the Form 5500-SF–</w:t>
      </w:r>
      <w:r w:rsidR="00FC46DB">
        <w:t xml:space="preserve">was added to </w:t>
      </w:r>
      <w:r>
        <w:t xml:space="preserve">provide simplified reporting for certain small plans (e.g., </w:t>
      </w:r>
      <w:r w:rsidR="003D2AC2">
        <w:t>plans with fewer than 100 participants</w:t>
      </w:r>
      <w:r>
        <w:t xml:space="preserve"> with easy to value investment portfolios)</w:t>
      </w:r>
      <w:r w:rsidR="007A2AE6">
        <w:t>.</w:t>
      </w:r>
    </w:p>
    <w:p w:rsidR="00097EF1" w:rsidRDefault="00097EF1" w:rsidP="00796BBE">
      <w:pPr>
        <w:widowControl/>
      </w:pPr>
    </w:p>
    <w:p w:rsidR="00097EF1" w:rsidRDefault="00097EF1" w:rsidP="00796BBE">
      <w:pPr>
        <w:pStyle w:val="Quick1"/>
        <w:widowControl/>
      </w:pPr>
      <w:r>
        <w:t>Describe the consequence to Federal program or policy activities if the collection is not conducted or is conducted less frequently, as well as any technical or legal obstacles to reducing burden.</w:t>
      </w:r>
    </w:p>
    <w:p w:rsidR="00097EF1" w:rsidRDefault="00097EF1" w:rsidP="00796BBE">
      <w:pPr>
        <w:widowControl/>
        <w:tabs>
          <w:tab w:val="left" w:pos="-1440"/>
        </w:tabs>
        <w:ind w:left="720" w:hanging="720"/>
        <w:rPr>
          <w:sz w:val="20"/>
          <w:szCs w:val="20"/>
        </w:rPr>
      </w:pPr>
    </w:p>
    <w:p w:rsidR="00097EF1" w:rsidRDefault="00097EF1" w:rsidP="00796BBE">
      <w:pPr>
        <w:widowControl/>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796BBE">
      <w:pPr>
        <w:widowControl/>
      </w:pPr>
      <w:r>
        <w:lastRenderedPageBreak/>
        <w:t xml:space="preserve">ERISA and the Code specifically require the </w:t>
      </w:r>
      <w:r w:rsidR="00E114A8">
        <w:t xml:space="preserve">annual </w:t>
      </w:r>
      <w:r>
        <w:t>filing of reports or returns by employee benefit plans</w:t>
      </w:r>
      <w:r w:rsidR="007A2AE6">
        <w:t xml:space="preserve">. </w:t>
      </w:r>
      <w:r>
        <w:t>A less frequent information collection could contravene statutory requirements and would also impair and inhibit the administration and enforcement of the statute by the Agencies</w:t>
      </w:r>
      <w:r w:rsidR="007A2AE6">
        <w:t>.</w:t>
      </w:r>
    </w:p>
    <w:p w:rsidR="00097EF1" w:rsidRDefault="00097EF1" w:rsidP="00796BBE">
      <w:pPr>
        <w:widowControl/>
      </w:pPr>
    </w:p>
    <w:p w:rsidR="00097EF1" w:rsidRDefault="00097EF1" w:rsidP="00796BBE">
      <w:pPr>
        <w:pStyle w:val="Quick1"/>
        <w:widowControl/>
      </w:pPr>
      <w:r>
        <w:t>Explain any special circumstances that would cause an information collection to be conducted in a manner:</w:t>
      </w:r>
    </w:p>
    <w:p w:rsidR="00097EF1" w:rsidRPr="00EF434C" w:rsidRDefault="00097EF1" w:rsidP="00796BBE">
      <w:pPr>
        <w:widowControl/>
        <w:tabs>
          <w:tab w:val="left" w:pos="-1440"/>
        </w:tabs>
        <w:ind w:left="1440" w:hanging="720"/>
        <w:rPr>
          <w:i/>
          <w:iCs/>
        </w:rPr>
      </w:pPr>
      <w:r w:rsidRPr="00EF434C">
        <w:rPr>
          <w:i/>
          <w:iCs/>
        </w:rPr>
        <w:t>•</w:t>
      </w:r>
      <w:r w:rsidRPr="00EF434C">
        <w:rPr>
          <w:i/>
          <w:iCs/>
        </w:rPr>
        <w:tab/>
      </w:r>
      <w:proofErr w:type="gramStart"/>
      <w:r w:rsidRPr="00EF434C">
        <w:rPr>
          <w:i/>
          <w:iCs/>
        </w:rPr>
        <w:t>requiring</w:t>
      </w:r>
      <w:proofErr w:type="gramEnd"/>
      <w:r w:rsidRPr="00EF434C">
        <w:rPr>
          <w:i/>
          <w:iCs/>
        </w:rPr>
        <w:t xml:space="preserve"> respondents to report information to the agency more often than quarterly;</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more than an original and two copies of any document;</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00097EF1" w:rsidRPr="00EF434C" w:rsidRDefault="00097EF1" w:rsidP="00796BBE">
      <w:pPr>
        <w:widowControl/>
        <w:tabs>
          <w:tab w:val="left" w:pos="-1440"/>
        </w:tabs>
        <w:ind w:left="1440" w:hanging="720"/>
        <w:rPr>
          <w:i/>
          <w:iCs/>
        </w:rPr>
      </w:pPr>
      <w:r w:rsidRPr="00EF434C">
        <w:rPr>
          <w:i/>
          <w:iCs/>
        </w:rPr>
        <w:t>•</w:t>
      </w:r>
      <w:r w:rsidRPr="00EF434C">
        <w:rPr>
          <w:i/>
          <w:iCs/>
        </w:rPr>
        <w:tab/>
      </w:r>
      <w:proofErr w:type="gramStart"/>
      <w:r w:rsidRPr="00EF434C">
        <w:rPr>
          <w:i/>
          <w:iCs/>
        </w:rPr>
        <w:t>in</w:t>
      </w:r>
      <w:proofErr w:type="gramEnd"/>
      <w:r w:rsidRPr="00EF434C">
        <w:rPr>
          <w:i/>
          <w:iCs/>
        </w:rPr>
        <w:t xml:space="preserve"> connection with a statistical survey, that is not designed to produce valid and reliable results that can be generalized to the universe of study;</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00097EF1" w:rsidRPr="00EF434C" w:rsidRDefault="00097EF1" w:rsidP="00796BBE">
      <w:pPr>
        <w:widowControl/>
        <w:tabs>
          <w:tab w:val="left" w:pos="-1440"/>
        </w:tabs>
        <w:ind w:left="1440" w:hanging="720"/>
        <w:rPr>
          <w:i/>
          <w:iCs/>
        </w:rPr>
      </w:pPr>
      <w:r w:rsidRPr="00EF434C">
        <w:rPr>
          <w:i/>
          <w:iCs/>
        </w:rPr>
        <w:lastRenderedPageBreak/>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00097EF1" w:rsidRPr="00EF434C" w:rsidRDefault="00097EF1" w:rsidP="00796BBE">
      <w:pPr>
        <w:widowControl/>
      </w:pPr>
    </w:p>
    <w:p w:rsidR="00097EF1" w:rsidRDefault="00FA1A1B" w:rsidP="00796BBE">
      <w:pPr>
        <w:widowControl/>
      </w:pPr>
      <w:r>
        <w:t xml:space="preserve">This information collection implicates none of the special </w:t>
      </w:r>
      <w:r w:rsidR="0012579F">
        <w:t>circumstances</w:t>
      </w:r>
      <w:r w:rsidR="00097EF1">
        <w:t>.</w:t>
      </w:r>
    </w:p>
    <w:p w:rsidR="00097EF1" w:rsidRDefault="00097EF1" w:rsidP="00796BBE">
      <w:pPr>
        <w:widowControl/>
      </w:pPr>
    </w:p>
    <w:p w:rsidR="00097EF1" w:rsidRDefault="00097EF1" w:rsidP="00796BBE">
      <w:pPr>
        <w:pStyle w:val="Quick1"/>
        <w:widowControl/>
      </w:pPr>
      <w:bookmarkStart w:id="0" w:name="OLE_LINK7"/>
      <w:bookmarkStart w:id="1" w:name="OLE_LINK8"/>
      <w:r>
        <w:t>If applicable, provide a copy and identify the date and page number of publication in the Federal Register of the agency's notice, required by 5 CFR 1320.8(d), soliciting comments on the information collection prior to submission to OMB</w:t>
      </w:r>
      <w:r w:rsidR="00F55421">
        <w:t xml:space="preserve">. </w:t>
      </w:r>
      <w:r>
        <w:t>Summarize public comments received in response to that notice and describe actions taken by the agency in response to these comments</w:t>
      </w:r>
      <w:r w:rsidR="00F55421">
        <w:t xml:space="preserve">. </w:t>
      </w:r>
      <w:r>
        <w:t>Specifically address comments received on cost and hour burden.</w:t>
      </w:r>
    </w:p>
    <w:p w:rsidR="00097EF1" w:rsidRDefault="00097EF1" w:rsidP="00796BBE">
      <w:pPr>
        <w:widowControl/>
        <w:rPr>
          <w:i/>
          <w:iCs/>
          <w:sz w:val="20"/>
          <w:szCs w:val="20"/>
        </w:rPr>
      </w:pPr>
    </w:p>
    <w:p w:rsidR="00097EF1" w:rsidRDefault="00097EF1" w:rsidP="00796BBE">
      <w:pPr>
        <w:widowControl/>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Pr="00EF434C" w:rsidRDefault="00097EF1" w:rsidP="00796BBE">
      <w:pPr>
        <w:widowControl/>
        <w:ind w:left="720"/>
        <w:rPr>
          <w:i/>
          <w:iCs/>
        </w:rPr>
      </w:pPr>
      <w:r w:rsidRPr="00EF434C">
        <w:rPr>
          <w:i/>
          <w:i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7EF1" w:rsidRPr="00EF434C" w:rsidRDefault="00097EF1" w:rsidP="00796BBE">
      <w:pPr>
        <w:widowControl/>
        <w:rPr>
          <w:i/>
          <w:iCs/>
        </w:rPr>
      </w:pPr>
    </w:p>
    <w:p w:rsidR="00097EF1" w:rsidRPr="00EF434C" w:rsidRDefault="00097EF1" w:rsidP="00796BBE">
      <w:pPr>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w:t>
      </w:r>
      <w:r w:rsidR="00F55421">
        <w:t xml:space="preserve">. </w:t>
      </w:r>
      <w:r w:rsidRPr="00EF434C">
        <w:rPr>
          <w:i/>
          <w:iCs/>
        </w:rPr>
        <w:t>There may be circumstances that may preclude consultation in a specific situation</w:t>
      </w:r>
      <w:r w:rsidR="00F55421">
        <w:t xml:space="preserve">. </w:t>
      </w:r>
      <w:r w:rsidRPr="00EF434C">
        <w:rPr>
          <w:i/>
          <w:iCs/>
        </w:rPr>
        <w:t>These circumstances should be explained.</w:t>
      </w:r>
    </w:p>
    <w:p w:rsidR="00433EDA" w:rsidRDefault="00433EDA" w:rsidP="00796BBE">
      <w:pPr>
        <w:widowControl/>
      </w:pPr>
    </w:p>
    <w:p w:rsidR="000A4116" w:rsidRDefault="000A4116" w:rsidP="00796BBE">
      <w:pPr>
        <w:widowControl/>
      </w:pPr>
    </w:p>
    <w:p w:rsidR="00180D17" w:rsidRDefault="008E2857" w:rsidP="00796BBE">
      <w:pPr>
        <w:widowControl/>
      </w:pPr>
      <w:r>
        <w:t>The Department published an Interim Final Rule (IFR) on November 10, 2014, (79 FR 66617) that provided the public a 60-day comment period regarding the requirements in the rule, including those related to the collection of information</w:t>
      </w:r>
      <w:r w:rsidR="00A75D16">
        <w:t xml:space="preserve">.  </w:t>
      </w:r>
      <w:r>
        <w:t>Since the OMB had authorized the information collections in the IFR under the PRA’s emergency processing procedures, t</w:t>
      </w:r>
      <w:r w:rsidR="00180D17">
        <w:t xml:space="preserve">he Department </w:t>
      </w:r>
      <w:r>
        <w:t xml:space="preserve">simultaneously </w:t>
      </w:r>
      <w:r w:rsidR="00180D17">
        <w:t xml:space="preserve">published </w:t>
      </w:r>
      <w:r w:rsidR="00122453">
        <w:t>the Federal Register Notice (FRN)</w:t>
      </w:r>
      <w:r w:rsidR="00180D17">
        <w:t xml:space="preserve"> </w:t>
      </w:r>
      <w:r w:rsidR="00F72387">
        <w:t xml:space="preserve">required by 5 CFR 1320.8(d) </w:t>
      </w:r>
      <w:r w:rsidR="00122453">
        <w:t xml:space="preserve">to </w:t>
      </w:r>
      <w:r w:rsidR="00180D17">
        <w:t>provid</w:t>
      </w:r>
      <w:r w:rsidR="00122453">
        <w:t>e</w:t>
      </w:r>
      <w:r w:rsidR="00180D17">
        <w:t xml:space="preserve"> the public with 60 days to comment </w:t>
      </w:r>
      <w:r w:rsidR="00F72387">
        <w:t>on the ICR</w:t>
      </w:r>
      <w:r w:rsidR="004561D4">
        <w:t>, as</w:t>
      </w:r>
      <w:r w:rsidR="00F72387">
        <w:t xml:space="preserve"> revised by the CSEC </w:t>
      </w:r>
      <w:r w:rsidR="004561D4">
        <w:t>and its IFR, in order to meet the requirements to extend the PRA authorization</w:t>
      </w:r>
      <w:r w:rsidR="00A75D16">
        <w:t xml:space="preserve">.  </w:t>
      </w:r>
      <w:r w:rsidR="008B109D" w:rsidRPr="008B109D">
        <w:rPr>
          <w:i/>
        </w:rPr>
        <w:t>See</w:t>
      </w:r>
      <w:r w:rsidR="00432E1A">
        <w:rPr>
          <w:i/>
        </w:rPr>
        <w:t xml:space="preserve"> </w:t>
      </w:r>
      <w:r w:rsidR="00180D17">
        <w:t>79 FR 66741</w:t>
      </w:r>
      <w:r w:rsidR="00A75D16">
        <w:t xml:space="preserve">.  </w:t>
      </w:r>
    </w:p>
    <w:p w:rsidR="00180D17" w:rsidRDefault="00180D17" w:rsidP="00796BBE">
      <w:pPr>
        <w:widowControl/>
      </w:pPr>
    </w:p>
    <w:p w:rsidR="004E175B" w:rsidRDefault="00A6363A" w:rsidP="00796BBE">
      <w:pPr>
        <w:widowControl/>
      </w:pPr>
      <w:r>
        <w:t xml:space="preserve">The Department received five comments regarding the IFR </w:t>
      </w:r>
      <w:r w:rsidR="00B251A2">
        <w:t xml:space="preserve">from Professional Employer Organizations </w:t>
      </w:r>
      <w:r w:rsidR="0006495C">
        <w:t xml:space="preserve">(PEO) </w:t>
      </w:r>
      <w:r w:rsidR="00B251A2">
        <w:t>who</w:t>
      </w:r>
      <w:r w:rsidR="00D124E9">
        <w:t xml:space="preserve"> </w:t>
      </w:r>
      <w:r w:rsidR="00B251A2" w:rsidRPr="00B251A2">
        <w:t xml:space="preserve">expressed concern </w:t>
      </w:r>
      <w:r w:rsidR="00B251A2">
        <w:t xml:space="preserve">that </w:t>
      </w:r>
      <w:r w:rsidR="00B251A2" w:rsidRPr="00B251A2">
        <w:t>requiring a list of multiple employer plan adopters on the</w:t>
      </w:r>
      <w:r w:rsidR="00B251A2">
        <w:t>ir</w:t>
      </w:r>
      <w:r w:rsidR="00B251A2" w:rsidRPr="00B251A2">
        <w:t xml:space="preserve"> plan</w:t>
      </w:r>
      <w:r w:rsidR="00B251A2">
        <w:t>s</w:t>
      </w:r>
      <w:r w:rsidR="00B251A2" w:rsidRPr="00B251A2">
        <w:t>’ Form 5500 will hurt their business</w:t>
      </w:r>
      <w:r w:rsidR="0060061B">
        <w:t>es</w:t>
      </w:r>
      <w:r w:rsidR="00B251A2" w:rsidRPr="00B251A2">
        <w:t xml:space="preserve"> by placing confidential client </w:t>
      </w:r>
      <w:r w:rsidR="00B251A2" w:rsidRPr="00B251A2">
        <w:lastRenderedPageBreak/>
        <w:t>information in the hands of competitors</w:t>
      </w:r>
      <w:r w:rsidR="00D64000">
        <w:t xml:space="preserve">. </w:t>
      </w:r>
      <w:r w:rsidR="00B251A2" w:rsidRPr="00B251A2">
        <w:t>The</w:t>
      </w:r>
      <w:r w:rsidR="00B251A2">
        <w:t>y</w:t>
      </w:r>
      <w:r w:rsidR="00B251A2" w:rsidRPr="00B251A2">
        <w:t xml:space="preserve"> as</w:t>
      </w:r>
      <w:r w:rsidR="003E72DD">
        <w:t xml:space="preserve">sert that the requirement </w:t>
      </w:r>
      <w:r w:rsidR="00B251A2">
        <w:t xml:space="preserve">violates numerous </w:t>
      </w:r>
      <w:r w:rsidR="00177C3D">
        <w:t>confidentiality law</w:t>
      </w:r>
      <w:r w:rsidR="0060061B">
        <w:t>s</w:t>
      </w:r>
      <w:r w:rsidR="00177C3D">
        <w:t>, regulations</w:t>
      </w:r>
      <w:r w:rsidR="00B251A2">
        <w:t>, and ethical business practices</w:t>
      </w:r>
      <w:r w:rsidR="00D64000">
        <w:t>.</w:t>
      </w:r>
      <w:r w:rsidR="00A75D16">
        <w:t xml:space="preserve"> </w:t>
      </w:r>
      <w:r w:rsidR="00E8561E">
        <w:t>The</w:t>
      </w:r>
      <w:r w:rsidR="0006495C">
        <w:t xml:space="preserve"> PEOs</w:t>
      </w:r>
      <w:r w:rsidR="00E8561E">
        <w:t xml:space="preserve"> also claim </w:t>
      </w:r>
      <w:r w:rsidR="0006495C">
        <w:t>the new requirements</w:t>
      </w:r>
      <w:r w:rsidR="00B251A2">
        <w:t xml:space="preserve"> will </w:t>
      </w:r>
      <w:r w:rsidR="00B251A2" w:rsidRPr="00B251A2">
        <w:t>allow their competitors to target their clients</w:t>
      </w:r>
      <w:r w:rsidR="00D64000">
        <w:t xml:space="preserve">. </w:t>
      </w:r>
      <w:r w:rsidR="00177C3D">
        <w:t>They requested a change to the regulatory provision</w:t>
      </w:r>
      <w:r w:rsidR="00D64000">
        <w:t xml:space="preserve">. </w:t>
      </w:r>
      <w:r w:rsidR="00A10FD8">
        <w:t>Those comments are not being considered in association with this ICR, because their implementation would require regulatory changes</w:t>
      </w:r>
      <w:r w:rsidR="00181D99">
        <w:t xml:space="preserve">. </w:t>
      </w:r>
      <w:r w:rsidR="00C459CD">
        <w:t xml:space="preserve"> </w:t>
      </w:r>
      <w:r w:rsidR="00A10FD8">
        <w:t>These comments will receive full consideration when the Department publishes a Final Rule</w:t>
      </w:r>
      <w:r w:rsidR="00A75D16">
        <w:t xml:space="preserve">.  </w:t>
      </w:r>
      <w:r w:rsidR="00181D99">
        <w:t>.</w:t>
      </w:r>
      <w:r w:rsidR="00A75D16">
        <w:t xml:space="preserve">  </w:t>
      </w:r>
    </w:p>
    <w:p w:rsidR="00177C3D" w:rsidRDefault="00177C3D" w:rsidP="00796BBE">
      <w:pPr>
        <w:widowControl/>
      </w:pPr>
    </w:p>
    <w:p w:rsidR="00180D17" w:rsidRDefault="00A10FD8" w:rsidP="00796BBE">
      <w:pPr>
        <w:widowControl/>
      </w:pPr>
      <w:r>
        <w:t>The PRA 60-day FRN also received a comment from a Federal</w:t>
      </w:r>
      <w:r w:rsidR="00177C3D">
        <w:t xml:space="preserve"> agency that uses </w:t>
      </w:r>
      <w:r w:rsidR="004E175B">
        <w:t xml:space="preserve">actuarial and financial information from the Form 5500 </w:t>
      </w:r>
      <w:r w:rsidR="00CF0AC5">
        <w:t>as a key source</w:t>
      </w:r>
      <w:r w:rsidR="00177C3D">
        <w:t xml:space="preserve"> to derive estimates of household income attributable to private defined benefit plans</w:t>
      </w:r>
      <w:r w:rsidR="00181D99">
        <w:t xml:space="preserve">. </w:t>
      </w:r>
      <w:r w:rsidR="00177C3D">
        <w:t>The agency stated that it strongly supports the continued collection of data on Form 5500 and</w:t>
      </w:r>
      <w:r w:rsidR="004E175B">
        <w:t xml:space="preserve"> requested to be kept </w:t>
      </w:r>
      <w:r w:rsidR="0060061B">
        <w:t xml:space="preserve">abreast </w:t>
      </w:r>
      <w:r w:rsidR="004E175B">
        <w:t>o</w:t>
      </w:r>
      <w:r w:rsidR="0060061B">
        <w:t>f</w:t>
      </w:r>
      <w:r w:rsidR="004E175B">
        <w:t xml:space="preserve"> any </w:t>
      </w:r>
      <w:r w:rsidR="008D6B40">
        <w:t>modifications to the form</w:t>
      </w:r>
      <w:r w:rsidR="00177C3D">
        <w:t xml:space="preserve"> that would substantially affect its use of these data</w:t>
      </w:r>
      <w:r w:rsidR="00181D99">
        <w:t>.</w:t>
      </w:r>
    </w:p>
    <w:p w:rsidR="00946B54" w:rsidRDefault="00946B54" w:rsidP="00796BBE">
      <w:pPr>
        <w:widowControl/>
      </w:pPr>
    </w:p>
    <w:bookmarkEnd w:id="0"/>
    <w:bookmarkEnd w:id="1"/>
    <w:p w:rsidR="00097EF1" w:rsidRDefault="00097EF1" w:rsidP="00796BBE">
      <w:pPr>
        <w:pStyle w:val="Quick1"/>
        <w:widowControl/>
      </w:pPr>
      <w:r>
        <w:t>Explain any decision to provide any payment or gift to respondents, other than remuneration of contractors or grantees.</w:t>
      </w:r>
    </w:p>
    <w:p w:rsidR="00097EF1" w:rsidRDefault="00097EF1" w:rsidP="00796BBE">
      <w:pPr>
        <w:widowControl/>
      </w:pPr>
    </w:p>
    <w:p w:rsidR="00097EF1" w:rsidRDefault="00097EF1" w:rsidP="00796BBE">
      <w:pPr>
        <w:widowControl/>
      </w:pPr>
      <w:r>
        <w:t>No payments or gifts are provided to respondents.</w:t>
      </w:r>
    </w:p>
    <w:p w:rsidR="00097EF1" w:rsidRDefault="00097EF1" w:rsidP="00796BBE">
      <w:pPr>
        <w:widowControl/>
      </w:pPr>
    </w:p>
    <w:p w:rsidR="00097EF1" w:rsidRDefault="00097EF1" w:rsidP="00796BBE">
      <w:pPr>
        <w:pStyle w:val="Quick1"/>
        <w:widowControl/>
      </w:pPr>
      <w:r>
        <w:t>Describe any assurance of confidentiality provided to respondents and the basis for the assurance in statute, regulation, or agency policy.</w:t>
      </w:r>
    </w:p>
    <w:p w:rsidR="00097EF1" w:rsidRDefault="00097EF1" w:rsidP="00796BBE">
      <w:pPr>
        <w:widowControl/>
      </w:pPr>
    </w:p>
    <w:p w:rsidR="00097EF1" w:rsidRDefault="00097EF1" w:rsidP="00796BBE">
      <w:pPr>
        <w:widowControl/>
      </w:pPr>
      <w:r>
        <w:t xml:space="preserve">The Form 5500 filings made under Title I of ERISA are required by law to be made available for </w:t>
      </w:r>
      <w:r w:rsidR="003D2AC2">
        <w:t xml:space="preserve">public </w:t>
      </w:r>
      <w:r>
        <w:t>inspection at the Department and at the offices of the plan administrators</w:t>
      </w:r>
      <w:r w:rsidR="00181D99">
        <w:t xml:space="preserve">. </w:t>
      </w:r>
      <w:r>
        <w:t>Accordingly, the Department of Labor provides no assurance of confidentiality to respondents.</w:t>
      </w:r>
    </w:p>
    <w:p w:rsidR="00097EF1" w:rsidRDefault="00097EF1" w:rsidP="00796BBE">
      <w:pPr>
        <w:widowControl/>
      </w:pPr>
    </w:p>
    <w:p w:rsidR="00097EF1" w:rsidRDefault="00097EF1" w:rsidP="00796BBE">
      <w:pPr>
        <w:pStyle w:val="Quick1"/>
        <w:widowControl/>
      </w:pPr>
      <w:r>
        <w:t>Provide additional justification for any questions of a sensitive nature, such as sexual behavior and attitudes, religious beliefs, and other matters that are commonly considered private</w:t>
      </w:r>
      <w:r w:rsidR="002253AA">
        <w:t xml:space="preserve">. </w:t>
      </w:r>
      <w: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7EF1" w:rsidRPr="0012579F" w:rsidRDefault="00097EF1" w:rsidP="00796BBE">
      <w:pPr>
        <w:widowControl/>
        <w:rPr>
          <w:rStyle w:val="Quick1Char"/>
        </w:rPr>
      </w:pPr>
    </w:p>
    <w:p w:rsidR="00097EF1" w:rsidRDefault="000A16C6" w:rsidP="00796BBE">
      <w:pPr>
        <w:widowControl/>
      </w:pPr>
      <w:r>
        <w:t>This information collection poses no questions of a sensitive nature</w:t>
      </w:r>
      <w:r w:rsidR="00097EF1">
        <w:t>.</w:t>
      </w:r>
    </w:p>
    <w:p w:rsidR="00097EF1" w:rsidRDefault="00097EF1" w:rsidP="00796BBE">
      <w:pPr>
        <w:widowControl/>
      </w:pPr>
    </w:p>
    <w:p w:rsidR="00097EF1" w:rsidRDefault="00097EF1" w:rsidP="00796BBE">
      <w:pPr>
        <w:pStyle w:val="Quick1"/>
        <w:widowControl/>
      </w:pPr>
      <w:r>
        <w:t>Provide estimates of the hour burden of the collection of information</w:t>
      </w:r>
      <w:r w:rsidR="002253AA">
        <w:t xml:space="preserve">. </w:t>
      </w:r>
      <w:r>
        <w:t>The statement should:</w:t>
      </w:r>
    </w:p>
    <w:p w:rsidR="00097EF1" w:rsidRPr="00EB42F8" w:rsidRDefault="00097EF1" w:rsidP="00796BBE">
      <w:pPr>
        <w:widowControl/>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w:t>
      </w:r>
      <w:r w:rsidR="002253AA">
        <w:t xml:space="preserve">. </w:t>
      </w:r>
      <w:r w:rsidRPr="00EB42F8">
        <w:rPr>
          <w:i/>
          <w:iCs/>
        </w:rPr>
        <w:t>Unless directed to do so, agencies should not conduct special surveys to obtain information on which to base hour burden estimates</w:t>
      </w:r>
      <w:r w:rsidR="002253AA">
        <w:t xml:space="preserve">. </w:t>
      </w:r>
      <w:r w:rsidRPr="00EB42F8">
        <w:rPr>
          <w:i/>
          <w:iCs/>
        </w:rPr>
        <w:t>Consultation with a sample (fewer than 10) of potential respondents is desirable</w:t>
      </w:r>
      <w:r w:rsidR="002253AA">
        <w:t xml:space="preserve">. </w:t>
      </w:r>
      <w:r w:rsidRPr="00EB42F8">
        <w:rPr>
          <w:i/>
          <w:iCs/>
        </w:rPr>
        <w:t xml:space="preserve">If the hour burden on respondents is expected </w:t>
      </w:r>
      <w:r w:rsidRPr="00EB42F8">
        <w:rPr>
          <w:i/>
          <w:iCs/>
        </w:rPr>
        <w:lastRenderedPageBreak/>
        <w:t>to vary widely because of differences in activity, size, or complexity, show the range of estimated hour burden, and explain the reasons for the variance</w:t>
      </w:r>
      <w:r w:rsidR="002253AA">
        <w:t xml:space="preserve">. </w:t>
      </w:r>
      <w:r w:rsidRPr="00EB42F8">
        <w:rPr>
          <w:i/>
          <w:iCs/>
        </w:rPr>
        <w:t>Generally, estimates should not include burden hours for customary and usual business practices.</w:t>
      </w:r>
    </w:p>
    <w:p w:rsidR="00097EF1" w:rsidRPr="00EB42F8" w:rsidRDefault="00097EF1" w:rsidP="00796BBE">
      <w:pPr>
        <w:widowControl/>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w:t>
      </w:r>
    </w:p>
    <w:p w:rsidR="00097EF1" w:rsidRPr="00EB42F8" w:rsidRDefault="00097EF1" w:rsidP="00796BBE">
      <w:pPr>
        <w:widowControl/>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w:t>
      </w:r>
      <w:r w:rsidR="00F53FF8">
        <w:t xml:space="preserve">. </w:t>
      </w:r>
      <w:r w:rsidRPr="00EB42F8">
        <w:rPr>
          <w:i/>
          <w:iCs/>
        </w:rPr>
        <w:t>The cost of contracting out or paying outside parties for information collection activities should not be included here</w:t>
      </w:r>
      <w:r w:rsidR="00F53FF8">
        <w:t xml:space="preserve">. </w:t>
      </w:r>
      <w:r w:rsidRPr="00EB42F8">
        <w:rPr>
          <w:i/>
          <w:iCs/>
        </w:rPr>
        <w:t>Instead, this cost should be included in Item 13.</w:t>
      </w:r>
    </w:p>
    <w:p w:rsidR="00EB42F8" w:rsidRDefault="00EB42F8" w:rsidP="00796BBE">
      <w:pPr>
        <w:widowControl/>
      </w:pPr>
    </w:p>
    <w:p w:rsidR="00097EF1" w:rsidRDefault="00097EF1" w:rsidP="00796BBE">
      <w:pPr>
        <w:widowControl/>
      </w:pPr>
      <w:r>
        <w:t>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w:t>
      </w:r>
      <w:r w:rsidR="003B0C18">
        <w:t xml:space="preserve">. </w:t>
      </w:r>
      <w:r>
        <w:t xml:space="preserve">However, </w:t>
      </w:r>
      <w:r w:rsidR="001A1A63">
        <w:t xml:space="preserve">since 1999, </w:t>
      </w:r>
      <w:r>
        <w:t>the Agencies have adopted a unified approach and methodology for estimating paperwork burden</w:t>
      </w:r>
      <w:r w:rsidR="003B0C18">
        <w:t xml:space="preserve">. </w:t>
      </w:r>
      <w:r>
        <w:t xml:space="preserve">This ICR requests approval of only the portion of the total </w:t>
      </w:r>
      <w:r w:rsidR="001A1A63">
        <w:t xml:space="preserve">paperwork </w:t>
      </w:r>
      <w:r>
        <w:t>burden of the Form 5500 Series that is attributed to the Department, although it includes information on the other portions of the total paperwork burden</w:t>
      </w:r>
      <w:r w:rsidR="003B0C18">
        <w:t xml:space="preserve">. </w:t>
      </w:r>
      <w:r>
        <w:t xml:space="preserve">The Department has been advised by the IRS and the PBGC that they intend to submit separate requests for OMB </w:t>
      </w:r>
      <w:r w:rsidR="00E114A8">
        <w:t xml:space="preserve">for a </w:t>
      </w:r>
      <w:r w:rsidR="000D1F7B">
        <w:t>revision</w:t>
      </w:r>
      <w:r w:rsidR="00E114A8">
        <w:t xml:space="preserve"> of the ICR</w:t>
      </w:r>
      <w:r w:rsidR="003B0C18">
        <w:t xml:space="preserve">. </w:t>
      </w:r>
      <w:r>
        <w:t>The discussion below, therefore, describes the unified methodology underlying the Agencies’ estimates of the aggregate burden imposed by the forms revisions as a whole, but request</w:t>
      </w:r>
      <w:r w:rsidR="008B73FC">
        <w:t>s</w:t>
      </w:r>
      <w:r>
        <w:t xml:space="preserve"> approval only of the Department’s portion of that burden.</w:t>
      </w:r>
    </w:p>
    <w:p w:rsidR="00097EF1" w:rsidRDefault="00097EF1" w:rsidP="00796BBE">
      <w:pPr>
        <w:widowControl/>
      </w:pPr>
    </w:p>
    <w:p w:rsidR="00097EF1" w:rsidRPr="00821A2D" w:rsidRDefault="00097EF1" w:rsidP="00796BBE">
      <w:pPr>
        <w:widowControl/>
      </w:pPr>
      <w:r>
        <w:t>The Department has adopted several assumptions in performing this</w:t>
      </w:r>
      <w:r w:rsidRPr="009F3EEE">
        <w:t xml:space="preserve"> burden estimation</w:t>
      </w:r>
      <w:r w:rsidR="003B0C18">
        <w:t xml:space="preserve">. </w:t>
      </w:r>
      <w:r>
        <w:t>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rsidR="003B0C18">
        <w:t xml:space="preserve">. </w:t>
      </w:r>
      <w:r w:rsidRPr="009F3EEE">
        <w:t>For example, most businesses or financial entities maintain, in the ordinary course of business, detailed accounts of assets and liabilities and income and expenses for the purposes of operating the business or entity</w:t>
      </w:r>
      <w:r w:rsidR="003B0C18">
        <w:t xml:space="preserve">.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00097EF1" w:rsidRPr="00821A2D" w:rsidRDefault="00097EF1" w:rsidP="00796BBE">
      <w:pPr>
        <w:widowControl/>
      </w:pPr>
    </w:p>
    <w:p w:rsidR="00097EF1" w:rsidRDefault="00097EF1" w:rsidP="00796BBE">
      <w:pPr>
        <w:widowControl/>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requirements</w:t>
      </w:r>
      <w:r w:rsidR="003B0C18">
        <w:t xml:space="preserve">. </w:t>
      </w:r>
      <w:r w:rsidRPr="009F3EEE">
        <w:t xml:space="preserve">In addition, an </w:t>
      </w:r>
      <w:r w:rsidRPr="009F3EEE">
        <w:lastRenderedPageBreak/>
        <w:t xml:space="preserve">activity </w:t>
      </w:r>
      <w:r>
        <w:t xml:space="preserve">that must be performed for both IRS and Departmental purposes </w:t>
      </w:r>
      <w:r w:rsidRPr="009F3EEE">
        <w:t xml:space="preserve">is </w:t>
      </w:r>
      <w:r>
        <w:t xml:space="preserve">counted </w:t>
      </w:r>
      <w:r w:rsidR="00E114A8">
        <w:t>once for burden analysis purposes</w:t>
      </w:r>
      <w:r>
        <w:t>.</w:t>
      </w:r>
    </w:p>
    <w:p w:rsidR="00097EF1" w:rsidRDefault="00097EF1" w:rsidP="00796BBE">
      <w:pPr>
        <w:widowControl/>
      </w:pPr>
    </w:p>
    <w:p w:rsidR="00097EF1" w:rsidRDefault="00097EF1" w:rsidP="00796BBE">
      <w:pPr>
        <w:widowControl/>
      </w:pPr>
      <w:r w:rsidRPr="009F3EEE">
        <w:t xml:space="preserve">The Agencies also have designed the instruction package for the Form 5500 </w:t>
      </w:r>
      <w:r w:rsidR="004B14BF">
        <w:t>Annual Return/Report</w:t>
      </w:r>
      <w:r w:rsidRPr="009F3EEE">
        <w:t xml:space="preserve"> so that filers generally will be able to complete the Form 5500 Annual Return/Report by reading the instructions without needing to refer to the statutes or regulations</w:t>
      </w:r>
      <w:r w:rsidR="003B0C18">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r w:rsidR="00512771">
        <w:t>.</w:t>
      </w:r>
    </w:p>
    <w:p w:rsidR="00097EF1" w:rsidRDefault="00097EF1" w:rsidP="00796BBE">
      <w:pPr>
        <w:widowControl/>
      </w:pPr>
    </w:p>
    <w:p w:rsidR="00097EF1" w:rsidRDefault="00097EF1" w:rsidP="00796BBE">
      <w:pPr>
        <w:widowControl/>
      </w:pPr>
      <w:r>
        <w:t xml:space="preserve">A new burden estimating model, </w:t>
      </w:r>
      <w:r w:rsidR="00991D27">
        <w:t xml:space="preserve">initially </w:t>
      </w:r>
      <w:r>
        <w:t>based on the Form 5500 Burden Model that</w:t>
      </w:r>
      <w:r w:rsidR="00991D27">
        <w:t xml:space="preserve"> a contractor, Mathematica Policy Research, Inc</w:t>
      </w:r>
      <w:r w:rsidR="00512771">
        <w:t xml:space="preserve">. </w:t>
      </w:r>
      <w:r w:rsidR="00991D27">
        <w:t>(</w:t>
      </w:r>
      <w:r>
        <w:t>MPR</w:t>
      </w:r>
      <w:r w:rsidR="00991D27">
        <w:t>)</w:t>
      </w:r>
      <w:r>
        <w:t xml:space="preserve"> had used for estimating burdens in October 2004, has been developed, for purposes of this burden analysis, by Actuarial Research Corporation (ARC</w:t>
      </w:r>
      <w:proofErr w:type="gramStart"/>
      <w:r>
        <w:t>)</w:t>
      </w:r>
      <w:r w:rsidR="00512771" w:rsidRPr="00512771">
        <w:t xml:space="preserve"> </w:t>
      </w:r>
      <w:r w:rsidR="00512771">
        <w:t>.</w:t>
      </w:r>
      <w:proofErr w:type="gramEnd"/>
      <w:r w:rsidR="00512771">
        <w:t xml:space="preserve"> </w:t>
      </w:r>
      <w:r>
        <w:t>ARC assembled a simplified model by drawing on implied burdens associated with subsets of filer groups represented in the MPR model</w:t>
      </w:r>
      <w:r w:rsidR="00512771">
        <w:t xml:space="preserve">. </w:t>
      </w:r>
      <w:r>
        <w:t>The new model uses a level of detail consistent with reflecting burden differences associated with the various proposed Forms revisions, as described below.</w:t>
      </w:r>
      <w:r w:rsidR="00991D27" w:rsidRPr="00367D45">
        <w:rPr>
          <w:rStyle w:val="FootnoteReference"/>
          <w:vertAlign w:val="superscript"/>
        </w:rPr>
        <w:footnoteReference w:id="4"/>
      </w:r>
    </w:p>
    <w:p w:rsidR="00097EF1" w:rsidRDefault="00097EF1" w:rsidP="00796BBE">
      <w:pPr>
        <w:widowControl/>
      </w:pPr>
    </w:p>
    <w:p w:rsidR="00097EF1" w:rsidRDefault="00097EF1" w:rsidP="00512771">
      <w:pPr>
        <w:widowControl/>
      </w:pPr>
      <w:r>
        <w:t>The types of plans that have similar reporting requirements were grouped together to estimate aggregate burdens for this submission</w:t>
      </w:r>
      <w:r w:rsidR="00512771">
        <w:t xml:space="preserve">. </w:t>
      </w:r>
      <w:r>
        <w:t>Thus, calculations were prepared for different subsets of types of plans, as appropriate based on the specific reporting requirements</w:t>
      </w:r>
      <w:r w:rsidR="00512771">
        <w:t xml:space="preserve">. </w:t>
      </w:r>
      <w:r>
        <w:t>The universe of filers was first divided into three basic plan types:  defined benefit pension plans, defined contribution pension plans, and welfare plans</w:t>
      </w:r>
      <w:r w:rsidR="00512771">
        <w:t xml:space="preserve">. </w:t>
      </w:r>
      <w:r>
        <w:t>Each of these major plan types was further subdivided into multiemployer and single-employer plans</w:t>
      </w:r>
      <w:r w:rsidR="00512771">
        <w:t xml:space="preserve">. </w:t>
      </w:r>
      <w:r>
        <w:t>Since filing requirements differ substantially for small and large plans, the plan types were also divided by plan size</w:t>
      </w:r>
      <w:r w:rsidR="00512771">
        <w:t xml:space="preserve">. </w:t>
      </w:r>
      <w:r>
        <w:t>For large plans (100 participants or more), defined benefit plans were further divided into very large (1,000 participants or more) and other large (at least 100 but less than 1,000 participants)</w:t>
      </w:r>
      <w:r w:rsidR="00512771">
        <w:t xml:space="preserve">. </w:t>
      </w:r>
      <w:r>
        <w:t xml:space="preserve">For each of these sets of respondents, burden hours per respondent were estimated for the Form 5500 Annual Return/Report itself and for each of up to </w:t>
      </w:r>
      <w:r w:rsidR="004B14BF">
        <w:t>seven</w:t>
      </w:r>
      <w:r>
        <w:t xml:space="preserve"> schedules.</w:t>
      </w:r>
    </w:p>
    <w:p w:rsidR="00097EF1" w:rsidRDefault="00097EF1" w:rsidP="00796BBE">
      <w:pPr>
        <w:widowControl/>
      </w:pPr>
    </w:p>
    <w:p w:rsidR="00097EF1" w:rsidRDefault="00097EF1" w:rsidP="00796BBE">
      <w:pPr>
        <w:widowControl/>
      </w:pPr>
      <w:r w:rsidRPr="00821A2D">
        <w:t>In addition to separating plans by type and size, costs were estimated separately for the form and for each schedule</w:t>
      </w:r>
      <w:r w:rsidR="008A1C0D">
        <w:t xml:space="preserve">. </w:t>
      </w:r>
      <w:r w:rsidRPr="00821A2D">
        <w:t>The burden for the Form 5500</w:t>
      </w:r>
      <w:r w:rsidR="001157DF">
        <w:t>-SF</w:t>
      </w:r>
      <w:r w:rsidR="004B14BF">
        <w:t>, as well as</w:t>
      </w:r>
      <w:r w:rsidR="002576B3">
        <w:t xml:space="preserve"> the simplified filing requir</w:t>
      </w:r>
      <w:r w:rsidR="004B14BF">
        <w:t>e</w:t>
      </w:r>
      <w:r w:rsidR="002576B3">
        <w:t xml:space="preserve">ments for certain small plans </w:t>
      </w:r>
      <w:r w:rsidRPr="00821A2D">
        <w:t>was built from the estimated current burden associated with the vario</w:t>
      </w:r>
      <w:r>
        <w:t>us line items included in it</w:t>
      </w:r>
      <w:r w:rsidR="008A1C0D">
        <w:t xml:space="preserve">. </w:t>
      </w:r>
      <w:r w:rsidRPr="00821A2D">
        <w:t xml:space="preserve">When items on a schedule are required by more than one Agency, the estimated burden associated with that schedule </w:t>
      </w:r>
      <w:r>
        <w:t>wa</w:t>
      </w:r>
      <w:r w:rsidRPr="00821A2D">
        <w:t>s allocated among the Agencies</w:t>
      </w:r>
      <w:r w:rsidR="008A1C0D">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rsidR="008A1C0D">
        <w:t xml:space="preserve">. </w:t>
      </w:r>
      <w:r>
        <w:t>Because f</w:t>
      </w:r>
      <w:r w:rsidRPr="00821A2D">
        <w:t xml:space="preserve">ilers must read not only the instructions for particular items but also instructions </w:t>
      </w:r>
      <w:r w:rsidRPr="00821A2D">
        <w:lastRenderedPageBreak/>
        <w:t xml:space="preserve">pertaining to the general filing requirements, the burden associated with reading the instructions </w:t>
      </w:r>
      <w:r>
        <w:t>wa</w:t>
      </w:r>
      <w:r w:rsidRPr="00821A2D">
        <w:t>s tallied and allocated accordingly.</w:t>
      </w:r>
    </w:p>
    <w:p w:rsidR="002576B3" w:rsidRDefault="002576B3" w:rsidP="00796BBE">
      <w:pPr>
        <w:widowControl/>
      </w:pPr>
    </w:p>
    <w:p w:rsidR="00097EF1" w:rsidRDefault="00097EF1" w:rsidP="00796BBE">
      <w:pPr>
        <w:widowControl/>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rsidR="008A1C0D">
        <w:t xml:space="preserve">. </w:t>
      </w:r>
      <w:r w:rsidRPr="00821A2D">
        <w:t>For example, the annual report for a large fully insured welfare plan would consist of only the Form 5500 and the Schedule A (Insurance Information)</w:t>
      </w:r>
      <w:r w:rsidR="002576B3">
        <w:t>, and Schedules C and G, where applicable</w:t>
      </w:r>
      <w:r w:rsidR="008A1C0D">
        <w:t xml:space="preserve">. </w:t>
      </w:r>
      <w:r w:rsidRPr="00821A2D">
        <w:t>By contrast, a large defined benefit pension plan that is intended to be tax-qualified and that uses a trust fund and invests in insurance contracts</w:t>
      </w:r>
      <w:r w:rsidR="00F92DFF">
        <w:t xml:space="preserve"> and direct filing entities</w:t>
      </w:r>
      <w:r w:rsidRPr="00821A2D">
        <w:t xml:space="preserve"> would be required to submit an annual report completing the Form 5500, plus Schedule A (Insurance Information), Schedule</w:t>
      </w:r>
      <w:r w:rsidR="00F92DFF">
        <w:t xml:space="preserve"> S</w:t>
      </w:r>
      <w:r w:rsidRPr="00821A2D">
        <w:t>B</w:t>
      </w:r>
      <w:r w:rsidR="00F92DFF">
        <w:t>, or MB</w:t>
      </w:r>
      <w:r w:rsidRPr="00821A2D">
        <w:t xml:space="preserve"> (Actuarial Information)</w:t>
      </w:r>
      <w:r w:rsidR="00F92DFF">
        <w:t>, whichever one is applicable</w:t>
      </w:r>
      <w:r w:rsidRPr="00821A2D">
        <w:t xml:space="preserve">, Schedule C (Service Provider Information), Schedule D (DFE/Participating Plan Information), </w:t>
      </w:r>
      <w:r w:rsidR="002576B3">
        <w:t>possibly the Schedule G (Financial Transaction Schedules),</w:t>
      </w:r>
      <w:r w:rsidR="00A47A3B">
        <w:t xml:space="preserve"> </w:t>
      </w:r>
      <w:r w:rsidRPr="00821A2D">
        <w:t xml:space="preserve">Schedule H (Financial Information), and Schedule </w:t>
      </w:r>
      <w:r>
        <w:t>R (Retirement Plan Information)</w:t>
      </w:r>
      <w:r w:rsidR="00A47A3B">
        <w:t>,</w:t>
      </w:r>
      <w:r w:rsidRPr="00821A2D">
        <w:t xml:space="preserve"> and would be required to submit an IQPA's report and opinion</w:t>
      </w:r>
      <w:r w:rsidR="008A1C0D">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097EF1" w:rsidRDefault="00097EF1" w:rsidP="00796BBE">
      <w:pPr>
        <w:widowControl/>
      </w:pPr>
    </w:p>
    <w:p w:rsidR="00097EF1" w:rsidRPr="0012579F" w:rsidRDefault="00097EF1" w:rsidP="00796BBE">
      <w:pPr>
        <w:widowControl/>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rsidR="008A1C0D">
        <w:t xml:space="preserve">. </w:t>
      </w:r>
      <w:r w:rsidRPr="00821A2D">
        <w:t xml:space="preserve">The simplified model </w:t>
      </w:r>
      <w:r>
        <w:t xml:space="preserve">developed by ARC </w:t>
      </w:r>
      <w:r w:rsidRPr="00821A2D">
        <w:t>draws on Form 5500 Annual Return/Report data representing each plan’s filing for plan year 200</w:t>
      </w:r>
      <w:r w:rsidR="00FC46DB">
        <w:t>7</w:t>
      </w:r>
      <w:r w:rsidRPr="00821A2D">
        <w:t xml:space="preserve"> (the most recent year for which complete data is available</w:t>
      </w:r>
      <w:r w:rsidR="00E114A8">
        <w:t>)</w:t>
      </w:r>
      <w:r w:rsidR="008A1C0D">
        <w:t>.</w:t>
      </w:r>
    </w:p>
    <w:p w:rsidR="00097EF1" w:rsidRDefault="00097EF1" w:rsidP="00796BBE">
      <w:pPr>
        <w:widowControl/>
      </w:pPr>
    </w:p>
    <w:p w:rsidR="00097EF1" w:rsidRPr="00E5679F" w:rsidRDefault="00097EF1" w:rsidP="00796BBE">
      <w:pPr>
        <w:widowControl/>
      </w:pPr>
      <w:r>
        <w:t>T</w:t>
      </w:r>
      <w:r w:rsidR="00DD0C9D">
        <w:t xml:space="preserve">able </w:t>
      </w:r>
      <w:r w:rsidR="00FC46DB">
        <w:t>1</w:t>
      </w:r>
      <w:r>
        <w:t xml:space="preserve"> summarizes </w:t>
      </w:r>
      <w:r w:rsidR="00A47A3B">
        <w:t>the Department</w:t>
      </w:r>
      <w:r>
        <w:t xml:space="preserve">’s estimates of the aggregate </w:t>
      </w:r>
      <w:r w:rsidRPr="00E5679F">
        <w:t xml:space="preserve">time needed to complete </w:t>
      </w:r>
      <w:r>
        <w:t xml:space="preserve">each of </w:t>
      </w:r>
      <w:r w:rsidRPr="00E5679F">
        <w:t>the forms</w:t>
      </w:r>
      <w:r w:rsidR="00A47A3B">
        <w:t xml:space="preserve"> </w:t>
      </w:r>
      <w:r w:rsidR="00930323">
        <w:t xml:space="preserve">for plan years </w:t>
      </w:r>
      <w:r w:rsidR="00045D14">
        <w:t>20</w:t>
      </w:r>
      <w:r w:rsidR="00FC46DB">
        <w:t>1</w:t>
      </w:r>
      <w:r w:rsidR="009600F8">
        <w:t>5</w:t>
      </w:r>
      <w:r w:rsidR="00045D14">
        <w:t>, 20</w:t>
      </w:r>
      <w:r w:rsidR="00FC46DB">
        <w:t>1</w:t>
      </w:r>
      <w:r w:rsidR="009600F8">
        <w:t>6</w:t>
      </w:r>
      <w:r w:rsidR="00045D14">
        <w:t xml:space="preserve">, and </w:t>
      </w:r>
      <w:r w:rsidR="00A47A3B">
        <w:t>20</w:t>
      </w:r>
      <w:r w:rsidR="00FC46DB">
        <w:t>1</w:t>
      </w:r>
      <w:r w:rsidR="009600F8">
        <w:t>7</w:t>
      </w:r>
      <w:r>
        <w:t>, as</w:t>
      </w:r>
      <w:r w:rsidRPr="00E5679F">
        <w:t xml:space="preserve"> listed below</w:t>
      </w:r>
      <w:r>
        <w:t>, reflecting</w:t>
      </w:r>
      <w:r w:rsidRPr="00E5679F">
        <w:t xml:space="preserve"> the combined </w:t>
      </w:r>
      <w:r>
        <w:t xml:space="preserve">information collection </w:t>
      </w:r>
      <w:r w:rsidRPr="00E5679F">
        <w:t>requirements of the IRS, the Department, and the PBGC</w:t>
      </w:r>
      <w:r w:rsidR="00C30A80">
        <w:t xml:space="preserve">.  </w:t>
      </w:r>
      <w:r w:rsidRPr="00E5679F">
        <w:t xml:space="preserve">The </w:t>
      </w:r>
      <w:r>
        <w:t xml:space="preserve">estimates are averages, since the actual </w:t>
      </w:r>
      <w:r w:rsidRPr="00E5679F">
        <w:t>time</w:t>
      </w:r>
      <w:r>
        <w:t xml:space="preserve"> needed for any particular respondent plan</w:t>
      </w:r>
      <w:r w:rsidRPr="00E5679F">
        <w:t xml:space="preserve"> </w:t>
      </w:r>
      <w:r>
        <w:t xml:space="preserve">to complete any of these forms </w:t>
      </w:r>
      <w:r w:rsidRPr="00E5679F">
        <w:t>will vary depending on individual circumstances</w:t>
      </w:r>
      <w:r w:rsidR="008A1C0D">
        <w:t xml:space="preserve">. </w:t>
      </w:r>
      <w:r w:rsidRPr="00E5679F">
        <w:t xml:space="preserve">The estimated average times </w:t>
      </w:r>
      <w:r>
        <w:t xml:space="preserve">for each form for all of the information elements of the three Agencies </w:t>
      </w:r>
      <w:r w:rsidRPr="00E5679F">
        <w:t>are:</w:t>
      </w:r>
    </w:p>
    <w:p w:rsidR="00D335C4" w:rsidRDefault="00D335C4" w:rsidP="00796BBE">
      <w:pPr>
        <w:pStyle w:val="HTMLPreformatted"/>
        <w:rPr>
          <w:rFonts w:ascii="Book Antiqua" w:hAnsi="Book Antiqua"/>
          <w:sz w:val="24"/>
          <w:szCs w:val="24"/>
        </w:rPr>
      </w:pPr>
    </w:p>
    <w:p w:rsidR="00D335C4" w:rsidRDefault="00D335C4" w:rsidP="00796BBE">
      <w:pPr>
        <w:pStyle w:val="HTMLPreformatted"/>
        <w:rPr>
          <w:rFonts w:ascii="Book Antiqua" w:hAnsi="Book Antiqua"/>
          <w:sz w:val="24"/>
          <w:szCs w:val="24"/>
        </w:rPr>
      </w:pPr>
    </w:p>
    <w:p w:rsidR="002D15E8" w:rsidRDefault="002D15E8" w:rsidP="00796BBE">
      <w:pPr>
        <w:pStyle w:val="HTMLPreformatted"/>
        <w:rPr>
          <w:rFonts w:ascii="Book Antiqua" w:hAnsi="Book Antiqua"/>
          <w:sz w:val="24"/>
          <w:szCs w:val="24"/>
        </w:rPr>
      </w:pPr>
      <w:r>
        <w:rPr>
          <w:rFonts w:ascii="Book Antiqua" w:hAnsi="Book Antiqua"/>
          <w:sz w:val="24"/>
          <w:szCs w:val="24"/>
        </w:rPr>
        <w:t xml:space="preserve">Table </w:t>
      </w:r>
      <w:r w:rsidR="00FC46DB">
        <w:rPr>
          <w:rFonts w:ascii="Book Antiqua" w:hAnsi="Book Antiqua"/>
          <w:sz w:val="24"/>
          <w:szCs w:val="24"/>
        </w:rPr>
        <w:t>1</w:t>
      </w:r>
      <w:r>
        <w:rPr>
          <w:rFonts w:ascii="Book Antiqua" w:hAnsi="Book Antiqua"/>
          <w:sz w:val="24"/>
          <w:szCs w:val="24"/>
        </w:rPr>
        <w:t>: Burden Box</w:t>
      </w:r>
      <w:r w:rsidR="00314758">
        <w:rPr>
          <w:rFonts w:ascii="Book Antiqua" w:hAnsi="Book Antiqua"/>
          <w:sz w:val="24"/>
          <w:szCs w:val="24"/>
        </w:rPr>
        <w:t>es</w:t>
      </w:r>
      <w:r>
        <w:rPr>
          <w:rFonts w:ascii="Book Antiqua" w:hAnsi="Book Antiqua"/>
          <w:sz w:val="24"/>
          <w:szCs w:val="24"/>
        </w:rPr>
        <w:t xml:space="preserve"> for </w:t>
      </w:r>
      <w:r w:rsidR="00930323">
        <w:rPr>
          <w:rFonts w:ascii="Book Antiqua" w:hAnsi="Book Antiqua"/>
          <w:sz w:val="24"/>
          <w:szCs w:val="24"/>
        </w:rPr>
        <w:t>Plan Years</w:t>
      </w:r>
      <w:r w:rsidR="00314758">
        <w:rPr>
          <w:rFonts w:ascii="Book Antiqua" w:hAnsi="Book Antiqua"/>
          <w:sz w:val="24"/>
          <w:szCs w:val="24"/>
        </w:rPr>
        <w:t xml:space="preserve"> </w:t>
      </w:r>
      <w:r>
        <w:rPr>
          <w:rFonts w:ascii="Book Antiqua" w:hAnsi="Book Antiqua"/>
          <w:sz w:val="24"/>
          <w:szCs w:val="24"/>
        </w:rPr>
        <w:t>20</w:t>
      </w:r>
      <w:r w:rsidR="00FC46DB">
        <w:rPr>
          <w:rFonts w:ascii="Book Antiqua" w:hAnsi="Book Antiqua"/>
          <w:sz w:val="24"/>
          <w:szCs w:val="24"/>
        </w:rPr>
        <w:t>1</w:t>
      </w:r>
      <w:r w:rsidR="003E2798">
        <w:rPr>
          <w:rFonts w:ascii="Book Antiqua" w:hAnsi="Book Antiqua"/>
          <w:sz w:val="24"/>
          <w:szCs w:val="24"/>
        </w:rPr>
        <w:t>5</w:t>
      </w:r>
      <w:r>
        <w:rPr>
          <w:rFonts w:ascii="Book Antiqua" w:hAnsi="Book Antiqua"/>
          <w:sz w:val="24"/>
          <w:szCs w:val="24"/>
        </w:rPr>
        <w:t>, 20</w:t>
      </w:r>
      <w:r w:rsidR="00FC46DB">
        <w:rPr>
          <w:rFonts w:ascii="Book Antiqua" w:hAnsi="Book Antiqua"/>
          <w:sz w:val="24"/>
          <w:szCs w:val="24"/>
        </w:rPr>
        <w:t>1</w:t>
      </w:r>
      <w:r w:rsidR="003E2798">
        <w:rPr>
          <w:rFonts w:ascii="Book Antiqua" w:hAnsi="Book Antiqua"/>
          <w:sz w:val="24"/>
          <w:szCs w:val="24"/>
        </w:rPr>
        <w:t>6</w:t>
      </w:r>
      <w:r>
        <w:rPr>
          <w:rFonts w:ascii="Book Antiqua" w:hAnsi="Book Antiqua"/>
          <w:sz w:val="24"/>
          <w:szCs w:val="24"/>
        </w:rPr>
        <w:t>, and 20</w:t>
      </w:r>
      <w:r w:rsidR="00FC46DB">
        <w:rPr>
          <w:rFonts w:ascii="Book Antiqua" w:hAnsi="Book Antiqua"/>
          <w:sz w:val="24"/>
          <w:szCs w:val="24"/>
        </w:rPr>
        <w:t>1</w:t>
      </w:r>
      <w:r w:rsidR="003E2798">
        <w:rPr>
          <w:rFonts w:ascii="Book Antiqua" w:hAnsi="Book Antiqua"/>
          <w:sz w:val="24"/>
          <w:szCs w:val="24"/>
        </w:rPr>
        <w:t>7</w:t>
      </w:r>
    </w:p>
    <w:tbl>
      <w:tblPr>
        <w:tblW w:w="0" w:type="auto"/>
        <w:tblLayout w:type="fixed"/>
        <w:tblCellMar>
          <w:left w:w="30" w:type="dxa"/>
          <w:right w:w="30" w:type="dxa"/>
        </w:tblCellMar>
        <w:tblLook w:val="0000" w:firstRow="0" w:lastRow="0" w:firstColumn="0" w:lastColumn="0" w:noHBand="0" w:noVBand="0"/>
      </w:tblPr>
      <w:tblGrid>
        <w:gridCol w:w="1435"/>
        <w:gridCol w:w="1835"/>
        <w:gridCol w:w="1800"/>
        <w:gridCol w:w="1800"/>
        <w:gridCol w:w="2160"/>
      </w:tblGrid>
      <w:tr w:rsidR="00097EF1">
        <w:trPr>
          <w:cantSplit/>
          <w:trHeight w:val="247"/>
        </w:trPr>
        <w:tc>
          <w:tcPr>
            <w:tcW w:w="1435" w:type="dxa"/>
            <w:tcBorders>
              <w:top w:val="single" w:sz="6" w:space="0" w:color="auto"/>
              <w:left w:val="single" w:sz="6" w:space="0" w:color="auto"/>
            </w:tcBorders>
          </w:tcPr>
          <w:p w:rsidR="00097EF1" w:rsidRDefault="00BB252F" w:rsidP="00796BBE">
            <w:pPr>
              <w:widowControl/>
              <w:jc w:val="right"/>
              <w:rPr>
                <w:rFonts w:ascii="Book Antiqua" w:hAnsi="Book Antiqua" w:cs="Arial"/>
                <w:sz w:val="20"/>
                <w:szCs w:val="20"/>
              </w:rPr>
            </w:pPr>
            <w:r>
              <w:rPr>
                <w:rFonts w:ascii="Book Antiqua" w:hAnsi="Book Antiqua" w:cs="Arial"/>
                <w:sz w:val="20"/>
                <w:szCs w:val="20"/>
              </w:rPr>
              <w:t xml:space="preserve">Plan Year </w:t>
            </w:r>
            <w:r w:rsidR="00045D14">
              <w:rPr>
                <w:rFonts w:ascii="Book Antiqua" w:hAnsi="Book Antiqua" w:cs="Arial"/>
                <w:sz w:val="20"/>
                <w:szCs w:val="20"/>
              </w:rPr>
              <w:t>20</w:t>
            </w:r>
            <w:r w:rsidR="00FC46DB">
              <w:rPr>
                <w:rFonts w:ascii="Book Antiqua" w:hAnsi="Book Antiqua" w:cs="Arial"/>
                <w:sz w:val="20"/>
                <w:szCs w:val="20"/>
              </w:rPr>
              <w:t>1</w:t>
            </w:r>
            <w:r w:rsidR="002103B1">
              <w:rPr>
                <w:rFonts w:ascii="Book Antiqua" w:hAnsi="Book Antiqua" w:cs="Arial"/>
                <w:sz w:val="20"/>
                <w:szCs w:val="20"/>
              </w:rPr>
              <w:t>5</w:t>
            </w:r>
            <w:r w:rsidR="00FC46DB">
              <w:rPr>
                <w:rFonts w:ascii="Book Antiqua" w:hAnsi="Book Antiqua" w:cs="Arial"/>
                <w:sz w:val="20"/>
                <w:szCs w:val="20"/>
              </w:rPr>
              <w:t>, 201</w:t>
            </w:r>
            <w:r w:rsidR="002103B1">
              <w:rPr>
                <w:rFonts w:ascii="Book Antiqua" w:hAnsi="Book Antiqua" w:cs="Arial"/>
                <w:sz w:val="20"/>
                <w:szCs w:val="20"/>
              </w:rPr>
              <w:t>6</w:t>
            </w:r>
            <w:r w:rsidR="00FC46DB">
              <w:rPr>
                <w:rFonts w:ascii="Book Antiqua" w:hAnsi="Book Antiqua" w:cs="Arial"/>
                <w:sz w:val="20"/>
                <w:szCs w:val="20"/>
              </w:rPr>
              <w:t>, and 201</w:t>
            </w:r>
            <w:r w:rsidR="002103B1">
              <w:rPr>
                <w:rFonts w:ascii="Book Antiqua" w:hAnsi="Book Antiqua" w:cs="Arial"/>
                <w:sz w:val="20"/>
                <w:szCs w:val="20"/>
              </w:rPr>
              <w:t>7</w:t>
            </w:r>
            <w:r w:rsidR="00FC46DB">
              <w:rPr>
                <w:rFonts w:ascii="Book Antiqua" w:hAnsi="Book Antiqua" w:cs="Arial"/>
                <w:sz w:val="20"/>
                <w:szCs w:val="20"/>
              </w:rPr>
              <w:t xml:space="preserve"> </w:t>
            </w:r>
            <w:r w:rsidR="00045D14">
              <w:rPr>
                <w:rFonts w:ascii="Book Antiqua" w:hAnsi="Book Antiqua" w:cs="Arial"/>
                <w:sz w:val="20"/>
                <w:szCs w:val="20"/>
              </w:rPr>
              <w:t>Burden</w:t>
            </w:r>
          </w:p>
        </w:tc>
        <w:tc>
          <w:tcPr>
            <w:tcW w:w="3635" w:type="dxa"/>
            <w:gridSpan w:val="2"/>
            <w:tcBorders>
              <w:top w:val="single" w:sz="6" w:space="0" w:color="auto"/>
              <w:left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Pension</w:t>
            </w:r>
          </w:p>
        </w:tc>
        <w:tc>
          <w:tcPr>
            <w:tcW w:w="3960" w:type="dxa"/>
            <w:gridSpan w:val="2"/>
            <w:tcBorders>
              <w:top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Welfare</w:t>
            </w:r>
          </w:p>
        </w:tc>
      </w:tr>
      <w:tr w:rsidR="00097EF1">
        <w:trPr>
          <w:trHeight w:val="247"/>
        </w:trPr>
        <w:tc>
          <w:tcPr>
            <w:tcW w:w="1435" w:type="dxa"/>
            <w:tcBorders>
              <w:left w:val="single" w:sz="6" w:space="0" w:color="auto"/>
              <w:bottom w:val="single" w:sz="6" w:space="0" w:color="auto"/>
            </w:tcBorders>
          </w:tcPr>
          <w:p w:rsidR="00097EF1" w:rsidRDefault="00097EF1" w:rsidP="00796BBE">
            <w:pPr>
              <w:widowControl/>
              <w:jc w:val="right"/>
              <w:rPr>
                <w:rFonts w:ascii="Book Antiqua" w:hAnsi="Book Antiqua" w:cs="Arial"/>
                <w:sz w:val="20"/>
                <w:szCs w:val="20"/>
              </w:rPr>
            </w:pPr>
          </w:p>
        </w:tc>
        <w:tc>
          <w:tcPr>
            <w:tcW w:w="1835" w:type="dxa"/>
            <w:tcBorders>
              <w:top w:val="single" w:sz="6" w:space="0" w:color="auto"/>
              <w:left w:val="single" w:sz="6" w:space="0" w:color="auto"/>
              <w:bottom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Large</w:t>
            </w:r>
          </w:p>
        </w:tc>
        <w:tc>
          <w:tcPr>
            <w:tcW w:w="1800" w:type="dxa"/>
            <w:tcBorders>
              <w:top w:val="single" w:sz="6" w:space="0" w:color="auto"/>
              <w:left w:val="single" w:sz="6" w:space="0" w:color="auto"/>
              <w:bottom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Small</w:t>
            </w:r>
          </w:p>
        </w:tc>
        <w:tc>
          <w:tcPr>
            <w:tcW w:w="1800" w:type="dxa"/>
            <w:tcBorders>
              <w:top w:val="single" w:sz="6" w:space="0" w:color="auto"/>
              <w:left w:val="single" w:sz="6" w:space="0" w:color="auto"/>
              <w:bottom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Large</w:t>
            </w:r>
          </w:p>
        </w:tc>
        <w:tc>
          <w:tcPr>
            <w:tcW w:w="2160" w:type="dxa"/>
            <w:tcBorders>
              <w:top w:val="single" w:sz="6" w:space="0" w:color="auto"/>
              <w:left w:val="single" w:sz="6" w:space="0" w:color="auto"/>
              <w:bottom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Small</w:t>
            </w:r>
          </w:p>
        </w:tc>
      </w:tr>
      <w:tr w:rsidR="00097EF1">
        <w:trPr>
          <w:trHeight w:val="247"/>
        </w:trPr>
        <w:tc>
          <w:tcPr>
            <w:tcW w:w="1435" w:type="dxa"/>
            <w:tcBorders>
              <w:top w:val="single" w:sz="6" w:space="0" w:color="auto"/>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Form 5500</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 hr., 5</w:t>
            </w:r>
            <w:r w:rsidR="00A47A3B">
              <w:rPr>
                <w:rFonts w:ascii="Book Antiqua" w:hAnsi="Book Antiqua" w:cs="Arial"/>
                <w:sz w:val="20"/>
                <w:szCs w:val="20"/>
              </w:rPr>
              <w:t>4</w:t>
            </w:r>
            <w:r>
              <w:rPr>
                <w:rFonts w:ascii="Book Antiqua" w:hAnsi="Book Antiqua" w:cs="Arial"/>
                <w:sz w:val="20"/>
                <w:szCs w:val="20"/>
              </w:rPr>
              <w:t xml:space="preserve"> min.</w:t>
            </w:r>
          </w:p>
        </w:tc>
        <w:tc>
          <w:tcPr>
            <w:tcW w:w="1800" w:type="dxa"/>
            <w:tcBorders>
              <w:top w:val="single" w:sz="6" w:space="0" w:color="auto"/>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19</w:t>
            </w:r>
            <w:r>
              <w:rPr>
                <w:rFonts w:ascii="Book Antiqua" w:hAnsi="Book Antiqua" w:cs="Arial"/>
                <w:sz w:val="20"/>
                <w:szCs w:val="20"/>
              </w:rPr>
              <w:t xml:space="preserve"> min.</w:t>
            </w:r>
          </w:p>
        </w:tc>
        <w:tc>
          <w:tcPr>
            <w:tcW w:w="1800" w:type="dxa"/>
            <w:tcBorders>
              <w:top w:val="single" w:sz="6" w:space="0" w:color="auto"/>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45</w:t>
            </w:r>
            <w:r>
              <w:rPr>
                <w:rFonts w:ascii="Book Antiqua" w:hAnsi="Book Antiqua" w:cs="Arial"/>
                <w:sz w:val="20"/>
                <w:szCs w:val="20"/>
              </w:rPr>
              <w:t xml:space="preserve"> min.</w:t>
            </w:r>
          </w:p>
        </w:tc>
        <w:tc>
          <w:tcPr>
            <w:tcW w:w="2160" w:type="dxa"/>
            <w:tcBorders>
              <w:top w:val="single" w:sz="6" w:space="0" w:color="auto"/>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14</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A</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2</w:t>
            </w:r>
            <w:r w:rsidR="00097EF1">
              <w:rPr>
                <w:rFonts w:ascii="Book Antiqua" w:hAnsi="Book Antiqua" w:cs="Arial"/>
                <w:sz w:val="20"/>
                <w:szCs w:val="20"/>
              </w:rPr>
              <w:t xml:space="preserve"> hr., </w:t>
            </w:r>
            <w:r>
              <w:rPr>
                <w:rFonts w:ascii="Book Antiqua" w:hAnsi="Book Antiqua" w:cs="Arial"/>
                <w:sz w:val="20"/>
                <w:szCs w:val="20"/>
              </w:rPr>
              <w:t>52</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 xml:space="preserve">2 hr., </w:t>
            </w:r>
            <w:r w:rsidR="00097EF1">
              <w:rPr>
                <w:rFonts w:ascii="Book Antiqua" w:hAnsi="Book Antiqua" w:cs="Arial"/>
                <w:sz w:val="20"/>
                <w:szCs w:val="20"/>
              </w:rPr>
              <w:t>5</w:t>
            </w:r>
            <w:r>
              <w:rPr>
                <w:rFonts w:ascii="Book Antiqua" w:hAnsi="Book Antiqua" w:cs="Arial"/>
                <w:sz w:val="20"/>
                <w:szCs w:val="20"/>
              </w:rPr>
              <w:t>1</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3</w:t>
            </w:r>
            <w:r>
              <w:rPr>
                <w:rFonts w:ascii="Book Antiqua" w:hAnsi="Book Antiqua" w:cs="Arial"/>
                <w:sz w:val="20"/>
                <w:szCs w:val="20"/>
              </w:rPr>
              <w:t>9</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43</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w:t>
            </w:r>
            <w:r w:rsidR="00A47A3B">
              <w:rPr>
                <w:rFonts w:ascii="Book Antiqua" w:hAnsi="Book Antiqua" w:cs="Arial"/>
                <w:sz w:val="20"/>
                <w:szCs w:val="20"/>
              </w:rPr>
              <w:t>M</w:t>
            </w:r>
            <w:r>
              <w:rPr>
                <w:rFonts w:ascii="Book Antiqua" w:hAnsi="Book Antiqua" w:cs="Arial"/>
                <w:sz w:val="20"/>
                <w:szCs w:val="20"/>
              </w:rPr>
              <w:t>B</w:t>
            </w:r>
          </w:p>
          <w:p w:rsidR="00A47A3B" w:rsidRDefault="00A47A3B" w:rsidP="00796BBE">
            <w:pPr>
              <w:widowControl/>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SB</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5</w:t>
            </w:r>
            <w:r>
              <w:rPr>
                <w:rFonts w:ascii="Book Antiqua" w:hAnsi="Book Antiqua" w:cs="Arial"/>
                <w:sz w:val="20"/>
                <w:szCs w:val="20"/>
              </w:rPr>
              <w:t>2</w:t>
            </w:r>
            <w:r w:rsidR="00097EF1">
              <w:rPr>
                <w:rFonts w:ascii="Book Antiqua" w:hAnsi="Book Antiqua" w:cs="Arial"/>
                <w:sz w:val="20"/>
                <w:szCs w:val="20"/>
              </w:rPr>
              <w:t xml:space="preserve"> min.</w:t>
            </w:r>
          </w:p>
          <w:p w:rsidR="00A47A3B" w:rsidRDefault="00A47A3B" w:rsidP="00796BBE">
            <w:pPr>
              <w:widowControl/>
              <w:rPr>
                <w:rFonts w:ascii="Book Antiqua" w:hAnsi="Book Antiqua" w:cs="Arial"/>
                <w:sz w:val="20"/>
                <w:szCs w:val="20"/>
              </w:rPr>
            </w:pPr>
            <w:r>
              <w:rPr>
                <w:rFonts w:ascii="Book Antiqua" w:hAnsi="Book Antiqua" w:cs="Arial"/>
                <w:sz w:val="20"/>
                <w:szCs w:val="20"/>
              </w:rPr>
              <w:t>6 hr., 38 min.</w:t>
            </w: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4 hr., 14</w:t>
            </w:r>
            <w:r w:rsidR="00097EF1">
              <w:rPr>
                <w:rFonts w:ascii="Book Antiqua" w:hAnsi="Book Antiqua" w:cs="Arial"/>
                <w:sz w:val="20"/>
                <w:szCs w:val="20"/>
              </w:rPr>
              <w:t xml:space="preserve"> min.</w:t>
            </w:r>
          </w:p>
          <w:p w:rsidR="00A47A3B" w:rsidRDefault="00A47A3B" w:rsidP="00796BBE">
            <w:pPr>
              <w:widowControl/>
              <w:rPr>
                <w:rFonts w:ascii="Book Antiqua" w:hAnsi="Book Antiqua" w:cs="Arial"/>
                <w:sz w:val="20"/>
                <w:szCs w:val="20"/>
              </w:rPr>
            </w:pPr>
            <w:r>
              <w:rPr>
                <w:rFonts w:ascii="Book Antiqua" w:hAnsi="Book Antiqua" w:cs="Arial"/>
                <w:sz w:val="20"/>
                <w:szCs w:val="20"/>
              </w:rPr>
              <w:t>6 hr., 49 min.</w:t>
            </w:r>
          </w:p>
        </w:tc>
        <w:tc>
          <w:tcPr>
            <w:tcW w:w="1800"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proofErr w:type="spellStart"/>
            <w:r>
              <w:rPr>
                <w:rFonts w:ascii="Book Antiqua" w:hAnsi="Book Antiqua" w:cs="Arial"/>
                <w:sz w:val="20"/>
                <w:szCs w:val="20"/>
              </w:rPr>
              <w:lastRenderedPageBreak/>
              <w:t>Sch</w:t>
            </w:r>
            <w:proofErr w:type="spellEnd"/>
            <w:r>
              <w:rPr>
                <w:rFonts w:ascii="Book Antiqua" w:hAnsi="Book Antiqua" w:cs="Arial"/>
                <w:sz w:val="20"/>
                <w:szCs w:val="20"/>
              </w:rPr>
              <w:t xml:space="preserve"> C</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w:t>
            </w:r>
            <w:r>
              <w:rPr>
                <w:rFonts w:ascii="Book Antiqua" w:hAnsi="Book Antiqua" w:cs="Arial"/>
                <w:sz w:val="20"/>
                <w:szCs w:val="20"/>
              </w:rPr>
              <w:t>4</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3 hr., 38</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D</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 hr.</w:t>
            </w:r>
            <w:r w:rsidR="00A47A3B">
              <w:rPr>
                <w:rFonts w:ascii="Book Antiqua" w:hAnsi="Book Antiqua" w:cs="Arial"/>
                <w:sz w:val="20"/>
                <w:szCs w:val="20"/>
              </w:rPr>
              <w:t>, 39 min.</w:t>
            </w: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20 min</w:t>
            </w: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1 hr., 52 min.</w:t>
            </w:r>
          </w:p>
        </w:tc>
        <w:tc>
          <w:tcPr>
            <w:tcW w:w="216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20 min.</w:t>
            </w: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G</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11 hr., </w:t>
            </w:r>
            <w:r w:rsidR="00A47A3B">
              <w:rPr>
                <w:rFonts w:ascii="Book Antiqua" w:hAnsi="Book Antiqua" w:cs="Arial"/>
                <w:sz w:val="20"/>
                <w:szCs w:val="20"/>
              </w:rPr>
              <w:t>29</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11</w:t>
            </w:r>
            <w:r w:rsidR="00097EF1">
              <w:rPr>
                <w:rFonts w:ascii="Book Antiqua" w:hAnsi="Book Antiqua" w:cs="Arial"/>
                <w:sz w:val="20"/>
                <w:szCs w:val="20"/>
              </w:rPr>
              <w:t xml:space="preserve"> hr.</w:t>
            </w: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H</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w:t>
            </w:r>
            <w:r>
              <w:rPr>
                <w:rFonts w:ascii="Book Antiqua" w:hAnsi="Book Antiqua" w:cs="Arial"/>
                <w:sz w:val="20"/>
                <w:szCs w:val="20"/>
              </w:rPr>
              <w:t>42</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8</w:t>
            </w:r>
            <w:r w:rsidR="00097EF1">
              <w:rPr>
                <w:rFonts w:ascii="Book Antiqua" w:hAnsi="Book Antiqua" w:cs="Arial"/>
                <w:sz w:val="20"/>
                <w:szCs w:val="20"/>
              </w:rPr>
              <w:t xml:space="preserve"> hr., </w:t>
            </w:r>
            <w:r>
              <w:rPr>
                <w:rFonts w:ascii="Book Antiqua" w:hAnsi="Book Antiqua" w:cs="Arial"/>
                <w:sz w:val="20"/>
                <w:szCs w:val="20"/>
              </w:rPr>
              <w:t>35</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I</w:t>
            </w:r>
          </w:p>
        </w:tc>
        <w:tc>
          <w:tcPr>
            <w:tcW w:w="1835"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 xml:space="preserve">2 </w:t>
            </w:r>
            <w:r w:rsidR="00097EF1">
              <w:rPr>
                <w:rFonts w:ascii="Book Antiqua" w:hAnsi="Book Antiqua" w:cs="Arial"/>
                <w:sz w:val="20"/>
                <w:szCs w:val="20"/>
              </w:rPr>
              <w:t xml:space="preserve">hr., </w:t>
            </w:r>
            <w:r>
              <w:rPr>
                <w:rFonts w:ascii="Book Antiqua" w:hAnsi="Book Antiqua" w:cs="Arial"/>
                <w:sz w:val="20"/>
                <w:szCs w:val="20"/>
              </w:rPr>
              <w:t>5</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55</w:t>
            </w:r>
            <w:r>
              <w:rPr>
                <w:rFonts w:ascii="Book Antiqua" w:hAnsi="Book Antiqua" w:cs="Arial"/>
                <w:sz w:val="20"/>
                <w:szCs w:val="20"/>
              </w:rPr>
              <w:t xml:space="preserve"> min.</w:t>
            </w:r>
          </w:p>
        </w:tc>
      </w:tr>
      <w:tr w:rsidR="00097EF1" w:rsidTr="00A47A3B">
        <w:trPr>
          <w:trHeight w:val="360"/>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R</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 hr., 4</w:t>
            </w:r>
            <w:r w:rsidR="00A47A3B">
              <w:rPr>
                <w:rFonts w:ascii="Book Antiqua" w:hAnsi="Book Antiqua" w:cs="Arial"/>
                <w:sz w:val="20"/>
                <w:szCs w:val="20"/>
              </w:rPr>
              <w:t>3</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w:t>
            </w:r>
            <w:r w:rsidR="00A47A3B">
              <w:rPr>
                <w:rFonts w:ascii="Book Antiqua" w:hAnsi="Book Antiqua" w:cs="Arial"/>
                <w:sz w:val="20"/>
                <w:szCs w:val="20"/>
              </w:rPr>
              <w:t xml:space="preserve"> hr., 5</w:t>
            </w:r>
            <w:r>
              <w:rPr>
                <w:rFonts w:ascii="Book Antiqua" w:hAnsi="Book Antiqua" w:cs="Arial"/>
                <w:sz w:val="20"/>
                <w:szCs w:val="20"/>
              </w:rPr>
              <w:t xml:space="preserve"> min.</w:t>
            </w:r>
          </w:p>
        </w:tc>
        <w:tc>
          <w:tcPr>
            <w:tcW w:w="1800"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bottom w:val="single" w:sz="6" w:space="0" w:color="auto"/>
              <w:right w:val="single" w:sz="6" w:space="0" w:color="auto"/>
            </w:tcBorders>
          </w:tcPr>
          <w:p w:rsidR="00097EF1" w:rsidRDefault="001157DF" w:rsidP="00796BBE">
            <w:pPr>
              <w:widowControl/>
              <w:rPr>
                <w:rFonts w:ascii="Book Antiqua" w:hAnsi="Book Antiqua" w:cs="Arial"/>
                <w:sz w:val="20"/>
                <w:szCs w:val="20"/>
              </w:rPr>
            </w:pPr>
            <w:r>
              <w:rPr>
                <w:rFonts w:ascii="Book Antiqua" w:hAnsi="Book Antiqua" w:cs="Arial"/>
                <w:sz w:val="20"/>
                <w:szCs w:val="20"/>
              </w:rPr>
              <w:t>Form 5500-SF</w:t>
            </w:r>
            <w:r w:rsidR="008E7281" w:rsidRPr="008E7281">
              <w:rPr>
                <w:rStyle w:val="FootnoteReference"/>
                <w:rFonts w:ascii="Book Antiqua" w:hAnsi="Book Antiqua" w:cs="Arial"/>
                <w:sz w:val="20"/>
                <w:szCs w:val="20"/>
                <w:vertAlign w:val="superscript"/>
              </w:rPr>
              <w:footnoteReference w:id="5"/>
            </w:r>
          </w:p>
        </w:tc>
        <w:tc>
          <w:tcPr>
            <w:tcW w:w="1835" w:type="dxa"/>
            <w:tcBorders>
              <w:left w:val="single" w:sz="6" w:space="0" w:color="auto"/>
              <w:bottom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bottom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32</w:t>
            </w:r>
            <w:r>
              <w:rPr>
                <w:rFonts w:ascii="Book Antiqua" w:hAnsi="Book Antiqua" w:cs="Arial"/>
                <w:sz w:val="20"/>
                <w:szCs w:val="20"/>
              </w:rPr>
              <w:t xml:space="preserve"> min.</w:t>
            </w:r>
          </w:p>
        </w:tc>
        <w:tc>
          <w:tcPr>
            <w:tcW w:w="1800" w:type="dxa"/>
            <w:tcBorders>
              <w:left w:val="single" w:sz="6" w:space="0" w:color="auto"/>
              <w:bottom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bottom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32</w:t>
            </w:r>
            <w:r>
              <w:rPr>
                <w:rFonts w:ascii="Book Antiqua" w:hAnsi="Book Antiqua" w:cs="Arial"/>
                <w:sz w:val="20"/>
                <w:szCs w:val="20"/>
              </w:rPr>
              <w:t xml:space="preserve"> min.</w:t>
            </w:r>
          </w:p>
        </w:tc>
      </w:tr>
    </w:tbl>
    <w:p w:rsidR="00097EF1" w:rsidRPr="00E5679F" w:rsidRDefault="00097EF1" w:rsidP="00796BBE">
      <w:pPr>
        <w:widowControl/>
      </w:pPr>
    </w:p>
    <w:p w:rsidR="00097EF1" w:rsidRDefault="00097EF1" w:rsidP="00796BBE">
      <w:pPr>
        <w:widowControl/>
      </w:pPr>
    </w:p>
    <w:p w:rsidR="00097EF1" w:rsidRDefault="00097EF1" w:rsidP="00796BBE">
      <w:pPr>
        <w:widowControl/>
      </w:pPr>
      <w:r w:rsidRPr="00E5679F">
        <w:t xml:space="preserve">The aggregate hour burden for the </w:t>
      </w:r>
      <w:r>
        <w:t xml:space="preserve">entire </w:t>
      </w:r>
      <w:r w:rsidRPr="00E5679F">
        <w:t xml:space="preserve">Form 5500 Annual Return/Report (including schedules and </w:t>
      </w:r>
      <w:r w:rsidR="001157DF">
        <w:t>S</w:t>
      </w:r>
      <w:r w:rsidRPr="00E5679F">
        <w:t xml:space="preserve">hort </w:t>
      </w:r>
      <w:r w:rsidR="001157DF">
        <w:t>F</w:t>
      </w:r>
      <w:r w:rsidRPr="00E5679F">
        <w:t>orm</w:t>
      </w:r>
      <w:r w:rsidR="001157DF">
        <w:t xml:space="preserve"> 5500</w:t>
      </w:r>
      <w:r w:rsidRPr="00E5679F">
        <w:t xml:space="preserve">) </w:t>
      </w:r>
      <w:r w:rsidR="00CF46B8">
        <w:t>is</w:t>
      </w:r>
      <w:r w:rsidRPr="00E5679F">
        <w:t xml:space="preserve"> estimated to be </w:t>
      </w:r>
      <w:r w:rsidR="00E06E29">
        <w:t>920</w:t>
      </w:r>
      <w:r w:rsidR="007F4E81">
        <w:t>,000 hours in 201</w:t>
      </w:r>
      <w:r w:rsidR="00E06E29">
        <w:t>5</w:t>
      </w:r>
      <w:r w:rsidR="00FC46DB">
        <w:t xml:space="preserve">, </w:t>
      </w:r>
      <w:r>
        <w:t xml:space="preserve">of which the Department </w:t>
      </w:r>
      <w:r w:rsidR="00FC46DB">
        <w:t xml:space="preserve">allocated share is </w:t>
      </w:r>
      <w:r w:rsidR="0089517F">
        <w:t>5</w:t>
      </w:r>
      <w:r w:rsidR="00E06E29">
        <w:t>79</w:t>
      </w:r>
      <w:r>
        <w:t>,000 hours</w:t>
      </w:r>
      <w:r w:rsidR="00FC46DB">
        <w:t xml:space="preserve"> with an equivalent cost of $</w:t>
      </w:r>
      <w:r w:rsidR="00923C16">
        <w:t>41</w:t>
      </w:r>
      <w:r w:rsidR="0030286D">
        <w:t>.</w:t>
      </w:r>
      <w:r w:rsidR="007F4E81">
        <w:t>3</w:t>
      </w:r>
      <w:r w:rsidR="00FC46DB">
        <w:t xml:space="preserve"> million</w:t>
      </w:r>
      <w:r w:rsidR="00923C16" w:rsidRPr="007F6740">
        <w:rPr>
          <w:vertAlign w:val="superscript"/>
        </w:rPr>
        <w:footnoteReference w:id="6"/>
      </w:r>
      <w:r w:rsidR="00051BA4">
        <w:t xml:space="preserve"> (5</w:t>
      </w:r>
      <w:r w:rsidR="00404B54">
        <w:t>79</w:t>
      </w:r>
      <w:r w:rsidR="00051BA4">
        <w:t>,000 hours times $</w:t>
      </w:r>
      <w:r w:rsidR="00404B54">
        <w:t>71.38</w:t>
      </w:r>
      <w:r w:rsidR="00051BA4">
        <w:t xml:space="preserve"> </w:t>
      </w:r>
      <w:r w:rsidR="00051BA4" w:rsidRPr="00051BA4">
        <w:t>per hour for service of a financial professional</w:t>
      </w:r>
      <w:r w:rsidR="002F4FD9" w:rsidRPr="0067248F">
        <w:rPr>
          <w:rStyle w:val="FootnoteReference"/>
          <w:vertAlign w:val="superscript"/>
        </w:rPr>
        <w:footnoteReference w:id="7"/>
      </w:r>
      <w:r w:rsidR="00051BA4" w:rsidRPr="00051BA4">
        <w:t>)</w:t>
      </w:r>
      <w:r w:rsidR="00CE1FE1">
        <w:t xml:space="preserve">. </w:t>
      </w:r>
      <w:r>
        <w:t xml:space="preserve">The aggregate and attributed </w:t>
      </w:r>
      <w:r w:rsidRPr="00E5679F">
        <w:t>hour burden</w:t>
      </w:r>
      <w:r>
        <w:t>s each reflect</w:t>
      </w:r>
      <w:r w:rsidRPr="00E5679F">
        <w:t xml:space="preserve"> </w:t>
      </w:r>
      <w:r>
        <w:t>an allocation of the overall burden between service providers hired by plans and plans that are expected to complete the return/report through use of in-house resources, rather than by purchase of services from third party service providers</w:t>
      </w:r>
      <w:r w:rsidR="00CE1FE1">
        <w:t xml:space="preserve">. </w:t>
      </w:r>
      <w:r>
        <w:t xml:space="preserve">The annual cost burden attributable to the Department is further described in the answer to </w:t>
      </w:r>
      <w:r w:rsidR="005758A6">
        <w:t>item</w:t>
      </w:r>
      <w:r>
        <w:t xml:space="preserve"> 13, below.</w:t>
      </w:r>
    </w:p>
    <w:p w:rsidR="00CE1FE1" w:rsidRDefault="00CE1FE1" w:rsidP="00796BBE">
      <w:pPr>
        <w:widowControl/>
      </w:pPr>
    </w:p>
    <w:p w:rsidR="002E4821" w:rsidRDefault="002E4821" w:rsidP="00796BBE">
      <w:pPr>
        <w:widowControl/>
      </w:pPr>
      <w:r>
        <w:t>January 2013 Revision</w:t>
      </w:r>
    </w:p>
    <w:p w:rsidR="002E4821" w:rsidRDefault="002E4821" w:rsidP="00796BBE">
      <w:pPr>
        <w:widowControl/>
      </w:pPr>
    </w:p>
    <w:p w:rsidR="002E4821" w:rsidRDefault="002E4821" w:rsidP="00796BBE">
      <w:pPr>
        <w:widowControl/>
      </w:pPr>
      <w:r>
        <w:t>As stated in Item 1, above, the finalized</w:t>
      </w:r>
      <w:r w:rsidRPr="00946B74">
        <w:t xml:space="preserve"> </w:t>
      </w:r>
      <w:r>
        <w:t>amendment</w:t>
      </w:r>
      <w:r w:rsidRPr="00946B74">
        <w:t xml:space="preserve"> would require an ERISA-covered plan that is subject to Form M-1 requirements to include proof of filing the Form M-1 as part of the Form 5500</w:t>
      </w:r>
      <w:r w:rsidR="00CE1FE1">
        <w:t xml:space="preserve">. </w:t>
      </w:r>
      <w:r w:rsidRPr="00946B74">
        <w:t>Plan administrators that indicate the plan is subject to the Form M-1 requirements also would be required to enter the receipt confirmation code for the most recent Form M-1 filed with the Department</w:t>
      </w:r>
      <w:r w:rsidR="00CE1FE1">
        <w:t xml:space="preserve">. </w:t>
      </w:r>
      <w:r w:rsidRPr="00946B74">
        <w:t xml:space="preserve">The Department believes that the burden associated with this revision would be </w:t>
      </w:r>
      <w:r w:rsidR="005D1652">
        <w:t>minimal</w:t>
      </w:r>
      <w:r w:rsidRPr="00946B74">
        <w:t>, because plan administrators w</w:t>
      </w:r>
      <w:r>
        <w:t>ill</w:t>
      </w:r>
      <w:r w:rsidRPr="00946B74">
        <w:t xml:space="preserve"> know whether the</w:t>
      </w:r>
      <w:r w:rsidR="002E77D7">
        <w:t>y</w:t>
      </w:r>
      <w:r w:rsidRPr="00946B74">
        <w:t xml:space="preserve"> </w:t>
      </w:r>
      <w:r w:rsidR="002E77D7">
        <w:t>are</w:t>
      </w:r>
      <w:r w:rsidRPr="00946B74">
        <w:t xml:space="preserve"> subject to and in compliance with the Form M-1 requirements and w</w:t>
      </w:r>
      <w:r>
        <w:t>ill</w:t>
      </w:r>
      <w:r w:rsidRPr="00946B74">
        <w:t xml:space="preserve"> have the receipt confirmation code for the most recent Form M-1 filing readily available</w:t>
      </w:r>
      <w:r w:rsidR="00CE1FE1">
        <w:t xml:space="preserve">. </w:t>
      </w:r>
      <w:r w:rsidR="005D1652">
        <w:t xml:space="preserve">The Department has included an estimate of 1 minute </w:t>
      </w:r>
      <w:r w:rsidR="00E01273">
        <w:t>for each of 48 entities</w:t>
      </w:r>
      <w:r w:rsidR="005D1652">
        <w:t xml:space="preserve"> to satisfy this requirement.</w:t>
      </w:r>
    </w:p>
    <w:p w:rsidR="007F4E81" w:rsidRDefault="007F4E81" w:rsidP="00796BBE">
      <w:pPr>
        <w:widowControl/>
      </w:pPr>
    </w:p>
    <w:p w:rsidR="007F4E81" w:rsidRDefault="008F48E3" w:rsidP="00796BBE">
      <w:pPr>
        <w:widowControl/>
      </w:pPr>
      <w:r>
        <w:lastRenderedPageBreak/>
        <w:t xml:space="preserve">2014 </w:t>
      </w:r>
      <w:r w:rsidR="007F2B7B">
        <w:t xml:space="preserve">CSEC Act </w:t>
      </w:r>
      <w:r w:rsidR="006750F6">
        <w:t>Amendment</w:t>
      </w:r>
    </w:p>
    <w:p w:rsidR="00051BA4" w:rsidRDefault="00051BA4" w:rsidP="00796BBE">
      <w:pPr>
        <w:widowControl/>
      </w:pPr>
    </w:p>
    <w:p w:rsidR="00DE735B" w:rsidRDefault="00770363" w:rsidP="00796BBE">
      <w:pPr>
        <w:widowControl/>
      </w:pPr>
      <w:r>
        <w:t>As stated in Item 1 above, the CSEC Act revision</w:t>
      </w:r>
      <w:r w:rsidR="006750F6">
        <w:t xml:space="preserve"> </w:t>
      </w:r>
      <w:r>
        <w:t xml:space="preserve">only </w:t>
      </w:r>
      <w:r w:rsidR="006750F6">
        <w:t xml:space="preserve">applies to </w:t>
      </w:r>
      <w:r>
        <w:t>multiple employer plans</w:t>
      </w:r>
      <w:r w:rsidR="00CE1FE1">
        <w:t xml:space="preserve">. </w:t>
      </w:r>
      <w:r w:rsidR="006750F6">
        <w:t>Based on data from the 2012 Form 5500 filings (the latest year for which complete data is available</w:t>
      </w:r>
      <w:r w:rsidR="005A2F33">
        <w:t>)</w:t>
      </w:r>
      <w:r w:rsidR="006750F6">
        <w:t>, the Department estimates that 5,</w:t>
      </w:r>
      <w:r w:rsidR="00BA62A0">
        <w:t>527</w:t>
      </w:r>
      <w:r w:rsidR="006750F6">
        <w:t xml:space="preserve"> multi</w:t>
      </w:r>
      <w:r w:rsidR="00B7210D">
        <w:t>pl</w:t>
      </w:r>
      <w:r w:rsidR="006750F6">
        <w:t>e</w:t>
      </w:r>
      <w:r w:rsidR="00B7210D">
        <w:t xml:space="preserve"> e</w:t>
      </w:r>
      <w:r w:rsidR="006750F6">
        <w:t>mployer plans are subject to the requirements of the CSEC Act Amendment (280 defined benefit plan</w:t>
      </w:r>
      <w:r w:rsidR="00BA62A0">
        <w:t xml:space="preserve">, </w:t>
      </w:r>
      <w:r w:rsidR="006750F6">
        <w:t>4,739 defined contribution plans</w:t>
      </w:r>
      <w:r w:rsidR="00BA62A0">
        <w:t>, and 508 welfare plans</w:t>
      </w:r>
      <w:r w:rsidR="006750F6">
        <w:t>)</w:t>
      </w:r>
      <w:r w:rsidR="00CE1FE1" w:rsidRPr="00CE1FE1">
        <w:t xml:space="preserve"> </w:t>
      </w:r>
      <w:r w:rsidR="00CE1FE1">
        <w:t xml:space="preserve">. </w:t>
      </w:r>
      <w:r w:rsidR="006750F6">
        <w:t xml:space="preserve">The Department assumes that plan </w:t>
      </w:r>
      <w:r w:rsidR="00F978E2">
        <w:t xml:space="preserve">administrators </w:t>
      </w:r>
      <w:r w:rsidR="006750F6">
        <w:t>will comply with the new requirements; therefore, the entire burden is hour burden</w:t>
      </w:r>
      <w:r w:rsidR="00CE1FE1">
        <w:t>.</w:t>
      </w:r>
    </w:p>
    <w:p w:rsidR="00DE735B" w:rsidRDefault="00DE735B" w:rsidP="00796BBE">
      <w:pPr>
        <w:widowControl/>
      </w:pPr>
    </w:p>
    <w:p w:rsidR="00693E4D" w:rsidRDefault="00693E4D" w:rsidP="00796BBE">
      <w:pPr>
        <w:widowControl/>
      </w:pPr>
      <w:r>
        <w:t>R</w:t>
      </w:r>
      <w:r w:rsidRPr="00693E4D">
        <w:t>eporting the basic information about participating employers required by the CSEC Act should not be burdensome for multiple employer plan</w:t>
      </w:r>
      <w:r>
        <w:t xml:space="preserve"> administrators,</w:t>
      </w:r>
      <w:r w:rsidRPr="00693E4D">
        <w:t xml:space="preserve"> because </w:t>
      </w:r>
      <w:r>
        <w:t xml:space="preserve">multiple employer plans </w:t>
      </w:r>
      <w:r w:rsidRPr="00693E4D">
        <w:t xml:space="preserve">already </w:t>
      </w:r>
      <w:r>
        <w:t xml:space="preserve">are </w:t>
      </w:r>
      <w:r w:rsidRPr="00693E4D">
        <w:t>required to maintain a list of participating employers and records of the contributions made by each employer</w:t>
      </w:r>
      <w:r w:rsidR="00AC6AF4">
        <w:t xml:space="preserve">. </w:t>
      </w:r>
      <w:r>
        <w:t>T</w:t>
      </w:r>
      <w:r w:rsidRPr="00693E4D">
        <w:t>he Department’s regulation on content requirements for summary plan descriptions,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w:t>
      </w:r>
      <w:r w:rsidR="00AC6AF4">
        <w:t>.</w:t>
      </w:r>
    </w:p>
    <w:p w:rsidR="00693E4D" w:rsidRDefault="00693E4D" w:rsidP="00796BBE">
      <w:pPr>
        <w:widowControl/>
      </w:pPr>
    </w:p>
    <w:p w:rsidR="00693E4D" w:rsidRDefault="00693E4D" w:rsidP="00796BBE">
      <w:pPr>
        <w:widowControl/>
      </w:pPr>
      <w:r w:rsidRPr="00693E4D">
        <w:t xml:space="preserve"> In addition, the Form 5500 currently requires plans </w:t>
      </w:r>
      <w:r>
        <w:t xml:space="preserve">to </w:t>
      </w:r>
      <w:r w:rsidRPr="00693E4D">
        <w:t>report information on employer contributions as part of the financial information required to be filed</w:t>
      </w:r>
      <w:r w:rsidR="00AC6AF4">
        <w:t xml:space="preserve">. </w:t>
      </w:r>
      <w:r w:rsidRPr="00693E4D">
        <w:t>Section 107 of ERISA requires the plan administrator to keep records in sufficient detail to allow the information on the Form 5500 to be “verified, explained, or clarified, and checked for accuracy and completeness.”</w:t>
      </w:r>
      <w:r w:rsidR="00AC6AF4">
        <w:t xml:space="preserve"> </w:t>
      </w:r>
      <w:r w:rsidRPr="00693E4D">
        <w:t>In the Department’s view, this would require the plan to keep records sufficient to identify the individual participating employers that made contributions and the amount of the contributions attributable to each individual employer</w:t>
      </w:r>
      <w:r w:rsidR="00AC6AF4">
        <w:t>.</w:t>
      </w:r>
    </w:p>
    <w:p w:rsidR="00693E4D" w:rsidRDefault="00693E4D" w:rsidP="00796BBE">
      <w:pPr>
        <w:widowControl/>
      </w:pPr>
    </w:p>
    <w:p w:rsidR="006750F6" w:rsidRDefault="00693E4D" w:rsidP="00796BBE">
      <w:pPr>
        <w:widowControl/>
      </w:pPr>
      <w:r>
        <w:t>Therefore, t</w:t>
      </w:r>
      <w:r w:rsidR="006750F6">
        <w:t xml:space="preserve">he Department </w:t>
      </w:r>
      <w:r>
        <w:t xml:space="preserve">assumes </w:t>
      </w:r>
      <w:r w:rsidR="006750F6">
        <w:t xml:space="preserve">that on average, it will take a financial professional thirty </w:t>
      </w:r>
      <w:r w:rsidR="005A2F33">
        <w:t xml:space="preserve">(30) </w:t>
      </w:r>
      <w:r w:rsidR="006750F6">
        <w:t>minutes to comply the CSEC Act amendments</w:t>
      </w:r>
      <w:r w:rsidR="005A2F33">
        <w:t xml:space="preserve"> by creating an attachment containing the list of participating employer</w:t>
      </w:r>
      <w:r w:rsidR="00BD1411">
        <w:t xml:space="preserve">, their EIN, </w:t>
      </w:r>
      <w:r w:rsidR="005A2F33">
        <w:t>and their percentage of total plan contributions</w:t>
      </w:r>
      <w:r w:rsidR="00AC6AF4">
        <w:t xml:space="preserve">. </w:t>
      </w:r>
      <w:r w:rsidR="00BA62A0">
        <w:t>Ba</w:t>
      </w:r>
      <w:r>
        <w:t xml:space="preserve">sed on the foregoing, the Department estimates that </w:t>
      </w:r>
      <w:r w:rsidR="00403EDA">
        <w:t>5,</w:t>
      </w:r>
      <w:r w:rsidR="00BA62A0">
        <w:t>527</w:t>
      </w:r>
      <w:r w:rsidR="00403EDA">
        <w:t xml:space="preserve"> multi</w:t>
      </w:r>
      <w:r w:rsidR="00FA41AE">
        <w:t xml:space="preserve">ple </w:t>
      </w:r>
      <w:r w:rsidR="00403EDA">
        <w:t xml:space="preserve">employer plan </w:t>
      </w:r>
      <w:r w:rsidR="00F978E2">
        <w:t xml:space="preserve">administrators </w:t>
      </w:r>
      <w:r w:rsidR="00403EDA">
        <w:t xml:space="preserve"> will spend approximately 2,</w:t>
      </w:r>
      <w:r w:rsidR="00BA62A0">
        <w:t>764</w:t>
      </w:r>
      <w:r w:rsidR="00403EDA">
        <w:t xml:space="preserve"> hours complying with the CSEC Act requirements at an equivalent cost of approximately $1</w:t>
      </w:r>
      <w:r w:rsidR="005031E8">
        <w:t>9</w:t>
      </w:r>
      <w:r w:rsidR="00E01273">
        <w:t>7</w:t>
      </w:r>
      <w:r w:rsidR="005031E8">
        <w:t>,000</w:t>
      </w:r>
      <w:r w:rsidR="00403EDA">
        <w:t xml:space="preserve"> (2,</w:t>
      </w:r>
      <w:r w:rsidR="00BA62A0">
        <w:t>764</w:t>
      </w:r>
      <w:r w:rsidR="00403EDA">
        <w:t xml:space="preserve"> hours times $</w:t>
      </w:r>
      <w:r w:rsidR="00E01273">
        <w:t>71.38 per hour</w:t>
      </w:r>
      <w:r w:rsidR="00403EDA">
        <w:t xml:space="preserve"> for the services of an in-house financial professional</w:t>
      </w:r>
      <w:r w:rsidR="000C3B7F">
        <w:t>)</w:t>
      </w:r>
      <w:r w:rsidR="00403EDA">
        <w:t xml:space="preserve">. </w:t>
      </w:r>
    </w:p>
    <w:p w:rsidR="00995D62" w:rsidRDefault="00995D62" w:rsidP="00796BBE">
      <w:pPr>
        <w:widowControl/>
      </w:pPr>
    </w:p>
    <w:p w:rsidR="00995D62" w:rsidRPr="00925CA8" w:rsidRDefault="00925CA8" w:rsidP="00796BBE">
      <w:pPr>
        <w:widowControl/>
        <w:rPr>
          <w:bCs/>
        </w:rPr>
      </w:pPr>
      <w:r w:rsidRPr="00925CA8">
        <w:rPr>
          <w:bCs/>
        </w:rPr>
        <w:t xml:space="preserve">Table 2 </w:t>
      </w:r>
      <w:r w:rsidR="00995D62" w:rsidRPr="00925CA8">
        <w:rPr>
          <w:bCs/>
        </w:rPr>
        <w:t>Time Burden Summary</w:t>
      </w:r>
    </w:p>
    <w:tbl>
      <w:tblPr>
        <w:tblW w:w="9576" w:type="dxa"/>
        <w:tblLayout w:type="fixed"/>
        <w:tblCellMar>
          <w:left w:w="0" w:type="dxa"/>
          <w:right w:w="0" w:type="dxa"/>
        </w:tblCellMar>
        <w:tblLook w:val="04A0" w:firstRow="1" w:lastRow="0" w:firstColumn="1" w:lastColumn="0" w:noHBand="0" w:noVBand="1"/>
      </w:tblPr>
      <w:tblGrid>
        <w:gridCol w:w="1523"/>
        <w:gridCol w:w="1555"/>
        <w:gridCol w:w="1440"/>
        <w:gridCol w:w="1170"/>
        <w:gridCol w:w="1080"/>
        <w:gridCol w:w="1170"/>
        <w:gridCol w:w="1638"/>
      </w:tblGrid>
      <w:tr w:rsidR="00FE199A" w:rsidRPr="00995D62" w:rsidTr="00C911A4">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Activity</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Annual Responses per Respondent</w:t>
            </w:r>
          </w:p>
        </w:tc>
        <w:tc>
          <w:tcPr>
            <w:tcW w:w="1170" w:type="dxa"/>
            <w:tcBorders>
              <w:top w:val="single" w:sz="8" w:space="0" w:color="auto"/>
              <w:left w:val="nil"/>
              <w:bottom w:val="single" w:sz="8" w:space="0" w:color="auto"/>
              <w:right w:val="single" w:sz="8" w:space="0" w:color="auto"/>
            </w:tcBorders>
            <w:hideMark/>
          </w:tcPr>
          <w:p w:rsidR="00FE199A" w:rsidRPr="00995D62" w:rsidRDefault="00FE199A" w:rsidP="00796BBE">
            <w:pPr>
              <w:widowControl/>
              <w:rPr>
                <w:b/>
                <w:bCs/>
              </w:rPr>
            </w:pPr>
            <w:r w:rsidRPr="00995D62">
              <w:rPr>
                <w:b/>
                <w:bCs/>
              </w:rPr>
              <w:t>Total Number of Responses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Total Burden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Time Value</w:t>
            </w:r>
            <w:r w:rsidR="00AE1B43">
              <w:rPr>
                <w:b/>
                <w:bCs/>
              </w:rPr>
              <w:t xml:space="preserve"> (Hourly Rate)</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Monetized Burden Hours (Rounded)</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796BBE">
            <w:pPr>
              <w:widowControl/>
            </w:pPr>
            <w:r>
              <w:t xml:space="preserve">Form 5500 </w:t>
            </w:r>
            <w:r>
              <w:lastRenderedPageBreak/>
              <w:t>including 5500-SF and Schedules</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E01273" w:rsidP="00796BBE">
            <w:pPr>
              <w:widowControl/>
            </w:pPr>
            <w:r>
              <w:lastRenderedPageBreak/>
              <w:t>822</w:t>
            </w:r>
            <w:r w:rsidR="00FE199A">
              <w:t>,000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vAlign w:val="bottom"/>
          </w:tcPr>
          <w:p w:rsidR="00FE199A" w:rsidRPr="00995D62" w:rsidRDefault="00E01273" w:rsidP="00796BBE">
            <w:pPr>
              <w:widowControl/>
            </w:pPr>
            <w:r>
              <w:t>822</w:t>
            </w:r>
            <w:r w:rsidR="00FE199A">
              <w:t>,000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5</w:t>
            </w:r>
            <w:r w:rsidR="00E01273">
              <w:t>79</w:t>
            </w:r>
            <w:r>
              <w:t>,000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AE1B43">
            <w:pPr>
              <w:widowControl/>
            </w:pPr>
            <w:r>
              <w:t>$</w:t>
            </w:r>
            <w:r w:rsidR="00E01273">
              <w:t>71.38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w:t>
            </w:r>
            <w:r w:rsidR="00E01273">
              <w:t>41</w:t>
            </w:r>
            <w:r>
              <w:t>.3 million</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796BBE">
            <w:pPr>
              <w:widowControl/>
            </w:pPr>
            <w:r>
              <w:lastRenderedPageBreak/>
              <w:t>January 2013 Revision</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48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vAlign w:val="bottom"/>
          </w:tcPr>
          <w:p w:rsidR="00FE199A" w:rsidRPr="00995D62" w:rsidRDefault="00FE199A" w:rsidP="00796BBE">
            <w:pPr>
              <w:widowControl/>
            </w:pPr>
            <w:r>
              <w:t>48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AE1B43">
            <w:pPr>
              <w:widowControl/>
            </w:pPr>
            <w:r>
              <w:t>$</w:t>
            </w:r>
            <w:r w:rsidR="00585BF9">
              <w:t>71.38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w:t>
            </w:r>
            <w:r w:rsidR="00585BF9">
              <w:t>71</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796BBE">
            <w:pPr>
              <w:widowControl/>
            </w:pPr>
            <w:r>
              <w:t>2014 CSEC Revision</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5,527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vAlign w:val="bottom"/>
          </w:tcPr>
          <w:p w:rsidR="00FE199A" w:rsidRPr="00995D62" w:rsidRDefault="00FE199A" w:rsidP="00796BBE">
            <w:pPr>
              <w:widowControl/>
            </w:pPr>
            <w:r>
              <w:t>5,527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2,764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AE1B43">
            <w:pPr>
              <w:widowControl/>
            </w:pPr>
            <w:r>
              <w:t>$</w:t>
            </w:r>
            <w:r w:rsidR="00585BF9">
              <w:t>71.38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$19</w:t>
            </w:r>
            <w:r w:rsidR="00585BF9">
              <w:t>7</w:t>
            </w:r>
            <w:r>
              <w:t>,000</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i/>
                <w:iCs/>
              </w:rPr>
            </w:pPr>
            <w:r w:rsidRPr="00995D62">
              <w:rPr>
                <w:i/>
                <w:iCs/>
              </w:rPr>
              <w:t>Unduplicated Totals</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585BF9" w:rsidP="00796BBE">
            <w:pPr>
              <w:widowControl/>
            </w:pPr>
            <w:r>
              <w:t>827</w:t>
            </w:r>
            <w:r w:rsidR="00FE199A">
              <w:t>,575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FE199A" w:rsidP="00796BBE">
            <w:pPr>
              <w:widowControl/>
              <w:rPr>
                <w:i/>
                <w:iCs/>
              </w:rPr>
            </w:pPr>
            <w:r w:rsidRPr="00995D62">
              <w:rPr>
                <w:i/>
                <w:iCs/>
              </w:rPr>
              <w:t>NA</w:t>
            </w:r>
          </w:p>
        </w:tc>
        <w:tc>
          <w:tcPr>
            <w:tcW w:w="1170" w:type="dxa"/>
            <w:tcBorders>
              <w:top w:val="nil"/>
              <w:left w:val="nil"/>
              <w:bottom w:val="single" w:sz="8" w:space="0" w:color="auto"/>
              <w:right w:val="single" w:sz="8" w:space="0" w:color="auto"/>
            </w:tcBorders>
            <w:vAlign w:val="bottom"/>
            <w:hideMark/>
          </w:tcPr>
          <w:p w:rsidR="00FE199A" w:rsidRPr="00995D62" w:rsidRDefault="00585BF9" w:rsidP="00796BBE">
            <w:pPr>
              <w:widowControl/>
            </w:pPr>
            <w:r>
              <w:t>827</w:t>
            </w:r>
            <w:r w:rsidR="00FE199A">
              <w:t>,575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585BF9" w:rsidP="00796BBE">
            <w:pPr>
              <w:widowControl/>
            </w:pPr>
            <w:r>
              <w:t>581</w:t>
            </w:r>
            <w:r w:rsidR="00FE199A">
              <w:t>,765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AE1B43">
            <w:pPr>
              <w:widowControl/>
              <w:rPr>
                <w:i/>
                <w:iCs/>
              </w:rPr>
            </w:pPr>
            <w:r>
              <w:rPr>
                <w:i/>
                <w:iCs/>
              </w:rPr>
              <w:t>$</w:t>
            </w:r>
            <w:r w:rsidR="00585BF9">
              <w:rPr>
                <w:i/>
                <w:iCs/>
              </w:rPr>
              <w:t>71.38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rPr>
                <w:i/>
                <w:iCs/>
              </w:rPr>
            </w:pPr>
            <w:r>
              <w:rPr>
                <w:i/>
                <w:iCs/>
              </w:rPr>
              <w:t>$</w:t>
            </w:r>
            <w:r w:rsidR="00585BF9">
              <w:rPr>
                <w:i/>
                <w:iCs/>
              </w:rPr>
              <w:t>41</w:t>
            </w:r>
            <w:r>
              <w:rPr>
                <w:i/>
                <w:iCs/>
              </w:rPr>
              <w:t>.5 million</w:t>
            </w:r>
          </w:p>
        </w:tc>
      </w:tr>
    </w:tbl>
    <w:p w:rsidR="00097EF1" w:rsidRDefault="00097EF1" w:rsidP="00796BBE">
      <w:pPr>
        <w:widowControl/>
      </w:pPr>
    </w:p>
    <w:p w:rsidR="00097EF1" w:rsidRDefault="00097EF1" w:rsidP="00796BBE">
      <w:pPr>
        <w:pStyle w:val="Quick1"/>
        <w:widowControl/>
      </w:pPr>
      <w:r>
        <w:t>Provide an estimate of the total annual cost burden to respondents or record</w:t>
      </w:r>
      <w:r w:rsidR="0062448F">
        <w:t xml:space="preserve"> </w:t>
      </w:r>
      <w:r>
        <w:t>keepers resulting from the collection of information</w:t>
      </w:r>
      <w:r w:rsidR="002240B4">
        <w:t xml:space="preserve">. </w:t>
      </w:r>
      <w:r>
        <w:t>(Do not include the cost of any hour burden shown in Items 12 or 14).</w:t>
      </w:r>
    </w:p>
    <w:p w:rsidR="00097EF1" w:rsidRDefault="00097EF1" w:rsidP="00796BBE">
      <w:pPr>
        <w:widowControl/>
      </w:pPr>
    </w:p>
    <w:p w:rsidR="00BF7B1E" w:rsidRDefault="00097EF1" w:rsidP="00796BBE">
      <w:pPr>
        <w:widowControl/>
      </w:pPr>
      <w:r>
        <w:t xml:space="preserve">Detailed information on the methodology by which the total annual cost burden for this ICR was developed is included in the answer to </w:t>
      </w:r>
      <w:r w:rsidR="005758A6">
        <w:t>item</w:t>
      </w:r>
      <w:r>
        <w:t xml:space="preserve"> 12, above</w:t>
      </w:r>
      <w:r w:rsidR="002240B4">
        <w:t xml:space="preserve">. </w:t>
      </w:r>
    </w:p>
    <w:p w:rsidR="00BF7B1E" w:rsidRDefault="00BF7B1E" w:rsidP="00796BBE">
      <w:pPr>
        <w:widowControl/>
      </w:pPr>
    </w:p>
    <w:p w:rsidR="00CC2EB6" w:rsidRDefault="00CC2EB6" w:rsidP="00796BBE">
      <w:pPr>
        <w:widowControl/>
      </w:pPr>
      <w:r>
        <w:t xml:space="preserve">As seen in table </w:t>
      </w:r>
      <w:r w:rsidR="00925CA8">
        <w:t>3</w:t>
      </w:r>
      <w:r>
        <w:t>, t</w:t>
      </w:r>
      <w:r w:rsidR="00097EF1">
        <w:t>he total annual cost burden</w:t>
      </w:r>
      <w:r w:rsidR="00CF46B8">
        <w:t>s</w:t>
      </w:r>
      <w:r w:rsidR="00097EF1">
        <w:t xml:space="preserve"> attributable to the Department for the information collection requirements of the Form 5500 Return/Report, derived as described in the answer to item 12</w:t>
      </w:r>
      <w:r w:rsidR="00925CA8">
        <w:t xml:space="preserve"> for what is not included in burden hours</w:t>
      </w:r>
      <w:bookmarkStart w:id="2" w:name="_GoBack"/>
      <w:bookmarkEnd w:id="2"/>
      <w:r w:rsidR="00097EF1">
        <w:t xml:space="preserve">, above, </w:t>
      </w:r>
      <w:r w:rsidR="00CF46B8">
        <w:t>are</w:t>
      </w:r>
      <w:r w:rsidR="00097EF1">
        <w:t xml:space="preserve"> estimated at </w:t>
      </w:r>
      <w:r w:rsidR="00CF46B8">
        <w:t>$</w:t>
      </w:r>
      <w:r w:rsidR="005F0AAA">
        <w:t>2</w:t>
      </w:r>
      <w:r w:rsidR="00344567">
        <w:t>29.4</w:t>
      </w:r>
      <w:r w:rsidR="00B052BD">
        <w:t xml:space="preserve"> </w:t>
      </w:r>
      <w:r w:rsidR="00E114A8">
        <w:t>million</w:t>
      </w:r>
      <w:r w:rsidR="00FC46DB">
        <w:t xml:space="preserve"> </w:t>
      </w:r>
      <w:r w:rsidR="005F0AAA">
        <w:t>annually</w:t>
      </w:r>
      <w:r w:rsidR="002240B4">
        <w:t>.</w:t>
      </w:r>
      <w:r w:rsidR="002B0F9C">
        <w:t xml:space="preserve"> More specifically, t</w:t>
      </w:r>
      <w:r w:rsidR="002B0F9C" w:rsidRPr="002B0F9C">
        <w:t xml:space="preserve">he </w:t>
      </w:r>
      <w:r w:rsidR="002B0F9C">
        <w:t>cost</w:t>
      </w:r>
      <w:r w:rsidR="002B0F9C" w:rsidRPr="002B0F9C">
        <w:t xml:space="preserve"> burdens each reflect an allocation of the overall burden </w:t>
      </w:r>
      <w:r w:rsidR="002B0F9C">
        <w:t xml:space="preserve">by plans </w:t>
      </w:r>
      <w:r w:rsidR="002B0F9C" w:rsidRPr="002B0F9C">
        <w:t>purchas</w:t>
      </w:r>
      <w:r w:rsidR="002B0F9C">
        <w:t>ing</w:t>
      </w:r>
      <w:r w:rsidR="002B0F9C" w:rsidRPr="002B0F9C">
        <w:t xml:space="preserve"> services from third party providers that are expected to complete the return/report</w:t>
      </w:r>
      <w:r w:rsidR="002B0F9C">
        <w:t xml:space="preserve">, rather than plans that use </w:t>
      </w:r>
      <w:r w:rsidR="002B0F9C" w:rsidRPr="002B0F9C">
        <w:t>in-house resources</w:t>
      </w:r>
      <w:r w:rsidR="002B0F9C">
        <w:t xml:space="preserve"> for this work</w:t>
      </w:r>
      <w:r w:rsidR="002B0F9C" w:rsidRPr="002B0F9C">
        <w:t>.</w:t>
      </w:r>
    </w:p>
    <w:p w:rsidR="00CC2EB6" w:rsidRDefault="00CC2EB6" w:rsidP="00796BBE">
      <w:pPr>
        <w:widowControl/>
      </w:pPr>
    </w:p>
    <w:p w:rsidR="00925CA8" w:rsidRDefault="00925CA8" w:rsidP="00796BBE">
      <w:pPr>
        <w:widowControl/>
      </w:pPr>
      <w:r>
        <w:t>Table 3 Other costs</w:t>
      </w:r>
    </w:p>
    <w:tbl>
      <w:tblPr>
        <w:tblStyle w:val="TableGrid"/>
        <w:tblW w:w="0" w:type="auto"/>
        <w:tblLook w:val="04A0" w:firstRow="1" w:lastRow="0" w:firstColumn="1" w:lastColumn="0" w:noHBand="0" w:noVBand="1"/>
      </w:tblPr>
      <w:tblGrid>
        <w:gridCol w:w="1858"/>
        <w:gridCol w:w="1179"/>
        <w:gridCol w:w="2070"/>
        <w:gridCol w:w="1294"/>
        <w:gridCol w:w="1537"/>
        <w:gridCol w:w="1638"/>
      </w:tblGrid>
      <w:tr w:rsidR="00421278" w:rsidRPr="000725FB" w:rsidTr="00925CA8">
        <w:trPr>
          <w:trHeight w:val="510"/>
        </w:trPr>
        <w:tc>
          <w:tcPr>
            <w:tcW w:w="1858" w:type="dxa"/>
            <w:hideMark/>
          </w:tcPr>
          <w:p w:rsidR="000725FB" w:rsidRPr="000725FB" w:rsidRDefault="000725FB" w:rsidP="000725FB">
            <w:pPr>
              <w:widowControl/>
            </w:pPr>
            <w:r w:rsidRPr="000725FB">
              <w:t> </w:t>
            </w:r>
          </w:p>
        </w:tc>
        <w:tc>
          <w:tcPr>
            <w:tcW w:w="1179" w:type="dxa"/>
            <w:hideMark/>
          </w:tcPr>
          <w:p w:rsidR="000725FB" w:rsidRPr="00925CA8" w:rsidRDefault="000725FB" w:rsidP="00925CA8">
            <w:pPr>
              <w:widowControl/>
              <w:jc w:val="center"/>
              <w:rPr>
                <w:b/>
              </w:rPr>
            </w:pPr>
            <w:r w:rsidRPr="00925CA8">
              <w:rPr>
                <w:b/>
              </w:rPr>
              <w:t>Affected Plans</w:t>
            </w:r>
          </w:p>
        </w:tc>
        <w:tc>
          <w:tcPr>
            <w:tcW w:w="2070" w:type="dxa"/>
            <w:hideMark/>
          </w:tcPr>
          <w:p w:rsidR="000725FB" w:rsidRPr="00925CA8" w:rsidRDefault="000725FB" w:rsidP="00925CA8">
            <w:pPr>
              <w:widowControl/>
              <w:jc w:val="center"/>
              <w:rPr>
                <w:b/>
              </w:rPr>
            </w:pPr>
            <w:r w:rsidRPr="00925CA8">
              <w:rPr>
                <w:b/>
              </w:rPr>
              <w:t>Average Service Provider Hours Per Plan</w:t>
            </w:r>
          </w:p>
        </w:tc>
        <w:tc>
          <w:tcPr>
            <w:tcW w:w="1294" w:type="dxa"/>
            <w:hideMark/>
          </w:tcPr>
          <w:p w:rsidR="000725FB" w:rsidRPr="00925CA8" w:rsidRDefault="000725FB" w:rsidP="00925CA8">
            <w:pPr>
              <w:widowControl/>
              <w:jc w:val="center"/>
              <w:rPr>
                <w:b/>
              </w:rPr>
            </w:pPr>
            <w:r w:rsidRPr="00925CA8">
              <w:rPr>
                <w:b/>
              </w:rPr>
              <w:t>Provider Hours</w:t>
            </w:r>
          </w:p>
        </w:tc>
        <w:tc>
          <w:tcPr>
            <w:tcW w:w="1537" w:type="dxa"/>
            <w:hideMark/>
          </w:tcPr>
          <w:p w:rsidR="000725FB" w:rsidRPr="00925CA8" w:rsidRDefault="000725FB" w:rsidP="00925CA8">
            <w:pPr>
              <w:widowControl/>
              <w:jc w:val="center"/>
              <w:rPr>
                <w:b/>
              </w:rPr>
            </w:pPr>
            <w:r w:rsidRPr="00925CA8">
              <w:rPr>
                <w:b/>
              </w:rPr>
              <w:t>Service Provider Cost Per Hour</w:t>
            </w:r>
            <w:r w:rsidR="004908EE" w:rsidRPr="00A36714">
              <w:rPr>
                <w:rStyle w:val="FootnoteReference"/>
                <w:vertAlign w:val="superscript"/>
              </w:rPr>
              <w:footnoteReference w:id="8"/>
            </w:r>
          </w:p>
        </w:tc>
        <w:tc>
          <w:tcPr>
            <w:tcW w:w="1638" w:type="dxa"/>
            <w:hideMark/>
          </w:tcPr>
          <w:p w:rsidR="000725FB" w:rsidRPr="00925CA8" w:rsidRDefault="000725FB" w:rsidP="00925CA8">
            <w:pPr>
              <w:widowControl/>
              <w:jc w:val="center"/>
              <w:rPr>
                <w:b/>
              </w:rPr>
            </w:pPr>
            <w:r w:rsidRPr="00925CA8">
              <w:rPr>
                <w:b/>
              </w:rPr>
              <w:t>Provider Costs</w:t>
            </w:r>
          </w:p>
        </w:tc>
      </w:tr>
      <w:tr w:rsidR="00421278" w:rsidRPr="000725FB" w:rsidTr="00925CA8">
        <w:trPr>
          <w:trHeight w:val="255"/>
        </w:trPr>
        <w:tc>
          <w:tcPr>
            <w:tcW w:w="1858" w:type="dxa"/>
            <w:noWrap/>
            <w:hideMark/>
          </w:tcPr>
          <w:p w:rsidR="000725FB" w:rsidRPr="000725FB" w:rsidRDefault="000725FB" w:rsidP="004908EE">
            <w:pPr>
              <w:widowControl/>
            </w:pPr>
            <w:r w:rsidRPr="000725FB">
              <w:t>Large Pension Plans</w:t>
            </w:r>
          </w:p>
        </w:tc>
        <w:tc>
          <w:tcPr>
            <w:tcW w:w="1179" w:type="dxa"/>
            <w:noWrap/>
            <w:hideMark/>
          </w:tcPr>
          <w:p w:rsidR="000725FB" w:rsidRPr="000725FB" w:rsidRDefault="000725FB" w:rsidP="00925CA8">
            <w:pPr>
              <w:widowControl/>
              <w:jc w:val="right"/>
            </w:pPr>
            <w:r w:rsidRPr="000725FB">
              <w:t>80,000</w:t>
            </w:r>
          </w:p>
        </w:tc>
        <w:tc>
          <w:tcPr>
            <w:tcW w:w="2070" w:type="dxa"/>
            <w:noWrap/>
            <w:hideMark/>
          </w:tcPr>
          <w:p w:rsidR="000725FB" w:rsidRPr="000725FB" w:rsidRDefault="000725FB" w:rsidP="00925CA8">
            <w:pPr>
              <w:widowControl/>
              <w:jc w:val="right"/>
            </w:pPr>
            <w:r w:rsidRPr="000725FB">
              <w:t>7.99</w:t>
            </w:r>
          </w:p>
        </w:tc>
        <w:tc>
          <w:tcPr>
            <w:tcW w:w="1294" w:type="dxa"/>
            <w:noWrap/>
            <w:hideMark/>
          </w:tcPr>
          <w:p w:rsidR="000725FB" w:rsidRPr="000725FB" w:rsidRDefault="000725FB" w:rsidP="00925CA8">
            <w:pPr>
              <w:widowControl/>
              <w:jc w:val="right"/>
            </w:pPr>
            <w:r w:rsidRPr="000725FB">
              <w:t>639,000</w:t>
            </w:r>
          </w:p>
        </w:tc>
        <w:tc>
          <w:tcPr>
            <w:tcW w:w="1537" w:type="dxa"/>
            <w:noWrap/>
            <w:hideMark/>
          </w:tcPr>
          <w:p w:rsidR="000725FB" w:rsidRPr="000725FB" w:rsidRDefault="000725FB" w:rsidP="00925CA8">
            <w:pPr>
              <w:widowControl/>
              <w:jc w:val="right"/>
            </w:pPr>
            <w:r w:rsidRPr="000725FB">
              <w:t>$100</w:t>
            </w:r>
          </w:p>
        </w:tc>
        <w:tc>
          <w:tcPr>
            <w:tcW w:w="1638" w:type="dxa"/>
            <w:noWrap/>
            <w:hideMark/>
          </w:tcPr>
          <w:p w:rsidR="000725FB" w:rsidRPr="000725FB" w:rsidRDefault="000725FB" w:rsidP="00925CA8">
            <w:pPr>
              <w:widowControl/>
              <w:jc w:val="right"/>
            </w:pPr>
            <w:r w:rsidRPr="000725FB">
              <w:t>$63,899,000</w:t>
            </w:r>
          </w:p>
        </w:tc>
      </w:tr>
      <w:tr w:rsidR="00421278" w:rsidRPr="000725FB" w:rsidTr="00925CA8">
        <w:trPr>
          <w:trHeight w:val="255"/>
        </w:trPr>
        <w:tc>
          <w:tcPr>
            <w:tcW w:w="1858" w:type="dxa"/>
            <w:noWrap/>
            <w:hideMark/>
          </w:tcPr>
          <w:p w:rsidR="000725FB" w:rsidRPr="000725FB" w:rsidRDefault="000725FB" w:rsidP="004908EE">
            <w:pPr>
              <w:widowControl/>
            </w:pPr>
            <w:r w:rsidRPr="000725FB">
              <w:t>Small Pension Plans</w:t>
            </w:r>
          </w:p>
        </w:tc>
        <w:tc>
          <w:tcPr>
            <w:tcW w:w="1179" w:type="dxa"/>
            <w:noWrap/>
            <w:hideMark/>
          </w:tcPr>
          <w:p w:rsidR="000725FB" w:rsidRPr="000725FB" w:rsidRDefault="000725FB" w:rsidP="00925CA8">
            <w:pPr>
              <w:widowControl/>
              <w:jc w:val="right"/>
            </w:pPr>
            <w:r w:rsidRPr="000725FB">
              <w:t>658,000</w:t>
            </w:r>
          </w:p>
        </w:tc>
        <w:tc>
          <w:tcPr>
            <w:tcW w:w="2070" w:type="dxa"/>
            <w:noWrap/>
            <w:hideMark/>
          </w:tcPr>
          <w:p w:rsidR="000725FB" w:rsidRPr="000725FB" w:rsidRDefault="000725FB" w:rsidP="00925CA8">
            <w:pPr>
              <w:widowControl/>
              <w:jc w:val="right"/>
            </w:pPr>
            <w:r w:rsidRPr="000725FB">
              <w:t>1.</w:t>
            </w:r>
            <w:r w:rsidR="006B7EF0">
              <w:t>17</w:t>
            </w:r>
          </w:p>
        </w:tc>
        <w:tc>
          <w:tcPr>
            <w:tcW w:w="1294" w:type="dxa"/>
            <w:noWrap/>
            <w:hideMark/>
          </w:tcPr>
          <w:p w:rsidR="000725FB" w:rsidRPr="000725FB" w:rsidRDefault="000725FB" w:rsidP="00925CA8">
            <w:pPr>
              <w:widowControl/>
              <w:jc w:val="right"/>
            </w:pPr>
            <w:r w:rsidRPr="000725FB">
              <w:t>768,000</w:t>
            </w:r>
          </w:p>
        </w:tc>
        <w:tc>
          <w:tcPr>
            <w:tcW w:w="1537" w:type="dxa"/>
            <w:noWrap/>
            <w:hideMark/>
          </w:tcPr>
          <w:p w:rsidR="000725FB" w:rsidRPr="000725FB" w:rsidRDefault="000725FB" w:rsidP="00925CA8">
            <w:pPr>
              <w:widowControl/>
              <w:jc w:val="right"/>
            </w:pPr>
            <w:r w:rsidRPr="000725FB">
              <w:t>$100</w:t>
            </w:r>
          </w:p>
        </w:tc>
        <w:tc>
          <w:tcPr>
            <w:tcW w:w="1638" w:type="dxa"/>
            <w:noWrap/>
            <w:hideMark/>
          </w:tcPr>
          <w:p w:rsidR="000725FB" w:rsidRPr="000725FB" w:rsidRDefault="000725FB" w:rsidP="00925CA8">
            <w:pPr>
              <w:widowControl/>
              <w:jc w:val="right"/>
            </w:pPr>
            <w:r w:rsidRPr="000725FB">
              <w:t>$76,830,000</w:t>
            </w:r>
          </w:p>
        </w:tc>
      </w:tr>
      <w:tr w:rsidR="00421278" w:rsidRPr="000725FB" w:rsidTr="00925CA8">
        <w:trPr>
          <w:trHeight w:val="255"/>
        </w:trPr>
        <w:tc>
          <w:tcPr>
            <w:tcW w:w="1858" w:type="dxa"/>
            <w:noWrap/>
            <w:hideMark/>
          </w:tcPr>
          <w:p w:rsidR="000725FB" w:rsidRPr="000725FB" w:rsidRDefault="000725FB" w:rsidP="004908EE">
            <w:pPr>
              <w:widowControl/>
            </w:pPr>
            <w:r w:rsidRPr="000725FB">
              <w:t>Large Welfare Plans</w:t>
            </w:r>
          </w:p>
        </w:tc>
        <w:tc>
          <w:tcPr>
            <w:tcW w:w="1179" w:type="dxa"/>
            <w:noWrap/>
            <w:hideMark/>
          </w:tcPr>
          <w:p w:rsidR="000725FB" w:rsidRPr="000725FB" w:rsidRDefault="000725FB" w:rsidP="00925CA8">
            <w:pPr>
              <w:widowControl/>
              <w:jc w:val="right"/>
            </w:pPr>
            <w:r w:rsidRPr="000725FB">
              <w:t>74,000</w:t>
            </w:r>
          </w:p>
        </w:tc>
        <w:tc>
          <w:tcPr>
            <w:tcW w:w="2070" w:type="dxa"/>
            <w:noWrap/>
            <w:hideMark/>
          </w:tcPr>
          <w:p w:rsidR="000725FB" w:rsidRPr="000725FB" w:rsidRDefault="000725FB" w:rsidP="00925CA8">
            <w:pPr>
              <w:widowControl/>
              <w:jc w:val="right"/>
            </w:pPr>
            <w:r w:rsidRPr="000725FB">
              <w:t>11.49</w:t>
            </w:r>
          </w:p>
        </w:tc>
        <w:tc>
          <w:tcPr>
            <w:tcW w:w="1294" w:type="dxa"/>
            <w:noWrap/>
            <w:hideMark/>
          </w:tcPr>
          <w:p w:rsidR="000725FB" w:rsidRPr="000725FB" w:rsidRDefault="000725FB" w:rsidP="00925CA8">
            <w:pPr>
              <w:widowControl/>
              <w:jc w:val="right"/>
            </w:pPr>
            <w:r w:rsidRPr="000725FB">
              <w:t>850,000</w:t>
            </w:r>
          </w:p>
        </w:tc>
        <w:tc>
          <w:tcPr>
            <w:tcW w:w="1537" w:type="dxa"/>
            <w:noWrap/>
            <w:hideMark/>
          </w:tcPr>
          <w:p w:rsidR="000725FB" w:rsidRPr="000725FB" w:rsidRDefault="000725FB" w:rsidP="00925CA8">
            <w:pPr>
              <w:widowControl/>
              <w:jc w:val="right"/>
            </w:pPr>
            <w:r w:rsidRPr="000725FB">
              <w:t>$100</w:t>
            </w:r>
          </w:p>
        </w:tc>
        <w:tc>
          <w:tcPr>
            <w:tcW w:w="1638" w:type="dxa"/>
            <w:noWrap/>
            <w:hideMark/>
          </w:tcPr>
          <w:p w:rsidR="000725FB" w:rsidRPr="000725FB" w:rsidRDefault="000725FB" w:rsidP="00925CA8">
            <w:pPr>
              <w:widowControl/>
              <w:jc w:val="right"/>
            </w:pPr>
            <w:r w:rsidRPr="000725FB">
              <w:t>$84,994,000</w:t>
            </w:r>
          </w:p>
        </w:tc>
      </w:tr>
      <w:tr w:rsidR="00421278" w:rsidRPr="000725FB" w:rsidTr="00925CA8">
        <w:trPr>
          <w:trHeight w:val="255"/>
        </w:trPr>
        <w:tc>
          <w:tcPr>
            <w:tcW w:w="1858" w:type="dxa"/>
            <w:noWrap/>
            <w:hideMark/>
          </w:tcPr>
          <w:p w:rsidR="000725FB" w:rsidRPr="000725FB" w:rsidRDefault="000725FB" w:rsidP="004908EE">
            <w:pPr>
              <w:widowControl/>
            </w:pPr>
            <w:r w:rsidRPr="000725FB">
              <w:t>Small Welfare Plans</w:t>
            </w:r>
          </w:p>
        </w:tc>
        <w:tc>
          <w:tcPr>
            <w:tcW w:w="1179" w:type="dxa"/>
            <w:noWrap/>
            <w:hideMark/>
          </w:tcPr>
          <w:p w:rsidR="000725FB" w:rsidRPr="000725FB" w:rsidRDefault="000725FB" w:rsidP="00925CA8">
            <w:pPr>
              <w:widowControl/>
              <w:jc w:val="right"/>
            </w:pPr>
            <w:r w:rsidRPr="000725FB">
              <w:t>10,000</w:t>
            </w:r>
          </w:p>
        </w:tc>
        <w:tc>
          <w:tcPr>
            <w:tcW w:w="2070" w:type="dxa"/>
            <w:noWrap/>
            <w:hideMark/>
          </w:tcPr>
          <w:p w:rsidR="000725FB" w:rsidRPr="000725FB" w:rsidRDefault="000725FB" w:rsidP="00925CA8">
            <w:pPr>
              <w:widowControl/>
              <w:jc w:val="right"/>
            </w:pPr>
            <w:r w:rsidRPr="000725FB">
              <w:t>3.64</w:t>
            </w:r>
          </w:p>
        </w:tc>
        <w:tc>
          <w:tcPr>
            <w:tcW w:w="1294" w:type="dxa"/>
            <w:noWrap/>
            <w:hideMark/>
          </w:tcPr>
          <w:p w:rsidR="000725FB" w:rsidRPr="000725FB" w:rsidRDefault="000725FB" w:rsidP="00925CA8">
            <w:pPr>
              <w:widowControl/>
              <w:jc w:val="right"/>
            </w:pPr>
            <w:r w:rsidRPr="000725FB">
              <w:t>36,000</w:t>
            </w:r>
          </w:p>
        </w:tc>
        <w:tc>
          <w:tcPr>
            <w:tcW w:w="1537" w:type="dxa"/>
            <w:noWrap/>
            <w:hideMark/>
          </w:tcPr>
          <w:p w:rsidR="000725FB" w:rsidRPr="000725FB" w:rsidRDefault="000725FB" w:rsidP="00925CA8">
            <w:pPr>
              <w:widowControl/>
              <w:jc w:val="right"/>
            </w:pPr>
            <w:r w:rsidRPr="000725FB">
              <w:t>$100</w:t>
            </w:r>
          </w:p>
        </w:tc>
        <w:tc>
          <w:tcPr>
            <w:tcW w:w="1638" w:type="dxa"/>
            <w:noWrap/>
            <w:hideMark/>
          </w:tcPr>
          <w:p w:rsidR="000725FB" w:rsidRPr="000725FB" w:rsidRDefault="000725FB" w:rsidP="00925CA8">
            <w:pPr>
              <w:widowControl/>
              <w:jc w:val="right"/>
            </w:pPr>
            <w:r w:rsidRPr="000725FB">
              <w:t>$3,645,000</w:t>
            </w:r>
          </w:p>
        </w:tc>
      </w:tr>
      <w:tr w:rsidR="00421278" w:rsidRPr="000725FB" w:rsidTr="00925CA8">
        <w:trPr>
          <w:trHeight w:val="255"/>
        </w:trPr>
        <w:tc>
          <w:tcPr>
            <w:tcW w:w="1858" w:type="dxa"/>
            <w:noWrap/>
            <w:hideMark/>
          </w:tcPr>
          <w:p w:rsidR="000725FB" w:rsidRPr="000725FB" w:rsidRDefault="000725FB" w:rsidP="004908EE">
            <w:pPr>
              <w:widowControl/>
            </w:pPr>
          </w:p>
        </w:tc>
        <w:tc>
          <w:tcPr>
            <w:tcW w:w="1179" w:type="dxa"/>
            <w:noWrap/>
            <w:hideMark/>
          </w:tcPr>
          <w:p w:rsidR="000725FB" w:rsidRPr="000725FB" w:rsidRDefault="000725FB" w:rsidP="00925CA8">
            <w:pPr>
              <w:widowControl/>
              <w:jc w:val="right"/>
            </w:pPr>
          </w:p>
        </w:tc>
        <w:tc>
          <w:tcPr>
            <w:tcW w:w="2070" w:type="dxa"/>
            <w:noWrap/>
            <w:hideMark/>
          </w:tcPr>
          <w:p w:rsidR="000725FB" w:rsidRPr="000725FB" w:rsidRDefault="000725FB" w:rsidP="00925CA8">
            <w:pPr>
              <w:widowControl/>
              <w:jc w:val="right"/>
            </w:pPr>
          </w:p>
        </w:tc>
        <w:tc>
          <w:tcPr>
            <w:tcW w:w="1294" w:type="dxa"/>
            <w:noWrap/>
            <w:hideMark/>
          </w:tcPr>
          <w:p w:rsidR="000725FB" w:rsidRPr="000725FB" w:rsidRDefault="000725FB" w:rsidP="00925CA8">
            <w:pPr>
              <w:widowControl/>
              <w:jc w:val="right"/>
            </w:pPr>
          </w:p>
        </w:tc>
        <w:tc>
          <w:tcPr>
            <w:tcW w:w="1537" w:type="dxa"/>
            <w:noWrap/>
            <w:hideMark/>
          </w:tcPr>
          <w:p w:rsidR="000725FB" w:rsidRPr="000725FB" w:rsidRDefault="000725FB" w:rsidP="00925CA8">
            <w:pPr>
              <w:widowControl/>
              <w:jc w:val="right"/>
            </w:pPr>
          </w:p>
        </w:tc>
        <w:tc>
          <w:tcPr>
            <w:tcW w:w="1638" w:type="dxa"/>
            <w:noWrap/>
            <w:hideMark/>
          </w:tcPr>
          <w:p w:rsidR="000725FB" w:rsidRPr="000725FB" w:rsidRDefault="000725FB" w:rsidP="00925CA8">
            <w:pPr>
              <w:widowControl/>
              <w:jc w:val="right"/>
            </w:pPr>
          </w:p>
        </w:tc>
      </w:tr>
      <w:tr w:rsidR="00421278" w:rsidRPr="000725FB" w:rsidTr="00925CA8">
        <w:trPr>
          <w:trHeight w:val="255"/>
        </w:trPr>
        <w:tc>
          <w:tcPr>
            <w:tcW w:w="1858" w:type="dxa"/>
            <w:noWrap/>
            <w:hideMark/>
          </w:tcPr>
          <w:p w:rsidR="000725FB" w:rsidRPr="000725FB" w:rsidRDefault="000725FB" w:rsidP="004908EE">
            <w:pPr>
              <w:widowControl/>
            </w:pPr>
            <w:r w:rsidRPr="000725FB">
              <w:lastRenderedPageBreak/>
              <w:t>Large Plans</w:t>
            </w:r>
          </w:p>
        </w:tc>
        <w:tc>
          <w:tcPr>
            <w:tcW w:w="1179" w:type="dxa"/>
            <w:noWrap/>
            <w:hideMark/>
          </w:tcPr>
          <w:p w:rsidR="000725FB" w:rsidRPr="000725FB" w:rsidRDefault="000725FB" w:rsidP="00925CA8">
            <w:pPr>
              <w:widowControl/>
              <w:jc w:val="right"/>
            </w:pPr>
            <w:r w:rsidRPr="000725FB">
              <w:t>154,000</w:t>
            </w:r>
          </w:p>
        </w:tc>
        <w:tc>
          <w:tcPr>
            <w:tcW w:w="2070" w:type="dxa"/>
            <w:noWrap/>
            <w:hideMark/>
          </w:tcPr>
          <w:p w:rsidR="000725FB" w:rsidRPr="000725FB" w:rsidRDefault="000725FB" w:rsidP="00925CA8">
            <w:pPr>
              <w:widowControl/>
              <w:jc w:val="right"/>
            </w:pPr>
            <w:r w:rsidRPr="000725FB">
              <w:t>9.67</w:t>
            </w:r>
          </w:p>
        </w:tc>
        <w:tc>
          <w:tcPr>
            <w:tcW w:w="1294" w:type="dxa"/>
            <w:noWrap/>
            <w:hideMark/>
          </w:tcPr>
          <w:p w:rsidR="000725FB" w:rsidRPr="000725FB" w:rsidRDefault="000725FB" w:rsidP="00925CA8">
            <w:pPr>
              <w:widowControl/>
              <w:jc w:val="right"/>
            </w:pPr>
            <w:r w:rsidRPr="000725FB">
              <w:t>1,489,000</w:t>
            </w:r>
          </w:p>
        </w:tc>
        <w:tc>
          <w:tcPr>
            <w:tcW w:w="1537" w:type="dxa"/>
            <w:noWrap/>
            <w:hideMark/>
          </w:tcPr>
          <w:p w:rsidR="000725FB" w:rsidRPr="000725FB" w:rsidRDefault="000725FB" w:rsidP="00925CA8">
            <w:pPr>
              <w:widowControl/>
              <w:jc w:val="right"/>
            </w:pPr>
            <w:r w:rsidRPr="000725FB">
              <w:t>$100</w:t>
            </w:r>
          </w:p>
        </w:tc>
        <w:tc>
          <w:tcPr>
            <w:tcW w:w="1638" w:type="dxa"/>
            <w:noWrap/>
            <w:hideMark/>
          </w:tcPr>
          <w:p w:rsidR="000725FB" w:rsidRPr="000725FB" w:rsidRDefault="000725FB" w:rsidP="00925CA8">
            <w:pPr>
              <w:widowControl/>
              <w:jc w:val="right"/>
            </w:pPr>
            <w:r w:rsidRPr="000725FB">
              <w:t>$148,893,000</w:t>
            </w:r>
          </w:p>
        </w:tc>
      </w:tr>
      <w:tr w:rsidR="00421278" w:rsidRPr="000725FB" w:rsidTr="00925CA8">
        <w:trPr>
          <w:trHeight w:val="255"/>
        </w:trPr>
        <w:tc>
          <w:tcPr>
            <w:tcW w:w="1858" w:type="dxa"/>
            <w:noWrap/>
            <w:hideMark/>
          </w:tcPr>
          <w:p w:rsidR="000725FB" w:rsidRPr="000725FB" w:rsidRDefault="000725FB" w:rsidP="004908EE">
            <w:pPr>
              <w:widowControl/>
            </w:pPr>
            <w:r w:rsidRPr="000725FB">
              <w:t>Small Plans</w:t>
            </w:r>
          </w:p>
        </w:tc>
        <w:tc>
          <w:tcPr>
            <w:tcW w:w="1179" w:type="dxa"/>
            <w:noWrap/>
            <w:hideMark/>
          </w:tcPr>
          <w:p w:rsidR="000725FB" w:rsidRPr="000725FB" w:rsidRDefault="000725FB" w:rsidP="00925CA8">
            <w:pPr>
              <w:widowControl/>
              <w:jc w:val="right"/>
            </w:pPr>
            <w:r w:rsidRPr="000725FB">
              <w:t>668,000</w:t>
            </w:r>
          </w:p>
        </w:tc>
        <w:tc>
          <w:tcPr>
            <w:tcW w:w="2070" w:type="dxa"/>
            <w:noWrap/>
            <w:hideMark/>
          </w:tcPr>
          <w:p w:rsidR="000725FB" w:rsidRPr="000725FB" w:rsidRDefault="000725FB" w:rsidP="00925CA8">
            <w:pPr>
              <w:widowControl/>
              <w:jc w:val="right"/>
            </w:pPr>
            <w:r w:rsidRPr="000725FB">
              <w:t>1.2</w:t>
            </w:r>
            <w:r w:rsidR="006B7EF0">
              <w:t>1</w:t>
            </w:r>
          </w:p>
        </w:tc>
        <w:tc>
          <w:tcPr>
            <w:tcW w:w="1294" w:type="dxa"/>
            <w:noWrap/>
            <w:hideMark/>
          </w:tcPr>
          <w:p w:rsidR="000725FB" w:rsidRPr="000725FB" w:rsidRDefault="000725FB" w:rsidP="00925CA8">
            <w:pPr>
              <w:widowControl/>
              <w:jc w:val="right"/>
            </w:pPr>
            <w:r w:rsidRPr="000725FB">
              <w:t>804,000</w:t>
            </w:r>
          </w:p>
        </w:tc>
        <w:tc>
          <w:tcPr>
            <w:tcW w:w="1537" w:type="dxa"/>
            <w:noWrap/>
            <w:hideMark/>
          </w:tcPr>
          <w:p w:rsidR="000725FB" w:rsidRPr="000725FB" w:rsidRDefault="000725FB" w:rsidP="00925CA8">
            <w:pPr>
              <w:widowControl/>
              <w:jc w:val="right"/>
            </w:pPr>
            <w:r w:rsidRPr="000725FB">
              <w:t>$100</w:t>
            </w:r>
          </w:p>
        </w:tc>
        <w:tc>
          <w:tcPr>
            <w:tcW w:w="1638" w:type="dxa"/>
            <w:noWrap/>
            <w:hideMark/>
          </w:tcPr>
          <w:p w:rsidR="000725FB" w:rsidRPr="000725FB" w:rsidRDefault="000725FB" w:rsidP="00925CA8">
            <w:pPr>
              <w:widowControl/>
              <w:jc w:val="right"/>
            </w:pPr>
            <w:r w:rsidRPr="000725FB">
              <w:t>$80,475,000</w:t>
            </w:r>
          </w:p>
        </w:tc>
      </w:tr>
      <w:tr w:rsidR="00421278" w:rsidRPr="000725FB" w:rsidTr="00925CA8">
        <w:trPr>
          <w:trHeight w:val="255"/>
        </w:trPr>
        <w:tc>
          <w:tcPr>
            <w:tcW w:w="1858" w:type="dxa"/>
            <w:noWrap/>
            <w:hideMark/>
          </w:tcPr>
          <w:p w:rsidR="000725FB" w:rsidRPr="000725FB" w:rsidRDefault="000725FB" w:rsidP="004908EE">
            <w:pPr>
              <w:widowControl/>
            </w:pPr>
          </w:p>
        </w:tc>
        <w:tc>
          <w:tcPr>
            <w:tcW w:w="1179" w:type="dxa"/>
            <w:noWrap/>
            <w:hideMark/>
          </w:tcPr>
          <w:p w:rsidR="000725FB" w:rsidRPr="000725FB" w:rsidRDefault="000725FB" w:rsidP="00925CA8">
            <w:pPr>
              <w:widowControl/>
              <w:jc w:val="right"/>
            </w:pPr>
          </w:p>
        </w:tc>
        <w:tc>
          <w:tcPr>
            <w:tcW w:w="2070" w:type="dxa"/>
            <w:noWrap/>
            <w:hideMark/>
          </w:tcPr>
          <w:p w:rsidR="000725FB" w:rsidRPr="000725FB" w:rsidRDefault="000725FB" w:rsidP="00925CA8">
            <w:pPr>
              <w:widowControl/>
              <w:jc w:val="right"/>
            </w:pPr>
          </w:p>
        </w:tc>
        <w:tc>
          <w:tcPr>
            <w:tcW w:w="1294" w:type="dxa"/>
            <w:noWrap/>
            <w:hideMark/>
          </w:tcPr>
          <w:p w:rsidR="000725FB" w:rsidRPr="000725FB" w:rsidRDefault="000725FB" w:rsidP="00925CA8">
            <w:pPr>
              <w:widowControl/>
              <w:jc w:val="right"/>
            </w:pPr>
          </w:p>
        </w:tc>
        <w:tc>
          <w:tcPr>
            <w:tcW w:w="1537" w:type="dxa"/>
            <w:noWrap/>
            <w:hideMark/>
          </w:tcPr>
          <w:p w:rsidR="000725FB" w:rsidRPr="000725FB" w:rsidRDefault="000725FB" w:rsidP="00925CA8">
            <w:pPr>
              <w:widowControl/>
              <w:jc w:val="right"/>
            </w:pPr>
          </w:p>
        </w:tc>
        <w:tc>
          <w:tcPr>
            <w:tcW w:w="1638" w:type="dxa"/>
            <w:noWrap/>
            <w:hideMark/>
          </w:tcPr>
          <w:p w:rsidR="000725FB" w:rsidRPr="000725FB" w:rsidRDefault="000725FB" w:rsidP="00925CA8">
            <w:pPr>
              <w:widowControl/>
              <w:jc w:val="right"/>
            </w:pPr>
          </w:p>
        </w:tc>
      </w:tr>
      <w:tr w:rsidR="00421278" w:rsidRPr="000725FB" w:rsidTr="00925CA8">
        <w:trPr>
          <w:trHeight w:val="270"/>
        </w:trPr>
        <w:tc>
          <w:tcPr>
            <w:tcW w:w="1858" w:type="dxa"/>
            <w:noWrap/>
            <w:hideMark/>
          </w:tcPr>
          <w:p w:rsidR="000725FB" w:rsidRPr="000725FB" w:rsidRDefault="00E44FFD" w:rsidP="004908EE">
            <w:pPr>
              <w:widowControl/>
            </w:pPr>
            <w:r>
              <w:t>All</w:t>
            </w:r>
            <w:r w:rsidR="000725FB" w:rsidRPr="000725FB">
              <w:t xml:space="preserve"> Plans</w:t>
            </w:r>
          </w:p>
        </w:tc>
        <w:tc>
          <w:tcPr>
            <w:tcW w:w="1179" w:type="dxa"/>
            <w:noWrap/>
            <w:hideMark/>
          </w:tcPr>
          <w:p w:rsidR="000725FB" w:rsidRPr="000725FB" w:rsidRDefault="000725FB" w:rsidP="00925CA8">
            <w:pPr>
              <w:widowControl/>
              <w:jc w:val="right"/>
            </w:pPr>
            <w:r w:rsidRPr="000725FB">
              <w:t>822,000</w:t>
            </w:r>
          </w:p>
        </w:tc>
        <w:tc>
          <w:tcPr>
            <w:tcW w:w="2070" w:type="dxa"/>
            <w:noWrap/>
            <w:hideMark/>
          </w:tcPr>
          <w:p w:rsidR="000725FB" w:rsidRPr="000725FB" w:rsidRDefault="000725FB" w:rsidP="00925CA8">
            <w:pPr>
              <w:widowControl/>
              <w:jc w:val="right"/>
            </w:pPr>
            <w:r w:rsidRPr="000725FB">
              <w:t>2.79</w:t>
            </w:r>
          </w:p>
        </w:tc>
        <w:tc>
          <w:tcPr>
            <w:tcW w:w="1294" w:type="dxa"/>
            <w:noWrap/>
            <w:hideMark/>
          </w:tcPr>
          <w:p w:rsidR="000725FB" w:rsidRPr="000725FB" w:rsidRDefault="000725FB" w:rsidP="00925CA8">
            <w:pPr>
              <w:widowControl/>
              <w:jc w:val="right"/>
            </w:pPr>
            <w:r w:rsidRPr="000725FB">
              <w:t>2,293,000</w:t>
            </w:r>
          </w:p>
        </w:tc>
        <w:tc>
          <w:tcPr>
            <w:tcW w:w="1537" w:type="dxa"/>
            <w:noWrap/>
            <w:hideMark/>
          </w:tcPr>
          <w:p w:rsidR="000725FB" w:rsidRPr="000725FB" w:rsidRDefault="000725FB" w:rsidP="00925CA8">
            <w:pPr>
              <w:widowControl/>
              <w:jc w:val="right"/>
            </w:pPr>
            <w:r w:rsidRPr="000725FB">
              <w:t>$100</w:t>
            </w:r>
          </w:p>
        </w:tc>
        <w:tc>
          <w:tcPr>
            <w:tcW w:w="1638" w:type="dxa"/>
            <w:noWrap/>
            <w:hideMark/>
          </w:tcPr>
          <w:p w:rsidR="000725FB" w:rsidRPr="000725FB" w:rsidRDefault="000725FB" w:rsidP="00925CA8">
            <w:pPr>
              <w:widowControl/>
              <w:jc w:val="right"/>
            </w:pPr>
            <w:r w:rsidRPr="000725FB">
              <w:t>$229,368,000</w:t>
            </w:r>
          </w:p>
        </w:tc>
      </w:tr>
    </w:tbl>
    <w:p w:rsidR="00CC2EB6" w:rsidRDefault="00CC2EB6" w:rsidP="00796BBE">
      <w:pPr>
        <w:widowControl/>
      </w:pPr>
    </w:p>
    <w:p w:rsidR="00097EF1" w:rsidRDefault="00CC2EB6" w:rsidP="00796BBE">
      <w:pPr>
        <w:widowControl/>
      </w:pPr>
      <w:r>
        <w:t>Including burden attributed to the Internal Revenue Service and the Pension Benefit Guaranty Corporation, t</w:t>
      </w:r>
      <w:r w:rsidR="0089517F">
        <w:t xml:space="preserve">he aggregate </w:t>
      </w:r>
      <w:r w:rsidR="005F0AAA">
        <w:t xml:space="preserve">tri-agency </w:t>
      </w:r>
      <w:r w:rsidR="0089517F">
        <w:t xml:space="preserve">cost burden for the entire Form 5500 Annual Return/Report </w:t>
      </w:r>
      <w:r w:rsidR="00FC46DB">
        <w:t xml:space="preserve">is </w:t>
      </w:r>
      <w:r w:rsidR="0089517F">
        <w:t xml:space="preserve">estimated at </w:t>
      </w:r>
      <w:r w:rsidR="00CF46B8">
        <w:t>$</w:t>
      </w:r>
      <w:r w:rsidR="004E3B16">
        <w:t>3</w:t>
      </w:r>
      <w:r w:rsidR="00344567">
        <w:t>51.3</w:t>
      </w:r>
      <w:r w:rsidR="00B052BD">
        <w:t xml:space="preserve"> </w:t>
      </w:r>
      <w:r w:rsidR="00FC46DB">
        <w:t xml:space="preserve">million </w:t>
      </w:r>
      <w:r w:rsidR="004E3B16">
        <w:t>annually</w:t>
      </w:r>
      <w:r w:rsidR="00FC46DB">
        <w:t>.</w:t>
      </w:r>
    </w:p>
    <w:p w:rsidR="00FF72A5" w:rsidRDefault="00FF72A5" w:rsidP="00796BBE">
      <w:pPr>
        <w:widowControl/>
      </w:pPr>
    </w:p>
    <w:p w:rsidR="00AE53E6" w:rsidRDefault="00AE53E6" w:rsidP="00796BBE">
      <w:pPr>
        <w:widowControl/>
      </w:pPr>
      <w:r>
        <w:t>January 2013 Revision</w:t>
      </w:r>
    </w:p>
    <w:p w:rsidR="00946B74" w:rsidRDefault="00946B74" w:rsidP="00796BBE">
      <w:pPr>
        <w:widowControl/>
      </w:pPr>
    </w:p>
    <w:p w:rsidR="00FF72A5" w:rsidRDefault="00FF72A5" w:rsidP="00796BBE">
      <w:pPr>
        <w:widowControl/>
      </w:pPr>
      <w:r w:rsidRPr="00DA5EF7">
        <w:t xml:space="preserve">The </w:t>
      </w:r>
      <w:r w:rsidR="00C7648E">
        <w:t>finalized</w:t>
      </w:r>
      <w:r w:rsidR="00C7648E" w:rsidRPr="00DA5EF7">
        <w:t xml:space="preserve"> </w:t>
      </w:r>
      <w:r w:rsidR="00B57F75">
        <w:t>amendment</w:t>
      </w:r>
      <w:r w:rsidR="00B57F75" w:rsidRPr="00DA5EF7">
        <w:t xml:space="preserve"> </w:t>
      </w:r>
      <w:r w:rsidR="00B57F75">
        <w:t>will</w:t>
      </w:r>
      <w:r w:rsidR="002E4821">
        <w:t xml:space="preserve"> </w:t>
      </w:r>
      <w:r w:rsidR="00192566">
        <w:t xml:space="preserve">provide that plans subject to the Form M-1 requirements are not eligible for </w:t>
      </w:r>
      <w:r w:rsidR="00B57F75">
        <w:t xml:space="preserve">the </w:t>
      </w:r>
      <w:r w:rsidR="00B57F75" w:rsidRPr="00DA5EF7">
        <w:t>exemption</w:t>
      </w:r>
      <w:r w:rsidRPr="00DA5EF7">
        <w:t xml:space="preserve"> from filing the Form 5500 for </w:t>
      </w:r>
      <w:r w:rsidR="00192566">
        <w:t xml:space="preserve">small welfare benefit </w:t>
      </w:r>
      <w:r w:rsidR="00691AFD">
        <w:t>plan</w:t>
      </w:r>
      <w:r w:rsidR="00192566">
        <w:t>s</w:t>
      </w:r>
      <w:r w:rsidRPr="00DA5EF7">
        <w:t xml:space="preserve"> that are unfunded or insured and have fewer than 100 participants</w:t>
      </w:r>
      <w:r w:rsidR="002240B4">
        <w:t xml:space="preserve">. </w:t>
      </w:r>
      <w:r w:rsidRPr="00DA5EF7">
        <w:t xml:space="preserve">Following the methodology used to calculate the burden in the Form 5500 regulations, the Department estimates that small </w:t>
      </w:r>
      <w:r w:rsidR="00691AFD">
        <w:t xml:space="preserve">plan </w:t>
      </w:r>
      <w:r w:rsidRPr="00DA5EF7">
        <w:t xml:space="preserve"> MEWAs</w:t>
      </w:r>
      <w:r w:rsidR="00B57F75">
        <w:t xml:space="preserve"> and ECEs</w:t>
      </w:r>
      <w:r w:rsidRPr="00DA5EF7">
        <w:t xml:space="preserve"> filing a Form 5500 and completing Schedule A and Part III of Schedule G would incur a</w:t>
      </w:r>
      <w:r w:rsidR="00946B74">
        <w:t xml:space="preserve"> de </w:t>
      </w:r>
      <w:proofErr w:type="spellStart"/>
      <w:r w:rsidR="00946B74">
        <w:t>minim</w:t>
      </w:r>
      <w:r w:rsidR="007746DB">
        <w:t>i</w:t>
      </w:r>
      <w:r w:rsidR="00946B74">
        <w:t>s</w:t>
      </w:r>
      <w:proofErr w:type="spellEnd"/>
      <w:r w:rsidR="00946B74">
        <w:t xml:space="preserve"> </w:t>
      </w:r>
      <w:r w:rsidRPr="00DA5EF7">
        <w:t>annual cost of $450 to engage a third-party service provider to prepare the form and schedules for submission</w:t>
      </w:r>
      <w:r w:rsidR="002240B4">
        <w:t xml:space="preserve">. </w:t>
      </w:r>
      <w:r w:rsidRPr="00DA5EF7">
        <w:t>The Department does not have sufficient data to determine the number of small</w:t>
      </w:r>
      <w:r w:rsidR="00691AFD">
        <w:t xml:space="preserve"> plan</w:t>
      </w:r>
      <w:r w:rsidRPr="00DA5EF7">
        <w:t xml:space="preserve"> MEWAs</w:t>
      </w:r>
      <w:r w:rsidR="00B57F75">
        <w:t xml:space="preserve"> or ECEs</w:t>
      </w:r>
      <w:r w:rsidRPr="00DA5EF7">
        <w:t xml:space="preserve"> that would be required to file the Form 5500 under the </w:t>
      </w:r>
      <w:r w:rsidR="000D1F7B">
        <w:t>final</w:t>
      </w:r>
      <w:r w:rsidR="000D1F7B" w:rsidRPr="00DA5EF7">
        <w:t xml:space="preserve"> </w:t>
      </w:r>
      <w:r w:rsidRPr="00DA5EF7">
        <w:t>rule</w:t>
      </w:r>
      <w:r w:rsidR="002240B4">
        <w:t xml:space="preserve">. </w:t>
      </w:r>
      <w:r w:rsidR="00B75C5C">
        <w:t>About 10</w:t>
      </w:r>
      <w:r w:rsidR="00736C84">
        <w:t xml:space="preserve"> percent (48) of MEWAs</w:t>
      </w:r>
      <w:r w:rsidR="00B57F75">
        <w:t xml:space="preserve"> and ECEs</w:t>
      </w:r>
      <w:r w:rsidR="00736C84">
        <w:t xml:space="preserve"> filing a </w:t>
      </w:r>
      <w:r w:rsidR="00AE53E6">
        <w:t xml:space="preserve">Form </w:t>
      </w:r>
      <w:r w:rsidR="00736C84">
        <w:t>M</w:t>
      </w:r>
      <w:r w:rsidR="00AE53E6">
        <w:t>-</w:t>
      </w:r>
      <w:r w:rsidR="00B57F75">
        <w:t>1 in</w:t>
      </w:r>
      <w:r w:rsidR="00736C84">
        <w:t xml:space="preserve"> </w:t>
      </w:r>
      <w:r w:rsidR="00C7648E">
        <w:t xml:space="preserve">2010 </w:t>
      </w:r>
      <w:r w:rsidR="00B75C5C">
        <w:t>had less than 100 participants</w:t>
      </w:r>
      <w:r w:rsidR="002240B4">
        <w:t xml:space="preserve">. </w:t>
      </w:r>
      <w:r w:rsidR="00736C84">
        <w:t xml:space="preserve">However, the </w:t>
      </w:r>
      <w:r w:rsidR="00C7648E">
        <w:t xml:space="preserve">2010 </w:t>
      </w:r>
      <w:r w:rsidR="00736C84">
        <w:t xml:space="preserve">form M-1 </w:t>
      </w:r>
      <w:r w:rsidR="00AE53E6">
        <w:t xml:space="preserve">does not contain </w:t>
      </w:r>
      <w:r w:rsidR="00B57F75">
        <w:t>sufficient information</w:t>
      </w:r>
      <w:r w:rsidR="00736C84">
        <w:t xml:space="preserve"> to determine which of these </w:t>
      </w:r>
      <w:r w:rsidR="00AE53E6">
        <w:t>MEWAs</w:t>
      </w:r>
      <w:r w:rsidR="00B57F75">
        <w:t xml:space="preserve"> or ECEs</w:t>
      </w:r>
      <w:r w:rsidR="00AE53E6">
        <w:t xml:space="preserve"> </w:t>
      </w:r>
      <w:r w:rsidR="00736C84">
        <w:t xml:space="preserve">would be subject to the </w:t>
      </w:r>
      <w:r w:rsidR="00AE53E6">
        <w:t xml:space="preserve">requirements of </w:t>
      </w:r>
      <w:r w:rsidR="000D1F7B">
        <w:t xml:space="preserve">final </w:t>
      </w:r>
      <w:r w:rsidR="00736C84">
        <w:t>rule</w:t>
      </w:r>
      <w:r w:rsidR="002C55E8">
        <w:t xml:space="preserve">. </w:t>
      </w:r>
      <w:r w:rsidR="00736C84">
        <w:t>If all 48 were subject to the rule</w:t>
      </w:r>
      <w:r w:rsidR="008D7E85">
        <w:t>,</w:t>
      </w:r>
      <w:r w:rsidR="00736C84">
        <w:t xml:space="preserve"> the additional burden would be $21,600 (48*$450).</w:t>
      </w:r>
    </w:p>
    <w:p w:rsidR="00C17476" w:rsidRDefault="00C17476" w:rsidP="00796BBE">
      <w:pPr>
        <w:widowControl/>
      </w:pPr>
    </w:p>
    <w:p w:rsidR="00C17476" w:rsidRDefault="005A2F33" w:rsidP="00796BBE">
      <w:pPr>
        <w:widowControl/>
      </w:pPr>
      <w:r>
        <w:t xml:space="preserve">2014 </w:t>
      </w:r>
      <w:r w:rsidR="00C17476">
        <w:t>CSEC Act Revision</w:t>
      </w:r>
    </w:p>
    <w:p w:rsidR="00C17476" w:rsidRDefault="00C17476" w:rsidP="00796BBE">
      <w:pPr>
        <w:widowControl/>
      </w:pPr>
    </w:p>
    <w:p w:rsidR="00C17476" w:rsidRPr="00DA5EF7" w:rsidRDefault="00C17476" w:rsidP="00796BBE">
      <w:pPr>
        <w:widowControl/>
      </w:pPr>
      <w:r>
        <w:t>As discussed above, the Department estimates that the entire burden to comply with the CSEC Act revision is hour burden, because the work is performed by a</w:t>
      </w:r>
      <w:r w:rsidR="005A2F33">
        <w:t>n in-house</w:t>
      </w:r>
      <w:r>
        <w:t xml:space="preserve"> financial professional</w:t>
      </w:r>
      <w:r w:rsidR="00F54A01">
        <w:t>.</w:t>
      </w:r>
    </w:p>
    <w:p w:rsidR="00FF72A5" w:rsidRDefault="00FF72A5" w:rsidP="00796BBE">
      <w:pPr>
        <w:widowControl/>
        <w:tabs>
          <w:tab w:val="left" w:pos="-1440"/>
        </w:tabs>
      </w:pPr>
    </w:p>
    <w:p w:rsidR="004E3B16" w:rsidRPr="00925CA8" w:rsidRDefault="00925CA8" w:rsidP="00796BBE">
      <w:pPr>
        <w:widowControl/>
        <w:rPr>
          <w:bCs/>
        </w:rPr>
      </w:pPr>
      <w:r>
        <w:rPr>
          <w:bCs/>
        </w:rPr>
        <w:t xml:space="preserve">Table 4 </w:t>
      </w:r>
      <w:r w:rsidR="004E3B16" w:rsidRPr="00925CA8">
        <w:rPr>
          <w:bCs/>
        </w:rPr>
        <w:t>Cost Burden Summary</w:t>
      </w:r>
    </w:p>
    <w:tbl>
      <w:tblPr>
        <w:tblW w:w="5786" w:type="dxa"/>
        <w:tblCellMar>
          <w:left w:w="0" w:type="dxa"/>
          <w:right w:w="0" w:type="dxa"/>
        </w:tblCellMar>
        <w:tblLook w:val="04A0" w:firstRow="1" w:lastRow="0" w:firstColumn="1" w:lastColumn="0" w:noHBand="0" w:noVBand="1"/>
      </w:tblPr>
      <w:tblGrid>
        <w:gridCol w:w="1523"/>
        <w:gridCol w:w="1523"/>
        <w:gridCol w:w="1430"/>
        <w:gridCol w:w="1310"/>
      </w:tblGrid>
      <w:tr w:rsidR="005D6215" w:rsidRPr="00995D62" w:rsidTr="005D6215">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sidRPr="00995D62">
              <w:rPr>
                <w:b/>
                <w:bCs/>
              </w:rPr>
              <w:t>Activity</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sidRPr="00995D62">
              <w:rPr>
                <w:b/>
                <w:bCs/>
              </w:rPr>
              <w:t>Respondents</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sidRPr="00995D62">
              <w:rPr>
                <w:b/>
                <w:bCs/>
              </w:rPr>
              <w:t>Annual Responses per Respondent</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Pr>
                <w:b/>
                <w:bCs/>
              </w:rPr>
              <w:t xml:space="preserve">Cost </w:t>
            </w:r>
            <w:r w:rsidRPr="00995D62">
              <w:rPr>
                <w:b/>
                <w:bCs/>
              </w:rPr>
              <w:t>Burden (Rounded)</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796BBE">
            <w:pPr>
              <w:widowControl/>
            </w:pPr>
            <w:r>
              <w:t>Form 5500 including 5500-SF and Schedules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A4063C" w:rsidP="00796BBE">
            <w:pPr>
              <w:widowControl/>
            </w:pPr>
            <w:r>
              <w:t>822</w:t>
            </w:r>
            <w:r w:rsidR="005D6215">
              <w:t>,000</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$2</w:t>
            </w:r>
            <w:r w:rsidR="00A4063C">
              <w:t>29.4</w:t>
            </w:r>
            <w:r>
              <w:t xml:space="preserve"> million</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796BBE">
            <w:pPr>
              <w:widowControl/>
            </w:pPr>
            <w:r>
              <w:t>January 2013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48</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w:t>
            </w:r>
            <w:r w:rsidR="00A70109">
              <w:t>21,600</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796BBE">
            <w:pPr>
              <w:widowControl/>
            </w:pPr>
            <w:r>
              <w:lastRenderedPageBreak/>
              <w:t>2014 CSEC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5,527</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w:t>
            </w:r>
            <w:r w:rsidR="00A70109">
              <w:t>0</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i/>
                <w:iCs/>
              </w:rPr>
            </w:pPr>
            <w:r w:rsidRPr="00995D62">
              <w:rPr>
                <w:i/>
                <w:iCs/>
              </w:rPr>
              <w:t>Unduplicated Totals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995D62" w:rsidRDefault="00201FCB" w:rsidP="00201FCB">
            <w:pPr>
              <w:widowControl/>
            </w:pPr>
            <w:r>
              <w:t>827</w:t>
            </w:r>
            <w:r w:rsidR="005D6215">
              <w:t>,575</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995D62" w:rsidRDefault="005D6215" w:rsidP="00796BBE">
            <w:pPr>
              <w:widowControl/>
              <w:rPr>
                <w:i/>
                <w:iCs/>
              </w:rPr>
            </w:pPr>
            <w:r w:rsidRPr="00995D62">
              <w:rPr>
                <w:i/>
                <w:iCs/>
              </w:rPr>
              <w:t>NA</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rPr>
                <w:i/>
                <w:iCs/>
              </w:rPr>
            </w:pPr>
            <w:r>
              <w:rPr>
                <w:i/>
                <w:iCs/>
              </w:rPr>
              <w:t>$</w:t>
            </w:r>
            <w:r w:rsidR="00A70109">
              <w:rPr>
                <w:i/>
                <w:iCs/>
              </w:rPr>
              <w:t>2</w:t>
            </w:r>
            <w:r w:rsidR="00A4063C">
              <w:rPr>
                <w:i/>
                <w:iCs/>
              </w:rPr>
              <w:t>29.4</w:t>
            </w:r>
            <w:r>
              <w:rPr>
                <w:i/>
                <w:iCs/>
              </w:rPr>
              <w:t xml:space="preserve"> million</w:t>
            </w:r>
          </w:p>
        </w:tc>
      </w:tr>
    </w:tbl>
    <w:p w:rsidR="00097EF1" w:rsidRDefault="00097EF1" w:rsidP="00796BBE">
      <w:pPr>
        <w:widowControl/>
        <w:ind w:firstLine="2160"/>
      </w:pPr>
    </w:p>
    <w:p w:rsidR="00097EF1" w:rsidRDefault="00097EF1" w:rsidP="00796BBE">
      <w:pPr>
        <w:pStyle w:val="Quick1"/>
        <w:widowControl/>
      </w:pPr>
      <w:r>
        <w:t>Provide estimates of annualized cost to the Federal government</w:t>
      </w:r>
      <w:r w:rsidR="002C55E8">
        <w:t xml:space="preserve">. </w:t>
      </w:r>
      <w: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C55E8">
        <w:t xml:space="preserve">. </w:t>
      </w:r>
      <w:r>
        <w:t>Agencies also may aggregate cost estimates from Items 12, 13, and 14 in a single table.</w:t>
      </w:r>
    </w:p>
    <w:p w:rsidR="000C3B7F" w:rsidRDefault="000C3B7F" w:rsidP="00796BBE">
      <w:pPr>
        <w:widowControl/>
      </w:pPr>
    </w:p>
    <w:p w:rsidR="000C3B7F" w:rsidRPr="0019119F" w:rsidRDefault="000C3B7F" w:rsidP="00796BBE">
      <w:pPr>
        <w:widowControl/>
      </w:pPr>
      <w:bookmarkStart w:id="3" w:name="OLE_LINK1"/>
      <w:bookmarkStart w:id="4" w:name="OLE_LINK2"/>
      <w:r w:rsidRPr="00AA6C01">
        <w:t>The total annual processing cost for all Form 5500 Series filings during the period covered by this ICR extension request is estimated to average $ 13.2  million annually (including oversight), in accordance with the terms of the EFAST2 vendor contracts</w:t>
      </w:r>
      <w:bookmarkEnd w:id="3"/>
      <w:bookmarkEnd w:id="4"/>
      <w:r w:rsidR="002C55E8">
        <w:t xml:space="preserve">. </w:t>
      </w:r>
      <w:r w:rsidRPr="0019119F">
        <w:t>These costs are allocated among the agencies (DOL, PBGC, and IRS) according to the EFAST2 Cost Allocation Model, which was approved by the agencies at the beginning of EFAST2 operations in 2010 as the methodology that would be used for identifying agencies’ share of EFAST2 costs</w:t>
      </w:r>
      <w:r w:rsidR="002C55E8">
        <w:t xml:space="preserve">. </w:t>
      </w:r>
      <w:r w:rsidRPr="0019119F">
        <w:t>Under the model, the agencies pay for their relative share of the total filing volume</w:t>
      </w:r>
      <w:r w:rsidR="002C55E8">
        <w:t xml:space="preserve">. </w:t>
      </w:r>
      <w:r w:rsidRPr="0019119F">
        <w:t xml:space="preserve">Based on the model, the Department’s </w:t>
      </w:r>
      <w:r w:rsidRPr="00AA6C01">
        <w:t>share of the total cost is approximately $6.9 million</w:t>
      </w:r>
      <w:r w:rsidR="002C55E8">
        <w:t>.</w:t>
      </w:r>
    </w:p>
    <w:p w:rsidR="000C3B7F" w:rsidRPr="0019119F" w:rsidRDefault="000C3B7F" w:rsidP="00796BBE">
      <w:pPr>
        <w:widowControl/>
      </w:pPr>
    </w:p>
    <w:p w:rsidR="008D0548" w:rsidRPr="0019119F" w:rsidRDefault="00F54A01" w:rsidP="00796BBE">
      <w:pPr>
        <w:widowControl/>
      </w:pPr>
      <w:r w:rsidRPr="0019119F">
        <w:t xml:space="preserve">The </w:t>
      </w:r>
      <w:r w:rsidR="00756630" w:rsidRPr="0019119F">
        <w:t>Department’s</w:t>
      </w:r>
      <w:r w:rsidR="000C3B7F" w:rsidRPr="0019119F">
        <w:t xml:space="preserve"> share of Federal FTE costs is estimated at approximately $</w:t>
      </w:r>
      <w:r w:rsidR="00756630" w:rsidRPr="0019119F">
        <w:t>9</w:t>
      </w:r>
      <w:r w:rsidR="0084622A">
        <w:t>85</w:t>
      </w:r>
      <w:r w:rsidR="00756630" w:rsidRPr="0019119F">
        <w:t>,000,</w:t>
      </w:r>
      <w:r w:rsidR="008D0548" w:rsidRPr="0019119F">
        <w:t xml:space="preserve"> </w:t>
      </w:r>
      <w:r w:rsidR="000C3B7F" w:rsidRPr="0019119F">
        <w:t xml:space="preserve">which represents the agencies’ best estimate of </w:t>
      </w:r>
      <w:r w:rsidR="008D0548" w:rsidRPr="0019119F">
        <w:t xml:space="preserve">the </w:t>
      </w:r>
      <w:r w:rsidR="00756630" w:rsidRPr="0019119F">
        <w:t>EBSA</w:t>
      </w:r>
      <w:r w:rsidR="008D0548" w:rsidRPr="0019119F">
        <w:t xml:space="preserve"> employee </w:t>
      </w:r>
      <w:r w:rsidR="000C3B7F" w:rsidRPr="0019119F">
        <w:t>time dedicated to EFAST2</w:t>
      </w:r>
      <w:r w:rsidR="002C55E8">
        <w:t xml:space="preserve">. </w:t>
      </w:r>
      <w:r w:rsidR="000C3B7F" w:rsidRPr="0019119F">
        <w:t>The FTE cost</w:t>
      </w:r>
      <w:r w:rsidR="00756630" w:rsidRPr="0019119F">
        <w:t>s</w:t>
      </w:r>
      <w:r w:rsidR="000C3B7F" w:rsidRPr="0019119F">
        <w:t xml:space="preserve"> are based on the 201</w:t>
      </w:r>
      <w:r w:rsidR="00707512">
        <w:t>5</w:t>
      </w:r>
      <w:r w:rsidR="000C3B7F" w:rsidRPr="0019119F">
        <w:t xml:space="preserve"> General Schedule for the Washington-Baltimore-Northern Virginia area and assume that </w:t>
      </w:r>
      <w:r w:rsidR="008D0548" w:rsidRPr="0019119F">
        <w:t>the following employees work on the project:</w:t>
      </w:r>
    </w:p>
    <w:p w:rsidR="008D0548" w:rsidRPr="0019119F" w:rsidRDefault="008D0548" w:rsidP="00796BBE">
      <w:pPr>
        <w:widowControl/>
      </w:pPr>
    </w:p>
    <w:p w:rsidR="008D0548" w:rsidRPr="0019119F" w:rsidRDefault="008D0548" w:rsidP="00796BBE">
      <w:pPr>
        <w:pStyle w:val="ListParagraph"/>
        <w:widowControl/>
        <w:numPr>
          <w:ilvl w:val="0"/>
          <w:numId w:val="14"/>
        </w:numPr>
      </w:pPr>
      <w:r w:rsidRPr="0019119F">
        <w:t>Two full-time GS-15, Step 5 FTE($14</w:t>
      </w:r>
      <w:r w:rsidR="00707512">
        <w:t>3,079</w:t>
      </w:r>
      <w:r w:rsidRPr="0019119F">
        <w:t xml:space="preserve">) </w:t>
      </w:r>
      <w:r w:rsidR="000C3B7F" w:rsidRPr="0019119F">
        <w:t xml:space="preserve">at a loaded compensation rate of </w:t>
      </w:r>
      <w:r w:rsidRPr="0019119F">
        <w:t xml:space="preserve">approximately </w:t>
      </w:r>
      <w:r w:rsidR="000C3B7F" w:rsidRPr="0019119F">
        <w:t>$18</w:t>
      </w:r>
      <w:r w:rsidR="00707512">
        <w:t>3</w:t>
      </w:r>
      <w:r w:rsidR="000C3B7F" w:rsidRPr="0019119F">
        <w:t>,000</w:t>
      </w:r>
      <w:r w:rsidRPr="0019119F">
        <w:t xml:space="preserve"> (</w:t>
      </w:r>
      <w:r w:rsidR="00756630" w:rsidRPr="0019119F">
        <w:t xml:space="preserve">approximately </w:t>
      </w:r>
      <w:r w:rsidRPr="0019119F">
        <w:t>$36</w:t>
      </w:r>
      <w:r w:rsidR="00707512">
        <w:t>6</w:t>
      </w:r>
      <w:r w:rsidRPr="0019119F">
        <w:t>,000 total);</w:t>
      </w:r>
    </w:p>
    <w:p w:rsidR="00211B9A" w:rsidRPr="0019119F" w:rsidRDefault="00211B9A" w:rsidP="00796BBE">
      <w:pPr>
        <w:pStyle w:val="ListParagraph"/>
        <w:widowControl/>
        <w:numPr>
          <w:ilvl w:val="0"/>
          <w:numId w:val="14"/>
        </w:numPr>
      </w:pPr>
      <w:r w:rsidRPr="0019119F">
        <w:t>One GS-15, Step 5 FTE ($14</w:t>
      </w:r>
      <w:r w:rsidR="00F56431">
        <w:t>3,079</w:t>
      </w:r>
      <w:r w:rsidRPr="0019119F">
        <w:t>) working 15% at a loaded compensation rate of  approximately $18</w:t>
      </w:r>
      <w:r w:rsidR="00F56431">
        <w:t>3</w:t>
      </w:r>
      <w:r w:rsidRPr="0019119F">
        <w:t>,000 (</w:t>
      </w:r>
      <w:r w:rsidR="00756630" w:rsidRPr="0019119F">
        <w:t xml:space="preserve">approximately </w:t>
      </w:r>
      <w:r w:rsidRPr="0019119F">
        <w:t>$2</w:t>
      </w:r>
      <w:r w:rsidR="00756630" w:rsidRPr="0019119F">
        <w:t>7,000</w:t>
      </w:r>
      <w:r w:rsidRPr="0019119F">
        <w:t xml:space="preserve"> total)</w:t>
      </w:r>
    </w:p>
    <w:p w:rsidR="000C3B7F" w:rsidRPr="0019119F" w:rsidRDefault="008D0548" w:rsidP="00796BBE">
      <w:pPr>
        <w:pStyle w:val="ListParagraph"/>
        <w:widowControl/>
        <w:numPr>
          <w:ilvl w:val="0"/>
          <w:numId w:val="14"/>
        </w:numPr>
      </w:pPr>
      <w:r w:rsidRPr="0019119F">
        <w:t>Three full-time GS-14, Step 5 FTE ($1</w:t>
      </w:r>
      <w:r w:rsidR="00F56431">
        <w:t>21,635</w:t>
      </w:r>
      <w:r w:rsidRPr="0019119F">
        <w:t>) at a loaded compensation rate of  approximately $15</w:t>
      </w:r>
      <w:r w:rsidR="00F56431">
        <w:t>6</w:t>
      </w:r>
      <w:r w:rsidRPr="0019119F">
        <w:t>,000 (</w:t>
      </w:r>
      <w:r w:rsidR="00756630" w:rsidRPr="0019119F">
        <w:t xml:space="preserve">approximately </w:t>
      </w:r>
      <w:r w:rsidRPr="0019119F">
        <w:t>$4</w:t>
      </w:r>
      <w:r w:rsidR="007513E9">
        <w:t>68</w:t>
      </w:r>
      <w:r w:rsidRPr="0019119F">
        <w:t>,000 total)</w:t>
      </w:r>
    </w:p>
    <w:p w:rsidR="00756630" w:rsidRPr="0019119F" w:rsidRDefault="00756630" w:rsidP="00796BBE">
      <w:pPr>
        <w:pStyle w:val="ListParagraph"/>
        <w:widowControl/>
        <w:numPr>
          <w:ilvl w:val="0"/>
          <w:numId w:val="14"/>
        </w:numPr>
      </w:pPr>
      <w:r w:rsidRPr="0019119F">
        <w:t>One GS-14, Step 5 FTE ($1</w:t>
      </w:r>
      <w:r w:rsidR="007513E9">
        <w:t>21,635</w:t>
      </w:r>
      <w:r w:rsidRPr="0019119F">
        <w:t>) working 25% at a loaded compensation rate of  approximately $15</w:t>
      </w:r>
      <w:r w:rsidR="007513E9">
        <w:t>6</w:t>
      </w:r>
      <w:r w:rsidRPr="0019119F">
        <w:t>,000 (approximately $3</w:t>
      </w:r>
      <w:r w:rsidR="007513E9">
        <w:t>9</w:t>
      </w:r>
      <w:r w:rsidRPr="0019119F">
        <w:t>,000 total)</w:t>
      </w:r>
    </w:p>
    <w:p w:rsidR="008D0548" w:rsidRPr="0019119F" w:rsidRDefault="00211B9A" w:rsidP="00796BBE">
      <w:pPr>
        <w:pStyle w:val="ListParagraph"/>
        <w:widowControl/>
        <w:numPr>
          <w:ilvl w:val="0"/>
          <w:numId w:val="14"/>
        </w:numPr>
      </w:pPr>
      <w:r w:rsidRPr="0019119F">
        <w:t xml:space="preserve">One </w:t>
      </w:r>
      <w:r w:rsidR="008D0548" w:rsidRPr="0019119F">
        <w:t>GS-1</w:t>
      </w:r>
      <w:r w:rsidRPr="0019119F">
        <w:t>3</w:t>
      </w:r>
      <w:r w:rsidR="008D0548" w:rsidRPr="0019119F">
        <w:t>, Step 5 FTE ($1</w:t>
      </w:r>
      <w:r w:rsidRPr="0019119F">
        <w:t>0</w:t>
      </w:r>
      <w:r w:rsidR="007513E9">
        <w:t>2,932</w:t>
      </w:r>
      <w:r w:rsidR="008D0548" w:rsidRPr="0019119F">
        <w:t xml:space="preserve">) </w:t>
      </w:r>
      <w:r w:rsidRPr="0019119F">
        <w:t xml:space="preserve">working 25% </w:t>
      </w:r>
      <w:r w:rsidR="008D0548" w:rsidRPr="0019119F">
        <w:t>at a loaded compensation rate of  approximately $1</w:t>
      </w:r>
      <w:r w:rsidR="007513E9">
        <w:t>32,000</w:t>
      </w:r>
      <w:r w:rsidR="008D0548" w:rsidRPr="0019119F">
        <w:t xml:space="preserve"> (</w:t>
      </w:r>
      <w:r w:rsidRPr="0019119F">
        <w:t>approximately $3</w:t>
      </w:r>
      <w:r w:rsidR="007513E9">
        <w:t>3</w:t>
      </w:r>
      <w:r w:rsidRPr="0019119F">
        <w:t>,</w:t>
      </w:r>
      <w:r w:rsidR="00756630" w:rsidRPr="0019119F">
        <w:t>000</w:t>
      </w:r>
      <w:r w:rsidR="008D0548" w:rsidRPr="0019119F">
        <w:t xml:space="preserve"> total)</w:t>
      </w:r>
    </w:p>
    <w:p w:rsidR="008D0548" w:rsidRPr="0019119F" w:rsidRDefault="00211B9A" w:rsidP="00796BBE">
      <w:pPr>
        <w:pStyle w:val="ListParagraph"/>
        <w:widowControl/>
        <w:numPr>
          <w:ilvl w:val="0"/>
          <w:numId w:val="14"/>
        </w:numPr>
      </w:pPr>
      <w:r w:rsidRPr="0019119F">
        <w:t>One SES FTE ($1</w:t>
      </w:r>
      <w:r w:rsidR="002E0F16">
        <w:t>52,628</w:t>
      </w:r>
      <w:r w:rsidRPr="0019119F">
        <w:t>) working 25% at a loaded compensation rate of approximately $19</w:t>
      </w:r>
      <w:r w:rsidR="002E0F16">
        <w:t>5</w:t>
      </w:r>
      <w:r w:rsidRPr="0019119F">
        <w:t>,000 (approximately $4</w:t>
      </w:r>
      <w:r w:rsidR="00B86C7F">
        <w:t>9</w:t>
      </w:r>
      <w:r w:rsidRPr="0019119F">
        <w:t xml:space="preserve">,000 </w:t>
      </w:r>
      <w:r w:rsidR="008D0548" w:rsidRPr="0019119F">
        <w:t>total)</w:t>
      </w:r>
    </w:p>
    <w:p w:rsidR="008D0548" w:rsidRPr="0019119F" w:rsidRDefault="00211B9A" w:rsidP="00796BBE">
      <w:pPr>
        <w:pStyle w:val="ListParagraph"/>
        <w:widowControl/>
        <w:numPr>
          <w:ilvl w:val="0"/>
          <w:numId w:val="14"/>
        </w:numPr>
      </w:pPr>
      <w:r w:rsidRPr="0019119F">
        <w:t>One SES FTE ($1</w:t>
      </w:r>
      <w:r w:rsidR="002E0F16">
        <w:t>52,628</w:t>
      </w:r>
      <w:r w:rsidRPr="0019119F">
        <w:t xml:space="preserve">) working one percent at a loaded compensation rate of approximately </w:t>
      </w:r>
      <w:r w:rsidR="008D0548" w:rsidRPr="0019119F">
        <w:t>$1</w:t>
      </w:r>
      <w:r w:rsidR="00756630" w:rsidRPr="0019119F">
        <w:t>9</w:t>
      </w:r>
      <w:r w:rsidR="00B86C7F">
        <w:t>5</w:t>
      </w:r>
      <w:r w:rsidR="008D0548" w:rsidRPr="0019119F">
        <w:t>,000 (</w:t>
      </w:r>
      <w:r w:rsidR="00756630" w:rsidRPr="0019119F">
        <w:t xml:space="preserve">approximately </w:t>
      </w:r>
      <w:r w:rsidR="008D0548" w:rsidRPr="0019119F">
        <w:t>$</w:t>
      </w:r>
      <w:r w:rsidR="00B86C7F">
        <w:t>2</w:t>
      </w:r>
      <w:r w:rsidR="00756630" w:rsidRPr="0019119F">
        <w:t>,</w:t>
      </w:r>
      <w:r w:rsidR="00B86C7F">
        <w:t>00</w:t>
      </w:r>
      <w:r w:rsidR="00FE29CA" w:rsidRPr="0019119F">
        <w:t>0</w:t>
      </w:r>
      <w:r w:rsidR="008D0548" w:rsidRPr="0019119F">
        <w:t xml:space="preserve"> total)</w:t>
      </w:r>
    </w:p>
    <w:p w:rsidR="00756630" w:rsidRPr="0019119F" w:rsidRDefault="00756630" w:rsidP="00796BBE">
      <w:pPr>
        <w:pStyle w:val="ListParagraph"/>
        <w:widowControl/>
        <w:numPr>
          <w:ilvl w:val="0"/>
          <w:numId w:val="14"/>
        </w:numPr>
      </w:pPr>
      <w:r w:rsidRPr="0019119F">
        <w:lastRenderedPageBreak/>
        <w:t>One GS-13, Step 5 FTE ($10</w:t>
      </w:r>
      <w:r w:rsidR="00A55FC5">
        <w:t>2,932</w:t>
      </w:r>
      <w:r w:rsidRPr="0019119F">
        <w:t xml:space="preserve">) working </w:t>
      </w:r>
      <w:r w:rsidR="00FE29CA" w:rsidRPr="0019119F">
        <w:t>one</w:t>
      </w:r>
      <w:r w:rsidRPr="0019119F">
        <w:t xml:space="preserve"> </w:t>
      </w:r>
      <w:r w:rsidR="00A55FC5">
        <w:t xml:space="preserve">percent </w:t>
      </w:r>
      <w:r w:rsidRPr="0019119F">
        <w:t>at a loaded compensation rate of  approximately $1</w:t>
      </w:r>
      <w:r w:rsidR="00A55FC5">
        <w:t>32,000</w:t>
      </w:r>
      <w:r w:rsidRPr="0019119F">
        <w:t xml:space="preserve"> (approximately $1</w:t>
      </w:r>
      <w:r w:rsidR="00FE29CA" w:rsidRPr="0019119F">
        <w:t>,</w:t>
      </w:r>
      <w:r w:rsidRPr="0019119F">
        <w:t>300 total)</w:t>
      </w:r>
    </w:p>
    <w:p w:rsidR="00756630" w:rsidRPr="0019119F" w:rsidRDefault="00756630" w:rsidP="00796BBE">
      <w:pPr>
        <w:widowControl/>
      </w:pPr>
    </w:p>
    <w:p w:rsidR="000C3B7F" w:rsidRPr="0019119F" w:rsidRDefault="000C3B7F" w:rsidP="00796BBE">
      <w:pPr>
        <w:widowControl/>
      </w:pPr>
      <w:r w:rsidRPr="0019119F">
        <w:t>The remaining $</w:t>
      </w:r>
      <w:r w:rsidR="00C17476" w:rsidRPr="0019119F">
        <w:t>5.9</w:t>
      </w:r>
      <w:r w:rsidR="009A19F8">
        <w:t>2</w:t>
      </w:r>
      <w:r w:rsidR="00756630" w:rsidRPr="0019119F">
        <w:t xml:space="preserve"> million</w:t>
      </w:r>
      <w:r w:rsidRPr="0019119F">
        <w:t xml:space="preserve"> is allocated to </w:t>
      </w:r>
      <w:r w:rsidR="00756630" w:rsidRPr="0019119F">
        <w:t xml:space="preserve">EBSA </w:t>
      </w:r>
      <w:r w:rsidRPr="0019119F">
        <w:t xml:space="preserve">contractor costs, which include EFAST2 Production System costs such as, EFAST2 Operations (Steady-State, Modifications, </w:t>
      </w:r>
      <w:proofErr w:type="gramStart"/>
      <w:r w:rsidRPr="0019119F">
        <w:t>Change</w:t>
      </w:r>
      <w:proofErr w:type="gramEnd"/>
      <w:r w:rsidRPr="0019119F">
        <w:t xml:space="preserve"> </w:t>
      </w:r>
      <w:r w:rsidR="00C17476" w:rsidRPr="0019119F">
        <w:t>M</w:t>
      </w:r>
      <w:r w:rsidRPr="0019119F">
        <w:t>aintenance) and Contract Administration (Technical Oversight, System Transition, and Capital Planning).</w:t>
      </w:r>
    </w:p>
    <w:p w:rsidR="000C3B7F" w:rsidRDefault="000C3B7F" w:rsidP="00796BBE">
      <w:pPr>
        <w:widowControl/>
      </w:pPr>
    </w:p>
    <w:p w:rsidR="00097EF1" w:rsidRDefault="00097EF1" w:rsidP="00796BBE">
      <w:pPr>
        <w:pStyle w:val="Quick1"/>
        <w:widowControl/>
      </w:pPr>
      <w:r>
        <w:t>Explain the reasons for any program changes or adjustments reported in Items 1</w:t>
      </w:r>
      <w:r w:rsidR="00734BF4">
        <w:t>2</w:t>
      </w:r>
      <w:r>
        <w:t xml:space="preserve"> or 1</w:t>
      </w:r>
      <w:r w:rsidR="00734BF4">
        <w:t>3</w:t>
      </w:r>
      <w:r>
        <w:t>.</w:t>
      </w:r>
    </w:p>
    <w:p w:rsidR="00E114A8" w:rsidRDefault="00E114A8" w:rsidP="00796BBE">
      <w:pPr>
        <w:pStyle w:val="Quick1"/>
        <w:widowControl/>
        <w:numPr>
          <w:ilvl w:val="0"/>
          <w:numId w:val="0"/>
        </w:numPr>
      </w:pPr>
    </w:p>
    <w:p w:rsidR="00475B2F" w:rsidRPr="00E766BD" w:rsidRDefault="00EE4D0D" w:rsidP="00796BBE">
      <w:pPr>
        <w:pStyle w:val="Footer"/>
        <w:widowControl/>
      </w:pPr>
      <w:r>
        <w:t>The Department is updating the burden to reflect updated data on filing counts and wage rates.</w:t>
      </w:r>
    </w:p>
    <w:p w:rsidR="00097EF1" w:rsidRDefault="00097EF1" w:rsidP="00796BBE">
      <w:pPr>
        <w:widowControl/>
      </w:pPr>
    </w:p>
    <w:p w:rsidR="00097EF1" w:rsidRDefault="00097EF1" w:rsidP="00796BBE">
      <w:pPr>
        <w:widowControl/>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796BBE">
      <w:pPr>
        <w:pStyle w:val="Quick1"/>
        <w:widowControl/>
      </w:pPr>
      <w:r>
        <w:lastRenderedPageBreak/>
        <w:t>For collections of information whose results will be published, outline plans for tabulation, and publication</w:t>
      </w:r>
      <w:r w:rsidR="00734BF4">
        <w:t xml:space="preserve">. </w:t>
      </w:r>
      <w:r>
        <w:t>Address any complex analytical techniques that will be used</w:t>
      </w:r>
      <w:r w:rsidR="00734BF4">
        <w:t xml:space="preserve">. </w:t>
      </w:r>
      <w:r>
        <w:t>Provide the time schedule for the entire project, including beginning and ending dates of the collection of information, completion of report, publication dates, and other actions.</w:t>
      </w:r>
    </w:p>
    <w:p w:rsidR="00097EF1" w:rsidRDefault="00097EF1" w:rsidP="00796BBE">
      <w:pPr>
        <w:widowControl/>
      </w:pPr>
    </w:p>
    <w:p w:rsidR="00097EF1" w:rsidRDefault="00097EF1" w:rsidP="00796BBE">
      <w:pPr>
        <w:widowControl/>
      </w:pPr>
      <w:r>
        <w:t>The Form 5500 is not a collection of information for statistical use</w:t>
      </w:r>
      <w:r w:rsidR="00734BF4">
        <w:t xml:space="preserve">. </w:t>
      </w:r>
      <w:r>
        <w:t>Once collected, however, the information is available to the Agencies and the public, and it is used for purposes other than enforcement and disclosure.</w:t>
      </w:r>
      <w:r w:rsidR="00C67DA3">
        <w:t xml:space="preserve"> The Form 5500 dataset on EBSA’s website is updated once a month to reflect that most recent filings that are received.</w:t>
      </w:r>
    </w:p>
    <w:p w:rsidR="00097EF1" w:rsidRDefault="00097EF1" w:rsidP="00796BBE">
      <w:pPr>
        <w:widowControl/>
      </w:pPr>
    </w:p>
    <w:p w:rsidR="00097EF1" w:rsidRDefault="00097EF1" w:rsidP="00796BBE">
      <w:pPr>
        <w:pStyle w:val="Quick1"/>
        <w:widowControl/>
      </w:pPr>
      <w:r>
        <w:t>If seeking approval to not display the expiration date for OMB approval of the information collection, explain the reasons that display would be inappropriate.</w:t>
      </w:r>
    </w:p>
    <w:p w:rsidR="00097EF1" w:rsidRDefault="00097EF1" w:rsidP="00796BBE">
      <w:pPr>
        <w:widowControl/>
      </w:pPr>
    </w:p>
    <w:p w:rsidR="00097EF1" w:rsidRDefault="00097EF1" w:rsidP="00796BBE">
      <w:pPr>
        <w:widowControl/>
      </w:pPr>
      <w:r>
        <w:t>OMB previously granted approval for the Department to omit the expiration date from the Form 5500</w:t>
      </w:r>
      <w:r w:rsidR="00C67DA3">
        <w:t xml:space="preserve">, because the </w:t>
      </w:r>
      <w:r w:rsidR="008F7DE9">
        <w:t>Form 5500 is a multi-agency form and it is difficult to maintain the expiration dates for three separate agencies</w:t>
      </w:r>
      <w:r w:rsidR="00851CF1">
        <w:t xml:space="preserve">. </w:t>
      </w:r>
      <w:r>
        <w:t>The Department requests continued approval to omit the expiration date</w:t>
      </w:r>
      <w:r w:rsidR="002F443C">
        <w:t>.</w:t>
      </w:r>
    </w:p>
    <w:p w:rsidR="00097EF1" w:rsidRDefault="00097EF1" w:rsidP="00796BBE">
      <w:pPr>
        <w:widowControl/>
      </w:pPr>
    </w:p>
    <w:p w:rsidR="00097EF1" w:rsidRDefault="00097EF1" w:rsidP="00796BBE">
      <w:pPr>
        <w:pStyle w:val="Quick1"/>
        <w:widowControl/>
      </w:pPr>
      <w:r>
        <w:t xml:space="preserve">Explain each exception to the certification statement identified in </w:t>
      </w:r>
      <w:r w:rsidR="002F443C">
        <w:t xml:space="preserve">the </w:t>
      </w:r>
      <w:r>
        <w:t>"Certification for Paperwork Reduction Act Submission</w:t>
      </w:r>
      <w:r w:rsidR="00AA6C01">
        <w:t>.</w:t>
      </w:r>
      <w:r>
        <w:t>"</w:t>
      </w:r>
    </w:p>
    <w:p w:rsidR="00097EF1" w:rsidRDefault="00097EF1" w:rsidP="00796BBE">
      <w:pPr>
        <w:widowControl/>
      </w:pPr>
    </w:p>
    <w:p w:rsidR="00097EF1" w:rsidRDefault="00610557" w:rsidP="00796BBE">
      <w:pPr>
        <w:widowControl/>
      </w:pPr>
      <w:r>
        <w:t>The Department seeks</w:t>
      </w:r>
      <w:r w:rsidR="00097EF1">
        <w:t xml:space="preserve"> no exceptions to the certification statement.</w:t>
      </w:r>
    </w:p>
    <w:p w:rsidR="00AA6C01" w:rsidRDefault="00AA6C01" w:rsidP="00796BBE">
      <w:pPr>
        <w:widowControl/>
      </w:pPr>
    </w:p>
    <w:p w:rsidR="000E684C" w:rsidRPr="003A58B4" w:rsidRDefault="000E684C" w:rsidP="00796BBE">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0E684C" w:rsidRPr="003A58B4" w:rsidRDefault="000E684C" w:rsidP="00796BBE">
      <w:pPr>
        <w:widowControl/>
        <w:rPr>
          <w:bCs/>
        </w:rPr>
      </w:pPr>
    </w:p>
    <w:p w:rsidR="00286960" w:rsidRDefault="000D0F7D" w:rsidP="00796BBE">
      <w:pPr>
        <w:widowControl/>
      </w:pPr>
      <w:r w:rsidRPr="000D0F7D">
        <w:rPr>
          <w:rFonts w:cs="Courier New"/>
        </w:rPr>
        <w:t>Statistical methods are not used in these collections of information.</w:t>
      </w:r>
    </w:p>
    <w:sectPr w:rsidR="0028696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60E" w:rsidRDefault="007B060E">
      <w:r>
        <w:separator/>
      </w:r>
    </w:p>
  </w:endnote>
  <w:endnote w:type="continuationSeparator" w:id="0">
    <w:p w:rsidR="007B060E" w:rsidRDefault="007B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0F" w:rsidRDefault="004C530F">
    <w:pPr>
      <w:spacing w:line="240" w:lineRule="exact"/>
    </w:pPr>
  </w:p>
  <w:p w:rsidR="004C530F" w:rsidRDefault="004C530F">
    <w:pPr>
      <w:framePr w:w="9361" w:wrap="notBeside" w:vAnchor="text" w:hAnchor="text" w:x="1" w:y="1"/>
      <w:jc w:val="center"/>
    </w:pPr>
    <w:r>
      <w:fldChar w:fldCharType="begin"/>
    </w:r>
    <w:r>
      <w:instrText xml:space="preserve">PAGE </w:instrText>
    </w:r>
    <w:r>
      <w:fldChar w:fldCharType="separate"/>
    </w:r>
    <w:r w:rsidR="001B3D68">
      <w:rPr>
        <w:noProof/>
      </w:rPr>
      <w:t>14</w:t>
    </w:r>
    <w:r>
      <w:fldChar w:fldCharType="end"/>
    </w:r>
  </w:p>
  <w:p w:rsidR="004C530F" w:rsidRDefault="004C53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60E" w:rsidRDefault="007B060E">
      <w:r>
        <w:separator/>
      </w:r>
    </w:p>
  </w:footnote>
  <w:footnote w:type="continuationSeparator" w:id="0">
    <w:p w:rsidR="007B060E" w:rsidRDefault="007B060E">
      <w:r>
        <w:continuationSeparator/>
      </w:r>
    </w:p>
  </w:footnote>
  <w:footnote w:id="1">
    <w:p w:rsidR="004C530F" w:rsidRPr="00FC46DB" w:rsidRDefault="004C530F" w:rsidP="00760BBB">
      <w:pPr>
        <w:pStyle w:val="FootnoteText"/>
      </w:pPr>
      <w:r w:rsidRPr="00FC46DB">
        <w:rPr>
          <w:rStyle w:val="FootnoteReference"/>
          <w:vertAlign w:val="superscript"/>
        </w:rPr>
        <w:footnoteRef/>
      </w:r>
      <w:r>
        <w:t xml:space="preserve"> </w:t>
      </w:r>
      <w:proofErr w:type="gramStart"/>
      <w:r w:rsidRPr="00FC46DB">
        <w:t>72 FR 6</w:t>
      </w:r>
      <w:r>
        <w:t>3</w:t>
      </w:r>
      <w:r w:rsidRPr="00FC46DB">
        <w:t>731</w:t>
      </w:r>
      <w:r w:rsidR="004506B0">
        <w:t>.</w:t>
      </w:r>
      <w:proofErr w:type="gramEnd"/>
    </w:p>
  </w:footnote>
  <w:footnote w:id="2">
    <w:p w:rsidR="004C530F" w:rsidRDefault="004C530F" w:rsidP="00E71C51">
      <w:r w:rsidRPr="00E71C51">
        <w:rPr>
          <w:rStyle w:val="FootnoteReference"/>
          <w:vertAlign w:val="superscript"/>
        </w:rPr>
        <w:footnoteRef/>
      </w:r>
      <w:r w:rsidRPr="00E71C51">
        <w:rPr>
          <w:vertAlign w:val="superscript"/>
        </w:rPr>
        <w:t xml:space="preserve"> </w:t>
      </w:r>
      <w:r>
        <w:rPr>
          <w:sz w:val="20"/>
          <w:szCs w:val="20"/>
        </w:rPr>
        <w:t>Although ERISA sections 505 and 734 give the Secretary the authority to require MEWAs that are group health plans to comply with the Form M-1 requirements, there is, however, no corresponding ERISA civil penalty for a failure to comply with those requirements</w:t>
      </w:r>
      <w:r w:rsidR="006D6C26">
        <w:rPr>
          <w:sz w:val="20"/>
          <w:szCs w:val="20"/>
        </w:rPr>
        <w:t>.</w:t>
      </w:r>
    </w:p>
  </w:footnote>
  <w:footnote w:id="3">
    <w:p w:rsidR="004C530F" w:rsidRPr="00AF734D" w:rsidRDefault="004C530F" w:rsidP="00FF72A5">
      <w:pPr>
        <w:pStyle w:val="FootnoteText"/>
      </w:pPr>
      <w:r w:rsidRPr="00E71C51">
        <w:rPr>
          <w:rStyle w:val="FootnoteReference"/>
          <w:vertAlign w:val="superscript"/>
        </w:rPr>
        <w:footnoteRef/>
      </w:r>
      <w:r w:rsidRPr="00E71C51">
        <w:rPr>
          <w:vertAlign w:val="superscript"/>
        </w:rPr>
        <w:t xml:space="preserve"> </w:t>
      </w:r>
      <w:r>
        <w:t>These plan MEWAs would only need to file Form 5500 annual return/report and, if applicable, Schedule A (Insurance Information) and Schedule G, Part III (nonexempt transactions)</w:t>
      </w:r>
      <w:r w:rsidR="006D6C26">
        <w:t>.</w:t>
      </w:r>
    </w:p>
  </w:footnote>
  <w:footnote w:id="4">
    <w:p w:rsidR="004C530F" w:rsidRDefault="004C530F">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w:t>
      </w:r>
      <w:r w:rsidR="008A1C0D">
        <w:t xml:space="preserve">. </w:t>
      </w:r>
      <w:r>
        <w:t>This burden model was further updated for the Final Forms Revisions and Final Rules.</w:t>
      </w:r>
    </w:p>
  </w:footnote>
  <w:footnote w:id="5">
    <w:p w:rsidR="004C530F" w:rsidRDefault="004C530F">
      <w:pPr>
        <w:pStyle w:val="FootnoteText"/>
      </w:pPr>
      <w:r w:rsidRPr="0067248F">
        <w:rPr>
          <w:rStyle w:val="FootnoteReference"/>
          <w:vertAlign w:val="superscript"/>
        </w:rPr>
        <w:footnoteRef/>
      </w:r>
      <w:r>
        <w:t xml:space="preserve"> The burden attributed to the Short Form 5500 in this table, does not include burden for Schedule SB or MB</w:t>
      </w:r>
      <w:r w:rsidR="00CE1FE1">
        <w:t xml:space="preserve">. </w:t>
      </w:r>
      <w:r>
        <w:t>If Short Form filers need to file Schedule SB or MB, the burden increases accordingly.</w:t>
      </w:r>
    </w:p>
  </w:footnote>
  <w:footnote w:id="6">
    <w:p w:rsidR="004C530F" w:rsidRDefault="004C530F" w:rsidP="00923C16">
      <w:pPr>
        <w:pStyle w:val="FootnoteText"/>
      </w:pPr>
      <w:r w:rsidRPr="004B14BF">
        <w:rPr>
          <w:rStyle w:val="FootnoteReference"/>
          <w:vertAlign w:val="superscript"/>
        </w:rPr>
        <w:footnoteRef/>
      </w:r>
      <w:r>
        <w:t xml:space="preserve"> Numbers are rounded</w:t>
      </w:r>
      <w:r w:rsidR="00CE1FE1">
        <w:t xml:space="preserve">. </w:t>
      </w:r>
      <w:r w:rsidRPr="002F4FD9">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7">
    <w:p w:rsidR="004C530F" w:rsidRDefault="004C530F">
      <w:pPr>
        <w:pStyle w:val="FootnoteText"/>
      </w:pPr>
      <w:r w:rsidRPr="0067248F">
        <w:rPr>
          <w:rStyle w:val="FootnoteReference"/>
          <w:vertAlign w:val="superscript"/>
        </w:rPr>
        <w:footnoteRef/>
      </w:r>
      <w:r>
        <w:t xml:space="preserve"> </w:t>
      </w:r>
      <w:r w:rsidRPr="002F4FD9">
        <w:t>Accountants and Auditors (13-2011): $34.86(2013 BLS Wage rate) /0.69(ECEC ratio) *1.35(Overhead Load Factor) *1.023(Inflation rate) ^2(Inflated 2 years from base year) = $71.38</w:t>
      </w:r>
    </w:p>
  </w:footnote>
  <w:footnote w:id="8">
    <w:p w:rsidR="004908EE" w:rsidRPr="00A36714" w:rsidRDefault="004908EE" w:rsidP="004908EE">
      <w:pPr>
        <w:pStyle w:val="FootnoteText"/>
      </w:pPr>
      <w:r w:rsidRPr="00A36714">
        <w:rPr>
          <w:rStyle w:val="FootnoteReference"/>
          <w:vertAlign w:val="superscript"/>
        </w:rPr>
        <w:footnoteRef/>
      </w:r>
      <w:r w:rsidRPr="00A36714">
        <w:t xml:space="preserve"> </w:t>
      </w:r>
      <w:r>
        <w:t>The $100 service provider cost per hour is derived by adding a 40 percent profit and additional overhead margin to the Department’s estimate of $71.38 per hour for a financial professional.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0F" w:rsidRDefault="004C530F" w:rsidP="00097EF1">
    <w:pPr>
      <w:jc w:val="right"/>
      <w:rPr>
        <w:rFonts w:ascii="CG Times" w:hAnsi="CG Times"/>
        <w:b/>
        <w:bCs/>
        <w:sz w:val="20"/>
        <w:szCs w:val="20"/>
      </w:rPr>
    </w:pPr>
    <w:r>
      <w:rPr>
        <w:rFonts w:ascii="CG Times" w:hAnsi="CG Times"/>
        <w:b/>
        <w:bCs/>
        <w:sz w:val="20"/>
        <w:szCs w:val="20"/>
      </w:rPr>
      <w:t>Annual Return/Report of Employee Benefit Plan (Form 5500)</w:t>
    </w:r>
  </w:p>
  <w:p w:rsidR="004C530F" w:rsidRDefault="004C530F">
    <w:pPr>
      <w:jc w:val="right"/>
      <w:rPr>
        <w:rFonts w:ascii="CG Times" w:hAnsi="CG Times"/>
        <w:b/>
        <w:bCs/>
        <w:sz w:val="20"/>
        <w:szCs w:val="20"/>
      </w:rPr>
    </w:pPr>
    <w:r>
      <w:rPr>
        <w:rFonts w:ascii="CG Times" w:hAnsi="CG Times"/>
        <w:b/>
        <w:bCs/>
        <w:sz w:val="20"/>
        <w:szCs w:val="20"/>
      </w:rPr>
      <w:t>OMB Number 1210-0110</w:t>
    </w:r>
  </w:p>
  <w:p w:rsidR="004C530F" w:rsidRDefault="004C530F">
    <w:pPr>
      <w:jc w:val="right"/>
      <w:rPr>
        <w:rFonts w:ascii="CG Times" w:hAnsi="CG Times"/>
        <w:b/>
        <w:bCs/>
        <w:sz w:val="20"/>
        <w:szCs w:val="20"/>
      </w:rPr>
    </w:pPr>
    <w:r>
      <w:rPr>
        <w:rFonts w:ascii="CG Times" w:hAnsi="CG Times"/>
        <w:b/>
        <w:bCs/>
        <w:sz w:val="20"/>
        <w:szCs w:val="20"/>
      </w:rPr>
      <w:tab/>
    </w:r>
    <w:r w:rsidR="00925CA8">
      <w:rPr>
        <w:rFonts w:ascii="CG Times" w:hAnsi="CG Times"/>
        <w:b/>
        <w:bCs/>
        <w:sz w:val="20"/>
        <w:szCs w:val="20"/>
      </w:rPr>
      <w:t>August</w:t>
    </w:r>
    <w:r w:rsidR="00703908">
      <w:rPr>
        <w:rFonts w:ascii="CG Times" w:hAnsi="CG Times"/>
        <w:b/>
        <w:bCs/>
        <w:sz w:val="20"/>
        <w:szCs w:val="20"/>
      </w:rPr>
      <w:t xml:space="preserve"> </w:t>
    </w:r>
    <w:r>
      <w:rPr>
        <w:rFonts w:ascii="CG Times" w:hAnsi="CG Times"/>
        <w:b/>
        <w:bCs/>
        <w:sz w:val="20"/>
        <w:szCs w:val="20"/>
      </w:rPr>
      <w:t xml:space="preserve">2015 </w:t>
    </w:r>
  </w:p>
  <w:p w:rsidR="004C530F" w:rsidRDefault="004C530F"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5"/>
  </w:num>
  <w:num w:numId="7">
    <w:abstractNumId w:val="5"/>
  </w:num>
  <w:num w:numId="8">
    <w:abstractNumId w:val="5"/>
  </w:num>
  <w:num w:numId="9">
    <w:abstractNumId w:val="5"/>
  </w:num>
  <w:num w:numId="10">
    <w:abstractNumId w:val="5"/>
  </w:num>
  <w:num w:numId="11">
    <w:abstractNumId w:val="0"/>
    <w:lvlOverride w:ilvl="0">
      <w:startOverride w:val="13"/>
      <w:lvl w:ilvl="0">
        <w:start w:val="13"/>
        <w:numFmt w:val="decimal"/>
        <w:pStyle w:val="Quick1"/>
        <w:lvlText w:val="%1."/>
        <w:lvlJc w:val="left"/>
      </w:lvl>
    </w:lvlOverride>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2034"/>
    <w:rsid w:val="00005F4A"/>
    <w:rsid w:val="00013F23"/>
    <w:rsid w:val="00026EA3"/>
    <w:rsid w:val="00034067"/>
    <w:rsid w:val="00045D14"/>
    <w:rsid w:val="00051BA4"/>
    <w:rsid w:val="0005395B"/>
    <w:rsid w:val="0006055E"/>
    <w:rsid w:val="0006495C"/>
    <w:rsid w:val="000725FB"/>
    <w:rsid w:val="000744E9"/>
    <w:rsid w:val="000853A0"/>
    <w:rsid w:val="00097EF1"/>
    <w:rsid w:val="000A16C6"/>
    <w:rsid w:val="000A4116"/>
    <w:rsid w:val="000B0EF6"/>
    <w:rsid w:val="000B2506"/>
    <w:rsid w:val="000B5C7C"/>
    <w:rsid w:val="000C075F"/>
    <w:rsid w:val="000C3B7F"/>
    <w:rsid w:val="000D0F7D"/>
    <w:rsid w:val="000D15EA"/>
    <w:rsid w:val="000D1F7B"/>
    <w:rsid w:val="000D579B"/>
    <w:rsid w:val="000D5991"/>
    <w:rsid w:val="000E684C"/>
    <w:rsid w:val="000F093F"/>
    <w:rsid w:val="000F111E"/>
    <w:rsid w:val="000F5BA8"/>
    <w:rsid w:val="00105C4A"/>
    <w:rsid w:val="001157DF"/>
    <w:rsid w:val="00120DC5"/>
    <w:rsid w:val="00122453"/>
    <w:rsid w:val="00124C00"/>
    <w:rsid w:val="0012579F"/>
    <w:rsid w:val="00125C0B"/>
    <w:rsid w:val="001420F2"/>
    <w:rsid w:val="00147918"/>
    <w:rsid w:val="0015089A"/>
    <w:rsid w:val="00152579"/>
    <w:rsid w:val="001568FF"/>
    <w:rsid w:val="001620CA"/>
    <w:rsid w:val="00176340"/>
    <w:rsid w:val="00177C3D"/>
    <w:rsid w:val="00180D17"/>
    <w:rsid w:val="00181D99"/>
    <w:rsid w:val="00187A11"/>
    <w:rsid w:val="0019119F"/>
    <w:rsid w:val="00192566"/>
    <w:rsid w:val="00192B41"/>
    <w:rsid w:val="001A1A63"/>
    <w:rsid w:val="001B3D68"/>
    <w:rsid w:val="001D12D6"/>
    <w:rsid w:val="001E3295"/>
    <w:rsid w:val="001E3C95"/>
    <w:rsid w:val="001F5EE5"/>
    <w:rsid w:val="00201FCB"/>
    <w:rsid w:val="002103B1"/>
    <w:rsid w:val="00210836"/>
    <w:rsid w:val="00211B9A"/>
    <w:rsid w:val="002152E0"/>
    <w:rsid w:val="00220342"/>
    <w:rsid w:val="002240B4"/>
    <w:rsid w:val="00224443"/>
    <w:rsid w:val="002253AA"/>
    <w:rsid w:val="00243E45"/>
    <w:rsid w:val="0024463A"/>
    <w:rsid w:val="002448D0"/>
    <w:rsid w:val="0024780B"/>
    <w:rsid w:val="00253A45"/>
    <w:rsid w:val="00256F0D"/>
    <w:rsid w:val="002576B3"/>
    <w:rsid w:val="00271DCF"/>
    <w:rsid w:val="00274428"/>
    <w:rsid w:val="00274ACD"/>
    <w:rsid w:val="00283EC4"/>
    <w:rsid w:val="00286960"/>
    <w:rsid w:val="002B0F9C"/>
    <w:rsid w:val="002C4E97"/>
    <w:rsid w:val="002C55E8"/>
    <w:rsid w:val="002D15E8"/>
    <w:rsid w:val="002E0F16"/>
    <w:rsid w:val="002E4821"/>
    <w:rsid w:val="002E77D7"/>
    <w:rsid w:val="002F443C"/>
    <w:rsid w:val="002F4FD9"/>
    <w:rsid w:val="002F550C"/>
    <w:rsid w:val="002F5863"/>
    <w:rsid w:val="0030286D"/>
    <w:rsid w:val="00305295"/>
    <w:rsid w:val="00314758"/>
    <w:rsid w:val="00337EF0"/>
    <w:rsid w:val="00344567"/>
    <w:rsid w:val="00350473"/>
    <w:rsid w:val="003576E6"/>
    <w:rsid w:val="00360E51"/>
    <w:rsid w:val="00367D45"/>
    <w:rsid w:val="00386556"/>
    <w:rsid w:val="003A22F7"/>
    <w:rsid w:val="003A58E6"/>
    <w:rsid w:val="003A6982"/>
    <w:rsid w:val="003B0C18"/>
    <w:rsid w:val="003C1F87"/>
    <w:rsid w:val="003C21BA"/>
    <w:rsid w:val="003C6C3D"/>
    <w:rsid w:val="003D1E67"/>
    <w:rsid w:val="003D2932"/>
    <w:rsid w:val="003D2AC2"/>
    <w:rsid w:val="003D788A"/>
    <w:rsid w:val="003E2798"/>
    <w:rsid w:val="003E72DD"/>
    <w:rsid w:val="003F6F9C"/>
    <w:rsid w:val="00402F07"/>
    <w:rsid w:val="00403EDA"/>
    <w:rsid w:val="004045B9"/>
    <w:rsid w:val="00404B54"/>
    <w:rsid w:val="00406535"/>
    <w:rsid w:val="00410756"/>
    <w:rsid w:val="00421278"/>
    <w:rsid w:val="00432E1A"/>
    <w:rsid w:val="00433EDA"/>
    <w:rsid w:val="00434E18"/>
    <w:rsid w:val="0043505C"/>
    <w:rsid w:val="00436177"/>
    <w:rsid w:val="00441174"/>
    <w:rsid w:val="004506B0"/>
    <w:rsid w:val="00453663"/>
    <w:rsid w:val="004561D4"/>
    <w:rsid w:val="00465F62"/>
    <w:rsid w:val="0046688E"/>
    <w:rsid w:val="00475B2F"/>
    <w:rsid w:val="00476387"/>
    <w:rsid w:val="004908EE"/>
    <w:rsid w:val="0049707D"/>
    <w:rsid w:val="004B14BF"/>
    <w:rsid w:val="004C530F"/>
    <w:rsid w:val="004C79C2"/>
    <w:rsid w:val="004D1863"/>
    <w:rsid w:val="004D427A"/>
    <w:rsid w:val="004D5171"/>
    <w:rsid w:val="004E175B"/>
    <w:rsid w:val="004E3B16"/>
    <w:rsid w:val="004F41F0"/>
    <w:rsid w:val="005031E8"/>
    <w:rsid w:val="005032FA"/>
    <w:rsid w:val="00512771"/>
    <w:rsid w:val="005133CC"/>
    <w:rsid w:val="00513CD3"/>
    <w:rsid w:val="005153C5"/>
    <w:rsid w:val="00525DFD"/>
    <w:rsid w:val="0053190A"/>
    <w:rsid w:val="005552B3"/>
    <w:rsid w:val="00562EA3"/>
    <w:rsid w:val="00563AAE"/>
    <w:rsid w:val="005758A6"/>
    <w:rsid w:val="005856FB"/>
    <w:rsid w:val="00585BF9"/>
    <w:rsid w:val="00586B86"/>
    <w:rsid w:val="00594750"/>
    <w:rsid w:val="005A2F33"/>
    <w:rsid w:val="005D1652"/>
    <w:rsid w:val="005D1A2C"/>
    <w:rsid w:val="005D1FE1"/>
    <w:rsid w:val="005D6215"/>
    <w:rsid w:val="005D6305"/>
    <w:rsid w:val="005E008D"/>
    <w:rsid w:val="005E0EEE"/>
    <w:rsid w:val="005E43FE"/>
    <w:rsid w:val="005F0AAA"/>
    <w:rsid w:val="005F1379"/>
    <w:rsid w:val="005F5EBE"/>
    <w:rsid w:val="005F765F"/>
    <w:rsid w:val="0060061B"/>
    <w:rsid w:val="00610557"/>
    <w:rsid w:val="00611099"/>
    <w:rsid w:val="006208C9"/>
    <w:rsid w:val="006238D5"/>
    <w:rsid w:val="0062448F"/>
    <w:rsid w:val="00631379"/>
    <w:rsid w:val="006334C4"/>
    <w:rsid w:val="006406FE"/>
    <w:rsid w:val="0064375E"/>
    <w:rsid w:val="00646334"/>
    <w:rsid w:val="006563D6"/>
    <w:rsid w:val="00660FDC"/>
    <w:rsid w:val="00662920"/>
    <w:rsid w:val="00662CD4"/>
    <w:rsid w:val="00663BF4"/>
    <w:rsid w:val="006723D8"/>
    <w:rsid w:val="0067248F"/>
    <w:rsid w:val="006750F6"/>
    <w:rsid w:val="00683369"/>
    <w:rsid w:val="00686004"/>
    <w:rsid w:val="0068691F"/>
    <w:rsid w:val="00691AFD"/>
    <w:rsid w:val="0069306C"/>
    <w:rsid w:val="00693E4D"/>
    <w:rsid w:val="006A1C8C"/>
    <w:rsid w:val="006A4063"/>
    <w:rsid w:val="006A5744"/>
    <w:rsid w:val="006A7576"/>
    <w:rsid w:val="006B7EF0"/>
    <w:rsid w:val="006D1F15"/>
    <w:rsid w:val="006D6C26"/>
    <w:rsid w:val="006E4BD9"/>
    <w:rsid w:val="006E5A6D"/>
    <w:rsid w:val="006E7954"/>
    <w:rsid w:val="006F19F8"/>
    <w:rsid w:val="006F3292"/>
    <w:rsid w:val="007036D5"/>
    <w:rsid w:val="00703908"/>
    <w:rsid w:val="007048CB"/>
    <w:rsid w:val="00704C10"/>
    <w:rsid w:val="00707512"/>
    <w:rsid w:val="0073148D"/>
    <w:rsid w:val="00733D89"/>
    <w:rsid w:val="00734BF4"/>
    <w:rsid w:val="00736C84"/>
    <w:rsid w:val="0073772D"/>
    <w:rsid w:val="00740DFB"/>
    <w:rsid w:val="007513E9"/>
    <w:rsid w:val="00756630"/>
    <w:rsid w:val="00760BBB"/>
    <w:rsid w:val="00762302"/>
    <w:rsid w:val="00767D15"/>
    <w:rsid w:val="00770363"/>
    <w:rsid w:val="007746DB"/>
    <w:rsid w:val="00774EA9"/>
    <w:rsid w:val="00776135"/>
    <w:rsid w:val="00776961"/>
    <w:rsid w:val="00793D8A"/>
    <w:rsid w:val="00796BBE"/>
    <w:rsid w:val="007A2AE6"/>
    <w:rsid w:val="007B060E"/>
    <w:rsid w:val="007B6E2B"/>
    <w:rsid w:val="007C25D6"/>
    <w:rsid w:val="007E5A25"/>
    <w:rsid w:val="007F2B7B"/>
    <w:rsid w:val="007F31AE"/>
    <w:rsid w:val="007F4E81"/>
    <w:rsid w:val="00800078"/>
    <w:rsid w:val="00807E0B"/>
    <w:rsid w:val="00820394"/>
    <w:rsid w:val="00821D78"/>
    <w:rsid w:val="00822BAF"/>
    <w:rsid w:val="008304A6"/>
    <w:rsid w:val="0084513C"/>
    <w:rsid w:val="0084622A"/>
    <w:rsid w:val="00851CF1"/>
    <w:rsid w:val="00855E05"/>
    <w:rsid w:val="00860080"/>
    <w:rsid w:val="00862B83"/>
    <w:rsid w:val="00877386"/>
    <w:rsid w:val="00886CA4"/>
    <w:rsid w:val="00893C91"/>
    <w:rsid w:val="00894858"/>
    <w:rsid w:val="0089517F"/>
    <w:rsid w:val="008A1C0D"/>
    <w:rsid w:val="008A7A8A"/>
    <w:rsid w:val="008B109D"/>
    <w:rsid w:val="008B73FC"/>
    <w:rsid w:val="008B7FE8"/>
    <w:rsid w:val="008C6422"/>
    <w:rsid w:val="008D0548"/>
    <w:rsid w:val="008D26F0"/>
    <w:rsid w:val="008D6B40"/>
    <w:rsid w:val="008D7E85"/>
    <w:rsid w:val="008E2857"/>
    <w:rsid w:val="008E6EEA"/>
    <w:rsid w:val="008E7281"/>
    <w:rsid w:val="008F48E3"/>
    <w:rsid w:val="008F6CB0"/>
    <w:rsid w:val="008F7DE9"/>
    <w:rsid w:val="0090027F"/>
    <w:rsid w:val="0090164D"/>
    <w:rsid w:val="00903D90"/>
    <w:rsid w:val="0090498E"/>
    <w:rsid w:val="009136DA"/>
    <w:rsid w:val="009149D4"/>
    <w:rsid w:val="0091618E"/>
    <w:rsid w:val="00923C16"/>
    <w:rsid w:val="00925CA8"/>
    <w:rsid w:val="00925DD4"/>
    <w:rsid w:val="009265FD"/>
    <w:rsid w:val="00927539"/>
    <w:rsid w:val="00930323"/>
    <w:rsid w:val="009354FE"/>
    <w:rsid w:val="0094131A"/>
    <w:rsid w:val="00944FAC"/>
    <w:rsid w:val="00946B54"/>
    <w:rsid w:val="00946B74"/>
    <w:rsid w:val="009600F8"/>
    <w:rsid w:val="009627C2"/>
    <w:rsid w:val="009816D7"/>
    <w:rsid w:val="00987C9F"/>
    <w:rsid w:val="00991D27"/>
    <w:rsid w:val="00995D62"/>
    <w:rsid w:val="00997573"/>
    <w:rsid w:val="00997CE0"/>
    <w:rsid w:val="009A0AAA"/>
    <w:rsid w:val="009A0CE1"/>
    <w:rsid w:val="009A19F8"/>
    <w:rsid w:val="009B1A45"/>
    <w:rsid w:val="009B254F"/>
    <w:rsid w:val="009C5C44"/>
    <w:rsid w:val="009C7C88"/>
    <w:rsid w:val="009D17B7"/>
    <w:rsid w:val="009D704A"/>
    <w:rsid w:val="009E1295"/>
    <w:rsid w:val="009E5886"/>
    <w:rsid w:val="009F3486"/>
    <w:rsid w:val="009F3BD2"/>
    <w:rsid w:val="009F4C81"/>
    <w:rsid w:val="00A00968"/>
    <w:rsid w:val="00A01BC0"/>
    <w:rsid w:val="00A10FD8"/>
    <w:rsid w:val="00A11282"/>
    <w:rsid w:val="00A138A9"/>
    <w:rsid w:val="00A322D7"/>
    <w:rsid w:val="00A328FC"/>
    <w:rsid w:val="00A32BF1"/>
    <w:rsid w:val="00A36E1A"/>
    <w:rsid w:val="00A4063C"/>
    <w:rsid w:val="00A40B09"/>
    <w:rsid w:val="00A446F0"/>
    <w:rsid w:val="00A47572"/>
    <w:rsid w:val="00A47A3B"/>
    <w:rsid w:val="00A50DDB"/>
    <w:rsid w:val="00A55FC5"/>
    <w:rsid w:val="00A62C6C"/>
    <w:rsid w:val="00A6363A"/>
    <w:rsid w:val="00A63FB1"/>
    <w:rsid w:val="00A70109"/>
    <w:rsid w:val="00A741B7"/>
    <w:rsid w:val="00A75D16"/>
    <w:rsid w:val="00A97267"/>
    <w:rsid w:val="00AA0582"/>
    <w:rsid w:val="00AA6C01"/>
    <w:rsid w:val="00AB2918"/>
    <w:rsid w:val="00AB3819"/>
    <w:rsid w:val="00AC1782"/>
    <w:rsid w:val="00AC6AF4"/>
    <w:rsid w:val="00AD7A76"/>
    <w:rsid w:val="00AE1B43"/>
    <w:rsid w:val="00AE43E4"/>
    <w:rsid w:val="00AE53E6"/>
    <w:rsid w:val="00AE7348"/>
    <w:rsid w:val="00AF0D8E"/>
    <w:rsid w:val="00AF2B90"/>
    <w:rsid w:val="00AF7700"/>
    <w:rsid w:val="00B052BD"/>
    <w:rsid w:val="00B1540C"/>
    <w:rsid w:val="00B2172C"/>
    <w:rsid w:val="00B251A2"/>
    <w:rsid w:val="00B50CDC"/>
    <w:rsid w:val="00B51C4E"/>
    <w:rsid w:val="00B57F75"/>
    <w:rsid w:val="00B7210D"/>
    <w:rsid w:val="00B75C5C"/>
    <w:rsid w:val="00B81D8A"/>
    <w:rsid w:val="00B85D9E"/>
    <w:rsid w:val="00B85F45"/>
    <w:rsid w:val="00B86C7F"/>
    <w:rsid w:val="00B9478E"/>
    <w:rsid w:val="00B94F0D"/>
    <w:rsid w:val="00BA62A0"/>
    <w:rsid w:val="00BB252F"/>
    <w:rsid w:val="00BC0B76"/>
    <w:rsid w:val="00BC5B7B"/>
    <w:rsid w:val="00BD1411"/>
    <w:rsid w:val="00BD2834"/>
    <w:rsid w:val="00BD35CC"/>
    <w:rsid w:val="00BD6EDC"/>
    <w:rsid w:val="00BE1803"/>
    <w:rsid w:val="00BE4D0B"/>
    <w:rsid w:val="00BE54E1"/>
    <w:rsid w:val="00BF2F91"/>
    <w:rsid w:val="00BF3861"/>
    <w:rsid w:val="00BF7B1E"/>
    <w:rsid w:val="00C02300"/>
    <w:rsid w:val="00C124C3"/>
    <w:rsid w:val="00C17466"/>
    <w:rsid w:val="00C17476"/>
    <w:rsid w:val="00C23FC5"/>
    <w:rsid w:val="00C2581D"/>
    <w:rsid w:val="00C275A6"/>
    <w:rsid w:val="00C279C0"/>
    <w:rsid w:val="00C30A80"/>
    <w:rsid w:val="00C34ED0"/>
    <w:rsid w:val="00C359ED"/>
    <w:rsid w:val="00C433C5"/>
    <w:rsid w:val="00C43FD1"/>
    <w:rsid w:val="00C44A02"/>
    <w:rsid w:val="00C459CD"/>
    <w:rsid w:val="00C52421"/>
    <w:rsid w:val="00C67A7B"/>
    <w:rsid w:val="00C67DA3"/>
    <w:rsid w:val="00C7648E"/>
    <w:rsid w:val="00C911A4"/>
    <w:rsid w:val="00C91A4D"/>
    <w:rsid w:val="00C9340F"/>
    <w:rsid w:val="00C9591B"/>
    <w:rsid w:val="00C965F9"/>
    <w:rsid w:val="00CA6970"/>
    <w:rsid w:val="00CA6FFC"/>
    <w:rsid w:val="00CA72AC"/>
    <w:rsid w:val="00CB47E0"/>
    <w:rsid w:val="00CC0357"/>
    <w:rsid w:val="00CC2EB6"/>
    <w:rsid w:val="00CD2E6E"/>
    <w:rsid w:val="00CE0DBF"/>
    <w:rsid w:val="00CE12A3"/>
    <w:rsid w:val="00CE1FE1"/>
    <w:rsid w:val="00CF0AC5"/>
    <w:rsid w:val="00CF46B8"/>
    <w:rsid w:val="00D04427"/>
    <w:rsid w:val="00D124E9"/>
    <w:rsid w:val="00D138E2"/>
    <w:rsid w:val="00D141DA"/>
    <w:rsid w:val="00D14A1A"/>
    <w:rsid w:val="00D220EF"/>
    <w:rsid w:val="00D23764"/>
    <w:rsid w:val="00D335C4"/>
    <w:rsid w:val="00D44414"/>
    <w:rsid w:val="00D44508"/>
    <w:rsid w:val="00D47179"/>
    <w:rsid w:val="00D5632F"/>
    <w:rsid w:val="00D6087C"/>
    <w:rsid w:val="00D61E3E"/>
    <w:rsid w:val="00D6200A"/>
    <w:rsid w:val="00D64000"/>
    <w:rsid w:val="00D71CDE"/>
    <w:rsid w:val="00D73FA8"/>
    <w:rsid w:val="00D76A78"/>
    <w:rsid w:val="00D834A3"/>
    <w:rsid w:val="00D87A63"/>
    <w:rsid w:val="00DA1B73"/>
    <w:rsid w:val="00DB3ACC"/>
    <w:rsid w:val="00DC6336"/>
    <w:rsid w:val="00DD0C9D"/>
    <w:rsid w:val="00DD5804"/>
    <w:rsid w:val="00DD6825"/>
    <w:rsid w:val="00DE0C27"/>
    <w:rsid w:val="00DE735B"/>
    <w:rsid w:val="00DF277B"/>
    <w:rsid w:val="00E01273"/>
    <w:rsid w:val="00E0281A"/>
    <w:rsid w:val="00E06C60"/>
    <w:rsid w:val="00E06E29"/>
    <w:rsid w:val="00E114A8"/>
    <w:rsid w:val="00E150AA"/>
    <w:rsid w:val="00E214A2"/>
    <w:rsid w:val="00E44FFD"/>
    <w:rsid w:val="00E52AD5"/>
    <w:rsid w:val="00E55041"/>
    <w:rsid w:val="00E57174"/>
    <w:rsid w:val="00E5722B"/>
    <w:rsid w:val="00E6723B"/>
    <w:rsid w:val="00E71C51"/>
    <w:rsid w:val="00E853EC"/>
    <w:rsid w:val="00E8561E"/>
    <w:rsid w:val="00E9238B"/>
    <w:rsid w:val="00E92AD8"/>
    <w:rsid w:val="00E93A71"/>
    <w:rsid w:val="00EA7DF3"/>
    <w:rsid w:val="00EB42F8"/>
    <w:rsid w:val="00EC1B15"/>
    <w:rsid w:val="00EC630B"/>
    <w:rsid w:val="00EE1201"/>
    <w:rsid w:val="00EE426B"/>
    <w:rsid w:val="00EE4CA6"/>
    <w:rsid w:val="00EE4D0D"/>
    <w:rsid w:val="00EE5522"/>
    <w:rsid w:val="00EF434C"/>
    <w:rsid w:val="00EF4A05"/>
    <w:rsid w:val="00EF5A72"/>
    <w:rsid w:val="00F0620F"/>
    <w:rsid w:val="00F06BE8"/>
    <w:rsid w:val="00F14F4C"/>
    <w:rsid w:val="00F171F4"/>
    <w:rsid w:val="00F22BC3"/>
    <w:rsid w:val="00F326AD"/>
    <w:rsid w:val="00F3619C"/>
    <w:rsid w:val="00F40083"/>
    <w:rsid w:val="00F44C2A"/>
    <w:rsid w:val="00F50137"/>
    <w:rsid w:val="00F50727"/>
    <w:rsid w:val="00F53FF8"/>
    <w:rsid w:val="00F54A01"/>
    <w:rsid w:val="00F55421"/>
    <w:rsid w:val="00F56431"/>
    <w:rsid w:val="00F61DBF"/>
    <w:rsid w:val="00F711A6"/>
    <w:rsid w:val="00F72387"/>
    <w:rsid w:val="00F72E1F"/>
    <w:rsid w:val="00F74627"/>
    <w:rsid w:val="00F75344"/>
    <w:rsid w:val="00F862D2"/>
    <w:rsid w:val="00F86E7C"/>
    <w:rsid w:val="00F92DFF"/>
    <w:rsid w:val="00F957CE"/>
    <w:rsid w:val="00F978E2"/>
    <w:rsid w:val="00FA1A1B"/>
    <w:rsid w:val="00FA41AE"/>
    <w:rsid w:val="00FA7102"/>
    <w:rsid w:val="00FB7501"/>
    <w:rsid w:val="00FC46DB"/>
    <w:rsid w:val="00FD104B"/>
    <w:rsid w:val="00FD316A"/>
    <w:rsid w:val="00FE199A"/>
    <w:rsid w:val="00FE29CA"/>
    <w:rsid w:val="00FF0087"/>
    <w:rsid w:val="00FF697E"/>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semiHidden/>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semiHidden/>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572159017">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B774-9EBF-465F-A70F-EA92B2FA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6780</Words>
  <Characters>37204</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Beckmann, Allan - EBSA</cp:lastModifiedBy>
  <cp:revision>2</cp:revision>
  <cp:lastPrinted>2015-05-01T15:55:00Z</cp:lastPrinted>
  <dcterms:created xsi:type="dcterms:W3CDTF">2015-08-20T18:31:00Z</dcterms:created>
  <dcterms:modified xsi:type="dcterms:W3CDTF">2015-08-20T18:31:00Z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