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D6" w:rsidRDefault="004200D6" w:rsidP="001A501A">
      <w:pPr>
        <w:tabs>
          <w:tab w:val="center" w:pos="4680"/>
        </w:tabs>
        <w:suppressAutoHyphens/>
        <w:jc w:val="center"/>
        <w:rPr>
          <w:rFonts w:ascii="Times New Roman" w:hAnsi="Times New Roman"/>
          <w:b/>
        </w:rPr>
      </w:pPr>
      <w:bookmarkStart w:id="0" w:name="_GoBack"/>
      <w:bookmarkEnd w:id="0"/>
      <w:r>
        <w:rPr>
          <w:rFonts w:ascii="Times New Roman" w:hAnsi="Times New Roman"/>
          <w:b/>
        </w:rPr>
        <w:t>Supporting Statement for</w:t>
      </w:r>
      <w:r w:rsidR="00B4739B">
        <w:rPr>
          <w:rFonts w:ascii="Times New Roman" w:hAnsi="Times New Roman"/>
          <w:b/>
        </w:rPr>
        <w:t xml:space="preserve"> Paperwork Reduction Act Submissions</w:t>
      </w:r>
    </w:p>
    <w:p w:rsidR="004200D6" w:rsidRDefault="004200D6" w:rsidP="001A501A">
      <w:pPr>
        <w:tabs>
          <w:tab w:val="center" w:pos="4680"/>
        </w:tabs>
        <w:suppressAutoHyphens/>
        <w:jc w:val="center"/>
        <w:rPr>
          <w:rFonts w:ascii="Times New Roman" w:hAnsi="Times New Roman"/>
          <w:b/>
        </w:rPr>
      </w:pPr>
      <w:r>
        <w:rPr>
          <w:rFonts w:ascii="Times New Roman" w:hAnsi="Times New Roman"/>
          <w:b/>
        </w:rPr>
        <w:t>Approval of Collection</w:t>
      </w:r>
      <w:r w:rsidR="00724BFE">
        <w:rPr>
          <w:rFonts w:ascii="Times New Roman" w:hAnsi="Times New Roman"/>
          <w:b/>
        </w:rPr>
        <w:t>s</w:t>
      </w:r>
      <w:r>
        <w:rPr>
          <w:rFonts w:ascii="Times New Roman" w:hAnsi="Times New Roman"/>
          <w:b/>
        </w:rPr>
        <w:t xml:space="preserve"> of Information</w:t>
      </w:r>
    </w:p>
    <w:p w:rsidR="00234DC7" w:rsidRDefault="00234DC7" w:rsidP="001A501A">
      <w:pPr>
        <w:tabs>
          <w:tab w:val="center" w:pos="4680"/>
        </w:tabs>
        <w:suppressAutoHyphens/>
        <w:jc w:val="center"/>
        <w:rPr>
          <w:rFonts w:ascii="Times New Roman" w:hAnsi="Times New Roman"/>
          <w:b/>
        </w:rPr>
      </w:pPr>
      <w:r>
        <w:rPr>
          <w:rFonts w:ascii="Times New Roman" w:hAnsi="Times New Roman"/>
          <w:b/>
        </w:rPr>
        <w:t>(OMB Control Number 1530-0064)</w:t>
      </w:r>
    </w:p>
    <w:p w:rsidR="00234DC7" w:rsidRDefault="001A501A" w:rsidP="001A501A">
      <w:pPr>
        <w:tabs>
          <w:tab w:val="center" w:pos="4680"/>
        </w:tabs>
        <w:suppressAutoHyphens/>
        <w:jc w:val="center"/>
        <w:rPr>
          <w:rFonts w:ascii="Times New Roman" w:hAnsi="Times New Roman"/>
          <w:b/>
        </w:rPr>
      </w:pPr>
      <w:r>
        <w:rPr>
          <w:rFonts w:ascii="Times New Roman" w:hAnsi="Times New Roman"/>
          <w:b/>
        </w:rPr>
        <w:t>Submitted: April 10, 2018</w:t>
      </w:r>
    </w:p>
    <w:p w:rsidR="004200D6" w:rsidRDefault="004200D6">
      <w:pPr>
        <w:tabs>
          <w:tab w:val="center" w:pos="4680"/>
        </w:tabs>
        <w:suppressAutoHyphens/>
        <w:rPr>
          <w:rFonts w:ascii="Times New Roman" w:hAnsi="Times New Roman"/>
        </w:rPr>
      </w:pPr>
      <w:r>
        <w:rPr>
          <w:rFonts w:ascii="Times New Roman" w:hAnsi="Times New Roman"/>
        </w:rPr>
        <w:tab/>
      </w:r>
    </w:p>
    <w:p w:rsidR="004200D6" w:rsidRDefault="004200D6" w:rsidP="00724BFE">
      <w:pPr>
        <w:pStyle w:val="Heading1"/>
        <w:numPr>
          <w:ilvl w:val="0"/>
          <w:numId w:val="0"/>
        </w:numPr>
        <w:tabs>
          <w:tab w:val="clear" w:pos="1296"/>
          <w:tab w:val="clear" w:pos="2016"/>
          <w:tab w:val="left" w:pos="720"/>
        </w:tabs>
        <w:rPr>
          <w:u w:val="none"/>
        </w:rPr>
      </w:pPr>
      <w:r>
        <w:rPr>
          <w:u w:val="none"/>
        </w:rPr>
        <w:t>JUSTIFICATION</w:t>
      </w:r>
    </w:p>
    <w:p w:rsidR="004200D6" w:rsidRDefault="004200D6">
      <w:pPr>
        <w:tabs>
          <w:tab w:val="left" w:pos="576"/>
          <w:tab w:val="left" w:pos="1296"/>
          <w:tab w:val="left" w:pos="2016"/>
          <w:tab w:val="left" w:pos="2736"/>
          <w:tab w:val="left" w:pos="8496"/>
        </w:tabs>
        <w:suppressAutoHyphens/>
        <w:spacing w:line="240" w:lineRule="atLeast"/>
        <w:ind w:left="360"/>
        <w:rPr>
          <w:rFonts w:ascii="Times New Roman" w:hAnsi="Times New Roman"/>
          <w:b/>
        </w:rPr>
      </w:pPr>
    </w:p>
    <w:p w:rsidR="004200D6" w:rsidRDefault="004200D6" w:rsidP="009E15A7">
      <w:pPr>
        <w:ind w:left="720" w:hanging="720"/>
      </w:pPr>
      <w:r>
        <w:rPr>
          <w:rFonts w:ascii="Times New Roman" w:hAnsi="Times New Roman"/>
          <w:b/>
        </w:rPr>
        <w:t>1.</w:t>
      </w:r>
      <w:r>
        <w:rPr>
          <w:rFonts w:ascii="Times New Roman" w:hAnsi="Times New Roman"/>
          <w:b/>
        </w:rPr>
        <w:tab/>
        <w:t xml:space="preserve">Explain the circumstances that make this collection of information necessary.  Identify any legal or administrative requirements that necessitate the collection. </w:t>
      </w:r>
    </w:p>
    <w:p w:rsidR="004D399C" w:rsidRDefault="004D399C">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Title I of the Government Securities Act of 1986 (Pub. L. 99-571) ("the GSA") added Section 15C to the Securities Exchange Act of 1934, requiring that the Secretary of the Treasury promulgate regulations concerning, among other things, financial responsibility of government securities brokers and dealers and safeguarding of customer securities and balances.  The Government Securities Act Amendments of 1993 (Pub L. 103-202) (“the GSAA”) permanently reauthorized Treasury's rulemaking authority.  The GSA states that the rules must require every government securities broker and dealer to make reports, including annual audited financial statements, and submit them to supervisory agencies.  According to the GSA, the Secretary is also required to promulgate recordkeeping requirements specifying records to be made and kept and the periods of time for which they must be maintained (Attachment A).  The purpose of the regulations and the associated recordkeeping and reporting requirements continues to be the enhancement of investor protection in the government securities market, combined with the maintenance of a fair, efficient, and liquid market.</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Title II of the GSA requires the Secretary to promulgate regulations concerning holdings by depository institutions of government securities for customers, as custodian, fiduciary, or otherwise (Attachment B).  These regulations are designed to protect investor holdings of government securities at locations other than with brokers and dealers, thereby assuring the safety and security of investments in U.S. Treasury and other government securities.</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Final regulations implementing the GSA were published in the </w:t>
      </w:r>
      <w:r w:rsidRPr="00B4739B">
        <w:rPr>
          <w:rFonts w:ascii="Times New Roman" w:hAnsi="Times New Roman"/>
          <w:i/>
        </w:rPr>
        <w:t>Federal Register</w:t>
      </w:r>
      <w:r>
        <w:rPr>
          <w:rFonts w:ascii="Times New Roman" w:hAnsi="Times New Roman"/>
        </w:rPr>
        <w:t xml:space="preserve"> on July 24, 1987.  Amendments to the regulations involving the collections of information have been published from time to time since the final regulations were implemented.  The information collections expire </w:t>
      </w:r>
      <w:r w:rsidR="008A5E33" w:rsidRPr="003A7383">
        <w:rPr>
          <w:rFonts w:ascii="Times New Roman" w:hAnsi="Times New Roman"/>
        </w:rPr>
        <w:t>July</w:t>
      </w:r>
      <w:r w:rsidR="004D399C" w:rsidRPr="003A7383">
        <w:rPr>
          <w:rFonts w:ascii="Times New Roman" w:hAnsi="Times New Roman"/>
        </w:rPr>
        <w:t xml:space="preserve"> 3</w:t>
      </w:r>
      <w:r w:rsidR="008A5E33" w:rsidRPr="003A7383">
        <w:rPr>
          <w:rFonts w:ascii="Times New Roman" w:hAnsi="Times New Roman"/>
        </w:rPr>
        <w:t>1</w:t>
      </w:r>
      <w:r w:rsidRPr="003A7383">
        <w:rPr>
          <w:rFonts w:ascii="Times New Roman" w:hAnsi="Times New Roman"/>
        </w:rPr>
        <w:t>, 20</w:t>
      </w:r>
      <w:r w:rsidR="00E35081" w:rsidRPr="003A7383">
        <w:rPr>
          <w:rFonts w:ascii="Times New Roman" w:hAnsi="Times New Roman"/>
        </w:rPr>
        <w:t>1</w:t>
      </w:r>
      <w:r w:rsidR="008A5E33" w:rsidRPr="003A7383">
        <w:rPr>
          <w:rFonts w:ascii="Times New Roman" w:hAnsi="Times New Roman"/>
        </w:rPr>
        <w:t>8</w:t>
      </w:r>
      <w:r>
        <w:rPr>
          <w:rFonts w:ascii="Times New Roman" w:hAnsi="Times New Roman"/>
        </w:rPr>
        <w:t>.  The regulations, as amended, are codified at 17 CFR Chapter IV.</w:t>
      </w:r>
    </w:p>
    <w:p w:rsidR="004200D6" w:rsidRDefault="004200D6">
      <w:pPr>
        <w:tabs>
          <w:tab w:val="left" w:pos="-720"/>
        </w:tabs>
        <w:suppressAutoHyphens/>
        <w:rPr>
          <w:rFonts w:ascii="Times New Roman" w:hAnsi="Times New Roman"/>
        </w:rPr>
      </w:pPr>
    </w:p>
    <w:p w:rsidR="005B7EED" w:rsidRDefault="004200D6">
      <w:pPr>
        <w:tabs>
          <w:tab w:val="left" w:pos="-720"/>
        </w:tabs>
        <w:suppressAutoHyphens/>
        <w:rPr>
          <w:rFonts w:ascii="Times New Roman" w:hAnsi="Times New Roman"/>
        </w:rPr>
      </w:pPr>
      <w:r>
        <w:rPr>
          <w:rFonts w:ascii="Times New Roman" w:hAnsi="Times New Roman"/>
        </w:rPr>
        <w:t>Two amendments to the regulations are briefly described here because of their specific focus.  First, the Market Reform Act of 1990 (Reform Act) authorized the Securities and Exchange Commission (SEC) and the Treasury to promulgate risk assessment rules for diversified and municipal securities brokers and dealers and for specialized government securities brokers and dealers, respectively (Attachment C).  Treasury's amendment to the GSA regulations, which incorporates the SEC risk assessment rules with only minor modifications, was published on April 26, 1995, and applies only to specialized government securities brokers and dealers (registered government securities brokers and dealers).</w:t>
      </w:r>
    </w:p>
    <w:p w:rsidR="004200D6" w:rsidRDefault="004200D6">
      <w:pPr>
        <w:tabs>
          <w:tab w:val="left" w:pos="-720"/>
        </w:tabs>
        <w:suppressAutoHyphens/>
        <w:rPr>
          <w:rFonts w:ascii="Times New Roman" w:hAnsi="Times New Roman"/>
        </w:rPr>
      </w:pPr>
      <w:r>
        <w:rPr>
          <w:rFonts w:ascii="Times New Roman" w:hAnsi="Times New Roman"/>
        </w:rPr>
        <w:lastRenderedPageBreak/>
        <w:t>Treasury’s risk assessment rules require registered government securities brokers and dealers to maintain and file information concerning certain of their affiliates with the SEC. The purpose of the rules is to strengthen investor confidence and the integrity of the market.</w:t>
      </w:r>
    </w:p>
    <w:p w:rsidR="004200D6" w:rsidRDefault="004200D6">
      <w:pPr>
        <w:tabs>
          <w:tab w:val="left" w:pos="-720"/>
        </w:tabs>
        <w:suppressAutoHyphens/>
        <w:rPr>
          <w:rFonts w:ascii="Times New Roman" w:hAnsi="Times New Roman"/>
        </w:rPr>
      </w:pPr>
    </w:p>
    <w:p w:rsidR="00C06CAB" w:rsidRDefault="004200D6" w:rsidP="003A7383">
      <w:pPr>
        <w:overflowPunct/>
        <w:textAlignment w:val="auto"/>
        <w:rPr>
          <w:rFonts w:ascii="Times New Roman" w:hAnsi="Times New Roman"/>
        </w:rPr>
      </w:pPr>
      <w:r>
        <w:rPr>
          <w:rFonts w:ascii="Times New Roman" w:hAnsi="Times New Roman"/>
        </w:rPr>
        <w:t xml:space="preserve">Secondly, Section 104 of the GSAA authorized Treasury to adopt rules requiring specified persons holding, maintaining, or controlling large positions in to-be-issued or recently issued Treasury securities, to file reports and maintain records regarding such positions (Attachment D). Treasury’s large position rules, which were published on September 12, 1996, established recordkeeping and reporting requirements for entities that control large positions in certain Treasury securities.  </w:t>
      </w:r>
    </w:p>
    <w:p w:rsidR="00C06CAB" w:rsidRDefault="00C06CAB" w:rsidP="003A7383">
      <w:pPr>
        <w:overflowPunct/>
        <w:textAlignment w:val="auto"/>
        <w:rPr>
          <w:rFonts w:ascii="Times New Roman" w:hAnsi="Times New Roman"/>
        </w:rPr>
      </w:pPr>
    </w:p>
    <w:p w:rsidR="004200D6" w:rsidRDefault="004200D6" w:rsidP="003A7383">
      <w:pPr>
        <w:overflowPunct/>
        <w:textAlignment w:val="auto"/>
        <w:rPr>
          <w:rFonts w:ascii="Times New Roman" w:hAnsi="Times New Roman"/>
        </w:rPr>
      </w:pPr>
      <w:r>
        <w:rPr>
          <w:rFonts w:ascii="Times New Roman" w:hAnsi="Times New Roman"/>
        </w:rPr>
        <w:t xml:space="preserve">On December 18, 2002, Treasury issued final rule amendments to the large position rules.  These amendments modified the formula for the large position calculation and required affected firms to identify their positions in a more detailed manner.  </w:t>
      </w:r>
      <w:r w:rsidR="008A5E33">
        <w:rPr>
          <w:rFonts w:ascii="Times New Roman" w:hAnsi="Times New Roman"/>
        </w:rPr>
        <w:t>And, o</w:t>
      </w:r>
      <w:r w:rsidR="000132D4">
        <w:rPr>
          <w:rFonts w:ascii="Times New Roman" w:hAnsi="Times New Roman"/>
        </w:rPr>
        <w:t xml:space="preserve">n </w:t>
      </w:r>
      <w:r w:rsidR="008A5E33">
        <w:rPr>
          <w:rFonts w:ascii="Times New Roman" w:hAnsi="Times New Roman"/>
        </w:rPr>
        <w:t>December 10</w:t>
      </w:r>
      <w:r w:rsidR="000132D4">
        <w:rPr>
          <w:rFonts w:ascii="Times New Roman" w:hAnsi="Times New Roman"/>
        </w:rPr>
        <w:t>,</w:t>
      </w:r>
      <w:r w:rsidR="008A5E33">
        <w:rPr>
          <w:rFonts w:ascii="Times New Roman" w:hAnsi="Times New Roman"/>
        </w:rPr>
        <w:t xml:space="preserve"> 2014,</w:t>
      </w:r>
      <w:r w:rsidR="000132D4">
        <w:rPr>
          <w:rFonts w:ascii="Times New Roman" w:hAnsi="Times New Roman"/>
        </w:rPr>
        <w:t xml:space="preserve"> </w:t>
      </w:r>
      <w:r w:rsidR="003A7383" w:rsidRPr="003A7383">
        <w:rPr>
          <w:rFonts w:ascii="Times New Roman" w:hAnsi="Times New Roman"/>
        </w:rPr>
        <w:t>Treasury published a final rule amending its large position reporting rules to improve the information reported so that Treasury can better understand supply and demand dynamics in certain Treasury securities</w:t>
      </w:r>
      <w:r w:rsidR="003A7383">
        <w:rPr>
          <w:rFonts w:ascii="Times New Roman" w:hAnsi="Times New Roman"/>
        </w:rPr>
        <w:t xml:space="preserve">. </w:t>
      </w:r>
      <w:r w:rsidR="003A7383" w:rsidRPr="003A7383">
        <w:rPr>
          <w:rFonts w:ascii="Times New Roman" w:hAnsi="Times New Roman"/>
        </w:rPr>
        <w:t>The rule became effective on March 10, 2015.</w:t>
      </w:r>
    </w:p>
    <w:p w:rsidR="00B8297F" w:rsidRDefault="00B8297F">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A copy of the relevant portions of the GSA, the GSAA</w:t>
      </w:r>
      <w:r w:rsidR="005D19EC">
        <w:rPr>
          <w:rFonts w:ascii="Times New Roman" w:hAnsi="Times New Roman"/>
        </w:rPr>
        <w:t>,</w:t>
      </w:r>
      <w:r>
        <w:rPr>
          <w:rFonts w:ascii="Times New Roman" w:hAnsi="Times New Roman"/>
        </w:rPr>
        <w:t xml:space="preserve"> and the respective regulations authorizing or mandating the collection of information is attached (Attachment</w:t>
      </w:r>
      <w:r w:rsidR="00B4739B">
        <w:rPr>
          <w:rFonts w:ascii="Times New Roman" w:hAnsi="Times New Roman"/>
        </w:rPr>
        <w:t>s</w:t>
      </w:r>
      <w:r>
        <w:rPr>
          <w:rFonts w:ascii="Times New Roman" w:hAnsi="Times New Roman"/>
        </w:rPr>
        <w:t xml:space="preserve"> A through D).</w:t>
      </w:r>
    </w:p>
    <w:p w:rsidR="004200D6" w:rsidRDefault="004200D6">
      <w:pPr>
        <w:jc w:val="both"/>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b/>
        </w:rPr>
        <w:t>2.</w:t>
      </w:r>
      <w:r>
        <w:rPr>
          <w:rFonts w:ascii="Times New Roman" w:hAnsi="Times New Roman"/>
          <w:b/>
        </w:rPr>
        <w:tab/>
        <w:t>Indicate how, by whom</w:t>
      </w:r>
      <w:r w:rsidR="00B4739B">
        <w:rPr>
          <w:rFonts w:ascii="Times New Roman" w:hAnsi="Times New Roman"/>
          <w:b/>
        </w:rPr>
        <w:t>,</w:t>
      </w:r>
      <w:r>
        <w:rPr>
          <w:rFonts w:ascii="Times New Roman" w:hAnsi="Times New Roman"/>
          <w:b/>
        </w:rPr>
        <w:t xml:space="preserve"> and for what purpose </w:t>
      </w:r>
      <w:r w:rsidR="00B4739B">
        <w:rPr>
          <w:rFonts w:ascii="Times New Roman" w:hAnsi="Times New Roman"/>
          <w:b/>
        </w:rPr>
        <w:t>the</w:t>
      </w:r>
      <w:r>
        <w:rPr>
          <w:rFonts w:ascii="Times New Roman" w:hAnsi="Times New Roman"/>
          <w:b/>
        </w:rPr>
        <w:t xml:space="preserve"> information </w:t>
      </w:r>
      <w:r w:rsidR="00B4739B">
        <w:rPr>
          <w:rFonts w:ascii="Times New Roman" w:hAnsi="Times New Roman"/>
          <w:b/>
        </w:rPr>
        <w:t xml:space="preserve">is to be </w:t>
      </w:r>
      <w:r>
        <w:rPr>
          <w:rFonts w:ascii="Times New Roman" w:hAnsi="Times New Roman"/>
          <w:b/>
        </w:rPr>
        <w:t>used</w:t>
      </w:r>
      <w:r w:rsidR="00B4739B">
        <w:rPr>
          <w:rFonts w:ascii="Times New Roman" w:hAnsi="Times New Roman"/>
          <w:b/>
        </w:rPr>
        <w:t>.</w:t>
      </w:r>
    </w:p>
    <w:p w:rsidR="001655BA" w:rsidRDefault="001655BA">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The information collected has and will be used by the regulatory agencies with enforcement jurisdiction over government securities brokers and dealers and depository institutions, namely the SEC, the Board of Governors of the Federal Reserve System (Board), the Office of the Comptroller of the Currency (OCC), the Federal Deposit Insurance Corporation (FDIC), and the National Credit Union Administration, as well as self-regulatory organizations supervised by the SEC.  The information is essential for carrying out the objectives of the GSA -- dealer financial responsibility and investor (customer) protection.  A failure to collect, or an interruption in collecting</w:t>
      </w:r>
      <w:r w:rsidR="00B4739B">
        <w:rPr>
          <w:rFonts w:ascii="Times New Roman" w:hAnsi="Times New Roman"/>
        </w:rPr>
        <w:t>,</w:t>
      </w:r>
      <w:r>
        <w:rPr>
          <w:rFonts w:ascii="Times New Roman" w:hAnsi="Times New Roman"/>
        </w:rPr>
        <w:t xml:space="preserve"> the information would result in an inability to implement the GSA through enforcement of its implementing regulations.  This would frustrate the intent of Congress and could result in problems in the government securities market.</w:t>
      </w:r>
    </w:p>
    <w:p w:rsidR="004200D6" w:rsidRDefault="004200D6">
      <w:pPr>
        <w:tabs>
          <w:tab w:val="left" w:pos="-720"/>
        </w:tabs>
        <w:suppressAutoHyphens/>
        <w:rPr>
          <w:rFonts w:ascii="Times New Roman" w:hAnsi="Times New Roman"/>
        </w:rPr>
      </w:pPr>
      <w:r>
        <w:rPr>
          <w:rFonts w:ascii="Times New Roman" w:hAnsi="Times New Roman"/>
        </w:rPr>
        <w:t xml:space="preserve">  </w:t>
      </w:r>
      <w:r>
        <w:rPr>
          <w:rFonts w:ascii="Times New Roman" w:hAnsi="Times New Roman"/>
        </w:rPr>
        <w:tab/>
      </w:r>
    </w:p>
    <w:p w:rsidR="004200D6" w:rsidRDefault="004200D6">
      <w:pPr>
        <w:tabs>
          <w:tab w:val="left" w:pos="-720"/>
        </w:tabs>
        <w:suppressAutoHyphens/>
        <w:rPr>
          <w:rFonts w:ascii="Times New Roman" w:hAnsi="Times New Roman"/>
        </w:rPr>
      </w:pPr>
      <w:r>
        <w:rPr>
          <w:rFonts w:ascii="Times New Roman" w:hAnsi="Times New Roman"/>
        </w:rPr>
        <w:t xml:space="preserve">The information collected related to Treasury’s risk assessment rules has and will be used by the SEC to specifically monitor the financial risk posed to specialized government securities brokers and dealers -- and to the securities markets as a whole -- as a result of certain financial and securities activities conducted by affiliates within holding company structures.  The SEC will use the information collected for surveillance, enforcement and other regulatory purposes.  Without the information, the SEC would not be able to monitor the impact of potentially damaging activities of affiliates on the specialized government securities brokers and dealers and the securities markets. </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lastRenderedPageBreak/>
        <w:t xml:space="preserve">The information collected related to Treasury’s large position rules has and will be used by the Federal Reserve Bank of New York (FRBNY), the SEC and Treasury to better understand the possible reasons for any apparent significant price distortions and the possible causes of market shortages in certain Treasury securities.  </w:t>
      </w:r>
      <w:r w:rsidR="00CD5529">
        <w:rPr>
          <w:rFonts w:ascii="Times New Roman" w:hAnsi="Times New Roman"/>
        </w:rPr>
        <w:t xml:space="preserve">This </w:t>
      </w:r>
      <w:r w:rsidR="00CD5529" w:rsidRPr="00CD5529">
        <w:rPr>
          <w:rFonts w:ascii="Times New Roman" w:hAnsi="Times New Roman"/>
        </w:rPr>
        <w:t xml:space="preserve">information </w:t>
      </w:r>
      <w:r w:rsidR="00CD5529">
        <w:rPr>
          <w:rFonts w:ascii="Times New Roman" w:hAnsi="Times New Roman"/>
        </w:rPr>
        <w:t xml:space="preserve">also helps </w:t>
      </w:r>
      <w:r w:rsidR="00CD5529" w:rsidRPr="00CD5529">
        <w:rPr>
          <w:rFonts w:ascii="Times New Roman" w:hAnsi="Times New Roman"/>
        </w:rPr>
        <w:t xml:space="preserve">Treasury and other regulators to better understand supply and demand dynamics in certain Treasury securities. Such information allows Treasury to monitor the impact of concentrations of positions in the Treasury securities market. </w:t>
      </w:r>
      <w:r>
        <w:rPr>
          <w:rFonts w:ascii="Times New Roman" w:hAnsi="Times New Roman"/>
        </w:rPr>
        <w:t xml:space="preserve">It is anticipated that the information will be collected infrequently and will be used by FRBNY and the SEC for surveillance, enforcement and other regulatory purposes.  </w:t>
      </w:r>
      <w:r w:rsidR="005D19EC">
        <w:rPr>
          <w:rFonts w:ascii="Times New Roman" w:hAnsi="Times New Roman"/>
        </w:rPr>
        <w:t>Due to the high large position reporting threshold(s) (i.e., a minimum of 10% of the outstanding amount of the specified Treasury security</w:t>
      </w:r>
      <w:r w:rsidR="0071142F">
        <w:rPr>
          <w:rFonts w:ascii="Times New Roman" w:hAnsi="Times New Roman"/>
        </w:rPr>
        <w:t>, typically in excess of $2 billion</w:t>
      </w:r>
      <w:r w:rsidR="005D19EC">
        <w:rPr>
          <w:rFonts w:ascii="Times New Roman" w:hAnsi="Times New Roman"/>
        </w:rPr>
        <w:t>) which will be announced in a call for reports, it is expected very few entities will likely file large position reports.</w:t>
      </w:r>
      <w:r>
        <w:rPr>
          <w:rFonts w:ascii="Times New Roman" w:hAnsi="Times New Roman"/>
        </w:rPr>
        <w:t xml:space="preserve"> Since the large position rules became fully effective on March 31, 1997, Treasury has announced </w:t>
      </w:r>
      <w:r w:rsidR="00CD5529">
        <w:rPr>
          <w:rFonts w:ascii="Times New Roman" w:hAnsi="Times New Roman"/>
        </w:rPr>
        <w:t>sixteen</w:t>
      </w:r>
      <w:r w:rsidR="00CD6437">
        <w:rPr>
          <w:rFonts w:ascii="Times New Roman" w:hAnsi="Times New Roman"/>
        </w:rPr>
        <w:t xml:space="preserve"> </w:t>
      </w:r>
      <w:r>
        <w:rPr>
          <w:rFonts w:ascii="Times New Roman" w:hAnsi="Times New Roman"/>
        </w:rPr>
        <w:t>calls for large position reports (June 9, 1997; June 8, 1998; July 12, 1999; September 13, 2000; June 4, 2001; July 8, 2003; August 23, 2004; September 14, 2005</w:t>
      </w:r>
      <w:r w:rsidR="00EB0C17">
        <w:rPr>
          <w:rFonts w:ascii="Times New Roman" w:hAnsi="Times New Roman"/>
        </w:rPr>
        <w:t>; July 5, 2006; November 27, 2007; November 7, 2008</w:t>
      </w:r>
      <w:r w:rsidR="004D399C">
        <w:rPr>
          <w:rFonts w:ascii="Times New Roman" w:hAnsi="Times New Roman"/>
        </w:rPr>
        <w:t>; December 9, 2010; February 27, 2012</w:t>
      </w:r>
      <w:r w:rsidR="00CD6437">
        <w:rPr>
          <w:rFonts w:ascii="Times New Roman" w:hAnsi="Times New Roman"/>
        </w:rPr>
        <w:t>; March 15, 2013;</w:t>
      </w:r>
      <w:r w:rsidR="00CD5529">
        <w:rPr>
          <w:rFonts w:ascii="Times New Roman" w:hAnsi="Times New Roman"/>
        </w:rPr>
        <w:t xml:space="preserve"> </w:t>
      </w:r>
      <w:r w:rsidR="00DC0676">
        <w:rPr>
          <w:rFonts w:ascii="Times New Roman" w:hAnsi="Times New Roman"/>
        </w:rPr>
        <w:t>June 1, 2016</w:t>
      </w:r>
      <w:r w:rsidR="00CD5529">
        <w:rPr>
          <w:rFonts w:ascii="Times New Roman" w:hAnsi="Times New Roman"/>
        </w:rPr>
        <w:t>; and April 9, 2018</w:t>
      </w:r>
      <w:r w:rsidR="00EB0C17">
        <w:rPr>
          <w:rFonts w:ascii="Times New Roman" w:hAnsi="Times New Roman"/>
        </w:rPr>
        <w:t>)</w:t>
      </w:r>
      <w:r>
        <w:rPr>
          <w:rFonts w:ascii="Times New Roman" w:hAnsi="Times New Roman"/>
        </w:rPr>
        <w:t xml:space="preserve">. </w:t>
      </w:r>
    </w:p>
    <w:p w:rsidR="004200D6" w:rsidRDefault="004200D6">
      <w:pPr>
        <w:tabs>
          <w:tab w:val="left" w:pos="-720"/>
        </w:tabs>
        <w:suppressAutoHyphens/>
        <w:rPr>
          <w:rFonts w:ascii="Times New Roman" w:hAnsi="Times New Roman"/>
        </w:rPr>
      </w:pPr>
    </w:p>
    <w:p w:rsidR="004200D6" w:rsidRDefault="004200D6" w:rsidP="009E15A7">
      <w:pPr>
        <w:pStyle w:val="BodyText"/>
        <w:ind w:left="570" w:hanging="570"/>
        <w:rPr>
          <w:b w:val="0"/>
        </w:rPr>
      </w:pPr>
      <w:r>
        <w:t>3.</w:t>
      </w:r>
      <w:r>
        <w:tab/>
        <w:t>Describe whether, and to what extent</w:t>
      </w:r>
      <w:r w:rsidR="00B4739B">
        <w:t>,</w:t>
      </w:r>
      <w:r>
        <w:t xml:space="preserve"> th</w:t>
      </w:r>
      <w:r w:rsidR="00B4739B">
        <w:t>e</w:t>
      </w:r>
      <w:r>
        <w:t xml:space="preserve"> collection of information involve</w:t>
      </w:r>
      <w:r w:rsidR="004D399C">
        <w:t>s</w:t>
      </w:r>
      <w:r>
        <w:t xml:space="preserve"> the use of automated, electronic, mechanical, or other technological collection techniques or other forms of information technology?  </w:t>
      </w:r>
      <w:r w:rsidR="00B4739B">
        <w:t>Also describe any</w:t>
      </w:r>
      <w:r>
        <w:t xml:space="preserve"> consideration </w:t>
      </w:r>
      <w:r w:rsidR="00B4739B">
        <w:t>of</w:t>
      </w:r>
      <w:r>
        <w:t xml:space="preserve"> us</w:t>
      </w:r>
      <w:r w:rsidR="00B4739B">
        <w:t>ing</w:t>
      </w:r>
      <w:r>
        <w:t xml:space="preserve"> informat</w:t>
      </w:r>
      <w:r w:rsidR="00B4739B">
        <w:t>ion technology to reduce burden.</w:t>
      </w:r>
    </w:p>
    <w:p w:rsidR="001655BA" w:rsidRDefault="001655BA">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The regulations do not prevent or discourage the development of electronic records and reports and the use of computers to generate the required records and reports.  Most specialized government securities brokers and dealers employ automated systems for computing their financial responsibility requirements.  Also, Treasury’s large position rules specifically allow the reporting entities to develop and generate their own reports provided the reports contain all of the required information.  This allows firms the opportunity to integrate the report into their existing systems.   Many larger government securities market participants employ automated systems for aggregating and computing their securities positions. </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On October 27, 1997, the Treasury issued two interpretive letters that permit specialized government securities brokers and dealers and financial institutions to use electronic media to deliver hold-in-custody repurchase agreement confirmations and to store records under the GSA regulations.  The letter to specialized government brokers and dealers also permits certain other customer account information and certain financial reports to be sent electronically.  The letter to financial institutions also allows depository institutions that are custodians of government securities to use electronic media to transmit confirmations/safekeeping receipts and to store records under the GSA rules.</w:t>
      </w:r>
    </w:p>
    <w:p w:rsidR="004200D6" w:rsidRDefault="004200D6">
      <w:pPr>
        <w:pStyle w:val="EndnoteText"/>
        <w:tabs>
          <w:tab w:val="left" w:pos="-720"/>
        </w:tabs>
        <w:suppressAutoHyphens/>
        <w:rPr>
          <w:rFonts w:ascii="Times New Roman" w:hAnsi="Times New Roman"/>
        </w:rPr>
      </w:pPr>
      <w:r>
        <w:rPr>
          <w:rFonts w:ascii="Times New Roman" w:hAnsi="Times New Roman"/>
        </w:rPr>
        <w:t xml:space="preserve">     </w:t>
      </w:r>
    </w:p>
    <w:p w:rsidR="004200D6" w:rsidRDefault="004200D6">
      <w:pPr>
        <w:tabs>
          <w:tab w:val="left" w:pos="-720"/>
        </w:tabs>
        <w:suppressAutoHyphens/>
        <w:rPr>
          <w:rFonts w:ascii="Times New Roman" w:hAnsi="Times New Roman"/>
        </w:rPr>
      </w:pPr>
      <w:r>
        <w:rPr>
          <w:rFonts w:ascii="Times New Roman" w:hAnsi="Times New Roman"/>
        </w:rPr>
        <w:t xml:space="preserve">Regarding the provision of electronic agency services, various Internet notification mail lists are available at </w:t>
      </w:r>
      <w:r w:rsidR="00DC0676">
        <w:rPr>
          <w:rFonts w:ascii="Times New Roman" w:hAnsi="Times New Roman"/>
        </w:rPr>
        <w:t>TreasuryDirect.gov</w:t>
      </w:r>
      <w:r>
        <w:rPr>
          <w:rFonts w:ascii="Times New Roman" w:hAnsi="Times New Roman"/>
        </w:rPr>
        <w:t>.</w:t>
      </w:r>
      <w:r w:rsidR="004D399C">
        <w:rPr>
          <w:rFonts w:ascii="Times New Roman" w:hAnsi="Times New Roman"/>
        </w:rPr>
        <w:t xml:space="preserve">  </w:t>
      </w:r>
      <w:r>
        <w:rPr>
          <w:rFonts w:ascii="Times New Roman" w:hAnsi="Times New Roman"/>
        </w:rPr>
        <w:t xml:space="preserve">There are </w:t>
      </w:r>
      <w:r w:rsidR="00DC0676">
        <w:rPr>
          <w:rFonts w:ascii="Times New Roman" w:hAnsi="Times New Roman"/>
        </w:rPr>
        <w:t>approximately</w:t>
      </w:r>
      <w:r>
        <w:rPr>
          <w:rFonts w:ascii="Times New Roman" w:hAnsi="Times New Roman"/>
        </w:rPr>
        <w:t xml:space="preserve"> </w:t>
      </w:r>
      <w:r w:rsidR="00F57EA7">
        <w:rPr>
          <w:rFonts w:ascii="Times New Roman" w:hAnsi="Times New Roman"/>
        </w:rPr>
        <w:t>3</w:t>
      </w:r>
      <w:r>
        <w:rPr>
          <w:rFonts w:ascii="Times New Roman" w:hAnsi="Times New Roman"/>
        </w:rPr>
        <w:t xml:space="preserve">,000 </w:t>
      </w:r>
      <w:r w:rsidR="004D399C">
        <w:rPr>
          <w:rFonts w:ascii="Times New Roman" w:hAnsi="Times New Roman"/>
        </w:rPr>
        <w:t xml:space="preserve">subscribers </w:t>
      </w:r>
      <w:r>
        <w:rPr>
          <w:rFonts w:ascii="Times New Roman" w:hAnsi="Times New Roman"/>
        </w:rPr>
        <w:t xml:space="preserve">on the Government Securities Act regulation </w:t>
      </w:r>
      <w:r w:rsidR="00CE2E5D">
        <w:rPr>
          <w:rFonts w:ascii="Times New Roman" w:hAnsi="Times New Roman"/>
        </w:rPr>
        <w:t xml:space="preserve">mail </w:t>
      </w:r>
      <w:r>
        <w:rPr>
          <w:rFonts w:ascii="Times New Roman" w:hAnsi="Times New Roman"/>
        </w:rPr>
        <w:t>list as well as on the Large Position Reports list.</w:t>
      </w:r>
      <w:r w:rsidR="00B4739B">
        <w:rPr>
          <w:rFonts w:ascii="Times New Roman" w:hAnsi="Times New Roman"/>
        </w:rPr>
        <w:t xml:space="preserve">  </w:t>
      </w:r>
      <w:r>
        <w:rPr>
          <w:rFonts w:ascii="Times New Roman" w:hAnsi="Times New Roman"/>
        </w:rPr>
        <w:t>Anyone signing up on these lists will receive an e-mail notifying them that Treasury has issued a proposed or final rule amendment, interpretation</w:t>
      </w:r>
      <w:r w:rsidR="007B04E5">
        <w:rPr>
          <w:rFonts w:ascii="Times New Roman" w:hAnsi="Times New Roman"/>
        </w:rPr>
        <w:t>,</w:t>
      </w:r>
      <w:r>
        <w:rPr>
          <w:rFonts w:ascii="Times New Roman" w:hAnsi="Times New Roman"/>
        </w:rPr>
        <w:t xml:space="preserve"> or call for large position reports.  </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Style w:val="Emphasis"/>
          <w:rFonts w:ascii="Times New Roman" w:hAnsi="Times New Roman"/>
          <w:i w:val="0"/>
        </w:rPr>
      </w:pPr>
      <w:r>
        <w:rPr>
          <w:rFonts w:ascii="Times New Roman" w:hAnsi="Times New Roman"/>
        </w:rPr>
        <w:t xml:space="preserve">In addition, Treasury has made certain forms electronically available on its website.  The “Report on Finances and Operations of Government Securities Broker-Dealers” (Parts I, II, IIA, III, and Schedule 1), the </w:t>
      </w:r>
      <w:r>
        <w:rPr>
          <w:rFonts w:ascii="Times New Roman" w:hAnsi="Times New Roman"/>
          <w:i/>
        </w:rPr>
        <w:t>“</w:t>
      </w:r>
      <w:r>
        <w:rPr>
          <w:rStyle w:val="Emphasis"/>
          <w:rFonts w:ascii="Times New Roman" w:hAnsi="Times New Roman"/>
          <w:i w:val="0"/>
        </w:rPr>
        <w:t>Disclosure Form for Person Associated with a Financial Institution Government Securities Broker or Dealer” and the “Uniform Termination Notice for Person Associated with a Financial Institution Government Securities Broker or Dealer” forms can all be accessed and downloaded electronically for ease of use.</w:t>
      </w:r>
    </w:p>
    <w:p w:rsidR="00EB008C" w:rsidRDefault="00EB008C">
      <w:pPr>
        <w:tabs>
          <w:tab w:val="left" w:pos="-720"/>
        </w:tabs>
        <w:suppressAutoHyphens/>
        <w:rPr>
          <w:rStyle w:val="Emphasis"/>
          <w:rFonts w:ascii="Times New Roman" w:hAnsi="Times New Roman"/>
          <w:i w:val="0"/>
        </w:rPr>
      </w:pPr>
    </w:p>
    <w:p w:rsidR="004200D6" w:rsidRDefault="004200D6" w:rsidP="004D399C">
      <w:pPr>
        <w:tabs>
          <w:tab w:val="left" w:pos="480"/>
          <w:tab w:val="left" w:pos="1080"/>
          <w:tab w:val="left" w:pos="2640"/>
        </w:tabs>
        <w:suppressAutoHyphens/>
        <w:spacing w:line="240" w:lineRule="atLeast"/>
        <w:ind w:left="480" w:hanging="480"/>
        <w:rPr>
          <w:rFonts w:ascii="Times New Roman" w:hAnsi="Times New Roman"/>
        </w:rPr>
      </w:pPr>
      <w:r>
        <w:rPr>
          <w:rFonts w:ascii="Times New Roman" w:hAnsi="Times New Roman"/>
          <w:b/>
        </w:rPr>
        <w:t>4.</w:t>
      </w:r>
      <w:r>
        <w:rPr>
          <w:rFonts w:ascii="Times New Roman" w:hAnsi="Times New Roman"/>
          <w:b/>
        </w:rPr>
        <w:tab/>
        <w:t>Describe efforts to identity duplication</w:t>
      </w:r>
      <w:r w:rsidR="00B4739B">
        <w:rPr>
          <w:rFonts w:ascii="Times New Roman" w:hAnsi="Times New Roman"/>
          <w:b/>
        </w:rPr>
        <w:t>.</w:t>
      </w:r>
      <w:r>
        <w:rPr>
          <w:rFonts w:ascii="Times New Roman" w:hAnsi="Times New Roman"/>
          <w:b/>
        </w:rPr>
        <w:t xml:space="preserve">  </w:t>
      </w:r>
      <w:r w:rsidR="00B4739B">
        <w:rPr>
          <w:rFonts w:ascii="Times New Roman" w:hAnsi="Times New Roman"/>
          <w:b/>
        </w:rPr>
        <w:t>Show specifically</w:t>
      </w:r>
      <w:r>
        <w:rPr>
          <w:rFonts w:ascii="Times New Roman" w:hAnsi="Times New Roman"/>
          <w:b/>
        </w:rPr>
        <w:t xml:space="preserve"> </w:t>
      </w:r>
      <w:r w:rsidR="00B4739B">
        <w:rPr>
          <w:rFonts w:ascii="Times New Roman" w:hAnsi="Times New Roman"/>
          <w:b/>
        </w:rPr>
        <w:t xml:space="preserve">why </w:t>
      </w:r>
      <w:r>
        <w:rPr>
          <w:rFonts w:ascii="Times New Roman" w:hAnsi="Times New Roman"/>
          <w:b/>
        </w:rPr>
        <w:t>any similar information</w:t>
      </w:r>
      <w:r w:rsidR="004D399C">
        <w:rPr>
          <w:rFonts w:ascii="Times New Roman" w:hAnsi="Times New Roman"/>
          <w:b/>
        </w:rPr>
        <w:t xml:space="preserve"> </w:t>
      </w:r>
      <w:r>
        <w:rPr>
          <w:rFonts w:ascii="Times New Roman" w:hAnsi="Times New Roman"/>
          <w:b/>
        </w:rPr>
        <w:t xml:space="preserve">already available </w:t>
      </w:r>
      <w:r w:rsidR="00B4739B">
        <w:rPr>
          <w:rFonts w:ascii="Times New Roman" w:hAnsi="Times New Roman"/>
          <w:b/>
        </w:rPr>
        <w:t xml:space="preserve">cannot </w:t>
      </w:r>
      <w:r>
        <w:rPr>
          <w:rFonts w:ascii="Times New Roman" w:hAnsi="Times New Roman"/>
          <w:b/>
        </w:rPr>
        <w:t>be used or modified for the purposes described in Item 2</w:t>
      </w:r>
      <w:r w:rsidR="004D399C">
        <w:rPr>
          <w:rFonts w:ascii="Times New Roman" w:hAnsi="Times New Roman"/>
          <w:b/>
        </w:rPr>
        <w:t xml:space="preserve"> </w:t>
      </w:r>
      <w:r w:rsidR="00B4739B">
        <w:rPr>
          <w:rFonts w:ascii="Times New Roman" w:hAnsi="Times New Roman"/>
          <w:b/>
        </w:rPr>
        <w:t>above.</w:t>
      </w:r>
      <w:r>
        <w:rPr>
          <w:rFonts w:ascii="Times New Roman" w:hAnsi="Times New Roman"/>
        </w:rPr>
        <w:tab/>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In implementing the regulations, Treasury reduced duplication in several ways.  First, registered broker-dealers are exempt from filing any of the forms or keeping almost any of the records to avoid duplication with their responsibilities under other sections of the Securities Exchange Act of 1934.  The obligations of financial institutions and their government securities employees are similarly limited to prevent regulatory overlap.  Second, the required records are, for the most part, those of good business practice, and in the case of registered government securities brokers and dealers, conform to SEC requirements, with which many of these firms were previously familiar.  Third, the forms have been modified and are, in essence, limited versions of existing SEC and bank regulatory forms, with which virtually all the registered and noticed entities are familiar.</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Also, to reduce regulatory duplication, various sections of the regulations require compliance with SEC regulations with only minor modifications.  In addition, a number of the forms used are modifications or simplifications of the existing SEC forms.  The recordkeeping and reporting requirements and forms are designed so that entities already filing similar information are exempt from having to re-file the same information.  The requirements are applicable to entities not otherwise reporting.</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Treasury’s risk assessment rules provide for an exemption from all of their requirements if the specialized government securities broker or dealer has an affiliated registered broker or dealer that is subject to, and in compliance with, the SEC's risk assessment rules, provided that all of the material associated persons of the specialized government securities broker or dealer are also material associated persons of the registered broker or dealer.  Specialized government securities brokers and dealers are not otherwise required to provide the information required by the risk assessment rules.  The SEC, therefore, would have no assurance of receiving the information, or comparable information, in the absence of Treasury’s rules.</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Also, certain associated persons of specialized government securities brokers or dealers that are within the scope of Treasury’s risk assessment rules are under the regulatory supervision of the Commodity Futures Trading Commission, a Federal banking agency, a state insurance commissioner or other regulators.  The rules permit specialized government securities brokers or dealers to utilize, wherever possible, information required by other regulatory agencies in discharging their risk assessment recordkeeping and reporting obligations.  For example, the rules permit associated persons of specialized government securities brokers or dealers that are supervised by a Federal banking agency to submit, without reformatting, copies of reports already made for the use of such banking agency.  Similar provisions are provided for insurance companies that are associated with specialized government securities brokers or dealers.</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In developing Treasury’s large position rules, the Department examined existing securities-related recordkeeping rules of the SEC, Treasury</w:t>
      </w:r>
      <w:r w:rsidR="00B072D2">
        <w:rPr>
          <w:rFonts w:ascii="Times New Roman" w:hAnsi="Times New Roman"/>
        </w:rPr>
        <w:t>,</w:t>
      </w:r>
      <w:r>
        <w:rPr>
          <w:rFonts w:ascii="Times New Roman" w:hAnsi="Times New Roman"/>
        </w:rPr>
        <w:t xml:space="preserve"> and the bank regulatory agencies.  T</w:t>
      </w:r>
      <w:r w:rsidR="009624A0">
        <w:rPr>
          <w:rFonts w:ascii="Times New Roman" w:hAnsi="Times New Roman"/>
        </w:rPr>
        <w:t>reasury</w:t>
      </w:r>
      <w:r>
        <w:rPr>
          <w:rFonts w:ascii="Times New Roman" w:hAnsi="Times New Roman"/>
        </w:rPr>
        <w:t xml:space="preserve"> concluded that reportable positions could be constructed relatively easily from these required records.  Therefore, Treasury’s large position rules do not provide for any new substantive recordkeeping rules for aggregating entities that are subject to existing federal recordkeeping requirements, and that are not designated filing entities.  </w:t>
      </w:r>
    </w:p>
    <w:p w:rsidR="004200D6" w:rsidRDefault="004200D6">
      <w:pPr>
        <w:tabs>
          <w:tab w:val="left" w:pos="480"/>
          <w:tab w:val="left" w:pos="1080"/>
          <w:tab w:val="left" w:pos="2640"/>
        </w:tabs>
        <w:suppressAutoHyphens/>
        <w:spacing w:line="240" w:lineRule="atLeast"/>
        <w:rPr>
          <w:rFonts w:ascii="Times New Roman" w:hAnsi="Times New Roman"/>
        </w:rPr>
      </w:pPr>
    </w:p>
    <w:p w:rsidR="004200D6" w:rsidRDefault="004200D6">
      <w:pPr>
        <w:tabs>
          <w:tab w:val="left" w:pos="480"/>
          <w:tab w:val="left" w:pos="1080"/>
          <w:tab w:val="left" w:pos="2640"/>
        </w:tabs>
        <w:suppressAutoHyphens/>
        <w:spacing w:line="240" w:lineRule="atLeast"/>
        <w:rPr>
          <w:rFonts w:ascii="Times New Roman" w:hAnsi="Times New Roman"/>
        </w:rPr>
      </w:pPr>
      <w:r>
        <w:rPr>
          <w:rFonts w:ascii="Times New Roman" w:hAnsi="Times New Roman"/>
        </w:rPr>
        <w:t>On September 15, 2006, Treasury issued a technical amendment to the GSA regulations to state explicitly that Treasury deems over-the-counter (“OTC”) derivatives dealers to be in compliance with the GSA regulations if they comply with the applicable SEC OTC derivatives dealer rules and other SEC applicable rules.</w:t>
      </w:r>
    </w:p>
    <w:p w:rsidR="004200D6" w:rsidRDefault="004200D6">
      <w:pPr>
        <w:tabs>
          <w:tab w:val="left" w:pos="480"/>
          <w:tab w:val="left" w:pos="1080"/>
          <w:tab w:val="left" w:pos="2640"/>
        </w:tabs>
        <w:suppressAutoHyphens/>
        <w:spacing w:line="240" w:lineRule="atLeast"/>
        <w:rPr>
          <w:rFonts w:ascii="Times New Roman" w:hAnsi="Times New Roman"/>
        </w:rPr>
      </w:pPr>
    </w:p>
    <w:p w:rsidR="004200D6" w:rsidRPr="009E15A7" w:rsidRDefault="004200D6" w:rsidP="009E15A7">
      <w:pPr>
        <w:tabs>
          <w:tab w:val="left" w:pos="480"/>
          <w:tab w:val="left" w:pos="1080"/>
          <w:tab w:val="left" w:pos="2640"/>
        </w:tabs>
        <w:suppressAutoHyphens/>
        <w:spacing w:line="240" w:lineRule="atLeast"/>
        <w:ind w:left="480" w:hanging="480"/>
        <w:rPr>
          <w:rFonts w:ascii="Times New Roman" w:hAnsi="Times New Roman"/>
          <w:b/>
        </w:rPr>
      </w:pPr>
      <w:r>
        <w:rPr>
          <w:rFonts w:ascii="Times New Roman" w:hAnsi="Times New Roman"/>
          <w:b/>
        </w:rPr>
        <w:t>5.</w:t>
      </w:r>
      <w:r w:rsidR="008C5735">
        <w:rPr>
          <w:rFonts w:ascii="Times New Roman" w:hAnsi="Times New Roman"/>
          <w:b/>
        </w:rPr>
        <w:tab/>
      </w:r>
      <w:r>
        <w:rPr>
          <w:rFonts w:ascii="Times New Roman" w:hAnsi="Times New Roman"/>
          <w:b/>
        </w:rPr>
        <w:t>If th</w:t>
      </w:r>
      <w:r w:rsidR="00B4739B">
        <w:rPr>
          <w:rFonts w:ascii="Times New Roman" w:hAnsi="Times New Roman"/>
          <w:b/>
        </w:rPr>
        <w:t>e</w:t>
      </w:r>
      <w:r>
        <w:rPr>
          <w:rFonts w:ascii="Times New Roman" w:hAnsi="Times New Roman"/>
          <w:b/>
        </w:rPr>
        <w:t xml:space="preserve"> collection of information impacts small busi</w:t>
      </w:r>
      <w:r w:rsidR="009E15A7">
        <w:rPr>
          <w:rFonts w:ascii="Times New Roman" w:hAnsi="Times New Roman"/>
          <w:b/>
        </w:rPr>
        <w:t xml:space="preserve">nesses or other small entities, </w:t>
      </w:r>
      <w:r w:rsidR="008C5735">
        <w:rPr>
          <w:rFonts w:ascii="Times New Roman" w:hAnsi="Times New Roman"/>
          <w:b/>
        </w:rPr>
        <w:t>d</w:t>
      </w:r>
      <w:r w:rsidR="00B4739B">
        <w:rPr>
          <w:rFonts w:ascii="Times New Roman" w:hAnsi="Times New Roman"/>
          <w:b/>
        </w:rPr>
        <w:t>escribe any</w:t>
      </w:r>
      <w:r>
        <w:rPr>
          <w:rFonts w:ascii="Times New Roman" w:hAnsi="Times New Roman"/>
          <w:b/>
        </w:rPr>
        <w:t xml:space="preserve"> methods used to minimize burden</w:t>
      </w:r>
      <w:r w:rsidR="00B4739B">
        <w:rPr>
          <w:rFonts w:ascii="Times New Roman" w:hAnsi="Times New Roman"/>
          <w:b/>
        </w:rPr>
        <w:t>.</w:t>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w:t>
      </w:r>
      <w:r w:rsidR="00B4739B">
        <w:rPr>
          <w:rFonts w:ascii="Times New Roman" w:hAnsi="Times New Roman"/>
        </w:rPr>
        <w:t>reasury</w:t>
      </w:r>
      <w:r>
        <w:rPr>
          <w:rFonts w:ascii="Times New Roman" w:hAnsi="Times New Roman"/>
        </w:rPr>
        <w:t xml:space="preserve"> does not believe the information collections have had or will have a significant impact on a substantial number of small entities.  The ultimate number of small entities affected by the recordkeeping and reporting requirements is uncertain.  At the time of implementation, the Department attempted to minimize the burden hours by including a series of exemptions in the regulations, and through the use of SEC-based forms, with which a number of small entities the Department was able to contact were already familiar.  T</w:t>
      </w:r>
      <w:r w:rsidR="00FA5DEB">
        <w:rPr>
          <w:rFonts w:ascii="Times New Roman" w:hAnsi="Times New Roman"/>
        </w:rPr>
        <w:t>reasury</w:t>
      </w:r>
      <w:r>
        <w:rPr>
          <w:rFonts w:ascii="Times New Roman" w:hAnsi="Times New Roman"/>
        </w:rPr>
        <w:t xml:space="preserve"> believes that these steps have served to minimize the burden on small entities.  </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Specifically, </w:t>
      </w:r>
      <w:r w:rsidR="00336678">
        <w:rPr>
          <w:rFonts w:ascii="Times New Roman" w:hAnsi="Times New Roman"/>
        </w:rPr>
        <w:t xml:space="preserve">the large position reporting threshold will under no circumstances be less than 10 percent of the amount outstanding of the specified Treasury security (the threshold is typically in excess of $2 billion). </w:t>
      </w:r>
      <w:r w:rsidR="00F57EA7">
        <w:rPr>
          <w:rFonts w:ascii="Times New Roman" w:hAnsi="Times New Roman"/>
        </w:rPr>
        <w:t>T</w:t>
      </w:r>
      <w:r w:rsidR="00336678">
        <w:rPr>
          <w:rFonts w:ascii="Times New Roman" w:hAnsi="Times New Roman"/>
        </w:rPr>
        <w:t>he record</w:t>
      </w:r>
      <w:r w:rsidR="00F57EA7">
        <w:rPr>
          <w:rFonts w:ascii="Times New Roman" w:hAnsi="Times New Roman"/>
        </w:rPr>
        <w:t xml:space="preserve">keeping requirements are </w:t>
      </w:r>
      <w:r w:rsidR="00336678">
        <w:rPr>
          <w:rFonts w:ascii="Times New Roman" w:hAnsi="Times New Roman"/>
        </w:rPr>
        <w:t>not applicable until</w:t>
      </w:r>
      <w:r w:rsidR="0085097E">
        <w:rPr>
          <w:rFonts w:ascii="Times New Roman" w:hAnsi="Times New Roman"/>
        </w:rPr>
        <w:t xml:space="preserve"> an entity</w:t>
      </w:r>
      <w:r w:rsidR="00F57EA7">
        <w:rPr>
          <w:rFonts w:ascii="Times New Roman" w:hAnsi="Times New Roman"/>
        </w:rPr>
        <w:t xml:space="preserve">’s position in a recently-issued </w:t>
      </w:r>
      <w:r w:rsidR="00336678">
        <w:rPr>
          <w:rFonts w:ascii="Times New Roman" w:hAnsi="Times New Roman"/>
        </w:rPr>
        <w:t xml:space="preserve">Treasury security </w:t>
      </w:r>
      <w:r w:rsidR="00F57EA7">
        <w:rPr>
          <w:rFonts w:ascii="Times New Roman" w:hAnsi="Times New Roman"/>
        </w:rPr>
        <w:t>equals or exceeds $2 billion.</w:t>
      </w:r>
      <w:r>
        <w:rPr>
          <w:rFonts w:ascii="Times New Roman" w:hAnsi="Times New Roman"/>
        </w:rPr>
        <w:t xml:space="preserve"> The</w:t>
      </w:r>
      <w:r w:rsidR="0085097E">
        <w:rPr>
          <w:rFonts w:ascii="Times New Roman" w:hAnsi="Times New Roman"/>
        </w:rPr>
        <w:t xml:space="preserve"> Department does not believe</w:t>
      </w:r>
      <w:r>
        <w:rPr>
          <w:rFonts w:ascii="Times New Roman" w:hAnsi="Times New Roman"/>
        </w:rPr>
        <w:t xml:space="preserve"> small entities will control positions of such magnitude and thus, the rules are </w:t>
      </w:r>
      <w:r w:rsidR="00B072D2">
        <w:rPr>
          <w:rFonts w:ascii="Times New Roman" w:hAnsi="Times New Roman"/>
        </w:rPr>
        <w:t xml:space="preserve">not </w:t>
      </w:r>
      <w:r>
        <w:rPr>
          <w:rFonts w:ascii="Times New Roman" w:hAnsi="Times New Roman"/>
        </w:rPr>
        <w:t xml:space="preserve">applicable to small </w:t>
      </w:r>
      <w:r w:rsidR="0085097E">
        <w:rPr>
          <w:rFonts w:ascii="Times New Roman" w:hAnsi="Times New Roman"/>
        </w:rPr>
        <w:t>entities</w:t>
      </w:r>
      <w:r>
        <w:rPr>
          <w:rFonts w:ascii="Times New Roman" w:hAnsi="Times New Roman"/>
        </w:rPr>
        <w:t>.</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Further, with regard to Treasury’s risk assessment rules, Treasury estimates that all of the small entities that are specialized government securities brokers and dealers qualify for at least one of the recordkeeping and reporting exemptions in the regulations.  For example, the rules provide for an exemption for specialized government securities brokers and dealers that do not carry customer accounts and maintain capital of less than $20 million.  There is also an exemption for firms that maintain capital of less than $250,000 (regardless of whether they carry customer accounts). </w:t>
      </w:r>
    </w:p>
    <w:p w:rsidR="004200D6" w:rsidRDefault="004200D6">
      <w:pPr>
        <w:tabs>
          <w:tab w:val="left" w:pos="-720"/>
        </w:tabs>
        <w:suppressAutoHyphens/>
        <w:rPr>
          <w:rFonts w:ascii="Times New Roman" w:hAnsi="Times New Roman"/>
        </w:rPr>
      </w:pPr>
      <w:r>
        <w:rPr>
          <w:rFonts w:ascii="Times New Roman" w:hAnsi="Times New Roman"/>
        </w:rPr>
        <w:t xml:space="preserve"> </w:t>
      </w:r>
    </w:p>
    <w:p w:rsidR="004200D6" w:rsidRDefault="004200D6" w:rsidP="009E15A7">
      <w:pPr>
        <w:pStyle w:val="BodyText"/>
        <w:ind w:left="570" w:hanging="570"/>
      </w:pPr>
      <w:r>
        <w:t>6.</w:t>
      </w:r>
      <w:r>
        <w:tab/>
      </w:r>
      <w:r w:rsidR="00B4739B">
        <w:t>Describe the</w:t>
      </w:r>
      <w:r>
        <w:t xml:space="preserve"> consequence to Federal program or policy activities </w:t>
      </w:r>
      <w:r w:rsidR="00B4739B" w:rsidRPr="00B4739B">
        <w:t>if th</w:t>
      </w:r>
      <w:r w:rsidR="00B4739B">
        <w:t>e</w:t>
      </w:r>
      <w:r w:rsidR="00B4739B" w:rsidRPr="00B4739B">
        <w:t xml:space="preserve"> collection is not conducted or is conducted less frequently</w:t>
      </w:r>
      <w:r w:rsidR="00B4739B">
        <w:t xml:space="preserve">, as well as </w:t>
      </w:r>
      <w:r>
        <w:t>any technical or legal obstacl</w:t>
      </w:r>
      <w:r w:rsidR="00B4739B">
        <w:t>es to reducing burden.</w:t>
      </w:r>
      <w:r>
        <w:t xml:space="preserve"> </w:t>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The required recordkeeping records are essential to responsible business operations by government securities brokers and dealers.  Failure to maintain these records on a regular basis would most likely cause operational difficulties.  Since the financial positions of government securities dealers can change quickly, monthly filing of financial reports is essential for identification of problems, enforcement, and investor protection.  Regular reporting helps to avoid having to shut down or completely liquidate a dealer by early identification of potential problems.  Less frequent, or no reporting is required for firms less at risk, such as, introducing brokers and financial institutions holding securities for customers. </w:t>
      </w:r>
      <w:r>
        <w:rPr>
          <w:rFonts w:ascii="Times New Roman" w:hAnsi="Times New Roman"/>
        </w:rPr>
        <w:tab/>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Treasury’s risk assessment rules parallel the SEC</w:t>
      </w:r>
      <w:r w:rsidR="00B4739B">
        <w:rPr>
          <w:rFonts w:ascii="Times New Roman" w:hAnsi="Times New Roman"/>
        </w:rPr>
        <w:t>’s</w:t>
      </w:r>
      <w:r>
        <w:rPr>
          <w:rFonts w:ascii="Times New Roman" w:hAnsi="Times New Roman"/>
        </w:rPr>
        <w:t xml:space="preserve"> risk assessment rules and enable the quarterly collection of timely and complete financial information concerning the activities of affiliates of specialized government securities brokers and dealers whose activities are reasonably likely to have a material impact on the broker or dealer for surveillance and other regulatory purposes.  Timely and accurate information is an essential element of the rules.  Less frequent collection of the required information would reduce the regulators' ability to assess the risks to the brokers and dealers, customers and the securities markets caused by affiliates of the broker or dealer.</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Treasury’s large position rules require reporting only on an infrequent basis (</w:t>
      </w:r>
      <w:r w:rsidR="00FA5DEB">
        <w:rPr>
          <w:rFonts w:ascii="Times New Roman" w:hAnsi="Times New Roman"/>
        </w:rPr>
        <w:t xml:space="preserve">typically, </w:t>
      </w:r>
      <w:r>
        <w:rPr>
          <w:rFonts w:ascii="Times New Roman" w:hAnsi="Times New Roman"/>
        </w:rPr>
        <w:t xml:space="preserve">once a year), primarily in response to pricing anomalies or market shortages in a specific Treasury security.  When requested by Treasury, timely and accurate information, to be reported by holders of large positions, is essential.  Large position reports are intended to provide regulators with information on concentrations of control for market surveillance purposes and for enforcement of the securities laws.  The reported information </w:t>
      </w:r>
      <w:r w:rsidR="00CD5529" w:rsidRPr="00CD5529">
        <w:rPr>
          <w:rFonts w:ascii="Times New Roman" w:hAnsi="Times New Roman"/>
        </w:rPr>
        <w:t>will help the Treasury securities market remain liquid and efficient and facilitate government borrowing at the lo</w:t>
      </w:r>
      <w:r w:rsidR="00AB71EC">
        <w:rPr>
          <w:rFonts w:ascii="Times New Roman" w:hAnsi="Times New Roman"/>
        </w:rPr>
        <w:t>west possible cost to taxpayers</w:t>
      </w:r>
      <w:r>
        <w:rPr>
          <w:rFonts w:ascii="Times New Roman" w:hAnsi="Times New Roman"/>
        </w:rPr>
        <w:t>.  If the collection of information is not conducted, Treasury may not be able to take appropriate action in response to possible attempts to manipulate the government securities market.</w:t>
      </w:r>
    </w:p>
    <w:p w:rsidR="004200D6" w:rsidRDefault="004200D6">
      <w:pPr>
        <w:tabs>
          <w:tab w:val="left" w:pos="-720"/>
        </w:tabs>
        <w:suppressAutoHyphens/>
        <w:rPr>
          <w:rFonts w:ascii="Times New Roman" w:hAnsi="Times New Roman"/>
        </w:rPr>
      </w:pPr>
    </w:p>
    <w:p w:rsidR="004200D6" w:rsidRDefault="004200D6" w:rsidP="009E15A7">
      <w:pPr>
        <w:pStyle w:val="BodyText"/>
        <w:ind w:left="570" w:hanging="570"/>
      </w:pPr>
      <w:r>
        <w:t>7.</w:t>
      </w:r>
      <w:r>
        <w:tab/>
      </w:r>
      <w:r w:rsidR="00B4739B">
        <w:t xml:space="preserve">Explain any special circumstances.  </w:t>
      </w:r>
      <w:r>
        <w:t>Is this collection of information conducted in a manner consistent with the guidelines of 5 CFR 1320.6?</w:t>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The need for monthly reporting is described in response to </w:t>
      </w:r>
      <w:r w:rsidR="00FA5DEB">
        <w:rPr>
          <w:rFonts w:ascii="Times New Roman" w:hAnsi="Times New Roman"/>
        </w:rPr>
        <w:t>Q</w:t>
      </w:r>
      <w:r>
        <w:rPr>
          <w:rFonts w:ascii="Times New Roman" w:hAnsi="Times New Roman"/>
        </w:rPr>
        <w:t>uestion 6.  In some cases, record retention may be required for up to six years to enable any enforcement action to cover the full period under the applicable statute of limitations.</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As previously described</w:t>
      </w:r>
      <w:r w:rsidR="00FA5DEB">
        <w:rPr>
          <w:rFonts w:ascii="Times New Roman" w:hAnsi="Times New Roman"/>
        </w:rPr>
        <w:t xml:space="preserve">, </w:t>
      </w:r>
      <w:r>
        <w:rPr>
          <w:rFonts w:ascii="Times New Roman" w:hAnsi="Times New Roman"/>
        </w:rPr>
        <w:t xml:space="preserve">regarding Treasury’s large position rules, Treasury expects that an announcement which will require holders of large positions to file the appropriate report will be an infrequent event.  This would only be in response to an unusual market occurrence or condition.  Although it is possible that such an unusual market condition could occur more than once in a three-month period, it is expected that requests for large position reports will occur far less frequently.  Treasury intends to request large position reports at least annually to ensure that market participants remain knowledgeable of the rules, specifically as to how to calculate and report a reportable position.  Respondents will submit an original report for each date that large position information is requested in an announcement by Treasury.  It is possible that FRBNY or Treasury may need to occasionally conduct follow-up inquiries on some of the reported information. </w:t>
      </w:r>
    </w:p>
    <w:p w:rsidR="004200D6" w:rsidRDefault="004200D6">
      <w:pPr>
        <w:tabs>
          <w:tab w:val="left" w:pos="-720"/>
        </w:tabs>
        <w:suppressAutoHyphens/>
        <w:rPr>
          <w:rFonts w:ascii="Times New Roman" w:hAnsi="Times New Roman"/>
        </w:rPr>
      </w:pPr>
      <w:r>
        <w:rPr>
          <w:rFonts w:ascii="Times New Roman" w:hAnsi="Times New Roman"/>
        </w:rPr>
        <w:t xml:space="preserve">   </w:t>
      </w:r>
    </w:p>
    <w:p w:rsidR="004200D6" w:rsidRDefault="004200D6">
      <w:pPr>
        <w:tabs>
          <w:tab w:val="left" w:pos="-720"/>
        </w:tabs>
        <w:suppressAutoHyphens/>
        <w:rPr>
          <w:rFonts w:ascii="Times New Roman" w:hAnsi="Times New Roman"/>
        </w:rPr>
      </w:pPr>
      <w:r>
        <w:rPr>
          <w:rFonts w:ascii="Times New Roman" w:hAnsi="Times New Roman"/>
        </w:rPr>
        <w:t>When Treasury announces a call for large position reports, reports</w:t>
      </w:r>
      <w:r w:rsidR="005B772E">
        <w:rPr>
          <w:rFonts w:ascii="Times New Roman" w:hAnsi="Times New Roman"/>
        </w:rPr>
        <w:t xml:space="preserve"> are typically</w:t>
      </w:r>
      <w:r>
        <w:rPr>
          <w:rFonts w:ascii="Times New Roman" w:hAnsi="Times New Roman"/>
        </w:rPr>
        <w:t xml:space="preserve"> received by FRBNY before 12:00 noon, Eastern Time, on the fourth business day following issuance of the Treasury press release.  Since the call for reports is precipitated by an unusual market event or security pricing anomaly, this relatively short response time is necessary to enable Treasury to make better and more timely decisions regarding possible government actions that may be needed in response to market events to ensure the safety, liquidity</w:t>
      </w:r>
      <w:r w:rsidR="00461EAD">
        <w:rPr>
          <w:rFonts w:ascii="Times New Roman" w:hAnsi="Times New Roman"/>
        </w:rPr>
        <w:t>,</w:t>
      </w:r>
      <w:r>
        <w:rPr>
          <w:rFonts w:ascii="Times New Roman" w:hAnsi="Times New Roman"/>
        </w:rPr>
        <w:t xml:space="preserve"> and efficiency of the Treasury market. </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Large position information is by its very nature proprietary trade information of those firms that deal in government securities and as such will be treated as confidential by FRBNY, the SEC and Treasury and handled accordingly in a secure fashion.  The GSAA specifically provides that the Department shall not be compelled to disclose publicly any information required to be kept or reported for large position reporting.  In particular, such information is exempt from disclosure under the Freedom of Information Act at 5 U.S.C. 552(b)(3)(B).  Some of the information received by the SEC related to the risk assessment rules is also proprietary and is treated by the SEC as confidential and </w:t>
      </w:r>
      <w:r w:rsidR="00FA5DEB">
        <w:rPr>
          <w:rFonts w:ascii="Times New Roman" w:hAnsi="Times New Roman"/>
        </w:rPr>
        <w:t xml:space="preserve">it is </w:t>
      </w:r>
      <w:r>
        <w:rPr>
          <w:rFonts w:ascii="Times New Roman" w:hAnsi="Times New Roman"/>
        </w:rPr>
        <w:t>handled in a secure fashion.</w:t>
      </w:r>
    </w:p>
    <w:p w:rsidR="004200D6" w:rsidRDefault="004200D6">
      <w:pPr>
        <w:pStyle w:val="EndnoteText"/>
        <w:tabs>
          <w:tab w:val="left" w:pos="576"/>
          <w:tab w:val="left" w:pos="1296"/>
          <w:tab w:val="left" w:pos="2016"/>
          <w:tab w:val="left" w:pos="2736"/>
          <w:tab w:val="left" w:pos="8496"/>
        </w:tabs>
        <w:suppressAutoHyphens/>
        <w:spacing w:line="240" w:lineRule="atLeast"/>
        <w:rPr>
          <w:rFonts w:ascii="Times New Roman" w:hAnsi="Times New Roman"/>
        </w:rPr>
      </w:pPr>
    </w:p>
    <w:p w:rsidR="004200D6" w:rsidRDefault="004200D6">
      <w:pPr>
        <w:pStyle w:val="BodyText"/>
      </w:pPr>
      <w:r>
        <w:t>8.</w:t>
      </w:r>
      <w:r>
        <w:tab/>
      </w:r>
      <w:r w:rsidR="004A177B">
        <w:t>Describe</w:t>
      </w:r>
      <w:r>
        <w:t xml:space="preserve"> effort</w:t>
      </w:r>
      <w:r w:rsidR="004A177B">
        <w:t>s</w:t>
      </w:r>
      <w:r>
        <w:t xml:space="preserve"> to notify the general public about</w:t>
      </w:r>
      <w:r w:rsidR="004A177B">
        <w:t xml:space="preserve"> this collection of information.</w:t>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w:t>
      </w:r>
      <w:r w:rsidR="004A177B">
        <w:rPr>
          <w:rFonts w:ascii="Times New Roman" w:hAnsi="Times New Roman"/>
        </w:rPr>
        <w:t>reasury</w:t>
      </w:r>
      <w:r>
        <w:rPr>
          <w:rFonts w:ascii="Times New Roman" w:hAnsi="Times New Roman"/>
        </w:rPr>
        <w:t xml:space="preserve"> published in the </w:t>
      </w:r>
      <w:r w:rsidRPr="00FA5DEB">
        <w:rPr>
          <w:rFonts w:ascii="Times New Roman" w:hAnsi="Times New Roman"/>
          <w:i/>
        </w:rPr>
        <w:t>Federal Register</w:t>
      </w:r>
      <w:r w:rsidR="00E246E0">
        <w:rPr>
          <w:rFonts w:ascii="Times New Roman" w:hAnsi="Times New Roman"/>
        </w:rPr>
        <w:t xml:space="preserve"> on </w:t>
      </w:r>
      <w:r w:rsidR="00773A04">
        <w:rPr>
          <w:rFonts w:ascii="Times New Roman" w:hAnsi="Times New Roman"/>
        </w:rPr>
        <w:t>February 7, 2018</w:t>
      </w:r>
      <w:r w:rsidR="00E246E0">
        <w:rPr>
          <w:rFonts w:ascii="Times New Roman" w:hAnsi="Times New Roman"/>
        </w:rPr>
        <w:t xml:space="preserve"> (</w:t>
      </w:r>
      <w:r w:rsidR="00773A04">
        <w:rPr>
          <w:rFonts w:ascii="Times New Roman" w:hAnsi="Times New Roman"/>
        </w:rPr>
        <w:t>83</w:t>
      </w:r>
      <w:r>
        <w:rPr>
          <w:rFonts w:ascii="Times New Roman" w:hAnsi="Times New Roman"/>
        </w:rPr>
        <w:t xml:space="preserve"> FR </w:t>
      </w:r>
      <w:r w:rsidR="00773A04">
        <w:rPr>
          <w:rFonts w:ascii="Times New Roman" w:hAnsi="Times New Roman"/>
        </w:rPr>
        <w:t>5511</w:t>
      </w:r>
      <w:r>
        <w:rPr>
          <w:rFonts w:ascii="Times New Roman" w:hAnsi="Times New Roman"/>
        </w:rPr>
        <w:t>) (</w:t>
      </w:r>
      <w:r w:rsidR="00E20D0B">
        <w:rPr>
          <w:rFonts w:ascii="Times New Roman" w:hAnsi="Times New Roman"/>
        </w:rPr>
        <w:t>A</w:t>
      </w:r>
      <w:r>
        <w:rPr>
          <w:rFonts w:ascii="Times New Roman" w:hAnsi="Times New Roman"/>
        </w:rPr>
        <w:t>ttach</w:t>
      </w:r>
      <w:r w:rsidR="00E20D0B">
        <w:rPr>
          <w:rFonts w:ascii="Times New Roman" w:hAnsi="Times New Roman"/>
        </w:rPr>
        <w:t>ment E</w:t>
      </w:r>
      <w:r>
        <w:rPr>
          <w:rFonts w:ascii="Times New Roman" w:hAnsi="Times New Roman"/>
        </w:rPr>
        <w:t>) a notice and request for comments concerning the extension of information collections under the regulations that were issued pursuant to the GSA.  The comm</w:t>
      </w:r>
      <w:r w:rsidR="00E246E0">
        <w:rPr>
          <w:rFonts w:ascii="Times New Roman" w:hAnsi="Times New Roman"/>
        </w:rPr>
        <w:t xml:space="preserve">ent period closed on </w:t>
      </w:r>
      <w:r w:rsidR="00773A04">
        <w:rPr>
          <w:rFonts w:ascii="Times New Roman" w:hAnsi="Times New Roman"/>
        </w:rPr>
        <w:t>April 9, 2018</w:t>
      </w:r>
      <w:r w:rsidR="00290429">
        <w:rPr>
          <w:rFonts w:ascii="Times New Roman" w:hAnsi="Times New Roman"/>
        </w:rPr>
        <w:t xml:space="preserve">. </w:t>
      </w:r>
      <w:r>
        <w:rPr>
          <w:rFonts w:ascii="Times New Roman" w:hAnsi="Times New Roman"/>
        </w:rPr>
        <w:t>No public comments were received on the notice.</w:t>
      </w:r>
    </w:p>
    <w:p w:rsidR="004200D6" w:rsidRDefault="004200D6">
      <w:pPr>
        <w:tabs>
          <w:tab w:val="left" w:pos="-720"/>
        </w:tabs>
        <w:suppressAutoHyphens/>
        <w:rPr>
          <w:rFonts w:ascii="Times New Roman" w:hAnsi="Times New Roman"/>
        </w:rPr>
      </w:pPr>
    </w:p>
    <w:p w:rsidR="00290429" w:rsidRDefault="004200D6" w:rsidP="00290429">
      <w:pPr>
        <w:overflowPunct/>
        <w:textAlignment w:val="auto"/>
        <w:rPr>
          <w:rFonts w:ascii="Times New Roman" w:hAnsi="Times New Roman"/>
        </w:rPr>
      </w:pPr>
      <w:r>
        <w:rPr>
          <w:rFonts w:ascii="Times New Roman" w:hAnsi="Times New Roman"/>
        </w:rPr>
        <w:t>T</w:t>
      </w:r>
      <w:r w:rsidR="00FA5DEB">
        <w:rPr>
          <w:rFonts w:ascii="Times New Roman" w:hAnsi="Times New Roman"/>
        </w:rPr>
        <w:t>reasury</w:t>
      </w:r>
      <w:r>
        <w:rPr>
          <w:rFonts w:ascii="Times New Roman" w:hAnsi="Times New Roman"/>
        </w:rPr>
        <w:t xml:space="preserve"> consults on a regular basis with other regulatory agencies </w:t>
      </w:r>
      <w:r w:rsidR="00FA5DEB">
        <w:rPr>
          <w:rFonts w:ascii="Times New Roman" w:hAnsi="Times New Roman"/>
        </w:rPr>
        <w:t xml:space="preserve">that </w:t>
      </w:r>
      <w:r>
        <w:rPr>
          <w:rFonts w:ascii="Times New Roman" w:hAnsi="Times New Roman"/>
        </w:rPr>
        <w:t>collect similar information and hav</w:t>
      </w:r>
      <w:r w:rsidR="00FA5DEB">
        <w:rPr>
          <w:rFonts w:ascii="Times New Roman" w:hAnsi="Times New Roman"/>
        </w:rPr>
        <w:t>e</w:t>
      </w:r>
      <w:r>
        <w:rPr>
          <w:rFonts w:ascii="Times New Roman" w:hAnsi="Times New Roman"/>
        </w:rPr>
        <w:t xml:space="preserve"> jurisdiction over government securities brokers and dealers and over depository institutions, namely, the SEC, Board, OCC, </w:t>
      </w:r>
      <w:r w:rsidR="00FA5DEB">
        <w:rPr>
          <w:rFonts w:ascii="Times New Roman" w:hAnsi="Times New Roman"/>
        </w:rPr>
        <w:t xml:space="preserve">and </w:t>
      </w:r>
      <w:r>
        <w:rPr>
          <w:rFonts w:ascii="Times New Roman" w:hAnsi="Times New Roman"/>
        </w:rPr>
        <w:t xml:space="preserve">FDIC.  The Department also consults with the relevant self-regulatory organizations, such as the </w:t>
      </w:r>
      <w:r w:rsidR="00E246E0">
        <w:rPr>
          <w:rFonts w:ascii="Times New Roman" w:hAnsi="Times New Roman"/>
        </w:rPr>
        <w:t>Financial Industry Regulatory Authority (FINRA)</w:t>
      </w:r>
      <w:r>
        <w:rPr>
          <w:rFonts w:ascii="Times New Roman" w:hAnsi="Times New Roman"/>
        </w:rPr>
        <w:t xml:space="preserve">, government securities brokers and dealers of all types and sizes, trade associations, professional associations, and individual professionals serving government securities brokers and dealers.  In addition, the Department has and will continue to solicit comments whenever it proposes changes to the recordkeeping and reporting requirements as part of proposed amendments to the regulations, which provide an opportunity for affected parties to comment on the information collection.  As part of the development of the large position rules, the Department published an Advance Notice of Proposed Rulemaking (ANPR) on January 24, 1995, in order to involve market participants and interested parties at the earliest phase of the rulemaking process. </w:t>
      </w:r>
      <w:r w:rsidR="00290429">
        <w:rPr>
          <w:rFonts w:ascii="Times New Roman" w:hAnsi="Times New Roman"/>
        </w:rPr>
        <w:t xml:space="preserve">As previously discussed, on December 10, 2014, </w:t>
      </w:r>
      <w:r w:rsidR="00290429" w:rsidRPr="003A7383">
        <w:rPr>
          <w:rFonts w:ascii="Times New Roman" w:hAnsi="Times New Roman"/>
        </w:rPr>
        <w:t>Treasury published a final rule amending its large position reporting rules to improve the information reported so that Treasury can better understand supply and demand dynamics in certain Treasury securities</w:t>
      </w:r>
      <w:r w:rsidR="00290429">
        <w:rPr>
          <w:rFonts w:ascii="Times New Roman" w:hAnsi="Times New Roman"/>
        </w:rPr>
        <w:t xml:space="preserve">. </w:t>
      </w:r>
      <w:r w:rsidR="00290429" w:rsidRPr="003A7383">
        <w:rPr>
          <w:rFonts w:ascii="Times New Roman" w:hAnsi="Times New Roman"/>
        </w:rPr>
        <w:t>The rule became effective on March 10, 2015.</w:t>
      </w:r>
    </w:p>
    <w:p w:rsidR="00EB008C" w:rsidRDefault="004200D6">
      <w:pPr>
        <w:tabs>
          <w:tab w:val="left" w:pos="-720"/>
        </w:tabs>
        <w:suppressAutoHyphens/>
        <w:rPr>
          <w:rFonts w:ascii="Times New Roman" w:hAnsi="Times New Roman"/>
        </w:rPr>
      </w:pPr>
      <w:r>
        <w:rPr>
          <w:rFonts w:ascii="Times New Roman" w:hAnsi="Times New Roman"/>
        </w:rPr>
        <w:t xml:space="preserve"> </w:t>
      </w:r>
    </w:p>
    <w:p w:rsidR="004200D6" w:rsidRDefault="004200D6">
      <w:pPr>
        <w:tabs>
          <w:tab w:val="left" w:pos="-720"/>
        </w:tabs>
        <w:suppressAutoHyphens/>
        <w:rPr>
          <w:rFonts w:ascii="Times New Roman" w:hAnsi="Times New Roman"/>
        </w:rPr>
      </w:pPr>
      <w:r>
        <w:rPr>
          <w:rFonts w:ascii="Times New Roman" w:hAnsi="Times New Roman"/>
        </w:rPr>
        <w:t>The Department has responded to numerous inquiries, oral and written, concerning the regulations and continues to do so on an on-going basis.</w:t>
      </w:r>
      <w:r>
        <w:rPr>
          <w:rFonts w:ascii="Times New Roman" w:hAnsi="Times New Roman"/>
        </w:rPr>
        <w:tab/>
      </w:r>
    </w:p>
    <w:p w:rsidR="004200D6" w:rsidRDefault="004200D6">
      <w:pPr>
        <w:tabs>
          <w:tab w:val="left" w:pos="576"/>
          <w:tab w:val="left" w:pos="1296"/>
          <w:tab w:val="left" w:pos="2016"/>
          <w:tab w:val="left" w:pos="2736"/>
          <w:tab w:val="left" w:pos="8496"/>
        </w:tabs>
        <w:suppressAutoHyphens/>
        <w:spacing w:line="240" w:lineRule="atLeast"/>
        <w:rPr>
          <w:rFonts w:ascii="Times New Roman" w:hAnsi="Times New Roman"/>
        </w:rPr>
      </w:pPr>
    </w:p>
    <w:p w:rsidR="004200D6" w:rsidRDefault="004200D6" w:rsidP="009E15A7">
      <w:pPr>
        <w:pStyle w:val="BodyText"/>
        <w:ind w:left="570" w:hanging="570"/>
      </w:pPr>
      <w:r>
        <w:t>9.</w:t>
      </w:r>
      <w:r>
        <w:tab/>
      </w:r>
      <w:r w:rsidR="004A177B">
        <w:t>Explain any</w:t>
      </w:r>
      <w:r>
        <w:t xml:space="preserve"> decision to provide any payment or gift to respondents, other than contractors or grantees</w:t>
      </w:r>
      <w:r w:rsidR="004A177B">
        <w:t>.</w:t>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No payments or gifts </w:t>
      </w:r>
      <w:r w:rsidR="005B7EED">
        <w:rPr>
          <w:rFonts w:ascii="Times New Roman" w:hAnsi="Times New Roman"/>
        </w:rPr>
        <w:t xml:space="preserve">have been or </w:t>
      </w:r>
      <w:r>
        <w:rPr>
          <w:rFonts w:ascii="Times New Roman" w:hAnsi="Times New Roman"/>
        </w:rPr>
        <w:t>will be provided to respondents.</w:t>
      </w:r>
    </w:p>
    <w:p w:rsidR="004200D6" w:rsidRDefault="004200D6">
      <w:pPr>
        <w:tabs>
          <w:tab w:val="left" w:pos="-720"/>
        </w:tabs>
        <w:suppressAutoHyphens/>
        <w:rPr>
          <w:rFonts w:ascii="Times New Roman" w:hAnsi="Times New Roman"/>
        </w:rPr>
      </w:pPr>
    </w:p>
    <w:p w:rsidR="004200D6" w:rsidRDefault="004200D6" w:rsidP="009E15A7">
      <w:pPr>
        <w:pStyle w:val="BodyText"/>
        <w:tabs>
          <w:tab w:val="clear" w:pos="576"/>
          <w:tab w:val="clear" w:pos="1296"/>
          <w:tab w:val="clear" w:pos="2016"/>
          <w:tab w:val="clear" w:pos="2736"/>
          <w:tab w:val="clear" w:pos="8496"/>
          <w:tab w:val="left" w:pos="-720"/>
        </w:tabs>
        <w:spacing w:line="240" w:lineRule="auto"/>
        <w:ind w:left="720" w:hanging="720"/>
      </w:pPr>
      <w:r>
        <w:t>10.</w:t>
      </w:r>
      <w:r>
        <w:tab/>
      </w:r>
      <w:r w:rsidR="004A177B">
        <w:t>Describe any</w:t>
      </w:r>
      <w:r>
        <w:t xml:space="preserve"> assurance of confidentiality provided to respondents and the basis for the assurance in statute, regulation</w:t>
      </w:r>
      <w:r w:rsidR="004A177B">
        <w:t>, or agency policy.</w:t>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With the exception of the submission of financial statements, no assurances of confidentiality beyond those outlined in the Freedom of Information Act and implemented in the Department’s regulations at 31 CFR Part 1 are promised.  Section 405.2 of the regulations adopts SEC Rule 17a-5 (17 CFR 240.17a-5(e)(3)), which assures the confidentiality of financial statements when filed separately.</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The reports required under Treasury’s risk assessment rules are made to the specialized government securities brokers' or dealers' appropriate regulatory agency, the SEC.  The information required is specifically afforded confidentiality, notwithstanding any other provision of law.</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The GSAA specifically provides that the Department shall not be compelled to disclose publicly any information required to be kept or reported for large position reporting.  In particular, such information is exempt from disclosure under the Freedom of Information Act at 5 U.S.C. 552(b)(3)(B).</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b/>
        </w:rPr>
      </w:pPr>
      <w:r>
        <w:rPr>
          <w:rFonts w:ascii="Times New Roman" w:hAnsi="Times New Roman"/>
          <w:b/>
        </w:rPr>
        <w:t>11.</w:t>
      </w:r>
      <w:r>
        <w:rPr>
          <w:rFonts w:ascii="Times New Roman" w:hAnsi="Times New Roman"/>
          <w:b/>
        </w:rPr>
        <w:tab/>
      </w:r>
      <w:r w:rsidR="004A177B">
        <w:rPr>
          <w:rFonts w:ascii="Times New Roman" w:hAnsi="Times New Roman"/>
          <w:b/>
        </w:rPr>
        <w:t>Provide additional</w:t>
      </w:r>
      <w:r>
        <w:rPr>
          <w:rFonts w:ascii="Times New Roman" w:hAnsi="Times New Roman"/>
          <w:b/>
        </w:rPr>
        <w:t xml:space="preserve"> justification for </w:t>
      </w:r>
      <w:r w:rsidR="004A177B">
        <w:rPr>
          <w:rFonts w:ascii="Times New Roman" w:hAnsi="Times New Roman"/>
          <w:b/>
        </w:rPr>
        <w:t xml:space="preserve">any </w:t>
      </w:r>
      <w:r>
        <w:rPr>
          <w:rFonts w:ascii="Times New Roman" w:hAnsi="Times New Roman"/>
          <w:b/>
        </w:rPr>
        <w:t>questions of a sensitive nature</w:t>
      </w:r>
      <w:r w:rsidR="004A177B">
        <w:rPr>
          <w:rFonts w:ascii="Times New Roman" w:hAnsi="Times New Roman"/>
          <w:b/>
        </w:rPr>
        <w:t>.</w:t>
      </w:r>
      <w:r>
        <w:rPr>
          <w:rFonts w:ascii="Times New Roman" w:hAnsi="Times New Roman"/>
          <w:b/>
        </w:rPr>
        <w:t xml:space="preserve"> </w:t>
      </w:r>
    </w:p>
    <w:p w:rsidR="009624A0" w:rsidRDefault="009624A0">
      <w:pPr>
        <w:tabs>
          <w:tab w:val="left" w:pos="-720"/>
        </w:tabs>
        <w:suppressAutoHyphens/>
        <w:rPr>
          <w:rFonts w:ascii="Times New Roman" w:hAnsi="Times New Roman"/>
        </w:rPr>
      </w:pPr>
    </w:p>
    <w:p w:rsidR="00A67403" w:rsidRDefault="00A67403" w:rsidP="00A67403">
      <w:pPr>
        <w:tabs>
          <w:tab w:val="left" w:pos="-720"/>
        </w:tabs>
        <w:suppressAutoHyphens/>
        <w:rPr>
          <w:rFonts w:ascii="Times New Roman" w:hAnsi="Times New Roman"/>
        </w:rPr>
      </w:pPr>
      <w:r w:rsidRPr="00A67403">
        <w:rPr>
          <w:rFonts w:ascii="Times New Roman" w:hAnsi="Times New Roman"/>
        </w:rPr>
        <w:t>In implementing GSA regulations, Treasury requires associated persons to submit a Form G– FIN–4 (Disclosure Form for Person Associated with a Financial Institution Government Securities Broker or Dealer). This form, which includes personally identifiable information, provides the relevant appropriate regulatory agencies with certain information concerning name, employment, and residence.</w:t>
      </w:r>
    </w:p>
    <w:p w:rsidR="00EC634F" w:rsidRPr="00A67403" w:rsidRDefault="00EC634F" w:rsidP="00A67403">
      <w:pPr>
        <w:tabs>
          <w:tab w:val="left" w:pos="-720"/>
        </w:tabs>
        <w:suppressAutoHyphens/>
        <w:rPr>
          <w:rFonts w:ascii="Times New Roman" w:hAnsi="Times New Roman"/>
        </w:rPr>
      </w:pPr>
    </w:p>
    <w:p w:rsidR="00CF5DE8" w:rsidRDefault="00A67403">
      <w:pPr>
        <w:tabs>
          <w:tab w:val="left" w:pos="-720"/>
        </w:tabs>
        <w:suppressAutoHyphens/>
        <w:rPr>
          <w:rFonts w:ascii="Times New Roman" w:hAnsi="Times New Roman"/>
        </w:rPr>
      </w:pPr>
      <w:r w:rsidRPr="00A67403">
        <w:rPr>
          <w:rFonts w:ascii="Times New Roman" w:hAnsi="Times New Roman"/>
        </w:rPr>
        <w:t xml:space="preserve">The Form G-FIN-4 is filed directly with the appropriate regulatory agency (SEC, Board, OCC, and FDIC). Because the Form G-FIN-4 is submitted directly to the appropriate regulatory agency, Treasury does not handle any personally identifiable information associated with the form. </w:t>
      </w:r>
    </w:p>
    <w:p w:rsidR="00A67403" w:rsidRDefault="00A67403">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No questions of a sensitive nature, (e.g., such as sexual behavior and attitudes, religious beliefs, and other matters that are </w:t>
      </w:r>
      <w:r w:rsidR="004A177B">
        <w:rPr>
          <w:rFonts w:ascii="Times New Roman" w:hAnsi="Times New Roman"/>
        </w:rPr>
        <w:t>commonly</w:t>
      </w:r>
      <w:r>
        <w:rPr>
          <w:rFonts w:ascii="Times New Roman" w:hAnsi="Times New Roman"/>
        </w:rPr>
        <w:t xml:space="preserve"> considered private) have or will be asked.</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b/>
        </w:rPr>
        <w:t>12.</w:t>
      </w:r>
      <w:r>
        <w:rPr>
          <w:rFonts w:ascii="Times New Roman" w:hAnsi="Times New Roman"/>
          <w:b/>
        </w:rPr>
        <w:tab/>
      </w:r>
      <w:r w:rsidR="004A177B">
        <w:rPr>
          <w:rFonts w:ascii="Times New Roman" w:hAnsi="Times New Roman"/>
          <w:b/>
        </w:rPr>
        <w:t>Provide estimates of the</w:t>
      </w:r>
      <w:r>
        <w:rPr>
          <w:rFonts w:ascii="Times New Roman" w:hAnsi="Times New Roman"/>
          <w:b/>
        </w:rPr>
        <w:t xml:space="preserve"> hour burden of th</w:t>
      </w:r>
      <w:r w:rsidR="004A177B">
        <w:rPr>
          <w:rFonts w:ascii="Times New Roman" w:hAnsi="Times New Roman"/>
          <w:b/>
        </w:rPr>
        <w:t>e</w:t>
      </w:r>
      <w:r>
        <w:rPr>
          <w:rFonts w:ascii="Times New Roman" w:hAnsi="Times New Roman"/>
          <w:b/>
        </w:rPr>
        <w:t xml:space="preserve"> collection of information</w:t>
      </w:r>
      <w:r w:rsidR="004A177B">
        <w:rPr>
          <w:rFonts w:ascii="Times New Roman" w:hAnsi="Times New Roman"/>
          <w:b/>
        </w:rPr>
        <w:t>.</w:t>
      </w:r>
      <w:r>
        <w:rPr>
          <w:rFonts w:ascii="Times New Roman" w:hAnsi="Times New Roman"/>
        </w:rPr>
        <w:tab/>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The regulations contain a number of separate reporting and recordkeeping requirements, each of which is likely to be applicable to a different number of respondents.  Based upon current counts and estimates of the number of respondents, plus SEC estimates of time and cost of filing</w:t>
      </w:r>
      <w:r w:rsidR="00461EAD">
        <w:rPr>
          <w:rFonts w:ascii="Times New Roman" w:hAnsi="Times New Roman"/>
        </w:rPr>
        <w:t>,</w:t>
      </w:r>
      <w:r>
        <w:rPr>
          <w:rFonts w:ascii="Times New Roman" w:hAnsi="Times New Roman"/>
        </w:rPr>
        <w:t xml:space="preserve"> where available</w:t>
      </w:r>
      <w:r w:rsidR="00461EAD">
        <w:rPr>
          <w:rFonts w:ascii="Times New Roman" w:hAnsi="Times New Roman"/>
        </w:rPr>
        <w:t>,</w:t>
      </w:r>
      <w:r>
        <w:rPr>
          <w:rFonts w:ascii="Times New Roman" w:hAnsi="Times New Roman"/>
        </w:rPr>
        <w:t xml:space="preserve"> for similar information and parallel forms, the burden is estimated as shown in Table 1</w:t>
      </w:r>
      <w:r w:rsidR="004A177B">
        <w:rPr>
          <w:rFonts w:ascii="Times New Roman" w:hAnsi="Times New Roman"/>
        </w:rPr>
        <w:t xml:space="preserve"> (</w:t>
      </w:r>
      <w:r w:rsidR="00E20D0B">
        <w:rPr>
          <w:rFonts w:ascii="Times New Roman" w:hAnsi="Times New Roman"/>
        </w:rPr>
        <w:t>Attachment F</w:t>
      </w:r>
      <w:r w:rsidR="004A177B">
        <w:rPr>
          <w:rFonts w:ascii="Times New Roman" w:hAnsi="Times New Roman"/>
        </w:rPr>
        <w:t>)</w:t>
      </w:r>
      <w:r>
        <w:rPr>
          <w:rFonts w:ascii="Times New Roman" w:hAnsi="Times New Roman"/>
        </w:rPr>
        <w:t>.</w:t>
      </w:r>
      <w:r>
        <w:rPr>
          <w:rFonts w:ascii="Times New Roman" w:hAnsi="Times New Roman"/>
        </w:rPr>
        <w:tab/>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Based upon current in</w:t>
      </w:r>
      <w:r w:rsidR="00E246E0">
        <w:rPr>
          <w:rFonts w:ascii="Times New Roman" w:hAnsi="Times New Roman"/>
        </w:rPr>
        <w:t xml:space="preserve">formation, there are presently </w:t>
      </w:r>
      <w:r w:rsidR="00236D5A">
        <w:rPr>
          <w:rFonts w:ascii="Times New Roman" w:hAnsi="Times New Roman"/>
        </w:rPr>
        <w:t>two</w:t>
      </w:r>
      <w:r>
        <w:rPr>
          <w:rFonts w:ascii="Times New Roman" w:hAnsi="Times New Roman"/>
        </w:rPr>
        <w:t xml:space="preserve"> registered government securities brokers and dealers subject to the fu</w:t>
      </w:r>
      <w:r w:rsidR="00E246E0">
        <w:rPr>
          <w:rFonts w:ascii="Times New Roman" w:hAnsi="Times New Roman"/>
        </w:rPr>
        <w:t xml:space="preserve">ll set of regulations.  Of the </w:t>
      </w:r>
      <w:r w:rsidR="00773A04">
        <w:rPr>
          <w:rFonts w:ascii="Times New Roman" w:hAnsi="Times New Roman"/>
        </w:rPr>
        <w:t>two</w:t>
      </w:r>
      <w:r>
        <w:rPr>
          <w:rFonts w:ascii="Times New Roman" w:hAnsi="Times New Roman"/>
        </w:rPr>
        <w:t xml:space="preserve"> registered government securities brokers and dealers, </w:t>
      </w:r>
      <w:r w:rsidR="00E246E0">
        <w:rPr>
          <w:rFonts w:ascii="Times New Roman" w:hAnsi="Times New Roman"/>
        </w:rPr>
        <w:t xml:space="preserve">none </w:t>
      </w:r>
      <w:r>
        <w:rPr>
          <w:rFonts w:ascii="Times New Roman" w:hAnsi="Times New Roman"/>
        </w:rPr>
        <w:t>are currently subject to Treasury’s risk a</w:t>
      </w:r>
      <w:r w:rsidR="00E246E0">
        <w:rPr>
          <w:rFonts w:ascii="Times New Roman" w:hAnsi="Times New Roman"/>
        </w:rPr>
        <w:t xml:space="preserve">ssessment rules.  There are </w:t>
      </w:r>
      <w:r w:rsidR="005B7EED">
        <w:rPr>
          <w:rFonts w:ascii="Times New Roman" w:hAnsi="Times New Roman"/>
        </w:rPr>
        <w:t xml:space="preserve">approximately </w:t>
      </w:r>
      <w:r w:rsidR="00B9646F">
        <w:rPr>
          <w:rFonts w:ascii="Times New Roman" w:hAnsi="Times New Roman"/>
        </w:rPr>
        <w:t>1,197</w:t>
      </w:r>
      <w:r>
        <w:rPr>
          <w:rFonts w:ascii="Times New Roman" w:hAnsi="Times New Roman"/>
        </w:rPr>
        <w:t xml:space="preserve"> registered broker-dealers who are required to comply with portions of the regulations relating to their government security business.  These broker-dealers report to</w:t>
      </w:r>
      <w:r w:rsidR="00DC2FD5">
        <w:rPr>
          <w:rFonts w:ascii="Times New Roman" w:hAnsi="Times New Roman"/>
        </w:rPr>
        <w:t>,</w:t>
      </w:r>
      <w:r>
        <w:rPr>
          <w:rFonts w:ascii="Times New Roman" w:hAnsi="Times New Roman"/>
        </w:rPr>
        <w:t xml:space="preserve"> and are monitored by</w:t>
      </w:r>
      <w:r w:rsidR="00DC2FD5">
        <w:rPr>
          <w:rFonts w:ascii="Times New Roman" w:hAnsi="Times New Roman"/>
        </w:rPr>
        <w:t>,</w:t>
      </w:r>
      <w:r>
        <w:rPr>
          <w:rFonts w:ascii="Times New Roman" w:hAnsi="Times New Roman"/>
        </w:rPr>
        <w:t xml:space="preserve"> the SEC therefore their hours are not counted in Treasury’s totals.  In addition, </w:t>
      </w:r>
      <w:r w:rsidR="00E246E0">
        <w:rPr>
          <w:rFonts w:ascii="Times New Roman" w:hAnsi="Times New Roman"/>
        </w:rPr>
        <w:t xml:space="preserve">approximately </w:t>
      </w:r>
      <w:r w:rsidR="00773A04">
        <w:rPr>
          <w:rFonts w:ascii="Times New Roman" w:hAnsi="Times New Roman"/>
        </w:rPr>
        <w:t>33</w:t>
      </w:r>
      <w:r>
        <w:rPr>
          <w:rFonts w:ascii="Times New Roman" w:hAnsi="Times New Roman"/>
        </w:rPr>
        <w:t xml:space="preserve"> financial institutions are required to comply with portions of Subchapter A.  The Department estimates th</w:t>
      </w:r>
      <w:r w:rsidR="00E246E0">
        <w:rPr>
          <w:rFonts w:ascii="Times New Roman" w:hAnsi="Times New Roman"/>
        </w:rPr>
        <w:t xml:space="preserve">at there are approximately </w:t>
      </w:r>
      <w:r w:rsidR="005B7EED">
        <w:rPr>
          <w:rFonts w:ascii="Times New Roman" w:hAnsi="Times New Roman"/>
        </w:rPr>
        <w:t>9</w:t>
      </w:r>
      <w:r w:rsidR="00C81DB8">
        <w:rPr>
          <w:rFonts w:ascii="Times New Roman" w:hAnsi="Times New Roman"/>
        </w:rPr>
        <w:t>29</w:t>
      </w:r>
      <w:r>
        <w:rPr>
          <w:rFonts w:ascii="Times New Roman" w:hAnsi="Times New Roman"/>
        </w:rPr>
        <w:t xml:space="preserve"> depository institutions required to comply with Subchapter B.  </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As shown in Table 1, we estimate that the annual cost to all respondents will be</w:t>
      </w:r>
      <w:r w:rsidR="00E246E0">
        <w:rPr>
          <w:rFonts w:ascii="Times New Roman" w:hAnsi="Times New Roman"/>
        </w:rPr>
        <w:t xml:space="preserve"> </w:t>
      </w:r>
      <w:r w:rsidR="00E246E0" w:rsidRPr="00723A44">
        <w:rPr>
          <w:rFonts w:ascii="Times New Roman" w:hAnsi="Times New Roman"/>
        </w:rPr>
        <w:t>$</w:t>
      </w:r>
      <w:r w:rsidR="00C81DB8">
        <w:rPr>
          <w:rFonts w:ascii="Times New Roman" w:hAnsi="Times New Roman"/>
        </w:rPr>
        <w:t>7,283,510</w:t>
      </w:r>
      <w:r>
        <w:rPr>
          <w:rFonts w:ascii="Times New Roman" w:hAnsi="Times New Roman"/>
        </w:rPr>
        <w:t xml:space="preserve">.  The cost per hour for some sections in Table 1 </w:t>
      </w:r>
      <w:r w:rsidR="005B7EED">
        <w:rPr>
          <w:rFonts w:ascii="Times New Roman" w:hAnsi="Times New Roman"/>
        </w:rPr>
        <w:t>are</w:t>
      </w:r>
      <w:r>
        <w:rPr>
          <w:rFonts w:ascii="Times New Roman" w:hAnsi="Times New Roman"/>
        </w:rPr>
        <w:t xml:space="preserve"> </w:t>
      </w:r>
      <w:r w:rsidR="00723A44">
        <w:rPr>
          <w:rFonts w:ascii="Times New Roman" w:hAnsi="Times New Roman"/>
        </w:rPr>
        <w:t xml:space="preserve">generally </w:t>
      </w:r>
      <w:r w:rsidR="005B7EED">
        <w:rPr>
          <w:rFonts w:ascii="Times New Roman" w:hAnsi="Times New Roman"/>
        </w:rPr>
        <w:t xml:space="preserve">consistent and </w:t>
      </w:r>
      <w:r>
        <w:rPr>
          <w:rFonts w:ascii="Times New Roman" w:hAnsi="Times New Roman"/>
        </w:rPr>
        <w:t xml:space="preserve">based </w:t>
      </w:r>
      <w:r w:rsidR="005B7EED">
        <w:rPr>
          <w:rFonts w:ascii="Times New Roman" w:hAnsi="Times New Roman"/>
        </w:rPr>
        <w:t>on</w:t>
      </w:r>
      <w:r>
        <w:rPr>
          <w:rFonts w:ascii="Times New Roman" w:hAnsi="Times New Roman"/>
        </w:rPr>
        <w:t xml:space="preserve"> SEC parallel paperwork submissions and Treasury</w:t>
      </w:r>
      <w:r w:rsidR="00244FAA">
        <w:rPr>
          <w:rFonts w:ascii="Times New Roman" w:hAnsi="Times New Roman"/>
        </w:rPr>
        <w:t>’s</w:t>
      </w:r>
      <w:r>
        <w:rPr>
          <w:rFonts w:ascii="Times New Roman" w:hAnsi="Times New Roman"/>
        </w:rPr>
        <w:t xml:space="preserve"> estimates.     </w:t>
      </w:r>
    </w:p>
    <w:p w:rsidR="004200D6" w:rsidRDefault="004200D6">
      <w:pPr>
        <w:tabs>
          <w:tab w:val="left" w:pos="-720"/>
        </w:tabs>
        <w:suppressAutoHyphens/>
        <w:rPr>
          <w:rFonts w:ascii="Times New Roman" w:hAnsi="Times New Roman"/>
        </w:rPr>
      </w:pPr>
      <w:r>
        <w:rPr>
          <w:rFonts w:ascii="Times New Roman" w:hAnsi="Times New Roman"/>
        </w:rPr>
        <w:tab/>
      </w:r>
    </w:p>
    <w:p w:rsidR="004200D6" w:rsidRDefault="004200D6">
      <w:pPr>
        <w:tabs>
          <w:tab w:val="left" w:pos="480"/>
          <w:tab w:val="left" w:pos="1080"/>
          <w:tab w:val="left" w:pos="3480"/>
        </w:tabs>
        <w:suppressAutoHyphens/>
        <w:spacing w:line="240" w:lineRule="atLeast"/>
        <w:ind w:left="480" w:hanging="480"/>
        <w:rPr>
          <w:rFonts w:ascii="Times New Roman" w:hAnsi="Times New Roman"/>
          <w:b/>
        </w:rPr>
      </w:pPr>
      <w:r>
        <w:rPr>
          <w:rFonts w:ascii="Times New Roman" w:hAnsi="Times New Roman"/>
          <w:b/>
        </w:rPr>
        <w:t>13.</w:t>
      </w:r>
      <w:r>
        <w:rPr>
          <w:rFonts w:ascii="Times New Roman" w:hAnsi="Times New Roman"/>
          <w:b/>
        </w:rPr>
        <w:tab/>
      </w:r>
      <w:r w:rsidR="004A177B">
        <w:rPr>
          <w:rFonts w:ascii="Times New Roman" w:hAnsi="Times New Roman"/>
          <w:b/>
        </w:rPr>
        <w:t>Provide an estimate for the</w:t>
      </w:r>
      <w:r>
        <w:rPr>
          <w:rFonts w:ascii="Times New Roman" w:hAnsi="Times New Roman"/>
          <w:b/>
        </w:rPr>
        <w:t xml:space="preserve"> total annual cost burden to respondents or recordkeepers</w:t>
      </w:r>
    </w:p>
    <w:p w:rsidR="004200D6" w:rsidRDefault="009E15A7">
      <w:pPr>
        <w:tabs>
          <w:tab w:val="left" w:pos="480"/>
          <w:tab w:val="left" w:pos="1080"/>
          <w:tab w:val="left" w:pos="3480"/>
        </w:tabs>
        <w:suppressAutoHyphens/>
        <w:spacing w:line="240" w:lineRule="atLeast"/>
        <w:ind w:left="480" w:hanging="480"/>
        <w:rPr>
          <w:rFonts w:ascii="Times New Roman" w:hAnsi="Times New Roman"/>
        </w:rPr>
      </w:pPr>
      <w:r>
        <w:rPr>
          <w:rFonts w:ascii="Times New Roman" w:hAnsi="Times New Roman"/>
          <w:b/>
        </w:rPr>
        <w:tab/>
      </w:r>
      <w:r w:rsidR="004200D6">
        <w:rPr>
          <w:rFonts w:ascii="Times New Roman" w:hAnsi="Times New Roman"/>
          <w:b/>
        </w:rPr>
        <w:t>resulting from this collection of information</w:t>
      </w:r>
      <w:r w:rsidR="004A177B">
        <w:rPr>
          <w:rFonts w:ascii="Times New Roman" w:hAnsi="Times New Roman"/>
          <w:b/>
        </w:rPr>
        <w:t>.</w:t>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The identified costs associated with burden hour</w:t>
      </w:r>
      <w:r w:rsidR="00244FAA">
        <w:rPr>
          <w:rFonts w:ascii="Times New Roman" w:hAnsi="Times New Roman"/>
        </w:rPr>
        <w:t xml:space="preserve">s are addressed in questions 12 or </w:t>
      </w:r>
      <w:r>
        <w:rPr>
          <w:rFonts w:ascii="Times New Roman" w:hAnsi="Times New Roman"/>
        </w:rPr>
        <w:t>14.</w:t>
      </w:r>
      <w:r w:rsidR="00244FAA">
        <w:rPr>
          <w:rFonts w:ascii="Times New Roman" w:hAnsi="Times New Roman"/>
        </w:rPr>
        <w:t xml:space="preserve"> The total cost</w:t>
      </w:r>
      <w:r w:rsidR="002D1A7D">
        <w:rPr>
          <w:rFonts w:ascii="Times New Roman" w:hAnsi="Times New Roman"/>
        </w:rPr>
        <w:t xml:space="preserve"> burden to respondents decreased </w:t>
      </w:r>
      <w:r w:rsidR="00244FAA">
        <w:rPr>
          <w:rFonts w:ascii="Times New Roman" w:hAnsi="Times New Roman"/>
        </w:rPr>
        <w:t xml:space="preserve">by $361,814 </w:t>
      </w:r>
      <w:r w:rsidR="002D1A7D">
        <w:rPr>
          <w:rFonts w:ascii="Times New Roman" w:hAnsi="Times New Roman"/>
        </w:rPr>
        <w:t>from $7,645,324 in 2014 to $7,283,510 in 201</w:t>
      </w:r>
      <w:r w:rsidR="00244FAA">
        <w:rPr>
          <w:rFonts w:ascii="Times New Roman" w:hAnsi="Times New Roman"/>
        </w:rPr>
        <w:t>8 and the total annualized cost</w:t>
      </w:r>
      <w:r w:rsidR="002D1A7D">
        <w:rPr>
          <w:rFonts w:ascii="Times New Roman" w:hAnsi="Times New Roman"/>
        </w:rPr>
        <w:t xml:space="preserve"> to the Federal government decreased</w:t>
      </w:r>
      <w:r w:rsidR="00244FAA">
        <w:rPr>
          <w:rFonts w:ascii="Times New Roman" w:hAnsi="Times New Roman"/>
        </w:rPr>
        <w:t xml:space="preserve"> by $27,980</w:t>
      </w:r>
      <w:r w:rsidR="002D1A7D">
        <w:rPr>
          <w:rFonts w:ascii="Times New Roman" w:hAnsi="Times New Roman"/>
        </w:rPr>
        <w:t xml:space="preserve"> from $148,600 in 2014 to $120,620 in 2018.</w:t>
      </w:r>
    </w:p>
    <w:p w:rsidR="004200D6" w:rsidRDefault="004200D6">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b/>
        </w:rPr>
        <w:t>14.</w:t>
      </w:r>
      <w:r>
        <w:rPr>
          <w:rFonts w:ascii="Times New Roman" w:hAnsi="Times New Roman"/>
          <w:b/>
        </w:rPr>
        <w:tab/>
      </w:r>
      <w:r w:rsidR="004A177B">
        <w:rPr>
          <w:rFonts w:ascii="Times New Roman" w:hAnsi="Times New Roman"/>
          <w:b/>
        </w:rPr>
        <w:t>Provide estimate of</w:t>
      </w:r>
      <w:r>
        <w:rPr>
          <w:rFonts w:ascii="Times New Roman" w:hAnsi="Times New Roman"/>
          <w:b/>
        </w:rPr>
        <w:t xml:space="preserve"> annualized cost</w:t>
      </w:r>
      <w:r w:rsidR="004A177B">
        <w:rPr>
          <w:rFonts w:ascii="Times New Roman" w:hAnsi="Times New Roman"/>
          <w:b/>
        </w:rPr>
        <w:t>s</w:t>
      </w:r>
      <w:r>
        <w:rPr>
          <w:rFonts w:ascii="Times New Roman" w:hAnsi="Times New Roman"/>
          <w:b/>
        </w:rPr>
        <w:t xml:space="preserve"> to the Federal </w:t>
      </w:r>
      <w:r w:rsidR="004A177B">
        <w:rPr>
          <w:rFonts w:ascii="Times New Roman" w:hAnsi="Times New Roman"/>
          <w:b/>
        </w:rPr>
        <w:t>g</w:t>
      </w:r>
      <w:r>
        <w:rPr>
          <w:rFonts w:ascii="Times New Roman" w:hAnsi="Times New Roman"/>
          <w:b/>
        </w:rPr>
        <w:t>overnment</w:t>
      </w:r>
      <w:r w:rsidR="004A177B">
        <w:rPr>
          <w:rFonts w:ascii="Times New Roman" w:hAnsi="Times New Roman"/>
          <w:b/>
        </w:rPr>
        <w:t>.</w:t>
      </w:r>
      <w:r>
        <w:rPr>
          <w:rFonts w:ascii="Times New Roman" w:hAnsi="Times New Roman"/>
        </w:rPr>
        <w:tab/>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Based upon data provided by the SEC in connection with its parallel paperwork submissions and Treasury’s estimates, the total annualized cost to the Federal government is estimated to be </w:t>
      </w:r>
      <w:r w:rsidRPr="00723A44">
        <w:rPr>
          <w:rFonts w:ascii="Times New Roman" w:hAnsi="Times New Roman"/>
        </w:rPr>
        <w:t>$</w:t>
      </w:r>
      <w:r w:rsidR="00C81DB8">
        <w:rPr>
          <w:rFonts w:ascii="Times New Roman" w:hAnsi="Times New Roman"/>
        </w:rPr>
        <w:t>120,620</w:t>
      </w:r>
      <w:r>
        <w:rPr>
          <w:rFonts w:ascii="Times New Roman" w:hAnsi="Times New Roman"/>
        </w:rPr>
        <w:t xml:space="preserve">.  Cost estimates are shown in Table 1.      </w:t>
      </w:r>
    </w:p>
    <w:p w:rsidR="004200D6" w:rsidRDefault="004200D6">
      <w:pPr>
        <w:tabs>
          <w:tab w:val="left" w:pos="-720"/>
        </w:tabs>
        <w:suppressAutoHyphens/>
        <w:rPr>
          <w:rFonts w:ascii="Times New Roman" w:hAnsi="Times New Roman"/>
        </w:rPr>
      </w:pPr>
    </w:p>
    <w:p w:rsidR="004200D6" w:rsidRDefault="004200D6" w:rsidP="009E15A7">
      <w:pPr>
        <w:pStyle w:val="BodyText"/>
        <w:tabs>
          <w:tab w:val="clear" w:pos="576"/>
          <w:tab w:val="clear" w:pos="1296"/>
          <w:tab w:val="clear" w:pos="2016"/>
          <w:tab w:val="clear" w:pos="2736"/>
          <w:tab w:val="clear" w:pos="8496"/>
          <w:tab w:val="left" w:pos="-720"/>
        </w:tabs>
        <w:spacing w:line="240" w:lineRule="auto"/>
        <w:ind w:left="720" w:hanging="720"/>
      </w:pPr>
      <w:r>
        <w:t>15.</w:t>
      </w:r>
      <w:r>
        <w:tab/>
      </w:r>
      <w:r w:rsidR="004A177B">
        <w:t>Explain any</w:t>
      </w:r>
      <w:r>
        <w:t xml:space="preserve"> reason</w:t>
      </w:r>
      <w:r w:rsidR="004A177B">
        <w:t>s</w:t>
      </w:r>
      <w:r>
        <w:t xml:space="preserve"> for any program changes or adjustments reported in Items 13 or 14 of OMB Form 83-I</w:t>
      </w:r>
      <w:r w:rsidR="004A177B">
        <w:t>.</w:t>
      </w:r>
      <w:r>
        <w:tab/>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The </w:t>
      </w:r>
      <w:r w:rsidR="00C81DB8">
        <w:rPr>
          <w:rFonts w:ascii="Times New Roman" w:hAnsi="Times New Roman"/>
        </w:rPr>
        <w:t>58,498</w:t>
      </w:r>
      <w:r>
        <w:rPr>
          <w:rFonts w:ascii="Times New Roman" w:hAnsi="Times New Roman"/>
        </w:rPr>
        <w:t xml:space="preserve"> hour burden </w:t>
      </w:r>
      <w:r w:rsidR="00E246E0">
        <w:rPr>
          <w:rFonts w:ascii="Times New Roman" w:hAnsi="Times New Roman"/>
        </w:rPr>
        <w:t>de</w:t>
      </w:r>
      <w:r w:rsidR="002D1A7D">
        <w:rPr>
          <w:rFonts w:ascii="Times New Roman" w:hAnsi="Times New Roman"/>
        </w:rPr>
        <w:t xml:space="preserve">crease from 2014 </w:t>
      </w:r>
      <w:r>
        <w:rPr>
          <w:rFonts w:ascii="Times New Roman" w:hAnsi="Times New Roman"/>
        </w:rPr>
        <w:t xml:space="preserve">is primarily due to the </w:t>
      </w:r>
      <w:r w:rsidR="00E246E0">
        <w:rPr>
          <w:rFonts w:ascii="Times New Roman" w:hAnsi="Times New Roman"/>
        </w:rPr>
        <w:t xml:space="preserve">reduction </w:t>
      </w:r>
      <w:r>
        <w:rPr>
          <w:rFonts w:ascii="Times New Roman" w:hAnsi="Times New Roman"/>
        </w:rPr>
        <w:t xml:space="preserve">in the </w:t>
      </w:r>
      <w:r w:rsidR="00E246E0">
        <w:rPr>
          <w:rFonts w:ascii="Times New Roman" w:hAnsi="Times New Roman"/>
        </w:rPr>
        <w:t>number of government securities brokers and government securities dealers</w:t>
      </w:r>
      <w:r w:rsidR="005B7EED">
        <w:rPr>
          <w:rFonts w:ascii="Times New Roman" w:hAnsi="Times New Roman"/>
        </w:rPr>
        <w:t xml:space="preserve"> </w:t>
      </w:r>
      <w:r w:rsidR="00FC668C">
        <w:rPr>
          <w:rFonts w:ascii="Times New Roman" w:hAnsi="Times New Roman"/>
        </w:rPr>
        <w:t>from four to two</w:t>
      </w:r>
      <w:r w:rsidR="002D1A7D">
        <w:rPr>
          <w:rFonts w:ascii="Times New Roman" w:hAnsi="Times New Roman"/>
        </w:rPr>
        <w:t xml:space="preserve"> firms</w:t>
      </w:r>
      <w:r w:rsidR="00FC668C">
        <w:rPr>
          <w:rFonts w:ascii="Times New Roman" w:hAnsi="Times New Roman"/>
        </w:rPr>
        <w:t xml:space="preserve"> </w:t>
      </w:r>
      <w:r w:rsidR="005B7EED">
        <w:rPr>
          <w:rFonts w:ascii="Times New Roman" w:hAnsi="Times New Roman"/>
        </w:rPr>
        <w:t>and fewer affected depository institutions</w:t>
      </w:r>
      <w:r w:rsidR="00973C59">
        <w:rPr>
          <w:rFonts w:ascii="Times New Roman" w:hAnsi="Times New Roman"/>
        </w:rPr>
        <w:t xml:space="preserve"> since </w:t>
      </w:r>
      <w:r w:rsidR="00FC668C">
        <w:rPr>
          <w:rFonts w:ascii="Times New Roman" w:hAnsi="Times New Roman"/>
        </w:rPr>
        <w:t>2014</w:t>
      </w:r>
      <w:r>
        <w:rPr>
          <w:rFonts w:ascii="Times New Roman" w:hAnsi="Times New Roman"/>
        </w:rPr>
        <w:t>.</w:t>
      </w:r>
      <w:r w:rsidR="00FC668C">
        <w:rPr>
          <w:rFonts w:ascii="Times New Roman" w:hAnsi="Times New Roman"/>
        </w:rPr>
        <w:t xml:space="preserve"> Additionally, the number of responses per respondent for §405.2(c) decreased from 2,000 responses per respondent to 1,000 responses per respondent.</w:t>
      </w:r>
      <w:r>
        <w:rPr>
          <w:rFonts w:ascii="Times New Roman" w:hAnsi="Times New Roman"/>
        </w:rPr>
        <w:t xml:space="preserve">  Previously approved information collection number is 1535-0089</w:t>
      </w:r>
      <w:r w:rsidR="003C6B3D">
        <w:rPr>
          <w:rFonts w:ascii="Times New Roman" w:hAnsi="Times New Roman"/>
        </w:rPr>
        <w:t xml:space="preserve"> (</w:t>
      </w:r>
      <w:r w:rsidR="003C6B3D" w:rsidRPr="00CB217E">
        <w:rPr>
          <w:rFonts w:ascii="Times New Roman" w:hAnsi="Times New Roman"/>
        </w:rPr>
        <w:t>OMB approved the transfer of collection</w:t>
      </w:r>
      <w:r w:rsidR="003C6B3D">
        <w:rPr>
          <w:rFonts w:ascii="Times New Roman" w:hAnsi="Times New Roman"/>
        </w:rPr>
        <w:t>s</w:t>
      </w:r>
      <w:r w:rsidR="003C6B3D" w:rsidRPr="00CB217E">
        <w:rPr>
          <w:rFonts w:ascii="Times New Roman" w:hAnsi="Times New Roman"/>
        </w:rPr>
        <w:t xml:space="preserve"> from #1535-0089 to #1530-0064 on January 28, 2016</w:t>
      </w:r>
      <w:r w:rsidR="003C6B3D">
        <w:rPr>
          <w:rFonts w:ascii="Times New Roman" w:hAnsi="Times New Roman"/>
        </w:rPr>
        <w:t>)</w:t>
      </w:r>
      <w:r>
        <w:rPr>
          <w:rFonts w:ascii="Times New Roman" w:hAnsi="Times New Roman"/>
        </w:rPr>
        <w:t>.</w:t>
      </w:r>
      <w:r w:rsidR="00FC668C">
        <w:rPr>
          <w:rFonts w:ascii="Times New Roman" w:hAnsi="Times New Roman"/>
        </w:rPr>
        <w:t xml:space="preserve"> </w:t>
      </w:r>
    </w:p>
    <w:p w:rsidR="004200D6" w:rsidRDefault="004200D6">
      <w:pPr>
        <w:tabs>
          <w:tab w:val="left" w:pos="576"/>
          <w:tab w:val="left" w:pos="1296"/>
          <w:tab w:val="left" w:pos="2016"/>
          <w:tab w:val="left" w:pos="2736"/>
          <w:tab w:val="left" w:pos="8496"/>
        </w:tabs>
        <w:suppressAutoHyphens/>
        <w:spacing w:line="240" w:lineRule="atLeast"/>
        <w:rPr>
          <w:rFonts w:ascii="Times New Roman" w:hAnsi="Times New Roman"/>
        </w:rPr>
      </w:pPr>
    </w:p>
    <w:p w:rsidR="004200D6" w:rsidRDefault="004200D6" w:rsidP="009E15A7">
      <w:pPr>
        <w:pStyle w:val="BodyText"/>
        <w:tabs>
          <w:tab w:val="clear" w:pos="576"/>
          <w:tab w:val="clear" w:pos="1296"/>
          <w:tab w:val="clear" w:pos="2016"/>
          <w:tab w:val="clear" w:pos="2736"/>
          <w:tab w:val="clear" w:pos="8496"/>
          <w:tab w:val="left" w:pos="-720"/>
        </w:tabs>
        <w:spacing w:line="240" w:lineRule="auto"/>
        <w:ind w:left="720" w:hanging="720"/>
      </w:pPr>
      <w:r>
        <w:t>16.</w:t>
      </w:r>
      <w:r>
        <w:tab/>
        <w:t>For collections of information whose results will be published, outline plans for tabulation and publication.</w:t>
      </w:r>
      <w:r>
        <w:tab/>
      </w:r>
    </w:p>
    <w:p w:rsidR="009624A0" w:rsidRDefault="009624A0">
      <w:pPr>
        <w:tabs>
          <w:tab w:val="left" w:pos="-720"/>
        </w:tabs>
        <w:suppressAutoHyphens/>
        <w:rPr>
          <w:rFonts w:ascii="Times New Roman" w:hAnsi="Times New Roman"/>
        </w:rPr>
      </w:pPr>
    </w:p>
    <w:p w:rsidR="004200D6" w:rsidRDefault="005B7EED">
      <w:pPr>
        <w:tabs>
          <w:tab w:val="left" w:pos="-720"/>
        </w:tabs>
        <w:suppressAutoHyphens/>
        <w:rPr>
          <w:rFonts w:ascii="Times New Roman" w:hAnsi="Times New Roman"/>
        </w:rPr>
      </w:pPr>
      <w:r>
        <w:rPr>
          <w:rFonts w:ascii="Times New Roman" w:hAnsi="Times New Roman"/>
        </w:rPr>
        <w:t>This is n</w:t>
      </w:r>
      <w:r w:rsidR="004200D6">
        <w:rPr>
          <w:rFonts w:ascii="Times New Roman" w:hAnsi="Times New Roman"/>
        </w:rPr>
        <w:t>ot applicable</w:t>
      </w:r>
      <w:r>
        <w:rPr>
          <w:rFonts w:ascii="Times New Roman" w:hAnsi="Times New Roman"/>
        </w:rPr>
        <w:t xml:space="preserve"> because</w:t>
      </w:r>
      <w:r w:rsidR="004200D6">
        <w:rPr>
          <w:rFonts w:ascii="Times New Roman" w:hAnsi="Times New Roman"/>
        </w:rPr>
        <w:t xml:space="preserve"> there are no plans to publish</w:t>
      </w:r>
      <w:r>
        <w:rPr>
          <w:rFonts w:ascii="Times New Roman" w:hAnsi="Times New Roman"/>
        </w:rPr>
        <w:t xml:space="preserve"> </w:t>
      </w:r>
      <w:r w:rsidR="004200D6">
        <w:rPr>
          <w:rFonts w:ascii="Times New Roman" w:hAnsi="Times New Roman"/>
        </w:rPr>
        <w:t>this information.</w:t>
      </w:r>
    </w:p>
    <w:p w:rsidR="004200D6" w:rsidRDefault="004200D6">
      <w:pPr>
        <w:pStyle w:val="BodyText"/>
        <w:tabs>
          <w:tab w:val="clear" w:pos="576"/>
          <w:tab w:val="clear" w:pos="1296"/>
          <w:tab w:val="clear" w:pos="2016"/>
          <w:tab w:val="clear" w:pos="2736"/>
          <w:tab w:val="clear" w:pos="8496"/>
          <w:tab w:val="left" w:pos="-720"/>
        </w:tabs>
        <w:spacing w:line="240" w:lineRule="auto"/>
        <w:rPr>
          <w:b w:val="0"/>
        </w:rPr>
      </w:pPr>
    </w:p>
    <w:p w:rsidR="004200D6" w:rsidRDefault="004200D6" w:rsidP="009E15A7">
      <w:pPr>
        <w:pStyle w:val="BodyText"/>
        <w:tabs>
          <w:tab w:val="clear" w:pos="576"/>
          <w:tab w:val="clear" w:pos="1296"/>
          <w:tab w:val="clear" w:pos="2016"/>
          <w:tab w:val="clear" w:pos="2736"/>
          <w:tab w:val="clear" w:pos="8496"/>
          <w:tab w:val="left" w:pos="-720"/>
        </w:tabs>
        <w:spacing w:line="240" w:lineRule="auto"/>
        <w:ind w:left="720" w:hanging="720"/>
      </w:pPr>
      <w:r>
        <w:t xml:space="preserve">17. </w:t>
      </w:r>
      <w:r>
        <w:tab/>
        <w:t>If seeking approval to not display the expiration date for OMB approval of th</w:t>
      </w:r>
      <w:r w:rsidR="00E37EA3">
        <w:t>e</w:t>
      </w:r>
      <w:r>
        <w:t xml:space="preserve"> information collection, </w:t>
      </w:r>
      <w:r w:rsidR="00E37EA3">
        <w:t>explain</w:t>
      </w:r>
      <w:r>
        <w:t xml:space="preserve"> the reasons that display would be inappropriate</w:t>
      </w:r>
      <w:r w:rsidR="00E37EA3">
        <w:t>.</w:t>
      </w:r>
      <w:r>
        <w:tab/>
      </w:r>
    </w:p>
    <w:p w:rsidR="009624A0" w:rsidRDefault="009624A0">
      <w:pPr>
        <w:tabs>
          <w:tab w:val="left" w:pos="-720"/>
        </w:tabs>
        <w:suppressAutoHyphens/>
        <w:rPr>
          <w:rFonts w:ascii="Times New Roman" w:hAnsi="Times New Roman"/>
        </w:rPr>
      </w:pPr>
    </w:p>
    <w:p w:rsidR="004200D6" w:rsidRDefault="004200D6">
      <w:pPr>
        <w:tabs>
          <w:tab w:val="left" w:pos="-720"/>
        </w:tabs>
        <w:suppressAutoHyphens/>
        <w:rPr>
          <w:rFonts w:ascii="Times New Roman" w:hAnsi="Times New Roman"/>
        </w:rPr>
      </w:pPr>
      <w:r>
        <w:rPr>
          <w:rFonts w:ascii="Times New Roman" w:hAnsi="Times New Roman"/>
        </w:rPr>
        <w:t xml:space="preserve">It is not necessary to display an expiration date for regulations. </w:t>
      </w:r>
      <w:r w:rsidR="00797699" w:rsidRPr="00924009">
        <w:rPr>
          <w:rFonts w:ascii="Times New Roman" w:hAnsi="Times New Roman"/>
          <w:szCs w:val="24"/>
        </w:rPr>
        <w:t xml:space="preserve">The public interest will be better served by not </w:t>
      </w:r>
      <w:r w:rsidR="00797699">
        <w:rPr>
          <w:rFonts w:ascii="Times New Roman" w:hAnsi="Times New Roman"/>
          <w:szCs w:val="24"/>
        </w:rPr>
        <w:t>displaying</w:t>
      </w:r>
      <w:r w:rsidR="00797699" w:rsidRPr="00924009">
        <w:rPr>
          <w:rFonts w:ascii="Times New Roman" w:hAnsi="Times New Roman"/>
          <w:szCs w:val="24"/>
        </w:rPr>
        <w:t xml:space="preserve"> an expiration date on the </w:t>
      </w:r>
      <w:r w:rsidR="00797699">
        <w:rPr>
          <w:rFonts w:ascii="Times New Roman" w:hAnsi="Times New Roman"/>
          <w:szCs w:val="24"/>
        </w:rPr>
        <w:t xml:space="preserve">series of </w:t>
      </w:r>
      <w:r w:rsidR="00797699" w:rsidRPr="00924009">
        <w:rPr>
          <w:rFonts w:ascii="Times New Roman" w:hAnsi="Times New Roman"/>
          <w:szCs w:val="24"/>
        </w:rPr>
        <w:t>form</w:t>
      </w:r>
      <w:r w:rsidR="00797699">
        <w:rPr>
          <w:rFonts w:ascii="Times New Roman" w:hAnsi="Times New Roman"/>
          <w:szCs w:val="24"/>
        </w:rPr>
        <w:t xml:space="preserve">s used in this collection. </w:t>
      </w:r>
      <w:r w:rsidR="00797699" w:rsidRPr="00A00522">
        <w:rPr>
          <w:rFonts w:ascii="Times New Roman" w:hAnsi="Times New Roman"/>
        </w:rPr>
        <w:t xml:space="preserve">The time period during which the current edition of the form will continue to be </w:t>
      </w:r>
      <w:r w:rsidR="00797699">
        <w:rPr>
          <w:rFonts w:ascii="Times New Roman" w:hAnsi="Times New Roman"/>
        </w:rPr>
        <w:t>usable cannot be predicted and</w:t>
      </w:r>
      <w:r w:rsidR="00797699" w:rsidRPr="00A00522">
        <w:rPr>
          <w:rFonts w:ascii="Times New Roman" w:hAnsi="Times New Roman"/>
        </w:rPr>
        <w:t xml:space="preserve">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w:t>
      </w:r>
      <w:r w:rsidR="00797699">
        <w:rPr>
          <w:rFonts w:ascii="Times New Roman" w:hAnsi="Times New Roman"/>
        </w:rPr>
        <w:t>g.</w:t>
      </w:r>
    </w:p>
    <w:p w:rsidR="004200D6" w:rsidRDefault="004200D6">
      <w:pPr>
        <w:tabs>
          <w:tab w:val="left" w:pos="576"/>
          <w:tab w:val="left" w:pos="1296"/>
          <w:tab w:val="left" w:pos="2016"/>
          <w:tab w:val="left" w:pos="2736"/>
          <w:tab w:val="left" w:pos="8496"/>
        </w:tabs>
        <w:suppressAutoHyphens/>
        <w:spacing w:line="240" w:lineRule="atLeast"/>
        <w:rPr>
          <w:rFonts w:ascii="Times New Roman" w:hAnsi="Times New Roman"/>
        </w:rPr>
      </w:pPr>
    </w:p>
    <w:p w:rsidR="004200D6" w:rsidRDefault="004200D6" w:rsidP="009E15A7">
      <w:pPr>
        <w:pStyle w:val="BodyText"/>
        <w:tabs>
          <w:tab w:val="clear" w:pos="576"/>
          <w:tab w:val="clear" w:pos="1296"/>
          <w:tab w:val="clear" w:pos="2016"/>
          <w:tab w:val="clear" w:pos="2736"/>
          <w:tab w:val="clear" w:pos="8496"/>
          <w:tab w:val="left" w:pos="-720"/>
        </w:tabs>
        <w:spacing w:line="240" w:lineRule="auto"/>
        <w:ind w:left="720" w:hanging="720"/>
      </w:pPr>
      <w:r>
        <w:t>18.</w:t>
      </w:r>
      <w:r>
        <w:tab/>
      </w:r>
      <w:r w:rsidR="00E37EA3">
        <w:t>Explain each</w:t>
      </w:r>
      <w:r>
        <w:t xml:space="preserve"> exception to the certification statement</w:t>
      </w:r>
      <w:r w:rsidR="00E37EA3">
        <w:t>.</w:t>
      </w:r>
      <w:r>
        <w:tab/>
      </w:r>
    </w:p>
    <w:p w:rsidR="00E37EA3" w:rsidRDefault="00E37EA3">
      <w:pPr>
        <w:tabs>
          <w:tab w:val="left" w:pos="-720"/>
        </w:tabs>
        <w:suppressAutoHyphens/>
        <w:rPr>
          <w:rFonts w:ascii="Times New Roman" w:hAnsi="Times New Roman"/>
        </w:rPr>
      </w:pPr>
    </w:p>
    <w:p w:rsidR="00797699" w:rsidRDefault="00797699" w:rsidP="00797699">
      <w:pPr>
        <w:tabs>
          <w:tab w:val="left" w:pos="-720"/>
        </w:tabs>
        <w:suppressAutoHyphens/>
        <w:rPr>
          <w:rFonts w:ascii="Times New Roman" w:hAnsi="Times New Roman"/>
        </w:rPr>
      </w:pPr>
      <w:r>
        <w:rPr>
          <w:rFonts w:ascii="Times New Roman" w:hAnsi="Times New Roman"/>
        </w:rPr>
        <w:t>There are no exceptions to the certification statement.</w:t>
      </w:r>
    </w:p>
    <w:p w:rsidR="004200D6" w:rsidRDefault="004200D6">
      <w:pPr>
        <w:tabs>
          <w:tab w:val="left" w:pos="-720"/>
        </w:tabs>
        <w:suppressAutoHyphens/>
        <w:rPr>
          <w:rFonts w:ascii="Times New Roman" w:hAnsi="Times New Roman"/>
        </w:rPr>
      </w:pPr>
    </w:p>
    <w:p w:rsidR="004200D6" w:rsidRDefault="00724BFE">
      <w:pPr>
        <w:tabs>
          <w:tab w:val="left" w:pos="-720"/>
        </w:tabs>
        <w:suppressAutoHyphens/>
        <w:rPr>
          <w:rFonts w:ascii="Times New Roman" w:hAnsi="Times New Roman"/>
        </w:rPr>
      </w:pPr>
      <w:r>
        <w:rPr>
          <w:rFonts w:ascii="Times New Roman" w:hAnsi="Times New Roman"/>
          <w:b/>
        </w:rPr>
        <w:t>19.</w:t>
      </w:r>
      <w:r>
        <w:rPr>
          <w:rFonts w:ascii="Times New Roman" w:hAnsi="Times New Roman"/>
          <w:b/>
        </w:rPr>
        <w:tab/>
        <w:t>Does t</w:t>
      </w:r>
      <w:r w:rsidR="004200D6">
        <w:rPr>
          <w:rFonts w:ascii="Times New Roman" w:hAnsi="Times New Roman"/>
          <w:b/>
        </w:rPr>
        <w:t xml:space="preserve">his collection </w:t>
      </w:r>
      <w:r>
        <w:rPr>
          <w:rFonts w:ascii="Times New Roman" w:hAnsi="Times New Roman"/>
          <w:b/>
        </w:rPr>
        <w:t>employ statistical methods?</w:t>
      </w:r>
      <w:r w:rsidR="004200D6">
        <w:rPr>
          <w:rFonts w:ascii="Times New Roman" w:hAnsi="Times New Roman"/>
          <w:b/>
        </w:rPr>
        <w:t xml:space="preserve"> </w:t>
      </w:r>
      <w:r w:rsidR="004200D6">
        <w:rPr>
          <w:rFonts w:ascii="Times New Roman" w:hAnsi="Times New Roman"/>
        </w:rPr>
        <w:tab/>
      </w:r>
    </w:p>
    <w:p w:rsidR="009624A0" w:rsidRDefault="009624A0">
      <w:pPr>
        <w:tabs>
          <w:tab w:val="left" w:pos="-720"/>
        </w:tabs>
        <w:suppressAutoHyphens/>
        <w:rPr>
          <w:rFonts w:ascii="Times New Roman" w:hAnsi="Times New Roman"/>
        </w:rPr>
      </w:pPr>
    </w:p>
    <w:p w:rsidR="004200D6" w:rsidRDefault="005B7EED">
      <w:pPr>
        <w:tabs>
          <w:tab w:val="left" w:pos="-720"/>
        </w:tabs>
        <w:suppressAutoHyphens/>
        <w:rPr>
          <w:rFonts w:ascii="Times New Roman" w:hAnsi="Times New Roman"/>
        </w:rPr>
      </w:pPr>
      <w:r>
        <w:rPr>
          <w:rFonts w:ascii="Times New Roman" w:hAnsi="Times New Roman"/>
        </w:rPr>
        <w:t>This is n</w:t>
      </w:r>
      <w:r w:rsidR="004200D6">
        <w:rPr>
          <w:rFonts w:ascii="Times New Roman" w:hAnsi="Times New Roman"/>
        </w:rPr>
        <w:t xml:space="preserve">ot applicable </w:t>
      </w:r>
      <w:r>
        <w:rPr>
          <w:rFonts w:ascii="Times New Roman" w:hAnsi="Times New Roman"/>
        </w:rPr>
        <w:t>because</w:t>
      </w:r>
      <w:r w:rsidR="004200D6">
        <w:rPr>
          <w:rFonts w:ascii="Times New Roman" w:hAnsi="Times New Roman"/>
        </w:rPr>
        <w:t xml:space="preserve"> the regulations do not employ statistical methods. </w:t>
      </w:r>
    </w:p>
    <w:sectPr w:rsidR="004200D6" w:rsidSect="00234DC7">
      <w:headerReference w:type="default" r:id="rId9"/>
      <w:footerReference w:type="default" r:id="rId10"/>
      <w:headerReference w:type="first" r:id="rId11"/>
      <w:endnotePr>
        <w:numFmt w:val="decimal"/>
      </w:endnotePr>
      <w:type w:val="continuous"/>
      <w:pgSz w:w="12240" w:h="15840"/>
      <w:pgMar w:top="1440" w:right="1440" w:bottom="1260" w:left="1440" w:header="1440" w:footer="120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77" w:rsidRDefault="002D6277">
      <w:pPr>
        <w:spacing w:line="20" w:lineRule="exact"/>
      </w:pPr>
    </w:p>
  </w:endnote>
  <w:endnote w:type="continuationSeparator" w:id="0">
    <w:p w:rsidR="002D6277" w:rsidRDefault="002D6277">
      <w:r>
        <w:t xml:space="preserve"> </w:t>
      </w:r>
    </w:p>
  </w:endnote>
  <w:endnote w:type="continuationNotice" w:id="1">
    <w:p w:rsidR="002D6277" w:rsidRDefault="002D62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71" w:rsidRPr="00713D5F" w:rsidRDefault="000A1D71">
    <w:pPr>
      <w:pStyle w:val="Footer"/>
      <w:jc w:val="center"/>
      <w:rPr>
        <w:rFonts w:ascii="Times New Roman" w:hAnsi="Times New Roman"/>
      </w:rPr>
    </w:pPr>
    <w:r w:rsidRPr="00713D5F">
      <w:rPr>
        <w:rFonts w:ascii="Times New Roman" w:hAnsi="Times New Roman"/>
      </w:rPr>
      <w:fldChar w:fldCharType="begin"/>
    </w:r>
    <w:r w:rsidRPr="00713D5F">
      <w:rPr>
        <w:rFonts w:ascii="Times New Roman" w:hAnsi="Times New Roman"/>
      </w:rPr>
      <w:instrText xml:space="preserve"> PAGE   \* MERGEFORMAT </w:instrText>
    </w:r>
    <w:r w:rsidRPr="00713D5F">
      <w:rPr>
        <w:rFonts w:ascii="Times New Roman" w:hAnsi="Times New Roman"/>
      </w:rPr>
      <w:fldChar w:fldCharType="separate"/>
    </w:r>
    <w:r w:rsidR="00717DA0">
      <w:rPr>
        <w:rFonts w:ascii="Times New Roman" w:hAnsi="Times New Roman"/>
        <w:noProof/>
      </w:rPr>
      <w:t>2</w:t>
    </w:r>
    <w:r w:rsidRPr="00713D5F">
      <w:rPr>
        <w:rFonts w:ascii="Times New Roman" w:hAnsi="Times New Roman"/>
        <w:noProof/>
      </w:rPr>
      <w:fldChar w:fldCharType="end"/>
    </w:r>
  </w:p>
  <w:p w:rsidR="000A1D71" w:rsidRPr="00713D5F" w:rsidRDefault="000A1D71">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77" w:rsidRDefault="002D6277">
      <w:r>
        <w:separator/>
      </w:r>
    </w:p>
  </w:footnote>
  <w:footnote w:type="continuationSeparator" w:id="0">
    <w:p w:rsidR="002D6277" w:rsidRDefault="002D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7B" w:rsidRPr="00B8297F" w:rsidRDefault="004A177B">
    <w:pPr>
      <w:suppressAutoHyphens/>
      <w:spacing w:after="140" w:line="100" w:lineRule="exact"/>
      <w:rPr>
        <w:rFonts w:ascii="Times New Roman" w:hAnsi="Times New Roman"/>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D71" w:rsidRPr="00234DC7" w:rsidRDefault="000A1D71" w:rsidP="00234DC7">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549A88"/>
    <w:lvl w:ilvl="0">
      <w:start w:val="1"/>
      <w:numFmt w:val="upperLetter"/>
      <w:pStyle w:val="Heading1"/>
      <w:lvlText w:val="%1."/>
      <w:legacy w:legacy="1" w:legacySpace="120" w:legacyIndent="360"/>
      <w:lvlJc w:val="left"/>
      <w:pPr>
        <w:ind w:left="72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786638E1"/>
    <w:multiLevelType w:val="multilevel"/>
    <w:tmpl w:val="7E18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1"/>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81"/>
    <w:rsid w:val="000132D4"/>
    <w:rsid w:val="00015467"/>
    <w:rsid w:val="00033343"/>
    <w:rsid w:val="000A1D71"/>
    <w:rsid w:val="000B407F"/>
    <w:rsid w:val="000C00B7"/>
    <w:rsid w:val="000E545D"/>
    <w:rsid w:val="0010484D"/>
    <w:rsid w:val="00111C95"/>
    <w:rsid w:val="00116A23"/>
    <w:rsid w:val="0013001D"/>
    <w:rsid w:val="0015657C"/>
    <w:rsid w:val="001655BA"/>
    <w:rsid w:val="00174808"/>
    <w:rsid w:val="00196E6C"/>
    <w:rsid w:val="001A501A"/>
    <w:rsid w:val="001B7214"/>
    <w:rsid w:val="001F078B"/>
    <w:rsid w:val="00234DC7"/>
    <w:rsid w:val="00236D5A"/>
    <w:rsid w:val="00237E24"/>
    <w:rsid w:val="00244FAA"/>
    <w:rsid w:val="00290429"/>
    <w:rsid w:val="002D1A7D"/>
    <w:rsid w:val="002D6277"/>
    <w:rsid w:val="00336678"/>
    <w:rsid w:val="0038507E"/>
    <w:rsid w:val="003A7383"/>
    <w:rsid w:val="003B7FDB"/>
    <w:rsid w:val="003C6B3D"/>
    <w:rsid w:val="004200D6"/>
    <w:rsid w:val="00461EAD"/>
    <w:rsid w:val="004757BC"/>
    <w:rsid w:val="004A177B"/>
    <w:rsid w:val="004A1E80"/>
    <w:rsid w:val="004D399C"/>
    <w:rsid w:val="00550C91"/>
    <w:rsid w:val="0056718B"/>
    <w:rsid w:val="005B772E"/>
    <w:rsid w:val="005B7EED"/>
    <w:rsid w:val="005D19EC"/>
    <w:rsid w:val="00622947"/>
    <w:rsid w:val="0063524F"/>
    <w:rsid w:val="006A22BB"/>
    <w:rsid w:val="006E5313"/>
    <w:rsid w:val="006F0147"/>
    <w:rsid w:val="0071142F"/>
    <w:rsid w:val="00713D5F"/>
    <w:rsid w:val="00717DA0"/>
    <w:rsid w:val="00723A44"/>
    <w:rsid w:val="00724BFE"/>
    <w:rsid w:val="00773A04"/>
    <w:rsid w:val="00797699"/>
    <w:rsid w:val="007B04E5"/>
    <w:rsid w:val="007D438E"/>
    <w:rsid w:val="008169ED"/>
    <w:rsid w:val="008321C4"/>
    <w:rsid w:val="0085097E"/>
    <w:rsid w:val="00861DE6"/>
    <w:rsid w:val="00880029"/>
    <w:rsid w:val="008A5E33"/>
    <w:rsid w:val="008B465A"/>
    <w:rsid w:val="008C5735"/>
    <w:rsid w:val="008C796B"/>
    <w:rsid w:val="009624A0"/>
    <w:rsid w:val="00973C59"/>
    <w:rsid w:val="009756CA"/>
    <w:rsid w:val="009B41B7"/>
    <w:rsid w:val="009E15A7"/>
    <w:rsid w:val="00A17AAE"/>
    <w:rsid w:val="00A44D5D"/>
    <w:rsid w:val="00A67403"/>
    <w:rsid w:val="00A70C50"/>
    <w:rsid w:val="00AB1132"/>
    <w:rsid w:val="00AB3B12"/>
    <w:rsid w:val="00AB71EC"/>
    <w:rsid w:val="00AC5652"/>
    <w:rsid w:val="00B072D2"/>
    <w:rsid w:val="00B4739B"/>
    <w:rsid w:val="00B8297F"/>
    <w:rsid w:val="00B9646F"/>
    <w:rsid w:val="00BC07CF"/>
    <w:rsid w:val="00C06CAB"/>
    <w:rsid w:val="00C10653"/>
    <w:rsid w:val="00C417A5"/>
    <w:rsid w:val="00C45A0A"/>
    <w:rsid w:val="00C81DB8"/>
    <w:rsid w:val="00C9059F"/>
    <w:rsid w:val="00CD5529"/>
    <w:rsid w:val="00CD6437"/>
    <w:rsid w:val="00CE2E5D"/>
    <w:rsid w:val="00CF5DE8"/>
    <w:rsid w:val="00D00D7D"/>
    <w:rsid w:val="00D27427"/>
    <w:rsid w:val="00D31D89"/>
    <w:rsid w:val="00D33DCF"/>
    <w:rsid w:val="00DC0676"/>
    <w:rsid w:val="00DC2FD5"/>
    <w:rsid w:val="00E06FC2"/>
    <w:rsid w:val="00E20D0B"/>
    <w:rsid w:val="00E2125A"/>
    <w:rsid w:val="00E246E0"/>
    <w:rsid w:val="00E26FA6"/>
    <w:rsid w:val="00E35081"/>
    <w:rsid w:val="00E37EA3"/>
    <w:rsid w:val="00E703F0"/>
    <w:rsid w:val="00E81A99"/>
    <w:rsid w:val="00E84D43"/>
    <w:rsid w:val="00EB008C"/>
    <w:rsid w:val="00EB0C17"/>
    <w:rsid w:val="00EC634F"/>
    <w:rsid w:val="00F33B90"/>
    <w:rsid w:val="00F57EA7"/>
    <w:rsid w:val="00FA5DEB"/>
    <w:rsid w:val="00FC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keepNext/>
      <w:numPr>
        <w:numId w:val="1"/>
      </w:numPr>
      <w:tabs>
        <w:tab w:val="left" w:pos="1296"/>
        <w:tab w:val="left" w:pos="2016"/>
        <w:tab w:val="left" w:pos="2736"/>
        <w:tab w:val="left" w:pos="8496"/>
      </w:tabs>
      <w:suppressAutoHyphens/>
      <w:spacing w:line="240" w:lineRule="atLeast"/>
      <w:ind w:hanging="720"/>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Emphasis">
    <w:name w:val="Emphasis"/>
    <w:qFormat/>
    <w:rPr>
      <w:i/>
    </w:rPr>
  </w:style>
  <w:style w:type="paragraph" w:styleId="PlainText">
    <w:name w:val="Plain Text"/>
    <w:basedOn w:val="Normal"/>
    <w:rPr>
      <w:sz w:val="20"/>
    </w:rPr>
  </w:style>
  <w:style w:type="paragraph" w:styleId="BodyText">
    <w:name w:val="Body Text"/>
    <w:basedOn w:val="Normal"/>
    <w:semiHidden/>
    <w:pPr>
      <w:tabs>
        <w:tab w:val="left" w:pos="576"/>
        <w:tab w:val="left" w:pos="1296"/>
        <w:tab w:val="left" w:pos="2016"/>
        <w:tab w:val="left" w:pos="2736"/>
        <w:tab w:val="left" w:pos="8496"/>
      </w:tabs>
      <w:suppressAutoHyphens/>
      <w:spacing w:line="240" w:lineRule="atLeast"/>
    </w:pPr>
    <w:rPr>
      <w:rFonts w:ascii="Times New Roman" w:hAnsi="Times New Roman"/>
      <w:b/>
    </w:rPr>
  </w:style>
  <w:style w:type="character" w:styleId="CommentReference">
    <w:name w:val="annotation reference"/>
    <w:uiPriority w:val="99"/>
    <w:semiHidden/>
    <w:unhideWhenUsed/>
    <w:rsid w:val="00EB008C"/>
    <w:rPr>
      <w:sz w:val="16"/>
      <w:szCs w:val="16"/>
    </w:rPr>
  </w:style>
  <w:style w:type="paragraph" w:styleId="CommentText">
    <w:name w:val="annotation text"/>
    <w:basedOn w:val="Normal"/>
    <w:link w:val="CommentTextChar"/>
    <w:uiPriority w:val="99"/>
    <w:semiHidden/>
    <w:unhideWhenUsed/>
    <w:rsid w:val="00EB008C"/>
    <w:rPr>
      <w:sz w:val="20"/>
    </w:rPr>
  </w:style>
  <w:style w:type="character" w:customStyle="1" w:styleId="CommentTextChar">
    <w:name w:val="Comment Text Char"/>
    <w:link w:val="CommentText"/>
    <w:uiPriority w:val="99"/>
    <w:semiHidden/>
    <w:rsid w:val="00EB008C"/>
    <w:rPr>
      <w:rFonts w:ascii="Courier New" w:hAnsi="Courier New"/>
    </w:rPr>
  </w:style>
  <w:style w:type="paragraph" w:styleId="CommentSubject">
    <w:name w:val="annotation subject"/>
    <w:basedOn w:val="CommentText"/>
    <w:next w:val="CommentText"/>
    <w:link w:val="CommentSubjectChar"/>
    <w:uiPriority w:val="99"/>
    <w:semiHidden/>
    <w:unhideWhenUsed/>
    <w:rsid w:val="00EB008C"/>
    <w:rPr>
      <w:b/>
      <w:bCs/>
    </w:rPr>
  </w:style>
  <w:style w:type="character" w:customStyle="1" w:styleId="CommentSubjectChar">
    <w:name w:val="Comment Subject Char"/>
    <w:link w:val="CommentSubject"/>
    <w:uiPriority w:val="99"/>
    <w:semiHidden/>
    <w:rsid w:val="00EB008C"/>
    <w:rPr>
      <w:rFonts w:ascii="Courier New" w:hAnsi="Courier New"/>
      <w:b/>
      <w:bCs/>
    </w:rPr>
  </w:style>
  <w:style w:type="paragraph" w:styleId="BalloonText">
    <w:name w:val="Balloon Text"/>
    <w:basedOn w:val="Normal"/>
    <w:link w:val="BalloonTextChar"/>
    <w:uiPriority w:val="99"/>
    <w:semiHidden/>
    <w:unhideWhenUsed/>
    <w:rsid w:val="00EB008C"/>
    <w:rPr>
      <w:rFonts w:ascii="Segoe UI" w:hAnsi="Segoe UI" w:cs="Segoe UI"/>
      <w:sz w:val="18"/>
      <w:szCs w:val="18"/>
    </w:rPr>
  </w:style>
  <w:style w:type="character" w:customStyle="1" w:styleId="BalloonTextChar">
    <w:name w:val="Balloon Text Char"/>
    <w:link w:val="BalloonText"/>
    <w:uiPriority w:val="99"/>
    <w:semiHidden/>
    <w:rsid w:val="00EB008C"/>
    <w:rPr>
      <w:rFonts w:ascii="Segoe UI" w:hAnsi="Segoe UI" w:cs="Segoe UI"/>
      <w:sz w:val="18"/>
      <w:szCs w:val="18"/>
    </w:rPr>
  </w:style>
  <w:style w:type="character" w:customStyle="1" w:styleId="FooterChar">
    <w:name w:val="Footer Char"/>
    <w:link w:val="Footer"/>
    <w:uiPriority w:val="99"/>
    <w:rsid w:val="000A1D71"/>
    <w:rPr>
      <w:rFonts w:ascii="Courier New" w:hAnsi="Courier New"/>
      <w:sz w:val="24"/>
    </w:rPr>
  </w:style>
  <w:style w:type="character" w:styleId="Strong">
    <w:name w:val="Strong"/>
    <w:uiPriority w:val="22"/>
    <w:qFormat/>
    <w:rsid w:val="00C06CAB"/>
    <w:rPr>
      <w:b/>
      <w:bCs/>
    </w:rPr>
  </w:style>
  <w:style w:type="character" w:styleId="Hyperlink">
    <w:name w:val="Hyperlink"/>
    <w:uiPriority w:val="99"/>
    <w:semiHidden/>
    <w:unhideWhenUsed/>
    <w:rsid w:val="00C06C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keepNext/>
      <w:numPr>
        <w:numId w:val="1"/>
      </w:numPr>
      <w:tabs>
        <w:tab w:val="left" w:pos="1296"/>
        <w:tab w:val="left" w:pos="2016"/>
        <w:tab w:val="left" w:pos="2736"/>
        <w:tab w:val="left" w:pos="8496"/>
      </w:tabs>
      <w:suppressAutoHyphens/>
      <w:spacing w:line="240" w:lineRule="atLeast"/>
      <w:ind w:hanging="720"/>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Emphasis">
    <w:name w:val="Emphasis"/>
    <w:qFormat/>
    <w:rPr>
      <w:i/>
    </w:rPr>
  </w:style>
  <w:style w:type="paragraph" w:styleId="PlainText">
    <w:name w:val="Plain Text"/>
    <w:basedOn w:val="Normal"/>
    <w:rPr>
      <w:sz w:val="20"/>
    </w:rPr>
  </w:style>
  <w:style w:type="paragraph" w:styleId="BodyText">
    <w:name w:val="Body Text"/>
    <w:basedOn w:val="Normal"/>
    <w:semiHidden/>
    <w:pPr>
      <w:tabs>
        <w:tab w:val="left" w:pos="576"/>
        <w:tab w:val="left" w:pos="1296"/>
        <w:tab w:val="left" w:pos="2016"/>
        <w:tab w:val="left" w:pos="2736"/>
        <w:tab w:val="left" w:pos="8496"/>
      </w:tabs>
      <w:suppressAutoHyphens/>
      <w:spacing w:line="240" w:lineRule="atLeast"/>
    </w:pPr>
    <w:rPr>
      <w:rFonts w:ascii="Times New Roman" w:hAnsi="Times New Roman"/>
      <w:b/>
    </w:rPr>
  </w:style>
  <w:style w:type="character" w:styleId="CommentReference">
    <w:name w:val="annotation reference"/>
    <w:uiPriority w:val="99"/>
    <w:semiHidden/>
    <w:unhideWhenUsed/>
    <w:rsid w:val="00EB008C"/>
    <w:rPr>
      <w:sz w:val="16"/>
      <w:szCs w:val="16"/>
    </w:rPr>
  </w:style>
  <w:style w:type="paragraph" w:styleId="CommentText">
    <w:name w:val="annotation text"/>
    <w:basedOn w:val="Normal"/>
    <w:link w:val="CommentTextChar"/>
    <w:uiPriority w:val="99"/>
    <w:semiHidden/>
    <w:unhideWhenUsed/>
    <w:rsid w:val="00EB008C"/>
    <w:rPr>
      <w:sz w:val="20"/>
    </w:rPr>
  </w:style>
  <w:style w:type="character" w:customStyle="1" w:styleId="CommentTextChar">
    <w:name w:val="Comment Text Char"/>
    <w:link w:val="CommentText"/>
    <w:uiPriority w:val="99"/>
    <w:semiHidden/>
    <w:rsid w:val="00EB008C"/>
    <w:rPr>
      <w:rFonts w:ascii="Courier New" w:hAnsi="Courier New"/>
    </w:rPr>
  </w:style>
  <w:style w:type="paragraph" w:styleId="CommentSubject">
    <w:name w:val="annotation subject"/>
    <w:basedOn w:val="CommentText"/>
    <w:next w:val="CommentText"/>
    <w:link w:val="CommentSubjectChar"/>
    <w:uiPriority w:val="99"/>
    <w:semiHidden/>
    <w:unhideWhenUsed/>
    <w:rsid w:val="00EB008C"/>
    <w:rPr>
      <w:b/>
      <w:bCs/>
    </w:rPr>
  </w:style>
  <w:style w:type="character" w:customStyle="1" w:styleId="CommentSubjectChar">
    <w:name w:val="Comment Subject Char"/>
    <w:link w:val="CommentSubject"/>
    <w:uiPriority w:val="99"/>
    <w:semiHidden/>
    <w:rsid w:val="00EB008C"/>
    <w:rPr>
      <w:rFonts w:ascii="Courier New" w:hAnsi="Courier New"/>
      <w:b/>
      <w:bCs/>
    </w:rPr>
  </w:style>
  <w:style w:type="paragraph" w:styleId="BalloonText">
    <w:name w:val="Balloon Text"/>
    <w:basedOn w:val="Normal"/>
    <w:link w:val="BalloonTextChar"/>
    <w:uiPriority w:val="99"/>
    <w:semiHidden/>
    <w:unhideWhenUsed/>
    <w:rsid w:val="00EB008C"/>
    <w:rPr>
      <w:rFonts w:ascii="Segoe UI" w:hAnsi="Segoe UI" w:cs="Segoe UI"/>
      <w:sz w:val="18"/>
      <w:szCs w:val="18"/>
    </w:rPr>
  </w:style>
  <w:style w:type="character" w:customStyle="1" w:styleId="BalloonTextChar">
    <w:name w:val="Balloon Text Char"/>
    <w:link w:val="BalloonText"/>
    <w:uiPriority w:val="99"/>
    <w:semiHidden/>
    <w:rsid w:val="00EB008C"/>
    <w:rPr>
      <w:rFonts w:ascii="Segoe UI" w:hAnsi="Segoe UI" w:cs="Segoe UI"/>
      <w:sz w:val="18"/>
      <w:szCs w:val="18"/>
    </w:rPr>
  </w:style>
  <w:style w:type="character" w:customStyle="1" w:styleId="FooterChar">
    <w:name w:val="Footer Char"/>
    <w:link w:val="Footer"/>
    <w:uiPriority w:val="99"/>
    <w:rsid w:val="000A1D71"/>
    <w:rPr>
      <w:rFonts w:ascii="Courier New" w:hAnsi="Courier New"/>
      <w:sz w:val="24"/>
    </w:rPr>
  </w:style>
  <w:style w:type="character" w:styleId="Strong">
    <w:name w:val="Strong"/>
    <w:uiPriority w:val="22"/>
    <w:qFormat/>
    <w:rsid w:val="00C06CAB"/>
    <w:rPr>
      <w:b/>
      <w:bCs/>
    </w:rPr>
  </w:style>
  <w:style w:type="character" w:styleId="Hyperlink">
    <w:name w:val="Hyperlink"/>
    <w:uiPriority w:val="99"/>
    <w:semiHidden/>
    <w:unhideWhenUsed/>
    <w:rsid w:val="00C06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6BB4-DAB3-42E6-A1C4-ADE83CDA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4498</Words>
  <Characters>25645</Characters>
  <Application>Microsoft Office Word</Application>
  <DocSecurity>0</DocSecurity>
  <Lines>213</Lines>
  <Paragraphs>60</Paragraphs>
  <ScaleCrop>false</ScaleCrop>
  <HeadingPairs>
    <vt:vector size="4" baseType="variant">
      <vt:variant>
        <vt:lpstr>Title</vt:lpstr>
      </vt:variant>
      <vt:variant>
        <vt:i4>1</vt:i4>
      </vt:variant>
      <vt:variant>
        <vt:lpstr>___________PDGSR9405</vt:lpstr>
      </vt:variant>
      <vt:variant>
        <vt:i4>0</vt:i4>
      </vt:variant>
    </vt:vector>
  </HeadingPairs>
  <TitlesOfParts>
    <vt:vector size="1" baseType="lpstr">
      <vt:lpstr>___________PDGSR9405</vt:lpstr>
    </vt:vector>
  </TitlesOfParts>
  <Company>PUBLIC DEBT - Washington DC</Company>
  <LinksUpToDate>false</LinksUpToDate>
  <CharactersWithSpaces>30083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___________PDGSR9405</dc:title>
  <dc:subject/>
  <dc:creator>Lee Grandy</dc:creator>
  <cp:keywords/>
  <dc:description/>
  <cp:lastModifiedBy>SYSTEM</cp:lastModifiedBy>
  <cp:revision>2</cp:revision>
  <cp:lastPrinted>2018-04-04T20:52:00Z</cp:lastPrinted>
  <dcterms:created xsi:type="dcterms:W3CDTF">2018-07-24T14:31:00Z</dcterms:created>
  <dcterms:modified xsi:type="dcterms:W3CDTF">2018-07-24T14:31:00Z</dcterms:modified>
</cp:coreProperties>
</file>