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F239"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EF7F23A"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EF7F23B" w14:textId="77777777" w:rsidR="00320387" w:rsidRDefault="00320387" w:rsidP="00320387">
      <w:pPr>
        <w:keepNext/>
        <w:numPr>
          <w:ilvl w:val="12"/>
          <w:numId w:val="0"/>
        </w:numPr>
        <w:ind w:left="360"/>
      </w:pPr>
    </w:p>
    <w:p w14:paraId="63ADD7BD" w14:textId="252DF93B" w:rsidR="00EA340A" w:rsidRDefault="00EA340A" w:rsidP="00C34A26">
      <w:pPr>
        <w:keepNext/>
        <w:numPr>
          <w:ilvl w:val="12"/>
          <w:numId w:val="0"/>
        </w:numPr>
        <w:ind w:left="360"/>
        <w:rPr>
          <w:rFonts w:cs="Times New Roman"/>
          <w:color w:val="auto"/>
        </w:rPr>
      </w:pPr>
      <w:r>
        <w:rPr>
          <w:rFonts w:cs="Times New Roman"/>
          <w:color w:val="auto"/>
        </w:rPr>
        <w:t xml:space="preserve">Under 49 U.S.C. 44920, an airport </w:t>
      </w:r>
      <w:r w:rsidR="00841ECC">
        <w:rPr>
          <w:rFonts w:cs="Times New Roman"/>
          <w:color w:val="auto"/>
        </w:rPr>
        <w:t xml:space="preserve">may submit an application to TSA to have the screening of passengers and property required by </w:t>
      </w:r>
      <w:r>
        <w:rPr>
          <w:rFonts w:cs="Times New Roman"/>
          <w:color w:val="auto"/>
        </w:rPr>
        <w:t xml:space="preserve">49 U.S.C. 44901 </w:t>
      </w:r>
      <w:r w:rsidR="00841ECC">
        <w:rPr>
          <w:rFonts w:cs="Times New Roman"/>
          <w:color w:val="auto"/>
        </w:rPr>
        <w:t xml:space="preserve">conducted by non-Federal personnel.  TSA must approve the application if the </w:t>
      </w:r>
      <w:r w:rsidR="00C34A26">
        <w:rPr>
          <w:rFonts w:cs="Times New Roman"/>
          <w:color w:val="auto"/>
        </w:rPr>
        <w:t>approval "</w:t>
      </w:r>
      <w:r w:rsidR="00841ECC">
        <w:rPr>
          <w:rFonts w:cs="Times New Roman"/>
          <w:color w:val="auto"/>
        </w:rPr>
        <w:t xml:space="preserve">would not compromise security or detrimentally affect the cost-efficiency </w:t>
      </w:r>
      <w:r w:rsidR="009B0C1A">
        <w:rPr>
          <w:rFonts w:cs="Times New Roman"/>
          <w:color w:val="auto"/>
        </w:rPr>
        <w:t>o</w:t>
      </w:r>
      <w:r w:rsidR="00841ECC">
        <w:rPr>
          <w:rFonts w:cs="Times New Roman"/>
          <w:color w:val="auto"/>
        </w:rPr>
        <w:t>r the effectiveness of the screening of passengers or property at the airport.</w:t>
      </w:r>
      <w:r w:rsidR="00C34A26">
        <w:rPr>
          <w:rFonts w:cs="Times New Roman"/>
          <w:color w:val="auto"/>
        </w:rPr>
        <w:t>"</w:t>
      </w:r>
      <w:r w:rsidR="00841ECC">
        <w:rPr>
          <w:rFonts w:cs="Times New Roman"/>
          <w:color w:val="auto"/>
        </w:rPr>
        <w:t xml:space="preserve">  TSA implements this requirement through the Screening </w:t>
      </w:r>
      <w:r w:rsidRPr="004F41B3">
        <w:rPr>
          <w:rFonts w:cs="Times New Roman"/>
          <w:color w:val="auto"/>
        </w:rPr>
        <w:t>Partnership Program (SPP)</w:t>
      </w:r>
      <w:r w:rsidR="00841ECC">
        <w:rPr>
          <w:rFonts w:cs="Times New Roman"/>
          <w:color w:val="auto"/>
        </w:rPr>
        <w:t xml:space="preserve">.  </w:t>
      </w:r>
      <w:r>
        <w:rPr>
          <w:rFonts w:cs="Times New Roman"/>
          <w:color w:val="auto"/>
        </w:rPr>
        <w:t>Currently, 22 airports participate in the program.</w:t>
      </w:r>
      <w:r w:rsidR="00C34A26">
        <w:rPr>
          <w:rFonts w:cs="Times New Roman"/>
          <w:color w:val="auto"/>
        </w:rPr>
        <w:t xml:space="preserve"> Participation in the SPP is initiated with the application covered by this information collection.</w:t>
      </w:r>
    </w:p>
    <w:p w14:paraId="60055295" w14:textId="65C1B01A" w:rsidR="004F41B3" w:rsidRPr="004F41B3" w:rsidRDefault="004F41B3" w:rsidP="004F41B3">
      <w:pPr>
        <w:keepNext/>
        <w:numPr>
          <w:ilvl w:val="12"/>
          <w:numId w:val="0"/>
        </w:numPr>
        <w:ind w:left="360"/>
        <w:rPr>
          <w:rFonts w:cs="Times New Roman"/>
          <w:color w:val="auto"/>
        </w:rPr>
      </w:pPr>
    </w:p>
    <w:p w14:paraId="1EF7F23E"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EF7F23F" w14:textId="77777777" w:rsidR="00320387" w:rsidRDefault="00320387" w:rsidP="00320387">
      <w:pPr>
        <w:keepNext/>
        <w:numPr>
          <w:ilvl w:val="12"/>
          <w:numId w:val="0"/>
        </w:numPr>
        <w:ind w:left="360"/>
      </w:pPr>
    </w:p>
    <w:p w14:paraId="6E2E16A9" w14:textId="70A87EC8" w:rsidR="005658EE" w:rsidRPr="004F41B3" w:rsidRDefault="004F41B3" w:rsidP="00166B05">
      <w:pPr>
        <w:tabs>
          <w:tab w:val="left" w:pos="360"/>
        </w:tabs>
        <w:ind w:left="360"/>
        <w:rPr>
          <w:rFonts w:cs="Times New Roman"/>
          <w:color w:val="auto"/>
        </w:rPr>
      </w:pPr>
      <w:r w:rsidRPr="004F41B3">
        <w:rPr>
          <w:rFonts w:cs="Times New Roman"/>
          <w:color w:val="auto"/>
        </w:rPr>
        <w:t xml:space="preserve">As stated in </w:t>
      </w:r>
      <w:r w:rsidR="00EA340A">
        <w:rPr>
          <w:rFonts w:cs="Times New Roman"/>
          <w:color w:val="auto"/>
        </w:rPr>
        <w:t xml:space="preserve">49 U.S.C. 44920, </w:t>
      </w:r>
      <w:r w:rsidRPr="004F41B3">
        <w:rPr>
          <w:rFonts w:cs="Times New Roman"/>
          <w:color w:val="auto"/>
        </w:rPr>
        <w:t xml:space="preserve">an operator of an airport may submit to the </w:t>
      </w:r>
      <w:r w:rsidR="00EA340A">
        <w:rPr>
          <w:rFonts w:cs="Times New Roman"/>
          <w:color w:val="auto"/>
        </w:rPr>
        <w:t xml:space="preserve">TSA </w:t>
      </w:r>
      <w:r w:rsidRPr="004F41B3">
        <w:rPr>
          <w:rFonts w:cs="Times New Roman"/>
          <w:color w:val="auto"/>
        </w:rPr>
        <w:t xml:space="preserve">Administrator an application </w:t>
      </w:r>
      <w:r w:rsidR="00A80F19">
        <w:rPr>
          <w:rFonts w:cs="Times New Roman"/>
          <w:color w:val="auto"/>
        </w:rPr>
        <w:t xml:space="preserve">requesting </w:t>
      </w:r>
      <w:r w:rsidRPr="004F41B3">
        <w:rPr>
          <w:rFonts w:cs="Times New Roman"/>
          <w:color w:val="auto"/>
        </w:rPr>
        <w:t xml:space="preserve">to have the screening of passengers and property at the airport under </w:t>
      </w:r>
      <w:r w:rsidR="00A80F19" w:rsidRPr="00D562BD">
        <w:rPr>
          <w:rFonts w:cs="Times New Roman"/>
          <w:color w:val="auto"/>
        </w:rPr>
        <w:t xml:space="preserve">49 U.S.C. </w:t>
      </w:r>
      <w:r w:rsidR="009809DB" w:rsidRPr="004F41B3">
        <w:rPr>
          <w:rFonts w:cs="Times New Roman"/>
          <w:color w:val="auto"/>
        </w:rPr>
        <w:t>44901</w:t>
      </w:r>
      <w:r w:rsidRPr="004F41B3">
        <w:rPr>
          <w:rFonts w:cs="Times New Roman"/>
          <w:color w:val="auto"/>
        </w:rPr>
        <w:t xml:space="preserve"> carried out by the screening personnel of a qualified private screening company under a contract entered into with the Administrator for </w:t>
      </w:r>
      <w:r w:rsidR="007564BD">
        <w:rPr>
          <w:rFonts w:cs="Times New Roman"/>
          <w:color w:val="auto"/>
        </w:rPr>
        <w:t>TSA.</w:t>
      </w:r>
      <w:r w:rsidRPr="004F41B3">
        <w:rPr>
          <w:rFonts w:cs="Times New Roman"/>
          <w:color w:val="auto"/>
        </w:rPr>
        <w:t xml:space="preserve">  The </w:t>
      </w:r>
      <w:r w:rsidR="000F2FEF">
        <w:rPr>
          <w:rFonts w:cs="Times New Roman"/>
          <w:color w:val="auto"/>
        </w:rPr>
        <w:t>a</w:t>
      </w:r>
      <w:r w:rsidRPr="004F41B3">
        <w:rPr>
          <w:rFonts w:cs="Times New Roman"/>
          <w:color w:val="auto"/>
        </w:rPr>
        <w:t xml:space="preserve">irport </w:t>
      </w:r>
      <w:r w:rsidR="000F2FEF">
        <w:rPr>
          <w:rFonts w:cs="Times New Roman"/>
          <w:color w:val="auto"/>
        </w:rPr>
        <w:t xml:space="preserve">operator </w:t>
      </w:r>
      <w:r w:rsidRPr="004F41B3">
        <w:rPr>
          <w:rFonts w:cs="Times New Roman"/>
          <w:color w:val="auto"/>
        </w:rPr>
        <w:t xml:space="preserve">application is used to identify basic information from the authorized requestor.  This application </w:t>
      </w:r>
      <w:r w:rsidR="00275F16">
        <w:rPr>
          <w:rFonts w:cs="Times New Roman"/>
          <w:color w:val="auto"/>
        </w:rPr>
        <w:t>is</w:t>
      </w:r>
      <w:r w:rsidRPr="004F41B3">
        <w:rPr>
          <w:rFonts w:cs="Times New Roman"/>
          <w:color w:val="auto"/>
        </w:rPr>
        <w:t xml:space="preserve"> reviewed by TSA</w:t>
      </w:r>
      <w:r w:rsidR="00D562BD">
        <w:rPr>
          <w:rFonts w:cs="Times New Roman"/>
          <w:color w:val="auto"/>
        </w:rPr>
        <w:t>’</w:t>
      </w:r>
      <w:r w:rsidRPr="004F41B3">
        <w:rPr>
          <w:rFonts w:cs="Times New Roman"/>
          <w:color w:val="auto"/>
        </w:rPr>
        <w:t xml:space="preserve">s SPP and granted approval or denial within 120 </w:t>
      </w:r>
      <w:r w:rsidR="00A80F19">
        <w:rPr>
          <w:rFonts w:cs="Times New Roman"/>
          <w:color w:val="auto"/>
        </w:rPr>
        <w:t xml:space="preserve">calendar </w:t>
      </w:r>
      <w:r w:rsidRPr="004F41B3">
        <w:rPr>
          <w:rFonts w:cs="Times New Roman"/>
          <w:color w:val="auto"/>
        </w:rPr>
        <w:t xml:space="preserve">days of receipt.  </w:t>
      </w:r>
      <w:r w:rsidR="00EA340A">
        <w:rPr>
          <w:rFonts w:cs="Times New Roman"/>
          <w:color w:val="auto"/>
        </w:rPr>
        <w:t xml:space="preserve">If the SPP application is approved by TSA, </w:t>
      </w:r>
      <w:r w:rsidR="00F61F66">
        <w:rPr>
          <w:rFonts w:cs="Times New Roman"/>
          <w:color w:val="auto"/>
        </w:rPr>
        <w:t>TSA will enter into a contract with a qualified private screening company (SPP Contractors) for the airport.</w:t>
      </w:r>
      <w:r w:rsidR="00166B05">
        <w:rPr>
          <w:rFonts w:cs="Times New Roman"/>
          <w:color w:val="auto"/>
        </w:rPr>
        <w:t xml:space="preserve"> Under 44920(b)(3)(B), TSA is also required to submit information to Congress regarding the approval or denial of applications.</w:t>
      </w:r>
    </w:p>
    <w:p w14:paraId="1EF7F241" w14:textId="7F99F978" w:rsidR="00320387" w:rsidRDefault="00320387" w:rsidP="003029C5">
      <w:pPr>
        <w:numPr>
          <w:ilvl w:val="12"/>
          <w:numId w:val="0"/>
        </w:numPr>
        <w:tabs>
          <w:tab w:val="left" w:pos="6324"/>
        </w:tabs>
      </w:pPr>
    </w:p>
    <w:p w14:paraId="1EF7F242" w14:textId="77777777"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1EF7F243" w14:textId="77777777" w:rsidR="00320387" w:rsidRDefault="00320387" w:rsidP="00320387">
      <w:pPr>
        <w:keepNext/>
        <w:numPr>
          <w:ilvl w:val="12"/>
          <w:numId w:val="0"/>
        </w:numPr>
        <w:ind w:left="360"/>
      </w:pPr>
    </w:p>
    <w:p w14:paraId="3C3126F5" w14:textId="6AF4601A" w:rsidR="004F41B3" w:rsidRPr="004F41B3" w:rsidRDefault="004F41B3" w:rsidP="00166B05">
      <w:pPr>
        <w:tabs>
          <w:tab w:val="left" w:pos="360"/>
        </w:tabs>
        <w:ind w:left="360"/>
        <w:rPr>
          <w:rFonts w:cs="Times New Roman"/>
          <w:color w:val="auto"/>
        </w:rPr>
      </w:pPr>
      <w:r w:rsidRPr="004F41B3">
        <w:rPr>
          <w:rFonts w:cs="Times New Roman"/>
          <w:color w:val="auto"/>
        </w:rPr>
        <w:t xml:space="preserve">The SPP application that will be </w:t>
      </w:r>
      <w:r w:rsidR="00141A59">
        <w:rPr>
          <w:rFonts w:cs="Times New Roman"/>
          <w:color w:val="auto"/>
        </w:rPr>
        <w:t>submitted</w:t>
      </w:r>
      <w:r w:rsidRPr="004F41B3">
        <w:rPr>
          <w:rFonts w:cs="Times New Roman"/>
          <w:color w:val="auto"/>
        </w:rPr>
        <w:t xml:space="preserve"> to </w:t>
      </w:r>
      <w:r w:rsidR="00275F16">
        <w:rPr>
          <w:rFonts w:cs="Times New Roman"/>
          <w:color w:val="auto"/>
        </w:rPr>
        <w:t xml:space="preserve">the airport’s Federal Security </w:t>
      </w:r>
      <w:r w:rsidR="002F559B">
        <w:rPr>
          <w:rFonts w:cs="Times New Roman"/>
          <w:color w:val="auto"/>
        </w:rPr>
        <w:t>Director</w:t>
      </w:r>
      <w:r w:rsidR="00CB0369">
        <w:rPr>
          <w:rFonts w:cs="Times New Roman"/>
          <w:color w:val="auto"/>
        </w:rPr>
        <w:t xml:space="preserve"> </w:t>
      </w:r>
      <w:r w:rsidR="0081453D" w:rsidRPr="004F41B3">
        <w:rPr>
          <w:rFonts w:cs="Times New Roman"/>
          <w:color w:val="auto"/>
        </w:rPr>
        <w:t>is two (2) page</w:t>
      </w:r>
      <w:r w:rsidR="0081453D">
        <w:rPr>
          <w:rFonts w:cs="Times New Roman"/>
          <w:color w:val="auto"/>
        </w:rPr>
        <w:t>s</w:t>
      </w:r>
      <w:r w:rsidR="0081453D" w:rsidRPr="004F41B3">
        <w:rPr>
          <w:rFonts w:cs="Times New Roman"/>
          <w:color w:val="auto"/>
        </w:rPr>
        <w:t xml:space="preserve">, </w:t>
      </w:r>
      <w:r w:rsidR="00CB0369">
        <w:rPr>
          <w:rFonts w:cs="Times New Roman"/>
          <w:color w:val="auto"/>
        </w:rPr>
        <w:t>and is</w:t>
      </w:r>
      <w:r w:rsidRPr="004F41B3">
        <w:rPr>
          <w:rFonts w:cs="Times New Roman"/>
          <w:color w:val="auto"/>
        </w:rPr>
        <w:t xml:space="preserve"> stored electronically via</w:t>
      </w:r>
      <w:r w:rsidR="00275F16">
        <w:rPr>
          <w:rFonts w:cs="Times New Roman"/>
          <w:color w:val="auto"/>
        </w:rPr>
        <w:t xml:space="preserve"> TSA’s internal </w:t>
      </w:r>
      <w:r w:rsidRPr="004F41B3">
        <w:rPr>
          <w:rFonts w:cs="Times New Roman"/>
          <w:color w:val="auto"/>
        </w:rPr>
        <w:t>iShare site.  This process directly supports the Government Paperwork Elimination Act (GPEA).</w:t>
      </w:r>
    </w:p>
    <w:p w14:paraId="1EF7F245" w14:textId="3855DBCB" w:rsidR="00320387" w:rsidRDefault="0081453D" w:rsidP="00320387">
      <w:pPr>
        <w:numPr>
          <w:ilvl w:val="12"/>
          <w:numId w:val="0"/>
        </w:numPr>
      </w:pPr>
      <w:r>
        <w:t xml:space="preserve"> </w:t>
      </w:r>
    </w:p>
    <w:p w14:paraId="1EF7F246"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EF7F247" w14:textId="77777777" w:rsidR="00320387" w:rsidRDefault="00320387" w:rsidP="00320387">
      <w:pPr>
        <w:keepNext/>
        <w:numPr>
          <w:ilvl w:val="12"/>
          <w:numId w:val="0"/>
        </w:numPr>
        <w:ind w:left="360"/>
      </w:pPr>
    </w:p>
    <w:p w14:paraId="05E1528B" w14:textId="309C196E" w:rsidR="004F41B3" w:rsidRPr="004F41B3" w:rsidRDefault="00F01AF2" w:rsidP="00166B05">
      <w:pPr>
        <w:tabs>
          <w:tab w:val="left" w:pos="360"/>
        </w:tabs>
        <w:ind w:left="360"/>
        <w:rPr>
          <w:rFonts w:cs="Times New Roman"/>
          <w:color w:val="auto"/>
        </w:rPr>
      </w:pPr>
      <w:r w:rsidRPr="00A44E8A">
        <w:rPr>
          <w:rFonts w:cs="Times New Roman"/>
        </w:rPr>
        <w:t xml:space="preserve">There is no similar information </w:t>
      </w:r>
      <w:r>
        <w:rPr>
          <w:rFonts w:cs="Times New Roman"/>
        </w:rPr>
        <w:t xml:space="preserve">already </w:t>
      </w:r>
      <w:r w:rsidRPr="00A44E8A">
        <w:rPr>
          <w:rFonts w:cs="Times New Roman"/>
        </w:rPr>
        <w:t>h</w:t>
      </w:r>
      <w:r>
        <w:rPr>
          <w:rFonts w:cs="Times New Roman"/>
        </w:rPr>
        <w:t xml:space="preserve">eld by TSA that could be used for the purpose of </w:t>
      </w:r>
      <w:r w:rsidR="00072820">
        <w:rPr>
          <w:rFonts w:cs="Times New Roman"/>
          <w:color w:val="auto"/>
        </w:rPr>
        <w:t>a</w:t>
      </w:r>
      <w:r w:rsidR="004F41B3" w:rsidRPr="004F41B3">
        <w:rPr>
          <w:rFonts w:cs="Times New Roman"/>
          <w:color w:val="auto"/>
        </w:rPr>
        <w:t>irport</w:t>
      </w:r>
      <w:r w:rsidR="00072820">
        <w:rPr>
          <w:rFonts w:cs="Times New Roman"/>
          <w:color w:val="auto"/>
        </w:rPr>
        <w:t xml:space="preserve"> operator</w:t>
      </w:r>
      <w:r w:rsidR="004F41B3" w:rsidRPr="004F41B3">
        <w:rPr>
          <w:rFonts w:cs="Times New Roman"/>
          <w:color w:val="auto"/>
        </w:rPr>
        <w:t>s submit</w:t>
      </w:r>
      <w:r>
        <w:rPr>
          <w:rFonts w:cs="Times New Roman"/>
          <w:color w:val="auto"/>
        </w:rPr>
        <w:t>ting</w:t>
      </w:r>
      <w:r w:rsidR="004F41B3" w:rsidRPr="004F41B3">
        <w:rPr>
          <w:rFonts w:cs="Times New Roman"/>
          <w:color w:val="auto"/>
        </w:rPr>
        <w:t xml:space="preserve"> applications </w:t>
      </w:r>
      <w:r>
        <w:rPr>
          <w:rFonts w:cs="Times New Roman"/>
          <w:color w:val="auto"/>
        </w:rPr>
        <w:t xml:space="preserve">to denote their </w:t>
      </w:r>
      <w:r w:rsidR="004F41B3" w:rsidRPr="004F41B3">
        <w:rPr>
          <w:rFonts w:cs="Times New Roman"/>
          <w:color w:val="auto"/>
        </w:rPr>
        <w:t>interest</w:t>
      </w:r>
      <w:r>
        <w:rPr>
          <w:rFonts w:cs="Times New Roman"/>
          <w:color w:val="auto"/>
        </w:rPr>
        <w:t xml:space="preserve">s </w:t>
      </w:r>
      <w:r w:rsidR="004F41B3" w:rsidRPr="004F41B3">
        <w:rPr>
          <w:rFonts w:cs="Times New Roman"/>
          <w:color w:val="auto"/>
        </w:rPr>
        <w:t xml:space="preserve">in converting from </w:t>
      </w:r>
      <w:r>
        <w:rPr>
          <w:rFonts w:cs="Times New Roman"/>
          <w:color w:val="auto"/>
        </w:rPr>
        <w:t xml:space="preserve">a </w:t>
      </w:r>
      <w:r w:rsidR="004F41B3" w:rsidRPr="004F41B3">
        <w:rPr>
          <w:rFonts w:cs="Times New Roman"/>
          <w:color w:val="auto"/>
        </w:rPr>
        <w:t>federal</w:t>
      </w:r>
      <w:r>
        <w:rPr>
          <w:rFonts w:cs="Times New Roman"/>
          <w:color w:val="auto"/>
        </w:rPr>
        <w:t>ly</w:t>
      </w:r>
      <w:r w:rsidR="00072820">
        <w:rPr>
          <w:rFonts w:cs="Times New Roman"/>
          <w:color w:val="auto"/>
        </w:rPr>
        <w:t>-</w:t>
      </w:r>
      <w:r>
        <w:rPr>
          <w:rFonts w:cs="Times New Roman"/>
          <w:color w:val="auto"/>
        </w:rPr>
        <w:t>supported airport</w:t>
      </w:r>
      <w:r w:rsidR="004F41B3" w:rsidRPr="004F41B3">
        <w:rPr>
          <w:rFonts w:cs="Times New Roman"/>
          <w:color w:val="auto"/>
        </w:rPr>
        <w:t xml:space="preserve"> to </w:t>
      </w:r>
      <w:r>
        <w:rPr>
          <w:rFonts w:cs="Times New Roman"/>
          <w:color w:val="auto"/>
        </w:rPr>
        <w:t xml:space="preserve">a </w:t>
      </w:r>
      <w:r w:rsidR="004F41B3" w:rsidRPr="004F41B3">
        <w:rPr>
          <w:rFonts w:cs="Times New Roman"/>
          <w:color w:val="auto"/>
        </w:rPr>
        <w:t>contract</w:t>
      </w:r>
      <w:r w:rsidR="00072820">
        <w:rPr>
          <w:rFonts w:cs="Times New Roman"/>
          <w:color w:val="auto"/>
        </w:rPr>
        <w:t>-</w:t>
      </w:r>
      <w:r w:rsidR="00B44280">
        <w:rPr>
          <w:rFonts w:cs="Times New Roman"/>
          <w:color w:val="auto"/>
        </w:rPr>
        <w:t>supported airport.</w:t>
      </w:r>
    </w:p>
    <w:p w14:paraId="1EF7F249" w14:textId="77777777" w:rsidR="00320387" w:rsidRDefault="00320387" w:rsidP="00320387">
      <w:pPr>
        <w:numPr>
          <w:ilvl w:val="12"/>
          <w:numId w:val="0"/>
        </w:numPr>
      </w:pPr>
    </w:p>
    <w:p w14:paraId="1EF7F24A"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EF7F24B" w14:textId="77777777" w:rsidR="00320387" w:rsidRDefault="00320387" w:rsidP="00320387">
      <w:pPr>
        <w:keepNext/>
        <w:numPr>
          <w:ilvl w:val="12"/>
          <w:numId w:val="0"/>
        </w:numPr>
        <w:ind w:left="360"/>
      </w:pPr>
    </w:p>
    <w:p w14:paraId="7DAC4450" w14:textId="0C569C4E" w:rsidR="00F01AF2" w:rsidRPr="00A44E8A" w:rsidRDefault="00F01AF2" w:rsidP="00F01AF2">
      <w:pPr>
        <w:numPr>
          <w:ilvl w:val="12"/>
          <w:numId w:val="0"/>
        </w:numPr>
        <w:ind w:left="360"/>
        <w:rPr>
          <w:rFonts w:cs="Times New Roman"/>
        </w:rPr>
      </w:pPr>
      <w:r w:rsidRPr="00A44E8A">
        <w:rPr>
          <w:rFonts w:cs="Times New Roman"/>
        </w:rPr>
        <w:t>This collection does not have a significant impact on a substantial number of small businesses.</w:t>
      </w:r>
    </w:p>
    <w:p w14:paraId="26CF0D73" w14:textId="2A39923F" w:rsidR="004F41B3" w:rsidRPr="004F41B3" w:rsidRDefault="004F41B3" w:rsidP="004F41B3">
      <w:pPr>
        <w:keepNext/>
        <w:tabs>
          <w:tab w:val="left" w:pos="360"/>
        </w:tabs>
        <w:ind w:left="360"/>
        <w:rPr>
          <w:rFonts w:cs="Times New Roman"/>
          <w:color w:val="auto"/>
        </w:rPr>
      </w:pPr>
    </w:p>
    <w:p w14:paraId="1EF7F24E"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EF7F24F" w14:textId="77777777" w:rsidR="00320387" w:rsidRDefault="00320387" w:rsidP="00320387">
      <w:pPr>
        <w:keepNext/>
        <w:numPr>
          <w:ilvl w:val="12"/>
          <w:numId w:val="0"/>
        </w:numPr>
        <w:ind w:left="360"/>
      </w:pPr>
    </w:p>
    <w:p w14:paraId="1D2864BA" w14:textId="29E51ABB" w:rsidR="004F41B3" w:rsidRPr="004F41B3" w:rsidRDefault="00212633" w:rsidP="00166B05">
      <w:pPr>
        <w:tabs>
          <w:tab w:val="left" w:pos="360"/>
        </w:tabs>
        <w:ind w:left="360"/>
        <w:rPr>
          <w:rFonts w:cs="Times New Roman"/>
          <w:color w:val="auto"/>
        </w:rPr>
      </w:pPr>
      <w:r>
        <w:rPr>
          <w:rFonts w:cs="Times New Roman"/>
          <w:color w:val="auto"/>
        </w:rPr>
        <w:t xml:space="preserve">Before allowing an airport to opt-out of the Federal screening requirements in 44901, TSA must first receive an application from the airport and then determine that approving the application "would not </w:t>
      </w:r>
      <w:r w:rsidR="00817312">
        <w:rPr>
          <w:rFonts w:cs="Times New Roman"/>
          <w:color w:val="auto"/>
        </w:rPr>
        <w:t>compromise</w:t>
      </w:r>
      <w:r>
        <w:rPr>
          <w:rFonts w:cs="Times New Roman"/>
          <w:color w:val="auto"/>
        </w:rPr>
        <w:t xml:space="preserve"> security or detrimentally affect the cost-efficiency or the effectiveness of the screening of passengers or property at the airport."  </w:t>
      </w:r>
      <w:r>
        <w:rPr>
          <w:rFonts w:cs="Times New Roman"/>
          <w:i/>
          <w:color w:val="auto"/>
        </w:rPr>
        <w:t xml:space="preserve">See </w:t>
      </w:r>
      <w:r>
        <w:rPr>
          <w:rFonts w:cs="Times New Roman"/>
          <w:color w:val="auto"/>
        </w:rPr>
        <w:t xml:space="preserve">49 U.S.C. 44920(a) and (b)(2).  </w:t>
      </w:r>
      <w:r w:rsidR="003D148E">
        <w:rPr>
          <w:rFonts w:cs="Times New Roman"/>
          <w:color w:val="auto"/>
        </w:rPr>
        <w:t>Without receiving the information collected through the application, TSA would not be able to meet the requirements of 49 U.S.C. 44920.</w:t>
      </w:r>
    </w:p>
    <w:p w14:paraId="1EF7F251" w14:textId="77777777" w:rsidR="00320387" w:rsidRDefault="00320387" w:rsidP="00320387">
      <w:pPr>
        <w:numPr>
          <w:ilvl w:val="12"/>
          <w:numId w:val="0"/>
        </w:numPr>
      </w:pPr>
    </w:p>
    <w:p w14:paraId="1EF7F252" w14:textId="486F541E"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r w:rsidR="0053412A">
        <w:rPr>
          <w:b/>
          <w:i/>
        </w:rPr>
        <w:t>) (</w:t>
      </w:r>
      <w:r>
        <w:rPr>
          <w:b/>
          <w:i/>
        </w:rPr>
        <w:t>2).</w:t>
      </w:r>
    </w:p>
    <w:p w14:paraId="1EF7F253" w14:textId="77777777" w:rsidR="00320387" w:rsidRDefault="00320387" w:rsidP="00320387">
      <w:pPr>
        <w:keepNext/>
        <w:numPr>
          <w:ilvl w:val="12"/>
          <w:numId w:val="0"/>
        </w:numPr>
        <w:ind w:left="360"/>
      </w:pPr>
    </w:p>
    <w:p w14:paraId="38537C04" w14:textId="44B08CD6" w:rsidR="004F41B3" w:rsidRPr="004F41B3" w:rsidRDefault="00141A59" w:rsidP="00166B05">
      <w:pPr>
        <w:tabs>
          <w:tab w:val="left" w:pos="360"/>
        </w:tabs>
        <w:ind w:left="360"/>
        <w:rPr>
          <w:rFonts w:cs="Times New Roman"/>
          <w:color w:val="auto"/>
        </w:rPr>
      </w:pPr>
      <w:r w:rsidRPr="00141A59">
        <w:rPr>
          <w:rFonts w:cs="Times New Roman"/>
          <w:color w:val="auto"/>
        </w:rPr>
        <w:t>This information collection is conducted in a manner consistent with the general information guidelines.</w:t>
      </w:r>
      <w:r w:rsidRPr="004F41B3" w:rsidDel="00141A59">
        <w:rPr>
          <w:rFonts w:cs="Times New Roman"/>
          <w:color w:val="auto"/>
        </w:rPr>
        <w:t xml:space="preserve"> </w:t>
      </w:r>
    </w:p>
    <w:p w14:paraId="1EF7F255" w14:textId="77777777" w:rsidR="00320387" w:rsidRDefault="00320387" w:rsidP="00320387">
      <w:pPr>
        <w:numPr>
          <w:ilvl w:val="12"/>
          <w:numId w:val="0"/>
        </w:numPr>
      </w:pPr>
    </w:p>
    <w:p w14:paraId="1EF7F25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F7F257" w14:textId="77777777" w:rsidR="00320387" w:rsidRDefault="00320387" w:rsidP="00320387">
      <w:pPr>
        <w:keepNext/>
        <w:numPr>
          <w:ilvl w:val="12"/>
          <w:numId w:val="0"/>
        </w:numPr>
        <w:ind w:left="360"/>
      </w:pPr>
    </w:p>
    <w:p w14:paraId="4011DEB3" w14:textId="120CD4EB" w:rsidR="00EB1FF4" w:rsidRPr="004F41B3" w:rsidRDefault="004B06F4" w:rsidP="00166B05">
      <w:pPr>
        <w:numPr>
          <w:ilvl w:val="12"/>
          <w:numId w:val="0"/>
        </w:numPr>
        <w:ind w:left="360"/>
        <w:rPr>
          <w:rFonts w:cs="Times New Roman"/>
          <w:color w:val="auto"/>
        </w:rPr>
      </w:pPr>
      <w:r>
        <w:t xml:space="preserve">TSA published </w:t>
      </w:r>
      <w:r w:rsidR="009D5415">
        <w:t>two</w:t>
      </w:r>
      <w:r>
        <w:t xml:space="preserve"> Federal Register n</w:t>
      </w:r>
      <w:r w:rsidRPr="00C25D31">
        <w:t>otice</w:t>
      </w:r>
      <w:r w:rsidR="009D5415">
        <w:t>s</w:t>
      </w:r>
      <w:r w:rsidRPr="00C25D31">
        <w:t xml:space="preserve"> </w:t>
      </w:r>
      <w:r>
        <w:t>with a 60</w:t>
      </w:r>
      <w:r w:rsidR="00072820">
        <w:t>-</w:t>
      </w:r>
      <w:r>
        <w:t xml:space="preserve">day </w:t>
      </w:r>
      <w:r w:rsidR="009D5415">
        <w:t xml:space="preserve">and </w:t>
      </w:r>
      <w:r w:rsidR="00B44280">
        <w:t xml:space="preserve">a </w:t>
      </w:r>
      <w:r w:rsidR="009D5415">
        <w:t xml:space="preserve">30-day </w:t>
      </w:r>
      <w:r>
        <w:t xml:space="preserve">comment period, </w:t>
      </w:r>
      <w:r w:rsidRPr="00C74580">
        <w:t>soliciting comments on the information collection</w:t>
      </w:r>
      <w:r>
        <w:t xml:space="preserve">.  </w:t>
      </w:r>
      <w:r w:rsidR="00EB67AF" w:rsidRPr="00F776AE">
        <w:rPr>
          <w:i/>
        </w:rPr>
        <w:t>See</w:t>
      </w:r>
      <w:r w:rsidR="00561A71" w:rsidRPr="00F776AE">
        <w:rPr>
          <w:i/>
        </w:rPr>
        <w:t xml:space="preserve"> </w:t>
      </w:r>
      <w:r w:rsidR="00561A71" w:rsidRPr="00F776AE">
        <w:t>82</w:t>
      </w:r>
      <w:r w:rsidRPr="00F776AE">
        <w:t xml:space="preserve"> FR </w:t>
      </w:r>
      <w:r w:rsidR="00F776AE" w:rsidRPr="00F776AE">
        <w:t>58650</w:t>
      </w:r>
      <w:r w:rsidRPr="00F776AE">
        <w:t xml:space="preserve"> (</w:t>
      </w:r>
      <w:r w:rsidR="00F776AE" w:rsidRPr="00F776AE">
        <w:t>December 13</w:t>
      </w:r>
      <w:r w:rsidRPr="00F776AE">
        <w:t>, 201</w:t>
      </w:r>
      <w:r w:rsidR="00561A71" w:rsidRPr="00F776AE">
        <w:t>7</w:t>
      </w:r>
      <w:r w:rsidRPr="00F776AE">
        <w:t>)</w:t>
      </w:r>
      <w:r w:rsidR="009D5415" w:rsidRPr="00F776AE">
        <w:t xml:space="preserve"> </w:t>
      </w:r>
      <w:r w:rsidR="009D5415" w:rsidRPr="00AC5588">
        <w:t>and 8</w:t>
      </w:r>
      <w:r w:rsidR="00561A71" w:rsidRPr="00AC5588">
        <w:t>3</w:t>
      </w:r>
      <w:r w:rsidR="009D5415" w:rsidRPr="00AC5588">
        <w:t xml:space="preserve"> FR </w:t>
      </w:r>
      <w:r w:rsidR="00AC5588" w:rsidRPr="00AC5588">
        <w:t>11236</w:t>
      </w:r>
      <w:r w:rsidR="009D5415" w:rsidRPr="00AC5588">
        <w:t xml:space="preserve"> (</w:t>
      </w:r>
      <w:r w:rsidR="00204725" w:rsidRPr="00AC5588">
        <w:t>March</w:t>
      </w:r>
      <w:r w:rsidR="009D5415" w:rsidRPr="00AC5588">
        <w:t xml:space="preserve"> </w:t>
      </w:r>
      <w:r w:rsidR="00AC5588" w:rsidRPr="00AC5588">
        <w:t>14</w:t>
      </w:r>
      <w:r w:rsidR="009D5415" w:rsidRPr="00AC5588">
        <w:t>, 201</w:t>
      </w:r>
      <w:r w:rsidR="00561A71" w:rsidRPr="00AC5588">
        <w:t>8</w:t>
      </w:r>
      <w:r w:rsidR="009D5415" w:rsidRPr="00AC5588">
        <w:t>).</w:t>
      </w:r>
      <w:r w:rsidR="009D5415">
        <w:t xml:space="preserve">  </w:t>
      </w:r>
      <w:r>
        <w:t>The</w:t>
      </w:r>
      <w:r w:rsidR="007564BD">
        <w:t xml:space="preserve"> agency received no comments </w:t>
      </w:r>
      <w:r w:rsidRPr="003A188F">
        <w:rPr>
          <w:color w:val="auto"/>
        </w:rPr>
        <w:t xml:space="preserve">in response to </w:t>
      </w:r>
      <w:r w:rsidR="009D5415">
        <w:rPr>
          <w:color w:val="auto"/>
        </w:rPr>
        <w:t xml:space="preserve">either of the </w:t>
      </w:r>
      <w:r>
        <w:t>notice</w:t>
      </w:r>
      <w:r w:rsidR="009D5415">
        <w:t>s</w:t>
      </w:r>
      <w:r>
        <w:t>.</w:t>
      </w:r>
    </w:p>
    <w:p w14:paraId="1EF7F25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5A"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1EF7F25B" w14:textId="77777777" w:rsidR="00320387" w:rsidRDefault="00320387" w:rsidP="00320387">
      <w:pPr>
        <w:keepNext/>
        <w:numPr>
          <w:ilvl w:val="12"/>
          <w:numId w:val="0"/>
        </w:numPr>
        <w:ind w:left="360"/>
      </w:pPr>
    </w:p>
    <w:p w14:paraId="77298C31" w14:textId="77777777" w:rsidR="004B06F4" w:rsidRDefault="004B06F4" w:rsidP="004B06F4">
      <w:pPr>
        <w:numPr>
          <w:ilvl w:val="12"/>
          <w:numId w:val="0"/>
        </w:numPr>
        <w:ind w:left="360"/>
      </w:pPr>
      <w:r>
        <w:t>No payment or gift will be provided to respondents.</w:t>
      </w:r>
    </w:p>
    <w:p w14:paraId="1EF7F25D" w14:textId="77777777" w:rsidR="00320387" w:rsidRDefault="00320387" w:rsidP="00320387">
      <w:pPr>
        <w:numPr>
          <w:ilvl w:val="12"/>
          <w:numId w:val="0"/>
        </w:numPr>
      </w:pPr>
    </w:p>
    <w:p w14:paraId="1EF7F25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EF7F25F" w14:textId="77777777" w:rsidR="00320387" w:rsidRDefault="00320387" w:rsidP="00320387">
      <w:pPr>
        <w:keepNext/>
        <w:numPr>
          <w:ilvl w:val="12"/>
          <w:numId w:val="0"/>
        </w:numPr>
        <w:ind w:left="360"/>
      </w:pPr>
    </w:p>
    <w:p w14:paraId="36AA7AC9" w14:textId="5ACDB0EB" w:rsidR="0053412A" w:rsidRPr="004F41B3" w:rsidRDefault="00240F26" w:rsidP="00166B05">
      <w:pPr>
        <w:tabs>
          <w:tab w:val="left" w:pos="360"/>
        </w:tabs>
        <w:ind w:left="360"/>
        <w:rPr>
          <w:rFonts w:cs="Times New Roman"/>
          <w:color w:val="auto"/>
        </w:rPr>
      </w:pPr>
      <w:r>
        <w:rPr>
          <w:rFonts w:cs="Times New Roman"/>
          <w:color w:val="auto"/>
        </w:rPr>
        <w:t xml:space="preserve">This information collection is covered </w:t>
      </w:r>
      <w:r w:rsidRPr="00240F26">
        <w:rPr>
          <w:rFonts w:cs="Times New Roman"/>
          <w:color w:val="auto"/>
        </w:rPr>
        <w:t>under DHS/ALL/PIA-006, DHS General Contacts List.</w:t>
      </w:r>
      <w:r>
        <w:rPr>
          <w:rFonts w:cs="Times New Roman"/>
          <w:color w:val="auto"/>
        </w:rPr>
        <w:t xml:space="preserve">  (June 15, 2007).  </w:t>
      </w:r>
      <w:r w:rsidR="003D148E">
        <w:rPr>
          <w:rFonts w:cs="Times New Roman"/>
          <w:color w:val="auto"/>
        </w:rPr>
        <w:t xml:space="preserve">As the </w:t>
      </w:r>
      <w:r w:rsidR="0053412A" w:rsidRPr="004F41B3">
        <w:rPr>
          <w:rFonts w:cs="Times New Roman"/>
          <w:color w:val="auto"/>
        </w:rPr>
        <w:t xml:space="preserve">SPP application does </w:t>
      </w:r>
      <w:r w:rsidR="003D148E">
        <w:rPr>
          <w:rFonts w:cs="Times New Roman"/>
          <w:color w:val="auto"/>
        </w:rPr>
        <w:t>not request either</w:t>
      </w:r>
      <w:r w:rsidR="0053412A" w:rsidRPr="004F41B3">
        <w:rPr>
          <w:rFonts w:cs="Times New Roman"/>
          <w:color w:val="auto"/>
        </w:rPr>
        <w:t xml:space="preserve"> </w:t>
      </w:r>
      <w:r w:rsidR="00B44280">
        <w:rPr>
          <w:rFonts w:cs="Times New Roman"/>
          <w:color w:val="auto"/>
        </w:rPr>
        <w:t>p</w:t>
      </w:r>
      <w:r w:rsidR="00B44280" w:rsidRPr="00B44280">
        <w:rPr>
          <w:rFonts w:cs="Times New Roman"/>
          <w:color w:val="auto"/>
        </w:rPr>
        <w:t xml:space="preserve">ersonally identifiable information </w:t>
      </w:r>
      <w:r w:rsidR="00B44280">
        <w:rPr>
          <w:rFonts w:cs="Times New Roman"/>
          <w:color w:val="auto"/>
        </w:rPr>
        <w:t>(</w:t>
      </w:r>
      <w:r w:rsidR="0053412A" w:rsidRPr="004F41B3">
        <w:rPr>
          <w:rFonts w:cs="Times New Roman"/>
          <w:color w:val="auto"/>
        </w:rPr>
        <w:t>PII</w:t>
      </w:r>
      <w:r w:rsidR="00B44280">
        <w:rPr>
          <w:rFonts w:cs="Times New Roman"/>
          <w:color w:val="auto"/>
        </w:rPr>
        <w:t>)</w:t>
      </w:r>
      <w:r w:rsidR="0053412A" w:rsidRPr="004F41B3">
        <w:rPr>
          <w:rFonts w:cs="Times New Roman"/>
          <w:color w:val="auto"/>
        </w:rPr>
        <w:t xml:space="preserve"> or classified information</w:t>
      </w:r>
      <w:r w:rsidR="003D148E">
        <w:rPr>
          <w:rFonts w:cs="Times New Roman"/>
          <w:color w:val="auto"/>
        </w:rPr>
        <w:t xml:space="preserve">, no </w:t>
      </w:r>
      <w:r w:rsidR="0053412A" w:rsidRPr="004F41B3">
        <w:rPr>
          <w:rFonts w:cs="Times New Roman"/>
          <w:color w:val="auto"/>
        </w:rPr>
        <w:t>special handling or protection is required.</w:t>
      </w:r>
      <w:r>
        <w:rPr>
          <w:rFonts w:cs="Times New Roman"/>
          <w:color w:val="auto"/>
        </w:rPr>
        <w:t xml:space="preserve">  </w:t>
      </w:r>
    </w:p>
    <w:p w14:paraId="1EF7F261" w14:textId="77777777" w:rsidR="00320387" w:rsidRDefault="00320387" w:rsidP="00320387">
      <w:pPr>
        <w:numPr>
          <w:ilvl w:val="12"/>
          <w:numId w:val="0"/>
        </w:numPr>
      </w:pPr>
    </w:p>
    <w:p w14:paraId="1EF7F262"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EF7F263" w14:textId="77777777" w:rsidR="00320387" w:rsidRDefault="00320387" w:rsidP="00166B05">
      <w:pPr>
        <w:keepNext/>
        <w:numPr>
          <w:ilvl w:val="12"/>
          <w:numId w:val="0"/>
        </w:numPr>
        <w:ind w:left="360"/>
      </w:pPr>
    </w:p>
    <w:p w14:paraId="66952CE0" w14:textId="307A3B43" w:rsidR="004B06F4" w:rsidRPr="00A44E8A" w:rsidRDefault="004B06F4" w:rsidP="003A188F">
      <w:pPr>
        <w:numPr>
          <w:ilvl w:val="12"/>
          <w:numId w:val="0"/>
        </w:numPr>
        <w:ind w:left="360"/>
        <w:rPr>
          <w:rFonts w:cs="Times New Roman"/>
        </w:rPr>
      </w:pPr>
      <w:r w:rsidRPr="00A44E8A">
        <w:rPr>
          <w:rFonts w:cs="Times New Roman"/>
        </w:rPr>
        <w:t>TSA does not ask any questions of a sensitive nature.</w:t>
      </w:r>
    </w:p>
    <w:p w14:paraId="018C21AC" w14:textId="4261BBB8" w:rsidR="00320387" w:rsidRPr="00DC3552" w:rsidRDefault="00320387" w:rsidP="00DC3552">
      <w:pPr>
        <w:tabs>
          <w:tab w:val="left" w:pos="5955"/>
        </w:tabs>
      </w:pPr>
    </w:p>
    <w:p w14:paraId="41FDFF7E" w14:textId="11F1E849" w:rsidR="006F0B33" w:rsidRDefault="00320387" w:rsidP="000C2FC6">
      <w:pPr>
        <w:keepNext/>
        <w:numPr>
          <w:ilvl w:val="0"/>
          <w:numId w:val="1"/>
        </w:numPr>
        <w:tabs>
          <w:tab w:val="left" w:pos="360"/>
        </w:tabs>
        <w:rPr>
          <w:b/>
          <w:i/>
        </w:rPr>
      </w:pPr>
      <w:r>
        <w:rPr>
          <w:b/>
          <w:i/>
        </w:rPr>
        <w:t>Provide estimates of hour</w:t>
      </w:r>
      <w:r w:rsidR="00907FB7">
        <w:rPr>
          <w:b/>
          <w:i/>
        </w:rPr>
        <w:t xml:space="preserve"> and cost </w:t>
      </w:r>
      <w:r>
        <w:rPr>
          <w:b/>
          <w:i/>
        </w:rPr>
        <w:t>burden of the collection of information.</w:t>
      </w:r>
    </w:p>
    <w:p w14:paraId="5A3BB28B" w14:textId="77777777" w:rsidR="006F0B33" w:rsidRDefault="006F0B33" w:rsidP="00561A71">
      <w:pPr>
        <w:keepNext/>
        <w:tabs>
          <w:tab w:val="left" w:pos="360"/>
        </w:tabs>
        <w:rPr>
          <w:rFonts w:cs="Times New Roman"/>
          <w:color w:val="auto"/>
        </w:rPr>
      </w:pPr>
    </w:p>
    <w:p w14:paraId="76B773B3" w14:textId="3CE30C46" w:rsidR="006F0B33" w:rsidRPr="00561A71" w:rsidRDefault="006F0B33" w:rsidP="00166B05">
      <w:pPr>
        <w:tabs>
          <w:tab w:val="left" w:pos="360"/>
        </w:tabs>
        <w:ind w:left="360"/>
        <w:rPr>
          <w:rFonts w:cs="Times New Roman"/>
          <w:color w:val="auto"/>
        </w:rPr>
      </w:pPr>
      <w:r w:rsidRPr="00561A71">
        <w:rPr>
          <w:rFonts w:cs="Times New Roman"/>
          <w:color w:val="auto"/>
        </w:rPr>
        <w:t xml:space="preserve">TSA estimates the annual hour burden associated with completing and submitting the application for the </w:t>
      </w:r>
      <w:r w:rsidR="00B44280">
        <w:rPr>
          <w:rFonts w:cs="Times New Roman"/>
          <w:color w:val="auto"/>
        </w:rPr>
        <w:t>SPP</w:t>
      </w:r>
      <w:r w:rsidRPr="00561A71">
        <w:rPr>
          <w:rFonts w:cs="Times New Roman"/>
          <w:color w:val="auto"/>
        </w:rPr>
        <w:t xml:space="preserve">, covered by this information collection, to be one-quarter hour (0.25 hours) per respondent. </w:t>
      </w:r>
      <w:r w:rsidR="00B44280">
        <w:rPr>
          <w:rFonts w:cs="Times New Roman"/>
          <w:color w:val="auto"/>
        </w:rPr>
        <w:t xml:space="preserve"> </w:t>
      </w:r>
      <w:r w:rsidRPr="00561A71">
        <w:rPr>
          <w:rFonts w:cs="Times New Roman"/>
          <w:color w:val="auto"/>
        </w:rPr>
        <w:t xml:space="preserve">TSA estimates that two airports will respond annually, though it would be possible that </w:t>
      </w:r>
      <w:r w:rsidR="00B44280">
        <w:rPr>
          <w:rFonts w:cs="Times New Roman"/>
          <w:color w:val="auto"/>
        </w:rPr>
        <w:t>10</w:t>
      </w:r>
      <w:r w:rsidR="00B44280" w:rsidRPr="00561A71">
        <w:rPr>
          <w:rFonts w:cs="Times New Roman"/>
          <w:color w:val="auto"/>
        </w:rPr>
        <w:t xml:space="preserve"> </w:t>
      </w:r>
      <w:r w:rsidRPr="00561A71">
        <w:rPr>
          <w:rFonts w:cs="Times New Roman"/>
          <w:color w:val="auto"/>
        </w:rPr>
        <w:t>or more airports could respond to the application request</w:t>
      </w:r>
      <w:r w:rsidR="00AD2402">
        <w:rPr>
          <w:rFonts w:cs="Times New Roman"/>
          <w:color w:val="auto"/>
        </w:rPr>
        <w:t>.</w:t>
      </w:r>
      <w:r>
        <w:rPr>
          <w:rStyle w:val="FootnoteReference"/>
          <w:rFonts w:cs="Times New Roman"/>
          <w:color w:val="auto"/>
        </w:rPr>
        <w:footnoteReference w:id="1"/>
      </w:r>
      <w:r w:rsidRPr="00561A71">
        <w:rPr>
          <w:rFonts w:cs="Times New Roman"/>
          <w:color w:val="auto"/>
        </w:rPr>
        <w:t xml:space="preserve">  TSA assumes that respondent would be an Airport Director</w:t>
      </w:r>
      <w:r w:rsidR="00B44280">
        <w:rPr>
          <w:rFonts w:cs="Times New Roman"/>
          <w:color w:val="auto"/>
        </w:rPr>
        <w:t>,</w:t>
      </w:r>
      <w:r>
        <w:rPr>
          <w:rStyle w:val="FootnoteReference"/>
          <w:rFonts w:cs="Times New Roman"/>
          <w:color w:val="auto"/>
        </w:rPr>
        <w:footnoteReference w:id="2"/>
      </w:r>
      <w:r w:rsidRPr="00561A71">
        <w:rPr>
          <w:rFonts w:cs="Times New Roman"/>
          <w:color w:val="auto"/>
        </w:rPr>
        <w:t xml:space="preserve"> with a fully-loaded wage rate</w:t>
      </w:r>
      <w:r>
        <w:rPr>
          <w:rStyle w:val="FootnoteReference"/>
          <w:rFonts w:cs="Times New Roman"/>
          <w:color w:val="auto"/>
        </w:rPr>
        <w:footnoteReference w:id="3"/>
      </w:r>
      <w:r w:rsidRPr="00561A71">
        <w:rPr>
          <w:rFonts w:cs="Times New Roman"/>
          <w:color w:val="auto"/>
        </w:rPr>
        <w:t xml:space="preserve"> of $91.92</w:t>
      </w:r>
      <w:r>
        <w:rPr>
          <w:rStyle w:val="FootnoteReference"/>
          <w:rFonts w:cs="Times New Roman"/>
          <w:color w:val="auto"/>
        </w:rPr>
        <w:footnoteReference w:id="4"/>
      </w:r>
      <w:r w:rsidRPr="00561A71">
        <w:rPr>
          <w:rFonts w:cs="Times New Roman"/>
          <w:color w:val="auto"/>
        </w:rPr>
        <w:t>.</w:t>
      </w:r>
    </w:p>
    <w:p w14:paraId="21882C93" w14:textId="77777777" w:rsidR="006F0B33" w:rsidRDefault="006F0B33" w:rsidP="00166B05">
      <w:pPr>
        <w:tabs>
          <w:tab w:val="left" w:pos="360"/>
        </w:tabs>
        <w:rPr>
          <w:rFonts w:cs="Times New Roman"/>
          <w:color w:val="auto"/>
        </w:rPr>
      </w:pPr>
    </w:p>
    <w:p w14:paraId="70727C20" w14:textId="329E27E7" w:rsidR="006F0B33" w:rsidRDefault="006F0B33" w:rsidP="00907FB7">
      <w:pPr>
        <w:keepNext/>
        <w:tabs>
          <w:tab w:val="left" w:pos="360"/>
        </w:tabs>
        <w:ind w:left="360"/>
        <w:rPr>
          <w:rFonts w:cs="Times New Roman"/>
          <w:color w:val="auto"/>
        </w:rPr>
      </w:pPr>
      <w:r w:rsidRPr="00561A71">
        <w:rPr>
          <w:rFonts w:cs="Times New Roman"/>
          <w:color w:val="auto"/>
        </w:rPr>
        <w:t xml:space="preserve">TSA estimates a total hour burden cost to the public of $137.88 for the three-year approval window, with an average annual estimated cost of $45.96. </w:t>
      </w:r>
      <w:r w:rsidR="000C2FC6">
        <w:rPr>
          <w:rFonts w:cs="Times New Roman"/>
          <w:color w:val="auto"/>
        </w:rPr>
        <w:t xml:space="preserve"> </w:t>
      </w:r>
      <w:r w:rsidRPr="00561A71">
        <w:rPr>
          <w:rFonts w:cs="Times New Roman"/>
          <w:color w:val="auto"/>
        </w:rPr>
        <w:t>Table 1 summarizes the annual hour burden cost calculations.</w:t>
      </w:r>
    </w:p>
    <w:p w14:paraId="74EEB892" w14:textId="77777777" w:rsidR="00BD4A1A" w:rsidRPr="00561A71" w:rsidRDefault="00BD4A1A" w:rsidP="00561A71">
      <w:pPr>
        <w:keepNext/>
        <w:tabs>
          <w:tab w:val="left" w:pos="360"/>
        </w:tabs>
        <w:rPr>
          <w:rFonts w:cs="Times New Roman"/>
          <w:color w:val="auto"/>
        </w:rPr>
      </w:pPr>
    </w:p>
    <w:tbl>
      <w:tblPr>
        <w:tblW w:w="5000" w:type="pct"/>
        <w:tblInd w:w="612" w:type="dxa"/>
        <w:tblLook w:val="04A0" w:firstRow="1" w:lastRow="0" w:firstColumn="1" w:lastColumn="0" w:noHBand="0" w:noVBand="1"/>
      </w:tblPr>
      <w:tblGrid>
        <w:gridCol w:w="4709"/>
        <w:gridCol w:w="1444"/>
        <w:gridCol w:w="1466"/>
        <w:gridCol w:w="1957"/>
      </w:tblGrid>
      <w:tr w:rsidR="006F0B33" w:rsidRPr="00B44280" w14:paraId="67A7D82C" w14:textId="77777777" w:rsidTr="00907FB7">
        <w:trPr>
          <w:trHeight w:val="315"/>
        </w:trPr>
        <w:tc>
          <w:tcPr>
            <w:tcW w:w="5000" w:type="pct"/>
            <w:gridSpan w:val="4"/>
            <w:tcBorders>
              <w:top w:val="nil"/>
              <w:left w:val="nil"/>
              <w:bottom w:val="nil"/>
              <w:right w:val="nil"/>
            </w:tcBorders>
            <w:shd w:val="clear" w:color="auto" w:fill="auto"/>
            <w:noWrap/>
            <w:vAlign w:val="bottom"/>
            <w:hideMark/>
          </w:tcPr>
          <w:p w14:paraId="7310D427" w14:textId="77777777" w:rsidR="006F0B33" w:rsidRPr="00B44280" w:rsidRDefault="006F0B33" w:rsidP="00D65872">
            <w:pPr>
              <w:rPr>
                <w:rFonts w:cs="Times New Roman"/>
                <w:b/>
                <w:szCs w:val="24"/>
              </w:rPr>
            </w:pPr>
            <w:r w:rsidRPr="00B44280">
              <w:rPr>
                <w:rFonts w:cs="Times New Roman"/>
                <w:b/>
                <w:szCs w:val="24"/>
              </w:rPr>
              <w:t>Table 1: Hour Burden and Hour Burden Cost for Respondents</w:t>
            </w:r>
          </w:p>
        </w:tc>
      </w:tr>
      <w:tr w:rsidR="006F0B33" w:rsidRPr="00B44280" w14:paraId="316CF190" w14:textId="77777777" w:rsidTr="00907FB7">
        <w:trPr>
          <w:trHeight w:val="900"/>
        </w:trPr>
        <w:tc>
          <w:tcPr>
            <w:tcW w:w="2597" w:type="pct"/>
            <w:vMerge w:val="restart"/>
            <w:tcBorders>
              <w:top w:val="single" w:sz="8" w:space="0" w:color="auto"/>
              <w:left w:val="single" w:sz="8" w:space="0" w:color="auto"/>
              <w:bottom w:val="nil"/>
              <w:right w:val="single" w:sz="8" w:space="0" w:color="auto"/>
            </w:tcBorders>
            <w:shd w:val="clear" w:color="000000" w:fill="A6A6A6"/>
            <w:noWrap/>
            <w:vAlign w:val="center"/>
            <w:hideMark/>
          </w:tcPr>
          <w:p w14:paraId="2D1D0181" w14:textId="77777777" w:rsidR="006F0B33" w:rsidRPr="00B44280" w:rsidRDefault="006F0B33" w:rsidP="00D65872">
            <w:pPr>
              <w:jc w:val="center"/>
              <w:rPr>
                <w:rFonts w:cs="Times New Roman"/>
                <w:szCs w:val="24"/>
              </w:rPr>
            </w:pPr>
            <w:r w:rsidRPr="00B44280">
              <w:rPr>
                <w:rFonts w:cs="Times New Roman"/>
                <w:szCs w:val="24"/>
              </w:rPr>
              <w:t>Year</w:t>
            </w:r>
          </w:p>
        </w:tc>
        <w:tc>
          <w:tcPr>
            <w:tcW w:w="737" w:type="pct"/>
            <w:tcBorders>
              <w:top w:val="single" w:sz="8" w:space="0" w:color="auto"/>
              <w:left w:val="nil"/>
              <w:bottom w:val="nil"/>
              <w:right w:val="single" w:sz="8" w:space="0" w:color="auto"/>
            </w:tcBorders>
            <w:shd w:val="clear" w:color="000000" w:fill="A6A6A6"/>
            <w:vAlign w:val="center"/>
            <w:hideMark/>
          </w:tcPr>
          <w:p w14:paraId="4CCF6C75" w14:textId="77777777" w:rsidR="006F0B33" w:rsidRPr="00B44280" w:rsidRDefault="006F0B33" w:rsidP="00D65872">
            <w:pPr>
              <w:jc w:val="center"/>
              <w:rPr>
                <w:rFonts w:cs="Times New Roman"/>
                <w:szCs w:val="24"/>
              </w:rPr>
            </w:pPr>
            <w:r w:rsidRPr="00B44280">
              <w:rPr>
                <w:rFonts w:cs="Times New Roman"/>
                <w:szCs w:val="24"/>
              </w:rPr>
              <w:t>Number Of Respondents</w:t>
            </w:r>
          </w:p>
        </w:tc>
        <w:tc>
          <w:tcPr>
            <w:tcW w:w="737" w:type="pct"/>
            <w:tcBorders>
              <w:top w:val="single" w:sz="8" w:space="0" w:color="auto"/>
              <w:left w:val="nil"/>
              <w:bottom w:val="nil"/>
              <w:right w:val="single" w:sz="8" w:space="0" w:color="auto"/>
            </w:tcBorders>
            <w:shd w:val="clear" w:color="000000" w:fill="A6A6A6"/>
            <w:vAlign w:val="center"/>
            <w:hideMark/>
          </w:tcPr>
          <w:p w14:paraId="4C809FFE" w14:textId="77777777" w:rsidR="006F0B33" w:rsidRPr="00B44280" w:rsidRDefault="006F0B33" w:rsidP="00D65872">
            <w:pPr>
              <w:jc w:val="center"/>
              <w:rPr>
                <w:rFonts w:cs="Times New Roman"/>
                <w:szCs w:val="24"/>
              </w:rPr>
            </w:pPr>
            <w:r w:rsidRPr="00B44280">
              <w:rPr>
                <w:rFonts w:cs="Times New Roman"/>
                <w:szCs w:val="24"/>
              </w:rPr>
              <w:t>Hour Burden to Respondents</w:t>
            </w:r>
          </w:p>
        </w:tc>
        <w:tc>
          <w:tcPr>
            <w:tcW w:w="928" w:type="pct"/>
            <w:tcBorders>
              <w:top w:val="single" w:sz="8" w:space="0" w:color="auto"/>
              <w:left w:val="nil"/>
              <w:bottom w:val="nil"/>
              <w:right w:val="single" w:sz="8" w:space="0" w:color="auto"/>
            </w:tcBorders>
            <w:shd w:val="clear" w:color="000000" w:fill="A6A6A6"/>
            <w:vAlign w:val="bottom"/>
            <w:hideMark/>
          </w:tcPr>
          <w:p w14:paraId="7D86A4CB" w14:textId="77777777" w:rsidR="006F0B33" w:rsidRPr="00B44280" w:rsidRDefault="006F0B33" w:rsidP="00D65872">
            <w:pPr>
              <w:jc w:val="center"/>
              <w:rPr>
                <w:rFonts w:cs="Times New Roman"/>
                <w:szCs w:val="24"/>
              </w:rPr>
            </w:pPr>
            <w:r w:rsidRPr="00B44280">
              <w:rPr>
                <w:rFonts w:cs="Times New Roman"/>
                <w:szCs w:val="24"/>
              </w:rPr>
              <w:t>Hour Burden Cost to Respondents</w:t>
            </w:r>
          </w:p>
        </w:tc>
      </w:tr>
      <w:tr w:rsidR="006F0B33" w:rsidRPr="00B44280" w14:paraId="0F54064E" w14:textId="77777777" w:rsidTr="00907FB7">
        <w:trPr>
          <w:trHeight w:val="315"/>
        </w:trPr>
        <w:tc>
          <w:tcPr>
            <w:tcW w:w="2597" w:type="pct"/>
            <w:vMerge/>
            <w:tcBorders>
              <w:top w:val="single" w:sz="8" w:space="0" w:color="auto"/>
              <w:left w:val="single" w:sz="8" w:space="0" w:color="auto"/>
              <w:bottom w:val="nil"/>
              <w:right w:val="single" w:sz="8" w:space="0" w:color="auto"/>
            </w:tcBorders>
            <w:vAlign w:val="center"/>
            <w:hideMark/>
          </w:tcPr>
          <w:p w14:paraId="3B7BF7DB" w14:textId="77777777" w:rsidR="006F0B33" w:rsidRPr="00B44280" w:rsidRDefault="006F0B33" w:rsidP="00D65872">
            <w:pPr>
              <w:rPr>
                <w:rFonts w:cs="Times New Roman"/>
                <w:szCs w:val="24"/>
              </w:rPr>
            </w:pPr>
          </w:p>
        </w:tc>
        <w:tc>
          <w:tcPr>
            <w:tcW w:w="737" w:type="pct"/>
            <w:tcBorders>
              <w:top w:val="single" w:sz="4" w:space="0" w:color="auto"/>
              <w:left w:val="nil"/>
              <w:bottom w:val="single" w:sz="8" w:space="0" w:color="auto"/>
              <w:right w:val="single" w:sz="8" w:space="0" w:color="auto"/>
            </w:tcBorders>
            <w:shd w:val="clear" w:color="000000" w:fill="A6A6A6"/>
            <w:noWrap/>
            <w:vAlign w:val="center"/>
            <w:hideMark/>
          </w:tcPr>
          <w:p w14:paraId="1DE05E88" w14:textId="77777777" w:rsidR="006F0B33" w:rsidRPr="00B44280" w:rsidRDefault="006F0B33" w:rsidP="00D65872">
            <w:pPr>
              <w:jc w:val="center"/>
              <w:rPr>
                <w:rFonts w:cs="Times New Roman"/>
                <w:szCs w:val="24"/>
              </w:rPr>
            </w:pPr>
            <w:r w:rsidRPr="00B44280">
              <w:rPr>
                <w:rFonts w:cs="Times New Roman"/>
                <w:szCs w:val="24"/>
              </w:rPr>
              <w:t>A</w:t>
            </w:r>
          </w:p>
        </w:tc>
        <w:tc>
          <w:tcPr>
            <w:tcW w:w="737" w:type="pct"/>
            <w:tcBorders>
              <w:top w:val="single" w:sz="4" w:space="0" w:color="auto"/>
              <w:left w:val="nil"/>
              <w:bottom w:val="single" w:sz="8" w:space="0" w:color="auto"/>
              <w:right w:val="single" w:sz="8" w:space="0" w:color="auto"/>
            </w:tcBorders>
            <w:shd w:val="clear" w:color="000000" w:fill="A6A6A6"/>
            <w:noWrap/>
            <w:vAlign w:val="bottom"/>
            <w:hideMark/>
          </w:tcPr>
          <w:p w14:paraId="4397564E" w14:textId="77777777" w:rsidR="006F0B33" w:rsidRPr="00B44280" w:rsidRDefault="006F0B33" w:rsidP="00D65872">
            <w:pPr>
              <w:jc w:val="center"/>
              <w:rPr>
                <w:rFonts w:cs="Times New Roman"/>
                <w:szCs w:val="24"/>
              </w:rPr>
            </w:pPr>
            <w:r w:rsidRPr="00B44280">
              <w:rPr>
                <w:rFonts w:cs="Times New Roman"/>
                <w:szCs w:val="24"/>
              </w:rPr>
              <w:t>B = A x 0.25</w:t>
            </w:r>
          </w:p>
        </w:tc>
        <w:tc>
          <w:tcPr>
            <w:tcW w:w="928" w:type="pct"/>
            <w:tcBorders>
              <w:top w:val="single" w:sz="4" w:space="0" w:color="auto"/>
              <w:left w:val="nil"/>
              <w:bottom w:val="single" w:sz="8" w:space="0" w:color="auto"/>
              <w:right w:val="single" w:sz="8" w:space="0" w:color="auto"/>
            </w:tcBorders>
            <w:shd w:val="clear" w:color="000000" w:fill="A6A6A6"/>
            <w:noWrap/>
            <w:vAlign w:val="bottom"/>
            <w:hideMark/>
          </w:tcPr>
          <w:p w14:paraId="1FD6D271" w14:textId="77777777" w:rsidR="006F0B33" w:rsidRPr="00B44280" w:rsidRDefault="006F0B33" w:rsidP="00D65872">
            <w:pPr>
              <w:rPr>
                <w:rFonts w:cs="Times New Roman"/>
                <w:szCs w:val="24"/>
              </w:rPr>
            </w:pPr>
            <w:r w:rsidRPr="00B44280">
              <w:rPr>
                <w:rFonts w:cs="Times New Roman"/>
                <w:szCs w:val="24"/>
              </w:rPr>
              <w:t>C = B x $91.92</w:t>
            </w:r>
          </w:p>
        </w:tc>
      </w:tr>
      <w:tr w:rsidR="006F0B33" w:rsidRPr="00B44280" w14:paraId="03ECF9CE" w14:textId="77777777" w:rsidTr="00907FB7">
        <w:trPr>
          <w:trHeight w:val="315"/>
        </w:trPr>
        <w:tc>
          <w:tcPr>
            <w:tcW w:w="2597" w:type="pct"/>
            <w:tcBorders>
              <w:top w:val="single" w:sz="4" w:space="0" w:color="auto"/>
              <w:left w:val="single" w:sz="8" w:space="0" w:color="auto"/>
              <w:bottom w:val="single" w:sz="4" w:space="0" w:color="auto"/>
              <w:right w:val="single" w:sz="8" w:space="0" w:color="auto"/>
            </w:tcBorders>
            <w:shd w:val="clear" w:color="000000" w:fill="A6A6A6"/>
            <w:noWrap/>
            <w:vAlign w:val="center"/>
            <w:hideMark/>
          </w:tcPr>
          <w:p w14:paraId="25829C3B" w14:textId="77777777" w:rsidR="006F0B33" w:rsidRPr="00B44280" w:rsidRDefault="006F0B33" w:rsidP="00D65872">
            <w:pPr>
              <w:jc w:val="center"/>
              <w:rPr>
                <w:rFonts w:cs="Times New Roman"/>
                <w:szCs w:val="24"/>
              </w:rPr>
            </w:pPr>
            <w:r w:rsidRPr="00B44280">
              <w:rPr>
                <w:rFonts w:cs="Times New Roman"/>
                <w:szCs w:val="24"/>
              </w:rPr>
              <w:t>2018</w:t>
            </w:r>
          </w:p>
        </w:tc>
        <w:tc>
          <w:tcPr>
            <w:tcW w:w="737" w:type="pct"/>
            <w:tcBorders>
              <w:top w:val="nil"/>
              <w:left w:val="nil"/>
              <w:bottom w:val="single" w:sz="4" w:space="0" w:color="auto"/>
              <w:right w:val="single" w:sz="4" w:space="0" w:color="auto"/>
            </w:tcBorders>
            <w:shd w:val="clear" w:color="auto" w:fill="auto"/>
            <w:noWrap/>
            <w:vAlign w:val="bottom"/>
            <w:hideMark/>
          </w:tcPr>
          <w:p w14:paraId="1EB03843" w14:textId="77777777" w:rsidR="006F0B33" w:rsidRPr="00B44280" w:rsidRDefault="006F0B33" w:rsidP="00D65872">
            <w:pPr>
              <w:jc w:val="center"/>
              <w:rPr>
                <w:rFonts w:cs="Times New Roman"/>
                <w:szCs w:val="24"/>
              </w:rPr>
            </w:pPr>
            <w:r w:rsidRPr="00B44280">
              <w:rPr>
                <w:rFonts w:cs="Times New Roman"/>
                <w:szCs w:val="24"/>
              </w:rPr>
              <w:t>2</w:t>
            </w:r>
          </w:p>
        </w:tc>
        <w:tc>
          <w:tcPr>
            <w:tcW w:w="737" w:type="pct"/>
            <w:tcBorders>
              <w:top w:val="nil"/>
              <w:left w:val="nil"/>
              <w:bottom w:val="single" w:sz="4" w:space="0" w:color="auto"/>
              <w:right w:val="single" w:sz="4" w:space="0" w:color="auto"/>
            </w:tcBorders>
            <w:shd w:val="clear" w:color="auto" w:fill="auto"/>
            <w:noWrap/>
            <w:vAlign w:val="bottom"/>
            <w:hideMark/>
          </w:tcPr>
          <w:p w14:paraId="696B17FC" w14:textId="77777777" w:rsidR="006F0B33" w:rsidRPr="00B44280" w:rsidRDefault="006F0B33" w:rsidP="00D65872">
            <w:pPr>
              <w:jc w:val="center"/>
              <w:rPr>
                <w:rFonts w:cs="Times New Roman"/>
                <w:szCs w:val="24"/>
              </w:rPr>
            </w:pPr>
            <w:r w:rsidRPr="00B44280">
              <w:rPr>
                <w:rFonts w:cs="Times New Roman"/>
                <w:szCs w:val="24"/>
              </w:rPr>
              <w:t>0.5</w:t>
            </w:r>
          </w:p>
        </w:tc>
        <w:tc>
          <w:tcPr>
            <w:tcW w:w="928" w:type="pct"/>
            <w:tcBorders>
              <w:top w:val="nil"/>
              <w:left w:val="nil"/>
              <w:bottom w:val="single" w:sz="4" w:space="0" w:color="auto"/>
              <w:right w:val="single" w:sz="8" w:space="0" w:color="auto"/>
            </w:tcBorders>
            <w:shd w:val="clear" w:color="auto" w:fill="auto"/>
            <w:noWrap/>
            <w:vAlign w:val="bottom"/>
            <w:hideMark/>
          </w:tcPr>
          <w:p w14:paraId="4C8420D9" w14:textId="77777777" w:rsidR="006F0B33" w:rsidRPr="00B44280" w:rsidRDefault="006F0B33" w:rsidP="00D65872">
            <w:pPr>
              <w:jc w:val="center"/>
              <w:rPr>
                <w:rFonts w:cs="Times New Roman"/>
                <w:szCs w:val="24"/>
              </w:rPr>
            </w:pPr>
            <w:r w:rsidRPr="00B44280">
              <w:rPr>
                <w:rFonts w:cs="Times New Roman"/>
                <w:szCs w:val="24"/>
              </w:rPr>
              <w:t xml:space="preserve"> $                 45.96 </w:t>
            </w:r>
          </w:p>
        </w:tc>
      </w:tr>
      <w:tr w:rsidR="006F0B33" w:rsidRPr="00B44280" w14:paraId="6DBB0D51" w14:textId="77777777" w:rsidTr="00907FB7">
        <w:trPr>
          <w:trHeight w:val="315"/>
        </w:trPr>
        <w:tc>
          <w:tcPr>
            <w:tcW w:w="2597" w:type="pct"/>
            <w:tcBorders>
              <w:top w:val="nil"/>
              <w:left w:val="single" w:sz="8" w:space="0" w:color="auto"/>
              <w:bottom w:val="single" w:sz="4" w:space="0" w:color="auto"/>
              <w:right w:val="single" w:sz="8" w:space="0" w:color="auto"/>
            </w:tcBorders>
            <w:shd w:val="clear" w:color="000000" w:fill="A6A6A6"/>
            <w:noWrap/>
            <w:vAlign w:val="center"/>
            <w:hideMark/>
          </w:tcPr>
          <w:p w14:paraId="35380690" w14:textId="77777777" w:rsidR="006F0B33" w:rsidRPr="00B44280" w:rsidRDefault="006F0B33" w:rsidP="00D65872">
            <w:pPr>
              <w:jc w:val="center"/>
              <w:rPr>
                <w:rFonts w:cs="Times New Roman"/>
                <w:szCs w:val="24"/>
              </w:rPr>
            </w:pPr>
            <w:r w:rsidRPr="00B44280">
              <w:rPr>
                <w:rFonts w:cs="Times New Roman"/>
                <w:szCs w:val="24"/>
              </w:rPr>
              <w:t>2019</w:t>
            </w:r>
          </w:p>
        </w:tc>
        <w:tc>
          <w:tcPr>
            <w:tcW w:w="737" w:type="pct"/>
            <w:tcBorders>
              <w:top w:val="nil"/>
              <w:left w:val="nil"/>
              <w:bottom w:val="single" w:sz="4" w:space="0" w:color="auto"/>
              <w:right w:val="single" w:sz="4" w:space="0" w:color="auto"/>
            </w:tcBorders>
            <w:shd w:val="clear" w:color="auto" w:fill="auto"/>
            <w:noWrap/>
            <w:vAlign w:val="bottom"/>
            <w:hideMark/>
          </w:tcPr>
          <w:p w14:paraId="41609B07" w14:textId="77777777" w:rsidR="006F0B33" w:rsidRPr="00B44280" w:rsidRDefault="006F0B33" w:rsidP="00D65872">
            <w:pPr>
              <w:jc w:val="center"/>
              <w:rPr>
                <w:rFonts w:cs="Times New Roman"/>
                <w:szCs w:val="24"/>
              </w:rPr>
            </w:pPr>
            <w:r w:rsidRPr="00B44280">
              <w:rPr>
                <w:rFonts w:cs="Times New Roman"/>
                <w:szCs w:val="24"/>
              </w:rPr>
              <w:t>2</w:t>
            </w:r>
          </w:p>
        </w:tc>
        <w:tc>
          <w:tcPr>
            <w:tcW w:w="737" w:type="pct"/>
            <w:tcBorders>
              <w:top w:val="single" w:sz="8" w:space="0" w:color="auto"/>
              <w:left w:val="nil"/>
              <w:bottom w:val="single" w:sz="4" w:space="0" w:color="auto"/>
              <w:right w:val="single" w:sz="4" w:space="0" w:color="auto"/>
            </w:tcBorders>
            <w:shd w:val="clear" w:color="auto" w:fill="auto"/>
            <w:noWrap/>
            <w:vAlign w:val="bottom"/>
            <w:hideMark/>
          </w:tcPr>
          <w:p w14:paraId="322837C8" w14:textId="77777777" w:rsidR="006F0B33" w:rsidRPr="00B44280" w:rsidRDefault="006F0B33" w:rsidP="00D65872">
            <w:pPr>
              <w:jc w:val="center"/>
              <w:rPr>
                <w:rFonts w:cs="Times New Roman"/>
                <w:szCs w:val="24"/>
              </w:rPr>
            </w:pPr>
            <w:r w:rsidRPr="00B44280">
              <w:rPr>
                <w:rFonts w:cs="Times New Roman"/>
                <w:szCs w:val="24"/>
              </w:rPr>
              <w:t>0.5</w:t>
            </w:r>
          </w:p>
        </w:tc>
        <w:tc>
          <w:tcPr>
            <w:tcW w:w="928" w:type="pct"/>
            <w:tcBorders>
              <w:top w:val="nil"/>
              <w:left w:val="nil"/>
              <w:bottom w:val="single" w:sz="4" w:space="0" w:color="auto"/>
              <w:right w:val="single" w:sz="8" w:space="0" w:color="auto"/>
            </w:tcBorders>
            <w:shd w:val="clear" w:color="auto" w:fill="auto"/>
            <w:noWrap/>
            <w:vAlign w:val="bottom"/>
            <w:hideMark/>
          </w:tcPr>
          <w:p w14:paraId="4BF0BE22" w14:textId="77777777" w:rsidR="006F0B33" w:rsidRPr="00B44280" w:rsidRDefault="006F0B33" w:rsidP="00D65872">
            <w:pPr>
              <w:jc w:val="center"/>
              <w:rPr>
                <w:rFonts w:cs="Times New Roman"/>
                <w:szCs w:val="24"/>
              </w:rPr>
            </w:pPr>
            <w:r w:rsidRPr="00B44280">
              <w:rPr>
                <w:rFonts w:cs="Times New Roman"/>
                <w:szCs w:val="24"/>
              </w:rPr>
              <w:t xml:space="preserve"> $                 45.96 </w:t>
            </w:r>
          </w:p>
        </w:tc>
      </w:tr>
      <w:tr w:rsidR="006F0B33" w:rsidRPr="00B44280" w14:paraId="24AB69FC" w14:textId="77777777" w:rsidTr="00907FB7">
        <w:trPr>
          <w:trHeight w:val="300"/>
        </w:trPr>
        <w:tc>
          <w:tcPr>
            <w:tcW w:w="2597" w:type="pct"/>
            <w:tcBorders>
              <w:top w:val="nil"/>
              <w:left w:val="single" w:sz="8" w:space="0" w:color="auto"/>
              <w:bottom w:val="single" w:sz="4" w:space="0" w:color="auto"/>
              <w:right w:val="single" w:sz="8" w:space="0" w:color="auto"/>
            </w:tcBorders>
            <w:shd w:val="clear" w:color="000000" w:fill="A6A6A6"/>
            <w:noWrap/>
            <w:vAlign w:val="center"/>
            <w:hideMark/>
          </w:tcPr>
          <w:p w14:paraId="3BFADD01" w14:textId="77777777" w:rsidR="006F0B33" w:rsidRPr="00B44280" w:rsidRDefault="006F0B33" w:rsidP="00D65872">
            <w:pPr>
              <w:jc w:val="center"/>
              <w:rPr>
                <w:rFonts w:cs="Times New Roman"/>
                <w:szCs w:val="24"/>
              </w:rPr>
            </w:pPr>
            <w:r w:rsidRPr="00B44280">
              <w:rPr>
                <w:rFonts w:cs="Times New Roman"/>
                <w:szCs w:val="24"/>
              </w:rPr>
              <w:t>2020</w:t>
            </w:r>
          </w:p>
        </w:tc>
        <w:tc>
          <w:tcPr>
            <w:tcW w:w="737" w:type="pct"/>
            <w:tcBorders>
              <w:top w:val="nil"/>
              <w:left w:val="nil"/>
              <w:bottom w:val="single" w:sz="4" w:space="0" w:color="auto"/>
              <w:right w:val="single" w:sz="4" w:space="0" w:color="auto"/>
            </w:tcBorders>
            <w:shd w:val="clear" w:color="auto" w:fill="auto"/>
            <w:noWrap/>
            <w:vAlign w:val="bottom"/>
            <w:hideMark/>
          </w:tcPr>
          <w:p w14:paraId="21FD3D84" w14:textId="77777777" w:rsidR="006F0B33" w:rsidRPr="00B44280" w:rsidRDefault="006F0B33" w:rsidP="00D65872">
            <w:pPr>
              <w:jc w:val="center"/>
              <w:rPr>
                <w:rFonts w:cs="Times New Roman"/>
                <w:szCs w:val="24"/>
              </w:rPr>
            </w:pPr>
            <w:r w:rsidRPr="00B44280">
              <w:rPr>
                <w:rFonts w:cs="Times New Roman"/>
                <w:szCs w:val="24"/>
              </w:rPr>
              <w:t>2</w:t>
            </w:r>
          </w:p>
        </w:tc>
        <w:tc>
          <w:tcPr>
            <w:tcW w:w="737" w:type="pct"/>
            <w:tcBorders>
              <w:top w:val="single" w:sz="8" w:space="0" w:color="auto"/>
              <w:left w:val="nil"/>
              <w:bottom w:val="single" w:sz="4" w:space="0" w:color="auto"/>
              <w:right w:val="single" w:sz="4" w:space="0" w:color="auto"/>
            </w:tcBorders>
            <w:shd w:val="clear" w:color="auto" w:fill="auto"/>
            <w:noWrap/>
            <w:vAlign w:val="bottom"/>
            <w:hideMark/>
          </w:tcPr>
          <w:p w14:paraId="0B2DB5BE" w14:textId="77777777" w:rsidR="006F0B33" w:rsidRPr="00B44280" w:rsidRDefault="006F0B33" w:rsidP="00D65872">
            <w:pPr>
              <w:jc w:val="center"/>
              <w:rPr>
                <w:rFonts w:cs="Times New Roman"/>
                <w:szCs w:val="24"/>
              </w:rPr>
            </w:pPr>
            <w:r w:rsidRPr="00B44280">
              <w:rPr>
                <w:rFonts w:cs="Times New Roman"/>
                <w:szCs w:val="24"/>
              </w:rPr>
              <w:t>0.5</w:t>
            </w:r>
          </w:p>
        </w:tc>
        <w:tc>
          <w:tcPr>
            <w:tcW w:w="928" w:type="pct"/>
            <w:tcBorders>
              <w:top w:val="nil"/>
              <w:left w:val="nil"/>
              <w:bottom w:val="single" w:sz="4" w:space="0" w:color="auto"/>
              <w:right w:val="single" w:sz="8" w:space="0" w:color="auto"/>
            </w:tcBorders>
            <w:shd w:val="clear" w:color="auto" w:fill="auto"/>
            <w:noWrap/>
            <w:vAlign w:val="bottom"/>
            <w:hideMark/>
          </w:tcPr>
          <w:p w14:paraId="73A1E3C1" w14:textId="77777777" w:rsidR="006F0B33" w:rsidRPr="00B44280" w:rsidRDefault="006F0B33" w:rsidP="00D65872">
            <w:pPr>
              <w:jc w:val="center"/>
              <w:rPr>
                <w:rFonts w:cs="Times New Roman"/>
                <w:szCs w:val="24"/>
              </w:rPr>
            </w:pPr>
            <w:r w:rsidRPr="00B44280">
              <w:rPr>
                <w:rFonts w:cs="Times New Roman"/>
                <w:szCs w:val="24"/>
              </w:rPr>
              <w:t xml:space="preserve"> $                 45.96 </w:t>
            </w:r>
          </w:p>
        </w:tc>
      </w:tr>
      <w:tr w:rsidR="006F0B33" w:rsidRPr="00B44280" w14:paraId="6A91A5AA" w14:textId="77777777" w:rsidTr="00907FB7">
        <w:trPr>
          <w:trHeight w:val="300"/>
        </w:trPr>
        <w:tc>
          <w:tcPr>
            <w:tcW w:w="2597" w:type="pct"/>
            <w:tcBorders>
              <w:top w:val="nil"/>
              <w:left w:val="single" w:sz="8" w:space="0" w:color="auto"/>
              <w:bottom w:val="single" w:sz="4" w:space="0" w:color="auto"/>
              <w:right w:val="single" w:sz="8" w:space="0" w:color="auto"/>
            </w:tcBorders>
            <w:shd w:val="clear" w:color="000000" w:fill="A6A6A6"/>
            <w:noWrap/>
            <w:vAlign w:val="center"/>
            <w:hideMark/>
          </w:tcPr>
          <w:p w14:paraId="5F0DC096" w14:textId="77777777" w:rsidR="006F0B33" w:rsidRPr="00B44280" w:rsidRDefault="006F0B33" w:rsidP="00D65872">
            <w:pPr>
              <w:jc w:val="center"/>
              <w:rPr>
                <w:rFonts w:cs="Times New Roman"/>
                <w:szCs w:val="24"/>
              </w:rPr>
            </w:pPr>
            <w:r w:rsidRPr="00B44280">
              <w:rPr>
                <w:rFonts w:cs="Times New Roman"/>
                <w:szCs w:val="24"/>
              </w:rPr>
              <w:t>Total</w:t>
            </w:r>
          </w:p>
        </w:tc>
        <w:tc>
          <w:tcPr>
            <w:tcW w:w="737" w:type="pct"/>
            <w:tcBorders>
              <w:top w:val="nil"/>
              <w:left w:val="nil"/>
              <w:bottom w:val="single" w:sz="4" w:space="0" w:color="auto"/>
              <w:right w:val="single" w:sz="4" w:space="0" w:color="auto"/>
            </w:tcBorders>
            <w:shd w:val="clear" w:color="auto" w:fill="auto"/>
            <w:noWrap/>
            <w:vAlign w:val="bottom"/>
            <w:hideMark/>
          </w:tcPr>
          <w:p w14:paraId="2DA224BE" w14:textId="77777777" w:rsidR="006F0B33" w:rsidRPr="00B44280" w:rsidRDefault="006F0B33" w:rsidP="00D65872">
            <w:pPr>
              <w:jc w:val="center"/>
              <w:rPr>
                <w:rFonts w:cs="Times New Roman"/>
                <w:szCs w:val="24"/>
              </w:rPr>
            </w:pPr>
            <w:r w:rsidRPr="00B44280">
              <w:rPr>
                <w:rFonts w:cs="Times New Roman"/>
                <w:szCs w:val="24"/>
              </w:rPr>
              <w:t>6</w:t>
            </w:r>
          </w:p>
        </w:tc>
        <w:tc>
          <w:tcPr>
            <w:tcW w:w="737" w:type="pct"/>
            <w:tcBorders>
              <w:top w:val="nil"/>
              <w:left w:val="nil"/>
              <w:bottom w:val="single" w:sz="4" w:space="0" w:color="auto"/>
              <w:right w:val="single" w:sz="4" w:space="0" w:color="auto"/>
            </w:tcBorders>
            <w:shd w:val="clear" w:color="auto" w:fill="auto"/>
            <w:noWrap/>
            <w:vAlign w:val="bottom"/>
            <w:hideMark/>
          </w:tcPr>
          <w:p w14:paraId="4068563B" w14:textId="77777777" w:rsidR="006F0B33" w:rsidRPr="00B44280" w:rsidRDefault="006F0B33" w:rsidP="00D65872">
            <w:pPr>
              <w:jc w:val="center"/>
              <w:rPr>
                <w:rFonts w:cs="Times New Roman"/>
                <w:szCs w:val="24"/>
              </w:rPr>
            </w:pPr>
            <w:r w:rsidRPr="00B44280">
              <w:rPr>
                <w:rFonts w:cs="Times New Roman"/>
                <w:szCs w:val="24"/>
              </w:rPr>
              <w:t>1.5</w:t>
            </w:r>
          </w:p>
        </w:tc>
        <w:tc>
          <w:tcPr>
            <w:tcW w:w="928" w:type="pct"/>
            <w:tcBorders>
              <w:top w:val="nil"/>
              <w:left w:val="nil"/>
              <w:bottom w:val="single" w:sz="4" w:space="0" w:color="auto"/>
              <w:right w:val="single" w:sz="8" w:space="0" w:color="auto"/>
            </w:tcBorders>
            <w:shd w:val="clear" w:color="auto" w:fill="auto"/>
            <w:noWrap/>
            <w:vAlign w:val="bottom"/>
            <w:hideMark/>
          </w:tcPr>
          <w:p w14:paraId="7DC0DAAA" w14:textId="77777777" w:rsidR="006F0B33" w:rsidRPr="00B44280" w:rsidRDefault="006F0B33" w:rsidP="00D65872">
            <w:pPr>
              <w:jc w:val="center"/>
              <w:rPr>
                <w:rFonts w:cs="Times New Roman"/>
                <w:szCs w:val="24"/>
              </w:rPr>
            </w:pPr>
            <w:r w:rsidRPr="00B44280">
              <w:rPr>
                <w:rFonts w:cs="Times New Roman"/>
                <w:szCs w:val="24"/>
              </w:rPr>
              <w:t xml:space="preserve"> $               137.88 </w:t>
            </w:r>
          </w:p>
        </w:tc>
      </w:tr>
      <w:tr w:rsidR="006F0B33" w:rsidRPr="00B44280" w14:paraId="795766A0" w14:textId="77777777" w:rsidTr="00907FB7">
        <w:trPr>
          <w:trHeight w:val="315"/>
        </w:trPr>
        <w:tc>
          <w:tcPr>
            <w:tcW w:w="2597" w:type="pct"/>
            <w:tcBorders>
              <w:top w:val="nil"/>
              <w:left w:val="single" w:sz="8" w:space="0" w:color="auto"/>
              <w:bottom w:val="single" w:sz="8" w:space="0" w:color="auto"/>
              <w:right w:val="single" w:sz="8" w:space="0" w:color="auto"/>
            </w:tcBorders>
            <w:shd w:val="clear" w:color="000000" w:fill="A6A6A6"/>
            <w:noWrap/>
            <w:vAlign w:val="center"/>
            <w:hideMark/>
          </w:tcPr>
          <w:p w14:paraId="708D58FA" w14:textId="77777777" w:rsidR="006F0B33" w:rsidRPr="00B44280" w:rsidRDefault="006F0B33" w:rsidP="00D65872">
            <w:pPr>
              <w:jc w:val="center"/>
              <w:rPr>
                <w:rFonts w:cs="Times New Roman"/>
                <w:szCs w:val="24"/>
              </w:rPr>
            </w:pPr>
            <w:r w:rsidRPr="00B44280">
              <w:rPr>
                <w:rFonts w:cs="Times New Roman"/>
                <w:szCs w:val="24"/>
              </w:rPr>
              <w:t>Annualized</w:t>
            </w:r>
          </w:p>
        </w:tc>
        <w:tc>
          <w:tcPr>
            <w:tcW w:w="737" w:type="pct"/>
            <w:tcBorders>
              <w:top w:val="nil"/>
              <w:left w:val="nil"/>
              <w:bottom w:val="single" w:sz="8" w:space="0" w:color="auto"/>
              <w:right w:val="single" w:sz="4" w:space="0" w:color="auto"/>
            </w:tcBorders>
            <w:shd w:val="clear" w:color="auto" w:fill="auto"/>
            <w:noWrap/>
            <w:vAlign w:val="bottom"/>
            <w:hideMark/>
          </w:tcPr>
          <w:p w14:paraId="799B5013" w14:textId="77777777" w:rsidR="006F0B33" w:rsidRPr="00B44280" w:rsidRDefault="006F0B33" w:rsidP="00D65872">
            <w:pPr>
              <w:jc w:val="center"/>
              <w:rPr>
                <w:rFonts w:cs="Times New Roman"/>
                <w:szCs w:val="24"/>
              </w:rPr>
            </w:pPr>
            <w:r w:rsidRPr="00B44280">
              <w:rPr>
                <w:rFonts w:cs="Times New Roman"/>
                <w:szCs w:val="24"/>
              </w:rPr>
              <w:t>2</w:t>
            </w:r>
          </w:p>
        </w:tc>
        <w:tc>
          <w:tcPr>
            <w:tcW w:w="737" w:type="pct"/>
            <w:tcBorders>
              <w:top w:val="nil"/>
              <w:left w:val="nil"/>
              <w:bottom w:val="single" w:sz="8" w:space="0" w:color="auto"/>
              <w:right w:val="single" w:sz="4" w:space="0" w:color="auto"/>
            </w:tcBorders>
            <w:shd w:val="clear" w:color="auto" w:fill="auto"/>
            <w:noWrap/>
            <w:vAlign w:val="bottom"/>
            <w:hideMark/>
          </w:tcPr>
          <w:p w14:paraId="565BE069" w14:textId="77777777" w:rsidR="006F0B33" w:rsidRPr="00B44280" w:rsidRDefault="006F0B33" w:rsidP="00D65872">
            <w:pPr>
              <w:jc w:val="center"/>
              <w:rPr>
                <w:rFonts w:cs="Times New Roman"/>
                <w:szCs w:val="24"/>
              </w:rPr>
            </w:pPr>
            <w:r w:rsidRPr="00B44280">
              <w:rPr>
                <w:rFonts w:cs="Times New Roman"/>
                <w:szCs w:val="24"/>
              </w:rPr>
              <w:t>0.5</w:t>
            </w:r>
          </w:p>
        </w:tc>
        <w:tc>
          <w:tcPr>
            <w:tcW w:w="928" w:type="pct"/>
            <w:tcBorders>
              <w:top w:val="nil"/>
              <w:left w:val="nil"/>
              <w:bottom w:val="single" w:sz="8" w:space="0" w:color="auto"/>
              <w:right w:val="single" w:sz="8" w:space="0" w:color="auto"/>
            </w:tcBorders>
            <w:shd w:val="clear" w:color="auto" w:fill="auto"/>
            <w:noWrap/>
            <w:vAlign w:val="bottom"/>
            <w:hideMark/>
          </w:tcPr>
          <w:p w14:paraId="1DBD118F" w14:textId="77777777" w:rsidR="006F0B33" w:rsidRPr="00B44280" w:rsidRDefault="006F0B33" w:rsidP="00D65872">
            <w:pPr>
              <w:jc w:val="center"/>
              <w:rPr>
                <w:rFonts w:cs="Times New Roman"/>
                <w:szCs w:val="24"/>
              </w:rPr>
            </w:pPr>
            <w:r w:rsidRPr="00B44280">
              <w:rPr>
                <w:rFonts w:cs="Times New Roman"/>
                <w:szCs w:val="24"/>
              </w:rPr>
              <w:t xml:space="preserve"> $                 45.96 </w:t>
            </w:r>
          </w:p>
        </w:tc>
      </w:tr>
    </w:tbl>
    <w:p w14:paraId="07DDD55E" w14:textId="1C02186F" w:rsidR="006F0B33" w:rsidRPr="00561A71" w:rsidRDefault="006F0B33" w:rsidP="00166B05">
      <w:pPr>
        <w:tabs>
          <w:tab w:val="left" w:pos="360"/>
        </w:tabs>
        <w:rPr>
          <w:rFonts w:cs="Times New Roman"/>
          <w:color w:val="auto"/>
        </w:rPr>
      </w:pPr>
    </w:p>
    <w:p w14:paraId="1EF7F267" w14:textId="4B20D6BE" w:rsidR="00320387" w:rsidRDefault="00320387" w:rsidP="00166B05">
      <w:pPr>
        <w:numPr>
          <w:ilvl w:val="12"/>
          <w:numId w:val="0"/>
        </w:numPr>
        <w:ind w:left="360"/>
      </w:pPr>
    </w:p>
    <w:p w14:paraId="1EF7F26A"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1EF7F26B" w14:textId="77777777" w:rsidR="00320387" w:rsidRDefault="00320387" w:rsidP="00320387">
      <w:pPr>
        <w:keepNext/>
        <w:numPr>
          <w:ilvl w:val="12"/>
          <w:numId w:val="0"/>
        </w:numPr>
        <w:ind w:left="360"/>
      </w:pPr>
    </w:p>
    <w:p w14:paraId="52C4B1B3" w14:textId="77777777" w:rsidR="006F0B33" w:rsidRDefault="006F0B33" w:rsidP="00907FB7">
      <w:pPr>
        <w:pStyle w:val="IndexHeading"/>
        <w:keepNext w:val="0"/>
        <w:numPr>
          <w:ilvl w:val="12"/>
          <w:numId w:val="0"/>
        </w:numPr>
        <w:spacing w:line="240" w:lineRule="auto"/>
        <w:ind w:left="360"/>
        <w:rPr>
          <w:rFonts w:ascii="Times New Roman" w:hAnsi="Times New Roman"/>
        </w:rPr>
      </w:pPr>
      <w:r w:rsidRPr="001472E9">
        <w:rPr>
          <w:rFonts w:ascii="Times New Roman" w:hAnsi="Times New Roman"/>
        </w:rPr>
        <w:t xml:space="preserve">Beyond the hourly burden, there are no </w:t>
      </w:r>
      <w:r>
        <w:rPr>
          <w:rFonts w:ascii="Times New Roman" w:hAnsi="Times New Roman"/>
        </w:rPr>
        <w:t xml:space="preserve">respondent or recordkeeper </w:t>
      </w:r>
      <w:r w:rsidRPr="001472E9">
        <w:rPr>
          <w:rFonts w:ascii="Times New Roman" w:hAnsi="Times New Roman"/>
        </w:rPr>
        <w:t>costs estimated for this collection</w:t>
      </w:r>
      <w:r>
        <w:rPr>
          <w:rFonts w:ascii="Times New Roman" w:hAnsi="Times New Roman"/>
        </w:rPr>
        <w:t>.</w:t>
      </w:r>
    </w:p>
    <w:p w14:paraId="1C315CBD" w14:textId="11D5D271" w:rsidR="004F41B3" w:rsidRPr="004F41B3" w:rsidRDefault="004F41B3" w:rsidP="00166B05">
      <w:pPr>
        <w:tabs>
          <w:tab w:val="left" w:pos="360"/>
        </w:tabs>
        <w:rPr>
          <w:rFonts w:cs="Times New Roman"/>
          <w:color w:val="auto"/>
        </w:rPr>
      </w:pPr>
    </w:p>
    <w:p w14:paraId="1EF7F26E" w14:textId="736543DF"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0EE9B39B" w14:textId="77777777" w:rsidR="006F0B33" w:rsidRDefault="006F0B33" w:rsidP="00561A71">
      <w:pPr>
        <w:keepNext/>
        <w:tabs>
          <w:tab w:val="left" w:pos="360"/>
        </w:tabs>
        <w:ind w:left="360"/>
        <w:rPr>
          <w:b/>
          <w:i/>
        </w:rPr>
      </w:pPr>
    </w:p>
    <w:p w14:paraId="1F45436E" w14:textId="72EB3BE7" w:rsidR="006F0B33" w:rsidRDefault="006F0B33" w:rsidP="00166B05">
      <w:pPr>
        <w:pStyle w:val="ListParagraph"/>
        <w:ind w:left="360"/>
        <w:contextualSpacing w:val="0"/>
      </w:pPr>
      <w:r>
        <w:t xml:space="preserve">TSA estimates that it will take one-half hour (0.50 hours) for one Federal Security Director (FSD) to process one application. </w:t>
      </w:r>
      <w:r w:rsidR="000C2FC6">
        <w:t xml:space="preserve"> </w:t>
      </w:r>
      <w:r>
        <w:t>TSA estimates a total annual hour burden of one hour by multiplying the number of applications TSA receives and the time to process each application (1 = 2 x 0.5).</w:t>
      </w:r>
      <w:r w:rsidR="000C2FC6">
        <w:t xml:space="preserve"> </w:t>
      </w:r>
      <w:r>
        <w:t xml:space="preserve"> The estimated fully-loaded annual salary of a TSA FSD is $208,999.</w:t>
      </w:r>
      <w:r>
        <w:rPr>
          <w:rStyle w:val="FootnoteReference"/>
        </w:rPr>
        <w:footnoteReference w:id="5"/>
      </w:r>
      <w:r>
        <w:t xml:space="preserve">  TSA estimates an hourly wage rate of $100.14.</w:t>
      </w:r>
      <w:r>
        <w:rPr>
          <w:rStyle w:val="FootnoteReference"/>
        </w:rPr>
        <w:footnoteReference w:id="6"/>
      </w:r>
      <w:r>
        <w:t xml:space="preserve">  TSA calculates the annual costs to the </w:t>
      </w:r>
      <w:r w:rsidR="000C2FC6">
        <w:t>F</w:t>
      </w:r>
      <w:r>
        <w:t xml:space="preserve">ederal </w:t>
      </w:r>
      <w:r w:rsidR="000C2FC6">
        <w:t>G</w:t>
      </w:r>
      <w:r>
        <w:t>overnment by multiplying the total annual hour burden of processing those application by the wage rate of a TSA FSD.</w:t>
      </w:r>
    </w:p>
    <w:p w14:paraId="3F3886A9" w14:textId="77777777" w:rsidR="006F0B33" w:rsidRDefault="006F0B33" w:rsidP="00166B05">
      <w:pPr>
        <w:pStyle w:val="ListParagraph"/>
        <w:ind w:left="360"/>
        <w:contextualSpacing w:val="0"/>
      </w:pPr>
    </w:p>
    <w:p w14:paraId="7CDA087B" w14:textId="50F38877" w:rsidR="006F0B33" w:rsidRDefault="006F0B33" w:rsidP="00561A71">
      <w:pPr>
        <w:pStyle w:val="ListParagraph"/>
        <w:keepNext/>
        <w:tabs>
          <w:tab w:val="left" w:pos="360"/>
        </w:tabs>
        <w:ind w:left="360"/>
        <w:rPr>
          <w:rFonts w:cs="Times New Roman"/>
          <w:color w:val="auto"/>
        </w:rPr>
      </w:pPr>
      <w:r w:rsidRPr="006F0B33">
        <w:rPr>
          <w:rFonts w:cs="Times New Roman"/>
          <w:color w:val="auto"/>
        </w:rPr>
        <w:t xml:space="preserve">TSA estimates a total hour burden cost to the </w:t>
      </w:r>
      <w:r w:rsidR="000C2FC6">
        <w:rPr>
          <w:rFonts w:cs="Times New Roman"/>
          <w:color w:val="auto"/>
        </w:rPr>
        <w:t>F</w:t>
      </w:r>
      <w:r w:rsidRPr="006F0B33">
        <w:rPr>
          <w:rFonts w:cs="Times New Roman"/>
          <w:color w:val="auto"/>
        </w:rPr>
        <w:t xml:space="preserve">ederal </w:t>
      </w:r>
      <w:r w:rsidR="000C2FC6">
        <w:rPr>
          <w:rFonts w:cs="Times New Roman"/>
          <w:color w:val="auto"/>
        </w:rPr>
        <w:t>G</w:t>
      </w:r>
      <w:r w:rsidRPr="006F0B33">
        <w:rPr>
          <w:rFonts w:cs="Times New Roman"/>
          <w:color w:val="auto"/>
        </w:rPr>
        <w:t>overnment of $300.43 for the three-year approval window, with an average annual estimated cost of $100.14. Table 2 summarizes the federal government cost calculations.</w:t>
      </w:r>
    </w:p>
    <w:p w14:paraId="29C71413" w14:textId="77777777" w:rsidR="00B430B6" w:rsidRDefault="00B430B6" w:rsidP="00561A71">
      <w:pPr>
        <w:pStyle w:val="ListParagraph"/>
        <w:keepNext/>
        <w:tabs>
          <w:tab w:val="left" w:pos="360"/>
        </w:tabs>
        <w:ind w:left="360"/>
        <w:rPr>
          <w:rFonts w:cs="Times New Roman"/>
          <w:color w:val="auto"/>
        </w:rPr>
      </w:pPr>
    </w:p>
    <w:p w14:paraId="1C87C63C" w14:textId="77777777" w:rsidR="00B44280" w:rsidRPr="00561A71" w:rsidRDefault="00B44280" w:rsidP="00561A71">
      <w:pPr>
        <w:pStyle w:val="ListParagraph"/>
        <w:keepNext/>
        <w:tabs>
          <w:tab w:val="left" w:pos="360"/>
        </w:tabs>
        <w:ind w:left="360"/>
        <w:rPr>
          <w:rFonts w:cs="Times New Roman"/>
          <w:color w:val="auto"/>
        </w:rPr>
      </w:pPr>
    </w:p>
    <w:tbl>
      <w:tblPr>
        <w:tblW w:w="9360" w:type="dxa"/>
        <w:tblInd w:w="612" w:type="dxa"/>
        <w:tblLook w:val="04A0" w:firstRow="1" w:lastRow="0" w:firstColumn="1" w:lastColumn="0" w:noHBand="0" w:noVBand="1"/>
      </w:tblPr>
      <w:tblGrid>
        <w:gridCol w:w="1231"/>
        <w:gridCol w:w="2287"/>
        <w:gridCol w:w="2692"/>
        <w:gridCol w:w="3150"/>
      </w:tblGrid>
      <w:tr w:rsidR="006F0B33" w:rsidRPr="00B44280" w14:paraId="1573A652" w14:textId="77777777" w:rsidTr="00907FB7">
        <w:trPr>
          <w:trHeight w:val="315"/>
        </w:trPr>
        <w:tc>
          <w:tcPr>
            <w:tcW w:w="0" w:type="auto"/>
            <w:gridSpan w:val="4"/>
            <w:tcBorders>
              <w:top w:val="nil"/>
              <w:left w:val="nil"/>
              <w:bottom w:val="nil"/>
              <w:right w:val="nil"/>
            </w:tcBorders>
            <w:shd w:val="clear" w:color="auto" w:fill="auto"/>
            <w:noWrap/>
            <w:vAlign w:val="bottom"/>
            <w:hideMark/>
          </w:tcPr>
          <w:p w14:paraId="53844C65" w14:textId="2D0A957A" w:rsidR="006F0B33" w:rsidRPr="00B44280" w:rsidRDefault="006F0B33" w:rsidP="00D65872">
            <w:pPr>
              <w:rPr>
                <w:rFonts w:cs="Times New Roman"/>
                <w:b/>
                <w:sz w:val="22"/>
                <w:szCs w:val="22"/>
              </w:rPr>
            </w:pPr>
            <w:r w:rsidRPr="00B44280">
              <w:rPr>
                <w:rFonts w:cs="Times New Roman"/>
                <w:b/>
                <w:sz w:val="22"/>
                <w:szCs w:val="22"/>
              </w:rPr>
              <w:t>Table 2: TSA Hour Burden and Hour Burden Costs</w:t>
            </w:r>
          </w:p>
        </w:tc>
      </w:tr>
      <w:tr w:rsidR="006F0B33" w:rsidRPr="00B44280" w14:paraId="5B5421B2" w14:textId="77777777" w:rsidTr="00907FB7">
        <w:trPr>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10C05349" w14:textId="77777777" w:rsidR="006F0B33" w:rsidRPr="00B44280" w:rsidRDefault="006F0B33" w:rsidP="00D65872">
            <w:pPr>
              <w:jc w:val="center"/>
              <w:rPr>
                <w:rFonts w:cs="Times New Roman"/>
                <w:sz w:val="22"/>
                <w:szCs w:val="22"/>
              </w:rPr>
            </w:pPr>
            <w:r w:rsidRPr="00B44280">
              <w:rPr>
                <w:rFonts w:cs="Times New Roman"/>
                <w:sz w:val="22"/>
                <w:szCs w:val="22"/>
              </w:rPr>
              <w:t>Year</w:t>
            </w:r>
          </w:p>
        </w:tc>
        <w:tc>
          <w:tcPr>
            <w:tcW w:w="0" w:type="auto"/>
            <w:tcBorders>
              <w:top w:val="single" w:sz="8" w:space="0" w:color="auto"/>
              <w:left w:val="nil"/>
              <w:bottom w:val="single" w:sz="4" w:space="0" w:color="auto"/>
              <w:right w:val="single" w:sz="4" w:space="0" w:color="auto"/>
            </w:tcBorders>
            <w:shd w:val="clear" w:color="000000" w:fill="A6A6A6"/>
            <w:vAlign w:val="bottom"/>
            <w:hideMark/>
          </w:tcPr>
          <w:p w14:paraId="3D47D38A" w14:textId="77777777" w:rsidR="006F0B33" w:rsidRPr="00B44280" w:rsidRDefault="006F0B33" w:rsidP="00D65872">
            <w:pPr>
              <w:jc w:val="center"/>
              <w:rPr>
                <w:rFonts w:cs="Times New Roman"/>
                <w:sz w:val="22"/>
                <w:szCs w:val="22"/>
              </w:rPr>
            </w:pPr>
            <w:r w:rsidRPr="00B44280">
              <w:rPr>
                <w:rFonts w:cs="Times New Roman"/>
                <w:sz w:val="22"/>
                <w:szCs w:val="22"/>
              </w:rPr>
              <w:t>Number of Applications</w:t>
            </w:r>
          </w:p>
        </w:tc>
        <w:tc>
          <w:tcPr>
            <w:tcW w:w="0" w:type="auto"/>
            <w:tcBorders>
              <w:top w:val="single" w:sz="8" w:space="0" w:color="auto"/>
              <w:left w:val="nil"/>
              <w:bottom w:val="single" w:sz="4" w:space="0" w:color="auto"/>
              <w:right w:val="single" w:sz="4" w:space="0" w:color="auto"/>
            </w:tcBorders>
            <w:shd w:val="clear" w:color="000000" w:fill="A6A6A6"/>
            <w:vAlign w:val="bottom"/>
            <w:hideMark/>
          </w:tcPr>
          <w:p w14:paraId="078B1B92" w14:textId="77777777" w:rsidR="006F0B33" w:rsidRPr="00B44280" w:rsidRDefault="006F0B33" w:rsidP="00D65872">
            <w:pPr>
              <w:jc w:val="center"/>
              <w:rPr>
                <w:rFonts w:cs="Times New Roman"/>
                <w:sz w:val="22"/>
                <w:szCs w:val="22"/>
              </w:rPr>
            </w:pPr>
            <w:r w:rsidRPr="00B44280">
              <w:rPr>
                <w:rFonts w:cs="Times New Roman"/>
                <w:sz w:val="22"/>
                <w:szCs w:val="22"/>
              </w:rPr>
              <w:t>Hour Burden of Applications</w:t>
            </w:r>
          </w:p>
        </w:tc>
        <w:tc>
          <w:tcPr>
            <w:tcW w:w="0" w:type="auto"/>
            <w:tcBorders>
              <w:top w:val="single" w:sz="8" w:space="0" w:color="auto"/>
              <w:left w:val="nil"/>
              <w:bottom w:val="single" w:sz="4" w:space="0" w:color="auto"/>
              <w:right w:val="single" w:sz="8" w:space="0" w:color="auto"/>
            </w:tcBorders>
            <w:shd w:val="clear" w:color="000000" w:fill="A6A6A6"/>
            <w:vAlign w:val="bottom"/>
            <w:hideMark/>
          </w:tcPr>
          <w:p w14:paraId="7EAD599F" w14:textId="77777777" w:rsidR="006F0B33" w:rsidRPr="00B44280" w:rsidRDefault="006F0B33" w:rsidP="00D65872">
            <w:pPr>
              <w:jc w:val="center"/>
              <w:rPr>
                <w:rFonts w:cs="Times New Roman"/>
                <w:sz w:val="22"/>
                <w:szCs w:val="22"/>
              </w:rPr>
            </w:pPr>
            <w:r w:rsidRPr="00B44280">
              <w:rPr>
                <w:rFonts w:cs="Times New Roman"/>
                <w:sz w:val="22"/>
                <w:szCs w:val="22"/>
              </w:rPr>
              <w:t>Hour Burden Cost of Applications</w:t>
            </w:r>
          </w:p>
        </w:tc>
      </w:tr>
      <w:tr w:rsidR="006F0B33" w:rsidRPr="00B44280" w14:paraId="65BF9A7C" w14:textId="77777777" w:rsidTr="00907FB7">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9D8A19" w14:textId="77777777" w:rsidR="006F0B33" w:rsidRPr="00B44280" w:rsidRDefault="006F0B33" w:rsidP="00D65872">
            <w:pPr>
              <w:rPr>
                <w:rFonts w:cs="Times New Roman"/>
                <w:sz w:val="22"/>
                <w:szCs w:val="22"/>
              </w:rPr>
            </w:pPr>
          </w:p>
        </w:tc>
        <w:tc>
          <w:tcPr>
            <w:tcW w:w="0" w:type="auto"/>
            <w:tcBorders>
              <w:top w:val="nil"/>
              <w:left w:val="nil"/>
              <w:bottom w:val="single" w:sz="8" w:space="0" w:color="auto"/>
              <w:right w:val="single" w:sz="4" w:space="0" w:color="auto"/>
            </w:tcBorders>
            <w:shd w:val="clear" w:color="000000" w:fill="A6A6A6"/>
            <w:noWrap/>
            <w:vAlign w:val="bottom"/>
            <w:hideMark/>
          </w:tcPr>
          <w:p w14:paraId="47C7B227" w14:textId="77777777" w:rsidR="006F0B33" w:rsidRPr="00B44280" w:rsidRDefault="006F0B33" w:rsidP="00D65872">
            <w:pPr>
              <w:jc w:val="center"/>
              <w:rPr>
                <w:rFonts w:cs="Times New Roman"/>
                <w:sz w:val="22"/>
                <w:szCs w:val="22"/>
              </w:rPr>
            </w:pPr>
            <w:r w:rsidRPr="00B44280">
              <w:rPr>
                <w:rFonts w:cs="Times New Roman"/>
                <w:sz w:val="22"/>
                <w:szCs w:val="22"/>
              </w:rPr>
              <w:t>A</w:t>
            </w:r>
          </w:p>
        </w:tc>
        <w:tc>
          <w:tcPr>
            <w:tcW w:w="0" w:type="auto"/>
            <w:tcBorders>
              <w:top w:val="nil"/>
              <w:left w:val="nil"/>
              <w:bottom w:val="single" w:sz="8" w:space="0" w:color="auto"/>
              <w:right w:val="single" w:sz="4" w:space="0" w:color="auto"/>
            </w:tcBorders>
            <w:shd w:val="clear" w:color="000000" w:fill="A6A6A6"/>
            <w:noWrap/>
            <w:vAlign w:val="bottom"/>
            <w:hideMark/>
          </w:tcPr>
          <w:p w14:paraId="530A7089" w14:textId="77777777" w:rsidR="006F0B33" w:rsidRPr="00B44280" w:rsidRDefault="006F0B33" w:rsidP="00D65872">
            <w:pPr>
              <w:jc w:val="center"/>
              <w:rPr>
                <w:rFonts w:cs="Times New Roman"/>
                <w:sz w:val="22"/>
                <w:szCs w:val="22"/>
              </w:rPr>
            </w:pPr>
            <w:r w:rsidRPr="00B44280">
              <w:rPr>
                <w:rFonts w:cs="Times New Roman"/>
                <w:sz w:val="22"/>
                <w:szCs w:val="22"/>
              </w:rPr>
              <w:t>B = A x 0.5</w:t>
            </w:r>
          </w:p>
        </w:tc>
        <w:tc>
          <w:tcPr>
            <w:tcW w:w="0" w:type="auto"/>
            <w:tcBorders>
              <w:top w:val="nil"/>
              <w:left w:val="nil"/>
              <w:bottom w:val="single" w:sz="8" w:space="0" w:color="auto"/>
              <w:right w:val="single" w:sz="8" w:space="0" w:color="auto"/>
            </w:tcBorders>
            <w:shd w:val="clear" w:color="000000" w:fill="A6A6A6"/>
            <w:noWrap/>
            <w:vAlign w:val="bottom"/>
            <w:hideMark/>
          </w:tcPr>
          <w:p w14:paraId="528C26F6" w14:textId="77777777" w:rsidR="006F0B33" w:rsidRPr="00B44280" w:rsidRDefault="006F0B33" w:rsidP="00D65872">
            <w:pPr>
              <w:jc w:val="center"/>
              <w:rPr>
                <w:rFonts w:cs="Times New Roman"/>
                <w:sz w:val="22"/>
                <w:szCs w:val="22"/>
              </w:rPr>
            </w:pPr>
            <w:r w:rsidRPr="00B44280">
              <w:rPr>
                <w:rFonts w:cs="Times New Roman"/>
                <w:sz w:val="22"/>
                <w:szCs w:val="22"/>
              </w:rPr>
              <w:t>C = B x $100.14</w:t>
            </w:r>
          </w:p>
        </w:tc>
      </w:tr>
      <w:tr w:rsidR="006F0B33" w:rsidRPr="00B44280" w14:paraId="0967E4CD" w14:textId="77777777" w:rsidTr="00907FB7">
        <w:trPr>
          <w:trHeight w:val="300"/>
        </w:trPr>
        <w:tc>
          <w:tcPr>
            <w:tcW w:w="0" w:type="auto"/>
            <w:tcBorders>
              <w:top w:val="nil"/>
              <w:left w:val="single" w:sz="8" w:space="0" w:color="auto"/>
              <w:bottom w:val="single" w:sz="4" w:space="0" w:color="auto"/>
              <w:right w:val="single" w:sz="8" w:space="0" w:color="auto"/>
            </w:tcBorders>
            <w:shd w:val="clear" w:color="000000" w:fill="A6A6A6"/>
            <w:noWrap/>
            <w:vAlign w:val="bottom"/>
            <w:hideMark/>
          </w:tcPr>
          <w:p w14:paraId="02966F34" w14:textId="77777777" w:rsidR="006F0B33" w:rsidRPr="00B44280" w:rsidRDefault="006F0B33" w:rsidP="00D65872">
            <w:pPr>
              <w:jc w:val="center"/>
              <w:rPr>
                <w:rFonts w:cs="Times New Roman"/>
                <w:sz w:val="22"/>
                <w:szCs w:val="22"/>
              </w:rPr>
            </w:pPr>
            <w:r w:rsidRPr="00B44280">
              <w:rPr>
                <w:rFonts w:cs="Times New Roman"/>
                <w:sz w:val="22"/>
                <w:szCs w:val="22"/>
              </w:rPr>
              <w:t>2018</w:t>
            </w:r>
          </w:p>
        </w:tc>
        <w:tc>
          <w:tcPr>
            <w:tcW w:w="0" w:type="auto"/>
            <w:tcBorders>
              <w:top w:val="nil"/>
              <w:left w:val="nil"/>
              <w:bottom w:val="single" w:sz="4" w:space="0" w:color="auto"/>
              <w:right w:val="single" w:sz="4" w:space="0" w:color="auto"/>
            </w:tcBorders>
            <w:shd w:val="clear" w:color="auto" w:fill="auto"/>
            <w:noWrap/>
            <w:vAlign w:val="bottom"/>
            <w:hideMark/>
          </w:tcPr>
          <w:p w14:paraId="6034BD6F" w14:textId="77777777" w:rsidR="006F0B33" w:rsidRPr="00B44280" w:rsidRDefault="006F0B33" w:rsidP="00D65872">
            <w:pPr>
              <w:jc w:val="right"/>
              <w:rPr>
                <w:rFonts w:cs="Times New Roman"/>
                <w:sz w:val="22"/>
                <w:szCs w:val="22"/>
              </w:rPr>
            </w:pPr>
            <w:r w:rsidRPr="00B44280">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14:paraId="62543739" w14:textId="77777777" w:rsidR="006F0B33" w:rsidRPr="00B44280" w:rsidRDefault="006F0B33" w:rsidP="00D65872">
            <w:pPr>
              <w:jc w:val="right"/>
              <w:rPr>
                <w:rFonts w:cs="Times New Roman"/>
                <w:sz w:val="22"/>
                <w:szCs w:val="22"/>
              </w:rPr>
            </w:pPr>
            <w:r w:rsidRPr="00B44280">
              <w:rPr>
                <w:rFonts w:cs="Times New Roman"/>
                <w:sz w:val="22"/>
                <w:szCs w:val="22"/>
              </w:rPr>
              <w:t>1.0</w:t>
            </w:r>
          </w:p>
        </w:tc>
        <w:tc>
          <w:tcPr>
            <w:tcW w:w="0" w:type="auto"/>
            <w:tcBorders>
              <w:top w:val="nil"/>
              <w:left w:val="nil"/>
              <w:bottom w:val="single" w:sz="4" w:space="0" w:color="auto"/>
              <w:right w:val="single" w:sz="8" w:space="0" w:color="auto"/>
            </w:tcBorders>
            <w:shd w:val="clear" w:color="auto" w:fill="auto"/>
            <w:noWrap/>
            <w:vAlign w:val="bottom"/>
            <w:hideMark/>
          </w:tcPr>
          <w:p w14:paraId="53D765C4" w14:textId="77777777" w:rsidR="006F0B33" w:rsidRPr="00B44280" w:rsidRDefault="006F0B33" w:rsidP="00D65872">
            <w:pPr>
              <w:jc w:val="right"/>
              <w:rPr>
                <w:rFonts w:cs="Times New Roman"/>
                <w:sz w:val="22"/>
                <w:szCs w:val="22"/>
              </w:rPr>
            </w:pPr>
            <w:r w:rsidRPr="00B44280">
              <w:rPr>
                <w:rFonts w:cs="Times New Roman"/>
                <w:sz w:val="22"/>
                <w:szCs w:val="22"/>
              </w:rPr>
              <w:t xml:space="preserve"> $               100.14 </w:t>
            </w:r>
          </w:p>
        </w:tc>
      </w:tr>
      <w:tr w:rsidR="006F0B33" w:rsidRPr="00B44280" w14:paraId="6339D3A0" w14:textId="77777777" w:rsidTr="00907FB7">
        <w:trPr>
          <w:trHeight w:val="300"/>
        </w:trPr>
        <w:tc>
          <w:tcPr>
            <w:tcW w:w="0" w:type="auto"/>
            <w:tcBorders>
              <w:top w:val="nil"/>
              <w:left w:val="single" w:sz="8" w:space="0" w:color="auto"/>
              <w:bottom w:val="single" w:sz="4" w:space="0" w:color="auto"/>
              <w:right w:val="single" w:sz="8" w:space="0" w:color="auto"/>
            </w:tcBorders>
            <w:shd w:val="clear" w:color="000000" w:fill="A6A6A6"/>
            <w:noWrap/>
            <w:vAlign w:val="bottom"/>
            <w:hideMark/>
          </w:tcPr>
          <w:p w14:paraId="71C142B8" w14:textId="77777777" w:rsidR="006F0B33" w:rsidRPr="00B44280" w:rsidRDefault="006F0B33" w:rsidP="00D65872">
            <w:pPr>
              <w:jc w:val="center"/>
              <w:rPr>
                <w:rFonts w:cs="Times New Roman"/>
                <w:sz w:val="22"/>
                <w:szCs w:val="22"/>
              </w:rPr>
            </w:pPr>
            <w:r w:rsidRPr="00B44280">
              <w:rPr>
                <w:rFonts w:cs="Times New Roman"/>
                <w:sz w:val="22"/>
                <w:szCs w:val="22"/>
              </w:rPr>
              <w:t>2019</w:t>
            </w:r>
          </w:p>
        </w:tc>
        <w:tc>
          <w:tcPr>
            <w:tcW w:w="0" w:type="auto"/>
            <w:tcBorders>
              <w:top w:val="nil"/>
              <w:left w:val="nil"/>
              <w:bottom w:val="single" w:sz="4" w:space="0" w:color="auto"/>
              <w:right w:val="single" w:sz="4" w:space="0" w:color="auto"/>
            </w:tcBorders>
            <w:shd w:val="clear" w:color="auto" w:fill="auto"/>
            <w:noWrap/>
            <w:vAlign w:val="bottom"/>
            <w:hideMark/>
          </w:tcPr>
          <w:p w14:paraId="1E297A2B" w14:textId="77777777" w:rsidR="006F0B33" w:rsidRPr="00B44280" w:rsidRDefault="006F0B33" w:rsidP="00D65872">
            <w:pPr>
              <w:jc w:val="right"/>
              <w:rPr>
                <w:rFonts w:cs="Times New Roman"/>
                <w:sz w:val="22"/>
                <w:szCs w:val="22"/>
              </w:rPr>
            </w:pPr>
            <w:r w:rsidRPr="00B44280">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14:paraId="384077B2" w14:textId="77777777" w:rsidR="006F0B33" w:rsidRPr="00B44280" w:rsidRDefault="006F0B33" w:rsidP="00D65872">
            <w:pPr>
              <w:jc w:val="right"/>
              <w:rPr>
                <w:rFonts w:cs="Times New Roman"/>
                <w:sz w:val="22"/>
                <w:szCs w:val="22"/>
              </w:rPr>
            </w:pPr>
            <w:r w:rsidRPr="00B44280">
              <w:rPr>
                <w:rFonts w:cs="Times New Roman"/>
                <w:sz w:val="22"/>
                <w:szCs w:val="22"/>
              </w:rPr>
              <w:t>1.0</w:t>
            </w:r>
          </w:p>
        </w:tc>
        <w:tc>
          <w:tcPr>
            <w:tcW w:w="0" w:type="auto"/>
            <w:tcBorders>
              <w:top w:val="nil"/>
              <w:left w:val="nil"/>
              <w:bottom w:val="single" w:sz="4" w:space="0" w:color="auto"/>
              <w:right w:val="single" w:sz="8" w:space="0" w:color="auto"/>
            </w:tcBorders>
            <w:shd w:val="clear" w:color="auto" w:fill="auto"/>
            <w:noWrap/>
            <w:vAlign w:val="bottom"/>
            <w:hideMark/>
          </w:tcPr>
          <w:p w14:paraId="1C3CCAB9" w14:textId="77777777" w:rsidR="006F0B33" w:rsidRPr="00B44280" w:rsidRDefault="006F0B33" w:rsidP="00D65872">
            <w:pPr>
              <w:jc w:val="right"/>
              <w:rPr>
                <w:rFonts w:cs="Times New Roman"/>
                <w:sz w:val="22"/>
                <w:szCs w:val="22"/>
              </w:rPr>
            </w:pPr>
            <w:r w:rsidRPr="00B44280">
              <w:rPr>
                <w:rFonts w:cs="Times New Roman"/>
                <w:sz w:val="22"/>
                <w:szCs w:val="22"/>
              </w:rPr>
              <w:t xml:space="preserve"> $               100.14 </w:t>
            </w:r>
          </w:p>
        </w:tc>
      </w:tr>
      <w:tr w:rsidR="006F0B33" w:rsidRPr="00B44280" w14:paraId="41FDD095" w14:textId="77777777" w:rsidTr="00907FB7">
        <w:trPr>
          <w:trHeight w:val="300"/>
        </w:trPr>
        <w:tc>
          <w:tcPr>
            <w:tcW w:w="0" w:type="auto"/>
            <w:tcBorders>
              <w:top w:val="nil"/>
              <w:left w:val="single" w:sz="8" w:space="0" w:color="auto"/>
              <w:bottom w:val="single" w:sz="4" w:space="0" w:color="auto"/>
              <w:right w:val="single" w:sz="8" w:space="0" w:color="auto"/>
            </w:tcBorders>
            <w:shd w:val="clear" w:color="000000" w:fill="A6A6A6"/>
            <w:noWrap/>
            <w:vAlign w:val="bottom"/>
            <w:hideMark/>
          </w:tcPr>
          <w:p w14:paraId="3C7898B6" w14:textId="77777777" w:rsidR="006F0B33" w:rsidRPr="00B44280" w:rsidRDefault="006F0B33" w:rsidP="00D65872">
            <w:pPr>
              <w:jc w:val="center"/>
              <w:rPr>
                <w:rFonts w:cs="Times New Roman"/>
                <w:sz w:val="22"/>
                <w:szCs w:val="22"/>
              </w:rPr>
            </w:pPr>
            <w:r w:rsidRPr="00B44280">
              <w:rPr>
                <w:rFonts w:cs="Times New Roman"/>
                <w:sz w:val="22"/>
                <w:szCs w:val="22"/>
              </w:rPr>
              <w:t>2020</w:t>
            </w:r>
          </w:p>
        </w:tc>
        <w:tc>
          <w:tcPr>
            <w:tcW w:w="0" w:type="auto"/>
            <w:tcBorders>
              <w:top w:val="nil"/>
              <w:left w:val="nil"/>
              <w:bottom w:val="single" w:sz="4" w:space="0" w:color="auto"/>
              <w:right w:val="single" w:sz="4" w:space="0" w:color="auto"/>
            </w:tcBorders>
            <w:shd w:val="clear" w:color="auto" w:fill="auto"/>
            <w:noWrap/>
            <w:vAlign w:val="bottom"/>
            <w:hideMark/>
          </w:tcPr>
          <w:p w14:paraId="7987540F" w14:textId="77777777" w:rsidR="006F0B33" w:rsidRPr="00B44280" w:rsidRDefault="006F0B33" w:rsidP="00D65872">
            <w:pPr>
              <w:jc w:val="right"/>
              <w:rPr>
                <w:rFonts w:cs="Times New Roman"/>
                <w:sz w:val="22"/>
                <w:szCs w:val="22"/>
              </w:rPr>
            </w:pPr>
            <w:r w:rsidRPr="00B44280">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14:paraId="57B0AA66" w14:textId="77777777" w:rsidR="006F0B33" w:rsidRPr="00B44280" w:rsidRDefault="006F0B33" w:rsidP="00D65872">
            <w:pPr>
              <w:jc w:val="right"/>
              <w:rPr>
                <w:rFonts w:cs="Times New Roman"/>
                <w:sz w:val="22"/>
                <w:szCs w:val="22"/>
              </w:rPr>
            </w:pPr>
            <w:r w:rsidRPr="00B44280">
              <w:rPr>
                <w:rFonts w:cs="Times New Roman"/>
                <w:sz w:val="22"/>
                <w:szCs w:val="22"/>
              </w:rPr>
              <w:t>1.0</w:t>
            </w:r>
          </w:p>
        </w:tc>
        <w:tc>
          <w:tcPr>
            <w:tcW w:w="0" w:type="auto"/>
            <w:tcBorders>
              <w:top w:val="nil"/>
              <w:left w:val="nil"/>
              <w:bottom w:val="single" w:sz="4" w:space="0" w:color="auto"/>
              <w:right w:val="single" w:sz="8" w:space="0" w:color="auto"/>
            </w:tcBorders>
            <w:shd w:val="clear" w:color="auto" w:fill="auto"/>
            <w:noWrap/>
            <w:vAlign w:val="bottom"/>
            <w:hideMark/>
          </w:tcPr>
          <w:p w14:paraId="2F85FB13" w14:textId="77777777" w:rsidR="006F0B33" w:rsidRPr="00B44280" w:rsidRDefault="006F0B33" w:rsidP="00D65872">
            <w:pPr>
              <w:jc w:val="right"/>
              <w:rPr>
                <w:rFonts w:cs="Times New Roman"/>
                <w:sz w:val="22"/>
                <w:szCs w:val="22"/>
              </w:rPr>
            </w:pPr>
            <w:r w:rsidRPr="00B44280">
              <w:rPr>
                <w:rFonts w:cs="Times New Roman"/>
                <w:sz w:val="22"/>
                <w:szCs w:val="22"/>
              </w:rPr>
              <w:t xml:space="preserve"> $               100.14 </w:t>
            </w:r>
          </w:p>
        </w:tc>
      </w:tr>
      <w:tr w:rsidR="006F0B33" w:rsidRPr="00B44280" w14:paraId="50D7A07A" w14:textId="77777777" w:rsidTr="00907FB7">
        <w:trPr>
          <w:trHeight w:val="300"/>
        </w:trPr>
        <w:tc>
          <w:tcPr>
            <w:tcW w:w="0" w:type="auto"/>
            <w:tcBorders>
              <w:top w:val="nil"/>
              <w:left w:val="single" w:sz="8" w:space="0" w:color="auto"/>
              <w:bottom w:val="single" w:sz="4" w:space="0" w:color="auto"/>
              <w:right w:val="single" w:sz="8" w:space="0" w:color="auto"/>
            </w:tcBorders>
            <w:shd w:val="clear" w:color="000000" w:fill="A6A6A6"/>
            <w:noWrap/>
            <w:vAlign w:val="bottom"/>
            <w:hideMark/>
          </w:tcPr>
          <w:p w14:paraId="4137C550" w14:textId="77777777" w:rsidR="006F0B33" w:rsidRPr="00B44280" w:rsidRDefault="006F0B33" w:rsidP="00D65872">
            <w:pPr>
              <w:jc w:val="center"/>
              <w:rPr>
                <w:rFonts w:cs="Times New Roman"/>
                <w:sz w:val="22"/>
                <w:szCs w:val="22"/>
              </w:rPr>
            </w:pPr>
            <w:r w:rsidRPr="00B44280">
              <w:rPr>
                <w:rFonts w:cs="Times New Roman"/>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3995818" w14:textId="77777777" w:rsidR="006F0B33" w:rsidRPr="00B44280" w:rsidRDefault="006F0B33" w:rsidP="00D65872">
            <w:pPr>
              <w:jc w:val="right"/>
              <w:rPr>
                <w:rFonts w:cs="Times New Roman"/>
                <w:sz w:val="22"/>
                <w:szCs w:val="22"/>
              </w:rPr>
            </w:pPr>
            <w:r w:rsidRPr="00B44280">
              <w:rPr>
                <w:rFonts w:cs="Times New Roman"/>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14:paraId="7CD555E0" w14:textId="77777777" w:rsidR="006F0B33" w:rsidRPr="00B44280" w:rsidRDefault="006F0B33" w:rsidP="00D65872">
            <w:pPr>
              <w:jc w:val="right"/>
              <w:rPr>
                <w:rFonts w:cs="Times New Roman"/>
                <w:sz w:val="22"/>
                <w:szCs w:val="22"/>
              </w:rPr>
            </w:pPr>
            <w:r w:rsidRPr="00B44280">
              <w:rPr>
                <w:rFonts w:cs="Times New Roman"/>
                <w:sz w:val="22"/>
                <w:szCs w:val="22"/>
              </w:rPr>
              <w:t>3.0</w:t>
            </w:r>
          </w:p>
        </w:tc>
        <w:tc>
          <w:tcPr>
            <w:tcW w:w="0" w:type="auto"/>
            <w:tcBorders>
              <w:top w:val="nil"/>
              <w:left w:val="nil"/>
              <w:bottom w:val="single" w:sz="4" w:space="0" w:color="auto"/>
              <w:right w:val="single" w:sz="8" w:space="0" w:color="auto"/>
            </w:tcBorders>
            <w:shd w:val="clear" w:color="auto" w:fill="auto"/>
            <w:noWrap/>
            <w:vAlign w:val="bottom"/>
            <w:hideMark/>
          </w:tcPr>
          <w:p w14:paraId="1F4C6551" w14:textId="77777777" w:rsidR="006F0B33" w:rsidRPr="00B44280" w:rsidRDefault="006F0B33" w:rsidP="00D65872">
            <w:pPr>
              <w:jc w:val="right"/>
              <w:rPr>
                <w:rFonts w:cs="Times New Roman"/>
                <w:sz w:val="22"/>
                <w:szCs w:val="22"/>
              </w:rPr>
            </w:pPr>
            <w:r w:rsidRPr="00B44280">
              <w:rPr>
                <w:rFonts w:cs="Times New Roman"/>
                <w:sz w:val="22"/>
                <w:szCs w:val="22"/>
              </w:rPr>
              <w:t xml:space="preserve"> $               300.43 </w:t>
            </w:r>
          </w:p>
        </w:tc>
      </w:tr>
      <w:tr w:rsidR="006F0B33" w:rsidRPr="00B44280" w14:paraId="34008D10" w14:textId="77777777" w:rsidTr="00907FB7">
        <w:trPr>
          <w:trHeight w:val="315"/>
        </w:trPr>
        <w:tc>
          <w:tcPr>
            <w:tcW w:w="0" w:type="auto"/>
            <w:tcBorders>
              <w:top w:val="nil"/>
              <w:left w:val="single" w:sz="8" w:space="0" w:color="auto"/>
              <w:bottom w:val="single" w:sz="8" w:space="0" w:color="auto"/>
              <w:right w:val="single" w:sz="8" w:space="0" w:color="auto"/>
            </w:tcBorders>
            <w:shd w:val="clear" w:color="000000" w:fill="A6A6A6"/>
            <w:noWrap/>
            <w:vAlign w:val="bottom"/>
            <w:hideMark/>
          </w:tcPr>
          <w:p w14:paraId="7B34502B" w14:textId="77777777" w:rsidR="006F0B33" w:rsidRPr="00B44280" w:rsidRDefault="006F0B33" w:rsidP="00D65872">
            <w:pPr>
              <w:jc w:val="center"/>
              <w:rPr>
                <w:rFonts w:cs="Times New Roman"/>
                <w:sz w:val="22"/>
                <w:szCs w:val="22"/>
              </w:rPr>
            </w:pPr>
            <w:r w:rsidRPr="00B44280">
              <w:rPr>
                <w:rFonts w:cs="Times New Roman"/>
                <w:sz w:val="22"/>
                <w:szCs w:val="22"/>
              </w:rPr>
              <w:t>Annualized</w:t>
            </w:r>
          </w:p>
        </w:tc>
        <w:tc>
          <w:tcPr>
            <w:tcW w:w="0" w:type="auto"/>
            <w:tcBorders>
              <w:top w:val="nil"/>
              <w:left w:val="nil"/>
              <w:bottom w:val="single" w:sz="8" w:space="0" w:color="auto"/>
              <w:right w:val="single" w:sz="4" w:space="0" w:color="auto"/>
            </w:tcBorders>
            <w:shd w:val="clear" w:color="auto" w:fill="auto"/>
            <w:noWrap/>
            <w:vAlign w:val="bottom"/>
            <w:hideMark/>
          </w:tcPr>
          <w:p w14:paraId="20F47862" w14:textId="77777777" w:rsidR="006F0B33" w:rsidRPr="00B44280" w:rsidRDefault="006F0B33" w:rsidP="00D65872">
            <w:pPr>
              <w:jc w:val="right"/>
              <w:rPr>
                <w:rFonts w:cs="Times New Roman"/>
                <w:sz w:val="22"/>
                <w:szCs w:val="22"/>
              </w:rPr>
            </w:pPr>
            <w:r w:rsidRPr="00B44280">
              <w:rPr>
                <w:rFonts w:cs="Times New Roman"/>
                <w:sz w:val="22"/>
                <w:szCs w:val="22"/>
              </w:rPr>
              <w:t>2</w:t>
            </w:r>
          </w:p>
        </w:tc>
        <w:tc>
          <w:tcPr>
            <w:tcW w:w="0" w:type="auto"/>
            <w:tcBorders>
              <w:top w:val="nil"/>
              <w:left w:val="nil"/>
              <w:bottom w:val="single" w:sz="8" w:space="0" w:color="auto"/>
              <w:right w:val="single" w:sz="4" w:space="0" w:color="auto"/>
            </w:tcBorders>
            <w:shd w:val="clear" w:color="auto" w:fill="auto"/>
            <w:noWrap/>
            <w:vAlign w:val="bottom"/>
            <w:hideMark/>
          </w:tcPr>
          <w:p w14:paraId="5DBB1DB1" w14:textId="77777777" w:rsidR="006F0B33" w:rsidRPr="00B44280" w:rsidRDefault="006F0B33" w:rsidP="00D65872">
            <w:pPr>
              <w:jc w:val="right"/>
              <w:rPr>
                <w:rFonts w:cs="Times New Roman"/>
                <w:sz w:val="22"/>
                <w:szCs w:val="22"/>
              </w:rPr>
            </w:pPr>
            <w:r w:rsidRPr="00B44280">
              <w:rPr>
                <w:rFonts w:cs="Times New Roman"/>
                <w:sz w:val="22"/>
                <w:szCs w:val="22"/>
              </w:rPr>
              <w:t>1.0</w:t>
            </w:r>
          </w:p>
        </w:tc>
        <w:tc>
          <w:tcPr>
            <w:tcW w:w="0" w:type="auto"/>
            <w:tcBorders>
              <w:top w:val="nil"/>
              <w:left w:val="nil"/>
              <w:bottom w:val="single" w:sz="8" w:space="0" w:color="auto"/>
              <w:right w:val="single" w:sz="8" w:space="0" w:color="auto"/>
            </w:tcBorders>
            <w:shd w:val="clear" w:color="auto" w:fill="auto"/>
            <w:noWrap/>
            <w:vAlign w:val="bottom"/>
            <w:hideMark/>
          </w:tcPr>
          <w:p w14:paraId="6E6F0430" w14:textId="77777777" w:rsidR="006F0B33" w:rsidRPr="00B44280" w:rsidRDefault="006F0B33" w:rsidP="00D65872">
            <w:pPr>
              <w:jc w:val="right"/>
              <w:rPr>
                <w:rFonts w:cs="Times New Roman"/>
                <w:sz w:val="22"/>
                <w:szCs w:val="22"/>
              </w:rPr>
            </w:pPr>
            <w:r w:rsidRPr="00B44280">
              <w:rPr>
                <w:rFonts w:cs="Times New Roman"/>
                <w:sz w:val="22"/>
                <w:szCs w:val="22"/>
              </w:rPr>
              <w:t xml:space="preserve"> $               100.14 </w:t>
            </w:r>
          </w:p>
        </w:tc>
      </w:tr>
    </w:tbl>
    <w:p w14:paraId="4489B8A1" w14:textId="04811FD3" w:rsidR="00FE5333" w:rsidRDefault="00FE5333" w:rsidP="00166B05">
      <w:pPr>
        <w:numPr>
          <w:ilvl w:val="12"/>
          <w:numId w:val="0"/>
        </w:numPr>
        <w:ind w:left="360"/>
      </w:pPr>
    </w:p>
    <w:p w14:paraId="68AEA04A" w14:textId="77777777" w:rsidR="00B430B6" w:rsidRDefault="00B430B6" w:rsidP="00166B05">
      <w:pPr>
        <w:numPr>
          <w:ilvl w:val="12"/>
          <w:numId w:val="0"/>
        </w:numPr>
        <w:ind w:left="360"/>
      </w:pPr>
    </w:p>
    <w:p w14:paraId="1EF7F272" w14:textId="77777777" w:rsidR="00320387" w:rsidRDefault="00320387" w:rsidP="000C2FC6">
      <w:pPr>
        <w:keepNext/>
        <w:numPr>
          <w:ilvl w:val="0"/>
          <w:numId w:val="1"/>
        </w:numPr>
        <w:tabs>
          <w:tab w:val="left" w:pos="360"/>
        </w:tabs>
        <w:rPr>
          <w:b/>
          <w:i/>
        </w:rPr>
      </w:pPr>
      <w:r>
        <w:rPr>
          <w:b/>
          <w:i/>
        </w:rPr>
        <w:t>Explain the reasons for any program changes or adjustments reported in Items 13 or 14 of the OMB Form 83-I.</w:t>
      </w:r>
    </w:p>
    <w:p w14:paraId="1EF7F273" w14:textId="77777777" w:rsidR="00320387" w:rsidRDefault="00320387" w:rsidP="00320387">
      <w:pPr>
        <w:keepNext/>
        <w:numPr>
          <w:ilvl w:val="12"/>
          <w:numId w:val="0"/>
        </w:numPr>
        <w:ind w:left="360"/>
      </w:pPr>
    </w:p>
    <w:p w14:paraId="22997E21" w14:textId="431EF64D" w:rsidR="004F41B3" w:rsidRDefault="00906D07" w:rsidP="004F41B3">
      <w:pPr>
        <w:keepNext/>
        <w:tabs>
          <w:tab w:val="left" w:pos="360"/>
        </w:tabs>
        <w:ind w:left="360"/>
        <w:rPr>
          <w:rFonts w:cs="Times New Roman"/>
          <w:color w:val="auto"/>
        </w:rPr>
      </w:pPr>
      <w:r>
        <w:rPr>
          <w:rFonts w:cs="Times New Roman"/>
          <w:color w:val="auto"/>
        </w:rPr>
        <w:t>TSA is requiring that t</w:t>
      </w:r>
      <w:r w:rsidR="00CB0369">
        <w:rPr>
          <w:rFonts w:cs="Times New Roman"/>
          <w:color w:val="auto"/>
        </w:rPr>
        <w:t xml:space="preserve">he SPP application </w:t>
      </w:r>
      <w:r>
        <w:rPr>
          <w:rFonts w:cs="Times New Roman"/>
          <w:color w:val="auto"/>
        </w:rPr>
        <w:t xml:space="preserve">be </w:t>
      </w:r>
      <w:r w:rsidR="00CB0369">
        <w:rPr>
          <w:rFonts w:cs="Times New Roman"/>
          <w:color w:val="auto"/>
        </w:rPr>
        <w:t xml:space="preserve">submitted to the Federal Security Director for the airport that is </w:t>
      </w:r>
      <w:r w:rsidR="0081453D">
        <w:rPr>
          <w:rFonts w:cs="Times New Roman"/>
          <w:color w:val="auto"/>
        </w:rPr>
        <w:t xml:space="preserve">requesting to </w:t>
      </w:r>
      <w:r w:rsidR="00CB0369">
        <w:rPr>
          <w:rFonts w:cs="Times New Roman"/>
          <w:color w:val="auto"/>
        </w:rPr>
        <w:t>opt</w:t>
      </w:r>
      <w:r w:rsidR="003D148E">
        <w:rPr>
          <w:rFonts w:cs="Times New Roman"/>
          <w:color w:val="auto"/>
        </w:rPr>
        <w:t>-</w:t>
      </w:r>
      <w:r w:rsidR="00CB0369">
        <w:rPr>
          <w:rFonts w:cs="Times New Roman"/>
          <w:color w:val="auto"/>
        </w:rPr>
        <w:t xml:space="preserve">out rather than </w:t>
      </w:r>
      <w:r w:rsidR="008530E3">
        <w:rPr>
          <w:rFonts w:cs="Times New Roman"/>
          <w:color w:val="auto"/>
        </w:rPr>
        <w:t xml:space="preserve">to </w:t>
      </w:r>
      <w:r w:rsidR="00CB0369">
        <w:rPr>
          <w:rFonts w:cs="Times New Roman"/>
          <w:color w:val="auto"/>
        </w:rPr>
        <w:t xml:space="preserve">an </w:t>
      </w:r>
      <w:r>
        <w:rPr>
          <w:rFonts w:cs="Times New Roman"/>
          <w:color w:val="auto"/>
        </w:rPr>
        <w:t xml:space="preserve">SPP program-office </w:t>
      </w:r>
      <w:r w:rsidR="00CB0369">
        <w:rPr>
          <w:rFonts w:cs="Times New Roman"/>
          <w:color w:val="auto"/>
        </w:rPr>
        <w:t>email</w:t>
      </w:r>
      <w:r w:rsidR="008530E3">
        <w:rPr>
          <w:rFonts w:cs="Times New Roman"/>
          <w:color w:val="auto"/>
        </w:rPr>
        <w:t xml:space="preserve"> address</w:t>
      </w:r>
      <w:r w:rsidR="00CB0369">
        <w:rPr>
          <w:rFonts w:cs="Times New Roman"/>
          <w:color w:val="auto"/>
        </w:rPr>
        <w:t xml:space="preserve">. </w:t>
      </w:r>
      <w:r w:rsidR="0081453D">
        <w:rPr>
          <w:rFonts w:cs="Times New Roman"/>
          <w:color w:val="auto"/>
        </w:rPr>
        <w:t xml:space="preserve"> </w:t>
      </w:r>
      <w:r w:rsidR="00CB0369">
        <w:rPr>
          <w:rFonts w:cs="Times New Roman"/>
          <w:color w:val="auto"/>
        </w:rPr>
        <w:t>Th</w:t>
      </w:r>
      <w:r>
        <w:rPr>
          <w:rFonts w:cs="Times New Roman"/>
          <w:color w:val="auto"/>
        </w:rPr>
        <w:t xml:space="preserve">is requirement increases efficiency of the program by ensuring early awareness for those most affected by the potential change in their operations and by providing a familiar, direct point of contact for the airport director.  This change affects the cost estimate as </w:t>
      </w:r>
      <w:r w:rsidR="00841ECC">
        <w:rPr>
          <w:rFonts w:cs="Times New Roman"/>
          <w:color w:val="auto"/>
        </w:rPr>
        <w:t xml:space="preserve">the TSA recipient of the application </w:t>
      </w:r>
      <w:r w:rsidR="008530E3">
        <w:rPr>
          <w:rFonts w:cs="Times New Roman"/>
          <w:color w:val="auto"/>
        </w:rPr>
        <w:t xml:space="preserve">changes from one H/I program analyst to a Federal Security Director. </w:t>
      </w:r>
      <w:r w:rsidR="0081453D">
        <w:rPr>
          <w:rFonts w:cs="Times New Roman"/>
          <w:color w:val="auto"/>
        </w:rPr>
        <w:t xml:space="preserve"> </w:t>
      </w:r>
      <w:r w:rsidR="008530E3">
        <w:rPr>
          <w:rFonts w:cs="Times New Roman"/>
          <w:color w:val="auto"/>
        </w:rPr>
        <w:t>The</w:t>
      </w:r>
      <w:r>
        <w:rPr>
          <w:rFonts w:cs="Times New Roman"/>
          <w:color w:val="auto"/>
        </w:rPr>
        <w:t xml:space="preserve">re is no change to the time necessary to </w:t>
      </w:r>
      <w:r w:rsidR="008530E3">
        <w:rPr>
          <w:rFonts w:cs="Times New Roman"/>
          <w:color w:val="auto"/>
        </w:rPr>
        <w:t xml:space="preserve">receive </w:t>
      </w:r>
      <w:r>
        <w:rPr>
          <w:rFonts w:cs="Times New Roman"/>
          <w:color w:val="auto"/>
        </w:rPr>
        <w:t xml:space="preserve">and/or </w:t>
      </w:r>
      <w:r w:rsidR="008530E3">
        <w:rPr>
          <w:rFonts w:cs="Times New Roman"/>
          <w:color w:val="auto"/>
        </w:rPr>
        <w:t>process</w:t>
      </w:r>
      <w:r>
        <w:rPr>
          <w:rFonts w:cs="Times New Roman"/>
          <w:color w:val="auto"/>
        </w:rPr>
        <w:t xml:space="preserve"> the application; this time remains </w:t>
      </w:r>
      <w:r w:rsidR="008530E3">
        <w:rPr>
          <w:rFonts w:cs="Times New Roman"/>
          <w:color w:val="auto"/>
        </w:rPr>
        <w:t>at one-</w:t>
      </w:r>
      <w:r w:rsidR="000C2FC6">
        <w:rPr>
          <w:rFonts w:cs="Times New Roman"/>
          <w:color w:val="auto"/>
        </w:rPr>
        <w:t>half hour for one application.</w:t>
      </w:r>
    </w:p>
    <w:p w14:paraId="1EF7F275"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6" w14:textId="77777777" w:rsidR="00320387" w:rsidRDefault="00320387" w:rsidP="00561A71">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F7F277" w14:textId="77777777" w:rsidR="00320387" w:rsidRDefault="00320387" w:rsidP="00320387">
      <w:pPr>
        <w:keepNext/>
        <w:numPr>
          <w:ilvl w:val="12"/>
          <w:numId w:val="0"/>
        </w:numPr>
        <w:ind w:left="360"/>
      </w:pPr>
    </w:p>
    <w:p w14:paraId="4368C9CB" w14:textId="77777777" w:rsidR="004F41B3" w:rsidRPr="004F41B3" w:rsidRDefault="004F41B3" w:rsidP="004F41B3">
      <w:pPr>
        <w:ind w:left="360"/>
        <w:rPr>
          <w:rFonts w:cs="Times New Roman"/>
          <w:color w:val="auto"/>
        </w:rPr>
      </w:pPr>
      <w:r w:rsidRPr="004F41B3">
        <w:rPr>
          <w:rFonts w:cs="Times New Roman"/>
          <w:color w:val="auto"/>
        </w:rPr>
        <w:t>TSA will not publish the results of this collection.</w:t>
      </w:r>
    </w:p>
    <w:p w14:paraId="1EF7F27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A"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EF7F27B" w14:textId="77777777" w:rsidR="00320387" w:rsidRDefault="00320387" w:rsidP="00320387">
      <w:pPr>
        <w:keepNext/>
        <w:numPr>
          <w:ilvl w:val="12"/>
          <w:numId w:val="0"/>
        </w:numPr>
        <w:ind w:left="360"/>
      </w:pPr>
    </w:p>
    <w:p w14:paraId="2BD615F3" w14:textId="0DC66B27" w:rsidR="004F41B3" w:rsidRPr="004F41B3" w:rsidRDefault="004F41B3" w:rsidP="00166B05">
      <w:pPr>
        <w:tabs>
          <w:tab w:val="left" w:pos="360"/>
        </w:tabs>
        <w:ind w:left="360"/>
        <w:rPr>
          <w:rFonts w:cs="Times New Roman"/>
          <w:b/>
          <w:i/>
          <w:color w:val="auto"/>
        </w:rPr>
      </w:pPr>
      <w:r w:rsidRPr="004F41B3">
        <w:rPr>
          <w:rFonts w:cs="Times New Roman"/>
          <w:color w:val="auto"/>
        </w:rPr>
        <w:t>TSA SPP is not seeking such approval</w:t>
      </w:r>
      <w:r w:rsidR="004C26BD">
        <w:rPr>
          <w:rFonts w:cs="Times New Roman"/>
          <w:color w:val="auto"/>
        </w:rPr>
        <w:t>.</w:t>
      </w:r>
    </w:p>
    <w:p w14:paraId="1EF7F27D" w14:textId="77777777" w:rsidR="00320387" w:rsidRDefault="00320387" w:rsidP="00320387">
      <w:pPr>
        <w:numPr>
          <w:ilvl w:val="12"/>
          <w:numId w:val="0"/>
        </w:numPr>
        <w:tabs>
          <w:tab w:val="left" w:pos="360"/>
        </w:tabs>
      </w:pPr>
    </w:p>
    <w:p w14:paraId="1EF7F27E"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EF7F27F" w14:textId="77777777" w:rsidR="00320387" w:rsidRDefault="00320387" w:rsidP="00320387">
      <w:pPr>
        <w:keepNext/>
        <w:numPr>
          <w:ilvl w:val="12"/>
          <w:numId w:val="0"/>
        </w:numPr>
        <w:ind w:left="360"/>
      </w:pPr>
    </w:p>
    <w:p w14:paraId="5C98BBEF" w14:textId="0F005282" w:rsidR="004F41B3" w:rsidRPr="004F41B3" w:rsidRDefault="004F41B3" w:rsidP="00166B05">
      <w:pPr>
        <w:tabs>
          <w:tab w:val="left" w:pos="360"/>
        </w:tabs>
        <w:ind w:left="360"/>
        <w:rPr>
          <w:rFonts w:cs="Times New Roman"/>
          <w:color w:val="auto"/>
        </w:rPr>
      </w:pPr>
      <w:r w:rsidRPr="004F41B3">
        <w:rPr>
          <w:rFonts w:cs="Times New Roman"/>
          <w:color w:val="auto"/>
        </w:rPr>
        <w:t>TSA SPP is not seeking any exceptions to the certification statement as the information gathered for the application meets the criteria for 5 CFR 1320.9</w:t>
      </w:r>
      <w:r w:rsidR="00D85C02">
        <w:rPr>
          <w:rFonts w:cs="Times New Roman"/>
          <w:color w:val="auto"/>
        </w:rPr>
        <w:t>.</w:t>
      </w:r>
    </w:p>
    <w:p w14:paraId="1EF7F281" w14:textId="77777777" w:rsidR="003C0F11" w:rsidRDefault="003C0F11"/>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3AE83" w14:textId="77777777" w:rsidR="00DC18C4" w:rsidRDefault="00DC18C4">
      <w:r>
        <w:separator/>
      </w:r>
    </w:p>
  </w:endnote>
  <w:endnote w:type="continuationSeparator" w:id="0">
    <w:p w14:paraId="1CE2E646" w14:textId="77777777" w:rsidR="00DC18C4" w:rsidRDefault="00DC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24460" w14:textId="77777777" w:rsidR="00DC18C4" w:rsidRDefault="00DC18C4">
      <w:r>
        <w:separator/>
      </w:r>
    </w:p>
  </w:footnote>
  <w:footnote w:type="continuationSeparator" w:id="0">
    <w:p w14:paraId="1F7E1511" w14:textId="77777777" w:rsidR="00DC18C4" w:rsidRDefault="00DC18C4">
      <w:r>
        <w:continuationSeparator/>
      </w:r>
    </w:p>
  </w:footnote>
  <w:footnote w:id="1">
    <w:p w14:paraId="57723437" w14:textId="3138B9E5" w:rsidR="006F0B33" w:rsidRPr="004844AB" w:rsidRDefault="006F0B33" w:rsidP="004844AB">
      <w:pPr>
        <w:pStyle w:val="FootnoteText"/>
      </w:pPr>
      <w:r>
        <w:rPr>
          <w:rStyle w:val="FootnoteReference"/>
        </w:rPr>
        <w:footnoteRef/>
      </w:r>
      <w:r>
        <w:t xml:space="preserve"> TSA Program Office Estimate, Office of Security Operations, Security Screening Program.</w:t>
      </w:r>
      <w:r w:rsidR="004844AB" w:rsidRPr="004844AB">
        <w:t xml:space="preserve"> </w:t>
      </w:r>
      <w:r w:rsidR="00B44280">
        <w:t xml:space="preserve"> </w:t>
      </w:r>
      <w:r w:rsidR="004844AB" w:rsidRPr="004844AB">
        <w:t>In accordance with the P</w:t>
      </w:r>
      <w:r w:rsidR="00B87529">
        <w:t xml:space="preserve">aperwork </w:t>
      </w:r>
      <w:r w:rsidR="004844AB" w:rsidRPr="004844AB">
        <w:t>R</w:t>
      </w:r>
      <w:r w:rsidR="00B87529">
        <w:t xml:space="preserve">eduction </w:t>
      </w:r>
      <w:r w:rsidR="004844AB" w:rsidRPr="004844AB">
        <w:t>A</w:t>
      </w:r>
      <w:r w:rsidR="00B87529">
        <w:t>ct (PRA)</w:t>
      </w:r>
      <w:r w:rsidR="004844AB" w:rsidRPr="004844AB">
        <w:t>, OMB approval must be obtained prior to collecting federally</w:t>
      </w:r>
      <w:r w:rsidR="00B44280">
        <w:t>-</w:t>
      </w:r>
      <w:r w:rsidR="004844AB" w:rsidRPr="004844AB">
        <w:t xml:space="preserve">sponsored data in any situation where there could be 10 or more respondents. </w:t>
      </w:r>
      <w:r w:rsidR="00B44280">
        <w:t xml:space="preserve"> </w:t>
      </w:r>
      <w:r w:rsidR="004844AB" w:rsidRPr="004844AB">
        <w:t xml:space="preserve">A respondent includes individuals; partnerships; associations; </w:t>
      </w:r>
      <w:r w:rsidR="009809DB" w:rsidRPr="004844AB">
        <w:t>corporations; organized</w:t>
      </w:r>
      <w:r w:rsidR="004844AB" w:rsidRPr="004844AB">
        <w:t xml:space="preserve"> groups of individuals; and State, territory, tribal or local governments.  Agencies must publish </w:t>
      </w:r>
      <w:r w:rsidR="004844AB" w:rsidRPr="00166B05">
        <w:rPr>
          <w:i/>
        </w:rPr>
        <w:t>Federal Register</w:t>
      </w:r>
      <w:r w:rsidR="004844AB" w:rsidRPr="004844AB">
        <w:t xml:space="preserve"> notices describing the information collection, respondents and burden estimates for public comment.</w:t>
      </w:r>
      <w:r w:rsidR="00B87529">
        <w:t xml:space="preserve"> </w:t>
      </w:r>
      <w:r w:rsidR="00B44280">
        <w:t xml:space="preserve"> </w:t>
      </w:r>
      <w:r w:rsidR="00B87529" w:rsidRPr="006D7345">
        <w:rPr>
          <w:i/>
        </w:rPr>
        <w:t>See</w:t>
      </w:r>
      <w:r w:rsidR="00B87529">
        <w:t xml:space="preserve">, Paperwork Reduction Act of 1995 </w:t>
      </w:r>
      <w:r w:rsidR="00B44280">
        <w:t>(</w:t>
      </w:r>
      <w:r w:rsidR="00B87529">
        <w:t>Pub. L. 104-13,</w:t>
      </w:r>
      <w:r w:rsidR="00B44280">
        <w:t xml:space="preserve"> 109 Stat. 163,</w:t>
      </w:r>
      <w:r w:rsidR="00B87529">
        <w:t xml:space="preserve"> </w:t>
      </w:r>
      <w:r w:rsidR="00B44280">
        <w:t xml:space="preserve">Oct. 1, 1995), </w:t>
      </w:r>
      <w:r w:rsidR="00B87529">
        <w:t>44 USC. 3501-3520.</w:t>
      </w:r>
    </w:p>
  </w:footnote>
  <w:footnote w:id="2">
    <w:p w14:paraId="5349FD18" w14:textId="77777777" w:rsidR="006F0B33" w:rsidRDefault="006F0B33" w:rsidP="006F0B33">
      <w:pPr>
        <w:pStyle w:val="FootnoteText"/>
      </w:pPr>
      <w:r>
        <w:rPr>
          <w:rStyle w:val="FootnoteReference"/>
        </w:rPr>
        <w:footnoteRef/>
      </w:r>
      <w:r>
        <w:t xml:space="preserve"> TSA Program Office Estimate, Office of Security Operations, Security Screening Program.</w:t>
      </w:r>
    </w:p>
  </w:footnote>
  <w:footnote w:id="3">
    <w:p w14:paraId="587F56C3" w14:textId="77777777" w:rsidR="006F0B33" w:rsidRDefault="006F0B33" w:rsidP="006F0B33">
      <w:pPr>
        <w:pStyle w:val="FootnoteText"/>
      </w:pPr>
      <w:r>
        <w:rPr>
          <w:rStyle w:val="FootnoteReference"/>
        </w:rPr>
        <w:footnoteRef/>
      </w:r>
      <w:r>
        <w:t xml:space="preserve"> A fully loaded wage rate accounts for the non-wage compensation costs borne by an employer, such as retirement contributions and health benefits, among other things.</w:t>
      </w:r>
    </w:p>
  </w:footnote>
  <w:footnote w:id="4">
    <w:p w14:paraId="283056E6" w14:textId="3B827C79" w:rsidR="006F0B33" w:rsidRDefault="006F0B33" w:rsidP="006F0B33">
      <w:pPr>
        <w:pStyle w:val="FootnoteText"/>
      </w:pPr>
      <w:r>
        <w:rPr>
          <w:rStyle w:val="FootnoteReference"/>
        </w:rPr>
        <w:footnoteRef/>
      </w:r>
      <w:r>
        <w:t xml:space="preserve"> TSA approximates the wage rate of an Airport Director, by using the wage rate for General and Operations Managers in the Air Transportation Industry ($60.62). </w:t>
      </w:r>
      <w:r w:rsidR="000C2FC6">
        <w:t xml:space="preserve"> </w:t>
      </w:r>
      <w:r w:rsidRPr="00627EEE">
        <w:t xml:space="preserve">BLS. </w:t>
      </w:r>
      <w:r w:rsidR="000C2FC6">
        <w:t xml:space="preserve"> </w:t>
      </w:r>
      <w:r w:rsidRPr="00627EEE">
        <w:t>May 2016 Occupational Employment and Wages. NAISC 481000 - Air Transportation, 11-1021 General and Operations Managers.</w:t>
      </w:r>
      <w:r w:rsidR="000C2FC6">
        <w:t xml:space="preserve"> </w:t>
      </w:r>
      <w:r w:rsidRPr="00627EEE">
        <w:t xml:space="preserve"> Last Modified Date: 3/31/17. Retrieved 10/2/17.</w:t>
      </w:r>
      <w:r w:rsidR="000C2FC6">
        <w:t xml:space="preserve"> </w:t>
      </w:r>
      <w:r w:rsidRPr="00627EEE">
        <w:t xml:space="preserve"> </w:t>
      </w:r>
      <w:r w:rsidR="000C2FC6" w:rsidRPr="00166B05">
        <w:t>https://www.bls.gov/oes/2016/May/naics3_481000.htm</w:t>
      </w:r>
      <w:r w:rsidR="000C2FC6">
        <w:t>.</w:t>
      </w:r>
    </w:p>
    <w:p w14:paraId="61828A26" w14:textId="1E89586C" w:rsidR="006F0B33" w:rsidRDefault="006F0B33" w:rsidP="006F0B33">
      <w:pPr>
        <w:pStyle w:val="FootnoteText"/>
      </w:pPr>
      <w:r>
        <w:t xml:space="preserve">TSA calculates a compensation of 1.5164 by dividing the </w:t>
      </w:r>
      <w:r w:rsidR="000C2FC6">
        <w:t>t</w:t>
      </w:r>
      <w:r>
        <w:t xml:space="preserve">otal </w:t>
      </w:r>
      <w:r w:rsidR="000C2FC6">
        <w:t>c</w:t>
      </w:r>
      <w:r>
        <w:t xml:space="preserve">ompensation of civil workers in the Production, </w:t>
      </w:r>
      <w:r w:rsidR="000C2FC6">
        <w:t>Transportation</w:t>
      </w:r>
      <w:r>
        <w:t xml:space="preserve">, and </w:t>
      </w:r>
      <w:r w:rsidR="000C2FC6">
        <w:t xml:space="preserve">Material Moving </w:t>
      </w:r>
      <w:r>
        <w:t xml:space="preserve">Occupation group ($28.25) by the wages and salaries of the same group ($18.63). </w:t>
      </w:r>
      <w:r w:rsidR="000C2FC6">
        <w:t xml:space="preserve"> </w:t>
      </w:r>
      <w:r>
        <w:t xml:space="preserve">The compensation factor is therefore: (1.5164 = $28.25/$18.63). </w:t>
      </w:r>
      <w:r w:rsidR="000C2FC6">
        <w:t xml:space="preserve"> </w:t>
      </w:r>
      <w:r w:rsidRPr="00627EEE">
        <w:t xml:space="preserve">BLS, News Release, Employer Costs for Employee Compensation - June 2017.  Table 1. </w:t>
      </w:r>
      <w:r w:rsidR="000C2FC6">
        <w:t xml:space="preserve"> </w:t>
      </w:r>
      <w:r w:rsidRPr="00627EEE">
        <w:t>Employer costs per hour worked for employee compensation and costs as a percent of total compensation: civilian workers, by major o</w:t>
      </w:r>
      <w:r>
        <w:t>ccupational and industry group</w:t>
      </w:r>
      <w:r w:rsidRPr="005C5E2C">
        <w:t>: transportation, and material moving occupational group</w:t>
      </w:r>
      <w:r>
        <w:t xml:space="preserve">, </w:t>
      </w:r>
      <w:r w:rsidRPr="00627EEE">
        <w:t xml:space="preserve">June 2017. </w:t>
      </w:r>
      <w:r w:rsidR="000C2FC6">
        <w:t xml:space="preserve"> </w:t>
      </w:r>
      <w:r w:rsidRPr="00627EEE">
        <w:t xml:space="preserve">Release date September 8, 2017. </w:t>
      </w:r>
      <w:r w:rsidR="000C2FC6" w:rsidRPr="00166B05">
        <w:t>https://www.bls.gov/news.release/archives/ecec_09082017.pdf</w:t>
      </w:r>
      <w:r w:rsidRPr="00627EEE">
        <w:t>.  Retrieved 10/2/2017.</w:t>
      </w:r>
    </w:p>
    <w:p w14:paraId="67FAB06A" w14:textId="566C8A9E" w:rsidR="006F0B33" w:rsidRDefault="006F0B33" w:rsidP="006F0B33">
      <w:pPr>
        <w:pStyle w:val="FootnoteText"/>
      </w:pPr>
      <w:r>
        <w:t xml:space="preserve">TSA calculates the fully loaded wage rate by multiplying the wage rate for General and Operations Managers in the Transportation Sector by the compensation factor. </w:t>
      </w:r>
      <w:r w:rsidR="000C2FC6">
        <w:t xml:space="preserve"> </w:t>
      </w:r>
      <w:r>
        <w:t>The fully-loaded wage rate is therefore: ($91.92 = $60.62 x 1.5164).</w:t>
      </w:r>
    </w:p>
  </w:footnote>
  <w:footnote w:id="5">
    <w:p w14:paraId="23C7E260" w14:textId="1FFFFD0B" w:rsidR="006F0B33" w:rsidRDefault="006F0B33" w:rsidP="006F0B33">
      <w:pPr>
        <w:pStyle w:val="FootnoteText"/>
      </w:pPr>
      <w:r>
        <w:rPr>
          <w:rStyle w:val="FootnoteReference"/>
        </w:rPr>
        <w:footnoteRef/>
      </w:r>
      <w:r>
        <w:t xml:space="preserve"> This wage rate is estimated using data provided by the TSA Office</w:t>
      </w:r>
      <w:r w:rsidR="000C2FC6">
        <w:t xml:space="preserve"> of Finance and Administration.</w:t>
      </w:r>
    </w:p>
  </w:footnote>
  <w:footnote w:id="6">
    <w:p w14:paraId="46443F30" w14:textId="77777777" w:rsidR="006F0B33" w:rsidRDefault="006F0B33" w:rsidP="006F0B33">
      <w:pPr>
        <w:pStyle w:val="FootnoteText"/>
      </w:pPr>
      <w:r>
        <w:rPr>
          <w:rStyle w:val="FootnoteReference"/>
        </w:rPr>
        <w:footnoteRef/>
      </w:r>
      <w:r>
        <w:t xml:space="preserve"> TSA calculates this by dividing the annual salary by 2,087 work hours in a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6" w14:textId="2464A396"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E7A4A">
      <w:rPr>
        <w:rStyle w:val="PageNumber"/>
        <w:rFonts w:ascii="Times New Roman" w:hAnsi="Times New Roman"/>
        <w:noProof/>
        <w:sz w:val="24"/>
      </w:rPr>
      <w:t>3</w:t>
    </w:r>
    <w:r>
      <w:rPr>
        <w:rStyle w:val="PageNumber"/>
        <w:rFonts w:ascii="Times New Roman" w:hAnsi="Times New Roman"/>
        <w:sz w:val="24"/>
      </w:rPr>
      <w:fldChar w:fldCharType="end"/>
    </w:r>
  </w:p>
  <w:p w14:paraId="1EF7F28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8"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320387" w:rsidRDefault="00320387">
    <w:pPr>
      <w:jc w:val="center"/>
      <w:rPr>
        <w:rFonts w:cs="Times New Roman"/>
        <w:b/>
        <w:sz w:val="28"/>
      </w:rPr>
    </w:pPr>
  </w:p>
  <w:p w14:paraId="1AAA26C8" w14:textId="77777777" w:rsidR="004F41B3" w:rsidRPr="004F41B3" w:rsidRDefault="004F41B3" w:rsidP="004F41B3">
    <w:pPr>
      <w:jc w:val="center"/>
      <w:rPr>
        <w:rFonts w:cs="Times New Roman"/>
        <w:b/>
        <w:i/>
        <w:sz w:val="28"/>
      </w:rPr>
    </w:pPr>
    <w:r w:rsidRPr="004F41B3">
      <w:rPr>
        <w:rFonts w:cs="Times New Roman"/>
        <w:b/>
        <w:i/>
        <w:sz w:val="28"/>
      </w:rPr>
      <w:t>Screening Partnership Program Application</w:t>
    </w:r>
  </w:p>
  <w:p w14:paraId="1EF7F28B" w14:textId="71D4463F" w:rsidR="00320387" w:rsidRDefault="00907FB7">
    <w:pPr>
      <w:jc w:val="center"/>
      <w:rPr>
        <w:rFonts w:cs="Times New Roman"/>
        <w:b/>
        <w:sz w:val="28"/>
      </w:rPr>
    </w:pPr>
    <w:r>
      <w:rPr>
        <w:rFonts w:cs="Times New Roman"/>
        <w:b/>
        <w:sz w:val="28"/>
      </w:rPr>
      <w:t>OMB control number 1652-0064</w:t>
    </w:r>
  </w:p>
  <w:p w14:paraId="7797E5AE" w14:textId="6D593232" w:rsidR="00994BA5" w:rsidRDefault="00994BA5">
    <w:pPr>
      <w:jc w:val="center"/>
      <w:rPr>
        <w:rFonts w:cs="Times New Roman"/>
        <w:b/>
        <w:sz w:val="28"/>
      </w:rPr>
    </w:pPr>
    <w:r>
      <w:rPr>
        <w:rFonts w:cs="Times New Roman"/>
        <w:b/>
        <w:sz w:val="28"/>
      </w:rPr>
      <w:t>Exp. 8/31/2018</w:t>
    </w:r>
  </w:p>
  <w:p w14:paraId="1EF7F28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6162"/>
    <w:rsid w:val="00072820"/>
    <w:rsid w:val="00087F14"/>
    <w:rsid w:val="000C11FB"/>
    <w:rsid w:val="000C2FC6"/>
    <w:rsid w:val="000F2FEF"/>
    <w:rsid w:val="001042A0"/>
    <w:rsid w:val="00106482"/>
    <w:rsid w:val="00120A21"/>
    <w:rsid w:val="00141A59"/>
    <w:rsid w:val="00163F65"/>
    <w:rsid w:val="00166B05"/>
    <w:rsid w:val="00186C03"/>
    <w:rsid w:val="0019156C"/>
    <w:rsid w:val="0019213E"/>
    <w:rsid w:val="00196E26"/>
    <w:rsid w:val="001C7382"/>
    <w:rsid w:val="001D5868"/>
    <w:rsid w:val="001E1705"/>
    <w:rsid w:val="00204725"/>
    <w:rsid w:val="00212633"/>
    <w:rsid w:val="002206BD"/>
    <w:rsid w:val="00231D77"/>
    <w:rsid w:val="00240F26"/>
    <w:rsid w:val="0024480B"/>
    <w:rsid w:val="00252023"/>
    <w:rsid w:val="00263523"/>
    <w:rsid w:val="002643DB"/>
    <w:rsid w:val="00264B21"/>
    <w:rsid w:val="00275F16"/>
    <w:rsid w:val="002D6BD6"/>
    <w:rsid w:val="002E02A2"/>
    <w:rsid w:val="002F559B"/>
    <w:rsid w:val="003029C5"/>
    <w:rsid w:val="00307DA6"/>
    <w:rsid w:val="00316408"/>
    <w:rsid w:val="00320387"/>
    <w:rsid w:val="00330EC5"/>
    <w:rsid w:val="003415CD"/>
    <w:rsid w:val="003415ED"/>
    <w:rsid w:val="00361799"/>
    <w:rsid w:val="00370224"/>
    <w:rsid w:val="003A188F"/>
    <w:rsid w:val="003A5714"/>
    <w:rsid w:val="003C0F11"/>
    <w:rsid w:val="003C3DD5"/>
    <w:rsid w:val="003D148E"/>
    <w:rsid w:val="003D6436"/>
    <w:rsid w:val="004155DE"/>
    <w:rsid w:val="004243D1"/>
    <w:rsid w:val="004837E7"/>
    <w:rsid w:val="004844AB"/>
    <w:rsid w:val="004B06F4"/>
    <w:rsid w:val="004C26BD"/>
    <w:rsid w:val="004C7070"/>
    <w:rsid w:val="004C75A2"/>
    <w:rsid w:val="004E2F4B"/>
    <w:rsid w:val="004F41B3"/>
    <w:rsid w:val="004F4468"/>
    <w:rsid w:val="00517946"/>
    <w:rsid w:val="0053412A"/>
    <w:rsid w:val="00561A71"/>
    <w:rsid w:val="005658EE"/>
    <w:rsid w:val="005A0FD6"/>
    <w:rsid w:val="005D067E"/>
    <w:rsid w:val="005D6A17"/>
    <w:rsid w:val="005E2A7E"/>
    <w:rsid w:val="005E6A67"/>
    <w:rsid w:val="005F018D"/>
    <w:rsid w:val="00604D4F"/>
    <w:rsid w:val="0067168E"/>
    <w:rsid w:val="00681189"/>
    <w:rsid w:val="00684B9C"/>
    <w:rsid w:val="00696D66"/>
    <w:rsid w:val="006B35D5"/>
    <w:rsid w:val="006D7345"/>
    <w:rsid w:val="006F0B33"/>
    <w:rsid w:val="00702DED"/>
    <w:rsid w:val="007301F5"/>
    <w:rsid w:val="007564BD"/>
    <w:rsid w:val="0079555E"/>
    <w:rsid w:val="007E7A4A"/>
    <w:rsid w:val="008078E5"/>
    <w:rsid w:val="0081453D"/>
    <w:rsid w:val="00817312"/>
    <w:rsid w:val="0084198C"/>
    <w:rsid w:val="00841ECC"/>
    <w:rsid w:val="008530E3"/>
    <w:rsid w:val="0087275B"/>
    <w:rsid w:val="008912B7"/>
    <w:rsid w:val="00896B0D"/>
    <w:rsid w:val="008D3F7D"/>
    <w:rsid w:val="008E1C64"/>
    <w:rsid w:val="00906D07"/>
    <w:rsid w:val="00907FB7"/>
    <w:rsid w:val="00917871"/>
    <w:rsid w:val="00920611"/>
    <w:rsid w:val="00925A75"/>
    <w:rsid w:val="00945088"/>
    <w:rsid w:val="00945747"/>
    <w:rsid w:val="00950989"/>
    <w:rsid w:val="009809DB"/>
    <w:rsid w:val="00992807"/>
    <w:rsid w:val="00994BA5"/>
    <w:rsid w:val="009B0C1A"/>
    <w:rsid w:val="009B4871"/>
    <w:rsid w:val="009D02CA"/>
    <w:rsid w:val="009D5415"/>
    <w:rsid w:val="009E4E7D"/>
    <w:rsid w:val="00A14120"/>
    <w:rsid w:val="00A41382"/>
    <w:rsid w:val="00A61C4E"/>
    <w:rsid w:val="00A64C4D"/>
    <w:rsid w:val="00A80F19"/>
    <w:rsid w:val="00AC5588"/>
    <w:rsid w:val="00AD2402"/>
    <w:rsid w:val="00B16B57"/>
    <w:rsid w:val="00B22C33"/>
    <w:rsid w:val="00B33B83"/>
    <w:rsid w:val="00B430B6"/>
    <w:rsid w:val="00B44280"/>
    <w:rsid w:val="00B87529"/>
    <w:rsid w:val="00BA4E08"/>
    <w:rsid w:val="00BD45E3"/>
    <w:rsid w:val="00BD4A1A"/>
    <w:rsid w:val="00BF24D4"/>
    <w:rsid w:val="00C05EC6"/>
    <w:rsid w:val="00C34A26"/>
    <w:rsid w:val="00C34D70"/>
    <w:rsid w:val="00C44EA2"/>
    <w:rsid w:val="00C871CF"/>
    <w:rsid w:val="00C92C6D"/>
    <w:rsid w:val="00CB0369"/>
    <w:rsid w:val="00CC38DD"/>
    <w:rsid w:val="00CE4784"/>
    <w:rsid w:val="00CE7612"/>
    <w:rsid w:val="00CF213B"/>
    <w:rsid w:val="00D10EB8"/>
    <w:rsid w:val="00D167E8"/>
    <w:rsid w:val="00D2447E"/>
    <w:rsid w:val="00D32902"/>
    <w:rsid w:val="00D45871"/>
    <w:rsid w:val="00D562BD"/>
    <w:rsid w:val="00D72C40"/>
    <w:rsid w:val="00D80195"/>
    <w:rsid w:val="00D85C02"/>
    <w:rsid w:val="00DA3549"/>
    <w:rsid w:val="00DA7238"/>
    <w:rsid w:val="00DC18C4"/>
    <w:rsid w:val="00DC3552"/>
    <w:rsid w:val="00E336C8"/>
    <w:rsid w:val="00E35C94"/>
    <w:rsid w:val="00E43523"/>
    <w:rsid w:val="00E44B50"/>
    <w:rsid w:val="00E51967"/>
    <w:rsid w:val="00E81AC9"/>
    <w:rsid w:val="00EA0D46"/>
    <w:rsid w:val="00EA340A"/>
    <w:rsid w:val="00EA4989"/>
    <w:rsid w:val="00EB1FF4"/>
    <w:rsid w:val="00EB67AF"/>
    <w:rsid w:val="00EE16EB"/>
    <w:rsid w:val="00EF2BF2"/>
    <w:rsid w:val="00EF6BC9"/>
    <w:rsid w:val="00EF6DFE"/>
    <w:rsid w:val="00F01AF2"/>
    <w:rsid w:val="00F46C22"/>
    <w:rsid w:val="00F508CA"/>
    <w:rsid w:val="00F52E3F"/>
    <w:rsid w:val="00F54F68"/>
    <w:rsid w:val="00F61F66"/>
    <w:rsid w:val="00F776AE"/>
    <w:rsid w:val="00F900B8"/>
    <w:rsid w:val="00FE4A54"/>
    <w:rsid w:val="00FE5333"/>
    <w:rsid w:val="00FF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3C3DD5"/>
    <w:rPr>
      <w:rFonts w:ascii="Tahoma" w:hAnsi="Tahoma" w:cs="Tahoma"/>
      <w:sz w:val="16"/>
      <w:szCs w:val="16"/>
    </w:rPr>
  </w:style>
  <w:style w:type="character" w:customStyle="1" w:styleId="BalloonTextChar">
    <w:name w:val="Balloon Text Char"/>
    <w:basedOn w:val="DefaultParagraphFont"/>
    <w:link w:val="BalloonText"/>
    <w:rsid w:val="003C3DD5"/>
    <w:rPr>
      <w:rFonts w:ascii="Tahoma" w:hAnsi="Tahoma" w:cs="Tahoma"/>
      <w:color w:val="000000"/>
      <w:sz w:val="16"/>
      <w:szCs w:val="16"/>
    </w:rPr>
  </w:style>
  <w:style w:type="table" w:styleId="TableGrid">
    <w:name w:val="Table Grid"/>
    <w:basedOn w:val="TableNormal"/>
    <w:rsid w:val="004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4D70"/>
    <w:rPr>
      <w:sz w:val="16"/>
      <w:szCs w:val="16"/>
    </w:rPr>
  </w:style>
  <w:style w:type="paragraph" w:styleId="CommentText">
    <w:name w:val="annotation text"/>
    <w:basedOn w:val="Normal"/>
    <w:link w:val="CommentTextChar"/>
    <w:rsid w:val="00C34D70"/>
    <w:rPr>
      <w:sz w:val="20"/>
    </w:rPr>
  </w:style>
  <w:style w:type="character" w:customStyle="1" w:styleId="CommentTextChar">
    <w:name w:val="Comment Text Char"/>
    <w:basedOn w:val="DefaultParagraphFont"/>
    <w:link w:val="CommentText"/>
    <w:rsid w:val="00C34D70"/>
    <w:rPr>
      <w:rFonts w:cs="Arial"/>
      <w:color w:val="000000"/>
    </w:rPr>
  </w:style>
  <w:style w:type="paragraph" w:styleId="CommentSubject">
    <w:name w:val="annotation subject"/>
    <w:basedOn w:val="CommentText"/>
    <w:next w:val="CommentText"/>
    <w:link w:val="CommentSubjectChar"/>
    <w:rsid w:val="00C34D70"/>
    <w:rPr>
      <w:b/>
      <w:bCs/>
    </w:rPr>
  </w:style>
  <w:style w:type="character" w:customStyle="1" w:styleId="CommentSubjectChar">
    <w:name w:val="Comment Subject Char"/>
    <w:basedOn w:val="CommentTextChar"/>
    <w:link w:val="CommentSubject"/>
    <w:rsid w:val="00C34D70"/>
    <w:rPr>
      <w:rFonts w:cs="Arial"/>
      <w:b/>
      <w:bCs/>
      <w:color w:val="000000"/>
    </w:rPr>
  </w:style>
  <w:style w:type="paragraph" w:styleId="FootnoteText">
    <w:name w:val="footnote text"/>
    <w:basedOn w:val="Normal"/>
    <w:link w:val="FootnoteTextChar"/>
    <w:semiHidden/>
    <w:unhideWhenUsed/>
    <w:rsid w:val="006F0B33"/>
    <w:rPr>
      <w:sz w:val="20"/>
    </w:rPr>
  </w:style>
  <w:style w:type="character" w:customStyle="1" w:styleId="FootnoteTextChar">
    <w:name w:val="Footnote Text Char"/>
    <w:basedOn w:val="DefaultParagraphFont"/>
    <w:link w:val="FootnoteText"/>
    <w:semiHidden/>
    <w:rsid w:val="006F0B33"/>
    <w:rPr>
      <w:rFonts w:cs="Arial"/>
      <w:color w:val="000000"/>
    </w:rPr>
  </w:style>
  <w:style w:type="character" w:styleId="FootnoteReference">
    <w:name w:val="footnote reference"/>
    <w:basedOn w:val="DefaultParagraphFont"/>
    <w:semiHidden/>
    <w:unhideWhenUsed/>
    <w:rsid w:val="006F0B33"/>
    <w:rPr>
      <w:vertAlign w:val="superscript"/>
    </w:rPr>
  </w:style>
  <w:style w:type="character" w:styleId="Hyperlink">
    <w:name w:val="Hyperlink"/>
    <w:basedOn w:val="DefaultParagraphFont"/>
    <w:unhideWhenUsed/>
    <w:rsid w:val="006F0B33"/>
    <w:rPr>
      <w:color w:val="0000FF" w:themeColor="hyperlink"/>
      <w:u w:val="single"/>
    </w:rPr>
  </w:style>
  <w:style w:type="paragraph" w:styleId="ListParagraph">
    <w:name w:val="List Paragraph"/>
    <w:basedOn w:val="Normal"/>
    <w:uiPriority w:val="34"/>
    <w:qFormat/>
    <w:rsid w:val="006F0B33"/>
    <w:pPr>
      <w:ind w:left="720"/>
      <w:contextualSpacing/>
    </w:pPr>
  </w:style>
  <w:style w:type="paragraph" w:styleId="Revision">
    <w:name w:val="Revision"/>
    <w:hidden/>
    <w:uiPriority w:val="99"/>
    <w:semiHidden/>
    <w:rsid w:val="009809DB"/>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3C3DD5"/>
    <w:rPr>
      <w:rFonts w:ascii="Tahoma" w:hAnsi="Tahoma" w:cs="Tahoma"/>
      <w:sz w:val="16"/>
      <w:szCs w:val="16"/>
    </w:rPr>
  </w:style>
  <w:style w:type="character" w:customStyle="1" w:styleId="BalloonTextChar">
    <w:name w:val="Balloon Text Char"/>
    <w:basedOn w:val="DefaultParagraphFont"/>
    <w:link w:val="BalloonText"/>
    <w:rsid w:val="003C3DD5"/>
    <w:rPr>
      <w:rFonts w:ascii="Tahoma" w:hAnsi="Tahoma" w:cs="Tahoma"/>
      <w:color w:val="000000"/>
      <w:sz w:val="16"/>
      <w:szCs w:val="16"/>
    </w:rPr>
  </w:style>
  <w:style w:type="table" w:styleId="TableGrid">
    <w:name w:val="Table Grid"/>
    <w:basedOn w:val="TableNormal"/>
    <w:rsid w:val="004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4D70"/>
    <w:rPr>
      <w:sz w:val="16"/>
      <w:szCs w:val="16"/>
    </w:rPr>
  </w:style>
  <w:style w:type="paragraph" w:styleId="CommentText">
    <w:name w:val="annotation text"/>
    <w:basedOn w:val="Normal"/>
    <w:link w:val="CommentTextChar"/>
    <w:rsid w:val="00C34D70"/>
    <w:rPr>
      <w:sz w:val="20"/>
    </w:rPr>
  </w:style>
  <w:style w:type="character" w:customStyle="1" w:styleId="CommentTextChar">
    <w:name w:val="Comment Text Char"/>
    <w:basedOn w:val="DefaultParagraphFont"/>
    <w:link w:val="CommentText"/>
    <w:rsid w:val="00C34D70"/>
    <w:rPr>
      <w:rFonts w:cs="Arial"/>
      <w:color w:val="000000"/>
    </w:rPr>
  </w:style>
  <w:style w:type="paragraph" w:styleId="CommentSubject">
    <w:name w:val="annotation subject"/>
    <w:basedOn w:val="CommentText"/>
    <w:next w:val="CommentText"/>
    <w:link w:val="CommentSubjectChar"/>
    <w:rsid w:val="00C34D70"/>
    <w:rPr>
      <w:b/>
      <w:bCs/>
    </w:rPr>
  </w:style>
  <w:style w:type="character" w:customStyle="1" w:styleId="CommentSubjectChar">
    <w:name w:val="Comment Subject Char"/>
    <w:basedOn w:val="CommentTextChar"/>
    <w:link w:val="CommentSubject"/>
    <w:rsid w:val="00C34D70"/>
    <w:rPr>
      <w:rFonts w:cs="Arial"/>
      <w:b/>
      <w:bCs/>
      <w:color w:val="000000"/>
    </w:rPr>
  </w:style>
  <w:style w:type="paragraph" w:styleId="FootnoteText">
    <w:name w:val="footnote text"/>
    <w:basedOn w:val="Normal"/>
    <w:link w:val="FootnoteTextChar"/>
    <w:semiHidden/>
    <w:unhideWhenUsed/>
    <w:rsid w:val="006F0B33"/>
    <w:rPr>
      <w:sz w:val="20"/>
    </w:rPr>
  </w:style>
  <w:style w:type="character" w:customStyle="1" w:styleId="FootnoteTextChar">
    <w:name w:val="Footnote Text Char"/>
    <w:basedOn w:val="DefaultParagraphFont"/>
    <w:link w:val="FootnoteText"/>
    <w:semiHidden/>
    <w:rsid w:val="006F0B33"/>
    <w:rPr>
      <w:rFonts w:cs="Arial"/>
      <w:color w:val="000000"/>
    </w:rPr>
  </w:style>
  <w:style w:type="character" w:styleId="FootnoteReference">
    <w:name w:val="footnote reference"/>
    <w:basedOn w:val="DefaultParagraphFont"/>
    <w:semiHidden/>
    <w:unhideWhenUsed/>
    <w:rsid w:val="006F0B33"/>
    <w:rPr>
      <w:vertAlign w:val="superscript"/>
    </w:rPr>
  </w:style>
  <w:style w:type="character" w:styleId="Hyperlink">
    <w:name w:val="Hyperlink"/>
    <w:basedOn w:val="DefaultParagraphFont"/>
    <w:unhideWhenUsed/>
    <w:rsid w:val="006F0B33"/>
    <w:rPr>
      <w:color w:val="0000FF" w:themeColor="hyperlink"/>
      <w:u w:val="single"/>
    </w:rPr>
  </w:style>
  <w:style w:type="paragraph" w:styleId="ListParagraph">
    <w:name w:val="List Paragraph"/>
    <w:basedOn w:val="Normal"/>
    <w:uiPriority w:val="34"/>
    <w:qFormat/>
    <w:rsid w:val="006F0B33"/>
    <w:pPr>
      <w:ind w:left="720"/>
      <w:contextualSpacing/>
    </w:pPr>
  </w:style>
  <w:style w:type="paragraph" w:styleId="Revision">
    <w:name w:val="Revision"/>
    <w:hidden/>
    <w:uiPriority w:val="99"/>
    <w:semiHidden/>
    <w:rsid w:val="009809DB"/>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7B7D4D2E5C146B7F61B07B5B057A9" ma:contentTypeVersion="7" ma:contentTypeDescription="Create a new document." ma:contentTypeScope="" ma:versionID="eb41d52e177ad818aeaa576cca08320d">
  <xsd:schema xmlns:xsd="http://www.w3.org/2001/XMLSchema" xmlns:xs="http://www.w3.org/2001/XMLSchema" xmlns:p="http://schemas.microsoft.com/office/2006/metadata/properties" xmlns:ns2="dcc26ded-df53-40e4-b0ec-50f0378640d6" xmlns:ns3="00b6b4e7-1353-47b5-82d8-7a2a67aeba35" targetNamespace="http://schemas.microsoft.com/office/2006/metadata/properties" ma:root="true" ma:fieldsID="064a54093202e20b9768655985f4ec62" ns2:_="" ns3:_="">
    <xsd:import namespace="dcc26ded-df53-40e4-b0ec-50f0378640d6"/>
    <xsd:import namespace="00b6b4e7-1353-47b5-82d8-7a2a67aeba35"/>
    <xsd:element name="properties">
      <xsd:complexType>
        <xsd:sequence>
          <xsd:element name="documentManagement">
            <xsd:complexType>
              <xsd:all>
                <xsd:element ref="ns2:_dlc_DocId" minOccurs="0"/>
                <xsd:element ref="ns2:_dlc_DocIdUrl" minOccurs="0"/>
                <xsd:element ref="ns2:_dlc_DocIdPersistId" minOccurs="0"/>
                <xsd:element ref="ns3:CollectionYear" minOccurs="0"/>
                <xsd:element ref="ns3:RequestType" minOccurs="0"/>
                <xsd:element ref="ns3:DocumentType" minOccurs="0"/>
                <xsd:element ref="ns3:DayNotice" minOccurs="0"/>
                <xsd:element ref="ns3:Comment" minOccurs="0"/>
                <xsd:element ref="ns3:Office" minOccurs="0"/>
                <xsd:element ref="ns3:Oth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b6b4e7-1353-47b5-82d8-7a2a67aeba35" elementFormDefault="qualified">
    <xsd:import namespace="http://schemas.microsoft.com/office/2006/documentManagement/types"/>
    <xsd:import namespace="http://schemas.microsoft.com/office/infopath/2007/PartnerControls"/>
    <xsd:element name="CollectionYear" ma:index="11" nillable="true" ma:displayName="Collection Year" ma:default="N/A" ma:format="Dropdown" ma:internalName="CollectionYear">
      <xsd:simpleType>
        <xsd:restriction base="dms:Choice">
          <xsd:enumeration value="FY18"/>
          <xsd:enumeration value="FY19"/>
          <xsd:enumeration value="FY20"/>
          <xsd:enumeration value="N/A"/>
        </xsd:restriction>
      </xsd:simpleType>
    </xsd:element>
    <xsd:element name="RequestType" ma:index="12" nillable="true" ma:displayName="Type of Request" ma:default="N/A" ma:format="Dropdown" ma:internalName="RequestType">
      <xsd:simpleType>
        <xsd:restriction base="dms:Choice">
          <xsd:enumeration value="New"/>
          <xsd:enumeration value="Change"/>
          <xsd:enumeration value="Generic"/>
          <xsd:enumeration value="Extension"/>
          <xsd:enumeration value="Revision"/>
          <xsd:enumeration value="ER"/>
          <xsd:enumeration value="N/A"/>
        </xsd:restriction>
      </xsd:simpleType>
    </xsd:element>
    <xsd:element name="DocumentType" ma:index="13" nillable="true" ma:displayName="Type of Document" ma:default="N/A" ma:format="Dropdown" ma:internalName="DocumentType">
      <xsd:simpleType>
        <xsd:restriction base="dms:Choice">
          <xsd:enumeration value="Notice"/>
          <xsd:enumeration value="Supporting Statement"/>
          <xsd:enumeration value="Supplementary Documents"/>
          <xsd:enumeration value="Instruction(s)"/>
          <xsd:enumeration value="Screenshot(s)"/>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enumeration value="ER Memo"/>
          <xsd:enumeration value="Justification Memo"/>
        </xsd:restriction>
      </xsd:simpleType>
    </xsd:element>
    <xsd:element name="DayNotice" ma:index="14" nillable="true" ma:displayName="Day Notice" ma:default="N/A" ma:format="Dropdown" ma:internalName="DayNotice">
      <xsd:simpleType>
        <xsd:restriction base="dms:Choice">
          <xsd:enumeration value="60 Day"/>
          <xsd:enumeration value="30 Day"/>
          <xsd:enumeration value="N/A"/>
        </xsd:restriction>
      </xsd:simpleType>
    </xsd:element>
    <xsd:element name="Comment" ma:index="15" nillable="true" ma:displayName="Reviewer comment" ma:internalName="Comment">
      <xsd:simpleType>
        <xsd:restriction base="dms:Text">
          <xsd:maxLength value="255"/>
        </xsd:restriction>
      </xsd:simpleType>
    </xsd:element>
    <xsd:element name="Office" ma:index="16" nillable="true" ma:displayName="Program Office" ma:default="N/A" ma:format="Dropdown" ma:internalName="Office">
      <xsd:simpleType>
        <xsd:union memberTypes="dms:Text">
          <xsd:simpleType>
            <xsd:restriction base="dms:Choice">
              <xsd:enumeration value="OIA"/>
              <xsd:enumeration value="OSPIE"/>
              <xsd:enumeration value="OSO"/>
              <xsd:enumeration value="OLE/FAMS"/>
              <xsd:enumeration value="OIT"/>
              <xsd:enumeration value="OFO"/>
              <xsd:enumeration value="OHC"/>
              <xsd:enumeration value="N/A"/>
            </xsd:restriction>
          </xsd:simpleType>
        </xsd:union>
      </xsd:simpleType>
    </xsd:element>
    <xsd:element name="OtherAction" ma:index="17" nillable="true" ma:displayName="OtherAction" ma:default="N/A" ma:format="Dropdown" ma:internalName="OtherAction">
      <xsd:simpleType>
        <xsd:restriction base="dms:Choice">
          <xsd:enumeration value="Legacy"/>
          <xsd:enumeration value="ROCIS"/>
          <xsd:enumeration value="DHS Privacy"/>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dcc26ded-df53-40e4-b0ec-50f0378640d6">2MNXFYDWMX7Y-1739392070-200</_dlc_DocId>
    <_dlc_DocIdUrl xmlns="dcc26ded-df53-40e4-b0ec-50f0378640d6">
      <Url>https://office.ishare.tsa.dhs.gov/sites/oit/bmo/pra/_layouts/15/DocIdRedir.aspx?ID=2MNXFYDWMX7Y-1739392070-200</Url>
      <Description>2MNXFYDWMX7Y-1739392070-200</Description>
    </_dlc_DocIdUrl>
    <RequestType xmlns="00b6b4e7-1353-47b5-82d8-7a2a67aeba35">Extension</RequestType>
    <CollectionYear xmlns="00b6b4e7-1353-47b5-82d8-7a2a67aeba35">FY18</CollectionYear>
    <OtherAction xmlns="00b6b4e7-1353-47b5-82d8-7a2a67aeba35">ROCIS</OtherAction>
    <DocumentType xmlns="00b6b4e7-1353-47b5-82d8-7a2a67aeba35">Supporting Statement</DocumentType>
    <Comment xmlns="00b6b4e7-1353-47b5-82d8-7a2a67aeba35">Q10 to be updated by adj. PTA</Comment>
    <DayNotice xmlns="00b6b4e7-1353-47b5-82d8-7a2a67aeba35">N/A</DayNotice>
    <Office xmlns="00b6b4e7-1353-47b5-82d8-7a2a67aeba35">OSO</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9618-791E-432C-B608-892741DC3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00b6b4e7-1353-47b5-82d8-7a2a67ae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BC336-8306-4AF6-843A-BE8A594D4483}">
  <ds:schemaRefs>
    <ds:schemaRef ds:uri="http://schemas.microsoft.com/office/2006/documentManagement/types"/>
    <ds:schemaRef ds:uri="http://purl.org/dc/elements/1.1/"/>
    <ds:schemaRef ds:uri="00b6b4e7-1353-47b5-82d8-7a2a67aeba35"/>
    <ds:schemaRef ds:uri="dcc26ded-df53-40e4-b0ec-50f0378640d6"/>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F54EF95B-6113-4AED-AB59-0555E2F55B2A}">
  <ds:schemaRefs>
    <ds:schemaRef ds:uri="http://schemas.microsoft.com/sharepoint/events"/>
  </ds:schemaRefs>
</ds:datastoreItem>
</file>

<file path=customXml/itemProps5.xml><?xml version="1.0" encoding="utf-8"?>
<ds:datastoreItem xmlns:ds="http://schemas.openxmlformats.org/officeDocument/2006/customXml" ds:itemID="{A190F6A4-D71A-4F6E-8D12-CA04AB3C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SYSTEM</cp:lastModifiedBy>
  <cp:revision>2</cp:revision>
  <dcterms:created xsi:type="dcterms:W3CDTF">2018-04-17T18:44:00Z</dcterms:created>
  <dcterms:modified xsi:type="dcterms:W3CDTF">2018-04-17T18:44:00Z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0x0101006137B7D4D2E5C146B7F61B07B5B057A9</vt:lpwstr>
  </property>
  <property fmtid="{D5CDD505-2E9C-101B-9397-08002B2CF9AE}" pid="3" name="_NewReviewCycle">
    <vt:lpwstr/>
  </property>
  <property fmtid="{D5CDD505-2E9C-101B-9397-08002B2CF9AE}" pid="4" name="_dlc_DocIdItemGuid">
    <vt:lpwstr>a44e499c-9fe3-4b97-89cf-dd8b3843d9fd</vt:lpwstr>
  </property>
</Properties>
</file>