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9ADF" w14:textId="77777777" w:rsidR="009D6B6D" w:rsidRPr="00FA0A2C" w:rsidRDefault="001D2EC1" w:rsidP="001D2EC1">
      <w:pPr>
        <w:widowControl/>
        <w:tabs>
          <w:tab w:val="center" w:pos="5040"/>
        </w:tabs>
        <w:jc w:val="center"/>
      </w:pPr>
      <w:bookmarkStart w:id="0" w:name="_GoBack"/>
      <w:bookmarkEnd w:id="0"/>
      <w:r w:rsidRPr="00FA0A2C">
        <w:t>Supporting Statement for</w:t>
      </w:r>
    </w:p>
    <w:p w14:paraId="159CB273" w14:textId="04157529" w:rsidR="009922D2" w:rsidRPr="00FA0A2C" w:rsidRDefault="0021208A" w:rsidP="003F28DF">
      <w:pPr>
        <w:widowControl/>
        <w:tabs>
          <w:tab w:val="center" w:pos="5040"/>
        </w:tabs>
        <w:jc w:val="center"/>
        <w:rPr>
          <w:b/>
        </w:rPr>
      </w:pPr>
      <w:r w:rsidRPr="00FA0A2C">
        <w:rPr>
          <w:b/>
          <w:bCs/>
        </w:rPr>
        <w:t>FERC-</w:t>
      </w:r>
      <w:r w:rsidR="004B1D7A" w:rsidRPr="00FA0A2C">
        <w:rPr>
          <w:b/>
          <w:bCs/>
        </w:rPr>
        <w:t>501G</w:t>
      </w:r>
      <w:r w:rsidR="009D6B6D" w:rsidRPr="00FA0A2C">
        <w:rPr>
          <w:b/>
          <w:bCs/>
        </w:rPr>
        <w:t xml:space="preserve">, </w:t>
      </w:r>
      <w:r w:rsidR="003F28DF" w:rsidRPr="00FA0A2C">
        <w:rPr>
          <w:b/>
        </w:rPr>
        <w:t>One-time Report on Rate Effect of the Tax Cuts and Jobs Act</w:t>
      </w:r>
      <w:r w:rsidR="00EA64E1">
        <w:rPr>
          <w:b/>
        </w:rPr>
        <w:t xml:space="preserve">, </w:t>
      </w:r>
    </w:p>
    <w:p w14:paraId="69E3DA63" w14:textId="5963D643" w:rsidR="009443AF" w:rsidRPr="00FA0A2C" w:rsidRDefault="009443AF" w:rsidP="009922D2">
      <w:pPr>
        <w:widowControl/>
        <w:tabs>
          <w:tab w:val="center" w:pos="5040"/>
        </w:tabs>
        <w:jc w:val="center"/>
      </w:pPr>
      <w:r w:rsidRPr="00FA0A2C">
        <w:t xml:space="preserve">As Proposed In </w:t>
      </w:r>
      <w:r w:rsidR="00CB6B90" w:rsidRPr="00FA0A2C">
        <w:t xml:space="preserve">NOPR In </w:t>
      </w:r>
      <w:r w:rsidRPr="00FA0A2C">
        <w:t>Docket No. RM18-11-000</w:t>
      </w:r>
    </w:p>
    <w:p w14:paraId="3443459D" w14:textId="1C1030F3" w:rsidR="009D6B6D" w:rsidRPr="00FA0A2C" w:rsidRDefault="009D6B6D" w:rsidP="004B1D7A">
      <w:pPr>
        <w:widowControl/>
        <w:tabs>
          <w:tab w:val="center" w:pos="5040"/>
        </w:tabs>
        <w:jc w:val="center"/>
        <w:rPr>
          <w:b/>
        </w:rPr>
      </w:pPr>
    </w:p>
    <w:p w14:paraId="13D26165" w14:textId="77777777" w:rsidR="009D6B6D" w:rsidRPr="00FA0A2C" w:rsidRDefault="009D6B6D" w:rsidP="001D2EC1">
      <w:pPr>
        <w:widowControl/>
        <w:tabs>
          <w:tab w:val="center" w:pos="5040"/>
        </w:tabs>
        <w:jc w:val="center"/>
      </w:pPr>
    </w:p>
    <w:p w14:paraId="08EF0C81" w14:textId="25CBEF7D" w:rsidR="009D6B6D" w:rsidRPr="00A63E6C" w:rsidRDefault="009D6B6D" w:rsidP="009922D2">
      <w:pPr>
        <w:widowControl/>
        <w:tabs>
          <w:tab w:val="center" w:pos="5040"/>
        </w:tabs>
        <w:rPr>
          <w:b/>
          <w:vertAlign w:val="superscript"/>
        </w:rPr>
      </w:pPr>
      <w:r w:rsidRPr="00FA0A2C">
        <w:rPr>
          <w:bCs/>
        </w:rPr>
        <w:t xml:space="preserve">The Federal Energy Regulatory Commission (Commission or FERC) </w:t>
      </w:r>
      <w:r w:rsidR="009443AF" w:rsidRPr="00FA0A2C">
        <w:rPr>
          <w:bCs/>
        </w:rPr>
        <w:t xml:space="preserve">requests Office of Management and Budget (OMB) review and approval of FERC-501G, </w:t>
      </w:r>
      <w:r w:rsidR="003F28DF" w:rsidRPr="00FA0A2C">
        <w:rPr>
          <w:bCs/>
        </w:rPr>
        <w:t>One</w:t>
      </w:r>
      <w:r w:rsidR="003F28DF" w:rsidRPr="00FA0A2C">
        <w:t>-time Report on Rate Effect of the Tax Cuts and Jobs Act</w:t>
      </w:r>
      <w:r w:rsidR="0035481D" w:rsidRPr="00FA0A2C">
        <w:rPr>
          <w:bCs/>
        </w:rPr>
        <w:t xml:space="preserve"> (</w:t>
      </w:r>
      <w:r w:rsidR="0021208A" w:rsidRPr="00FA0A2C">
        <w:rPr>
          <w:bCs/>
        </w:rPr>
        <w:t>OMB Control No. 1902-</w:t>
      </w:r>
      <w:r w:rsidR="003905B7" w:rsidRPr="00FA0A2C">
        <w:rPr>
          <w:bCs/>
        </w:rPr>
        <w:t>TBD</w:t>
      </w:r>
      <w:r w:rsidR="00E32773" w:rsidRPr="00FA0A2C">
        <w:rPr>
          <w:bCs/>
        </w:rPr>
        <w:t>)</w:t>
      </w:r>
      <w:r w:rsidR="005D6791" w:rsidRPr="00FA0A2C">
        <w:rPr>
          <w:bCs/>
        </w:rPr>
        <w:t>,</w:t>
      </w:r>
      <w:r w:rsidR="00E32773" w:rsidRPr="00FA0A2C">
        <w:rPr>
          <w:bCs/>
        </w:rPr>
        <w:t xml:space="preserve"> for a </w:t>
      </w:r>
      <w:r w:rsidR="009922D2" w:rsidRPr="00FA0A2C">
        <w:rPr>
          <w:bCs/>
        </w:rPr>
        <w:t>one</w:t>
      </w:r>
      <w:r w:rsidR="00E32773" w:rsidRPr="00FA0A2C">
        <w:rPr>
          <w:bCs/>
        </w:rPr>
        <w:t>-</w:t>
      </w:r>
      <w:r w:rsidR="009922D2" w:rsidRPr="00FA0A2C">
        <w:rPr>
          <w:bCs/>
        </w:rPr>
        <w:t>time reporting requirement</w:t>
      </w:r>
      <w:r w:rsidRPr="00FA0A2C">
        <w:rPr>
          <w:bCs/>
        </w:rPr>
        <w:t xml:space="preserve">.  </w:t>
      </w:r>
      <w:r w:rsidR="0021208A" w:rsidRPr="00FA0A2C">
        <w:rPr>
          <w:bCs/>
        </w:rPr>
        <w:t>FERC-5</w:t>
      </w:r>
      <w:r w:rsidR="009922D2" w:rsidRPr="00FA0A2C">
        <w:rPr>
          <w:bCs/>
        </w:rPr>
        <w:t xml:space="preserve">01G </w:t>
      </w:r>
      <w:r w:rsidR="00CC615D" w:rsidRPr="00FA0A2C">
        <w:t>is</w:t>
      </w:r>
      <w:r w:rsidR="003F28DF" w:rsidRPr="00FA0A2C">
        <w:t xml:space="preserve"> a</w:t>
      </w:r>
      <w:r w:rsidR="009443AF" w:rsidRPr="00FA0A2C">
        <w:t xml:space="preserve"> one</w:t>
      </w:r>
      <w:r w:rsidR="003F28DF" w:rsidRPr="00FA0A2C">
        <w:t>-</w:t>
      </w:r>
      <w:r w:rsidR="009443AF" w:rsidRPr="00FA0A2C">
        <w:t>time,</w:t>
      </w:r>
      <w:r w:rsidR="00CC615D" w:rsidRPr="00FA0A2C">
        <w:t xml:space="preserve"> </w:t>
      </w:r>
      <w:r w:rsidR="009922D2" w:rsidRPr="00FA0A2C">
        <w:t>new</w:t>
      </w:r>
      <w:r w:rsidR="00CC615D" w:rsidRPr="00FA0A2C">
        <w:t xml:space="preserve"> data collection with </w:t>
      </w:r>
      <w:r w:rsidRPr="00FA0A2C">
        <w:t>reporting requirement</w:t>
      </w:r>
      <w:r w:rsidR="009443AF" w:rsidRPr="00FA0A2C">
        <w:t>s</w:t>
      </w:r>
      <w:r w:rsidRPr="00FA0A2C">
        <w:t xml:space="preserve"> in Code of Federal Regulations (CFR)</w:t>
      </w:r>
      <w:r w:rsidR="003F28DF" w:rsidRPr="00FA0A2C">
        <w:t xml:space="preserve"> Title 18,</w:t>
      </w:r>
      <w:r w:rsidRPr="00FA0A2C">
        <w:t xml:space="preserve"> </w:t>
      </w:r>
      <w:r w:rsidR="009922D2" w:rsidRPr="00FA0A2C">
        <w:t>Parts 154, 260</w:t>
      </w:r>
      <w:r w:rsidR="003F28DF" w:rsidRPr="00FA0A2C">
        <w:t>,</w:t>
      </w:r>
      <w:r w:rsidR="009922D2" w:rsidRPr="00FA0A2C">
        <w:t xml:space="preserve"> and 284</w:t>
      </w:r>
      <w:r w:rsidR="0021208A" w:rsidRPr="00FA0A2C">
        <w:t>.</w:t>
      </w:r>
      <w:r w:rsidR="00CB6B90" w:rsidRPr="00FA0A2C">
        <w:t xml:space="preserve">  The FERC-501G i</w:t>
      </w:r>
      <w:r w:rsidR="00E56D10">
        <w:t>s being proposed in the Notice o</w:t>
      </w:r>
      <w:r w:rsidR="00CB6B90" w:rsidRPr="00FA0A2C">
        <w:t>f Proposed Rulemaking (NOPR) in Docket No. RM18-11-000</w:t>
      </w:r>
      <w:r w:rsidR="00E56D10" w:rsidRPr="00A63E6C">
        <w:rPr>
          <w:rStyle w:val="FootnoteReference"/>
          <w:vertAlign w:val="superscript"/>
        </w:rPr>
        <w:footnoteReference w:id="1"/>
      </w:r>
      <w:r w:rsidR="00CB6B90" w:rsidRPr="00824A27">
        <w:t>.</w:t>
      </w:r>
    </w:p>
    <w:p w14:paraId="284B885E" w14:textId="325CEDC8" w:rsidR="009D6B6D" w:rsidRPr="00FA0A2C" w:rsidRDefault="009D6B6D" w:rsidP="001D2EC1">
      <w:pPr>
        <w:widowControl/>
        <w:rPr>
          <w:b/>
        </w:rPr>
      </w:pPr>
    </w:p>
    <w:p w14:paraId="56A68CCF" w14:textId="77777777" w:rsidR="001E7C7F" w:rsidRPr="00160975" w:rsidRDefault="001E7C7F" w:rsidP="001E7C7F">
      <w:pPr>
        <w:pStyle w:val="FERCparanumber"/>
        <w:numPr>
          <w:ilvl w:val="0"/>
          <w:numId w:val="7"/>
        </w:numPr>
        <w:tabs>
          <w:tab w:val="left" w:pos="720"/>
          <w:tab w:val="left" w:pos="4860"/>
        </w:tabs>
        <w:rPr>
          <w:sz w:val="24"/>
        </w:rPr>
      </w:pPr>
      <w:r w:rsidRPr="00FA0A2C">
        <w:rPr>
          <w:b/>
          <w:sz w:val="24"/>
        </w:rPr>
        <w:t>CIRCUMSTANCES THAT MAKE THE COLLECTION OF INFORMATION</w:t>
      </w:r>
      <w:r>
        <w:rPr>
          <w:b/>
          <w:sz w:val="24"/>
        </w:rPr>
        <w:t xml:space="preserve"> </w:t>
      </w:r>
      <w:r w:rsidRPr="00FA0A2C">
        <w:rPr>
          <w:b/>
          <w:sz w:val="24"/>
        </w:rPr>
        <w:t>NECESSARY</w:t>
      </w:r>
    </w:p>
    <w:p w14:paraId="74BB5164" w14:textId="77777777" w:rsidR="009D6B6D" w:rsidRPr="00FA0A2C" w:rsidRDefault="009D6B6D" w:rsidP="001D2EC1">
      <w:pPr>
        <w:widowControl/>
        <w:ind w:left="1440"/>
        <w:rPr>
          <w:b/>
        </w:rPr>
      </w:pPr>
    </w:p>
    <w:p w14:paraId="71D693EA" w14:textId="3D2BA3C6" w:rsidR="0021208A" w:rsidRPr="00FA0A2C" w:rsidRDefault="00C254FD" w:rsidP="0021208A">
      <w:r w:rsidRPr="00FA0A2C">
        <w:t>The Tax Cuts and Jobs Act of 2017</w:t>
      </w:r>
      <w:r w:rsidR="00192676" w:rsidRPr="00FA0A2C">
        <w:rPr>
          <w:rStyle w:val="FootnoteReference"/>
          <w:vertAlign w:val="superscript"/>
        </w:rPr>
        <w:footnoteReference w:id="2"/>
      </w:r>
      <w:r w:rsidRPr="00FA0A2C">
        <w:rPr>
          <w:rStyle w:val="FootnoteReference"/>
          <w:vertAlign w:val="superscript"/>
        </w:rPr>
        <w:t xml:space="preserve"> </w:t>
      </w:r>
      <w:r w:rsidRPr="00FA0A2C">
        <w:t xml:space="preserve">reduced tax levels applicable to corporate and individual income, effective January 1, </w:t>
      </w:r>
      <w:r w:rsidR="00490E5A" w:rsidRPr="00FA0A2C">
        <w:t>201</w:t>
      </w:r>
      <w:r w:rsidR="00490E5A">
        <w:t>8</w:t>
      </w:r>
      <w:r w:rsidRPr="00FA0A2C">
        <w:t xml:space="preserve">.  Pipelines subject to cost of service regulation pursuant to Section 4 of the </w:t>
      </w:r>
      <w:r w:rsidR="003F28DF" w:rsidRPr="00FA0A2C">
        <w:t>Natural Gas Act (</w:t>
      </w:r>
      <w:r w:rsidRPr="00FA0A2C">
        <w:t>NGA</w:t>
      </w:r>
      <w:r w:rsidR="003F28DF" w:rsidRPr="00FA0A2C">
        <w:t>)</w:t>
      </w:r>
      <w:r w:rsidRPr="00FA0A2C">
        <w:rPr>
          <w:rStyle w:val="FootnoteReference"/>
          <w:vertAlign w:val="superscript"/>
        </w:rPr>
        <w:footnoteReference w:id="3"/>
      </w:r>
      <w:r w:rsidRPr="00FA0A2C">
        <w:t xml:space="preserve"> and Section 311 of the </w:t>
      </w:r>
      <w:r w:rsidR="003F28DF" w:rsidRPr="00FA0A2C">
        <w:t>Natural Gas Policy Act (</w:t>
      </w:r>
      <w:r w:rsidRPr="00FA0A2C">
        <w:t>NGPA</w:t>
      </w:r>
      <w:r w:rsidR="003F28DF" w:rsidRPr="00FA0A2C">
        <w:t>)</w:t>
      </w:r>
      <w:r w:rsidRPr="00FA0A2C">
        <w:rPr>
          <w:b/>
          <w:vertAlign w:val="superscript"/>
        </w:rPr>
        <w:footnoteReference w:id="4"/>
      </w:r>
      <w:r w:rsidRPr="00FA0A2C">
        <w:t xml:space="preserve"> are permitted to include projected income taxes as part of the cost of service, and are permitted the opportunity to recover those costs through their rates.  Pipelines are not required to reduce their rates to reflect reduced income taxes.  </w:t>
      </w:r>
      <w:r w:rsidR="00192676" w:rsidRPr="00FA0A2C">
        <w:t xml:space="preserve">Proposed </w:t>
      </w:r>
      <w:r w:rsidR="0021208A" w:rsidRPr="00FA0A2C">
        <w:t>FERC</w:t>
      </w:r>
      <w:r w:rsidR="00B25560" w:rsidRPr="00FA0A2C">
        <w:t>-501</w:t>
      </w:r>
      <w:r w:rsidR="009922D2" w:rsidRPr="00FA0A2C">
        <w:t>G</w:t>
      </w:r>
      <w:r w:rsidR="0021208A" w:rsidRPr="00FA0A2C">
        <w:t xml:space="preserve"> is required to implement the statutory provisions governed by</w:t>
      </w:r>
      <w:r w:rsidR="00192676" w:rsidRPr="00FA0A2C">
        <w:t xml:space="preserve"> Section 4 of the NGA and Section 311 of the NGPA that the pipelines</w:t>
      </w:r>
      <w:r w:rsidR="003F28DF" w:rsidRPr="00FA0A2C">
        <w:t>’</w:t>
      </w:r>
      <w:r w:rsidR="00192676" w:rsidRPr="00FA0A2C">
        <w:t xml:space="preserve"> currently effective rates remain just and reasonable (NGA) or fair and equitable (NGPA</w:t>
      </w:r>
      <w:r w:rsidR="00F73A87" w:rsidRPr="00FA0A2C">
        <w:t>)</w:t>
      </w:r>
      <w:r w:rsidR="00192676" w:rsidRPr="00FA0A2C">
        <w:t>.</w:t>
      </w:r>
    </w:p>
    <w:p w14:paraId="095CE0E8" w14:textId="77777777" w:rsidR="001F3ADE" w:rsidRPr="00FA0A2C" w:rsidRDefault="001F3ADE" w:rsidP="001F3ADE">
      <w:pPr>
        <w:pStyle w:val="FERCparanumber"/>
        <w:numPr>
          <w:ilvl w:val="0"/>
          <w:numId w:val="0"/>
        </w:numPr>
        <w:tabs>
          <w:tab w:val="left" w:pos="720"/>
          <w:tab w:val="left" w:pos="4860"/>
        </w:tabs>
        <w:rPr>
          <w:sz w:val="24"/>
        </w:rPr>
      </w:pPr>
    </w:p>
    <w:p w14:paraId="31D7969C" w14:textId="709B78DC" w:rsidR="009D6B6D" w:rsidRPr="00FA0A2C" w:rsidRDefault="009D6B6D" w:rsidP="001D2EC1">
      <w:pPr>
        <w:pStyle w:val="FERCparanumber"/>
        <w:numPr>
          <w:ilvl w:val="0"/>
          <w:numId w:val="7"/>
        </w:numPr>
        <w:tabs>
          <w:tab w:val="left" w:pos="720"/>
          <w:tab w:val="left" w:pos="4860"/>
        </w:tabs>
        <w:rPr>
          <w:sz w:val="24"/>
        </w:rPr>
      </w:pPr>
      <w:r w:rsidRPr="00FA0A2C">
        <w:rPr>
          <w:b/>
          <w:sz w:val="24"/>
        </w:rPr>
        <w:t>HOW, BY WHOM</w:t>
      </w:r>
      <w:r w:rsidR="003F28DF" w:rsidRPr="00FA0A2C">
        <w:rPr>
          <w:b/>
          <w:sz w:val="24"/>
        </w:rPr>
        <w:t>,</w:t>
      </w:r>
      <w:r w:rsidRPr="00FA0A2C">
        <w:rPr>
          <w:b/>
          <w:sz w:val="24"/>
        </w:rPr>
        <w:t xml:space="preserve"> AND FOR WHAT P</w:t>
      </w:r>
      <w:r w:rsidR="00980E8E" w:rsidRPr="00FA0A2C">
        <w:rPr>
          <w:b/>
          <w:sz w:val="24"/>
        </w:rPr>
        <w:t>URPOSE IS THE INFORMATION USED AND THE CONSEQUENCES OF NOT COLLECTING THE INFORMATION</w:t>
      </w:r>
    </w:p>
    <w:p w14:paraId="36B9A4E1" w14:textId="77777777" w:rsidR="00980E8E" w:rsidRPr="00FA0A2C" w:rsidRDefault="00980E8E" w:rsidP="00980E8E">
      <w:pPr>
        <w:pStyle w:val="FERCparanumber"/>
        <w:numPr>
          <w:ilvl w:val="0"/>
          <w:numId w:val="0"/>
        </w:numPr>
        <w:tabs>
          <w:tab w:val="left" w:pos="720"/>
          <w:tab w:val="left" w:pos="4860"/>
        </w:tabs>
        <w:rPr>
          <w:b/>
          <w:sz w:val="24"/>
        </w:rPr>
      </w:pPr>
    </w:p>
    <w:p w14:paraId="47506488" w14:textId="7B3AEDD3" w:rsidR="00F22B6C" w:rsidRPr="00FA0A2C" w:rsidRDefault="001A1C09" w:rsidP="008060D2">
      <w:r w:rsidRPr="00FA0A2C">
        <w:t>The proposed data collections under F</w:t>
      </w:r>
      <w:r w:rsidR="008602A0" w:rsidRPr="00FA0A2C">
        <w:t>ERC</w:t>
      </w:r>
      <w:r w:rsidRPr="00FA0A2C">
        <w:t xml:space="preserve">-501G are different for NGA natural gas companies and NGPA pipelines due to the different statutory authorities. </w:t>
      </w:r>
      <w:r w:rsidR="005F6ED2" w:rsidRPr="00FA0A2C">
        <w:t xml:space="preserve"> There are three components to the proposal:  a) a financial report FERC Form No. 501-G</w:t>
      </w:r>
      <w:r w:rsidR="005F6ED2" w:rsidRPr="00FA0A2C">
        <w:rPr>
          <w:rStyle w:val="FootnoteReference"/>
          <w:bCs/>
          <w:vertAlign w:val="superscript"/>
        </w:rPr>
        <w:footnoteReference w:id="5"/>
      </w:r>
      <w:r w:rsidR="00F22B6C" w:rsidRPr="00FA0A2C">
        <w:t xml:space="preserve"> applicable to NGA pipelines; b) a new tariff filing option for NGA pipelines pursuant to a proposed 18 C.F.R. 154.404; and c) a requirement for a tariff filing for certain NGPA pipelines pursuant to a proposed 18 C</w:t>
      </w:r>
      <w:r w:rsidR="00E56D10">
        <w:t>.</w:t>
      </w:r>
      <w:r w:rsidR="00F22B6C" w:rsidRPr="00FA0A2C">
        <w:t>F</w:t>
      </w:r>
      <w:r w:rsidR="00E56D10">
        <w:t>.</w:t>
      </w:r>
      <w:r w:rsidR="00F22B6C" w:rsidRPr="00FA0A2C">
        <w:t>R. 284.123(i).</w:t>
      </w:r>
    </w:p>
    <w:p w14:paraId="5936518C" w14:textId="77777777" w:rsidR="00F22B6C" w:rsidRPr="00FA0A2C" w:rsidRDefault="00F22B6C" w:rsidP="008060D2"/>
    <w:p w14:paraId="5AFC26DF" w14:textId="74B649F3" w:rsidR="001A1C09" w:rsidRPr="00FA0A2C" w:rsidRDefault="00F22B6C" w:rsidP="00FA0A2C">
      <w:pPr>
        <w:pStyle w:val="ListParagraph"/>
        <w:numPr>
          <w:ilvl w:val="0"/>
          <w:numId w:val="12"/>
        </w:numPr>
        <w:rPr>
          <w:sz w:val="24"/>
          <w:szCs w:val="24"/>
        </w:rPr>
      </w:pPr>
      <w:r w:rsidRPr="00FA0A2C">
        <w:rPr>
          <w:rFonts w:ascii="Times New Roman" w:hAnsi="Times New Roman"/>
          <w:sz w:val="24"/>
          <w:szCs w:val="24"/>
        </w:rPr>
        <w:t>FERC Form No. 501-G</w:t>
      </w:r>
      <w:r w:rsidR="001A1C09" w:rsidRPr="00FA0A2C">
        <w:rPr>
          <w:rFonts w:ascii="Times New Roman" w:hAnsi="Times New Roman"/>
          <w:sz w:val="24"/>
          <w:szCs w:val="24"/>
        </w:rPr>
        <w:t xml:space="preserve"> </w:t>
      </w:r>
    </w:p>
    <w:p w14:paraId="48D69401" w14:textId="77777777" w:rsidR="001924F3" w:rsidRPr="00FA0A2C" w:rsidRDefault="00F22B6C" w:rsidP="008060D2">
      <w:r w:rsidRPr="00FA0A2C">
        <w:lastRenderedPageBreak/>
        <w:t xml:space="preserve">FERC Form No. 501-G proposes to collect income and balance sheet statement financial data from all NGA pipelines that have cost </w:t>
      </w:r>
      <w:r w:rsidR="00840536" w:rsidRPr="00FA0A2C">
        <w:t xml:space="preserve">based rates on file with the Commission.  NGA pipelines whose rates are being examined in a general rate case under section 4 of the NGA or in an investigation under section 5 of the NGA need not file FERC Form No. 501-G. </w:t>
      </w:r>
    </w:p>
    <w:p w14:paraId="4BD9BE55" w14:textId="6AF8CF5D" w:rsidR="001A1C09" w:rsidRPr="00FA0A2C" w:rsidRDefault="00840536" w:rsidP="008060D2">
      <w:r w:rsidRPr="00FA0A2C">
        <w:t xml:space="preserve"> </w:t>
      </w:r>
    </w:p>
    <w:p w14:paraId="4DB43377" w14:textId="71D12C1C" w:rsidR="00FF6B96" w:rsidRDefault="008060D2" w:rsidP="008060D2">
      <w:r w:rsidRPr="00FA0A2C">
        <w:t xml:space="preserve">The Commission </w:t>
      </w:r>
      <w:r w:rsidR="00192676" w:rsidRPr="00FA0A2C">
        <w:t xml:space="preserve">proposes to </w:t>
      </w:r>
      <w:r w:rsidRPr="00FA0A2C">
        <w:t xml:space="preserve">use the data </w:t>
      </w:r>
      <w:r w:rsidR="00192676" w:rsidRPr="00FA0A2C">
        <w:t>of</w:t>
      </w:r>
      <w:r w:rsidR="00544A11" w:rsidRPr="00FA0A2C">
        <w:t xml:space="preserve"> the</w:t>
      </w:r>
      <w:r w:rsidR="00192676" w:rsidRPr="00FA0A2C">
        <w:t xml:space="preserve"> </w:t>
      </w:r>
      <w:r w:rsidR="00544A11" w:rsidRPr="00FA0A2C">
        <w:t xml:space="preserve">Report </w:t>
      </w:r>
      <w:r w:rsidRPr="00FA0A2C">
        <w:t>to examine the costs</w:t>
      </w:r>
      <w:r w:rsidR="00192676" w:rsidRPr="00FA0A2C">
        <w:t xml:space="preserve"> underlying existing</w:t>
      </w:r>
      <w:r w:rsidRPr="00FA0A2C">
        <w:t xml:space="preserve"> </w:t>
      </w:r>
      <w:r w:rsidR="00EE33A7" w:rsidRPr="00FA0A2C">
        <w:t>NGA natural gas companies</w:t>
      </w:r>
      <w:r w:rsidR="001924F3" w:rsidRPr="00FA0A2C">
        <w:t>’</w:t>
      </w:r>
      <w:r w:rsidR="00FF6B96" w:rsidRPr="00FA0A2C">
        <w:t xml:space="preserve"> cost-based </w:t>
      </w:r>
      <w:r w:rsidRPr="00FA0A2C">
        <w:t>rates</w:t>
      </w:r>
      <w:r w:rsidR="00192676" w:rsidRPr="00FA0A2C">
        <w:t xml:space="preserve"> </w:t>
      </w:r>
      <w:r w:rsidRPr="00FA0A2C">
        <w:t xml:space="preserve">for the transportation in interstate commerce </w:t>
      </w:r>
      <w:r w:rsidR="00192676" w:rsidRPr="00FA0A2C">
        <w:t xml:space="preserve">to determine whether </w:t>
      </w:r>
      <w:r w:rsidR="00EE33A7" w:rsidRPr="00FA0A2C">
        <w:t xml:space="preserve">the Tax Cuts and Jobs Act of 2017 reduction in income tax should be reflected in their rates.  </w:t>
      </w:r>
      <w:r w:rsidR="00544A11" w:rsidRPr="00FA0A2C">
        <w:t>The Report d</w:t>
      </w:r>
      <w:r w:rsidR="00606F0D" w:rsidRPr="00FA0A2C">
        <w:t xml:space="preserve">ata will be available to the public and subject to notice and comment.  </w:t>
      </w:r>
    </w:p>
    <w:p w14:paraId="3B7A33B4" w14:textId="77777777" w:rsidR="003B552C" w:rsidRPr="00FA0A2C" w:rsidRDefault="003B552C" w:rsidP="008060D2"/>
    <w:p w14:paraId="597CEEF6" w14:textId="5A1E43C0" w:rsidR="008060D2" w:rsidRPr="00FA0A2C" w:rsidRDefault="008060D2" w:rsidP="008060D2">
      <w:r w:rsidRPr="00FA0A2C">
        <w:t xml:space="preserve">Failure to collect this information would </w:t>
      </w:r>
      <w:r w:rsidR="00FF6B96" w:rsidRPr="00FA0A2C">
        <w:t xml:space="preserve">hamper </w:t>
      </w:r>
      <w:r w:rsidRPr="00FA0A2C">
        <w:t>the Commission</w:t>
      </w:r>
      <w:r w:rsidR="00FF6B96" w:rsidRPr="00FA0A2C">
        <w:t>’s ability to properly</w:t>
      </w:r>
      <w:r w:rsidRPr="00FA0A2C">
        <w:t xml:space="preserve"> evaluat</w:t>
      </w:r>
      <w:r w:rsidR="00FF6B96" w:rsidRPr="00FA0A2C">
        <w:t>e</w:t>
      </w:r>
      <w:r w:rsidRPr="00FA0A2C">
        <w:t xml:space="preserve"> </w:t>
      </w:r>
      <w:r w:rsidR="00FF6B96" w:rsidRPr="00FA0A2C">
        <w:t xml:space="preserve">whether </w:t>
      </w:r>
      <w:r w:rsidRPr="00FA0A2C">
        <w:t xml:space="preserve">pipeline </w:t>
      </w:r>
      <w:r w:rsidR="00FF6B96" w:rsidRPr="00FA0A2C">
        <w:t>rates should be reduced to reflect the Tax Cuts and Jobs Act of 2017</w:t>
      </w:r>
      <w:r w:rsidRPr="00FA0A2C">
        <w:t>.</w:t>
      </w:r>
      <w:r w:rsidR="00FF6B96" w:rsidRPr="00FA0A2C">
        <w:t xml:space="preserve">  </w:t>
      </w:r>
      <w:r w:rsidR="00694D7C" w:rsidRPr="00FA0A2C">
        <w:t xml:space="preserve">While the Tax Cuts and Jobs Act of 2017 applies to all </w:t>
      </w:r>
      <w:r w:rsidR="00442272" w:rsidRPr="00FA0A2C">
        <w:t xml:space="preserve">natural gas pipelines, whether the change in federal tax law reduces an individual pipeline’s NGA revenue requirement requires a pipeline-by-pipeline analysis.  </w:t>
      </w:r>
      <w:r w:rsidR="00606F0D" w:rsidRPr="00FA0A2C">
        <w:t xml:space="preserve">Proposed </w:t>
      </w:r>
      <w:r w:rsidR="00AF6E8E" w:rsidRPr="00FA0A2C">
        <w:t>FERC Form No. 501-G</w:t>
      </w:r>
      <w:r w:rsidR="00606F0D" w:rsidRPr="00FA0A2C">
        <w:t xml:space="preserve"> is designed to examine a natural gas pipeline</w:t>
      </w:r>
      <w:r w:rsidR="00442272" w:rsidRPr="00FA0A2C">
        <w:t>’</w:t>
      </w:r>
      <w:r w:rsidR="00606F0D" w:rsidRPr="00FA0A2C">
        <w:t>s cost of service focused just on the impact of the Tax Cuts and Jobs Act of 2017.  This contrasts with the normal evaluations that examine all items of a pipeline’s cost of service.  Such an approach is very labor intensive for the pipeline, the public</w:t>
      </w:r>
      <w:r w:rsidR="003F28DF" w:rsidRPr="00FA0A2C">
        <w:t>,</w:t>
      </w:r>
      <w:r w:rsidR="00606F0D" w:rsidRPr="00FA0A2C">
        <w:t xml:space="preserve"> and the Commission, and requires considerable time, sometimes years, to resolve.  As the Tax Cuts and Jobs Act of 2017 impacts all natural gas pipelines, the normal approach </w:t>
      </w:r>
      <w:r w:rsidR="00CA5493" w:rsidRPr="00FA0A2C">
        <w:t xml:space="preserve">in evaluating pipeline rates is not practicable.  </w:t>
      </w:r>
      <w:r w:rsidR="00694D7C" w:rsidRPr="00FA0A2C">
        <w:t xml:space="preserve">FERC Form No. 501-G is designed to compress the financial data collection and analytical time line.  </w:t>
      </w:r>
      <w:r w:rsidR="00CA5493" w:rsidRPr="00FA0A2C">
        <w:t xml:space="preserve">Further, </w:t>
      </w:r>
      <w:r w:rsidR="00606F0D" w:rsidRPr="00FA0A2C">
        <w:t xml:space="preserve">the </w:t>
      </w:r>
      <w:r w:rsidR="00AF6E8E" w:rsidRPr="00FA0A2C">
        <w:t>Tax Cuts and Jobs Act of 2017 became effective January 1, 201</w:t>
      </w:r>
      <w:r w:rsidR="000C30D7" w:rsidRPr="00FA0A2C">
        <w:t>8</w:t>
      </w:r>
      <w:r w:rsidR="00AF6E8E" w:rsidRPr="00FA0A2C">
        <w:t xml:space="preserve">.  The </w:t>
      </w:r>
      <w:r w:rsidR="00606F0D" w:rsidRPr="00FA0A2C">
        <w:t>NGA only permits rate changes (including rate reductions) to be effective prospectively</w:t>
      </w:r>
      <w:r w:rsidR="00F73A87" w:rsidRPr="00FA0A2C">
        <w:t xml:space="preserve">.  </w:t>
      </w:r>
      <w:r w:rsidR="00442272" w:rsidRPr="00FA0A2C">
        <w:t xml:space="preserve">Excess revenues collected since January 1, 2018 through the effectiveness of reduced rates are not refundable to the customers.  </w:t>
      </w:r>
      <w:r w:rsidR="00AF6E8E" w:rsidRPr="00FA0A2C">
        <w:t>Therefore</w:t>
      </w:r>
      <w:r w:rsidR="003B552C">
        <w:t>,</w:t>
      </w:r>
      <w:r w:rsidR="00AF6E8E" w:rsidRPr="00FA0A2C">
        <w:t xml:space="preserve"> any </w:t>
      </w:r>
      <w:r w:rsidR="00CA5493" w:rsidRPr="00FA0A2C">
        <w:t xml:space="preserve">delay in effecting rate reductions means customers will be paying rates that higher than are cost justified. </w:t>
      </w:r>
    </w:p>
    <w:p w14:paraId="3818C7F6" w14:textId="77777777" w:rsidR="001924F3" w:rsidRPr="00FA0A2C" w:rsidRDefault="001924F3" w:rsidP="001924F3"/>
    <w:p w14:paraId="7A217EAF" w14:textId="33AF1CAD" w:rsidR="00442272" w:rsidRPr="00FA0A2C" w:rsidRDefault="00442272" w:rsidP="00FA0A2C">
      <w:pPr>
        <w:pStyle w:val="ListParagraph"/>
        <w:numPr>
          <w:ilvl w:val="0"/>
          <w:numId w:val="12"/>
        </w:numPr>
        <w:rPr>
          <w:sz w:val="24"/>
          <w:szCs w:val="24"/>
        </w:rPr>
      </w:pPr>
      <w:r w:rsidRPr="00FA0A2C">
        <w:rPr>
          <w:rFonts w:ascii="Times New Roman" w:hAnsi="Times New Roman"/>
          <w:sz w:val="24"/>
          <w:szCs w:val="24"/>
        </w:rPr>
        <w:t>Proposed 18 C.F.R.</w:t>
      </w:r>
      <w:r w:rsidR="00B25D6A" w:rsidRPr="00FA0A2C">
        <w:rPr>
          <w:rFonts w:ascii="Times New Roman" w:hAnsi="Times New Roman"/>
          <w:sz w:val="24"/>
          <w:szCs w:val="24"/>
        </w:rPr>
        <w:t xml:space="preserve"> 1</w:t>
      </w:r>
      <w:r w:rsidRPr="00FA0A2C">
        <w:rPr>
          <w:rFonts w:ascii="Times New Roman" w:hAnsi="Times New Roman"/>
          <w:sz w:val="24"/>
          <w:szCs w:val="24"/>
        </w:rPr>
        <w:t>54.404</w:t>
      </w:r>
    </w:p>
    <w:p w14:paraId="29BBECDA" w14:textId="27E69A9D" w:rsidR="001924F3" w:rsidRPr="00FA0A2C" w:rsidRDefault="00CA156D" w:rsidP="001924F3">
      <w:r w:rsidRPr="00FA0A2C">
        <w:t>The NGA does not give the Commission the authority to order NGA pipelines to file a rate reduction without first engaging in a multi-step process.  However, if a pipeline wished to voluntarily file for a rate reduction to reflect the Tax Cuts and Jobs Act of 2017, t</w:t>
      </w:r>
      <w:r w:rsidR="000C30D7" w:rsidRPr="00FA0A2C">
        <w:t xml:space="preserve">he Commission’s current rate filing requirements </w:t>
      </w:r>
      <w:r w:rsidR="00C7518D" w:rsidRPr="00FA0A2C">
        <w:t xml:space="preserve">generally </w:t>
      </w:r>
      <w:r w:rsidR="000C30D7" w:rsidRPr="00FA0A2C">
        <w:t xml:space="preserve">do not provide for a pipeline to propose a change in rates for a single cost item.  The current rate filing requirements require rate change filings to provide extensive financial data, all of which may be challenged by the public or the Commission.  As the Tax Cuts and Jobs Act of 2017 became effective January 1, 2018, and the NGA only permits rate changes (including rate reductions) to be effective prospectively, proposed </w:t>
      </w:r>
      <w:r w:rsidR="001924F3" w:rsidRPr="00FA0A2C">
        <w:t xml:space="preserve">FERC-501G provides natural gas companies </w:t>
      </w:r>
      <w:r w:rsidR="000C30D7" w:rsidRPr="00FA0A2C">
        <w:t>an</w:t>
      </w:r>
      <w:r w:rsidR="001924F3" w:rsidRPr="00FA0A2C">
        <w:t xml:space="preserve"> option to voluntarily reduce their rates by the amount shown in Report through a limited NGA section 4 filing.  </w:t>
      </w:r>
      <w:r w:rsidR="000C30D7" w:rsidRPr="00FA0A2C">
        <w:t>This proposed tariff filing is enumerated at 18 C.F.R. 154.404.  Under this tariff filing provision, the required data is reduced to only the completed FERC Form No. 501-G</w:t>
      </w:r>
      <w:r w:rsidR="00A06EC5" w:rsidRPr="00FA0A2C">
        <w:t xml:space="preserve"> (discussed above)</w:t>
      </w:r>
      <w:r w:rsidR="000C30D7" w:rsidRPr="00FA0A2C">
        <w:t xml:space="preserve">.  </w:t>
      </w:r>
      <w:r w:rsidR="001924F3" w:rsidRPr="00FA0A2C">
        <w:t xml:space="preserve">The public availability of the filed data and the opportunity provided for comments is designed to limit the issues that may be raised by the parties and expedite rate reductions to the benefit of the natural gas pipeline companies’ customers.  </w:t>
      </w:r>
    </w:p>
    <w:p w14:paraId="1C50C6F5" w14:textId="77777777" w:rsidR="00811E82" w:rsidRPr="00FA0A2C" w:rsidRDefault="00811E82" w:rsidP="001924F3"/>
    <w:p w14:paraId="4AE13D74" w14:textId="6A8BC5BD" w:rsidR="00811E82" w:rsidRPr="00FA0A2C" w:rsidRDefault="00811E82" w:rsidP="001924F3">
      <w:r w:rsidRPr="00FA0A2C">
        <w:t>Failure to permit the rate reduction type of filing proposed at 18 C.F.R. 154.404 would require NGA pipelines to use tariff filing forms that require extensive financial data beyond that necessary to support a rate reduction solely attributable to the Tax Cuts and Jobs Act of 2017.  These additional financial data can result in e</w:t>
      </w:r>
      <w:r w:rsidR="00A172A5" w:rsidRPr="00FA0A2C">
        <w:t>xtensive and extended proceedings on issues of fact not related to the Tax Cuts and Jobs Act of 2017.  If this were to happen, as noted discussion above, rate reductions would be delayed with no recourse for those customers paying rates that are higher than are cost justified.</w:t>
      </w:r>
    </w:p>
    <w:p w14:paraId="77A75C45" w14:textId="77777777" w:rsidR="00C7518D" w:rsidRPr="00FA0A2C" w:rsidRDefault="00C7518D" w:rsidP="001924F3"/>
    <w:p w14:paraId="5CED58F8" w14:textId="5FE57DC1" w:rsidR="00C7518D" w:rsidRPr="00FA0A2C" w:rsidRDefault="00C7518D" w:rsidP="00FA0A2C">
      <w:pPr>
        <w:pStyle w:val="ListParagraph"/>
        <w:numPr>
          <w:ilvl w:val="0"/>
          <w:numId w:val="12"/>
        </w:numPr>
        <w:rPr>
          <w:sz w:val="24"/>
          <w:szCs w:val="24"/>
        </w:rPr>
      </w:pPr>
      <w:r w:rsidRPr="00FA0A2C">
        <w:rPr>
          <w:rFonts w:ascii="Times New Roman" w:hAnsi="Times New Roman"/>
          <w:sz w:val="24"/>
          <w:szCs w:val="24"/>
        </w:rPr>
        <w:t>Proposed 18 C.F.R</w:t>
      </w:r>
      <w:r w:rsidR="009D6F98" w:rsidRPr="00FA0A2C">
        <w:rPr>
          <w:rFonts w:ascii="Times New Roman" w:hAnsi="Times New Roman"/>
          <w:sz w:val="24"/>
          <w:szCs w:val="24"/>
        </w:rPr>
        <w:t>.</w:t>
      </w:r>
      <w:r w:rsidRPr="00FA0A2C">
        <w:rPr>
          <w:rFonts w:ascii="Times New Roman" w:hAnsi="Times New Roman"/>
          <w:sz w:val="24"/>
          <w:szCs w:val="24"/>
        </w:rPr>
        <w:t xml:space="preserve"> 284.123(i)</w:t>
      </w:r>
    </w:p>
    <w:p w14:paraId="096E917C" w14:textId="76457A10" w:rsidR="00666260" w:rsidRDefault="00C7518D" w:rsidP="008060D2">
      <w:r w:rsidRPr="00FA0A2C">
        <w:t>The Commission is proposing to modify 18 C.F.R. 284.123 of its regulations to require all NGPA section 311 and NGA “Hinshaw”</w:t>
      </w:r>
      <w:r w:rsidR="009D6F98" w:rsidRPr="00FA0A2C">
        <w:rPr>
          <w:rFonts w:eastAsiaTheme="minorHAnsi"/>
          <w:b/>
          <w:vertAlign w:val="superscript"/>
        </w:rPr>
        <w:t xml:space="preserve"> </w:t>
      </w:r>
      <w:r w:rsidR="009D6F98" w:rsidRPr="00FA0A2C">
        <w:rPr>
          <w:b/>
          <w:vertAlign w:val="superscript"/>
        </w:rPr>
        <w:footnoteReference w:id="6"/>
      </w:r>
      <w:r w:rsidR="009D6F98" w:rsidRPr="00FA0A2C">
        <w:t xml:space="preserve"> </w:t>
      </w:r>
      <w:r w:rsidRPr="00FA0A2C">
        <w:t xml:space="preserve">pipelines </w:t>
      </w:r>
      <w:r w:rsidR="007B083A" w:rsidRPr="00FA0A2C">
        <w:t xml:space="preserve">(collectively referred to as “NGPA pipelines”) </w:t>
      </w:r>
      <w:r w:rsidRPr="00FA0A2C">
        <w:t xml:space="preserve">to file a new rate election for interstate service if their rates for intrastate service are reduced at the state level to reflect the Tax Cuts and Jobs Act of 2017.  </w:t>
      </w:r>
      <w:r w:rsidR="007B083A" w:rsidRPr="00FA0A2C">
        <w:t>The Commission</w:t>
      </w:r>
      <w:r w:rsidR="00CA156D" w:rsidRPr="00FA0A2C">
        <w:t>’s</w:t>
      </w:r>
      <w:r w:rsidR="007B083A" w:rsidRPr="00FA0A2C">
        <w:t xml:space="preserve"> existing regulations provide multiple methods by which NGPA pipelines can establish their rates.  Under section 284.123(b)(1), NGPA pipelines may elect to use state-derived rates.  Under this existing regulation, any rate reductions reflecting the Tax Cuts and Jobs Act of 2017 required at the state level would result in a rate reduction filing with the Commission within 30-days of the change.  </w:t>
      </w:r>
      <w:r w:rsidR="00C676FE" w:rsidRPr="00FA0A2C">
        <w:t>Thus n</w:t>
      </w:r>
      <w:r w:rsidR="007B083A" w:rsidRPr="00FA0A2C">
        <w:t xml:space="preserve">o additional data collection is necessary for </w:t>
      </w:r>
      <w:r w:rsidR="00C676FE" w:rsidRPr="00FA0A2C">
        <w:t xml:space="preserve">NGPA pipelines with rates established pursuant to </w:t>
      </w:r>
      <w:r w:rsidR="007B083A" w:rsidRPr="00FA0A2C">
        <w:t xml:space="preserve">this </w:t>
      </w:r>
      <w:r w:rsidR="00C676FE" w:rsidRPr="00FA0A2C">
        <w:t xml:space="preserve">existing </w:t>
      </w:r>
      <w:r w:rsidR="007B083A" w:rsidRPr="00FA0A2C">
        <w:t xml:space="preserve">regulation.  However, if the NGPA pipeline elected to use Commission-established cost-based rates pursuant to section 284.123(b)(2), there is no requirement for the pipeline to file a rate reduction </w:t>
      </w:r>
      <w:r w:rsidR="00C676FE" w:rsidRPr="00FA0A2C">
        <w:t xml:space="preserve">applicable to interstate shippers </w:t>
      </w:r>
      <w:r w:rsidR="007B083A" w:rsidRPr="00FA0A2C">
        <w:t>to reflect a rate reduction in federal income tax level required by the state for intrastate shippers.  Proposed 18 C.F.R. 284.123(i)</w:t>
      </w:r>
      <w:r w:rsidR="00C676FE" w:rsidRPr="00FA0A2C">
        <w:t xml:space="preserve"> would require NGPA pipelines with rates established pursuant to the Commission-established cost-based rates to file a rate reduction if the state requires it at the intrastate level.  </w:t>
      </w:r>
      <w:r w:rsidRPr="00FA0A2C">
        <w:t>This</w:t>
      </w:r>
      <w:r w:rsidR="00C676FE" w:rsidRPr="00FA0A2C">
        <w:t xml:space="preserve"> proposal</w:t>
      </w:r>
      <w:r w:rsidRPr="00FA0A2C">
        <w:t xml:space="preserve"> would give the same rate reduction benefit to any interstate shippers on those pipelines as the intrastate shippers receive, thereby ensuring that the two groups of shippers are treated similarly. </w:t>
      </w:r>
    </w:p>
    <w:p w14:paraId="6056067C" w14:textId="77777777" w:rsidR="006C7E16" w:rsidRPr="00FA0A2C" w:rsidRDefault="006C7E16" w:rsidP="008060D2"/>
    <w:p w14:paraId="48C68B5D" w14:textId="106BA5BB" w:rsidR="00CA5493" w:rsidRPr="00FA0A2C" w:rsidRDefault="00666260" w:rsidP="008060D2">
      <w:r w:rsidRPr="00FA0A2C">
        <w:t xml:space="preserve">Failure to require the rate reductions required by the states of </w:t>
      </w:r>
      <w:r w:rsidR="00CA156D" w:rsidRPr="00FA0A2C">
        <w:t>NGPA</w:t>
      </w:r>
      <w:r w:rsidRPr="00FA0A2C">
        <w:t xml:space="preserve"> pipelines would result in intrastate shippers receiving a rate reduction that the interstate shippers would not, and those customers paying rates that are higher than are cost justified.</w:t>
      </w:r>
    </w:p>
    <w:p w14:paraId="32B2D492" w14:textId="77777777" w:rsidR="00980E8E" w:rsidRPr="00FA0A2C" w:rsidRDefault="00980E8E" w:rsidP="00980E8E">
      <w:pPr>
        <w:pStyle w:val="FERCparanumber"/>
        <w:numPr>
          <w:ilvl w:val="0"/>
          <w:numId w:val="0"/>
        </w:numPr>
        <w:tabs>
          <w:tab w:val="left" w:pos="720"/>
          <w:tab w:val="left" w:pos="4860"/>
        </w:tabs>
        <w:rPr>
          <w:sz w:val="24"/>
        </w:rPr>
      </w:pPr>
    </w:p>
    <w:p w14:paraId="1191C360" w14:textId="77777777" w:rsidR="00980E8E" w:rsidRPr="00FA0A2C" w:rsidRDefault="00980E8E" w:rsidP="005240A1">
      <w:pPr>
        <w:widowControl/>
        <w:numPr>
          <w:ilvl w:val="0"/>
          <w:numId w:val="7"/>
        </w:numPr>
      </w:pPr>
      <w:r w:rsidRPr="00FA0A2C">
        <w:rPr>
          <w:b/>
        </w:rPr>
        <w:t>DESCRIBE ANY CONSIDERATION OF THE USE OF IMPROVED INFORMATION TECHNOLOGY TO REDUCE BURDEN AND THE TECHNICAL OR LEGAL OBSTACLES TO REDUCING BURDEN</w:t>
      </w:r>
    </w:p>
    <w:p w14:paraId="200107A7" w14:textId="77777777" w:rsidR="00980E8E" w:rsidRPr="00FA0A2C" w:rsidRDefault="00980E8E" w:rsidP="00980E8E"/>
    <w:p w14:paraId="6EB09533" w14:textId="6257A649" w:rsidR="008060D2" w:rsidRPr="00FA0A2C" w:rsidRDefault="00E70FF8" w:rsidP="008060D2">
      <w:r w:rsidRPr="00FA0A2C">
        <w:rPr>
          <w:bCs/>
        </w:rPr>
        <w:t xml:space="preserve">FERC-501G </w:t>
      </w:r>
      <w:r w:rsidRPr="00FA0A2C">
        <w:t>is a one-time data collection</w:t>
      </w:r>
      <w:r w:rsidR="00CA5493" w:rsidRPr="00FA0A2C">
        <w:t xml:space="preserve">.  The proposed </w:t>
      </w:r>
      <w:r w:rsidRPr="00FA0A2C">
        <w:t>FERC Form No. 501-G</w:t>
      </w:r>
      <w:r w:rsidR="00CA5493" w:rsidRPr="00FA0A2C">
        <w:t xml:space="preserve"> is in spreadsheet format.  </w:t>
      </w:r>
      <w:r w:rsidRPr="00FA0A2C">
        <w:t xml:space="preserve">This spreadsheet performs calculations that will assist the respondents, public and the Commission analyze the financial data as to the impact of the Tax Cuts and Jobs Act of 2017 on the respondents’ cost of service.  </w:t>
      </w:r>
      <w:r w:rsidR="00CA5493" w:rsidRPr="00FA0A2C">
        <w:t xml:space="preserve">The Commission </w:t>
      </w:r>
      <w:r w:rsidRPr="00FA0A2C">
        <w:t xml:space="preserve">also </w:t>
      </w:r>
      <w:r w:rsidR="00CA5493" w:rsidRPr="00FA0A2C">
        <w:t xml:space="preserve">proposes that respondents use their existing tariff filing software to file </w:t>
      </w:r>
      <w:r w:rsidR="005C7BB6" w:rsidRPr="00FA0A2C">
        <w:t>all components of the FERC-501G</w:t>
      </w:r>
      <w:r w:rsidRPr="00FA0A2C">
        <w:t xml:space="preserve"> </w:t>
      </w:r>
      <w:r w:rsidR="00CA5493" w:rsidRPr="00FA0A2C">
        <w:t>with the Commission electronically through established procedures.</w:t>
      </w:r>
    </w:p>
    <w:p w14:paraId="307B8A29" w14:textId="77777777" w:rsidR="005240A1" w:rsidRPr="00FA0A2C" w:rsidRDefault="005240A1" w:rsidP="005240A1">
      <w:pPr>
        <w:pStyle w:val="FERCparanumber"/>
        <w:numPr>
          <w:ilvl w:val="0"/>
          <w:numId w:val="0"/>
        </w:numPr>
        <w:rPr>
          <w:sz w:val="24"/>
        </w:rPr>
      </w:pPr>
    </w:p>
    <w:p w14:paraId="0E702588" w14:textId="77777777" w:rsidR="009D6B6D" w:rsidRPr="00FA0A2C" w:rsidRDefault="009D6B6D" w:rsidP="005240A1">
      <w:pPr>
        <w:pStyle w:val="FERCparanumber"/>
        <w:numPr>
          <w:ilvl w:val="0"/>
          <w:numId w:val="7"/>
        </w:numPr>
        <w:rPr>
          <w:sz w:val="24"/>
        </w:rPr>
      </w:pPr>
      <w:r w:rsidRPr="00FA0A2C">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Pr="00FA0A2C" w:rsidRDefault="00BD4039" w:rsidP="00BD4039">
      <w:pPr>
        <w:pStyle w:val="FERCparanumber"/>
        <w:numPr>
          <w:ilvl w:val="0"/>
          <w:numId w:val="0"/>
        </w:numPr>
        <w:rPr>
          <w:b/>
          <w:sz w:val="24"/>
        </w:rPr>
      </w:pPr>
    </w:p>
    <w:p w14:paraId="795B55CB" w14:textId="41567195" w:rsidR="008320E5" w:rsidRPr="00FA0A2C" w:rsidRDefault="00E70FF8" w:rsidP="00BD4039">
      <w:pPr>
        <w:pStyle w:val="FERCparanumber"/>
        <w:numPr>
          <w:ilvl w:val="0"/>
          <w:numId w:val="0"/>
        </w:numPr>
        <w:rPr>
          <w:sz w:val="24"/>
        </w:rPr>
      </w:pPr>
      <w:r w:rsidRPr="00FA0A2C">
        <w:rPr>
          <w:sz w:val="24"/>
        </w:rPr>
        <w:t xml:space="preserve">For NGA pipelines, FERC Form No. 501-G </w:t>
      </w:r>
      <w:r w:rsidR="00247EB4" w:rsidRPr="00FA0A2C">
        <w:rPr>
          <w:sz w:val="24"/>
        </w:rPr>
        <w:t>will largely require the use of financial information on file with the Commission in the respondent’s FERC Form</w:t>
      </w:r>
      <w:r w:rsidR="005C7BB6" w:rsidRPr="00FA0A2C">
        <w:rPr>
          <w:sz w:val="24"/>
        </w:rPr>
        <w:t>s</w:t>
      </w:r>
      <w:r w:rsidR="00247EB4" w:rsidRPr="00FA0A2C">
        <w:rPr>
          <w:sz w:val="24"/>
        </w:rPr>
        <w:t xml:space="preserve"> 2 or 2-A (Major and Non-Major Natural Gas Pipeline Annual Report, respectively)</w:t>
      </w:r>
      <w:r w:rsidR="008060D2" w:rsidRPr="00FA0A2C">
        <w:rPr>
          <w:sz w:val="24"/>
        </w:rPr>
        <w:t>.</w:t>
      </w:r>
      <w:r w:rsidR="00247EB4" w:rsidRPr="00FA0A2C">
        <w:rPr>
          <w:sz w:val="24"/>
        </w:rPr>
        <w:t xml:space="preserve">  Some of the requested financial data is filed by the respondents with the Securities and Exchange Commission</w:t>
      </w:r>
      <w:r w:rsidR="00926C05">
        <w:rPr>
          <w:sz w:val="24"/>
        </w:rPr>
        <w:t xml:space="preserve"> (SEC) in its Form 10-K</w:t>
      </w:r>
      <w:r w:rsidR="00247EB4" w:rsidRPr="00FA0A2C">
        <w:rPr>
          <w:sz w:val="24"/>
        </w:rPr>
        <w:t xml:space="preserve">.  </w:t>
      </w:r>
      <w:r w:rsidR="009E1FB0" w:rsidRPr="00FA0A2C">
        <w:rPr>
          <w:sz w:val="24"/>
        </w:rPr>
        <w:t xml:space="preserve">Finally, in order to calculate the impact of the Tax Cuts and Jobs Act of 2017 on </w:t>
      </w:r>
      <w:r w:rsidRPr="00FA0A2C">
        <w:rPr>
          <w:sz w:val="24"/>
        </w:rPr>
        <w:t xml:space="preserve">Accumulated Deferred Income Taxes and </w:t>
      </w:r>
      <w:r w:rsidR="009E1FB0" w:rsidRPr="00FA0A2C">
        <w:rPr>
          <w:sz w:val="24"/>
        </w:rPr>
        <w:t>pass-through master limited partnerships, the only source for th</w:t>
      </w:r>
      <w:r w:rsidRPr="00FA0A2C">
        <w:rPr>
          <w:sz w:val="24"/>
        </w:rPr>
        <w:t xml:space="preserve">is information </w:t>
      </w:r>
      <w:r w:rsidR="009E1FB0" w:rsidRPr="00FA0A2C">
        <w:rPr>
          <w:sz w:val="24"/>
        </w:rPr>
        <w:t xml:space="preserve">are the respondents.  </w:t>
      </w:r>
      <w:r w:rsidR="00CC1BC2" w:rsidRPr="00FA0A2C">
        <w:rPr>
          <w:sz w:val="24"/>
        </w:rPr>
        <w:t xml:space="preserve">The Commission’s approach to use existing data is deliberate.  The objective of </w:t>
      </w:r>
      <w:r w:rsidR="00544A11" w:rsidRPr="00FA0A2C">
        <w:rPr>
          <w:sz w:val="24"/>
        </w:rPr>
        <w:t xml:space="preserve">the </w:t>
      </w:r>
      <w:r w:rsidR="005C7BB6" w:rsidRPr="00FA0A2C">
        <w:rPr>
          <w:sz w:val="24"/>
        </w:rPr>
        <w:t xml:space="preserve">one-time </w:t>
      </w:r>
      <w:r w:rsidRPr="00FA0A2C">
        <w:rPr>
          <w:sz w:val="24"/>
        </w:rPr>
        <w:t xml:space="preserve">FERC Form No. 501-G </w:t>
      </w:r>
      <w:r w:rsidR="00CC1BC2" w:rsidRPr="00FA0A2C">
        <w:rPr>
          <w:sz w:val="24"/>
        </w:rPr>
        <w:t xml:space="preserve">is to provide an analysis of </w:t>
      </w:r>
      <w:r w:rsidR="00F73A87" w:rsidRPr="00FA0A2C">
        <w:rPr>
          <w:sz w:val="24"/>
        </w:rPr>
        <w:t>specific</w:t>
      </w:r>
      <w:r w:rsidR="00CC1BC2" w:rsidRPr="00FA0A2C">
        <w:rPr>
          <w:sz w:val="24"/>
        </w:rPr>
        <w:t xml:space="preserve"> </w:t>
      </w:r>
      <w:r w:rsidR="00F73A87" w:rsidRPr="00FA0A2C">
        <w:rPr>
          <w:sz w:val="24"/>
        </w:rPr>
        <w:t xml:space="preserve">financial </w:t>
      </w:r>
      <w:r w:rsidR="00CC1BC2" w:rsidRPr="00FA0A2C">
        <w:rPr>
          <w:sz w:val="24"/>
        </w:rPr>
        <w:t>data in FERC Form</w:t>
      </w:r>
      <w:r w:rsidR="005C7BB6" w:rsidRPr="00FA0A2C">
        <w:rPr>
          <w:sz w:val="24"/>
        </w:rPr>
        <w:t>s</w:t>
      </w:r>
      <w:r w:rsidR="00CC1BC2" w:rsidRPr="00FA0A2C">
        <w:rPr>
          <w:sz w:val="24"/>
        </w:rPr>
        <w:t xml:space="preserve"> 2 or 2-A </w:t>
      </w:r>
      <w:r w:rsidR="00926C05">
        <w:rPr>
          <w:sz w:val="24"/>
        </w:rPr>
        <w:t xml:space="preserve">and the SEC Form 10-K </w:t>
      </w:r>
      <w:r w:rsidR="00CC1BC2" w:rsidRPr="00FA0A2C">
        <w:rPr>
          <w:sz w:val="24"/>
        </w:rPr>
        <w:t>such that the impact of the Tax Cuts and Jobs Act of 2017 on rates can be evaluated</w:t>
      </w:r>
      <w:r w:rsidR="005C7BB6" w:rsidRPr="00FA0A2C">
        <w:rPr>
          <w:sz w:val="24"/>
        </w:rPr>
        <w:t xml:space="preserve"> by the Commission and all stakeholders</w:t>
      </w:r>
      <w:r w:rsidR="00CC1BC2" w:rsidRPr="00FA0A2C">
        <w:rPr>
          <w:sz w:val="24"/>
        </w:rPr>
        <w:t xml:space="preserve">.  All </w:t>
      </w:r>
      <w:r w:rsidR="006C7E16">
        <w:rPr>
          <w:sz w:val="24"/>
        </w:rPr>
        <w:t xml:space="preserve">of </w:t>
      </w:r>
      <w:r w:rsidR="00CC1BC2" w:rsidRPr="00FA0A2C">
        <w:rPr>
          <w:sz w:val="24"/>
        </w:rPr>
        <w:t>the financial data requested are attested to by the respondents.  Thus</w:t>
      </w:r>
      <w:r w:rsidR="006C7E16">
        <w:rPr>
          <w:sz w:val="24"/>
        </w:rPr>
        <w:t>,</w:t>
      </w:r>
      <w:r w:rsidR="00CC1BC2" w:rsidRPr="00FA0A2C">
        <w:rPr>
          <w:sz w:val="24"/>
        </w:rPr>
        <w:t xml:space="preserve"> the focus of the pipelines, the public</w:t>
      </w:r>
      <w:r w:rsidR="003F28DF" w:rsidRPr="00FA0A2C">
        <w:rPr>
          <w:sz w:val="24"/>
        </w:rPr>
        <w:t>,</w:t>
      </w:r>
      <w:r w:rsidR="00CC1BC2" w:rsidRPr="00FA0A2C">
        <w:rPr>
          <w:sz w:val="24"/>
        </w:rPr>
        <w:t xml:space="preserve"> and the Commission can be on the analysis of the data</w:t>
      </w:r>
      <w:r w:rsidR="003F28DF" w:rsidRPr="00FA0A2C">
        <w:rPr>
          <w:sz w:val="24"/>
        </w:rPr>
        <w:t>,</w:t>
      </w:r>
      <w:r w:rsidR="00CC1BC2" w:rsidRPr="00FA0A2C">
        <w:rPr>
          <w:sz w:val="24"/>
        </w:rPr>
        <w:t xml:space="preserve"> as opposed to the origins or validity of the data.</w:t>
      </w:r>
      <w:r w:rsidRPr="00FA0A2C">
        <w:rPr>
          <w:sz w:val="24"/>
        </w:rPr>
        <w:t xml:space="preserve">  FERC</w:t>
      </w:r>
      <w:r w:rsidR="000036D0" w:rsidRPr="00FA0A2C">
        <w:rPr>
          <w:sz w:val="24"/>
        </w:rPr>
        <w:t>-</w:t>
      </w:r>
      <w:r w:rsidRPr="00FA0A2C">
        <w:rPr>
          <w:sz w:val="24"/>
        </w:rPr>
        <w:t xml:space="preserve">501G’s proposed rate reduction filing </w:t>
      </w:r>
      <w:r w:rsidR="00930A63" w:rsidRPr="00FA0A2C">
        <w:rPr>
          <w:sz w:val="24"/>
        </w:rPr>
        <w:t>option</w:t>
      </w:r>
      <w:r w:rsidRPr="00FA0A2C">
        <w:rPr>
          <w:sz w:val="24"/>
        </w:rPr>
        <w:t xml:space="preserve"> at proposed 18 C.F.R. 154.404 does not require any inform</w:t>
      </w:r>
      <w:r w:rsidR="00930A63" w:rsidRPr="00FA0A2C">
        <w:rPr>
          <w:sz w:val="24"/>
        </w:rPr>
        <w:t>ation</w:t>
      </w:r>
      <w:r w:rsidRPr="00FA0A2C">
        <w:rPr>
          <w:sz w:val="24"/>
        </w:rPr>
        <w:t xml:space="preserve"> other than the populated FERC Form No. 501-G</w:t>
      </w:r>
      <w:r w:rsidR="008320E5" w:rsidRPr="00FA0A2C">
        <w:rPr>
          <w:sz w:val="24"/>
        </w:rPr>
        <w:t xml:space="preserve">, thereby leveraging the information </w:t>
      </w:r>
      <w:r w:rsidR="00930A63" w:rsidRPr="00FA0A2C">
        <w:rPr>
          <w:sz w:val="24"/>
        </w:rPr>
        <w:t xml:space="preserve">already </w:t>
      </w:r>
      <w:r w:rsidR="008320E5" w:rsidRPr="00FA0A2C">
        <w:rPr>
          <w:sz w:val="24"/>
        </w:rPr>
        <w:t>collected to serve a tariff filing purpose</w:t>
      </w:r>
      <w:r w:rsidRPr="00FA0A2C">
        <w:rPr>
          <w:sz w:val="24"/>
        </w:rPr>
        <w:t>.</w:t>
      </w:r>
    </w:p>
    <w:p w14:paraId="0E9A693B" w14:textId="77777777" w:rsidR="008320E5" w:rsidRPr="00FA0A2C" w:rsidRDefault="008320E5" w:rsidP="00BD4039">
      <w:pPr>
        <w:pStyle w:val="FERCparanumber"/>
        <w:numPr>
          <w:ilvl w:val="0"/>
          <w:numId w:val="0"/>
        </w:numPr>
        <w:rPr>
          <w:sz w:val="24"/>
        </w:rPr>
      </w:pPr>
    </w:p>
    <w:p w14:paraId="26183623" w14:textId="7990D319" w:rsidR="001E7C7F" w:rsidRDefault="008320E5" w:rsidP="00BD4039">
      <w:pPr>
        <w:pStyle w:val="FERCparanumber"/>
        <w:numPr>
          <w:ilvl w:val="0"/>
          <w:numId w:val="0"/>
        </w:numPr>
        <w:rPr>
          <w:sz w:val="24"/>
        </w:rPr>
      </w:pPr>
      <w:r w:rsidRPr="00FA0A2C">
        <w:rPr>
          <w:sz w:val="24"/>
        </w:rPr>
        <w:t>For NGPA pipelines, FERC</w:t>
      </w:r>
      <w:r w:rsidR="000036D0" w:rsidRPr="00FA0A2C">
        <w:rPr>
          <w:sz w:val="24"/>
        </w:rPr>
        <w:t>-</w:t>
      </w:r>
      <w:r w:rsidRPr="00FA0A2C">
        <w:rPr>
          <w:sz w:val="24"/>
        </w:rPr>
        <w:t>501G proposes that NGPA pipelines with Commission-established cost-based rates file for a rate reduction if their state require</w:t>
      </w:r>
      <w:r w:rsidR="00926C05">
        <w:rPr>
          <w:sz w:val="24"/>
        </w:rPr>
        <w:t>s</w:t>
      </w:r>
      <w:r w:rsidRPr="00FA0A2C">
        <w:rPr>
          <w:sz w:val="24"/>
        </w:rPr>
        <w:t xml:space="preserve"> the pipelines to reduce their rates for their intrastate shippers.  The Commission does not collect relevant NGPA pipeline financial information nor monitor state actions.  Therefore only the NGPA pipelines have this information.</w:t>
      </w:r>
    </w:p>
    <w:p w14:paraId="01E02908" w14:textId="170310A7" w:rsidR="008060D2" w:rsidRPr="00FA0A2C" w:rsidRDefault="008060D2" w:rsidP="00BD4039">
      <w:pPr>
        <w:pStyle w:val="FERCparanumber"/>
        <w:numPr>
          <w:ilvl w:val="0"/>
          <w:numId w:val="0"/>
        </w:numPr>
        <w:rPr>
          <w:sz w:val="24"/>
        </w:rPr>
      </w:pPr>
    </w:p>
    <w:p w14:paraId="16D376F5" w14:textId="77777777" w:rsidR="009D6B6D" w:rsidRPr="00FA0A2C" w:rsidRDefault="009D6B6D" w:rsidP="005240A1">
      <w:pPr>
        <w:pStyle w:val="FERCparanumber"/>
        <w:numPr>
          <w:ilvl w:val="0"/>
          <w:numId w:val="7"/>
        </w:numPr>
        <w:rPr>
          <w:sz w:val="24"/>
        </w:rPr>
      </w:pPr>
      <w:r w:rsidRPr="00FA0A2C">
        <w:rPr>
          <w:b/>
          <w:sz w:val="24"/>
        </w:rPr>
        <w:t>METHODS USED TO MINIMIZE BURDEN IN COLLECTION OF INFORMATION INVOLVING SMALL ENTITIES</w:t>
      </w:r>
      <w:r w:rsidRPr="00FA0A2C">
        <w:rPr>
          <w:sz w:val="24"/>
        </w:rPr>
        <w:t xml:space="preserve"> </w:t>
      </w:r>
    </w:p>
    <w:p w14:paraId="498754B1" w14:textId="77777777" w:rsidR="009D6B6D" w:rsidRPr="00FA0A2C" w:rsidRDefault="009D6B6D" w:rsidP="001D2EC1">
      <w:pPr>
        <w:widowControl/>
        <w:ind w:left="1440"/>
      </w:pPr>
    </w:p>
    <w:p w14:paraId="6A972740" w14:textId="1EC29F81" w:rsidR="008060D2" w:rsidRPr="00FA0A2C" w:rsidRDefault="008060D2" w:rsidP="008060D2">
      <w:r w:rsidRPr="00FA0A2C">
        <w:t xml:space="preserve">This filing collects data from both large and small respondent companies. </w:t>
      </w:r>
      <w:r w:rsidR="00CC1BC2" w:rsidRPr="00FA0A2C">
        <w:t xml:space="preserve"> The Commission proposes to minimize the burden in the data collection by not requiring companies with market based rates to file</w:t>
      </w:r>
      <w:r w:rsidR="005A12A4" w:rsidRPr="00FA0A2C">
        <w:t>.</w:t>
      </w:r>
      <w:r w:rsidR="00CC1BC2" w:rsidRPr="00FA0A2C">
        <w:t xml:space="preserve"> </w:t>
      </w:r>
      <w:r w:rsidR="00F73A87" w:rsidRPr="00FA0A2C">
        <w:t xml:space="preserve"> </w:t>
      </w:r>
      <w:r w:rsidRPr="00FA0A2C">
        <w:t xml:space="preserve">However, most companies </w:t>
      </w:r>
      <w:r w:rsidR="000677CB" w:rsidRPr="00FA0A2C">
        <w:t>that</w:t>
      </w:r>
      <w:r w:rsidRPr="00FA0A2C">
        <w:t xml:space="preserve"> fulfill the FERC</w:t>
      </w:r>
      <w:r w:rsidR="00B25560" w:rsidRPr="00FA0A2C">
        <w:t>-501</w:t>
      </w:r>
      <w:r w:rsidR="005A12A4" w:rsidRPr="00FA0A2C">
        <w:t>G</w:t>
      </w:r>
      <w:r w:rsidRPr="00FA0A2C">
        <w:t xml:space="preserve"> filing requirement do not fall within the </w:t>
      </w:r>
      <w:r w:rsidR="006C7E16">
        <w:t>Regulatory Flexibility Act’s</w:t>
      </w:r>
      <w:r w:rsidRPr="00FA0A2C">
        <w:t xml:space="preserve"> definition of small entities.  </w:t>
      </w:r>
    </w:p>
    <w:p w14:paraId="2329B0A1" w14:textId="77777777" w:rsidR="005240A1" w:rsidRPr="00FA0A2C" w:rsidRDefault="005240A1" w:rsidP="005240A1">
      <w:pPr>
        <w:pStyle w:val="FERCparanumber"/>
        <w:numPr>
          <w:ilvl w:val="0"/>
          <w:numId w:val="0"/>
        </w:numPr>
        <w:tabs>
          <w:tab w:val="num" w:pos="0"/>
        </w:tabs>
        <w:rPr>
          <w:sz w:val="24"/>
        </w:rPr>
      </w:pPr>
    </w:p>
    <w:p w14:paraId="1169CF0E" w14:textId="77777777" w:rsidR="009D6B6D" w:rsidRPr="00FA0A2C" w:rsidRDefault="009D6B6D" w:rsidP="005240A1">
      <w:pPr>
        <w:pStyle w:val="FERCparanumber"/>
        <w:numPr>
          <w:ilvl w:val="0"/>
          <w:numId w:val="7"/>
        </w:numPr>
        <w:rPr>
          <w:sz w:val="24"/>
        </w:rPr>
      </w:pPr>
      <w:r w:rsidRPr="00FA0A2C">
        <w:rPr>
          <w:b/>
          <w:sz w:val="24"/>
        </w:rPr>
        <w:t>CONSEQUENCE TO FEDERAL PROGRAM IF COLLECTION WERE CONDUCTED LESS FREQUENTLY</w:t>
      </w:r>
    </w:p>
    <w:p w14:paraId="23391944" w14:textId="77777777" w:rsidR="00BB6095" w:rsidRPr="00FA0A2C" w:rsidRDefault="00BB6095" w:rsidP="00BB6095">
      <w:pPr>
        <w:pStyle w:val="FERCparanumber"/>
        <w:numPr>
          <w:ilvl w:val="0"/>
          <w:numId w:val="0"/>
        </w:numPr>
        <w:rPr>
          <w:b/>
          <w:sz w:val="24"/>
        </w:rPr>
      </w:pPr>
    </w:p>
    <w:p w14:paraId="07C43EAE" w14:textId="09C9ECC3" w:rsidR="006B0369" w:rsidRPr="00FA0A2C" w:rsidRDefault="00544A11" w:rsidP="006B0369">
      <w:r w:rsidRPr="00FA0A2C">
        <w:t xml:space="preserve">The </w:t>
      </w:r>
      <w:r w:rsidR="000036D0" w:rsidRPr="00FA0A2C">
        <w:t xml:space="preserve">FERC-501G </w:t>
      </w:r>
      <w:r w:rsidR="005A12A4" w:rsidRPr="00FA0A2C">
        <w:t>is a one-time filing</w:t>
      </w:r>
      <w:r w:rsidR="000036D0" w:rsidRPr="00FA0A2C">
        <w:t xml:space="preserve"> obligation</w:t>
      </w:r>
      <w:r w:rsidR="005A12A4" w:rsidRPr="00FA0A2C">
        <w:t xml:space="preserve"> instigated by the Tax Cuts and Jobs Act of 2017</w:t>
      </w:r>
      <w:r w:rsidR="006B0369" w:rsidRPr="00FA0A2C">
        <w:t xml:space="preserve">. </w:t>
      </w:r>
      <w:r w:rsidR="00FB340C" w:rsidRPr="00FA0A2C">
        <w:t xml:space="preserve"> If</w:t>
      </w:r>
      <w:r w:rsidR="006C7E16">
        <w:t xml:space="preserve"> the Commission does not require</w:t>
      </w:r>
      <w:r w:rsidR="00FB340C" w:rsidRPr="00FA0A2C">
        <w:t xml:space="preserve"> th</w:t>
      </w:r>
      <w:r w:rsidR="000036D0" w:rsidRPr="00FA0A2C">
        <w:t>is filing</w:t>
      </w:r>
      <w:r w:rsidR="00FB340C" w:rsidRPr="00FA0A2C">
        <w:t xml:space="preserve">, </w:t>
      </w:r>
      <w:r w:rsidR="000036D0" w:rsidRPr="00FA0A2C">
        <w:t xml:space="preserve">NGA and NGPA </w:t>
      </w:r>
      <w:r w:rsidR="00FB340C" w:rsidRPr="00FA0A2C">
        <w:t>pipelines may collect a tax expense from their customers for which the pipelines are no longer liable under the Tax Cuts and Jobs Act of 2017.</w:t>
      </w:r>
      <w:r w:rsidR="003F28DF" w:rsidRPr="00FA0A2C">
        <w:t xml:space="preserve">  Market forces would not be able to correct this over-charging of customers.</w:t>
      </w:r>
    </w:p>
    <w:p w14:paraId="4F0A656F" w14:textId="77777777" w:rsidR="00BB6095" w:rsidRPr="00FA0A2C" w:rsidRDefault="00BB6095" w:rsidP="00BB6095">
      <w:pPr>
        <w:pStyle w:val="FERCparanumber"/>
        <w:numPr>
          <w:ilvl w:val="0"/>
          <w:numId w:val="0"/>
        </w:numPr>
        <w:rPr>
          <w:sz w:val="24"/>
        </w:rPr>
      </w:pPr>
    </w:p>
    <w:p w14:paraId="5CE22EF6" w14:textId="77777777" w:rsidR="00BB6095" w:rsidRPr="00FA0A2C" w:rsidRDefault="00BB6095" w:rsidP="005240A1">
      <w:pPr>
        <w:pStyle w:val="FERCparanumber"/>
        <w:numPr>
          <w:ilvl w:val="0"/>
          <w:numId w:val="7"/>
        </w:numPr>
        <w:rPr>
          <w:sz w:val="24"/>
        </w:rPr>
      </w:pPr>
      <w:r w:rsidRPr="00FA0A2C">
        <w:rPr>
          <w:b/>
          <w:sz w:val="24"/>
        </w:rPr>
        <w:t>EXPLAIN ANY SPECIAL CIRCUMSTANCES RELATING TO THE INFORMATION</w:t>
      </w:r>
    </w:p>
    <w:p w14:paraId="6C3072D3" w14:textId="77777777" w:rsidR="00BB6095" w:rsidRPr="00FA0A2C" w:rsidRDefault="00BB6095" w:rsidP="00BB6095">
      <w:pPr>
        <w:pStyle w:val="FERCparanumber"/>
        <w:numPr>
          <w:ilvl w:val="0"/>
          <w:numId w:val="0"/>
        </w:numPr>
        <w:rPr>
          <w:b/>
          <w:sz w:val="24"/>
        </w:rPr>
      </w:pPr>
    </w:p>
    <w:p w14:paraId="5AA6725C" w14:textId="6A5AB4E2" w:rsidR="00BB6095" w:rsidRPr="00FA0A2C" w:rsidRDefault="00CB6B90" w:rsidP="00BB6095">
      <w:pPr>
        <w:pStyle w:val="FERCparanumber"/>
        <w:numPr>
          <w:ilvl w:val="0"/>
          <w:numId w:val="0"/>
        </w:numPr>
        <w:rPr>
          <w:sz w:val="24"/>
        </w:rPr>
      </w:pPr>
      <w:r w:rsidRPr="00FA0A2C">
        <w:rPr>
          <w:sz w:val="24"/>
        </w:rPr>
        <w:t>There are no special circumstances</w:t>
      </w:r>
      <w:r w:rsidR="00D04BB6" w:rsidRPr="00FA0A2C">
        <w:rPr>
          <w:sz w:val="24"/>
        </w:rPr>
        <w:t xml:space="preserve">.  </w:t>
      </w:r>
    </w:p>
    <w:p w14:paraId="635C78F2" w14:textId="77777777" w:rsidR="005A12A4" w:rsidRPr="00FA0A2C" w:rsidRDefault="005A12A4" w:rsidP="00BB6095">
      <w:pPr>
        <w:pStyle w:val="FERCparanumber"/>
        <w:numPr>
          <w:ilvl w:val="0"/>
          <w:numId w:val="0"/>
        </w:numPr>
        <w:rPr>
          <w:sz w:val="24"/>
        </w:rPr>
      </w:pPr>
    </w:p>
    <w:p w14:paraId="3E7E24B7" w14:textId="77777777" w:rsidR="009D6B6D" w:rsidRPr="00FA0A2C" w:rsidRDefault="00BB6095" w:rsidP="001D2EC1">
      <w:pPr>
        <w:pStyle w:val="FERCparanumber"/>
        <w:numPr>
          <w:ilvl w:val="0"/>
          <w:numId w:val="7"/>
        </w:numPr>
        <w:rPr>
          <w:sz w:val="24"/>
        </w:rPr>
      </w:pPr>
      <w:r w:rsidRPr="00FA0A2C">
        <w:rPr>
          <w:b/>
          <w:sz w:val="24"/>
        </w:rPr>
        <w:t>DESCRIBE EFFORTS TO CONSULT OUTSIDE THE AGENCY: SUMMARIZE PUBLIC COMMENTS AND THE AGENCY’S RESPONSE TO THESE COMMENTS</w:t>
      </w:r>
    </w:p>
    <w:p w14:paraId="08534C89" w14:textId="77777777" w:rsidR="00BB6095" w:rsidRPr="00FA0A2C" w:rsidRDefault="00BB6095" w:rsidP="00BB6095">
      <w:pPr>
        <w:pStyle w:val="FERCparanumber"/>
        <w:numPr>
          <w:ilvl w:val="0"/>
          <w:numId w:val="0"/>
        </w:numPr>
        <w:rPr>
          <w:b/>
          <w:sz w:val="24"/>
        </w:rPr>
      </w:pPr>
    </w:p>
    <w:p w14:paraId="30AFF977" w14:textId="34DA2BFA" w:rsidR="00CB6B90" w:rsidRPr="00FA0A2C" w:rsidRDefault="00FB340C" w:rsidP="00BB6095">
      <w:r w:rsidRPr="00FA0A2C">
        <w:t>State agencies, trade associations</w:t>
      </w:r>
      <w:r w:rsidR="003F28DF" w:rsidRPr="00FA0A2C">
        <w:t>,</w:t>
      </w:r>
      <w:r w:rsidRPr="00FA0A2C">
        <w:t xml:space="preserve"> and individual pipeline shippers have filed numerous comments with the Commission in response to the Tax Cuts and Jobs Act of 2017</w:t>
      </w:r>
      <w:r w:rsidR="00F73A87" w:rsidRPr="00FA0A2C">
        <w:t>.</w:t>
      </w:r>
      <w:r w:rsidR="00BD34B6" w:rsidRPr="00FA0A2C">
        <w:rPr>
          <w:rStyle w:val="FootnoteReference"/>
          <w:vertAlign w:val="superscript"/>
        </w:rPr>
        <w:footnoteReference w:id="7"/>
      </w:r>
      <w:r w:rsidR="00F73A87" w:rsidRPr="00FA0A2C">
        <w:t xml:space="preserve">  They have requested</w:t>
      </w:r>
      <w:r w:rsidR="00AE19DA" w:rsidRPr="00FA0A2C">
        <w:t xml:space="preserve"> that the Commission take action to reduce natural gas pipeline companies’ rates in line with the </w:t>
      </w:r>
      <w:r w:rsidR="00F73A87" w:rsidRPr="00FA0A2C">
        <w:t xml:space="preserve">pipelines’ </w:t>
      </w:r>
      <w:r w:rsidR="00AE19DA" w:rsidRPr="00FA0A2C">
        <w:t>reduction in income tax liability.  The proposed FERC</w:t>
      </w:r>
      <w:r w:rsidR="00B25560" w:rsidRPr="00FA0A2C">
        <w:t>-501</w:t>
      </w:r>
      <w:r w:rsidR="00AE19DA" w:rsidRPr="00FA0A2C">
        <w:t xml:space="preserve">G is a partial response to these comments.  </w:t>
      </w:r>
    </w:p>
    <w:p w14:paraId="6F8A9412" w14:textId="77777777" w:rsidR="00CB6B90" w:rsidRPr="00FA0A2C" w:rsidRDefault="00CB6B90" w:rsidP="00BB6095"/>
    <w:p w14:paraId="7EABE541" w14:textId="4117864E" w:rsidR="00BB6095" w:rsidRPr="00FA0A2C" w:rsidRDefault="00CB6B90" w:rsidP="00BB6095">
      <w:r w:rsidRPr="00FA0A2C">
        <w:t xml:space="preserve">In the </w:t>
      </w:r>
      <w:r w:rsidR="003B5D8A" w:rsidRPr="00FA0A2C">
        <w:t>NOPR i</w:t>
      </w:r>
      <w:r w:rsidRPr="00FA0A2C">
        <w:t>n Docket RM18-11</w:t>
      </w:r>
      <w:r w:rsidR="008E7FAB">
        <w:t xml:space="preserve"> (which is being published in the Federal Register on 3/26/2018)</w:t>
      </w:r>
      <w:r w:rsidRPr="00FA0A2C">
        <w:t xml:space="preserve">, </w:t>
      </w:r>
      <w:r w:rsidR="00BB6095" w:rsidRPr="00FA0A2C">
        <w:t xml:space="preserve">the Commission </w:t>
      </w:r>
      <w:r w:rsidRPr="00FA0A2C">
        <w:t xml:space="preserve">is providing the public and all stakeholders an opportunity to review </w:t>
      </w:r>
      <w:r w:rsidR="008E7FAB">
        <w:t xml:space="preserve">and comment on </w:t>
      </w:r>
      <w:r w:rsidRPr="00FA0A2C">
        <w:t xml:space="preserve">the proposed </w:t>
      </w:r>
      <w:r w:rsidR="008E7FAB">
        <w:t>FERC-501G</w:t>
      </w:r>
      <w:r w:rsidRPr="00FA0A2C">
        <w:t>.</w:t>
      </w:r>
    </w:p>
    <w:p w14:paraId="2386E560" w14:textId="77777777" w:rsidR="00BB6095" w:rsidRPr="00FA0A2C" w:rsidRDefault="00BB6095" w:rsidP="00BB6095">
      <w:pPr>
        <w:pStyle w:val="FERCparanumber"/>
        <w:numPr>
          <w:ilvl w:val="0"/>
          <w:numId w:val="0"/>
        </w:numPr>
        <w:rPr>
          <w:sz w:val="24"/>
        </w:rPr>
      </w:pPr>
    </w:p>
    <w:p w14:paraId="091A69F9" w14:textId="77777777" w:rsidR="009D6B6D" w:rsidRPr="00FA0A2C" w:rsidRDefault="00BB6095" w:rsidP="001D2EC1">
      <w:pPr>
        <w:pStyle w:val="FERCparanumber"/>
        <w:numPr>
          <w:ilvl w:val="0"/>
          <w:numId w:val="7"/>
        </w:numPr>
        <w:rPr>
          <w:sz w:val="24"/>
        </w:rPr>
      </w:pPr>
      <w:r w:rsidRPr="00FA0A2C">
        <w:rPr>
          <w:b/>
          <w:sz w:val="24"/>
        </w:rPr>
        <w:t>EXPLAIN ANY PAYMENT OR GIFTS TO RESPONDENTS</w:t>
      </w:r>
    </w:p>
    <w:p w14:paraId="55601D9E" w14:textId="77777777" w:rsidR="00BB6095" w:rsidRPr="00FA0A2C" w:rsidRDefault="00BB6095" w:rsidP="00BB6095">
      <w:pPr>
        <w:pStyle w:val="FERCparanumber"/>
        <w:numPr>
          <w:ilvl w:val="0"/>
          <w:numId w:val="0"/>
        </w:numPr>
        <w:rPr>
          <w:b/>
          <w:sz w:val="24"/>
        </w:rPr>
      </w:pPr>
    </w:p>
    <w:p w14:paraId="635D1E06" w14:textId="4812BED5" w:rsidR="00BB6095" w:rsidRPr="00FA0A2C" w:rsidRDefault="00BB6095" w:rsidP="00BB6095">
      <w:pPr>
        <w:widowControl/>
      </w:pPr>
      <w:r w:rsidRPr="00FA0A2C">
        <w:t>There are no payments or gifts to respondents.</w:t>
      </w:r>
    </w:p>
    <w:p w14:paraId="0655AE0A" w14:textId="77777777" w:rsidR="00BB6095" w:rsidRPr="00FA0A2C" w:rsidRDefault="00BB6095" w:rsidP="00BB6095">
      <w:pPr>
        <w:pStyle w:val="FERCparanumber"/>
        <w:numPr>
          <w:ilvl w:val="0"/>
          <w:numId w:val="0"/>
        </w:numPr>
        <w:rPr>
          <w:b/>
          <w:sz w:val="24"/>
        </w:rPr>
      </w:pPr>
    </w:p>
    <w:p w14:paraId="18CEDA1A" w14:textId="77777777" w:rsidR="009D6B6D" w:rsidRPr="00FA0A2C" w:rsidRDefault="00BB6095" w:rsidP="001D2EC1">
      <w:pPr>
        <w:pStyle w:val="FERCparanumber"/>
        <w:numPr>
          <w:ilvl w:val="0"/>
          <w:numId w:val="7"/>
        </w:numPr>
        <w:rPr>
          <w:sz w:val="24"/>
        </w:rPr>
      </w:pPr>
      <w:r w:rsidRPr="00FA0A2C">
        <w:rPr>
          <w:b/>
          <w:sz w:val="24"/>
        </w:rPr>
        <w:t>DESCRIBE ANY ASSURANCE OF CONFIDENTIALITY PROVIDED TO RESPONDENTS</w:t>
      </w:r>
    </w:p>
    <w:p w14:paraId="5291E765" w14:textId="77777777" w:rsidR="00BB6095" w:rsidRPr="00FA0A2C" w:rsidRDefault="00BB6095" w:rsidP="00BB6095">
      <w:pPr>
        <w:pStyle w:val="FERCparanumber"/>
        <w:numPr>
          <w:ilvl w:val="0"/>
          <w:numId w:val="0"/>
        </w:numPr>
        <w:rPr>
          <w:b/>
          <w:sz w:val="24"/>
        </w:rPr>
      </w:pPr>
    </w:p>
    <w:p w14:paraId="4266E043" w14:textId="12D98696" w:rsidR="001F60CC" w:rsidRPr="00FA0A2C" w:rsidRDefault="001F60CC" w:rsidP="001F60CC">
      <w:r w:rsidRPr="00FA0A2C">
        <w:t>The Commission does not consider the i</w:t>
      </w:r>
      <w:r w:rsidR="001F42E7" w:rsidRPr="00FA0A2C">
        <w:t>nf</w:t>
      </w:r>
      <w:r w:rsidR="00CB3EA0" w:rsidRPr="00FA0A2C">
        <w:t xml:space="preserve">ormation collected in </w:t>
      </w:r>
      <w:r w:rsidR="006B0369" w:rsidRPr="00FA0A2C">
        <w:t>FERC</w:t>
      </w:r>
      <w:r w:rsidR="00B25560" w:rsidRPr="00FA0A2C">
        <w:t>-501</w:t>
      </w:r>
      <w:r w:rsidR="005A12A4" w:rsidRPr="00FA0A2C">
        <w:t>G</w:t>
      </w:r>
      <w:r w:rsidR="006B0369" w:rsidRPr="00FA0A2C">
        <w:t xml:space="preserve"> to be confidential.</w:t>
      </w:r>
      <w:r w:rsidR="00637249" w:rsidRPr="00FA0A2C">
        <w:t xml:space="preserve">  However, the Commission will consider specific requests for confidential treatment to the extent permitted by law.  The Commission will review each request for confidential treatment (which must be made pursuant to 18 CFR 388.112(a)(1)) on a case-by-case basis.</w:t>
      </w:r>
    </w:p>
    <w:p w14:paraId="7FB64A9E" w14:textId="77777777" w:rsidR="00BB6095" w:rsidRPr="00FA0A2C" w:rsidRDefault="00BB6095" w:rsidP="00BB6095">
      <w:pPr>
        <w:pStyle w:val="FERCparanumber"/>
        <w:numPr>
          <w:ilvl w:val="0"/>
          <w:numId w:val="0"/>
        </w:numPr>
        <w:rPr>
          <w:sz w:val="24"/>
        </w:rPr>
      </w:pPr>
    </w:p>
    <w:p w14:paraId="0F599F44" w14:textId="6387DEE9" w:rsidR="009D6B6D" w:rsidRPr="00FA0A2C" w:rsidRDefault="00BB6095" w:rsidP="001D2EC1">
      <w:pPr>
        <w:pStyle w:val="FERCparanumber"/>
        <w:numPr>
          <w:ilvl w:val="0"/>
          <w:numId w:val="7"/>
        </w:numPr>
        <w:rPr>
          <w:sz w:val="24"/>
        </w:rPr>
      </w:pPr>
      <w:r w:rsidRPr="00FA0A2C">
        <w:rPr>
          <w:b/>
          <w:sz w:val="24"/>
        </w:rPr>
        <w:t>PROVIDE ADDITIONAL JUSTIFICATION FOR ANY QUESTIONS OF A SENSITIVE NATURE</w:t>
      </w:r>
      <w:r w:rsidR="00860C58" w:rsidRPr="00FA0A2C">
        <w:rPr>
          <w:b/>
          <w:sz w:val="24"/>
        </w:rPr>
        <w:t>, SUCH AS SEXUAL BEHAVIOR AND ATTITUDES, RELIGIOUS BELIEFS, AND OTHER MATTERS THAT ARE COMMONLY CONSIDERED PRIVATE</w:t>
      </w:r>
    </w:p>
    <w:p w14:paraId="7C3F9D96" w14:textId="77777777" w:rsidR="00BB6095" w:rsidRPr="00FA0A2C" w:rsidRDefault="00BB6095" w:rsidP="00BB6095">
      <w:pPr>
        <w:pStyle w:val="FERCparanumber"/>
        <w:numPr>
          <w:ilvl w:val="0"/>
          <w:numId w:val="0"/>
        </w:numPr>
        <w:rPr>
          <w:b/>
          <w:sz w:val="24"/>
        </w:rPr>
      </w:pPr>
    </w:p>
    <w:p w14:paraId="2F8D71F0" w14:textId="77777777" w:rsidR="00BB6095" w:rsidRPr="00FA0A2C" w:rsidRDefault="00BB6095" w:rsidP="00BB6095">
      <w:pPr>
        <w:widowControl/>
        <w:rPr>
          <w:b/>
        </w:rPr>
      </w:pPr>
      <w:r w:rsidRPr="00FA0A2C">
        <w:t xml:space="preserve">There are no questions of a sensitive nature associated with the reporting requirements.  </w:t>
      </w:r>
    </w:p>
    <w:p w14:paraId="6058D422" w14:textId="77777777" w:rsidR="00BB6095" w:rsidRPr="00FA0A2C" w:rsidRDefault="00BB6095" w:rsidP="00BB6095">
      <w:pPr>
        <w:pStyle w:val="FERCparanumber"/>
        <w:numPr>
          <w:ilvl w:val="0"/>
          <w:numId w:val="0"/>
        </w:numPr>
        <w:rPr>
          <w:sz w:val="24"/>
        </w:rPr>
      </w:pPr>
    </w:p>
    <w:p w14:paraId="4ACF1549" w14:textId="77777777" w:rsidR="00BB6095" w:rsidRPr="00FA0A2C" w:rsidRDefault="00BB6095" w:rsidP="001D2EC1">
      <w:pPr>
        <w:pStyle w:val="FERCparanumber"/>
        <w:numPr>
          <w:ilvl w:val="0"/>
          <w:numId w:val="7"/>
        </w:numPr>
        <w:rPr>
          <w:sz w:val="24"/>
        </w:rPr>
      </w:pPr>
      <w:r w:rsidRPr="00FA0A2C">
        <w:rPr>
          <w:b/>
          <w:sz w:val="24"/>
        </w:rPr>
        <w:t>ESTIMATED BURDEN COLLECTION OF INFORMATION</w:t>
      </w:r>
    </w:p>
    <w:p w14:paraId="057071CE" w14:textId="77777777" w:rsidR="00BB6095" w:rsidRPr="00FA0A2C" w:rsidRDefault="00BB6095" w:rsidP="00BB6095">
      <w:pPr>
        <w:pStyle w:val="FERCparanumber"/>
        <w:numPr>
          <w:ilvl w:val="0"/>
          <w:numId w:val="0"/>
        </w:numPr>
        <w:rPr>
          <w:b/>
          <w:sz w:val="24"/>
        </w:rPr>
      </w:pPr>
    </w:p>
    <w:p w14:paraId="00B7E7C5" w14:textId="263622CA" w:rsidR="00043387" w:rsidRPr="00FA0A2C" w:rsidRDefault="00043387" w:rsidP="00BB6095">
      <w:pPr>
        <w:pStyle w:val="FERCparanumber"/>
        <w:numPr>
          <w:ilvl w:val="0"/>
          <w:numId w:val="0"/>
        </w:numPr>
        <w:rPr>
          <w:sz w:val="24"/>
        </w:rPr>
      </w:pPr>
      <w:r w:rsidRPr="00FA0A2C">
        <w:rPr>
          <w:sz w:val="24"/>
        </w:rPr>
        <w:t>FERC-501G is a one-time reporting requirement</w:t>
      </w:r>
      <w:r w:rsidR="00D55228" w:rsidRPr="00FA0A2C">
        <w:rPr>
          <w:sz w:val="24"/>
        </w:rPr>
        <w:t xml:space="preserve"> with various components</w:t>
      </w:r>
      <w:r w:rsidR="00BB1C26" w:rsidRPr="00FA0A2C">
        <w:rPr>
          <w:sz w:val="24"/>
        </w:rPr>
        <w:t>.  The estimated burden and cost</w:t>
      </w:r>
      <w:r w:rsidR="00BB1C26" w:rsidRPr="00FA0A2C">
        <w:rPr>
          <w:rStyle w:val="FootnoteReference"/>
          <w:sz w:val="24"/>
          <w:vertAlign w:val="superscript"/>
        </w:rPr>
        <w:footnoteReference w:id="8"/>
      </w:r>
      <w:r w:rsidR="00BB1C26" w:rsidRPr="00FA0A2C">
        <w:rPr>
          <w:sz w:val="24"/>
          <w:vertAlign w:val="superscript"/>
        </w:rPr>
        <w:t xml:space="preserve"> </w:t>
      </w:r>
      <w:r w:rsidR="00BB1C26" w:rsidRPr="00FA0A2C">
        <w:rPr>
          <w:sz w:val="24"/>
        </w:rPr>
        <w:t>follow</w:t>
      </w:r>
      <w:r w:rsidRPr="00FA0A2C">
        <w:rPr>
          <w:sz w:val="24"/>
        </w:rPr>
        <w:t xml:space="preserve">. </w:t>
      </w:r>
    </w:p>
    <w:p w14:paraId="3D4CFE2F" w14:textId="77777777" w:rsidR="00043387" w:rsidRPr="00FA0A2C" w:rsidRDefault="00043387" w:rsidP="00BB6095">
      <w:pPr>
        <w:pStyle w:val="FERCparanumber"/>
        <w:numPr>
          <w:ilvl w:val="0"/>
          <w:numId w:val="0"/>
        </w:numPr>
        <w:rPr>
          <w:sz w:val="24"/>
        </w:rPr>
      </w:pPr>
    </w:p>
    <w:p w14:paraId="0BCEEBDA" w14:textId="04BE5CC8" w:rsidR="00BB6095" w:rsidRDefault="00BB6095" w:rsidP="00BB6095">
      <w:pPr>
        <w:widowControl/>
      </w:pPr>
    </w:p>
    <w:tbl>
      <w:tblPr>
        <w:tblW w:w="5023"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12"/>
        <w:gridCol w:w="1285"/>
        <w:gridCol w:w="1170"/>
        <w:gridCol w:w="1170"/>
        <w:gridCol w:w="1260"/>
        <w:gridCol w:w="1258"/>
        <w:gridCol w:w="1455"/>
      </w:tblGrid>
      <w:tr w:rsidR="00114C73" w:rsidRPr="00114C73" w14:paraId="63694F4D" w14:textId="77777777" w:rsidTr="005244AB">
        <w:trPr>
          <w:cantSplit/>
          <w:trHeight w:val="241"/>
          <w:tblHeader/>
        </w:trPr>
        <w:tc>
          <w:tcPr>
            <w:tcW w:w="5000" w:type="pct"/>
            <w:gridSpan w:val="8"/>
            <w:tcBorders>
              <w:bottom w:val="single" w:sz="4" w:space="0" w:color="auto"/>
            </w:tcBorders>
            <w:shd w:val="clear" w:color="auto" w:fill="D9D9D9"/>
          </w:tcPr>
          <w:p w14:paraId="648FED67" w14:textId="009382A1" w:rsidR="00114C73" w:rsidRDefault="00114C73" w:rsidP="00A63E6C">
            <w:pPr>
              <w:widowControl/>
              <w:jc w:val="center"/>
              <w:rPr>
                <w:rFonts w:eastAsia="Calibri"/>
                <w:b/>
                <w:sz w:val="26"/>
                <w:szCs w:val="20"/>
              </w:rPr>
            </w:pPr>
            <w:r w:rsidRPr="00114C73">
              <w:rPr>
                <w:rFonts w:eastAsia="Calibri"/>
                <w:b/>
                <w:sz w:val="26"/>
                <w:szCs w:val="20"/>
              </w:rPr>
              <w:t xml:space="preserve">FERC-501G </w:t>
            </w:r>
            <w:r>
              <w:rPr>
                <w:rFonts w:eastAsia="Calibri"/>
                <w:b/>
                <w:sz w:val="26"/>
                <w:szCs w:val="20"/>
              </w:rPr>
              <w:t>(</w:t>
            </w:r>
            <w:r w:rsidRPr="00114C73">
              <w:rPr>
                <w:rFonts w:eastAsia="Calibri"/>
                <w:b/>
                <w:sz w:val="26"/>
                <w:szCs w:val="20"/>
              </w:rPr>
              <w:t>One-time Report on Rate Effect of the Tax Cuts and Jobs Act</w:t>
            </w:r>
            <w:r>
              <w:rPr>
                <w:rFonts w:eastAsia="Calibri"/>
                <w:b/>
                <w:sz w:val="26"/>
                <w:szCs w:val="20"/>
              </w:rPr>
              <w:t>),</w:t>
            </w:r>
          </w:p>
          <w:p w14:paraId="79D10993" w14:textId="271263EA" w:rsidR="00114C73" w:rsidRPr="00114C73" w:rsidRDefault="00114C73" w:rsidP="00A63E6C">
            <w:pPr>
              <w:widowControl/>
              <w:jc w:val="center"/>
              <w:rPr>
                <w:rFonts w:eastAsia="Calibri"/>
                <w:b/>
                <w:sz w:val="26"/>
                <w:szCs w:val="20"/>
              </w:rPr>
            </w:pPr>
            <w:r>
              <w:rPr>
                <w:rFonts w:eastAsia="Calibri"/>
                <w:b/>
                <w:sz w:val="26"/>
                <w:szCs w:val="20"/>
              </w:rPr>
              <w:t>as proposed in NOPR in Docket No. RM18-11-000</w:t>
            </w:r>
          </w:p>
        </w:tc>
      </w:tr>
      <w:tr w:rsidR="00114C73" w:rsidRPr="00114C73" w14:paraId="6DD3DE24" w14:textId="77777777" w:rsidTr="005244AB">
        <w:trPr>
          <w:cantSplit/>
          <w:trHeight w:val="1259"/>
          <w:tblHeader/>
        </w:trPr>
        <w:tc>
          <w:tcPr>
            <w:tcW w:w="577" w:type="pct"/>
            <w:shd w:val="clear" w:color="auto" w:fill="D9D9D9"/>
          </w:tcPr>
          <w:p w14:paraId="5A142366" w14:textId="77777777" w:rsidR="00114C73" w:rsidRPr="00114C73" w:rsidRDefault="00114C73" w:rsidP="00114C73">
            <w:pPr>
              <w:widowControl/>
              <w:autoSpaceDE/>
              <w:autoSpaceDN/>
              <w:adjustRightInd/>
              <w:jc w:val="center"/>
              <w:rPr>
                <w:rFonts w:eastAsia="Calibri"/>
                <w:b/>
                <w:sz w:val="26"/>
                <w:szCs w:val="20"/>
              </w:rPr>
            </w:pPr>
          </w:p>
        </w:tc>
        <w:tc>
          <w:tcPr>
            <w:tcW w:w="474" w:type="pct"/>
            <w:shd w:val="clear" w:color="auto" w:fill="D9D9D9"/>
            <w:vAlign w:val="bottom"/>
          </w:tcPr>
          <w:p w14:paraId="519EE582"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No. of Respondents</w:t>
            </w:r>
          </w:p>
          <w:p w14:paraId="57D783D1"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(1)</w:t>
            </w:r>
          </w:p>
        </w:tc>
        <w:tc>
          <w:tcPr>
            <w:tcW w:w="668" w:type="pct"/>
            <w:shd w:val="clear" w:color="auto" w:fill="D9D9D9"/>
            <w:vAlign w:val="bottom"/>
          </w:tcPr>
          <w:p w14:paraId="01E8CFBB"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No. of Responses per Respondent</w:t>
            </w:r>
          </w:p>
          <w:p w14:paraId="5B75F480"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(2)</w:t>
            </w:r>
          </w:p>
        </w:tc>
        <w:tc>
          <w:tcPr>
            <w:tcW w:w="608" w:type="pct"/>
            <w:shd w:val="clear" w:color="auto" w:fill="D9D9D9"/>
            <w:vAlign w:val="bottom"/>
          </w:tcPr>
          <w:p w14:paraId="5731BBDA" w14:textId="77777777" w:rsidR="00114C73" w:rsidRPr="00114C73" w:rsidRDefault="00114C73" w:rsidP="00114C73">
            <w:pPr>
              <w:widowControl/>
              <w:autoSpaceDE/>
              <w:autoSpaceDN/>
              <w:adjustRightInd/>
              <w:jc w:val="center"/>
              <w:rPr>
                <w:rFonts w:eastAsia="Calibri"/>
                <w:b/>
                <w:sz w:val="26"/>
                <w:szCs w:val="20"/>
              </w:rPr>
            </w:pPr>
          </w:p>
          <w:p w14:paraId="2A007383"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Total Responses</w:t>
            </w:r>
          </w:p>
          <w:p w14:paraId="6E5C2FD8"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(3)</w:t>
            </w:r>
          </w:p>
        </w:tc>
        <w:tc>
          <w:tcPr>
            <w:tcW w:w="608" w:type="pct"/>
            <w:shd w:val="clear" w:color="auto" w:fill="D9D9D9"/>
            <w:vAlign w:val="bottom"/>
          </w:tcPr>
          <w:p w14:paraId="61A467B4"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Avg. Burden Hr. Per Response</w:t>
            </w:r>
          </w:p>
          <w:p w14:paraId="7B2B5681"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(4)</w:t>
            </w:r>
          </w:p>
        </w:tc>
        <w:tc>
          <w:tcPr>
            <w:tcW w:w="655" w:type="pct"/>
            <w:shd w:val="clear" w:color="auto" w:fill="D9D9D9"/>
            <w:vAlign w:val="bottom"/>
          </w:tcPr>
          <w:p w14:paraId="48A28534"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Avg. Cost Per Response</w:t>
            </w:r>
          </w:p>
          <w:p w14:paraId="1DDCFCED"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(5)</w:t>
            </w:r>
          </w:p>
        </w:tc>
        <w:tc>
          <w:tcPr>
            <w:tcW w:w="654" w:type="pct"/>
            <w:shd w:val="clear" w:color="auto" w:fill="D9D9D9"/>
            <w:vAlign w:val="bottom"/>
          </w:tcPr>
          <w:p w14:paraId="41DFCC31"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Total Burden Hours</w:t>
            </w:r>
          </w:p>
          <w:p w14:paraId="41A94134"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(3)*(4)=(6)</w:t>
            </w:r>
          </w:p>
        </w:tc>
        <w:tc>
          <w:tcPr>
            <w:tcW w:w="756" w:type="pct"/>
            <w:shd w:val="clear" w:color="auto" w:fill="D9D9D9"/>
            <w:vAlign w:val="bottom"/>
          </w:tcPr>
          <w:p w14:paraId="153733B9"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Total Cost ($)</w:t>
            </w:r>
          </w:p>
          <w:p w14:paraId="01C7ECCB"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(3)*(5)=(7)</w:t>
            </w:r>
          </w:p>
        </w:tc>
      </w:tr>
      <w:tr w:rsidR="00114C73" w:rsidRPr="00114C73" w14:paraId="7345FA5D" w14:textId="77777777" w:rsidTr="005244AB">
        <w:trPr>
          <w:cantSplit/>
          <w:trHeight w:val="241"/>
        </w:trPr>
        <w:tc>
          <w:tcPr>
            <w:tcW w:w="5000" w:type="pct"/>
            <w:gridSpan w:val="8"/>
          </w:tcPr>
          <w:p w14:paraId="73FE0656"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Interstate Natural Gas Pipelines with Cost-Based Rates</w:t>
            </w:r>
          </w:p>
        </w:tc>
      </w:tr>
      <w:tr w:rsidR="00114C73" w:rsidRPr="00114C73" w14:paraId="65F4FF3C" w14:textId="77777777" w:rsidTr="005244AB">
        <w:trPr>
          <w:cantSplit/>
          <w:trHeight w:val="509"/>
        </w:trPr>
        <w:tc>
          <w:tcPr>
            <w:tcW w:w="577" w:type="pct"/>
          </w:tcPr>
          <w:p w14:paraId="5EA2BBFE" w14:textId="77777777" w:rsidR="00114C73" w:rsidRPr="00114C73" w:rsidRDefault="00114C73" w:rsidP="00114C73">
            <w:pPr>
              <w:widowControl/>
              <w:autoSpaceDE/>
              <w:autoSpaceDN/>
              <w:adjustRightInd/>
              <w:rPr>
                <w:rFonts w:eastAsia="Calibri"/>
                <w:sz w:val="26"/>
                <w:szCs w:val="20"/>
              </w:rPr>
            </w:pPr>
            <w:r w:rsidRPr="00114C73">
              <w:rPr>
                <w:rFonts w:eastAsia="Calibri"/>
                <w:sz w:val="26"/>
                <w:szCs w:val="20"/>
              </w:rPr>
              <w:t>FERC Form No. 501-G, One-time Report</w:t>
            </w:r>
            <w:r w:rsidRPr="00114C73">
              <w:rPr>
                <w:rFonts w:eastAsia="Calibri"/>
                <w:b/>
                <w:sz w:val="26"/>
                <w:szCs w:val="22"/>
                <w:vertAlign w:val="superscript"/>
              </w:rPr>
              <w:footnoteReference w:id="9"/>
            </w:r>
          </w:p>
        </w:tc>
        <w:tc>
          <w:tcPr>
            <w:tcW w:w="474" w:type="pct"/>
          </w:tcPr>
          <w:p w14:paraId="2412E301"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133</w:t>
            </w:r>
          </w:p>
          <w:p w14:paraId="039B6E24" w14:textId="77777777" w:rsidR="00114C73" w:rsidRPr="00114C73" w:rsidRDefault="00114C73" w:rsidP="00114C73">
            <w:pPr>
              <w:widowControl/>
              <w:autoSpaceDE/>
              <w:autoSpaceDN/>
              <w:adjustRightInd/>
              <w:jc w:val="right"/>
              <w:rPr>
                <w:rFonts w:eastAsia="Calibri"/>
                <w:sz w:val="26"/>
                <w:szCs w:val="20"/>
              </w:rPr>
            </w:pPr>
          </w:p>
        </w:tc>
        <w:tc>
          <w:tcPr>
            <w:tcW w:w="668" w:type="pct"/>
          </w:tcPr>
          <w:p w14:paraId="7CDD0735"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08" w:type="pct"/>
          </w:tcPr>
          <w:p w14:paraId="466A7BEF"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133</w:t>
            </w:r>
          </w:p>
        </w:tc>
        <w:tc>
          <w:tcPr>
            <w:tcW w:w="608" w:type="pct"/>
          </w:tcPr>
          <w:p w14:paraId="7E214714"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9 hrs.</w:t>
            </w:r>
          </w:p>
          <w:p w14:paraId="5DB0C080" w14:textId="77777777" w:rsidR="00114C73" w:rsidRPr="00114C73" w:rsidRDefault="00114C73" w:rsidP="00114C73">
            <w:pPr>
              <w:widowControl/>
              <w:autoSpaceDE/>
              <w:autoSpaceDN/>
              <w:adjustRightInd/>
              <w:jc w:val="right"/>
              <w:rPr>
                <w:rFonts w:eastAsia="Calibri"/>
                <w:sz w:val="26"/>
                <w:szCs w:val="20"/>
              </w:rPr>
            </w:pPr>
          </w:p>
        </w:tc>
        <w:tc>
          <w:tcPr>
            <w:tcW w:w="655" w:type="pct"/>
          </w:tcPr>
          <w:p w14:paraId="60D5E09D"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$718</w:t>
            </w:r>
          </w:p>
        </w:tc>
        <w:tc>
          <w:tcPr>
            <w:tcW w:w="654" w:type="pct"/>
          </w:tcPr>
          <w:p w14:paraId="0816D961"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1,197 hrs.</w:t>
            </w:r>
          </w:p>
          <w:p w14:paraId="6F9E18C1" w14:textId="77777777" w:rsidR="00114C73" w:rsidRPr="00114C73" w:rsidRDefault="00114C73" w:rsidP="00114C73">
            <w:pPr>
              <w:widowControl/>
              <w:autoSpaceDE/>
              <w:autoSpaceDN/>
              <w:adjustRightInd/>
              <w:jc w:val="right"/>
              <w:rPr>
                <w:rFonts w:eastAsia="Calibri"/>
                <w:sz w:val="26"/>
                <w:szCs w:val="20"/>
              </w:rPr>
            </w:pPr>
          </w:p>
        </w:tc>
        <w:tc>
          <w:tcPr>
            <w:tcW w:w="756" w:type="pct"/>
          </w:tcPr>
          <w:p w14:paraId="1F289EFF"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 xml:space="preserve">$95,485  </w:t>
            </w:r>
          </w:p>
          <w:p w14:paraId="74687247" w14:textId="77777777" w:rsidR="00114C73" w:rsidRPr="00114C73" w:rsidRDefault="00114C73" w:rsidP="00114C73">
            <w:pPr>
              <w:widowControl/>
              <w:autoSpaceDE/>
              <w:autoSpaceDN/>
              <w:adjustRightInd/>
              <w:jc w:val="right"/>
              <w:rPr>
                <w:rFonts w:eastAsia="Calibri"/>
                <w:sz w:val="26"/>
                <w:szCs w:val="20"/>
              </w:rPr>
            </w:pPr>
          </w:p>
        </w:tc>
      </w:tr>
      <w:tr w:rsidR="00114C73" w:rsidRPr="00114C73" w14:paraId="5EA9105E" w14:textId="77777777" w:rsidTr="005244AB">
        <w:trPr>
          <w:cantSplit/>
          <w:trHeight w:val="241"/>
        </w:trPr>
        <w:tc>
          <w:tcPr>
            <w:tcW w:w="5000" w:type="pct"/>
            <w:gridSpan w:val="8"/>
          </w:tcPr>
          <w:p w14:paraId="02F07AF1"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Optional Response</w:t>
            </w:r>
          </w:p>
        </w:tc>
      </w:tr>
      <w:tr w:rsidR="00114C73" w:rsidRPr="00114C73" w14:paraId="4C10141C" w14:textId="77777777" w:rsidTr="005244AB">
        <w:trPr>
          <w:cantSplit/>
          <w:trHeight w:val="241"/>
        </w:trPr>
        <w:tc>
          <w:tcPr>
            <w:tcW w:w="577" w:type="pct"/>
          </w:tcPr>
          <w:p w14:paraId="16E5D56C" w14:textId="77777777" w:rsidR="00114C73" w:rsidRPr="00114C73" w:rsidRDefault="00114C73" w:rsidP="00114C73">
            <w:pPr>
              <w:widowControl/>
              <w:autoSpaceDE/>
              <w:autoSpaceDN/>
              <w:adjustRightInd/>
              <w:rPr>
                <w:rFonts w:eastAsia="Calibri"/>
                <w:sz w:val="26"/>
                <w:szCs w:val="20"/>
              </w:rPr>
            </w:pPr>
            <w:r w:rsidRPr="00114C73">
              <w:rPr>
                <w:rFonts w:eastAsia="Calibri"/>
                <w:sz w:val="26"/>
                <w:szCs w:val="20"/>
              </w:rPr>
              <w:t>No Response</w:t>
            </w:r>
          </w:p>
        </w:tc>
        <w:tc>
          <w:tcPr>
            <w:tcW w:w="474" w:type="pct"/>
          </w:tcPr>
          <w:p w14:paraId="0A39509A"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53</w:t>
            </w:r>
          </w:p>
        </w:tc>
        <w:tc>
          <w:tcPr>
            <w:tcW w:w="668" w:type="pct"/>
          </w:tcPr>
          <w:p w14:paraId="53D5D88B"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0</w:t>
            </w:r>
          </w:p>
        </w:tc>
        <w:tc>
          <w:tcPr>
            <w:tcW w:w="608" w:type="pct"/>
          </w:tcPr>
          <w:p w14:paraId="4DE139F7"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0</w:t>
            </w:r>
          </w:p>
        </w:tc>
        <w:tc>
          <w:tcPr>
            <w:tcW w:w="608" w:type="pct"/>
          </w:tcPr>
          <w:p w14:paraId="5479A108"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0</w:t>
            </w:r>
          </w:p>
        </w:tc>
        <w:tc>
          <w:tcPr>
            <w:tcW w:w="655" w:type="pct"/>
          </w:tcPr>
          <w:p w14:paraId="592383C0"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0</w:t>
            </w:r>
          </w:p>
        </w:tc>
        <w:tc>
          <w:tcPr>
            <w:tcW w:w="654" w:type="pct"/>
          </w:tcPr>
          <w:p w14:paraId="42824068"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0</w:t>
            </w:r>
          </w:p>
        </w:tc>
        <w:tc>
          <w:tcPr>
            <w:tcW w:w="756" w:type="pct"/>
          </w:tcPr>
          <w:p w14:paraId="19ED9F97"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0</w:t>
            </w:r>
          </w:p>
        </w:tc>
      </w:tr>
      <w:tr w:rsidR="00114C73" w:rsidRPr="00114C73" w14:paraId="584F5897" w14:textId="77777777" w:rsidTr="005244AB">
        <w:trPr>
          <w:cantSplit/>
          <w:trHeight w:val="482"/>
        </w:trPr>
        <w:tc>
          <w:tcPr>
            <w:tcW w:w="577" w:type="pct"/>
          </w:tcPr>
          <w:p w14:paraId="1FE04F1D" w14:textId="77777777" w:rsidR="00114C73" w:rsidRPr="00114C73" w:rsidRDefault="00114C73" w:rsidP="00114C73">
            <w:pPr>
              <w:widowControl/>
              <w:autoSpaceDE/>
              <w:autoSpaceDN/>
              <w:adjustRightInd/>
              <w:rPr>
                <w:rFonts w:eastAsia="Calibri"/>
                <w:sz w:val="26"/>
                <w:szCs w:val="20"/>
              </w:rPr>
            </w:pPr>
            <w:r w:rsidRPr="00114C73">
              <w:rPr>
                <w:rFonts w:eastAsia="Calibri"/>
                <w:sz w:val="26"/>
                <w:szCs w:val="20"/>
              </w:rPr>
              <w:t>Case for no change</w:t>
            </w:r>
          </w:p>
        </w:tc>
        <w:tc>
          <w:tcPr>
            <w:tcW w:w="474" w:type="pct"/>
          </w:tcPr>
          <w:p w14:paraId="7B47D64F"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64</w:t>
            </w:r>
          </w:p>
        </w:tc>
        <w:tc>
          <w:tcPr>
            <w:tcW w:w="668" w:type="pct"/>
          </w:tcPr>
          <w:p w14:paraId="0DF59F8B"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08" w:type="pct"/>
          </w:tcPr>
          <w:p w14:paraId="22F6614D"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64</w:t>
            </w:r>
          </w:p>
        </w:tc>
        <w:tc>
          <w:tcPr>
            <w:tcW w:w="608" w:type="pct"/>
          </w:tcPr>
          <w:p w14:paraId="60FF9D97"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5 hrs.</w:t>
            </w:r>
          </w:p>
        </w:tc>
        <w:tc>
          <w:tcPr>
            <w:tcW w:w="655" w:type="pct"/>
          </w:tcPr>
          <w:p w14:paraId="494D82CC"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$399</w:t>
            </w:r>
          </w:p>
          <w:p w14:paraId="3D9F96E3" w14:textId="77777777" w:rsidR="00114C73" w:rsidRPr="00114C73" w:rsidRDefault="00114C73" w:rsidP="00114C73">
            <w:pPr>
              <w:widowControl/>
              <w:autoSpaceDE/>
              <w:autoSpaceDN/>
              <w:adjustRightInd/>
              <w:jc w:val="right"/>
              <w:rPr>
                <w:rFonts w:eastAsia="Calibri"/>
                <w:sz w:val="26"/>
                <w:szCs w:val="20"/>
              </w:rPr>
            </w:pPr>
          </w:p>
        </w:tc>
        <w:tc>
          <w:tcPr>
            <w:tcW w:w="654" w:type="pct"/>
          </w:tcPr>
          <w:p w14:paraId="2E6C66F2"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320 hrs.</w:t>
            </w:r>
          </w:p>
        </w:tc>
        <w:tc>
          <w:tcPr>
            <w:tcW w:w="756" w:type="pct"/>
          </w:tcPr>
          <w:p w14:paraId="0FB61BA6"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$25,526</w:t>
            </w:r>
          </w:p>
        </w:tc>
      </w:tr>
      <w:tr w:rsidR="00114C73" w:rsidRPr="00114C73" w14:paraId="067F0AF6" w14:textId="77777777" w:rsidTr="005244AB">
        <w:trPr>
          <w:cantSplit/>
          <w:trHeight w:val="509"/>
        </w:trPr>
        <w:tc>
          <w:tcPr>
            <w:tcW w:w="577" w:type="pct"/>
          </w:tcPr>
          <w:p w14:paraId="770675EA" w14:textId="77777777" w:rsidR="00114C73" w:rsidRPr="00114C73" w:rsidRDefault="00114C73" w:rsidP="00114C73">
            <w:pPr>
              <w:widowControl/>
              <w:autoSpaceDE/>
              <w:autoSpaceDN/>
              <w:adjustRightInd/>
              <w:rPr>
                <w:rFonts w:eastAsia="Calibri"/>
                <w:sz w:val="26"/>
                <w:szCs w:val="20"/>
              </w:rPr>
            </w:pPr>
            <w:r w:rsidRPr="00114C73">
              <w:rPr>
                <w:rFonts w:eastAsia="Calibri"/>
                <w:sz w:val="26"/>
                <w:szCs w:val="20"/>
              </w:rPr>
              <w:t>Limited Sec 4 filing</w:t>
            </w:r>
            <w:r w:rsidRPr="00114C73">
              <w:rPr>
                <w:rFonts w:eastAsia="Calibri"/>
                <w:b/>
                <w:sz w:val="26"/>
                <w:szCs w:val="22"/>
                <w:vertAlign w:val="superscript"/>
              </w:rPr>
              <w:footnoteReference w:id="10"/>
            </w:r>
          </w:p>
        </w:tc>
        <w:tc>
          <w:tcPr>
            <w:tcW w:w="474" w:type="pct"/>
          </w:tcPr>
          <w:p w14:paraId="4DE682C6"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15</w:t>
            </w:r>
          </w:p>
        </w:tc>
        <w:tc>
          <w:tcPr>
            <w:tcW w:w="668" w:type="pct"/>
          </w:tcPr>
          <w:p w14:paraId="1F33CE02"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08" w:type="pct"/>
          </w:tcPr>
          <w:p w14:paraId="2172E1AB"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15</w:t>
            </w:r>
          </w:p>
        </w:tc>
        <w:tc>
          <w:tcPr>
            <w:tcW w:w="608" w:type="pct"/>
          </w:tcPr>
          <w:p w14:paraId="4F4826C6"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6 hrs.</w:t>
            </w:r>
          </w:p>
        </w:tc>
        <w:tc>
          <w:tcPr>
            <w:tcW w:w="655" w:type="pct"/>
          </w:tcPr>
          <w:p w14:paraId="1E0468FA"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$479</w:t>
            </w:r>
          </w:p>
          <w:p w14:paraId="2A3BF9A4" w14:textId="77777777" w:rsidR="00114C73" w:rsidRPr="00114C73" w:rsidRDefault="00114C73" w:rsidP="00114C73">
            <w:pPr>
              <w:widowControl/>
              <w:autoSpaceDE/>
              <w:autoSpaceDN/>
              <w:adjustRightInd/>
              <w:jc w:val="right"/>
              <w:rPr>
                <w:rFonts w:eastAsia="Calibri"/>
                <w:sz w:val="26"/>
                <w:szCs w:val="20"/>
              </w:rPr>
            </w:pPr>
          </w:p>
        </w:tc>
        <w:tc>
          <w:tcPr>
            <w:tcW w:w="654" w:type="pct"/>
          </w:tcPr>
          <w:p w14:paraId="59E4D29B"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90 hrs.</w:t>
            </w:r>
          </w:p>
        </w:tc>
        <w:tc>
          <w:tcPr>
            <w:tcW w:w="756" w:type="pct"/>
          </w:tcPr>
          <w:p w14:paraId="3A706FD5"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$7,179</w:t>
            </w:r>
          </w:p>
        </w:tc>
      </w:tr>
      <w:tr w:rsidR="00114C73" w:rsidRPr="00114C73" w14:paraId="31FE07E0" w14:textId="77777777" w:rsidTr="005244AB">
        <w:trPr>
          <w:cantSplit/>
          <w:trHeight w:val="509"/>
        </w:trPr>
        <w:tc>
          <w:tcPr>
            <w:tcW w:w="577" w:type="pct"/>
          </w:tcPr>
          <w:p w14:paraId="52D424E8" w14:textId="77777777" w:rsidR="00114C73" w:rsidRPr="00114C73" w:rsidRDefault="00114C73" w:rsidP="00114C73">
            <w:pPr>
              <w:widowControl/>
              <w:autoSpaceDE/>
              <w:autoSpaceDN/>
              <w:adjustRightInd/>
              <w:rPr>
                <w:rFonts w:eastAsia="Calibri"/>
                <w:sz w:val="26"/>
                <w:szCs w:val="20"/>
              </w:rPr>
            </w:pPr>
            <w:r w:rsidRPr="00114C73">
              <w:rPr>
                <w:rFonts w:eastAsia="Calibri"/>
                <w:sz w:val="26"/>
                <w:szCs w:val="20"/>
              </w:rPr>
              <w:t>General Sec. 4 filing</w:t>
            </w:r>
            <w:r w:rsidRPr="00114C73">
              <w:rPr>
                <w:rFonts w:eastAsia="Calibri"/>
                <w:b/>
                <w:sz w:val="26"/>
                <w:szCs w:val="22"/>
                <w:vertAlign w:val="superscript"/>
              </w:rPr>
              <w:footnoteReference w:id="11"/>
            </w:r>
          </w:p>
        </w:tc>
        <w:tc>
          <w:tcPr>
            <w:tcW w:w="474" w:type="pct"/>
          </w:tcPr>
          <w:p w14:paraId="2F98B232"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68" w:type="pct"/>
          </w:tcPr>
          <w:p w14:paraId="0FF900CF"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08" w:type="pct"/>
          </w:tcPr>
          <w:p w14:paraId="5EA0B41A"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08" w:type="pct"/>
          </w:tcPr>
          <w:p w14:paraId="562A3E68"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512 hrs.</w:t>
            </w:r>
            <w:r w:rsidRPr="00114C73">
              <w:rPr>
                <w:rFonts w:eastAsia="Calibri"/>
                <w:b/>
                <w:sz w:val="26"/>
                <w:szCs w:val="22"/>
                <w:vertAlign w:val="superscript"/>
              </w:rPr>
              <w:footnoteReference w:id="12"/>
            </w:r>
          </w:p>
        </w:tc>
        <w:tc>
          <w:tcPr>
            <w:tcW w:w="655" w:type="pct"/>
          </w:tcPr>
          <w:p w14:paraId="2DA90A60"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$40,842</w:t>
            </w:r>
          </w:p>
        </w:tc>
        <w:tc>
          <w:tcPr>
            <w:tcW w:w="654" w:type="pct"/>
          </w:tcPr>
          <w:p w14:paraId="48FFE29C"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512 hrs.</w:t>
            </w:r>
          </w:p>
        </w:tc>
        <w:tc>
          <w:tcPr>
            <w:tcW w:w="756" w:type="pct"/>
          </w:tcPr>
          <w:p w14:paraId="1BA55D6E"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$40,842</w:t>
            </w:r>
          </w:p>
        </w:tc>
      </w:tr>
      <w:tr w:rsidR="00114C73" w:rsidRPr="00114C73" w14:paraId="5EE08249" w14:textId="77777777" w:rsidTr="005244AB">
        <w:trPr>
          <w:cantSplit/>
          <w:trHeight w:val="241"/>
        </w:trPr>
        <w:tc>
          <w:tcPr>
            <w:tcW w:w="5000" w:type="pct"/>
            <w:gridSpan w:val="8"/>
          </w:tcPr>
          <w:p w14:paraId="7980D7B7" w14:textId="77777777" w:rsidR="00114C73" w:rsidRPr="00114C73" w:rsidRDefault="00114C73" w:rsidP="00114C73">
            <w:pPr>
              <w:widowControl/>
              <w:autoSpaceDE/>
              <w:autoSpaceDN/>
              <w:adjustRightInd/>
              <w:jc w:val="center"/>
              <w:rPr>
                <w:rFonts w:eastAsia="Calibri"/>
                <w:b/>
                <w:sz w:val="26"/>
                <w:szCs w:val="20"/>
              </w:rPr>
            </w:pPr>
            <w:r w:rsidRPr="00114C73">
              <w:rPr>
                <w:rFonts w:eastAsia="Calibri"/>
                <w:b/>
                <w:sz w:val="26"/>
                <w:szCs w:val="20"/>
              </w:rPr>
              <w:t>NGPA section 311 and Hinshaw Pipelines with Cost-Based Rates</w:t>
            </w:r>
          </w:p>
        </w:tc>
      </w:tr>
      <w:tr w:rsidR="00114C73" w:rsidRPr="00114C73" w14:paraId="63A3C090" w14:textId="77777777" w:rsidTr="005244AB">
        <w:trPr>
          <w:cantSplit/>
          <w:trHeight w:val="241"/>
        </w:trPr>
        <w:tc>
          <w:tcPr>
            <w:tcW w:w="577" w:type="pct"/>
          </w:tcPr>
          <w:p w14:paraId="65F31FA1" w14:textId="77777777" w:rsidR="00114C73" w:rsidRPr="00114C73" w:rsidRDefault="00114C73" w:rsidP="00114C73">
            <w:pPr>
              <w:widowControl/>
              <w:autoSpaceDE/>
              <w:autoSpaceDN/>
              <w:adjustRightInd/>
              <w:rPr>
                <w:rFonts w:eastAsia="Calibri"/>
                <w:sz w:val="26"/>
                <w:szCs w:val="20"/>
              </w:rPr>
            </w:pPr>
            <w:r w:rsidRPr="00114C73">
              <w:rPr>
                <w:rFonts w:eastAsia="Calibri"/>
                <w:sz w:val="26"/>
                <w:szCs w:val="20"/>
              </w:rPr>
              <w:t>NGPA rate filing</w:t>
            </w:r>
            <w:r w:rsidRPr="00114C73">
              <w:rPr>
                <w:rFonts w:eastAsia="Calibri"/>
                <w:b/>
                <w:sz w:val="26"/>
                <w:szCs w:val="22"/>
                <w:vertAlign w:val="superscript"/>
              </w:rPr>
              <w:footnoteReference w:id="13"/>
            </w:r>
          </w:p>
        </w:tc>
        <w:tc>
          <w:tcPr>
            <w:tcW w:w="474" w:type="pct"/>
          </w:tcPr>
          <w:p w14:paraId="3B116005"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15</w:t>
            </w:r>
            <w:r w:rsidRPr="00114C73">
              <w:rPr>
                <w:rFonts w:eastAsia="Calibri"/>
                <w:b/>
                <w:sz w:val="26"/>
                <w:szCs w:val="22"/>
                <w:vertAlign w:val="superscript"/>
              </w:rPr>
              <w:footnoteReference w:id="14"/>
            </w:r>
          </w:p>
        </w:tc>
        <w:tc>
          <w:tcPr>
            <w:tcW w:w="668" w:type="pct"/>
          </w:tcPr>
          <w:p w14:paraId="249D7550"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w:t>
            </w:r>
          </w:p>
        </w:tc>
        <w:tc>
          <w:tcPr>
            <w:tcW w:w="608" w:type="pct"/>
          </w:tcPr>
          <w:p w14:paraId="47AA3B34"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15</w:t>
            </w:r>
          </w:p>
        </w:tc>
        <w:tc>
          <w:tcPr>
            <w:tcW w:w="608" w:type="pct"/>
          </w:tcPr>
          <w:p w14:paraId="68AE1C1F"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24 hrs.</w:t>
            </w:r>
          </w:p>
        </w:tc>
        <w:tc>
          <w:tcPr>
            <w:tcW w:w="655" w:type="pct"/>
          </w:tcPr>
          <w:p w14:paraId="7A79B01E"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$1,914</w:t>
            </w:r>
          </w:p>
        </w:tc>
        <w:tc>
          <w:tcPr>
            <w:tcW w:w="654" w:type="pct"/>
          </w:tcPr>
          <w:p w14:paraId="29666D74"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360 hrs.</w:t>
            </w:r>
          </w:p>
        </w:tc>
        <w:tc>
          <w:tcPr>
            <w:tcW w:w="756" w:type="pct"/>
          </w:tcPr>
          <w:p w14:paraId="5981CD09" w14:textId="77777777" w:rsidR="00114C73" w:rsidRPr="00114C73" w:rsidRDefault="00114C73" w:rsidP="00114C73">
            <w:pPr>
              <w:widowControl/>
              <w:autoSpaceDE/>
              <w:autoSpaceDN/>
              <w:adjustRightInd/>
              <w:jc w:val="right"/>
              <w:rPr>
                <w:rFonts w:eastAsia="Calibri"/>
                <w:sz w:val="26"/>
                <w:szCs w:val="20"/>
              </w:rPr>
            </w:pPr>
            <w:r w:rsidRPr="00114C73">
              <w:rPr>
                <w:rFonts w:eastAsia="Calibri"/>
                <w:sz w:val="26"/>
                <w:szCs w:val="20"/>
              </w:rPr>
              <w:t>$28,717</w:t>
            </w:r>
          </w:p>
        </w:tc>
      </w:tr>
      <w:tr w:rsidR="00114C73" w:rsidRPr="00114C73" w14:paraId="77F6ABEF" w14:textId="77777777" w:rsidTr="00114C73">
        <w:trPr>
          <w:cantSplit/>
          <w:trHeight w:val="541"/>
        </w:trPr>
        <w:tc>
          <w:tcPr>
            <w:tcW w:w="577" w:type="pct"/>
            <w:tcBorders>
              <w:bottom w:val="single" w:sz="4" w:space="0" w:color="auto"/>
            </w:tcBorders>
          </w:tcPr>
          <w:p w14:paraId="1C1F3C8A" w14:textId="77777777" w:rsidR="00114C73" w:rsidRPr="00114C73" w:rsidRDefault="00114C73" w:rsidP="00114C73">
            <w:pPr>
              <w:widowControl/>
              <w:autoSpaceDE/>
              <w:autoSpaceDN/>
              <w:adjustRightInd/>
              <w:rPr>
                <w:rFonts w:eastAsia="Calibri"/>
                <w:b/>
                <w:sz w:val="26"/>
                <w:szCs w:val="20"/>
              </w:rPr>
            </w:pPr>
            <w:r w:rsidRPr="00114C73">
              <w:rPr>
                <w:rFonts w:eastAsia="Calibri"/>
                <w:b/>
                <w:sz w:val="26"/>
                <w:szCs w:val="20"/>
              </w:rPr>
              <w:t>TOTAL</w:t>
            </w:r>
          </w:p>
        </w:tc>
        <w:tc>
          <w:tcPr>
            <w:tcW w:w="474" w:type="pct"/>
            <w:tcBorders>
              <w:bottom w:val="single" w:sz="4" w:space="0" w:color="auto"/>
            </w:tcBorders>
            <w:shd w:val="clear" w:color="auto" w:fill="auto"/>
          </w:tcPr>
          <w:p w14:paraId="75624702" w14:textId="77777777" w:rsidR="00114C73" w:rsidRPr="00114C73" w:rsidRDefault="00114C73" w:rsidP="00114C73">
            <w:pPr>
              <w:widowControl/>
              <w:autoSpaceDE/>
              <w:autoSpaceDN/>
              <w:adjustRightInd/>
              <w:jc w:val="right"/>
              <w:rPr>
                <w:rFonts w:eastAsia="Calibri"/>
                <w:sz w:val="26"/>
                <w:szCs w:val="20"/>
              </w:rPr>
            </w:pPr>
            <w:r w:rsidRPr="00114C73">
              <w:rPr>
                <w:rFonts w:eastAsia="Calibri"/>
                <w:b/>
                <w:sz w:val="26"/>
                <w:szCs w:val="20"/>
              </w:rPr>
              <w:t>148</w:t>
            </w:r>
            <w:r w:rsidRPr="00114C73">
              <w:rPr>
                <w:rFonts w:eastAsia="Calibri"/>
                <w:b/>
                <w:sz w:val="26"/>
                <w:szCs w:val="22"/>
                <w:vertAlign w:val="superscript"/>
              </w:rPr>
              <w:footnoteReference w:id="15"/>
            </w:r>
            <w:r w:rsidRPr="00114C73">
              <w:rPr>
                <w:rFonts w:eastAsia="Calibri"/>
                <w:sz w:val="26"/>
                <w:szCs w:val="20"/>
              </w:rPr>
              <w:t xml:space="preserve"> </w:t>
            </w:r>
          </w:p>
        </w:tc>
        <w:tc>
          <w:tcPr>
            <w:tcW w:w="668" w:type="pct"/>
            <w:tcBorders>
              <w:bottom w:val="single" w:sz="4" w:space="0" w:color="auto"/>
            </w:tcBorders>
            <w:shd w:val="clear" w:color="auto" w:fill="D9D9D9"/>
          </w:tcPr>
          <w:p w14:paraId="564AFF80" w14:textId="77777777" w:rsidR="00114C73" w:rsidRPr="00114C73" w:rsidRDefault="00114C73" w:rsidP="00114C73">
            <w:pPr>
              <w:widowControl/>
              <w:autoSpaceDE/>
              <w:autoSpaceDN/>
              <w:adjustRightInd/>
              <w:jc w:val="right"/>
              <w:rPr>
                <w:rFonts w:eastAsia="Calibri"/>
                <w:sz w:val="26"/>
                <w:szCs w:val="20"/>
              </w:rPr>
            </w:pPr>
            <w:r w:rsidRPr="00114C73">
              <w:rPr>
                <w:rFonts w:eastAsia="Calibri"/>
                <w:color w:val="D9D9D9"/>
                <w:sz w:val="26"/>
                <w:szCs w:val="20"/>
                <w:highlight w:val="lightGray"/>
              </w:rPr>
              <w:t xml:space="preserve">  </w:t>
            </w:r>
          </w:p>
          <w:p w14:paraId="1638C15F" w14:textId="77777777" w:rsidR="00114C73" w:rsidRPr="00114C73" w:rsidRDefault="00114C73" w:rsidP="00114C73">
            <w:pPr>
              <w:autoSpaceDE/>
              <w:autoSpaceDN/>
              <w:adjustRightInd/>
              <w:rPr>
                <w:rFonts w:eastAsia="Calibri"/>
                <w:sz w:val="26"/>
                <w:szCs w:val="20"/>
              </w:rPr>
            </w:pPr>
          </w:p>
        </w:tc>
        <w:tc>
          <w:tcPr>
            <w:tcW w:w="608" w:type="pct"/>
            <w:tcBorders>
              <w:bottom w:val="single" w:sz="4" w:space="0" w:color="auto"/>
            </w:tcBorders>
          </w:tcPr>
          <w:p w14:paraId="1A5F1442" w14:textId="77777777" w:rsidR="00114C73" w:rsidRPr="00114C73" w:rsidRDefault="00114C73" w:rsidP="00114C73">
            <w:pPr>
              <w:widowControl/>
              <w:autoSpaceDE/>
              <w:autoSpaceDN/>
              <w:adjustRightInd/>
              <w:jc w:val="right"/>
              <w:rPr>
                <w:rFonts w:eastAsia="Calibri"/>
                <w:b/>
                <w:sz w:val="26"/>
                <w:szCs w:val="20"/>
              </w:rPr>
            </w:pPr>
            <w:r w:rsidRPr="00114C73">
              <w:rPr>
                <w:rFonts w:eastAsia="Calibri"/>
                <w:b/>
                <w:sz w:val="26"/>
                <w:szCs w:val="20"/>
              </w:rPr>
              <w:t>228</w:t>
            </w:r>
          </w:p>
        </w:tc>
        <w:tc>
          <w:tcPr>
            <w:tcW w:w="608" w:type="pct"/>
            <w:tcBorders>
              <w:bottom w:val="single" w:sz="4" w:space="0" w:color="auto"/>
            </w:tcBorders>
            <w:shd w:val="clear" w:color="auto" w:fill="D9D9D9"/>
          </w:tcPr>
          <w:p w14:paraId="4C98EB09" w14:textId="77777777" w:rsidR="00114C73" w:rsidRPr="00114C73" w:rsidRDefault="00114C73" w:rsidP="00114C73">
            <w:pPr>
              <w:widowControl/>
              <w:autoSpaceDE/>
              <w:autoSpaceDN/>
              <w:adjustRightInd/>
              <w:jc w:val="right"/>
              <w:rPr>
                <w:rFonts w:eastAsia="Calibri"/>
                <w:sz w:val="26"/>
                <w:szCs w:val="20"/>
                <w:highlight w:val="lightGray"/>
              </w:rPr>
            </w:pPr>
            <w:r w:rsidRPr="00114C73">
              <w:rPr>
                <w:rFonts w:eastAsia="Calibri"/>
                <w:sz w:val="26"/>
                <w:szCs w:val="20"/>
                <w:highlight w:val="lightGray"/>
              </w:rPr>
              <w:t xml:space="preserve">  </w:t>
            </w:r>
          </w:p>
        </w:tc>
        <w:tc>
          <w:tcPr>
            <w:tcW w:w="655" w:type="pct"/>
            <w:tcBorders>
              <w:bottom w:val="single" w:sz="4" w:space="0" w:color="auto"/>
            </w:tcBorders>
            <w:shd w:val="clear" w:color="auto" w:fill="D9D9D9"/>
          </w:tcPr>
          <w:p w14:paraId="217DA7EA" w14:textId="77777777" w:rsidR="00114C73" w:rsidRPr="00114C73" w:rsidRDefault="00114C73" w:rsidP="00114C73">
            <w:pPr>
              <w:widowControl/>
              <w:autoSpaceDE/>
              <w:autoSpaceDN/>
              <w:adjustRightInd/>
              <w:rPr>
                <w:rFonts w:eastAsia="Calibri"/>
                <w:sz w:val="26"/>
                <w:szCs w:val="20"/>
                <w:highlight w:val="lightGray"/>
              </w:rPr>
            </w:pPr>
          </w:p>
        </w:tc>
        <w:tc>
          <w:tcPr>
            <w:tcW w:w="654" w:type="pct"/>
            <w:tcBorders>
              <w:bottom w:val="single" w:sz="4" w:space="0" w:color="auto"/>
            </w:tcBorders>
          </w:tcPr>
          <w:p w14:paraId="6C9F8835" w14:textId="77777777" w:rsidR="00114C73" w:rsidRPr="00114C73" w:rsidRDefault="00114C73" w:rsidP="00114C73">
            <w:pPr>
              <w:widowControl/>
              <w:autoSpaceDE/>
              <w:autoSpaceDN/>
              <w:adjustRightInd/>
              <w:jc w:val="right"/>
              <w:rPr>
                <w:rFonts w:eastAsia="Calibri"/>
                <w:b/>
                <w:sz w:val="26"/>
                <w:szCs w:val="20"/>
              </w:rPr>
            </w:pPr>
            <w:r w:rsidRPr="00114C73">
              <w:rPr>
                <w:rFonts w:eastAsia="Calibri"/>
                <w:b/>
                <w:sz w:val="26"/>
                <w:szCs w:val="20"/>
              </w:rPr>
              <w:t>2,479 hrs.</w:t>
            </w:r>
          </w:p>
        </w:tc>
        <w:tc>
          <w:tcPr>
            <w:tcW w:w="756" w:type="pct"/>
            <w:tcBorders>
              <w:bottom w:val="single" w:sz="4" w:space="0" w:color="auto"/>
            </w:tcBorders>
            <w:shd w:val="clear" w:color="auto" w:fill="auto"/>
          </w:tcPr>
          <w:p w14:paraId="3F394F0B" w14:textId="77777777" w:rsidR="00114C73" w:rsidRPr="00114C73" w:rsidRDefault="00114C73" w:rsidP="00114C73">
            <w:pPr>
              <w:widowControl/>
              <w:autoSpaceDE/>
              <w:autoSpaceDN/>
              <w:adjustRightInd/>
              <w:jc w:val="right"/>
              <w:rPr>
                <w:rFonts w:eastAsia="Calibri"/>
                <w:b/>
                <w:sz w:val="26"/>
                <w:szCs w:val="20"/>
              </w:rPr>
            </w:pPr>
            <w:r w:rsidRPr="00114C73">
              <w:rPr>
                <w:rFonts w:eastAsia="Calibri"/>
                <w:b/>
                <w:sz w:val="26"/>
                <w:szCs w:val="20"/>
              </w:rPr>
              <w:t>$197,749</w:t>
            </w:r>
          </w:p>
          <w:p w14:paraId="149A2128" w14:textId="77777777" w:rsidR="00114C73" w:rsidRPr="00114C73" w:rsidRDefault="00114C73" w:rsidP="00114C73">
            <w:pPr>
              <w:widowControl/>
              <w:autoSpaceDE/>
              <w:autoSpaceDN/>
              <w:adjustRightInd/>
              <w:jc w:val="center"/>
              <w:rPr>
                <w:rFonts w:eastAsia="Calibri"/>
                <w:b/>
                <w:sz w:val="26"/>
                <w:szCs w:val="20"/>
              </w:rPr>
            </w:pPr>
          </w:p>
        </w:tc>
      </w:tr>
    </w:tbl>
    <w:p w14:paraId="5F49374E" w14:textId="01160A37" w:rsidR="00114C73" w:rsidRDefault="00114C73" w:rsidP="00BB6095">
      <w:pPr>
        <w:widowControl/>
      </w:pPr>
    </w:p>
    <w:p w14:paraId="2F739B35" w14:textId="77777777" w:rsidR="00114C73" w:rsidRPr="00FA0A2C" w:rsidRDefault="00114C73" w:rsidP="00BB6095">
      <w:pPr>
        <w:widowControl/>
      </w:pPr>
    </w:p>
    <w:p w14:paraId="13BF2A57" w14:textId="77777777" w:rsidR="009D6B6D" w:rsidRPr="00FA0A2C" w:rsidRDefault="00BB6095" w:rsidP="001D2EC1">
      <w:pPr>
        <w:pStyle w:val="FERCparanumber"/>
        <w:numPr>
          <w:ilvl w:val="0"/>
          <w:numId w:val="7"/>
        </w:numPr>
        <w:rPr>
          <w:sz w:val="24"/>
        </w:rPr>
      </w:pPr>
      <w:r w:rsidRPr="00FA0A2C">
        <w:rPr>
          <w:b/>
          <w:sz w:val="24"/>
        </w:rPr>
        <w:t>ESTIMATE OF THE TOTAL ANNUAL COST BURDEN TO RESPONDENTS</w:t>
      </w:r>
    </w:p>
    <w:p w14:paraId="66EA95A9" w14:textId="77777777" w:rsidR="005A12A4" w:rsidRPr="00FA0A2C" w:rsidRDefault="005A12A4" w:rsidP="00432DA3">
      <w:pPr>
        <w:widowControl/>
        <w:rPr>
          <w:b/>
        </w:rPr>
      </w:pPr>
    </w:p>
    <w:p w14:paraId="59B261CD" w14:textId="075889F4" w:rsidR="00114C73" w:rsidRDefault="005A12A4" w:rsidP="00432DA3">
      <w:pPr>
        <w:widowControl/>
      </w:pPr>
      <w:r w:rsidRPr="00FA0A2C">
        <w:t>FERC</w:t>
      </w:r>
      <w:r w:rsidR="00B25560" w:rsidRPr="00FA0A2C">
        <w:t>-501</w:t>
      </w:r>
      <w:r w:rsidRPr="00FA0A2C">
        <w:t>G is a</w:t>
      </w:r>
      <w:r w:rsidRPr="00FA0A2C">
        <w:rPr>
          <w:b/>
        </w:rPr>
        <w:t xml:space="preserve"> </w:t>
      </w:r>
      <w:r w:rsidRPr="00FA0A2C">
        <w:t>one</w:t>
      </w:r>
      <w:r w:rsidR="003F28DF" w:rsidRPr="00FA0A2C">
        <w:t>-</w:t>
      </w:r>
      <w:r w:rsidRPr="00FA0A2C">
        <w:t>time report</w:t>
      </w:r>
      <w:r w:rsidR="00FB340C" w:rsidRPr="00FA0A2C">
        <w:t xml:space="preserve"> with no continuing reporting obligation</w:t>
      </w:r>
      <w:r w:rsidRPr="00FA0A2C">
        <w:t xml:space="preserve">.  </w:t>
      </w:r>
      <w:r w:rsidR="00114C73">
        <w:t>The cost</w:t>
      </w:r>
      <w:r w:rsidR="00481E67">
        <w:t>s</w:t>
      </w:r>
      <w:r w:rsidR="00114C73">
        <w:t xml:space="preserve"> related to burden hours are discussed in Questions 12 and 15.</w:t>
      </w:r>
    </w:p>
    <w:p w14:paraId="71942717" w14:textId="77777777" w:rsidR="00114C73" w:rsidRDefault="00114C73" w:rsidP="00432DA3">
      <w:pPr>
        <w:widowControl/>
      </w:pPr>
    </w:p>
    <w:p w14:paraId="48CF3DB8" w14:textId="574E2DAE" w:rsidR="00B57C4E" w:rsidRPr="00FA0A2C" w:rsidRDefault="00432DA3" w:rsidP="00432DA3">
      <w:pPr>
        <w:widowControl/>
      </w:pPr>
      <w:r w:rsidRPr="00FA0A2C">
        <w:t>The</w:t>
      </w:r>
      <w:r w:rsidR="0086178E" w:rsidRPr="00FA0A2C">
        <w:t xml:space="preserve"> Report and any tariff filing option that a</w:t>
      </w:r>
      <w:r w:rsidR="00114C73">
        <w:t>n</w:t>
      </w:r>
      <w:r w:rsidR="0086178E" w:rsidRPr="00FA0A2C">
        <w:t xml:space="preserve"> NGA natural gas company may choose or a</w:t>
      </w:r>
      <w:r w:rsidR="00481E67">
        <w:t>n</w:t>
      </w:r>
      <w:r w:rsidR="0086178E" w:rsidRPr="00FA0A2C">
        <w:t xml:space="preserve"> NGPA pipeline company may be required to </w:t>
      </w:r>
      <w:r w:rsidR="000D0DBC" w:rsidRPr="00FA0A2C">
        <w:t>file must</w:t>
      </w:r>
      <w:r w:rsidR="0086178E" w:rsidRPr="00FA0A2C">
        <w:t xml:space="preserve"> be filed using the Commission’s eTariff filing format.  This format requires the use of software that all respondents currently have or purchase on a per-use basis.  For companies that do not have their own software and must contract </w:t>
      </w:r>
      <w:r w:rsidR="00C12269" w:rsidRPr="00FA0A2C">
        <w:t>for the service, the Commission estimates a cost of $300 per filing</w:t>
      </w:r>
      <w:r w:rsidRPr="00FA0A2C">
        <w:t xml:space="preserve">. </w:t>
      </w:r>
      <w:r w:rsidR="005A12A4" w:rsidRPr="00FA0A2C">
        <w:t xml:space="preserve"> </w:t>
      </w:r>
      <w:r w:rsidR="00B57C4E" w:rsidRPr="00FA0A2C">
        <w:t xml:space="preserve">We estimate approximately </w:t>
      </w:r>
      <w:r w:rsidR="00802162" w:rsidRPr="00FA0A2C">
        <w:t xml:space="preserve">40 of the </w:t>
      </w:r>
      <w:r w:rsidR="00BE178E" w:rsidRPr="00FA0A2C">
        <w:t xml:space="preserve">NGA and NGPA pipeline company </w:t>
      </w:r>
      <w:r w:rsidR="00802162" w:rsidRPr="00FA0A2C">
        <w:t xml:space="preserve">respondents </w:t>
      </w:r>
      <w:r w:rsidR="001E7C7F">
        <w:t xml:space="preserve">will </w:t>
      </w:r>
      <w:r w:rsidR="00802162" w:rsidRPr="00FA0A2C">
        <w:t xml:space="preserve">contract </w:t>
      </w:r>
      <w:r w:rsidR="001E7C7F">
        <w:t xml:space="preserve">for </w:t>
      </w:r>
      <w:r w:rsidR="00802162" w:rsidRPr="00FA0A2C">
        <w:t>eTariff filing services at an estimated total cost of $12,000.</w:t>
      </w:r>
    </w:p>
    <w:p w14:paraId="274AA47D" w14:textId="77777777" w:rsidR="00B57C4E" w:rsidRPr="00FA0A2C" w:rsidRDefault="00B57C4E" w:rsidP="00432DA3">
      <w:pPr>
        <w:widowControl/>
      </w:pPr>
    </w:p>
    <w:p w14:paraId="421B1190" w14:textId="0E378012" w:rsidR="00432DA3" w:rsidRPr="00FA0A2C" w:rsidRDefault="00432DA3" w:rsidP="00432DA3">
      <w:pPr>
        <w:widowControl/>
      </w:pPr>
      <w:r w:rsidRPr="00FA0A2C">
        <w:t xml:space="preserve">All </w:t>
      </w:r>
      <w:r w:rsidR="00B57C4E" w:rsidRPr="00FA0A2C">
        <w:t xml:space="preserve">other </w:t>
      </w:r>
      <w:r w:rsidRPr="00FA0A2C">
        <w:t xml:space="preserve">costs are related to burden hours </w:t>
      </w:r>
      <w:r w:rsidR="00FB340C" w:rsidRPr="00FA0A2C">
        <w:t>a</w:t>
      </w:r>
      <w:r w:rsidRPr="00FA0A2C">
        <w:t>re addressed in Question</w:t>
      </w:r>
      <w:r w:rsidR="00B57C4E" w:rsidRPr="00FA0A2C">
        <w:t>s</w:t>
      </w:r>
      <w:r w:rsidRPr="00FA0A2C">
        <w:t xml:space="preserve"> #12</w:t>
      </w:r>
      <w:r w:rsidR="00B57C4E" w:rsidRPr="00FA0A2C">
        <w:t xml:space="preserve"> and 15</w:t>
      </w:r>
      <w:r w:rsidRPr="00FA0A2C">
        <w:t>.</w:t>
      </w:r>
    </w:p>
    <w:p w14:paraId="237DA0EC" w14:textId="77777777" w:rsidR="00EF40FF" w:rsidRPr="00FA0A2C" w:rsidRDefault="00EF40FF" w:rsidP="00EF40FF">
      <w:pPr>
        <w:pStyle w:val="FERCparanumber"/>
        <w:numPr>
          <w:ilvl w:val="0"/>
          <w:numId w:val="0"/>
        </w:numPr>
        <w:rPr>
          <w:sz w:val="24"/>
        </w:rPr>
      </w:pPr>
    </w:p>
    <w:p w14:paraId="25934EE2" w14:textId="77777777" w:rsidR="00EF40FF" w:rsidRPr="00FA0A2C" w:rsidRDefault="00EF40FF" w:rsidP="001D2EC1">
      <w:pPr>
        <w:pStyle w:val="FERCparanumber"/>
        <w:numPr>
          <w:ilvl w:val="0"/>
          <w:numId w:val="7"/>
        </w:numPr>
        <w:rPr>
          <w:b/>
          <w:sz w:val="24"/>
        </w:rPr>
      </w:pPr>
      <w:r w:rsidRPr="00FA0A2C">
        <w:rPr>
          <w:b/>
          <w:sz w:val="24"/>
        </w:rPr>
        <w:t>ESTIMATED ANNUALIZED COST TO FEDERAL GOVERNMENT</w:t>
      </w:r>
    </w:p>
    <w:p w14:paraId="1F460314" w14:textId="77777777" w:rsidR="00EF40FF" w:rsidRPr="00FA0A2C" w:rsidRDefault="00EF40FF" w:rsidP="00EF40FF">
      <w:pPr>
        <w:pStyle w:val="FERCparanumber"/>
        <w:numPr>
          <w:ilvl w:val="0"/>
          <w:numId w:val="0"/>
        </w:numPr>
        <w:rPr>
          <w:b/>
          <w:sz w:val="24"/>
        </w:rPr>
      </w:pPr>
    </w:p>
    <w:p w14:paraId="46745624" w14:textId="77777777" w:rsidR="00690817" w:rsidRPr="00FA0A2C" w:rsidRDefault="00690817" w:rsidP="00690817">
      <w:r w:rsidRPr="00FA0A2C">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14:paraId="508D3CD0" w14:textId="77777777" w:rsidR="00690817" w:rsidRPr="00FA0A2C" w:rsidRDefault="00690817" w:rsidP="00690817"/>
    <w:p w14:paraId="1EFC4FC7" w14:textId="77777777" w:rsidR="00690817" w:rsidRDefault="00690817" w:rsidP="00690817">
      <w:r w:rsidRPr="00FA0A2C">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23840369" w14:textId="77777777" w:rsidR="00481E67" w:rsidRPr="00FA0A2C" w:rsidRDefault="00481E67" w:rsidP="006908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EF40FF" w:rsidRPr="00FA0A2C" w14:paraId="6C55F3AE" w14:textId="77777777" w:rsidTr="00D97B44">
        <w:tc>
          <w:tcPr>
            <w:tcW w:w="1756" w:type="pct"/>
            <w:shd w:val="clear" w:color="auto" w:fill="D9D9D9"/>
            <w:vAlign w:val="center"/>
          </w:tcPr>
          <w:p w14:paraId="420D71F3" w14:textId="77777777" w:rsidR="00EF40FF" w:rsidRPr="00FA0A2C"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FA0A2C" w:rsidRDefault="00EF40FF" w:rsidP="00D97B44">
            <w:pPr>
              <w:pStyle w:val="ListParagraph"/>
              <w:spacing w:after="0" w:line="240" w:lineRule="auto"/>
              <w:ind w:left="0"/>
              <w:jc w:val="center"/>
              <w:rPr>
                <w:rFonts w:ascii="Times New Roman" w:hAnsi="Times New Roman"/>
                <w:b/>
                <w:sz w:val="24"/>
                <w:szCs w:val="24"/>
              </w:rPr>
            </w:pPr>
            <w:r w:rsidRPr="00FA0A2C">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FA0A2C" w:rsidRDefault="00EF40FF" w:rsidP="00D97B44">
            <w:pPr>
              <w:pStyle w:val="ListParagraph"/>
              <w:spacing w:after="0" w:line="240" w:lineRule="auto"/>
              <w:ind w:left="0"/>
              <w:jc w:val="center"/>
              <w:rPr>
                <w:rFonts w:ascii="Times New Roman" w:hAnsi="Times New Roman"/>
                <w:b/>
                <w:sz w:val="24"/>
                <w:szCs w:val="24"/>
              </w:rPr>
            </w:pPr>
            <w:r w:rsidRPr="00FA0A2C">
              <w:rPr>
                <w:rFonts w:ascii="Times New Roman" w:hAnsi="Times New Roman"/>
                <w:b/>
                <w:sz w:val="24"/>
                <w:szCs w:val="24"/>
              </w:rPr>
              <w:t>Estimated Annual Federal Cost</w:t>
            </w:r>
          </w:p>
        </w:tc>
      </w:tr>
      <w:tr w:rsidR="00EF40FF" w:rsidRPr="00FA0A2C" w14:paraId="73366A6A" w14:textId="77777777" w:rsidTr="00D97B44">
        <w:tc>
          <w:tcPr>
            <w:tcW w:w="1756" w:type="pct"/>
            <w:shd w:val="clear" w:color="auto" w:fill="auto"/>
            <w:vAlign w:val="center"/>
          </w:tcPr>
          <w:p w14:paraId="38725E63" w14:textId="77777777" w:rsidR="00EF40FF" w:rsidRPr="00FA0A2C" w:rsidRDefault="00EF40FF" w:rsidP="00D97B44">
            <w:pPr>
              <w:pStyle w:val="ListParagraph"/>
              <w:spacing w:after="0" w:line="240" w:lineRule="auto"/>
              <w:ind w:left="0"/>
              <w:rPr>
                <w:rFonts w:ascii="Times New Roman" w:hAnsi="Times New Roman"/>
                <w:sz w:val="24"/>
                <w:szCs w:val="24"/>
              </w:rPr>
            </w:pPr>
            <w:r w:rsidRPr="00FA0A2C">
              <w:rPr>
                <w:rFonts w:ascii="Times New Roman" w:hAnsi="Times New Roman"/>
                <w:sz w:val="24"/>
                <w:szCs w:val="24"/>
              </w:rPr>
              <w:t>Analysis and Processing of Filings</w:t>
            </w:r>
            <w:r w:rsidRPr="00FA0A2C">
              <w:rPr>
                <w:rStyle w:val="FootnoteReference"/>
                <w:rFonts w:ascii="Times New Roman" w:hAnsi="Times New Roman"/>
                <w:sz w:val="24"/>
                <w:szCs w:val="24"/>
                <w:vertAlign w:val="superscript"/>
              </w:rPr>
              <w:footnoteReference w:id="16"/>
            </w:r>
          </w:p>
        </w:tc>
        <w:tc>
          <w:tcPr>
            <w:tcW w:w="1627" w:type="pct"/>
            <w:shd w:val="clear" w:color="auto" w:fill="auto"/>
            <w:vAlign w:val="center"/>
          </w:tcPr>
          <w:p w14:paraId="169BBF54" w14:textId="5CF77AA9" w:rsidR="00EF40FF" w:rsidRPr="00FA0A2C" w:rsidRDefault="001F322F" w:rsidP="00D97B44">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2.5</w:t>
            </w:r>
          </w:p>
        </w:tc>
        <w:tc>
          <w:tcPr>
            <w:tcW w:w="1617" w:type="pct"/>
            <w:shd w:val="clear" w:color="auto" w:fill="auto"/>
            <w:vAlign w:val="center"/>
          </w:tcPr>
          <w:p w14:paraId="7007B84E" w14:textId="7A36A0F5" w:rsidR="00EF40FF" w:rsidRPr="00FA0A2C" w:rsidRDefault="006B0369">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w:t>
            </w:r>
            <w:r w:rsidR="00690817" w:rsidRPr="00FA0A2C">
              <w:rPr>
                <w:rFonts w:ascii="Times New Roman" w:hAnsi="Times New Roman"/>
                <w:sz w:val="24"/>
                <w:szCs w:val="24"/>
              </w:rPr>
              <w:t>396,885</w:t>
            </w:r>
          </w:p>
        </w:tc>
      </w:tr>
      <w:tr w:rsidR="00EF40FF" w:rsidRPr="00FA0A2C" w14:paraId="7009D51E" w14:textId="77777777" w:rsidTr="00D97B44">
        <w:tc>
          <w:tcPr>
            <w:tcW w:w="1756" w:type="pct"/>
            <w:shd w:val="clear" w:color="auto" w:fill="auto"/>
            <w:vAlign w:val="center"/>
          </w:tcPr>
          <w:p w14:paraId="099D5BDF" w14:textId="6C70786A" w:rsidR="00EF40FF" w:rsidRPr="00FA0A2C" w:rsidRDefault="00EF40FF">
            <w:pPr>
              <w:pStyle w:val="ListParagraph"/>
              <w:spacing w:after="0" w:line="240" w:lineRule="auto"/>
              <w:ind w:left="0"/>
              <w:rPr>
                <w:rFonts w:ascii="Times New Roman" w:hAnsi="Times New Roman"/>
                <w:sz w:val="24"/>
                <w:szCs w:val="24"/>
              </w:rPr>
            </w:pPr>
            <w:r w:rsidRPr="00FA0A2C">
              <w:rPr>
                <w:rFonts w:ascii="Times New Roman" w:hAnsi="Times New Roman"/>
                <w:sz w:val="24"/>
                <w:szCs w:val="24"/>
              </w:rPr>
              <w:t>PRA</w:t>
            </w:r>
            <w:r w:rsidRPr="00FA0A2C">
              <w:rPr>
                <w:rStyle w:val="FootnoteReference"/>
                <w:rFonts w:ascii="Times New Roman" w:hAnsi="Times New Roman"/>
                <w:sz w:val="24"/>
                <w:szCs w:val="24"/>
                <w:vertAlign w:val="superscript"/>
              </w:rPr>
              <w:footnoteReference w:id="17"/>
            </w:r>
            <w:r w:rsidRPr="00FA0A2C">
              <w:rPr>
                <w:rFonts w:ascii="Times New Roman" w:hAnsi="Times New Roman"/>
                <w:sz w:val="24"/>
                <w:szCs w:val="24"/>
              </w:rPr>
              <w:t xml:space="preserve"> Administrative Cost</w:t>
            </w:r>
          </w:p>
        </w:tc>
        <w:tc>
          <w:tcPr>
            <w:tcW w:w="1627" w:type="pct"/>
            <w:shd w:val="clear" w:color="auto" w:fill="D9D9D9"/>
            <w:vAlign w:val="center"/>
          </w:tcPr>
          <w:p w14:paraId="74DA3B1F" w14:textId="77777777" w:rsidR="00EF40FF" w:rsidRPr="00FA0A2C"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31C86EDF" w:rsidR="00EF40FF" w:rsidRPr="00FA0A2C" w:rsidRDefault="006441AD">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w:t>
            </w:r>
            <w:r w:rsidR="00690817" w:rsidRPr="00FA0A2C">
              <w:rPr>
                <w:rFonts w:ascii="Times New Roman" w:hAnsi="Times New Roman"/>
                <w:sz w:val="24"/>
                <w:szCs w:val="24"/>
              </w:rPr>
              <w:t>5,723</w:t>
            </w:r>
          </w:p>
        </w:tc>
      </w:tr>
      <w:tr w:rsidR="00EF40FF" w:rsidRPr="00FA0A2C" w14:paraId="0A5B5FA9" w14:textId="77777777" w:rsidTr="00D97B44">
        <w:tc>
          <w:tcPr>
            <w:tcW w:w="1756" w:type="pct"/>
            <w:shd w:val="clear" w:color="auto" w:fill="auto"/>
            <w:vAlign w:val="center"/>
          </w:tcPr>
          <w:p w14:paraId="4441CC05" w14:textId="77777777" w:rsidR="00EF40FF" w:rsidRPr="00FA0A2C" w:rsidRDefault="00EF40FF" w:rsidP="00D97B44">
            <w:pPr>
              <w:pStyle w:val="ListParagraph"/>
              <w:spacing w:after="0" w:line="240" w:lineRule="auto"/>
              <w:ind w:left="0"/>
              <w:rPr>
                <w:rFonts w:ascii="Times New Roman" w:hAnsi="Times New Roman"/>
                <w:sz w:val="24"/>
                <w:szCs w:val="24"/>
              </w:rPr>
            </w:pPr>
            <w:r w:rsidRPr="00FA0A2C">
              <w:rPr>
                <w:rFonts w:ascii="Times New Roman" w:hAnsi="Times New Roman"/>
                <w:sz w:val="24"/>
                <w:szCs w:val="24"/>
              </w:rPr>
              <w:t>FERC Total</w:t>
            </w:r>
          </w:p>
        </w:tc>
        <w:tc>
          <w:tcPr>
            <w:tcW w:w="1627" w:type="pct"/>
            <w:shd w:val="clear" w:color="auto" w:fill="D9D9D9"/>
            <w:vAlign w:val="center"/>
          </w:tcPr>
          <w:p w14:paraId="2B3CB9DA" w14:textId="77777777" w:rsidR="00EF40FF" w:rsidRPr="00FA0A2C"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71523E4B" w:rsidR="001F322F" w:rsidRPr="00FA0A2C" w:rsidRDefault="006441AD">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w:t>
            </w:r>
            <w:r w:rsidR="00690817" w:rsidRPr="00FA0A2C">
              <w:rPr>
                <w:rFonts w:ascii="Times New Roman" w:hAnsi="Times New Roman"/>
                <w:sz w:val="24"/>
                <w:szCs w:val="24"/>
              </w:rPr>
              <w:t>402,608</w:t>
            </w:r>
          </w:p>
        </w:tc>
      </w:tr>
    </w:tbl>
    <w:p w14:paraId="6E71933C" w14:textId="4498AC25" w:rsidR="00EF40FF" w:rsidRPr="00FA0A2C" w:rsidRDefault="00EF40FF" w:rsidP="00EF40FF">
      <w:pPr>
        <w:pStyle w:val="ListParagraph"/>
        <w:spacing w:after="0" w:line="240" w:lineRule="auto"/>
        <w:rPr>
          <w:rFonts w:ascii="Times New Roman" w:hAnsi="Times New Roman"/>
          <w:b/>
          <w:sz w:val="24"/>
          <w:szCs w:val="24"/>
        </w:rPr>
      </w:pPr>
    </w:p>
    <w:p w14:paraId="7086245E" w14:textId="77777777" w:rsidR="00EF40FF" w:rsidRPr="00FA0A2C" w:rsidRDefault="00EF40FF" w:rsidP="00EF40FF">
      <w:pPr>
        <w:pStyle w:val="FERCparanumber"/>
        <w:numPr>
          <w:ilvl w:val="0"/>
          <w:numId w:val="0"/>
        </w:numPr>
        <w:rPr>
          <w:b/>
          <w:sz w:val="24"/>
        </w:rPr>
      </w:pPr>
    </w:p>
    <w:p w14:paraId="652E2E2C" w14:textId="77777777" w:rsidR="00EF40FF" w:rsidRPr="00FA0A2C" w:rsidRDefault="00EF40FF" w:rsidP="001D2EC1">
      <w:pPr>
        <w:pStyle w:val="FERCparanumber"/>
        <w:numPr>
          <w:ilvl w:val="0"/>
          <w:numId w:val="7"/>
        </w:numPr>
        <w:rPr>
          <w:b/>
          <w:sz w:val="24"/>
        </w:rPr>
      </w:pPr>
      <w:r w:rsidRPr="00FA0A2C">
        <w:rPr>
          <w:b/>
          <w:sz w:val="24"/>
        </w:rPr>
        <w:t>REASONS FOR CHANGES IN BURDEN INCLUDING THE NEED FOR ANY INCREASE</w:t>
      </w:r>
    </w:p>
    <w:p w14:paraId="37AE29EC" w14:textId="77777777" w:rsidR="00EF40FF" w:rsidRPr="00FA0A2C" w:rsidRDefault="00EF40FF" w:rsidP="00EF40FF">
      <w:pPr>
        <w:pStyle w:val="FERCparanumber"/>
        <w:numPr>
          <w:ilvl w:val="0"/>
          <w:numId w:val="0"/>
        </w:numPr>
        <w:rPr>
          <w:b/>
          <w:sz w:val="24"/>
        </w:rPr>
      </w:pPr>
    </w:p>
    <w:p w14:paraId="21B0BF2E" w14:textId="77777777" w:rsidR="00815E46" w:rsidRDefault="00815E46" w:rsidP="005A12A4">
      <w:r>
        <w:t>The</w:t>
      </w:r>
      <w:r w:rsidR="00481E67">
        <w:t xml:space="preserve"> NOPR</w:t>
      </w:r>
      <w:r>
        <w:t xml:space="preserve"> says in part [footnotes omitted]:</w:t>
      </w:r>
    </w:p>
    <w:p w14:paraId="6878CE67" w14:textId="14A2F93E" w:rsidR="00481E67" w:rsidRDefault="00481E67" w:rsidP="005A12A4">
      <w:r>
        <w:t xml:space="preserve"> </w:t>
      </w:r>
    </w:p>
    <w:p w14:paraId="39B8E818" w14:textId="0B0ED86E" w:rsidR="00481E67" w:rsidRDefault="00481E67" w:rsidP="00A63E6C">
      <w:pPr>
        <w:ind w:left="720"/>
      </w:pPr>
      <w:r>
        <w:t>“[t]</w:t>
      </w:r>
      <w:r w:rsidRPr="00481E67">
        <w:t>he Federal Energy Regulatory Commission is proposing a process that will allow it to determine which jurisdictional natural gas pipelines may be collecting unjust and unreasonable rates in light of the recent reduction in the corporate income tax rate in the Tax Cuts and Jobs Act and changes to the Commission’s income tax allowance policies following the United Airlines, Inc. v. FERC decision.</w:t>
      </w:r>
      <w:r>
        <w:t>”</w:t>
      </w:r>
    </w:p>
    <w:p w14:paraId="19025F4D" w14:textId="436C82F3" w:rsidR="00481E67" w:rsidRDefault="00F0088B" w:rsidP="00A63E6C">
      <w:pPr>
        <w:ind w:left="720"/>
      </w:pPr>
      <w:r>
        <w:t>….</w:t>
      </w:r>
    </w:p>
    <w:p w14:paraId="6FBAE7A9" w14:textId="490BDDBB" w:rsidR="00481E67" w:rsidRDefault="00F0088B" w:rsidP="00A63E6C">
      <w:pPr>
        <w:ind w:left="720"/>
      </w:pPr>
      <w:r>
        <w:t>“</w:t>
      </w:r>
      <w:r w:rsidR="00481E67" w:rsidRPr="00596D8F">
        <w:t xml:space="preserve">On December 22, 2017, the President signed the Tax Cuts and Jobs Act.  The </w:t>
      </w:r>
      <w:r w:rsidR="00481E67">
        <w:br/>
      </w:r>
      <w:r w:rsidR="00481E67" w:rsidRPr="00596D8F">
        <w:t xml:space="preserve">Tax Cuts and Jobs Act, among other things, lowers the </w:t>
      </w:r>
      <w:r w:rsidR="00481E67">
        <w:t>f</w:t>
      </w:r>
      <w:r w:rsidR="00481E67" w:rsidRPr="00596D8F">
        <w:t xml:space="preserve">ederal corporate income tax rate from 35 percent to 21 percent, effective January 1, 2018. </w:t>
      </w:r>
      <w:r w:rsidRPr="00F0088B">
        <w:t xml:space="preserve"> This means that, beginning January 1, 2018, companies subject to the Commission’s jurisdiction will compute income taxes owed to the IRS based on a 21 percent tax rate.  The tax rate reduction will result in less corporate income tax expense going forward.</w:t>
      </w:r>
      <w:r w:rsidR="00481E67" w:rsidRPr="00596D8F">
        <w:t xml:space="preserve"> </w:t>
      </w:r>
    </w:p>
    <w:p w14:paraId="57D44464" w14:textId="77777777" w:rsidR="00815E46" w:rsidRDefault="00815E46" w:rsidP="00A63E6C">
      <w:pPr>
        <w:ind w:left="720"/>
      </w:pPr>
    </w:p>
    <w:p w14:paraId="10AF60EF" w14:textId="055091F7" w:rsidR="00F0088B" w:rsidRDefault="00F0088B" w:rsidP="00A63E6C">
      <w:pPr>
        <w:ind w:left="720"/>
      </w:pPr>
      <w:r w:rsidRPr="00F0088B">
        <w:t xml:space="preserve">The tax rate reduction will also result in a reduction in accumulated deferred income taxes (ADIT) on the books of rate-regulated companies.  The amount of the reduction to ADIT that was collected from customers but is no longer payable to the IRS is excess ADIT and should be flowed back to ratepayers under general ratemaking principles. </w:t>
      </w:r>
      <w:r>
        <w:t>“</w:t>
      </w:r>
      <w:r w:rsidRPr="00F0088B">
        <w:t xml:space="preserve"> </w:t>
      </w:r>
    </w:p>
    <w:p w14:paraId="24414E7C" w14:textId="77777777" w:rsidR="00481E67" w:rsidRDefault="00481E67" w:rsidP="005A12A4"/>
    <w:p w14:paraId="06192D7C" w14:textId="6D3B625F" w:rsidR="00545B62" w:rsidRPr="00FA0A2C" w:rsidRDefault="00F0088B" w:rsidP="005A12A4">
      <w:r>
        <w:t>The p</w:t>
      </w:r>
      <w:r w:rsidR="005A12A4" w:rsidRPr="00FA0A2C">
        <w:t xml:space="preserve">roposed </w:t>
      </w:r>
      <w:r w:rsidR="00815E46">
        <w:t xml:space="preserve">new </w:t>
      </w:r>
      <w:r w:rsidR="005A12A4" w:rsidRPr="00FA0A2C">
        <w:t>FERC</w:t>
      </w:r>
      <w:r w:rsidR="00B25560" w:rsidRPr="00FA0A2C">
        <w:t>-501</w:t>
      </w:r>
      <w:r w:rsidR="005A12A4" w:rsidRPr="00FA0A2C">
        <w:t xml:space="preserve">G </w:t>
      </w:r>
      <w:r>
        <w:t xml:space="preserve">is an information collection designed to provide the data to </w:t>
      </w:r>
      <w:r w:rsidR="00815E46">
        <w:t>ensure</w:t>
      </w:r>
      <w:r>
        <w:t xml:space="preserve"> </w:t>
      </w:r>
      <w:r w:rsidR="00815E46">
        <w:t xml:space="preserve">natural gas pipeline </w:t>
      </w:r>
      <w:r>
        <w:t>rates are just and reasonable</w:t>
      </w:r>
      <w:r w:rsidR="00815E46">
        <w:t>.  FERC-501G</w:t>
      </w:r>
      <w:r>
        <w:t xml:space="preserve"> </w:t>
      </w:r>
      <w:r w:rsidR="005A12A4" w:rsidRPr="00FA0A2C">
        <w:t>is a one</w:t>
      </w:r>
      <w:r w:rsidR="003F28DF" w:rsidRPr="00FA0A2C">
        <w:t>-</w:t>
      </w:r>
      <w:r w:rsidR="005A12A4" w:rsidRPr="00FA0A2C">
        <w:t>time report</w:t>
      </w:r>
      <w:r w:rsidR="00FB340C" w:rsidRPr="00FA0A2C">
        <w:t xml:space="preserve"> </w:t>
      </w:r>
      <w:r w:rsidR="007C6265">
        <w:t xml:space="preserve">(for which the various components are detailed in Question 12) </w:t>
      </w:r>
      <w:r w:rsidR="00FB340C" w:rsidRPr="00FA0A2C">
        <w:t>with no continuing reporting requirement</w:t>
      </w:r>
      <w:r w:rsidR="005A12A4" w:rsidRPr="00FA0A2C">
        <w:t xml:space="preserve">.  </w:t>
      </w:r>
    </w:p>
    <w:p w14:paraId="14FA71C0" w14:textId="77777777" w:rsidR="005A12A4" w:rsidRPr="00FA0A2C" w:rsidRDefault="005A12A4" w:rsidP="005A12A4"/>
    <w:p w14:paraId="0EF2A067" w14:textId="7B433D75" w:rsidR="00545B62" w:rsidRPr="00FA0A2C" w:rsidRDefault="00545B62" w:rsidP="00545B62">
      <w:r w:rsidRPr="00FA0A2C">
        <w:t>The following table shows the total burden of the collection of information.  The format, labels, and definitions of the table follow the ROCIS submission system’s “Information Collection Request Summary of Burden” for the metadata.</w:t>
      </w:r>
    </w:p>
    <w:p w14:paraId="0D00454B" w14:textId="1A39C183" w:rsidR="00EF40FF" w:rsidRPr="00FA0A2C" w:rsidRDefault="00EF40FF" w:rsidP="00EF40FF">
      <w:pPr>
        <w:widowControl/>
        <w:tabs>
          <w:tab w:val="left" w:pos="2394"/>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EF40FF" w:rsidRPr="00FA0A2C" w14:paraId="46C4A5B4" w14:textId="77777777" w:rsidTr="00D97B44">
        <w:trPr>
          <w:trHeight w:val="870"/>
        </w:trPr>
        <w:tc>
          <w:tcPr>
            <w:tcW w:w="1442" w:type="pct"/>
            <w:shd w:val="clear" w:color="auto" w:fill="D9D9D9"/>
            <w:vAlign w:val="bottom"/>
          </w:tcPr>
          <w:p w14:paraId="5E6F18B9" w14:textId="6F0B2D66" w:rsidR="00EF40FF" w:rsidRPr="00FA0A2C" w:rsidRDefault="006441AD" w:rsidP="00FB340C">
            <w:pPr>
              <w:jc w:val="center"/>
              <w:rPr>
                <w:b/>
              </w:rPr>
            </w:pPr>
            <w:r w:rsidRPr="00FA0A2C">
              <w:rPr>
                <w:b/>
              </w:rPr>
              <w:t>FERC-</w:t>
            </w:r>
            <w:r w:rsidR="00FB340C" w:rsidRPr="00FA0A2C">
              <w:rPr>
                <w:b/>
              </w:rPr>
              <w:t>501G</w:t>
            </w:r>
          </w:p>
        </w:tc>
        <w:tc>
          <w:tcPr>
            <w:tcW w:w="829" w:type="pct"/>
            <w:shd w:val="clear" w:color="auto" w:fill="D9D9D9"/>
            <w:vAlign w:val="bottom"/>
          </w:tcPr>
          <w:p w14:paraId="6714602C" w14:textId="77777777" w:rsidR="00EF40FF" w:rsidRPr="00FA0A2C" w:rsidRDefault="00EF40FF" w:rsidP="00D97B44">
            <w:pPr>
              <w:jc w:val="center"/>
              <w:rPr>
                <w:b/>
              </w:rPr>
            </w:pPr>
            <w:r w:rsidRPr="00FA0A2C">
              <w:rPr>
                <w:b/>
              </w:rPr>
              <w:t>Total Request</w:t>
            </w:r>
          </w:p>
        </w:tc>
        <w:tc>
          <w:tcPr>
            <w:tcW w:w="854" w:type="pct"/>
            <w:shd w:val="clear" w:color="auto" w:fill="D9D9D9"/>
            <w:vAlign w:val="bottom"/>
          </w:tcPr>
          <w:p w14:paraId="13BA7890" w14:textId="77777777" w:rsidR="00EF40FF" w:rsidRPr="00FA0A2C" w:rsidRDefault="00EF40FF" w:rsidP="00D97B44">
            <w:pPr>
              <w:jc w:val="center"/>
              <w:rPr>
                <w:b/>
              </w:rPr>
            </w:pPr>
            <w:r w:rsidRPr="00FA0A2C">
              <w:rPr>
                <w:b/>
              </w:rPr>
              <w:t>Previously Approved</w:t>
            </w:r>
          </w:p>
        </w:tc>
        <w:tc>
          <w:tcPr>
            <w:tcW w:w="1010" w:type="pct"/>
            <w:shd w:val="clear" w:color="auto" w:fill="D9D9D9"/>
            <w:vAlign w:val="bottom"/>
          </w:tcPr>
          <w:p w14:paraId="73AFFA76" w14:textId="222D9681" w:rsidR="00EF40FF" w:rsidRPr="00FA0A2C" w:rsidRDefault="00EF40FF" w:rsidP="00D97B44">
            <w:pPr>
              <w:jc w:val="center"/>
              <w:rPr>
                <w:b/>
              </w:rPr>
            </w:pPr>
            <w:r w:rsidRPr="00FA0A2C">
              <w:rPr>
                <w:b/>
              </w:rPr>
              <w:t xml:space="preserve">Change due to Adjustment in </w:t>
            </w:r>
            <w:r w:rsidR="001C2E7F" w:rsidRPr="00FA0A2C">
              <w:rPr>
                <w:b/>
              </w:rPr>
              <w:t xml:space="preserve">Agency </w:t>
            </w:r>
            <w:r w:rsidRPr="00FA0A2C">
              <w:rPr>
                <w:b/>
              </w:rPr>
              <w:t>Estimate</w:t>
            </w:r>
          </w:p>
        </w:tc>
        <w:tc>
          <w:tcPr>
            <w:tcW w:w="865" w:type="pct"/>
            <w:shd w:val="clear" w:color="auto" w:fill="D9D9D9"/>
            <w:vAlign w:val="bottom"/>
          </w:tcPr>
          <w:p w14:paraId="41286C04" w14:textId="62B18A9C" w:rsidR="00EF40FF" w:rsidRPr="00FA0A2C" w:rsidRDefault="001C2E7F" w:rsidP="00D707AE">
            <w:pPr>
              <w:jc w:val="center"/>
              <w:rPr>
                <w:b/>
              </w:rPr>
            </w:pPr>
            <w:r w:rsidRPr="00FA0A2C">
              <w:rPr>
                <w:b/>
              </w:rPr>
              <w:t xml:space="preserve">Program </w:t>
            </w:r>
            <w:r w:rsidR="00EF40FF" w:rsidRPr="00FA0A2C">
              <w:rPr>
                <w:b/>
              </w:rPr>
              <w:t xml:space="preserve">Change Due to </w:t>
            </w:r>
            <w:r w:rsidR="00D707AE">
              <w:rPr>
                <w:b/>
              </w:rPr>
              <w:t>New Statute</w:t>
            </w:r>
          </w:p>
        </w:tc>
      </w:tr>
      <w:tr w:rsidR="00EF40FF" w:rsidRPr="00FA0A2C" w14:paraId="17214C13" w14:textId="77777777" w:rsidTr="00D97B44">
        <w:trPr>
          <w:trHeight w:val="591"/>
        </w:trPr>
        <w:tc>
          <w:tcPr>
            <w:tcW w:w="1442" w:type="pct"/>
            <w:shd w:val="clear" w:color="auto" w:fill="auto"/>
          </w:tcPr>
          <w:p w14:paraId="0115B27A" w14:textId="77777777" w:rsidR="00EF40FF" w:rsidRPr="00FA0A2C" w:rsidRDefault="00EF40FF" w:rsidP="00D97B44">
            <w:pPr>
              <w:jc w:val="center"/>
            </w:pPr>
            <w:r w:rsidRPr="00FA0A2C">
              <w:t>Annual Number of Responses</w:t>
            </w:r>
          </w:p>
        </w:tc>
        <w:tc>
          <w:tcPr>
            <w:tcW w:w="829" w:type="pct"/>
            <w:shd w:val="clear" w:color="auto" w:fill="auto"/>
            <w:vAlign w:val="center"/>
          </w:tcPr>
          <w:p w14:paraId="386C9BC2" w14:textId="30228DDA" w:rsidR="00EF40FF" w:rsidRPr="00FA0A2C" w:rsidRDefault="001C2E7F" w:rsidP="00D707AE">
            <w:pPr>
              <w:jc w:val="right"/>
            </w:pPr>
            <w:r w:rsidRPr="00FA0A2C">
              <w:t>2</w:t>
            </w:r>
            <w:r w:rsidR="00D707AE">
              <w:t>28</w:t>
            </w:r>
          </w:p>
        </w:tc>
        <w:tc>
          <w:tcPr>
            <w:tcW w:w="854" w:type="pct"/>
            <w:shd w:val="clear" w:color="auto" w:fill="auto"/>
            <w:vAlign w:val="center"/>
          </w:tcPr>
          <w:p w14:paraId="39A0261D" w14:textId="3D88D27B" w:rsidR="00EF40FF" w:rsidRPr="00FA0A2C" w:rsidRDefault="001C2E7F" w:rsidP="00D97B44">
            <w:pPr>
              <w:jc w:val="right"/>
            </w:pPr>
            <w:r w:rsidRPr="00FA0A2C">
              <w:t>0</w:t>
            </w:r>
          </w:p>
        </w:tc>
        <w:tc>
          <w:tcPr>
            <w:tcW w:w="1010" w:type="pct"/>
            <w:shd w:val="clear" w:color="auto" w:fill="auto"/>
            <w:vAlign w:val="center"/>
          </w:tcPr>
          <w:p w14:paraId="4FE2F429" w14:textId="49F39B8B" w:rsidR="00EF40FF" w:rsidRPr="00FA0A2C" w:rsidRDefault="001C2E7F" w:rsidP="00D97B44">
            <w:pPr>
              <w:jc w:val="right"/>
            </w:pPr>
            <w:r w:rsidRPr="00FA0A2C">
              <w:t>0</w:t>
            </w:r>
          </w:p>
        </w:tc>
        <w:tc>
          <w:tcPr>
            <w:tcW w:w="865" w:type="pct"/>
            <w:shd w:val="clear" w:color="auto" w:fill="auto"/>
            <w:vAlign w:val="center"/>
          </w:tcPr>
          <w:p w14:paraId="50BDA9A0" w14:textId="19380645" w:rsidR="00EF40FF" w:rsidRPr="00FA0A2C" w:rsidRDefault="001C2E7F" w:rsidP="00D707AE">
            <w:pPr>
              <w:jc w:val="right"/>
            </w:pPr>
            <w:r w:rsidRPr="00FA0A2C">
              <w:t>+</w:t>
            </w:r>
            <w:r w:rsidR="00D707AE">
              <w:t>228</w:t>
            </w:r>
          </w:p>
        </w:tc>
      </w:tr>
      <w:tr w:rsidR="00EF40FF" w:rsidRPr="00FA0A2C" w14:paraId="7258AFC0" w14:textId="77777777" w:rsidTr="00D97B44">
        <w:trPr>
          <w:trHeight w:val="575"/>
        </w:trPr>
        <w:tc>
          <w:tcPr>
            <w:tcW w:w="1442" w:type="pct"/>
            <w:shd w:val="clear" w:color="auto" w:fill="auto"/>
          </w:tcPr>
          <w:p w14:paraId="73702C6C" w14:textId="77777777" w:rsidR="00EF40FF" w:rsidRPr="00FA0A2C" w:rsidRDefault="00EF40FF" w:rsidP="00D97B44">
            <w:pPr>
              <w:jc w:val="center"/>
            </w:pPr>
            <w:r w:rsidRPr="00FA0A2C">
              <w:t>Annual Time Burden (Hours)</w:t>
            </w:r>
          </w:p>
        </w:tc>
        <w:tc>
          <w:tcPr>
            <w:tcW w:w="829" w:type="pct"/>
            <w:shd w:val="clear" w:color="auto" w:fill="auto"/>
            <w:vAlign w:val="center"/>
          </w:tcPr>
          <w:p w14:paraId="31651BEE" w14:textId="758EC9C2" w:rsidR="00EF40FF" w:rsidRPr="00FA0A2C" w:rsidRDefault="001C2E7F" w:rsidP="00D707AE">
            <w:pPr>
              <w:jc w:val="right"/>
            </w:pPr>
            <w:r w:rsidRPr="00FA0A2C">
              <w:t>2,4</w:t>
            </w:r>
            <w:r w:rsidR="00D707AE">
              <w:t>79</w:t>
            </w:r>
          </w:p>
        </w:tc>
        <w:tc>
          <w:tcPr>
            <w:tcW w:w="854" w:type="pct"/>
            <w:shd w:val="clear" w:color="auto" w:fill="auto"/>
            <w:vAlign w:val="center"/>
          </w:tcPr>
          <w:p w14:paraId="0EED3422" w14:textId="15817F10" w:rsidR="00EF40FF" w:rsidRPr="00FA0A2C" w:rsidRDefault="001C2E7F" w:rsidP="00D97B44">
            <w:pPr>
              <w:jc w:val="right"/>
            </w:pPr>
            <w:r w:rsidRPr="00FA0A2C">
              <w:t>0</w:t>
            </w:r>
          </w:p>
        </w:tc>
        <w:tc>
          <w:tcPr>
            <w:tcW w:w="1010" w:type="pct"/>
            <w:shd w:val="clear" w:color="auto" w:fill="auto"/>
            <w:vAlign w:val="center"/>
          </w:tcPr>
          <w:p w14:paraId="3CF5B872" w14:textId="186FA638" w:rsidR="00EF40FF" w:rsidRPr="00FA0A2C" w:rsidRDefault="001C2E7F">
            <w:pPr>
              <w:jc w:val="right"/>
            </w:pPr>
            <w:r w:rsidRPr="00FA0A2C">
              <w:t>0</w:t>
            </w:r>
          </w:p>
        </w:tc>
        <w:tc>
          <w:tcPr>
            <w:tcW w:w="865" w:type="pct"/>
            <w:shd w:val="clear" w:color="auto" w:fill="auto"/>
            <w:vAlign w:val="center"/>
          </w:tcPr>
          <w:p w14:paraId="39B1BAD1" w14:textId="53EDF83D" w:rsidR="00EF40FF" w:rsidRPr="00FA0A2C" w:rsidRDefault="001C2E7F" w:rsidP="00D707AE">
            <w:pPr>
              <w:jc w:val="right"/>
            </w:pPr>
            <w:r w:rsidRPr="00FA0A2C">
              <w:t>+2,4</w:t>
            </w:r>
            <w:r w:rsidR="00D707AE">
              <w:t>79</w:t>
            </w:r>
          </w:p>
        </w:tc>
      </w:tr>
      <w:tr w:rsidR="00EF40FF" w:rsidRPr="00FA0A2C"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FA0A2C" w:rsidRDefault="00EF40FF" w:rsidP="00D97B44">
            <w:pPr>
              <w:jc w:val="center"/>
            </w:pPr>
            <w:r w:rsidRPr="00FA0A2C">
              <w:t>Annual Cost Burden ($)</w:t>
            </w:r>
          </w:p>
        </w:tc>
        <w:tc>
          <w:tcPr>
            <w:tcW w:w="829" w:type="pct"/>
            <w:tcBorders>
              <w:bottom w:val="single" w:sz="4" w:space="0" w:color="auto"/>
            </w:tcBorders>
            <w:shd w:val="clear" w:color="auto" w:fill="auto"/>
            <w:vAlign w:val="center"/>
          </w:tcPr>
          <w:p w14:paraId="7D67E648" w14:textId="30B9F1F3" w:rsidR="00EF40FF" w:rsidRPr="00FA0A2C" w:rsidRDefault="001C2E7F" w:rsidP="00D97B44">
            <w:pPr>
              <w:jc w:val="right"/>
            </w:pPr>
            <w:r w:rsidRPr="00FA0A2C">
              <w:t>0</w:t>
            </w:r>
          </w:p>
        </w:tc>
        <w:tc>
          <w:tcPr>
            <w:tcW w:w="854" w:type="pct"/>
            <w:tcBorders>
              <w:bottom w:val="single" w:sz="4" w:space="0" w:color="auto"/>
            </w:tcBorders>
            <w:shd w:val="clear" w:color="auto" w:fill="auto"/>
            <w:vAlign w:val="center"/>
          </w:tcPr>
          <w:p w14:paraId="15FA5A62" w14:textId="40267CC8" w:rsidR="00EF40FF" w:rsidRPr="00FA0A2C" w:rsidRDefault="001C2E7F" w:rsidP="00D97B44">
            <w:pPr>
              <w:jc w:val="right"/>
            </w:pPr>
            <w:r w:rsidRPr="00FA0A2C">
              <w:t>0</w:t>
            </w:r>
          </w:p>
        </w:tc>
        <w:tc>
          <w:tcPr>
            <w:tcW w:w="1010" w:type="pct"/>
            <w:tcBorders>
              <w:bottom w:val="single" w:sz="4" w:space="0" w:color="auto"/>
            </w:tcBorders>
            <w:shd w:val="clear" w:color="auto" w:fill="auto"/>
            <w:vAlign w:val="center"/>
          </w:tcPr>
          <w:p w14:paraId="406A2FC1" w14:textId="5542AEC0" w:rsidR="00EF40FF" w:rsidRPr="00FA0A2C" w:rsidRDefault="001C2E7F" w:rsidP="00D97B44">
            <w:pPr>
              <w:jc w:val="right"/>
            </w:pPr>
            <w:r w:rsidRPr="00FA0A2C">
              <w:t>0</w:t>
            </w:r>
          </w:p>
        </w:tc>
        <w:tc>
          <w:tcPr>
            <w:tcW w:w="865" w:type="pct"/>
            <w:tcBorders>
              <w:bottom w:val="single" w:sz="4" w:space="0" w:color="auto"/>
            </w:tcBorders>
            <w:shd w:val="clear" w:color="auto" w:fill="auto"/>
            <w:vAlign w:val="center"/>
          </w:tcPr>
          <w:p w14:paraId="44B6C3E6" w14:textId="7E0213AE" w:rsidR="00EF40FF" w:rsidRPr="00FA0A2C" w:rsidRDefault="001C2E7F" w:rsidP="00D97B44">
            <w:pPr>
              <w:jc w:val="right"/>
            </w:pPr>
            <w:r w:rsidRPr="00FA0A2C">
              <w:t>0</w:t>
            </w:r>
          </w:p>
        </w:tc>
      </w:tr>
    </w:tbl>
    <w:p w14:paraId="5E52CD2D" w14:textId="77777777" w:rsidR="00EF40FF" w:rsidRPr="00FA0A2C" w:rsidRDefault="00EF40FF" w:rsidP="00EF40FF">
      <w:pPr>
        <w:widowControl/>
        <w:rPr>
          <w:b/>
        </w:rPr>
      </w:pPr>
    </w:p>
    <w:p w14:paraId="7CD93336" w14:textId="77777777" w:rsidR="009D6B6D" w:rsidRPr="00FA0A2C" w:rsidRDefault="00EF40FF" w:rsidP="00EF40FF">
      <w:pPr>
        <w:pStyle w:val="FERCparanumber"/>
        <w:numPr>
          <w:ilvl w:val="0"/>
          <w:numId w:val="7"/>
        </w:numPr>
        <w:rPr>
          <w:b/>
          <w:sz w:val="24"/>
        </w:rPr>
      </w:pPr>
      <w:r w:rsidRPr="00FA0A2C">
        <w:rPr>
          <w:b/>
          <w:sz w:val="24"/>
        </w:rPr>
        <w:t>TIME SCHEDULE FOR PUBLICATION OF DATA</w:t>
      </w:r>
    </w:p>
    <w:p w14:paraId="338E8E30" w14:textId="77777777" w:rsidR="00EF40FF" w:rsidRPr="00FA0A2C" w:rsidRDefault="00EF40FF" w:rsidP="00EF40FF">
      <w:pPr>
        <w:pStyle w:val="FERCparanumber"/>
        <w:numPr>
          <w:ilvl w:val="0"/>
          <w:numId w:val="0"/>
        </w:numPr>
        <w:rPr>
          <w:b/>
          <w:sz w:val="24"/>
        </w:rPr>
      </w:pPr>
    </w:p>
    <w:p w14:paraId="7EF18CBE" w14:textId="12876C24" w:rsidR="00545B62" w:rsidRPr="00FA0A2C" w:rsidRDefault="00545B62" w:rsidP="00545B62">
      <w:pPr>
        <w:widowControl/>
      </w:pPr>
      <w:r w:rsidRPr="00FA0A2C">
        <w:t xml:space="preserve">The data </w:t>
      </w:r>
      <w:r w:rsidR="005909DA" w:rsidRPr="00FA0A2C">
        <w:t xml:space="preserve">are not collected for publication; the data </w:t>
      </w:r>
      <w:r w:rsidR="004C4F99" w:rsidRPr="00FA0A2C">
        <w:t xml:space="preserve">will be </w:t>
      </w:r>
      <w:r w:rsidRPr="00FA0A2C">
        <w:t>used for regulatory purposes only.</w:t>
      </w:r>
    </w:p>
    <w:p w14:paraId="13B155E7" w14:textId="77777777" w:rsidR="00EF40FF" w:rsidRPr="00FA0A2C" w:rsidRDefault="00EF40FF" w:rsidP="00EF40FF">
      <w:pPr>
        <w:pStyle w:val="FERCparanumber"/>
        <w:numPr>
          <w:ilvl w:val="0"/>
          <w:numId w:val="0"/>
        </w:numPr>
        <w:rPr>
          <w:b/>
          <w:sz w:val="24"/>
        </w:rPr>
      </w:pPr>
    </w:p>
    <w:p w14:paraId="15394295" w14:textId="77777777" w:rsidR="009D6B6D" w:rsidRPr="00FA0A2C" w:rsidRDefault="00EF40FF" w:rsidP="001D2EC1">
      <w:pPr>
        <w:pStyle w:val="FERCparanumber"/>
        <w:numPr>
          <w:ilvl w:val="0"/>
          <w:numId w:val="7"/>
        </w:numPr>
        <w:rPr>
          <w:b/>
          <w:sz w:val="24"/>
        </w:rPr>
      </w:pPr>
      <w:r w:rsidRPr="00FA0A2C">
        <w:rPr>
          <w:b/>
          <w:sz w:val="24"/>
        </w:rPr>
        <w:t>DISPLAY OF EXPIRATION DATE</w:t>
      </w:r>
    </w:p>
    <w:p w14:paraId="50BC026E" w14:textId="77777777" w:rsidR="00EF40FF" w:rsidRPr="00FA0A2C" w:rsidRDefault="00EF40FF" w:rsidP="00EF40FF">
      <w:pPr>
        <w:pStyle w:val="FERCparanumber"/>
        <w:numPr>
          <w:ilvl w:val="0"/>
          <w:numId w:val="0"/>
        </w:numPr>
        <w:rPr>
          <w:b/>
          <w:sz w:val="24"/>
        </w:rPr>
      </w:pPr>
    </w:p>
    <w:p w14:paraId="587C08CA" w14:textId="704C65DC" w:rsidR="006441AD" w:rsidRPr="00FA0A2C" w:rsidRDefault="006441AD" w:rsidP="006441AD">
      <w:r w:rsidRPr="00FA0A2C">
        <w:t xml:space="preserve">The expiration date </w:t>
      </w:r>
      <w:r w:rsidR="004C4F99" w:rsidRPr="00FA0A2C">
        <w:t xml:space="preserve">will be </w:t>
      </w:r>
      <w:r w:rsidRPr="00FA0A2C">
        <w:t xml:space="preserve">displayed in a table posted on ferc.gov at </w:t>
      </w:r>
      <w:hyperlink r:id="rId14" w:history="1">
        <w:r w:rsidRPr="00FA0A2C">
          <w:rPr>
            <w:rStyle w:val="Hyperlink"/>
          </w:rPr>
          <w:t>http://www.ferc.gov/docs-filing/info-collections.asp</w:t>
        </w:r>
      </w:hyperlink>
      <w:r w:rsidRPr="00FA0A2C">
        <w:t>.</w:t>
      </w:r>
    </w:p>
    <w:p w14:paraId="00403C61" w14:textId="77777777" w:rsidR="00EF40FF" w:rsidRPr="00FA0A2C" w:rsidRDefault="00EF40FF" w:rsidP="00EF40FF">
      <w:pPr>
        <w:pStyle w:val="FERCparanumber"/>
        <w:numPr>
          <w:ilvl w:val="0"/>
          <w:numId w:val="0"/>
        </w:numPr>
        <w:rPr>
          <w:b/>
          <w:sz w:val="24"/>
        </w:rPr>
      </w:pPr>
    </w:p>
    <w:p w14:paraId="3B590558" w14:textId="77777777" w:rsidR="00EF40FF" w:rsidRPr="00FA0A2C" w:rsidRDefault="00EF40FF" w:rsidP="00E138E1">
      <w:pPr>
        <w:widowControl/>
        <w:numPr>
          <w:ilvl w:val="0"/>
          <w:numId w:val="7"/>
        </w:numPr>
        <w:ind w:hanging="720"/>
        <w:rPr>
          <w:b/>
        </w:rPr>
      </w:pPr>
      <w:r w:rsidRPr="00FA0A2C">
        <w:rPr>
          <w:b/>
        </w:rPr>
        <w:t>EXCEPTIONS TO THE CERTIFICATION STATEMENT</w:t>
      </w:r>
    </w:p>
    <w:p w14:paraId="612ECBF9" w14:textId="77777777" w:rsidR="009D6B6D" w:rsidRPr="00FA0A2C" w:rsidRDefault="009D6B6D" w:rsidP="001D2EC1">
      <w:pPr>
        <w:widowControl/>
        <w:ind w:left="720"/>
        <w:rPr>
          <w:b/>
        </w:rPr>
      </w:pPr>
    </w:p>
    <w:p w14:paraId="5B53F0DD" w14:textId="77777777" w:rsidR="00000F54" w:rsidRPr="00FA0A2C" w:rsidRDefault="00545B62" w:rsidP="001D2EC1">
      <w:pPr>
        <w:widowControl/>
      </w:pPr>
      <w:r w:rsidRPr="00FA0A2C">
        <w:t>There are no exceptions.</w:t>
      </w:r>
    </w:p>
    <w:sectPr w:rsidR="00000F54" w:rsidRPr="00FA0A2C" w:rsidSect="00703122">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CE97F" w14:textId="77777777" w:rsidR="00A42926" w:rsidRDefault="00A42926" w:rsidP="009D6B6D">
      <w:r>
        <w:separator/>
      </w:r>
    </w:p>
  </w:endnote>
  <w:endnote w:type="continuationSeparator" w:id="0">
    <w:p w14:paraId="57371DEB" w14:textId="77777777" w:rsidR="00A42926" w:rsidRDefault="00A42926"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5A23">
          <w:rPr>
            <w:noProof/>
          </w:rPr>
          <w:t>1</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1995B" w14:textId="77777777" w:rsidR="00A42926" w:rsidRDefault="00A42926" w:rsidP="009D6B6D">
      <w:r>
        <w:separator/>
      </w:r>
    </w:p>
  </w:footnote>
  <w:footnote w:type="continuationSeparator" w:id="0">
    <w:p w14:paraId="2FB27208" w14:textId="77777777" w:rsidR="00A42926" w:rsidRDefault="00A42926" w:rsidP="009D6B6D">
      <w:r>
        <w:continuationSeparator/>
      </w:r>
    </w:p>
  </w:footnote>
  <w:footnote w:id="1">
    <w:p w14:paraId="7BD4BF74" w14:textId="77777777" w:rsidR="00E56D10" w:rsidRDefault="00E56D10" w:rsidP="00E56D10">
      <w:pPr>
        <w:pStyle w:val="FootnoteText"/>
      </w:pPr>
      <w:r w:rsidRPr="00A63E6C">
        <w:rPr>
          <w:rStyle w:val="FootnoteReference"/>
          <w:vertAlign w:val="superscript"/>
        </w:rPr>
        <w:footnoteRef/>
      </w:r>
      <w:r w:rsidRPr="00A63E6C">
        <w:rPr>
          <w:vertAlign w:val="superscript"/>
        </w:rPr>
        <w:t xml:space="preserve"> </w:t>
      </w:r>
      <w:r>
        <w:t>The following items are available on FERC.gov:</w:t>
      </w:r>
    </w:p>
    <w:p w14:paraId="2BC1BCA7" w14:textId="77777777" w:rsidR="00E56D10" w:rsidRDefault="00E56D10" w:rsidP="00E56D10">
      <w:pPr>
        <w:pStyle w:val="FootnoteText"/>
        <w:numPr>
          <w:ilvl w:val="0"/>
          <w:numId w:val="13"/>
        </w:numPr>
      </w:pPr>
      <w:r>
        <w:t xml:space="preserve">NOPR at </w:t>
      </w:r>
      <w:hyperlink r:id="rId1" w:history="1">
        <w:r w:rsidRPr="00472E00">
          <w:rPr>
            <w:rStyle w:val="Hyperlink"/>
          </w:rPr>
          <w:t>https://elibrary.ferc.gov/idmws/common/OpenNat.asp?fileID=14842252</w:t>
        </w:r>
      </w:hyperlink>
      <w:r>
        <w:t xml:space="preserve">, attached Instruction Guide at </w:t>
      </w:r>
      <w:hyperlink r:id="rId2" w:history="1">
        <w:r w:rsidRPr="00472E00">
          <w:rPr>
            <w:rStyle w:val="Hyperlink"/>
          </w:rPr>
          <w:t>https://elibrary.ferc.gov/idmws/common/OpenNat.asp?fileID=14842254</w:t>
        </w:r>
      </w:hyperlink>
      <w:r>
        <w:t xml:space="preserve">, and attached one-time form at </w:t>
      </w:r>
      <w:hyperlink r:id="rId3" w:history="1">
        <w:r w:rsidRPr="00472E00">
          <w:rPr>
            <w:rStyle w:val="Hyperlink"/>
          </w:rPr>
          <w:t>https://elibrary.ferc.gov/idmws/common/OpenNat.asp?fileID=14842253</w:t>
        </w:r>
      </w:hyperlink>
    </w:p>
    <w:p w14:paraId="426F21B8" w14:textId="77777777" w:rsidR="00E56D10" w:rsidRDefault="00E56D10" w:rsidP="00E56D10">
      <w:pPr>
        <w:pStyle w:val="FootnoteText"/>
        <w:numPr>
          <w:ilvl w:val="0"/>
          <w:numId w:val="13"/>
        </w:numPr>
      </w:pPr>
      <w:r>
        <w:t xml:space="preserve">News Release at </w:t>
      </w:r>
      <w:hyperlink r:id="rId4" w:history="1">
        <w:r w:rsidRPr="00472E00">
          <w:rPr>
            <w:rStyle w:val="Hyperlink"/>
          </w:rPr>
          <w:t>https://www.ferc.gov/media/news-releases/2018/2018-1/03-15-18-E-1.asp</w:t>
        </w:r>
      </w:hyperlink>
    </w:p>
    <w:p w14:paraId="3C6D5B86" w14:textId="77777777" w:rsidR="00E56D10" w:rsidRDefault="00E56D10" w:rsidP="00E56D10">
      <w:pPr>
        <w:pStyle w:val="FootnoteText"/>
        <w:numPr>
          <w:ilvl w:val="0"/>
          <w:numId w:val="13"/>
        </w:numPr>
      </w:pPr>
      <w:r>
        <w:t xml:space="preserve">Staff Presentation at </w:t>
      </w:r>
      <w:hyperlink r:id="rId5" w:history="1">
        <w:r w:rsidRPr="00472E00">
          <w:rPr>
            <w:rStyle w:val="Hyperlink"/>
          </w:rPr>
          <w:t>https://www.ferc.gov/industries/gas/E-1-presentation.pdf</w:t>
        </w:r>
      </w:hyperlink>
    </w:p>
    <w:p w14:paraId="4A5CE8B0" w14:textId="77777777" w:rsidR="00E56D10" w:rsidRPr="006E2E65" w:rsidRDefault="00E56D10" w:rsidP="00E56D10">
      <w:pPr>
        <w:pStyle w:val="FootnoteText"/>
        <w:numPr>
          <w:ilvl w:val="0"/>
          <w:numId w:val="13"/>
        </w:numPr>
      </w:pPr>
      <w:r>
        <w:t xml:space="preserve">Fact Sheet at </w:t>
      </w:r>
      <w:hyperlink r:id="rId6" w:history="1">
        <w:r w:rsidRPr="00472E00">
          <w:rPr>
            <w:rStyle w:val="Hyperlink"/>
          </w:rPr>
          <w:t>https://www.ferc.gov/media/news-releases/2018/2018-1/03-15-18-E-1-fact-sheet.pdf</w:t>
        </w:r>
      </w:hyperlink>
      <w:r>
        <w:t>.</w:t>
      </w:r>
    </w:p>
  </w:footnote>
  <w:footnote w:id="2">
    <w:p w14:paraId="2D4348D1" w14:textId="3235382C" w:rsidR="00192676" w:rsidRDefault="00192676">
      <w:pPr>
        <w:pStyle w:val="FootnoteText"/>
      </w:pPr>
      <w:r w:rsidRPr="00B86FA0">
        <w:rPr>
          <w:rStyle w:val="FootnoteReference"/>
          <w:vertAlign w:val="superscript"/>
        </w:rPr>
        <w:footnoteRef/>
      </w:r>
      <w:r>
        <w:t xml:space="preserve"> </w:t>
      </w:r>
      <w:r w:rsidR="00B86FA0" w:rsidRPr="00B86FA0">
        <w:t>Tax Cuts and Jobs Act, Pub. L. No. 115-97, 131 Stat. 2054 (2017).</w:t>
      </w:r>
    </w:p>
  </w:footnote>
  <w:footnote w:id="3">
    <w:p w14:paraId="43A30A99" w14:textId="558225C0" w:rsidR="00C254FD" w:rsidRPr="005D5761" w:rsidRDefault="00C254FD" w:rsidP="00C254FD">
      <w:pPr>
        <w:pStyle w:val="FootnoteText"/>
      </w:pPr>
      <w:r w:rsidRPr="005F6AB4">
        <w:rPr>
          <w:rStyle w:val="FootnoteReference"/>
          <w:vertAlign w:val="superscript"/>
        </w:rPr>
        <w:footnoteRef/>
      </w:r>
      <w:r w:rsidRPr="005F6AB4">
        <w:rPr>
          <w:vertAlign w:val="superscript"/>
        </w:rPr>
        <w:t xml:space="preserve"> </w:t>
      </w:r>
      <w:r w:rsidRPr="005D5761">
        <w:t>15 USC 717</w:t>
      </w:r>
      <w:r w:rsidR="001E7C7F">
        <w:t>c.</w:t>
      </w:r>
    </w:p>
  </w:footnote>
  <w:footnote w:id="4">
    <w:p w14:paraId="60DA78C8" w14:textId="00BCB015" w:rsidR="00C254FD" w:rsidRPr="005D5761" w:rsidRDefault="00C254FD" w:rsidP="00C254FD">
      <w:pPr>
        <w:pStyle w:val="FootnoteText"/>
      </w:pPr>
      <w:r w:rsidRPr="005F6AB4">
        <w:rPr>
          <w:rStyle w:val="FootnoteReference"/>
          <w:vertAlign w:val="superscript"/>
        </w:rPr>
        <w:footnoteRef/>
      </w:r>
      <w:r w:rsidRPr="005F6AB4">
        <w:rPr>
          <w:vertAlign w:val="superscript"/>
        </w:rPr>
        <w:t xml:space="preserve"> </w:t>
      </w:r>
      <w:r w:rsidRPr="005D5761">
        <w:t>15 USC 3372</w:t>
      </w:r>
      <w:r w:rsidR="001E7C7F">
        <w:t>.</w:t>
      </w:r>
    </w:p>
  </w:footnote>
  <w:footnote w:id="5">
    <w:p w14:paraId="46EDA688" w14:textId="56C12D05" w:rsidR="005F6ED2" w:rsidRDefault="005F6ED2" w:rsidP="005F6ED2">
      <w:pPr>
        <w:pStyle w:val="FootnoteText"/>
      </w:pPr>
      <w:r w:rsidRPr="003F28DF">
        <w:rPr>
          <w:rStyle w:val="FootnoteReference"/>
          <w:vertAlign w:val="superscript"/>
        </w:rPr>
        <w:footnoteRef/>
      </w:r>
      <w:r>
        <w:t xml:space="preserve"> Hereinafter, this will be referred to as “Report” or “</w:t>
      </w:r>
      <w:r w:rsidR="001924F3">
        <w:t xml:space="preserve">FERC </w:t>
      </w:r>
      <w:r>
        <w:t>F</w:t>
      </w:r>
      <w:r w:rsidR="00F22B6C">
        <w:t xml:space="preserve">orm No. </w:t>
      </w:r>
      <w:r>
        <w:t>501</w:t>
      </w:r>
      <w:r w:rsidR="00F22B6C">
        <w:t>-</w:t>
      </w:r>
      <w:r>
        <w:t>G.”</w:t>
      </w:r>
    </w:p>
  </w:footnote>
  <w:footnote w:id="6">
    <w:p w14:paraId="461FAF37" w14:textId="77777777" w:rsidR="009D6F98" w:rsidRDefault="009D6F98" w:rsidP="009D6F98">
      <w:pPr>
        <w:pStyle w:val="FootnoteText"/>
        <w:rPr>
          <w:sz w:val="26"/>
        </w:rPr>
      </w:pPr>
      <w:r w:rsidRPr="00FA0A2C">
        <w:rPr>
          <w:rStyle w:val="FootnoteReference"/>
          <w:vertAlign w:val="superscript"/>
        </w:rPr>
        <w:footnoteRef/>
      </w:r>
      <w:r>
        <w:t xml:space="preserve"> Section 1(c) of the NGA, 15 U.S.C. 717(c), exempts from the Commission’s NGA jurisdiction those pipelines which transport gas in interstate commerce if:  (1) they receive natural gas at or within the boundary of a state, (2) all the gas is consumed within that state, and (3) the pipeline is regulated by a state Commission.  This is known as the Hinshaw exemption.</w:t>
      </w:r>
    </w:p>
  </w:footnote>
  <w:footnote w:id="7">
    <w:p w14:paraId="22529D2D" w14:textId="52C84CD3" w:rsidR="00BD34B6" w:rsidRDefault="00BD34B6">
      <w:pPr>
        <w:pStyle w:val="FootnoteText"/>
      </w:pPr>
      <w:r>
        <w:rPr>
          <w:rStyle w:val="FootnoteReference"/>
        </w:rPr>
        <w:footnoteRef/>
      </w:r>
      <w:r>
        <w:t xml:space="preserve"> Comments filed in Docket No. RP18-415-000.</w:t>
      </w:r>
    </w:p>
  </w:footnote>
  <w:footnote w:id="8">
    <w:p w14:paraId="0689083E" w14:textId="2EA4E717" w:rsidR="00BB1C26" w:rsidRDefault="00BB1C26" w:rsidP="00BB1C26">
      <w:pPr>
        <w:pStyle w:val="FootnoteText"/>
      </w:pPr>
      <w:r w:rsidRPr="005607FC">
        <w:rPr>
          <w:rStyle w:val="FootnoteReference"/>
          <w:vertAlign w:val="superscript"/>
        </w:rPr>
        <w:footnoteRef/>
      </w:r>
      <w:r>
        <w:t xml:space="preserve"> </w:t>
      </w:r>
      <w:r w:rsidRPr="00BB1C26">
        <w:t>The estimated average hourly cost of $79.77 (rounded) assumes equal time is spent by an accountant, management, lawyer, and office and administrative support.  The average hourly cost (salary plus benefits) is: $53.00 for accountants (occupation code 13-2011), $81.52 for management (occupation code 11-0000), $143.68 for lawyers (occupation code 23-0000), and $40.89 for office and administrative support (occupation code 43-000).  (The figures are taken from the Bureau of Labor Statistics, October 2017 for the year ending May 2016, figures at http://www.bls.gov/oes/current/naics2_22.htm.)</w:t>
      </w:r>
    </w:p>
  </w:footnote>
  <w:footnote w:id="9">
    <w:p w14:paraId="4D2ED6B3" w14:textId="77777777" w:rsidR="00114C73" w:rsidRPr="00E60D54" w:rsidRDefault="00114C73" w:rsidP="00114C73">
      <w:pPr>
        <w:pStyle w:val="FootnoteText"/>
      </w:pPr>
      <w:r w:rsidRPr="00182E31">
        <w:rPr>
          <w:b/>
          <w:vertAlign w:val="superscript"/>
        </w:rPr>
        <w:footnoteRef/>
      </w:r>
      <w:r w:rsidRPr="00E60D54">
        <w:t xml:space="preserve"> 18 CFR </w:t>
      </w:r>
      <w:r>
        <w:t>260.402 (proposed).</w:t>
      </w:r>
    </w:p>
  </w:footnote>
  <w:footnote w:id="10">
    <w:p w14:paraId="18EF7A01" w14:textId="77777777" w:rsidR="00114C73" w:rsidRPr="00E60D54" w:rsidRDefault="00114C73" w:rsidP="00114C73">
      <w:pPr>
        <w:pStyle w:val="FootnoteText"/>
      </w:pPr>
      <w:r w:rsidRPr="00182E31">
        <w:rPr>
          <w:b/>
          <w:vertAlign w:val="superscript"/>
        </w:rPr>
        <w:footnoteRef/>
      </w:r>
      <w:r w:rsidRPr="00E60D54">
        <w:t xml:space="preserve"> </w:t>
      </w:r>
      <w:r>
        <w:t>18 CFR 154.404 (proposed).</w:t>
      </w:r>
    </w:p>
  </w:footnote>
  <w:footnote w:id="11">
    <w:p w14:paraId="36283E33" w14:textId="77777777" w:rsidR="00114C73" w:rsidRPr="00E60D54" w:rsidRDefault="00114C73" w:rsidP="00114C73">
      <w:pPr>
        <w:pStyle w:val="FootnoteText"/>
      </w:pPr>
      <w:r w:rsidRPr="00182E31">
        <w:rPr>
          <w:b/>
          <w:vertAlign w:val="superscript"/>
        </w:rPr>
        <w:footnoteRef/>
      </w:r>
      <w:r w:rsidRPr="00E60D54">
        <w:t xml:space="preserve"> </w:t>
      </w:r>
      <w:r>
        <w:t>18 CFR 154.312 (2017).</w:t>
      </w:r>
    </w:p>
  </w:footnote>
  <w:footnote w:id="12">
    <w:p w14:paraId="40E6E918" w14:textId="77777777" w:rsidR="00114C73" w:rsidRPr="00BD34B6" w:rsidRDefault="00114C73" w:rsidP="00114C73">
      <w:pPr>
        <w:pStyle w:val="FootnoteText"/>
      </w:pPr>
      <w:r w:rsidRPr="00182E31">
        <w:rPr>
          <w:b/>
          <w:vertAlign w:val="superscript"/>
        </w:rPr>
        <w:footnoteRef/>
      </w:r>
      <w:r w:rsidRPr="00BD34B6">
        <w:rPr>
          <w:vertAlign w:val="superscript"/>
        </w:rPr>
        <w:t xml:space="preserve"> </w:t>
      </w:r>
      <w:r w:rsidRPr="00BD34B6">
        <w:t xml:space="preserve">The estimate </w:t>
      </w:r>
      <w:r>
        <w:t>for hours is based on the estimated average hours per response</w:t>
      </w:r>
      <w:r w:rsidRPr="00F97A89">
        <w:t xml:space="preserve"> </w:t>
      </w:r>
      <w:r>
        <w:br/>
        <w:t xml:space="preserve">for the </w:t>
      </w:r>
      <w:r w:rsidRPr="00F97A89">
        <w:t>FERC-545 (OMB Control No. 1902-0154)</w:t>
      </w:r>
      <w:r>
        <w:t xml:space="preserve">, with general NGA section 4, </w:t>
      </w:r>
      <w:r>
        <w:br/>
        <w:t>18 CFR 154.312 filings weighted at a ratio of 20 to one.</w:t>
      </w:r>
    </w:p>
  </w:footnote>
  <w:footnote w:id="13">
    <w:p w14:paraId="75890AE4" w14:textId="77777777" w:rsidR="00114C73" w:rsidRPr="00E60D54" w:rsidRDefault="00114C73" w:rsidP="00114C73">
      <w:pPr>
        <w:pStyle w:val="FootnoteText"/>
      </w:pPr>
      <w:r w:rsidRPr="00182E31">
        <w:rPr>
          <w:b/>
          <w:vertAlign w:val="superscript"/>
        </w:rPr>
        <w:footnoteRef/>
      </w:r>
      <w:r w:rsidRPr="00E60D54">
        <w:t xml:space="preserve"> </w:t>
      </w:r>
      <w:r>
        <w:t>18 CFR 284.123(i) (proposed).</w:t>
      </w:r>
    </w:p>
  </w:footnote>
  <w:footnote w:id="14">
    <w:p w14:paraId="2573D07B" w14:textId="77777777" w:rsidR="00114C73" w:rsidRPr="00E60D54" w:rsidRDefault="00114C73" w:rsidP="00114C73">
      <w:pPr>
        <w:pStyle w:val="FootnoteText"/>
      </w:pPr>
      <w:r w:rsidRPr="00182E31">
        <w:rPr>
          <w:b/>
          <w:vertAlign w:val="superscript"/>
        </w:rPr>
        <w:footnoteRef/>
      </w:r>
      <w:r w:rsidRPr="00E60D54">
        <w:t xml:space="preserve"> </w:t>
      </w:r>
      <w:r>
        <w:t xml:space="preserve">Estimate of number of respondents assumes that states will act within one year to reduce NGPA section 311 and Hinshaw pipeline rates to reflect the </w:t>
      </w:r>
      <w:r w:rsidRPr="00043387">
        <w:t>Tax Cuts and Jobs Act</w:t>
      </w:r>
      <w:r>
        <w:t>.</w:t>
      </w:r>
    </w:p>
  </w:footnote>
  <w:footnote w:id="15">
    <w:p w14:paraId="6711B7B4" w14:textId="2F9A61D7" w:rsidR="00114C73" w:rsidRPr="00E60D54" w:rsidRDefault="00114C73" w:rsidP="00114C73">
      <w:pPr>
        <w:pStyle w:val="FootnoteText"/>
      </w:pPr>
      <w:r w:rsidRPr="00182E31">
        <w:rPr>
          <w:b/>
          <w:vertAlign w:val="superscript"/>
        </w:rPr>
        <w:footnoteRef/>
      </w:r>
      <w:r w:rsidRPr="00E60D54">
        <w:t xml:space="preserve"> </w:t>
      </w:r>
      <w:r w:rsidR="00314D44">
        <w:t xml:space="preserve">148 </w:t>
      </w:r>
      <w:r>
        <w:t>unique respondents = (</w:t>
      </w:r>
      <w:r w:rsidR="00314D44">
        <w:t xml:space="preserve">133 </w:t>
      </w:r>
      <w:r>
        <w:t>One-time FERC Form No. 501-G</w:t>
      </w:r>
      <w:r w:rsidR="00314D44">
        <w:t xml:space="preserve"> fil</w:t>
      </w:r>
      <w:r w:rsidR="00824A27">
        <w:t>ers</w:t>
      </w:r>
      <w:r>
        <w:t>) + (</w:t>
      </w:r>
      <w:r w:rsidR="00314D44">
        <w:t xml:space="preserve">15 </w:t>
      </w:r>
      <w:r>
        <w:t xml:space="preserve">NGPA rate </w:t>
      </w:r>
      <w:r w:rsidR="00824A27">
        <w:t>filers</w:t>
      </w:r>
      <w:r>
        <w:t xml:space="preserve">). </w:t>
      </w:r>
    </w:p>
  </w:footnote>
  <w:footnote w:id="16">
    <w:p w14:paraId="758C714B" w14:textId="151CA517" w:rsidR="00EF40FF" w:rsidRPr="00E138E1" w:rsidRDefault="00EF40FF" w:rsidP="005F6AB4">
      <w:pPr>
        <w:rPr>
          <w:sz w:val="20"/>
          <w:szCs w:val="20"/>
        </w:rPr>
      </w:pPr>
      <w:r w:rsidRPr="00E138E1">
        <w:rPr>
          <w:rStyle w:val="FootnoteReference"/>
          <w:sz w:val="20"/>
          <w:szCs w:val="20"/>
          <w:vertAlign w:val="superscript"/>
        </w:rPr>
        <w:footnoteRef/>
      </w:r>
      <w:r w:rsidR="006441AD">
        <w:rPr>
          <w:sz w:val="20"/>
          <w:szCs w:val="20"/>
        </w:rPr>
        <w:t xml:space="preserve"> </w:t>
      </w:r>
      <w:r w:rsidR="00690817" w:rsidRPr="00690817">
        <w:rPr>
          <w:sz w:val="20"/>
          <w:szCs w:val="20"/>
        </w:rPr>
        <w:t>Based upon FERC’s 2017 average annual salary plus benefits per FTE (full-time equivalent) of $158,754.</w:t>
      </w:r>
    </w:p>
  </w:footnote>
  <w:footnote w:id="17">
    <w:p w14:paraId="27E34FC5" w14:textId="77777777" w:rsidR="00EF40FF" w:rsidRPr="00E138E1" w:rsidRDefault="00EF40FF" w:rsidP="005F6AB4">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3569" w14:textId="77777777" w:rsidR="00CB6B90" w:rsidRDefault="0021208A">
    <w:pPr>
      <w:pStyle w:val="Header"/>
    </w:pPr>
    <w:r>
      <w:t>FERC-5</w:t>
    </w:r>
    <w:r w:rsidR="004B1D7A">
      <w:t>01G</w:t>
    </w:r>
    <w:r w:rsidR="00703122">
      <w:t xml:space="preserve"> (OMB </w:t>
    </w:r>
    <w:r>
      <w:t>Control No. 1902-</w:t>
    </w:r>
    <w:r w:rsidR="003905B7">
      <w:t>TBD</w:t>
    </w:r>
    <w:r w:rsidR="00703122">
      <w:t>)</w:t>
    </w:r>
    <w:r w:rsidR="00CB6B90">
      <w:t xml:space="preserve"> </w:t>
    </w:r>
  </w:p>
  <w:p w14:paraId="010828C5" w14:textId="297BFA97" w:rsidR="003A5BA7" w:rsidRPr="005607FC" w:rsidRDefault="00CB6B90">
    <w:pPr>
      <w:pStyle w:val="Header"/>
      <w:rPr>
        <w:highlight w:val="yellow"/>
      </w:rPr>
    </w:pPr>
    <w:r>
      <w:t xml:space="preserve">Proposed in NOPR </w:t>
    </w:r>
    <w:r w:rsidR="00DA0B88" w:rsidRPr="0009555E">
      <w:t>(issued 3/15/2018)</w:t>
    </w:r>
    <w:r w:rsidR="00DA0B88">
      <w:t xml:space="preserve"> </w:t>
    </w:r>
    <w:r>
      <w:t>in D</w:t>
    </w:r>
    <w:r w:rsidRPr="006E2E65">
      <w:t xml:space="preserve">ocket </w:t>
    </w:r>
    <w:r w:rsidR="00671B99">
      <w:t xml:space="preserve">No. </w:t>
    </w:r>
    <w:r w:rsidRPr="006E2E65">
      <w:t>RM18-11</w:t>
    </w:r>
    <w:r w:rsidR="00DA0B88">
      <w:t>-000</w:t>
    </w:r>
  </w:p>
  <w:p w14:paraId="24495E0E" w14:textId="0DD10173" w:rsidR="00CB6B90" w:rsidRDefault="00CB6B90">
    <w:pPr>
      <w:pStyle w:val="Header"/>
    </w:pPr>
    <w:r w:rsidRPr="00341D98">
      <w:t>RIN</w:t>
    </w:r>
    <w:r w:rsidR="00314D44">
      <w:t>:</w:t>
    </w:r>
    <w:r w:rsidRPr="00341D98">
      <w:t xml:space="preserve"> 1902-</w:t>
    </w:r>
    <w:r w:rsidR="00341D98" w:rsidRPr="00341D98">
      <w:t>AF50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A67"/>
    <w:multiLevelType w:val="hybridMultilevel"/>
    <w:tmpl w:val="6EF2AE8E"/>
    <w:lvl w:ilvl="0" w:tplc="F12A5C0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AE766A"/>
    <w:multiLevelType w:val="hybridMultilevel"/>
    <w:tmpl w:val="2DDEF808"/>
    <w:lvl w:ilvl="0" w:tplc="5DAE6C5A">
      <w:start w:val="1"/>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67407"/>
    <w:multiLevelType w:val="hybridMultilevel"/>
    <w:tmpl w:val="0C46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75CAC"/>
    <w:multiLevelType w:val="hybridMultilevel"/>
    <w:tmpl w:val="EA904C2E"/>
    <w:lvl w:ilvl="0" w:tplc="BC8E3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3"/>
  </w:num>
  <w:num w:numId="5">
    <w:abstractNumId w:val="7"/>
  </w:num>
  <w:num w:numId="6">
    <w:abstractNumId w:val="9"/>
  </w:num>
  <w:num w:numId="7">
    <w:abstractNumId w:val="5"/>
  </w:num>
  <w:num w:numId="8">
    <w:abstractNumId w:val="2"/>
  </w:num>
  <w:num w:numId="9">
    <w:abstractNumId w:val="12"/>
  </w:num>
  <w:num w:numId="10">
    <w:abstractNumId w:val="1"/>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D"/>
    <w:rsid w:val="000036D0"/>
    <w:rsid w:val="00020685"/>
    <w:rsid w:val="00021084"/>
    <w:rsid w:val="000218B7"/>
    <w:rsid w:val="00043387"/>
    <w:rsid w:val="000677CB"/>
    <w:rsid w:val="000806CF"/>
    <w:rsid w:val="0009555E"/>
    <w:rsid w:val="000969B5"/>
    <w:rsid w:val="000C30D7"/>
    <w:rsid w:val="000C5C56"/>
    <w:rsid w:val="000D0DBC"/>
    <w:rsid w:val="000F53A6"/>
    <w:rsid w:val="000F53DC"/>
    <w:rsid w:val="00114C73"/>
    <w:rsid w:val="0012439D"/>
    <w:rsid w:val="001352B5"/>
    <w:rsid w:val="00136871"/>
    <w:rsid w:val="00147917"/>
    <w:rsid w:val="00165680"/>
    <w:rsid w:val="00181B4A"/>
    <w:rsid w:val="001829AE"/>
    <w:rsid w:val="001922FC"/>
    <w:rsid w:val="001924F3"/>
    <w:rsid w:val="00192676"/>
    <w:rsid w:val="00192A85"/>
    <w:rsid w:val="001A07E0"/>
    <w:rsid w:val="001A1C09"/>
    <w:rsid w:val="001B0687"/>
    <w:rsid w:val="001B1350"/>
    <w:rsid w:val="001B6647"/>
    <w:rsid w:val="001C042A"/>
    <w:rsid w:val="001C2E7F"/>
    <w:rsid w:val="001D1DCC"/>
    <w:rsid w:val="001D2EC1"/>
    <w:rsid w:val="001E6D2B"/>
    <w:rsid w:val="001E7C7F"/>
    <w:rsid w:val="001F322F"/>
    <w:rsid w:val="001F3ADE"/>
    <w:rsid w:val="001F42E7"/>
    <w:rsid w:val="001F60CC"/>
    <w:rsid w:val="001F703D"/>
    <w:rsid w:val="002000AA"/>
    <w:rsid w:val="0021208A"/>
    <w:rsid w:val="002142A2"/>
    <w:rsid w:val="0024137A"/>
    <w:rsid w:val="00247EB4"/>
    <w:rsid w:val="002565F8"/>
    <w:rsid w:val="00267F92"/>
    <w:rsid w:val="002766FC"/>
    <w:rsid w:val="00295C38"/>
    <w:rsid w:val="002A2B8E"/>
    <w:rsid w:val="002D1C9A"/>
    <w:rsid w:val="002D5138"/>
    <w:rsid w:val="002F353A"/>
    <w:rsid w:val="00307F28"/>
    <w:rsid w:val="00314D44"/>
    <w:rsid w:val="00315C1B"/>
    <w:rsid w:val="0032225E"/>
    <w:rsid w:val="003310F1"/>
    <w:rsid w:val="00341D98"/>
    <w:rsid w:val="003431A7"/>
    <w:rsid w:val="0035481D"/>
    <w:rsid w:val="003905B7"/>
    <w:rsid w:val="003A4AD2"/>
    <w:rsid w:val="003B552C"/>
    <w:rsid w:val="003B5D8A"/>
    <w:rsid w:val="003B7DB9"/>
    <w:rsid w:val="003C429A"/>
    <w:rsid w:val="003D3487"/>
    <w:rsid w:val="003F107C"/>
    <w:rsid w:val="003F28DF"/>
    <w:rsid w:val="004039EC"/>
    <w:rsid w:val="00426B6E"/>
    <w:rsid w:val="00432DA3"/>
    <w:rsid w:val="00442272"/>
    <w:rsid w:val="004445CE"/>
    <w:rsid w:val="004472EB"/>
    <w:rsid w:val="00454D32"/>
    <w:rsid w:val="00481E67"/>
    <w:rsid w:val="00490E5A"/>
    <w:rsid w:val="004B0930"/>
    <w:rsid w:val="004B1D7A"/>
    <w:rsid w:val="004B5829"/>
    <w:rsid w:val="004C25BF"/>
    <w:rsid w:val="004C4F99"/>
    <w:rsid w:val="004D2217"/>
    <w:rsid w:val="004D378A"/>
    <w:rsid w:val="004D6DEB"/>
    <w:rsid w:val="004F4887"/>
    <w:rsid w:val="004F6428"/>
    <w:rsid w:val="004F7BFA"/>
    <w:rsid w:val="005240A1"/>
    <w:rsid w:val="00527629"/>
    <w:rsid w:val="00541938"/>
    <w:rsid w:val="00542AAB"/>
    <w:rsid w:val="00544A11"/>
    <w:rsid w:val="00545B62"/>
    <w:rsid w:val="00560503"/>
    <w:rsid w:val="005607FC"/>
    <w:rsid w:val="005909DA"/>
    <w:rsid w:val="00592E82"/>
    <w:rsid w:val="00593CC7"/>
    <w:rsid w:val="005A12A4"/>
    <w:rsid w:val="005C5DE2"/>
    <w:rsid w:val="005C6866"/>
    <w:rsid w:val="005C6964"/>
    <w:rsid w:val="005C7BB6"/>
    <w:rsid w:val="005D6791"/>
    <w:rsid w:val="005F62ED"/>
    <w:rsid w:val="005F6AB4"/>
    <w:rsid w:val="005F6ED2"/>
    <w:rsid w:val="00606F0D"/>
    <w:rsid w:val="00614D21"/>
    <w:rsid w:val="00637249"/>
    <w:rsid w:val="006441AD"/>
    <w:rsid w:val="006516B1"/>
    <w:rsid w:val="00654CE3"/>
    <w:rsid w:val="00666260"/>
    <w:rsid w:val="00671B99"/>
    <w:rsid w:val="00690817"/>
    <w:rsid w:val="00694D7C"/>
    <w:rsid w:val="006A1A2E"/>
    <w:rsid w:val="006A6928"/>
    <w:rsid w:val="006B0369"/>
    <w:rsid w:val="006C0B8B"/>
    <w:rsid w:val="006C0F70"/>
    <w:rsid w:val="006C1E96"/>
    <w:rsid w:val="006C7E16"/>
    <w:rsid w:val="006D263B"/>
    <w:rsid w:val="006E2E65"/>
    <w:rsid w:val="00703122"/>
    <w:rsid w:val="0075420C"/>
    <w:rsid w:val="007544A8"/>
    <w:rsid w:val="007625CD"/>
    <w:rsid w:val="00790DB8"/>
    <w:rsid w:val="007B083A"/>
    <w:rsid w:val="007C59C3"/>
    <w:rsid w:val="007C6265"/>
    <w:rsid w:val="007F06C9"/>
    <w:rsid w:val="00800BF4"/>
    <w:rsid w:val="00802162"/>
    <w:rsid w:val="00803D8D"/>
    <w:rsid w:val="00804ADC"/>
    <w:rsid w:val="008060D2"/>
    <w:rsid w:val="00811E82"/>
    <w:rsid w:val="00815E46"/>
    <w:rsid w:val="00824A27"/>
    <w:rsid w:val="008320E5"/>
    <w:rsid w:val="00840536"/>
    <w:rsid w:val="00851D29"/>
    <w:rsid w:val="008602A0"/>
    <w:rsid w:val="00860C58"/>
    <w:rsid w:val="0086178E"/>
    <w:rsid w:val="00865702"/>
    <w:rsid w:val="00867685"/>
    <w:rsid w:val="00867774"/>
    <w:rsid w:val="00870A54"/>
    <w:rsid w:val="00891C89"/>
    <w:rsid w:val="00893289"/>
    <w:rsid w:val="0089369D"/>
    <w:rsid w:val="008A38B5"/>
    <w:rsid w:val="008B1A17"/>
    <w:rsid w:val="008E7FAB"/>
    <w:rsid w:val="00907A71"/>
    <w:rsid w:val="0091154B"/>
    <w:rsid w:val="00926C05"/>
    <w:rsid w:val="00930A63"/>
    <w:rsid w:val="00933292"/>
    <w:rsid w:val="009443AF"/>
    <w:rsid w:val="00957DA2"/>
    <w:rsid w:val="009734A9"/>
    <w:rsid w:val="00980E8E"/>
    <w:rsid w:val="00987409"/>
    <w:rsid w:val="009922D2"/>
    <w:rsid w:val="00992A1A"/>
    <w:rsid w:val="009B263A"/>
    <w:rsid w:val="009D6B6D"/>
    <w:rsid w:val="009D6F98"/>
    <w:rsid w:val="009E1FB0"/>
    <w:rsid w:val="009F0332"/>
    <w:rsid w:val="00A02846"/>
    <w:rsid w:val="00A06EC5"/>
    <w:rsid w:val="00A11AA5"/>
    <w:rsid w:val="00A172A5"/>
    <w:rsid w:val="00A267E8"/>
    <w:rsid w:val="00A37A1E"/>
    <w:rsid w:val="00A42926"/>
    <w:rsid w:val="00A62A49"/>
    <w:rsid w:val="00A63E6C"/>
    <w:rsid w:val="00A75D13"/>
    <w:rsid w:val="00A94615"/>
    <w:rsid w:val="00AA3F59"/>
    <w:rsid w:val="00AA53E7"/>
    <w:rsid w:val="00AA7C95"/>
    <w:rsid w:val="00AC0958"/>
    <w:rsid w:val="00AD45DA"/>
    <w:rsid w:val="00AE19DA"/>
    <w:rsid w:val="00AF6E8E"/>
    <w:rsid w:val="00B13159"/>
    <w:rsid w:val="00B167DA"/>
    <w:rsid w:val="00B25560"/>
    <w:rsid w:val="00B25D6A"/>
    <w:rsid w:val="00B4017A"/>
    <w:rsid w:val="00B405AF"/>
    <w:rsid w:val="00B4126B"/>
    <w:rsid w:val="00B57C4E"/>
    <w:rsid w:val="00B61F02"/>
    <w:rsid w:val="00B86FA0"/>
    <w:rsid w:val="00BB1C26"/>
    <w:rsid w:val="00BB6095"/>
    <w:rsid w:val="00BC5BC5"/>
    <w:rsid w:val="00BD081F"/>
    <w:rsid w:val="00BD2A12"/>
    <w:rsid w:val="00BD34B6"/>
    <w:rsid w:val="00BD4039"/>
    <w:rsid w:val="00BE178E"/>
    <w:rsid w:val="00BF493B"/>
    <w:rsid w:val="00C07FC8"/>
    <w:rsid w:val="00C12269"/>
    <w:rsid w:val="00C12DC0"/>
    <w:rsid w:val="00C254FD"/>
    <w:rsid w:val="00C3086A"/>
    <w:rsid w:val="00C33FDE"/>
    <w:rsid w:val="00C42092"/>
    <w:rsid w:val="00C57D4D"/>
    <w:rsid w:val="00C651D2"/>
    <w:rsid w:val="00C676FE"/>
    <w:rsid w:val="00C7518D"/>
    <w:rsid w:val="00C7666C"/>
    <w:rsid w:val="00C909A2"/>
    <w:rsid w:val="00C97FEE"/>
    <w:rsid w:val="00CA156D"/>
    <w:rsid w:val="00CA5493"/>
    <w:rsid w:val="00CA5AF7"/>
    <w:rsid w:val="00CB3EA0"/>
    <w:rsid w:val="00CB6B90"/>
    <w:rsid w:val="00CC1BC2"/>
    <w:rsid w:val="00CC615D"/>
    <w:rsid w:val="00CD581A"/>
    <w:rsid w:val="00CF3CDA"/>
    <w:rsid w:val="00CF452D"/>
    <w:rsid w:val="00D00D07"/>
    <w:rsid w:val="00D04BB6"/>
    <w:rsid w:val="00D05C1E"/>
    <w:rsid w:val="00D11FE8"/>
    <w:rsid w:val="00D26BE1"/>
    <w:rsid w:val="00D55228"/>
    <w:rsid w:val="00D707AE"/>
    <w:rsid w:val="00D9097D"/>
    <w:rsid w:val="00D93813"/>
    <w:rsid w:val="00DA0B88"/>
    <w:rsid w:val="00DA4553"/>
    <w:rsid w:val="00DB5460"/>
    <w:rsid w:val="00DE0C3A"/>
    <w:rsid w:val="00E05251"/>
    <w:rsid w:val="00E138E1"/>
    <w:rsid w:val="00E148E5"/>
    <w:rsid w:val="00E32773"/>
    <w:rsid w:val="00E355FA"/>
    <w:rsid w:val="00E40D6E"/>
    <w:rsid w:val="00E46B67"/>
    <w:rsid w:val="00E568E6"/>
    <w:rsid w:val="00E56D10"/>
    <w:rsid w:val="00E70FF8"/>
    <w:rsid w:val="00E76211"/>
    <w:rsid w:val="00E82BDC"/>
    <w:rsid w:val="00E87221"/>
    <w:rsid w:val="00EA026E"/>
    <w:rsid w:val="00EA64E1"/>
    <w:rsid w:val="00EB052D"/>
    <w:rsid w:val="00EC5448"/>
    <w:rsid w:val="00ED3A92"/>
    <w:rsid w:val="00ED5A23"/>
    <w:rsid w:val="00EE0DB8"/>
    <w:rsid w:val="00EE33A7"/>
    <w:rsid w:val="00EE7296"/>
    <w:rsid w:val="00EF40FF"/>
    <w:rsid w:val="00EF481F"/>
    <w:rsid w:val="00F0088B"/>
    <w:rsid w:val="00F14D3D"/>
    <w:rsid w:val="00F205D2"/>
    <w:rsid w:val="00F22B6C"/>
    <w:rsid w:val="00F3663C"/>
    <w:rsid w:val="00F36F27"/>
    <w:rsid w:val="00F528CE"/>
    <w:rsid w:val="00F54254"/>
    <w:rsid w:val="00F620F6"/>
    <w:rsid w:val="00F73A87"/>
    <w:rsid w:val="00F96FBD"/>
    <w:rsid w:val="00FA0A2C"/>
    <w:rsid w:val="00FA33AC"/>
    <w:rsid w:val="00FB340C"/>
    <w:rsid w:val="00FC7C5C"/>
    <w:rsid w:val="00FD23EC"/>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5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1696">
      <w:bodyDiv w:val="1"/>
      <w:marLeft w:val="0"/>
      <w:marRight w:val="0"/>
      <w:marTop w:val="0"/>
      <w:marBottom w:val="0"/>
      <w:divBdr>
        <w:top w:val="none" w:sz="0" w:space="0" w:color="auto"/>
        <w:left w:val="none" w:sz="0" w:space="0" w:color="auto"/>
        <w:bottom w:val="none" w:sz="0" w:space="0" w:color="auto"/>
        <w:right w:val="none" w:sz="0" w:space="0" w:color="auto"/>
      </w:divBdr>
    </w:div>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1292633587">
      <w:bodyDiv w:val="1"/>
      <w:marLeft w:val="0"/>
      <w:marRight w:val="0"/>
      <w:marTop w:val="0"/>
      <w:marBottom w:val="0"/>
      <w:divBdr>
        <w:top w:val="none" w:sz="0" w:space="0" w:color="auto"/>
        <w:left w:val="none" w:sz="0" w:space="0" w:color="auto"/>
        <w:bottom w:val="none" w:sz="0" w:space="0" w:color="auto"/>
        <w:right w:val="none" w:sz="0" w:space="0" w:color="auto"/>
      </w:divBdr>
    </w:div>
    <w:div w:id="1715620017">
      <w:bodyDiv w:val="1"/>
      <w:marLeft w:val="0"/>
      <w:marRight w:val="0"/>
      <w:marTop w:val="0"/>
      <w:marBottom w:val="0"/>
      <w:divBdr>
        <w:top w:val="none" w:sz="0" w:space="0" w:color="auto"/>
        <w:left w:val="none" w:sz="0" w:space="0" w:color="auto"/>
        <w:bottom w:val="none" w:sz="0" w:space="0" w:color="auto"/>
        <w:right w:val="none" w:sz="0" w:space="0" w:color="auto"/>
      </w:divBdr>
    </w:div>
    <w:div w:id="18455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842253" TargetMode="External"/><Relationship Id="rId2" Type="http://schemas.openxmlformats.org/officeDocument/2006/relationships/hyperlink" Target="https://elibrary.ferc.gov/idmws/common/OpenNat.asp?fileID=14842254" TargetMode="External"/><Relationship Id="rId1" Type="http://schemas.openxmlformats.org/officeDocument/2006/relationships/hyperlink" Target="https://elibrary.ferc.gov/idmws/common/OpenNat.asp?fileID=14842252" TargetMode="External"/><Relationship Id="rId6" Type="http://schemas.openxmlformats.org/officeDocument/2006/relationships/hyperlink" Target="https://www.ferc.gov/media/news-releases/2018/2018-1/03-15-18-E-1-fact-sheet.pdf" TargetMode="External"/><Relationship Id="rId5" Type="http://schemas.openxmlformats.org/officeDocument/2006/relationships/hyperlink" Target="https://www.ferc.gov/industries/gas/E-1-presentation.pdf" TargetMode="External"/><Relationship Id="rId4" Type="http://schemas.openxmlformats.org/officeDocument/2006/relationships/hyperlink" Target="https://www.ferc.gov/media/news-releases/2018/2018-1/03-15-18-E-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501G</_x0031__x002e__x0020_Collection_x0020_Number>
    <Date xmlns="d6eefc7d-9817-4fa6-84d5-3bc009be21b8">2018-03-23T04:00:00+00:00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RM18-11</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575C-FBD0-4621-BE56-D728872319E4}">
  <ds:schemaRefs>
    <ds:schemaRef ds:uri="http://schemas.microsoft.com/office/2006/metadata/customXsn"/>
  </ds:schemaRefs>
</ds:datastoreItem>
</file>

<file path=customXml/itemProps2.xml><?xml version="1.0" encoding="utf-8"?>
<ds:datastoreItem xmlns:ds="http://schemas.openxmlformats.org/officeDocument/2006/customXml" ds:itemID="{F1143865-900D-4DCF-A72F-717A8BD7B9A0}">
  <ds:schemaRefs>
    <ds:schemaRef ds:uri="Microsoft.SharePoint.Taxonomy.ContentTypeSync"/>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31AC678A-27A8-4A1F-8D0C-B3A31E55376D}">
  <ds:schemaRef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d6eefc7d-9817-4fa6-84d5-3bc009be21b8"/>
    <ds:schemaRef ds:uri="http://purl.org/dc/terms/"/>
  </ds:schemaRefs>
</ds:datastoreItem>
</file>

<file path=customXml/itemProps5.xml><?xml version="1.0" encoding="utf-8"?>
<ds:datastoreItem xmlns:ds="http://schemas.openxmlformats.org/officeDocument/2006/customXml" ds:itemID="{50033058-FC37-47B3-9BEB-C1E84F198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A032FF-BA15-4777-9527-8F5F19DC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FERC-501G supporting statement</vt:lpstr>
    </vt:vector>
  </TitlesOfParts>
  <Company>Federal Energy Regulatory Commission</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FERC-501G supporting statement</dc:title>
  <dc:creator>Nishi Parekh</dc:creator>
  <cp:lastModifiedBy>SYSTEM</cp:lastModifiedBy>
  <cp:revision>2</cp:revision>
  <cp:lastPrinted>2018-02-12T20:13:00Z</cp:lastPrinted>
  <dcterms:created xsi:type="dcterms:W3CDTF">2018-03-23T19:22:00Z</dcterms:created>
  <dcterms:modified xsi:type="dcterms:W3CDTF">2018-03-23T19:22:00Z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