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F170C" w14:textId="7D0919D9" w:rsidR="008F2BCE" w:rsidRPr="00F84703" w:rsidRDefault="00C82919" w:rsidP="009C33BB">
      <w:pPr>
        <w:jc w:val="center"/>
        <w:rPr>
          <w:b/>
        </w:rPr>
      </w:pPr>
      <w:bookmarkStart w:id="0" w:name="_GoBack"/>
      <w:bookmarkEnd w:id="0"/>
      <w:r w:rsidRPr="00F84703">
        <w:rPr>
          <w:b/>
        </w:rPr>
        <w:t xml:space="preserve"> </w:t>
      </w:r>
    </w:p>
    <w:p w14:paraId="071411E9" w14:textId="77777777" w:rsidR="00463368" w:rsidRDefault="009A4F71" w:rsidP="009C33BB">
      <w:pPr>
        <w:jc w:val="center"/>
        <w:rPr>
          <w:b/>
        </w:rPr>
      </w:pPr>
      <w:r w:rsidRPr="00F84703">
        <w:rPr>
          <w:b/>
        </w:rPr>
        <w:t xml:space="preserve">U.S. </w:t>
      </w:r>
      <w:r w:rsidR="009C33BB" w:rsidRPr="00F84703">
        <w:rPr>
          <w:b/>
        </w:rPr>
        <w:t>Department of Energy</w:t>
      </w:r>
    </w:p>
    <w:p w14:paraId="27FFD683" w14:textId="77777777" w:rsidR="003C27A3" w:rsidRPr="00F84703" w:rsidRDefault="003C27A3" w:rsidP="009C33BB">
      <w:pPr>
        <w:jc w:val="center"/>
        <w:rPr>
          <w:b/>
        </w:rPr>
      </w:pPr>
      <w:r>
        <w:rPr>
          <w:b/>
        </w:rPr>
        <w:t>Supporting Statement</w:t>
      </w:r>
    </w:p>
    <w:p w14:paraId="1CD52247" w14:textId="77777777" w:rsidR="009C33BB" w:rsidRPr="00F84703" w:rsidRDefault="009C33BB" w:rsidP="009C33BB">
      <w:pPr>
        <w:jc w:val="center"/>
        <w:rPr>
          <w:b/>
        </w:rPr>
      </w:pPr>
      <w:r w:rsidRPr="00F84703">
        <w:rPr>
          <w:b/>
        </w:rPr>
        <w:t>Alternative Fuel Transportation Program</w:t>
      </w:r>
    </w:p>
    <w:p w14:paraId="3790CA98" w14:textId="77777777" w:rsidR="00C82919" w:rsidRPr="00F84703" w:rsidRDefault="009C33BB" w:rsidP="009C33BB">
      <w:pPr>
        <w:jc w:val="center"/>
        <w:rPr>
          <w:b/>
        </w:rPr>
      </w:pPr>
      <w:r w:rsidRPr="00F84703">
        <w:rPr>
          <w:b/>
        </w:rPr>
        <w:t>OMB Control Number 1910-5101</w:t>
      </w:r>
    </w:p>
    <w:p w14:paraId="48B90A07" w14:textId="77777777" w:rsidR="00720F5A" w:rsidRPr="00F84703" w:rsidRDefault="00720F5A" w:rsidP="00C82919">
      <w:pPr>
        <w:jc w:val="center"/>
        <w:rPr>
          <w:b/>
        </w:rPr>
      </w:pPr>
    </w:p>
    <w:p w14:paraId="7DC27C17" w14:textId="77777777" w:rsidR="00184C46" w:rsidRPr="00F84703" w:rsidRDefault="00184C46" w:rsidP="00184C46">
      <w:r w:rsidRPr="00F84703">
        <w:t xml:space="preserve">This supporting statement provides additional information regarding the </w:t>
      </w:r>
      <w:r w:rsidR="009A4F71" w:rsidRPr="00F84703">
        <w:t xml:space="preserve">U.S. </w:t>
      </w:r>
      <w:r w:rsidRPr="00F84703">
        <w:t>Department of Energy</w:t>
      </w:r>
      <w:r w:rsidR="00CC200F" w:rsidRPr="00F84703">
        <w:t>’s</w:t>
      </w:r>
      <w:r w:rsidRPr="00F84703">
        <w:t xml:space="preserve"> (DOE) request </w:t>
      </w:r>
      <w:r w:rsidR="004D46D1" w:rsidRPr="00F84703">
        <w:t xml:space="preserve">to </w:t>
      </w:r>
      <w:r w:rsidR="009D7816">
        <w:t>renew</w:t>
      </w:r>
      <w:r w:rsidR="004D46D1" w:rsidRPr="00F84703">
        <w:t xml:space="preserve"> </w:t>
      </w:r>
      <w:r w:rsidR="00180E79" w:rsidRPr="00F84703">
        <w:t xml:space="preserve">the </w:t>
      </w:r>
      <w:r w:rsidRPr="00F84703">
        <w:t>information collection</w:t>
      </w:r>
      <w:r w:rsidRPr="00E21481">
        <w:rPr>
          <w:i/>
        </w:rPr>
        <w:t xml:space="preserve">, </w:t>
      </w:r>
      <w:r w:rsidR="009C33BB" w:rsidRPr="00E21481">
        <w:rPr>
          <w:i/>
        </w:rPr>
        <w:t>Annual Alternative Fuel Vehicle Acquisition Report for State Government and Alternative Fuel Provider Fleets</w:t>
      </w:r>
      <w:r w:rsidR="00AA2678" w:rsidRPr="00F84703">
        <w:t xml:space="preserve">.  </w:t>
      </w:r>
      <w:r w:rsidRPr="00F84703">
        <w:t xml:space="preserve">The numbered questions </w:t>
      </w:r>
      <w:r w:rsidR="009A4F71" w:rsidRPr="00F84703">
        <w:t xml:space="preserve">correspond to </w:t>
      </w:r>
      <w:r w:rsidRPr="00F84703">
        <w:t>the order shown on the Office of Management and Budget (OMB) Form 83-I, “Instructions for Completing OMB Form 83-I.”</w:t>
      </w:r>
    </w:p>
    <w:p w14:paraId="291F7E7C" w14:textId="77777777" w:rsidR="00123C4A" w:rsidRPr="00F84703" w:rsidRDefault="00123C4A" w:rsidP="00184C46"/>
    <w:p w14:paraId="384425E7" w14:textId="77777777" w:rsidR="00FE43CD" w:rsidRPr="00F84703" w:rsidRDefault="00FE43CD" w:rsidP="00184C46">
      <w:pPr>
        <w:numPr>
          <w:ilvl w:val="0"/>
          <w:numId w:val="2"/>
        </w:numPr>
        <w:tabs>
          <w:tab w:val="num" w:pos="720"/>
        </w:tabs>
        <w:rPr>
          <w:b/>
          <w:sz w:val="28"/>
          <w:szCs w:val="28"/>
          <w:u w:val="single"/>
        </w:rPr>
      </w:pPr>
      <w:r w:rsidRPr="00F84703">
        <w:rPr>
          <w:b/>
          <w:sz w:val="28"/>
          <w:szCs w:val="28"/>
          <w:u w:val="single"/>
        </w:rPr>
        <w:t>Justification</w:t>
      </w:r>
    </w:p>
    <w:p w14:paraId="296ED401" w14:textId="77777777" w:rsidR="00FE43CD" w:rsidRPr="00F84703" w:rsidRDefault="00FE43CD" w:rsidP="00184C46"/>
    <w:p w14:paraId="1BC7EFF9" w14:textId="77777777" w:rsidR="00184C46" w:rsidRPr="00F84703" w:rsidRDefault="00123C4A" w:rsidP="00F4687A">
      <w:pPr>
        <w:numPr>
          <w:ilvl w:val="0"/>
          <w:numId w:val="7"/>
        </w:numPr>
        <w:rPr>
          <w:b/>
        </w:rPr>
      </w:pPr>
      <w:r w:rsidRPr="00F84703">
        <w:rPr>
          <w:b/>
          <w:u w:val="single"/>
        </w:rPr>
        <w:t>Explain the circumstances that make the collection of information necessary.</w:t>
      </w:r>
      <w:r w:rsidR="00184C46" w:rsidRPr="00F84703">
        <w:rPr>
          <w:b/>
          <w:u w:val="single"/>
        </w:rPr>
        <w:t xml:space="preserve">  Identify any legal or administrative requirements that necessitate the collection.  Attach a copy of the</w:t>
      </w:r>
      <w:r w:rsidR="00184C46" w:rsidRPr="00F84703">
        <w:rPr>
          <w:b/>
        </w:rPr>
        <w:t xml:space="preserve"> </w:t>
      </w:r>
      <w:r w:rsidR="00184C46" w:rsidRPr="00F84703">
        <w:rPr>
          <w:b/>
          <w:u w:val="single"/>
        </w:rPr>
        <w:t>appropriate section of each statute and regulation mandating or authorizing the information collection.</w:t>
      </w:r>
      <w:r w:rsidR="00184C46" w:rsidRPr="00F84703">
        <w:rPr>
          <w:b/>
        </w:rPr>
        <w:t xml:space="preserve"> </w:t>
      </w:r>
    </w:p>
    <w:p w14:paraId="604DF37B" w14:textId="77777777" w:rsidR="005B54F5" w:rsidRPr="00F84703" w:rsidRDefault="005B54F5" w:rsidP="00184C46"/>
    <w:p w14:paraId="29828F39" w14:textId="6131A56C" w:rsidR="00DF3661" w:rsidRPr="00F84703" w:rsidRDefault="007A2FA4" w:rsidP="00DF3661">
      <w:r>
        <w:t>DOE’s</w:t>
      </w:r>
      <w:r w:rsidR="00DF3661" w:rsidRPr="00F84703">
        <w:t xml:space="preserve"> Office of Energy Efficiency and Renewable Energy</w:t>
      </w:r>
      <w:r w:rsidR="00360C86">
        <w:t xml:space="preserve"> (EERE)</w:t>
      </w:r>
      <w:r w:rsidR="00DF3661" w:rsidRPr="00F84703">
        <w:t xml:space="preserve"> </w:t>
      </w:r>
      <w:r w:rsidR="00F43148" w:rsidRPr="00F84703">
        <w:t>operate</w:t>
      </w:r>
      <w:r w:rsidR="00366511">
        <w:t>s</w:t>
      </w:r>
      <w:r w:rsidR="00DF3661" w:rsidRPr="00F84703">
        <w:t xml:space="preserve"> a statutorily-mandated regulatory compliance program through its Office of Vehicle Technologies.  The Program is referred to as the State and Alternative Fuel Provider Fleet Program.  Under this Program, regulated fleets are required to comply with specific statutory mandates, as set forth in the Energy Policy Act of 1992 (EPAct), as amended by the Energy Policy Act of 2005</w:t>
      </w:r>
      <w:r w:rsidR="00214A3F" w:rsidRPr="00F84703">
        <w:t>,</w:t>
      </w:r>
      <w:r w:rsidR="00F33E9E" w:rsidRPr="00F84703">
        <w:t xml:space="preserve"> and the Energy Independence and Security Act of 2007.</w:t>
      </w:r>
      <w:r w:rsidR="00214A3F" w:rsidRPr="00F84703">
        <w:t xml:space="preserve"> </w:t>
      </w:r>
      <w:r w:rsidR="00366511">
        <w:t xml:space="preserve"> </w:t>
      </w:r>
      <w:r w:rsidR="00214A3F" w:rsidRPr="00F84703">
        <w:t>DOE is required to review, assess, and make compliance determinations based upon submitted information</w:t>
      </w:r>
      <w:r w:rsidR="00DF3661" w:rsidRPr="00F84703">
        <w:t xml:space="preserve">.  Initial requirements for fleets </w:t>
      </w:r>
      <w:r w:rsidR="00214A3F" w:rsidRPr="00F84703">
        <w:t xml:space="preserve">and DOE </w:t>
      </w:r>
      <w:r w:rsidR="00DF3661" w:rsidRPr="00F84703">
        <w:t>began in vehicle Model Year 1997, as did associated information collection requirements.  Thus</w:t>
      </w:r>
      <w:r w:rsidR="00366511">
        <w:t>,</w:t>
      </w:r>
      <w:r w:rsidR="00DF3661" w:rsidRPr="00F84703">
        <w:t xml:space="preserve"> the regulated fleets are familiar with the reporting requirements outlined below.  </w:t>
      </w:r>
    </w:p>
    <w:p w14:paraId="10BD59DF" w14:textId="77777777" w:rsidR="00DF3661" w:rsidRPr="00F84703" w:rsidRDefault="00DF3661" w:rsidP="00DF3661"/>
    <w:p w14:paraId="4B2D8386" w14:textId="77777777" w:rsidR="00DF3661" w:rsidRPr="00F84703" w:rsidRDefault="00DF3661" w:rsidP="00DF3661">
      <w:r w:rsidRPr="00F84703">
        <w:t>Regulated fleets are defined under EPAct to include certain State agency fleets and other alternative fuel provider (</w:t>
      </w:r>
      <w:r w:rsidRPr="00E21481">
        <w:rPr>
          <w:i/>
        </w:rPr>
        <w:t>e.g.</w:t>
      </w:r>
      <w:r w:rsidRPr="00366511">
        <w:t xml:space="preserve">, </w:t>
      </w:r>
      <w:r w:rsidRPr="00F84703">
        <w:t>utility) fleets that meet specific fleet size and vehicle use threshold requirements.</w:t>
      </w:r>
      <w:r w:rsidR="00B07409" w:rsidRPr="00F84703">
        <w:t xml:space="preserve">  Specifically, </w:t>
      </w:r>
      <w:r w:rsidR="00B07409" w:rsidRPr="00F84703">
        <w:rPr>
          <w:shd w:val="clear" w:color="auto" w:fill="FFFFFF"/>
        </w:rPr>
        <w:t>state and alternative fuel provider fleets are considered covered fleets if they own, operate, lease, or otherwise control 50 or more non-excluded light-duty vehicles (less than or equal to 8,500 lbs</w:t>
      </w:r>
      <w:r w:rsidR="00366511">
        <w:rPr>
          <w:shd w:val="clear" w:color="auto" w:fill="FFFFFF"/>
        </w:rPr>
        <w:t>.</w:t>
      </w:r>
      <w:r w:rsidR="00B07409" w:rsidRPr="00F84703">
        <w:rPr>
          <w:shd w:val="clear" w:color="auto" w:fill="FFFFFF"/>
        </w:rPr>
        <w:t>) and if at least 20 of those vehicles are used primarily within a single</w:t>
      </w:r>
      <w:r w:rsidR="00B07409" w:rsidRPr="00F84703">
        <w:rPr>
          <w:rStyle w:val="apple-converted-space"/>
          <w:shd w:val="clear" w:color="auto" w:fill="FFFFFF"/>
        </w:rPr>
        <w:t> </w:t>
      </w:r>
      <w:hyperlink r:id="rId9" w:history="1">
        <w:r w:rsidR="00B07409" w:rsidRPr="00F84703">
          <w:rPr>
            <w:rStyle w:val="Hyperlink"/>
            <w:color w:val="auto"/>
            <w:bdr w:val="none" w:sz="0" w:space="0" w:color="auto" w:frame="1"/>
            <w:shd w:val="clear" w:color="auto" w:fill="FFFFFF"/>
          </w:rPr>
          <w:t>Metropolitan Statistical Area/Consolidated Metropolitan Statistical Area</w:t>
        </w:r>
      </w:hyperlink>
      <w:r w:rsidR="00B07409" w:rsidRPr="00F84703">
        <w:rPr>
          <w:rStyle w:val="apple-converted-space"/>
          <w:shd w:val="clear" w:color="auto" w:fill="FFFFFF"/>
        </w:rPr>
        <w:t> </w:t>
      </w:r>
      <w:r w:rsidR="00B07409" w:rsidRPr="00F84703">
        <w:rPr>
          <w:shd w:val="clear" w:color="auto" w:fill="FFFFFF"/>
        </w:rPr>
        <w:t>and are capable of being centrally fueled.</w:t>
      </w:r>
    </w:p>
    <w:p w14:paraId="2C1B7868" w14:textId="77777777" w:rsidR="00DF3661" w:rsidRPr="00F84703" w:rsidRDefault="00DF3661" w:rsidP="00DF3661"/>
    <w:p w14:paraId="34E7079F" w14:textId="77777777" w:rsidR="00DF3661" w:rsidRPr="00F84703" w:rsidRDefault="00DF3661" w:rsidP="00DF3661">
      <w:r w:rsidRPr="00F84703">
        <w:t xml:space="preserve">Regulated fleets have two options for complying with the EPAct-mandated requirements.  They </w:t>
      </w:r>
      <w:r w:rsidR="00214A3F" w:rsidRPr="00F84703">
        <w:t xml:space="preserve">must </w:t>
      </w:r>
      <w:r w:rsidR="00F43148" w:rsidRPr="00F84703">
        <w:t>comply</w:t>
      </w:r>
      <w:r w:rsidRPr="00F84703">
        <w:t xml:space="preserve"> via:</w:t>
      </w:r>
    </w:p>
    <w:p w14:paraId="1E1C3070" w14:textId="77777777" w:rsidR="00DF3661" w:rsidRPr="00F84703" w:rsidRDefault="00DF3661" w:rsidP="00DF3661"/>
    <w:p w14:paraId="3A7AEBB7" w14:textId="77777777" w:rsidR="00DF3661" w:rsidRPr="00F84703" w:rsidRDefault="00DF3661" w:rsidP="00DF3661">
      <w:pPr>
        <w:numPr>
          <w:ilvl w:val="0"/>
          <w:numId w:val="17"/>
        </w:numPr>
      </w:pPr>
      <w:r w:rsidRPr="00F84703">
        <w:rPr>
          <w:u w:val="single"/>
        </w:rPr>
        <w:t>Standard Compliance</w:t>
      </w:r>
      <w:r w:rsidRPr="00F84703">
        <w:t xml:space="preserve">: </w:t>
      </w:r>
      <w:r w:rsidR="00725F84">
        <w:t xml:space="preserve"> </w:t>
      </w:r>
      <w:r w:rsidRPr="00F84703">
        <w:t>Acquire a statutorily-mandated percentage of alternative fuel vehicles (AFVs) (</w:t>
      </w:r>
      <w:r w:rsidRPr="00E21481">
        <w:rPr>
          <w:i/>
        </w:rPr>
        <w:t>e.g.</w:t>
      </w:r>
      <w:r w:rsidRPr="00F84703">
        <w:t xml:space="preserve">, E85 flex fuel vehicles, CNG-powered vehicles, fuel cell vehicles, </w:t>
      </w:r>
      <w:r w:rsidRPr="00E21481">
        <w:rPr>
          <w:i/>
        </w:rPr>
        <w:t>etc.</w:t>
      </w:r>
      <w:r w:rsidRPr="00F84703">
        <w:t>) in each year; OR</w:t>
      </w:r>
    </w:p>
    <w:p w14:paraId="18B199B5" w14:textId="77777777" w:rsidR="00DF3661" w:rsidRPr="00F84703" w:rsidRDefault="00DF3661" w:rsidP="00DF3661">
      <w:pPr>
        <w:numPr>
          <w:ilvl w:val="0"/>
          <w:numId w:val="17"/>
        </w:numPr>
      </w:pPr>
      <w:r w:rsidRPr="00F84703">
        <w:rPr>
          <w:u w:val="single"/>
        </w:rPr>
        <w:t>Alternative Compliance</w:t>
      </w:r>
      <w:r w:rsidRPr="00F84703">
        <w:t xml:space="preserve">:  They may apply to DOE for a waiver from this just mentioned vehicle acquisition requirement.  Under this waiver, the fleet will develop a plan by </w:t>
      </w:r>
      <w:r w:rsidRPr="00F84703">
        <w:lastRenderedPageBreak/>
        <w:t xml:space="preserve">which it will reduce a statutorily-mandated amount of petroleum fuel that the fleet uses in that year.  </w:t>
      </w:r>
    </w:p>
    <w:p w14:paraId="70628081" w14:textId="77777777" w:rsidR="00DF3661" w:rsidRPr="00F84703" w:rsidRDefault="00DF3661" w:rsidP="00DF3661"/>
    <w:p w14:paraId="0DE8C735" w14:textId="77777777" w:rsidR="00DF3661" w:rsidRPr="00F84703" w:rsidRDefault="00DF3661" w:rsidP="00DF3661">
      <w:r w:rsidRPr="00F84703">
        <w:t xml:space="preserve">The ICR is </w:t>
      </w:r>
      <w:r w:rsidRPr="00F84703">
        <w:rPr>
          <w:u w:val="single"/>
        </w:rPr>
        <w:t>critical</w:t>
      </w:r>
      <w:r w:rsidRPr="00F84703">
        <w:t xml:space="preserve"> to this Program.  Fleets under this Program will submit the following under this ICR:</w:t>
      </w:r>
    </w:p>
    <w:p w14:paraId="362EF6EC" w14:textId="77777777" w:rsidR="00DF3661" w:rsidRPr="00F84703" w:rsidRDefault="00DF3661" w:rsidP="00DF3661"/>
    <w:p w14:paraId="42C39E31" w14:textId="48A4095C" w:rsidR="00DF3661" w:rsidRPr="00F84703" w:rsidRDefault="00DF3661" w:rsidP="00DF3661">
      <w:pPr>
        <w:numPr>
          <w:ilvl w:val="0"/>
          <w:numId w:val="18"/>
        </w:numPr>
      </w:pPr>
      <w:r w:rsidRPr="00F84703">
        <w:t xml:space="preserve">Annual Reports under Standard Compliance due by December 31 </w:t>
      </w:r>
      <w:r w:rsidR="00725F84">
        <w:t xml:space="preserve">of </w:t>
      </w:r>
      <w:r w:rsidRPr="00F84703">
        <w:t>each year.</w:t>
      </w:r>
    </w:p>
    <w:p w14:paraId="65988B33" w14:textId="5807E231" w:rsidR="00DF3661" w:rsidRPr="00F84703" w:rsidRDefault="00DF3661" w:rsidP="00DF3661">
      <w:pPr>
        <w:numPr>
          <w:ilvl w:val="0"/>
          <w:numId w:val="18"/>
        </w:numPr>
      </w:pPr>
      <w:r w:rsidRPr="00F84703">
        <w:t xml:space="preserve">Intent to Apply for a Waiver for Alternative Compliance due by March 31 </w:t>
      </w:r>
      <w:r w:rsidR="00725F84">
        <w:t xml:space="preserve">of </w:t>
      </w:r>
      <w:r w:rsidRPr="00F84703">
        <w:t>each year.</w:t>
      </w:r>
    </w:p>
    <w:p w14:paraId="282115B8" w14:textId="417D4E7D" w:rsidR="00DF3661" w:rsidRPr="00F84703" w:rsidRDefault="00DF3661" w:rsidP="00DF3661">
      <w:pPr>
        <w:numPr>
          <w:ilvl w:val="0"/>
          <w:numId w:val="18"/>
        </w:numPr>
      </w:pPr>
      <w:r w:rsidRPr="00F84703">
        <w:t xml:space="preserve">Alternative Compliance Waiver applications, due by July 31 </w:t>
      </w:r>
      <w:r w:rsidR="00725F84">
        <w:t xml:space="preserve">of </w:t>
      </w:r>
      <w:r w:rsidRPr="00F84703">
        <w:t>each year.</w:t>
      </w:r>
    </w:p>
    <w:p w14:paraId="184B06CB" w14:textId="7F38DF55" w:rsidR="00DF3661" w:rsidRPr="00F84703" w:rsidRDefault="00DF3661" w:rsidP="00DF3661">
      <w:pPr>
        <w:numPr>
          <w:ilvl w:val="0"/>
          <w:numId w:val="18"/>
        </w:numPr>
      </w:pPr>
      <w:r w:rsidRPr="00F84703">
        <w:t xml:space="preserve">Alternative Compliance Annual Reports due by December 31 </w:t>
      </w:r>
      <w:r w:rsidR="00725F84">
        <w:t xml:space="preserve">of </w:t>
      </w:r>
      <w:r w:rsidRPr="00F84703">
        <w:t>each year.</w:t>
      </w:r>
    </w:p>
    <w:p w14:paraId="11505026" w14:textId="77777777" w:rsidR="00DF3661" w:rsidRPr="00F84703" w:rsidRDefault="00DF3661" w:rsidP="00DF3661"/>
    <w:p w14:paraId="511F7056" w14:textId="43DCBC7C" w:rsidR="00DF3661" w:rsidRPr="00F84703" w:rsidRDefault="005366F3" w:rsidP="00DF3661">
      <w:r>
        <w:t>T</w:t>
      </w:r>
      <w:r w:rsidR="009B71C7" w:rsidRPr="0043076C">
        <w:t>his is a continuing reporting requirement</w:t>
      </w:r>
      <w:r w:rsidR="00CA2915">
        <w:t xml:space="preserve"> necessary for the agency to </w:t>
      </w:r>
      <w:r>
        <w:t>determine compliance with the alternative fuel vehicle mandates</w:t>
      </w:r>
      <w:r w:rsidR="00387631">
        <w:t xml:space="preserve"> established by statute (42 U.S.C. </w:t>
      </w:r>
      <w:r w:rsidR="00A817D4" w:rsidRPr="00F84703">
        <w:t xml:space="preserve">§ </w:t>
      </w:r>
      <w:r w:rsidR="00387631">
        <w:t xml:space="preserve">13251 and </w:t>
      </w:r>
      <w:r w:rsidR="00A817D4">
        <w:t xml:space="preserve">42 U.S.C </w:t>
      </w:r>
      <w:r w:rsidR="00A817D4" w:rsidRPr="00F84703">
        <w:t xml:space="preserve">§ </w:t>
      </w:r>
      <w:r w:rsidR="00387631">
        <w:t>13257(o))</w:t>
      </w:r>
      <w:r w:rsidR="00CA2915">
        <w:t xml:space="preserve">, and </w:t>
      </w:r>
      <w:r w:rsidR="00387631">
        <w:t xml:space="preserve">specifically </w:t>
      </w:r>
      <w:r w:rsidR="00CA2915">
        <w:t>required by statute in the context of the alternative compliance option</w:t>
      </w:r>
      <w:r w:rsidR="00DF3661" w:rsidRPr="005366F3">
        <w:t>.</w:t>
      </w:r>
      <w:r w:rsidR="00CA2915">
        <w:t xml:space="preserve">  (See 42 U.S.C. 13263a(c))</w:t>
      </w:r>
      <w:r w:rsidR="00DF3661" w:rsidRPr="00F84703">
        <w:t xml:space="preserve">  </w:t>
      </w:r>
    </w:p>
    <w:p w14:paraId="3E25655D" w14:textId="77777777" w:rsidR="00DF3661" w:rsidRPr="00F84703" w:rsidRDefault="00DF3661" w:rsidP="00DF3661"/>
    <w:p w14:paraId="3BAE7D9F" w14:textId="3CD3C42B" w:rsidR="009C33BB" w:rsidRPr="00F84703" w:rsidRDefault="009C33BB" w:rsidP="009C33BB">
      <w:pPr>
        <w:pStyle w:val="BodyText"/>
        <w:jc w:val="left"/>
      </w:pPr>
      <w:r w:rsidRPr="00F84703">
        <w:t>Recordkeeping</w:t>
      </w:r>
      <w:r w:rsidR="00214A3F" w:rsidRPr="00F84703">
        <w:t xml:space="preserve"> and reporting</w:t>
      </w:r>
      <w:r w:rsidRPr="00F84703">
        <w:t xml:space="preserve"> requirements are </w:t>
      </w:r>
      <w:r w:rsidR="00DF3661" w:rsidRPr="00F84703">
        <w:t>critical</w:t>
      </w:r>
      <w:r w:rsidRPr="00F84703">
        <w:t xml:space="preserve"> </w:t>
      </w:r>
      <w:r w:rsidR="00214A3F" w:rsidRPr="00F84703">
        <w:t xml:space="preserve">to DOE because they allow </w:t>
      </w:r>
      <w:r w:rsidRPr="00F84703">
        <w:t xml:space="preserve">DOE </w:t>
      </w:r>
      <w:r w:rsidR="00214A3F" w:rsidRPr="00F84703">
        <w:t>to</w:t>
      </w:r>
      <w:r w:rsidRPr="00F84703">
        <w:t xml:space="preserve"> </w:t>
      </w:r>
      <w:r w:rsidR="00DF3661" w:rsidRPr="00F84703">
        <w:t>determine: (1)</w:t>
      </w:r>
      <w:r w:rsidRPr="00F84703">
        <w:t xml:space="preserve"> whether alternative fuel providers </w:t>
      </w:r>
      <w:r w:rsidR="004B0A4C" w:rsidRPr="00F84703">
        <w:t xml:space="preserve">and State governments </w:t>
      </w:r>
      <w:r w:rsidRPr="00F84703">
        <w:t xml:space="preserve">are in compliance with the </w:t>
      </w:r>
      <w:r w:rsidR="00CC200F" w:rsidRPr="00F84703">
        <w:t>alternative fueled v</w:t>
      </w:r>
      <w:r w:rsidRPr="00F84703">
        <w:t>ehicle</w:t>
      </w:r>
      <w:r w:rsidR="00CC200F" w:rsidRPr="00F84703">
        <w:t xml:space="preserve"> (AFV)</w:t>
      </w:r>
      <w:r w:rsidRPr="00F84703">
        <w:t xml:space="preserve"> </w:t>
      </w:r>
      <w:r w:rsidR="00CC200F" w:rsidRPr="00F84703">
        <w:t>a</w:t>
      </w:r>
      <w:r w:rsidRPr="00F84703">
        <w:t xml:space="preserve">cquisition </w:t>
      </w:r>
      <w:r w:rsidR="00CC200F" w:rsidRPr="00F84703">
        <w:t>m</w:t>
      </w:r>
      <w:r w:rsidRPr="00F84703">
        <w:t>andate</w:t>
      </w:r>
      <w:r w:rsidR="004B0A4C" w:rsidRPr="00F84703">
        <w:t>s</w:t>
      </w:r>
      <w:r w:rsidRPr="00F84703">
        <w:t xml:space="preserve"> </w:t>
      </w:r>
      <w:r w:rsidR="00CC200F" w:rsidRPr="00F84703">
        <w:t xml:space="preserve">set forth in </w:t>
      </w:r>
      <w:r w:rsidRPr="00F84703">
        <w:t>Section</w:t>
      </w:r>
      <w:r w:rsidR="004B0A4C" w:rsidRPr="00F84703">
        <w:t>s</w:t>
      </w:r>
      <w:r w:rsidRPr="00F84703">
        <w:t xml:space="preserve"> 501 </w:t>
      </w:r>
      <w:r w:rsidR="004B0A4C" w:rsidRPr="00F84703">
        <w:t xml:space="preserve">and 507(o) </w:t>
      </w:r>
      <w:r w:rsidRPr="00F84703">
        <w:t>of the</w:t>
      </w:r>
      <w:r w:rsidR="00360C86">
        <w:rPr>
          <w:lang w:val="en-US"/>
        </w:rPr>
        <w:t xml:space="preserve"> EPAct</w:t>
      </w:r>
      <w:r w:rsidRPr="00F84703">
        <w:t>, 42 U.S.C. § 13251</w:t>
      </w:r>
      <w:r w:rsidR="004B0A4C" w:rsidRPr="00F84703">
        <w:t>, 13257(o)</w:t>
      </w:r>
      <w:r w:rsidR="008F2BCE" w:rsidRPr="00F84703">
        <w:t>;</w:t>
      </w:r>
      <w:r w:rsidRPr="00F84703">
        <w:t xml:space="preserve"> </w:t>
      </w:r>
      <w:r w:rsidR="00214A3F" w:rsidRPr="00F84703">
        <w:t xml:space="preserve">(2) </w:t>
      </w:r>
      <w:r w:rsidRPr="00F84703">
        <w:t xml:space="preserve">whether </w:t>
      </w:r>
      <w:r w:rsidR="00A733E0" w:rsidRPr="00F84703">
        <w:t xml:space="preserve">alternative fuel provider and State </w:t>
      </w:r>
      <w:r w:rsidR="008F2BCE" w:rsidRPr="00F84703">
        <w:t xml:space="preserve">government </w:t>
      </w:r>
      <w:r w:rsidRPr="00F84703">
        <w:t>fleets should be a</w:t>
      </w:r>
      <w:r w:rsidR="00CC200F" w:rsidRPr="00F84703">
        <w:t>llocated</w:t>
      </w:r>
      <w:r w:rsidRPr="00F84703">
        <w:t xml:space="preserve"> credits under Section 508 of EPAct, 42 U.S.C. § 13258</w:t>
      </w:r>
      <w:r w:rsidR="008F2BCE" w:rsidRPr="00F84703">
        <w:t xml:space="preserve">; and </w:t>
      </w:r>
      <w:r w:rsidR="00214A3F" w:rsidRPr="00F84703">
        <w:t xml:space="preserve">(3) </w:t>
      </w:r>
      <w:r w:rsidR="008F2BCE" w:rsidRPr="00F84703">
        <w:t>whether</w:t>
      </w:r>
      <w:r w:rsidR="005A093D" w:rsidRPr="00F84703">
        <w:t xml:space="preserve"> alternative fuel provider and State government fleets that </w:t>
      </w:r>
      <w:r w:rsidR="00792E9D" w:rsidRPr="00F84703">
        <w:t>opted to waive</w:t>
      </w:r>
      <w:r w:rsidR="005A093D" w:rsidRPr="00F84703">
        <w:t xml:space="preserve"> into </w:t>
      </w:r>
      <w:r w:rsidR="009A4F71" w:rsidRPr="00F84703">
        <w:t xml:space="preserve">the </w:t>
      </w:r>
      <w:r w:rsidR="005A093D" w:rsidRPr="00F84703">
        <w:t xml:space="preserve">alternative compliance </w:t>
      </w:r>
      <w:r w:rsidR="009A4F71" w:rsidRPr="00F84703">
        <w:t xml:space="preserve">program </w:t>
      </w:r>
      <w:r w:rsidR="005A093D" w:rsidRPr="00F84703">
        <w:t xml:space="preserve">under Section 514 of EPAct, 42 U.S.C. § 13263a, are in compliance with </w:t>
      </w:r>
      <w:r w:rsidR="00792E9D" w:rsidRPr="00F84703">
        <w:t>the</w:t>
      </w:r>
      <w:r w:rsidR="009A4F71" w:rsidRPr="00F84703">
        <w:t xml:space="preserve"> applicable</w:t>
      </w:r>
      <w:r w:rsidR="00792E9D" w:rsidRPr="00F84703">
        <w:t xml:space="preserve"> requirements</w:t>
      </w:r>
      <w:r w:rsidR="00CC200F" w:rsidRPr="00F84703">
        <w:t xml:space="preserve">.  </w:t>
      </w:r>
      <w:r w:rsidRPr="00F84703">
        <w:t>The implementing regulat</w:t>
      </w:r>
      <w:r w:rsidR="00CC200F" w:rsidRPr="00F84703">
        <w:t xml:space="preserve">ions for these statutory </w:t>
      </w:r>
      <w:r w:rsidRPr="00F84703">
        <w:t>provisions appear at 10</w:t>
      </w:r>
      <w:r w:rsidR="00CC200F" w:rsidRPr="00F84703">
        <w:t xml:space="preserve"> </w:t>
      </w:r>
      <w:r w:rsidRPr="00F84703">
        <w:t xml:space="preserve">C.F.R. </w:t>
      </w:r>
      <w:r w:rsidR="00A733E0" w:rsidRPr="00F84703">
        <w:t xml:space="preserve">Part 490.  </w:t>
      </w:r>
      <w:r w:rsidRPr="00F84703">
        <w:t xml:space="preserve">Because </w:t>
      </w:r>
      <w:r w:rsidR="00A733E0" w:rsidRPr="00F84703">
        <w:t>DOE</w:t>
      </w:r>
      <w:r w:rsidRPr="00F84703">
        <w:t xml:space="preserve"> has the authority </w:t>
      </w:r>
      <w:r w:rsidR="00792E9D" w:rsidRPr="00F84703">
        <w:t xml:space="preserve">under Section 512 of EPAct, 42 U.S.C. § 13262 </w:t>
      </w:r>
      <w:r w:rsidRPr="00F84703">
        <w:t xml:space="preserve">to impose civil penalties </w:t>
      </w:r>
      <w:r w:rsidR="005A093D" w:rsidRPr="00F84703">
        <w:t xml:space="preserve">and fines </w:t>
      </w:r>
      <w:r w:rsidRPr="00F84703">
        <w:t>on those who violate the</w:t>
      </w:r>
      <w:r w:rsidR="00792E9D" w:rsidRPr="00F84703">
        <w:t xml:space="preserve"> aforementioned </w:t>
      </w:r>
      <w:r w:rsidR="00A733E0" w:rsidRPr="00F84703">
        <w:t>statutory and regulatory provisions</w:t>
      </w:r>
      <w:r w:rsidRPr="00F84703">
        <w:t xml:space="preserve">, information collection is necessary to determine whether alternative fuel provider and </w:t>
      </w:r>
      <w:r w:rsidR="00A733E0" w:rsidRPr="00F84703">
        <w:t>S</w:t>
      </w:r>
      <w:r w:rsidRPr="00F84703">
        <w:t xml:space="preserve">tate </w:t>
      </w:r>
      <w:r w:rsidR="00224744" w:rsidRPr="00F84703">
        <w:t xml:space="preserve">government </w:t>
      </w:r>
      <w:r w:rsidRPr="00F84703">
        <w:t xml:space="preserve">fleets are in compliance with these </w:t>
      </w:r>
      <w:r w:rsidR="00792E9D" w:rsidRPr="00F84703">
        <w:t>provisions</w:t>
      </w:r>
      <w:r w:rsidRPr="00F84703">
        <w:t>.</w:t>
      </w:r>
    </w:p>
    <w:p w14:paraId="301618A0" w14:textId="77777777" w:rsidR="00DF3661" w:rsidRPr="00F84703" w:rsidRDefault="00DF3661" w:rsidP="009C33BB">
      <w:pPr>
        <w:pStyle w:val="BodyText"/>
        <w:jc w:val="left"/>
      </w:pPr>
    </w:p>
    <w:p w14:paraId="5ABB8020" w14:textId="77777777" w:rsidR="00123C4A" w:rsidRPr="00F84703" w:rsidRDefault="00123C4A" w:rsidP="00184C46">
      <w:pPr>
        <w:numPr>
          <w:ilvl w:val="0"/>
          <w:numId w:val="7"/>
        </w:numPr>
        <w:rPr>
          <w:b/>
          <w:u w:val="single"/>
        </w:rPr>
      </w:pPr>
      <w:r w:rsidRPr="00F84703">
        <w:rPr>
          <w:b/>
          <w:u w:val="single"/>
        </w:rPr>
        <w:t xml:space="preserve">Indicate how, by whom, and for what purpose the information is to be </w:t>
      </w:r>
      <w:r w:rsidR="005377BE" w:rsidRPr="00F84703">
        <w:rPr>
          <w:b/>
          <w:u w:val="single"/>
        </w:rPr>
        <w:t xml:space="preserve">used. </w:t>
      </w:r>
      <w:r w:rsidR="009A4F71" w:rsidRPr="00F84703">
        <w:rPr>
          <w:b/>
          <w:u w:val="single"/>
        </w:rPr>
        <w:t xml:space="preserve"> </w:t>
      </w:r>
      <w:r w:rsidR="005377BE" w:rsidRPr="00F84703">
        <w:rPr>
          <w:b/>
          <w:u w:val="single"/>
        </w:rPr>
        <w:t>Except for a new collection, indicate the actual use the agency has made of the information received from the current collection</w:t>
      </w:r>
      <w:r w:rsidR="009A4F71" w:rsidRPr="00F84703">
        <w:rPr>
          <w:b/>
          <w:u w:val="single"/>
        </w:rPr>
        <w:t>.</w:t>
      </w:r>
      <w:r w:rsidR="005377BE" w:rsidRPr="00F84703">
        <w:rPr>
          <w:b/>
          <w:u w:val="single"/>
        </w:rPr>
        <w:t xml:space="preserve"> </w:t>
      </w:r>
    </w:p>
    <w:p w14:paraId="662F28D5" w14:textId="77777777" w:rsidR="00E65FC8" w:rsidRPr="00F84703" w:rsidRDefault="00E65FC8" w:rsidP="00184C46">
      <w:pPr>
        <w:rPr>
          <w:b/>
          <w:u w:val="single"/>
        </w:rPr>
      </w:pPr>
    </w:p>
    <w:p w14:paraId="3A3E7215" w14:textId="23198156" w:rsidR="00E65FC8" w:rsidRPr="00F84703" w:rsidRDefault="00A733E0" w:rsidP="00A733E0">
      <w:pPr>
        <w:pStyle w:val="BodyText"/>
        <w:jc w:val="left"/>
      </w:pPr>
      <w:r w:rsidRPr="00F84703">
        <w:t xml:space="preserve">The </w:t>
      </w:r>
      <w:r w:rsidR="00310F88" w:rsidRPr="00F84703">
        <w:t xml:space="preserve">DOE </w:t>
      </w:r>
      <w:r w:rsidR="00360C86">
        <w:rPr>
          <w:lang w:val="en-US"/>
        </w:rPr>
        <w:t>EERE</w:t>
      </w:r>
      <w:r w:rsidRPr="00F84703">
        <w:t xml:space="preserve"> has used the information to </w:t>
      </w:r>
      <w:r w:rsidR="00310F88" w:rsidRPr="00F84703">
        <w:t>determine</w:t>
      </w:r>
      <w:r w:rsidRPr="00F84703">
        <w:t xml:space="preserve"> compliance with </w:t>
      </w:r>
      <w:r w:rsidR="00CC200F" w:rsidRPr="00F84703">
        <w:t xml:space="preserve">the </w:t>
      </w:r>
      <w:r w:rsidRPr="00F84703">
        <w:t>AFV</w:t>
      </w:r>
      <w:r w:rsidR="00BE3A0D" w:rsidRPr="00F84703">
        <w:t>-</w:t>
      </w:r>
      <w:r w:rsidRPr="00F84703">
        <w:t>acquisition mandates</w:t>
      </w:r>
      <w:r w:rsidR="00310F88" w:rsidRPr="00F84703">
        <w:t>,</w:t>
      </w:r>
      <w:r w:rsidRPr="00F84703">
        <w:t xml:space="preserve"> manage the allocation and recording of AFV credits</w:t>
      </w:r>
      <w:r w:rsidR="00310F88" w:rsidRPr="00F84703">
        <w:t xml:space="preserve">, and verify compliance with the requirements of the alternative compliance </w:t>
      </w:r>
      <w:r w:rsidR="007F26A8" w:rsidRPr="00F84703">
        <w:t>program</w:t>
      </w:r>
      <w:r w:rsidRPr="00F84703">
        <w:t xml:space="preserve">.  </w:t>
      </w:r>
      <w:r w:rsidR="00BE3A0D" w:rsidRPr="00F84703">
        <w:t xml:space="preserve">The information collected is reviewed to ensure accuracy in terms of information reported, and the information reported is compared with the regulatory requirements to determine compliance.  </w:t>
      </w:r>
      <w:r w:rsidRPr="00F84703">
        <w:t>If this information is not collected, DOE will have no way of determining whether alternative fuel provider and State fleets are complying with the regulations</w:t>
      </w:r>
      <w:r w:rsidR="00360C86">
        <w:rPr>
          <w:lang w:val="en-US"/>
        </w:rPr>
        <w:t>,</w:t>
      </w:r>
      <w:r w:rsidRPr="00F84703">
        <w:t xml:space="preserve"> and whether credits should be allocated to these fleets. </w:t>
      </w:r>
      <w:r w:rsidR="00BE3A0D" w:rsidRPr="00F84703">
        <w:t xml:space="preserve"> </w:t>
      </w:r>
      <w:r w:rsidR="000A42F6">
        <w:t xml:space="preserve">There is no requirement that DOE develop or draft </w:t>
      </w:r>
      <w:r w:rsidR="009D7816">
        <w:rPr>
          <w:lang w:val="en-US"/>
        </w:rPr>
        <w:t xml:space="preserve">an </w:t>
      </w:r>
      <w:r w:rsidR="000A42F6">
        <w:t xml:space="preserve">annual report regarding the </w:t>
      </w:r>
      <w:r w:rsidR="0019648C" w:rsidRPr="00F84703">
        <w:t>Alternative Fuel Transportation Program</w:t>
      </w:r>
      <w:r w:rsidR="0019648C">
        <w:t xml:space="preserve"> </w:t>
      </w:r>
      <w:r w:rsidR="0019648C">
        <w:rPr>
          <w:lang w:val="en-US"/>
        </w:rPr>
        <w:t>(</w:t>
      </w:r>
      <w:r w:rsidR="000A42F6">
        <w:t>AFTP</w:t>
      </w:r>
      <w:r w:rsidR="0019648C">
        <w:rPr>
          <w:lang w:val="en-US"/>
        </w:rPr>
        <w:t>)</w:t>
      </w:r>
      <w:r w:rsidR="000A42F6">
        <w:t xml:space="preserve">.  The AFTP, however, has developed an annual compliance results summary that is an annual compilation of the information obtained from annual reports covered fleets have filed.  Recent year summaries for the AFTP are available at </w:t>
      </w:r>
      <w:hyperlink r:id="rId10" w:history="1">
        <w:r w:rsidR="000A42F6" w:rsidRPr="0076098B">
          <w:rPr>
            <w:rStyle w:val="Hyperlink"/>
          </w:rPr>
          <w:t>http://www1.eere.energy.gov/vehiclesandfuels/epact/program_annual_reports.html</w:t>
        </w:r>
      </w:hyperlink>
      <w:r w:rsidR="000A42F6">
        <w:t>.</w:t>
      </w:r>
    </w:p>
    <w:p w14:paraId="08AB6F64" w14:textId="77777777" w:rsidR="00486E8E" w:rsidRPr="00F84703" w:rsidRDefault="00486E8E" w:rsidP="00184C46"/>
    <w:p w14:paraId="33DD080D" w14:textId="77777777" w:rsidR="00123C4A" w:rsidRPr="00F84703" w:rsidRDefault="00123C4A" w:rsidP="00184C46">
      <w:pPr>
        <w:numPr>
          <w:ilvl w:val="0"/>
          <w:numId w:val="7"/>
        </w:numPr>
        <w:rPr>
          <w:b/>
          <w:u w:val="single"/>
        </w:rPr>
      </w:pPr>
      <w:r w:rsidRPr="00F84703">
        <w:rPr>
          <w:b/>
          <w:u w:val="single"/>
        </w:rPr>
        <w:t>Describe whether, and to what extent, the collection of information involves the use of automated, electronic, mechanical, or other technological collection techniques or other forms of information technology</w:t>
      </w:r>
      <w:r w:rsidR="005377BE" w:rsidRPr="00F84703">
        <w:rPr>
          <w:b/>
          <w:u w:val="single"/>
        </w:rPr>
        <w:t xml:space="preserve">, </w:t>
      </w:r>
      <w:r w:rsidR="005377BE" w:rsidRPr="00E21481">
        <w:rPr>
          <w:b/>
          <w:i/>
          <w:u w:val="single"/>
        </w:rPr>
        <w:t>e.g.</w:t>
      </w:r>
      <w:r w:rsidR="005377BE" w:rsidRPr="00F84703">
        <w:rPr>
          <w:b/>
          <w:u w:val="single"/>
        </w:rPr>
        <w:t>, permitting electronic submission of responses</w:t>
      </w:r>
      <w:r w:rsidRPr="00F84703">
        <w:rPr>
          <w:b/>
          <w:u w:val="single"/>
        </w:rPr>
        <w:t xml:space="preserve">. </w:t>
      </w:r>
    </w:p>
    <w:p w14:paraId="418AA175" w14:textId="77777777" w:rsidR="00486E8E" w:rsidRPr="00F84703" w:rsidRDefault="00486E8E" w:rsidP="00184C46"/>
    <w:p w14:paraId="7E60CAF5" w14:textId="63DE15C9" w:rsidR="00486E8E" w:rsidRPr="00F84703" w:rsidRDefault="00310F88" w:rsidP="00184C46">
      <w:r w:rsidRPr="00F84703">
        <w:t xml:space="preserve">With the exception of </w:t>
      </w:r>
      <w:r w:rsidR="00072F2D" w:rsidRPr="00F84703">
        <w:t xml:space="preserve">the alternative compliance </w:t>
      </w:r>
      <w:r w:rsidR="007F26A8" w:rsidRPr="00F84703">
        <w:t>program</w:t>
      </w:r>
      <w:r w:rsidR="00072F2D" w:rsidRPr="00F84703">
        <w:t>, t</w:t>
      </w:r>
      <w:r w:rsidR="00A733E0" w:rsidRPr="00F84703">
        <w:t xml:space="preserve">he information is reported to a relational database (Oracle), which is accessible via the Internet </w:t>
      </w:r>
      <w:r w:rsidR="00C34068">
        <w:t xml:space="preserve">using a web-based reporting tool. </w:t>
      </w:r>
      <w:r w:rsidR="00411612">
        <w:t xml:space="preserve"> </w:t>
      </w:r>
      <w:r w:rsidR="00870A5B" w:rsidRPr="00F84703">
        <w:t>The database is password protected.</w:t>
      </w:r>
      <w:r w:rsidR="00870A5B">
        <w:t xml:space="preserve"> </w:t>
      </w:r>
      <w:r w:rsidR="00411612">
        <w:t xml:space="preserve"> </w:t>
      </w:r>
      <w:r w:rsidR="00A733E0" w:rsidRPr="00F84703">
        <w:t xml:space="preserve">Data can </w:t>
      </w:r>
      <w:r w:rsidR="00411612">
        <w:t xml:space="preserve">also </w:t>
      </w:r>
      <w:r w:rsidR="00A733E0" w:rsidRPr="00F84703">
        <w:t xml:space="preserve">be submitted by </w:t>
      </w:r>
      <w:r w:rsidR="00535320" w:rsidRPr="00F84703">
        <w:t xml:space="preserve">email, </w:t>
      </w:r>
      <w:r w:rsidR="00A733E0" w:rsidRPr="00F84703">
        <w:t>computer disk</w:t>
      </w:r>
      <w:r w:rsidR="00535320" w:rsidRPr="00F84703">
        <w:t>, U.S. mail,</w:t>
      </w:r>
      <w:r w:rsidR="00A733E0" w:rsidRPr="00F84703">
        <w:t xml:space="preserve"> or </w:t>
      </w:r>
      <w:r w:rsidR="009A4F71" w:rsidRPr="00F84703">
        <w:t xml:space="preserve">by </w:t>
      </w:r>
      <w:r w:rsidR="00A733E0" w:rsidRPr="00F84703">
        <w:t>faxing directly to the database</w:t>
      </w:r>
      <w:r w:rsidR="00535320" w:rsidRPr="00F84703">
        <w:t xml:space="preserve"> manager</w:t>
      </w:r>
      <w:r w:rsidR="00A733E0" w:rsidRPr="00F84703">
        <w:t xml:space="preserve">.  </w:t>
      </w:r>
      <w:r w:rsidR="00BC2686">
        <w:t xml:space="preserve">The information that can be submitted via the Internet is identical to the information that can be submitted by email, computer disk, U.S. mail, or by fax.  The information submitted via email, computer disk, U.S. mail, or by fax is collected using the Standard Compliance Reporting Spreadsheet.  The information collected via the Internet does </w:t>
      </w:r>
      <w:r w:rsidR="00BC2686" w:rsidRPr="00B11F0B">
        <w:t>not</w:t>
      </w:r>
      <w:r w:rsidR="00BC2686">
        <w:t xml:space="preserve"> include any information beyond that which is collected using the Spreadsheet. </w:t>
      </w:r>
      <w:r w:rsidR="00411612">
        <w:t xml:space="preserve"> </w:t>
      </w:r>
      <w:r w:rsidR="00A733E0" w:rsidRPr="00F84703">
        <w:t xml:space="preserve">Reporting via </w:t>
      </w:r>
      <w:r w:rsidR="00411612">
        <w:t xml:space="preserve">the </w:t>
      </w:r>
      <w:r w:rsidR="00A733E0" w:rsidRPr="00F84703">
        <w:t>Internet reduces the respondents’ burden by allowing similar data to be entered with minimal changes on a computer form, instead of duplicating the majority of data on paper forms.</w:t>
      </w:r>
    </w:p>
    <w:p w14:paraId="625727D1" w14:textId="77777777" w:rsidR="00072F2D" w:rsidRPr="00F84703" w:rsidRDefault="00072F2D" w:rsidP="00184C46"/>
    <w:p w14:paraId="449F5EDB" w14:textId="16351EA2" w:rsidR="00072F2D" w:rsidRPr="00F84703" w:rsidRDefault="00072F2D" w:rsidP="00184C46">
      <w:r w:rsidRPr="00F84703">
        <w:t xml:space="preserve">With regard to alternative compliance, the </w:t>
      </w:r>
      <w:r w:rsidR="004B0A4C" w:rsidRPr="00F84703">
        <w:t xml:space="preserve">submittal and </w:t>
      </w:r>
      <w:r w:rsidRPr="00F84703">
        <w:t xml:space="preserve">collection of information </w:t>
      </w:r>
      <w:r w:rsidR="004B0A4C" w:rsidRPr="00F84703">
        <w:t>is</w:t>
      </w:r>
      <w:r w:rsidR="00237F6A">
        <w:t xml:space="preserve"> only</w:t>
      </w:r>
      <w:r w:rsidR="004B0A4C" w:rsidRPr="00F84703">
        <w:t xml:space="preserve"> </w:t>
      </w:r>
      <w:r w:rsidR="00237F6A">
        <w:t xml:space="preserve">performed </w:t>
      </w:r>
      <w:r w:rsidR="004B0A4C" w:rsidRPr="00F84703">
        <w:t xml:space="preserve">by </w:t>
      </w:r>
      <w:r w:rsidR="00397CA4">
        <w:t>email</w:t>
      </w:r>
      <w:r w:rsidR="00237F6A">
        <w:t>ing</w:t>
      </w:r>
      <w:r w:rsidR="00397CA4">
        <w:t xml:space="preserve"> documents </w:t>
      </w:r>
      <w:r w:rsidR="004B0A4C" w:rsidRPr="00F84703">
        <w:t xml:space="preserve">or </w:t>
      </w:r>
      <w:r w:rsidR="001A0F65">
        <w:t>mail</w:t>
      </w:r>
      <w:r w:rsidR="00237F6A">
        <w:t>ing</w:t>
      </w:r>
      <w:r w:rsidR="001A0F65">
        <w:t xml:space="preserve"> </w:t>
      </w:r>
      <w:r w:rsidR="004B0A4C" w:rsidRPr="00F84703">
        <w:t>hard cop</w:t>
      </w:r>
      <w:r w:rsidR="00237F6A">
        <w:t>ies</w:t>
      </w:r>
      <w:r w:rsidR="004B0A4C" w:rsidRPr="00F84703">
        <w:t xml:space="preserve"> and </w:t>
      </w:r>
      <w:r w:rsidRPr="00F84703">
        <w:t xml:space="preserve">does not involve technological collection techniques. </w:t>
      </w:r>
      <w:r w:rsidR="00237F6A">
        <w:t xml:space="preserve"> </w:t>
      </w:r>
      <w:r w:rsidR="00397CA4">
        <w:t>Data from the reports is transcribed into the database by the database manager</w:t>
      </w:r>
      <w:r w:rsidR="000E03B9">
        <w:t>; reporting entities do not interact directly with the database</w:t>
      </w:r>
      <w:r w:rsidR="00397CA4">
        <w:t>.</w:t>
      </w:r>
    </w:p>
    <w:p w14:paraId="3106E0E9" w14:textId="77777777" w:rsidR="00C46F0F" w:rsidRPr="00F84703" w:rsidRDefault="00C46F0F" w:rsidP="00184C46"/>
    <w:p w14:paraId="6FEF0CF4" w14:textId="77777777" w:rsidR="00C46F0F" w:rsidRPr="00F84703" w:rsidRDefault="00123C4A" w:rsidP="00184C46">
      <w:pPr>
        <w:numPr>
          <w:ilvl w:val="0"/>
          <w:numId w:val="7"/>
        </w:numPr>
        <w:rPr>
          <w:b/>
          <w:u w:val="single"/>
        </w:rPr>
      </w:pPr>
      <w:r w:rsidRPr="00F84703">
        <w:rPr>
          <w:b/>
          <w:u w:val="single"/>
        </w:rPr>
        <w:t xml:space="preserve">Describe efforts to identify duplication. </w:t>
      </w:r>
    </w:p>
    <w:p w14:paraId="40D0E354" w14:textId="77777777" w:rsidR="00C46F0F" w:rsidRPr="00F84703" w:rsidRDefault="00C46F0F" w:rsidP="00184C46">
      <w:pPr>
        <w:rPr>
          <w:b/>
          <w:u w:val="single"/>
        </w:rPr>
      </w:pPr>
    </w:p>
    <w:p w14:paraId="28ADDC91" w14:textId="77777777" w:rsidR="00C60823" w:rsidRDefault="00BB4738" w:rsidP="00A733E0">
      <w:r>
        <w:t>T</w:t>
      </w:r>
      <w:r w:rsidR="00792528" w:rsidRPr="00F84703">
        <w:t>his collection of information is specific to DOE</w:t>
      </w:r>
      <w:r w:rsidR="0095341B" w:rsidRPr="00F84703">
        <w:t>.</w:t>
      </w:r>
      <w:r w:rsidR="00C60823">
        <w:t xml:space="preserve">  While there are</w:t>
      </w:r>
      <w:r w:rsidR="007946F6">
        <w:t xml:space="preserve"> other</w:t>
      </w:r>
      <w:r w:rsidR="00C60823">
        <w:t xml:space="preserve"> Federal agencies that collect information related to alternative fuels or alternative fuel vehicle acquisitions,</w:t>
      </w:r>
      <w:r w:rsidR="003A5C88">
        <w:t xml:space="preserve"> th</w:t>
      </w:r>
      <w:r w:rsidR="007946F6">
        <w:t>at</w:t>
      </w:r>
      <w:r w:rsidR="003A5C88">
        <w:t xml:space="preserve"> information is similar to </w:t>
      </w:r>
      <w:r w:rsidR="007946F6">
        <w:t>w</w:t>
      </w:r>
      <w:r w:rsidR="003A5C88">
        <w:t xml:space="preserve">hat </w:t>
      </w:r>
      <w:r w:rsidR="007946F6">
        <w:t xml:space="preserve">DOE </w:t>
      </w:r>
      <w:r w:rsidR="003A5C88">
        <w:t>collect</w:t>
      </w:r>
      <w:r w:rsidR="007946F6">
        <w:t>s</w:t>
      </w:r>
      <w:r w:rsidR="003A5C88">
        <w:t xml:space="preserve"> under the AFTP only in that it</w:t>
      </w:r>
      <w:r w:rsidR="007946F6">
        <w:t xml:space="preserve"> </w:t>
      </w:r>
      <w:r w:rsidR="003A5C88">
        <w:t>relate</w:t>
      </w:r>
      <w:r w:rsidR="007946F6">
        <w:t>s</w:t>
      </w:r>
      <w:r w:rsidR="003A5C88">
        <w:t xml:space="preserve"> to alternative fuels or AFVs</w:t>
      </w:r>
      <w:r w:rsidR="007946F6">
        <w:t xml:space="preserve">. </w:t>
      </w:r>
      <w:r w:rsidR="00237F6A">
        <w:t xml:space="preserve"> </w:t>
      </w:r>
      <w:r w:rsidR="007946F6">
        <w:t>Hence there is no duplication</w:t>
      </w:r>
      <w:r w:rsidR="003A5C88">
        <w:t>.</w:t>
      </w:r>
      <w:r w:rsidR="007946F6" w:rsidDel="007946F6">
        <w:t xml:space="preserve"> </w:t>
      </w:r>
      <w:r w:rsidR="007946F6">
        <w:t xml:space="preserve"> </w:t>
      </w:r>
      <w:r w:rsidR="00C60823">
        <w:t>For exampl</w:t>
      </w:r>
      <w:r w:rsidR="007946F6">
        <w:t>es</w:t>
      </w:r>
      <w:r w:rsidR="00C60823">
        <w:t>:</w:t>
      </w:r>
    </w:p>
    <w:p w14:paraId="30F3725B" w14:textId="77777777" w:rsidR="00C60823" w:rsidRDefault="00C60823" w:rsidP="00A733E0"/>
    <w:p w14:paraId="0676D212" w14:textId="0EE4EF2B" w:rsidR="00C60823" w:rsidRPr="00BB4738" w:rsidRDefault="00C60823" w:rsidP="00C60823">
      <w:pPr>
        <w:pStyle w:val="ListParagraph"/>
        <w:widowControl w:val="0"/>
        <w:numPr>
          <w:ilvl w:val="0"/>
          <w:numId w:val="26"/>
        </w:numPr>
        <w:autoSpaceDE w:val="0"/>
        <w:autoSpaceDN w:val="0"/>
        <w:adjustRightInd w:val="0"/>
        <w:spacing w:before="120"/>
      </w:pPr>
      <w:r w:rsidRPr="00BB4738">
        <w:t>The Energy Information Administration collects information for an annual survey regarding the number and type of alternative fueled vehicles and other advanced technology vehicles that vehicle suppliers made available’ in the reporting year and plan to make available in the current calendar year.  The survey also collects information regarding:</w:t>
      </w:r>
    </w:p>
    <w:p w14:paraId="1765BB2F" w14:textId="77777777" w:rsidR="00C60823" w:rsidRPr="00BB4738" w:rsidRDefault="00C60823" w:rsidP="00BB4738">
      <w:pPr>
        <w:pStyle w:val="ListParagraph"/>
        <w:widowControl w:val="0"/>
        <w:numPr>
          <w:ilvl w:val="1"/>
          <w:numId w:val="26"/>
        </w:numPr>
        <w:autoSpaceDE w:val="0"/>
        <w:autoSpaceDN w:val="0"/>
        <w:adjustRightInd w:val="0"/>
        <w:spacing w:before="120"/>
      </w:pPr>
      <w:r w:rsidRPr="00BB4738">
        <w:t>The number, type, miles traveled</w:t>
      </w:r>
      <w:r w:rsidR="00352C4D">
        <w:t>,</w:t>
      </w:r>
      <w:r w:rsidRPr="00BB4738">
        <w:t xml:space="preserve"> and geographic distribution of AFVs in use in the reporting year;</w:t>
      </w:r>
    </w:p>
    <w:p w14:paraId="34CAA7DB" w14:textId="77777777" w:rsidR="00C60823" w:rsidRPr="00BB4738" w:rsidRDefault="00C60823" w:rsidP="00BB4738">
      <w:pPr>
        <w:pStyle w:val="ListParagraph"/>
        <w:widowControl w:val="0"/>
        <w:numPr>
          <w:ilvl w:val="1"/>
          <w:numId w:val="26"/>
        </w:numPr>
        <w:autoSpaceDE w:val="0"/>
        <w:autoSpaceDN w:val="0"/>
        <w:adjustRightInd w:val="0"/>
        <w:spacing w:before="120"/>
      </w:pPr>
      <w:r w:rsidRPr="00BB4738">
        <w:t>The amount and distribution of each type of alternative fuel consumed in the reporting year (i.e., previous calendar year); and</w:t>
      </w:r>
    </w:p>
    <w:p w14:paraId="5D9655B9" w14:textId="77777777" w:rsidR="00C60823" w:rsidRPr="00BB4738" w:rsidRDefault="00C60823" w:rsidP="00BB4738">
      <w:pPr>
        <w:pStyle w:val="ListParagraph"/>
        <w:widowControl w:val="0"/>
        <w:numPr>
          <w:ilvl w:val="1"/>
          <w:numId w:val="26"/>
        </w:numPr>
        <w:autoSpaceDE w:val="0"/>
        <w:autoSpaceDN w:val="0"/>
        <w:adjustRightInd w:val="0"/>
        <w:spacing w:before="120"/>
      </w:pPr>
      <w:r w:rsidRPr="00BB4738">
        <w:t>The number, type, and disposition of vehicle retirements in the reporting year.</w:t>
      </w:r>
    </w:p>
    <w:p w14:paraId="6B6379E3" w14:textId="77777777" w:rsidR="00672345" w:rsidRPr="00BB4738" w:rsidRDefault="00672345" w:rsidP="00BB4738">
      <w:pPr>
        <w:pStyle w:val="ListParagraph"/>
        <w:ind w:left="1080"/>
      </w:pPr>
    </w:p>
    <w:p w14:paraId="6247F7F1" w14:textId="77777777" w:rsidR="00A733E0" w:rsidRPr="00BB4738" w:rsidRDefault="00C60823" w:rsidP="00BB4738">
      <w:pPr>
        <w:pStyle w:val="ListParagraph"/>
        <w:numPr>
          <w:ilvl w:val="0"/>
          <w:numId w:val="29"/>
        </w:numPr>
      </w:pPr>
      <w:r w:rsidRPr="00BB4738">
        <w:t>The entities surveyed, however, do not include the entities that comprise the covered fleets under the AFTP.</w:t>
      </w:r>
    </w:p>
    <w:p w14:paraId="7DFFC9C4" w14:textId="77777777" w:rsidR="00C60823" w:rsidRPr="00BB4738" w:rsidRDefault="00C60823" w:rsidP="00C60823"/>
    <w:p w14:paraId="58EC4FA6" w14:textId="77777777" w:rsidR="00672345" w:rsidRPr="00BB4738" w:rsidRDefault="00C60823" w:rsidP="00BB4738">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rsidRPr="00BB4738">
        <w:t xml:space="preserve">The Federal Trade Commission </w:t>
      </w:r>
      <w:r w:rsidR="003A5C88" w:rsidRPr="00BB4738">
        <w:t xml:space="preserve">collects information under its Alternative Fuels Rule (16 CFR Part 309).     </w:t>
      </w:r>
    </w:p>
    <w:p w14:paraId="7CB87F6C" w14:textId="77777777" w:rsidR="00672345" w:rsidRPr="00BB4738" w:rsidRDefault="00672345" w:rsidP="00BB4738">
      <w:pPr>
        <w:pStyle w:val="ListParagraph"/>
      </w:pPr>
    </w:p>
    <w:p w14:paraId="4CFD568F" w14:textId="77777777" w:rsidR="00672345" w:rsidRPr="00BB4738" w:rsidRDefault="003A5C88" w:rsidP="00BB4738">
      <w:pPr>
        <w:pStyle w:val="ListParagraph"/>
        <w:numPr>
          <w:ilvl w:val="1"/>
          <w:numId w:val="25"/>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BB4738">
        <w:t xml:space="preserve">The Rule requires disclosure of specific information on labels posted on fuel dispensers for non-liquid alternative fuels and on labels on AFVs.  </w:t>
      </w:r>
    </w:p>
    <w:p w14:paraId="2DEE7D66" w14:textId="77777777" w:rsidR="00672345" w:rsidRPr="00BB4738" w:rsidRDefault="00672345" w:rsidP="00BB4738">
      <w:pPr>
        <w:pStyle w:val="ListParagraph"/>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314D768A" w14:textId="77777777" w:rsidR="003A5C88" w:rsidRPr="00BB4738" w:rsidRDefault="003A5C88" w:rsidP="00BB4738">
      <w:pPr>
        <w:pStyle w:val="ListParagraph"/>
        <w:numPr>
          <w:ilvl w:val="0"/>
          <w:numId w:val="28"/>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B4738">
        <w:t>This information is distinctly different from any and all information that is collected under the AFTP.</w:t>
      </w:r>
    </w:p>
    <w:p w14:paraId="03C966BA" w14:textId="77777777" w:rsidR="003A5C88" w:rsidRPr="00BB4738" w:rsidRDefault="003A5C88" w:rsidP="00BB4738">
      <w:pPr>
        <w:pStyle w:val="ListParagraph"/>
      </w:pPr>
    </w:p>
    <w:p w14:paraId="607691D5" w14:textId="77777777" w:rsidR="00672345" w:rsidRPr="00BB4738" w:rsidRDefault="003A5C88" w:rsidP="00BB4738">
      <w:pPr>
        <w:pStyle w:val="Defaul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rPr>
      </w:pPr>
      <w:r w:rsidRPr="00BB4738">
        <w:rPr>
          <w:rFonts w:ascii="Times New Roman" w:hAnsi="Times New Roman" w:cs="Times New Roman"/>
        </w:rPr>
        <w:t xml:space="preserve">The Treasury Department/Internal Revenue Service collects information regarding certification procedures related to the qualified alternative fuel motor vehicle (QAFMV) credit under § 30B(a)(4) and (e) of the Internal Revenue Code (including the reduced credit under § 30B(e)(5) for mixed-fuel vehicles).  </w:t>
      </w:r>
    </w:p>
    <w:p w14:paraId="3FC59549" w14:textId="1781BE7F" w:rsidR="003A5C88" w:rsidRPr="00BB4738" w:rsidRDefault="003A5C88" w:rsidP="00BB4738">
      <w:pPr>
        <w:pStyle w:val="Default"/>
        <w:numPr>
          <w:ilvl w:val="1"/>
          <w:numId w:val="25"/>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imes New Roman" w:hAnsi="Times New Roman" w:cs="Times New Roman"/>
        </w:rPr>
      </w:pPr>
      <w:r w:rsidRPr="00BB4738">
        <w:rPr>
          <w:rFonts w:ascii="Times New Roman" w:hAnsi="Times New Roman" w:cs="Times New Roman"/>
        </w:rPr>
        <w:t xml:space="preserve">The information collected is intended to ensure that vehicles meet the requirements for the QAFMV credit under § </w:t>
      </w:r>
      <w:r w:rsidR="004D3EE7" w:rsidRPr="00BB4738">
        <w:rPr>
          <w:rFonts w:ascii="Times New Roman" w:hAnsi="Times New Roman" w:cs="Times New Roman"/>
        </w:rPr>
        <w:t>30B (</w:t>
      </w:r>
      <w:r w:rsidRPr="00BB4738">
        <w:rPr>
          <w:rFonts w:ascii="Times New Roman" w:hAnsi="Times New Roman" w:cs="Times New Roman"/>
        </w:rPr>
        <w:t xml:space="preserve">a)(4) and (e). </w:t>
      </w:r>
    </w:p>
    <w:p w14:paraId="19FCE37E" w14:textId="77777777" w:rsidR="003A5C88" w:rsidRPr="00BB4738" w:rsidRDefault="003A5C88" w:rsidP="00BB4738">
      <w:pPr>
        <w:pStyle w:val="Default"/>
        <w:numPr>
          <w:ilvl w:val="1"/>
          <w:numId w:val="25"/>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imes New Roman" w:hAnsi="Times New Roman" w:cs="Times New Roman"/>
        </w:rPr>
      </w:pPr>
      <w:r w:rsidRPr="00BB4738">
        <w:rPr>
          <w:rFonts w:ascii="Times New Roman" w:hAnsi="Times New Roman" w:cs="Times New Roman"/>
        </w:rPr>
        <w:t xml:space="preserve">This information </w:t>
      </w:r>
      <w:r w:rsidR="007946F6">
        <w:rPr>
          <w:rFonts w:ascii="Times New Roman" w:hAnsi="Times New Roman" w:cs="Times New Roman"/>
        </w:rPr>
        <w:t xml:space="preserve">is </w:t>
      </w:r>
      <w:r w:rsidRPr="00BB4738">
        <w:rPr>
          <w:rFonts w:ascii="Times New Roman" w:hAnsi="Times New Roman" w:cs="Times New Roman"/>
        </w:rPr>
        <w:t xml:space="preserve">used to determine whether the vehicle for which the credit is claimed by a taxpayer is property that qualifies for the credit. </w:t>
      </w:r>
    </w:p>
    <w:p w14:paraId="15B027AD" w14:textId="77777777" w:rsidR="003A5C88" w:rsidRPr="00BB4738" w:rsidRDefault="003A5C88" w:rsidP="00BB4738">
      <w:pPr>
        <w:pStyle w:val="Default"/>
        <w:numPr>
          <w:ilvl w:val="1"/>
          <w:numId w:val="25"/>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imes New Roman" w:hAnsi="Times New Roman" w:cs="Times New Roman"/>
        </w:rPr>
      </w:pPr>
      <w:r w:rsidRPr="00BB4738">
        <w:rPr>
          <w:rFonts w:ascii="Times New Roman" w:hAnsi="Times New Roman" w:cs="Times New Roman"/>
        </w:rPr>
        <w:t xml:space="preserve">The likely respondents are </w:t>
      </w:r>
      <w:r w:rsidR="007946F6">
        <w:rPr>
          <w:rFonts w:ascii="Times New Roman" w:hAnsi="Times New Roman" w:cs="Times New Roman"/>
        </w:rPr>
        <w:t>the vehicle manufacturers, which are not covered fleets under the AFTP</w:t>
      </w:r>
      <w:r w:rsidRPr="00BB4738">
        <w:rPr>
          <w:rFonts w:ascii="Times New Roman" w:hAnsi="Times New Roman" w:cs="Times New Roman"/>
        </w:rPr>
        <w:t>.</w:t>
      </w:r>
    </w:p>
    <w:p w14:paraId="21EED597" w14:textId="77777777" w:rsidR="00672345" w:rsidRPr="00BB4738" w:rsidRDefault="00672345" w:rsidP="00BB4738">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imes New Roman" w:hAnsi="Times New Roman" w:cs="Times New Roman"/>
        </w:rPr>
      </w:pPr>
    </w:p>
    <w:p w14:paraId="6284CF1B" w14:textId="77777777" w:rsidR="00672345" w:rsidRPr="00BB4738" w:rsidRDefault="003A5C88" w:rsidP="00BB4738">
      <w:pPr>
        <w:pStyle w:val="Default"/>
        <w:numPr>
          <w:ilvl w:val="0"/>
          <w:numId w:val="30"/>
        </w:num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B4738">
        <w:rPr>
          <w:rFonts w:ascii="Times New Roman" w:hAnsi="Times New Roman" w:cs="Times New Roman"/>
        </w:rPr>
        <w:t>The entities from who</w:t>
      </w:r>
      <w:r w:rsidR="007946F6">
        <w:rPr>
          <w:rFonts w:ascii="Times New Roman" w:hAnsi="Times New Roman" w:cs="Times New Roman"/>
        </w:rPr>
        <w:t xml:space="preserve"> the inf</w:t>
      </w:r>
      <w:r w:rsidRPr="00BB4738">
        <w:rPr>
          <w:rFonts w:ascii="Times New Roman" w:hAnsi="Times New Roman" w:cs="Times New Roman"/>
        </w:rPr>
        <w:t>ormation is collected are beyond the scope of the entities that comprise the covered fleets under the AFTP.</w:t>
      </w:r>
    </w:p>
    <w:p w14:paraId="4BEFF800" w14:textId="77777777" w:rsidR="00672345" w:rsidRPr="00BB4738" w:rsidRDefault="00672345" w:rsidP="00BB4738">
      <w:pPr>
        <w:pStyle w:val="Default"/>
        <w:numPr>
          <w:ilvl w:val="0"/>
          <w:numId w:val="30"/>
        </w:num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B4738">
        <w:rPr>
          <w:rFonts w:ascii="Times New Roman" w:hAnsi="Times New Roman" w:cs="Times New Roman"/>
        </w:rPr>
        <w:t>The information collected is different in subject, form, and function from that collected under the AFTP.</w:t>
      </w:r>
    </w:p>
    <w:p w14:paraId="5009F403" w14:textId="77777777" w:rsidR="00672345" w:rsidRPr="00BB4738" w:rsidRDefault="00672345" w:rsidP="00BB4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8E2F307" w14:textId="77777777" w:rsidR="00672345" w:rsidRPr="00BB4738" w:rsidRDefault="00672345" w:rsidP="00672345">
      <w:pPr>
        <w:pStyle w:val="Defaul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rPr>
      </w:pPr>
      <w:r w:rsidRPr="00BB4738">
        <w:rPr>
          <w:rFonts w:ascii="Times New Roman" w:hAnsi="Times New Roman" w:cs="Times New Roman"/>
        </w:rPr>
        <w:t>The Treasury Department/Internal Revenue Service</w:t>
      </w:r>
      <w:r w:rsidR="007946F6">
        <w:rPr>
          <w:rFonts w:ascii="Times New Roman" w:hAnsi="Times New Roman" w:cs="Times New Roman"/>
        </w:rPr>
        <w:t xml:space="preserve"> also</w:t>
      </w:r>
      <w:r w:rsidR="00914A21">
        <w:rPr>
          <w:rFonts w:ascii="Times New Roman" w:hAnsi="Times New Roman" w:cs="Times New Roman"/>
        </w:rPr>
        <w:t xml:space="preserve"> </w:t>
      </w:r>
      <w:r w:rsidRPr="00BB4738">
        <w:rPr>
          <w:rFonts w:ascii="Times New Roman" w:hAnsi="Times New Roman" w:cs="Times New Roman"/>
        </w:rPr>
        <w:t xml:space="preserve">collects information that allows property owners to claim tax credit for AFV refueling property, under IRC section 30C. </w:t>
      </w:r>
    </w:p>
    <w:p w14:paraId="25922883" w14:textId="77777777" w:rsidR="00672345" w:rsidRPr="00BB4738" w:rsidRDefault="00672345" w:rsidP="00BB4738">
      <w:pPr>
        <w:pStyle w:val="Default"/>
        <w:numPr>
          <w:ilvl w:val="1"/>
          <w:numId w:val="25"/>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imes New Roman" w:hAnsi="Times New Roman" w:cs="Times New Roman"/>
        </w:rPr>
      </w:pPr>
      <w:r w:rsidRPr="00BB4738">
        <w:rPr>
          <w:rFonts w:ascii="Times New Roman" w:hAnsi="Times New Roman" w:cs="Times New Roman"/>
        </w:rPr>
        <w:t>The information collected</w:t>
      </w:r>
      <w:r w:rsidR="007946F6">
        <w:rPr>
          <w:rFonts w:ascii="Times New Roman" w:hAnsi="Times New Roman" w:cs="Times New Roman"/>
        </w:rPr>
        <w:t xml:space="preserve"> pertains to </w:t>
      </w:r>
      <w:r w:rsidRPr="00BB4738">
        <w:rPr>
          <w:rFonts w:ascii="Times New Roman" w:hAnsi="Times New Roman" w:cs="Times New Roman"/>
        </w:rPr>
        <w:t xml:space="preserve">the amount of money spent, and associated information. </w:t>
      </w:r>
    </w:p>
    <w:p w14:paraId="732902AD" w14:textId="77777777" w:rsidR="007946F6" w:rsidRDefault="00672345" w:rsidP="007946F6">
      <w:pPr>
        <w:pStyle w:val="Default"/>
        <w:numPr>
          <w:ilvl w:val="1"/>
          <w:numId w:val="25"/>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imes New Roman" w:hAnsi="Times New Roman" w:cs="Times New Roman"/>
        </w:rPr>
      </w:pPr>
      <w:r w:rsidRPr="00BB4738">
        <w:rPr>
          <w:rFonts w:ascii="Times New Roman" w:hAnsi="Times New Roman" w:cs="Times New Roman"/>
        </w:rPr>
        <w:t>The likely respondents are corporations and partnerships.</w:t>
      </w:r>
    </w:p>
    <w:p w14:paraId="0758A5EE" w14:textId="77777777" w:rsidR="003025A6" w:rsidRDefault="003025A6" w:rsidP="0043076C">
      <w:pPr>
        <w:pStyle w:val="Default"/>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imes New Roman" w:hAnsi="Times New Roman" w:cs="Times New Roman"/>
        </w:rPr>
      </w:pPr>
    </w:p>
    <w:p w14:paraId="7B571AB8" w14:textId="77777777" w:rsidR="003025A6" w:rsidRDefault="007946F6" w:rsidP="0043076C">
      <w:pPr>
        <w:pStyle w:val="Default"/>
        <w:numPr>
          <w:ilvl w:val="0"/>
          <w:numId w:val="30"/>
        </w:numPr>
        <w:tabs>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imes New Roman" w:hAnsi="Times New Roman" w:cs="Times New Roman"/>
        </w:rPr>
      </w:pPr>
      <w:r w:rsidRPr="007946F6">
        <w:rPr>
          <w:rFonts w:ascii="Times New Roman" w:hAnsi="Times New Roman" w:cs="Times New Roman"/>
        </w:rPr>
        <w:t>The entities from who</w:t>
      </w:r>
      <w:r w:rsidR="00516489">
        <w:rPr>
          <w:rFonts w:ascii="Times New Roman" w:hAnsi="Times New Roman" w:cs="Times New Roman"/>
        </w:rPr>
        <w:t>m</w:t>
      </w:r>
      <w:r w:rsidRPr="007946F6">
        <w:rPr>
          <w:rFonts w:ascii="Times New Roman" w:hAnsi="Times New Roman" w:cs="Times New Roman"/>
        </w:rPr>
        <w:t xml:space="preserve"> information is collected are beyond the scope of the entities that comprise the covered fleets under the AFTP.</w:t>
      </w:r>
    </w:p>
    <w:p w14:paraId="07A40C99" w14:textId="77777777" w:rsidR="00C46F0F" w:rsidRPr="00BB4738" w:rsidRDefault="00672345" w:rsidP="00BB4738">
      <w:pPr>
        <w:pStyle w:val="Default"/>
        <w:numPr>
          <w:ilvl w:val="0"/>
          <w:numId w:val="30"/>
        </w:num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imes New Roman" w:hAnsi="Times New Roman" w:cs="Times New Roman"/>
        </w:rPr>
      </w:pPr>
      <w:r w:rsidRPr="00BB4738">
        <w:rPr>
          <w:rFonts w:ascii="Times New Roman" w:hAnsi="Times New Roman" w:cs="Times New Roman"/>
        </w:rPr>
        <w:t>The information collected is different in subject, form, and function from that collected under the AFTP.</w:t>
      </w:r>
    </w:p>
    <w:p w14:paraId="3B83F019" w14:textId="77777777" w:rsidR="00BB4738" w:rsidRPr="00BB4738" w:rsidRDefault="00BB4738" w:rsidP="00BB4738">
      <w:pPr>
        <w:pStyle w:val="Default"/>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4F9EB07E" w14:textId="77777777" w:rsidR="00BB4738" w:rsidRPr="00BB4738" w:rsidRDefault="009D7816" w:rsidP="00BB4738">
      <w:pPr>
        <w:pStyle w:val="Defaul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rPr>
      </w:pPr>
      <w:r>
        <w:rPr>
          <w:rFonts w:ascii="Times New Roman" w:hAnsi="Times New Roman" w:cs="Times New Roman"/>
        </w:rPr>
        <w:t>The</w:t>
      </w:r>
      <w:r w:rsidR="00BB4738" w:rsidRPr="00BB4738">
        <w:rPr>
          <w:rFonts w:ascii="Times New Roman" w:hAnsi="Times New Roman" w:cs="Times New Roman"/>
        </w:rPr>
        <w:t xml:space="preserve"> U.S. Treasury Department/Internal Revenue Service collects information that allows property owners to claim tax credit for credits and payments from the sale for use of alcohol mixtures, biodiesel mixtures, renewable diesel mixtures, alternative fuel mixtures, and alternative fuel.  </w:t>
      </w:r>
    </w:p>
    <w:p w14:paraId="15E5C192" w14:textId="77777777" w:rsidR="00BB4738" w:rsidRPr="00BB4738" w:rsidRDefault="00BB4738" w:rsidP="00BB4738">
      <w:pPr>
        <w:pStyle w:val="Default"/>
        <w:numPr>
          <w:ilvl w:val="1"/>
          <w:numId w:val="25"/>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imes New Roman" w:hAnsi="Times New Roman" w:cs="Times New Roman"/>
        </w:rPr>
      </w:pPr>
      <w:r w:rsidRPr="00BB4738">
        <w:rPr>
          <w:rFonts w:ascii="Times New Roman" w:hAnsi="Times New Roman" w:cs="Times New Roman"/>
        </w:rPr>
        <w:t>The information collected</w:t>
      </w:r>
      <w:r w:rsidR="007946F6">
        <w:rPr>
          <w:rFonts w:ascii="Times New Roman" w:hAnsi="Times New Roman" w:cs="Times New Roman"/>
        </w:rPr>
        <w:t xml:space="preserve"> pertains to</w:t>
      </w:r>
      <w:r w:rsidRPr="00BB4738">
        <w:rPr>
          <w:rFonts w:ascii="Times New Roman" w:hAnsi="Times New Roman" w:cs="Times New Roman"/>
        </w:rPr>
        <w:t xml:space="preserve"> the amount of these fuels sold and the revenue generated from these sales. </w:t>
      </w:r>
    </w:p>
    <w:p w14:paraId="2A3FB1D1" w14:textId="77777777" w:rsidR="00BB4738" w:rsidRPr="00BB4738" w:rsidRDefault="00BB4738" w:rsidP="00BB4738">
      <w:pPr>
        <w:pStyle w:val="Default"/>
        <w:numPr>
          <w:ilvl w:val="1"/>
          <w:numId w:val="25"/>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imes New Roman" w:hAnsi="Times New Roman" w:cs="Times New Roman"/>
        </w:rPr>
      </w:pPr>
      <w:r w:rsidRPr="00BB4738">
        <w:rPr>
          <w:rFonts w:ascii="Times New Roman" w:hAnsi="Times New Roman" w:cs="Times New Roman"/>
        </w:rPr>
        <w:t>The likely respondents are corporations and partnerships.</w:t>
      </w:r>
    </w:p>
    <w:p w14:paraId="6895661B" w14:textId="77777777" w:rsidR="00BB4738" w:rsidRPr="00BB4738" w:rsidRDefault="00BB4738" w:rsidP="00BB4738">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imes New Roman" w:hAnsi="Times New Roman" w:cs="Times New Roman"/>
        </w:rPr>
      </w:pPr>
    </w:p>
    <w:p w14:paraId="467B0914" w14:textId="77777777" w:rsidR="00BB4738" w:rsidRPr="00BB4738" w:rsidRDefault="00BB4738" w:rsidP="00BB4738">
      <w:pPr>
        <w:pStyle w:val="Default"/>
        <w:numPr>
          <w:ilvl w:val="0"/>
          <w:numId w:val="30"/>
        </w:num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imes New Roman" w:hAnsi="Times New Roman" w:cs="Times New Roman"/>
        </w:rPr>
      </w:pPr>
      <w:r w:rsidRPr="00BB4738">
        <w:rPr>
          <w:rFonts w:ascii="Times New Roman" w:hAnsi="Times New Roman" w:cs="Times New Roman"/>
        </w:rPr>
        <w:t>The entities from who</w:t>
      </w:r>
      <w:r w:rsidR="009D7816">
        <w:rPr>
          <w:rFonts w:ascii="Times New Roman" w:hAnsi="Times New Roman" w:cs="Times New Roman"/>
        </w:rPr>
        <w:t>m</w:t>
      </w:r>
      <w:r w:rsidRPr="00BB4738">
        <w:rPr>
          <w:rFonts w:ascii="Times New Roman" w:hAnsi="Times New Roman" w:cs="Times New Roman"/>
        </w:rPr>
        <w:t xml:space="preserve"> information is collected are beyond the scope of the entities that comprise the covered fleets under the AFTP.</w:t>
      </w:r>
    </w:p>
    <w:p w14:paraId="791813FC" w14:textId="77777777" w:rsidR="00BB4738" w:rsidRPr="00BB4738" w:rsidRDefault="00BB4738" w:rsidP="00BB4738">
      <w:pPr>
        <w:pStyle w:val="Default"/>
        <w:numPr>
          <w:ilvl w:val="0"/>
          <w:numId w:val="30"/>
        </w:num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imes New Roman" w:hAnsi="Times New Roman" w:cs="Times New Roman"/>
        </w:rPr>
      </w:pPr>
      <w:r w:rsidRPr="00BB4738">
        <w:rPr>
          <w:rFonts w:ascii="Times New Roman" w:hAnsi="Times New Roman" w:cs="Times New Roman"/>
        </w:rPr>
        <w:t>The information collected is different in subject, form, and function from that collected under the AFTP.</w:t>
      </w:r>
    </w:p>
    <w:p w14:paraId="2BC3B4F1" w14:textId="77777777" w:rsidR="00BB4738" w:rsidRPr="00F84703" w:rsidRDefault="00BB4738" w:rsidP="00BB4738">
      <w:pPr>
        <w:pStyle w:val="Default"/>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E0147E9" w14:textId="77777777" w:rsidR="00123C4A" w:rsidRPr="00F84703" w:rsidRDefault="00123C4A" w:rsidP="00184C46">
      <w:pPr>
        <w:numPr>
          <w:ilvl w:val="0"/>
          <w:numId w:val="7"/>
        </w:numPr>
        <w:rPr>
          <w:b/>
          <w:u w:val="single"/>
        </w:rPr>
      </w:pPr>
      <w:r w:rsidRPr="00F84703">
        <w:rPr>
          <w:b/>
          <w:u w:val="single"/>
        </w:rPr>
        <w:t xml:space="preserve">If the collection of information impacts small businesses or other small entities, describe any methods used to minimize burden. </w:t>
      </w:r>
    </w:p>
    <w:p w14:paraId="62307E9F" w14:textId="77777777" w:rsidR="00C46F0F" w:rsidRPr="00F84703" w:rsidRDefault="00C46F0F" w:rsidP="00184C46">
      <w:pPr>
        <w:rPr>
          <w:b/>
          <w:u w:val="single"/>
        </w:rPr>
      </w:pPr>
    </w:p>
    <w:p w14:paraId="797696D0" w14:textId="4E48992D" w:rsidR="008F499C" w:rsidRPr="00F84703" w:rsidRDefault="008F499C" w:rsidP="008F499C">
      <w:r w:rsidRPr="00F84703">
        <w:t xml:space="preserve">No small businesses are expected to have to provide information as a result of this collection. </w:t>
      </w:r>
      <w:r w:rsidR="000A42F6">
        <w:t xml:space="preserve">(See </w:t>
      </w:r>
      <w:r w:rsidR="0095410F" w:rsidRPr="0095410F">
        <w:t>https://www.sba.gov/sites/default/files/files/Size_Standards_Table_2017.pdf</w:t>
      </w:r>
      <w:r w:rsidR="000A42F6">
        <w:t xml:space="preserve">). </w:t>
      </w:r>
      <w:r w:rsidRPr="00F84703">
        <w:t xml:space="preserve"> Organizations and entities required to report information are </w:t>
      </w:r>
      <w:r w:rsidR="000A42F6">
        <w:t>primarily in two sectors</w:t>
      </w:r>
      <w:r w:rsidR="00F95D04">
        <w:t xml:space="preserve"> -</w:t>
      </w:r>
      <w:r w:rsidR="000A42F6">
        <w:t xml:space="preserve"> the state government sector and the utility sector</w:t>
      </w:r>
      <w:r w:rsidR="00F95D04">
        <w:t xml:space="preserve"> -</w:t>
      </w:r>
      <w:r w:rsidR="000A42F6">
        <w:t xml:space="preserve"> and include </w:t>
      </w:r>
      <w:r w:rsidR="004B0A4C" w:rsidRPr="00F84703">
        <w:t xml:space="preserve">entities </w:t>
      </w:r>
      <w:r w:rsidRPr="00F84703">
        <w:t xml:space="preserve">that own at least 50 </w:t>
      </w:r>
      <w:r w:rsidR="007F26A8" w:rsidRPr="00F84703">
        <w:t xml:space="preserve">light duty motor </w:t>
      </w:r>
      <w:r w:rsidRPr="00F84703">
        <w:t>vehicles nationwide.</w:t>
      </w:r>
    </w:p>
    <w:p w14:paraId="5584AFD5" w14:textId="77777777" w:rsidR="003A7733" w:rsidRPr="00F84703" w:rsidRDefault="003A7733" w:rsidP="00184C46"/>
    <w:p w14:paraId="5E5A6B66" w14:textId="77777777" w:rsidR="00123C4A" w:rsidRPr="00F84703" w:rsidRDefault="00123C4A" w:rsidP="00184C46">
      <w:pPr>
        <w:numPr>
          <w:ilvl w:val="0"/>
          <w:numId w:val="7"/>
        </w:numPr>
        <w:rPr>
          <w:b/>
          <w:u w:val="single"/>
        </w:rPr>
      </w:pPr>
      <w:r w:rsidRPr="00F84703">
        <w:rPr>
          <w:b/>
          <w:u w:val="single"/>
        </w:rPr>
        <w:t xml:space="preserve">Describe the consequence to Federal program or policy activities if the collection is not conducted or is conducted less frequently, as well as any technical or legal obstacles to reducing burden. </w:t>
      </w:r>
    </w:p>
    <w:p w14:paraId="4DD70CE8" w14:textId="77777777" w:rsidR="00D76D7C" w:rsidRPr="00F84703" w:rsidRDefault="00D76D7C" w:rsidP="00184C46">
      <w:pPr>
        <w:rPr>
          <w:b/>
          <w:u w:val="single"/>
        </w:rPr>
      </w:pPr>
    </w:p>
    <w:p w14:paraId="4E170CDA" w14:textId="77777777" w:rsidR="006336B2" w:rsidRPr="00F84703" w:rsidRDefault="008F499C" w:rsidP="006336B2">
      <w:r w:rsidRPr="00F84703">
        <w:t xml:space="preserve">The frequency of collection is dictated by EPAct, which </w:t>
      </w:r>
      <w:r w:rsidR="007F26A8" w:rsidRPr="00F84703">
        <w:t>mandates that</w:t>
      </w:r>
      <w:r w:rsidRPr="00F84703">
        <w:t xml:space="preserve"> AFVs be acquired </w:t>
      </w:r>
      <w:r w:rsidR="007F26A8" w:rsidRPr="00F84703">
        <w:t>or that alternative compliance be assessed over</w:t>
      </w:r>
      <w:r w:rsidRPr="00F84703">
        <w:t xml:space="preserve"> an annual time</w:t>
      </w:r>
      <w:r w:rsidR="007F26A8" w:rsidRPr="00F84703">
        <w:t xml:space="preserve"> period</w:t>
      </w:r>
      <w:r w:rsidRPr="00F84703">
        <w:t xml:space="preserve">. </w:t>
      </w:r>
      <w:r w:rsidR="00F95D04">
        <w:t xml:space="preserve"> </w:t>
      </w:r>
      <w:r w:rsidR="006336B2" w:rsidRPr="00F84703">
        <w:t>If the information collection is not conducted or is conducted less frequently, DOE would have no means to allow fleets the flexibility of complying with the Program under Standard Compliance or Alternative Compliance.  More significantly, the ICR is critical to the Program because in the absence of the requested information collection, DOE would have no means</w:t>
      </w:r>
      <w:r w:rsidR="00A8433F" w:rsidRPr="00F84703">
        <w:t xml:space="preserve"> </w:t>
      </w:r>
      <w:r w:rsidR="00433558">
        <w:t xml:space="preserve">of </w:t>
      </w:r>
      <w:r w:rsidR="00A8433F" w:rsidRPr="00F84703">
        <w:t>carry</w:t>
      </w:r>
      <w:r w:rsidR="007946F6">
        <w:t>ing</w:t>
      </w:r>
      <w:r w:rsidR="00A8433F" w:rsidRPr="00F84703">
        <w:t xml:space="preserve"> out its statutorily-mandated responsibility</w:t>
      </w:r>
      <w:r w:rsidR="006336B2" w:rsidRPr="00F84703">
        <w:t xml:space="preserve"> to assess compliance with the Program and/or identify violations and </w:t>
      </w:r>
      <w:r w:rsidR="00A8433F" w:rsidRPr="00F84703">
        <w:t xml:space="preserve">appropriate </w:t>
      </w:r>
      <w:r w:rsidR="006336B2" w:rsidRPr="00F84703">
        <w:t xml:space="preserve">sanctions/penalties. </w:t>
      </w:r>
      <w:r w:rsidRPr="00F84703">
        <w:t xml:space="preserve"> </w:t>
      </w:r>
    </w:p>
    <w:p w14:paraId="6554E89A" w14:textId="77777777" w:rsidR="006336B2" w:rsidRPr="00F84703" w:rsidRDefault="006336B2" w:rsidP="006336B2"/>
    <w:p w14:paraId="056C3AE2" w14:textId="77777777" w:rsidR="006336B2" w:rsidRPr="00F84703" w:rsidRDefault="00535320" w:rsidP="006336B2">
      <w:r w:rsidRPr="00F84703">
        <w:t>All f</w:t>
      </w:r>
      <w:r w:rsidR="006336B2" w:rsidRPr="00F84703">
        <w:t>leets under this Program will submit the following under this ICR:</w:t>
      </w:r>
    </w:p>
    <w:p w14:paraId="241BA8E6" w14:textId="77777777" w:rsidR="006336B2" w:rsidRPr="00F84703" w:rsidRDefault="006336B2" w:rsidP="006336B2"/>
    <w:p w14:paraId="542B4D41" w14:textId="52294576" w:rsidR="006336B2" w:rsidRPr="00F84703" w:rsidRDefault="006336B2" w:rsidP="006336B2">
      <w:pPr>
        <w:numPr>
          <w:ilvl w:val="0"/>
          <w:numId w:val="20"/>
        </w:numPr>
      </w:pPr>
      <w:r w:rsidRPr="00F84703">
        <w:t>Annual Reports under Standard Compliance due by December 31</w:t>
      </w:r>
      <w:r w:rsidR="00412556">
        <w:t xml:space="preserve"> of</w:t>
      </w:r>
      <w:r w:rsidRPr="00F84703">
        <w:t xml:space="preserve"> each year.</w:t>
      </w:r>
    </w:p>
    <w:p w14:paraId="1C3F9E51" w14:textId="77777777" w:rsidR="00535320" w:rsidRPr="00F84703" w:rsidRDefault="00535320" w:rsidP="00535320"/>
    <w:p w14:paraId="4FA94BE3" w14:textId="77777777" w:rsidR="00535320" w:rsidRPr="00F84703" w:rsidRDefault="00535320" w:rsidP="00535320">
      <w:r w:rsidRPr="00F84703">
        <w:t>Fleets that elect to participate in the Alternative Compliance option under this Program will submit the following under this ICR:</w:t>
      </w:r>
    </w:p>
    <w:p w14:paraId="2CD121BA" w14:textId="77777777" w:rsidR="00535320" w:rsidRPr="00F84703" w:rsidRDefault="00535320" w:rsidP="00535320"/>
    <w:p w14:paraId="6E07A360" w14:textId="145AB236" w:rsidR="006336B2" w:rsidRPr="00F84703" w:rsidRDefault="006336B2" w:rsidP="00535320">
      <w:pPr>
        <w:numPr>
          <w:ilvl w:val="0"/>
          <w:numId w:val="23"/>
        </w:numPr>
      </w:pPr>
      <w:r w:rsidRPr="00F84703">
        <w:t>Intent to Apply for a Waiver for Alternative Compliance due by March 31</w:t>
      </w:r>
      <w:r w:rsidR="00412556">
        <w:t xml:space="preserve"> of</w:t>
      </w:r>
      <w:r w:rsidRPr="00F84703">
        <w:t xml:space="preserve"> each year.</w:t>
      </w:r>
    </w:p>
    <w:p w14:paraId="36138CAB" w14:textId="76737C22" w:rsidR="006336B2" w:rsidRPr="00F84703" w:rsidRDefault="006336B2" w:rsidP="00535320">
      <w:pPr>
        <w:numPr>
          <w:ilvl w:val="0"/>
          <w:numId w:val="23"/>
        </w:numPr>
      </w:pPr>
      <w:r w:rsidRPr="00F84703">
        <w:t>Alternative Compliance Waiver applications, due by July 31</w:t>
      </w:r>
      <w:r w:rsidR="00412556">
        <w:t xml:space="preserve"> of</w:t>
      </w:r>
      <w:r w:rsidRPr="00F84703">
        <w:t xml:space="preserve"> each year.</w:t>
      </w:r>
    </w:p>
    <w:p w14:paraId="27083A17" w14:textId="476E1F3C" w:rsidR="006336B2" w:rsidRPr="00F84703" w:rsidRDefault="006336B2" w:rsidP="00535320">
      <w:pPr>
        <w:numPr>
          <w:ilvl w:val="0"/>
          <w:numId w:val="23"/>
        </w:numPr>
      </w:pPr>
      <w:r w:rsidRPr="00F84703">
        <w:t>Alternative Compliance Annual Reports due by December 31</w:t>
      </w:r>
      <w:r w:rsidR="00412556">
        <w:t xml:space="preserve"> of</w:t>
      </w:r>
      <w:r w:rsidRPr="00F84703">
        <w:t xml:space="preserve"> each year.</w:t>
      </w:r>
    </w:p>
    <w:p w14:paraId="01A94027" w14:textId="77777777" w:rsidR="006336B2" w:rsidRPr="00F84703" w:rsidRDefault="006336B2" w:rsidP="006336B2"/>
    <w:p w14:paraId="550EC9B2" w14:textId="26C2A3FB" w:rsidR="006336B2" w:rsidRPr="00F84703" w:rsidRDefault="006336B2" w:rsidP="006336B2">
      <w:pPr>
        <w:pStyle w:val="BodyText"/>
        <w:jc w:val="left"/>
      </w:pPr>
      <w:r w:rsidRPr="00F84703">
        <w:t xml:space="preserve">Recordkeeping and reporting requirements are critical to DOE because they allow DOE to determine: (1) whether alternative fuel providers and State governments are in compliance with the alternative fueled vehicle (AFV) acquisition mandates set forth in Sections 501 and 507(o) of the </w:t>
      </w:r>
      <w:r w:rsidR="00412556">
        <w:rPr>
          <w:lang w:val="en-US"/>
        </w:rPr>
        <w:t>EPAct</w:t>
      </w:r>
      <w:r w:rsidRPr="00F84703">
        <w:t>, 42 U.S.C. § 13251, 13257(o); (2) whether alternative fuel provider and State government fleets should be allocated credits under Section 508 of EPAct, 42 U.S.C. § 13258; and (3) whether alternative fuel provider and State government fleets that opted to waive into the alternative compliance program under Section 514 of EPAct, 42 U.S.C. § 13263a, are in compliance with the applicable requirements.  The implementing regulations for these statutory provisions appear at 10 C.F.R. Part 490.  Because DOE has the authority</w:t>
      </w:r>
      <w:r w:rsidR="00412556">
        <w:rPr>
          <w:lang w:val="en-US"/>
        </w:rPr>
        <w:t>,</w:t>
      </w:r>
      <w:r w:rsidRPr="00F84703">
        <w:t xml:space="preserve"> under Section 512 of EPAct, 42 U.S.C. § 13262, to impose civil penalties and fines on those who violate the aforementioned statutory and regulatory provisions, information collection is necessary to determine whether alternative fuel provider and State government fleets are in compliance with these provisions.</w:t>
      </w:r>
    </w:p>
    <w:p w14:paraId="335C8DFA" w14:textId="77777777" w:rsidR="006336B2" w:rsidRPr="00F84703" w:rsidRDefault="006336B2" w:rsidP="006336B2">
      <w:pPr>
        <w:pStyle w:val="BodyText"/>
        <w:jc w:val="left"/>
      </w:pPr>
    </w:p>
    <w:p w14:paraId="00BF8CBC" w14:textId="77777777" w:rsidR="008F499C" w:rsidRPr="00F84703" w:rsidRDefault="006336B2" w:rsidP="006336B2">
      <w:r w:rsidRPr="00F84703">
        <w:t xml:space="preserve">The collection is critical to allowing DOE and the regulated entities to fulfill their statutorily mandated obligations set forth in EPAct as well as the implementing regulations set forth at 10 C.F.R. Part 490.  </w:t>
      </w:r>
    </w:p>
    <w:p w14:paraId="4F86C4C3" w14:textId="77777777" w:rsidR="00D76D7C" w:rsidRPr="00F84703" w:rsidRDefault="00D76D7C" w:rsidP="00184C46">
      <w:pPr>
        <w:rPr>
          <w:b/>
          <w:u w:val="single"/>
        </w:rPr>
      </w:pPr>
    </w:p>
    <w:p w14:paraId="00375D16" w14:textId="77777777" w:rsidR="00123C4A" w:rsidRPr="00F84703" w:rsidRDefault="00D76D7C" w:rsidP="00184C46">
      <w:pPr>
        <w:numPr>
          <w:ilvl w:val="0"/>
          <w:numId w:val="7"/>
        </w:numPr>
        <w:rPr>
          <w:b/>
          <w:u w:val="single"/>
        </w:rPr>
      </w:pPr>
      <w:r w:rsidRPr="00F84703">
        <w:rPr>
          <w:b/>
          <w:u w:val="single"/>
        </w:rPr>
        <w:t>Explain any special circumstances that require the collection to be conducted in a manner inconsistent with OMB guidelines</w:t>
      </w:r>
      <w:r w:rsidR="008F499C" w:rsidRPr="00F84703">
        <w:rPr>
          <w:b/>
          <w:u w:val="single"/>
        </w:rPr>
        <w:t>:</w:t>
      </w:r>
      <w:r w:rsidRPr="00F84703">
        <w:rPr>
          <w:b/>
          <w:u w:val="single"/>
        </w:rPr>
        <w:t xml:space="preserve"> </w:t>
      </w:r>
      <w:r w:rsidR="005377BE" w:rsidRPr="00F84703">
        <w:rPr>
          <w:b/>
          <w:u w:val="single"/>
        </w:rPr>
        <w:t xml:space="preserve">(a)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t>
      </w:r>
      <w:r w:rsidR="00C54019" w:rsidRPr="00F84703">
        <w:rPr>
          <w:b/>
          <w:u w:val="single"/>
        </w:rPr>
        <w:t xml:space="preserve">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14:paraId="66FAD7AD" w14:textId="77777777" w:rsidR="00D76D7C" w:rsidRPr="00F84703" w:rsidRDefault="00D76D7C" w:rsidP="00184C46">
      <w:pPr>
        <w:rPr>
          <w:b/>
          <w:u w:val="single"/>
        </w:rPr>
      </w:pPr>
    </w:p>
    <w:p w14:paraId="4030FB04" w14:textId="77777777" w:rsidR="008F499C" w:rsidRPr="00F84703" w:rsidRDefault="007C2455" w:rsidP="008F499C">
      <w:pPr>
        <w:pStyle w:val="BodyText"/>
      </w:pPr>
      <w:r w:rsidRPr="00F84703">
        <w:t>The information collection is consistent with OMB guidelines</w:t>
      </w:r>
      <w:r w:rsidR="008F499C" w:rsidRPr="00F84703">
        <w:t>.</w:t>
      </w:r>
    </w:p>
    <w:p w14:paraId="321A9149" w14:textId="77777777" w:rsidR="00D76D7C" w:rsidRPr="00F84703" w:rsidRDefault="00D76D7C" w:rsidP="00184C46"/>
    <w:p w14:paraId="40446646" w14:textId="77777777" w:rsidR="00123C4A" w:rsidRPr="00F84703" w:rsidRDefault="00123C4A" w:rsidP="00184C46">
      <w:pPr>
        <w:numPr>
          <w:ilvl w:val="0"/>
          <w:numId w:val="7"/>
        </w:numPr>
        <w:rPr>
          <w:b/>
          <w:u w:val="single"/>
        </w:rPr>
      </w:pPr>
      <w:r w:rsidRPr="00F84703">
        <w:rPr>
          <w:b/>
          <w:u w:val="single"/>
        </w:rPr>
        <w:t>If applicable, provide a copy and identify the date and page number of publication in the Federal Register of the agency’s notice, required by 5</w:t>
      </w:r>
      <w:r w:rsidR="006920C7" w:rsidRPr="00F84703">
        <w:rPr>
          <w:b/>
          <w:u w:val="single"/>
        </w:rPr>
        <w:t xml:space="preserve"> </w:t>
      </w:r>
      <w:r w:rsidRPr="00F84703">
        <w:rPr>
          <w:b/>
          <w:u w:val="single"/>
        </w:rPr>
        <w:t>CFR 320.8(d), soliciting comments on the information collection prior to submission to OMB.</w:t>
      </w:r>
      <w:r w:rsidR="00B4459C" w:rsidRPr="00F84703">
        <w:rPr>
          <w:b/>
          <w:u w:val="single"/>
        </w:rPr>
        <w:t xml:space="preserve">  Summarize public comments received in response to that notice and describe actions taken in response to the comments.  Specifically address comments received on cost and hour burden.  Describe efforts to consult with persons outside DOE</w:t>
      </w:r>
      <w:r w:rsidR="00C54019" w:rsidRPr="00F84703">
        <w:rPr>
          <w:b/>
          <w:u w:val="single"/>
        </w:rPr>
        <w:t xml:space="preserve"> to obtain their views on the availability of data, frequency of collection, the clarity of instructions and recordkeeping, disclosure, or reporting format (if any), and on the data elements to be recorded, disclosed, or report.</w:t>
      </w:r>
      <w:r w:rsidR="00B4459C" w:rsidRPr="00F84703">
        <w:rPr>
          <w:b/>
          <w:u w:val="single"/>
        </w:rPr>
        <w:t xml:space="preserve">   </w:t>
      </w:r>
    </w:p>
    <w:p w14:paraId="1B147395" w14:textId="77777777" w:rsidR="008F499C" w:rsidRPr="00F84703" w:rsidRDefault="008F499C" w:rsidP="00184C46"/>
    <w:p w14:paraId="7AA2E109" w14:textId="77777777" w:rsidR="00AA2678" w:rsidRPr="00F84703" w:rsidRDefault="00AA2678" w:rsidP="005523F2">
      <w:pPr>
        <w:pStyle w:val="BodyText2"/>
        <w:spacing w:after="0" w:line="240" w:lineRule="auto"/>
      </w:pPr>
      <w:r w:rsidRPr="00F84703">
        <w:t>Most recently, t</w:t>
      </w:r>
      <w:r w:rsidR="005523F2" w:rsidRPr="00F84703">
        <w:t xml:space="preserve">he Department published </w:t>
      </w:r>
      <w:r w:rsidRPr="00F84703">
        <w:t>the following items related to this Program</w:t>
      </w:r>
      <w:r w:rsidR="00690AC5" w:rsidRPr="00F84703">
        <w:t>, here listed in reverse chronological order</w:t>
      </w:r>
      <w:r w:rsidRPr="00F84703">
        <w:t>:</w:t>
      </w:r>
    </w:p>
    <w:p w14:paraId="55A0022A" w14:textId="77777777" w:rsidR="00AA2678" w:rsidRPr="00F84703" w:rsidRDefault="00AA2678" w:rsidP="005523F2">
      <w:pPr>
        <w:pStyle w:val="BodyText2"/>
        <w:spacing w:after="0" w:line="240" w:lineRule="auto"/>
      </w:pPr>
    </w:p>
    <w:p w14:paraId="767FF4AC" w14:textId="1F117D85" w:rsidR="0036645A" w:rsidRPr="00E21481" w:rsidRDefault="0036645A" w:rsidP="00AA2678">
      <w:pPr>
        <w:pStyle w:val="BodyText2"/>
        <w:numPr>
          <w:ilvl w:val="1"/>
          <w:numId w:val="2"/>
        </w:numPr>
        <w:spacing w:after="0" w:line="240" w:lineRule="auto"/>
        <w:rPr>
          <w:b/>
          <w:iCs/>
          <w:u w:val="single"/>
        </w:rPr>
      </w:pPr>
      <w:r w:rsidRPr="00F84703">
        <w:t>The Department published a 60</w:t>
      </w:r>
      <w:r w:rsidR="00EC24D6">
        <w:rPr>
          <w:lang w:val="en-US"/>
        </w:rPr>
        <w:t>-</w:t>
      </w:r>
      <w:r w:rsidR="00412556">
        <w:rPr>
          <w:lang w:val="en-US"/>
        </w:rPr>
        <w:t>D</w:t>
      </w:r>
      <w:r w:rsidRPr="00F84703">
        <w:t xml:space="preserve">ay </w:t>
      </w:r>
      <w:r w:rsidRPr="00E21481">
        <w:rPr>
          <w:i/>
        </w:rPr>
        <w:t>Federal Register Notice</w:t>
      </w:r>
      <w:r w:rsidRPr="00F84703">
        <w:t xml:space="preserve"> and Request for Comments concerning </w:t>
      </w:r>
      <w:r w:rsidR="0095410F">
        <w:rPr>
          <w:lang w:val="en-US"/>
        </w:rPr>
        <w:t xml:space="preserve">renewal </w:t>
      </w:r>
      <w:r w:rsidRPr="00F84703">
        <w:t xml:space="preserve">of this collection in the Federal Register on </w:t>
      </w:r>
      <w:r w:rsidR="0095410F">
        <w:rPr>
          <w:lang w:val="en-US"/>
        </w:rPr>
        <w:t>November 7</w:t>
      </w:r>
      <w:r w:rsidRPr="00F84703">
        <w:t>, 201</w:t>
      </w:r>
      <w:r w:rsidR="0095410F">
        <w:rPr>
          <w:lang w:val="en-US"/>
        </w:rPr>
        <w:t>7</w:t>
      </w:r>
      <w:r w:rsidRPr="00F84703">
        <w:t xml:space="preserve">, volume </w:t>
      </w:r>
      <w:r w:rsidR="0095410F">
        <w:rPr>
          <w:lang w:val="en-US"/>
        </w:rPr>
        <w:t>82</w:t>
      </w:r>
      <w:r w:rsidRPr="00F84703">
        <w:t>, number 21</w:t>
      </w:r>
      <w:r w:rsidR="0095410F">
        <w:rPr>
          <w:lang w:val="en-US"/>
        </w:rPr>
        <w:t>4</w:t>
      </w:r>
      <w:r w:rsidRPr="00F84703">
        <w:t xml:space="preserve">, and page number </w:t>
      </w:r>
      <w:r w:rsidR="0095410F">
        <w:rPr>
          <w:lang w:val="en-US"/>
        </w:rPr>
        <w:t>51616</w:t>
      </w:r>
      <w:r w:rsidRPr="00F84703">
        <w:t xml:space="preserve">.  The notice described the collection and invited interested parties to submit comments or recommendations regarding the collection.  No </w:t>
      </w:r>
      <w:r w:rsidR="0095410F">
        <w:rPr>
          <w:lang w:val="en-US"/>
        </w:rPr>
        <w:t xml:space="preserve">relevant </w:t>
      </w:r>
      <w:r w:rsidRPr="00F84703">
        <w:t>comments on the information collection were received</w:t>
      </w:r>
      <w:r w:rsidR="003074EF" w:rsidRPr="00F84703">
        <w:t>.</w:t>
      </w:r>
    </w:p>
    <w:p w14:paraId="65140003" w14:textId="3988067E" w:rsidR="00EC24D6" w:rsidRPr="000816B6" w:rsidRDefault="00EC24D6" w:rsidP="00EC24D6">
      <w:pPr>
        <w:pStyle w:val="BodyText2"/>
        <w:numPr>
          <w:ilvl w:val="1"/>
          <w:numId w:val="2"/>
        </w:numPr>
        <w:spacing w:after="0" w:line="240" w:lineRule="auto"/>
        <w:rPr>
          <w:b/>
          <w:iCs/>
          <w:u w:val="single"/>
        </w:rPr>
      </w:pPr>
      <w:r w:rsidRPr="00F84703">
        <w:t xml:space="preserve">The Department published a </w:t>
      </w:r>
      <w:r>
        <w:rPr>
          <w:lang w:val="en-US"/>
        </w:rPr>
        <w:t>30-D</w:t>
      </w:r>
      <w:r w:rsidRPr="00F84703">
        <w:t xml:space="preserve">ay </w:t>
      </w:r>
      <w:r w:rsidRPr="000816B6">
        <w:rPr>
          <w:i/>
        </w:rPr>
        <w:t>Federal Register Notice</w:t>
      </w:r>
      <w:r w:rsidRPr="00F84703">
        <w:t xml:space="preserve"> and Request for Comments concerning </w:t>
      </w:r>
      <w:r>
        <w:rPr>
          <w:lang w:val="en-US"/>
        </w:rPr>
        <w:t xml:space="preserve">renewal </w:t>
      </w:r>
      <w:r w:rsidRPr="00F84703">
        <w:t xml:space="preserve">of this collection in the Federal Register on </w:t>
      </w:r>
      <w:r>
        <w:rPr>
          <w:lang w:val="en-US"/>
        </w:rPr>
        <w:t>March 5, 2018</w:t>
      </w:r>
      <w:r w:rsidRPr="00F84703">
        <w:t xml:space="preserve">, volume </w:t>
      </w:r>
      <w:r>
        <w:rPr>
          <w:lang w:val="en-US"/>
        </w:rPr>
        <w:t>83</w:t>
      </w:r>
      <w:r w:rsidRPr="00F84703">
        <w:t xml:space="preserve">, number </w:t>
      </w:r>
      <w:r>
        <w:rPr>
          <w:lang w:val="en-US"/>
        </w:rPr>
        <w:t>43,</w:t>
      </w:r>
      <w:r w:rsidRPr="00F84703">
        <w:t xml:space="preserve"> and page number </w:t>
      </w:r>
      <w:r>
        <w:rPr>
          <w:lang w:val="en-US"/>
        </w:rPr>
        <w:t>9302</w:t>
      </w:r>
      <w:r w:rsidRPr="00F84703">
        <w:t xml:space="preserve">.  The notice described the collection and invited interested parties to submit comments or recommendations regarding the collection.  No </w:t>
      </w:r>
      <w:r>
        <w:rPr>
          <w:lang w:val="en-US"/>
        </w:rPr>
        <w:t xml:space="preserve">relevant </w:t>
      </w:r>
      <w:r w:rsidRPr="00F84703">
        <w:t>comments on the information collection were received.</w:t>
      </w:r>
    </w:p>
    <w:p w14:paraId="47CE4D2A" w14:textId="77777777" w:rsidR="00D76D7C" w:rsidRPr="00F84703" w:rsidRDefault="00D76D7C" w:rsidP="00184C46">
      <w:pPr>
        <w:rPr>
          <w:b/>
          <w:u w:val="single"/>
        </w:rPr>
      </w:pPr>
    </w:p>
    <w:p w14:paraId="5073193A" w14:textId="77777777" w:rsidR="00123C4A" w:rsidRPr="00F84703" w:rsidRDefault="00123C4A" w:rsidP="00184C46">
      <w:pPr>
        <w:numPr>
          <w:ilvl w:val="0"/>
          <w:numId w:val="7"/>
        </w:numPr>
        <w:rPr>
          <w:b/>
          <w:u w:val="single"/>
        </w:rPr>
      </w:pPr>
      <w:r w:rsidRPr="00F84703">
        <w:rPr>
          <w:b/>
          <w:u w:val="single"/>
        </w:rPr>
        <w:t xml:space="preserve">Explain any decision to provide any payment or gift to respondents, other than </w:t>
      </w:r>
      <w:r w:rsidR="002D3C67" w:rsidRPr="00F84703">
        <w:rPr>
          <w:b/>
          <w:u w:val="single"/>
        </w:rPr>
        <w:t>remuneration</w:t>
      </w:r>
      <w:r w:rsidRPr="00F84703">
        <w:rPr>
          <w:b/>
          <w:u w:val="single"/>
        </w:rPr>
        <w:t xml:space="preserve"> of contractors or grantees. </w:t>
      </w:r>
    </w:p>
    <w:p w14:paraId="6A9B9F28" w14:textId="77777777" w:rsidR="002D3C67" w:rsidRPr="00F84703" w:rsidRDefault="002D3C67" w:rsidP="00184C46">
      <w:pPr>
        <w:rPr>
          <w:b/>
          <w:u w:val="single"/>
        </w:rPr>
      </w:pPr>
    </w:p>
    <w:p w14:paraId="6F35C09B" w14:textId="77777777" w:rsidR="007E6A79" w:rsidRPr="00F84703" w:rsidRDefault="00792528" w:rsidP="007E6A79">
      <w:pPr>
        <w:rPr>
          <w:b/>
          <w:u w:val="single"/>
        </w:rPr>
      </w:pPr>
      <w:r w:rsidRPr="00F84703">
        <w:t>There is no remuneration given for submission of any of the information other than the fact that the expense of responding is treated as an allowable cost</w:t>
      </w:r>
      <w:r w:rsidR="007E6A79" w:rsidRPr="00F84703">
        <w:t>.</w:t>
      </w:r>
    </w:p>
    <w:p w14:paraId="7C2AFCE8" w14:textId="77777777" w:rsidR="002D3C67" w:rsidRPr="00F84703" w:rsidRDefault="002D3C67" w:rsidP="00184C46"/>
    <w:p w14:paraId="18354133" w14:textId="77777777" w:rsidR="00123C4A" w:rsidRPr="00F84703" w:rsidRDefault="00123C4A" w:rsidP="00184C46">
      <w:pPr>
        <w:numPr>
          <w:ilvl w:val="0"/>
          <w:numId w:val="7"/>
        </w:numPr>
        <w:rPr>
          <w:b/>
          <w:u w:val="single"/>
        </w:rPr>
      </w:pPr>
      <w:r w:rsidRPr="00F84703">
        <w:rPr>
          <w:b/>
          <w:u w:val="single"/>
        </w:rPr>
        <w:t xml:space="preserve">Describe any assurance of confidentiality provided to respondents and the basis for the assurance in statute, regulation, or agency policy. </w:t>
      </w:r>
    </w:p>
    <w:p w14:paraId="4E13112D" w14:textId="77777777" w:rsidR="002D3C67" w:rsidRPr="00F84703" w:rsidRDefault="002D3C67" w:rsidP="00184C46">
      <w:pPr>
        <w:rPr>
          <w:b/>
          <w:u w:val="single"/>
        </w:rPr>
      </w:pPr>
    </w:p>
    <w:p w14:paraId="4C86C868" w14:textId="22BDA5F0" w:rsidR="007E6A79" w:rsidRPr="00086E00" w:rsidRDefault="007E6A79" w:rsidP="007E6A79">
      <w:pPr>
        <w:pStyle w:val="BodyText"/>
      </w:pPr>
      <w:r w:rsidRPr="00F84703">
        <w:t>DOE does not share fleet-specific compliance data with outside sources other than in response to a Freedom of Information Act</w:t>
      </w:r>
      <w:r w:rsidR="0019648C">
        <w:rPr>
          <w:lang w:val="en-US"/>
        </w:rPr>
        <w:t xml:space="preserve"> (FOIA)</w:t>
      </w:r>
      <w:r w:rsidRPr="00F84703">
        <w:t xml:space="preserve"> request, and even then</w:t>
      </w:r>
      <w:r w:rsidR="0019648C">
        <w:rPr>
          <w:lang w:val="en-US"/>
        </w:rPr>
        <w:t>,</w:t>
      </w:r>
      <w:r w:rsidRPr="00F84703">
        <w:t xml:space="preserve"> DOE takes </w:t>
      </w:r>
      <w:r w:rsidR="00BE02FB" w:rsidRPr="00F84703">
        <w:t>precaution</w:t>
      </w:r>
      <w:r w:rsidRPr="00F84703">
        <w:t xml:space="preserve">s to respect the potential confidentiality of important data.  </w:t>
      </w:r>
      <w:r w:rsidR="00160E42" w:rsidRPr="00F84703">
        <w:t xml:space="preserve">DOE’s attention to potential confidentiality </w:t>
      </w:r>
      <w:r w:rsidRPr="00F84703">
        <w:t>concern</w:t>
      </w:r>
      <w:r w:rsidR="00160E42" w:rsidRPr="00F84703">
        <w:t>s usually arises</w:t>
      </w:r>
      <w:r w:rsidRPr="00F84703">
        <w:t xml:space="preserve"> </w:t>
      </w:r>
      <w:r w:rsidR="00160E42" w:rsidRPr="00F84703">
        <w:t xml:space="preserve">not with </w:t>
      </w:r>
      <w:r w:rsidRPr="00F84703">
        <w:t>re</w:t>
      </w:r>
      <w:r w:rsidR="00224744" w:rsidRPr="00F84703">
        <w:t>gard</w:t>
      </w:r>
      <w:r w:rsidRPr="00F84703">
        <w:t xml:space="preserve"> to information submitted</w:t>
      </w:r>
      <w:r w:rsidR="0019648C">
        <w:rPr>
          <w:lang w:val="en-US"/>
        </w:rPr>
        <w:t>,</w:t>
      </w:r>
      <w:r w:rsidRPr="00F84703">
        <w:t xml:space="preserve"> but </w:t>
      </w:r>
      <w:r w:rsidR="00160E42" w:rsidRPr="00F84703">
        <w:t xml:space="preserve">rather </w:t>
      </w:r>
      <w:r w:rsidRPr="00F84703">
        <w:t xml:space="preserve">with </w:t>
      </w:r>
      <w:r w:rsidR="00160E42" w:rsidRPr="00F84703">
        <w:t xml:space="preserve">regard to </w:t>
      </w:r>
      <w:r w:rsidRPr="00F84703">
        <w:t xml:space="preserve">the compliance status of fleets, which is based on the information provided and DOE’s analysis of that data.  </w:t>
      </w:r>
      <w:r w:rsidR="00160E42" w:rsidRPr="00F84703">
        <w:t xml:space="preserve">Most often, requests for data pertain to broader program figures for classes of entities regulated under the </w:t>
      </w:r>
      <w:r w:rsidR="0019648C">
        <w:rPr>
          <w:lang w:val="en-US"/>
        </w:rPr>
        <w:t>AFTP</w:t>
      </w:r>
      <w:r w:rsidR="00160E42" w:rsidRPr="00F84703">
        <w:t>.</w:t>
      </w:r>
      <w:r w:rsidR="00086E00">
        <w:rPr>
          <w:lang w:val="en-US"/>
        </w:rPr>
        <w:t xml:space="preserve">  In responding to requests under the </w:t>
      </w:r>
      <w:r w:rsidR="0019648C">
        <w:rPr>
          <w:lang w:val="en-US"/>
        </w:rPr>
        <w:t>FOIA</w:t>
      </w:r>
      <w:r w:rsidR="00086E00">
        <w:rPr>
          <w:lang w:val="en-US"/>
        </w:rPr>
        <w:t xml:space="preserve">, DOE relies on its regulations at 10 CFR Part 1004.  </w:t>
      </w:r>
    </w:p>
    <w:p w14:paraId="69C32E8C" w14:textId="77777777" w:rsidR="002D3C67" w:rsidRPr="00F84703" w:rsidRDefault="002D3C67" w:rsidP="00184C46"/>
    <w:p w14:paraId="7FDD98DB" w14:textId="2AC27F05" w:rsidR="00123C4A" w:rsidRPr="00F84703" w:rsidRDefault="00123C4A" w:rsidP="00184C46">
      <w:pPr>
        <w:numPr>
          <w:ilvl w:val="0"/>
          <w:numId w:val="7"/>
        </w:numPr>
        <w:rPr>
          <w:b/>
          <w:u w:val="single"/>
        </w:rPr>
      </w:pPr>
      <w:r w:rsidRPr="00F84703">
        <w:rPr>
          <w:b/>
          <w:u w:val="single"/>
        </w:rPr>
        <w:t>Provide additional justification for any questions of a sensitive nature, such as sexual behavior and attitudes, religious beliefs, and other matters that are commonly considered private.</w:t>
      </w:r>
      <w:r w:rsidR="00007B0C" w:rsidRPr="00F84703">
        <w:rPr>
          <w:b/>
          <w:u w:val="single"/>
        </w:rPr>
        <w:t xml:space="preserve">  This justification should include the reasons why DOE considers the questions necessary, the specific uses to be made of the </w:t>
      </w:r>
      <w:r w:rsidR="004D3EE7" w:rsidRPr="00F84703">
        <w:rPr>
          <w:b/>
          <w:u w:val="single"/>
        </w:rPr>
        <w:t>information,</w:t>
      </w:r>
      <w:r w:rsidR="00007B0C" w:rsidRPr="00F84703">
        <w:rPr>
          <w:b/>
          <w:u w:val="single"/>
        </w:rPr>
        <w:t xml:space="preserve"> the explanation to be given to persons from whom the information is requested, and any steps to be taken to obtain their consent.</w:t>
      </w:r>
    </w:p>
    <w:p w14:paraId="733E0E41" w14:textId="77777777" w:rsidR="002D3C67" w:rsidRPr="00F84703" w:rsidRDefault="002D3C67" w:rsidP="00184C46"/>
    <w:p w14:paraId="2EB5C7D4" w14:textId="77777777" w:rsidR="007E6A79" w:rsidRPr="00F84703" w:rsidRDefault="007E6A79" w:rsidP="007E6A79">
      <w:pPr>
        <w:jc w:val="both"/>
      </w:pPr>
      <w:r w:rsidRPr="00F84703">
        <w:t>There are no collections in this package that involve questions of a sensitive, personal, or private nature.</w:t>
      </w:r>
    </w:p>
    <w:p w14:paraId="0EBFDF5E" w14:textId="77777777" w:rsidR="002D3C67" w:rsidRPr="00F84703" w:rsidRDefault="002D3C67" w:rsidP="00184C46"/>
    <w:p w14:paraId="71E8DA55" w14:textId="77777777" w:rsidR="00123C4A" w:rsidRPr="00F84703" w:rsidRDefault="00123C4A" w:rsidP="00184C46">
      <w:pPr>
        <w:numPr>
          <w:ilvl w:val="0"/>
          <w:numId w:val="7"/>
        </w:numPr>
        <w:rPr>
          <w:b/>
          <w:u w:val="single"/>
        </w:rPr>
      </w:pPr>
      <w:r w:rsidRPr="00F84703">
        <w:rPr>
          <w:b/>
          <w:u w:val="single"/>
        </w:rPr>
        <w:t>Provide estimates of the hour burden of the collection of information.  The statement should indicate the number of respondents, frequency of response, annual hour burden, and an explanation of how the burden was estimated.</w:t>
      </w:r>
      <w:r w:rsidR="00007B0C" w:rsidRPr="00F84703">
        <w:rPr>
          <w:b/>
          <w:u w:val="single"/>
        </w:rPr>
        <w:t xml:space="preserve">  Unless directed to do so, DOE should not conduct special surveys to obtain information on which to base hour burden estimates</w:t>
      </w:r>
      <w:r w:rsidR="00A75A64" w:rsidRPr="00F84703">
        <w:rPr>
          <w:b/>
          <w:u w:val="single"/>
        </w:rPr>
        <w:t>.  Consultation with a sample</w:t>
      </w:r>
      <w:r w:rsidR="00C91A2A" w:rsidRPr="00F84703">
        <w:rPr>
          <w:b/>
          <w:u w:val="single"/>
        </w:rPr>
        <w:t xml:space="preserve"> fewer than 10 potential respondents is desirable. </w:t>
      </w:r>
    </w:p>
    <w:p w14:paraId="0D0CF022" w14:textId="77777777" w:rsidR="00822F33" w:rsidRPr="00F84703" w:rsidRDefault="00822F33" w:rsidP="00184C46">
      <w:pPr>
        <w:rPr>
          <w:b/>
          <w:u w:val="single"/>
        </w:rPr>
      </w:pPr>
    </w:p>
    <w:p w14:paraId="44650891" w14:textId="77777777" w:rsidR="005523F2" w:rsidRPr="00F84703" w:rsidRDefault="005523F2" w:rsidP="005523F2">
      <w:pPr>
        <w:autoSpaceDE w:val="0"/>
        <w:autoSpaceDN w:val="0"/>
        <w:adjustRightInd w:val="0"/>
      </w:pPr>
      <w:r w:rsidRPr="00F84703">
        <w:t>The estimate of hour burden of the</w:t>
      </w:r>
      <w:r w:rsidR="003074EF" w:rsidRPr="00F84703">
        <w:t xml:space="preserve"> amendments to the </w:t>
      </w:r>
      <w:r w:rsidRPr="00F84703">
        <w:t>information collection is as follows:</w:t>
      </w:r>
    </w:p>
    <w:p w14:paraId="1020AFE1" w14:textId="77777777" w:rsidR="00E21481" w:rsidRDefault="00E21481" w:rsidP="00E21481">
      <w:pPr>
        <w:overflowPunct w:val="0"/>
        <w:autoSpaceDE w:val="0"/>
        <w:autoSpaceDN w:val="0"/>
        <w:rPr>
          <w:u w:val="single"/>
        </w:rPr>
      </w:pPr>
      <w:r>
        <w:rPr>
          <w:u w:val="single"/>
        </w:rPr>
        <w:t>Burden Calculation Verification</w:t>
      </w:r>
    </w:p>
    <w:p w14:paraId="510811EB" w14:textId="77777777" w:rsidR="00E21481" w:rsidRDefault="00E21481" w:rsidP="00E21481">
      <w:pPr>
        <w:overflowPunct w:val="0"/>
        <w:autoSpaceDE w:val="0"/>
        <w:autoSpaceDN w:val="0"/>
      </w:pPr>
    </w:p>
    <w:p w14:paraId="3DA453A4" w14:textId="77777777" w:rsidR="00E21481" w:rsidRDefault="00E21481" w:rsidP="00E21481">
      <w:pPr>
        <w:overflowPunct w:val="0"/>
        <w:autoSpaceDE w:val="0"/>
        <w:autoSpaceDN w:val="0"/>
        <w:ind w:left="360"/>
      </w:pPr>
      <w:r>
        <w:t>Total Number of Unduplicated Respondents = Total Annual Responses ÷ Reports Filed Per Person: 290 = 319 ÷ ~ 1.11.</w:t>
      </w:r>
      <w:r>
        <w:rPr>
          <w:vertAlign w:val="superscript"/>
        </w:rPr>
        <w:footnoteReference w:customMarkFollows="1" w:id="2"/>
        <w:t>[1]</w:t>
      </w:r>
    </w:p>
    <w:p w14:paraId="64298A4D" w14:textId="77777777" w:rsidR="00E21481" w:rsidRDefault="00E21481" w:rsidP="00E21481">
      <w:pPr>
        <w:overflowPunct w:val="0"/>
        <w:autoSpaceDE w:val="0"/>
        <w:autoSpaceDN w:val="0"/>
        <w:ind w:left="360"/>
      </w:pPr>
    </w:p>
    <w:p w14:paraId="28AB9001" w14:textId="77777777" w:rsidR="00E21481" w:rsidRDefault="00E21481" w:rsidP="00E21481">
      <w:pPr>
        <w:overflowPunct w:val="0"/>
        <w:autoSpaceDE w:val="0"/>
        <w:autoSpaceDN w:val="0"/>
        <w:ind w:left="360"/>
      </w:pPr>
      <w:r>
        <w:t xml:space="preserve">Total Annual Burden Hours = Average Burden per Applicant </w:t>
      </w:r>
      <w:r>
        <w:rPr>
          <w:rFonts w:ascii="Symbol" w:hAnsi="Symbol"/>
        </w:rPr>
        <w:t></w:t>
      </w:r>
      <w:r>
        <w:t xml:space="preserve"> Number of Unduplicated Respondents: 2,012.6 = ~ 6.94 </w:t>
      </w:r>
      <w:r>
        <w:rPr>
          <w:rFonts w:ascii="Symbol" w:hAnsi="Symbol"/>
        </w:rPr>
        <w:t></w:t>
      </w:r>
      <w:r>
        <w:t xml:space="preserve"> 290.</w:t>
      </w:r>
    </w:p>
    <w:p w14:paraId="58C03CA5" w14:textId="77777777" w:rsidR="00E21481" w:rsidRDefault="00E21481" w:rsidP="00E21481">
      <w:pPr>
        <w:overflowPunct w:val="0"/>
        <w:autoSpaceDE w:val="0"/>
        <w:autoSpaceDN w:val="0"/>
        <w:ind w:left="360"/>
      </w:pPr>
    </w:p>
    <w:p w14:paraId="61E36E51" w14:textId="77777777" w:rsidR="00E21481" w:rsidRDefault="00E21481" w:rsidP="00E21481">
      <w:pPr>
        <w:overflowPunct w:val="0"/>
        <w:autoSpaceDE w:val="0"/>
        <w:autoSpaceDN w:val="0"/>
        <w:ind w:left="360"/>
      </w:pPr>
      <w:r>
        <w:t>Average Burden per Collection = Average Burden per Applicant ÷ Reports Filed Per Person: 6.25 = ~6.94 ÷ ~1.11.</w:t>
      </w:r>
    </w:p>
    <w:p w14:paraId="7EA5A7B1" w14:textId="77777777" w:rsidR="00E21481" w:rsidRDefault="00E21481" w:rsidP="00E21481">
      <w:pPr>
        <w:overflowPunct w:val="0"/>
        <w:autoSpaceDE w:val="0"/>
        <w:autoSpaceDN w:val="0"/>
      </w:pPr>
    </w:p>
    <w:p w14:paraId="341F21EB" w14:textId="77777777" w:rsidR="00E21481" w:rsidRDefault="00E21481" w:rsidP="00E21481">
      <w:pPr>
        <w:keepNext/>
        <w:overflowPunct w:val="0"/>
        <w:autoSpaceDE w:val="0"/>
        <w:autoSpaceDN w:val="0"/>
        <w:rPr>
          <w:rFonts w:ascii="Times New" w:hAnsi="Times New" w:cs="Calibri"/>
        </w:rPr>
      </w:pPr>
      <w:r>
        <w:rPr>
          <w:rFonts w:ascii="Times New" w:hAnsi="Times New"/>
          <w:u w:val="single"/>
        </w:rPr>
        <w:t>Respondents</w:t>
      </w:r>
    </w:p>
    <w:p w14:paraId="29650E83" w14:textId="77777777" w:rsidR="00E21481" w:rsidRDefault="00E21481" w:rsidP="00E21481">
      <w:pPr>
        <w:overflowPunct w:val="0"/>
        <w:autoSpaceDE w:val="0"/>
        <w:autoSpaceDN w:val="0"/>
        <w:rPr>
          <w:rFonts w:ascii="Times New" w:hAnsi="Times New"/>
        </w:rPr>
      </w:pPr>
    </w:p>
    <w:p w14:paraId="24EA7EC6" w14:textId="2E964CBC" w:rsidR="00E21481" w:rsidRDefault="00E21481" w:rsidP="00E21481">
      <w:pPr>
        <w:overflowPunct w:val="0"/>
        <w:autoSpaceDE w:val="0"/>
        <w:autoSpaceDN w:val="0"/>
        <w:ind w:left="360"/>
        <w:rPr>
          <w:rFonts w:ascii="Times New" w:hAnsi="Times New"/>
        </w:rPr>
      </w:pPr>
      <w:r>
        <w:rPr>
          <w:rFonts w:ascii="Times New" w:hAnsi="Times New"/>
        </w:rPr>
        <w:t xml:space="preserve">DOE estimates that the total annual number of respondents is 303.  Presently 295 fleets file 1 item, a Standard Compliance annual report, and 8 fleets file three items, an Alternative Compliance annual report, a notice of intent to file under Alternative Compliance, and an Alternative Compliance Waiver Request.  </w:t>
      </w:r>
    </w:p>
    <w:p w14:paraId="530E3AD6" w14:textId="77777777" w:rsidR="00E21481" w:rsidRDefault="00E21481" w:rsidP="00E21481">
      <w:pPr>
        <w:overflowPunct w:val="0"/>
        <w:autoSpaceDE w:val="0"/>
        <w:autoSpaceDN w:val="0"/>
        <w:rPr>
          <w:rFonts w:ascii="Times New" w:hAnsi="Times New"/>
        </w:rPr>
      </w:pPr>
    </w:p>
    <w:p w14:paraId="63F3F377" w14:textId="77777777" w:rsidR="00E21481" w:rsidRPr="00E21481" w:rsidRDefault="00E21481" w:rsidP="00E21481">
      <w:pPr>
        <w:keepNext/>
        <w:overflowPunct w:val="0"/>
        <w:autoSpaceDE w:val="0"/>
        <w:autoSpaceDN w:val="0"/>
        <w:rPr>
          <w:rFonts w:ascii="Times New" w:hAnsi="Times New"/>
          <w:u w:val="single"/>
        </w:rPr>
      </w:pPr>
      <w:r w:rsidRPr="00E21481">
        <w:rPr>
          <w:rFonts w:ascii="Times New" w:hAnsi="Times New"/>
          <w:u w:val="single"/>
        </w:rPr>
        <w:t>Responses</w:t>
      </w:r>
    </w:p>
    <w:p w14:paraId="20D00043" w14:textId="77777777" w:rsidR="00E21481" w:rsidRDefault="00E21481" w:rsidP="00E21481">
      <w:pPr>
        <w:overflowPunct w:val="0"/>
        <w:autoSpaceDE w:val="0"/>
        <w:autoSpaceDN w:val="0"/>
        <w:rPr>
          <w:rFonts w:ascii="Times New" w:hAnsi="Times New"/>
        </w:rPr>
      </w:pPr>
    </w:p>
    <w:p w14:paraId="289E4C23" w14:textId="77777777" w:rsidR="00E21481" w:rsidRDefault="00E21481" w:rsidP="00E21481">
      <w:pPr>
        <w:rPr>
          <w:color w:val="1F497D"/>
          <w:sz w:val="22"/>
          <w:szCs w:val="22"/>
        </w:rPr>
      </w:pPr>
    </w:p>
    <w:p w14:paraId="58F81BBD" w14:textId="0F7769DD" w:rsidR="003074EF" w:rsidRPr="00E21481" w:rsidRDefault="00E21481" w:rsidP="003074EF">
      <w:pPr>
        <w:autoSpaceDE w:val="0"/>
        <w:autoSpaceDN w:val="0"/>
        <w:adjustRightInd w:val="0"/>
        <w:rPr>
          <w:u w:val="single"/>
        </w:rPr>
      </w:pPr>
      <w:r w:rsidRPr="00E21481">
        <w:rPr>
          <w:u w:val="single"/>
        </w:rPr>
        <w:t>Additional Explanatory Information</w:t>
      </w:r>
    </w:p>
    <w:p w14:paraId="414D0949" w14:textId="77777777" w:rsidR="003074EF" w:rsidRPr="00F84703" w:rsidRDefault="003074EF" w:rsidP="003074EF">
      <w:pPr>
        <w:autoSpaceDE w:val="0"/>
        <w:autoSpaceDN w:val="0"/>
        <w:adjustRightInd w:val="0"/>
        <w:ind w:left="720"/>
      </w:pPr>
    </w:p>
    <w:p w14:paraId="436A1760" w14:textId="77777777" w:rsidR="003074EF" w:rsidRPr="00F84703" w:rsidRDefault="003074EF" w:rsidP="003074EF">
      <w:pPr>
        <w:autoSpaceDE w:val="0"/>
        <w:autoSpaceDN w:val="0"/>
        <w:adjustRightInd w:val="0"/>
        <w:ind w:left="720"/>
      </w:pPr>
      <w:r w:rsidRPr="00F84703">
        <w:t xml:space="preserve">Total number of unduplicated respondents: 303 </w:t>
      </w:r>
    </w:p>
    <w:p w14:paraId="580FA041" w14:textId="0AE1DC0F" w:rsidR="003074EF" w:rsidRPr="00F84703" w:rsidRDefault="003074EF" w:rsidP="003074EF">
      <w:pPr>
        <w:autoSpaceDE w:val="0"/>
        <w:autoSpaceDN w:val="0"/>
        <w:adjustRightInd w:val="0"/>
        <w:ind w:left="720"/>
      </w:pPr>
      <w:r w:rsidRPr="00F84703">
        <w:t>Re</w:t>
      </w:r>
      <w:r w:rsidR="00AB5EF6">
        <w:t>sponses</w:t>
      </w:r>
      <w:r w:rsidRPr="00F84703">
        <w:t xml:space="preserve"> filed per person: 1.1056 </w:t>
      </w:r>
    </w:p>
    <w:p w14:paraId="6A83CA68" w14:textId="77777777" w:rsidR="003074EF" w:rsidRPr="00F84703" w:rsidRDefault="003074EF" w:rsidP="003074EF">
      <w:pPr>
        <w:autoSpaceDE w:val="0"/>
        <w:autoSpaceDN w:val="0"/>
        <w:adjustRightInd w:val="0"/>
        <w:ind w:left="720"/>
      </w:pPr>
      <w:r w:rsidRPr="00F84703">
        <w:t>Total annual responses: 3</w:t>
      </w:r>
      <w:r w:rsidR="0095410F">
        <w:t>19</w:t>
      </w:r>
      <w:r w:rsidRPr="00F84703">
        <w:t xml:space="preserve"> </w:t>
      </w:r>
    </w:p>
    <w:p w14:paraId="5CF8EE17" w14:textId="77777777" w:rsidR="003074EF" w:rsidRPr="00F84703" w:rsidRDefault="003074EF" w:rsidP="003074EF">
      <w:pPr>
        <w:autoSpaceDE w:val="0"/>
        <w:autoSpaceDN w:val="0"/>
        <w:adjustRightInd w:val="0"/>
        <w:ind w:firstLine="720"/>
      </w:pPr>
      <w:r w:rsidRPr="00F84703">
        <w:t>Total annual burden hours: 2,2</w:t>
      </w:r>
      <w:r w:rsidR="007C5968">
        <w:t>15</w:t>
      </w:r>
    </w:p>
    <w:p w14:paraId="54D2E14A" w14:textId="77777777" w:rsidR="003074EF" w:rsidRPr="00F84703" w:rsidRDefault="003074EF" w:rsidP="00223AA7">
      <w:pPr>
        <w:autoSpaceDE w:val="0"/>
        <w:autoSpaceDN w:val="0"/>
        <w:adjustRightInd w:val="0"/>
      </w:pPr>
    </w:p>
    <w:p w14:paraId="3919B42B" w14:textId="18A1E0DF" w:rsidR="00C72BCB" w:rsidRDefault="00153F11" w:rsidP="00223AA7">
      <w:pPr>
        <w:autoSpaceDE w:val="0"/>
        <w:autoSpaceDN w:val="0"/>
        <w:adjustRightInd w:val="0"/>
      </w:pPr>
      <w:r>
        <w:t xml:space="preserve">This value for total annual burden hours is a slight decrease of 58 hours from the previously approved value of 2,273 hours.  The decrease is due simply to the fact that fewer fleets on average are </w:t>
      </w:r>
      <w:r w:rsidR="00C72BCB">
        <w:t>complying via Alternative Compliance – instead opting to comply via Standard Compliance, which is slightly less burdensome.</w:t>
      </w:r>
    </w:p>
    <w:p w14:paraId="2A2198C2" w14:textId="77777777" w:rsidR="00C72BCB" w:rsidRDefault="00C72BCB" w:rsidP="00223AA7">
      <w:pPr>
        <w:autoSpaceDE w:val="0"/>
        <w:autoSpaceDN w:val="0"/>
        <w:adjustRightInd w:val="0"/>
      </w:pPr>
    </w:p>
    <w:p w14:paraId="65EE1AB9" w14:textId="77777777" w:rsidR="00223AA7" w:rsidRPr="00F84703" w:rsidRDefault="00223AA7" w:rsidP="00223AA7">
      <w:pPr>
        <w:autoSpaceDE w:val="0"/>
        <w:autoSpaceDN w:val="0"/>
        <w:adjustRightInd w:val="0"/>
      </w:pPr>
      <w:r w:rsidRPr="00F84703">
        <w:t>The values for number of unduplicated respondents and total annual responses, set forth above, are based on the following:</w:t>
      </w:r>
    </w:p>
    <w:p w14:paraId="7A8419A6" w14:textId="77777777" w:rsidR="00223AA7" w:rsidRPr="00F84703" w:rsidRDefault="00223AA7" w:rsidP="00223AA7">
      <w:pPr>
        <w:autoSpaceDE w:val="0"/>
        <w:autoSpaceDN w:val="0"/>
        <w:adjustRightInd w:val="0"/>
      </w:pPr>
    </w:p>
    <w:p w14:paraId="38D8EB78" w14:textId="3D6FE956" w:rsidR="00223AA7" w:rsidRPr="00F84703" w:rsidRDefault="00223AA7" w:rsidP="00724895">
      <w:pPr>
        <w:numPr>
          <w:ilvl w:val="3"/>
          <w:numId w:val="7"/>
        </w:numPr>
        <w:tabs>
          <w:tab w:val="clear" w:pos="2520"/>
          <w:tab w:val="num" w:pos="1100"/>
        </w:tabs>
        <w:autoSpaceDE w:val="0"/>
        <w:autoSpaceDN w:val="0"/>
        <w:adjustRightInd w:val="0"/>
        <w:ind w:left="1100" w:hanging="300"/>
      </w:pPr>
      <w:r w:rsidRPr="00F84703">
        <w:t>The total number of unduplicated respon</w:t>
      </w:r>
      <w:r w:rsidR="00AB5EF6">
        <w:t>dents</w:t>
      </w:r>
      <w:r w:rsidRPr="00F84703">
        <w:t xml:space="preserve"> </w:t>
      </w:r>
      <w:r w:rsidR="00FF6172" w:rsidRPr="00F84703">
        <w:t xml:space="preserve">(303) </w:t>
      </w:r>
      <w:r w:rsidRPr="00F84703">
        <w:t xml:space="preserve">represents the number of </w:t>
      </w:r>
      <w:r w:rsidR="00AB5EF6">
        <w:t xml:space="preserve">fleets submitting </w:t>
      </w:r>
      <w:r w:rsidRPr="00F84703">
        <w:t>annual reports to DOE under this Program.</w:t>
      </w:r>
      <w:r w:rsidR="003B7987" w:rsidRPr="00F84703">
        <w:t xml:space="preserve">  This total number of annual reports represents the sum of Standard Compliance annual reports and Alternative Compliance annual reports submitted to DOE.</w:t>
      </w:r>
    </w:p>
    <w:p w14:paraId="74CE1F4D" w14:textId="4A82B259" w:rsidR="00FF6172" w:rsidRPr="00F84703" w:rsidRDefault="00FF6172" w:rsidP="00724895">
      <w:pPr>
        <w:numPr>
          <w:ilvl w:val="3"/>
          <w:numId w:val="7"/>
        </w:numPr>
        <w:tabs>
          <w:tab w:val="clear" w:pos="2520"/>
          <w:tab w:val="num" w:pos="1100"/>
        </w:tabs>
        <w:autoSpaceDE w:val="0"/>
        <w:autoSpaceDN w:val="0"/>
        <w:adjustRightInd w:val="0"/>
        <w:ind w:left="1100" w:hanging="300"/>
      </w:pPr>
      <w:r w:rsidRPr="00F84703">
        <w:t xml:space="preserve">The </w:t>
      </w:r>
      <w:r w:rsidR="002B7D78">
        <w:t>r</w:t>
      </w:r>
      <w:r w:rsidRPr="00F84703">
        <w:t>e</w:t>
      </w:r>
      <w:r w:rsidR="00AB5EF6">
        <w:t>s</w:t>
      </w:r>
      <w:r w:rsidR="00E21481">
        <w:t>p</w:t>
      </w:r>
      <w:r w:rsidR="00AB5EF6">
        <w:t>onses</w:t>
      </w:r>
      <w:r w:rsidRPr="00F84703">
        <w:t xml:space="preserve"> filed per person (1.</w:t>
      </w:r>
      <w:r w:rsidR="00BF0197" w:rsidRPr="00F84703">
        <w:t>1056</w:t>
      </w:r>
      <w:r w:rsidRPr="00F84703">
        <w:t>) exceeds one (1) because</w:t>
      </w:r>
      <w:r w:rsidR="00AB5EF6">
        <w:t xml:space="preserve"> to file under Alternative Compliance requires submitting three items (including the annual report) all submitted by the same fleet/person</w:t>
      </w:r>
      <w:r w:rsidRPr="00F84703">
        <w:t>.</w:t>
      </w:r>
    </w:p>
    <w:p w14:paraId="2293BC78" w14:textId="4DCF5A2A" w:rsidR="00223AA7" w:rsidRPr="00F84703" w:rsidRDefault="00223AA7" w:rsidP="00724895">
      <w:pPr>
        <w:numPr>
          <w:ilvl w:val="3"/>
          <w:numId w:val="7"/>
        </w:numPr>
        <w:tabs>
          <w:tab w:val="clear" w:pos="2520"/>
          <w:tab w:val="num" w:pos="1100"/>
        </w:tabs>
        <w:autoSpaceDE w:val="0"/>
        <w:autoSpaceDN w:val="0"/>
        <w:adjustRightInd w:val="0"/>
        <w:ind w:left="1100" w:hanging="300"/>
      </w:pPr>
      <w:r w:rsidRPr="00F84703">
        <w:t xml:space="preserve">The number of total annual responses </w:t>
      </w:r>
      <w:r w:rsidR="00FF6172" w:rsidRPr="00F84703">
        <w:t>(3</w:t>
      </w:r>
      <w:r w:rsidR="0095410F">
        <w:t>19</w:t>
      </w:r>
      <w:r w:rsidR="00FF6172" w:rsidRPr="00F84703">
        <w:t xml:space="preserve">) </w:t>
      </w:r>
      <w:r w:rsidRPr="00F84703">
        <w:t xml:space="preserve">represents the sum of the number of annual reports submitted </w:t>
      </w:r>
      <w:r w:rsidR="003B7987" w:rsidRPr="00F84703">
        <w:t xml:space="preserve">(303) </w:t>
      </w:r>
      <w:r w:rsidRPr="00F84703">
        <w:t xml:space="preserve">and the typical number of </w:t>
      </w:r>
      <w:r w:rsidR="00FF6172" w:rsidRPr="00F84703">
        <w:t>Intent to Apply for a Waiver (</w:t>
      </w:r>
      <w:r w:rsidR="0095410F">
        <w:t>8</w:t>
      </w:r>
      <w:r w:rsidR="00FF6172" w:rsidRPr="00F84703">
        <w:t>) and the A</w:t>
      </w:r>
      <w:r w:rsidR="001E063E" w:rsidRPr="00F84703">
        <w:t xml:space="preserve">lternative </w:t>
      </w:r>
      <w:r w:rsidR="00FF6172" w:rsidRPr="00F84703">
        <w:t>C</w:t>
      </w:r>
      <w:r w:rsidR="001E063E" w:rsidRPr="00F84703">
        <w:t xml:space="preserve">ompliance </w:t>
      </w:r>
      <w:r w:rsidR="00FF6172" w:rsidRPr="00F84703">
        <w:t>W</w:t>
      </w:r>
      <w:r w:rsidR="001E063E" w:rsidRPr="00F84703">
        <w:t xml:space="preserve">aiver applications </w:t>
      </w:r>
      <w:r w:rsidR="003B7987" w:rsidRPr="00F84703">
        <w:t>(</w:t>
      </w:r>
      <w:r w:rsidR="0095410F">
        <w:t>8</w:t>
      </w:r>
      <w:r w:rsidR="003B7987" w:rsidRPr="00F84703">
        <w:t xml:space="preserve">) </w:t>
      </w:r>
      <w:r w:rsidR="001E063E" w:rsidRPr="00F84703">
        <w:t>fleets submit to DOE annually under the Program</w:t>
      </w:r>
      <w:r w:rsidRPr="00F84703">
        <w:t xml:space="preserve">. </w:t>
      </w:r>
      <w:r w:rsidR="001E063E" w:rsidRPr="00F84703">
        <w:t xml:space="preserve"> </w:t>
      </w:r>
      <w:r w:rsidR="00CB7DC5" w:rsidRPr="00F84703">
        <w:t>For clarification, f</w:t>
      </w:r>
      <w:r w:rsidR="003B7987" w:rsidRPr="00F84703">
        <w:t>leets that opt into Alternative Compliance have additional submittals to make</w:t>
      </w:r>
      <w:r w:rsidR="00CB7DC5" w:rsidRPr="00F84703">
        <w:t xml:space="preserve"> --</w:t>
      </w:r>
      <w:r w:rsidR="003B7987" w:rsidRPr="00F84703">
        <w:t xml:space="preserve"> the simple Intent to Apply for a Waiver for Alternative Compliance due by March 31 each year (a check box), and the Alternative Compliance Waiver application, due by July 31 each year. </w:t>
      </w:r>
      <w:r w:rsidR="002B7D78">
        <w:t xml:space="preserve"> </w:t>
      </w:r>
      <w:r w:rsidR="001E063E" w:rsidRPr="00F84703">
        <w:t xml:space="preserve">Fleets are not required to </w:t>
      </w:r>
      <w:r w:rsidR="003B7987" w:rsidRPr="00F84703">
        <w:t>opt into A</w:t>
      </w:r>
      <w:r w:rsidR="001D59E1" w:rsidRPr="00F84703">
        <w:t xml:space="preserve">lternative </w:t>
      </w:r>
      <w:r w:rsidR="003B7987" w:rsidRPr="00F84703">
        <w:t>C</w:t>
      </w:r>
      <w:r w:rsidR="001D59E1" w:rsidRPr="00F84703">
        <w:t>ompliance</w:t>
      </w:r>
      <w:r w:rsidR="003B7987" w:rsidRPr="00F84703">
        <w:t xml:space="preserve">, but those that do incur the additional burden of completing the Intent check box </w:t>
      </w:r>
      <w:r w:rsidR="00CB7DC5" w:rsidRPr="00F84703">
        <w:t>(negligible time commitment</w:t>
      </w:r>
      <w:r w:rsidR="008D2A08" w:rsidRPr="00F84703">
        <w:t>, 0.1 hours</w:t>
      </w:r>
      <w:r w:rsidR="00CB7DC5" w:rsidRPr="00F84703">
        <w:t xml:space="preserve">) </w:t>
      </w:r>
      <w:r w:rsidR="003B7987" w:rsidRPr="00F84703">
        <w:t>and the Waiver application</w:t>
      </w:r>
      <w:r w:rsidR="001D59E1" w:rsidRPr="00F84703">
        <w:t xml:space="preserve"> </w:t>
      </w:r>
      <w:r w:rsidR="00CB7DC5" w:rsidRPr="00F84703">
        <w:t>(</w:t>
      </w:r>
      <w:r w:rsidR="00D422B2" w:rsidRPr="00F84703">
        <w:t>5</w:t>
      </w:r>
      <w:r w:rsidR="00CB7DC5" w:rsidRPr="00F84703">
        <w:t xml:space="preserve"> hour</w:t>
      </w:r>
      <w:r w:rsidR="00D422B2" w:rsidRPr="00F84703">
        <w:t>s</w:t>
      </w:r>
      <w:r w:rsidR="00CB7DC5" w:rsidRPr="00F84703">
        <w:t>)</w:t>
      </w:r>
      <w:r w:rsidR="001E063E" w:rsidRPr="00F84703">
        <w:t>, but a fleet submitt</w:t>
      </w:r>
      <w:r w:rsidR="001D59E1" w:rsidRPr="00F84703">
        <w:t>ing</w:t>
      </w:r>
      <w:r w:rsidR="001E063E" w:rsidRPr="00F84703">
        <w:t xml:space="preserve"> such a request will incur </w:t>
      </w:r>
      <w:r w:rsidR="00CB7DC5" w:rsidRPr="00F84703">
        <w:t xml:space="preserve">this </w:t>
      </w:r>
      <w:r w:rsidR="001E063E" w:rsidRPr="00F84703">
        <w:t>additional burden.</w:t>
      </w:r>
    </w:p>
    <w:p w14:paraId="18B205DD" w14:textId="6CB34F58" w:rsidR="00FF6172" w:rsidRPr="00F84703" w:rsidRDefault="00FF6172" w:rsidP="00724895">
      <w:pPr>
        <w:numPr>
          <w:ilvl w:val="3"/>
          <w:numId w:val="7"/>
        </w:numPr>
        <w:tabs>
          <w:tab w:val="clear" w:pos="2520"/>
          <w:tab w:val="num" w:pos="1100"/>
        </w:tabs>
        <w:autoSpaceDE w:val="0"/>
        <w:autoSpaceDN w:val="0"/>
        <w:adjustRightInd w:val="0"/>
        <w:ind w:left="1100" w:hanging="300"/>
      </w:pPr>
      <w:r w:rsidRPr="00F84703">
        <w:t>The total annual burden hours (</w:t>
      </w:r>
      <w:r w:rsidR="006346F6" w:rsidRPr="00F84703">
        <w:t>2,2</w:t>
      </w:r>
      <w:r w:rsidR="007C5968">
        <w:t>15</w:t>
      </w:r>
      <w:r w:rsidRPr="00F84703">
        <w:t>) is the product of the number of total responses by the number of hours for each reporting component.  (303</w:t>
      </w:r>
      <w:r w:rsidR="00344754" w:rsidRPr="00F84703">
        <w:t xml:space="preserve"> (annual reports)</w:t>
      </w:r>
      <w:r w:rsidRPr="00F84703">
        <w:t xml:space="preserve"> * </w:t>
      </w:r>
      <w:r w:rsidR="006346F6" w:rsidRPr="00F84703">
        <w:t>7</w:t>
      </w:r>
      <w:r w:rsidRPr="00F84703">
        <w:t>.175) + (</w:t>
      </w:r>
      <w:r w:rsidR="0095410F">
        <w:t>8</w:t>
      </w:r>
      <w:r w:rsidRPr="00F84703">
        <w:t xml:space="preserve"> </w:t>
      </w:r>
      <w:r w:rsidR="008D2A08" w:rsidRPr="00F84703">
        <w:t xml:space="preserve">(alternative compliance waiver applications) </w:t>
      </w:r>
      <w:r w:rsidRPr="00F84703">
        <w:t xml:space="preserve">* </w:t>
      </w:r>
      <w:r w:rsidR="00D422B2" w:rsidRPr="00F84703">
        <w:t>5</w:t>
      </w:r>
      <w:r w:rsidRPr="00F84703">
        <w:t>)</w:t>
      </w:r>
      <w:r w:rsidR="00344754" w:rsidRPr="00F84703">
        <w:t xml:space="preserve"> + (</w:t>
      </w:r>
      <w:r w:rsidR="0095410F">
        <w:t>8</w:t>
      </w:r>
      <w:r w:rsidR="00344754" w:rsidRPr="00F84703">
        <w:t xml:space="preserve"> </w:t>
      </w:r>
      <w:r w:rsidR="008D2A08" w:rsidRPr="00F84703">
        <w:t xml:space="preserve">(notice of intent) </w:t>
      </w:r>
      <w:r w:rsidR="00344754" w:rsidRPr="00F84703">
        <w:t xml:space="preserve">* 0.1) </w:t>
      </w:r>
      <w:r w:rsidR="00F303F1" w:rsidRPr="00F84703">
        <w:t>= 2,215</w:t>
      </w:r>
      <w:r w:rsidR="00344754" w:rsidRPr="00F84703">
        <w:t xml:space="preserve">.  Each annual report, whether it be </w:t>
      </w:r>
      <w:r w:rsidR="00D422B2" w:rsidRPr="00F84703">
        <w:t xml:space="preserve">for complying under </w:t>
      </w:r>
      <w:r w:rsidR="00344754" w:rsidRPr="00F84703">
        <w:t xml:space="preserve">Standard Compliance or Alternative Compliance, is estimated to take no more than </w:t>
      </w:r>
      <w:r w:rsidR="006346F6" w:rsidRPr="00F84703">
        <w:t>7</w:t>
      </w:r>
      <w:r w:rsidR="00D422B2" w:rsidRPr="00F84703">
        <w:t>.175</w:t>
      </w:r>
      <w:r w:rsidR="00344754" w:rsidRPr="00F84703">
        <w:t xml:space="preserve"> hours to complete.  Each Alternative Compliance Waiver application </w:t>
      </w:r>
      <w:r w:rsidR="00D422B2" w:rsidRPr="00F84703">
        <w:t>is estimated to take</w:t>
      </w:r>
      <w:r w:rsidR="00344754" w:rsidRPr="00F84703">
        <w:t xml:space="preserve"> no more than 5 hours to complete.  Each Notice of </w:t>
      </w:r>
      <w:r w:rsidR="00F303F1">
        <w:t>I</w:t>
      </w:r>
      <w:r w:rsidR="00344754" w:rsidRPr="00F84703">
        <w:t>ntent to Apply for a Waiver for Alternative Compliance takes no more than 0.1 hours to complete.</w:t>
      </w:r>
    </w:p>
    <w:p w14:paraId="0097A098" w14:textId="77777777" w:rsidR="00223AA7" w:rsidRPr="00F84703" w:rsidRDefault="00223AA7" w:rsidP="00223AA7">
      <w:pPr>
        <w:autoSpaceDE w:val="0"/>
        <w:autoSpaceDN w:val="0"/>
        <w:adjustRightInd w:val="0"/>
      </w:pPr>
    </w:p>
    <w:p w14:paraId="53F88843" w14:textId="77777777" w:rsidR="005523F2" w:rsidRPr="00F84703" w:rsidRDefault="005523F2" w:rsidP="00463368">
      <w:pPr>
        <w:autoSpaceDE w:val="0"/>
        <w:autoSpaceDN w:val="0"/>
        <w:adjustRightInd w:val="0"/>
        <w:ind w:left="720"/>
      </w:pPr>
      <w:r w:rsidRPr="00F84703">
        <w:t>Average Burden:</w:t>
      </w:r>
    </w:p>
    <w:p w14:paraId="00905028" w14:textId="77777777" w:rsidR="005523F2" w:rsidRPr="00F84703" w:rsidRDefault="005523F2" w:rsidP="00463368">
      <w:pPr>
        <w:autoSpaceDE w:val="0"/>
        <w:autoSpaceDN w:val="0"/>
        <w:adjustRightInd w:val="0"/>
        <w:ind w:left="720"/>
      </w:pPr>
      <w:r w:rsidRPr="00F84703">
        <w:t xml:space="preserve">Per Collection: </w:t>
      </w:r>
      <w:r w:rsidR="006346F6" w:rsidRPr="00F84703">
        <w:t>6</w:t>
      </w:r>
      <w:r w:rsidR="00D422B2" w:rsidRPr="00F84703">
        <w:t>.</w:t>
      </w:r>
      <w:r w:rsidR="00816F4A">
        <w:t>94</w:t>
      </w:r>
      <w:r w:rsidR="00D422B2" w:rsidRPr="00F84703">
        <w:t xml:space="preserve"> </w:t>
      </w:r>
      <w:r w:rsidRPr="00F84703">
        <w:t>hours</w:t>
      </w:r>
      <w:r w:rsidR="0043076C">
        <w:rPr>
          <w:rStyle w:val="FootnoteReference"/>
        </w:rPr>
        <w:footnoteReference w:id="3"/>
      </w:r>
    </w:p>
    <w:p w14:paraId="3B5FB6FE" w14:textId="77777777" w:rsidR="005523F2" w:rsidRDefault="005523F2" w:rsidP="00463368">
      <w:pPr>
        <w:autoSpaceDE w:val="0"/>
        <w:autoSpaceDN w:val="0"/>
        <w:adjustRightInd w:val="0"/>
        <w:ind w:left="720"/>
      </w:pPr>
      <w:r w:rsidRPr="00F84703">
        <w:t xml:space="preserve">Per Applicant:  </w:t>
      </w:r>
      <w:r w:rsidR="008D2A08" w:rsidRPr="00F84703">
        <w:t>2</w:t>
      </w:r>
      <w:r w:rsidR="007C5968">
        <w:t>95</w:t>
      </w:r>
      <w:r w:rsidR="008D2A08" w:rsidRPr="00F84703">
        <w:t xml:space="preserve"> fleets spend </w:t>
      </w:r>
      <w:r w:rsidR="006346F6" w:rsidRPr="00F84703">
        <w:t>7</w:t>
      </w:r>
      <w:r w:rsidR="008D2A08" w:rsidRPr="00F84703">
        <w:t xml:space="preserve">.175 hours each for Standard Compliance annual report; </w:t>
      </w:r>
      <w:r w:rsidR="007C5968">
        <w:t>8</w:t>
      </w:r>
      <w:r w:rsidR="008D2A08" w:rsidRPr="00F84703">
        <w:t xml:space="preserve"> fleets spend 10.</w:t>
      </w:r>
      <w:r w:rsidR="0036702B" w:rsidRPr="00F84703">
        <w:t>175</w:t>
      </w:r>
      <w:r w:rsidR="008D2A08" w:rsidRPr="00F84703">
        <w:t xml:space="preserve"> hours each for Alternative Compliance annual report, the Waiver Application, and the Notice of Intent)</w:t>
      </w:r>
    </w:p>
    <w:p w14:paraId="61FC0B69" w14:textId="77777777" w:rsidR="00153F11" w:rsidRDefault="00153F11" w:rsidP="00463368">
      <w:pPr>
        <w:autoSpaceDE w:val="0"/>
        <w:autoSpaceDN w:val="0"/>
        <w:adjustRightInd w:val="0"/>
        <w:ind w:left="720"/>
      </w:pPr>
    </w:p>
    <w:p w14:paraId="6B29540B" w14:textId="77777777" w:rsidR="005523F2" w:rsidRPr="00F84703" w:rsidRDefault="005523F2" w:rsidP="005523F2">
      <w:pPr>
        <w:autoSpaceDE w:val="0"/>
        <w:autoSpaceDN w:val="0"/>
        <w:adjustRightInd w:val="0"/>
      </w:pPr>
    </w:p>
    <w:p w14:paraId="6CBB8CB5" w14:textId="77777777" w:rsidR="00123C4A" w:rsidRPr="00F84703" w:rsidRDefault="00123C4A" w:rsidP="00184C46">
      <w:pPr>
        <w:numPr>
          <w:ilvl w:val="0"/>
          <w:numId w:val="7"/>
        </w:numPr>
        <w:rPr>
          <w:b/>
          <w:u w:val="single"/>
        </w:rPr>
      </w:pPr>
      <w:r w:rsidRPr="00F84703">
        <w:rPr>
          <w:b/>
          <w:u w:val="single"/>
        </w:rPr>
        <w:t>Provide an estimate for the total annual cost burden to respondents or recordkeepers resulting from the</w:t>
      </w:r>
      <w:r w:rsidR="00950881" w:rsidRPr="00F84703">
        <w:rPr>
          <w:b/>
          <w:u w:val="single"/>
        </w:rPr>
        <w:t xml:space="preserve"> </w:t>
      </w:r>
      <w:r w:rsidRPr="00F84703">
        <w:rPr>
          <w:b/>
          <w:u w:val="single"/>
        </w:rPr>
        <w:t xml:space="preserve">collection of information.  </w:t>
      </w:r>
    </w:p>
    <w:p w14:paraId="7211DB0F" w14:textId="77777777" w:rsidR="006765C5" w:rsidRPr="00F84703" w:rsidRDefault="006765C5" w:rsidP="00184C46">
      <w:pPr>
        <w:rPr>
          <w:b/>
          <w:u w:val="single"/>
        </w:rPr>
      </w:pPr>
    </w:p>
    <w:p w14:paraId="320DD073" w14:textId="7E7E2387" w:rsidR="002B1D2F" w:rsidRDefault="000736A4" w:rsidP="003144CC">
      <w:r w:rsidRPr="00F84703">
        <w:t xml:space="preserve">Beyond costs associated with undertaking the work, there are no additional costs to respondents of </w:t>
      </w:r>
      <w:r w:rsidR="00CE7A29">
        <w:t>the</w:t>
      </w:r>
      <w:r w:rsidR="00CE7A29" w:rsidRPr="00F84703">
        <w:t xml:space="preserve"> </w:t>
      </w:r>
      <w:r w:rsidRPr="00F84703">
        <w:t>information collection other than the burden hours for reporting and recordkeeping.  Costs to undertake the work for the collection are approximated at $</w:t>
      </w:r>
      <w:r w:rsidR="007C5968">
        <w:t>50.47</w:t>
      </w:r>
      <w:r w:rsidRPr="00F84703">
        <w:t>/hr of effort (</w:t>
      </w:r>
      <w:r w:rsidR="0069393D" w:rsidRPr="0069393D">
        <w:t>http://www.bls.gov/oes/current/oes119199.htm</w:t>
      </w:r>
      <w:r w:rsidRPr="00F84703">
        <w:t>), for a total of $</w:t>
      </w:r>
      <w:r w:rsidR="006346F6" w:rsidRPr="00F84703">
        <w:t>3</w:t>
      </w:r>
      <w:r w:rsidR="00CE7A29">
        <w:t>50.26 ($50.47/hr x 6.94 hours per collection)</w:t>
      </w:r>
      <w:r w:rsidRPr="00F84703">
        <w:t xml:space="preserve"> in labor to research, collect, and respond to the collection.</w:t>
      </w:r>
      <w:r w:rsidR="0069393D">
        <w:t xml:space="preserve">  The hourly wage used to calculate this value is based on a conservative estimate that each respondent works at the manager level.  The total estimated annual cost for </w:t>
      </w:r>
      <w:r w:rsidR="0069393D" w:rsidRPr="00324B0D">
        <w:rPr>
          <w:b/>
        </w:rPr>
        <w:t>all</w:t>
      </w:r>
      <w:r w:rsidR="0069393D">
        <w:t xml:space="preserve"> respondents</w:t>
      </w:r>
      <w:r w:rsidR="00CD5D07">
        <w:t>, when one averages the burden for all respondents,</w:t>
      </w:r>
      <w:r w:rsidR="0069393D">
        <w:t xml:space="preserve"> is $10</w:t>
      </w:r>
      <w:r w:rsidR="00153F11">
        <w:t>6</w:t>
      </w:r>
      <w:r w:rsidR="0069393D">
        <w:t>,</w:t>
      </w:r>
      <w:r w:rsidR="00153F11">
        <w:t>129</w:t>
      </w:r>
      <w:r w:rsidR="00D34AA1">
        <w:t>.</w:t>
      </w:r>
      <w:r w:rsidR="00153F11">
        <w:t>33</w:t>
      </w:r>
      <w:r w:rsidR="0069393D">
        <w:t xml:space="preserve"> (303 (# of respondents) x $</w:t>
      </w:r>
      <w:r w:rsidR="007C5968">
        <w:t>50.47</w:t>
      </w:r>
      <w:r w:rsidR="0069393D">
        <w:t xml:space="preserve"> (median wage/hr)</w:t>
      </w:r>
      <w:r w:rsidR="00D34AA1">
        <w:t xml:space="preserve"> x 6.</w:t>
      </w:r>
      <w:r w:rsidR="00153F11">
        <w:t>94</w:t>
      </w:r>
      <w:r w:rsidR="00D34AA1">
        <w:t xml:space="preserve"> hours/collection</w:t>
      </w:r>
      <w:r w:rsidR="0069393D">
        <w:t xml:space="preserve">. </w:t>
      </w:r>
      <w:r w:rsidR="00A45B48">
        <w:t xml:space="preserve">The total </w:t>
      </w:r>
      <w:r w:rsidR="00CD5D07">
        <w:t xml:space="preserve">combined </w:t>
      </w:r>
      <w:r w:rsidR="00A45B48">
        <w:t>estimated cost for the two categories of respondents, that is, the Standard Compliance group and the Alternative Compliance group</w:t>
      </w:r>
      <w:r w:rsidR="00CD5D07">
        <w:t xml:space="preserve"> when calculated separately and added</w:t>
      </w:r>
      <w:r w:rsidR="00A45B48">
        <w:t>, is</w:t>
      </w:r>
      <w:r w:rsidR="00CD5D07">
        <w:t xml:space="preserve"> $110,055.</w:t>
      </w:r>
      <w:r w:rsidR="00A45B48">
        <w:t xml:space="preserve"> </w:t>
      </w:r>
    </w:p>
    <w:p w14:paraId="59067338" w14:textId="677F1930" w:rsidR="003318C3" w:rsidRDefault="003318C3" w:rsidP="003144CC"/>
    <w:p w14:paraId="11F62B38" w14:textId="2BE4C296" w:rsidR="003318C3" w:rsidRDefault="003318C3" w:rsidP="003144CC"/>
    <w:p w14:paraId="0209B3A9" w14:textId="77777777" w:rsidR="003318C3" w:rsidRPr="00F84703" w:rsidRDefault="003318C3" w:rsidP="003144CC"/>
    <w:tbl>
      <w:tblPr>
        <w:tblpPr w:leftFromText="180" w:rightFromText="180" w:vertAnchor="text" w:horzAnchor="margin" w:tblpXSpec="center" w:tblpY="-719"/>
        <w:tblW w:w="8820" w:type="dxa"/>
        <w:tblLook w:val="04A0" w:firstRow="1" w:lastRow="0" w:firstColumn="1" w:lastColumn="0" w:noHBand="0" w:noVBand="1"/>
      </w:tblPr>
      <w:tblGrid>
        <w:gridCol w:w="1898"/>
        <w:gridCol w:w="1084"/>
        <w:gridCol w:w="681"/>
        <w:gridCol w:w="1084"/>
        <w:gridCol w:w="1084"/>
        <w:gridCol w:w="681"/>
        <w:gridCol w:w="1267"/>
        <w:gridCol w:w="1041"/>
      </w:tblGrid>
      <w:tr w:rsidR="00CD5D07" w14:paraId="42BFB15F" w14:textId="77777777" w:rsidTr="00324B0D">
        <w:trPr>
          <w:trHeight w:val="243"/>
        </w:trPr>
        <w:tc>
          <w:tcPr>
            <w:tcW w:w="88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26C6085" w14:textId="77777777" w:rsidR="00CD5D07" w:rsidRDefault="00CD5D07" w:rsidP="00CD5D07">
            <w:pPr>
              <w:jc w:val="center"/>
              <w:rPr>
                <w:b/>
                <w:bCs/>
                <w:color w:val="000000"/>
                <w:sz w:val="20"/>
                <w:szCs w:val="20"/>
              </w:rPr>
            </w:pPr>
            <w:bookmarkStart w:id="1" w:name="RANGE!D6"/>
            <w:r>
              <w:rPr>
                <w:b/>
                <w:bCs/>
                <w:color w:val="000000"/>
                <w:sz w:val="20"/>
                <w:szCs w:val="20"/>
              </w:rPr>
              <w:t>Table 3. Estimated Annual Costs of Paperwork Burden</w:t>
            </w:r>
            <w:bookmarkEnd w:id="1"/>
          </w:p>
        </w:tc>
      </w:tr>
      <w:tr w:rsidR="00CD5D07" w14:paraId="7E8B36BD" w14:textId="77777777" w:rsidTr="00324B0D">
        <w:trPr>
          <w:trHeight w:val="458"/>
        </w:trPr>
        <w:tc>
          <w:tcPr>
            <w:tcW w:w="4098" w:type="dxa"/>
            <w:tcBorders>
              <w:top w:val="nil"/>
              <w:left w:val="single" w:sz="4" w:space="0" w:color="auto"/>
              <w:bottom w:val="single" w:sz="4" w:space="0" w:color="auto"/>
              <w:right w:val="single" w:sz="4" w:space="0" w:color="auto"/>
            </w:tcBorders>
            <w:shd w:val="clear" w:color="auto" w:fill="auto"/>
            <w:vAlign w:val="bottom"/>
            <w:hideMark/>
          </w:tcPr>
          <w:p w14:paraId="4F046872" w14:textId="77777777" w:rsidR="00CD5D07" w:rsidRDefault="00CD5D07" w:rsidP="00CD5D07">
            <w:pPr>
              <w:jc w:val="center"/>
              <w:rPr>
                <w:color w:val="000000"/>
                <w:sz w:val="22"/>
                <w:szCs w:val="22"/>
              </w:rPr>
            </w:pPr>
            <w:r>
              <w:rPr>
                <w:color w:val="000000"/>
                <w:sz w:val="22"/>
                <w:szCs w:val="22"/>
              </w:rPr>
              <w:t> </w:t>
            </w:r>
          </w:p>
        </w:tc>
        <w:tc>
          <w:tcPr>
            <w:tcW w:w="1479" w:type="dxa"/>
            <w:gridSpan w:val="2"/>
            <w:tcBorders>
              <w:top w:val="single" w:sz="4" w:space="0" w:color="auto"/>
              <w:left w:val="nil"/>
              <w:bottom w:val="single" w:sz="4" w:space="0" w:color="auto"/>
              <w:right w:val="single" w:sz="4" w:space="0" w:color="auto"/>
            </w:tcBorders>
            <w:shd w:val="clear" w:color="auto" w:fill="auto"/>
            <w:vAlign w:val="bottom"/>
            <w:hideMark/>
          </w:tcPr>
          <w:p w14:paraId="7727BC92" w14:textId="2043996D" w:rsidR="00CD5D07" w:rsidRDefault="00CD5D07" w:rsidP="00CD5D07">
            <w:pPr>
              <w:jc w:val="center"/>
              <w:rPr>
                <w:color w:val="000000"/>
                <w:sz w:val="22"/>
                <w:szCs w:val="22"/>
              </w:rPr>
            </w:pPr>
            <w:r>
              <w:rPr>
                <w:color w:val="000000"/>
                <w:sz w:val="22"/>
                <w:szCs w:val="22"/>
              </w:rPr>
              <w:t>Burden Hours</w:t>
            </w:r>
            <w:r w:rsidR="007F6A4B">
              <w:rPr>
                <w:color w:val="000000"/>
                <w:sz w:val="22"/>
                <w:szCs w:val="22"/>
              </w:rPr>
              <w:t xml:space="preserve"> per respondent</w:t>
            </w:r>
          </w:p>
        </w:tc>
        <w:tc>
          <w:tcPr>
            <w:tcW w:w="563" w:type="dxa"/>
            <w:tcBorders>
              <w:top w:val="nil"/>
              <w:left w:val="nil"/>
              <w:bottom w:val="single" w:sz="4" w:space="0" w:color="auto"/>
              <w:right w:val="single" w:sz="4" w:space="0" w:color="auto"/>
            </w:tcBorders>
            <w:shd w:val="clear" w:color="auto" w:fill="auto"/>
            <w:vAlign w:val="bottom"/>
            <w:hideMark/>
          </w:tcPr>
          <w:p w14:paraId="4A7A211A" w14:textId="77777777" w:rsidR="00CD5D07" w:rsidRDefault="00CD5D07" w:rsidP="00CD5D07">
            <w:pPr>
              <w:jc w:val="center"/>
              <w:rPr>
                <w:color w:val="000000"/>
                <w:sz w:val="22"/>
                <w:szCs w:val="22"/>
              </w:rPr>
            </w:pPr>
            <w:r>
              <w:rPr>
                <w:color w:val="000000"/>
                <w:sz w:val="22"/>
                <w:szCs w:val="22"/>
              </w:rPr>
              <w:t>Wages ($/hr)</w:t>
            </w:r>
          </w:p>
        </w:tc>
        <w:tc>
          <w:tcPr>
            <w:tcW w:w="1479" w:type="dxa"/>
            <w:gridSpan w:val="2"/>
            <w:tcBorders>
              <w:top w:val="single" w:sz="4" w:space="0" w:color="auto"/>
              <w:left w:val="nil"/>
              <w:bottom w:val="single" w:sz="4" w:space="0" w:color="auto"/>
              <w:right w:val="single" w:sz="4" w:space="0" w:color="auto"/>
            </w:tcBorders>
            <w:shd w:val="clear" w:color="auto" w:fill="auto"/>
            <w:vAlign w:val="bottom"/>
            <w:hideMark/>
          </w:tcPr>
          <w:p w14:paraId="4A54CA38" w14:textId="77777777" w:rsidR="00CD5D07" w:rsidRDefault="00CD5D07" w:rsidP="00CD5D07">
            <w:pPr>
              <w:jc w:val="center"/>
              <w:rPr>
                <w:color w:val="000000"/>
                <w:sz w:val="22"/>
                <w:szCs w:val="22"/>
              </w:rPr>
            </w:pPr>
            <w:r>
              <w:rPr>
                <w:color w:val="000000"/>
                <w:sz w:val="22"/>
                <w:szCs w:val="22"/>
              </w:rPr>
              <w:t>Cost of Burden Hours ($)</w:t>
            </w:r>
          </w:p>
        </w:tc>
        <w:tc>
          <w:tcPr>
            <w:tcW w:w="658" w:type="dxa"/>
            <w:tcBorders>
              <w:top w:val="nil"/>
              <w:left w:val="nil"/>
              <w:bottom w:val="single" w:sz="4" w:space="0" w:color="auto"/>
              <w:right w:val="single" w:sz="4" w:space="0" w:color="auto"/>
            </w:tcBorders>
            <w:shd w:val="clear" w:color="auto" w:fill="auto"/>
            <w:vAlign w:val="bottom"/>
            <w:hideMark/>
          </w:tcPr>
          <w:p w14:paraId="31DEB623" w14:textId="77777777" w:rsidR="00CD5D07" w:rsidRDefault="00CD5D07" w:rsidP="00CD5D07">
            <w:pPr>
              <w:jc w:val="center"/>
              <w:rPr>
                <w:color w:val="000000"/>
                <w:sz w:val="22"/>
                <w:szCs w:val="22"/>
              </w:rPr>
            </w:pPr>
            <w:r>
              <w:rPr>
                <w:color w:val="000000"/>
                <w:sz w:val="22"/>
                <w:szCs w:val="22"/>
              </w:rPr>
              <w:t>Number of respondents</w:t>
            </w:r>
          </w:p>
        </w:tc>
        <w:tc>
          <w:tcPr>
            <w:tcW w:w="540" w:type="dxa"/>
            <w:tcBorders>
              <w:top w:val="nil"/>
              <w:left w:val="nil"/>
              <w:bottom w:val="single" w:sz="4" w:space="0" w:color="auto"/>
              <w:right w:val="single" w:sz="4" w:space="0" w:color="auto"/>
            </w:tcBorders>
            <w:shd w:val="clear" w:color="auto" w:fill="auto"/>
            <w:vAlign w:val="bottom"/>
            <w:hideMark/>
          </w:tcPr>
          <w:p w14:paraId="47FE36DA" w14:textId="77777777" w:rsidR="00CD5D07" w:rsidRDefault="00CD5D07" w:rsidP="00CD5D07">
            <w:pPr>
              <w:jc w:val="center"/>
              <w:rPr>
                <w:color w:val="000000"/>
                <w:sz w:val="22"/>
                <w:szCs w:val="22"/>
              </w:rPr>
            </w:pPr>
            <w:r>
              <w:rPr>
                <w:color w:val="000000"/>
                <w:sz w:val="22"/>
                <w:szCs w:val="22"/>
              </w:rPr>
              <w:t>Total Cost ($)</w:t>
            </w:r>
          </w:p>
        </w:tc>
      </w:tr>
      <w:tr w:rsidR="00CD5D07" w14:paraId="7FDD8606" w14:textId="77777777" w:rsidTr="00324B0D">
        <w:trPr>
          <w:trHeight w:val="458"/>
        </w:trPr>
        <w:tc>
          <w:tcPr>
            <w:tcW w:w="4098" w:type="dxa"/>
            <w:tcBorders>
              <w:top w:val="nil"/>
              <w:left w:val="single" w:sz="4" w:space="0" w:color="auto"/>
              <w:bottom w:val="single" w:sz="4" w:space="0" w:color="auto"/>
              <w:right w:val="single" w:sz="4" w:space="0" w:color="auto"/>
            </w:tcBorders>
            <w:shd w:val="clear" w:color="auto" w:fill="auto"/>
            <w:vAlign w:val="bottom"/>
            <w:hideMark/>
          </w:tcPr>
          <w:p w14:paraId="3DBFDFEE" w14:textId="77777777" w:rsidR="00CD5D07" w:rsidRDefault="00CD5D07" w:rsidP="00CD5D07">
            <w:pPr>
              <w:jc w:val="center"/>
              <w:rPr>
                <w:color w:val="000000"/>
                <w:sz w:val="22"/>
                <w:szCs w:val="22"/>
              </w:rPr>
            </w:pPr>
            <w:r>
              <w:rPr>
                <w:color w:val="000000"/>
                <w:sz w:val="22"/>
                <w:szCs w:val="22"/>
              </w:rPr>
              <w:t>Paperwork Burden</w:t>
            </w:r>
          </w:p>
        </w:tc>
        <w:tc>
          <w:tcPr>
            <w:tcW w:w="985" w:type="dxa"/>
            <w:tcBorders>
              <w:top w:val="nil"/>
              <w:left w:val="nil"/>
              <w:bottom w:val="single" w:sz="4" w:space="0" w:color="auto"/>
              <w:right w:val="single" w:sz="4" w:space="0" w:color="auto"/>
            </w:tcBorders>
            <w:shd w:val="clear" w:color="auto" w:fill="auto"/>
            <w:vAlign w:val="bottom"/>
            <w:hideMark/>
          </w:tcPr>
          <w:p w14:paraId="04FE7D43" w14:textId="77777777" w:rsidR="00CD5D07" w:rsidRDefault="00CD5D07" w:rsidP="00CD5D07">
            <w:pPr>
              <w:jc w:val="center"/>
              <w:rPr>
                <w:color w:val="000000"/>
                <w:sz w:val="22"/>
                <w:szCs w:val="22"/>
              </w:rPr>
            </w:pPr>
            <w:r>
              <w:rPr>
                <w:color w:val="000000"/>
                <w:sz w:val="22"/>
                <w:szCs w:val="22"/>
              </w:rPr>
              <w:t>Personnel</w:t>
            </w:r>
          </w:p>
        </w:tc>
        <w:tc>
          <w:tcPr>
            <w:tcW w:w="494" w:type="dxa"/>
            <w:tcBorders>
              <w:top w:val="nil"/>
              <w:left w:val="nil"/>
              <w:bottom w:val="single" w:sz="4" w:space="0" w:color="auto"/>
              <w:right w:val="single" w:sz="4" w:space="0" w:color="auto"/>
            </w:tcBorders>
            <w:shd w:val="clear" w:color="auto" w:fill="auto"/>
            <w:vAlign w:val="bottom"/>
            <w:hideMark/>
          </w:tcPr>
          <w:p w14:paraId="321837FA" w14:textId="77777777" w:rsidR="00CD5D07" w:rsidRDefault="00CD5D07" w:rsidP="00CD5D07">
            <w:pPr>
              <w:jc w:val="center"/>
              <w:rPr>
                <w:color w:val="000000"/>
                <w:sz w:val="22"/>
                <w:szCs w:val="22"/>
              </w:rPr>
            </w:pPr>
            <w:r>
              <w:rPr>
                <w:color w:val="000000"/>
                <w:sz w:val="22"/>
                <w:szCs w:val="22"/>
              </w:rPr>
              <w:t>Total</w:t>
            </w:r>
          </w:p>
        </w:tc>
        <w:tc>
          <w:tcPr>
            <w:tcW w:w="563" w:type="dxa"/>
            <w:tcBorders>
              <w:top w:val="nil"/>
              <w:left w:val="nil"/>
              <w:bottom w:val="single" w:sz="4" w:space="0" w:color="auto"/>
              <w:right w:val="single" w:sz="4" w:space="0" w:color="auto"/>
            </w:tcBorders>
            <w:shd w:val="clear" w:color="auto" w:fill="auto"/>
            <w:vAlign w:val="bottom"/>
            <w:hideMark/>
          </w:tcPr>
          <w:p w14:paraId="662833FB" w14:textId="77777777" w:rsidR="00CD5D07" w:rsidRDefault="00CD5D07" w:rsidP="00CD5D07">
            <w:pPr>
              <w:jc w:val="center"/>
              <w:rPr>
                <w:color w:val="000000"/>
                <w:sz w:val="22"/>
                <w:szCs w:val="22"/>
              </w:rPr>
            </w:pPr>
            <w:r>
              <w:rPr>
                <w:color w:val="000000"/>
                <w:sz w:val="22"/>
                <w:szCs w:val="22"/>
              </w:rPr>
              <w:t>Personnel</w:t>
            </w:r>
          </w:p>
        </w:tc>
        <w:tc>
          <w:tcPr>
            <w:tcW w:w="985" w:type="dxa"/>
            <w:tcBorders>
              <w:top w:val="nil"/>
              <w:left w:val="nil"/>
              <w:bottom w:val="single" w:sz="4" w:space="0" w:color="auto"/>
              <w:right w:val="single" w:sz="4" w:space="0" w:color="auto"/>
            </w:tcBorders>
            <w:shd w:val="clear" w:color="auto" w:fill="auto"/>
            <w:vAlign w:val="bottom"/>
            <w:hideMark/>
          </w:tcPr>
          <w:p w14:paraId="2F5F0CEF" w14:textId="77777777" w:rsidR="00CD5D07" w:rsidRDefault="00CD5D07" w:rsidP="00CD5D07">
            <w:pPr>
              <w:jc w:val="center"/>
              <w:rPr>
                <w:color w:val="000000"/>
                <w:sz w:val="22"/>
                <w:szCs w:val="22"/>
              </w:rPr>
            </w:pPr>
            <w:r>
              <w:rPr>
                <w:color w:val="000000"/>
                <w:sz w:val="22"/>
                <w:szCs w:val="22"/>
              </w:rPr>
              <w:t>Personnel</w:t>
            </w:r>
          </w:p>
        </w:tc>
        <w:tc>
          <w:tcPr>
            <w:tcW w:w="494" w:type="dxa"/>
            <w:tcBorders>
              <w:top w:val="nil"/>
              <w:left w:val="nil"/>
              <w:bottom w:val="single" w:sz="4" w:space="0" w:color="auto"/>
              <w:right w:val="single" w:sz="4" w:space="0" w:color="auto"/>
            </w:tcBorders>
            <w:shd w:val="clear" w:color="auto" w:fill="auto"/>
            <w:vAlign w:val="bottom"/>
            <w:hideMark/>
          </w:tcPr>
          <w:p w14:paraId="6C80041D" w14:textId="77777777" w:rsidR="00CD5D07" w:rsidRDefault="00CD5D07" w:rsidP="00CD5D07">
            <w:pPr>
              <w:jc w:val="center"/>
              <w:rPr>
                <w:color w:val="000000"/>
                <w:sz w:val="22"/>
                <w:szCs w:val="22"/>
              </w:rPr>
            </w:pPr>
            <w:r>
              <w:rPr>
                <w:color w:val="000000"/>
                <w:sz w:val="22"/>
                <w:szCs w:val="22"/>
              </w:rPr>
              <w:t>Total</w:t>
            </w:r>
          </w:p>
        </w:tc>
        <w:tc>
          <w:tcPr>
            <w:tcW w:w="658" w:type="dxa"/>
            <w:tcBorders>
              <w:top w:val="nil"/>
              <w:left w:val="nil"/>
              <w:bottom w:val="single" w:sz="4" w:space="0" w:color="auto"/>
              <w:right w:val="single" w:sz="4" w:space="0" w:color="auto"/>
            </w:tcBorders>
            <w:shd w:val="clear" w:color="auto" w:fill="auto"/>
            <w:noWrap/>
            <w:vAlign w:val="bottom"/>
            <w:hideMark/>
          </w:tcPr>
          <w:p w14:paraId="062ABDD5" w14:textId="77777777" w:rsidR="00CD5D07" w:rsidRDefault="00CD5D07" w:rsidP="00CD5D07">
            <w:pPr>
              <w:rPr>
                <w:color w:val="000000"/>
                <w:sz w:val="22"/>
                <w:szCs w:val="22"/>
              </w:rPr>
            </w:pPr>
            <w:r>
              <w:rPr>
                <w:color w:val="000000"/>
                <w:sz w:val="22"/>
                <w:szCs w:val="22"/>
              </w:rPr>
              <w:t> </w:t>
            </w:r>
          </w:p>
        </w:tc>
        <w:tc>
          <w:tcPr>
            <w:tcW w:w="540" w:type="dxa"/>
            <w:tcBorders>
              <w:top w:val="nil"/>
              <w:left w:val="nil"/>
              <w:bottom w:val="single" w:sz="4" w:space="0" w:color="auto"/>
              <w:right w:val="single" w:sz="4" w:space="0" w:color="auto"/>
            </w:tcBorders>
            <w:shd w:val="clear" w:color="auto" w:fill="auto"/>
            <w:noWrap/>
            <w:vAlign w:val="bottom"/>
            <w:hideMark/>
          </w:tcPr>
          <w:p w14:paraId="30C13A12" w14:textId="77777777" w:rsidR="00CD5D07" w:rsidRDefault="00CD5D07" w:rsidP="00CD5D07">
            <w:pPr>
              <w:rPr>
                <w:color w:val="000000"/>
                <w:sz w:val="22"/>
                <w:szCs w:val="22"/>
              </w:rPr>
            </w:pPr>
            <w:r>
              <w:rPr>
                <w:color w:val="000000"/>
                <w:sz w:val="22"/>
                <w:szCs w:val="22"/>
              </w:rPr>
              <w:t> </w:t>
            </w:r>
          </w:p>
        </w:tc>
      </w:tr>
      <w:tr w:rsidR="00CD5D07" w14:paraId="2363189C" w14:textId="77777777" w:rsidTr="00324B0D">
        <w:trPr>
          <w:trHeight w:val="858"/>
        </w:trPr>
        <w:tc>
          <w:tcPr>
            <w:tcW w:w="4098" w:type="dxa"/>
            <w:tcBorders>
              <w:top w:val="nil"/>
              <w:left w:val="single" w:sz="4" w:space="0" w:color="auto"/>
              <w:bottom w:val="single" w:sz="4" w:space="0" w:color="auto"/>
              <w:right w:val="single" w:sz="4" w:space="0" w:color="auto"/>
            </w:tcBorders>
            <w:shd w:val="clear" w:color="auto" w:fill="auto"/>
            <w:vAlign w:val="center"/>
            <w:hideMark/>
          </w:tcPr>
          <w:p w14:paraId="706B8AF0" w14:textId="77777777" w:rsidR="00CD5D07" w:rsidRDefault="00CD5D07" w:rsidP="00CD5D07">
            <w:pPr>
              <w:jc w:val="center"/>
              <w:rPr>
                <w:color w:val="000000"/>
                <w:sz w:val="20"/>
                <w:szCs w:val="20"/>
              </w:rPr>
            </w:pPr>
            <w:r>
              <w:rPr>
                <w:color w:val="000000"/>
                <w:sz w:val="20"/>
                <w:szCs w:val="20"/>
              </w:rPr>
              <w:t>Standard Compliance (Annual Report)</w:t>
            </w:r>
          </w:p>
        </w:tc>
        <w:tc>
          <w:tcPr>
            <w:tcW w:w="985" w:type="dxa"/>
            <w:tcBorders>
              <w:top w:val="nil"/>
              <w:left w:val="nil"/>
              <w:bottom w:val="single" w:sz="4" w:space="0" w:color="auto"/>
              <w:right w:val="single" w:sz="4" w:space="0" w:color="auto"/>
            </w:tcBorders>
            <w:shd w:val="clear" w:color="auto" w:fill="auto"/>
            <w:vAlign w:val="center"/>
            <w:hideMark/>
          </w:tcPr>
          <w:p w14:paraId="68BE15A4" w14:textId="77777777" w:rsidR="00CD5D07" w:rsidRDefault="00CD5D07" w:rsidP="00CD5D07">
            <w:pPr>
              <w:jc w:val="center"/>
              <w:rPr>
                <w:color w:val="000000"/>
                <w:sz w:val="20"/>
                <w:szCs w:val="20"/>
              </w:rPr>
            </w:pPr>
            <w:r>
              <w:rPr>
                <w:color w:val="000000"/>
                <w:sz w:val="20"/>
                <w:szCs w:val="20"/>
              </w:rPr>
              <w:t>7</w:t>
            </w:r>
          </w:p>
        </w:tc>
        <w:tc>
          <w:tcPr>
            <w:tcW w:w="494" w:type="dxa"/>
            <w:tcBorders>
              <w:top w:val="nil"/>
              <w:left w:val="nil"/>
              <w:bottom w:val="single" w:sz="4" w:space="0" w:color="auto"/>
              <w:right w:val="single" w:sz="4" w:space="0" w:color="auto"/>
            </w:tcBorders>
            <w:shd w:val="clear" w:color="auto" w:fill="auto"/>
            <w:vAlign w:val="center"/>
            <w:hideMark/>
          </w:tcPr>
          <w:p w14:paraId="5F51298A" w14:textId="77777777" w:rsidR="00CD5D07" w:rsidRDefault="00CD5D07" w:rsidP="00CD5D07">
            <w:pPr>
              <w:jc w:val="center"/>
              <w:rPr>
                <w:color w:val="000000"/>
                <w:sz w:val="20"/>
                <w:szCs w:val="20"/>
              </w:rPr>
            </w:pPr>
            <w:r>
              <w:rPr>
                <w:color w:val="000000"/>
                <w:sz w:val="20"/>
                <w:szCs w:val="20"/>
              </w:rPr>
              <w:t>7</w:t>
            </w:r>
          </w:p>
        </w:tc>
        <w:tc>
          <w:tcPr>
            <w:tcW w:w="563" w:type="dxa"/>
            <w:tcBorders>
              <w:top w:val="nil"/>
              <w:left w:val="nil"/>
              <w:bottom w:val="single" w:sz="4" w:space="0" w:color="auto"/>
              <w:right w:val="single" w:sz="4" w:space="0" w:color="auto"/>
            </w:tcBorders>
            <w:shd w:val="clear" w:color="auto" w:fill="auto"/>
            <w:vAlign w:val="center"/>
            <w:hideMark/>
          </w:tcPr>
          <w:p w14:paraId="47B381BA" w14:textId="77777777" w:rsidR="00CD5D07" w:rsidRDefault="00CD5D07" w:rsidP="00CD5D07">
            <w:pPr>
              <w:jc w:val="center"/>
              <w:rPr>
                <w:color w:val="000000"/>
                <w:sz w:val="20"/>
                <w:szCs w:val="20"/>
              </w:rPr>
            </w:pPr>
            <w:r>
              <w:rPr>
                <w:color w:val="000000"/>
                <w:sz w:val="20"/>
                <w:szCs w:val="20"/>
              </w:rPr>
              <w:t xml:space="preserve">$50.47 </w:t>
            </w:r>
          </w:p>
        </w:tc>
        <w:tc>
          <w:tcPr>
            <w:tcW w:w="985" w:type="dxa"/>
            <w:tcBorders>
              <w:top w:val="nil"/>
              <w:left w:val="nil"/>
              <w:bottom w:val="single" w:sz="4" w:space="0" w:color="auto"/>
              <w:right w:val="single" w:sz="4" w:space="0" w:color="auto"/>
            </w:tcBorders>
            <w:shd w:val="clear" w:color="auto" w:fill="auto"/>
            <w:vAlign w:val="center"/>
            <w:hideMark/>
          </w:tcPr>
          <w:p w14:paraId="4C849A4E" w14:textId="77777777" w:rsidR="00CD5D07" w:rsidRDefault="00CD5D07" w:rsidP="00CD5D07">
            <w:pPr>
              <w:jc w:val="center"/>
              <w:rPr>
                <w:color w:val="000000"/>
                <w:sz w:val="20"/>
                <w:szCs w:val="20"/>
              </w:rPr>
            </w:pPr>
            <w:r>
              <w:rPr>
                <w:color w:val="000000"/>
                <w:sz w:val="20"/>
                <w:szCs w:val="20"/>
              </w:rPr>
              <w:t xml:space="preserve">$362 </w:t>
            </w:r>
          </w:p>
        </w:tc>
        <w:tc>
          <w:tcPr>
            <w:tcW w:w="494" w:type="dxa"/>
            <w:tcBorders>
              <w:top w:val="nil"/>
              <w:left w:val="nil"/>
              <w:bottom w:val="single" w:sz="4" w:space="0" w:color="auto"/>
              <w:right w:val="single" w:sz="4" w:space="0" w:color="auto"/>
            </w:tcBorders>
            <w:shd w:val="clear" w:color="auto" w:fill="auto"/>
            <w:vAlign w:val="center"/>
            <w:hideMark/>
          </w:tcPr>
          <w:p w14:paraId="16208518" w14:textId="77777777" w:rsidR="00CD5D07" w:rsidRDefault="00CD5D07" w:rsidP="00CD5D07">
            <w:pPr>
              <w:jc w:val="center"/>
              <w:rPr>
                <w:color w:val="000000"/>
                <w:sz w:val="20"/>
                <w:szCs w:val="20"/>
              </w:rPr>
            </w:pPr>
            <w:r>
              <w:rPr>
                <w:color w:val="000000"/>
                <w:sz w:val="20"/>
                <w:szCs w:val="20"/>
              </w:rPr>
              <w:t xml:space="preserve">$362 </w:t>
            </w:r>
          </w:p>
        </w:tc>
        <w:tc>
          <w:tcPr>
            <w:tcW w:w="658" w:type="dxa"/>
            <w:tcBorders>
              <w:top w:val="nil"/>
              <w:left w:val="nil"/>
              <w:bottom w:val="single" w:sz="4" w:space="0" w:color="auto"/>
              <w:right w:val="single" w:sz="4" w:space="0" w:color="auto"/>
            </w:tcBorders>
            <w:shd w:val="clear" w:color="auto" w:fill="auto"/>
            <w:noWrap/>
            <w:vAlign w:val="center"/>
            <w:hideMark/>
          </w:tcPr>
          <w:p w14:paraId="789EACA0" w14:textId="77777777" w:rsidR="00CD5D07" w:rsidRDefault="00CD5D07" w:rsidP="00CD5D07">
            <w:pPr>
              <w:jc w:val="center"/>
              <w:rPr>
                <w:color w:val="000000"/>
                <w:sz w:val="22"/>
                <w:szCs w:val="22"/>
              </w:rPr>
            </w:pPr>
            <w:r>
              <w:rPr>
                <w:color w:val="000000"/>
                <w:sz w:val="22"/>
                <w:szCs w:val="22"/>
              </w:rPr>
              <w:t>295</w:t>
            </w:r>
          </w:p>
        </w:tc>
        <w:tc>
          <w:tcPr>
            <w:tcW w:w="540" w:type="dxa"/>
            <w:tcBorders>
              <w:top w:val="nil"/>
              <w:left w:val="nil"/>
              <w:bottom w:val="single" w:sz="4" w:space="0" w:color="auto"/>
              <w:right w:val="single" w:sz="4" w:space="0" w:color="auto"/>
            </w:tcBorders>
            <w:shd w:val="clear" w:color="auto" w:fill="auto"/>
            <w:noWrap/>
            <w:vAlign w:val="center"/>
            <w:hideMark/>
          </w:tcPr>
          <w:p w14:paraId="7A517E31" w14:textId="77777777" w:rsidR="00CD5D07" w:rsidRDefault="00CD5D07" w:rsidP="00CD5D07">
            <w:pPr>
              <w:jc w:val="center"/>
              <w:rPr>
                <w:color w:val="000000"/>
                <w:sz w:val="22"/>
                <w:szCs w:val="22"/>
              </w:rPr>
            </w:pPr>
            <w:r>
              <w:rPr>
                <w:color w:val="000000"/>
                <w:sz w:val="22"/>
                <w:szCs w:val="22"/>
              </w:rPr>
              <w:t>106825.4</w:t>
            </w:r>
          </w:p>
        </w:tc>
      </w:tr>
      <w:tr w:rsidR="00CD5D07" w14:paraId="55AAF6BB" w14:textId="77777777" w:rsidTr="00324B0D">
        <w:trPr>
          <w:trHeight w:val="1717"/>
        </w:trPr>
        <w:tc>
          <w:tcPr>
            <w:tcW w:w="4098" w:type="dxa"/>
            <w:tcBorders>
              <w:top w:val="nil"/>
              <w:left w:val="single" w:sz="4" w:space="0" w:color="auto"/>
              <w:bottom w:val="single" w:sz="4" w:space="0" w:color="auto"/>
              <w:right w:val="single" w:sz="4" w:space="0" w:color="auto"/>
            </w:tcBorders>
            <w:shd w:val="clear" w:color="auto" w:fill="auto"/>
            <w:vAlign w:val="center"/>
            <w:hideMark/>
          </w:tcPr>
          <w:p w14:paraId="2BB3E76C" w14:textId="77777777" w:rsidR="00CD5D07" w:rsidRDefault="00CD5D07" w:rsidP="00CD5D07">
            <w:pPr>
              <w:jc w:val="center"/>
              <w:rPr>
                <w:color w:val="000000"/>
                <w:sz w:val="20"/>
                <w:szCs w:val="20"/>
              </w:rPr>
            </w:pPr>
            <w:r>
              <w:rPr>
                <w:color w:val="000000"/>
                <w:sz w:val="20"/>
                <w:szCs w:val="20"/>
              </w:rPr>
              <w:t>Alternative Compliance (Annual Report, Notice of Intent, Waiver submittal)</w:t>
            </w:r>
          </w:p>
        </w:tc>
        <w:tc>
          <w:tcPr>
            <w:tcW w:w="985" w:type="dxa"/>
            <w:tcBorders>
              <w:top w:val="nil"/>
              <w:left w:val="nil"/>
              <w:bottom w:val="single" w:sz="4" w:space="0" w:color="auto"/>
              <w:right w:val="single" w:sz="4" w:space="0" w:color="auto"/>
            </w:tcBorders>
            <w:shd w:val="clear" w:color="auto" w:fill="auto"/>
            <w:vAlign w:val="center"/>
            <w:hideMark/>
          </w:tcPr>
          <w:p w14:paraId="2FC1F067" w14:textId="77777777" w:rsidR="00CD5D07" w:rsidRDefault="00CD5D07" w:rsidP="00CD5D07">
            <w:pPr>
              <w:jc w:val="center"/>
              <w:rPr>
                <w:color w:val="000000"/>
                <w:sz w:val="20"/>
                <w:szCs w:val="20"/>
              </w:rPr>
            </w:pPr>
            <w:r>
              <w:rPr>
                <w:color w:val="000000"/>
                <w:sz w:val="20"/>
                <w:szCs w:val="20"/>
              </w:rPr>
              <w:t>8</w:t>
            </w:r>
          </w:p>
        </w:tc>
        <w:tc>
          <w:tcPr>
            <w:tcW w:w="494" w:type="dxa"/>
            <w:tcBorders>
              <w:top w:val="nil"/>
              <w:left w:val="nil"/>
              <w:bottom w:val="single" w:sz="4" w:space="0" w:color="auto"/>
              <w:right w:val="single" w:sz="4" w:space="0" w:color="auto"/>
            </w:tcBorders>
            <w:shd w:val="clear" w:color="auto" w:fill="auto"/>
            <w:vAlign w:val="center"/>
            <w:hideMark/>
          </w:tcPr>
          <w:p w14:paraId="3E3074E9" w14:textId="77777777" w:rsidR="00CD5D07" w:rsidRDefault="00CD5D07" w:rsidP="00CD5D07">
            <w:pPr>
              <w:jc w:val="center"/>
              <w:rPr>
                <w:color w:val="000000"/>
                <w:sz w:val="20"/>
                <w:szCs w:val="20"/>
              </w:rPr>
            </w:pPr>
            <w:r>
              <w:rPr>
                <w:color w:val="000000"/>
                <w:sz w:val="20"/>
                <w:szCs w:val="20"/>
              </w:rPr>
              <w:t>8</w:t>
            </w:r>
          </w:p>
        </w:tc>
        <w:tc>
          <w:tcPr>
            <w:tcW w:w="563" w:type="dxa"/>
            <w:tcBorders>
              <w:top w:val="nil"/>
              <w:left w:val="nil"/>
              <w:bottom w:val="single" w:sz="4" w:space="0" w:color="auto"/>
              <w:right w:val="single" w:sz="4" w:space="0" w:color="auto"/>
            </w:tcBorders>
            <w:shd w:val="clear" w:color="auto" w:fill="auto"/>
            <w:vAlign w:val="center"/>
            <w:hideMark/>
          </w:tcPr>
          <w:p w14:paraId="6401F226" w14:textId="77777777" w:rsidR="00CD5D07" w:rsidRDefault="00CD5D07" w:rsidP="00CD5D07">
            <w:pPr>
              <w:jc w:val="center"/>
              <w:rPr>
                <w:color w:val="000000"/>
                <w:sz w:val="20"/>
                <w:szCs w:val="20"/>
              </w:rPr>
            </w:pPr>
            <w:r>
              <w:rPr>
                <w:color w:val="000000"/>
                <w:sz w:val="20"/>
                <w:szCs w:val="20"/>
              </w:rPr>
              <w:t xml:space="preserve">$50.47 </w:t>
            </w:r>
          </w:p>
        </w:tc>
        <w:tc>
          <w:tcPr>
            <w:tcW w:w="985" w:type="dxa"/>
            <w:tcBorders>
              <w:top w:val="nil"/>
              <w:left w:val="nil"/>
              <w:bottom w:val="single" w:sz="4" w:space="0" w:color="auto"/>
              <w:right w:val="single" w:sz="4" w:space="0" w:color="auto"/>
            </w:tcBorders>
            <w:shd w:val="clear" w:color="auto" w:fill="auto"/>
            <w:vAlign w:val="center"/>
            <w:hideMark/>
          </w:tcPr>
          <w:p w14:paraId="39B37E09" w14:textId="77777777" w:rsidR="00CD5D07" w:rsidRDefault="00CD5D07" w:rsidP="00CD5D07">
            <w:pPr>
              <w:jc w:val="center"/>
              <w:rPr>
                <w:color w:val="000000"/>
                <w:sz w:val="20"/>
                <w:szCs w:val="20"/>
              </w:rPr>
            </w:pPr>
            <w:r>
              <w:rPr>
                <w:color w:val="000000"/>
                <w:sz w:val="20"/>
                <w:szCs w:val="20"/>
              </w:rPr>
              <w:t xml:space="preserve">$404 </w:t>
            </w:r>
          </w:p>
        </w:tc>
        <w:tc>
          <w:tcPr>
            <w:tcW w:w="494" w:type="dxa"/>
            <w:tcBorders>
              <w:top w:val="nil"/>
              <w:left w:val="nil"/>
              <w:bottom w:val="single" w:sz="4" w:space="0" w:color="auto"/>
              <w:right w:val="single" w:sz="4" w:space="0" w:color="auto"/>
            </w:tcBorders>
            <w:shd w:val="clear" w:color="auto" w:fill="auto"/>
            <w:vAlign w:val="center"/>
            <w:hideMark/>
          </w:tcPr>
          <w:p w14:paraId="35F6FE21" w14:textId="77777777" w:rsidR="00CD5D07" w:rsidRDefault="00CD5D07" w:rsidP="00CD5D07">
            <w:pPr>
              <w:jc w:val="center"/>
              <w:rPr>
                <w:color w:val="000000"/>
                <w:sz w:val="20"/>
                <w:szCs w:val="20"/>
              </w:rPr>
            </w:pPr>
            <w:r>
              <w:rPr>
                <w:color w:val="000000"/>
                <w:sz w:val="20"/>
                <w:szCs w:val="20"/>
              </w:rPr>
              <w:t xml:space="preserve">$404 </w:t>
            </w:r>
          </w:p>
        </w:tc>
        <w:tc>
          <w:tcPr>
            <w:tcW w:w="658" w:type="dxa"/>
            <w:tcBorders>
              <w:top w:val="nil"/>
              <w:left w:val="nil"/>
              <w:bottom w:val="single" w:sz="4" w:space="0" w:color="auto"/>
              <w:right w:val="single" w:sz="4" w:space="0" w:color="auto"/>
            </w:tcBorders>
            <w:shd w:val="clear" w:color="auto" w:fill="auto"/>
            <w:noWrap/>
            <w:vAlign w:val="center"/>
            <w:hideMark/>
          </w:tcPr>
          <w:p w14:paraId="5F80102D" w14:textId="77777777" w:rsidR="00CD5D07" w:rsidRDefault="00CD5D07" w:rsidP="00CD5D07">
            <w:pPr>
              <w:jc w:val="center"/>
              <w:rPr>
                <w:color w:val="000000"/>
                <w:sz w:val="22"/>
                <w:szCs w:val="22"/>
              </w:rPr>
            </w:pPr>
            <w:r>
              <w:rPr>
                <w:color w:val="000000"/>
                <w:sz w:val="22"/>
                <w:szCs w:val="22"/>
              </w:rPr>
              <w:t>8</w:t>
            </w:r>
          </w:p>
        </w:tc>
        <w:tc>
          <w:tcPr>
            <w:tcW w:w="540" w:type="dxa"/>
            <w:tcBorders>
              <w:top w:val="nil"/>
              <w:left w:val="nil"/>
              <w:bottom w:val="single" w:sz="4" w:space="0" w:color="auto"/>
              <w:right w:val="single" w:sz="4" w:space="0" w:color="auto"/>
            </w:tcBorders>
            <w:shd w:val="clear" w:color="auto" w:fill="auto"/>
            <w:noWrap/>
            <w:vAlign w:val="center"/>
            <w:hideMark/>
          </w:tcPr>
          <w:p w14:paraId="4EF98688" w14:textId="77777777" w:rsidR="00CD5D07" w:rsidRDefault="00CD5D07" w:rsidP="00CD5D07">
            <w:pPr>
              <w:jc w:val="center"/>
              <w:rPr>
                <w:color w:val="000000"/>
                <w:sz w:val="22"/>
                <w:szCs w:val="22"/>
              </w:rPr>
            </w:pPr>
            <w:r>
              <w:rPr>
                <w:color w:val="000000"/>
                <w:sz w:val="22"/>
                <w:szCs w:val="22"/>
              </w:rPr>
              <w:t>3230.08</w:t>
            </w:r>
          </w:p>
        </w:tc>
      </w:tr>
      <w:tr w:rsidR="00CD5D07" w14:paraId="2F906603" w14:textId="77777777" w:rsidTr="00324B0D">
        <w:trPr>
          <w:trHeight w:val="234"/>
        </w:trPr>
        <w:tc>
          <w:tcPr>
            <w:tcW w:w="4098" w:type="dxa"/>
            <w:tcBorders>
              <w:top w:val="nil"/>
              <w:left w:val="single" w:sz="4" w:space="0" w:color="auto"/>
              <w:bottom w:val="single" w:sz="4" w:space="0" w:color="auto"/>
              <w:right w:val="single" w:sz="4" w:space="0" w:color="auto"/>
            </w:tcBorders>
            <w:shd w:val="clear" w:color="auto" w:fill="auto"/>
            <w:vAlign w:val="center"/>
            <w:hideMark/>
          </w:tcPr>
          <w:p w14:paraId="1AC85048" w14:textId="77777777" w:rsidR="00CD5D07" w:rsidRDefault="00CD5D07" w:rsidP="00CD5D07">
            <w:pPr>
              <w:rPr>
                <w:b/>
                <w:bCs/>
                <w:color w:val="000000"/>
                <w:sz w:val="20"/>
                <w:szCs w:val="20"/>
              </w:rPr>
            </w:pPr>
            <w:r>
              <w:rPr>
                <w:b/>
                <w:bCs/>
                <w:color w:val="000000"/>
                <w:sz w:val="20"/>
                <w:szCs w:val="20"/>
              </w:rPr>
              <w:t>Total</w:t>
            </w:r>
          </w:p>
        </w:tc>
        <w:tc>
          <w:tcPr>
            <w:tcW w:w="985" w:type="dxa"/>
            <w:tcBorders>
              <w:top w:val="nil"/>
              <w:left w:val="nil"/>
              <w:bottom w:val="single" w:sz="4" w:space="0" w:color="auto"/>
              <w:right w:val="single" w:sz="4" w:space="0" w:color="auto"/>
            </w:tcBorders>
            <w:shd w:val="clear" w:color="auto" w:fill="auto"/>
            <w:vAlign w:val="center"/>
            <w:hideMark/>
          </w:tcPr>
          <w:p w14:paraId="11BCA6A9" w14:textId="77777777" w:rsidR="00CD5D07" w:rsidRDefault="00CD5D07" w:rsidP="00CD5D07">
            <w:pPr>
              <w:jc w:val="center"/>
              <w:rPr>
                <w:b/>
                <w:bCs/>
                <w:color w:val="000000"/>
                <w:sz w:val="20"/>
                <w:szCs w:val="20"/>
              </w:rPr>
            </w:pPr>
            <w:r>
              <w:rPr>
                <w:b/>
                <w:bCs/>
                <w:color w:val="000000"/>
                <w:sz w:val="20"/>
                <w:szCs w:val="20"/>
              </w:rPr>
              <w:t>15</w:t>
            </w:r>
          </w:p>
        </w:tc>
        <w:tc>
          <w:tcPr>
            <w:tcW w:w="494" w:type="dxa"/>
            <w:tcBorders>
              <w:top w:val="nil"/>
              <w:left w:val="nil"/>
              <w:bottom w:val="single" w:sz="4" w:space="0" w:color="auto"/>
              <w:right w:val="single" w:sz="4" w:space="0" w:color="auto"/>
            </w:tcBorders>
            <w:shd w:val="clear" w:color="auto" w:fill="auto"/>
            <w:vAlign w:val="center"/>
            <w:hideMark/>
          </w:tcPr>
          <w:p w14:paraId="0D526655" w14:textId="77777777" w:rsidR="00CD5D07" w:rsidRDefault="00CD5D07" w:rsidP="00CD5D07">
            <w:pPr>
              <w:jc w:val="center"/>
              <w:rPr>
                <w:b/>
                <w:bCs/>
                <w:color w:val="000000"/>
                <w:sz w:val="20"/>
                <w:szCs w:val="20"/>
              </w:rPr>
            </w:pPr>
            <w:r>
              <w:rPr>
                <w:b/>
                <w:bCs/>
                <w:color w:val="000000"/>
                <w:sz w:val="20"/>
                <w:szCs w:val="20"/>
              </w:rPr>
              <w:t>15</w:t>
            </w:r>
          </w:p>
        </w:tc>
        <w:tc>
          <w:tcPr>
            <w:tcW w:w="563" w:type="dxa"/>
            <w:tcBorders>
              <w:top w:val="nil"/>
              <w:left w:val="nil"/>
              <w:bottom w:val="single" w:sz="4" w:space="0" w:color="auto"/>
              <w:right w:val="single" w:sz="4" w:space="0" w:color="auto"/>
            </w:tcBorders>
            <w:shd w:val="clear" w:color="auto" w:fill="auto"/>
            <w:vAlign w:val="center"/>
            <w:hideMark/>
          </w:tcPr>
          <w:p w14:paraId="2D2C828D" w14:textId="77777777" w:rsidR="00CD5D07" w:rsidRDefault="00CD5D07" w:rsidP="00CD5D07">
            <w:pPr>
              <w:jc w:val="center"/>
              <w:rPr>
                <w:b/>
                <w:bCs/>
                <w:color w:val="000000"/>
                <w:sz w:val="20"/>
                <w:szCs w:val="20"/>
              </w:rPr>
            </w:pPr>
            <w:r>
              <w:rPr>
                <w:b/>
                <w:bCs/>
                <w:color w:val="000000"/>
                <w:sz w:val="20"/>
                <w:szCs w:val="20"/>
              </w:rPr>
              <w:t>-</w:t>
            </w:r>
          </w:p>
        </w:tc>
        <w:tc>
          <w:tcPr>
            <w:tcW w:w="985" w:type="dxa"/>
            <w:tcBorders>
              <w:top w:val="nil"/>
              <w:left w:val="nil"/>
              <w:bottom w:val="single" w:sz="4" w:space="0" w:color="auto"/>
              <w:right w:val="single" w:sz="4" w:space="0" w:color="auto"/>
            </w:tcBorders>
            <w:shd w:val="clear" w:color="auto" w:fill="auto"/>
            <w:vAlign w:val="center"/>
            <w:hideMark/>
          </w:tcPr>
          <w:p w14:paraId="1F99337E" w14:textId="77777777" w:rsidR="00CD5D07" w:rsidRDefault="00CD5D07" w:rsidP="00CD5D07">
            <w:pPr>
              <w:jc w:val="center"/>
              <w:rPr>
                <w:b/>
                <w:bCs/>
                <w:color w:val="000000"/>
                <w:sz w:val="20"/>
                <w:szCs w:val="20"/>
              </w:rPr>
            </w:pPr>
            <w:r>
              <w:rPr>
                <w:b/>
                <w:bCs/>
                <w:color w:val="000000"/>
                <w:sz w:val="20"/>
                <w:szCs w:val="20"/>
              </w:rPr>
              <w:t>766</w:t>
            </w:r>
          </w:p>
        </w:tc>
        <w:tc>
          <w:tcPr>
            <w:tcW w:w="494" w:type="dxa"/>
            <w:tcBorders>
              <w:top w:val="nil"/>
              <w:left w:val="nil"/>
              <w:bottom w:val="single" w:sz="4" w:space="0" w:color="auto"/>
              <w:right w:val="single" w:sz="4" w:space="0" w:color="auto"/>
            </w:tcBorders>
            <w:shd w:val="clear" w:color="auto" w:fill="auto"/>
            <w:vAlign w:val="center"/>
            <w:hideMark/>
          </w:tcPr>
          <w:p w14:paraId="53591B33" w14:textId="77777777" w:rsidR="00CD5D07" w:rsidRDefault="00CD5D07" w:rsidP="00CD5D07">
            <w:pPr>
              <w:jc w:val="center"/>
              <w:rPr>
                <w:b/>
                <w:bCs/>
                <w:color w:val="000000"/>
                <w:sz w:val="20"/>
                <w:szCs w:val="20"/>
              </w:rPr>
            </w:pPr>
            <w:r>
              <w:rPr>
                <w:b/>
                <w:bCs/>
                <w:color w:val="000000"/>
                <w:sz w:val="20"/>
                <w:szCs w:val="20"/>
              </w:rPr>
              <w:t>766</w:t>
            </w:r>
          </w:p>
        </w:tc>
        <w:tc>
          <w:tcPr>
            <w:tcW w:w="658" w:type="dxa"/>
            <w:tcBorders>
              <w:top w:val="nil"/>
              <w:left w:val="nil"/>
              <w:bottom w:val="single" w:sz="4" w:space="0" w:color="auto"/>
              <w:right w:val="single" w:sz="4" w:space="0" w:color="auto"/>
            </w:tcBorders>
            <w:shd w:val="clear" w:color="auto" w:fill="auto"/>
            <w:vAlign w:val="center"/>
            <w:hideMark/>
          </w:tcPr>
          <w:p w14:paraId="1C7556BC" w14:textId="77777777" w:rsidR="00CD5D07" w:rsidRDefault="00CD5D07" w:rsidP="00CD5D07">
            <w:pPr>
              <w:jc w:val="center"/>
              <w:rPr>
                <w:b/>
                <w:bCs/>
                <w:color w:val="000000"/>
                <w:sz w:val="20"/>
                <w:szCs w:val="20"/>
              </w:rPr>
            </w:pPr>
            <w:r>
              <w:rPr>
                <w:b/>
                <w:bCs/>
                <w:color w:val="000000"/>
                <w:sz w:val="20"/>
                <w:szCs w:val="20"/>
              </w:rPr>
              <w:t>303</w:t>
            </w:r>
          </w:p>
        </w:tc>
        <w:tc>
          <w:tcPr>
            <w:tcW w:w="540" w:type="dxa"/>
            <w:tcBorders>
              <w:top w:val="nil"/>
              <w:left w:val="nil"/>
              <w:bottom w:val="single" w:sz="4" w:space="0" w:color="auto"/>
              <w:right w:val="single" w:sz="4" w:space="0" w:color="auto"/>
            </w:tcBorders>
            <w:shd w:val="clear" w:color="auto" w:fill="auto"/>
            <w:vAlign w:val="center"/>
            <w:hideMark/>
          </w:tcPr>
          <w:p w14:paraId="5C8D30A7" w14:textId="77777777" w:rsidR="00CD5D07" w:rsidRDefault="00CD5D07" w:rsidP="00CD5D07">
            <w:pPr>
              <w:jc w:val="center"/>
              <w:rPr>
                <w:b/>
                <w:bCs/>
                <w:color w:val="000000"/>
                <w:sz w:val="20"/>
                <w:szCs w:val="20"/>
              </w:rPr>
            </w:pPr>
            <w:r>
              <w:rPr>
                <w:b/>
                <w:bCs/>
                <w:color w:val="000000"/>
                <w:sz w:val="20"/>
                <w:szCs w:val="20"/>
              </w:rPr>
              <w:t>110,055</w:t>
            </w:r>
          </w:p>
        </w:tc>
      </w:tr>
    </w:tbl>
    <w:p w14:paraId="5702AB4F" w14:textId="63209202" w:rsidR="006765C5" w:rsidRDefault="006765C5" w:rsidP="00184C46"/>
    <w:p w14:paraId="3E3B3973" w14:textId="0117C4DA" w:rsidR="00CD5D07" w:rsidRDefault="00CD5D07" w:rsidP="00184C46"/>
    <w:p w14:paraId="07E78B08" w14:textId="77777777" w:rsidR="00CD5D07" w:rsidRPr="00F84703" w:rsidRDefault="00CD5D07" w:rsidP="00184C46"/>
    <w:p w14:paraId="1C72E63E" w14:textId="77777777" w:rsidR="006765C5" w:rsidRPr="00F84703" w:rsidRDefault="00236386" w:rsidP="00184C46">
      <w:pPr>
        <w:numPr>
          <w:ilvl w:val="0"/>
          <w:numId w:val="7"/>
        </w:numPr>
        <w:rPr>
          <w:b/>
          <w:u w:val="single"/>
        </w:rPr>
      </w:pPr>
      <w:r w:rsidRPr="00F84703">
        <w:rPr>
          <w:b/>
          <w:u w:val="single"/>
        </w:rPr>
        <w:t>Provide estimates of annualized cost to the Federal government.</w:t>
      </w:r>
    </w:p>
    <w:p w14:paraId="7EF7AB9E" w14:textId="77777777" w:rsidR="00236386" w:rsidRPr="00F84703" w:rsidRDefault="00236386" w:rsidP="00184C46"/>
    <w:p w14:paraId="7E7FB718" w14:textId="77777777" w:rsidR="00236386" w:rsidRPr="00F84703" w:rsidRDefault="00412B5A" w:rsidP="00184C46">
      <w:r w:rsidRPr="00F84703">
        <w:t>The cost of ongoing effort on the part of DOE to undertake this collection is approximately $120,000, which are costs associated with gathering information and managing the compliance database.</w:t>
      </w:r>
      <w:r w:rsidR="00C03DAD" w:rsidRPr="00F84703">
        <w:t xml:space="preserve">  This cost is based on the cost of the annual subcontract with the contractor responsible for collecting, sorting, and maintaining the information that is contained within the compliance database. </w:t>
      </w:r>
      <w:r w:rsidR="00020B3F" w:rsidRPr="00F84703">
        <w:t xml:space="preserve"> </w:t>
      </w:r>
    </w:p>
    <w:p w14:paraId="04A006BD" w14:textId="77777777" w:rsidR="0095341B" w:rsidRPr="00F84703" w:rsidRDefault="0095341B" w:rsidP="00184C46"/>
    <w:p w14:paraId="0A2F2D3F" w14:textId="77777777" w:rsidR="00236386" w:rsidRPr="00F84703" w:rsidRDefault="007D112C" w:rsidP="00184C46">
      <w:pPr>
        <w:numPr>
          <w:ilvl w:val="0"/>
          <w:numId w:val="7"/>
        </w:numPr>
        <w:rPr>
          <w:b/>
          <w:u w:val="single"/>
        </w:rPr>
      </w:pPr>
      <w:r w:rsidRPr="00F84703">
        <w:rPr>
          <w:b/>
          <w:u w:val="single"/>
        </w:rPr>
        <w:t xml:space="preserve">Explain the reasons for any program changes or adjustments reported in Items 13 (or 14) of OMB Form 83-I. </w:t>
      </w:r>
    </w:p>
    <w:p w14:paraId="4EE78049" w14:textId="77777777" w:rsidR="00E10FC0" w:rsidRPr="00F84703" w:rsidRDefault="00E10FC0" w:rsidP="00184C46"/>
    <w:p w14:paraId="2231456A" w14:textId="77777777" w:rsidR="005523F2" w:rsidRPr="00F84703" w:rsidRDefault="00465045" w:rsidP="00184C46">
      <w:r>
        <w:t>There are no significant a</w:t>
      </w:r>
      <w:r w:rsidR="006346F6" w:rsidRPr="00F84703">
        <w:t xml:space="preserve">djustments </w:t>
      </w:r>
      <w:r>
        <w:t>to OMB Form 83-I.  Any minor changes are related to there being a smaller number of fleets expected to opt into Alternative Compliance.</w:t>
      </w:r>
    </w:p>
    <w:p w14:paraId="5740C5A1" w14:textId="77777777" w:rsidR="005523F2" w:rsidRPr="00F84703" w:rsidRDefault="005523F2" w:rsidP="00184C46"/>
    <w:p w14:paraId="6AEA8E52" w14:textId="77777777" w:rsidR="00236386" w:rsidRPr="00F84703" w:rsidRDefault="007D112C" w:rsidP="00184C46">
      <w:pPr>
        <w:numPr>
          <w:ilvl w:val="0"/>
          <w:numId w:val="7"/>
        </w:numPr>
        <w:rPr>
          <w:b/>
          <w:u w:val="single"/>
        </w:rPr>
      </w:pPr>
      <w:r w:rsidRPr="00F84703">
        <w:rPr>
          <w:b/>
          <w:u w:val="single"/>
        </w:rPr>
        <w:t xml:space="preserve">For collections whose results will be published, outline the plans for tabulation and publication. </w:t>
      </w:r>
    </w:p>
    <w:p w14:paraId="4362E204" w14:textId="77777777" w:rsidR="007D112C" w:rsidRPr="00F84703" w:rsidRDefault="007D112C" w:rsidP="00184C46">
      <w:pPr>
        <w:rPr>
          <w:b/>
          <w:u w:val="single"/>
        </w:rPr>
      </w:pPr>
    </w:p>
    <w:p w14:paraId="4385819A" w14:textId="77777777" w:rsidR="007D112C" w:rsidRPr="00F84703" w:rsidRDefault="002B1D2F" w:rsidP="00184C46">
      <w:r w:rsidRPr="00F84703">
        <w:t xml:space="preserve">For the past several years, the Office of Vehicle Technologies has published an annual report summarizing key highlights from the previous model year's data.  This information is general in nature and does not identify particular reporting entities.  Data collected from the reporting forms </w:t>
      </w:r>
      <w:r w:rsidR="00172E75" w:rsidRPr="00F84703">
        <w:t xml:space="preserve">also </w:t>
      </w:r>
      <w:r w:rsidRPr="00F84703">
        <w:t>appear</w:t>
      </w:r>
      <w:r w:rsidR="00CC7392">
        <w:t>ed</w:t>
      </w:r>
      <w:r w:rsidRPr="00F84703">
        <w:t xml:space="preserve"> in the EPAct Section 501 Report, which w</w:t>
      </w:r>
      <w:r w:rsidR="00AC562B" w:rsidRPr="00F84703">
        <w:t>as</w:t>
      </w:r>
      <w:r w:rsidRPr="00F84703">
        <w:t xml:space="preserve"> submitted to Congress.  </w:t>
      </w:r>
      <w:r w:rsidR="00172E75" w:rsidRPr="00F84703">
        <w:t>T</w:t>
      </w:r>
      <w:r w:rsidRPr="00F84703">
        <w:t>his information</w:t>
      </w:r>
      <w:r w:rsidR="00172E75" w:rsidRPr="00F84703">
        <w:t>, too,</w:t>
      </w:r>
      <w:r w:rsidRPr="00F84703">
        <w:t xml:space="preserve"> is general in nature and does not identify any reporting entities by name.  Th</w:t>
      </w:r>
      <w:r w:rsidR="00172E75" w:rsidRPr="00F84703">
        <w:t xml:space="preserve">e </w:t>
      </w:r>
      <w:r w:rsidR="00224744" w:rsidRPr="00F84703">
        <w:t xml:space="preserve">EPAct </w:t>
      </w:r>
      <w:r w:rsidR="00172E75" w:rsidRPr="00F84703">
        <w:t xml:space="preserve">Section 501 </w:t>
      </w:r>
      <w:r w:rsidR="00224744" w:rsidRPr="00F84703">
        <w:t>R</w:t>
      </w:r>
      <w:r w:rsidRPr="00F84703">
        <w:t xml:space="preserve">eport </w:t>
      </w:r>
      <w:r w:rsidR="00AC562B" w:rsidRPr="00F84703">
        <w:t>wa</w:t>
      </w:r>
      <w:r w:rsidRPr="00F84703">
        <w:t xml:space="preserve">s combined with a report required by </w:t>
      </w:r>
      <w:r w:rsidR="00172E75" w:rsidRPr="00F84703">
        <w:t xml:space="preserve">Section 704 of </w:t>
      </w:r>
      <w:r w:rsidRPr="00F84703">
        <w:t>the Energy Policy Act of 2005, which relate</w:t>
      </w:r>
      <w:r w:rsidR="00465045">
        <w:t>d</w:t>
      </w:r>
      <w:r w:rsidRPr="00F84703">
        <w:t xml:space="preserve"> to the implementation of the EPAct fleet programs.</w:t>
      </w:r>
      <w:r w:rsidR="00172E75" w:rsidRPr="00F84703">
        <w:rPr>
          <w:b/>
        </w:rPr>
        <w:t xml:space="preserve">  </w:t>
      </w:r>
    </w:p>
    <w:p w14:paraId="73C9DC17" w14:textId="77777777" w:rsidR="00172E75" w:rsidRPr="00F84703" w:rsidRDefault="00172E75" w:rsidP="00184C46"/>
    <w:p w14:paraId="220D54D2" w14:textId="77777777" w:rsidR="00236386" w:rsidRPr="00F84703" w:rsidRDefault="007D112C" w:rsidP="00184C46">
      <w:pPr>
        <w:numPr>
          <w:ilvl w:val="0"/>
          <w:numId w:val="7"/>
        </w:numPr>
        <w:rPr>
          <w:b/>
          <w:u w:val="single"/>
        </w:rPr>
      </w:pPr>
      <w:r w:rsidRPr="00F84703">
        <w:rPr>
          <w:b/>
          <w:u w:val="single"/>
        </w:rPr>
        <w:t xml:space="preserve">If seeking approval to not display the expiration date for OMB approval of the information collection, explain the reasons why display would be inappropriate. </w:t>
      </w:r>
    </w:p>
    <w:p w14:paraId="747BB681" w14:textId="77777777" w:rsidR="007D112C" w:rsidRPr="00F84703" w:rsidRDefault="007D112C" w:rsidP="00184C46">
      <w:pPr>
        <w:rPr>
          <w:b/>
          <w:u w:val="single"/>
        </w:rPr>
      </w:pPr>
    </w:p>
    <w:p w14:paraId="4915783C" w14:textId="77777777" w:rsidR="00172E75" w:rsidRPr="00F84703" w:rsidRDefault="00150E78" w:rsidP="00172E75">
      <w:r w:rsidRPr="00F84703">
        <w:t xml:space="preserve">DOE is not seeking approval to </w:t>
      </w:r>
      <w:r w:rsidR="00095CCD">
        <w:t xml:space="preserve">not </w:t>
      </w:r>
      <w:r w:rsidRPr="00F84703">
        <w:t>display the expiration date for OMB</w:t>
      </w:r>
      <w:r w:rsidR="00095CCD">
        <w:t xml:space="preserve"> approval of the information collection</w:t>
      </w:r>
      <w:r w:rsidRPr="00F84703">
        <w:t xml:space="preserve">.  </w:t>
      </w:r>
    </w:p>
    <w:p w14:paraId="57B27BEC" w14:textId="77777777" w:rsidR="007D112C" w:rsidRPr="00F84703" w:rsidRDefault="007D112C" w:rsidP="00184C46"/>
    <w:p w14:paraId="7548FCAD" w14:textId="77777777" w:rsidR="00236386" w:rsidRPr="00F84703" w:rsidRDefault="007D112C" w:rsidP="00184C46">
      <w:pPr>
        <w:numPr>
          <w:ilvl w:val="0"/>
          <w:numId w:val="7"/>
        </w:numPr>
        <w:rPr>
          <w:b/>
          <w:u w:val="single"/>
        </w:rPr>
      </w:pPr>
      <w:r w:rsidRPr="00F84703">
        <w:rPr>
          <w:b/>
          <w:u w:val="single"/>
        </w:rPr>
        <w:t>Explain each exception to the certification statement identified in Item 19 of OMB Form 83-I.</w:t>
      </w:r>
    </w:p>
    <w:p w14:paraId="0C1260ED" w14:textId="77777777" w:rsidR="007D112C" w:rsidRPr="00F84703" w:rsidRDefault="007D112C" w:rsidP="00184C46">
      <w:pPr>
        <w:rPr>
          <w:b/>
          <w:u w:val="single"/>
        </w:rPr>
      </w:pPr>
    </w:p>
    <w:p w14:paraId="381D231D" w14:textId="77777777" w:rsidR="00172E75" w:rsidRPr="00F84703" w:rsidRDefault="00172E75" w:rsidP="00172E75">
      <w:pPr>
        <w:jc w:val="both"/>
      </w:pPr>
      <w:r w:rsidRPr="00F84703">
        <w:t>There are no exceptions to the certification</w:t>
      </w:r>
      <w:r w:rsidR="00A66DA3" w:rsidRPr="00F84703">
        <w:t xml:space="preserve"> </w:t>
      </w:r>
      <w:r w:rsidRPr="00F84703">
        <w:t>statement on OMB Form 83-I.</w:t>
      </w:r>
    </w:p>
    <w:p w14:paraId="50D8E028" w14:textId="77777777" w:rsidR="00236386" w:rsidRPr="00F84703" w:rsidRDefault="00236386" w:rsidP="007D112C">
      <w:pPr>
        <w:ind w:left="360"/>
        <w:rPr>
          <w:b/>
          <w:u w:val="single"/>
        </w:rPr>
      </w:pPr>
    </w:p>
    <w:p w14:paraId="2B1C4975" w14:textId="77777777" w:rsidR="00184C46" w:rsidRPr="00F84703" w:rsidRDefault="00184C46" w:rsidP="007D112C">
      <w:pPr>
        <w:ind w:left="360"/>
        <w:rPr>
          <w:b/>
          <w:u w:val="single"/>
        </w:rPr>
      </w:pPr>
    </w:p>
    <w:sectPr w:rsidR="00184C46" w:rsidRPr="00F84703" w:rsidSect="00000957">
      <w:footerReference w:type="default" r:id="rId11"/>
      <w:pgSz w:w="12240" w:h="15840"/>
      <w:pgMar w:top="1440" w:right="1440" w:bottom="1440" w:left="1440" w:header="720" w:footer="720" w:gutter="0"/>
      <w:pgNumType w:start="1"/>
      <w:cols w:space="720"/>
      <w:noEndnote/>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BB587" w16cid:durableId="1E522517"/>
  <w16cid:commentId w16cid:paraId="58CDE983" w16cid:durableId="1E4CCA18"/>
  <w16cid:commentId w16cid:paraId="41F7DD46" w16cid:durableId="1E4CCBFA"/>
  <w16cid:commentId w16cid:paraId="3A2C3B1C" w16cid:durableId="1E522432"/>
  <w16cid:commentId w16cid:paraId="45DD4A8C" w16cid:durableId="1E52246A"/>
  <w16cid:commentId w16cid:paraId="5FBCF809" w16cid:durableId="1E4CCA19"/>
  <w16cid:commentId w16cid:paraId="6FD4B7C9" w16cid:durableId="1E4CDB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47349" w14:textId="77777777" w:rsidR="00FD454A" w:rsidRDefault="00FD454A">
      <w:r>
        <w:separator/>
      </w:r>
    </w:p>
  </w:endnote>
  <w:endnote w:type="continuationSeparator" w:id="0">
    <w:p w14:paraId="58CD00A6" w14:textId="77777777" w:rsidR="00FD454A" w:rsidRDefault="00FD454A">
      <w:r>
        <w:continuationSeparator/>
      </w:r>
    </w:p>
  </w:endnote>
  <w:endnote w:type="continuationNotice" w:id="1">
    <w:p w14:paraId="24A5601D" w14:textId="77777777" w:rsidR="00FD454A" w:rsidRDefault="00FD4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D36D2" w14:textId="77777777" w:rsidR="00261C36" w:rsidRDefault="00261C36" w:rsidP="00C9228B">
    <w:pPr>
      <w:pStyle w:val="Footer"/>
      <w:framePr w:wrap="around" w:vAnchor="text" w:hAnchor="margin" w:xAlign="right" w:y="1"/>
      <w:rPr>
        <w:rStyle w:val="PageNumber"/>
      </w:rPr>
    </w:pPr>
  </w:p>
  <w:p w14:paraId="139CF2AE" w14:textId="77777777" w:rsidR="00261C36" w:rsidRPr="004F61BB" w:rsidRDefault="00794A09" w:rsidP="00000957">
    <w:pPr>
      <w:pStyle w:val="Footer"/>
      <w:ind w:right="360"/>
      <w:jc w:val="center"/>
    </w:pPr>
    <w:r>
      <w:rPr>
        <w:rStyle w:val="PageNumber"/>
      </w:rPr>
      <w:fldChar w:fldCharType="begin"/>
    </w:r>
    <w:r w:rsidR="00261C36">
      <w:rPr>
        <w:rStyle w:val="PageNumber"/>
      </w:rPr>
      <w:instrText xml:space="preserve"> PAGE </w:instrText>
    </w:r>
    <w:r>
      <w:rPr>
        <w:rStyle w:val="PageNumber"/>
      </w:rPr>
      <w:fldChar w:fldCharType="separate"/>
    </w:r>
    <w:r w:rsidR="008B537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97388" w14:textId="77777777" w:rsidR="00FD454A" w:rsidRDefault="00FD454A">
      <w:r>
        <w:separator/>
      </w:r>
    </w:p>
  </w:footnote>
  <w:footnote w:type="continuationSeparator" w:id="0">
    <w:p w14:paraId="3144A36A" w14:textId="77777777" w:rsidR="00FD454A" w:rsidRDefault="00FD454A">
      <w:r>
        <w:continuationSeparator/>
      </w:r>
    </w:p>
  </w:footnote>
  <w:footnote w:type="continuationNotice" w:id="1">
    <w:p w14:paraId="2ED8E416" w14:textId="77777777" w:rsidR="00FD454A" w:rsidRDefault="00FD454A"/>
  </w:footnote>
  <w:footnote w:id="2">
    <w:p w14:paraId="16CFDB94" w14:textId="77777777" w:rsidR="00E21481" w:rsidRDefault="00E21481" w:rsidP="00E21481">
      <w:pPr>
        <w:pStyle w:val="FootnoteText"/>
      </w:pPr>
      <w:r>
        <w:rPr>
          <w:rStyle w:val="FootnoteReference"/>
        </w:rPr>
        <w:t>[1]</w:t>
      </w:r>
      <w:r>
        <w:t xml:space="preserve"> Note that tildes indicate the numbers shown are rounded.</w:t>
      </w:r>
    </w:p>
  </w:footnote>
  <w:footnote w:id="3">
    <w:p w14:paraId="3B2D5B24" w14:textId="77777777" w:rsidR="0043076C" w:rsidRDefault="0043076C">
      <w:pPr>
        <w:pStyle w:val="FootnoteText"/>
      </w:pPr>
      <w:r>
        <w:rPr>
          <w:rStyle w:val="FootnoteReference"/>
        </w:rPr>
        <w:footnoteRef/>
      </w:r>
      <w:r>
        <w:t xml:space="preserve"> </w:t>
      </w:r>
      <w:r w:rsidRPr="0043076C">
        <w:t xml:space="preserve">DOE’s calculation of the amount of time a respondent will take to complete each annual report is based on experience with the annual reporting process since the Program’s inception, in 1998.  </w:t>
      </w:r>
      <w:r w:rsidR="00153F11">
        <w:t xml:space="preserve">It is </w:t>
      </w:r>
      <w:r w:rsidRPr="0043076C">
        <w:t xml:space="preserve">based on both practical testing by DOE of the revised reporting form and estimates of the amount of time needed to pull information from files the respondents are expected to have available to them.  DOE’s understanding regarding the availability to respondents of the files/information is based on anecdotal information obtained through conversations with respondents over the past </w:t>
      </w:r>
      <w:r w:rsidR="00153F11">
        <w:t>20</w:t>
      </w:r>
      <w:r w:rsidRPr="0043076C">
        <w:t xml:space="preserve"> years.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3A2"/>
    <w:multiLevelType w:val="hybridMultilevel"/>
    <w:tmpl w:val="26EC9450"/>
    <w:lvl w:ilvl="0" w:tplc="CB8AFE5E">
      <w:start w:val="1"/>
      <w:numFmt w:val="decimal"/>
      <w:lvlText w:val="%1."/>
      <w:lvlJc w:val="left"/>
      <w:pPr>
        <w:tabs>
          <w:tab w:val="num" w:pos="360"/>
        </w:tabs>
        <w:ind w:left="360" w:hanging="360"/>
      </w:pPr>
      <w:rPr>
        <w:rFonts w:ascii="Times New Roman" w:hAnsi="Times New Roman" w:hint="default"/>
        <w:b/>
        <w:i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F8881244">
      <w:start w:val="1"/>
      <w:numFmt w:val="lowerLetter"/>
      <w:lvlText w:val="%4."/>
      <w:lvlJc w:val="left"/>
      <w:pPr>
        <w:tabs>
          <w:tab w:val="num" w:pos="2520"/>
        </w:tabs>
        <w:ind w:left="2520" w:hanging="360"/>
      </w:pPr>
      <w:rPr>
        <w:rFonts w:hint="default"/>
        <w:b/>
        <w:i w:val="0"/>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97434D6"/>
    <w:multiLevelType w:val="hybridMultilevel"/>
    <w:tmpl w:val="441AFE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8C70E5"/>
    <w:multiLevelType w:val="hybridMultilevel"/>
    <w:tmpl w:val="DD2C8B90"/>
    <w:lvl w:ilvl="0" w:tplc="2450747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E245D0"/>
    <w:multiLevelType w:val="multilevel"/>
    <w:tmpl w:val="88CA37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66D574B"/>
    <w:multiLevelType w:val="multilevel"/>
    <w:tmpl w:val="DFB49C5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2CAD3428"/>
    <w:multiLevelType w:val="multilevel"/>
    <w:tmpl w:val="706EC2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E3847E1"/>
    <w:multiLevelType w:val="multilevel"/>
    <w:tmpl w:val="96829A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31816174"/>
    <w:multiLevelType w:val="hybridMultilevel"/>
    <w:tmpl w:val="706EC2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8859CB"/>
    <w:multiLevelType w:val="hybridMultilevel"/>
    <w:tmpl w:val="BD98DFDC"/>
    <w:lvl w:ilvl="0" w:tplc="8AEE3434">
      <w:start w:val="1"/>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BC10892"/>
    <w:multiLevelType w:val="hybridMultilevel"/>
    <w:tmpl w:val="E8C0AC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0F53F94"/>
    <w:multiLevelType w:val="multilevel"/>
    <w:tmpl w:val="F37C80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9AC0E39"/>
    <w:multiLevelType w:val="hybridMultilevel"/>
    <w:tmpl w:val="AD844CD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30E7D98"/>
    <w:multiLevelType w:val="hybridMultilevel"/>
    <w:tmpl w:val="AEBABC6E"/>
    <w:lvl w:ilvl="0" w:tplc="8AEE3434">
      <w:start w:val="5"/>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82B25F7"/>
    <w:multiLevelType w:val="hybridMultilevel"/>
    <w:tmpl w:val="5C18A1DA"/>
    <w:lvl w:ilvl="0" w:tplc="7F4855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74188"/>
    <w:multiLevelType w:val="hybridMultilevel"/>
    <w:tmpl w:val="DFB49C50"/>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4272BD"/>
    <w:multiLevelType w:val="multilevel"/>
    <w:tmpl w:val="DFB49C5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63D35908"/>
    <w:multiLevelType w:val="hybridMultilevel"/>
    <w:tmpl w:val="8D940C1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B4217D9"/>
    <w:multiLevelType w:val="hybridMultilevel"/>
    <w:tmpl w:val="33DE4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D2C0BB7"/>
    <w:multiLevelType w:val="multilevel"/>
    <w:tmpl w:val="C3505F8C"/>
    <w:lvl w:ilvl="0">
      <w:start w:val="1"/>
      <w:numFmt w:val="decimal"/>
      <w:lvlText w:val="%1."/>
      <w:lvlJc w:val="left"/>
      <w:pPr>
        <w:tabs>
          <w:tab w:val="num" w:pos="360"/>
        </w:tabs>
        <w:ind w:left="360" w:hanging="360"/>
      </w:pPr>
      <w:rPr>
        <w:rFonts w:ascii="Times New Roman" w:hAnsi="Times New Roman" w:hint="default"/>
        <w:b w:val="0"/>
        <w:i w:val="0"/>
        <w:u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6E643810"/>
    <w:multiLevelType w:val="hybridMultilevel"/>
    <w:tmpl w:val="F37C8014"/>
    <w:lvl w:ilvl="0" w:tplc="7F4855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245480"/>
    <w:multiLevelType w:val="hybridMultilevel"/>
    <w:tmpl w:val="1A3E368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18A1BD2"/>
    <w:multiLevelType w:val="hybridMultilevel"/>
    <w:tmpl w:val="1C544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B974AF"/>
    <w:multiLevelType w:val="hybridMultilevel"/>
    <w:tmpl w:val="E0AE1A32"/>
    <w:lvl w:ilvl="0" w:tplc="4860FC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EC1D69"/>
    <w:multiLevelType w:val="hybridMultilevel"/>
    <w:tmpl w:val="904C3860"/>
    <w:lvl w:ilvl="0" w:tplc="8AEE3434">
      <w:start w:val="5"/>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88F687D"/>
    <w:multiLevelType w:val="hybridMultilevel"/>
    <w:tmpl w:val="0DA61714"/>
    <w:lvl w:ilvl="0" w:tplc="7F4855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92F4427"/>
    <w:multiLevelType w:val="hybridMultilevel"/>
    <w:tmpl w:val="BD644D9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DD23FB8"/>
    <w:multiLevelType w:val="hybridMultilevel"/>
    <w:tmpl w:val="5D98F264"/>
    <w:lvl w:ilvl="0" w:tplc="CB8AFE5E">
      <w:start w:val="1"/>
      <w:numFmt w:val="decimal"/>
      <w:lvlText w:val="%1."/>
      <w:lvlJc w:val="left"/>
      <w:pPr>
        <w:tabs>
          <w:tab w:val="num" w:pos="360"/>
        </w:tabs>
        <w:ind w:left="360" w:hanging="360"/>
      </w:pPr>
      <w:rPr>
        <w:rFonts w:ascii="Times New Roman" w:hAnsi="Times New Roman"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F121ED2"/>
    <w:multiLevelType w:val="multilevel"/>
    <w:tmpl w:val="05A6EB20"/>
    <w:lvl w:ilvl="0">
      <w:start w:val="1"/>
      <w:numFmt w:val="decimal"/>
      <w:lvlText w:val="%1."/>
      <w:lvlJc w:val="left"/>
      <w:pPr>
        <w:tabs>
          <w:tab w:val="num" w:pos="360"/>
        </w:tabs>
        <w:ind w:left="360" w:hanging="360"/>
      </w:pPr>
      <w:rPr>
        <w:rFonts w:ascii="Times New Roman" w:hAnsi="Times New Roman" w:hint="default"/>
        <w:b/>
        <w:i w:val="0"/>
        <w:u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b/>
        <w:i w:val="0"/>
        <w:u w:val="none"/>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7F92639F"/>
    <w:multiLevelType w:val="hybridMultilevel"/>
    <w:tmpl w:val="1FEE3EC8"/>
    <w:lvl w:ilvl="0" w:tplc="8AEE3434">
      <w:start w:val="1"/>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FC922A2"/>
    <w:multiLevelType w:val="hybridMultilevel"/>
    <w:tmpl w:val="96829A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14"/>
  </w:num>
  <w:num w:numId="3">
    <w:abstractNumId w:val="29"/>
  </w:num>
  <w:num w:numId="4">
    <w:abstractNumId w:val="6"/>
  </w:num>
  <w:num w:numId="5">
    <w:abstractNumId w:val="9"/>
  </w:num>
  <w:num w:numId="6">
    <w:abstractNumId w:val="1"/>
  </w:num>
  <w:num w:numId="7">
    <w:abstractNumId w:val="0"/>
  </w:num>
  <w:num w:numId="8">
    <w:abstractNumId w:val="5"/>
  </w:num>
  <w:num w:numId="9">
    <w:abstractNumId w:val="4"/>
  </w:num>
  <w:num w:numId="10">
    <w:abstractNumId w:val="8"/>
  </w:num>
  <w:num w:numId="11">
    <w:abstractNumId w:val="23"/>
  </w:num>
  <w:num w:numId="12">
    <w:abstractNumId w:val="12"/>
  </w:num>
  <w:num w:numId="13">
    <w:abstractNumId w:val="15"/>
  </w:num>
  <w:num w:numId="14">
    <w:abstractNumId w:val="28"/>
  </w:num>
  <w:num w:numId="15">
    <w:abstractNumId w:val="26"/>
  </w:num>
  <w:num w:numId="16">
    <w:abstractNumId w:val="18"/>
  </w:num>
  <w:num w:numId="17">
    <w:abstractNumId w:val="21"/>
  </w:num>
  <w:num w:numId="18">
    <w:abstractNumId w:val="24"/>
  </w:num>
  <w:num w:numId="19">
    <w:abstractNumId w:val="3"/>
  </w:num>
  <w:num w:numId="20">
    <w:abstractNumId w:val="19"/>
  </w:num>
  <w:num w:numId="21">
    <w:abstractNumId w:val="27"/>
  </w:num>
  <w:num w:numId="22">
    <w:abstractNumId w:val="10"/>
  </w:num>
  <w:num w:numId="23">
    <w:abstractNumId w:val="13"/>
  </w:num>
  <w:num w:numId="24">
    <w:abstractNumId w:val="22"/>
  </w:num>
  <w:num w:numId="25">
    <w:abstractNumId w:val="2"/>
  </w:num>
  <w:num w:numId="26">
    <w:abstractNumId w:val="17"/>
  </w:num>
  <w:num w:numId="27">
    <w:abstractNumId w:val="11"/>
  </w:num>
  <w:num w:numId="28">
    <w:abstractNumId w:val="16"/>
  </w:num>
  <w:num w:numId="29">
    <w:abstractNumId w:val="2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666"/>
    <w:rsid w:val="00000957"/>
    <w:rsid w:val="00007B0C"/>
    <w:rsid w:val="00015704"/>
    <w:rsid w:val="00020B3F"/>
    <w:rsid w:val="00050FBE"/>
    <w:rsid w:val="00062311"/>
    <w:rsid w:val="00067441"/>
    <w:rsid w:val="00072F2D"/>
    <w:rsid w:val="000736A4"/>
    <w:rsid w:val="00076B47"/>
    <w:rsid w:val="00083584"/>
    <w:rsid w:val="00086BA0"/>
    <w:rsid w:val="00086E00"/>
    <w:rsid w:val="00091584"/>
    <w:rsid w:val="00095CCD"/>
    <w:rsid w:val="000A1BDB"/>
    <w:rsid w:val="000A42F6"/>
    <w:rsid w:val="000B61E6"/>
    <w:rsid w:val="000C4FDF"/>
    <w:rsid w:val="000D2766"/>
    <w:rsid w:val="000E03B9"/>
    <w:rsid w:val="000E6EC8"/>
    <w:rsid w:val="000F7763"/>
    <w:rsid w:val="00103A23"/>
    <w:rsid w:val="0010435B"/>
    <w:rsid w:val="00104A8F"/>
    <w:rsid w:val="00123C4A"/>
    <w:rsid w:val="00124CC5"/>
    <w:rsid w:val="001256B7"/>
    <w:rsid w:val="00130287"/>
    <w:rsid w:val="00134EEC"/>
    <w:rsid w:val="00150E78"/>
    <w:rsid w:val="00153F11"/>
    <w:rsid w:val="00160E42"/>
    <w:rsid w:val="00161B53"/>
    <w:rsid w:val="00163C78"/>
    <w:rsid w:val="00172E75"/>
    <w:rsid w:val="0017459D"/>
    <w:rsid w:val="00180E79"/>
    <w:rsid w:val="00184C46"/>
    <w:rsid w:val="00186291"/>
    <w:rsid w:val="0019648C"/>
    <w:rsid w:val="001A0F65"/>
    <w:rsid w:val="001A3D88"/>
    <w:rsid w:val="001B0AD0"/>
    <w:rsid w:val="001B4DDC"/>
    <w:rsid w:val="001B7658"/>
    <w:rsid w:val="001C3FED"/>
    <w:rsid w:val="001C6AF1"/>
    <w:rsid w:val="001D59E1"/>
    <w:rsid w:val="001E063E"/>
    <w:rsid w:val="001F1FC7"/>
    <w:rsid w:val="00200E67"/>
    <w:rsid w:val="0021400A"/>
    <w:rsid w:val="00214A3F"/>
    <w:rsid w:val="00215D1A"/>
    <w:rsid w:val="00221F14"/>
    <w:rsid w:val="00223AA7"/>
    <w:rsid w:val="00223DA6"/>
    <w:rsid w:val="00224744"/>
    <w:rsid w:val="00235A34"/>
    <w:rsid w:val="00235ACB"/>
    <w:rsid w:val="00236386"/>
    <w:rsid w:val="00237F6A"/>
    <w:rsid w:val="00242D42"/>
    <w:rsid w:val="00255DC0"/>
    <w:rsid w:val="00261C36"/>
    <w:rsid w:val="00262D07"/>
    <w:rsid w:val="00295FE3"/>
    <w:rsid w:val="002B1D2F"/>
    <w:rsid w:val="002B7D78"/>
    <w:rsid w:val="002C117E"/>
    <w:rsid w:val="002C1BFA"/>
    <w:rsid w:val="002C32D2"/>
    <w:rsid w:val="002C5AE9"/>
    <w:rsid w:val="002D3C67"/>
    <w:rsid w:val="002E20AF"/>
    <w:rsid w:val="003025A6"/>
    <w:rsid w:val="00305A5D"/>
    <w:rsid w:val="003074EF"/>
    <w:rsid w:val="003103F2"/>
    <w:rsid w:val="00310F88"/>
    <w:rsid w:val="003140FF"/>
    <w:rsid w:val="003144CC"/>
    <w:rsid w:val="0031570E"/>
    <w:rsid w:val="00322A6E"/>
    <w:rsid w:val="00324B0D"/>
    <w:rsid w:val="0032738D"/>
    <w:rsid w:val="003318C3"/>
    <w:rsid w:val="003431DE"/>
    <w:rsid w:val="00344754"/>
    <w:rsid w:val="00352C4D"/>
    <w:rsid w:val="00353F1C"/>
    <w:rsid w:val="00360C86"/>
    <w:rsid w:val="0036645A"/>
    <w:rsid w:val="00366511"/>
    <w:rsid w:val="0036702B"/>
    <w:rsid w:val="00387631"/>
    <w:rsid w:val="00392125"/>
    <w:rsid w:val="00397CA4"/>
    <w:rsid w:val="003A5C88"/>
    <w:rsid w:val="003A7733"/>
    <w:rsid w:val="003B4EB7"/>
    <w:rsid w:val="003B7987"/>
    <w:rsid w:val="003C27A3"/>
    <w:rsid w:val="00410AC4"/>
    <w:rsid w:val="00411612"/>
    <w:rsid w:val="00412556"/>
    <w:rsid w:val="00412B5A"/>
    <w:rsid w:val="0043076C"/>
    <w:rsid w:val="00433558"/>
    <w:rsid w:val="00454C1B"/>
    <w:rsid w:val="00463368"/>
    <w:rsid w:val="00465045"/>
    <w:rsid w:val="00483CF2"/>
    <w:rsid w:val="00486E8E"/>
    <w:rsid w:val="00494848"/>
    <w:rsid w:val="004B0A4C"/>
    <w:rsid w:val="004D3EE7"/>
    <w:rsid w:val="004D46D1"/>
    <w:rsid w:val="004E0971"/>
    <w:rsid w:val="004E210F"/>
    <w:rsid w:val="004E2F80"/>
    <w:rsid w:val="004F2592"/>
    <w:rsid w:val="004F61BB"/>
    <w:rsid w:val="00515FD1"/>
    <w:rsid w:val="00516489"/>
    <w:rsid w:val="00535320"/>
    <w:rsid w:val="005359C0"/>
    <w:rsid w:val="005366F3"/>
    <w:rsid w:val="005377BE"/>
    <w:rsid w:val="00542E5A"/>
    <w:rsid w:val="005523F2"/>
    <w:rsid w:val="00560051"/>
    <w:rsid w:val="0058089A"/>
    <w:rsid w:val="00585095"/>
    <w:rsid w:val="00586703"/>
    <w:rsid w:val="00591470"/>
    <w:rsid w:val="00591998"/>
    <w:rsid w:val="00597149"/>
    <w:rsid w:val="00597D48"/>
    <w:rsid w:val="005A093D"/>
    <w:rsid w:val="005A6C3D"/>
    <w:rsid w:val="005B4975"/>
    <w:rsid w:val="005B54F5"/>
    <w:rsid w:val="005D4B92"/>
    <w:rsid w:val="005F110C"/>
    <w:rsid w:val="00621141"/>
    <w:rsid w:val="006336B2"/>
    <w:rsid w:val="006346F6"/>
    <w:rsid w:val="00641518"/>
    <w:rsid w:val="00643958"/>
    <w:rsid w:val="00644CBE"/>
    <w:rsid w:val="0064698B"/>
    <w:rsid w:val="006477D5"/>
    <w:rsid w:val="00651CC8"/>
    <w:rsid w:val="00652F9E"/>
    <w:rsid w:val="00656B53"/>
    <w:rsid w:val="00672345"/>
    <w:rsid w:val="006765C5"/>
    <w:rsid w:val="00690AC5"/>
    <w:rsid w:val="0069150A"/>
    <w:rsid w:val="006920C7"/>
    <w:rsid w:val="0069393D"/>
    <w:rsid w:val="006953B0"/>
    <w:rsid w:val="006A78D4"/>
    <w:rsid w:val="006B4BDD"/>
    <w:rsid w:val="006E23A7"/>
    <w:rsid w:val="006F5C6F"/>
    <w:rsid w:val="00720F5A"/>
    <w:rsid w:val="00724895"/>
    <w:rsid w:val="00725F84"/>
    <w:rsid w:val="00726E84"/>
    <w:rsid w:val="00747932"/>
    <w:rsid w:val="00764A46"/>
    <w:rsid w:val="00780EAC"/>
    <w:rsid w:val="00783356"/>
    <w:rsid w:val="00792528"/>
    <w:rsid w:val="00792E9D"/>
    <w:rsid w:val="007946F6"/>
    <w:rsid w:val="00794A09"/>
    <w:rsid w:val="0079565F"/>
    <w:rsid w:val="007A2FA4"/>
    <w:rsid w:val="007B30F4"/>
    <w:rsid w:val="007C2455"/>
    <w:rsid w:val="007C5968"/>
    <w:rsid w:val="007C6C20"/>
    <w:rsid w:val="007D112C"/>
    <w:rsid w:val="007D1EC9"/>
    <w:rsid w:val="007E6A79"/>
    <w:rsid w:val="007F26A8"/>
    <w:rsid w:val="007F6A4B"/>
    <w:rsid w:val="00800FE8"/>
    <w:rsid w:val="0080219E"/>
    <w:rsid w:val="008041AF"/>
    <w:rsid w:val="00816F4A"/>
    <w:rsid w:val="00822F33"/>
    <w:rsid w:val="00825035"/>
    <w:rsid w:val="008261AF"/>
    <w:rsid w:val="008304B6"/>
    <w:rsid w:val="008377FB"/>
    <w:rsid w:val="00845F01"/>
    <w:rsid w:val="00855900"/>
    <w:rsid w:val="00863633"/>
    <w:rsid w:val="00870A5B"/>
    <w:rsid w:val="0089788B"/>
    <w:rsid w:val="008A52B4"/>
    <w:rsid w:val="008B3188"/>
    <w:rsid w:val="008B537F"/>
    <w:rsid w:val="008C4775"/>
    <w:rsid w:val="008D2A08"/>
    <w:rsid w:val="008D551D"/>
    <w:rsid w:val="008F1A87"/>
    <w:rsid w:val="008F2BCE"/>
    <w:rsid w:val="008F499C"/>
    <w:rsid w:val="009044E7"/>
    <w:rsid w:val="00904EF0"/>
    <w:rsid w:val="00905A25"/>
    <w:rsid w:val="00914A21"/>
    <w:rsid w:val="00940701"/>
    <w:rsid w:val="00941EA3"/>
    <w:rsid w:val="009478E8"/>
    <w:rsid w:val="00950881"/>
    <w:rsid w:val="009510F5"/>
    <w:rsid w:val="00951A08"/>
    <w:rsid w:val="0095341B"/>
    <w:rsid w:val="0095410F"/>
    <w:rsid w:val="009542A6"/>
    <w:rsid w:val="009608C5"/>
    <w:rsid w:val="009630A7"/>
    <w:rsid w:val="0097059D"/>
    <w:rsid w:val="009A4F71"/>
    <w:rsid w:val="009B71C7"/>
    <w:rsid w:val="009C33BB"/>
    <w:rsid w:val="009D7816"/>
    <w:rsid w:val="009E2CD4"/>
    <w:rsid w:val="009E3858"/>
    <w:rsid w:val="00A223D3"/>
    <w:rsid w:val="00A42E8B"/>
    <w:rsid w:val="00A45B48"/>
    <w:rsid w:val="00A46AE0"/>
    <w:rsid w:val="00A52162"/>
    <w:rsid w:val="00A66DA3"/>
    <w:rsid w:val="00A733E0"/>
    <w:rsid w:val="00A75A64"/>
    <w:rsid w:val="00A817D4"/>
    <w:rsid w:val="00A8433F"/>
    <w:rsid w:val="00AA2678"/>
    <w:rsid w:val="00AB5EF6"/>
    <w:rsid w:val="00AC1054"/>
    <w:rsid w:val="00AC562B"/>
    <w:rsid w:val="00AD1956"/>
    <w:rsid w:val="00AE2D97"/>
    <w:rsid w:val="00B07409"/>
    <w:rsid w:val="00B11F0B"/>
    <w:rsid w:val="00B4459C"/>
    <w:rsid w:val="00B46C14"/>
    <w:rsid w:val="00B50F44"/>
    <w:rsid w:val="00B54E87"/>
    <w:rsid w:val="00B60BBD"/>
    <w:rsid w:val="00B65ED7"/>
    <w:rsid w:val="00B6624B"/>
    <w:rsid w:val="00B744C7"/>
    <w:rsid w:val="00B93FA9"/>
    <w:rsid w:val="00BB4738"/>
    <w:rsid w:val="00BC2686"/>
    <w:rsid w:val="00BD4715"/>
    <w:rsid w:val="00BE02FB"/>
    <w:rsid w:val="00BE3A0D"/>
    <w:rsid w:val="00BF0197"/>
    <w:rsid w:val="00C01D3E"/>
    <w:rsid w:val="00C02CE4"/>
    <w:rsid w:val="00C02F24"/>
    <w:rsid w:val="00C03DAD"/>
    <w:rsid w:val="00C14666"/>
    <w:rsid w:val="00C34068"/>
    <w:rsid w:val="00C4561D"/>
    <w:rsid w:val="00C46F0F"/>
    <w:rsid w:val="00C54019"/>
    <w:rsid w:val="00C60823"/>
    <w:rsid w:val="00C72BCB"/>
    <w:rsid w:val="00C82919"/>
    <w:rsid w:val="00C91A2A"/>
    <w:rsid w:val="00C9228B"/>
    <w:rsid w:val="00CA2915"/>
    <w:rsid w:val="00CB7DC5"/>
    <w:rsid w:val="00CC200F"/>
    <w:rsid w:val="00CC3A33"/>
    <w:rsid w:val="00CC57C0"/>
    <w:rsid w:val="00CC7392"/>
    <w:rsid w:val="00CD5D07"/>
    <w:rsid w:val="00CE6100"/>
    <w:rsid w:val="00CE6578"/>
    <w:rsid w:val="00CE7A29"/>
    <w:rsid w:val="00D07EBF"/>
    <w:rsid w:val="00D10C3E"/>
    <w:rsid w:val="00D152D9"/>
    <w:rsid w:val="00D17B00"/>
    <w:rsid w:val="00D2571C"/>
    <w:rsid w:val="00D32DEE"/>
    <w:rsid w:val="00D34AA1"/>
    <w:rsid w:val="00D422B2"/>
    <w:rsid w:val="00D46758"/>
    <w:rsid w:val="00D76D7C"/>
    <w:rsid w:val="00D92BFF"/>
    <w:rsid w:val="00DA7C08"/>
    <w:rsid w:val="00DB302D"/>
    <w:rsid w:val="00DC25F4"/>
    <w:rsid w:val="00DC7F64"/>
    <w:rsid w:val="00DD2D24"/>
    <w:rsid w:val="00DF2D40"/>
    <w:rsid w:val="00DF3661"/>
    <w:rsid w:val="00E01177"/>
    <w:rsid w:val="00E10FC0"/>
    <w:rsid w:val="00E12892"/>
    <w:rsid w:val="00E13EB3"/>
    <w:rsid w:val="00E21481"/>
    <w:rsid w:val="00E621B9"/>
    <w:rsid w:val="00E65FC8"/>
    <w:rsid w:val="00E74177"/>
    <w:rsid w:val="00EA568D"/>
    <w:rsid w:val="00EC08EA"/>
    <w:rsid w:val="00EC1409"/>
    <w:rsid w:val="00EC24D6"/>
    <w:rsid w:val="00ED22EC"/>
    <w:rsid w:val="00ED2B0A"/>
    <w:rsid w:val="00EE507C"/>
    <w:rsid w:val="00EE622D"/>
    <w:rsid w:val="00EF3AC8"/>
    <w:rsid w:val="00F303F1"/>
    <w:rsid w:val="00F33E9E"/>
    <w:rsid w:val="00F428BF"/>
    <w:rsid w:val="00F43148"/>
    <w:rsid w:val="00F4687A"/>
    <w:rsid w:val="00F55A0A"/>
    <w:rsid w:val="00F61E5E"/>
    <w:rsid w:val="00F75086"/>
    <w:rsid w:val="00F833F0"/>
    <w:rsid w:val="00F84703"/>
    <w:rsid w:val="00F85855"/>
    <w:rsid w:val="00F867BD"/>
    <w:rsid w:val="00F95D04"/>
    <w:rsid w:val="00F97A4C"/>
    <w:rsid w:val="00FD454A"/>
    <w:rsid w:val="00FE43CD"/>
    <w:rsid w:val="00FE44DE"/>
    <w:rsid w:val="00FE5424"/>
    <w:rsid w:val="00FF6172"/>
    <w:rsid w:val="00FF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7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9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2919"/>
    <w:rPr>
      <w:rFonts w:ascii="Tahoma" w:hAnsi="Tahoma" w:cs="Tahoma"/>
      <w:sz w:val="16"/>
      <w:szCs w:val="16"/>
    </w:rPr>
  </w:style>
  <w:style w:type="paragraph" w:styleId="Footer">
    <w:name w:val="footer"/>
    <w:basedOn w:val="Normal"/>
    <w:rsid w:val="00C82919"/>
    <w:pPr>
      <w:tabs>
        <w:tab w:val="center" w:pos="4320"/>
        <w:tab w:val="right" w:pos="8640"/>
      </w:tabs>
    </w:pPr>
  </w:style>
  <w:style w:type="character" w:styleId="PageNumber">
    <w:name w:val="page number"/>
    <w:basedOn w:val="DefaultParagraphFont"/>
    <w:rsid w:val="00C82919"/>
  </w:style>
  <w:style w:type="paragraph" w:styleId="Header">
    <w:name w:val="header"/>
    <w:basedOn w:val="Normal"/>
    <w:rsid w:val="005F110C"/>
    <w:pPr>
      <w:tabs>
        <w:tab w:val="center" w:pos="4320"/>
        <w:tab w:val="right" w:pos="8640"/>
      </w:tabs>
    </w:pPr>
  </w:style>
  <w:style w:type="paragraph" w:styleId="BodyText">
    <w:name w:val="Body Text"/>
    <w:basedOn w:val="Normal"/>
    <w:link w:val="BodyTextChar"/>
    <w:rsid w:val="009C33BB"/>
    <w:pPr>
      <w:jc w:val="both"/>
    </w:pPr>
    <w:rPr>
      <w:lang w:val="x-none" w:eastAsia="x-none"/>
    </w:rPr>
  </w:style>
  <w:style w:type="character" w:customStyle="1" w:styleId="BodyTextChar">
    <w:name w:val="Body Text Char"/>
    <w:link w:val="BodyText"/>
    <w:rsid w:val="009C33BB"/>
    <w:rPr>
      <w:sz w:val="24"/>
      <w:szCs w:val="24"/>
    </w:rPr>
  </w:style>
  <w:style w:type="paragraph" w:styleId="BodyText2">
    <w:name w:val="Body Text 2"/>
    <w:basedOn w:val="Normal"/>
    <w:link w:val="BodyText2Char"/>
    <w:rsid w:val="008F499C"/>
    <w:pPr>
      <w:spacing w:after="120" w:line="480" w:lineRule="auto"/>
    </w:pPr>
    <w:rPr>
      <w:lang w:val="x-none" w:eastAsia="x-none"/>
    </w:rPr>
  </w:style>
  <w:style w:type="character" w:customStyle="1" w:styleId="BodyText2Char">
    <w:name w:val="Body Text 2 Char"/>
    <w:link w:val="BodyText2"/>
    <w:rsid w:val="008F499C"/>
    <w:rPr>
      <w:sz w:val="24"/>
      <w:szCs w:val="24"/>
    </w:rPr>
  </w:style>
  <w:style w:type="paragraph" w:styleId="BodyTextIndent">
    <w:name w:val="Body Text Indent"/>
    <w:basedOn w:val="Normal"/>
    <w:link w:val="BodyTextIndentChar"/>
    <w:rsid w:val="002B1D2F"/>
    <w:pPr>
      <w:spacing w:after="120"/>
      <w:ind w:left="360"/>
    </w:pPr>
    <w:rPr>
      <w:lang w:val="x-none" w:eastAsia="x-none"/>
    </w:rPr>
  </w:style>
  <w:style w:type="character" w:customStyle="1" w:styleId="BodyTextIndentChar">
    <w:name w:val="Body Text Indent Char"/>
    <w:link w:val="BodyTextIndent"/>
    <w:rsid w:val="002B1D2F"/>
    <w:rPr>
      <w:sz w:val="24"/>
      <w:szCs w:val="24"/>
    </w:rPr>
  </w:style>
  <w:style w:type="character" w:styleId="Hyperlink">
    <w:name w:val="Hyperlink"/>
    <w:rsid w:val="00F85855"/>
    <w:rPr>
      <w:color w:val="0000FF"/>
      <w:u w:val="single"/>
    </w:rPr>
  </w:style>
  <w:style w:type="character" w:styleId="FollowedHyperlink">
    <w:name w:val="FollowedHyperlink"/>
    <w:rsid w:val="00643958"/>
    <w:rPr>
      <w:color w:val="800080"/>
      <w:u w:val="single"/>
    </w:rPr>
  </w:style>
  <w:style w:type="character" w:customStyle="1" w:styleId="apple-converted-space">
    <w:name w:val="apple-converted-space"/>
    <w:rsid w:val="00B07409"/>
  </w:style>
  <w:style w:type="character" w:styleId="CommentReference">
    <w:name w:val="annotation reference"/>
    <w:uiPriority w:val="99"/>
    <w:rsid w:val="00C03DAD"/>
    <w:rPr>
      <w:sz w:val="16"/>
      <w:szCs w:val="16"/>
    </w:rPr>
  </w:style>
  <w:style w:type="paragraph" w:styleId="CommentText">
    <w:name w:val="annotation text"/>
    <w:basedOn w:val="Normal"/>
    <w:link w:val="CommentTextChar"/>
    <w:uiPriority w:val="99"/>
    <w:rsid w:val="00C03DAD"/>
    <w:rPr>
      <w:sz w:val="20"/>
      <w:szCs w:val="20"/>
    </w:rPr>
  </w:style>
  <w:style w:type="character" w:customStyle="1" w:styleId="CommentTextChar">
    <w:name w:val="Comment Text Char"/>
    <w:basedOn w:val="DefaultParagraphFont"/>
    <w:link w:val="CommentText"/>
    <w:uiPriority w:val="99"/>
    <w:rsid w:val="00C03DAD"/>
  </w:style>
  <w:style w:type="paragraph" w:styleId="CommentSubject">
    <w:name w:val="annotation subject"/>
    <w:basedOn w:val="CommentText"/>
    <w:next w:val="CommentText"/>
    <w:link w:val="CommentSubjectChar"/>
    <w:rsid w:val="00C03DAD"/>
    <w:rPr>
      <w:b/>
      <w:bCs/>
    </w:rPr>
  </w:style>
  <w:style w:type="character" w:customStyle="1" w:styleId="CommentSubjectChar">
    <w:name w:val="Comment Subject Char"/>
    <w:link w:val="CommentSubject"/>
    <w:rsid w:val="00C03DAD"/>
    <w:rPr>
      <w:b/>
      <w:bCs/>
    </w:rPr>
  </w:style>
  <w:style w:type="paragraph" w:styleId="ListParagraph">
    <w:name w:val="List Paragraph"/>
    <w:basedOn w:val="Normal"/>
    <w:uiPriority w:val="34"/>
    <w:qFormat/>
    <w:rsid w:val="00C60823"/>
    <w:pPr>
      <w:ind w:left="720"/>
      <w:contextualSpacing/>
    </w:pPr>
  </w:style>
  <w:style w:type="paragraph" w:styleId="HTMLPreformatted">
    <w:name w:val="HTML Preformatted"/>
    <w:basedOn w:val="Normal"/>
    <w:link w:val="HTMLPreformattedChar"/>
    <w:uiPriority w:val="99"/>
    <w:unhideWhenUsed/>
    <w:rsid w:val="003A5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5C88"/>
    <w:rPr>
      <w:rFonts w:ascii="Courier New" w:hAnsi="Courier New" w:cs="Courier New"/>
    </w:rPr>
  </w:style>
  <w:style w:type="paragraph" w:customStyle="1" w:styleId="Default">
    <w:name w:val="Default"/>
    <w:rsid w:val="003A5C88"/>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sid w:val="0043076C"/>
    <w:rPr>
      <w:sz w:val="20"/>
      <w:szCs w:val="20"/>
    </w:rPr>
  </w:style>
  <w:style w:type="character" w:customStyle="1" w:styleId="FootnoteTextChar">
    <w:name w:val="Footnote Text Char"/>
    <w:basedOn w:val="DefaultParagraphFont"/>
    <w:link w:val="FootnoteText"/>
    <w:uiPriority w:val="99"/>
    <w:rsid w:val="0043076C"/>
  </w:style>
  <w:style w:type="character" w:styleId="FootnoteReference">
    <w:name w:val="footnote reference"/>
    <w:basedOn w:val="DefaultParagraphFont"/>
    <w:uiPriority w:val="99"/>
    <w:rsid w:val="0043076C"/>
    <w:rPr>
      <w:vertAlign w:val="superscript"/>
    </w:rPr>
  </w:style>
  <w:style w:type="paragraph" w:styleId="Caption">
    <w:name w:val="caption"/>
    <w:basedOn w:val="Normal"/>
    <w:next w:val="Normal"/>
    <w:unhideWhenUsed/>
    <w:qFormat/>
    <w:rsid w:val="003318C3"/>
    <w:pPr>
      <w:overflowPunct w:val="0"/>
      <w:autoSpaceDE w:val="0"/>
      <w:autoSpaceDN w:val="0"/>
      <w:adjustRightInd w:val="0"/>
      <w:jc w:val="center"/>
      <w:textAlignment w:val="baseline"/>
    </w:pPr>
    <w:rPr>
      <w:rFonts w:ascii="Times New Roman Bold" w:hAnsi="Times New Roman Bold"/>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9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2919"/>
    <w:rPr>
      <w:rFonts w:ascii="Tahoma" w:hAnsi="Tahoma" w:cs="Tahoma"/>
      <w:sz w:val="16"/>
      <w:szCs w:val="16"/>
    </w:rPr>
  </w:style>
  <w:style w:type="paragraph" w:styleId="Footer">
    <w:name w:val="footer"/>
    <w:basedOn w:val="Normal"/>
    <w:rsid w:val="00C82919"/>
    <w:pPr>
      <w:tabs>
        <w:tab w:val="center" w:pos="4320"/>
        <w:tab w:val="right" w:pos="8640"/>
      </w:tabs>
    </w:pPr>
  </w:style>
  <w:style w:type="character" w:styleId="PageNumber">
    <w:name w:val="page number"/>
    <w:basedOn w:val="DefaultParagraphFont"/>
    <w:rsid w:val="00C82919"/>
  </w:style>
  <w:style w:type="paragraph" w:styleId="Header">
    <w:name w:val="header"/>
    <w:basedOn w:val="Normal"/>
    <w:rsid w:val="005F110C"/>
    <w:pPr>
      <w:tabs>
        <w:tab w:val="center" w:pos="4320"/>
        <w:tab w:val="right" w:pos="8640"/>
      </w:tabs>
    </w:pPr>
  </w:style>
  <w:style w:type="paragraph" w:styleId="BodyText">
    <w:name w:val="Body Text"/>
    <w:basedOn w:val="Normal"/>
    <w:link w:val="BodyTextChar"/>
    <w:rsid w:val="009C33BB"/>
    <w:pPr>
      <w:jc w:val="both"/>
    </w:pPr>
    <w:rPr>
      <w:lang w:val="x-none" w:eastAsia="x-none"/>
    </w:rPr>
  </w:style>
  <w:style w:type="character" w:customStyle="1" w:styleId="BodyTextChar">
    <w:name w:val="Body Text Char"/>
    <w:link w:val="BodyText"/>
    <w:rsid w:val="009C33BB"/>
    <w:rPr>
      <w:sz w:val="24"/>
      <w:szCs w:val="24"/>
    </w:rPr>
  </w:style>
  <w:style w:type="paragraph" w:styleId="BodyText2">
    <w:name w:val="Body Text 2"/>
    <w:basedOn w:val="Normal"/>
    <w:link w:val="BodyText2Char"/>
    <w:rsid w:val="008F499C"/>
    <w:pPr>
      <w:spacing w:after="120" w:line="480" w:lineRule="auto"/>
    </w:pPr>
    <w:rPr>
      <w:lang w:val="x-none" w:eastAsia="x-none"/>
    </w:rPr>
  </w:style>
  <w:style w:type="character" w:customStyle="1" w:styleId="BodyText2Char">
    <w:name w:val="Body Text 2 Char"/>
    <w:link w:val="BodyText2"/>
    <w:rsid w:val="008F499C"/>
    <w:rPr>
      <w:sz w:val="24"/>
      <w:szCs w:val="24"/>
    </w:rPr>
  </w:style>
  <w:style w:type="paragraph" w:styleId="BodyTextIndent">
    <w:name w:val="Body Text Indent"/>
    <w:basedOn w:val="Normal"/>
    <w:link w:val="BodyTextIndentChar"/>
    <w:rsid w:val="002B1D2F"/>
    <w:pPr>
      <w:spacing w:after="120"/>
      <w:ind w:left="360"/>
    </w:pPr>
    <w:rPr>
      <w:lang w:val="x-none" w:eastAsia="x-none"/>
    </w:rPr>
  </w:style>
  <w:style w:type="character" w:customStyle="1" w:styleId="BodyTextIndentChar">
    <w:name w:val="Body Text Indent Char"/>
    <w:link w:val="BodyTextIndent"/>
    <w:rsid w:val="002B1D2F"/>
    <w:rPr>
      <w:sz w:val="24"/>
      <w:szCs w:val="24"/>
    </w:rPr>
  </w:style>
  <w:style w:type="character" w:styleId="Hyperlink">
    <w:name w:val="Hyperlink"/>
    <w:rsid w:val="00F85855"/>
    <w:rPr>
      <w:color w:val="0000FF"/>
      <w:u w:val="single"/>
    </w:rPr>
  </w:style>
  <w:style w:type="character" w:styleId="FollowedHyperlink">
    <w:name w:val="FollowedHyperlink"/>
    <w:rsid w:val="00643958"/>
    <w:rPr>
      <w:color w:val="800080"/>
      <w:u w:val="single"/>
    </w:rPr>
  </w:style>
  <w:style w:type="character" w:customStyle="1" w:styleId="apple-converted-space">
    <w:name w:val="apple-converted-space"/>
    <w:rsid w:val="00B07409"/>
  </w:style>
  <w:style w:type="character" w:styleId="CommentReference">
    <w:name w:val="annotation reference"/>
    <w:uiPriority w:val="99"/>
    <w:rsid w:val="00C03DAD"/>
    <w:rPr>
      <w:sz w:val="16"/>
      <w:szCs w:val="16"/>
    </w:rPr>
  </w:style>
  <w:style w:type="paragraph" w:styleId="CommentText">
    <w:name w:val="annotation text"/>
    <w:basedOn w:val="Normal"/>
    <w:link w:val="CommentTextChar"/>
    <w:uiPriority w:val="99"/>
    <w:rsid w:val="00C03DAD"/>
    <w:rPr>
      <w:sz w:val="20"/>
      <w:szCs w:val="20"/>
    </w:rPr>
  </w:style>
  <w:style w:type="character" w:customStyle="1" w:styleId="CommentTextChar">
    <w:name w:val="Comment Text Char"/>
    <w:basedOn w:val="DefaultParagraphFont"/>
    <w:link w:val="CommentText"/>
    <w:uiPriority w:val="99"/>
    <w:rsid w:val="00C03DAD"/>
  </w:style>
  <w:style w:type="paragraph" w:styleId="CommentSubject">
    <w:name w:val="annotation subject"/>
    <w:basedOn w:val="CommentText"/>
    <w:next w:val="CommentText"/>
    <w:link w:val="CommentSubjectChar"/>
    <w:rsid w:val="00C03DAD"/>
    <w:rPr>
      <w:b/>
      <w:bCs/>
    </w:rPr>
  </w:style>
  <w:style w:type="character" w:customStyle="1" w:styleId="CommentSubjectChar">
    <w:name w:val="Comment Subject Char"/>
    <w:link w:val="CommentSubject"/>
    <w:rsid w:val="00C03DAD"/>
    <w:rPr>
      <w:b/>
      <w:bCs/>
    </w:rPr>
  </w:style>
  <w:style w:type="paragraph" w:styleId="ListParagraph">
    <w:name w:val="List Paragraph"/>
    <w:basedOn w:val="Normal"/>
    <w:uiPriority w:val="34"/>
    <w:qFormat/>
    <w:rsid w:val="00C60823"/>
    <w:pPr>
      <w:ind w:left="720"/>
      <w:contextualSpacing/>
    </w:pPr>
  </w:style>
  <w:style w:type="paragraph" w:styleId="HTMLPreformatted">
    <w:name w:val="HTML Preformatted"/>
    <w:basedOn w:val="Normal"/>
    <w:link w:val="HTMLPreformattedChar"/>
    <w:uiPriority w:val="99"/>
    <w:unhideWhenUsed/>
    <w:rsid w:val="003A5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5C88"/>
    <w:rPr>
      <w:rFonts w:ascii="Courier New" w:hAnsi="Courier New" w:cs="Courier New"/>
    </w:rPr>
  </w:style>
  <w:style w:type="paragraph" w:customStyle="1" w:styleId="Default">
    <w:name w:val="Default"/>
    <w:rsid w:val="003A5C88"/>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sid w:val="0043076C"/>
    <w:rPr>
      <w:sz w:val="20"/>
      <w:szCs w:val="20"/>
    </w:rPr>
  </w:style>
  <w:style w:type="character" w:customStyle="1" w:styleId="FootnoteTextChar">
    <w:name w:val="Footnote Text Char"/>
    <w:basedOn w:val="DefaultParagraphFont"/>
    <w:link w:val="FootnoteText"/>
    <w:uiPriority w:val="99"/>
    <w:rsid w:val="0043076C"/>
  </w:style>
  <w:style w:type="character" w:styleId="FootnoteReference">
    <w:name w:val="footnote reference"/>
    <w:basedOn w:val="DefaultParagraphFont"/>
    <w:uiPriority w:val="99"/>
    <w:rsid w:val="0043076C"/>
    <w:rPr>
      <w:vertAlign w:val="superscript"/>
    </w:rPr>
  </w:style>
  <w:style w:type="paragraph" w:styleId="Caption">
    <w:name w:val="caption"/>
    <w:basedOn w:val="Normal"/>
    <w:next w:val="Normal"/>
    <w:unhideWhenUsed/>
    <w:qFormat/>
    <w:rsid w:val="003318C3"/>
    <w:pPr>
      <w:overflowPunct w:val="0"/>
      <w:autoSpaceDE w:val="0"/>
      <w:autoSpaceDN w:val="0"/>
      <w:adjustRightInd w:val="0"/>
      <w:jc w:val="center"/>
      <w:textAlignment w:val="baseline"/>
    </w:pPr>
    <w:rPr>
      <w:rFonts w:ascii="Times New Roman Bold" w:hAnsi="Times New Roman Bol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82982">
      <w:bodyDiv w:val="1"/>
      <w:marLeft w:val="0"/>
      <w:marRight w:val="0"/>
      <w:marTop w:val="0"/>
      <w:marBottom w:val="0"/>
      <w:divBdr>
        <w:top w:val="none" w:sz="0" w:space="0" w:color="auto"/>
        <w:left w:val="none" w:sz="0" w:space="0" w:color="auto"/>
        <w:bottom w:val="none" w:sz="0" w:space="0" w:color="auto"/>
        <w:right w:val="none" w:sz="0" w:space="0" w:color="auto"/>
      </w:divBdr>
    </w:div>
    <w:div w:id="1823887235">
      <w:bodyDiv w:val="1"/>
      <w:marLeft w:val="0"/>
      <w:marRight w:val="0"/>
      <w:marTop w:val="0"/>
      <w:marBottom w:val="0"/>
      <w:divBdr>
        <w:top w:val="none" w:sz="0" w:space="0" w:color="auto"/>
        <w:left w:val="none" w:sz="0" w:space="0" w:color="auto"/>
        <w:bottom w:val="none" w:sz="0" w:space="0" w:color="auto"/>
        <w:right w:val="none" w:sz="0" w:space="0" w:color="auto"/>
      </w:divBdr>
    </w:div>
    <w:div w:id="1861698548">
      <w:bodyDiv w:val="1"/>
      <w:marLeft w:val="0"/>
      <w:marRight w:val="0"/>
      <w:marTop w:val="0"/>
      <w:marBottom w:val="0"/>
      <w:divBdr>
        <w:top w:val="none" w:sz="0" w:space="0" w:color="auto"/>
        <w:left w:val="none" w:sz="0" w:space="0" w:color="auto"/>
        <w:bottom w:val="none" w:sz="0" w:space="0" w:color="auto"/>
        <w:right w:val="none" w:sz="0" w:space="0" w:color="auto"/>
      </w:divBdr>
    </w:div>
    <w:div w:id="1901358527">
      <w:bodyDiv w:val="1"/>
      <w:marLeft w:val="0"/>
      <w:marRight w:val="0"/>
      <w:marTop w:val="0"/>
      <w:marBottom w:val="0"/>
      <w:divBdr>
        <w:top w:val="none" w:sz="0" w:space="0" w:color="auto"/>
        <w:left w:val="none" w:sz="0" w:space="0" w:color="auto"/>
        <w:bottom w:val="none" w:sz="0" w:space="0" w:color="auto"/>
        <w:right w:val="none" w:sz="0" w:space="0" w:color="auto"/>
      </w:divBdr>
    </w:div>
    <w:div w:id="2082756298">
      <w:bodyDiv w:val="1"/>
      <w:marLeft w:val="0"/>
      <w:marRight w:val="0"/>
      <w:marTop w:val="0"/>
      <w:marBottom w:val="0"/>
      <w:divBdr>
        <w:top w:val="none" w:sz="0" w:space="0" w:color="auto"/>
        <w:left w:val="none" w:sz="0" w:space="0" w:color="auto"/>
        <w:bottom w:val="none" w:sz="0" w:space="0" w:color="auto"/>
        <w:right w:val="none" w:sz="0" w:space="0" w:color="auto"/>
      </w:divBdr>
    </w:div>
    <w:div w:id="209172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1.eere.energy.gov/vehiclesandfuels/epact/program_annual_reports.html" TargetMode="External"/><Relationship Id="rId4" Type="http://schemas.microsoft.com/office/2007/relationships/stylesWithEffects" Target="stylesWithEffects.xml"/><Relationship Id="rId9" Type="http://schemas.openxmlformats.org/officeDocument/2006/relationships/hyperlink" Target="https://www.afdc.energy.gov/vehiclesandfuels/epact/state/progs/dyn_msa.c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C872C-EF1A-4C55-8DE9-99729C6A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4062</Words>
  <Characters>23156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Instructions for the Supporting Statement</vt:lpstr>
    </vt:vector>
  </TitlesOfParts>
  <Company>Department of Energy</Company>
  <LinksUpToDate>false</LinksUpToDate>
  <CharactersWithSpaces>27164</CharactersWithSpaces>
  <SharedDoc>false</SharedDoc>
  <HLinks>
    <vt:vector size="12" baseType="variant">
      <vt:variant>
        <vt:i4>327795</vt:i4>
      </vt:variant>
      <vt:variant>
        <vt:i4>3</vt:i4>
      </vt:variant>
      <vt:variant>
        <vt:i4>0</vt:i4>
      </vt:variant>
      <vt:variant>
        <vt:i4>5</vt:i4>
      </vt:variant>
      <vt:variant>
        <vt:lpwstr>http://www.bls.gov/oes/current/oes_nat.htm</vt:lpwstr>
      </vt:variant>
      <vt:variant>
        <vt:lpwstr>11-0000</vt:lpwstr>
      </vt:variant>
      <vt:variant>
        <vt:i4>3014657</vt:i4>
      </vt:variant>
      <vt:variant>
        <vt:i4>0</vt:i4>
      </vt:variant>
      <vt:variant>
        <vt:i4>0</vt:i4>
      </vt:variant>
      <vt:variant>
        <vt:i4>5</vt:i4>
      </vt:variant>
      <vt:variant>
        <vt:lpwstr>https://www.afdc.energy.gov/vehiclesandfuels/epact/state/progs/dyn_msa.cgi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Supporting Statement</dc:title>
  <dc:creator>BRYANTL</dc:creator>
  <cp:lastModifiedBy>SYSTEM</cp:lastModifiedBy>
  <cp:revision>2</cp:revision>
  <cp:lastPrinted>2008-02-29T15:21:00Z</cp:lastPrinted>
  <dcterms:created xsi:type="dcterms:W3CDTF">2018-03-29T17:31:00Z</dcterms:created>
  <dcterms:modified xsi:type="dcterms:W3CDTF">2018-03-29T17:31:00Z</dcterms:modified>
</cp:coreProperties>
</file>