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40" w:rsidRPr="00B230E3" w:rsidRDefault="0036387E" w:rsidP="00B363CD">
      <w:pPr>
        <w:widowControl/>
        <w:spacing w:after="360"/>
        <w:jc w:val="center"/>
        <w:rPr>
          <w:sz w:val="22"/>
          <w:szCs w:val="22"/>
        </w:rPr>
      </w:pPr>
      <w:bookmarkStart w:id="0" w:name="_GoBack"/>
      <w:bookmarkEnd w:id="0"/>
      <w:r>
        <w:rPr>
          <w:b/>
          <w:bCs/>
          <w:sz w:val="22"/>
          <w:szCs w:val="22"/>
        </w:rPr>
        <w:t xml:space="preserve">EPA # </w:t>
      </w:r>
      <w:r w:rsidR="00A900E8">
        <w:rPr>
          <w:b/>
          <w:bCs/>
          <w:sz w:val="22"/>
          <w:szCs w:val="22"/>
        </w:rPr>
        <w:t>1189.27</w:t>
      </w:r>
    </w:p>
    <w:p w:rsidR="007B2540" w:rsidRPr="00B230E3" w:rsidRDefault="007B2540" w:rsidP="00B363CD">
      <w:pPr>
        <w:widowControl/>
        <w:tabs>
          <w:tab w:val="left" w:pos="720"/>
          <w:tab w:val="left" w:pos="1440"/>
          <w:tab w:val="left" w:pos="2160"/>
          <w:tab w:val="left" w:pos="2880"/>
          <w:tab w:val="left" w:pos="3600"/>
          <w:tab w:val="left" w:pos="4320"/>
          <w:tab w:val="left" w:pos="5040"/>
          <w:tab w:val="left" w:pos="5760"/>
          <w:tab w:val="left" w:pos="6480"/>
          <w:tab w:val="right" w:pos="7203"/>
        </w:tabs>
        <w:spacing w:after="120"/>
        <w:ind w:left="720" w:hanging="720"/>
        <w:rPr>
          <w:sz w:val="22"/>
          <w:szCs w:val="22"/>
        </w:rPr>
      </w:pPr>
      <w:r w:rsidRPr="00B230E3">
        <w:rPr>
          <w:b/>
          <w:bCs/>
          <w:sz w:val="22"/>
          <w:szCs w:val="22"/>
        </w:rPr>
        <w:t>1.</w:t>
      </w:r>
      <w:r w:rsidRPr="00B230E3">
        <w:rPr>
          <w:b/>
          <w:bCs/>
          <w:sz w:val="22"/>
          <w:szCs w:val="22"/>
        </w:rPr>
        <w:tab/>
        <w:t>IDENTIFICATION OF THE INFORMATION COLLECTION</w:t>
      </w:r>
    </w:p>
    <w:p w:rsidR="007B2540" w:rsidRPr="00B230E3" w:rsidRDefault="007B2540"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1(a)</w:t>
      </w:r>
      <w:r w:rsidRPr="00B230E3">
        <w:rPr>
          <w:b/>
          <w:bCs/>
          <w:sz w:val="22"/>
          <w:szCs w:val="22"/>
        </w:rPr>
        <w:tab/>
        <w:t>Title of the</w:t>
      </w:r>
      <w:r w:rsidR="00B93ABA">
        <w:rPr>
          <w:b/>
          <w:bCs/>
          <w:sz w:val="22"/>
          <w:szCs w:val="22"/>
        </w:rPr>
        <w:t xml:space="preserve"> Information Collection Request (ICR) </w:t>
      </w:r>
    </w:p>
    <w:p w:rsidR="00460BA1" w:rsidRDefault="00774DC6" w:rsidP="00460BA1">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pPr>
      <w:r w:rsidRPr="00D95940">
        <w:t>Identification, Listing and Rulemaking Petitions</w:t>
      </w:r>
      <w:r w:rsidR="000077AF">
        <w:t xml:space="preserve"> </w:t>
      </w:r>
      <w:r w:rsidR="00460BA1">
        <w:t>(Proposed Rule titled ‘Hazardous and Solid Waste Management System: Disposal of Coal Combustion Residuals from Electric Utilities; Amendments to the National Minimum Criteria (Phase One)’)</w:t>
      </w:r>
    </w:p>
    <w:p w:rsidR="007B2540" w:rsidRPr="00B230E3" w:rsidRDefault="00D76DE6"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Pr>
          <w:sz w:val="22"/>
          <w:szCs w:val="22"/>
        </w:rPr>
        <w:t xml:space="preserve">EPA </w:t>
      </w:r>
      <w:r w:rsidR="0036387E">
        <w:rPr>
          <w:sz w:val="22"/>
          <w:szCs w:val="22"/>
        </w:rPr>
        <w:t xml:space="preserve">ICR No. </w:t>
      </w:r>
      <w:r w:rsidR="00A900E8">
        <w:rPr>
          <w:sz w:val="22"/>
          <w:szCs w:val="22"/>
        </w:rPr>
        <w:t>1189.27</w:t>
      </w:r>
      <w:r w:rsidR="007B2540" w:rsidRPr="00B230E3">
        <w:rPr>
          <w:sz w:val="22"/>
          <w:szCs w:val="22"/>
        </w:rPr>
        <w:t>, O</w:t>
      </w:r>
      <w:r w:rsidR="00B93ABA">
        <w:rPr>
          <w:sz w:val="22"/>
          <w:szCs w:val="22"/>
        </w:rPr>
        <w:t>ffice of Management and Budget (O</w:t>
      </w:r>
      <w:r w:rsidR="007B2540" w:rsidRPr="00B230E3">
        <w:rPr>
          <w:sz w:val="22"/>
          <w:szCs w:val="22"/>
        </w:rPr>
        <w:t>MB</w:t>
      </w:r>
      <w:r w:rsidR="00B93ABA">
        <w:rPr>
          <w:sz w:val="22"/>
          <w:szCs w:val="22"/>
        </w:rPr>
        <w:t>)</w:t>
      </w:r>
      <w:r w:rsidR="007B2540" w:rsidRPr="00B230E3">
        <w:rPr>
          <w:sz w:val="22"/>
          <w:szCs w:val="22"/>
        </w:rPr>
        <w:t xml:space="preserve"> </w:t>
      </w:r>
      <w:r w:rsidR="00774DC6">
        <w:rPr>
          <w:sz w:val="22"/>
          <w:szCs w:val="22"/>
        </w:rPr>
        <w:t xml:space="preserve">Control </w:t>
      </w:r>
      <w:r w:rsidR="007B2540" w:rsidRPr="00B230E3">
        <w:rPr>
          <w:sz w:val="22"/>
          <w:szCs w:val="22"/>
        </w:rPr>
        <w:t xml:space="preserve">No. </w:t>
      </w:r>
      <w:r w:rsidR="00774DC6" w:rsidRPr="00D95940">
        <w:t>2050-0053</w:t>
      </w:r>
      <w:r w:rsidR="00784A96">
        <w:rPr>
          <w:sz w:val="22"/>
          <w:szCs w:val="22"/>
        </w:rPr>
        <w:t>.</w:t>
      </w:r>
    </w:p>
    <w:p w:rsidR="007B2540" w:rsidRPr="00B230E3" w:rsidRDefault="007B2540"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B230E3">
        <w:rPr>
          <w:b/>
          <w:bCs/>
          <w:sz w:val="22"/>
          <w:szCs w:val="22"/>
        </w:rPr>
        <w:t xml:space="preserve">1(b) </w:t>
      </w:r>
      <w:r w:rsidRPr="00B230E3">
        <w:rPr>
          <w:b/>
          <w:bCs/>
          <w:sz w:val="22"/>
          <w:szCs w:val="22"/>
        </w:rPr>
        <w:tab/>
        <w:t>Short Characterization</w:t>
      </w:r>
    </w:p>
    <w:p w:rsidR="009C086C" w:rsidRPr="00722E5F" w:rsidRDefault="007B2540" w:rsidP="00B363CD">
      <w:pPr>
        <w:widowControl/>
        <w:spacing w:after="120"/>
        <w:ind w:firstLine="720"/>
        <w:rPr>
          <w:sz w:val="22"/>
          <w:szCs w:val="22"/>
        </w:rPr>
      </w:pPr>
      <w:r w:rsidRPr="00B230E3">
        <w:rPr>
          <w:sz w:val="22"/>
          <w:szCs w:val="22"/>
        </w:rPr>
        <w:t xml:space="preserve">This </w:t>
      </w:r>
      <w:r w:rsidR="00B93ABA">
        <w:rPr>
          <w:sz w:val="22"/>
          <w:szCs w:val="22"/>
        </w:rPr>
        <w:t>ICR</w:t>
      </w:r>
      <w:r w:rsidRPr="00B230E3">
        <w:rPr>
          <w:sz w:val="22"/>
          <w:szCs w:val="22"/>
        </w:rPr>
        <w:t xml:space="preserve"> amend</w:t>
      </w:r>
      <w:r w:rsidR="0078151A">
        <w:rPr>
          <w:sz w:val="22"/>
          <w:szCs w:val="22"/>
        </w:rPr>
        <w:t>s</w:t>
      </w:r>
      <w:r w:rsidRPr="00B230E3">
        <w:rPr>
          <w:sz w:val="22"/>
          <w:szCs w:val="22"/>
        </w:rPr>
        <w:t xml:space="preserve"> </w:t>
      </w:r>
      <w:r w:rsidR="000077AF">
        <w:rPr>
          <w:sz w:val="22"/>
          <w:szCs w:val="22"/>
        </w:rPr>
        <w:t>the</w:t>
      </w:r>
      <w:r w:rsidR="000077AF" w:rsidRPr="00B230E3">
        <w:rPr>
          <w:sz w:val="22"/>
          <w:szCs w:val="22"/>
        </w:rPr>
        <w:t xml:space="preserve"> </w:t>
      </w:r>
      <w:r w:rsidR="0036387E">
        <w:rPr>
          <w:sz w:val="22"/>
          <w:szCs w:val="22"/>
        </w:rPr>
        <w:t>previously approved ICR (</w:t>
      </w:r>
      <w:r w:rsidR="000077AF">
        <w:rPr>
          <w:sz w:val="22"/>
          <w:szCs w:val="22"/>
        </w:rPr>
        <w:t>EPA ICR Number</w:t>
      </w:r>
      <w:r w:rsidR="00A900E8">
        <w:rPr>
          <w:sz w:val="22"/>
          <w:szCs w:val="22"/>
        </w:rPr>
        <w:t>1189</w:t>
      </w:r>
      <w:r w:rsidR="00774DC6">
        <w:rPr>
          <w:sz w:val="22"/>
          <w:szCs w:val="22"/>
        </w:rPr>
        <w:t>.26</w:t>
      </w:r>
      <w:r w:rsidRPr="00B230E3">
        <w:rPr>
          <w:sz w:val="22"/>
          <w:szCs w:val="22"/>
        </w:rPr>
        <w:t xml:space="preserve">), OMB Control No. </w:t>
      </w:r>
      <w:r w:rsidR="00774DC6" w:rsidRPr="00D95940">
        <w:t>2050-0053</w:t>
      </w:r>
      <w:r w:rsidR="000077AF">
        <w:t>, which</w:t>
      </w:r>
      <w:r w:rsidR="00743959" w:rsidRPr="00B230E3">
        <w:rPr>
          <w:sz w:val="22"/>
          <w:szCs w:val="22"/>
        </w:rPr>
        <w:t xml:space="preserve"> covers the </w:t>
      </w:r>
      <w:r w:rsidR="00774DC6" w:rsidRPr="00774DC6">
        <w:rPr>
          <w:sz w:val="22"/>
          <w:szCs w:val="22"/>
        </w:rPr>
        <w:t>Identification, Listing and Rulemaking Petitions</w:t>
      </w:r>
      <w:r w:rsidR="00774DC6">
        <w:rPr>
          <w:sz w:val="22"/>
          <w:szCs w:val="22"/>
        </w:rPr>
        <w:t xml:space="preserve"> under the </w:t>
      </w:r>
      <w:r w:rsidR="00774DC6" w:rsidRPr="00774DC6">
        <w:rPr>
          <w:sz w:val="22"/>
          <w:szCs w:val="22"/>
        </w:rPr>
        <w:t>authority of the Resource Conservation and Recovery Act of 1976 (RCRA)</w:t>
      </w:r>
      <w:r w:rsidR="00774DC6">
        <w:rPr>
          <w:sz w:val="22"/>
          <w:szCs w:val="22"/>
        </w:rPr>
        <w:t xml:space="preserve">, as amended, codified under </w:t>
      </w:r>
      <w:r w:rsidR="00743959" w:rsidRPr="00B230E3">
        <w:rPr>
          <w:sz w:val="22"/>
          <w:szCs w:val="22"/>
        </w:rPr>
        <w:t xml:space="preserve">40 </w:t>
      </w:r>
      <w:r w:rsidR="00FD21CB">
        <w:rPr>
          <w:sz w:val="22"/>
          <w:szCs w:val="22"/>
        </w:rPr>
        <w:t>Code of Federal Regulations (</w:t>
      </w:r>
      <w:r w:rsidR="00743959" w:rsidRPr="00B230E3">
        <w:rPr>
          <w:sz w:val="22"/>
          <w:szCs w:val="22"/>
        </w:rPr>
        <w:t>CFR</w:t>
      </w:r>
      <w:r w:rsidR="00FD21CB">
        <w:rPr>
          <w:sz w:val="22"/>
          <w:szCs w:val="22"/>
        </w:rPr>
        <w:t>)</w:t>
      </w:r>
      <w:r w:rsidR="00774DC6">
        <w:rPr>
          <w:sz w:val="22"/>
          <w:szCs w:val="22"/>
        </w:rPr>
        <w:t xml:space="preserve"> parts </w:t>
      </w:r>
      <w:r w:rsidR="00774DC6" w:rsidRPr="00774DC6">
        <w:rPr>
          <w:sz w:val="22"/>
          <w:szCs w:val="22"/>
        </w:rPr>
        <w:t>260 and 261</w:t>
      </w:r>
      <w:r w:rsidR="00774DC6">
        <w:rPr>
          <w:sz w:val="22"/>
          <w:szCs w:val="22"/>
        </w:rPr>
        <w:t xml:space="preserve">. </w:t>
      </w:r>
      <w:r w:rsidR="00152AC6">
        <w:rPr>
          <w:sz w:val="22"/>
          <w:szCs w:val="22"/>
        </w:rPr>
        <w:t xml:space="preserve">This </w:t>
      </w:r>
      <w:r w:rsidR="000077AF">
        <w:rPr>
          <w:sz w:val="22"/>
          <w:szCs w:val="22"/>
        </w:rPr>
        <w:t xml:space="preserve">ICR </w:t>
      </w:r>
      <w:r w:rsidR="00D76DE6">
        <w:rPr>
          <w:sz w:val="22"/>
          <w:szCs w:val="22"/>
        </w:rPr>
        <w:t xml:space="preserve">package </w:t>
      </w:r>
      <w:r w:rsidR="000077AF">
        <w:rPr>
          <w:sz w:val="22"/>
          <w:szCs w:val="22"/>
        </w:rPr>
        <w:t xml:space="preserve">(EPA ICR Number 1189.27) </w:t>
      </w:r>
      <w:r w:rsidR="00D76DE6">
        <w:rPr>
          <w:sz w:val="22"/>
          <w:szCs w:val="22"/>
        </w:rPr>
        <w:t xml:space="preserve">represents the new information collection requirements imposed by </w:t>
      </w:r>
      <w:r w:rsidR="00774DC6">
        <w:rPr>
          <w:sz w:val="22"/>
          <w:szCs w:val="22"/>
        </w:rPr>
        <w:t xml:space="preserve">the </w:t>
      </w:r>
      <w:r w:rsidR="00774DC6" w:rsidRPr="00774DC6">
        <w:rPr>
          <w:sz w:val="22"/>
          <w:szCs w:val="22"/>
        </w:rPr>
        <w:t>Hazardous and Solid Waste Management System: Disposal of Coal Combustion Residuals from Electric Utilities; Amendments to the National Minimum Criteria (Phase One</w:t>
      </w:r>
      <w:r w:rsidR="00774DC6" w:rsidRPr="00722E5F">
        <w:rPr>
          <w:sz w:val="22"/>
          <w:szCs w:val="22"/>
        </w:rPr>
        <w:t>); Proposed Rule</w:t>
      </w:r>
      <w:r w:rsidR="00D76DE6" w:rsidRPr="00722E5F">
        <w:rPr>
          <w:sz w:val="22"/>
          <w:szCs w:val="22"/>
        </w:rPr>
        <w:t>.</w:t>
      </w:r>
    </w:p>
    <w:p w:rsidR="004473A7" w:rsidRPr="004473A7" w:rsidRDefault="004473A7" w:rsidP="00B363CD">
      <w:pPr>
        <w:widowControl/>
        <w:spacing w:after="120"/>
        <w:ind w:firstLine="720"/>
        <w:rPr>
          <w:sz w:val="22"/>
          <w:szCs w:val="22"/>
        </w:rPr>
      </w:pPr>
      <w:r w:rsidRPr="00722E5F">
        <w:rPr>
          <w:sz w:val="22"/>
          <w:szCs w:val="22"/>
        </w:rPr>
        <w:t>The EPA published a final rule to regulate the disposal of coal combustion residuals (CCR) from electric utilities as solid waste under Subtitle D of the Resource Conservation and Recovery Act (RCRA).  See 80 Fed. Reg. 21302 (April 17, 2015).  EPA established national minimum criteria for existing and new CCR landfills and CCR surface impoundments and all lateral expansions to include location restrictions, design and operating criteria, groundwater monitoring and corrective action, closure requirements and post-closure care, and recordkeeping, notification, and internet posting requirements.</w:t>
      </w:r>
      <w:r w:rsidRPr="004473A7">
        <w:rPr>
          <w:sz w:val="22"/>
          <w:szCs w:val="22"/>
        </w:rPr>
        <w:t xml:space="preserve">  </w:t>
      </w:r>
    </w:p>
    <w:p w:rsidR="004473A7" w:rsidRDefault="00A900E8" w:rsidP="00B363CD">
      <w:pPr>
        <w:widowControl/>
        <w:spacing w:after="120"/>
        <w:ind w:firstLine="720"/>
        <w:rPr>
          <w:sz w:val="22"/>
          <w:szCs w:val="22"/>
        </w:rPr>
      </w:pPr>
      <w:r>
        <w:rPr>
          <w:sz w:val="22"/>
          <w:szCs w:val="22"/>
        </w:rPr>
        <w:t>T</w:t>
      </w:r>
      <w:r w:rsidR="004473A7" w:rsidRPr="00097676">
        <w:rPr>
          <w:sz w:val="22"/>
          <w:szCs w:val="22"/>
        </w:rPr>
        <w:t xml:space="preserve">he Agency is </w:t>
      </w:r>
      <w:r w:rsidR="00596D51">
        <w:rPr>
          <w:sz w:val="22"/>
          <w:szCs w:val="22"/>
        </w:rPr>
        <w:t xml:space="preserve">currently </w:t>
      </w:r>
      <w:r w:rsidR="004473A7" w:rsidRPr="00097676">
        <w:rPr>
          <w:sz w:val="22"/>
          <w:szCs w:val="22"/>
        </w:rPr>
        <w:t>proposing a rule that will address four provisions of the final rule that were remanded back to the Agency on June 14, 2016 by the U.S. Court of Appeals for the D.C. Circuit. The Agency is also proposing six provisions that establish alternative performance standards for owners and operators of CCR units located in states that have approved CCR permit programs (participating states) or are otherwise subject to oversight through a permit program administered by EPA. Fina</w:t>
      </w:r>
      <w:r>
        <w:rPr>
          <w:sz w:val="22"/>
          <w:szCs w:val="22"/>
        </w:rPr>
        <w:t>lly, the Agency is proposing an additional revision</w:t>
      </w:r>
      <w:r w:rsidR="004473A7" w:rsidRPr="00097676">
        <w:rPr>
          <w:sz w:val="22"/>
          <w:szCs w:val="22"/>
        </w:rPr>
        <w:t xml:space="preserve"> based on comments received since the date of the final CCR rule.</w:t>
      </w:r>
    </w:p>
    <w:p w:rsidR="00951E13" w:rsidRDefault="00B363CD" w:rsidP="00B363CD">
      <w:pPr>
        <w:widowControl/>
        <w:spacing w:after="120"/>
        <w:ind w:firstLine="720"/>
        <w:rPr>
          <w:sz w:val="22"/>
          <w:szCs w:val="22"/>
        </w:rPr>
      </w:pPr>
      <w:r>
        <w:rPr>
          <w:sz w:val="22"/>
          <w:szCs w:val="22"/>
        </w:rPr>
        <w:t xml:space="preserve">In </w:t>
      </w:r>
      <w:r w:rsidR="004473A7" w:rsidRPr="00722E5F">
        <w:rPr>
          <w:sz w:val="22"/>
          <w:szCs w:val="22"/>
        </w:rPr>
        <w:t>December 2016, the President signed the Water Infrastructure Improvements for the Nation (WIIN) Act</w:t>
      </w:r>
      <w:r>
        <w:rPr>
          <w:sz w:val="22"/>
          <w:szCs w:val="22"/>
        </w:rPr>
        <w:t>, which a</w:t>
      </w:r>
      <w:r w:rsidR="004473A7" w:rsidRPr="00722E5F">
        <w:rPr>
          <w:sz w:val="22"/>
          <w:szCs w:val="22"/>
        </w:rPr>
        <w:t xml:space="preserve">mended RCRA Subtitle D and established new statutory provisions applicable to CCR landfills and CCR surface impoundments. In particular, the WIIN Act provides that, states may, but are not required to, develop and submit a permit (or other system of prior approval) program for CCR disposal to EPA for approval. Such a program does not have to be identical to the requirements in the CCR rule (40 CFR part 257, subpart D), but must be at least as protective as the CCR rule. EPA </w:t>
      </w:r>
      <w:r>
        <w:rPr>
          <w:sz w:val="22"/>
          <w:szCs w:val="22"/>
        </w:rPr>
        <w:t>has developed</w:t>
      </w:r>
      <w:r w:rsidR="004473A7" w:rsidRPr="00722E5F">
        <w:rPr>
          <w:sz w:val="22"/>
          <w:szCs w:val="22"/>
        </w:rPr>
        <w:t xml:space="preserve"> Guidance to provide states with information needed to apply for </w:t>
      </w:r>
      <w:r>
        <w:rPr>
          <w:sz w:val="22"/>
          <w:szCs w:val="22"/>
        </w:rPr>
        <w:t>permit p</w:t>
      </w:r>
      <w:r w:rsidR="004473A7" w:rsidRPr="00722E5F">
        <w:rPr>
          <w:sz w:val="22"/>
          <w:szCs w:val="22"/>
        </w:rPr>
        <w:t>rogram approval.</w:t>
      </w:r>
      <w:r w:rsidR="004473A7" w:rsidRPr="004473A7">
        <w:rPr>
          <w:sz w:val="22"/>
          <w:szCs w:val="22"/>
        </w:rPr>
        <w:t xml:space="preserve"> </w:t>
      </w:r>
    </w:p>
    <w:p w:rsidR="007B2540" w:rsidRPr="00722E5F" w:rsidRDefault="007B2540"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722E5F">
        <w:rPr>
          <w:sz w:val="22"/>
          <w:szCs w:val="22"/>
        </w:rPr>
        <w:t xml:space="preserve">This </w:t>
      </w:r>
      <w:r w:rsidR="00B93ABA" w:rsidRPr="00722E5F">
        <w:rPr>
          <w:sz w:val="22"/>
          <w:szCs w:val="22"/>
        </w:rPr>
        <w:t>ICR</w:t>
      </w:r>
      <w:r w:rsidRPr="00722E5F">
        <w:rPr>
          <w:sz w:val="22"/>
          <w:szCs w:val="22"/>
        </w:rPr>
        <w:t xml:space="preserve"> addresses the following </w:t>
      </w:r>
      <w:r w:rsidR="004473A7" w:rsidRPr="00722E5F">
        <w:rPr>
          <w:sz w:val="22"/>
          <w:szCs w:val="22"/>
        </w:rPr>
        <w:t xml:space="preserve">changes in </w:t>
      </w:r>
      <w:r w:rsidRPr="00722E5F">
        <w:rPr>
          <w:sz w:val="22"/>
          <w:szCs w:val="22"/>
        </w:rPr>
        <w:t>information requirements</w:t>
      </w:r>
      <w:r w:rsidR="00743959" w:rsidRPr="00722E5F">
        <w:rPr>
          <w:sz w:val="22"/>
          <w:szCs w:val="22"/>
        </w:rPr>
        <w:t xml:space="preserve"> </w:t>
      </w:r>
      <w:r w:rsidR="00ED75EE" w:rsidRPr="00722E5F">
        <w:rPr>
          <w:sz w:val="22"/>
          <w:szCs w:val="22"/>
        </w:rPr>
        <w:t>associated with the</w:t>
      </w:r>
      <w:r w:rsidR="004473A7" w:rsidRPr="00722E5F">
        <w:rPr>
          <w:sz w:val="22"/>
          <w:szCs w:val="22"/>
        </w:rPr>
        <w:t xml:space="preserve"> CCR Remand Rule provisions and with anticipated adoption of flexibilities under the WIIN Act by states</w:t>
      </w:r>
      <w:r w:rsidR="00743959" w:rsidRPr="00722E5F">
        <w:rPr>
          <w:sz w:val="22"/>
          <w:szCs w:val="22"/>
        </w:rPr>
        <w:t xml:space="preserve">: </w:t>
      </w:r>
    </w:p>
    <w:p w:rsidR="00B363CD" w:rsidRDefault="00B363CD" w:rsidP="00B363CD">
      <w:pPr>
        <w:widowControl/>
        <w:adjustRightInd/>
        <w:spacing w:after="160" w:line="259" w:lineRule="auto"/>
        <w:rPr>
          <w:rStyle w:val="SubtleEmphasis"/>
          <w:color w:val="auto"/>
          <w:sz w:val="22"/>
        </w:rPr>
      </w:pPr>
      <w:r>
        <w:rPr>
          <w:rStyle w:val="SubtleEmphasis"/>
          <w:color w:val="auto"/>
          <w:sz w:val="22"/>
        </w:rPr>
        <w:br w:type="page"/>
      </w:r>
    </w:p>
    <w:p w:rsidR="00632601" w:rsidRPr="00722E5F" w:rsidRDefault="00EE4512" w:rsidP="00B363CD">
      <w:pPr>
        <w:widowControl/>
        <w:spacing w:after="120"/>
        <w:rPr>
          <w:rStyle w:val="SubtleEmphasis"/>
          <w:color w:val="auto"/>
          <w:sz w:val="22"/>
        </w:rPr>
      </w:pPr>
      <w:r w:rsidRPr="00722E5F">
        <w:rPr>
          <w:rStyle w:val="SubtleEmphasis"/>
          <w:color w:val="auto"/>
          <w:sz w:val="22"/>
        </w:rPr>
        <w:lastRenderedPageBreak/>
        <w:t xml:space="preserve">Changes in notification </w:t>
      </w:r>
      <w:r w:rsidR="00AE760A" w:rsidRPr="00722E5F">
        <w:rPr>
          <w:rStyle w:val="SubtleEmphasis"/>
          <w:color w:val="auto"/>
          <w:sz w:val="22"/>
        </w:rPr>
        <w:t xml:space="preserve">and documentation </w:t>
      </w:r>
      <w:r w:rsidRPr="00722E5F">
        <w:rPr>
          <w:rStyle w:val="SubtleEmphasis"/>
          <w:color w:val="auto"/>
          <w:sz w:val="22"/>
        </w:rPr>
        <w:t>for minimal volume non-groundwater releases</w:t>
      </w:r>
      <w:r w:rsidR="00AE760A" w:rsidRPr="00722E5F">
        <w:rPr>
          <w:rStyle w:val="SubtleEmphasis"/>
          <w:color w:val="auto"/>
          <w:sz w:val="22"/>
        </w:rPr>
        <w:t>, site specific remedies</w:t>
      </w:r>
    </w:p>
    <w:p w:rsidR="007B2540" w:rsidRPr="00722E5F" w:rsidRDefault="00EC2083" w:rsidP="00B363CD">
      <w:pPr>
        <w:pStyle w:val="ListParagraph"/>
        <w:widowControl/>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b/>
          <w:sz w:val="22"/>
          <w:szCs w:val="22"/>
        </w:rPr>
        <w:t xml:space="preserve">CCR Remand Rule </w:t>
      </w:r>
      <w:r w:rsidR="003303BF" w:rsidRPr="00722E5F">
        <w:rPr>
          <w:b/>
          <w:sz w:val="22"/>
          <w:szCs w:val="22"/>
        </w:rPr>
        <w:t xml:space="preserve">Provision 1: Non-groundwater Releases: </w:t>
      </w:r>
      <w:r w:rsidR="003303BF" w:rsidRPr="00722E5F">
        <w:rPr>
          <w:sz w:val="22"/>
          <w:szCs w:val="22"/>
        </w:rPr>
        <w:t xml:space="preserve"> </w:t>
      </w:r>
      <w:r w:rsidR="00EE4512" w:rsidRPr="00722E5F">
        <w:rPr>
          <w:sz w:val="22"/>
          <w:szCs w:val="22"/>
        </w:rPr>
        <w:t>Revise notification and certification requirements for minimal-volume non-groundwat</w:t>
      </w:r>
      <w:r w:rsidR="0056383D" w:rsidRPr="00722E5F">
        <w:rPr>
          <w:sz w:val="22"/>
          <w:szCs w:val="22"/>
        </w:rPr>
        <w:t>er releases under 40 CFR 257.96 and 40 CFR 257.97</w:t>
      </w:r>
    </w:p>
    <w:p w:rsidR="00AE760A" w:rsidRPr="00722E5F" w:rsidRDefault="00EC2083" w:rsidP="00B363CD">
      <w:pPr>
        <w:pStyle w:val="ListParagraph"/>
        <w:widowControl/>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b/>
          <w:sz w:val="22"/>
          <w:szCs w:val="22"/>
        </w:rPr>
        <w:t xml:space="preserve">WIIN Act </w:t>
      </w:r>
      <w:r w:rsidR="003303BF" w:rsidRPr="00722E5F">
        <w:rPr>
          <w:b/>
          <w:sz w:val="22"/>
          <w:szCs w:val="22"/>
        </w:rPr>
        <w:t>Alternative Performance Standard 2: Corrective Action Remedy:</w:t>
      </w:r>
      <w:r w:rsidR="003303BF" w:rsidRPr="00722E5F">
        <w:rPr>
          <w:sz w:val="22"/>
          <w:szCs w:val="22"/>
        </w:rPr>
        <w:t xml:space="preserve"> </w:t>
      </w:r>
      <w:r w:rsidR="00AE760A" w:rsidRPr="00722E5F">
        <w:rPr>
          <w:sz w:val="22"/>
          <w:szCs w:val="22"/>
        </w:rPr>
        <w:t>Eliminates documentation related to 40 CFR 257.97 and 40 CFR 257.98 in cases where states determine that remediation of a release is not necessary based on site-specific conditions</w:t>
      </w:r>
    </w:p>
    <w:p w:rsidR="00632601" w:rsidRPr="00722E5F" w:rsidRDefault="0056383D" w:rsidP="00B363CD">
      <w:pPr>
        <w:widowControl/>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i/>
          <w:sz w:val="22"/>
          <w:szCs w:val="22"/>
        </w:rPr>
      </w:pPr>
      <w:r w:rsidRPr="00722E5F">
        <w:rPr>
          <w:rStyle w:val="SubtleEmphasis"/>
          <w:color w:val="auto"/>
          <w:sz w:val="22"/>
          <w:szCs w:val="22"/>
        </w:rPr>
        <w:t xml:space="preserve">Expand </w:t>
      </w:r>
      <w:r w:rsidR="00350D8E" w:rsidRPr="00722E5F">
        <w:rPr>
          <w:rStyle w:val="SubtleEmphasis"/>
          <w:color w:val="auto"/>
          <w:sz w:val="22"/>
          <w:szCs w:val="22"/>
        </w:rPr>
        <w:t>a</w:t>
      </w:r>
      <w:r w:rsidRPr="00722E5F">
        <w:rPr>
          <w:rStyle w:val="SubtleEmphasis"/>
          <w:color w:val="auto"/>
          <w:sz w:val="22"/>
          <w:szCs w:val="22"/>
        </w:rPr>
        <w:t xml:space="preserve">lternative </w:t>
      </w:r>
      <w:r w:rsidR="00350D8E" w:rsidRPr="00722E5F">
        <w:rPr>
          <w:rStyle w:val="SubtleEmphasis"/>
          <w:color w:val="auto"/>
          <w:sz w:val="22"/>
          <w:szCs w:val="22"/>
        </w:rPr>
        <w:t>c</w:t>
      </w:r>
      <w:r w:rsidRPr="00722E5F">
        <w:rPr>
          <w:rStyle w:val="SubtleEmphasis"/>
          <w:color w:val="auto"/>
          <w:sz w:val="22"/>
          <w:szCs w:val="22"/>
        </w:rPr>
        <w:t>losure provisions to qualifying pla</w:t>
      </w:r>
      <w:r w:rsidR="00AE760A" w:rsidRPr="00722E5F">
        <w:rPr>
          <w:rStyle w:val="SubtleEmphasis"/>
          <w:color w:val="auto"/>
          <w:sz w:val="22"/>
          <w:szCs w:val="22"/>
        </w:rPr>
        <w:t>nts for non-CCR wastes</w:t>
      </w:r>
    </w:p>
    <w:p w:rsidR="007B2540" w:rsidRPr="00722E5F" w:rsidRDefault="00EC2083" w:rsidP="00B363CD">
      <w:pPr>
        <w:pStyle w:val="ListParagraph"/>
        <w:widowControl/>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b/>
          <w:sz w:val="22"/>
          <w:szCs w:val="22"/>
        </w:rPr>
        <w:t xml:space="preserve">CCR Remand Rule Additional Provision 1: Alternative Closure Requirements: </w:t>
      </w:r>
      <w:r w:rsidR="00AE760A" w:rsidRPr="00722E5F">
        <w:rPr>
          <w:sz w:val="22"/>
          <w:szCs w:val="22"/>
        </w:rPr>
        <w:t>Qualifying plants may submit documentation for delay; delay final closure documentation required under 40.257.102, 40. 257.103 for five years</w:t>
      </w:r>
      <w:r w:rsidR="007B2540" w:rsidRPr="00722E5F">
        <w:rPr>
          <w:sz w:val="22"/>
          <w:szCs w:val="22"/>
        </w:rPr>
        <w:t>.</w:t>
      </w:r>
    </w:p>
    <w:p w:rsidR="00632601" w:rsidRPr="00722E5F" w:rsidRDefault="00AE760A" w:rsidP="00B363CD">
      <w:pPr>
        <w:widowControl/>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rStyle w:val="SubtleEmphasis"/>
          <w:color w:val="auto"/>
          <w:sz w:val="22"/>
        </w:rPr>
      </w:pPr>
      <w:r w:rsidRPr="00722E5F">
        <w:rPr>
          <w:rStyle w:val="SubtleEmphasis"/>
          <w:color w:val="auto"/>
          <w:sz w:val="22"/>
        </w:rPr>
        <w:t>Revise groundwater monitoring documentation for qualifying facilities</w:t>
      </w:r>
    </w:p>
    <w:p w:rsidR="003C6D62" w:rsidRPr="00722E5F" w:rsidRDefault="00EC2083" w:rsidP="00B363CD">
      <w:pPr>
        <w:pStyle w:val="ListParagraph"/>
        <w:widowControl/>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b/>
          <w:sz w:val="22"/>
          <w:szCs w:val="22"/>
        </w:rPr>
        <w:t>WIIN Act Alternative Performance Standard 3: Suspension of Groundwater Monitoring Requirements:</w:t>
      </w:r>
      <w:r w:rsidRPr="00722E5F">
        <w:rPr>
          <w:sz w:val="22"/>
          <w:szCs w:val="22"/>
        </w:rPr>
        <w:t xml:space="preserve"> </w:t>
      </w:r>
      <w:r w:rsidR="00AE760A" w:rsidRPr="00722E5F">
        <w:rPr>
          <w:sz w:val="22"/>
          <w:szCs w:val="22"/>
        </w:rPr>
        <w:t xml:space="preserve">Suspend </w:t>
      </w:r>
      <w:r w:rsidR="00350D8E" w:rsidRPr="00722E5F">
        <w:rPr>
          <w:sz w:val="22"/>
          <w:szCs w:val="22"/>
        </w:rPr>
        <w:t xml:space="preserve">documentation </w:t>
      </w:r>
      <w:r w:rsidR="00AE760A" w:rsidRPr="00722E5F">
        <w:rPr>
          <w:sz w:val="22"/>
          <w:szCs w:val="22"/>
        </w:rPr>
        <w:t xml:space="preserve">requirements under 40 CFR </w:t>
      </w:r>
      <w:r w:rsidR="00350D8E" w:rsidRPr="00722E5F">
        <w:rPr>
          <w:sz w:val="22"/>
          <w:szCs w:val="22"/>
        </w:rPr>
        <w:t>257.90 through 98 in implementing states for units demonstrating “no migration.”</w:t>
      </w:r>
    </w:p>
    <w:p w:rsidR="00EC1762" w:rsidRPr="00722E5F" w:rsidRDefault="00EC1762" w:rsidP="00B363CD">
      <w:pPr>
        <w:widowControl/>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i/>
          <w:sz w:val="22"/>
          <w:szCs w:val="22"/>
        </w:rPr>
      </w:pPr>
      <w:r w:rsidRPr="00722E5F">
        <w:rPr>
          <w:i/>
          <w:sz w:val="22"/>
          <w:szCs w:val="22"/>
        </w:rPr>
        <w:t xml:space="preserve">Third-Party Certification: Professional Engineer Certifications </w:t>
      </w:r>
    </w:p>
    <w:p w:rsidR="00EC1762" w:rsidRPr="00722E5F" w:rsidRDefault="006C71EC" w:rsidP="00B363CD">
      <w:pPr>
        <w:pStyle w:val="ListParagraph"/>
        <w:widowControl/>
        <w:numPr>
          <w:ilvl w:val="0"/>
          <w:numId w:val="6"/>
        </w:numPr>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b/>
          <w:sz w:val="22"/>
          <w:szCs w:val="22"/>
        </w:rPr>
        <w:t xml:space="preserve">WIIN Act Alternative Performance Standard 6: Professional Engineer Certifications: </w:t>
      </w:r>
      <w:r w:rsidR="00EC1762" w:rsidRPr="00722E5F">
        <w:rPr>
          <w:sz w:val="22"/>
          <w:szCs w:val="22"/>
        </w:rPr>
        <w:t xml:space="preserve">Revised costs of certification for up to 40 provisions under 40 CFR 257 for eligible units in states adopting WIIN Act flexibilities that opt to use review by engineers at state agencies in place of third-party professional engineer certifications. </w:t>
      </w:r>
    </w:p>
    <w:p w:rsidR="004907CC" w:rsidRPr="00722E5F" w:rsidRDefault="004907CC" w:rsidP="00B363CD">
      <w:pPr>
        <w:widowControl/>
        <w:tabs>
          <w:tab w:val="left" w:pos="81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722E5F">
        <w:rPr>
          <w:sz w:val="22"/>
          <w:szCs w:val="22"/>
        </w:rPr>
        <w:t>Two other changes in requirements associated with WIIN Act Alternative Performance Standards will affect information collection in future</w:t>
      </w:r>
      <w:r w:rsidR="00CC6CA7">
        <w:rPr>
          <w:sz w:val="22"/>
          <w:szCs w:val="22"/>
        </w:rPr>
        <w:t xml:space="preserve"> years</w:t>
      </w:r>
      <w:r w:rsidRPr="00722E5F">
        <w:rPr>
          <w:sz w:val="22"/>
          <w:szCs w:val="22"/>
        </w:rPr>
        <w:t xml:space="preserve">, but </w:t>
      </w:r>
      <w:r w:rsidR="00CC6CA7">
        <w:rPr>
          <w:sz w:val="22"/>
          <w:szCs w:val="22"/>
        </w:rPr>
        <w:t xml:space="preserve">will </w:t>
      </w:r>
      <w:r w:rsidRPr="00722E5F">
        <w:rPr>
          <w:sz w:val="22"/>
          <w:szCs w:val="22"/>
        </w:rPr>
        <w:t>not</w:t>
      </w:r>
      <w:r w:rsidR="00CC6CA7">
        <w:rPr>
          <w:sz w:val="22"/>
          <w:szCs w:val="22"/>
        </w:rPr>
        <w:t xml:space="preserve"> take effect</w:t>
      </w:r>
      <w:r w:rsidRPr="00722E5F">
        <w:rPr>
          <w:sz w:val="22"/>
          <w:szCs w:val="22"/>
        </w:rPr>
        <w:t xml:space="preserve"> within the scope of this ICR. WIIN Act Alternative Performance Standard 4: Corrective Action Demonstration Period: Revised demonstration periods, if adopted by states, would eliminate some future documentation under 40 CFR 257.93(f)(6) for eligible units. WIIN Act Alternative Performance Standard 5: Length of Post-Closure Care Period: Revised post-closure care period would change timing of notification under 40 CFR 257.105(i)(13) and 40 CFR 257.105(i)(13) at eligible units in adopting states. Future ICRs will address the impact of these provisions.</w:t>
      </w:r>
    </w:p>
    <w:p w:rsidR="00743959" w:rsidRPr="00722E5F" w:rsidRDefault="00743959" w:rsidP="00B363C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sz w:val="22"/>
          <w:szCs w:val="22"/>
        </w:rPr>
      </w:pPr>
      <w:r w:rsidRPr="00722E5F">
        <w:rPr>
          <w:b/>
          <w:sz w:val="22"/>
          <w:szCs w:val="22"/>
        </w:rPr>
        <w:t>2.</w:t>
      </w:r>
      <w:r w:rsidRPr="00722E5F">
        <w:rPr>
          <w:b/>
          <w:sz w:val="22"/>
          <w:szCs w:val="22"/>
        </w:rPr>
        <w:tab/>
        <w:t>NEED FOR AND USE OF THE COLLECTION</w:t>
      </w:r>
    </w:p>
    <w:p w:rsidR="00743959" w:rsidRPr="00722E5F" w:rsidRDefault="0074395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sz w:val="22"/>
          <w:szCs w:val="22"/>
        </w:rPr>
      </w:pPr>
      <w:r w:rsidRPr="00722E5F">
        <w:rPr>
          <w:b/>
          <w:sz w:val="22"/>
          <w:szCs w:val="22"/>
        </w:rPr>
        <w:t>2(a)</w:t>
      </w:r>
      <w:r w:rsidRPr="00722E5F">
        <w:rPr>
          <w:b/>
          <w:sz w:val="22"/>
          <w:szCs w:val="22"/>
        </w:rPr>
        <w:tab/>
        <w:t>Need/Authority for the Collection</w:t>
      </w:r>
    </w:p>
    <w:p w:rsidR="002A6AD5" w:rsidRPr="00722E5F" w:rsidRDefault="002A6AD5" w:rsidP="00B363CD">
      <w:pPr>
        <w:widowControl/>
        <w:spacing w:after="120"/>
        <w:ind w:firstLine="720"/>
        <w:rPr>
          <w:sz w:val="22"/>
          <w:szCs w:val="22"/>
        </w:rPr>
      </w:pPr>
      <w:r w:rsidRPr="00722E5F">
        <w:rPr>
          <w:sz w:val="22"/>
          <w:szCs w:val="22"/>
        </w:rPr>
        <w:t>The CCR rule regulates the disposal of CCR generated by electric utilities as solid waste under RCRA Subtitle D and finalizes national minimum criteria for existing and new CCR landfills and existing and new CCR surface impoundments and all lateral expansions. These regulations are established under the authority of sections 1006(b), 1008(a), 2002(a), 3001, 4004, and 4005(a) of the Solid Waste Disposal Act of 1970, as amended by the Resource Conservation and Recovery Act of 1976 (RCRA), as amended by the Hazardous and Solid Waste Amendments of 1984 (HSWA), 42 U.S.C. §§ 6906(b), 6907(a), 6912(a), 6944 and 6945(a).</w:t>
      </w:r>
    </w:p>
    <w:p w:rsidR="002A6AD5" w:rsidRPr="00722E5F" w:rsidRDefault="002A6AD5" w:rsidP="00B363CD">
      <w:pPr>
        <w:widowControl/>
        <w:spacing w:after="120"/>
        <w:ind w:firstLine="720"/>
        <w:rPr>
          <w:sz w:val="22"/>
          <w:szCs w:val="22"/>
        </w:rPr>
      </w:pPr>
      <w:r w:rsidRPr="00722E5F">
        <w:rPr>
          <w:sz w:val="22"/>
          <w:szCs w:val="22"/>
        </w:rPr>
        <w:t xml:space="preserve">At the time the CCR regulations issued on April 17, 2015, under Subtitle D of RCRA EPA had no formal role in rule implementation nor could the agency enforce the requirements in the rule. Therefore, the regulations were “self-implementing,” that is, a facility must comply with them without any action by a regulatory agency. As a result, EPA also encouraged states to revise their Solid Waste Management Plans (SWMPs) and submit these revisions to EPA for approval. EPA explained that revised SWMPs were the best mechanisms available to show alignment between state and federal requirements, </w:t>
      </w:r>
      <w:r w:rsidRPr="00722E5F">
        <w:rPr>
          <w:sz w:val="22"/>
          <w:szCs w:val="22"/>
        </w:rPr>
        <w:lastRenderedPageBreak/>
        <w:t>provide the public the opportunity to review and comment on states’ plans for regulating CCR landfills and surface impoundments in their state, and to demonstrate consistency with the federal requirements.</w:t>
      </w:r>
    </w:p>
    <w:p w:rsidR="002A6AD5" w:rsidRPr="00722E5F" w:rsidRDefault="002A6AD5" w:rsidP="00B363CD">
      <w:pPr>
        <w:widowControl/>
        <w:spacing w:after="120"/>
        <w:ind w:firstLine="720"/>
        <w:rPr>
          <w:sz w:val="22"/>
          <w:szCs w:val="22"/>
        </w:rPr>
      </w:pPr>
      <w:r w:rsidRPr="00722E5F">
        <w:rPr>
          <w:sz w:val="22"/>
          <w:szCs w:val="22"/>
        </w:rPr>
        <w:t>To address concerns about the absence of adequate regulatory oversight under Subtitle D, EPA also sought to enhance the protectiveness of the regulatory requirements by providing for state and public notifications of the third party certifications, as well as requiring a robust set of other information that documents the decisions made or actions taken to comply with the technical requirements of the rule.</w:t>
      </w:r>
    </w:p>
    <w:p w:rsidR="002A6AD5" w:rsidRPr="00722E5F" w:rsidRDefault="002A6AD5" w:rsidP="00B363CD">
      <w:pPr>
        <w:widowControl/>
        <w:spacing w:after="120"/>
        <w:ind w:firstLine="720"/>
        <w:rPr>
          <w:sz w:val="22"/>
          <w:szCs w:val="22"/>
        </w:rPr>
      </w:pPr>
      <w:r w:rsidRPr="00722E5F">
        <w:rPr>
          <w:sz w:val="22"/>
          <w:szCs w:val="22"/>
        </w:rPr>
        <w:t>The combined mechanisms of recordkeeping, notifications, and maintaining a publicly accessible internet site under the final rule are needed to provide interested parties with the information necessary to determine whether the owner or operator is operating in accordance with the requirements of the rule. These requirements will minimize the danger of owners or operators abusing the self-implementing system established in this rule, through increased transparency that will facilitate enforcement by states and private citizens. EPA has consolidated the recordkeeping, notification and internet posting requirements into a single section of the regulations in an effort to make the regulations easier to follow. See 40 CFR §§ 257.105, 257.106, and 257.107.</w:t>
      </w:r>
    </w:p>
    <w:p w:rsidR="002A6AD5" w:rsidRPr="00722E5F" w:rsidRDefault="002A6AD5" w:rsidP="00B363CD">
      <w:pPr>
        <w:widowControl/>
        <w:spacing w:after="120"/>
        <w:ind w:firstLine="720"/>
        <w:rPr>
          <w:sz w:val="22"/>
          <w:szCs w:val="22"/>
        </w:rPr>
      </w:pPr>
      <w:r w:rsidRPr="00722E5F">
        <w:rPr>
          <w:sz w:val="22"/>
          <w:szCs w:val="22"/>
        </w:rPr>
        <w:t>With the passage of the WIIN Act in December 2016, RCRA Subtitle D was amended to provide new statutory authority pertaining to the management of CCR in landfills and surface impoundments. The WIIN Act allows states may, but are not required to, develop and submit a CCR permit program (or other system of prior approval) to EPA for approval. Such a program does not have to be identical to the requirements in the CCR rule (40 CFR part 257, subpart D), but must be at least as protective as the CCR rule. EPA is developing a Guidance document to provide states with the information needed to apply for permit program approval.</w:t>
      </w:r>
    </w:p>
    <w:p w:rsidR="00743959" w:rsidRPr="00722E5F" w:rsidRDefault="002A6AD5" w:rsidP="00B363CD">
      <w:pPr>
        <w:widowControl/>
        <w:spacing w:after="120"/>
        <w:ind w:firstLine="720"/>
        <w:rPr>
          <w:sz w:val="22"/>
          <w:szCs w:val="22"/>
        </w:rPr>
      </w:pPr>
      <w:r w:rsidRPr="00722E5F">
        <w:rPr>
          <w:sz w:val="22"/>
          <w:szCs w:val="22"/>
        </w:rPr>
        <w:t>The CCR Remand Rule, as well as implementation of flexibilities under the WIIN Act, adjusts several of the closure, monitoring, corrective action, and certification requirements of the 2015 CCR Rule. This ICR describes those changes.</w:t>
      </w:r>
    </w:p>
    <w:p w:rsidR="00743959" w:rsidRPr="00722E5F" w:rsidRDefault="0074395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722E5F">
        <w:rPr>
          <w:b/>
          <w:bCs/>
          <w:sz w:val="22"/>
          <w:szCs w:val="22"/>
        </w:rPr>
        <w:t>2(b)</w:t>
      </w:r>
      <w:r w:rsidRPr="00722E5F">
        <w:rPr>
          <w:b/>
          <w:bCs/>
          <w:sz w:val="22"/>
          <w:szCs w:val="22"/>
        </w:rPr>
        <w:tab/>
        <w:t>Use/Users of the Data</w:t>
      </w:r>
    </w:p>
    <w:p w:rsidR="002A6AD5" w:rsidRPr="00722E5F"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iCs/>
          <w:sz w:val="22"/>
          <w:szCs w:val="22"/>
        </w:rPr>
      </w:pPr>
      <w:r w:rsidRPr="00722E5F">
        <w:rPr>
          <w:bCs/>
          <w:iCs/>
          <w:sz w:val="22"/>
          <w:szCs w:val="22"/>
        </w:rPr>
        <w:t xml:space="preserve">The CCR Remand Rule adjusts certain provisions of the 2015 CCR Rule, which requires owners or operators of CCR units to document how the various provisions of the rule have been met by placing information (e.g., demonstrations, plans, records, notifications, and reports) in the operating record and providing notification of these actions to the state and/or appropriate Tribal authority. The owner or operator is also required to establish and maintain a publicly accessible internet site that posts documentation that has, in many instances, also been entered into the operating record. The owner or operator must place files documenting compliance with the location restrictions; design criteria; operating criteria; groundwater monitoring and corrective action; closure and post-closure care, into the operating record, with the specific documentation requirements found in 40 CFR 257.105. Each file must be maintained in the operating record for a period of at least five years following submittal of the file into the operating record. In certain instances, however, files must be maintained until the CCR unit completes closure. </w:t>
      </w:r>
    </w:p>
    <w:p w:rsidR="002A6AD5" w:rsidRPr="00722E5F"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iCs/>
          <w:sz w:val="22"/>
          <w:szCs w:val="22"/>
        </w:rPr>
      </w:pPr>
      <w:r w:rsidRPr="00722E5F">
        <w:rPr>
          <w:bCs/>
          <w:iCs/>
          <w:sz w:val="22"/>
          <w:szCs w:val="22"/>
        </w:rPr>
        <w:t xml:space="preserve">Owners or operators are required to notify State Directors and/or the appropriate Tribal authority when specific documentation has been placed in the operating record and on the owner or operator’s publicly accessible web site. In most instances these notifications must be certified by a qualified professional engineer and, in certain instances will be accompanied with additional information and or data supporting the notification. Notification requirements have been consolidated in 40 CFR 257.106, and are required for location criteria, design criteria, operating criteria, groundwater monitoring and corrective action and closure and post-closure care. </w:t>
      </w:r>
    </w:p>
    <w:p w:rsidR="002A6AD5" w:rsidRPr="00660897"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iCs/>
          <w:sz w:val="22"/>
          <w:szCs w:val="22"/>
        </w:rPr>
      </w:pPr>
      <w:r w:rsidRPr="00660897">
        <w:rPr>
          <w:bCs/>
          <w:iCs/>
          <w:sz w:val="22"/>
          <w:szCs w:val="22"/>
        </w:rPr>
        <w:t>Owners and operators are required to establish and maintain a publicly accessible internet site, titled “CCR Rule Compliance Data and Information.” Owners or operators that maintain multiple CCR units may elect to use one internet site in order to comply with these requirements, provided that the website clearly and distinctly identifies information from each of the CCR units by name and location. Internet postings are required for various elements identified in the following sections: location restrictions; design criteria; operating criteria; groundwater monitoring and corrective action; closure and post-closure care. Information posted to the internet site must be available for a period no less than five years from the initial posting date, unless otherwise noted in the rule. Posting of information must be completed no later than 30 days from submittal of the information to the operating record.</w:t>
      </w:r>
    </w:p>
    <w:p w:rsidR="002A6AD5" w:rsidRPr="00660897"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Cs/>
          <w:iCs/>
          <w:sz w:val="22"/>
          <w:szCs w:val="22"/>
        </w:rPr>
      </w:pPr>
      <w:r w:rsidRPr="00660897">
        <w:rPr>
          <w:bCs/>
          <w:iCs/>
          <w:sz w:val="22"/>
          <w:szCs w:val="22"/>
        </w:rPr>
        <w:t>EPA believes that these requirements will enhance the protectiveness of the rule by providing for state and public notifications of the third party certifications, as well as requiring a robust set of other information that documents the decisions made or actions taken to comply with the technical requirements of the rule. Further, EPA believes that the establishment and maintenance of this information in both the operating record and on a publicly accessible internet site is appropriate so as to allow states and citizens access to all of the information necessary to show that the rule has been implemented in accordance with the regulatory requirements. EPA has consolidated the recordkeeping and notification requirements into a comprehensive listing in a single section of the regulations. See 40 CFR §§ 257.105 and 257.106, respectively. The Agency anticipates that this will facilitate compliance, and will provide other interested parties with an easy to read guide to the reporting provisions of the rule.</w:t>
      </w:r>
    </w:p>
    <w:p w:rsidR="00743959" w:rsidRPr="00660897"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660897">
        <w:rPr>
          <w:bCs/>
          <w:iCs/>
          <w:sz w:val="22"/>
          <w:szCs w:val="22"/>
        </w:rPr>
        <w:t>With the passage of the WIIN Act in December 2016, RCRA Subtitle D was amended to provide new statutory authority pertaining to the management of CCR in landfills and surface impoundments. The WIIN Act allows states to seek CCR permit program approval from EPA. This ICR covers the voluntary action that states may take to obtain CCR permit program approval and implement flexibilities under the WIIN Act. EPA is developing a Guidance document to provide states with the information needed to apply for permit program approval. If a state elects to pursue program approval, the information provided by the state will allow EPA to assess and determine whether the state submission meets the statutory requirements.</w:t>
      </w:r>
    </w:p>
    <w:p w:rsidR="00743959" w:rsidRPr="00660897" w:rsidRDefault="0074395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660897">
        <w:rPr>
          <w:b/>
          <w:bCs/>
          <w:sz w:val="22"/>
          <w:szCs w:val="22"/>
        </w:rPr>
        <w:t>3.</w:t>
      </w:r>
      <w:r w:rsidRPr="00660897">
        <w:rPr>
          <w:b/>
          <w:bCs/>
          <w:sz w:val="22"/>
          <w:szCs w:val="22"/>
        </w:rPr>
        <w:tab/>
        <w:t>NONDUPLICATION, CONSULTATIONS, AND OTHER COLLECTION CRITERIA</w:t>
      </w:r>
    </w:p>
    <w:p w:rsidR="00743959" w:rsidRPr="00660897" w:rsidRDefault="0074395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660897">
        <w:rPr>
          <w:b/>
          <w:bCs/>
          <w:sz w:val="22"/>
          <w:szCs w:val="22"/>
        </w:rPr>
        <w:t>3(a)</w:t>
      </w:r>
      <w:r w:rsidRPr="00660897">
        <w:rPr>
          <w:b/>
          <w:bCs/>
          <w:sz w:val="22"/>
          <w:szCs w:val="22"/>
        </w:rPr>
        <w:tab/>
        <w:t>Nonduplication</w:t>
      </w:r>
    </w:p>
    <w:p w:rsidR="002A6AD5" w:rsidRPr="00660897"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660897">
        <w:rPr>
          <w:sz w:val="22"/>
          <w:szCs w:val="22"/>
        </w:rPr>
        <w:t>None of the information required by the regulations covered in this ICR is available from any source but the respondents. None of the regulations are duplicative of any other EPA regulations.</w:t>
      </w:r>
    </w:p>
    <w:p w:rsidR="00743959" w:rsidRPr="00660897" w:rsidRDefault="002A6AD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sz w:val="22"/>
          <w:szCs w:val="22"/>
        </w:rPr>
      </w:pPr>
      <w:r w:rsidRPr="00660897">
        <w:rPr>
          <w:sz w:val="22"/>
          <w:szCs w:val="22"/>
        </w:rPr>
        <w:t>Changes to recordkeeping requirements under the CCR Remand rule are not duplicative with any information required by the existing Federal RCRA regulations.</w:t>
      </w:r>
    </w:p>
    <w:p w:rsidR="00743959" w:rsidRDefault="0074395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ind w:left="720" w:hanging="720"/>
        <w:rPr>
          <w:b/>
          <w:bCs/>
          <w:sz w:val="22"/>
          <w:szCs w:val="22"/>
        </w:rPr>
      </w:pPr>
      <w:r w:rsidRPr="00660897">
        <w:rPr>
          <w:b/>
          <w:bCs/>
          <w:sz w:val="22"/>
          <w:szCs w:val="22"/>
        </w:rPr>
        <w:t>3(b)</w:t>
      </w:r>
      <w:r w:rsidRPr="00660897">
        <w:rPr>
          <w:b/>
          <w:bCs/>
          <w:sz w:val="22"/>
          <w:szCs w:val="22"/>
        </w:rPr>
        <w:tab/>
        <w:t>Consultations</w:t>
      </w:r>
    </w:p>
    <w:p w:rsidR="00284189" w:rsidRPr="00916E50" w:rsidRDefault="00284189"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ind w:left="720" w:hanging="720"/>
        <w:rPr>
          <w:bCs/>
          <w:sz w:val="22"/>
          <w:szCs w:val="22"/>
        </w:rPr>
      </w:pPr>
      <w:r w:rsidRPr="00916E50">
        <w:rPr>
          <w:bCs/>
          <w:sz w:val="22"/>
          <w:szCs w:val="22"/>
        </w:rPr>
        <w:tab/>
        <w:t>EPA is opening a 45-day comment period on the proposed rule to solicit comment on the rule and associated ICR.</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b/>
          <w:bCs/>
          <w:sz w:val="22"/>
          <w:szCs w:val="22"/>
        </w:rPr>
      </w:pPr>
      <w:r w:rsidRPr="00660897">
        <w:rPr>
          <w:b/>
          <w:bCs/>
          <w:sz w:val="22"/>
          <w:szCs w:val="22"/>
        </w:rPr>
        <w:t>3(c)</w:t>
      </w:r>
      <w:r w:rsidRPr="00660897">
        <w:rPr>
          <w:b/>
          <w:bCs/>
          <w:sz w:val="22"/>
          <w:szCs w:val="22"/>
        </w:rPr>
        <w:tab/>
        <w:t>Public Notice</w:t>
      </w:r>
    </w:p>
    <w:p w:rsidR="00226FBF" w:rsidRPr="00226FBF" w:rsidRDefault="00226FBF" w:rsidP="00226FBF">
      <w:pPr>
        <w:ind w:firstLine="720"/>
        <w:jc w:val="both"/>
        <w:rPr>
          <w:sz w:val="22"/>
          <w:szCs w:val="22"/>
        </w:rPr>
      </w:pPr>
      <w:r w:rsidRPr="00226FBF">
        <w:rPr>
          <w:sz w:val="22"/>
          <w:szCs w:val="22"/>
        </w:rPr>
        <w:t xml:space="preserve">In compliance with the Paperwork Reduction Act of 1995, EPA will open a public comment period </w:t>
      </w:r>
      <w:r>
        <w:rPr>
          <w:sz w:val="22"/>
          <w:szCs w:val="22"/>
        </w:rPr>
        <w:t xml:space="preserve">for the ICR </w:t>
      </w:r>
      <w:r w:rsidRPr="00226FBF">
        <w:rPr>
          <w:sz w:val="22"/>
          <w:szCs w:val="22"/>
        </w:rPr>
        <w:t xml:space="preserve">at the time that this Proposed Rule is published in the </w:t>
      </w:r>
      <w:r w:rsidRPr="00226FBF">
        <w:rPr>
          <w:i/>
          <w:iCs/>
          <w:sz w:val="22"/>
          <w:szCs w:val="22"/>
        </w:rPr>
        <w:t>Federal Register</w:t>
      </w:r>
      <w:r w:rsidRPr="00226FBF">
        <w:rPr>
          <w:sz w:val="22"/>
          <w:szCs w:val="22"/>
        </w:rPr>
        <w:t>. At the end of the comment period, EPA will review public comments received in response to the notice and will address comments received, as appropriate.</w:t>
      </w:r>
      <w:r w:rsidR="00E9626C">
        <w:rPr>
          <w:sz w:val="22"/>
          <w:szCs w:val="22"/>
        </w:rPr>
        <w:t xml:space="preserve"> A discussion of the comments received and the associated response will be included in the ICR for the final rule.</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ind w:left="720" w:hanging="720"/>
        <w:rPr>
          <w:b/>
          <w:bCs/>
          <w:sz w:val="22"/>
          <w:szCs w:val="22"/>
        </w:rPr>
      </w:pPr>
      <w:r w:rsidRPr="00660897">
        <w:rPr>
          <w:b/>
          <w:bCs/>
          <w:sz w:val="22"/>
          <w:szCs w:val="22"/>
        </w:rPr>
        <w:t>3(d)</w:t>
      </w:r>
      <w:r w:rsidRPr="00660897">
        <w:rPr>
          <w:b/>
          <w:bCs/>
          <w:sz w:val="22"/>
          <w:szCs w:val="22"/>
        </w:rPr>
        <w:tab/>
        <w:t>Effects of Less Frequent Collection</w:t>
      </w:r>
    </w:p>
    <w:p w:rsidR="000242D2" w:rsidRPr="00660897" w:rsidRDefault="0075458B"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
          <w:bCs/>
          <w:sz w:val="22"/>
          <w:szCs w:val="22"/>
        </w:rPr>
      </w:pPr>
      <w:r w:rsidRPr="00660897">
        <w:rPr>
          <w:sz w:val="22"/>
          <w:szCs w:val="22"/>
        </w:rPr>
        <w:t xml:space="preserve">EPA has carefully considered the information collection burden imposed by the 2015 CCR rule, and the adjustments proposed by the CCR Remand Rule and flexibilities under the WIIN Act. EPA is confident that those activities required of respondents are necessary, and to the extent possible, the Agency has attempted to minimize the burden imposed. </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660897">
        <w:rPr>
          <w:b/>
          <w:bCs/>
          <w:sz w:val="22"/>
          <w:szCs w:val="22"/>
        </w:rPr>
        <w:t>3(e)</w:t>
      </w:r>
      <w:r w:rsidRPr="00660897">
        <w:rPr>
          <w:b/>
          <w:bCs/>
          <w:sz w:val="22"/>
          <w:szCs w:val="22"/>
        </w:rPr>
        <w:tab/>
        <w:t>General Guidelines</w:t>
      </w:r>
    </w:p>
    <w:p w:rsidR="000242D2" w:rsidRPr="00660897" w:rsidRDefault="0075458B"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after="120"/>
        <w:ind w:firstLine="720"/>
        <w:rPr>
          <w:b/>
          <w:bCs/>
          <w:sz w:val="22"/>
          <w:szCs w:val="22"/>
        </w:rPr>
      </w:pPr>
      <w:r w:rsidRPr="00660897">
        <w:rPr>
          <w:sz w:val="22"/>
          <w:szCs w:val="22"/>
        </w:rPr>
        <w:t xml:space="preserve">This ICR adheres to the guidelines stated in the Paperwork Reduction Act of 1995, OMB’s implementing regulations, </w:t>
      </w:r>
      <w:r w:rsidR="00E9626C">
        <w:rPr>
          <w:sz w:val="22"/>
          <w:szCs w:val="22"/>
        </w:rPr>
        <w:t xml:space="preserve">and </w:t>
      </w:r>
      <w:r w:rsidRPr="00660897">
        <w:rPr>
          <w:sz w:val="22"/>
          <w:szCs w:val="22"/>
        </w:rPr>
        <w:t>applicable OMB guidance. In addition, this information collection complies with EPA’s Data Standards and Information Quality Guidelines.</w:t>
      </w: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left" w:pos="7922"/>
        </w:tabs>
        <w:spacing w:before="240" w:after="120"/>
        <w:rPr>
          <w:sz w:val="22"/>
          <w:szCs w:val="22"/>
        </w:rPr>
      </w:pPr>
      <w:r w:rsidRPr="00660897">
        <w:rPr>
          <w:b/>
          <w:bCs/>
          <w:sz w:val="22"/>
          <w:szCs w:val="22"/>
        </w:rPr>
        <w:t>3(f)</w:t>
      </w:r>
      <w:r w:rsidRPr="00660897">
        <w:rPr>
          <w:b/>
          <w:bCs/>
          <w:sz w:val="22"/>
          <w:szCs w:val="22"/>
        </w:rPr>
        <w:tab/>
        <w:t>Confidentiality and Sensitive Questions</w:t>
      </w: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760"/>
          <w:tab w:val="left" w:pos="6480"/>
          <w:tab w:val="right" w:pos="7203"/>
        </w:tabs>
        <w:spacing w:before="240" w:after="120"/>
        <w:ind w:left="720" w:hanging="720"/>
        <w:rPr>
          <w:sz w:val="22"/>
          <w:szCs w:val="22"/>
        </w:rPr>
      </w:pPr>
      <w:r w:rsidRPr="00B230E3">
        <w:rPr>
          <w:b/>
          <w:bCs/>
          <w:sz w:val="22"/>
          <w:szCs w:val="22"/>
        </w:rPr>
        <w:t>(i)</w:t>
      </w:r>
      <w:r w:rsidRPr="00B230E3">
        <w:rPr>
          <w:b/>
          <w:bCs/>
          <w:sz w:val="22"/>
          <w:szCs w:val="22"/>
        </w:rPr>
        <w:tab/>
        <w:t>Confidentiality</w:t>
      </w:r>
    </w:p>
    <w:p w:rsidR="000242D2" w:rsidRPr="00660897" w:rsidRDefault="0075458B"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660897">
        <w:rPr>
          <w:sz w:val="22"/>
          <w:szCs w:val="22"/>
        </w:rPr>
        <w:t>None of the information collection requirements of the 2015 CCR Rule, the WIIN Act, or the CCR Remand Rule require the disclosure of confidential business information.</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b/>
          <w:bCs/>
          <w:sz w:val="22"/>
          <w:szCs w:val="22"/>
        </w:rPr>
      </w:pPr>
      <w:r w:rsidRPr="00660897">
        <w:rPr>
          <w:b/>
          <w:bCs/>
          <w:sz w:val="22"/>
          <w:szCs w:val="22"/>
        </w:rPr>
        <w:t>(ii)</w:t>
      </w:r>
      <w:r w:rsidRPr="00660897">
        <w:rPr>
          <w:b/>
          <w:bCs/>
          <w:sz w:val="22"/>
          <w:szCs w:val="22"/>
        </w:rPr>
        <w:tab/>
        <w:t>Sensitive Questions</w:t>
      </w:r>
    </w:p>
    <w:p w:rsidR="000242D2" w:rsidRPr="00660897" w:rsidRDefault="0075458B"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660897">
        <w:rPr>
          <w:sz w:val="22"/>
          <w:szCs w:val="22"/>
        </w:rPr>
        <w:t>No questions of a sensitive nature are included in any of the information collection requirements covered in this ICR.</w:t>
      </w:r>
    </w:p>
    <w:p w:rsidR="00097676" w:rsidRDefault="00097676">
      <w:pPr>
        <w:widowControl/>
        <w:adjustRightInd/>
        <w:spacing w:after="160" w:line="259" w:lineRule="auto"/>
        <w:rPr>
          <w:b/>
          <w:bCs/>
          <w:sz w:val="22"/>
          <w:szCs w:val="22"/>
        </w:rPr>
      </w:pPr>
      <w:r>
        <w:rPr>
          <w:b/>
          <w:bCs/>
          <w:sz w:val="22"/>
          <w:szCs w:val="22"/>
        </w:rPr>
        <w:br w:type="page"/>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660897">
        <w:rPr>
          <w:b/>
          <w:bCs/>
          <w:sz w:val="22"/>
          <w:szCs w:val="22"/>
        </w:rPr>
        <w:t>4.</w:t>
      </w:r>
      <w:r w:rsidRPr="00660897">
        <w:rPr>
          <w:b/>
          <w:bCs/>
          <w:sz w:val="22"/>
          <w:szCs w:val="22"/>
        </w:rPr>
        <w:tab/>
        <w:t xml:space="preserve">THE </w:t>
      </w:r>
      <w:smartTag w:uri="urn:schemas-microsoft-com:office:smarttags" w:element="stockticker">
        <w:r w:rsidRPr="00660897">
          <w:rPr>
            <w:b/>
            <w:bCs/>
            <w:sz w:val="22"/>
            <w:szCs w:val="22"/>
          </w:rPr>
          <w:t>RESP</w:t>
        </w:r>
      </w:smartTag>
      <w:r w:rsidRPr="00660897">
        <w:rPr>
          <w:b/>
          <w:bCs/>
          <w:sz w:val="22"/>
          <w:szCs w:val="22"/>
        </w:rPr>
        <w:t>O</w:t>
      </w:r>
      <w:smartTag w:uri="urn:schemas-microsoft-com:office:smarttags" w:element="stockticker">
        <w:r w:rsidRPr="00660897">
          <w:rPr>
            <w:b/>
            <w:bCs/>
            <w:sz w:val="22"/>
            <w:szCs w:val="22"/>
          </w:rPr>
          <w:t>NDE</w:t>
        </w:r>
      </w:smartTag>
      <w:r w:rsidRPr="00660897">
        <w:rPr>
          <w:b/>
          <w:bCs/>
          <w:sz w:val="22"/>
          <w:szCs w:val="22"/>
        </w:rPr>
        <w:t>NTS AND THE INFORMATION REQUESTED</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660897">
        <w:rPr>
          <w:b/>
          <w:bCs/>
          <w:sz w:val="22"/>
          <w:szCs w:val="22"/>
        </w:rPr>
        <w:t>4(a)</w:t>
      </w:r>
      <w:r w:rsidRPr="00660897">
        <w:rPr>
          <w:b/>
          <w:bCs/>
          <w:sz w:val="22"/>
          <w:szCs w:val="22"/>
        </w:rPr>
        <w:tab/>
        <w:t>Respondents/</w:t>
      </w:r>
      <w:r w:rsidR="00596C3F" w:rsidRPr="00660897">
        <w:rPr>
          <w:b/>
          <w:bCs/>
          <w:sz w:val="22"/>
          <w:szCs w:val="22"/>
        </w:rPr>
        <w:t>North American Industry Classification System (</w:t>
      </w:r>
      <w:r w:rsidRPr="00660897">
        <w:rPr>
          <w:b/>
          <w:bCs/>
          <w:sz w:val="22"/>
          <w:szCs w:val="22"/>
        </w:rPr>
        <w:t>NAICS</w:t>
      </w:r>
      <w:r w:rsidR="00596C3F" w:rsidRPr="00660897">
        <w:rPr>
          <w:b/>
          <w:bCs/>
          <w:sz w:val="22"/>
          <w:szCs w:val="22"/>
        </w:rPr>
        <w:t>)</w:t>
      </w:r>
      <w:r w:rsidRPr="00660897">
        <w:rPr>
          <w:b/>
          <w:bCs/>
          <w:sz w:val="22"/>
          <w:szCs w:val="22"/>
        </w:rPr>
        <w:t xml:space="preserve"> Codes</w:t>
      </w:r>
    </w:p>
    <w:p w:rsidR="000242D2" w:rsidRPr="00660897" w:rsidRDefault="0075458B"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660897">
        <w:rPr>
          <w:sz w:val="22"/>
          <w:szCs w:val="22"/>
        </w:rPr>
        <w:t>The information collection requirements covered in this ICR may affect electric utility facilities and independent power producers that fall under the North American Industry Classification System (NAICS) code 221112.</w:t>
      </w:r>
      <w:r w:rsidR="00FC63DE" w:rsidRPr="00660897">
        <w:rPr>
          <w:sz w:val="22"/>
          <w:szCs w:val="22"/>
        </w:rPr>
        <w:t xml:space="preserve"> </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b/>
          <w:bCs/>
          <w:sz w:val="22"/>
          <w:szCs w:val="22"/>
        </w:rPr>
      </w:pPr>
      <w:r w:rsidRPr="00660897">
        <w:rPr>
          <w:b/>
          <w:bCs/>
          <w:sz w:val="22"/>
          <w:szCs w:val="22"/>
        </w:rPr>
        <w:t>4(b)</w:t>
      </w:r>
      <w:r w:rsidRPr="00660897">
        <w:rPr>
          <w:b/>
          <w:bCs/>
          <w:sz w:val="22"/>
          <w:szCs w:val="22"/>
        </w:rPr>
        <w:tab/>
        <w:t>Information Requested</w:t>
      </w:r>
    </w:p>
    <w:p w:rsidR="000242D2" w:rsidRPr="00660897" w:rsidRDefault="00A54A71"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660897">
        <w:rPr>
          <w:sz w:val="22"/>
          <w:szCs w:val="22"/>
        </w:rPr>
        <w:t>The CCR Remand Rule, as well as implementation of flexibilities under the WIIN Act, adjusts several of the information requirements associated with closure, monitoring, corrective action, and certification requirements of the 2015 CCR Rule</w:t>
      </w:r>
      <w:r w:rsidR="009015D2">
        <w:rPr>
          <w:sz w:val="22"/>
          <w:szCs w:val="22"/>
        </w:rPr>
        <w:t>, as described below</w:t>
      </w:r>
      <w:r w:rsidRPr="00660897">
        <w:rPr>
          <w:sz w:val="22"/>
          <w:szCs w:val="22"/>
        </w:rPr>
        <w:t xml:space="preserve">. </w:t>
      </w:r>
    </w:p>
    <w:p w:rsidR="00680175" w:rsidRPr="00660897" w:rsidRDefault="00680175"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660897">
        <w:rPr>
          <w:b/>
          <w:bCs/>
          <w:sz w:val="22"/>
          <w:szCs w:val="22"/>
        </w:rPr>
        <w:t>(i)</w:t>
      </w:r>
      <w:r w:rsidRPr="00660897">
        <w:rPr>
          <w:b/>
          <w:bCs/>
          <w:sz w:val="22"/>
          <w:szCs w:val="22"/>
        </w:rPr>
        <w:tab/>
        <w:t>Data Items</w:t>
      </w:r>
    </w:p>
    <w:p w:rsidR="000242D2" w:rsidRPr="00660897" w:rsidRDefault="00654A80"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ind w:firstLine="720"/>
        <w:rPr>
          <w:sz w:val="22"/>
          <w:szCs w:val="22"/>
        </w:rPr>
      </w:pPr>
      <w:r w:rsidRPr="00660897">
        <w:rPr>
          <w:sz w:val="22"/>
          <w:szCs w:val="22"/>
        </w:rPr>
        <w:t xml:space="preserve">All </w:t>
      </w:r>
      <w:r w:rsidR="00A54A71" w:rsidRPr="00660897">
        <w:rPr>
          <w:sz w:val="22"/>
          <w:szCs w:val="22"/>
        </w:rPr>
        <w:t xml:space="preserve">affected facilities </w:t>
      </w:r>
      <w:r w:rsidR="001A58D8" w:rsidRPr="00660897">
        <w:rPr>
          <w:sz w:val="22"/>
          <w:szCs w:val="22"/>
        </w:rPr>
        <w:t>will</w:t>
      </w:r>
      <w:r w:rsidRPr="00660897">
        <w:rPr>
          <w:sz w:val="22"/>
          <w:szCs w:val="22"/>
        </w:rPr>
        <w:t xml:space="preserve"> need to become familiar with the </w:t>
      </w:r>
      <w:r w:rsidR="00A54A71" w:rsidRPr="00660897">
        <w:rPr>
          <w:sz w:val="22"/>
          <w:szCs w:val="22"/>
        </w:rPr>
        <w:t>Remand</w:t>
      </w:r>
      <w:r w:rsidR="001A58D8" w:rsidRPr="00660897">
        <w:rPr>
          <w:sz w:val="22"/>
          <w:szCs w:val="22"/>
        </w:rPr>
        <w:t xml:space="preserve"> </w:t>
      </w:r>
      <w:r w:rsidRPr="00660897">
        <w:rPr>
          <w:sz w:val="22"/>
          <w:szCs w:val="22"/>
        </w:rPr>
        <w:t xml:space="preserve">rule </w:t>
      </w:r>
      <w:r w:rsidR="00A54A71" w:rsidRPr="00660897">
        <w:rPr>
          <w:sz w:val="22"/>
          <w:szCs w:val="22"/>
        </w:rPr>
        <w:t>and relevant WIIN Act provisions (in adopting states)</w:t>
      </w:r>
      <w:r w:rsidR="00B71E22" w:rsidRPr="00660897">
        <w:rPr>
          <w:sz w:val="22"/>
          <w:szCs w:val="22"/>
        </w:rPr>
        <w:t xml:space="preserve">. </w:t>
      </w:r>
      <w:r w:rsidR="00827F0B" w:rsidRPr="00660897">
        <w:rPr>
          <w:sz w:val="22"/>
          <w:szCs w:val="22"/>
        </w:rPr>
        <w:t xml:space="preserve">Qualifying facilities and units </w:t>
      </w:r>
      <w:r w:rsidR="00A54A71" w:rsidRPr="00660897">
        <w:rPr>
          <w:sz w:val="22"/>
          <w:szCs w:val="22"/>
        </w:rPr>
        <w:t xml:space="preserve">that are currently required to </w:t>
      </w:r>
      <w:r w:rsidR="00827F0B" w:rsidRPr="00660897">
        <w:rPr>
          <w:sz w:val="22"/>
          <w:szCs w:val="22"/>
        </w:rPr>
        <w:t xml:space="preserve">undertake information collection activities may see alterations in the requirements for, and timing of, some of these activities; most of these changes reduce burden. Activities potentially affected include various certification requirements, notification requirements (including </w:t>
      </w:r>
      <w:r w:rsidR="00680175" w:rsidRPr="00660897">
        <w:rPr>
          <w:sz w:val="22"/>
          <w:szCs w:val="22"/>
        </w:rPr>
        <w:t>public meeting</w:t>
      </w:r>
      <w:r w:rsidR="00827F0B" w:rsidRPr="00660897">
        <w:rPr>
          <w:sz w:val="22"/>
          <w:szCs w:val="22"/>
        </w:rPr>
        <w:t xml:space="preserve"> requirements for minimal-volume, non-groundwater releases), and documentation requirements for various activities under 40 CFR 257.</w:t>
      </w:r>
    </w:p>
    <w:p w:rsidR="000242D2" w:rsidRPr="00660897" w:rsidRDefault="00510CA7"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660897" w:rsidDel="00510CA7">
        <w:rPr>
          <w:sz w:val="22"/>
          <w:szCs w:val="22"/>
        </w:rPr>
        <w:t xml:space="preserve"> </w:t>
      </w:r>
      <w:r w:rsidR="000242D2" w:rsidRPr="00660897">
        <w:rPr>
          <w:b/>
          <w:bCs/>
          <w:sz w:val="22"/>
          <w:szCs w:val="22"/>
        </w:rPr>
        <w:t>(ii)</w:t>
      </w:r>
      <w:r w:rsidR="000242D2" w:rsidRPr="00660897">
        <w:rPr>
          <w:b/>
          <w:bCs/>
          <w:sz w:val="22"/>
          <w:szCs w:val="22"/>
        </w:rPr>
        <w:tab/>
        <w:t>Respondent Activities</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i/>
          <w:sz w:val="22"/>
          <w:szCs w:val="22"/>
        </w:rPr>
      </w:pPr>
      <w:r w:rsidRPr="00660897">
        <w:rPr>
          <w:i/>
          <w:sz w:val="22"/>
          <w:szCs w:val="22"/>
        </w:rPr>
        <w:t>Rule Familiarization</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 xml:space="preserve">All sources are expected to spend time to read and understand the </w:t>
      </w:r>
      <w:r w:rsidR="00680175" w:rsidRPr="00660897">
        <w:rPr>
          <w:sz w:val="22"/>
          <w:szCs w:val="22"/>
        </w:rPr>
        <w:t xml:space="preserve">new </w:t>
      </w:r>
      <w:r w:rsidRPr="00660897">
        <w:rPr>
          <w:sz w:val="22"/>
          <w:szCs w:val="22"/>
        </w:rPr>
        <w:t xml:space="preserve">requirements when </w:t>
      </w:r>
      <w:r w:rsidR="00680175" w:rsidRPr="00660897">
        <w:rPr>
          <w:sz w:val="22"/>
          <w:szCs w:val="22"/>
        </w:rPr>
        <w:t xml:space="preserve">the rule is promulgated. </w:t>
      </w:r>
    </w:p>
    <w:p w:rsidR="00827F0B" w:rsidRPr="00660897" w:rsidRDefault="00827F0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i/>
          <w:sz w:val="22"/>
          <w:szCs w:val="22"/>
        </w:rPr>
      </w:pPr>
      <w:r w:rsidRPr="00660897">
        <w:rPr>
          <w:i/>
          <w:sz w:val="22"/>
          <w:szCs w:val="22"/>
        </w:rPr>
        <w:t>Changes in notification and documentation for minimal volume non-groundwater releases, site specific remedies</w:t>
      </w:r>
    </w:p>
    <w:p w:rsidR="00827F0B" w:rsidRPr="00660897" w:rsidRDefault="00827F0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ab/>
      </w:r>
      <w:r w:rsidR="003303BF" w:rsidRPr="00660897">
        <w:rPr>
          <w:sz w:val="22"/>
          <w:szCs w:val="22"/>
        </w:rPr>
        <w:t>Under CCR Remand Rule</w:t>
      </w:r>
      <w:r w:rsidR="003303BF" w:rsidRPr="00660897">
        <w:t xml:space="preserve"> </w:t>
      </w:r>
      <w:r w:rsidR="003303BF" w:rsidRPr="00660897">
        <w:rPr>
          <w:sz w:val="22"/>
          <w:szCs w:val="22"/>
        </w:rPr>
        <w:t>Provision 1: Non-groundwater Releases, f</w:t>
      </w:r>
      <w:r w:rsidRPr="00660897">
        <w:rPr>
          <w:sz w:val="22"/>
          <w:szCs w:val="22"/>
        </w:rPr>
        <w:t>acilities with qualifying minimal-volume non-groundwater releases will not be required to undertake the public notification and documentation activities associated with corrective action under 40 CFR 257.96 and 40 CFR 257.97. In addition,</w:t>
      </w:r>
      <w:r w:rsidR="003303BF" w:rsidRPr="00660897">
        <w:rPr>
          <w:sz w:val="22"/>
          <w:szCs w:val="22"/>
        </w:rPr>
        <w:t xml:space="preserve"> under WIIN Act Alternative Performance Standard 2: Corrective Action Remedy, </w:t>
      </w:r>
      <w:r w:rsidRPr="00660897">
        <w:rPr>
          <w:sz w:val="22"/>
          <w:szCs w:val="22"/>
        </w:rPr>
        <w:t xml:space="preserve"> in cases where states determine that remediation of a release is not necessary based on site-specific conditions, qualifying facilities will not be required to provide documentation of corrective action activities under 40 CFR 257.97 and 40 CFR 257.98.</w:t>
      </w:r>
      <w:r w:rsidRPr="00660897">
        <w:rPr>
          <w:i/>
          <w:sz w:val="22"/>
          <w:szCs w:val="22"/>
        </w:rPr>
        <w:t xml:space="preserve"> </w:t>
      </w:r>
    </w:p>
    <w:p w:rsidR="00827F0B" w:rsidRPr="00660897" w:rsidRDefault="00827F0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i/>
          <w:sz w:val="22"/>
          <w:szCs w:val="22"/>
        </w:rPr>
      </w:pPr>
      <w:r w:rsidRPr="00660897">
        <w:rPr>
          <w:i/>
          <w:sz w:val="22"/>
          <w:szCs w:val="22"/>
        </w:rPr>
        <w:t>Expand alternative closure provisions to qualifying plants for non-CCR wastes</w:t>
      </w:r>
    </w:p>
    <w:p w:rsidR="00827F0B" w:rsidRPr="00660897" w:rsidRDefault="00EC2083"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Under CCR Remand Rule Additional Provision 1: Alternative Closure Requirements, q</w:t>
      </w:r>
      <w:r w:rsidR="00827F0B" w:rsidRPr="00660897">
        <w:rPr>
          <w:sz w:val="22"/>
          <w:szCs w:val="22"/>
        </w:rPr>
        <w:t xml:space="preserve">ualifying plants with </w:t>
      </w:r>
      <w:r w:rsidR="006C77C5" w:rsidRPr="00660897">
        <w:rPr>
          <w:sz w:val="22"/>
          <w:szCs w:val="22"/>
        </w:rPr>
        <w:t xml:space="preserve">units that would otherwise be required to close based on 40 CFR 257.103 may provide documentation demonstrating that they have </w:t>
      </w:r>
      <w:r w:rsidR="00827F0B" w:rsidRPr="00660897">
        <w:rPr>
          <w:sz w:val="22"/>
          <w:szCs w:val="22"/>
        </w:rPr>
        <w:t>no alternative disposal capacity for non-CCR wastes</w:t>
      </w:r>
      <w:r w:rsidR="00D74D88">
        <w:rPr>
          <w:sz w:val="22"/>
          <w:szCs w:val="22"/>
        </w:rPr>
        <w:t>, and m</w:t>
      </w:r>
      <w:r w:rsidR="006C77C5" w:rsidRPr="00660897">
        <w:rPr>
          <w:sz w:val="22"/>
          <w:szCs w:val="22"/>
        </w:rPr>
        <w:t xml:space="preserve">ay </w:t>
      </w:r>
      <w:r w:rsidR="00827F0B" w:rsidRPr="00660897">
        <w:rPr>
          <w:sz w:val="22"/>
          <w:szCs w:val="22"/>
        </w:rPr>
        <w:t xml:space="preserve">delay final closure </w:t>
      </w:r>
      <w:r w:rsidR="006C77C5" w:rsidRPr="00660897">
        <w:rPr>
          <w:sz w:val="22"/>
          <w:szCs w:val="22"/>
        </w:rPr>
        <w:t xml:space="preserve">requirements (and </w:t>
      </w:r>
      <w:r w:rsidR="00344477">
        <w:rPr>
          <w:sz w:val="22"/>
          <w:szCs w:val="22"/>
        </w:rPr>
        <w:t xml:space="preserve">documentation required under 40 CFR 257.102 and </w:t>
      </w:r>
      <w:r w:rsidR="00827F0B" w:rsidRPr="00660897">
        <w:rPr>
          <w:sz w:val="22"/>
          <w:szCs w:val="22"/>
        </w:rPr>
        <w:t>257.103</w:t>
      </w:r>
      <w:r w:rsidR="006C77C5" w:rsidRPr="00660897">
        <w:rPr>
          <w:sz w:val="22"/>
          <w:szCs w:val="22"/>
        </w:rPr>
        <w:t>)</w:t>
      </w:r>
      <w:r w:rsidR="00827F0B" w:rsidRPr="00660897">
        <w:rPr>
          <w:sz w:val="22"/>
          <w:szCs w:val="22"/>
        </w:rPr>
        <w:t xml:space="preserve"> for</w:t>
      </w:r>
      <w:r w:rsidR="006C77C5" w:rsidRPr="00660897">
        <w:rPr>
          <w:sz w:val="22"/>
          <w:szCs w:val="22"/>
        </w:rPr>
        <w:t xml:space="preserve"> up to </w:t>
      </w:r>
      <w:r w:rsidR="00827F0B" w:rsidRPr="00660897">
        <w:rPr>
          <w:sz w:val="22"/>
          <w:szCs w:val="22"/>
        </w:rPr>
        <w:t>five years.</w:t>
      </w:r>
    </w:p>
    <w:p w:rsidR="00827F0B" w:rsidRPr="00660897" w:rsidRDefault="00827F0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i/>
          <w:sz w:val="22"/>
          <w:szCs w:val="22"/>
        </w:rPr>
      </w:pPr>
      <w:r w:rsidRPr="00660897">
        <w:rPr>
          <w:i/>
          <w:sz w:val="22"/>
          <w:szCs w:val="22"/>
        </w:rPr>
        <w:t>Revise groundwater monitoring documentation for qualifying facilities</w:t>
      </w:r>
    </w:p>
    <w:p w:rsidR="00827F0B" w:rsidRPr="00660897" w:rsidRDefault="00EC2083"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Under WIIN Act Alternative Performance Standard 3: Suspension of Groundwater Monitoring Requirements, q</w:t>
      </w:r>
      <w:r w:rsidR="006C77C5" w:rsidRPr="00660897">
        <w:rPr>
          <w:sz w:val="22"/>
          <w:szCs w:val="22"/>
        </w:rPr>
        <w:t xml:space="preserve">ualifying plants with units that can successfully demonstrate “no migration” in states that adopt the relevant flexibility under the WIIN Act, may not be required to undertake groundwater monitoring and the associated </w:t>
      </w:r>
      <w:r w:rsidR="00827F0B" w:rsidRPr="00660897">
        <w:rPr>
          <w:sz w:val="22"/>
          <w:szCs w:val="22"/>
        </w:rPr>
        <w:t>documentation requirements under 40 CFR 257.90 through 98.</w:t>
      </w:r>
    </w:p>
    <w:p w:rsidR="00EC1762" w:rsidRPr="00660897" w:rsidRDefault="004968A6"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i/>
          <w:sz w:val="22"/>
          <w:szCs w:val="22"/>
        </w:rPr>
        <w:t>Third</w:t>
      </w:r>
      <w:r w:rsidR="00564DB9" w:rsidRPr="00660897">
        <w:rPr>
          <w:i/>
          <w:sz w:val="22"/>
          <w:szCs w:val="22"/>
        </w:rPr>
        <w:t>-</w:t>
      </w:r>
      <w:r w:rsidRPr="00660897">
        <w:rPr>
          <w:i/>
          <w:sz w:val="22"/>
          <w:szCs w:val="22"/>
        </w:rPr>
        <w:t xml:space="preserve">Party </w:t>
      </w:r>
      <w:r w:rsidR="00EC1762" w:rsidRPr="00660897">
        <w:rPr>
          <w:i/>
          <w:sz w:val="22"/>
          <w:szCs w:val="22"/>
        </w:rPr>
        <w:t>Certification: Professional Engineer Certifications</w:t>
      </w:r>
      <w:r w:rsidRPr="00660897">
        <w:rPr>
          <w:sz w:val="22"/>
          <w:szCs w:val="22"/>
        </w:rPr>
        <w:t xml:space="preserve"> </w:t>
      </w:r>
    </w:p>
    <w:p w:rsidR="00EC1762" w:rsidRPr="00EC1762" w:rsidRDefault="00EC176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ab/>
      </w:r>
      <w:r w:rsidR="006C71EC" w:rsidRPr="00660897">
        <w:rPr>
          <w:sz w:val="22"/>
          <w:szCs w:val="22"/>
        </w:rPr>
        <w:t>Under WIIN Act Alternative Performance Standard 6: Professional Engineer Certifications, e</w:t>
      </w:r>
      <w:r w:rsidRPr="00660897">
        <w:rPr>
          <w:sz w:val="22"/>
          <w:szCs w:val="22"/>
        </w:rPr>
        <w:t>ligible units in states adopting WIIN Act flexibilities would be able to forego the cost of third-party certification for up to 40 provisions that require technical demonstrations made by the owners or operator under 40 CFR 257. For states that adopt this flexibility; states could use review by engineers at state agencies in place of third-party professional engineer certifications for any or all of these provisions. These changes would potentially reduce the cost of documentation under 40 CFR 257 for facilities in adopting states.</w:t>
      </w:r>
    </w:p>
    <w:p w:rsidR="004968A6" w:rsidRPr="00827F0B" w:rsidRDefault="004968A6"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highlight w:val="yellow"/>
        </w:rPr>
      </w:pP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240"/>
        <w:rPr>
          <w:sz w:val="22"/>
          <w:szCs w:val="22"/>
        </w:rPr>
      </w:pPr>
      <w:r w:rsidRPr="00B230E3">
        <w:rPr>
          <w:b/>
          <w:bCs/>
          <w:sz w:val="22"/>
          <w:szCs w:val="22"/>
        </w:rPr>
        <w:t>5.</w:t>
      </w:r>
      <w:r w:rsidRPr="00B230E3">
        <w:rPr>
          <w:b/>
          <w:bCs/>
          <w:sz w:val="22"/>
          <w:szCs w:val="22"/>
        </w:rPr>
        <w:tab/>
        <w:t xml:space="preserve">THE </w:t>
      </w:r>
      <w:smartTag w:uri="urn:schemas-microsoft-com:office:smarttags" w:element="stockticker">
        <w:r w:rsidRPr="00B230E3">
          <w:rPr>
            <w:b/>
            <w:bCs/>
            <w:sz w:val="22"/>
            <w:szCs w:val="22"/>
          </w:rPr>
          <w:t>INFO</w:t>
        </w:r>
      </w:smartTag>
      <w:r w:rsidRPr="00B230E3">
        <w:rPr>
          <w:b/>
          <w:bCs/>
          <w:sz w:val="22"/>
          <w:szCs w:val="22"/>
        </w:rPr>
        <w:t xml:space="preserve">RMATION </w:t>
      </w:r>
      <w:smartTag w:uri="urn:schemas-microsoft-com:office:smarttags" w:element="stockticker">
        <w:r w:rsidRPr="00B230E3">
          <w:rPr>
            <w:b/>
            <w:bCs/>
            <w:sz w:val="22"/>
            <w:szCs w:val="22"/>
          </w:rPr>
          <w:t>COL</w:t>
        </w:r>
        <w:smartTag w:uri="urn:schemas-microsoft-com:office:smarttags" w:element="stockticker">
          <w:r w:rsidRPr="00B230E3">
            <w:rPr>
              <w:b/>
              <w:bCs/>
              <w:sz w:val="22"/>
              <w:szCs w:val="22"/>
            </w:rPr>
            <w:t>L</w:t>
          </w:r>
        </w:smartTag>
      </w:smartTag>
      <w:r w:rsidRPr="00B230E3">
        <w:rPr>
          <w:b/>
          <w:bCs/>
          <w:sz w:val="22"/>
          <w:szCs w:val="22"/>
        </w:rPr>
        <w:t>ECTED — AGENCY ACTIVITIES, COLLECTION METHODOLOGY, AND INFORMATION MANAGEMENT</w:t>
      </w: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B230E3">
        <w:rPr>
          <w:b/>
          <w:bCs/>
          <w:sz w:val="22"/>
          <w:szCs w:val="22"/>
        </w:rPr>
        <w:t>5(a)</w:t>
      </w:r>
      <w:r w:rsidRPr="00B230E3">
        <w:rPr>
          <w:b/>
          <w:bCs/>
          <w:sz w:val="22"/>
          <w:szCs w:val="22"/>
        </w:rPr>
        <w:tab/>
        <w:t>Federal, State, and Local Government Activities</w:t>
      </w: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B230E3">
        <w:rPr>
          <w:b/>
          <w:bCs/>
          <w:sz w:val="22"/>
          <w:szCs w:val="22"/>
          <w:u w:val="single"/>
        </w:rPr>
        <w:t>Burden to State and Local Agencies and Others</w:t>
      </w:r>
    </w:p>
    <w:p w:rsidR="000242D2" w:rsidRPr="00B230E3" w:rsidRDefault="008B3806"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EPA does not anticipate any incremental burden on states related to Proposed CCR Remand Rule provisions or to state adoption of WIIN Act flexibilities.</w:t>
      </w:r>
      <w:r>
        <w:rPr>
          <w:sz w:val="22"/>
          <w:szCs w:val="22"/>
        </w:rPr>
        <w:t xml:space="preserve"> </w:t>
      </w:r>
    </w:p>
    <w:p w:rsidR="000242D2" w:rsidRPr="00B230E3"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spacing w:before="240" w:after="120"/>
        <w:rPr>
          <w:b/>
          <w:bCs/>
          <w:color w:val="000000"/>
          <w:sz w:val="22"/>
          <w:szCs w:val="22"/>
          <w:u w:val="single"/>
        </w:rPr>
      </w:pPr>
      <w:r w:rsidRPr="00B230E3">
        <w:rPr>
          <w:b/>
          <w:bCs/>
          <w:color w:val="000000"/>
          <w:sz w:val="22"/>
          <w:szCs w:val="22"/>
          <w:u w:val="single"/>
        </w:rPr>
        <w:t>Burden to the Federal Government</w:t>
      </w:r>
    </w:p>
    <w:p w:rsidR="000242D2" w:rsidRPr="00B230E3" w:rsidRDefault="004E768C"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autoSpaceDE w:val="0"/>
        <w:autoSpaceDN w:val="0"/>
        <w:spacing w:after="120"/>
        <w:ind w:firstLine="720"/>
        <w:rPr>
          <w:color w:val="000000"/>
          <w:sz w:val="22"/>
          <w:szCs w:val="22"/>
        </w:rPr>
      </w:pPr>
      <w:r>
        <w:rPr>
          <w:color w:val="000000"/>
          <w:sz w:val="22"/>
          <w:szCs w:val="22"/>
        </w:rPr>
        <w:t>EPA</w:t>
      </w:r>
      <w:r w:rsidR="002F4237">
        <w:rPr>
          <w:color w:val="000000"/>
          <w:sz w:val="22"/>
          <w:szCs w:val="22"/>
        </w:rPr>
        <w:t xml:space="preserve"> is not expected to incur any additional </w:t>
      </w:r>
      <w:r w:rsidR="000242D2" w:rsidRPr="00B230E3">
        <w:rPr>
          <w:color w:val="000000"/>
          <w:sz w:val="22"/>
          <w:szCs w:val="22"/>
        </w:rPr>
        <w:t xml:space="preserve">burden </w:t>
      </w:r>
      <w:r w:rsidR="002F4237">
        <w:rPr>
          <w:color w:val="000000"/>
          <w:sz w:val="22"/>
          <w:szCs w:val="22"/>
        </w:rPr>
        <w:t xml:space="preserve">as a result of the </w:t>
      </w:r>
      <w:r w:rsidR="0075458B">
        <w:rPr>
          <w:color w:val="000000"/>
          <w:sz w:val="22"/>
          <w:szCs w:val="22"/>
        </w:rPr>
        <w:t>CCR Remand</w:t>
      </w:r>
      <w:r w:rsidR="002F4237">
        <w:rPr>
          <w:color w:val="000000"/>
          <w:sz w:val="22"/>
          <w:szCs w:val="22"/>
        </w:rPr>
        <w:t xml:space="preserve"> rule</w:t>
      </w:r>
      <w:r w:rsidR="000242D2" w:rsidRPr="00B230E3">
        <w:rPr>
          <w:color w:val="000000"/>
          <w:sz w:val="22"/>
          <w:szCs w:val="22"/>
        </w:rPr>
        <w:t>.</w:t>
      </w:r>
    </w:p>
    <w:p w:rsidR="000242D2" w:rsidRPr="00660897" w:rsidRDefault="000242D2" w:rsidP="00B363CD">
      <w:pPr>
        <w:keepNext/>
        <w:keepLines/>
        <w:widowControl/>
        <w:tabs>
          <w:tab w:val="left" w:pos="720"/>
          <w:tab w:val="left" w:pos="1440"/>
          <w:tab w:val="left" w:pos="2160"/>
          <w:tab w:val="left" w:pos="2880"/>
          <w:tab w:val="left" w:pos="3600"/>
          <w:tab w:val="left" w:pos="4320"/>
          <w:tab w:val="left" w:pos="5040"/>
          <w:tab w:val="left" w:pos="5760"/>
          <w:tab w:val="left" w:pos="6480"/>
          <w:tab w:val="right" w:pos="7203"/>
        </w:tabs>
        <w:spacing w:before="240" w:after="120"/>
        <w:ind w:left="720" w:hanging="720"/>
        <w:rPr>
          <w:sz w:val="22"/>
          <w:szCs w:val="22"/>
        </w:rPr>
      </w:pPr>
      <w:r w:rsidRPr="00B230E3">
        <w:rPr>
          <w:b/>
          <w:bCs/>
          <w:sz w:val="22"/>
          <w:szCs w:val="22"/>
        </w:rPr>
        <w:t>5(b)</w:t>
      </w:r>
      <w:r w:rsidRPr="00B230E3">
        <w:rPr>
          <w:b/>
          <w:bCs/>
          <w:sz w:val="22"/>
          <w:szCs w:val="22"/>
        </w:rPr>
        <w:tab/>
      </w:r>
      <w:r w:rsidRPr="00660897">
        <w:rPr>
          <w:b/>
          <w:bCs/>
          <w:sz w:val="22"/>
          <w:szCs w:val="22"/>
        </w:rPr>
        <w:t>Collection Methodology and Management</w:t>
      </w:r>
    </w:p>
    <w:p w:rsidR="00F0469E" w:rsidRPr="00660897" w:rsidRDefault="00F0469E"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660897">
        <w:rPr>
          <w:sz w:val="22"/>
          <w:szCs w:val="22"/>
        </w:rPr>
        <w:tab/>
        <w:t>Most information can be maintained in the facility operating record or on a publicly accessible internet website rather than in submittals to EPA. For the information that is submitted (i.e., a State SWMP or a State CCR permit program application), EPA ensures the accuracy and completeness of the collected information by reviewing each submittal. EPA only reviews SWMPs or CCR permit programs submitted by States and notifies them of any action taken by the Agency.</w:t>
      </w:r>
    </w:p>
    <w:p w:rsidR="000242D2" w:rsidRPr="00660897"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before="240" w:after="120"/>
        <w:rPr>
          <w:sz w:val="22"/>
          <w:szCs w:val="22"/>
        </w:rPr>
      </w:pPr>
      <w:r w:rsidRPr="00660897">
        <w:rPr>
          <w:b/>
          <w:bCs/>
          <w:sz w:val="22"/>
          <w:szCs w:val="22"/>
        </w:rPr>
        <w:t>5(c)</w:t>
      </w:r>
      <w:r w:rsidRPr="00660897">
        <w:rPr>
          <w:b/>
          <w:bCs/>
          <w:sz w:val="22"/>
          <w:szCs w:val="22"/>
        </w:rPr>
        <w:tab/>
        <w:t>Small Entity Flexibility</w:t>
      </w:r>
    </w:p>
    <w:p w:rsidR="008A668E" w:rsidRPr="00F0469E" w:rsidRDefault="00F0469E"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sidRPr="00660897">
        <w:rPr>
          <w:bCs/>
          <w:sz w:val="22"/>
          <w:szCs w:val="22"/>
        </w:rPr>
        <w:t>EPA determined that the 2015 CCR final rule will not have a significant economic impact on a substantial number of small entities. The CCR Remand rule reduces the burden associated with the 2015 CCR rule, and does not increase burden on any small entities.</w:t>
      </w:r>
    </w:p>
    <w:p w:rsidR="008A668E" w:rsidRPr="008A668E" w:rsidRDefault="008A668E"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rPr>
          <w:sz w:val="22"/>
          <w:szCs w:val="22"/>
          <w:u w:val="single"/>
        </w:rPr>
      </w:pPr>
    </w:p>
    <w:p w:rsidR="000242D2" w:rsidRPr="0063323E" w:rsidRDefault="000242D2" w:rsidP="00B363CD">
      <w:pPr>
        <w:widowControl/>
        <w:tabs>
          <w:tab w:val="left" w:pos="720"/>
          <w:tab w:val="left" w:pos="1440"/>
          <w:tab w:val="left" w:pos="2160"/>
          <w:tab w:val="left" w:pos="2880"/>
          <w:tab w:val="left" w:pos="3600"/>
          <w:tab w:val="left" w:pos="4320"/>
          <w:tab w:val="left" w:pos="5040"/>
          <w:tab w:val="left" w:pos="5760"/>
          <w:tab w:val="left" w:pos="6480"/>
          <w:tab w:val="left" w:pos="7200"/>
          <w:tab w:val="right" w:pos="7922"/>
        </w:tabs>
        <w:spacing w:after="120"/>
        <w:rPr>
          <w:sz w:val="22"/>
          <w:szCs w:val="22"/>
        </w:rPr>
      </w:pPr>
      <w:r w:rsidRPr="0063323E">
        <w:rPr>
          <w:b/>
          <w:bCs/>
          <w:sz w:val="22"/>
          <w:szCs w:val="22"/>
        </w:rPr>
        <w:t>5(d)</w:t>
      </w:r>
      <w:r w:rsidRPr="0063323E">
        <w:rPr>
          <w:b/>
          <w:bCs/>
          <w:sz w:val="22"/>
          <w:szCs w:val="22"/>
        </w:rPr>
        <w:tab/>
        <w:t>Collection Schedule</w:t>
      </w:r>
    </w:p>
    <w:p w:rsidR="000242D2" w:rsidRPr="00B230E3" w:rsidRDefault="004416A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B230E3">
        <w:rPr>
          <w:sz w:val="22"/>
          <w:szCs w:val="22"/>
        </w:rPr>
        <w:t>The information provided var</w:t>
      </w:r>
      <w:r w:rsidR="00F0469E">
        <w:rPr>
          <w:sz w:val="22"/>
          <w:szCs w:val="22"/>
        </w:rPr>
        <w:t>ies</w:t>
      </w:r>
      <w:r w:rsidRPr="00B230E3">
        <w:rPr>
          <w:sz w:val="22"/>
          <w:szCs w:val="22"/>
        </w:rPr>
        <w:t xml:space="preserve"> based on the provision</w:t>
      </w:r>
      <w:r w:rsidR="00F0469E">
        <w:rPr>
          <w:sz w:val="22"/>
          <w:szCs w:val="22"/>
        </w:rPr>
        <w:t xml:space="preserve"> of the 2015 CCR Rule. However, the CCR Remand Rule and flexibilities implemented under the WIIN Act reduce burden</w:t>
      </w:r>
      <w:r w:rsidRPr="00B230E3">
        <w:rPr>
          <w:sz w:val="22"/>
          <w:szCs w:val="22"/>
        </w:rPr>
        <w:t>.</w:t>
      </w:r>
    </w:p>
    <w:p w:rsidR="00AB21A0" w:rsidRDefault="00AB21A0" w:rsidP="00B363CD">
      <w:pPr>
        <w:widowControl/>
        <w:adjustRightInd/>
        <w:spacing w:after="160" w:line="259" w:lineRule="auto"/>
        <w:rPr>
          <w:b/>
          <w:bCs/>
          <w:sz w:val="22"/>
          <w:szCs w:val="22"/>
          <w:highlight w:val="green"/>
        </w:rPr>
      </w:pPr>
    </w:p>
    <w:p w:rsidR="00097676" w:rsidRDefault="00097676">
      <w:pPr>
        <w:widowControl/>
        <w:adjustRightInd/>
        <w:spacing w:after="160" w:line="259" w:lineRule="auto"/>
        <w:rPr>
          <w:b/>
          <w:bCs/>
          <w:sz w:val="22"/>
          <w:szCs w:val="22"/>
        </w:rPr>
      </w:pPr>
      <w:r>
        <w:rPr>
          <w:b/>
          <w:bCs/>
          <w:sz w:val="22"/>
          <w:szCs w:val="22"/>
        </w:rPr>
        <w:br w:type="page"/>
      </w:r>
    </w:p>
    <w:p w:rsidR="000242D2" w:rsidRPr="00CA368F"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CA368F">
        <w:rPr>
          <w:b/>
          <w:bCs/>
          <w:sz w:val="22"/>
          <w:szCs w:val="22"/>
        </w:rPr>
        <w:t>6.</w:t>
      </w:r>
      <w:r w:rsidRPr="00CA368F">
        <w:rPr>
          <w:b/>
          <w:bCs/>
          <w:sz w:val="22"/>
          <w:szCs w:val="22"/>
        </w:rPr>
        <w:tab/>
        <w:t>ESTIMATING THE BURDEN AND COST OF THE COLLECTION</w:t>
      </w:r>
    </w:p>
    <w:p w:rsidR="000242D2" w:rsidRPr="00CA368F"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CA368F">
        <w:rPr>
          <w:sz w:val="22"/>
          <w:szCs w:val="22"/>
        </w:rPr>
        <w:t xml:space="preserve">The unit burden applied to various </w:t>
      </w:r>
      <w:r w:rsidR="00CA368F">
        <w:rPr>
          <w:sz w:val="22"/>
          <w:szCs w:val="22"/>
        </w:rPr>
        <w:t>respondents</w:t>
      </w:r>
      <w:r w:rsidRPr="00CA368F">
        <w:rPr>
          <w:sz w:val="22"/>
          <w:szCs w:val="22"/>
        </w:rPr>
        <w:t xml:space="preserve"> is based on the </w:t>
      </w:r>
      <w:r w:rsidR="002C0A45" w:rsidRPr="00CA368F">
        <w:rPr>
          <w:sz w:val="22"/>
          <w:szCs w:val="22"/>
        </w:rPr>
        <w:t xml:space="preserve">number </w:t>
      </w:r>
      <w:r w:rsidR="00CA368F">
        <w:rPr>
          <w:sz w:val="22"/>
          <w:szCs w:val="22"/>
        </w:rPr>
        <w:t>of regulated units, the specific design features of those units, and occurrences such as releases an planned closures</w:t>
      </w:r>
      <w:r w:rsidR="00C01261" w:rsidRPr="00CA368F">
        <w:rPr>
          <w:sz w:val="22"/>
          <w:szCs w:val="22"/>
        </w:rPr>
        <w:t xml:space="preserve">. </w:t>
      </w:r>
    </w:p>
    <w:p w:rsidR="000242D2" w:rsidRPr="00CA368F" w:rsidRDefault="000242D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CA368F">
        <w:rPr>
          <w:b/>
          <w:bCs/>
          <w:sz w:val="22"/>
          <w:szCs w:val="22"/>
        </w:rPr>
        <w:t>6(a)</w:t>
      </w:r>
      <w:r w:rsidRPr="00CA368F">
        <w:rPr>
          <w:b/>
          <w:bCs/>
          <w:sz w:val="22"/>
          <w:szCs w:val="22"/>
        </w:rPr>
        <w:tab/>
        <w:t>Respondent Burden</w:t>
      </w:r>
    </w:p>
    <w:p w:rsidR="004D059C" w:rsidRPr="00660897" w:rsidRDefault="00E73DC6"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sidRPr="00660897">
        <w:rPr>
          <w:bCs/>
          <w:sz w:val="22"/>
          <w:szCs w:val="22"/>
        </w:rPr>
        <w:t>This section provides</w:t>
      </w:r>
      <w:r w:rsidR="004D059C" w:rsidRPr="00660897">
        <w:rPr>
          <w:bCs/>
          <w:sz w:val="22"/>
          <w:szCs w:val="22"/>
        </w:rPr>
        <w:t xml:space="preserve"> estimates of the respondent hourly burden associated with the information collect</w:t>
      </w:r>
      <w:r w:rsidR="008A668E" w:rsidRPr="00660897">
        <w:rPr>
          <w:bCs/>
          <w:sz w:val="22"/>
          <w:szCs w:val="22"/>
        </w:rPr>
        <w:t>ion</w:t>
      </w:r>
      <w:r w:rsidR="004D059C" w:rsidRPr="00660897">
        <w:rPr>
          <w:bCs/>
          <w:sz w:val="22"/>
          <w:szCs w:val="22"/>
        </w:rPr>
        <w:t xml:space="preserve"> requirements covered in this ICR</w:t>
      </w:r>
      <w:r w:rsidR="00CA368F" w:rsidRPr="00660897">
        <w:rPr>
          <w:bCs/>
          <w:sz w:val="22"/>
          <w:szCs w:val="22"/>
        </w:rPr>
        <w:t xml:space="preserve">. In many cases the CCR Remand rule reduces burden; that is, burden estimates presented here are </w:t>
      </w:r>
      <w:r w:rsidR="00CA368F" w:rsidRPr="00660897">
        <w:rPr>
          <w:bCs/>
          <w:i/>
          <w:sz w:val="22"/>
          <w:szCs w:val="22"/>
        </w:rPr>
        <w:t>negative</w:t>
      </w:r>
      <w:r w:rsidR="004D059C" w:rsidRPr="00660897">
        <w:rPr>
          <w:bCs/>
          <w:sz w:val="22"/>
          <w:szCs w:val="22"/>
        </w:rPr>
        <w:t xml:space="preserve">. The </w:t>
      </w:r>
      <w:r w:rsidRPr="00660897">
        <w:rPr>
          <w:bCs/>
          <w:sz w:val="22"/>
          <w:szCs w:val="22"/>
        </w:rPr>
        <w:t>section</w:t>
      </w:r>
      <w:r w:rsidR="003F64AE" w:rsidRPr="00660897">
        <w:rPr>
          <w:bCs/>
          <w:sz w:val="22"/>
          <w:szCs w:val="22"/>
        </w:rPr>
        <w:t xml:space="preserve"> includes burden hours by labor type </w:t>
      </w:r>
      <w:r w:rsidR="004D059C" w:rsidRPr="00660897">
        <w:rPr>
          <w:bCs/>
          <w:sz w:val="22"/>
          <w:szCs w:val="22"/>
        </w:rPr>
        <w:t>per respondent, as well as the overall burden hours for all respondents.</w:t>
      </w:r>
    </w:p>
    <w:p w:rsidR="000242D2" w:rsidRPr="00660897" w:rsidRDefault="00616729" w:rsidP="00B363CD">
      <w:pPr>
        <w:widowControl/>
        <w:spacing w:after="120"/>
        <w:rPr>
          <w:b/>
          <w:bCs/>
          <w:i/>
          <w:sz w:val="22"/>
          <w:szCs w:val="22"/>
        </w:rPr>
      </w:pPr>
      <w:r w:rsidRPr="00660897">
        <w:rPr>
          <w:b/>
          <w:bCs/>
          <w:i/>
          <w:sz w:val="22"/>
          <w:szCs w:val="22"/>
        </w:rPr>
        <w:t>Respondent Burden for Rule Familiarization</w:t>
      </w:r>
    </w:p>
    <w:p w:rsidR="004F77CF" w:rsidRPr="00660897" w:rsidRDefault="004C6D2B" w:rsidP="00B363CD">
      <w:pPr>
        <w:widowControl/>
        <w:spacing w:after="120"/>
        <w:ind w:firstLine="720"/>
        <w:rPr>
          <w:sz w:val="22"/>
          <w:szCs w:val="22"/>
        </w:rPr>
      </w:pPr>
      <w:r w:rsidRPr="00660897">
        <w:rPr>
          <w:bCs/>
          <w:sz w:val="22"/>
          <w:szCs w:val="22"/>
        </w:rPr>
        <w:t xml:space="preserve">EPA assumes that </w:t>
      </w:r>
      <w:r w:rsidR="00CA368F" w:rsidRPr="00660897">
        <w:rPr>
          <w:rFonts w:eastAsiaTheme="minorHAnsi"/>
          <w:sz w:val="22"/>
          <w:szCs w:val="28"/>
        </w:rPr>
        <w:t>facility</w:t>
      </w:r>
      <w:r w:rsidR="004F77CF" w:rsidRPr="00660897">
        <w:rPr>
          <w:rFonts w:eastAsiaTheme="minorHAnsi"/>
          <w:sz w:val="22"/>
          <w:szCs w:val="28"/>
        </w:rPr>
        <w:t xml:space="preserve"> staff will</w:t>
      </w:r>
      <w:r w:rsidRPr="00660897">
        <w:rPr>
          <w:rFonts w:eastAsiaTheme="minorHAnsi"/>
          <w:sz w:val="22"/>
          <w:szCs w:val="28"/>
        </w:rPr>
        <w:t xml:space="preserve"> require time to review the </w:t>
      </w:r>
      <w:r w:rsidR="00CA368F" w:rsidRPr="00660897">
        <w:rPr>
          <w:rFonts w:eastAsiaTheme="minorHAnsi"/>
          <w:sz w:val="22"/>
          <w:szCs w:val="28"/>
        </w:rPr>
        <w:t xml:space="preserve">CCR Remand </w:t>
      </w:r>
      <w:r w:rsidRPr="00660897">
        <w:rPr>
          <w:rFonts w:eastAsiaTheme="minorHAnsi"/>
          <w:sz w:val="22"/>
          <w:szCs w:val="28"/>
        </w:rPr>
        <w:t>rule and determine which provisions apply to the facility. The tim</w:t>
      </w:r>
      <w:r w:rsidR="004F77CF" w:rsidRPr="00660897">
        <w:rPr>
          <w:rFonts w:eastAsiaTheme="minorHAnsi"/>
          <w:sz w:val="22"/>
          <w:szCs w:val="28"/>
        </w:rPr>
        <w:t>e required for this review will</w:t>
      </w:r>
      <w:r w:rsidRPr="00660897">
        <w:rPr>
          <w:rFonts w:eastAsiaTheme="minorHAnsi"/>
          <w:sz w:val="22"/>
          <w:szCs w:val="28"/>
        </w:rPr>
        <w:t xml:space="preserve"> be limited because most of the </w:t>
      </w:r>
      <w:r w:rsidR="0078151A" w:rsidRPr="00660897">
        <w:rPr>
          <w:rFonts w:eastAsiaTheme="minorHAnsi"/>
          <w:sz w:val="22"/>
          <w:szCs w:val="28"/>
        </w:rPr>
        <w:t>final</w:t>
      </w:r>
      <w:r w:rsidRPr="00660897">
        <w:rPr>
          <w:rFonts w:eastAsiaTheme="minorHAnsi"/>
          <w:sz w:val="22"/>
          <w:szCs w:val="28"/>
        </w:rPr>
        <w:t xml:space="preserve"> provisions amend current requirements as opposed to introducing completely new provisions.  Many of the provisions are straightforward</w:t>
      </w:r>
      <w:r w:rsidR="009529E3" w:rsidRPr="00660897">
        <w:rPr>
          <w:rFonts w:eastAsiaTheme="minorHAnsi"/>
          <w:sz w:val="22"/>
          <w:szCs w:val="28"/>
        </w:rPr>
        <w:t>,</w:t>
      </w:r>
      <w:r w:rsidRPr="00660897">
        <w:rPr>
          <w:rFonts w:eastAsiaTheme="minorHAnsi"/>
          <w:sz w:val="22"/>
          <w:szCs w:val="28"/>
        </w:rPr>
        <w:t xml:space="preserve"> such as those regarding public disclosure.  Others apply only after a</w:t>
      </w:r>
      <w:r w:rsidR="00CA368F" w:rsidRPr="00660897">
        <w:rPr>
          <w:sz w:val="22"/>
          <w:szCs w:val="22"/>
        </w:rPr>
        <w:t xml:space="preserve"> release o</w:t>
      </w:r>
      <w:r w:rsidRPr="00660897">
        <w:rPr>
          <w:sz w:val="22"/>
          <w:szCs w:val="22"/>
        </w:rPr>
        <w:t xml:space="preserve">r </w:t>
      </w:r>
      <w:r w:rsidR="00CA368F" w:rsidRPr="00660897">
        <w:rPr>
          <w:sz w:val="22"/>
          <w:szCs w:val="22"/>
        </w:rPr>
        <w:t>for units in particular regions or states</w:t>
      </w:r>
      <w:r w:rsidRPr="00660897">
        <w:rPr>
          <w:sz w:val="22"/>
          <w:szCs w:val="22"/>
        </w:rPr>
        <w:t xml:space="preserve">. </w:t>
      </w:r>
      <w:r w:rsidR="009529E3" w:rsidRPr="00660897">
        <w:rPr>
          <w:sz w:val="22"/>
          <w:szCs w:val="22"/>
        </w:rPr>
        <w:t xml:space="preserve"> </w:t>
      </w:r>
      <w:r w:rsidR="009529E3" w:rsidRPr="00660897">
        <w:rPr>
          <w:bCs/>
          <w:sz w:val="22"/>
          <w:szCs w:val="22"/>
        </w:rPr>
        <w:t>This analysis assumes that rule familiarization will only occur in year 1.</w:t>
      </w:r>
    </w:p>
    <w:p w:rsidR="009D0F95" w:rsidRPr="00660897" w:rsidRDefault="004C6D2B" w:rsidP="00B363CD">
      <w:pPr>
        <w:widowControl/>
        <w:spacing w:after="120"/>
        <w:ind w:firstLine="720"/>
        <w:rPr>
          <w:sz w:val="22"/>
          <w:szCs w:val="22"/>
        </w:rPr>
      </w:pPr>
      <w:r w:rsidRPr="00660897">
        <w:rPr>
          <w:sz w:val="22"/>
          <w:szCs w:val="22"/>
        </w:rPr>
        <w:t xml:space="preserve">EPA </w:t>
      </w:r>
      <w:r w:rsidR="00CA368F" w:rsidRPr="00660897">
        <w:rPr>
          <w:sz w:val="22"/>
          <w:szCs w:val="22"/>
        </w:rPr>
        <w:t xml:space="preserve">assumes that all facilities will thoroughly read the rules, and </w:t>
      </w:r>
      <w:r w:rsidRPr="00660897">
        <w:rPr>
          <w:sz w:val="22"/>
          <w:szCs w:val="22"/>
        </w:rPr>
        <w:t>has estimated</w:t>
      </w:r>
      <w:r w:rsidR="00CA368F" w:rsidRPr="00660897">
        <w:rPr>
          <w:sz w:val="22"/>
          <w:szCs w:val="22"/>
        </w:rPr>
        <w:t xml:space="preserve"> an average labor hour burden. T</w:t>
      </w:r>
      <w:r w:rsidRPr="00660897">
        <w:rPr>
          <w:sz w:val="22"/>
          <w:szCs w:val="22"/>
        </w:rPr>
        <w:t xml:space="preserve">he total number of expected labor hours </w:t>
      </w:r>
      <w:r w:rsidR="00CA368F" w:rsidRPr="00660897">
        <w:rPr>
          <w:sz w:val="22"/>
          <w:szCs w:val="22"/>
        </w:rPr>
        <w:t xml:space="preserve">multiplied </w:t>
      </w:r>
      <w:r w:rsidRPr="00660897">
        <w:rPr>
          <w:sz w:val="22"/>
          <w:szCs w:val="22"/>
        </w:rPr>
        <w:t xml:space="preserve">by the </w:t>
      </w:r>
      <w:r w:rsidR="004F77CF" w:rsidRPr="00660897">
        <w:rPr>
          <w:sz w:val="22"/>
          <w:szCs w:val="22"/>
        </w:rPr>
        <w:t xml:space="preserve">total </w:t>
      </w:r>
      <w:r w:rsidRPr="00660897">
        <w:rPr>
          <w:sz w:val="22"/>
          <w:szCs w:val="22"/>
        </w:rPr>
        <w:t xml:space="preserve">number of affected facilities </w:t>
      </w:r>
      <w:r w:rsidR="00CA368F" w:rsidRPr="00660897">
        <w:rPr>
          <w:sz w:val="22"/>
          <w:szCs w:val="22"/>
        </w:rPr>
        <w:t xml:space="preserve">provides </w:t>
      </w:r>
      <w:r w:rsidRPr="00660897">
        <w:rPr>
          <w:sz w:val="22"/>
          <w:szCs w:val="22"/>
        </w:rPr>
        <w:t>the total labor burden of becoming familiar with the rule</w:t>
      </w:r>
      <w:r w:rsidR="00CA368F" w:rsidRPr="00660897">
        <w:rPr>
          <w:sz w:val="22"/>
          <w:szCs w:val="22"/>
        </w:rPr>
        <w:t xml:space="preserve"> (Exhibit 6-1)</w:t>
      </w:r>
      <w:r w:rsidRPr="00660897">
        <w:rPr>
          <w:sz w:val="22"/>
          <w:szCs w:val="22"/>
        </w:rPr>
        <w:t xml:space="preserve">. </w:t>
      </w:r>
    </w:p>
    <w:p w:rsidR="00B20D3D" w:rsidRPr="00660897" w:rsidRDefault="00392084" w:rsidP="00B363CD">
      <w:pPr>
        <w:pStyle w:val="Caption"/>
        <w:keepNext/>
        <w:widowControl/>
        <w:spacing w:after="0"/>
        <w:jc w:val="center"/>
        <w:rPr>
          <w:b/>
          <w:i w:val="0"/>
          <w:color w:val="auto"/>
          <w:sz w:val="22"/>
        </w:rPr>
      </w:pPr>
      <w:r w:rsidRPr="00660897">
        <w:rPr>
          <w:b/>
          <w:i w:val="0"/>
          <w:color w:val="auto"/>
          <w:sz w:val="22"/>
        </w:rPr>
        <w:t>Exhibit 6-1</w:t>
      </w:r>
      <w:r w:rsidR="00B20D3D" w:rsidRPr="00660897">
        <w:rPr>
          <w:b/>
          <w:i w:val="0"/>
          <w:color w:val="auto"/>
          <w:sz w:val="22"/>
        </w:rPr>
        <w:t xml:space="preserve">: </w:t>
      </w:r>
      <w:r w:rsidR="007E136B" w:rsidRPr="00660897">
        <w:rPr>
          <w:b/>
          <w:i w:val="0"/>
          <w:color w:val="auto"/>
          <w:sz w:val="22"/>
        </w:rPr>
        <w:t xml:space="preserve">Rule Familiarization </w:t>
      </w:r>
      <w:r w:rsidR="00B20D3D" w:rsidRPr="00660897">
        <w:rPr>
          <w:b/>
          <w:i w:val="0"/>
          <w:color w:val="auto"/>
          <w:sz w:val="22"/>
        </w:rPr>
        <w:t>(in Hours)</w:t>
      </w:r>
    </w:p>
    <w:tbl>
      <w:tblPr>
        <w:tblW w:w="9584" w:type="dxa"/>
        <w:tblLook w:val="04A0" w:firstRow="1" w:lastRow="0" w:firstColumn="1" w:lastColumn="0" w:noHBand="0" w:noVBand="1"/>
      </w:tblPr>
      <w:tblGrid>
        <w:gridCol w:w="3268"/>
        <w:gridCol w:w="1228"/>
        <w:gridCol w:w="742"/>
        <w:gridCol w:w="704"/>
        <w:gridCol w:w="736"/>
        <w:gridCol w:w="990"/>
        <w:gridCol w:w="990"/>
        <w:gridCol w:w="926"/>
      </w:tblGrid>
      <w:tr w:rsidR="00674778" w:rsidRPr="00660897" w:rsidTr="00F541A1">
        <w:trPr>
          <w:trHeight w:val="1440"/>
        </w:trPr>
        <w:tc>
          <w:tcPr>
            <w:tcW w:w="3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ECE" w:rsidRPr="00660897" w:rsidRDefault="00674778" w:rsidP="00B363CD">
            <w:pPr>
              <w:widowControl/>
              <w:adjustRightInd/>
              <w:rPr>
                <w:b/>
                <w:bCs/>
                <w:color w:val="000000"/>
                <w:sz w:val="20"/>
                <w:szCs w:val="20"/>
              </w:rPr>
            </w:pPr>
            <w:r w:rsidRPr="00660897">
              <w:rPr>
                <w:b/>
                <w:bCs/>
                <w:color w:val="000000"/>
                <w:sz w:val="20"/>
                <w:szCs w:val="20"/>
              </w:rPr>
              <w:t>Activity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674778" w:rsidP="00B363CD">
            <w:pPr>
              <w:widowControl/>
              <w:adjustRightInd/>
              <w:jc w:val="center"/>
              <w:rPr>
                <w:b/>
                <w:bCs/>
                <w:color w:val="000000"/>
                <w:sz w:val="20"/>
                <w:szCs w:val="20"/>
              </w:rPr>
            </w:pPr>
            <w:r w:rsidRPr="00660897">
              <w:rPr>
                <w:b/>
                <w:bCs/>
                <w:color w:val="000000"/>
                <w:sz w:val="20"/>
                <w:szCs w:val="20"/>
              </w:rPr>
              <w:t>Number</w:t>
            </w:r>
            <w:r w:rsidR="00B52ECE" w:rsidRPr="00660897">
              <w:rPr>
                <w:b/>
                <w:bCs/>
                <w:color w:val="000000"/>
                <w:sz w:val="20"/>
                <w:szCs w:val="20"/>
              </w:rPr>
              <w:t xml:space="preserve"> of </w:t>
            </w:r>
            <w:r w:rsidR="000E6714" w:rsidRPr="00660897">
              <w:rPr>
                <w:b/>
                <w:bCs/>
                <w:color w:val="000000"/>
                <w:sz w:val="20"/>
                <w:szCs w:val="20"/>
              </w:rPr>
              <w:t xml:space="preserve">Respondent Activities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674778" w:rsidP="00B363CD">
            <w:pPr>
              <w:widowControl/>
              <w:adjustRightInd/>
              <w:jc w:val="center"/>
              <w:rPr>
                <w:b/>
                <w:bCs/>
                <w:color w:val="000000"/>
                <w:sz w:val="20"/>
                <w:szCs w:val="20"/>
              </w:rPr>
            </w:pPr>
            <w:r w:rsidRPr="00660897">
              <w:rPr>
                <w:b/>
                <w:bCs/>
                <w:color w:val="000000"/>
                <w:sz w:val="20"/>
                <w:szCs w:val="20"/>
              </w:rPr>
              <w:t>Legal</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B52ECE" w:rsidP="00B363CD">
            <w:pPr>
              <w:widowControl/>
              <w:adjustRightInd/>
              <w:jc w:val="center"/>
              <w:rPr>
                <w:b/>
                <w:bCs/>
                <w:color w:val="000000"/>
                <w:sz w:val="20"/>
                <w:szCs w:val="20"/>
              </w:rPr>
            </w:pPr>
            <w:r w:rsidRPr="00660897">
              <w:rPr>
                <w:b/>
                <w:bCs/>
                <w:color w:val="000000"/>
                <w:sz w:val="20"/>
                <w:szCs w:val="20"/>
              </w:rPr>
              <w:t>Mgr.</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674778" w:rsidP="00B363CD">
            <w:pPr>
              <w:widowControl/>
              <w:adjustRightInd/>
              <w:jc w:val="center"/>
              <w:rPr>
                <w:b/>
                <w:bCs/>
                <w:color w:val="000000"/>
                <w:sz w:val="20"/>
                <w:szCs w:val="20"/>
              </w:rPr>
            </w:pPr>
            <w:r w:rsidRPr="00660897">
              <w:rPr>
                <w:b/>
                <w:bCs/>
                <w:color w:val="000000"/>
                <w:sz w:val="20"/>
                <w:szCs w:val="20"/>
              </w:rPr>
              <w:t>Tech.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674778" w:rsidP="00B363CD">
            <w:pPr>
              <w:widowControl/>
              <w:adjustRightInd/>
              <w:jc w:val="center"/>
              <w:rPr>
                <w:b/>
                <w:bCs/>
                <w:color w:val="000000"/>
                <w:sz w:val="20"/>
                <w:szCs w:val="20"/>
              </w:rPr>
            </w:pPr>
            <w:r w:rsidRPr="00660897">
              <w:rPr>
                <w:b/>
                <w:bCs/>
                <w:color w:val="000000"/>
                <w:sz w:val="20"/>
                <w:szCs w:val="20"/>
              </w:rPr>
              <w:t>Clerical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674778" w:rsidP="00B363CD">
            <w:pPr>
              <w:widowControl/>
              <w:adjustRightInd/>
              <w:jc w:val="center"/>
              <w:rPr>
                <w:b/>
                <w:bCs/>
                <w:color w:val="000000"/>
                <w:sz w:val="20"/>
                <w:szCs w:val="20"/>
              </w:rPr>
            </w:pPr>
            <w:r w:rsidRPr="00660897">
              <w:rPr>
                <w:b/>
                <w:bCs/>
                <w:color w:val="000000"/>
                <w:sz w:val="20"/>
                <w:szCs w:val="20"/>
              </w:rPr>
              <w:t>Hours Per Activity</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B52ECE" w:rsidRPr="00660897" w:rsidRDefault="00B52ECE" w:rsidP="00B363CD">
            <w:pPr>
              <w:widowControl/>
              <w:adjustRightInd/>
              <w:jc w:val="center"/>
              <w:rPr>
                <w:b/>
                <w:bCs/>
                <w:color w:val="000000"/>
                <w:sz w:val="20"/>
                <w:szCs w:val="20"/>
              </w:rPr>
            </w:pPr>
            <w:r w:rsidRPr="00660897">
              <w:rPr>
                <w:b/>
                <w:bCs/>
                <w:color w:val="000000"/>
                <w:sz w:val="20"/>
                <w:szCs w:val="20"/>
              </w:rPr>
              <w:t>Total Labor Burden</w:t>
            </w:r>
          </w:p>
        </w:tc>
      </w:tr>
      <w:tr w:rsidR="00674778" w:rsidRPr="00660897" w:rsidTr="00F541A1">
        <w:trPr>
          <w:trHeight w:val="315"/>
        </w:trPr>
        <w:tc>
          <w:tcPr>
            <w:tcW w:w="3436" w:type="dxa"/>
            <w:tcBorders>
              <w:top w:val="nil"/>
              <w:left w:val="single" w:sz="4" w:space="0" w:color="auto"/>
              <w:bottom w:val="single" w:sz="4" w:space="0" w:color="auto"/>
              <w:right w:val="single" w:sz="4" w:space="0" w:color="auto"/>
            </w:tcBorders>
            <w:shd w:val="clear" w:color="auto" w:fill="auto"/>
            <w:vAlign w:val="center"/>
            <w:hideMark/>
          </w:tcPr>
          <w:p w:rsidR="00B52ECE" w:rsidRPr="00660897" w:rsidRDefault="00674778" w:rsidP="00B363CD">
            <w:pPr>
              <w:widowControl/>
              <w:adjustRightInd/>
              <w:rPr>
                <w:color w:val="000000"/>
                <w:sz w:val="18"/>
                <w:szCs w:val="18"/>
              </w:rPr>
            </w:pPr>
            <w:r w:rsidRPr="00660897">
              <w:rPr>
                <w:color w:val="000000"/>
                <w:sz w:val="18"/>
                <w:szCs w:val="18"/>
              </w:rPr>
              <w:t>Read Regulations</w:t>
            </w:r>
          </w:p>
        </w:tc>
        <w:tc>
          <w:tcPr>
            <w:tcW w:w="1060"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414</w:t>
            </w:r>
          </w:p>
        </w:tc>
        <w:tc>
          <w:tcPr>
            <w:tcW w:w="742"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.5</w:t>
            </w:r>
          </w:p>
        </w:tc>
        <w:tc>
          <w:tcPr>
            <w:tcW w:w="704"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2</w:t>
            </w:r>
          </w:p>
        </w:tc>
        <w:tc>
          <w:tcPr>
            <w:tcW w:w="736"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2.5</w:t>
            </w:r>
          </w:p>
        </w:tc>
        <w:tc>
          <w:tcPr>
            <w:tcW w:w="990" w:type="dxa"/>
            <w:tcBorders>
              <w:top w:val="nil"/>
              <w:left w:val="nil"/>
              <w:bottom w:val="single" w:sz="4" w:space="0" w:color="auto"/>
              <w:right w:val="single" w:sz="4" w:space="0" w:color="auto"/>
            </w:tcBorders>
            <w:shd w:val="clear" w:color="auto" w:fill="auto"/>
            <w:noWrap/>
            <w:vAlign w:val="center"/>
            <w:hideMark/>
          </w:tcPr>
          <w:p w:rsidR="00B52ECE" w:rsidRPr="00660897" w:rsidRDefault="00B52ECE" w:rsidP="00B363CD">
            <w:pPr>
              <w:widowControl/>
              <w:adjustRightInd/>
              <w:jc w:val="center"/>
              <w:rPr>
                <w:color w:val="000000"/>
                <w:sz w:val="18"/>
                <w:szCs w:val="18"/>
              </w:rPr>
            </w:pPr>
            <w:r w:rsidRPr="00660897">
              <w:rPr>
                <w:color w:val="000000"/>
                <w:sz w:val="18"/>
                <w:szCs w:val="18"/>
              </w:rPr>
              <w:t>0</w:t>
            </w:r>
          </w:p>
        </w:tc>
        <w:tc>
          <w:tcPr>
            <w:tcW w:w="990"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5</w:t>
            </w:r>
          </w:p>
        </w:tc>
        <w:tc>
          <w:tcPr>
            <w:tcW w:w="926" w:type="dxa"/>
            <w:tcBorders>
              <w:top w:val="nil"/>
              <w:left w:val="nil"/>
              <w:bottom w:val="single" w:sz="4" w:space="0" w:color="auto"/>
              <w:right w:val="single" w:sz="4" w:space="0" w:color="auto"/>
            </w:tcBorders>
            <w:shd w:val="clear" w:color="auto" w:fill="auto"/>
            <w:noWrap/>
            <w:vAlign w:val="center"/>
            <w:hideMark/>
          </w:tcPr>
          <w:p w:rsidR="00B52ECE" w:rsidRPr="00660897" w:rsidRDefault="00674778" w:rsidP="00B363CD">
            <w:pPr>
              <w:widowControl/>
              <w:adjustRightInd/>
              <w:jc w:val="center"/>
              <w:rPr>
                <w:color w:val="000000"/>
                <w:sz w:val="18"/>
                <w:szCs w:val="18"/>
              </w:rPr>
            </w:pPr>
            <w:r w:rsidRPr="00660897">
              <w:rPr>
                <w:color w:val="000000"/>
                <w:sz w:val="18"/>
                <w:szCs w:val="18"/>
              </w:rPr>
              <w:t>2,070</w:t>
            </w:r>
          </w:p>
        </w:tc>
      </w:tr>
      <w:tr w:rsidR="00674778" w:rsidRPr="00660897" w:rsidTr="00F541A1">
        <w:trPr>
          <w:trHeight w:val="315"/>
        </w:trPr>
        <w:tc>
          <w:tcPr>
            <w:tcW w:w="3436" w:type="dxa"/>
            <w:tcBorders>
              <w:top w:val="nil"/>
              <w:left w:val="single" w:sz="4" w:space="0" w:color="auto"/>
              <w:bottom w:val="single" w:sz="4" w:space="0" w:color="auto"/>
              <w:right w:val="single" w:sz="4" w:space="0" w:color="auto"/>
            </w:tcBorders>
            <w:shd w:val="clear" w:color="auto" w:fill="auto"/>
            <w:vAlign w:val="center"/>
            <w:hideMark/>
          </w:tcPr>
          <w:p w:rsidR="00674778" w:rsidRPr="00660897" w:rsidRDefault="00674778" w:rsidP="00B363CD">
            <w:pPr>
              <w:widowControl/>
              <w:adjustRightInd/>
              <w:rPr>
                <w:b/>
                <w:bCs/>
                <w:color w:val="000000"/>
                <w:sz w:val="18"/>
                <w:szCs w:val="18"/>
              </w:rPr>
            </w:pPr>
            <w:r w:rsidRPr="00660897">
              <w:rPr>
                <w:b/>
                <w:bCs/>
                <w:color w:val="000000"/>
                <w:sz w:val="18"/>
                <w:szCs w:val="18"/>
              </w:rPr>
              <w:t>Total</w:t>
            </w:r>
            <w:r w:rsidR="00F541A1" w:rsidRPr="00660897">
              <w:rPr>
                <w:b/>
                <w:bCs/>
                <w:color w:val="000000"/>
                <w:sz w:val="18"/>
                <w:szCs w:val="18"/>
              </w:rPr>
              <w:t xml:space="preserve"> Burden Hours </w:t>
            </w:r>
          </w:p>
        </w:tc>
        <w:tc>
          <w:tcPr>
            <w:tcW w:w="1060" w:type="dxa"/>
            <w:tcBorders>
              <w:top w:val="nil"/>
              <w:left w:val="nil"/>
              <w:bottom w:val="single" w:sz="4" w:space="0" w:color="auto"/>
              <w:right w:val="single" w:sz="4" w:space="0" w:color="auto"/>
            </w:tcBorders>
            <w:shd w:val="clear" w:color="auto" w:fill="auto"/>
            <w:noWrap/>
            <w:vAlign w:val="center"/>
            <w:hideMark/>
          </w:tcPr>
          <w:p w:rsidR="00674778" w:rsidRPr="00660897" w:rsidRDefault="00674778" w:rsidP="00B363CD">
            <w:pPr>
              <w:widowControl/>
              <w:adjustRightInd/>
              <w:jc w:val="center"/>
              <w:rPr>
                <w:b/>
                <w:bCs/>
                <w:color w:val="000000"/>
                <w:sz w:val="18"/>
                <w:szCs w:val="18"/>
              </w:rPr>
            </w:pPr>
            <w:r w:rsidRPr="00660897">
              <w:rPr>
                <w:b/>
                <w:bCs/>
                <w:color w:val="000000"/>
                <w:sz w:val="18"/>
                <w:szCs w:val="18"/>
              </w:rPr>
              <w:t>414</w:t>
            </w:r>
          </w:p>
        </w:tc>
        <w:tc>
          <w:tcPr>
            <w:tcW w:w="742" w:type="dxa"/>
            <w:tcBorders>
              <w:top w:val="nil"/>
              <w:left w:val="nil"/>
              <w:bottom w:val="single" w:sz="4" w:space="0" w:color="auto"/>
              <w:right w:val="single" w:sz="4" w:space="0" w:color="auto"/>
            </w:tcBorders>
            <w:shd w:val="clear" w:color="auto" w:fill="auto"/>
            <w:noWrap/>
            <w:vAlign w:val="center"/>
            <w:hideMark/>
          </w:tcPr>
          <w:p w:rsidR="00674778" w:rsidRPr="00660897" w:rsidRDefault="00674778" w:rsidP="00B363CD">
            <w:pPr>
              <w:widowControl/>
              <w:adjustRightInd/>
              <w:jc w:val="center"/>
              <w:rPr>
                <w:b/>
                <w:bCs/>
                <w:color w:val="000000"/>
                <w:sz w:val="18"/>
                <w:szCs w:val="18"/>
              </w:rPr>
            </w:pPr>
            <w:r w:rsidRPr="00660897">
              <w:rPr>
                <w:b/>
                <w:bCs/>
                <w:color w:val="000000"/>
                <w:sz w:val="18"/>
                <w:szCs w:val="18"/>
              </w:rPr>
              <w:t>207</w:t>
            </w:r>
          </w:p>
        </w:tc>
        <w:tc>
          <w:tcPr>
            <w:tcW w:w="704" w:type="dxa"/>
            <w:tcBorders>
              <w:top w:val="nil"/>
              <w:left w:val="nil"/>
              <w:bottom w:val="single" w:sz="4" w:space="0" w:color="auto"/>
              <w:right w:val="single" w:sz="4" w:space="0" w:color="auto"/>
            </w:tcBorders>
            <w:shd w:val="clear" w:color="auto" w:fill="auto"/>
            <w:vAlign w:val="center"/>
          </w:tcPr>
          <w:p w:rsidR="00674778" w:rsidRPr="00660897" w:rsidRDefault="00674778" w:rsidP="00B363CD">
            <w:pPr>
              <w:widowControl/>
              <w:adjustRightInd/>
              <w:jc w:val="center"/>
              <w:rPr>
                <w:b/>
                <w:bCs/>
                <w:color w:val="000000"/>
                <w:sz w:val="18"/>
                <w:szCs w:val="18"/>
              </w:rPr>
            </w:pPr>
            <w:r w:rsidRPr="00660897">
              <w:rPr>
                <w:b/>
                <w:bCs/>
                <w:color w:val="000000"/>
                <w:sz w:val="18"/>
                <w:szCs w:val="18"/>
              </w:rPr>
              <w:t> 828</w:t>
            </w:r>
          </w:p>
        </w:tc>
        <w:tc>
          <w:tcPr>
            <w:tcW w:w="736" w:type="dxa"/>
            <w:tcBorders>
              <w:top w:val="nil"/>
              <w:left w:val="nil"/>
              <w:bottom w:val="single" w:sz="4" w:space="0" w:color="auto"/>
              <w:right w:val="single" w:sz="4" w:space="0" w:color="auto"/>
            </w:tcBorders>
            <w:shd w:val="clear" w:color="auto" w:fill="auto"/>
            <w:vAlign w:val="center"/>
          </w:tcPr>
          <w:p w:rsidR="00674778" w:rsidRPr="00660897" w:rsidRDefault="00674778" w:rsidP="00B363CD">
            <w:pPr>
              <w:widowControl/>
              <w:adjustRightInd/>
              <w:jc w:val="center"/>
              <w:rPr>
                <w:b/>
                <w:bCs/>
                <w:color w:val="000000"/>
                <w:sz w:val="18"/>
                <w:szCs w:val="18"/>
              </w:rPr>
            </w:pPr>
            <w:r w:rsidRPr="00660897">
              <w:rPr>
                <w:b/>
                <w:bCs/>
                <w:color w:val="000000"/>
                <w:sz w:val="18"/>
                <w:szCs w:val="18"/>
              </w:rPr>
              <w:t>1,025</w:t>
            </w:r>
          </w:p>
        </w:tc>
        <w:tc>
          <w:tcPr>
            <w:tcW w:w="990" w:type="dxa"/>
            <w:tcBorders>
              <w:top w:val="nil"/>
              <w:left w:val="nil"/>
              <w:bottom w:val="single" w:sz="4" w:space="0" w:color="auto"/>
              <w:right w:val="single" w:sz="4" w:space="0" w:color="auto"/>
            </w:tcBorders>
            <w:shd w:val="clear" w:color="auto" w:fill="auto"/>
            <w:vAlign w:val="center"/>
          </w:tcPr>
          <w:p w:rsidR="00674778" w:rsidRPr="00660897" w:rsidRDefault="00674778" w:rsidP="00B363CD">
            <w:pPr>
              <w:widowControl/>
              <w:adjustRightInd/>
              <w:jc w:val="center"/>
              <w:rPr>
                <w:b/>
                <w:bCs/>
                <w:color w:val="000000"/>
                <w:sz w:val="18"/>
                <w:szCs w:val="18"/>
              </w:rPr>
            </w:pPr>
            <w:r w:rsidRPr="00660897">
              <w:rPr>
                <w:b/>
                <w:bCs/>
                <w:color w:val="000000"/>
                <w:sz w:val="18"/>
                <w:szCs w:val="18"/>
              </w:rPr>
              <w:t> 0</w:t>
            </w:r>
          </w:p>
        </w:tc>
        <w:tc>
          <w:tcPr>
            <w:tcW w:w="990" w:type="dxa"/>
            <w:tcBorders>
              <w:top w:val="nil"/>
              <w:left w:val="nil"/>
              <w:bottom w:val="single" w:sz="4" w:space="0" w:color="auto"/>
              <w:right w:val="single" w:sz="4" w:space="0" w:color="auto"/>
            </w:tcBorders>
            <w:shd w:val="clear" w:color="auto" w:fill="auto"/>
            <w:vAlign w:val="center"/>
          </w:tcPr>
          <w:p w:rsidR="00674778" w:rsidRPr="00660897" w:rsidRDefault="00674778" w:rsidP="00B363CD">
            <w:pPr>
              <w:widowControl/>
              <w:adjustRightInd/>
              <w:jc w:val="center"/>
              <w:rPr>
                <w:b/>
                <w:bCs/>
                <w:color w:val="000000"/>
                <w:sz w:val="18"/>
                <w:szCs w:val="18"/>
              </w:rPr>
            </w:pPr>
            <w:r w:rsidRPr="00660897">
              <w:rPr>
                <w:b/>
                <w:bCs/>
                <w:color w:val="000000"/>
                <w:sz w:val="18"/>
                <w:szCs w:val="18"/>
              </w:rPr>
              <w:t> 2070</w:t>
            </w:r>
          </w:p>
        </w:tc>
        <w:tc>
          <w:tcPr>
            <w:tcW w:w="926" w:type="dxa"/>
            <w:tcBorders>
              <w:top w:val="nil"/>
              <w:left w:val="nil"/>
              <w:bottom w:val="single" w:sz="4" w:space="0" w:color="auto"/>
              <w:right w:val="single" w:sz="4" w:space="0" w:color="auto"/>
            </w:tcBorders>
            <w:shd w:val="clear" w:color="auto" w:fill="auto"/>
            <w:noWrap/>
            <w:vAlign w:val="center"/>
            <w:hideMark/>
          </w:tcPr>
          <w:p w:rsidR="00674778" w:rsidRPr="00660897" w:rsidRDefault="00674778" w:rsidP="00B363CD">
            <w:pPr>
              <w:widowControl/>
              <w:adjustRightInd/>
              <w:jc w:val="center"/>
              <w:rPr>
                <w:b/>
                <w:bCs/>
                <w:color w:val="000000"/>
                <w:sz w:val="18"/>
                <w:szCs w:val="18"/>
              </w:rPr>
            </w:pPr>
            <w:r w:rsidRPr="00660897">
              <w:rPr>
                <w:b/>
                <w:bCs/>
                <w:color w:val="000000"/>
                <w:sz w:val="18"/>
                <w:szCs w:val="18"/>
              </w:rPr>
              <w:t>2,070</w:t>
            </w:r>
          </w:p>
        </w:tc>
      </w:tr>
    </w:tbl>
    <w:p w:rsidR="00CB5C11" w:rsidRPr="00660897" w:rsidRDefault="00CB5C11" w:rsidP="00B363CD">
      <w:pPr>
        <w:widowControl/>
      </w:pPr>
    </w:p>
    <w:p w:rsidR="001D55CE" w:rsidRPr="00660897" w:rsidRDefault="00674778" w:rsidP="00B363CD">
      <w:pPr>
        <w:widowControl/>
        <w:spacing w:before="240" w:after="120"/>
        <w:rPr>
          <w:b/>
          <w:bCs/>
          <w:i/>
          <w:sz w:val="22"/>
          <w:szCs w:val="22"/>
        </w:rPr>
      </w:pPr>
      <w:r w:rsidRPr="00660897">
        <w:rPr>
          <w:b/>
          <w:bCs/>
          <w:i/>
          <w:sz w:val="22"/>
          <w:szCs w:val="22"/>
        </w:rPr>
        <w:t xml:space="preserve">Respondent </w:t>
      </w:r>
      <w:r w:rsidR="001D55CE" w:rsidRPr="00660897">
        <w:rPr>
          <w:b/>
          <w:bCs/>
          <w:i/>
          <w:sz w:val="22"/>
          <w:szCs w:val="22"/>
        </w:rPr>
        <w:t xml:space="preserve">Burden </w:t>
      </w:r>
      <w:r w:rsidR="006C71EC" w:rsidRPr="00660897">
        <w:rPr>
          <w:b/>
          <w:bCs/>
          <w:i/>
          <w:sz w:val="22"/>
          <w:szCs w:val="22"/>
        </w:rPr>
        <w:t xml:space="preserve">Avoided: </w:t>
      </w:r>
      <w:r w:rsidR="001D55CE" w:rsidRPr="00660897">
        <w:rPr>
          <w:b/>
          <w:bCs/>
          <w:i/>
          <w:sz w:val="22"/>
          <w:szCs w:val="22"/>
        </w:rPr>
        <w:t xml:space="preserve"> </w:t>
      </w:r>
      <w:r w:rsidR="006C71EC" w:rsidRPr="00660897">
        <w:rPr>
          <w:b/>
          <w:bCs/>
          <w:i/>
          <w:sz w:val="22"/>
          <w:szCs w:val="22"/>
        </w:rPr>
        <w:t>C</w:t>
      </w:r>
      <w:r w:rsidR="001D55CE" w:rsidRPr="00660897">
        <w:rPr>
          <w:b/>
          <w:i/>
          <w:sz w:val="22"/>
          <w:szCs w:val="22"/>
        </w:rPr>
        <w:t>hanges in notification and documentation for minimal volume non-groundwater releases</w:t>
      </w:r>
      <w:r w:rsidR="006C71EC" w:rsidRPr="00660897">
        <w:rPr>
          <w:b/>
          <w:i/>
          <w:sz w:val="22"/>
          <w:szCs w:val="22"/>
        </w:rPr>
        <w:t xml:space="preserve"> (CCR Remand Rule Provision 1) and</w:t>
      </w:r>
      <w:r w:rsidR="001D55CE" w:rsidRPr="00660897">
        <w:rPr>
          <w:b/>
          <w:i/>
          <w:sz w:val="22"/>
          <w:szCs w:val="22"/>
        </w:rPr>
        <w:t xml:space="preserve"> site specific remedies</w:t>
      </w:r>
      <w:r w:rsidR="006C71EC" w:rsidRPr="00660897">
        <w:rPr>
          <w:b/>
          <w:i/>
          <w:sz w:val="22"/>
          <w:szCs w:val="22"/>
        </w:rPr>
        <w:t xml:space="preserve"> (WIIN Act Alternative Performance Standard 2)</w:t>
      </w:r>
    </w:p>
    <w:p w:rsidR="006C71EC" w:rsidRPr="00660897" w:rsidRDefault="001D55CE" w:rsidP="00B363CD">
      <w:pPr>
        <w:widowControl/>
        <w:spacing w:before="240" w:after="120"/>
        <w:rPr>
          <w:b/>
          <w:bCs/>
          <w:i/>
          <w:sz w:val="22"/>
          <w:szCs w:val="22"/>
        </w:rPr>
      </w:pPr>
      <w:r w:rsidRPr="00660897">
        <w:rPr>
          <w:sz w:val="22"/>
          <w:szCs w:val="22"/>
        </w:rPr>
        <w:tab/>
      </w:r>
      <w:r w:rsidR="00DF53A3" w:rsidRPr="00660897">
        <w:rPr>
          <w:sz w:val="22"/>
          <w:szCs w:val="22"/>
        </w:rPr>
        <w:t xml:space="preserve">For qualifying incidents involving minimal-volume, non-groundwater releases with limited cleanup time-frames, </w:t>
      </w:r>
      <w:r w:rsidR="006C71EC" w:rsidRPr="00660897">
        <w:rPr>
          <w:sz w:val="22"/>
          <w:szCs w:val="22"/>
        </w:rPr>
        <w:t xml:space="preserve">CCR </w:t>
      </w:r>
      <w:r w:rsidR="00674778" w:rsidRPr="00660897">
        <w:rPr>
          <w:sz w:val="22"/>
          <w:szCs w:val="22"/>
        </w:rPr>
        <w:t xml:space="preserve">Remand Rule Provision 1 eliminates the requirement that facilities undertake </w:t>
      </w:r>
      <w:r w:rsidR="00DF53A3" w:rsidRPr="00660897">
        <w:rPr>
          <w:sz w:val="22"/>
          <w:szCs w:val="22"/>
        </w:rPr>
        <w:t>the demonstration and notification requirements associated with the</w:t>
      </w:r>
      <w:r w:rsidR="00DF53A3" w:rsidRPr="00660897">
        <w:t xml:space="preserve"> </w:t>
      </w:r>
      <w:r w:rsidR="00DF53A3" w:rsidRPr="00660897">
        <w:rPr>
          <w:sz w:val="22"/>
          <w:szCs w:val="22"/>
        </w:rPr>
        <w:t xml:space="preserve">Assessment of Corrective Measures (40 CFR 257.96), Selection of Remedy (40 CFR 257.97), Implementation of the Corrective Action Program (40 CFR 257.98), and the associated record-keeping requirements under 40 CFR 257.105. These activities vary in labor-hour requirements and labor category requirements, but are calculated consistently with the methods and assumptions used for the 2015 CCR Rule, which implemented the baseline requirements. </w:t>
      </w:r>
      <w:r w:rsidRPr="00660897">
        <w:rPr>
          <w:sz w:val="22"/>
          <w:szCs w:val="22"/>
        </w:rPr>
        <w:t>In addition, under the WIIN Act Alternative Performance Standard 2, in cases where states determine that remediation of a release is not necessary based on site-specific conditions, qualifying facilities will not be required to provide documentation of corrective action activities under 40 CFR 257.97 and 40 CFR 257.98.</w:t>
      </w:r>
      <w:r w:rsidR="006C71EC" w:rsidRPr="00660897">
        <w:rPr>
          <w:b/>
          <w:bCs/>
          <w:i/>
          <w:sz w:val="22"/>
          <w:szCs w:val="22"/>
        </w:rPr>
        <w:t xml:space="preserve"> </w:t>
      </w:r>
    </w:p>
    <w:p w:rsidR="00674778" w:rsidRPr="00660897" w:rsidRDefault="00DF53A3" w:rsidP="00B363CD">
      <w:pPr>
        <w:widowControl/>
        <w:spacing w:before="240" w:after="120"/>
        <w:ind w:firstLine="720"/>
        <w:rPr>
          <w:b/>
          <w:bCs/>
          <w:i/>
          <w:sz w:val="22"/>
          <w:szCs w:val="22"/>
        </w:rPr>
      </w:pPr>
      <w:r w:rsidRPr="00660897">
        <w:rPr>
          <w:sz w:val="22"/>
          <w:szCs w:val="22"/>
        </w:rPr>
        <w:t>Exhibit 6-2</w:t>
      </w:r>
      <w:r w:rsidR="00674778" w:rsidRPr="00660897">
        <w:rPr>
          <w:sz w:val="22"/>
          <w:szCs w:val="22"/>
        </w:rPr>
        <w:t xml:space="preserve"> presents the estimates of </w:t>
      </w:r>
      <w:r w:rsidR="008C27DF" w:rsidRPr="00660897">
        <w:rPr>
          <w:sz w:val="22"/>
          <w:szCs w:val="22"/>
        </w:rPr>
        <w:t xml:space="preserve">annual </w:t>
      </w:r>
      <w:r w:rsidR="00674778" w:rsidRPr="00660897">
        <w:rPr>
          <w:sz w:val="22"/>
          <w:szCs w:val="22"/>
        </w:rPr>
        <w:t xml:space="preserve">respondent burden (in hours) for </w:t>
      </w:r>
      <w:r w:rsidRPr="00660897">
        <w:rPr>
          <w:sz w:val="22"/>
          <w:szCs w:val="22"/>
        </w:rPr>
        <w:t>changes in non-groundwater release response and reporting</w:t>
      </w:r>
      <w:r w:rsidR="001D55CE" w:rsidRPr="00660897">
        <w:rPr>
          <w:sz w:val="22"/>
          <w:szCs w:val="22"/>
        </w:rPr>
        <w:t xml:space="preserve"> under Remand Rule Provision 1</w:t>
      </w:r>
      <w:r w:rsidR="00674778" w:rsidRPr="00660897">
        <w:rPr>
          <w:sz w:val="22"/>
          <w:szCs w:val="22"/>
        </w:rPr>
        <w:t xml:space="preserve">. </w:t>
      </w:r>
      <w:r w:rsidR="001D55CE" w:rsidRPr="00660897">
        <w:rPr>
          <w:sz w:val="22"/>
          <w:szCs w:val="22"/>
        </w:rPr>
        <w:t xml:space="preserve">Exhibit 6-3 presents the estimates of annual respondent burden (in hours) for changes in documentation of corrective action activities under WIIN Act Alternative Performance Standard 2. </w:t>
      </w:r>
    </w:p>
    <w:p w:rsidR="003303BF" w:rsidRPr="00660897" w:rsidRDefault="008C27DF" w:rsidP="00B363CD">
      <w:pPr>
        <w:pStyle w:val="Caption"/>
        <w:keepNext/>
        <w:widowControl/>
        <w:spacing w:before="120" w:after="0"/>
        <w:jc w:val="center"/>
        <w:rPr>
          <w:b/>
          <w:i w:val="0"/>
          <w:color w:val="auto"/>
          <w:sz w:val="22"/>
          <w:szCs w:val="22"/>
        </w:rPr>
      </w:pPr>
      <w:r w:rsidRPr="00660897">
        <w:rPr>
          <w:b/>
          <w:i w:val="0"/>
          <w:color w:val="auto"/>
          <w:sz w:val="22"/>
          <w:szCs w:val="22"/>
        </w:rPr>
        <w:t>Exhibit 6-2</w:t>
      </w:r>
      <w:r w:rsidR="00674778" w:rsidRPr="00660897">
        <w:rPr>
          <w:b/>
          <w:i w:val="0"/>
          <w:color w:val="auto"/>
          <w:sz w:val="22"/>
          <w:szCs w:val="22"/>
        </w:rPr>
        <w:t xml:space="preserve">: </w:t>
      </w:r>
      <w:r w:rsidR="00D31B6B" w:rsidRPr="00660897">
        <w:rPr>
          <w:b/>
          <w:i w:val="0"/>
          <w:color w:val="auto"/>
          <w:sz w:val="22"/>
          <w:szCs w:val="22"/>
        </w:rPr>
        <w:t xml:space="preserve">CCR Remand Rule </w:t>
      </w:r>
      <w:r w:rsidR="003303BF" w:rsidRPr="00660897">
        <w:rPr>
          <w:b/>
          <w:i w:val="0"/>
          <w:color w:val="auto"/>
          <w:sz w:val="22"/>
          <w:szCs w:val="22"/>
        </w:rPr>
        <w:t xml:space="preserve">Provision 1: Non-groundwater Releases </w:t>
      </w:r>
    </w:p>
    <w:p w:rsidR="00674778" w:rsidRPr="00660897" w:rsidRDefault="008C27DF" w:rsidP="00B363CD">
      <w:pPr>
        <w:pStyle w:val="Caption"/>
        <w:keepNext/>
        <w:widowControl/>
        <w:spacing w:before="120" w:after="0"/>
        <w:jc w:val="center"/>
        <w:rPr>
          <w:b/>
          <w:i w:val="0"/>
          <w:color w:val="auto"/>
          <w:sz w:val="22"/>
          <w:szCs w:val="22"/>
        </w:rPr>
      </w:pPr>
      <w:r w:rsidRPr="00660897">
        <w:rPr>
          <w:b/>
          <w:i w:val="0"/>
          <w:color w:val="auto"/>
          <w:sz w:val="22"/>
          <w:szCs w:val="22"/>
        </w:rPr>
        <w:t>(</w:t>
      </w:r>
      <w:r w:rsidR="003303BF" w:rsidRPr="00660897">
        <w:rPr>
          <w:b/>
          <w:i w:val="0"/>
          <w:color w:val="auto"/>
          <w:sz w:val="22"/>
          <w:szCs w:val="22"/>
        </w:rPr>
        <w:t xml:space="preserve">Avoided Burden </w:t>
      </w:r>
      <w:r w:rsidRPr="00660897">
        <w:rPr>
          <w:b/>
          <w:i w:val="0"/>
          <w:color w:val="auto"/>
          <w:sz w:val="22"/>
          <w:szCs w:val="22"/>
        </w:rPr>
        <w:t>in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060"/>
        <w:gridCol w:w="742"/>
        <w:gridCol w:w="704"/>
        <w:gridCol w:w="736"/>
        <w:gridCol w:w="990"/>
        <w:gridCol w:w="982"/>
        <w:gridCol w:w="926"/>
      </w:tblGrid>
      <w:tr w:rsidR="00425AA0" w:rsidRPr="00660897" w:rsidTr="009E4531">
        <w:trPr>
          <w:trHeight w:val="1061"/>
        </w:trPr>
        <w:tc>
          <w:tcPr>
            <w:tcW w:w="3436" w:type="dxa"/>
            <w:shd w:val="clear" w:color="auto" w:fill="auto"/>
            <w:vAlign w:val="center"/>
            <w:hideMark/>
          </w:tcPr>
          <w:p w:rsidR="00DF53A3" w:rsidRPr="00660897" w:rsidRDefault="00DF53A3" w:rsidP="00B363CD">
            <w:pPr>
              <w:widowControl/>
              <w:adjustRightInd/>
              <w:rPr>
                <w:b/>
                <w:bCs/>
                <w:color w:val="000000"/>
                <w:sz w:val="20"/>
                <w:szCs w:val="20"/>
              </w:rPr>
            </w:pPr>
            <w:r w:rsidRPr="00660897">
              <w:rPr>
                <w:b/>
                <w:bCs/>
                <w:color w:val="000000"/>
                <w:sz w:val="20"/>
                <w:szCs w:val="20"/>
              </w:rPr>
              <w:t>Activity</w:t>
            </w:r>
          </w:p>
        </w:tc>
        <w:tc>
          <w:tcPr>
            <w:tcW w:w="1060"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 xml:space="preserve">Number of </w:t>
            </w:r>
            <w:r w:rsidR="000E6714" w:rsidRPr="00660897">
              <w:rPr>
                <w:b/>
                <w:bCs/>
                <w:color w:val="000000"/>
                <w:sz w:val="20"/>
                <w:szCs w:val="20"/>
              </w:rPr>
              <w:t>Respon. Activities</w:t>
            </w:r>
          </w:p>
        </w:tc>
        <w:tc>
          <w:tcPr>
            <w:tcW w:w="742"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Legal</w:t>
            </w:r>
          </w:p>
        </w:tc>
        <w:tc>
          <w:tcPr>
            <w:tcW w:w="704"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Mgr.</w:t>
            </w:r>
          </w:p>
        </w:tc>
        <w:tc>
          <w:tcPr>
            <w:tcW w:w="736"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Tech.</w:t>
            </w:r>
          </w:p>
        </w:tc>
        <w:tc>
          <w:tcPr>
            <w:tcW w:w="990"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Clerical</w:t>
            </w:r>
          </w:p>
        </w:tc>
        <w:tc>
          <w:tcPr>
            <w:tcW w:w="982"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Hours Per Activity</w:t>
            </w:r>
          </w:p>
        </w:tc>
        <w:tc>
          <w:tcPr>
            <w:tcW w:w="926" w:type="dxa"/>
            <w:shd w:val="clear" w:color="auto" w:fill="auto"/>
            <w:vAlign w:val="center"/>
            <w:hideMark/>
          </w:tcPr>
          <w:p w:rsidR="00DF53A3" w:rsidRPr="00660897" w:rsidRDefault="00DF53A3" w:rsidP="00B363CD">
            <w:pPr>
              <w:widowControl/>
              <w:adjustRightInd/>
              <w:jc w:val="center"/>
              <w:rPr>
                <w:b/>
                <w:bCs/>
                <w:color w:val="000000"/>
                <w:sz w:val="20"/>
                <w:szCs w:val="20"/>
              </w:rPr>
            </w:pPr>
            <w:r w:rsidRPr="00660897">
              <w:rPr>
                <w:b/>
                <w:bCs/>
                <w:color w:val="000000"/>
                <w:sz w:val="20"/>
                <w:szCs w:val="20"/>
              </w:rPr>
              <w:t>Total Labor Burden</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Prepare demonstration required under 40 CFR 257.96(a)</w:t>
            </w:r>
          </w:p>
        </w:tc>
        <w:tc>
          <w:tcPr>
            <w:tcW w:w="1060" w:type="dxa"/>
            <w:shd w:val="clear" w:color="auto" w:fill="auto"/>
            <w:noWrap/>
            <w:vAlign w:val="center"/>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tcPr>
          <w:p w:rsidR="008C27DF" w:rsidRPr="00660897" w:rsidRDefault="008C27DF" w:rsidP="00B363CD">
            <w:pPr>
              <w:widowControl/>
              <w:jc w:val="right"/>
              <w:rPr>
                <w:sz w:val="18"/>
                <w:szCs w:val="18"/>
              </w:rPr>
            </w:pPr>
            <w:r w:rsidRPr="00660897">
              <w:rPr>
                <w:sz w:val="18"/>
                <w:szCs w:val="18"/>
              </w:rPr>
              <w:t>1.00</w:t>
            </w:r>
          </w:p>
        </w:tc>
        <w:tc>
          <w:tcPr>
            <w:tcW w:w="736" w:type="dxa"/>
            <w:shd w:val="clear" w:color="auto" w:fill="auto"/>
            <w:noWrap/>
            <w:vAlign w:val="center"/>
          </w:tcPr>
          <w:p w:rsidR="008C27DF" w:rsidRPr="00660897" w:rsidRDefault="008C27DF" w:rsidP="00B363CD">
            <w:pPr>
              <w:widowControl/>
              <w:jc w:val="right"/>
              <w:rPr>
                <w:sz w:val="18"/>
                <w:szCs w:val="18"/>
              </w:rPr>
            </w:pPr>
            <w:r w:rsidRPr="00660897">
              <w:rPr>
                <w:sz w:val="18"/>
                <w:szCs w:val="18"/>
              </w:rPr>
              <w:t>16.00</w:t>
            </w:r>
          </w:p>
        </w:tc>
        <w:tc>
          <w:tcPr>
            <w:tcW w:w="990" w:type="dxa"/>
            <w:shd w:val="clear" w:color="auto" w:fill="auto"/>
            <w:noWrap/>
            <w:vAlign w:val="center"/>
          </w:tcPr>
          <w:p w:rsidR="008C27DF" w:rsidRPr="00660897" w:rsidRDefault="008C27DF" w:rsidP="00B363CD">
            <w:pPr>
              <w:widowControl/>
              <w:jc w:val="right"/>
              <w:rPr>
                <w:sz w:val="18"/>
                <w:szCs w:val="18"/>
              </w:rPr>
            </w:pPr>
            <w:r w:rsidRPr="00660897">
              <w:rPr>
                <w:sz w:val="18"/>
                <w:szCs w:val="18"/>
              </w:rPr>
              <w:t>3.00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20.00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80.00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Obtain certification required under 40 CFR 257.96(a)</w:t>
            </w:r>
          </w:p>
        </w:tc>
        <w:tc>
          <w:tcPr>
            <w:tcW w:w="1060" w:type="dxa"/>
            <w:shd w:val="clear" w:color="auto" w:fill="auto"/>
            <w:noWrap/>
            <w:vAlign w:val="center"/>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736" w:type="dxa"/>
            <w:shd w:val="clear" w:color="auto" w:fill="auto"/>
            <w:noWrap/>
            <w:vAlign w:val="center"/>
          </w:tcPr>
          <w:p w:rsidR="008C27DF" w:rsidRPr="00660897" w:rsidRDefault="008C27DF" w:rsidP="00B363CD">
            <w:pPr>
              <w:widowControl/>
              <w:jc w:val="right"/>
              <w:rPr>
                <w:sz w:val="18"/>
                <w:szCs w:val="18"/>
              </w:rPr>
            </w:pPr>
            <w:r w:rsidRPr="00660897">
              <w:rPr>
                <w:sz w:val="18"/>
                <w:szCs w:val="18"/>
              </w:rPr>
              <w:t>3.00</w:t>
            </w:r>
          </w:p>
        </w:tc>
        <w:tc>
          <w:tcPr>
            <w:tcW w:w="990"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0.50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3.50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14.00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Discuss the results of the corrective measures assessment prior to the selection of remedy in a public meeting with interested and affected parties, as required under 40 CFR 257.96(e)</w:t>
            </w:r>
          </w:p>
        </w:tc>
        <w:tc>
          <w:tcPr>
            <w:tcW w:w="1060" w:type="dxa"/>
            <w:shd w:val="clear" w:color="auto" w:fill="auto"/>
            <w:noWrap/>
            <w:vAlign w:val="center"/>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tcPr>
          <w:p w:rsidR="008C27DF" w:rsidRPr="00660897" w:rsidRDefault="008C27DF" w:rsidP="00B363CD">
            <w:pPr>
              <w:widowControl/>
              <w:jc w:val="right"/>
              <w:rPr>
                <w:sz w:val="18"/>
                <w:szCs w:val="18"/>
              </w:rPr>
            </w:pPr>
            <w:r w:rsidRPr="00660897">
              <w:rPr>
                <w:sz w:val="18"/>
                <w:szCs w:val="18"/>
              </w:rPr>
              <w:t>2.00</w:t>
            </w:r>
          </w:p>
        </w:tc>
        <w:tc>
          <w:tcPr>
            <w:tcW w:w="704" w:type="dxa"/>
            <w:shd w:val="clear" w:color="auto" w:fill="auto"/>
            <w:noWrap/>
            <w:vAlign w:val="center"/>
          </w:tcPr>
          <w:p w:rsidR="008C27DF" w:rsidRPr="00660897" w:rsidRDefault="008C27DF" w:rsidP="00B363CD">
            <w:pPr>
              <w:widowControl/>
              <w:jc w:val="right"/>
              <w:rPr>
                <w:sz w:val="18"/>
                <w:szCs w:val="18"/>
              </w:rPr>
            </w:pPr>
            <w:r w:rsidRPr="00660897">
              <w:rPr>
                <w:sz w:val="18"/>
                <w:szCs w:val="18"/>
              </w:rPr>
              <w:t>4.00</w:t>
            </w:r>
          </w:p>
        </w:tc>
        <w:tc>
          <w:tcPr>
            <w:tcW w:w="736" w:type="dxa"/>
            <w:shd w:val="clear" w:color="auto" w:fill="auto"/>
            <w:noWrap/>
            <w:vAlign w:val="center"/>
          </w:tcPr>
          <w:p w:rsidR="008C27DF" w:rsidRPr="00660897" w:rsidRDefault="008C27DF" w:rsidP="00B363CD">
            <w:pPr>
              <w:widowControl/>
              <w:jc w:val="right"/>
              <w:rPr>
                <w:sz w:val="18"/>
                <w:szCs w:val="18"/>
              </w:rPr>
            </w:pPr>
            <w:r w:rsidRPr="00660897">
              <w:rPr>
                <w:sz w:val="18"/>
                <w:szCs w:val="18"/>
              </w:rPr>
              <w:t>10.00</w:t>
            </w:r>
          </w:p>
        </w:tc>
        <w:tc>
          <w:tcPr>
            <w:tcW w:w="990"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16.00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64.00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Prepare semi-annual report describing the progress in selecting and designing the remedy</w:t>
            </w:r>
          </w:p>
        </w:tc>
        <w:tc>
          <w:tcPr>
            <w:tcW w:w="1060" w:type="dxa"/>
            <w:shd w:val="clear" w:color="auto" w:fill="auto"/>
            <w:noWrap/>
            <w:vAlign w:val="center"/>
            <w:hideMark/>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12.00</w:t>
            </w:r>
          </w:p>
        </w:tc>
        <w:tc>
          <w:tcPr>
            <w:tcW w:w="73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24.00</w:t>
            </w:r>
          </w:p>
        </w:tc>
        <w:tc>
          <w:tcPr>
            <w:tcW w:w="990"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4.00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40.00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160.00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Prepare notification required under 40 CFR 257.98(e)</w:t>
            </w:r>
          </w:p>
        </w:tc>
        <w:tc>
          <w:tcPr>
            <w:tcW w:w="1060" w:type="dxa"/>
            <w:shd w:val="clear" w:color="auto" w:fill="auto"/>
            <w:noWrap/>
            <w:vAlign w:val="center"/>
            <w:hideMark/>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0.50</w:t>
            </w:r>
          </w:p>
        </w:tc>
        <w:tc>
          <w:tcPr>
            <w:tcW w:w="73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0.50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2.00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Obtain certification required under 40 CFR 257.98(e)</w:t>
            </w:r>
          </w:p>
        </w:tc>
        <w:tc>
          <w:tcPr>
            <w:tcW w:w="1060" w:type="dxa"/>
            <w:shd w:val="clear" w:color="auto" w:fill="auto"/>
            <w:noWrap/>
            <w:vAlign w:val="center"/>
            <w:hideMark/>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3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3.00</w:t>
            </w:r>
          </w:p>
        </w:tc>
        <w:tc>
          <w:tcPr>
            <w:tcW w:w="990"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0.50</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3.50</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14.00</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Place documentation required under 40 CFR 257.96(e) in the facility’s operating record</w:t>
            </w:r>
          </w:p>
        </w:tc>
        <w:tc>
          <w:tcPr>
            <w:tcW w:w="1060" w:type="dxa"/>
            <w:shd w:val="clear" w:color="auto" w:fill="auto"/>
            <w:noWrap/>
            <w:vAlign w:val="center"/>
            <w:hideMark/>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3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0.02</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0.02</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0.08</w:t>
            </w:r>
          </w:p>
        </w:tc>
      </w:tr>
      <w:tr w:rsidR="00425AA0" w:rsidRPr="00660897" w:rsidTr="003303BF">
        <w:trPr>
          <w:trHeight w:val="315"/>
        </w:trPr>
        <w:tc>
          <w:tcPr>
            <w:tcW w:w="3436" w:type="dxa"/>
            <w:shd w:val="clear" w:color="auto" w:fill="auto"/>
            <w:vAlign w:val="center"/>
            <w:hideMark/>
          </w:tcPr>
          <w:p w:rsidR="008C27DF" w:rsidRPr="00660897" w:rsidRDefault="008C27DF" w:rsidP="00B363CD">
            <w:pPr>
              <w:widowControl/>
              <w:rPr>
                <w:sz w:val="18"/>
                <w:szCs w:val="18"/>
              </w:rPr>
            </w:pPr>
            <w:r w:rsidRPr="00660897">
              <w:rPr>
                <w:sz w:val="18"/>
                <w:szCs w:val="18"/>
              </w:rPr>
              <w:t>Place the semi-annual reports describing the progress in selecting and designing the remedy required under 40 CFR 257.97(a) in the facility’s operating record</w:t>
            </w:r>
          </w:p>
        </w:tc>
        <w:tc>
          <w:tcPr>
            <w:tcW w:w="1060" w:type="dxa"/>
            <w:shd w:val="clear" w:color="auto" w:fill="auto"/>
            <w:noWrap/>
            <w:vAlign w:val="center"/>
            <w:hideMark/>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73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0.02</w:t>
            </w:r>
          </w:p>
        </w:tc>
        <w:tc>
          <w:tcPr>
            <w:tcW w:w="982"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0.02</w:t>
            </w:r>
          </w:p>
        </w:tc>
        <w:tc>
          <w:tcPr>
            <w:tcW w:w="926" w:type="dxa"/>
            <w:shd w:val="clear" w:color="auto" w:fill="auto"/>
            <w:noWrap/>
            <w:vAlign w:val="center"/>
            <w:hideMark/>
          </w:tcPr>
          <w:p w:rsidR="008C27DF" w:rsidRPr="00660897" w:rsidRDefault="008C27DF" w:rsidP="00B363CD">
            <w:pPr>
              <w:widowControl/>
              <w:jc w:val="right"/>
              <w:rPr>
                <w:sz w:val="18"/>
                <w:szCs w:val="18"/>
              </w:rPr>
            </w:pPr>
            <w:r w:rsidRPr="00660897">
              <w:rPr>
                <w:sz w:val="18"/>
                <w:szCs w:val="18"/>
              </w:rPr>
              <w:t>0.08</w:t>
            </w:r>
          </w:p>
        </w:tc>
      </w:tr>
      <w:tr w:rsidR="008C27DF" w:rsidRPr="00660897" w:rsidTr="003303BF">
        <w:trPr>
          <w:trHeight w:val="315"/>
        </w:trPr>
        <w:tc>
          <w:tcPr>
            <w:tcW w:w="3436" w:type="dxa"/>
            <w:shd w:val="clear" w:color="auto" w:fill="auto"/>
            <w:vAlign w:val="center"/>
          </w:tcPr>
          <w:p w:rsidR="008C27DF" w:rsidRPr="00660897" w:rsidRDefault="008C27DF" w:rsidP="00B363CD">
            <w:pPr>
              <w:widowControl/>
              <w:rPr>
                <w:sz w:val="18"/>
                <w:szCs w:val="18"/>
              </w:rPr>
            </w:pPr>
            <w:r w:rsidRPr="00660897">
              <w:rPr>
                <w:sz w:val="18"/>
                <w:szCs w:val="18"/>
              </w:rPr>
              <w:t xml:space="preserve">Place </w:t>
            </w:r>
            <w:r w:rsidR="00425AA0" w:rsidRPr="00660897">
              <w:rPr>
                <w:sz w:val="18"/>
                <w:szCs w:val="18"/>
              </w:rPr>
              <w:t>notification required under 4</w:t>
            </w:r>
            <w:r w:rsidRPr="00660897">
              <w:rPr>
                <w:sz w:val="18"/>
                <w:szCs w:val="18"/>
              </w:rPr>
              <w:t>0 CFR 257.98(e) in facility operating record</w:t>
            </w:r>
          </w:p>
        </w:tc>
        <w:tc>
          <w:tcPr>
            <w:tcW w:w="1060" w:type="dxa"/>
            <w:shd w:val="clear" w:color="auto" w:fill="auto"/>
            <w:noWrap/>
            <w:vAlign w:val="center"/>
          </w:tcPr>
          <w:p w:rsidR="008C27DF" w:rsidRPr="00660897" w:rsidRDefault="008C27DF" w:rsidP="00B363CD">
            <w:pPr>
              <w:widowControl/>
              <w:adjustRightInd/>
              <w:jc w:val="center"/>
              <w:rPr>
                <w:color w:val="000000"/>
                <w:sz w:val="22"/>
                <w:szCs w:val="22"/>
              </w:rPr>
            </w:pPr>
            <w:r w:rsidRPr="00660897">
              <w:rPr>
                <w:color w:val="000000"/>
                <w:sz w:val="22"/>
                <w:szCs w:val="22"/>
              </w:rPr>
              <w:t>4</w:t>
            </w:r>
          </w:p>
        </w:tc>
        <w:tc>
          <w:tcPr>
            <w:tcW w:w="742"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704"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736"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0.00</w:t>
            </w:r>
          </w:p>
        </w:tc>
        <w:tc>
          <w:tcPr>
            <w:tcW w:w="990"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0.02</w:t>
            </w:r>
          </w:p>
        </w:tc>
        <w:tc>
          <w:tcPr>
            <w:tcW w:w="982"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0.02</w:t>
            </w:r>
          </w:p>
        </w:tc>
        <w:tc>
          <w:tcPr>
            <w:tcW w:w="926" w:type="dxa"/>
            <w:shd w:val="clear" w:color="auto" w:fill="auto"/>
            <w:noWrap/>
            <w:vAlign w:val="center"/>
          </w:tcPr>
          <w:p w:rsidR="008C27DF" w:rsidRPr="00660897" w:rsidRDefault="008C27DF" w:rsidP="00B363CD">
            <w:pPr>
              <w:widowControl/>
              <w:jc w:val="right"/>
              <w:rPr>
                <w:sz w:val="18"/>
                <w:szCs w:val="18"/>
              </w:rPr>
            </w:pPr>
            <w:r w:rsidRPr="00660897">
              <w:rPr>
                <w:sz w:val="18"/>
                <w:szCs w:val="18"/>
              </w:rPr>
              <w:t>0.08</w:t>
            </w:r>
          </w:p>
        </w:tc>
      </w:tr>
      <w:tr w:rsidR="003303BF" w:rsidRPr="00660897" w:rsidTr="003303BF">
        <w:trPr>
          <w:trHeight w:val="315"/>
        </w:trPr>
        <w:tc>
          <w:tcPr>
            <w:tcW w:w="3436" w:type="dxa"/>
            <w:shd w:val="clear" w:color="auto" w:fill="auto"/>
            <w:vAlign w:val="center"/>
            <w:hideMark/>
          </w:tcPr>
          <w:p w:rsidR="003303BF" w:rsidRPr="00660897" w:rsidRDefault="003303BF" w:rsidP="00B363CD">
            <w:pPr>
              <w:widowControl/>
              <w:adjustRightInd/>
              <w:rPr>
                <w:b/>
                <w:bCs/>
                <w:color w:val="000000"/>
                <w:sz w:val="20"/>
                <w:szCs w:val="20"/>
              </w:rPr>
            </w:pPr>
            <w:r w:rsidRPr="00660897">
              <w:rPr>
                <w:b/>
                <w:bCs/>
                <w:color w:val="000000"/>
                <w:sz w:val="20"/>
                <w:szCs w:val="20"/>
              </w:rPr>
              <w:t>Total Avoided Burden Hours</w:t>
            </w:r>
          </w:p>
        </w:tc>
        <w:tc>
          <w:tcPr>
            <w:tcW w:w="1060" w:type="dxa"/>
            <w:shd w:val="clear" w:color="auto" w:fill="auto"/>
            <w:noWrap/>
            <w:vAlign w:val="center"/>
            <w:hideMark/>
          </w:tcPr>
          <w:p w:rsidR="003303BF" w:rsidRPr="00660897" w:rsidRDefault="003303BF" w:rsidP="00B363CD">
            <w:pPr>
              <w:widowControl/>
              <w:adjustRightInd/>
              <w:jc w:val="center"/>
              <w:rPr>
                <w:b/>
                <w:bCs/>
                <w:color w:val="000000"/>
                <w:sz w:val="20"/>
                <w:szCs w:val="20"/>
              </w:rPr>
            </w:pPr>
            <w:r w:rsidRPr="00660897">
              <w:rPr>
                <w:b/>
                <w:bCs/>
                <w:color w:val="000000"/>
                <w:sz w:val="20"/>
                <w:szCs w:val="20"/>
              </w:rPr>
              <w:t>4</w:t>
            </w:r>
          </w:p>
        </w:tc>
        <w:tc>
          <w:tcPr>
            <w:tcW w:w="4154" w:type="dxa"/>
            <w:gridSpan w:val="5"/>
            <w:shd w:val="clear" w:color="auto" w:fill="auto"/>
            <w:noWrap/>
            <w:vAlign w:val="center"/>
          </w:tcPr>
          <w:p w:rsidR="003303BF" w:rsidRPr="00660897" w:rsidRDefault="003303BF" w:rsidP="00B363CD">
            <w:pPr>
              <w:widowControl/>
              <w:adjustRightInd/>
              <w:rPr>
                <w:b/>
                <w:bCs/>
                <w:color w:val="000000"/>
                <w:sz w:val="20"/>
                <w:szCs w:val="20"/>
              </w:rPr>
            </w:pPr>
          </w:p>
        </w:tc>
        <w:tc>
          <w:tcPr>
            <w:tcW w:w="926" w:type="dxa"/>
            <w:shd w:val="clear" w:color="auto" w:fill="auto"/>
            <w:noWrap/>
            <w:vAlign w:val="center"/>
            <w:hideMark/>
          </w:tcPr>
          <w:p w:rsidR="003303BF" w:rsidRPr="00660897" w:rsidRDefault="003303BF" w:rsidP="00B363CD">
            <w:pPr>
              <w:widowControl/>
              <w:jc w:val="center"/>
              <w:rPr>
                <w:b/>
                <w:bCs/>
                <w:sz w:val="20"/>
                <w:szCs w:val="20"/>
              </w:rPr>
            </w:pPr>
            <w:r w:rsidRPr="00660897">
              <w:rPr>
                <w:b/>
                <w:bCs/>
                <w:sz w:val="20"/>
                <w:szCs w:val="20"/>
              </w:rPr>
              <w:t>334.24</w:t>
            </w:r>
          </w:p>
        </w:tc>
      </w:tr>
      <w:tr w:rsidR="003303BF" w:rsidRPr="00660897" w:rsidTr="006C71EC">
        <w:trPr>
          <w:trHeight w:val="315"/>
        </w:trPr>
        <w:tc>
          <w:tcPr>
            <w:tcW w:w="3436" w:type="dxa"/>
            <w:shd w:val="clear" w:color="auto" w:fill="auto"/>
            <w:vAlign w:val="center"/>
          </w:tcPr>
          <w:p w:rsidR="003303BF" w:rsidRPr="00660897" w:rsidRDefault="003303BF" w:rsidP="00B363CD">
            <w:pPr>
              <w:widowControl/>
              <w:adjustRightInd/>
              <w:rPr>
                <w:b/>
                <w:bCs/>
                <w:color w:val="000000"/>
                <w:sz w:val="20"/>
                <w:szCs w:val="20"/>
              </w:rPr>
            </w:pPr>
            <w:r w:rsidRPr="00660897">
              <w:rPr>
                <w:b/>
                <w:bCs/>
                <w:color w:val="000000"/>
                <w:sz w:val="20"/>
                <w:szCs w:val="20"/>
              </w:rPr>
              <w:t>(Total Burden Hours Added)</w:t>
            </w:r>
          </w:p>
        </w:tc>
        <w:tc>
          <w:tcPr>
            <w:tcW w:w="1060" w:type="dxa"/>
            <w:shd w:val="clear" w:color="auto" w:fill="auto"/>
            <w:noWrap/>
            <w:vAlign w:val="center"/>
          </w:tcPr>
          <w:p w:rsidR="003303BF" w:rsidRPr="00660897" w:rsidRDefault="003303BF" w:rsidP="00B363CD">
            <w:pPr>
              <w:widowControl/>
              <w:adjustRightInd/>
              <w:jc w:val="center"/>
              <w:rPr>
                <w:b/>
                <w:bCs/>
                <w:color w:val="000000"/>
                <w:sz w:val="20"/>
                <w:szCs w:val="20"/>
              </w:rPr>
            </w:pPr>
            <w:r w:rsidRPr="00660897">
              <w:rPr>
                <w:b/>
                <w:bCs/>
                <w:color w:val="000000"/>
                <w:sz w:val="20"/>
                <w:szCs w:val="20"/>
              </w:rPr>
              <w:t>4</w:t>
            </w:r>
          </w:p>
        </w:tc>
        <w:tc>
          <w:tcPr>
            <w:tcW w:w="4154" w:type="dxa"/>
            <w:gridSpan w:val="5"/>
            <w:shd w:val="clear" w:color="auto" w:fill="auto"/>
            <w:noWrap/>
            <w:vAlign w:val="center"/>
          </w:tcPr>
          <w:p w:rsidR="003303BF" w:rsidRPr="00660897" w:rsidRDefault="003303BF" w:rsidP="00B363CD">
            <w:pPr>
              <w:widowControl/>
              <w:adjustRightInd/>
              <w:rPr>
                <w:b/>
                <w:bCs/>
                <w:color w:val="000000"/>
                <w:sz w:val="20"/>
                <w:szCs w:val="20"/>
              </w:rPr>
            </w:pPr>
          </w:p>
        </w:tc>
        <w:tc>
          <w:tcPr>
            <w:tcW w:w="926" w:type="dxa"/>
            <w:shd w:val="clear" w:color="auto" w:fill="auto"/>
            <w:noWrap/>
            <w:vAlign w:val="center"/>
          </w:tcPr>
          <w:p w:rsidR="003303BF" w:rsidRPr="00660897" w:rsidRDefault="003303BF" w:rsidP="00B363CD">
            <w:pPr>
              <w:widowControl/>
              <w:jc w:val="center"/>
              <w:rPr>
                <w:b/>
                <w:bCs/>
                <w:sz w:val="20"/>
                <w:szCs w:val="20"/>
              </w:rPr>
            </w:pPr>
            <w:r w:rsidRPr="00660897">
              <w:rPr>
                <w:b/>
                <w:bCs/>
                <w:sz w:val="20"/>
                <w:szCs w:val="20"/>
              </w:rPr>
              <w:t>(334.24)</w:t>
            </w:r>
          </w:p>
        </w:tc>
      </w:tr>
    </w:tbl>
    <w:p w:rsidR="00097676" w:rsidRDefault="00097676" w:rsidP="00B363CD">
      <w:pPr>
        <w:pStyle w:val="Caption"/>
        <w:keepNext/>
        <w:widowControl/>
        <w:spacing w:before="120" w:after="0"/>
        <w:jc w:val="center"/>
        <w:rPr>
          <w:b/>
          <w:i w:val="0"/>
          <w:color w:val="auto"/>
          <w:sz w:val="22"/>
          <w:szCs w:val="22"/>
        </w:rPr>
      </w:pPr>
    </w:p>
    <w:p w:rsidR="00097676" w:rsidRDefault="00097676">
      <w:pPr>
        <w:widowControl/>
        <w:adjustRightInd/>
        <w:spacing w:after="160" w:line="259" w:lineRule="auto"/>
        <w:rPr>
          <w:b/>
          <w:iCs/>
          <w:sz w:val="22"/>
          <w:szCs w:val="22"/>
        </w:rPr>
      </w:pPr>
      <w:r>
        <w:rPr>
          <w:b/>
          <w:i/>
          <w:sz w:val="22"/>
          <w:szCs w:val="22"/>
        </w:rPr>
        <w:br w:type="page"/>
      </w:r>
    </w:p>
    <w:p w:rsidR="003303BF" w:rsidRPr="00660897" w:rsidRDefault="00425AA0" w:rsidP="00B363CD">
      <w:pPr>
        <w:pStyle w:val="Caption"/>
        <w:keepNext/>
        <w:widowControl/>
        <w:spacing w:before="120" w:after="0"/>
        <w:jc w:val="center"/>
        <w:rPr>
          <w:b/>
          <w:i w:val="0"/>
          <w:color w:val="auto"/>
          <w:sz w:val="22"/>
          <w:szCs w:val="22"/>
        </w:rPr>
      </w:pPr>
      <w:r w:rsidRPr="00660897">
        <w:rPr>
          <w:b/>
          <w:i w:val="0"/>
          <w:color w:val="auto"/>
          <w:sz w:val="22"/>
          <w:szCs w:val="22"/>
        </w:rPr>
        <w:t xml:space="preserve">Exhibit 6-3: </w:t>
      </w:r>
      <w:r w:rsidR="00D31B6B" w:rsidRPr="00660897">
        <w:rPr>
          <w:b/>
          <w:i w:val="0"/>
          <w:color w:val="auto"/>
          <w:sz w:val="22"/>
          <w:szCs w:val="22"/>
        </w:rPr>
        <w:t xml:space="preserve">CCR Remand Rule </w:t>
      </w:r>
      <w:r w:rsidR="003303BF" w:rsidRPr="00660897">
        <w:rPr>
          <w:b/>
          <w:i w:val="0"/>
          <w:color w:val="auto"/>
          <w:sz w:val="22"/>
          <w:szCs w:val="22"/>
        </w:rPr>
        <w:t>Alternative Performance Standard 2: Corrective Action Remedy</w:t>
      </w:r>
    </w:p>
    <w:p w:rsidR="00425AA0" w:rsidRPr="00660897" w:rsidRDefault="00425AA0" w:rsidP="00B363CD">
      <w:pPr>
        <w:pStyle w:val="Caption"/>
        <w:keepNext/>
        <w:widowControl/>
        <w:spacing w:before="120" w:after="0"/>
        <w:jc w:val="center"/>
        <w:rPr>
          <w:b/>
          <w:i w:val="0"/>
          <w:color w:val="auto"/>
          <w:sz w:val="22"/>
          <w:szCs w:val="22"/>
        </w:rPr>
      </w:pPr>
      <w:r w:rsidRPr="00660897">
        <w:rPr>
          <w:b/>
          <w:i w:val="0"/>
          <w:color w:val="auto"/>
          <w:sz w:val="22"/>
          <w:szCs w:val="22"/>
        </w:rPr>
        <w:t>(</w:t>
      </w:r>
      <w:r w:rsidR="003303BF" w:rsidRPr="00660897">
        <w:rPr>
          <w:b/>
          <w:i w:val="0"/>
          <w:color w:val="auto"/>
          <w:sz w:val="22"/>
          <w:szCs w:val="22"/>
        </w:rPr>
        <w:t xml:space="preserve">Avoided Burden </w:t>
      </w:r>
      <w:r w:rsidRPr="00660897">
        <w:rPr>
          <w:b/>
          <w:i w:val="0"/>
          <w:color w:val="auto"/>
          <w:sz w:val="22"/>
          <w:szCs w:val="22"/>
        </w:rPr>
        <w:t>in Hours)</w:t>
      </w:r>
    </w:p>
    <w:tbl>
      <w:tblPr>
        <w:tblW w:w="0" w:type="auto"/>
        <w:tblLayout w:type="fixed"/>
        <w:tblLook w:val="04A0" w:firstRow="1" w:lastRow="0" w:firstColumn="1" w:lastColumn="0" w:noHBand="0" w:noVBand="1"/>
      </w:tblPr>
      <w:tblGrid>
        <w:gridCol w:w="3348"/>
        <w:gridCol w:w="1108"/>
        <w:gridCol w:w="742"/>
        <w:gridCol w:w="704"/>
        <w:gridCol w:w="736"/>
        <w:gridCol w:w="990"/>
        <w:gridCol w:w="850"/>
        <w:gridCol w:w="1098"/>
      </w:tblGrid>
      <w:tr w:rsidR="003303BF" w:rsidRPr="00660897" w:rsidTr="009E4531">
        <w:trPr>
          <w:trHeight w:val="1097"/>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adjustRightInd/>
              <w:rPr>
                <w:b/>
                <w:bCs/>
                <w:color w:val="000000"/>
                <w:sz w:val="20"/>
                <w:szCs w:val="20"/>
              </w:rPr>
            </w:pPr>
            <w:r w:rsidRPr="00660897">
              <w:rPr>
                <w:b/>
                <w:bCs/>
                <w:color w:val="000000"/>
                <w:sz w:val="20"/>
                <w:szCs w:val="20"/>
              </w:rPr>
              <w:t>Activity</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0E6714" w:rsidRPr="00660897" w:rsidRDefault="00425AA0" w:rsidP="00B363CD">
            <w:pPr>
              <w:widowControl/>
              <w:adjustRightInd/>
              <w:jc w:val="center"/>
              <w:rPr>
                <w:b/>
                <w:bCs/>
                <w:color w:val="000000"/>
                <w:sz w:val="20"/>
                <w:szCs w:val="20"/>
              </w:rPr>
            </w:pPr>
            <w:r w:rsidRPr="00660897">
              <w:rPr>
                <w:b/>
                <w:bCs/>
                <w:color w:val="000000"/>
                <w:sz w:val="20"/>
                <w:szCs w:val="20"/>
              </w:rPr>
              <w:t xml:space="preserve">Number of </w:t>
            </w:r>
            <w:r w:rsidR="000E6714" w:rsidRPr="00660897">
              <w:rPr>
                <w:b/>
                <w:bCs/>
                <w:color w:val="000000"/>
                <w:sz w:val="20"/>
                <w:szCs w:val="20"/>
              </w:rPr>
              <w:t>Respon.</w:t>
            </w:r>
          </w:p>
          <w:p w:rsidR="00425AA0" w:rsidRPr="00660897" w:rsidRDefault="000E6714" w:rsidP="00B363CD">
            <w:pPr>
              <w:widowControl/>
              <w:adjustRightInd/>
              <w:jc w:val="center"/>
              <w:rPr>
                <w:b/>
                <w:bCs/>
                <w:color w:val="000000"/>
                <w:sz w:val="20"/>
                <w:szCs w:val="20"/>
              </w:rPr>
            </w:pPr>
            <w:r w:rsidRPr="00660897">
              <w:rPr>
                <w:b/>
                <w:bCs/>
                <w:color w:val="000000"/>
                <w:sz w:val="20"/>
                <w:szCs w:val="20"/>
              </w:rPr>
              <w:t>Activities</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Legal</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Mgr.</w:t>
            </w: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Tech.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Clerical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Hours Per Activity</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425AA0" w:rsidRPr="00660897" w:rsidRDefault="00425AA0" w:rsidP="00B363CD">
            <w:pPr>
              <w:widowControl/>
              <w:adjustRightInd/>
              <w:jc w:val="center"/>
              <w:rPr>
                <w:b/>
                <w:bCs/>
                <w:color w:val="000000"/>
                <w:sz w:val="20"/>
                <w:szCs w:val="20"/>
              </w:rPr>
            </w:pPr>
            <w:r w:rsidRPr="00660897">
              <w:rPr>
                <w:b/>
                <w:bCs/>
                <w:color w:val="000000"/>
                <w:sz w:val="20"/>
                <w:szCs w:val="20"/>
              </w:rPr>
              <w:t>Total Labor Burden</w:t>
            </w:r>
          </w:p>
        </w:tc>
      </w:tr>
      <w:tr w:rsidR="00425AA0"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Prepare semi-annual report describing the progress in selecting and designing the remedy (40 CFR 257.97)</w:t>
            </w:r>
          </w:p>
        </w:tc>
        <w:tc>
          <w:tcPr>
            <w:tcW w:w="110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12.00</w:t>
            </w:r>
          </w:p>
        </w:tc>
        <w:tc>
          <w:tcPr>
            <w:tcW w:w="736"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24.00</w:t>
            </w:r>
          </w:p>
        </w:tc>
        <w:tc>
          <w:tcPr>
            <w:tcW w:w="99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4.00</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40.00</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2,120.00</w:t>
            </w:r>
          </w:p>
        </w:tc>
      </w:tr>
      <w:tr w:rsidR="00425AA0"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Prepare report on selected remedy</w:t>
            </w:r>
          </w:p>
        </w:tc>
        <w:tc>
          <w:tcPr>
            <w:tcW w:w="110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7.50</w:t>
            </w:r>
          </w:p>
        </w:tc>
        <w:tc>
          <w:tcPr>
            <w:tcW w:w="736"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50.00</w:t>
            </w:r>
          </w:p>
        </w:tc>
        <w:tc>
          <w:tcPr>
            <w:tcW w:w="99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5.75</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63.25</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3,352.25</w:t>
            </w:r>
          </w:p>
        </w:tc>
      </w:tr>
      <w:tr w:rsidR="00425AA0"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Obtain certification required under 40 CFR 257.97(a)</w:t>
            </w:r>
          </w:p>
        </w:tc>
        <w:tc>
          <w:tcPr>
            <w:tcW w:w="110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36"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3.00</w:t>
            </w:r>
          </w:p>
        </w:tc>
        <w:tc>
          <w:tcPr>
            <w:tcW w:w="99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0.50</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3.50</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185.50</w:t>
            </w:r>
          </w:p>
        </w:tc>
      </w:tr>
      <w:tr w:rsidR="003303BF"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Prepare notification required under 40 CFR 257.98(e)</w:t>
            </w:r>
          </w:p>
        </w:tc>
        <w:tc>
          <w:tcPr>
            <w:tcW w:w="110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0.50</w:t>
            </w:r>
          </w:p>
        </w:tc>
        <w:tc>
          <w:tcPr>
            <w:tcW w:w="736"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99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0.50</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26.50</w:t>
            </w:r>
          </w:p>
        </w:tc>
      </w:tr>
      <w:tr w:rsidR="003303BF"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Obtain certification required under 40 CFR 257.98(e)</w:t>
            </w:r>
          </w:p>
        </w:tc>
        <w:tc>
          <w:tcPr>
            <w:tcW w:w="110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736"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3.00</w:t>
            </w:r>
          </w:p>
        </w:tc>
        <w:tc>
          <w:tcPr>
            <w:tcW w:w="99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0.50</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3.50</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185.50</w:t>
            </w:r>
          </w:p>
        </w:tc>
      </w:tr>
      <w:tr w:rsidR="003303BF"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425AA0" w:rsidRPr="00660897" w:rsidRDefault="00425AA0" w:rsidP="00B363CD">
            <w:pPr>
              <w:widowControl/>
              <w:rPr>
                <w:sz w:val="18"/>
                <w:szCs w:val="18"/>
              </w:rPr>
            </w:pPr>
            <w:r w:rsidRPr="00660897">
              <w:rPr>
                <w:sz w:val="18"/>
                <w:szCs w:val="18"/>
              </w:rPr>
              <w:t>Place the semi-annual reports describing the progress in selecting and designing the remedy required under 40 CFR 257.97(a) in the facility’s operating record</w:t>
            </w:r>
          </w:p>
        </w:tc>
        <w:tc>
          <w:tcPr>
            <w:tcW w:w="110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736"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0.00</w:t>
            </w:r>
          </w:p>
        </w:tc>
        <w:tc>
          <w:tcPr>
            <w:tcW w:w="99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0.02</w:t>
            </w:r>
          </w:p>
        </w:tc>
        <w:tc>
          <w:tcPr>
            <w:tcW w:w="850"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0.02</w:t>
            </w:r>
          </w:p>
        </w:tc>
        <w:tc>
          <w:tcPr>
            <w:tcW w:w="1098" w:type="dxa"/>
            <w:tcBorders>
              <w:top w:val="nil"/>
              <w:left w:val="nil"/>
              <w:bottom w:val="single" w:sz="4" w:space="0" w:color="auto"/>
              <w:right w:val="single" w:sz="4" w:space="0" w:color="auto"/>
            </w:tcBorders>
            <w:shd w:val="clear" w:color="auto" w:fill="auto"/>
            <w:noWrap/>
            <w:vAlign w:val="center"/>
            <w:hideMark/>
          </w:tcPr>
          <w:p w:rsidR="00425AA0" w:rsidRPr="00660897" w:rsidRDefault="00425AA0" w:rsidP="00B363CD">
            <w:pPr>
              <w:widowControl/>
              <w:jc w:val="right"/>
              <w:rPr>
                <w:sz w:val="18"/>
                <w:szCs w:val="18"/>
              </w:rPr>
            </w:pPr>
            <w:r w:rsidRPr="00660897">
              <w:rPr>
                <w:sz w:val="18"/>
                <w:szCs w:val="18"/>
              </w:rPr>
              <w:t>1.06</w:t>
            </w:r>
          </w:p>
        </w:tc>
      </w:tr>
      <w:tr w:rsidR="00425AA0"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tcPr>
          <w:p w:rsidR="00425AA0" w:rsidRPr="00660897" w:rsidRDefault="00425AA0" w:rsidP="00B363CD">
            <w:pPr>
              <w:widowControl/>
              <w:rPr>
                <w:sz w:val="18"/>
                <w:szCs w:val="18"/>
              </w:rPr>
            </w:pPr>
            <w:r w:rsidRPr="00660897">
              <w:rPr>
                <w:sz w:val="18"/>
                <w:szCs w:val="18"/>
              </w:rPr>
              <w:t>Place the selection of remedy report required under 40 CFR 257.97(a) in the facility’s operating record</w:t>
            </w:r>
          </w:p>
        </w:tc>
        <w:tc>
          <w:tcPr>
            <w:tcW w:w="110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36"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99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0.02</w:t>
            </w:r>
          </w:p>
        </w:tc>
        <w:tc>
          <w:tcPr>
            <w:tcW w:w="85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0.02</w:t>
            </w:r>
          </w:p>
        </w:tc>
        <w:tc>
          <w:tcPr>
            <w:tcW w:w="109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1.06</w:t>
            </w:r>
          </w:p>
        </w:tc>
      </w:tr>
      <w:tr w:rsidR="00425AA0"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tcPr>
          <w:p w:rsidR="00425AA0" w:rsidRPr="00660897" w:rsidRDefault="00425AA0" w:rsidP="00B363CD">
            <w:pPr>
              <w:widowControl/>
              <w:rPr>
                <w:sz w:val="18"/>
                <w:szCs w:val="18"/>
              </w:rPr>
            </w:pPr>
            <w:r w:rsidRPr="00660897">
              <w:rPr>
                <w:sz w:val="18"/>
                <w:szCs w:val="18"/>
              </w:rPr>
              <w:t>Place the notification required under 40 CFR 257.98(e) in the facility’s operating record</w:t>
            </w:r>
          </w:p>
        </w:tc>
        <w:tc>
          <w:tcPr>
            <w:tcW w:w="110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adjustRightInd/>
              <w:jc w:val="center"/>
              <w:rPr>
                <w:color w:val="000000"/>
                <w:sz w:val="22"/>
                <w:szCs w:val="22"/>
              </w:rPr>
            </w:pPr>
            <w:r w:rsidRPr="00660897">
              <w:rPr>
                <w:color w:val="000000"/>
                <w:sz w:val="22"/>
                <w:szCs w:val="22"/>
              </w:rPr>
              <w:t>53</w:t>
            </w:r>
          </w:p>
        </w:tc>
        <w:tc>
          <w:tcPr>
            <w:tcW w:w="742"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04"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736"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0.00</w:t>
            </w:r>
          </w:p>
        </w:tc>
        <w:tc>
          <w:tcPr>
            <w:tcW w:w="99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0.02</w:t>
            </w:r>
          </w:p>
        </w:tc>
        <w:tc>
          <w:tcPr>
            <w:tcW w:w="850"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0.02</w:t>
            </w:r>
          </w:p>
        </w:tc>
        <w:tc>
          <w:tcPr>
            <w:tcW w:w="1098" w:type="dxa"/>
            <w:tcBorders>
              <w:top w:val="nil"/>
              <w:left w:val="nil"/>
              <w:bottom w:val="single" w:sz="4" w:space="0" w:color="auto"/>
              <w:right w:val="single" w:sz="4" w:space="0" w:color="auto"/>
            </w:tcBorders>
            <w:shd w:val="clear" w:color="auto" w:fill="auto"/>
            <w:noWrap/>
            <w:vAlign w:val="center"/>
          </w:tcPr>
          <w:p w:rsidR="00425AA0" w:rsidRPr="00660897" w:rsidRDefault="00425AA0" w:rsidP="00B363CD">
            <w:pPr>
              <w:widowControl/>
              <w:jc w:val="right"/>
              <w:rPr>
                <w:sz w:val="18"/>
                <w:szCs w:val="18"/>
              </w:rPr>
            </w:pPr>
            <w:r w:rsidRPr="00660897">
              <w:rPr>
                <w:sz w:val="18"/>
                <w:szCs w:val="18"/>
              </w:rPr>
              <w:t>1.06</w:t>
            </w:r>
          </w:p>
        </w:tc>
      </w:tr>
      <w:tr w:rsidR="003303BF"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tcPr>
          <w:p w:rsidR="003303BF" w:rsidRPr="00660897" w:rsidRDefault="003303BF" w:rsidP="00B363CD">
            <w:pPr>
              <w:widowControl/>
              <w:adjustRightInd/>
              <w:rPr>
                <w:b/>
                <w:bCs/>
                <w:color w:val="000000"/>
                <w:sz w:val="20"/>
                <w:szCs w:val="20"/>
              </w:rPr>
            </w:pPr>
            <w:r w:rsidRPr="00660897">
              <w:rPr>
                <w:b/>
                <w:bCs/>
                <w:color w:val="000000"/>
                <w:sz w:val="20"/>
                <w:szCs w:val="20"/>
              </w:rPr>
              <w:t>Total Avoided Burden Hours</w:t>
            </w:r>
          </w:p>
        </w:tc>
        <w:tc>
          <w:tcPr>
            <w:tcW w:w="1108" w:type="dxa"/>
            <w:tcBorders>
              <w:top w:val="nil"/>
              <w:left w:val="nil"/>
              <w:bottom w:val="single" w:sz="4" w:space="0" w:color="auto"/>
              <w:right w:val="single" w:sz="4" w:space="0" w:color="auto"/>
            </w:tcBorders>
            <w:shd w:val="clear" w:color="auto" w:fill="auto"/>
            <w:noWrap/>
            <w:vAlign w:val="center"/>
          </w:tcPr>
          <w:p w:rsidR="003303BF" w:rsidRPr="00660897" w:rsidRDefault="003303BF" w:rsidP="00B363CD">
            <w:pPr>
              <w:widowControl/>
              <w:adjustRightInd/>
              <w:jc w:val="center"/>
              <w:rPr>
                <w:color w:val="000000"/>
                <w:sz w:val="20"/>
                <w:szCs w:val="20"/>
              </w:rPr>
            </w:pPr>
            <w:r w:rsidRPr="00660897">
              <w:rPr>
                <w:color w:val="000000"/>
                <w:sz w:val="20"/>
                <w:szCs w:val="20"/>
              </w:rPr>
              <w:t>53</w:t>
            </w:r>
          </w:p>
        </w:tc>
        <w:tc>
          <w:tcPr>
            <w:tcW w:w="742" w:type="dxa"/>
            <w:tcBorders>
              <w:top w:val="nil"/>
              <w:left w:val="nil"/>
              <w:bottom w:val="single" w:sz="4" w:space="0" w:color="auto"/>
              <w:right w:val="nil"/>
            </w:tcBorders>
            <w:shd w:val="clear" w:color="auto" w:fill="auto"/>
            <w:noWrap/>
            <w:vAlign w:val="center"/>
          </w:tcPr>
          <w:p w:rsidR="003303BF" w:rsidRPr="00660897" w:rsidRDefault="003303BF" w:rsidP="00B363CD">
            <w:pPr>
              <w:widowControl/>
              <w:adjustRightInd/>
              <w:rPr>
                <w:b/>
                <w:bCs/>
                <w:color w:val="000000"/>
                <w:sz w:val="20"/>
                <w:szCs w:val="20"/>
              </w:rPr>
            </w:pPr>
          </w:p>
        </w:tc>
        <w:tc>
          <w:tcPr>
            <w:tcW w:w="704" w:type="dxa"/>
            <w:tcBorders>
              <w:top w:val="nil"/>
              <w:left w:val="nil"/>
              <w:bottom w:val="single" w:sz="4" w:space="0" w:color="auto"/>
              <w:right w:val="nil"/>
            </w:tcBorders>
            <w:shd w:val="clear" w:color="auto" w:fill="auto"/>
            <w:noWrap/>
            <w:vAlign w:val="center"/>
          </w:tcPr>
          <w:p w:rsidR="003303BF" w:rsidRPr="00660897" w:rsidRDefault="003303BF" w:rsidP="00B363CD">
            <w:pPr>
              <w:widowControl/>
              <w:adjustRightInd/>
              <w:rPr>
                <w:b/>
                <w:bCs/>
                <w:color w:val="000000"/>
                <w:sz w:val="20"/>
                <w:szCs w:val="20"/>
              </w:rPr>
            </w:pPr>
          </w:p>
        </w:tc>
        <w:tc>
          <w:tcPr>
            <w:tcW w:w="736" w:type="dxa"/>
            <w:tcBorders>
              <w:top w:val="nil"/>
              <w:left w:val="nil"/>
              <w:bottom w:val="single" w:sz="4" w:space="0" w:color="auto"/>
              <w:right w:val="nil"/>
            </w:tcBorders>
            <w:shd w:val="clear" w:color="auto" w:fill="auto"/>
            <w:noWrap/>
            <w:vAlign w:val="center"/>
          </w:tcPr>
          <w:p w:rsidR="003303BF" w:rsidRPr="00660897" w:rsidRDefault="003303BF" w:rsidP="00B363CD">
            <w:pPr>
              <w:widowControl/>
              <w:adjustRightInd/>
              <w:rPr>
                <w:b/>
                <w:bCs/>
                <w:color w:val="000000"/>
                <w:sz w:val="20"/>
                <w:szCs w:val="20"/>
              </w:rPr>
            </w:pPr>
          </w:p>
        </w:tc>
        <w:tc>
          <w:tcPr>
            <w:tcW w:w="990" w:type="dxa"/>
            <w:tcBorders>
              <w:top w:val="nil"/>
              <w:left w:val="nil"/>
              <w:bottom w:val="single" w:sz="4" w:space="0" w:color="auto"/>
              <w:right w:val="nil"/>
            </w:tcBorders>
            <w:shd w:val="clear" w:color="auto" w:fill="auto"/>
            <w:noWrap/>
            <w:vAlign w:val="center"/>
          </w:tcPr>
          <w:p w:rsidR="003303BF" w:rsidRPr="00660897" w:rsidRDefault="003303BF" w:rsidP="00B363CD">
            <w:pPr>
              <w:widowControl/>
              <w:adjustRightInd/>
              <w:rPr>
                <w:b/>
                <w:bCs/>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3303BF" w:rsidRPr="00660897" w:rsidRDefault="003303BF" w:rsidP="00B363CD">
            <w:pPr>
              <w:widowControl/>
              <w:adjustRightInd/>
              <w:rPr>
                <w:b/>
                <w:bCs/>
                <w:color w:val="00000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3303BF" w:rsidRPr="00660897" w:rsidRDefault="003303BF" w:rsidP="00B363CD">
            <w:pPr>
              <w:widowControl/>
              <w:jc w:val="center"/>
              <w:rPr>
                <w:b/>
                <w:bCs/>
                <w:sz w:val="20"/>
                <w:szCs w:val="20"/>
              </w:rPr>
            </w:pPr>
            <w:r w:rsidRPr="00660897">
              <w:rPr>
                <w:b/>
                <w:bCs/>
                <w:sz w:val="20"/>
                <w:szCs w:val="20"/>
              </w:rPr>
              <w:t>5,872.93</w:t>
            </w:r>
          </w:p>
        </w:tc>
      </w:tr>
      <w:tr w:rsidR="003303BF" w:rsidRPr="00660897" w:rsidTr="009E4531">
        <w:trPr>
          <w:trHeight w:val="315"/>
        </w:trPr>
        <w:tc>
          <w:tcPr>
            <w:tcW w:w="3348" w:type="dxa"/>
            <w:tcBorders>
              <w:top w:val="nil"/>
              <w:left w:val="single" w:sz="4" w:space="0" w:color="auto"/>
              <w:bottom w:val="single" w:sz="4" w:space="0" w:color="auto"/>
              <w:right w:val="single" w:sz="4" w:space="0" w:color="auto"/>
            </w:tcBorders>
            <w:shd w:val="clear" w:color="auto" w:fill="auto"/>
            <w:vAlign w:val="center"/>
            <w:hideMark/>
          </w:tcPr>
          <w:p w:rsidR="003303BF" w:rsidRPr="00660897" w:rsidRDefault="003303BF" w:rsidP="00B363CD">
            <w:pPr>
              <w:widowControl/>
              <w:adjustRightInd/>
              <w:rPr>
                <w:b/>
                <w:bCs/>
                <w:color w:val="000000"/>
                <w:sz w:val="20"/>
                <w:szCs w:val="20"/>
              </w:rPr>
            </w:pPr>
            <w:r w:rsidRPr="00660897">
              <w:rPr>
                <w:b/>
                <w:bCs/>
                <w:color w:val="000000"/>
                <w:sz w:val="20"/>
                <w:szCs w:val="20"/>
              </w:rPr>
              <w:t>(Total Burden Hours Added)</w:t>
            </w:r>
          </w:p>
        </w:tc>
        <w:tc>
          <w:tcPr>
            <w:tcW w:w="1108" w:type="dxa"/>
            <w:tcBorders>
              <w:top w:val="nil"/>
              <w:left w:val="nil"/>
              <w:bottom w:val="single" w:sz="4" w:space="0" w:color="auto"/>
              <w:right w:val="single" w:sz="4" w:space="0" w:color="auto"/>
            </w:tcBorders>
            <w:shd w:val="clear" w:color="auto" w:fill="auto"/>
            <w:noWrap/>
            <w:vAlign w:val="center"/>
            <w:hideMark/>
          </w:tcPr>
          <w:p w:rsidR="003303BF" w:rsidRPr="00660897" w:rsidRDefault="003303BF" w:rsidP="00B363CD">
            <w:pPr>
              <w:widowControl/>
              <w:adjustRightInd/>
              <w:jc w:val="center"/>
              <w:rPr>
                <w:b/>
                <w:bCs/>
                <w:color w:val="000000"/>
                <w:sz w:val="20"/>
                <w:szCs w:val="20"/>
              </w:rPr>
            </w:pPr>
            <w:r w:rsidRPr="00660897">
              <w:rPr>
                <w:color w:val="000000"/>
                <w:sz w:val="20"/>
                <w:szCs w:val="20"/>
              </w:rPr>
              <w:t>53</w:t>
            </w:r>
          </w:p>
        </w:tc>
        <w:tc>
          <w:tcPr>
            <w:tcW w:w="4022" w:type="dxa"/>
            <w:gridSpan w:val="5"/>
            <w:tcBorders>
              <w:top w:val="nil"/>
              <w:left w:val="nil"/>
              <w:bottom w:val="single" w:sz="4" w:space="0" w:color="auto"/>
              <w:right w:val="single" w:sz="4" w:space="0" w:color="auto"/>
            </w:tcBorders>
            <w:shd w:val="clear" w:color="auto" w:fill="auto"/>
            <w:noWrap/>
            <w:vAlign w:val="center"/>
          </w:tcPr>
          <w:p w:rsidR="003303BF" w:rsidRPr="00660897" w:rsidRDefault="003303BF" w:rsidP="00B363CD">
            <w:pPr>
              <w:widowControl/>
              <w:adjustRightInd/>
              <w:rPr>
                <w:b/>
                <w:bCs/>
                <w:color w:val="000000"/>
                <w:sz w:val="20"/>
                <w:szCs w:val="20"/>
              </w:rPr>
            </w:pPr>
          </w:p>
        </w:tc>
        <w:tc>
          <w:tcPr>
            <w:tcW w:w="1098" w:type="dxa"/>
            <w:tcBorders>
              <w:top w:val="nil"/>
              <w:left w:val="nil"/>
              <w:bottom w:val="single" w:sz="4" w:space="0" w:color="auto"/>
              <w:right w:val="single" w:sz="4" w:space="0" w:color="auto"/>
            </w:tcBorders>
            <w:shd w:val="clear" w:color="auto" w:fill="auto"/>
            <w:noWrap/>
            <w:vAlign w:val="center"/>
            <w:hideMark/>
          </w:tcPr>
          <w:p w:rsidR="003303BF" w:rsidRPr="00660897" w:rsidRDefault="003303BF" w:rsidP="00B363CD">
            <w:pPr>
              <w:widowControl/>
              <w:jc w:val="center"/>
              <w:rPr>
                <w:b/>
                <w:bCs/>
                <w:sz w:val="20"/>
                <w:szCs w:val="20"/>
              </w:rPr>
            </w:pPr>
            <w:r w:rsidRPr="00660897">
              <w:rPr>
                <w:b/>
                <w:bCs/>
                <w:sz w:val="20"/>
                <w:szCs w:val="20"/>
              </w:rPr>
              <w:t>(5,872.93)</w:t>
            </w:r>
          </w:p>
        </w:tc>
      </w:tr>
    </w:tbl>
    <w:p w:rsidR="00F541A1" w:rsidRPr="00660897" w:rsidRDefault="00F541A1" w:rsidP="00B363CD">
      <w:pPr>
        <w:widowControl/>
        <w:spacing w:before="240" w:after="120"/>
        <w:rPr>
          <w:b/>
          <w:bCs/>
          <w:i/>
          <w:sz w:val="22"/>
          <w:szCs w:val="22"/>
        </w:rPr>
      </w:pPr>
    </w:p>
    <w:p w:rsidR="006C71EC" w:rsidRPr="00660897" w:rsidRDefault="006C71EC" w:rsidP="00B363CD">
      <w:pPr>
        <w:widowControl/>
        <w:spacing w:before="240" w:after="120"/>
        <w:rPr>
          <w:b/>
          <w:bCs/>
          <w:i/>
          <w:sz w:val="22"/>
          <w:szCs w:val="22"/>
        </w:rPr>
      </w:pPr>
      <w:r w:rsidRPr="00660897">
        <w:rPr>
          <w:b/>
          <w:bCs/>
          <w:i/>
          <w:sz w:val="22"/>
          <w:szCs w:val="22"/>
        </w:rPr>
        <w:t xml:space="preserve">Respondent Burden Changes: </w:t>
      </w:r>
      <w:r w:rsidR="004907CC" w:rsidRPr="00660897">
        <w:rPr>
          <w:b/>
          <w:bCs/>
          <w:i/>
          <w:sz w:val="22"/>
          <w:szCs w:val="22"/>
        </w:rPr>
        <w:t>Alternative Closure Requirements under (</w:t>
      </w:r>
      <w:r w:rsidRPr="00660897">
        <w:rPr>
          <w:b/>
          <w:bCs/>
          <w:i/>
          <w:sz w:val="22"/>
          <w:szCs w:val="22"/>
        </w:rPr>
        <w:t>CCR Re</w:t>
      </w:r>
      <w:r w:rsidR="004907CC" w:rsidRPr="00660897">
        <w:rPr>
          <w:b/>
          <w:bCs/>
          <w:i/>
          <w:sz w:val="22"/>
          <w:szCs w:val="22"/>
        </w:rPr>
        <w:t>mand Rule Additional Provision 1)</w:t>
      </w:r>
      <w:r w:rsidRPr="00660897">
        <w:rPr>
          <w:b/>
          <w:bCs/>
          <w:i/>
          <w:sz w:val="22"/>
          <w:szCs w:val="22"/>
        </w:rPr>
        <w:t xml:space="preserve"> </w:t>
      </w:r>
    </w:p>
    <w:p w:rsidR="006C71EC" w:rsidRPr="00660897" w:rsidRDefault="006C71EC"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 xml:space="preserve">Within certain geographic regions, CCR Remand Rule Additional Provision 1 expands </w:t>
      </w:r>
      <w:r w:rsidR="00B830C3" w:rsidRPr="00660897">
        <w:rPr>
          <w:sz w:val="22"/>
          <w:szCs w:val="22"/>
        </w:rPr>
        <w:t xml:space="preserve">the alternative closure provisions of the 2015 CCR Rule under 40 CFR 257.103 to </w:t>
      </w:r>
      <w:r w:rsidRPr="00660897">
        <w:rPr>
          <w:sz w:val="22"/>
          <w:szCs w:val="22"/>
        </w:rPr>
        <w:t xml:space="preserve">qualifying plants with units that would otherwise be required to close based on </w:t>
      </w:r>
      <w:r w:rsidR="00B830C3" w:rsidRPr="00660897">
        <w:rPr>
          <w:sz w:val="22"/>
          <w:szCs w:val="22"/>
        </w:rPr>
        <w:t xml:space="preserve">that </w:t>
      </w:r>
      <w:r w:rsidRPr="00660897">
        <w:rPr>
          <w:sz w:val="22"/>
          <w:szCs w:val="22"/>
        </w:rPr>
        <w:t>have no alternative disposal capacity for non-CCR wastes</w:t>
      </w:r>
      <w:r w:rsidR="00B830C3" w:rsidRPr="00660897">
        <w:rPr>
          <w:sz w:val="22"/>
          <w:szCs w:val="22"/>
        </w:rPr>
        <w:t>. Qualifying plants are those who are in regions located in or serving specific electrical markets, and are able to demonstrate lack of disposal capacity as required under the CCR rule. P</w:t>
      </w:r>
      <w:r w:rsidRPr="00660897">
        <w:rPr>
          <w:sz w:val="22"/>
          <w:szCs w:val="22"/>
        </w:rPr>
        <w:t xml:space="preserve">ending approval, </w:t>
      </w:r>
      <w:r w:rsidR="00B830C3" w:rsidRPr="00660897">
        <w:rPr>
          <w:sz w:val="22"/>
          <w:szCs w:val="22"/>
        </w:rPr>
        <w:t xml:space="preserve">these plants </w:t>
      </w:r>
      <w:r w:rsidRPr="00660897">
        <w:rPr>
          <w:sz w:val="22"/>
          <w:szCs w:val="22"/>
        </w:rPr>
        <w:t>may delay final</w:t>
      </w:r>
      <w:r w:rsidR="00B830C3" w:rsidRPr="00660897">
        <w:rPr>
          <w:sz w:val="22"/>
          <w:szCs w:val="22"/>
        </w:rPr>
        <w:t xml:space="preserve"> unit</w:t>
      </w:r>
      <w:r w:rsidRPr="00660897">
        <w:rPr>
          <w:sz w:val="22"/>
          <w:szCs w:val="22"/>
        </w:rPr>
        <w:t xml:space="preserve"> closure requirements (and documentation required under 40.257.102, 40. 257.103) for up to five years.</w:t>
      </w:r>
      <w:r w:rsidR="00B830C3" w:rsidRPr="00660897">
        <w:rPr>
          <w:sz w:val="22"/>
          <w:szCs w:val="22"/>
        </w:rPr>
        <w:t xml:space="preserve"> </w:t>
      </w:r>
    </w:p>
    <w:p w:rsidR="006C71EC" w:rsidRPr="00660897" w:rsidRDefault="00B830C3" w:rsidP="00B363CD">
      <w:pPr>
        <w:widowControl/>
        <w:spacing w:before="240" w:after="120"/>
        <w:ind w:firstLine="720"/>
        <w:rPr>
          <w:b/>
          <w:bCs/>
          <w:i/>
          <w:sz w:val="22"/>
          <w:szCs w:val="22"/>
        </w:rPr>
      </w:pPr>
      <w:r w:rsidRPr="00660897">
        <w:rPr>
          <w:sz w:val="22"/>
          <w:szCs w:val="22"/>
        </w:rPr>
        <w:t xml:space="preserve">Because the implementation schedule for the 2015 CCR Rule mandates documentation for alternative closure no sooner than 2020, the only activities within the scope of this ICR are the initial filings for plants wishing to demonstrate lack of alternative capacity in 2020. This represents an increase in information collection from those plants, followed by a delay in information collection associated with unit closure (if units remain open). That delay will be reflected in future ICRs. </w:t>
      </w:r>
      <w:r w:rsidR="00D31B6B" w:rsidRPr="00660897">
        <w:rPr>
          <w:sz w:val="22"/>
          <w:szCs w:val="22"/>
        </w:rPr>
        <w:t>Exhibit 6-4</w:t>
      </w:r>
      <w:r w:rsidR="006C71EC" w:rsidRPr="00660897">
        <w:rPr>
          <w:sz w:val="22"/>
          <w:szCs w:val="22"/>
        </w:rPr>
        <w:t xml:space="preserve"> presents the estimates of annual respondent burden (in hours) for changes in non-groundwater release response and reporting under Remand Rule </w:t>
      </w:r>
      <w:r w:rsidRPr="00660897">
        <w:rPr>
          <w:sz w:val="22"/>
          <w:szCs w:val="22"/>
        </w:rPr>
        <w:t xml:space="preserve">Alternative </w:t>
      </w:r>
      <w:r w:rsidR="006C71EC" w:rsidRPr="00660897">
        <w:rPr>
          <w:sz w:val="22"/>
          <w:szCs w:val="22"/>
        </w:rPr>
        <w:t xml:space="preserve">Provision 1. </w:t>
      </w:r>
    </w:p>
    <w:p w:rsidR="006C71EC" w:rsidRPr="00660897" w:rsidRDefault="006C71EC" w:rsidP="00B363CD">
      <w:pPr>
        <w:pStyle w:val="Caption"/>
        <w:keepNext/>
        <w:widowControl/>
        <w:spacing w:before="120" w:after="0"/>
        <w:jc w:val="center"/>
        <w:rPr>
          <w:b/>
          <w:i w:val="0"/>
          <w:color w:val="auto"/>
          <w:sz w:val="22"/>
          <w:szCs w:val="22"/>
        </w:rPr>
      </w:pPr>
      <w:r w:rsidRPr="00660897">
        <w:rPr>
          <w:b/>
          <w:i w:val="0"/>
          <w:color w:val="auto"/>
          <w:sz w:val="22"/>
          <w:szCs w:val="22"/>
        </w:rPr>
        <w:t>Exhibit 6-</w:t>
      </w:r>
      <w:r w:rsidR="00D31B6B" w:rsidRPr="00660897">
        <w:rPr>
          <w:b/>
          <w:i w:val="0"/>
          <w:color w:val="auto"/>
          <w:sz w:val="22"/>
          <w:szCs w:val="22"/>
        </w:rPr>
        <w:t>4</w:t>
      </w:r>
      <w:r w:rsidRPr="00660897">
        <w:rPr>
          <w:b/>
          <w:i w:val="0"/>
          <w:color w:val="auto"/>
          <w:sz w:val="22"/>
          <w:szCs w:val="22"/>
        </w:rPr>
        <w:t xml:space="preserve">: </w:t>
      </w:r>
      <w:r w:rsidR="00D31B6B" w:rsidRPr="00660897">
        <w:rPr>
          <w:b/>
          <w:i w:val="0"/>
          <w:color w:val="auto"/>
          <w:sz w:val="22"/>
          <w:szCs w:val="22"/>
        </w:rPr>
        <w:t>CCR Remand Rule Additional Provision 1: Alternative Closure Requirements</w:t>
      </w:r>
      <w:r w:rsidRPr="00660897">
        <w:rPr>
          <w:b/>
          <w:i w:val="0"/>
          <w:color w:val="auto"/>
          <w:sz w:val="22"/>
          <w:szCs w:val="22"/>
        </w:rPr>
        <w:t xml:space="preserve"> </w:t>
      </w:r>
    </w:p>
    <w:p w:rsidR="006C71EC" w:rsidRPr="00660897" w:rsidRDefault="006C71EC" w:rsidP="00B363CD">
      <w:pPr>
        <w:pStyle w:val="Caption"/>
        <w:keepNext/>
        <w:widowControl/>
        <w:spacing w:before="120" w:after="0"/>
        <w:jc w:val="center"/>
        <w:rPr>
          <w:b/>
          <w:i w:val="0"/>
          <w:color w:val="auto"/>
          <w:sz w:val="22"/>
          <w:szCs w:val="22"/>
        </w:rPr>
      </w:pPr>
      <w:r w:rsidRPr="00660897">
        <w:rPr>
          <w:b/>
          <w:i w:val="0"/>
          <w:color w:val="auto"/>
          <w:sz w:val="22"/>
          <w:szCs w:val="22"/>
        </w:rPr>
        <w:t>(Burden in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1060"/>
        <w:gridCol w:w="742"/>
        <w:gridCol w:w="704"/>
        <w:gridCol w:w="736"/>
        <w:gridCol w:w="990"/>
        <w:gridCol w:w="982"/>
        <w:gridCol w:w="926"/>
      </w:tblGrid>
      <w:tr w:rsidR="006C71EC" w:rsidRPr="00660897" w:rsidTr="00225389">
        <w:trPr>
          <w:trHeight w:val="1061"/>
        </w:trPr>
        <w:tc>
          <w:tcPr>
            <w:tcW w:w="3436" w:type="dxa"/>
            <w:shd w:val="clear" w:color="auto" w:fill="auto"/>
            <w:vAlign w:val="center"/>
            <w:hideMark/>
          </w:tcPr>
          <w:p w:rsidR="006C71EC" w:rsidRPr="00660897" w:rsidRDefault="006C71EC" w:rsidP="00B363CD">
            <w:pPr>
              <w:widowControl/>
              <w:adjustRightInd/>
              <w:rPr>
                <w:b/>
                <w:bCs/>
                <w:color w:val="000000"/>
                <w:sz w:val="20"/>
                <w:szCs w:val="20"/>
              </w:rPr>
            </w:pPr>
            <w:r w:rsidRPr="00660897">
              <w:rPr>
                <w:b/>
                <w:bCs/>
                <w:color w:val="000000"/>
                <w:sz w:val="20"/>
                <w:szCs w:val="20"/>
              </w:rPr>
              <w:t>Activity</w:t>
            </w:r>
          </w:p>
        </w:tc>
        <w:tc>
          <w:tcPr>
            <w:tcW w:w="1060"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 xml:space="preserve">Number of </w:t>
            </w:r>
            <w:r w:rsidR="000E6714" w:rsidRPr="00660897">
              <w:rPr>
                <w:b/>
                <w:bCs/>
                <w:color w:val="000000"/>
                <w:sz w:val="20"/>
                <w:szCs w:val="20"/>
              </w:rPr>
              <w:t>Respon. Activities</w:t>
            </w:r>
          </w:p>
        </w:tc>
        <w:tc>
          <w:tcPr>
            <w:tcW w:w="742"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Legal</w:t>
            </w:r>
          </w:p>
        </w:tc>
        <w:tc>
          <w:tcPr>
            <w:tcW w:w="704"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Mgr.</w:t>
            </w:r>
          </w:p>
        </w:tc>
        <w:tc>
          <w:tcPr>
            <w:tcW w:w="736"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Tech.</w:t>
            </w:r>
          </w:p>
        </w:tc>
        <w:tc>
          <w:tcPr>
            <w:tcW w:w="990"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Clerical</w:t>
            </w:r>
          </w:p>
        </w:tc>
        <w:tc>
          <w:tcPr>
            <w:tcW w:w="982"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Hours Per Activity</w:t>
            </w:r>
          </w:p>
        </w:tc>
        <w:tc>
          <w:tcPr>
            <w:tcW w:w="926" w:type="dxa"/>
            <w:shd w:val="clear" w:color="auto" w:fill="auto"/>
            <w:vAlign w:val="center"/>
            <w:hideMark/>
          </w:tcPr>
          <w:p w:rsidR="006C71EC" w:rsidRPr="00660897" w:rsidRDefault="006C71EC" w:rsidP="00B363CD">
            <w:pPr>
              <w:widowControl/>
              <w:adjustRightInd/>
              <w:jc w:val="center"/>
              <w:rPr>
                <w:b/>
                <w:bCs/>
                <w:color w:val="000000"/>
                <w:sz w:val="20"/>
                <w:szCs w:val="20"/>
              </w:rPr>
            </w:pPr>
            <w:r w:rsidRPr="00660897">
              <w:rPr>
                <w:b/>
                <w:bCs/>
                <w:color w:val="000000"/>
                <w:sz w:val="20"/>
                <w:szCs w:val="20"/>
              </w:rPr>
              <w:t>Total Labor Burden</w:t>
            </w:r>
          </w:p>
        </w:tc>
      </w:tr>
      <w:tr w:rsidR="004D667C" w:rsidRPr="00660897" w:rsidTr="006C71EC">
        <w:trPr>
          <w:trHeight w:val="315"/>
        </w:trPr>
        <w:tc>
          <w:tcPr>
            <w:tcW w:w="3436" w:type="dxa"/>
            <w:shd w:val="clear" w:color="auto" w:fill="auto"/>
            <w:vAlign w:val="center"/>
            <w:hideMark/>
          </w:tcPr>
          <w:p w:rsidR="004D667C" w:rsidRPr="00660897" w:rsidRDefault="004D667C" w:rsidP="00B363CD">
            <w:pPr>
              <w:widowControl/>
              <w:rPr>
                <w:sz w:val="18"/>
                <w:szCs w:val="18"/>
              </w:rPr>
            </w:pPr>
            <w:r w:rsidRPr="00660897">
              <w:rPr>
                <w:sz w:val="18"/>
                <w:szCs w:val="18"/>
              </w:rPr>
              <w:t>Obtain certification required under 40 CFR 257.103(a)(1)</w:t>
            </w:r>
          </w:p>
        </w:tc>
        <w:tc>
          <w:tcPr>
            <w:tcW w:w="1060" w:type="dxa"/>
            <w:shd w:val="clear" w:color="auto" w:fill="auto"/>
            <w:noWrap/>
            <w:vAlign w:val="center"/>
          </w:tcPr>
          <w:p w:rsidR="004D667C" w:rsidRPr="00660897" w:rsidRDefault="004D667C" w:rsidP="00B363CD">
            <w:pPr>
              <w:widowControl/>
              <w:jc w:val="center"/>
              <w:rPr>
                <w:sz w:val="18"/>
                <w:szCs w:val="18"/>
              </w:rPr>
            </w:pPr>
            <w:r w:rsidRPr="00660897">
              <w:rPr>
                <w:sz w:val="18"/>
                <w:szCs w:val="18"/>
              </w:rPr>
              <w:t>51</w:t>
            </w:r>
          </w:p>
        </w:tc>
        <w:tc>
          <w:tcPr>
            <w:tcW w:w="742" w:type="dxa"/>
            <w:shd w:val="clear" w:color="auto" w:fill="auto"/>
            <w:noWrap/>
            <w:vAlign w:val="center"/>
          </w:tcPr>
          <w:p w:rsidR="004D667C" w:rsidRPr="00660897" w:rsidRDefault="004D667C" w:rsidP="00B363CD">
            <w:pPr>
              <w:widowControl/>
              <w:jc w:val="right"/>
              <w:rPr>
                <w:sz w:val="18"/>
                <w:szCs w:val="18"/>
              </w:rPr>
            </w:pPr>
            <w:r w:rsidRPr="00660897">
              <w:rPr>
                <w:sz w:val="18"/>
                <w:szCs w:val="18"/>
              </w:rPr>
              <w:t>0.00</w:t>
            </w:r>
          </w:p>
        </w:tc>
        <w:tc>
          <w:tcPr>
            <w:tcW w:w="704" w:type="dxa"/>
            <w:shd w:val="clear" w:color="auto" w:fill="auto"/>
            <w:noWrap/>
            <w:vAlign w:val="center"/>
          </w:tcPr>
          <w:p w:rsidR="004D667C" w:rsidRPr="00660897" w:rsidRDefault="004D667C" w:rsidP="00B363CD">
            <w:pPr>
              <w:widowControl/>
              <w:jc w:val="right"/>
              <w:rPr>
                <w:sz w:val="18"/>
                <w:szCs w:val="18"/>
              </w:rPr>
            </w:pPr>
            <w:r w:rsidRPr="00660897">
              <w:rPr>
                <w:sz w:val="18"/>
                <w:szCs w:val="18"/>
              </w:rPr>
              <w:t>0.00</w:t>
            </w:r>
          </w:p>
        </w:tc>
        <w:tc>
          <w:tcPr>
            <w:tcW w:w="736" w:type="dxa"/>
            <w:shd w:val="clear" w:color="auto" w:fill="auto"/>
            <w:noWrap/>
            <w:vAlign w:val="center"/>
          </w:tcPr>
          <w:p w:rsidR="004D667C" w:rsidRPr="00660897" w:rsidRDefault="004D667C" w:rsidP="00B363CD">
            <w:pPr>
              <w:widowControl/>
              <w:jc w:val="right"/>
              <w:rPr>
                <w:sz w:val="18"/>
                <w:szCs w:val="18"/>
              </w:rPr>
            </w:pPr>
            <w:r w:rsidRPr="00660897">
              <w:rPr>
                <w:sz w:val="18"/>
                <w:szCs w:val="18"/>
              </w:rPr>
              <w:t>3.00</w:t>
            </w:r>
          </w:p>
        </w:tc>
        <w:tc>
          <w:tcPr>
            <w:tcW w:w="990" w:type="dxa"/>
            <w:shd w:val="clear" w:color="auto" w:fill="auto"/>
            <w:noWrap/>
            <w:vAlign w:val="center"/>
          </w:tcPr>
          <w:p w:rsidR="004D667C" w:rsidRPr="00660897" w:rsidRDefault="004D667C" w:rsidP="00B363CD">
            <w:pPr>
              <w:widowControl/>
              <w:jc w:val="right"/>
              <w:rPr>
                <w:sz w:val="18"/>
                <w:szCs w:val="18"/>
              </w:rPr>
            </w:pPr>
            <w:r w:rsidRPr="00660897">
              <w:rPr>
                <w:sz w:val="18"/>
                <w:szCs w:val="18"/>
              </w:rPr>
              <w:t>0.50</w:t>
            </w:r>
          </w:p>
        </w:tc>
        <w:tc>
          <w:tcPr>
            <w:tcW w:w="98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3.50</w:t>
            </w:r>
          </w:p>
        </w:tc>
        <w:tc>
          <w:tcPr>
            <w:tcW w:w="92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178.50</w:t>
            </w:r>
          </w:p>
        </w:tc>
      </w:tr>
      <w:tr w:rsidR="004D667C" w:rsidRPr="00660897" w:rsidTr="006C71EC">
        <w:trPr>
          <w:trHeight w:val="315"/>
        </w:trPr>
        <w:tc>
          <w:tcPr>
            <w:tcW w:w="3436" w:type="dxa"/>
            <w:shd w:val="clear" w:color="auto" w:fill="auto"/>
            <w:vAlign w:val="center"/>
            <w:hideMark/>
          </w:tcPr>
          <w:p w:rsidR="004D667C" w:rsidRPr="00660897" w:rsidRDefault="004D667C" w:rsidP="00B363CD">
            <w:pPr>
              <w:widowControl/>
              <w:rPr>
                <w:sz w:val="18"/>
                <w:szCs w:val="18"/>
              </w:rPr>
            </w:pPr>
            <w:r w:rsidRPr="00660897">
              <w:rPr>
                <w:sz w:val="18"/>
                <w:szCs w:val="18"/>
              </w:rPr>
              <w:t>Document that there is no alternative CCR disposal capacity</w:t>
            </w:r>
          </w:p>
        </w:tc>
        <w:tc>
          <w:tcPr>
            <w:tcW w:w="1060" w:type="dxa"/>
            <w:shd w:val="clear" w:color="auto" w:fill="auto"/>
            <w:noWrap/>
            <w:vAlign w:val="center"/>
          </w:tcPr>
          <w:p w:rsidR="004D667C" w:rsidRPr="00660897" w:rsidRDefault="004D667C" w:rsidP="00B363CD">
            <w:pPr>
              <w:widowControl/>
              <w:jc w:val="center"/>
              <w:rPr>
                <w:sz w:val="18"/>
                <w:szCs w:val="18"/>
              </w:rPr>
            </w:pPr>
            <w:r w:rsidRPr="00660897">
              <w:rPr>
                <w:sz w:val="18"/>
                <w:szCs w:val="18"/>
              </w:rPr>
              <w:t>51</w:t>
            </w:r>
          </w:p>
        </w:tc>
        <w:tc>
          <w:tcPr>
            <w:tcW w:w="742" w:type="dxa"/>
            <w:shd w:val="clear" w:color="auto" w:fill="auto"/>
            <w:noWrap/>
            <w:vAlign w:val="center"/>
          </w:tcPr>
          <w:p w:rsidR="004D667C" w:rsidRPr="00660897" w:rsidRDefault="004D667C" w:rsidP="00B363CD">
            <w:pPr>
              <w:widowControl/>
              <w:jc w:val="right"/>
              <w:rPr>
                <w:sz w:val="18"/>
                <w:szCs w:val="18"/>
              </w:rPr>
            </w:pPr>
            <w:r w:rsidRPr="00660897">
              <w:rPr>
                <w:sz w:val="18"/>
                <w:szCs w:val="18"/>
              </w:rPr>
              <w:t>0.00</w:t>
            </w:r>
          </w:p>
        </w:tc>
        <w:tc>
          <w:tcPr>
            <w:tcW w:w="704" w:type="dxa"/>
            <w:shd w:val="clear" w:color="auto" w:fill="auto"/>
            <w:noWrap/>
            <w:vAlign w:val="center"/>
          </w:tcPr>
          <w:p w:rsidR="004D667C" w:rsidRPr="00660897" w:rsidRDefault="004D667C" w:rsidP="00B363CD">
            <w:pPr>
              <w:widowControl/>
              <w:jc w:val="right"/>
              <w:rPr>
                <w:sz w:val="18"/>
                <w:szCs w:val="18"/>
              </w:rPr>
            </w:pPr>
            <w:r w:rsidRPr="00660897">
              <w:rPr>
                <w:sz w:val="18"/>
                <w:szCs w:val="18"/>
              </w:rPr>
              <w:t>1.00</w:t>
            </w:r>
          </w:p>
        </w:tc>
        <w:tc>
          <w:tcPr>
            <w:tcW w:w="736" w:type="dxa"/>
            <w:shd w:val="clear" w:color="auto" w:fill="auto"/>
            <w:noWrap/>
            <w:vAlign w:val="center"/>
          </w:tcPr>
          <w:p w:rsidR="004D667C" w:rsidRPr="00660897" w:rsidRDefault="004D667C" w:rsidP="00B363CD">
            <w:pPr>
              <w:widowControl/>
              <w:jc w:val="right"/>
              <w:rPr>
                <w:sz w:val="18"/>
                <w:szCs w:val="18"/>
              </w:rPr>
            </w:pPr>
            <w:r w:rsidRPr="00660897">
              <w:rPr>
                <w:sz w:val="18"/>
                <w:szCs w:val="18"/>
              </w:rPr>
              <w:t>16.00</w:t>
            </w:r>
          </w:p>
        </w:tc>
        <w:tc>
          <w:tcPr>
            <w:tcW w:w="990" w:type="dxa"/>
            <w:shd w:val="clear" w:color="auto" w:fill="auto"/>
            <w:noWrap/>
            <w:vAlign w:val="center"/>
          </w:tcPr>
          <w:p w:rsidR="004D667C" w:rsidRPr="00660897" w:rsidRDefault="004D667C" w:rsidP="00B363CD">
            <w:pPr>
              <w:widowControl/>
              <w:jc w:val="right"/>
              <w:rPr>
                <w:sz w:val="18"/>
                <w:szCs w:val="18"/>
              </w:rPr>
            </w:pPr>
            <w:r w:rsidRPr="00660897">
              <w:rPr>
                <w:sz w:val="18"/>
                <w:szCs w:val="18"/>
              </w:rPr>
              <w:t>3.00</w:t>
            </w:r>
          </w:p>
        </w:tc>
        <w:tc>
          <w:tcPr>
            <w:tcW w:w="98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20.00</w:t>
            </w:r>
          </w:p>
        </w:tc>
        <w:tc>
          <w:tcPr>
            <w:tcW w:w="92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1,020.00</w:t>
            </w:r>
          </w:p>
        </w:tc>
      </w:tr>
      <w:tr w:rsidR="004D667C" w:rsidRPr="00660897" w:rsidTr="006C71EC">
        <w:trPr>
          <w:trHeight w:val="315"/>
        </w:trPr>
        <w:tc>
          <w:tcPr>
            <w:tcW w:w="3436" w:type="dxa"/>
            <w:shd w:val="clear" w:color="auto" w:fill="auto"/>
            <w:vAlign w:val="center"/>
            <w:hideMark/>
          </w:tcPr>
          <w:p w:rsidR="004D667C" w:rsidRPr="00660897" w:rsidRDefault="004D667C" w:rsidP="00B363CD">
            <w:pPr>
              <w:widowControl/>
              <w:rPr>
                <w:sz w:val="18"/>
                <w:szCs w:val="18"/>
              </w:rPr>
            </w:pPr>
            <w:r w:rsidRPr="00660897">
              <w:rPr>
                <w:sz w:val="18"/>
                <w:szCs w:val="18"/>
              </w:rPr>
              <w:t>Prepare notification required under 40 CFR 257.103(c)(1)</w:t>
            </w:r>
          </w:p>
        </w:tc>
        <w:tc>
          <w:tcPr>
            <w:tcW w:w="1060" w:type="dxa"/>
            <w:shd w:val="clear" w:color="auto" w:fill="auto"/>
            <w:noWrap/>
            <w:vAlign w:val="center"/>
            <w:hideMark/>
          </w:tcPr>
          <w:p w:rsidR="004D667C" w:rsidRPr="00660897" w:rsidRDefault="004D667C" w:rsidP="00B363CD">
            <w:pPr>
              <w:widowControl/>
              <w:jc w:val="center"/>
              <w:rPr>
                <w:sz w:val="18"/>
                <w:szCs w:val="18"/>
              </w:rPr>
            </w:pPr>
            <w:r w:rsidRPr="00660897">
              <w:rPr>
                <w:sz w:val="18"/>
                <w:szCs w:val="18"/>
              </w:rPr>
              <w:t>51</w:t>
            </w:r>
          </w:p>
        </w:tc>
        <w:tc>
          <w:tcPr>
            <w:tcW w:w="74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0.50</w:t>
            </w:r>
          </w:p>
        </w:tc>
        <w:tc>
          <w:tcPr>
            <w:tcW w:w="73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98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0.50</w:t>
            </w:r>
          </w:p>
        </w:tc>
        <w:tc>
          <w:tcPr>
            <w:tcW w:w="92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25.50</w:t>
            </w:r>
          </w:p>
        </w:tc>
      </w:tr>
      <w:tr w:rsidR="004D667C" w:rsidRPr="00660897" w:rsidTr="006C71EC">
        <w:trPr>
          <w:trHeight w:val="315"/>
        </w:trPr>
        <w:tc>
          <w:tcPr>
            <w:tcW w:w="3436" w:type="dxa"/>
            <w:shd w:val="clear" w:color="auto" w:fill="auto"/>
            <w:vAlign w:val="center"/>
            <w:hideMark/>
          </w:tcPr>
          <w:p w:rsidR="004D667C" w:rsidRPr="00660897" w:rsidRDefault="004D667C" w:rsidP="00B363CD">
            <w:pPr>
              <w:widowControl/>
              <w:rPr>
                <w:sz w:val="18"/>
                <w:szCs w:val="18"/>
              </w:rPr>
            </w:pPr>
            <w:r w:rsidRPr="00660897">
              <w:rPr>
                <w:sz w:val="18"/>
                <w:szCs w:val="18"/>
              </w:rPr>
              <w:t>Prepare notification required under 40 CFR 257.103(c)(3)</w:t>
            </w:r>
          </w:p>
        </w:tc>
        <w:tc>
          <w:tcPr>
            <w:tcW w:w="1060" w:type="dxa"/>
            <w:shd w:val="clear" w:color="auto" w:fill="auto"/>
            <w:noWrap/>
            <w:vAlign w:val="center"/>
            <w:hideMark/>
          </w:tcPr>
          <w:p w:rsidR="004D667C" w:rsidRPr="00660897" w:rsidRDefault="004D667C" w:rsidP="00B363CD">
            <w:pPr>
              <w:widowControl/>
              <w:jc w:val="center"/>
              <w:rPr>
                <w:sz w:val="18"/>
                <w:szCs w:val="18"/>
              </w:rPr>
            </w:pPr>
            <w:r w:rsidRPr="00660897">
              <w:rPr>
                <w:sz w:val="18"/>
                <w:szCs w:val="18"/>
              </w:rPr>
              <w:t>51</w:t>
            </w:r>
          </w:p>
        </w:tc>
        <w:tc>
          <w:tcPr>
            <w:tcW w:w="74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0.50</w:t>
            </w:r>
          </w:p>
        </w:tc>
        <w:tc>
          <w:tcPr>
            <w:tcW w:w="73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0.00</w:t>
            </w:r>
          </w:p>
        </w:tc>
        <w:tc>
          <w:tcPr>
            <w:tcW w:w="982"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0.50</w:t>
            </w:r>
          </w:p>
        </w:tc>
        <w:tc>
          <w:tcPr>
            <w:tcW w:w="926" w:type="dxa"/>
            <w:shd w:val="clear" w:color="auto" w:fill="auto"/>
            <w:noWrap/>
            <w:vAlign w:val="center"/>
            <w:hideMark/>
          </w:tcPr>
          <w:p w:rsidR="004D667C" w:rsidRPr="00660897" w:rsidRDefault="004D667C" w:rsidP="00B363CD">
            <w:pPr>
              <w:widowControl/>
              <w:jc w:val="right"/>
              <w:rPr>
                <w:sz w:val="18"/>
                <w:szCs w:val="18"/>
              </w:rPr>
            </w:pPr>
            <w:r w:rsidRPr="00660897">
              <w:rPr>
                <w:sz w:val="18"/>
                <w:szCs w:val="18"/>
              </w:rPr>
              <w:t>25.50</w:t>
            </w:r>
          </w:p>
        </w:tc>
      </w:tr>
      <w:tr w:rsidR="003731F2" w:rsidRPr="00660897" w:rsidTr="006C71EC">
        <w:trPr>
          <w:trHeight w:val="315"/>
        </w:trPr>
        <w:tc>
          <w:tcPr>
            <w:tcW w:w="3436" w:type="dxa"/>
            <w:shd w:val="clear" w:color="auto" w:fill="auto"/>
            <w:vAlign w:val="center"/>
            <w:hideMark/>
          </w:tcPr>
          <w:p w:rsidR="003731F2" w:rsidRPr="00660897" w:rsidRDefault="003731F2" w:rsidP="00B363CD">
            <w:pPr>
              <w:widowControl/>
              <w:rPr>
                <w:sz w:val="18"/>
                <w:szCs w:val="18"/>
              </w:rPr>
            </w:pPr>
            <w:r w:rsidRPr="00660897">
              <w:rPr>
                <w:sz w:val="18"/>
                <w:szCs w:val="18"/>
              </w:rPr>
              <w:t>Place the notification required under 40 CFR 257.103(c)(1) in the facility’s operating record.</w:t>
            </w:r>
          </w:p>
        </w:tc>
        <w:tc>
          <w:tcPr>
            <w:tcW w:w="1060" w:type="dxa"/>
            <w:shd w:val="clear" w:color="auto" w:fill="auto"/>
            <w:noWrap/>
            <w:vAlign w:val="center"/>
            <w:hideMark/>
          </w:tcPr>
          <w:p w:rsidR="003731F2" w:rsidRPr="00660897" w:rsidRDefault="003731F2" w:rsidP="00B363CD">
            <w:pPr>
              <w:widowControl/>
              <w:jc w:val="center"/>
              <w:rPr>
                <w:sz w:val="18"/>
                <w:szCs w:val="18"/>
              </w:rPr>
            </w:pPr>
            <w:r w:rsidRPr="00660897">
              <w:rPr>
                <w:sz w:val="18"/>
                <w:szCs w:val="18"/>
              </w:rPr>
              <w:t>51</w:t>
            </w:r>
          </w:p>
        </w:tc>
        <w:tc>
          <w:tcPr>
            <w:tcW w:w="742"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0.00</w:t>
            </w:r>
          </w:p>
        </w:tc>
        <w:tc>
          <w:tcPr>
            <w:tcW w:w="704"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0.00</w:t>
            </w:r>
          </w:p>
        </w:tc>
        <w:tc>
          <w:tcPr>
            <w:tcW w:w="736"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0.00</w:t>
            </w:r>
          </w:p>
        </w:tc>
        <w:tc>
          <w:tcPr>
            <w:tcW w:w="990"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0.02</w:t>
            </w:r>
          </w:p>
        </w:tc>
        <w:tc>
          <w:tcPr>
            <w:tcW w:w="982"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0.02</w:t>
            </w:r>
          </w:p>
        </w:tc>
        <w:tc>
          <w:tcPr>
            <w:tcW w:w="926" w:type="dxa"/>
            <w:shd w:val="clear" w:color="auto" w:fill="auto"/>
            <w:noWrap/>
            <w:vAlign w:val="center"/>
            <w:hideMark/>
          </w:tcPr>
          <w:p w:rsidR="003731F2" w:rsidRPr="00660897" w:rsidRDefault="003731F2" w:rsidP="00B363CD">
            <w:pPr>
              <w:widowControl/>
              <w:jc w:val="right"/>
              <w:rPr>
                <w:sz w:val="18"/>
                <w:szCs w:val="18"/>
              </w:rPr>
            </w:pPr>
            <w:r w:rsidRPr="00660897">
              <w:rPr>
                <w:sz w:val="18"/>
                <w:szCs w:val="18"/>
              </w:rPr>
              <w:t>1.02</w:t>
            </w:r>
          </w:p>
        </w:tc>
      </w:tr>
      <w:tr w:rsidR="006C71EC" w:rsidRPr="00660897" w:rsidTr="006C71EC">
        <w:trPr>
          <w:trHeight w:val="315"/>
        </w:trPr>
        <w:tc>
          <w:tcPr>
            <w:tcW w:w="3436" w:type="dxa"/>
            <w:shd w:val="clear" w:color="auto" w:fill="auto"/>
            <w:vAlign w:val="center"/>
            <w:hideMark/>
          </w:tcPr>
          <w:p w:rsidR="006C71EC" w:rsidRPr="00660897" w:rsidRDefault="006C71EC" w:rsidP="00B363CD">
            <w:pPr>
              <w:widowControl/>
              <w:adjustRightInd/>
              <w:rPr>
                <w:b/>
                <w:bCs/>
                <w:color w:val="000000"/>
                <w:sz w:val="20"/>
                <w:szCs w:val="20"/>
              </w:rPr>
            </w:pPr>
            <w:r w:rsidRPr="00660897">
              <w:rPr>
                <w:b/>
                <w:bCs/>
                <w:color w:val="000000"/>
                <w:sz w:val="20"/>
                <w:szCs w:val="20"/>
              </w:rPr>
              <w:t>Total Burden Hours</w:t>
            </w:r>
          </w:p>
        </w:tc>
        <w:tc>
          <w:tcPr>
            <w:tcW w:w="1060" w:type="dxa"/>
            <w:shd w:val="clear" w:color="auto" w:fill="auto"/>
            <w:noWrap/>
            <w:vAlign w:val="center"/>
            <w:hideMark/>
          </w:tcPr>
          <w:p w:rsidR="006C71EC" w:rsidRPr="00660897" w:rsidRDefault="004D667C" w:rsidP="00B363CD">
            <w:pPr>
              <w:widowControl/>
              <w:jc w:val="center"/>
              <w:rPr>
                <w:b/>
                <w:bCs/>
                <w:sz w:val="20"/>
                <w:szCs w:val="20"/>
              </w:rPr>
            </w:pPr>
            <w:r w:rsidRPr="00660897">
              <w:rPr>
                <w:b/>
                <w:bCs/>
                <w:sz w:val="20"/>
                <w:szCs w:val="20"/>
              </w:rPr>
              <w:t>51</w:t>
            </w:r>
          </w:p>
        </w:tc>
        <w:tc>
          <w:tcPr>
            <w:tcW w:w="4154" w:type="dxa"/>
            <w:gridSpan w:val="5"/>
            <w:shd w:val="clear" w:color="auto" w:fill="auto"/>
            <w:noWrap/>
            <w:vAlign w:val="center"/>
          </w:tcPr>
          <w:p w:rsidR="006C71EC" w:rsidRPr="00660897" w:rsidRDefault="006C71EC" w:rsidP="00B363CD">
            <w:pPr>
              <w:widowControl/>
              <w:adjustRightInd/>
              <w:rPr>
                <w:b/>
                <w:bCs/>
                <w:color w:val="000000"/>
                <w:sz w:val="20"/>
                <w:szCs w:val="20"/>
              </w:rPr>
            </w:pPr>
          </w:p>
        </w:tc>
        <w:tc>
          <w:tcPr>
            <w:tcW w:w="926" w:type="dxa"/>
            <w:shd w:val="clear" w:color="auto" w:fill="auto"/>
            <w:noWrap/>
            <w:vAlign w:val="center"/>
            <w:hideMark/>
          </w:tcPr>
          <w:p w:rsidR="006C71EC" w:rsidRPr="00660897" w:rsidRDefault="00B830C3" w:rsidP="00B363CD">
            <w:pPr>
              <w:widowControl/>
              <w:jc w:val="center"/>
              <w:rPr>
                <w:b/>
                <w:bCs/>
                <w:sz w:val="20"/>
                <w:szCs w:val="20"/>
              </w:rPr>
            </w:pPr>
            <w:r w:rsidRPr="00660897">
              <w:rPr>
                <w:b/>
                <w:bCs/>
                <w:sz w:val="20"/>
                <w:szCs w:val="20"/>
              </w:rPr>
              <w:t>1250.52</w:t>
            </w:r>
          </w:p>
        </w:tc>
      </w:tr>
    </w:tbl>
    <w:p w:rsidR="00D31B6B" w:rsidRPr="00660897" w:rsidRDefault="006C71EC" w:rsidP="00B363CD">
      <w:pPr>
        <w:widowControl/>
        <w:spacing w:before="240" w:after="120"/>
        <w:rPr>
          <w:b/>
          <w:bCs/>
          <w:i/>
          <w:sz w:val="22"/>
          <w:szCs w:val="22"/>
        </w:rPr>
      </w:pPr>
      <w:r w:rsidRPr="00660897">
        <w:rPr>
          <w:b/>
          <w:bCs/>
          <w:i/>
          <w:sz w:val="22"/>
          <w:szCs w:val="22"/>
        </w:rPr>
        <w:t xml:space="preserve">Respondent Burden </w:t>
      </w:r>
      <w:r w:rsidR="004907CC" w:rsidRPr="00660897">
        <w:rPr>
          <w:b/>
          <w:bCs/>
          <w:i/>
          <w:sz w:val="22"/>
          <w:szCs w:val="22"/>
        </w:rPr>
        <w:t>Changes</w:t>
      </w:r>
      <w:r w:rsidRPr="00660897">
        <w:rPr>
          <w:b/>
          <w:bCs/>
          <w:i/>
          <w:sz w:val="22"/>
          <w:szCs w:val="22"/>
        </w:rPr>
        <w:t xml:space="preserve">:  </w:t>
      </w:r>
      <w:r w:rsidR="004907CC" w:rsidRPr="00660897">
        <w:rPr>
          <w:b/>
          <w:bCs/>
          <w:i/>
          <w:sz w:val="22"/>
          <w:szCs w:val="22"/>
        </w:rPr>
        <w:t>Revise groundwater monitoring documentation for qualifying facilities</w:t>
      </w:r>
      <w:r w:rsidR="00D31B6B" w:rsidRPr="00660897">
        <w:rPr>
          <w:b/>
          <w:bCs/>
          <w:i/>
          <w:sz w:val="22"/>
          <w:szCs w:val="22"/>
        </w:rPr>
        <w:t xml:space="preserve"> (</w:t>
      </w:r>
      <w:r w:rsidR="004907CC" w:rsidRPr="00660897">
        <w:rPr>
          <w:b/>
          <w:bCs/>
          <w:i/>
          <w:sz w:val="22"/>
          <w:szCs w:val="22"/>
        </w:rPr>
        <w:t>WIIN Act Alternative Performance Standard 3</w:t>
      </w:r>
      <w:r w:rsidR="00D31B6B" w:rsidRPr="00660897">
        <w:rPr>
          <w:b/>
          <w:bCs/>
          <w:i/>
          <w:sz w:val="22"/>
          <w:szCs w:val="22"/>
        </w:rPr>
        <w:t>)</w:t>
      </w:r>
    </w:p>
    <w:p w:rsidR="00D31B6B" w:rsidRPr="00660897" w:rsidRDefault="00D31B6B" w:rsidP="00B363CD">
      <w:pPr>
        <w:widowControl/>
        <w:spacing w:before="240" w:after="120"/>
        <w:ind w:firstLine="720"/>
        <w:rPr>
          <w:b/>
          <w:bCs/>
          <w:i/>
          <w:sz w:val="22"/>
          <w:szCs w:val="22"/>
        </w:rPr>
      </w:pPr>
      <w:r w:rsidRPr="00660897">
        <w:rPr>
          <w:bCs/>
          <w:sz w:val="22"/>
          <w:szCs w:val="22"/>
        </w:rPr>
        <w:t>Under WIIN Act Alternative Performance Standard 3:</w:t>
      </w:r>
      <w:r w:rsidR="004907CC" w:rsidRPr="00660897">
        <w:rPr>
          <w:bCs/>
          <w:sz w:val="22"/>
          <w:szCs w:val="22"/>
        </w:rPr>
        <w:t xml:space="preserve"> Suspension of Groundwater Monitoring Requirements, qualifying plants with units that can successfully demonstrate “no migration” in states that adopt the relevant flexibility under the WIIN Act, may not be required to undertake groundwater monitoring and the associated documentation requirements under 40 CFR 257.90 through 98.</w:t>
      </w:r>
      <w:r w:rsidRPr="00660897">
        <w:rPr>
          <w:bCs/>
          <w:sz w:val="22"/>
          <w:szCs w:val="22"/>
        </w:rPr>
        <w:t xml:space="preserve"> Review of the federal requirements for “no migration” findings have determined that only one facility has achieved this status in 40 years. Therefore, the burden changes anticipated within the period of this ICR are negligible, and are not separately calculated. </w:t>
      </w:r>
    </w:p>
    <w:p w:rsidR="00DB38F5" w:rsidRPr="00660897" w:rsidRDefault="00DB38F5"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b/>
          <w:sz w:val="22"/>
          <w:szCs w:val="22"/>
        </w:rPr>
      </w:pPr>
      <w:r w:rsidRPr="00660897">
        <w:rPr>
          <w:b/>
          <w:i/>
          <w:sz w:val="22"/>
          <w:szCs w:val="22"/>
        </w:rPr>
        <w:t>Respondent Burden Changes: Third-Party Certification: Professional Engineer Certifications</w:t>
      </w:r>
      <w:r w:rsidRPr="00660897">
        <w:rPr>
          <w:b/>
          <w:sz w:val="22"/>
          <w:szCs w:val="22"/>
        </w:rPr>
        <w:t xml:space="preserve"> </w:t>
      </w:r>
      <w:r w:rsidR="00225389" w:rsidRPr="00660897">
        <w:rPr>
          <w:b/>
          <w:bCs/>
          <w:i/>
          <w:sz w:val="22"/>
          <w:szCs w:val="22"/>
        </w:rPr>
        <w:t>(WIIN Act Alternative Performance Standard 6)</w:t>
      </w:r>
    </w:p>
    <w:p w:rsidR="00DB38F5" w:rsidRPr="00660897" w:rsidRDefault="00C53868"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ab/>
      </w:r>
      <w:r w:rsidR="00DB38F5" w:rsidRPr="00660897">
        <w:rPr>
          <w:sz w:val="22"/>
          <w:szCs w:val="22"/>
        </w:rPr>
        <w:t xml:space="preserve">The 2015 CCR rule includes 40 provisions under that require technical demonstrations made by the owners or operator under 40 CFR 257. Under </w:t>
      </w:r>
      <w:r w:rsidR="00FF388A">
        <w:rPr>
          <w:sz w:val="22"/>
          <w:szCs w:val="22"/>
        </w:rPr>
        <w:t xml:space="preserve">the </w:t>
      </w:r>
      <w:r w:rsidR="00DB38F5" w:rsidRPr="00660897">
        <w:rPr>
          <w:sz w:val="22"/>
          <w:szCs w:val="22"/>
        </w:rPr>
        <w:t>WIIN Act</w:t>
      </w:r>
      <w:r w:rsidR="00FF388A">
        <w:rPr>
          <w:sz w:val="22"/>
          <w:szCs w:val="22"/>
        </w:rPr>
        <w:t>’s</w:t>
      </w:r>
      <w:r w:rsidR="00DB38F5" w:rsidRPr="00660897">
        <w:rPr>
          <w:sz w:val="22"/>
          <w:szCs w:val="22"/>
        </w:rPr>
        <w:t xml:space="preserve"> Alternative Performance Standard 6: Professional Engineer Certifications, eligible units in states adopting WIIN Act flexibilities would be able to forego the cost of third-party certification for some or all of these, if states determine that review by engineers at state agencies in place of third-party professional engineer certifications would provide c</w:t>
      </w:r>
      <w:r w:rsidR="00FF388A">
        <w:rPr>
          <w:sz w:val="22"/>
          <w:szCs w:val="22"/>
        </w:rPr>
        <w:t>omparable adequacy</w:t>
      </w:r>
      <w:r w:rsidR="00DB38F5" w:rsidRPr="00660897">
        <w:rPr>
          <w:sz w:val="22"/>
          <w:szCs w:val="22"/>
        </w:rPr>
        <w:t xml:space="preserve">. </w:t>
      </w:r>
    </w:p>
    <w:p w:rsidR="00E86A98" w:rsidRPr="00660897" w:rsidRDefault="00DB38F5"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ab/>
      </w:r>
      <w:r w:rsidR="00E86A98" w:rsidRPr="00660897">
        <w:rPr>
          <w:sz w:val="22"/>
          <w:szCs w:val="22"/>
        </w:rPr>
        <w:t>Of the 40 requirements:</w:t>
      </w:r>
    </w:p>
    <w:p w:rsidR="00E86A98" w:rsidRPr="00660897" w:rsidRDefault="00E86A98" w:rsidP="00B363CD">
      <w:pPr>
        <w:pStyle w:val="ListParagraph"/>
        <w:widowControl/>
        <w:numPr>
          <w:ilvl w:val="0"/>
          <w:numId w:val="1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Five (5) address one-time certification for units affected by location restrictions; requirements under these provisions have generally been completed according to the 2015 CCR Rule implementation schedule; (40 CFR 257.60 – 40 CFR 257.64)</w:t>
      </w:r>
    </w:p>
    <w:p w:rsidR="00E86A98" w:rsidRPr="00660897" w:rsidRDefault="00E86A98" w:rsidP="00B363CD">
      <w:pPr>
        <w:pStyle w:val="ListParagraph"/>
        <w:widowControl/>
        <w:numPr>
          <w:ilvl w:val="0"/>
          <w:numId w:val="1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Fourteen (14) address design criteria for liners and structural integrity for existing and new units; (40 CFR 257.70, 40 CFR 257.71, 40 CFR 257.73, 40 CFR 257.74)</w:t>
      </w:r>
    </w:p>
    <w:p w:rsidR="00E86A98" w:rsidRPr="00660897" w:rsidRDefault="00E86A98" w:rsidP="00B363CD">
      <w:pPr>
        <w:pStyle w:val="ListParagraph"/>
        <w:widowControl/>
        <w:numPr>
          <w:ilvl w:val="0"/>
          <w:numId w:val="1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Three (3) address operating criteria for air, run-on and run-off controls, and hydrologic and hydraulic capacity (40 CFR 257.80)</w:t>
      </w:r>
    </w:p>
    <w:p w:rsidR="009C629C" w:rsidRPr="00660897" w:rsidRDefault="00E86A98" w:rsidP="00B363CD">
      <w:pPr>
        <w:pStyle w:val="ListParagraph"/>
        <w:widowControl/>
        <w:numPr>
          <w:ilvl w:val="0"/>
          <w:numId w:val="1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 xml:space="preserve">Nine (9) address groundwater monitoring and corrective action at relevant units. </w:t>
      </w:r>
    </w:p>
    <w:p w:rsidR="00E86A98" w:rsidRPr="00660897" w:rsidRDefault="00E86A98" w:rsidP="00B363CD">
      <w:pPr>
        <w:pStyle w:val="ListParagraph"/>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left="1080"/>
        <w:rPr>
          <w:sz w:val="22"/>
          <w:szCs w:val="22"/>
        </w:rPr>
      </w:pPr>
      <w:r w:rsidRPr="00660897">
        <w:rPr>
          <w:sz w:val="22"/>
          <w:szCs w:val="22"/>
        </w:rPr>
        <w:t>(40 CFR 257.91 – 40 CFR 257.98)</w:t>
      </w:r>
    </w:p>
    <w:p w:rsidR="009C629C" w:rsidRPr="00660897" w:rsidRDefault="00E86A98" w:rsidP="00B363CD">
      <w:pPr>
        <w:pStyle w:val="ListParagraph"/>
        <w:widowControl/>
        <w:numPr>
          <w:ilvl w:val="0"/>
          <w:numId w:val="10"/>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 xml:space="preserve">Nine (9) address closure and post-closure care for all units. </w:t>
      </w:r>
    </w:p>
    <w:p w:rsidR="00E86A98" w:rsidRPr="00660897" w:rsidRDefault="00E86A98" w:rsidP="00B363CD">
      <w:pPr>
        <w:pStyle w:val="ListParagraph"/>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left="1080"/>
        <w:rPr>
          <w:sz w:val="22"/>
          <w:szCs w:val="22"/>
        </w:rPr>
      </w:pPr>
      <w:r w:rsidRPr="00660897">
        <w:rPr>
          <w:sz w:val="22"/>
          <w:szCs w:val="22"/>
        </w:rPr>
        <w:t>(40 CFR 257.100, 40 CFR 257.102, 40 CFR 257. 103, 40 CFR 257.104)</w:t>
      </w:r>
    </w:p>
    <w:p w:rsidR="00E86A98" w:rsidRPr="00660897" w:rsidRDefault="00E86A98" w:rsidP="00B363CD">
      <w:pPr>
        <w:pStyle w:val="ListParagraph"/>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left="1080"/>
        <w:rPr>
          <w:sz w:val="22"/>
          <w:szCs w:val="22"/>
        </w:rPr>
      </w:pPr>
    </w:p>
    <w:p w:rsidR="00DB38F5" w:rsidRPr="00660897" w:rsidRDefault="00E86A98"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rPr>
          <w:sz w:val="22"/>
          <w:szCs w:val="22"/>
        </w:rPr>
      </w:pPr>
      <w:r w:rsidRPr="00660897">
        <w:rPr>
          <w:sz w:val="22"/>
          <w:szCs w:val="22"/>
        </w:rPr>
        <w:tab/>
      </w:r>
      <w:r w:rsidR="009C629C" w:rsidRPr="00660897">
        <w:rPr>
          <w:sz w:val="22"/>
          <w:szCs w:val="22"/>
        </w:rPr>
        <w:t>C</w:t>
      </w:r>
      <w:r w:rsidR="00DB38F5" w:rsidRPr="00660897">
        <w:rPr>
          <w:sz w:val="22"/>
          <w:szCs w:val="22"/>
        </w:rPr>
        <w:t>hanges</w:t>
      </w:r>
      <w:r w:rsidR="009C629C" w:rsidRPr="00660897">
        <w:rPr>
          <w:sz w:val="22"/>
          <w:szCs w:val="22"/>
        </w:rPr>
        <w:t xml:space="preserve"> in the certification practices under these requirements</w:t>
      </w:r>
      <w:r w:rsidR="00DB38F5" w:rsidRPr="00660897">
        <w:rPr>
          <w:sz w:val="22"/>
          <w:szCs w:val="22"/>
        </w:rPr>
        <w:t xml:space="preserve"> would potentially reduce the total burden hours</w:t>
      </w:r>
      <w:r w:rsidR="00C63D9F" w:rsidRPr="00660897">
        <w:rPr>
          <w:sz w:val="22"/>
          <w:szCs w:val="22"/>
        </w:rPr>
        <w:t xml:space="preserve"> and cost of documentation under 40 CFR 257 for respondents in adopting states, but the total impact may be offset by engineers assigned by the states at the cost of either the state or the respondents. Because the number of certifications required by the CCR Remand Rule is unchanged from the number required by the 2015 CCR Rule, this ICR does not identify a change in the number of total burden hours associated with the provision. Anticipated changes in cost are discussed in Section 6(b). </w:t>
      </w:r>
    </w:p>
    <w:p w:rsidR="00616729" w:rsidRPr="00660897" w:rsidRDefault="00616729"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sz w:val="22"/>
          <w:szCs w:val="22"/>
        </w:rPr>
      </w:pPr>
      <w:r w:rsidRPr="00660897">
        <w:rPr>
          <w:b/>
          <w:bCs/>
          <w:sz w:val="22"/>
          <w:szCs w:val="22"/>
        </w:rPr>
        <w:t>6(b)</w:t>
      </w:r>
      <w:r w:rsidRPr="00660897">
        <w:rPr>
          <w:b/>
          <w:bCs/>
          <w:sz w:val="22"/>
          <w:szCs w:val="22"/>
        </w:rPr>
        <w:tab/>
        <w:t>Estimating Respondent Costs</w:t>
      </w:r>
      <w:r w:rsidRPr="00660897">
        <w:rPr>
          <w:sz w:val="22"/>
          <w:szCs w:val="22"/>
        </w:rPr>
        <w:t xml:space="preserve"> </w:t>
      </w:r>
    </w:p>
    <w:p w:rsidR="00616729" w:rsidRPr="00660897" w:rsidRDefault="00616729" w:rsidP="00B363CD">
      <w:pPr>
        <w:pStyle w:val="ListParagraph"/>
        <w:widowControl/>
        <w:numPr>
          <w:ilvl w:val="0"/>
          <w:numId w:val="4"/>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660897">
        <w:rPr>
          <w:b/>
          <w:bCs/>
          <w:sz w:val="22"/>
          <w:szCs w:val="22"/>
        </w:rPr>
        <w:t>Estimating Labor Costs</w:t>
      </w:r>
    </w:p>
    <w:p w:rsidR="00313D8C" w:rsidRPr="00660897" w:rsidRDefault="00135800" w:rsidP="00B363CD">
      <w:pPr>
        <w:widowControl/>
        <w:spacing w:after="120" w:line="259" w:lineRule="auto"/>
        <w:ind w:firstLine="720"/>
        <w:rPr>
          <w:rFonts w:eastAsiaTheme="minorHAnsi"/>
          <w:sz w:val="22"/>
          <w:szCs w:val="22"/>
        </w:rPr>
      </w:pPr>
      <w:r w:rsidRPr="00660897">
        <w:rPr>
          <w:sz w:val="22"/>
          <w:szCs w:val="22"/>
        </w:rPr>
        <w:t xml:space="preserve">Consistent with the ICR for the 2015 CCR Rule, </w:t>
      </w:r>
      <w:r w:rsidR="006E0F8E" w:rsidRPr="00660897">
        <w:rPr>
          <w:sz w:val="22"/>
          <w:szCs w:val="22"/>
        </w:rPr>
        <w:t>EPA</w:t>
      </w:r>
      <w:r w:rsidR="00313D8C" w:rsidRPr="00660897">
        <w:rPr>
          <w:sz w:val="22"/>
          <w:szCs w:val="22"/>
        </w:rPr>
        <w:t xml:space="preserve"> used</w:t>
      </w:r>
      <w:r w:rsidR="004F6F34" w:rsidRPr="00660897">
        <w:rPr>
          <w:sz w:val="22"/>
          <w:szCs w:val="22"/>
        </w:rPr>
        <w:t xml:space="preserve"> the</w:t>
      </w:r>
      <w:r w:rsidR="009C629C" w:rsidRPr="00660897">
        <w:rPr>
          <w:sz w:val="22"/>
          <w:szCs w:val="22"/>
        </w:rPr>
        <w:t xml:space="preserve"> Bureau of Labor Statistics 2017 series on Employment cost for total compensation for civilian workers and for state and local government workers to identify </w:t>
      </w:r>
      <w:r w:rsidR="00313D8C" w:rsidRPr="00660897">
        <w:rPr>
          <w:sz w:val="22"/>
          <w:szCs w:val="22"/>
        </w:rPr>
        <w:t>wage rate</w:t>
      </w:r>
      <w:r w:rsidR="009C629C" w:rsidRPr="00660897">
        <w:rPr>
          <w:sz w:val="22"/>
          <w:szCs w:val="22"/>
        </w:rPr>
        <w:t>s</w:t>
      </w:r>
      <w:r w:rsidR="00313D8C" w:rsidRPr="00660897">
        <w:rPr>
          <w:sz w:val="22"/>
          <w:szCs w:val="22"/>
        </w:rPr>
        <w:t xml:space="preserve"> for different occupation categories.</w:t>
      </w:r>
      <w:r w:rsidR="009C629C" w:rsidRPr="00660897">
        <w:rPr>
          <w:rStyle w:val="FootnoteReference"/>
          <w:sz w:val="22"/>
          <w:szCs w:val="22"/>
        </w:rPr>
        <w:footnoteReference w:id="2"/>
      </w:r>
      <w:r w:rsidR="00313D8C" w:rsidRPr="00660897">
        <w:rPr>
          <w:sz w:val="22"/>
          <w:szCs w:val="22"/>
        </w:rPr>
        <w:t xml:space="preserve">  For all rule provisions, labor hours </w:t>
      </w:r>
      <w:r w:rsidR="009C629C" w:rsidRPr="00660897">
        <w:rPr>
          <w:sz w:val="22"/>
          <w:szCs w:val="22"/>
        </w:rPr>
        <w:t>are</w:t>
      </w:r>
      <w:r w:rsidR="00313D8C" w:rsidRPr="00660897">
        <w:rPr>
          <w:sz w:val="22"/>
          <w:szCs w:val="22"/>
        </w:rPr>
        <w:t xml:space="preserve"> distributed across </w:t>
      </w:r>
      <w:r w:rsidR="009C629C" w:rsidRPr="00660897">
        <w:rPr>
          <w:sz w:val="22"/>
          <w:szCs w:val="22"/>
        </w:rPr>
        <w:t xml:space="preserve">four </w:t>
      </w:r>
      <w:r w:rsidR="00313D8C" w:rsidRPr="00660897">
        <w:rPr>
          <w:sz w:val="22"/>
          <w:szCs w:val="22"/>
        </w:rPr>
        <w:t xml:space="preserve">general labor categories: </w:t>
      </w:r>
      <w:r w:rsidR="009C629C" w:rsidRPr="00660897">
        <w:rPr>
          <w:sz w:val="22"/>
          <w:szCs w:val="22"/>
        </w:rPr>
        <w:t>Legal staff, Management Staff</w:t>
      </w:r>
      <w:r w:rsidR="00313D8C" w:rsidRPr="00660897">
        <w:rPr>
          <w:sz w:val="22"/>
          <w:szCs w:val="22"/>
        </w:rPr>
        <w:t>,</w:t>
      </w:r>
      <w:r w:rsidR="009C629C" w:rsidRPr="00660897">
        <w:rPr>
          <w:sz w:val="22"/>
          <w:szCs w:val="22"/>
        </w:rPr>
        <w:t xml:space="preserve"> Technical staff (including </w:t>
      </w:r>
      <w:r w:rsidR="00313D8C" w:rsidRPr="00660897">
        <w:rPr>
          <w:sz w:val="22"/>
          <w:szCs w:val="22"/>
        </w:rPr>
        <w:t>Engineers</w:t>
      </w:r>
      <w:r w:rsidR="009C629C" w:rsidRPr="00660897">
        <w:rPr>
          <w:sz w:val="22"/>
          <w:szCs w:val="22"/>
        </w:rPr>
        <w:t>)</w:t>
      </w:r>
      <w:r w:rsidR="00313D8C" w:rsidRPr="00660897">
        <w:rPr>
          <w:sz w:val="22"/>
          <w:szCs w:val="22"/>
        </w:rPr>
        <w:t xml:space="preserve">, and </w:t>
      </w:r>
      <w:r w:rsidR="009C629C" w:rsidRPr="00660897">
        <w:rPr>
          <w:sz w:val="22"/>
          <w:szCs w:val="22"/>
        </w:rPr>
        <w:t>Clerical staff</w:t>
      </w:r>
      <w:r w:rsidR="00313D8C" w:rsidRPr="00660897">
        <w:rPr>
          <w:sz w:val="22"/>
          <w:szCs w:val="22"/>
        </w:rPr>
        <w:t xml:space="preserve">.  </w:t>
      </w:r>
      <w:r w:rsidRPr="00660897">
        <w:rPr>
          <w:sz w:val="22"/>
          <w:szCs w:val="22"/>
        </w:rPr>
        <w:t>W</w:t>
      </w:r>
      <w:r w:rsidR="00313D8C" w:rsidRPr="00660897">
        <w:rPr>
          <w:sz w:val="22"/>
          <w:szCs w:val="22"/>
        </w:rPr>
        <w:t>age rates for each BLS Occupation Title were multiplied by a fringe benefits factor of 1.5 to create a loaded wage rate.</w:t>
      </w:r>
      <w:r w:rsidR="00313D8C" w:rsidRPr="00660897">
        <w:rPr>
          <w:sz w:val="22"/>
          <w:szCs w:val="22"/>
          <w:vertAlign w:val="superscript"/>
        </w:rPr>
        <w:footnoteReference w:id="3"/>
      </w:r>
      <w:r w:rsidR="00313D8C" w:rsidRPr="00660897">
        <w:rPr>
          <w:sz w:val="22"/>
          <w:szCs w:val="22"/>
        </w:rPr>
        <w:t xml:space="preserve"> </w:t>
      </w:r>
      <w:r w:rsidR="00C46AD7" w:rsidRPr="00660897">
        <w:rPr>
          <w:sz w:val="22"/>
          <w:szCs w:val="22"/>
        </w:rPr>
        <w:t>Exhibit 6-</w:t>
      </w:r>
      <w:r w:rsidRPr="00660897">
        <w:rPr>
          <w:sz w:val="22"/>
          <w:szCs w:val="22"/>
        </w:rPr>
        <w:t>5</w:t>
      </w:r>
      <w:r w:rsidR="00313D8C" w:rsidRPr="00660897">
        <w:rPr>
          <w:sz w:val="22"/>
          <w:szCs w:val="22"/>
        </w:rPr>
        <w:t xml:space="preserve"> presents the </w:t>
      </w:r>
      <w:r w:rsidR="006E0F8E" w:rsidRPr="00660897">
        <w:rPr>
          <w:sz w:val="22"/>
          <w:szCs w:val="22"/>
        </w:rPr>
        <w:t xml:space="preserve">hourly </w:t>
      </w:r>
      <w:r w:rsidR="00313D8C" w:rsidRPr="00660897">
        <w:rPr>
          <w:sz w:val="22"/>
          <w:szCs w:val="22"/>
        </w:rPr>
        <w:t>wage rates.</w:t>
      </w:r>
    </w:p>
    <w:p w:rsidR="00A11772" w:rsidRDefault="00A11772" w:rsidP="00A11772">
      <w:pPr>
        <w:widowControl/>
        <w:adjustRightInd/>
        <w:spacing w:after="160" w:line="259" w:lineRule="auto"/>
        <w:rPr>
          <w:rFonts w:eastAsiaTheme="minorHAnsi"/>
          <w:b/>
          <w:sz w:val="22"/>
          <w:szCs w:val="22"/>
        </w:rPr>
      </w:pPr>
    </w:p>
    <w:p w:rsidR="00E71B77" w:rsidRPr="00660897" w:rsidRDefault="00135800" w:rsidP="00A11772">
      <w:pPr>
        <w:widowControl/>
        <w:adjustRightInd/>
        <w:spacing w:after="160" w:line="259" w:lineRule="auto"/>
        <w:jc w:val="center"/>
      </w:pPr>
      <w:r w:rsidRPr="00660897">
        <w:rPr>
          <w:rFonts w:eastAsiaTheme="minorHAnsi"/>
          <w:b/>
          <w:sz w:val="22"/>
          <w:szCs w:val="22"/>
        </w:rPr>
        <w:t>Exhibit 6-5</w:t>
      </w:r>
      <w:r w:rsidR="00313D8C" w:rsidRPr="00660897">
        <w:rPr>
          <w:rFonts w:eastAsiaTheme="minorHAnsi"/>
          <w:b/>
          <w:sz w:val="22"/>
          <w:szCs w:val="22"/>
        </w:rPr>
        <w:t>: Weighted-Average Loaded Hourly Wage Rates (201</w:t>
      </w:r>
      <w:r w:rsidR="00A11772">
        <w:rPr>
          <w:rFonts w:eastAsiaTheme="minorHAnsi"/>
          <w:b/>
          <w:sz w:val="22"/>
          <w:szCs w:val="22"/>
        </w:rPr>
        <w:t>8</w:t>
      </w:r>
      <w:r w:rsidR="00313D8C" w:rsidRPr="00660897">
        <w:rPr>
          <w:rFonts w:eastAsiaTheme="minorHAnsi"/>
          <w:b/>
          <w:sz w:val="22"/>
          <w:szCs w:val="22"/>
        </w:rPr>
        <w:t xml:space="preserve"> Dollars)</w:t>
      </w:r>
    </w:p>
    <w:tbl>
      <w:tblPr>
        <w:tblW w:w="5960" w:type="dxa"/>
        <w:jc w:val="center"/>
        <w:tblLook w:val="04A0" w:firstRow="1" w:lastRow="0" w:firstColumn="1" w:lastColumn="0" w:noHBand="0" w:noVBand="1"/>
      </w:tblPr>
      <w:tblGrid>
        <w:gridCol w:w="2965"/>
        <w:gridCol w:w="1415"/>
        <w:gridCol w:w="1580"/>
      </w:tblGrid>
      <w:tr w:rsidR="001C62C0" w:rsidRPr="00660897" w:rsidTr="00135800">
        <w:trPr>
          <w:trHeight w:val="881"/>
          <w:jc w:val="center"/>
        </w:trPr>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62C0" w:rsidRPr="00660897" w:rsidRDefault="001C62C0" w:rsidP="00B363CD">
            <w:pPr>
              <w:widowControl/>
              <w:adjustRightInd/>
              <w:rPr>
                <w:b/>
                <w:color w:val="000000"/>
                <w:sz w:val="20"/>
                <w:szCs w:val="20"/>
              </w:rPr>
            </w:pPr>
            <w:r w:rsidRPr="00660897">
              <w:rPr>
                <w:b/>
                <w:color w:val="000000"/>
                <w:sz w:val="20"/>
                <w:szCs w:val="20"/>
              </w:rPr>
              <w:t>Labor Category</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1C62C0" w:rsidRPr="00660897" w:rsidRDefault="00135800" w:rsidP="00B363CD">
            <w:pPr>
              <w:widowControl/>
              <w:adjustRightInd/>
              <w:jc w:val="center"/>
              <w:rPr>
                <w:b/>
                <w:color w:val="000000"/>
                <w:sz w:val="20"/>
                <w:szCs w:val="20"/>
              </w:rPr>
            </w:pPr>
            <w:r w:rsidRPr="00660897">
              <w:rPr>
                <w:b/>
                <w:color w:val="000000"/>
                <w:sz w:val="20"/>
                <w:szCs w:val="20"/>
              </w:rPr>
              <w:t>Respondents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1C62C0" w:rsidRPr="00660897" w:rsidRDefault="00135800" w:rsidP="00B363CD">
            <w:pPr>
              <w:widowControl/>
              <w:adjustRightInd/>
              <w:jc w:val="center"/>
              <w:rPr>
                <w:b/>
                <w:color w:val="000000"/>
                <w:sz w:val="20"/>
                <w:szCs w:val="20"/>
              </w:rPr>
            </w:pPr>
            <w:r w:rsidRPr="00660897">
              <w:rPr>
                <w:b/>
                <w:color w:val="000000"/>
                <w:sz w:val="20"/>
                <w:szCs w:val="20"/>
              </w:rPr>
              <w:t>State and Local Government</w:t>
            </w:r>
          </w:p>
        </w:tc>
      </w:tr>
      <w:tr w:rsidR="00135800" w:rsidRPr="00660897" w:rsidTr="00135800">
        <w:trPr>
          <w:trHeight w:val="315"/>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135800" w:rsidRPr="00660897" w:rsidRDefault="00135800" w:rsidP="00B363CD">
            <w:pPr>
              <w:widowControl/>
              <w:rPr>
                <w:sz w:val="18"/>
                <w:szCs w:val="18"/>
              </w:rPr>
            </w:pPr>
            <w:r w:rsidRPr="00660897">
              <w:rPr>
                <w:sz w:val="18"/>
                <w:szCs w:val="18"/>
              </w:rPr>
              <w:t>Legal</w:t>
            </w:r>
          </w:p>
        </w:tc>
        <w:tc>
          <w:tcPr>
            <w:tcW w:w="1415"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$150.84</w:t>
            </w:r>
          </w:p>
        </w:tc>
        <w:tc>
          <w:tcPr>
            <w:tcW w:w="1580"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$64.96</w:t>
            </w:r>
          </w:p>
        </w:tc>
      </w:tr>
      <w:tr w:rsidR="00135800" w:rsidRPr="00660897" w:rsidTr="00135800">
        <w:trPr>
          <w:trHeight w:val="315"/>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135800" w:rsidRPr="00660897" w:rsidRDefault="00135800" w:rsidP="00B363CD">
            <w:pPr>
              <w:widowControl/>
              <w:rPr>
                <w:sz w:val="18"/>
                <w:szCs w:val="18"/>
              </w:rPr>
            </w:pPr>
            <w:r w:rsidRPr="00660897">
              <w:rPr>
                <w:sz w:val="18"/>
                <w:szCs w:val="18"/>
              </w:rPr>
              <w:t>Management</w:t>
            </w:r>
          </w:p>
        </w:tc>
        <w:tc>
          <w:tcPr>
            <w:tcW w:w="1415"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$122.59</w:t>
            </w:r>
          </w:p>
        </w:tc>
        <w:tc>
          <w:tcPr>
            <w:tcW w:w="1580"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$60.98</w:t>
            </w:r>
          </w:p>
        </w:tc>
      </w:tr>
      <w:tr w:rsidR="00135800" w:rsidRPr="00660897" w:rsidTr="00135800">
        <w:trPr>
          <w:trHeight w:val="315"/>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135800" w:rsidRPr="00660897" w:rsidRDefault="00135800" w:rsidP="00B363CD">
            <w:pPr>
              <w:widowControl/>
              <w:rPr>
                <w:sz w:val="18"/>
                <w:szCs w:val="18"/>
              </w:rPr>
            </w:pPr>
            <w:r w:rsidRPr="00660897">
              <w:rPr>
                <w:sz w:val="18"/>
                <w:szCs w:val="18"/>
              </w:rPr>
              <w:t>Technical</w:t>
            </w:r>
          </w:p>
        </w:tc>
        <w:tc>
          <w:tcPr>
            <w:tcW w:w="1415"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$64.51</w:t>
            </w:r>
          </w:p>
        </w:tc>
        <w:tc>
          <w:tcPr>
            <w:tcW w:w="1580"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$36.49</w:t>
            </w:r>
          </w:p>
        </w:tc>
      </w:tr>
      <w:tr w:rsidR="00135800" w:rsidRPr="00660897" w:rsidTr="00135800">
        <w:trPr>
          <w:trHeight w:val="315"/>
          <w:jc w:val="center"/>
        </w:trPr>
        <w:tc>
          <w:tcPr>
            <w:tcW w:w="2965" w:type="dxa"/>
            <w:tcBorders>
              <w:top w:val="nil"/>
              <w:left w:val="single" w:sz="4" w:space="0" w:color="auto"/>
              <w:bottom w:val="single" w:sz="4" w:space="0" w:color="auto"/>
              <w:right w:val="single" w:sz="4" w:space="0" w:color="auto"/>
            </w:tcBorders>
            <w:shd w:val="clear" w:color="auto" w:fill="auto"/>
            <w:vAlign w:val="center"/>
            <w:hideMark/>
          </w:tcPr>
          <w:p w:rsidR="00135800" w:rsidRPr="00660897" w:rsidRDefault="00135800" w:rsidP="00B363CD">
            <w:pPr>
              <w:widowControl/>
              <w:rPr>
                <w:sz w:val="18"/>
                <w:szCs w:val="18"/>
              </w:rPr>
            </w:pPr>
            <w:r w:rsidRPr="00660897">
              <w:rPr>
                <w:sz w:val="18"/>
                <w:szCs w:val="18"/>
              </w:rPr>
              <w:t>Clerical</w:t>
            </w:r>
          </w:p>
        </w:tc>
        <w:tc>
          <w:tcPr>
            <w:tcW w:w="1415"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$38.34</w:t>
            </w:r>
          </w:p>
        </w:tc>
        <w:tc>
          <w:tcPr>
            <w:tcW w:w="1580" w:type="dxa"/>
            <w:tcBorders>
              <w:top w:val="nil"/>
              <w:left w:val="nil"/>
              <w:bottom w:val="single" w:sz="4" w:space="0" w:color="auto"/>
              <w:right w:val="single" w:sz="4" w:space="0" w:color="auto"/>
            </w:tcBorders>
            <w:shd w:val="clear" w:color="auto" w:fill="auto"/>
            <w:noWrap/>
            <w:vAlign w:val="center"/>
          </w:tcPr>
          <w:p w:rsidR="00135800" w:rsidRPr="00660897" w:rsidRDefault="00135800" w:rsidP="00B363CD">
            <w:pPr>
              <w:widowControl/>
              <w:jc w:val="center"/>
              <w:rPr>
                <w:sz w:val="18"/>
                <w:szCs w:val="18"/>
              </w:rPr>
            </w:pPr>
            <w:r w:rsidRPr="00660897">
              <w:rPr>
                <w:sz w:val="18"/>
                <w:szCs w:val="18"/>
              </w:rPr>
              <w:t>$23.28</w:t>
            </w:r>
          </w:p>
        </w:tc>
      </w:tr>
    </w:tbl>
    <w:p w:rsidR="00C446FC" w:rsidRPr="00660897" w:rsidRDefault="00C446FC"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p>
    <w:p w:rsidR="00A11772" w:rsidRDefault="005F6E1F"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bCs/>
          <w:sz w:val="22"/>
          <w:szCs w:val="22"/>
        </w:rPr>
        <w:t xml:space="preserve">To estimate the labor costs for each rule provision, </w:t>
      </w:r>
      <w:r w:rsidRPr="00660897">
        <w:rPr>
          <w:sz w:val="22"/>
          <w:szCs w:val="22"/>
        </w:rPr>
        <w:t xml:space="preserve">EPA multiplied the number of hours expected in each labor category—discussed in detail above—by that category’s BLS labor wage rate.  The cost for each facility was then multiplied by the total number of affected facilities to arrive at the total cost. </w:t>
      </w:r>
      <w:r w:rsidR="00287A1B" w:rsidRPr="00660897">
        <w:rPr>
          <w:sz w:val="22"/>
          <w:szCs w:val="22"/>
        </w:rPr>
        <w:t xml:space="preserve"> Exhibit</w:t>
      </w:r>
      <w:r w:rsidRPr="00660897">
        <w:rPr>
          <w:sz w:val="22"/>
          <w:szCs w:val="22"/>
        </w:rPr>
        <w:t xml:space="preserve"> 14 below presents the total burden and cost for each provision.  </w:t>
      </w:r>
    </w:p>
    <w:p w:rsidR="00A11772" w:rsidRDefault="00A11772">
      <w:pPr>
        <w:widowControl/>
        <w:adjustRightInd/>
        <w:spacing w:after="160" w:line="259" w:lineRule="auto"/>
        <w:rPr>
          <w:sz w:val="22"/>
          <w:szCs w:val="22"/>
        </w:rPr>
      </w:pPr>
      <w:r>
        <w:rPr>
          <w:sz w:val="22"/>
          <w:szCs w:val="22"/>
        </w:rPr>
        <w:br w:type="page"/>
      </w:r>
    </w:p>
    <w:p w:rsidR="00616729" w:rsidRPr="00660897" w:rsidRDefault="00616729" w:rsidP="00B363CD">
      <w:pPr>
        <w:pStyle w:val="ListParagraph"/>
        <w:widowControl/>
        <w:numPr>
          <w:ilvl w:val="0"/>
          <w:numId w:val="4"/>
        </w:numPr>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660897">
        <w:rPr>
          <w:b/>
          <w:bCs/>
          <w:sz w:val="22"/>
          <w:szCs w:val="22"/>
        </w:rPr>
        <w:t xml:space="preserve">Estimating Capital and Operations and Maintenance </w:t>
      </w:r>
      <w:r w:rsidR="004F6F34" w:rsidRPr="00660897">
        <w:rPr>
          <w:b/>
          <w:bCs/>
          <w:sz w:val="22"/>
          <w:szCs w:val="22"/>
        </w:rPr>
        <w:t xml:space="preserve">(O&amp;M) </w:t>
      </w:r>
      <w:r w:rsidRPr="00660897">
        <w:rPr>
          <w:b/>
          <w:bCs/>
          <w:sz w:val="22"/>
          <w:szCs w:val="22"/>
        </w:rPr>
        <w:t>Costs</w:t>
      </w:r>
    </w:p>
    <w:p w:rsidR="0048140E" w:rsidRPr="00660897" w:rsidRDefault="0048140E"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 xml:space="preserve">Capital costs usually include any produced physical good needed to provide the needed information, such as machinery, computers, and other equipment.  </w:t>
      </w:r>
      <w:r w:rsidR="00292572" w:rsidRPr="00660897">
        <w:rPr>
          <w:sz w:val="22"/>
          <w:szCs w:val="22"/>
        </w:rPr>
        <w:t>EPA does not anticipate that respondents will incur capital costs in carrying out the information collection requirements covered in this ICR.</w:t>
      </w:r>
    </w:p>
    <w:p w:rsidR="00E36D9D" w:rsidRPr="00660897" w:rsidRDefault="004F6F34"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O&amp;M</w:t>
      </w:r>
      <w:r w:rsidR="00292572" w:rsidRPr="00660897">
        <w:rPr>
          <w:sz w:val="22"/>
          <w:szCs w:val="22"/>
        </w:rPr>
        <w:t xml:space="preserve"> costs are those costs associated with a paperwork requirement incurred continually over the life of the ICR.  They are defined by the Paperwork Reduction Act of 1995 as “the recurring dollar amount of costs associated with O&amp;M or purchasing services.”</w:t>
      </w:r>
      <w:r w:rsidR="00254760" w:rsidRPr="00660897">
        <w:rPr>
          <w:sz w:val="22"/>
          <w:szCs w:val="22"/>
        </w:rPr>
        <w:t xml:space="preserve">  </w:t>
      </w:r>
      <w:r w:rsidR="00135800" w:rsidRPr="00660897">
        <w:rPr>
          <w:sz w:val="22"/>
          <w:szCs w:val="22"/>
        </w:rPr>
        <w:t xml:space="preserve">In the context of the 2015 CCR Rule, O&amp;M costs include development of a number of technical reports, including engineering certification reports (valued at $370 per report) and remedy selection reports for units requiring corrective action (valued at $93,545 per report). </w:t>
      </w:r>
      <w:r w:rsidR="00C53868" w:rsidRPr="00660897">
        <w:rPr>
          <w:sz w:val="22"/>
          <w:szCs w:val="22"/>
        </w:rPr>
        <w:t>Exhibit 6-6 summarizes the costs and cost savings associated with changes to requirements under the CCR Remand Rule.</w:t>
      </w:r>
    </w:p>
    <w:p w:rsidR="00C45052" w:rsidRPr="00660897" w:rsidRDefault="000F3429" w:rsidP="00B363CD">
      <w:pPr>
        <w:pStyle w:val="ListParagraph"/>
        <w:widowControl/>
        <w:spacing w:before="240" w:line="259" w:lineRule="auto"/>
        <w:ind w:left="0"/>
        <w:contextualSpacing w:val="0"/>
        <w:jc w:val="center"/>
        <w:rPr>
          <w:rFonts w:eastAsiaTheme="minorHAnsi"/>
          <w:sz w:val="20"/>
          <w:szCs w:val="20"/>
        </w:rPr>
      </w:pPr>
      <w:r w:rsidRPr="00660897">
        <w:rPr>
          <w:rFonts w:eastAsiaTheme="minorHAnsi"/>
          <w:b/>
          <w:sz w:val="20"/>
          <w:szCs w:val="20"/>
        </w:rPr>
        <w:t>Exhibit 6-6</w:t>
      </w:r>
      <w:r w:rsidR="00DD6E48" w:rsidRPr="00660897">
        <w:rPr>
          <w:rFonts w:eastAsiaTheme="minorHAnsi"/>
          <w:b/>
          <w:sz w:val="20"/>
          <w:szCs w:val="20"/>
        </w:rPr>
        <w:t xml:space="preserve">: </w:t>
      </w:r>
      <w:r w:rsidR="00AB2BBB" w:rsidRPr="00660897">
        <w:rPr>
          <w:rFonts w:eastAsiaTheme="minorHAnsi"/>
          <w:b/>
          <w:sz w:val="20"/>
          <w:szCs w:val="20"/>
        </w:rPr>
        <w:t>Annual O&amp;M Cost Changes Under the CCR Remand Rule</w:t>
      </w:r>
      <w:r w:rsidR="00A11772">
        <w:rPr>
          <w:rFonts w:eastAsiaTheme="minorHAnsi"/>
          <w:b/>
          <w:sz w:val="20"/>
          <w:szCs w:val="20"/>
        </w:rPr>
        <w:t xml:space="preserve"> (2018 Dollars)</w:t>
      </w:r>
    </w:p>
    <w:tbl>
      <w:tblPr>
        <w:tblW w:w="0" w:type="auto"/>
        <w:jc w:val="center"/>
        <w:tblLook w:val="04A0" w:firstRow="1" w:lastRow="0" w:firstColumn="1" w:lastColumn="0" w:noHBand="0" w:noVBand="1"/>
      </w:tblPr>
      <w:tblGrid>
        <w:gridCol w:w="4370"/>
        <w:gridCol w:w="1325"/>
        <w:gridCol w:w="1509"/>
        <w:gridCol w:w="1146"/>
      </w:tblGrid>
      <w:tr w:rsidR="001C62C0" w:rsidRPr="00660897" w:rsidTr="00AB2BBB">
        <w:trPr>
          <w:trHeight w:val="8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C62C0" w:rsidRPr="00660897" w:rsidRDefault="00C53868" w:rsidP="00B363CD">
            <w:pPr>
              <w:widowControl/>
              <w:adjustRightInd/>
              <w:rPr>
                <w:b/>
                <w:color w:val="000000"/>
                <w:sz w:val="20"/>
                <w:szCs w:val="20"/>
              </w:rPr>
            </w:pPr>
            <w:r w:rsidRPr="00660897">
              <w:rPr>
                <w:b/>
                <w:color w:val="000000"/>
                <w:sz w:val="20"/>
                <w:szCs w:val="20"/>
              </w:rPr>
              <w:t>Requirement</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1C62C0" w:rsidRPr="00660897" w:rsidRDefault="001C62C0" w:rsidP="00B363CD">
            <w:pPr>
              <w:widowControl/>
              <w:adjustRightInd/>
              <w:jc w:val="center"/>
              <w:rPr>
                <w:b/>
                <w:color w:val="000000"/>
                <w:sz w:val="20"/>
                <w:szCs w:val="20"/>
              </w:rPr>
            </w:pPr>
            <w:r w:rsidRPr="00660897">
              <w:rPr>
                <w:b/>
                <w:color w:val="000000"/>
                <w:sz w:val="20"/>
                <w:szCs w:val="20"/>
              </w:rPr>
              <w:t xml:space="preserve">Affected </w:t>
            </w:r>
            <w:r w:rsidR="00AB2BBB" w:rsidRPr="00660897">
              <w:rPr>
                <w:b/>
                <w:color w:val="000000"/>
                <w:sz w:val="20"/>
                <w:szCs w:val="20"/>
              </w:rPr>
              <w:t>Units</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b/>
                <w:color w:val="000000"/>
                <w:sz w:val="20"/>
                <w:szCs w:val="20"/>
              </w:rPr>
            </w:pPr>
            <w:r w:rsidRPr="00660897">
              <w:rPr>
                <w:b/>
                <w:color w:val="000000"/>
                <w:sz w:val="20"/>
                <w:szCs w:val="20"/>
              </w:rPr>
              <w:t xml:space="preserve">Unit </w:t>
            </w:r>
            <w:r w:rsidR="001C62C0" w:rsidRPr="00660897">
              <w:rPr>
                <w:b/>
                <w:color w:val="000000"/>
                <w:sz w:val="20"/>
                <w:szCs w:val="20"/>
              </w:rPr>
              <w:t>Cost</w:t>
            </w:r>
          </w:p>
          <w:p w:rsidR="00AB2BBB" w:rsidRPr="00660897" w:rsidRDefault="00AB2BBB" w:rsidP="00B363CD">
            <w:pPr>
              <w:widowControl/>
              <w:adjustRightInd/>
              <w:jc w:val="center"/>
              <w:rPr>
                <w:b/>
                <w:color w:val="000000"/>
                <w:sz w:val="20"/>
                <w:szCs w:val="20"/>
              </w:rPr>
            </w:pPr>
            <w:r w:rsidRPr="00660897">
              <w:rPr>
                <w:b/>
                <w:color w:val="000000"/>
                <w:sz w:val="20"/>
                <w:szCs w:val="20"/>
              </w:rPr>
              <w:t>(Savings)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C62C0" w:rsidRPr="00660897" w:rsidRDefault="001C62C0" w:rsidP="00B363CD">
            <w:pPr>
              <w:widowControl/>
              <w:adjustRightInd/>
              <w:jc w:val="center"/>
              <w:rPr>
                <w:b/>
                <w:color w:val="000000"/>
                <w:sz w:val="20"/>
                <w:szCs w:val="20"/>
              </w:rPr>
            </w:pPr>
            <w:r w:rsidRPr="00660897">
              <w:rPr>
                <w:b/>
                <w:color w:val="000000"/>
                <w:sz w:val="20"/>
                <w:szCs w:val="20"/>
              </w:rPr>
              <w:t>Total</w:t>
            </w:r>
          </w:p>
        </w:tc>
      </w:tr>
      <w:tr w:rsidR="00AB2BBB" w:rsidRPr="00660897" w:rsidTr="00EF7679">
        <w:trPr>
          <w:trHeight w:val="315"/>
          <w:jc w:val="center"/>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AB2BBB" w:rsidRPr="00660897" w:rsidRDefault="00AB2BBB" w:rsidP="00B363CD">
            <w:pPr>
              <w:widowControl/>
              <w:adjustRightInd/>
              <w:rPr>
                <w:color w:val="000000"/>
                <w:sz w:val="18"/>
                <w:szCs w:val="18"/>
              </w:rPr>
            </w:pPr>
            <w:r w:rsidRPr="00660897">
              <w:rPr>
                <w:b/>
                <w:color w:val="000000"/>
                <w:sz w:val="18"/>
                <w:szCs w:val="18"/>
              </w:rPr>
              <w:t>Provision 1: Non-GW Releases (Reduced Burden)</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C53868" w:rsidP="00B363CD">
            <w:pPr>
              <w:widowControl/>
              <w:adjustRightInd/>
              <w:rPr>
                <w:color w:val="000000"/>
                <w:sz w:val="18"/>
                <w:szCs w:val="18"/>
              </w:rPr>
            </w:pPr>
            <w:r w:rsidRPr="00660897">
              <w:rPr>
                <w:color w:val="000000"/>
                <w:sz w:val="18"/>
                <w:szCs w:val="18"/>
              </w:rPr>
              <w:t>Obtain certification required under 40 CFR 257.96(a)</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C53868" w:rsidP="00B363CD">
            <w:pPr>
              <w:widowControl/>
              <w:adjustRightInd/>
              <w:jc w:val="center"/>
              <w:rPr>
                <w:color w:val="000000"/>
                <w:sz w:val="18"/>
                <w:szCs w:val="18"/>
              </w:rPr>
            </w:pPr>
            <w:r w:rsidRPr="00660897">
              <w:rPr>
                <w:color w:val="000000"/>
                <w:sz w:val="18"/>
                <w:szCs w:val="18"/>
              </w:rPr>
              <w:t>4</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w:t>
            </w:r>
            <w:r w:rsidR="001C62C0" w:rsidRPr="00660897">
              <w:rPr>
                <w:color w:val="000000"/>
                <w:sz w:val="18"/>
                <w:szCs w:val="18"/>
              </w:rPr>
              <w:t>$3</w:t>
            </w:r>
            <w:r w:rsidR="00C53868" w:rsidRPr="00660897">
              <w:rPr>
                <w:color w:val="000000"/>
                <w:sz w:val="18"/>
                <w:szCs w:val="18"/>
              </w:rPr>
              <w:t>70</w:t>
            </w:r>
            <w:r w:rsidRPr="00660897">
              <w:rPr>
                <w:color w:val="000000"/>
                <w:sz w:val="18"/>
                <w:szCs w:val="18"/>
              </w:rPr>
              <w:t>)</w:t>
            </w:r>
            <w:r w:rsidR="001C62C0" w:rsidRPr="00660897">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w:t>
            </w:r>
            <w:r w:rsidR="00C53868" w:rsidRPr="00660897">
              <w:rPr>
                <w:color w:val="000000"/>
                <w:sz w:val="18"/>
                <w:szCs w:val="18"/>
              </w:rPr>
              <w:t>$</w:t>
            </w:r>
            <w:r w:rsidR="00DD0DFF" w:rsidRPr="00660897">
              <w:rPr>
                <w:color w:val="000000"/>
                <w:sz w:val="18"/>
                <w:szCs w:val="18"/>
              </w:rPr>
              <w:t>1,480</w:t>
            </w:r>
            <w:r w:rsidRPr="00660897">
              <w:rPr>
                <w:color w:val="000000"/>
                <w:sz w:val="18"/>
                <w:szCs w:val="18"/>
              </w:rPr>
              <w:t>)</w:t>
            </w:r>
          </w:p>
        </w:tc>
      </w:tr>
      <w:tr w:rsidR="00DD0DFF"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D0DFF" w:rsidRPr="00660897" w:rsidRDefault="00DD0DFF" w:rsidP="00B363CD">
            <w:pPr>
              <w:widowControl/>
              <w:adjustRightInd/>
              <w:rPr>
                <w:color w:val="000000"/>
                <w:sz w:val="18"/>
                <w:szCs w:val="18"/>
              </w:rPr>
            </w:pPr>
            <w:r w:rsidRPr="00660897">
              <w:rPr>
                <w:color w:val="000000"/>
                <w:sz w:val="18"/>
                <w:szCs w:val="18"/>
              </w:rPr>
              <w:t>Obtain certification required under 40 CFR 257.98(e)</w:t>
            </w:r>
          </w:p>
        </w:tc>
        <w:tc>
          <w:tcPr>
            <w:tcW w:w="1325" w:type="dxa"/>
            <w:tcBorders>
              <w:top w:val="nil"/>
              <w:left w:val="nil"/>
              <w:bottom w:val="single" w:sz="4" w:space="0" w:color="auto"/>
              <w:right w:val="single" w:sz="4" w:space="0" w:color="auto"/>
            </w:tcBorders>
            <w:shd w:val="clear" w:color="auto" w:fill="auto"/>
            <w:vAlign w:val="center"/>
            <w:hideMark/>
          </w:tcPr>
          <w:p w:rsidR="00DD0DFF" w:rsidRPr="00660897" w:rsidRDefault="00DD0DFF" w:rsidP="00B363CD">
            <w:pPr>
              <w:widowControl/>
              <w:adjustRightInd/>
              <w:jc w:val="center"/>
              <w:rPr>
                <w:color w:val="000000"/>
                <w:sz w:val="18"/>
                <w:szCs w:val="18"/>
              </w:rPr>
            </w:pPr>
            <w:r w:rsidRPr="00660897">
              <w:rPr>
                <w:color w:val="000000"/>
                <w:sz w:val="18"/>
                <w:szCs w:val="18"/>
              </w:rPr>
              <w:t>4</w:t>
            </w:r>
          </w:p>
        </w:tc>
        <w:tc>
          <w:tcPr>
            <w:tcW w:w="1509" w:type="dxa"/>
            <w:tcBorders>
              <w:top w:val="nil"/>
              <w:left w:val="nil"/>
              <w:bottom w:val="single" w:sz="4" w:space="0" w:color="auto"/>
              <w:right w:val="single" w:sz="4" w:space="0" w:color="auto"/>
            </w:tcBorders>
            <w:shd w:val="clear" w:color="auto" w:fill="auto"/>
            <w:vAlign w:val="center"/>
            <w:hideMark/>
          </w:tcPr>
          <w:p w:rsidR="00DD0DFF" w:rsidRPr="00660897" w:rsidRDefault="00DD0DFF" w:rsidP="00B363CD">
            <w:pPr>
              <w:widowControl/>
              <w:adjustRightInd/>
              <w:jc w:val="center"/>
              <w:rPr>
                <w:color w:val="000000"/>
                <w:sz w:val="18"/>
                <w:szCs w:val="18"/>
              </w:rPr>
            </w:pPr>
            <w:r w:rsidRPr="00660897">
              <w:rPr>
                <w:color w:val="000000"/>
                <w:sz w:val="18"/>
                <w:szCs w:val="18"/>
              </w:rPr>
              <w:t xml:space="preserve">($370) </w:t>
            </w:r>
          </w:p>
        </w:tc>
        <w:tc>
          <w:tcPr>
            <w:tcW w:w="0" w:type="auto"/>
            <w:tcBorders>
              <w:top w:val="nil"/>
              <w:left w:val="nil"/>
              <w:bottom w:val="single" w:sz="4" w:space="0" w:color="auto"/>
              <w:right w:val="single" w:sz="4" w:space="0" w:color="auto"/>
            </w:tcBorders>
            <w:shd w:val="clear" w:color="auto" w:fill="auto"/>
            <w:vAlign w:val="center"/>
            <w:hideMark/>
          </w:tcPr>
          <w:p w:rsidR="00DD0DFF" w:rsidRPr="00660897" w:rsidRDefault="00DD0DFF" w:rsidP="00B363CD">
            <w:pPr>
              <w:widowControl/>
              <w:adjustRightInd/>
              <w:jc w:val="center"/>
              <w:rPr>
                <w:color w:val="000000"/>
                <w:sz w:val="18"/>
                <w:szCs w:val="18"/>
              </w:rPr>
            </w:pPr>
            <w:r w:rsidRPr="00660897">
              <w:rPr>
                <w:color w:val="000000"/>
                <w:sz w:val="18"/>
                <w:szCs w:val="18"/>
              </w:rPr>
              <w:t>($1,480)</w:t>
            </w:r>
          </w:p>
        </w:tc>
      </w:tr>
      <w:tr w:rsidR="00AB2BBB" w:rsidRPr="00660897" w:rsidTr="00EF7679">
        <w:trPr>
          <w:trHeight w:val="315"/>
          <w:jc w:val="center"/>
        </w:trPr>
        <w:tc>
          <w:tcPr>
            <w:tcW w:w="0" w:type="auto"/>
            <w:gridSpan w:val="4"/>
            <w:tcBorders>
              <w:top w:val="nil"/>
              <w:left w:val="single" w:sz="4" w:space="0" w:color="auto"/>
              <w:bottom w:val="single" w:sz="4" w:space="0" w:color="auto"/>
              <w:right w:val="single" w:sz="4" w:space="0" w:color="auto"/>
            </w:tcBorders>
            <w:shd w:val="clear" w:color="auto" w:fill="auto"/>
            <w:vAlign w:val="center"/>
            <w:hideMark/>
          </w:tcPr>
          <w:p w:rsidR="00AB2BBB" w:rsidRPr="00660897" w:rsidRDefault="00533F67" w:rsidP="00B363CD">
            <w:pPr>
              <w:widowControl/>
              <w:adjustRightInd/>
              <w:rPr>
                <w:color w:val="000000"/>
                <w:sz w:val="18"/>
                <w:szCs w:val="18"/>
              </w:rPr>
            </w:pPr>
            <w:r w:rsidRPr="00660897">
              <w:rPr>
                <w:b/>
                <w:color w:val="000000"/>
                <w:sz w:val="18"/>
                <w:szCs w:val="18"/>
              </w:rPr>
              <w:t>Additional Provision 1</w:t>
            </w:r>
            <w:r w:rsidR="00AB2BBB" w:rsidRPr="00660897">
              <w:rPr>
                <w:b/>
                <w:color w:val="000000"/>
                <w:sz w:val="18"/>
                <w:szCs w:val="18"/>
              </w:rPr>
              <w:t>: Alternative Closure</w:t>
            </w:r>
            <w:r w:rsidR="00AB2BBB" w:rsidRPr="00660897">
              <w:rPr>
                <w:color w:val="000000"/>
                <w:sz w:val="18"/>
                <w:szCs w:val="18"/>
              </w:rPr>
              <w:t xml:space="preserve"> </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AB2BBB" w:rsidP="00B363CD">
            <w:pPr>
              <w:widowControl/>
              <w:adjustRightInd/>
              <w:rPr>
                <w:color w:val="000000"/>
                <w:sz w:val="18"/>
                <w:szCs w:val="18"/>
              </w:rPr>
            </w:pPr>
            <w:r w:rsidRPr="00660897">
              <w:rPr>
                <w:color w:val="000000"/>
                <w:sz w:val="18"/>
                <w:szCs w:val="18"/>
              </w:rPr>
              <w:t>Obtain certification required under 40 CFR 257.103(a)(1)</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51</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1C62C0" w:rsidP="00B363CD">
            <w:pPr>
              <w:widowControl/>
              <w:adjustRightInd/>
              <w:jc w:val="center"/>
              <w:rPr>
                <w:color w:val="000000"/>
                <w:sz w:val="18"/>
                <w:szCs w:val="18"/>
              </w:rPr>
            </w:pPr>
            <w:r w:rsidRPr="00660897">
              <w:rPr>
                <w:color w:val="000000"/>
                <w:sz w:val="18"/>
                <w:szCs w:val="18"/>
              </w:rPr>
              <w:t>$</w:t>
            </w:r>
            <w:r w:rsidR="00AB2BBB" w:rsidRPr="00660897">
              <w:rPr>
                <w:color w:val="000000"/>
                <w:sz w:val="18"/>
                <w:szCs w:val="18"/>
              </w:rPr>
              <w:t>370</w:t>
            </w:r>
            <w:r w:rsidRPr="00660897">
              <w:rPr>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w:t>
            </w:r>
            <w:r w:rsidR="00DD0DFF" w:rsidRPr="00660897">
              <w:rPr>
                <w:color w:val="000000"/>
                <w:sz w:val="18"/>
                <w:szCs w:val="18"/>
              </w:rPr>
              <w:t>18</w:t>
            </w:r>
            <w:r w:rsidRPr="00660897">
              <w:rPr>
                <w:color w:val="000000"/>
                <w:sz w:val="18"/>
                <w:szCs w:val="18"/>
              </w:rPr>
              <w:t>,</w:t>
            </w:r>
            <w:r w:rsidR="00DD0DFF" w:rsidRPr="00660897">
              <w:rPr>
                <w:color w:val="000000"/>
                <w:sz w:val="18"/>
                <w:szCs w:val="18"/>
              </w:rPr>
              <w:t>8</w:t>
            </w:r>
            <w:r w:rsidRPr="00660897">
              <w:rPr>
                <w:color w:val="000000"/>
                <w:sz w:val="18"/>
                <w:szCs w:val="18"/>
              </w:rPr>
              <w:t>70</w:t>
            </w:r>
          </w:p>
        </w:tc>
      </w:tr>
      <w:tr w:rsidR="00AB2BBB" w:rsidRPr="00660897" w:rsidTr="00EF7679">
        <w:trPr>
          <w:trHeight w:val="315"/>
          <w:jc w:val="center"/>
        </w:trPr>
        <w:tc>
          <w:tcPr>
            <w:tcW w:w="0" w:type="auto"/>
            <w:gridSpan w:val="4"/>
            <w:tcBorders>
              <w:top w:val="nil"/>
              <w:left w:val="single" w:sz="4" w:space="0" w:color="auto"/>
              <w:bottom w:val="single" w:sz="4" w:space="0" w:color="auto"/>
              <w:right w:val="single" w:sz="4" w:space="0" w:color="auto"/>
            </w:tcBorders>
            <w:shd w:val="clear" w:color="auto" w:fill="auto"/>
            <w:vAlign w:val="center"/>
          </w:tcPr>
          <w:p w:rsidR="00AB2BBB" w:rsidRPr="00660897" w:rsidRDefault="00AB2BBB" w:rsidP="00B363CD">
            <w:pPr>
              <w:widowControl/>
              <w:adjustRightInd/>
              <w:rPr>
                <w:b/>
                <w:color w:val="000000"/>
                <w:sz w:val="18"/>
                <w:szCs w:val="18"/>
              </w:rPr>
            </w:pPr>
            <w:r w:rsidRPr="00660897">
              <w:rPr>
                <w:b/>
                <w:color w:val="000000"/>
                <w:sz w:val="18"/>
                <w:szCs w:val="18"/>
              </w:rPr>
              <w:t>Alternative Performance Standard 2: Corrective Action Remedy (Reduced Burden)</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AB2BBB" w:rsidP="00B363CD">
            <w:pPr>
              <w:widowControl/>
              <w:adjustRightInd/>
              <w:rPr>
                <w:color w:val="000000"/>
                <w:sz w:val="18"/>
                <w:szCs w:val="18"/>
              </w:rPr>
            </w:pPr>
            <w:r w:rsidRPr="00660897">
              <w:rPr>
                <w:color w:val="000000"/>
                <w:sz w:val="18"/>
                <w:szCs w:val="18"/>
              </w:rPr>
              <w:t>Prepare report on selected remedy (40 CFR 257.97)</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53</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($97,545)</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($5,</w:t>
            </w:r>
            <w:r w:rsidR="00DD0DFF" w:rsidRPr="00660897">
              <w:rPr>
                <w:color w:val="000000"/>
                <w:sz w:val="18"/>
                <w:szCs w:val="18"/>
              </w:rPr>
              <w:t>169</w:t>
            </w:r>
            <w:r w:rsidRPr="00660897">
              <w:rPr>
                <w:color w:val="000000"/>
                <w:sz w:val="18"/>
                <w:szCs w:val="18"/>
              </w:rPr>
              <w:t>,</w:t>
            </w:r>
            <w:r w:rsidR="00DD0DFF" w:rsidRPr="00660897">
              <w:rPr>
                <w:color w:val="000000"/>
                <w:sz w:val="18"/>
                <w:szCs w:val="18"/>
              </w:rPr>
              <w:t>885</w:t>
            </w:r>
            <w:r w:rsidRPr="00660897">
              <w:rPr>
                <w:color w:val="000000"/>
                <w:sz w:val="18"/>
                <w:szCs w:val="18"/>
              </w:rPr>
              <w:t>)</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AB2BBB" w:rsidP="00B363CD">
            <w:pPr>
              <w:widowControl/>
              <w:adjustRightInd/>
              <w:rPr>
                <w:color w:val="000000"/>
                <w:sz w:val="18"/>
                <w:szCs w:val="18"/>
              </w:rPr>
            </w:pPr>
            <w:r w:rsidRPr="00660897">
              <w:rPr>
                <w:color w:val="000000"/>
                <w:sz w:val="18"/>
                <w:szCs w:val="18"/>
              </w:rPr>
              <w:t>Obtain certification required under 40 CFR 257.97(a)</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53</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($370)</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w:t>
            </w:r>
            <w:r w:rsidR="00DD0DFF" w:rsidRPr="00660897">
              <w:rPr>
                <w:color w:val="000000"/>
                <w:sz w:val="18"/>
                <w:szCs w:val="18"/>
              </w:rPr>
              <w:t>19</w:t>
            </w:r>
            <w:r w:rsidRPr="00660897">
              <w:rPr>
                <w:color w:val="000000"/>
                <w:sz w:val="18"/>
                <w:szCs w:val="18"/>
              </w:rPr>
              <w:t>,</w:t>
            </w:r>
            <w:r w:rsidR="00DD0DFF" w:rsidRPr="00660897">
              <w:rPr>
                <w:color w:val="000000"/>
                <w:sz w:val="18"/>
                <w:szCs w:val="18"/>
              </w:rPr>
              <w:t>610</w:t>
            </w:r>
            <w:r w:rsidRPr="00660897">
              <w:rPr>
                <w:color w:val="000000"/>
                <w:sz w:val="18"/>
                <w:szCs w:val="18"/>
              </w:rPr>
              <w:t>)</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AB2BBB" w:rsidP="00B363CD">
            <w:pPr>
              <w:widowControl/>
              <w:adjustRightInd/>
              <w:rPr>
                <w:color w:val="000000"/>
                <w:sz w:val="18"/>
                <w:szCs w:val="18"/>
              </w:rPr>
            </w:pPr>
            <w:r w:rsidRPr="00660897">
              <w:rPr>
                <w:color w:val="000000"/>
                <w:sz w:val="18"/>
                <w:szCs w:val="18"/>
              </w:rPr>
              <w:t>Obtain certification required under 40 CFR 257.98(e)</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53</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($370)</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color w:val="000000"/>
                <w:sz w:val="18"/>
                <w:szCs w:val="18"/>
              </w:rPr>
            </w:pPr>
            <w:r w:rsidRPr="00660897">
              <w:rPr>
                <w:color w:val="000000"/>
                <w:sz w:val="18"/>
                <w:szCs w:val="18"/>
              </w:rPr>
              <w:t>($</w:t>
            </w:r>
            <w:r w:rsidR="00DD0DFF" w:rsidRPr="00660897">
              <w:rPr>
                <w:color w:val="000000"/>
                <w:sz w:val="18"/>
                <w:szCs w:val="18"/>
              </w:rPr>
              <w:t>19,6</w:t>
            </w:r>
            <w:r w:rsidRPr="00660897">
              <w:rPr>
                <w:color w:val="000000"/>
                <w:sz w:val="18"/>
                <w:szCs w:val="18"/>
              </w:rPr>
              <w:t>10)</w:t>
            </w:r>
          </w:p>
        </w:tc>
      </w:tr>
      <w:tr w:rsidR="001C62C0" w:rsidRPr="00660897" w:rsidTr="00AB2BBB">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C62C0" w:rsidRPr="00660897" w:rsidRDefault="001C62C0" w:rsidP="00B363CD">
            <w:pPr>
              <w:widowControl/>
              <w:adjustRightInd/>
              <w:rPr>
                <w:b/>
                <w:color w:val="000000"/>
                <w:sz w:val="18"/>
                <w:szCs w:val="18"/>
              </w:rPr>
            </w:pPr>
            <w:r w:rsidRPr="00660897">
              <w:rPr>
                <w:b/>
                <w:color w:val="000000"/>
                <w:sz w:val="18"/>
                <w:szCs w:val="18"/>
              </w:rPr>
              <w:t>Total</w:t>
            </w:r>
            <w:r w:rsidR="00AB2BBB" w:rsidRPr="00660897">
              <w:rPr>
                <w:b/>
                <w:color w:val="000000"/>
                <w:sz w:val="18"/>
                <w:szCs w:val="18"/>
              </w:rPr>
              <w:t xml:space="preserve"> Burden (Burden Reduction)</w:t>
            </w:r>
          </w:p>
        </w:tc>
        <w:tc>
          <w:tcPr>
            <w:tcW w:w="1325" w:type="dxa"/>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b/>
                <w:color w:val="000000"/>
                <w:sz w:val="18"/>
                <w:szCs w:val="18"/>
              </w:rPr>
            </w:pPr>
            <w:r w:rsidRPr="00660897">
              <w:rPr>
                <w:b/>
                <w:color w:val="000000"/>
                <w:sz w:val="18"/>
                <w:szCs w:val="18"/>
              </w:rPr>
              <w:t>108</w:t>
            </w:r>
          </w:p>
        </w:tc>
        <w:tc>
          <w:tcPr>
            <w:tcW w:w="1509" w:type="dxa"/>
            <w:tcBorders>
              <w:top w:val="nil"/>
              <w:left w:val="nil"/>
              <w:bottom w:val="single" w:sz="4" w:space="0" w:color="auto"/>
              <w:right w:val="single" w:sz="4" w:space="0" w:color="auto"/>
            </w:tcBorders>
            <w:shd w:val="clear" w:color="auto" w:fill="auto"/>
            <w:vAlign w:val="center"/>
            <w:hideMark/>
          </w:tcPr>
          <w:p w:rsidR="001C62C0" w:rsidRPr="00660897" w:rsidRDefault="001C62C0" w:rsidP="00B363CD">
            <w:pPr>
              <w:widowControl/>
              <w:adjustRightInd/>
              <w:jc w:val="center"/>
              <w:rPr>
                <w:b/>
                <w:color w:val="000000"/>
                <w:sz w:val="18"/>
                <w:szCs w:val="18"/>
              </w:rPr>
            </w:pPr>
            <w:r w:rsidRPr="00660897">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1C62C0" w:rsidRPr="00660897" w:rsidRDefault="00AB2BBB" w:rsidP="00B363CD">
            <w:pPr>
              <w:widowControl/>
              <w:adjustRightInd/>
              <w:jc w:val="center"/>
              <w:rPr>
                <w:b/>
                <w:color w:val="000000"/>
                <w:sz w:val="18"/>
                <w:szCs w:val="18"/>
              </w:rPr>
            </w:pPr>
            <w:r w:rsidRPr="00660897">
              <w:rPr>
                <w:b/>
                <w:color w:val="000000"/>
                <w:sz w:val="18"/>
                <w:szCs w:val="18"/>
              </w:rPr>
              <w:t>(</w:t>
            </w:r>
            <w:r w:rsidR="001C62C0" w:rsidRPr="00660897">
              <w:rPr>
                <w:b/>
                <w:color w:val="000000"/>
                <w:sz w:val="18"/>
                <w:szCs w:val="18"/>
              </w:rPr>
              <w:t>$</w:t>
            </w:r>
            <w:r w:rsidRPr="00660897">
              <w:rPr>
                <w:b/>
                <w:color w:val="000000"/>
                <w:sz w:val="18"/>
                <w:szCs w:val="18"/>
              </w:rPr>
              <w:t>5</w:t>
            </w:r>
            <w:r w:rsidR="001C62C0" w:rsidRPr="00660897">
              <w:rPr>
                <w:b/>
                <w:bCs/>
                <w:color w:val="000000"/>
                <w:sz w:val="18"/>
                <w:szCs w:val="18"/>
              </w:rPr>
              <w:t>,</w:t>
            </w:r>
            <w:r w:rsidRPr="00660897">
              <w:rPr>
                <w:b/>
                <w:bCs/>
                <w:color w:val="000000"/>
                <w:sz w:val="18"/>
                <w:szCs w:val="18"/>
              </w:rPr>
              <w:t>193</w:t>
            </w:r>
            <w:r w:rsidR="001C62C0" w:rsidRPr="00660897">
              <w:rPr>
                <w:b/>
                <w:color w:val="000000"/>
                <w:sz w:val="18"/>
                <w:szCs w:val="18"/>
              </w:rPr>
              <w:t>,</w:t>
            </w:r>
            <w:r w:rsidRPr="00660897">
              <w:rPr>
                <w:b/>
                <w:color w:val="000000"/>
                <w:sz w:val="18"/>
                <w:szCs w:val="18"/>
              </w:rPr>
              <w:t>195)</w:t>
            </w:r>
          </w:p>
        </w:tc>
      </w:tr>
    </w:tbl>
    <w:p w:rsidR="00DD0DFF" w:rsidRPr="00660897" w:rsidRDefault="00DD0DFF"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120" w:after="120"/>
        <w:rPr>
          <w:rFonts w:eastAsiaTheme="minorHAnsi"/>
          <w:sz w:val="20"/>
          <w:szCs w:val="20"/>
        </w:rPr>
      </w:pPr>
    </w:p>
    <w:p w:rsidR="003578ED" w:rsidRPr="00660897" w:rsidRDefault="00C45052"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120" w:after="120"/>
        <w:rPr>
          <w:sz w:val="22"/>
          <w:szCs w:val="22"/>
        </w:rPr>
      </w:pPr>
      <w:r w:rsidRPr="00660897">
        <w:rPr>
          <w:rFonts w:eastAsiaTheme="minorHAnsi"/>
          <w:sz w:val="22"/>
          <w:szCs w:val="22"/>
        </w:rPr>
        <w:tab/>
      </w:r>
      <w:r w:rsidR="009F5E63" w:rsidRPr="00660897">
        <w:rPr>
          <w:rFonts w:eastAsiaTheme="minorHAnsi"/>
          <w:sz w:val="22"/>
          <w:szCs w:val="22"/>
        </w:rPr>
        <w:t xml:space="preserve">These expenses </w:t>
      </w:r>
      <w:r w:rsidR="00C53868" w:rsidRPr="00660897">
        <w:rPr>
          <w:rFonts w:eastAsiaTheme="minorHAnsi"/>
          <w:sz w:val="22"/>
          <w:szCs w:val="22"/>
        </w:rPr>
        <w:t>represent changes from t</w:t>
      </w:r>
      <w:r w:rsidR="009F5E63" w:rsidRPr="00660897">
        <w:rPr>
          <w:rFonts w:eastAsiaTheme="minorHAnsi"/>
          <w:sz w:val="22"/>
          <w:szCs w:val="22"/>
        </w:rPr>
        <w:t xml:space="preserve">he costs </w:t>
      </w:r>
      <w:r w:rsidR="00C53868" w:rsidRPr="00660897">
        <w:rPr>
          <w:rFonts w:eastAsiaTheme="minorHAnsi"/>
          <w:sz w:val="22"/>
          <w:szCs w:val="22"/>
        </w:rPr>
        <w:t xml:space="preserve">estimated under the 2015 CCR Rule. Note that under WIIN Act Alternative Performance Standard 6: Professional Engineer Certifications, the analysis supporting this ICR estimates that 2,372 third-party certification reports may be affected by the rule. However, because it is not clear to what extent states adopting WIIN Act provisions will alter the process or authorship for developing the reports, this ICR does not estimate any O&amp;M cost changes associated WIIN Act Alternative Performance Standard 6. </w:t>
      </w:r>
    </w:p>
    <w:p w:rsidR="00616729" w:rsidRPr="00660897" w:rsidRDefault="00616729"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660897">
        <w:rPr>
          <w:b/>
          <w:bCs/>
          <w:sz w:val="22"/>
          <w:szCs w:val="22"/>
        </w:rPr>
        <w:t>6(c)</w:t>
      </w:r>
      <w:r w:rsidRPr="00660897">
        <w:rPr>
          <w:b/>
          <w:bCs/>
          <w:sz w:val="22"/>
          <w:szCs w:val="22"/>
        </w:rPr>
        <w:tab/>
        <w:t>Estimating Agency Burden and Cost</w:t>
      </w:r>
    </w:p>
    <w:p w:rsidR="00EF7679" w:rsidRPr="00660897" w:rsidRDefault="00EF7679"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sz w:val="22"/>
          <w:szCs w:val="22"/>
        </w:rPr>
        <w:t>EPA does not anticipate agency burden associated with the changes in paperwork requirements under the Proposed CCR Remand Rule or adoption of WIIN Act flexibilities by states.</w:t>
      </w:r>
    </w:p>
    <w:p w:rsidR="00616729" w:rsidRPr="00660897" w:rsidRDefault="00616729"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ind w:left="720" w:hanging="720"/>
        <w:rPr>
          <w:b/>
          <w:bCs/>
          <w:sz w:val="22"/>
          <w:szCs w:val="22"/>
        </w:rPr>
      </w:pPr>
      <w:r w:rsidRPr="00660897">
        <w:rPr>
          <w:b/>
          <w:bCs/>
          <w:sz w:val="22"/>
          <w:szCs w:val="22"/>
        </w:rPr>
        <w:t>6(d)</w:t>
      </w:r>
      <w:r w:rsidRPr="00660897">
        <w:rPr>
          <w:b/>
          <w:bCs/>
          <w:sz w:val="22"/>
          <w:szCs w:val="22"/>
        </w:rPr>
        <w:tab/>
        <w:t>Estimating the Respondent Universe and Total Burden and Costs</w:t>
      </w:r>
    </w:p>
    <w:p w:rsidR="00E7042A" w:rsidRPr="00660897" w:rsidRDefault="00E7042A"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bCs/>
          <w:sz w:val="22"/>
          <w:szCs w:val="22"/>
        </w:rPr>
      </w:pPr>
      <w:r w:rsidRPr="00660897">
        <w:rPr>
          <w:bCs/>
          <w:sz w:val="22"/>
          <w:szCs w:val="22"/>
        </w:rPr>
        <w:t xml:space="preserve">In this section, EPA describes the respondent universe affected by the information collection requirements under </w:t>
      </w:r>
      <w:r w:rsidR="002C0A45" w:rsidRPr="00660897">
        <w:rPr>
          <w:bCs/>
          <w:sz w:val="22"/>
          <w:szCs w:val="22"/>
        </w:rPr>
        <w:t>the proposed</w:t>
      </w:r>
      <w:r w:rsidRPr="00660897">
        <w:rPr>
          <w:bCs/>
          <w:sz w:val="22"/>
          <w:szCs w:val="22"/>
        </w:rPr>
        <w:t xml:space="preserve"> rule.  </w:t>
      </w:r>
    </w:p>
    <w:p w:rsidR="00E7042A" w:rsidRPr="00660897" w:rsidRDefault="00E7042A" w:rsidP="00B363CD">
      <w:pPr>
        <w:widowControl/>
        <w:spacing w:before="240" w:after="120"/>
        <w:rPr>
          <w:b/>
          <w:sz w:val="22"/>
          <w:u w:val="single"/>
        </w:rPr>
      </w:pPr>
      <w:r w:rsidRPr="00660897">
        <w:rPr>
          <w:b/>
          <w:sz w:val="22"/>
          <w:u w:val="single"/>
        </w:rPr>
        <w:t>Respondent Universe</w:t>
      </w:r>
    </w:p>
    <w:p w:rsidR="000F3429" w:rsidRPr="00660897" w:rsidRDefault="000F3429" w:rsidP="00B363CD">
      <w:pPr>
        <w:widowControl/>
        <w:ind w:firstLine="720"/>
        <w:rPr>
          <w:sz w:val="22"/>
          <w:szCs w:val="22"/>
        </w:rPr>
      </w:pPr>
      <w:r w:rsidRPr="00660897">
        <w:rPr>
          <w:sz w:val="22"/>
          <w:szCs w:val="22"/>
        </w:rPr>
        <w:t>Consistent with the 2015 CCR RIA, EPA estimates that 414 coal-fired electric utility plants will be affected by the Proposed CCR Remand Rule. Exhibit 6-7 presents the number of CCR units subject to the information collection requirements under the rule.</w:t>
      </w:r>
      <w:r w:rsidRPr="00660897">
        <w:rPr>
          <w:sz w:val="22"/>
          <w:szCs w:val="22"/>
          <w:vertAlign w:val="superscript"/>
        </w:rPr>
        <w:footnoteReference w:id="4"/>
      </w:r>
      <w:r w:rsidRPr="00660897">
        <w:rPr>
          <w:sz w:val="22"/>
          <w:szCs w:val="22"/>
        </w:rPr>
        <w:t xml:space="preserve"> </w:t>
      </w:r>
    </w:p>
    <w:p w:rsidR="000F3429" w:rsidRPr="00660897" w:rsidRDefault="000F3429" w:rsidP="00B363CD">
      <w:pPr>
        <w:pStyle w:val="ListParagraph"/>
        <w:widowControl/>
        <w:spacing w:before="240" w:line="259" w:lineRule="auto"/>
        <w:ind w:left="0"/>
        <w:contextualSpacing w:val="0"/>
        <w:jc w:val="center"/>
        <w:rPr>
          <w:rFonts w:eastAsiaTheme="minorHAnsi"/>
          <w:sz w:val="20"/>
          <w:szCs w:val="20"/>
        </w:rPr>
      </w:pPr>
      <w:r w:rsidRPr="00660897">
        <w:rPr>
          <w:rFonts w:eastAsiaTheme="minorHAnsi"/>
          <w:b/>
          <w:sz w:val="20"/>
          <w:szCs w:val="20"/>
        </w:rPr>
        <w:t>Exhibit 6-</w:t>
      </w:r>
      <w:r w:rsidR="007C7A43" w:rsidRPr="00660897">
        <w:rPr>
          <w:rFonts w:eastAsiaTheme="minorHAnsi"/>
          <w:b/>
          <w:sz w:val="20"/>
          <w:szCs w:val="20"/>
        </w:rPr>
        <w:t>7</w:t>
      </w:r>
      <w:r w:rsidRPr="00660897">
        <w:rPr>
          <w:rFonts w:eastAsiaTheme="minorHAnsi"/>
          <w:b/>
          <w:sz w:val="20"/>
          <w:szCs w:val="20"/>
        </w:rPr>
        <w:t xml:space="preserve">: </w:t>
      </w:r>
      <w:r w:rsidR="007C7A43" w:rsidRPr="00660897">
        <w:rPr>
          <w:rFonts w:eastAsiaTheme="minorHAnsi"/>
          <w:b/>
          <w:sz w:val="20"/>
          <w:szCs w:val="20"/>
        </w:rPr>
        <w:t>Respondent Universe</w:t>
      </w:r>
      <w:r w:rsidRPr="00660897">
        <w:rPr>
          <w:rFonts w:eastAsiaTheme="minorHAnsi"/>
          <w:b/>
          <w:sz w:val="20"/>
          <w:szCs w:val="20"/>
        </w:rPr>
        <w:t xml:space="preserve"> Under the CCR Remand Rule</w:t>
      </w:r>
    </w:p>
    <w:tbl>
      <w:tblPr>
        <w:tblW w:w="8410" w:type="dxa"/>
        <w:jc w:val="center"/>
        <w:tblLayout w:type="fixed"/>
        <w:tblLook w:val="04A0" w:firstRow="1" w:lastRow="0" w:firstColumn="1" w:lastColumn="0" w:noHBand="0" w:noVBand="1"/>
      </w:tblPr>
      <w:tblGrid>
        <w:gridCol w:w="2546"/>
        <w:gridCol w:w="1466"/>
        <w:gridCol w:w="1466"/>
        <w:gridCol w:w="1466"/>
        <w:gridCol w:w="1466"/>
      </w:tblGrid>
      <w:tr w:rsidR="000F3429" w:rsidRPr="00660897" w:rsidTr="00225389">
        <w:trPr>
          <w:trHeight w:val="300"/>
          <w:jc w:val="center"/>
        </w:trPr>
        <w:tc>
          <w:tcPr>
            <w:tcW w:w="25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F3429" w:rsidRPr="00660897" w:rsidRDefault="000F3429" w:rsidP="00B363CD">
            <w:pPr>
              <w:keepNext/>
              <w:widowControl/>
              <w:jc w:val="center"/>
              <w:rPr>
                <w:b/>
                <w:bCs/>
                <w:sz w:val="20"/>
                <w:szCs w:val="20"/>
              </w:rPr>
            </w:pPr>
            <w:r w:rsidRPr="00660897">
              <w:rPr>
                <w:b/>
                <w:bCs/>
                <w:sz w:val="20"/>
                <w:szCs w:val="20"/>
              </w:rPr>
              <w:t>Category</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0F3429" w:rsidRPr="00660897" w:rsidRDefault="000F3429" w:rsidP="00B363CD">
            <w:pPr>
              <w:keepNext/>
              <w:widowControl/>
              <w:jc w:val="center"/>
              <w:rPr>
                <w:b/>
                <w:bCs/>
                <w:sz w:val="20"/>
                <w:szCs w:val="20"/>
              </w:rPr>
            </w:pPr>
            <w:r w:rsidRPr="00660897">
              <w:rPr>
                <w:b/>
                <w:bCs/>
                <w:sz w:val="20"/>
                <w:szCs w:val="20"/>
              </w:rPr>
              <w:t>2015</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0F3429" w:rsidRPr="00660897" w:rsidRDefault="000F3429" w:rsidP="00B363CD">
            <w:pPr>
              <w:keepNext/>
              <w:widowControl/>
              <w:jc w:val="center"/>
              <w:rPr>
                <w:b/>
                <w:bCs/>
                <w:sz w:val="20"/>
                <w:szCs w:val="20"/>
              </w:rPr>
            </w:pPr>
            <w:r w:rsidRPr="00660897">
              <w:rPr>
                <w:b/>
                <w:bCs/>
                <w:sz w:val="20"/>
                <w:szCs w:val="20"/>
              </w:rPr>
              <w:t>2016</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0F3429" w:rsidRPr="00660897" w:rsidRDefault="000F3429" w:rsidP="00B363CD">
            <w:pPr>
              <w:keepNext/>
              <w:widowControl/>
              <w:jc w:val="center"/>
              <w:rPr>
                <w:b/>
                <w:bCs/>
                <w:sz w:val="20"/>
                <w:szCs w:val="20"/>
              </w:rPr>
            </w:pPr>
            <w:r w:rsidRPr="00660897">
              <w:rPr>
                <w:b/>
                <w:bCs/>
                <w:sz w:val="20"/>
                <w:szCs w:val="20"/>
              </w:rPr>
              <w:t>2017</w:t>
            </w:r>
          </w:p>
        </w:tc>
        <w:tc>
          <w:tcPr>
            <w:tcW w:w="1466" w:type="dxa"/>
            <w:tcBorders>
              <w:top w:val="single" w:sz="4" w:space="0" w:color="auto"/>
              <w:left w:val="nil"/>
              <w:bottom w:val="single" w:sz="4" w:space="0" w:color="auto"/>
              <w:right w:val="single" w:sz="4" w:space="0" w:color="auto"/>
            </w:tcBorders>
            <w:shd w:val="clear" w:color="000000" w:fill="D9D9D9"/>
            <w:vAlign w:val="center"/>
            <w:hideMark/>
          </w:tcPr>
          <w:p w:rsidR="000F3429" w:rsidRPr="00660897" w:rsidRDefault="000F3429" w:rsidP="00B363CD">
            <w:pPr>
              <w:keepNext/>
              <w:widowControl/>
              <w:jc w:val="center"/>
              <w:rPr>
                <w:b/>
                <w:bCs/>
                <w:sz w:val="20"/>
                <w:szCs w:val="20"/>
              </w:rPr>
            </w:pPr>
            <w:r w:rsidRPr="00660897">
              <w:rPr>
                <w:b/>
                <w:bCs/>
                <w:sz w:val="20"/>
                <w:szCs w:val="20"/>
              </w:rPr>
              <w:t>Average</w:t>
            </w:r>
          </w:p>
        </w:tc>
      </w:tr>
      <w:tr w:rsidR="000F3429" w:rsidRPr="00660897" w:rsidTr="00225389">
        <w:trPr>
          <w:trHeight w:val="300"/>
          <w:jc w:val="center"/>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0F3429" w:rsidRPr="00660897" w:rsidRDefault="000F3429" w:rsidP="00B363CD">
            <w:pPr>
              <w:keepNext/>
              <w:widowControl/>
              <w:rPr>
                <w:sz w:val="20"/>
                <w:szCs w:val="20"/>
              </w:rPr>
            </w:pPr>
            <w:r w:rsidRPr="00660897">
              <w:rPr>
                <w:sz w:val="20"/>
                <w:szCs w:val="20"/>
              </w:rPr>
              <w:t>Landfills – Existing</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286</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284</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282</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284</w:t>
            </w:r>
          </w:p>
        </w:tc>
      </w:tr>
      <w:tr w:rsidR="000F3429" w:rsidRPr="00660897" w:rsidTr="00225389">
        <w:trPr>
          <w:trHeight w:val="255"/>
          <w:jc w:val="center"/>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0F3429" w:rsidRPr="00660897" w:rsidRDefault="000F3429" w:rsidP="00B363CD">
            <w:pPr>
              <w:keepNext/>
              <w:widowControl/>
              <w:rPr>
                <w:sz w:val="20"/>
                <w:szCs w:val="20"/>
              </w:rPr>
            </w:pPr>
            <w:r w:rsidRPr="00660897">
              <w:rPr>
                <w:sz w:val="20"/>
                <w:szCs w:val="20"/>
              </w:rPr>
              <w:t>Landfills – New</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3</w:t>
            </w:r>
          </w:p>
        </w:tc>
      </w:tr>
      <w:tr w:rsidR="000F3429" w:rsidRPr="00660897" w:rsidTr="00225389">
        <w:trPr>
          <w:trHeight w:val="300"/>
          <w:jc w:val="center"/>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0F3429" w:rsidRPr="00660897" w:rsidRDefault="000F3429" w:rsidP="00B363CD">
            <w:pPr>
              <w:keepNext/>
              <w:widowControl/>
              <w:rPr>
                <w:sz w:val="20"/>
                <w:szCs w:val="20"/>
              </w:rPr>
            </w:pPr>
            <w:r w:rsidRPr="00660897">
              <w:rPr>
                <w:sz w:val="20"/>
                <w:szCs w:val="20"/>
              </w:rPr>
              <w:t xml:space="preserve">Impoundments </w:t>
            </w:r>
            <w:r w:rsidR="00FF388A">
              <w:rPr>
                <w:sz w:val="20"/>
                <w:szCs w:val="20"/>
              </w:rPr>
              <w:t>–</w:t>
            </w:r>
            <w:r w:rsidRPr="00660897">
              <w:rPr>
                <w:sz w:val="20"/>
                <w:szCs w:val="20"/>
              </w:rPr>
              <w:t xml:space="preserve"> Existing</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633</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628</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613</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625</w:t>
            </w:r>
          </w:p>
        </w:tc>
      </w:tr>
      <w:tr w:rsidR="000F3429" w:rsidRPr="00660897" w:rsidTr="00225389">
        <w:trPr>
          <w:trHeight w:val="300"/>
          <w:jc w:val="center"/>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0F3429" w:rsidRPr="00660897" w:rsidRDefault="000F3429" w:rsidP="00B363CD">
            <w:pPr>
              <w:keepNext/>
              <w:widowControl/>
              <w:rPr>
                <w:sz w:val="20"/>
                <w:szCs w:val="20"/>
              </w:rPr>
            </w:pPr>
            <w:r w:rsidRPr="00660897">
              <w:rPr>
                <w:sz w:val="20"/>
                <w:szCs w:val="20"/>
              </w:rPr>
              <w:t xml:space="preserve">Impoundments </w:t>
            </w:r>
            <w:r w:rsidR="00FF388A">
              <w:rPr>
                <w:sz w:val="20"/>
                <w:szCs w:val="20"/>
              </w:rPr>
              <w:t>–</w:t>
            </w:r>
            <w:r w:rsidRPr="00660897">
              <w:rPr>
                <w:sz w:val="20"/>
                <w:szCs w:val="20"/>
              </w:rPr>
              <w:t xml:space="preserve"> New</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0</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18</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keepNext/>
              <w:widowControl/>
              <w:jc w:val="center"/>
              <w:rPr>
                <w:sz w:val="20"/>
                <w:szCs w:val="20"/>
              </w:rPr>
            </w:pPr>
            <w:r w:rsidRPr="00660897">
              <w:rPr>
                <w:sz w:val="20"/>
                <w:szCs w:val="20"/>
              </w:rPr>
              <w:t>7</w:t>
            </w:r>
          </w:p>
        </w:tc>
      </w:tr>
      <w:tr w:rsidR="000F3429" w:rsidRPr="00660897" w:rsidTr="00225389">
        <w:trPr>
          <w:trHeight w:val="300"/>
          <w:jc w:val="center"/>
        </w:trPr>
        <w:tc>
          <w:tcPr>
            <w:tcW w:w="2546" w:type="dxa"/>
            <w:tcBorders>
              <w:top w:val="nil"/>
              <w:left w:val="single" w:sz="4" w:space="0" w:color="auto"/>
              <w:bottom w:val="single" w:sz="4" w:space="0" w:color="auto"/>
              <w:right w:val="single" w:sz="4" w:space="0" w:color="auto"/>
            </w:tcBorders>
            <w:shd w:val="clear" w:color="auto" w:fill="auto"/>
            <w:vAlign w:val="center"/>
            <w:hideMark/>
          </w:tcPr>
          <w:p w:rsidR="000F3429" w:rsidRPr="00660897" w:rsidRDefault="000F3429" w:rsidP="00B363CD">
            <w:pPr>
              <w:widowControl/>
              <w:jc w:val="right"/>
              <w:rPr>
                <w:b/>
                <w:bCs/>
                <w:sz w:val="20"/>
                <w:szCs w:val="20"/>
              </w:rPr>
            </w:pPr>
            <w:r w:rsidRPr="00660897">
              <w:rPr>
                <w:b/>
                <w:bCs/>
                <w:sz w:val="20"/>
                <w:szCs w:val="20"/>
              </w:rPr>
              <w:t>Total</w:t>
            </w:r>
          </w:p>
        </w:tc>
        <w:tc>
          <w:tcPr>
            <w:tcW w:w="1466" w:type="dxa"/>
            <w:tcBorders>
              <w:top w:val="nil"/>
              <w:left w:val="nil"/>
              <w:bottom w:val="single" w:sz="4" w:space="0" w:color="auto"/>
              <w:right w:val="single" w:sz="4" w:space="0" w:color="auto"/>
            </w:tcBorders>
            <w:shd w:val="clear" w:color="auto" w:fill="auto"/>
            <w:noWrap/>
            <w:vAlign w:val="center"/>
            <w:hideMark/>
          </w:tcPr>
          <w:p w:rsidR="000F3429" w:rsidRPr="00660897" w:rsidRDefault="000F3429" w:rsidP="00B363CD">
            <w:pPr>
              <w:widowControl/>
              <w:jc w:val="center"/>
              <w:rPr>
                <w:b/>
                <w:bCs/>
                <w:sz w:val="20"/>
                <w:szCs w:val="20"/>
              </w:rPr>
            </w:pPr>
            <w:r w:rsidRPr="00660897">
              <w:rPr>
                <w:b/>
                <w:bCs/>
                <w:sz w:val="20"/>
                <w:szCs w:val="20"/>
              </w:rPr>
              <w:t>921</w:t>
            </w:r>
          </w:p>
        </w:tc>
        <w:tc>
          <w:tcPr>
            <w:tcW w:w="1466" w:type="dxa"/>
            <w:tcBorders>
              <w:top w:val="nil"/>
              <w:left w:val="nil"/>
              <w:bottom w:val="single" w:sz="4" w:space="0" w:color="auto"/>
              <w:right w:val="single" w:sz="4" w:space="0" w:color="auto"/>
            </w:tcBorders>
            <w:shd w:val="clear" w:color="auto" w:fill="auto"/>
            <w:noWrap/>
            <w:vAlign w:val="center"/>
            <w:hideMark/>
          </w:tcPr>
          <w:p w:rsidR="000F3429" w:rsidRPr="00660897" w:rsidRDefault="000F3429" w:rsidP="00B363CD">
            <w:pPr>
              <w:widowControl/>
              <w:jc w:val="center"/>
              <w:rPr>
                <w:b/>
                <w:bCs/>
                <w:sz w:val="20"/>
                <w:szCs w:val="20"/>
              </w:rPr>
            </w:pPr>
            <w:r w:rsidRPr="00660897">
              <w:rPr>
                <w:b/>
                <w:bCs/>
                <w:sz w:val="20"/>
                <w:szCs w:val="20"/>
              </w:rPr>
              <w:t>919</w:t>
            </w:r>
          </w:p>
        </w:tc>
        <w:tc>
          <w:tcPr>
            <w:tcW w:w="1466" w:type="dxa"/>
            <w:tcBorders>
              <w:top w:val="nil"/>
              <w:left w:val="nil"/>
              <w:bottom w:val="single" w:sz="4" w:space="0" w:color="auto"/>
              <w:right w:val="single" w:sz="4" w:space="0" w:color="auto"/>
            </w:tcBorders>
            <w:shd w:val="clear" w:color="auto" w:fill="auto"/>
            <w:noWrap/>
            <w:vAlign w:val="center"/>
            <w:hideMark/>
          </w:tcPr>
          <w:p w:rsidR="000F3429" w:rsidRPr="00660897" w:rsidRDefault="000F3429" w:rsidP="00B363CD">
            <w:pPr>
              <w:widowControl/>
              <w:jc w:val="center"/>
              <w:rPr>
                <w:b/>
                <w:bCs/>
                <w:sz w:val="20"/>
                <w:szCs w:val="20"/>
              </w:rPr>
            </w:pPr>
            <w:r w:rsidRPr="00660897">
              <w:rPr>
                <w:b/>
                <w:bCs/>
                <w:sz w:val="20"/>
                <w:szCs w:val="20"/>
              </w:rPr>
              <w:t>916</w:t>
            </w:r>
          </w:p>
        </w:tc>
        <w:tc>
          <w:tcPr>
            <w:tcW w:w="1466" w:type="dxa"/>
            <w:tcBorders>
              <w:top w:val="nil"/>
              <w:left w:val="nil"/>
              <w:bottom w:val="single" w:sz="4" w:space="0" w:color="auto"/>
              <w:right w:val="single" w:sz="4" w:space="0" w:color="auto"/>
            </w:tcBorders>
            <w:shd w:val="clear" w:color="auto" w:fill="auto"/>
            <w:vAlign w:val="center"/>
            <w:hideMark/>
          </w:tcPr>
          <w:p w:rsidR="000F3429" w:rsidRPr="00660897" w:rsidRDefault="000F3429" w:rsidP="00B363CD">
            <w:pPr>
              <w:widowControl/>
              <w:jc w:val="center"/>
              <w:rPr>
                <w:b/>
                <w:bCs/>
                <w:sz w:val="20"/>
                <w:szCs w:val="20"/>
              </w:rPr>
            </w:pPr>
            <w:r w:rsidRPr="00660897">
              <w:rPr>
                <w:b/>
                <w:bCs/>
                <w:sz w:val="20"/>
                <w:szCs w:val="20"/>
              </w:rPr>
              <w:t>919</w:t>
            </w:r>
          </w:p>
        </w:tc>
      </w:tr>
    </w:tbl>
    <w:p w:rsidR="00616729" w:rsidRPr="00660897" w:rsidRDefault="00616729"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rPr>
          <w:b/>
          <w:bCs/>
          <w:sz w:val="22"/>
          <w:szCs w:val="22"/>
        </w:rPr>
      </w:pPr>
      <w:r w:rsidRPr="00660897">
        <w:rPr>
          <w:b/>
          <w:bCs/>
          <w:sz w:val="22"/>
          <w:szCs w:val="22"/>
        </w:rPr>
        <w:t>6(e)</w:t>
      </w:r>
      <w:r w:rsidRPr="00660897">
        <w:rPr>
          <w:b/>
          <w:bCs/>
          <w:sz w:val="22"/>
          <w:szCs w:val="22"/>
        </w:rPr>
        <w:tab/>
        <w:t>Bottom Line Burden Hours and Costs</w:t>
      </w:r>
    </w:p>
    <w:p w:rsidR="00287A1B" w:rsidRPr="00660897" w:rsidRDefault="00287A1B"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ind w:firstLine="720"/>
        <w:rPr>
          <w:bCs/>
          <w:sz w:val="22"/>
          <w:szCs w:val="22"/>
        </w:rPr>
      </w:pPr>
      <w:r w:rsidRPr="00660897">
        <w:rPr>
          <w:bCs/>
          <w:sz w:val="22"/>
          <w:szCs w:val="22"/>
        </w:rPr>
        <w:t>Exhibit 6-</w:t>
      </w:r>
      <w:r w:rsidR="007C7A43" w:rsidRPr="00660897">
        <w:rPr>
          <w:bCs/>
          <w:sz w:val="22"/>
          <w:szCs w:val="22"/>
        </w:rPr>
        <w:t>8</w:t>
      </w:r>
      <w:r w:rsidR="00D50459" w:rsidRPr="00660897">
        <w:rPr>
          <w:bCs/>
          <w:sz w:val="22"/>
          <w:szCs w:val="22"/>
        </w:rPr>
        <w:t xml:space="preserve"> presents the bottom line burden hours and costs</w:t>
      </w:r>
      <w:r w:rsidR="003C7EEE" w:rsidRPr="00660897">
        <w:rPr>
          <w:bCs/>
          <w:sz w:val="22"/>
          <w:szCs w:val="22"/>
        </w:rPr>
        <w:t>.  T</w:t>
      </w:r>
      <w:r w:rsidR="00CC7D46" w:rsidRPr="00660897">
        <w:rPr>
          <w:bCs/>
          <w:sz w:val="22"/>
          <w:szCs w:val="22"/>
        </w:rPr>
        <w:t xml:space="preserve">he </w:t>
      </w:r>
      <w:r w:rsidR="00D41DB8" w:rsidRPr="00660897">
        <w:rPr>
          <w:bCs/>
          <w:sz w:val="22"/>
          <w:szCs w:val="22"/>
        </w:rPr>
        <w:t xml:space="preserve">total </w:t>
      </w:r>
      <w:r w:rsidR="00CC7D46" w:rsidRPr="00660897">
        <w:rPr>
          <w:bCs/>
          <w:sz w:val="22"/>
          <w:szCs w:val="22"/>
        </w:rPr>
        <w:t>number of respon</w:t>
      </w:r>
      <w:r w:rsidR="003C7EEE" w:rsidRPr="00660897">
        <w:rPr>
          <w:bCs/>
          <w:sz w:val="22"/>
          <w:szCs w:val="22"/>
        </w:rPr>
        <w:t>dents includes</w:t>
      </w:r>
      <w:r w:rsidR="00CC7D46" w:rsidRPr="00660897">
        <w:rPr>
          <w:bCs/>
          <w:sz w:val="22"/>
          <w:szCs w:val="22"/>
        </w:rPr>
        <w:t xml:space="preserve"> </w:t>
      </w:r>
      <w:r w:rsidR="003C7EEE" w:rsidRPr="00660897">
        <w:rPr>
          <w:bCs/>
          <w:sz w:val="22"/>
          <w:szCs w:val="22"/>
        </w:rPr>
        <w:t>all</w:t>
      </w:r>
      <w:r w:rsidR="00CC7D46" w:rsidRPr="00660897">
        <w:rPr>
          <w:bCs/>
          <w:sz w:val="22"/>
          <w:szCs w:val="22"/>
        </w:rPr>
        <w:t xml:space="preserve"> regulated facilit</w:t>
      </w:r>
      <w:r w:rsidR="003C7EEE" w:rsidRPr="00660897">
        <w:rPr>
          <w:bCs/>
          <w:sz w:val="22"/>
          <w:szCs w:val="22"/>
        </w:rPr>
        <w:t>ies</w:t>
      </w:r>
      <w:r w:rsidR="00D41DB8" w:rsidRPr="00660897">
        <w:rPr>
          <w:bCs/>
          <w:sz w:val="22"/>
          <w:szCs w:val="22"/>
        </w:rPr>
        <w:t xml:space="preserve"> (</w:t>
      </w:r>
      <w:r w:rsidR="000F3429" w:rsidRPr="00660897">
        <w:rPr>
          <w:bCs/>
          <w:sz w:val="22"/>
          <w:szCs w:val="22"/>
        </w:rPr>
        <w:t>414</w:t>
      </w:r>
      <w:r w:rsidR="0027634E" w:rsidRPr="00660897">
        <w:rPr>
          <w:bCs/>
          <w:sz w:val="22"/>
          <w:szCs w:val="22"/>
        </w:rPr>
        <w:t>)</w:t>
      </w:r>
      <w:r w:rsidR="000F3429" w:rsidRPr="00660897">
        <w:rPr>
          <w:bCs/>
          <w:sz w:val="22"/>
          <w:szCs w:val="22"/>
        </w:rPr>
        <w:t xml:space="preserve"> or, where activities are associated with CCR units, a subset of the total number of units </w:t>
      </w:r>
      <w:r w:rsidR="00D41DB8" w:rsidRPr="00660897">
        <w:rPr>
          <w:bCs/>
          <w:sz w:val="22"/>
          <w:szCs w:val="22"/>
        </w:rPr>
        <w:t>(</w:t>
      </w:r>
      <w:r w:rsidR="000F3429" w:rsidRPr="00660897">
        <w:rPr>
          <w:bCs/>
          <w:sz w:val="22"/>
          <w:szCs w:val="22"/>
        </w:rPr>
        <w:t>919</w:t>
      </w:r>
      <w:r w:rsidR="00D41DB8" w:rsidRPr="00660897">
        <w:rPr>
          <w:bCs/>
          <w:sz w:val="22"/>
          <w:szCs w:val="22"/>
        </w:rPr>
        <w:t>)</w:t>
      </w:r>
      <w:r w:rsidR="00CC7D46" w:rsidRPr="00660897">
        <w:rPr>
          <w:bCs/>
          <w:sz w:val="22"/>
          <w:szCs w:val="22"/>
        </w:rPr>
        <w:t>.</w:t>
      </w:r>
    </w:p>
    <w:p w:rsidR="0062653A" w:rsidRPr="00660897" w:rsidRDefault="00287A1B" w:rsidP="00B363CD">
      <w:pPr>
        <w:pStyle w:val="ListParagraph"/>
        <w:widowControl/>
        <w:spacing w:before="240" w:line="259" w:lineRule="auto"/>
        <w:ind w:left="0"/>
        <w:contextualSpacing w:val="0"/>
        <w:jc w:val="center"/>
        <w:rPr>
          <w:rFonts w:eastAsiaTheme="minorHAnsi"/>
          <w:b/>
          <w:sz w:val="22"/>
          <w:szCs w:val="22"/>
        </w:rPr>
      </w:pPr>
      <w:r w:rsidRPr="00660897">
        <w:rPr>
          <w:rFonts w:eastAsiaTheme="minorHAnsi"/>
          <w:b/>
          <w:sz w:val="22"/>
          <w:szCs w:val="22"/>
        </w:rPr>
        <w:t>Exhibit 6-</w:t>
      </w:r>
      <w:r w:rsidR="007C7A43" w:rsidRPr="00660897">
        <w:rPr>
          <w:rFonts w:eastAsiaTheme="minorHAnsi"/>
          <w:b/>
          <w:sz w:val="22"/>
          <w:szCs w:val="22"/>
        </w:rPr>
        <w:t>8</w:t>
      </w:r>
      <w:r w:rsidR="00D50459" w:rsidRPr="00660897">
        <w:rPr>
          <w:rFonts w:eastAsiaTheme="minorHAnsi"/>
          <w:b/>
          <w:sz w:val="22"/>
          <w:szCs w:val="22"/>
        </w:rPr>
        <w:t>:</w:t>
      </w:r>
      <w:r w:rsidR="00BC08D6" w:rsidRPr="00660897">
        <w:rPr>
          <w:rFonts w:eastAsiaTheme="minorHAnsi"/>
          <w:b/>
          <w:sz w:val="22"/>
          <w:szCs w:val="22"/>
        </w:rPr>
        <w:t xml:space="preserve"> </w:t>
      </w:r>
      <w:r w:rsidR="000F3429" w:rsidRPr="00660897">
        <w:rPr>
          <w:rFonts w:eastAsiaTheme="minorHAnsi"/>
          <w:b/>
          <w:sz w:val="22"/>
          <w:szCs w:val="22"/>
        </w:rPr>
        <w:t>Annual</w:t>
      </w:r>
      <w:r w:rsidR="00BC08D6" w:rsidRPr="00660897">
        <w:rPr>
          <w:rFonts w:eastAsiaTheme="minorHAnsi"/>
          <w:b/>
          <w:sz w:val="22"/>
          <w:szCs w:val="22"/>
        </w:rPr>
        <w:t xml:space="preserve"> Total for Labor Burden, Labor Costs, and Other Costs</w:t>
      </w:r>
    </w:p>
    <w:tbl>
      <w:tblPr>
        <w:tblW w:w="9445" w:type="dxa"/>
        <w:jc w:val="center"/>
        <w:tblLayout w:type="fixed"/>
        <w:tblLook w:val="04A0" w:firstRow="1" w:lastRow="0" w:firstColumn="1" w:lastColumn="0" w:noHBand="0" w:noVBand="1"/>
      </w:tblPr>
      <w:tblGrid>
        <w:gridCol w:w="2923"/>
        <w:gridCol w:w="1710"/>
        <w:gridCol w:w="2070"/>
        <w:gridCol w:w="1350"/>
        <w:gridCol w:w="1392"/>
      </w:tblGrid>
      <w:tr w:rsidR="00F95163" w:rsidRPr="00660897" w:rsidTr="0001312F">
        <w:trPr>
          <w:trHeight w:val="870"/>
          <w:jc w:val="center"/>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53A" w:rsidRPr="00660897" w:rsidRDefault="0062653A" w:rsidP="00B363CD">
            <w:pPr>
              <w:keepNext/>
              <w:widowControl/>
              <w:jc w:val="center"/>
              <w:rPr>
                <w:b/>
                <w:bCs/>
                <w:sz w:val="20"/>
                <w:szCs w:val="20"/>
              </w:rPr>
            </w:pPr>
            <w:r w:rsidRPr="00660897">
              <w:rPr>
                <w:b/>
                <w:bCs/>
                <w:sz w:val="20"/>
                <w:szCs w:val="20"/>
              </w:rPr>
              <w:t>Provision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62653A" w:rsidRPr="00660897" w:rsidRDefault="0062653A" w:rsidP="00B363CD">
            <w:pPr>
              <w:keepNext/>
              <w:widowControl/>
              <w:jc w:val="center"/>
              <w:rPr>
                <w:b/>
                <w:bCs/>
                <w:sz w:val="20"/>
                <w:szCs w:val="20"/>
              </w:rPr>
            </w:pPr>
            <w:r w:rsidRPr="00660897">
              <w:rPr>
                <w:b/>
                <w:bCs/>
                <w:sz w:val="20"/>
                <w:szCs w:val="20"/>
              </w:rPr>
              <w:t>Total Respondents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62653A" w:rsidRPr="00660897" w:rsidRDefault="0062653A" w:rsidP="00B363CD">
            <w:pPr>
              <w:keepNext/>
              <w:widowControl/>
              <w:jc w:val="center"/>
              <w:rPr>
                <w:b/>
                <w:bCs/>
                <w:sz w:val="20"/>
                <w:szCs w:val="20"/>
              </w:rPr>
            </w:pPr>
            <w:r w:rsidRPr="00660897">
              <w:rPr>
                <w:b/>
                <w:bCs/>
                <w:sz w:val="20"/>
                <w:szCs w:val="20"/>
              </w:rPr>
              <w:t>Total Labor Burden</w:t>
            </w:r>
            <w:r w:rsidR="0001312F" w:rsidRPr="00660897">
              <w:rPr>
                <w:b/>
                <w:bCs/>
                <w:sz w:val="20"/>
                <w:szCs w:val="20"/>
              </w:rPr>
              <w:t xml:space="preserve"> (Burden Reductions)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62653A" w:rsidRPr="00660897" w:rsidRDefault="0062653A" w:rsidP="00B363CD">
            <w:pPr>
              <w:keepNext/>
              <w:widowControl/>
              <w:jc w:val="center"/>
              <w:rPr>
                <w:b/>
                <w:bCs/>
                <w:sz w:val="20"/>
                <w:szCs w:val="20"/>
              </w:rPr>
            </w:pPr>
            <w:r w:rsidRPr="00660897">
              <w:rPr>
                <w:b/>
                <w:bCs/>
                <w:sz w:val="20"/>
                <w:szCs w:val="20"/>
              </w:rPr>
              <w:t>Labor Costs</w:t>
            </w:r>
            <w:r w:rsidR="0001312F" w:rsidRPr="00660897">
              <w:rPr>
                <w:b/>
                <w:bCs/>
                <w:sz w:val="20"/>
                <w:szCs w:val="20"/>
              </w:rPr>
              <w:t xml:space="preserve"> (Savings)</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62653A" w:rsidRPr="00660897" w:rsidRDefault="0062653A" w:rsidP="00B363CD">
            <w:pPr>
              <w:keepNext/>
              <w:widowControl/>
              <w:jc w:val="center"/>
              <w:rPr>
                <w:b/>
                <w:bCs/>
                <w:sz w:val="20"/>
                <w:szCs w:val="20"/>
              </w:rPr>
            </w:pPr>
            <w:r w:rsidRPr="00660897">
              <w:rPr>
                <w:b/>
                <w:bCs/>
                <w:sz w:val="20"/>
                <w:szCs w:val="20"/>
              </w:rPr>
              <w:t>Other Costs</w:t>
            </w:r>
          </w:p>
          <w:p w:rsidR="0001312F" w:rsidRPr="00660897" w:rsidRDefault="0001312F" w:rsidP="00B363CD">
            <w:pPr>
              <w:keepNext/>
              <w:widowControl/>
              <w:jc w:val="center"/>
              <w:rPr>
                <w:b/>
                <w:bCs/>
                <w:sz w:val="20"/>
                <w:szCs w:val="20"/>
              </w:rPr>
            </w:pPr>
            <w:r w:rsidRPr="00660897">
              <w:rPr>
                <w:b/>
                <w:bCs/>
                <w:sz w:val="20"/>
                <w:szCs w:val="20"/>
              </w:rPr>
              <w:t>(Savings)</w:t>
            </w:r>
          </w:p>
        </w:tc>
      </w:tr>
      <w:tr w:rsidR="00F95163" w:rsidRPr="00660897" w:rsidTr="0001312F">
        <w:trPr>
          <w:trHeight w:val="315"/>
          <w:jc w:val="center"/>
        </w:trPr>
        <w:tc>
          <w:tcPr>
            <w:tcW w:w="2923" w:type="dxa"/>
            <w:tcBorders>
              <w:top w:val="nil"/>
              <w:left w:val="single" w:sz="4" w:space="0" w:color="auto"/>
              <w:bottom w:val="single" w:sz="4" w:space="0" w:color="auto"/>
              <w:right w:val="single" w:sz="4" w:space="0" w:color="auto"/>
            </w:tcBorders>
            <w:shd w:val="clear" w:color="auto" w:fill="auto"/>
            <w:vAlign w:val="center"/>
            <w:hideMark/>
          </w:tcPr>
          <w:p w:rsidR="0062653A" w:rsidRPr="00660897" w:rsidRDefault="0062653A" w:rsidP="00B363CD">
            <w:pPr>
              <w:widowControl/>
              <w:rPr>
                <w:sz w:val="18"/>
                <w:szCs w:val="18"/>
              </w:rPr>
            </w:pPr>
            <w:r w:rsidRPr="00660897">
              <w:rPr>
                <w:sz w:val="18"/>
                <w:szCs w:val="18"/>
              </w:rPr>
              <w:t>Rule Familiarization</w:t>
            </w:r>
          </w:p>
        </w:tc>
        <w:tc>
          <w:tcPr>
            <w:tcW w:w="1710" w:type="dxa"/>
            <w:tcBorders>
              <w:top w:val="nil"/>
              <w:left w:val="nil"/>
              <w:bottom w:val="single" w:sz="4" w:space="0" w:color="auto"/>
              <w:right w:val="single" w:sz="4" w:space="0" w:color="auto"/>
            </w:tcBorders>
            <w:shd w:val="clear" w:color="auto" w:fill="auto"/>
            <w:noWrap/>
            <w:vAlign w:val="center"/>
            <w:hideMark/>
          </w:tcPr>
          <w:p w:rsidR="0062653A" w:rsidRPr="00660897" w:rsidRDefault="000F3429" w:rsidP="00B363CD">
            <w:pPr>
              <w:widowControl/>
              <w:jc w:val="center"/>
              <w:rPr>
                <w:sz w:val="18"/>
                <w:szCs w:val="18"/>
              </w:rPr>
            </w:pPr>
            <w:r w:rsidRPr="00660897">
              <w:rPr>
                <w:sz w:val="18"/>
                <w:szCs w:val="18"/>
              </w:rPr>
              <w:t>138</w:t>
            </w:r>
            <w:r w:rsidR="0001312F" w:rsidRPr="00660897">
              <w:rPr>
                <w:sz w:val="18"/>
                <w:szCs w:val="18"/>
              </w:rPr>
              <w:t xml:space="preserve"> annualized</w:t>
            </w:r>
          </w:p>
          <w:p w:rsidR="0001312F" w:rsidRPr="00660897" w:rsidRDefault="0001312F" w:rsidP="00B363CD">
            <w:pPr>
              <w:widowControl/>
              <w:jc w:val="center"/>
              <w:rPr>
                <w:sz w:val="18"/>
                <w:szCs w:val="18"/>
              </w:rPr>
            </w:pPr>
            <w:r w:rsidRPr="00660897">
              <w:rPr>
                <w:sz w:val="18"/>
                <w:szCs w:val="18"/>
              </w:rPr>
              <w:t>414 over three years</w:t>
            </w:r>
          </w:p>
        </w:tc>
        <w:tc>
          <w:tcPr>
            <w:tcW w:w="2070" w:type="dxa"/>
            <w:tcBorders>
              <w:top w:val="nil"/>
              <w:left w:val="nil"/>
              <w:bottom w:val="single" w:sz="4" w:space="0" w:color="auto"/>
              <w:right w:val="single" w:sz="4" w:space="0" w:color="auto"/>
            </w:tcBorders>
            <w:shd w:val="clear" w:color="auto" w:fill="auto"/>
            <w:noWrap/>
            <w:vAlign w:val="center"/>
            <w:hideMark/>
          </w:tcPr>
          <w:p w:rsidR="0062653A" w:rsidRPr="00660897" w:rsidRDefault="000F3429" w:rsidP="00B363CD">
            <w:pPr>
              <w:widowControl/>
              <w:jc w:val="center"/>
              <w:rPr>
                <w:sz w:val="18"/>
                <w:szCs w:val="18"/>
              </w:rPr>
            </w:pPr>
            <w:r w:rsidRPr="00660897">
              <w:rPr>
                <w:sz w:val="18"/>
                <w:szCs w:val="18"/>
              </w:rPr>
              <w:t>690</w:t>
            </w:r>
            <w:r w:rsidR="0001312F" w:rsidRPr="00660897">
              <w:rPr>
                <w:sz w:val="18"/>
                <w:szCs w:val="18"/>
              </w:rPr>
              <w:t xml:space="preserve"> annualized</w:t>
            </w:r>
          </w:p>
          <w:p w:rsidR="0001312F" w:rsidRPr="00660897" w:rsidRDefault="0001312F" w:rsidP="00B363CD">
            <w:pPr>
              <w:widowControl/>
              <w:jc w:val="center"/>
              <w:rPr>
                <w:sz w:val="18"/>
                <w:szCs w:val="18"/>
              </w:rPr>
            </w:pPr>
            <w:r w:rsidRPr="00660897">
              <w:rPr>
                <w:sz w:val="18"/>
                <w:szCs w:val="18"/>
              </w:rPr>
              <w:t>2,070 over three years</w:t>
            </w:r>
          </w:p>
        </w:tc>
        <w:tc>
          <w:tcPr>
            <w:tcW w:w="1350" w:type="dxa"/>
            <w:tcBorders>
              <w:top w:val="nil"/>
              <w:left w:val="nil"/>
              <w:bottom w:val="single" w:sz="4" w:space="0" w:color="auto"/>
              <w:right w:val="single" w:sz="4" w:space="0" w:color="auto"/>
            </w:tcBorders>
            <w:shd w:val="clear" w:color="auto" w:fill="auto"/>
            <w:noWrap/>
            <w:vAlign w:val="center"/>
            <w:hideMark/>
          </w:tcPr>
          <w:p w:rsidR="0062653A" w:rsidRPr="00660897" w:rsidRDefault="000F3429" w:rsidP="00B363CD">
            <w:pPr>
              <w:widowControl/>
              <w:jc w:val="center"/>
              <w:rPr>
                <w:sz w:val="18"/>
                <w:szCs w:val="18"/>
              </w:rPr>
            </w:pPr>
            <w:r w:rsidRPr="00660897">
              <w:rPr>
                <w:sz w:val="18"/>
                <w:szCs w:val="18"/>
              </w:rPr>
              <w:t>$66,499.44</w:t>
            </w:r>
          </w:p>
        </w:tc>
        <w:tc>
          <w:tcPr>
            <w:tcW w:w="1392" w:type="dxa"/>
            <w:tcBorders>
              <w:top w:val="nil"/>
              <w:left w:val="nil"/>
              <w:bottom w:val="single" w:sz="4" w:space="0" w:color="auto"/>
              <w:right w:val="single" w:sz="4" w:space="0" w:color="auto"/>
            </w:tcBorders>
            <w:shd w:val="clear" w:color="auto" w:fill="auto"/>
            <w:noWrap/>
            <w:vAlign w:val="center"/>
            <w:hideMark/>
          </w:tcPr>
          <w:p w:rsidR="0062653A" w:rsidRPr="00660897" w:rsidRDefault="0001312F" w:rsidP="00B363CD">
            <w:pPr>
              <w:widowControl/>
              <w:jc w:val="center"/>
              <w:rPr>
                <w:i/>
                <w:sz w:val="18"/>
                <w:szCs w:val="18"/>
              </w:rPr>
            </w:pPr>
            <w:r w:rsidRPr="00660897">
              <w:rPr>
                <w:i/>
                <w:sz w:val="18"/>
                <w:szCs w:val="18"/>
              </w:rPr>
              <w:t>none</w:t>
            </w:r>
          </w:p>
        </w:tc>
      </w:tr>
      <w:tr w:rsidR="00F95163" w:rsidRPr="00660897" w:rsidTr="0001312F">
        <w:trPr>
          <w:trHeight w:val="315"/>
          <w:jc w:val="center"/>
        </w:trPr>
        <w:tc>
          <w:tcPr>
            <w:tcW w:w="2923" w:type="dxa"/>
            <w:tcBorders>
              <w:top w:val="nil"/>
              <w:left w:val="single" w:sz="4" w:space="0" w:color="auto"/>
              <w:bottom w:val="single" w:sz="4" w:space="0" w:color="auto"/>
              <w:right w:val="single" w:sz="4" w:space="0" w:color="auto"/>
            </w:tcBorders>
            <w:shd w:val="clear" w:color="auto" w:fill="auto"/>
            <w:vAlign w:val="center"/>
            <w:hideMark/>
          </w:tcPr>
          <w:p w:rsidR="0001312F" w:rsidRPr="00660897" w:rsidRDefault="0001312F" w:rsidP="00B363CD">
            <w:pPr>
              <w:widowControl/>
              <w:rPr>
                <w:sz w:val="18"/>
                <w:szCs w:val="18"/>
              </w:rPr>
            </w:pPr>
            <w:r w:rsidRPr="00660897">
              <w:rPr>
                <w:sz w:val="18"/>
                <w:szCs w:val="18"/>
              </w:rPr>
              <w:t>CCR Remand Rule Provision 1:</w:t>
            </w:r>
          </w:p>
          <w:p w:rsidR="0062653A" w:rsidRPr="00660897" w:rsidRDefault="000F3429" w:rsidP="00B363CD">
            <w:pPr>
              <w:widowControl/>
              <w:rPr>
                <w:sz w:val="18"/>
                <w:szCs w:val="18"/>
              </w:rPr>
            </w:pPr>
            <w:r w:rsidRPr="00660897">
              <w:rPr>
                <w:sz w:val="18"/>
                <w:szCs w:val="18"/>
              </w:rPr>
              <w:t>Non-Groundwater Releases</w:t>
            </w:r>
          </w:p>
        </w:tc>
        <w:tc>
          <w:tcPr>
            <w:tcW w:w="1710" w:type="dxa"/>
            <w:tcBorders>
              <w:top w:val="nil"/>
              <w:left w:val="nil"/>
              <w:bottom w:val="single" w:sz="4" w:space="0" w:color="auto"/>
              <w:right w:val="single" w:sz="4" w:space="0" w:color="auto"/>
            </w:tcBorders>
            <w:shd w:val="clear" w:color="auto" w:fill="auto"/>
            <w:noWrap/>
            <w:vAlign w:val="center"/>
            <w:hideMark/>
          </w:tcPr>
          <w:p w:rsidR="0062653A" w:rsidRPr="00660897" w:rsidRDefault="0001312F" w:rsidP="00B363CD">
            <w:pPr>
              <w:widowControl/>
              <w:jc w:val="center"/>
              <w:rPr>
                <w:sz w:val="18"/>
                <w:szCs w:val="18"/>
              </w:rPr>
            </w:pPr>
            <w:r w:rsidRPr="00660897">
              <w:rPr>
                <w:sz w:val="18"/>
                <w:szCs w:val="18"/>
              </w:rPr>
              <w:t>4</w:t>
            </w:r>
          </w:p>
        </w:tc>
        <w:tc>
          <w:tcPr>
            <w:tcW w:w="2070" w:type="dxa"/>
            <w:tcBorders>
              <w:top w:val="nil"/>
              <w:left w:val="nil"/>
              <w:bottom w:val="single" w:sz="4" w:space="0" w:color="auto"/>
              <w:right w:val="single" w:sz="4" w:space="0" w:color="auto"/>
            </w:tcBorders>
            <w:shd w:val="clear" w:color="auto" w:fill="auto"/>
            <w:noWrap/>
            <w:vAlign w:val="center"/>
            <w:hideMark/>
          </w:tcPr>
          <w:p w:rsidR="0062653A" w:rsidRPr="00660897" w:rsidRDefault="0001312F" w:rsidP="00B363CD">
            <w:pPr>
              <w:widowControl/>
              <w:jc w:val="center"/>
              <w:rPr>
                <w:sz w:val="18"/>
                <w:szCs w:val="18"/>
              </w:rPr>
            </w:pPr>
            <w:r w:rsidRPr="00660897">
              <w:rPr>
                <w:bCs/>
                <w:sz w:val="18"/>
                <w:szCs w:val="18"/>
              </w:rPr>
              <w:t>(334.24)</w:t>
            </w:r>
          </w:p>
        </w:tc>
        <w:tc>
          <w:tcPr>
            <w:tcW w:w="1350" w:type="dxa"/>
            <w:tcBorders>
              <w:top w:val="nil"/>
              <w:left w:val="nil"/>
              <w:bottom w:val="single" w:sz="4" w:space="0" w:color="auto"/>
              <w:right w:val="single" w:sz="4" w:space="0" w:color="auto"/>
            </w:tcBorders>
            <w:shd w:val="clear" w:color="auto" w:fill="auto"/>
            <w:noWrap/>
            <w:vAlign w:val="center"/>
            <w:hideMark/>
          </w:tcPr>
          <w:p w:rsidR="0062653A" w:rsidRPr="00660897" w:rsidRDefault="0001312F" w:rsidP="00B363CD">
            <w:pPr>
              <w:widowControl/>
              <w:jc w:val="center"/>
              <w:rPr>
                <w:bCs/>
                <w:sz w:val="18"/>
                <w:szCs w:val="18"/>
              </w:rPr>
            </w:pPr>
            <w:r w:rsidRPr="00660897">
              <w:rPr>
                <w:bCs/>
                <w:sz w:val="18"/>
                <w:szCs w:val="18"/>
              </w:rPr>
              <w:t>($25,474.40)</w:t>
            </w:r>
          </w:p>
        </w:tc>
        <w:tc>
          <w:tcPr>
            <w:tcW w:w="1392" w:type="dxa"/>
            <w:tcBorders>
              <w:top w:val="nil"/>
              <w:left w:val="nil"/>
              <w:bottom w:val="single" w:sz="4" w:space="0" w:color="auto"/>
              <w:right w:val="single" w:sz="4" w:space="0" w:color="auto"/>
            </w:tcBorders>
            <w:shd w:val="clear" w:color="auto" w:fill="auto"/>
            <w:noWrap/>
            <w:vAlign w:val="center"/>
            <w:hideMark/>
          </w:tcPr>
          <w:p w:rsidR="0062653A" w:rsidRPr="00660897" w:rsidRDefault="0001312F" w:rsidP="00B363CD">
            <w:pPr>
              <w:widowControl/>
              <w:jc w:val="center"/>
              <w:rPr>
                <w:sz w:val="18"/>
                <w:szCs w:val="18"/>
              </w:rPr>
            </w:pPr>
            <w:r w:rsidRPr="00660897">
              <w:rPr>
                <w:sz w:val="18"/>
                <w:szCs w:val="18"/>
              </w:rPr>
              <w:t>($2,960.00)</w:t>
            </w:r>
          </w:p>
        </w:tc>
      </w:tr>
      <w:tr w:rsidR="00F95163" w:rsidRPr="00660897" w:rsidTr="0001312F">
        <w:trPr>
          <w:trHeight w:val="315"/>
          <w:jc w:val="center"/>
        </w:trPr>
        <w:tc>
          <w:tcPr>
            <w:tcW w:w="2923" w:type="dxa"/>
            <w:tcBorders>
              <w:top w:val="nil"/>
              <w:left w:val="single" w:sz="4" w:space="0" w:color="auto"/>
              <w:bottom w:val="single" w:sz="4" w:space="0" w:color="auto"/>
              <w:right w:val="single" w:sz="4" w:space="0" w:color="auto"/>
            </w:tcBorders>
            <w:shd w:val="clear" w:color="auto" w:fill="auto"/>
            <w:vAlign w:val="center"/>
            <w:hideMark/>
          </w:tcPr>
          <w:p w:rsidR="0062653A" w:rsidRPr="00660897" w:rsidRDefault="00225389" w:rsidP="00B363CD">
            <w:pPr>
              <w:widowControl/>
              <w:rPr>
                <w:sz w:val="18"/>
                <w:szCs w:val="18"/>
              </w:rPr>
            </w:pPr>
            <w:r w:rsidRPr="00660897">
              <w:rPr>
                <w:sz w:val="18"/>
                <w:szCs w:val="18"/>
              </w:rPr>
              <w:t>WIIN Act</w:t>
            </w:r>
            <w:r w:rsidR="0001312F" w:rsidRPr="00660897">
              <w:rPr>
                <w:sz w:val="18"/>
                <w:szCs w:val="18"/>
              </w:rPr>
              <w:t xml:space="preserve"> Alternative Performance Standard 2: Corrective Action Remedy</w:t>
            </w:r>
          </w:p>
        </w:tc>
        <w:tc>
          <w:tcPr>
            <w:tcW w:w="1710" w:type="dxa"/>
            <w:tcBorders>
              <w:top w:val="nil"/>
              <w:left w:val="nil"/>
              <w:bottom w:val="single" w:sz="4" w:space="0" w:color="auto"/>
              <w:right w:val="single" w:sz="4" w:space="0" w:color="auto"/>
            </w:tcBorders>
            <w:shd w:val="clear" w:color="auto" w:fill="auto"/>
            <w:noWrap/>
            <w:vAlign w:val="center"/>
          </w:tcPr>
          <w:p w:rsidR="0062653A" w:rsidRPr="00660897" w:rsidRDefault="0001312F" w:rsidP="00B363CD">
            <w:pPr>
              <w:widowControl/>
              <w:jc w:val="center"/>
              <w:rPr>
                <w:sz w:val="18"/>
                <w:szCs w:val="18"/>
              </w:rPr>
            </w:pPr>
            <w:r w:rsidRPr="00660897">
              <w:rPr>
                <w:sz w:val="18"/>
                <w:szCs w:val="18"/>
              </w:rPr>
              <w:t>53</w:t>
            </w:r>
          </w:p>
        </w:tc>
        <w:tc>
          <w:tcPr>
            <w:tcW w:w="2070" w:type="dxa"/>
            <w:tcBorders>
              <w:top w:val="nil"/>
              <w:left w:val="nil"/>
              <w:bottom w:val="single" w:sz="4" w:space="0" w:color="auto"/>
              <w:right w:val="single" w:sz="4" w:space="0" w:color="auto"/>
            </w:tcBorders>
            <w:shd w:val="clear" w:color="auto" w:fill="auto"/>
            <w:noWrap/>
            <w:vAlign w:val="center"/>
          </w:tcPr>
          <w:p w:rsidR="0062653A" w:rsidRPr="00660897" w:rsidRDefault="0001312F" w:rsidP="00B363CD">
            <w:pPr>
              <w:widowControl/>
              <w:jc w:val="center"/>
              <w:rPr>
                <w:sz w:val="18"/>
                <w:szCs w:val="18"/>
              </w:rPr>
            </w:pPr>
            <w:r w:rsidRPr="00660897">
              <w:rPr>
                <w:sz w:val="18"/>
                <w:szCs w:val="18"/>
              </w:rPr>
              <w:t>(5,872.93)</w:t>
            </w:r>
          </w:p>
        </w:tc>
        <w:tc>
          <w:tcPr>
            <w:tcW w:w="1350" w:type="dxa"/>
            <w:tcBorders>
              <w:top w:val="nil"/>
              <w:left w:val="nil"/>
              <w:bottom w:val="single" w:sz="4" w:space="0" w:color="auto"/>
              <w:right w:val="single" w:sz="4" w:space="0" w:color="auto"/>
            </w:tcBorders>
            <w:shd w:val="clear" w:color="auto" w:fill="auto"/>
            <w:noWrap/>
            <w:vAlign w:val="center"/>
          </w:tcPr>
          <w:p w:rsidR="0062653A" w:rsidRPr="00660897" w:rsidRDefault="0001312F" w:rsidP="00B363CD">
            <w:pPr>
              <w:widowControl/>
              <w:jc w:val="center"/>
              <w:rPr>
                <w:sz w:val="18"/>
                <w:szCs w:val="18"/>
              </w:rPr>
            </w:pPr>
            <w:r w:rsidRPr="00660897">
              <w:rPr>
                <w:sz w:val="18"/>
                <w:szCs w:val="18"/>
              </w:rPr>
              <w:t>($425,434.71)</w:t>
            </w:r>
          </w:p>
        </w:tc>
        <w:tc>
          <w:tcPr>
            <w:tcW w:w="1392" w:type="dxa"/>
            <w:tcBorders>
              <w:top w:val="nil"/>
              <w:left w:val="nil"/>
              <w:bottom w:val="single" w:sz="4" w:space="0" w:color="auto"/>
              <w:right w:val="single" w:sz="4" w:space="0" w:color="auto"/>
            </w:tcBorders>
            <w:shd w:val="clear" w:color="auto" w:fill="auto"/>
            <w:noWrap/>
            <w:vAlign w:val="center"/>
          </w:tcPr>
          <w:p w:rsidR="0062653A" w:rsidRPr="00660897" w:rsidRDefault="0001312F" w:rsidP="00B363CD">
            <w:pPr>
              <w:widowControl/>
              <w:jc w:val="center"/>
              <w:rPr>
                <w:sz w:val="18"/>
                <w:szCs w:val="18"/>
              </w:rPr>
            </w:pPr>
            <w:r w:rsidRPr="00660897">
              <w:rPr>
                <w:sz w:val="18"/>
                <w:szCs w:val="18"/>
              </w:rPr>
              <w:t>($5,209,105.00)</w:t>
            </w:r>
          </w:p>
        </w:tc>
      </w:tr>
      <w:tr w:rsidR="00F95163" w:rsidRPr="00660897" w:rsidTr="0001312F">
        <w:trPr>
          <w:trHeight w:val="315"/>
          <w:jc w:val="center"/>
        </w:trPr>
        <w:tc>
          <w:tcPr>
            <w:tcW w:w="2923" w:type="dxa"/>
            <w:tcBorders>
              <w:top w:val="nil"/>
              <w:left w:val="single" w:sz="4" w:space="0" w:color="auto"/>
              <w:bottom w:val="single" w:sz="4" w:space="0" w:color="auto"/>
              <w:right w:val="single" w:sz="4" w:space="0" w:color="auto"/>
            </w:tcBorders>
            <w:shd w:val="clear" w:color="auto" w:fill="auto"/>
            <w:vAlign w:val="center"/>
            <w:hideMark/>
          </w:tcPr>
          <w:p w:rsidR="0062653A" w:rsidRPr="00660897" w:rsidRDefault="00D82F53" w:rsidP="00B363CD">
            <w:pPr>
              <w:widowControl/>
              <w:rPr>
                <w:sz w:val="18"/>
                <w:szCs w:val="18"/>
              </w:rPr>
            </w:pPr>
            <w:r w:rsidRPr="00660897">
              <w:rPr>
                <w:sz w:val="18"/>
                <w:szCs w:val="18"/>
              </w:rPr>
              <w:t>CCR Remand Rule Additional Provision 1: Alternative Closure Requirements</w:t>
            </w:r>
          </w:p>
        </w:tc>
        <w:tc>
          <w:tcPr>
            <w:tcW w:w="1710" w:type="dxa"/>
            <w:tcBorders>
              <w:top w:val="nil"/>
              <w:left w:val="nil"/>
              <w:bottom w:val="single" w:sz="4" w:space="0" w:color="auto"/>
              <w:right w:val="single" w:sz="4" w:space="0" w:color="auto"/>
            </w:tcBorders>
            <w:shd w:val="clear" w:color="auto" w:fill="auto"/>
            <w:noWrap/>
            <w:vAlign w:val="center"/>
          </w:tcPr>
          <w:p w:rsidR="0062653A" w:rsidRPr="00660897" w:rsidRDefault="00D82F53" w:rsidP="00B363CD">
            <w:pPr>
              <w:widowControl/>
              <w:jc w:val="center"/>
              <w:rPr>
                <w:sz w:val="18"/>
                <w:szCs w:val="18"/>
              </w:rPr>
            </w:pPr>
            <w:r w:rsidRPr="00660897">
              <w:rPr>
                <w:sz w:val="18"/>
                <w:szCs w:val="18"/>
              </w:rPr>
              <w:t>51</w:t>
            </w:r>
            <w:r w:rsidR="00DE24CB" w:rsidRPr="00660897">
              <w:rPr>
                <w:sz w:val="18"/>
                <w:szCs w:val="18"/>
              </w:rPr>
              <w:t xml:space="preserve"> annualized</w:t>
            </w:r>
          </w:p>
          <w:p w:rsidR="00DE24CB" w:rsidRPr="00660897" w:rsidRDefault="00DE24CB" w:rsidP="00B363CD">
            <w:pPr>
              <w:widowControl/>
              <w:jc w:val="center"/>
              <w:rPr>
                <w:sz w:val="18"/>
                <w:szCs w:val="18"/>
              </w:rPr>
            </w:pPr>
            <w:r w:rsidRPr="00660897">
              <w:rPr>
                <w:sz w:val="18"/>
                <w:szCs w:val="18"/>
              </w:rPr>
              <w:t>153 over three years</w:t>
            </w:r>
          </w:p>
        </w:tc>
        <w:tc>
          <w:tcPr>
            <w:tcW w:w="2070" w:type="dxa"/>
            <w:tcBorders>
              <w:top w:val="nil"/>
              <w:left w:val="nil"/>
              <w:bottom w:val="single" w:sz="4" w:space="0" w:color="auto"/>
              <w:right w:val="single" w:sz="4" w:space="0" w:color="auto"/>
            </w:tcBorders>
            <w:shd w:val="clear" w:color="auto" w:fill="auto"/>
            <w:noWrap/>
            <w:vAlign w:val="center"/>
          </w:tcPr>
          <w:p w:rsidR="00CE2DEC" w:rsidRPr="00660897" w:rsidRDefault="00D82F53" w:rsidP="00B363CD">
            <w:pPr>
              <w:widowControl/>
              <w:jc w:val="center"/>
              <w:rPr>
                <w:sz w:val="18"/>
                <w:szCs w:val="18"/>
              </w:rPr>
            </w:pPr>
            <w:r w:rsidRPr="00660897">
              <w:rPr>
                <w:sz w:val="18"/>
                <w:szCs w:val="18"/>
              </w:rPr>
              <w:t>1</w:t>
            </w:r>
            <w:r w:rsidR="007533BE" w:rsidRPr="00660897">
              <w:rPr>
                <w:sz w:val="18"/>
                <w:szCs w:val="18"/>
              </w:rPr>
              <w:t>,</w:t>
            </w:r>
            <w:r w:rsidRPr="00660897">
              <w:rPr>
                <w:sz w:val="18"/>
                <w:szCs w:val="18"/>
              </w:rPr>
              <w:t>250.52</w:t>
            </w:r>
          </w:p>
        </w:tc>
        <w:tc>
          <w:tcPr>
            <w:tcW w:w="1350" w:type="dxa"/>
            <w:tcBorders>
              <w:top w:val="nil"/>
              <w:left w:val="nil"/>
              <w:bottom w:val="single" w:sz="4" w:space="0" w:color="auto"/>
              <w:right w:val="single" w:sz="4" w:space="0" w:color="auto"/>
            </w:tcBorders>
            <w:shd w:val="clear" w:color="auto" w:fill="auto"/>
            <w:noWrap/>
            <w:vAlign w:val="center"/>
          </w:tcPr>
          <w:p w:rsidR="007533BE" w:rsidRPr="00660897" w:rsidRDefault="007533BE" w:rsidP="00B363CD">
            <w:pPr>
              <w:widowControl/>
              <w:jc w:val="center"/>
              <w:rPr>
                <w:sz w:val="18"/>
                <w:szCs w:val="18"/>
              </w:rPr>
            </w:pPr>
          </w:p>
          <w:p w:rsidR="007533BE" w:rsidRPr="00660897" w:rsidRDefault="007533BE" w:rsidP="00B363CD">
            <w:pPr>
              <w:widowControl/>
              <w:jc w:val="center"/>
              <w:rPr>
                <w:bCs/>
                <w:sz w:val="18"/>
                <w:szCs w:val="18"/>
              </w:rPr>
            </w:pPr>
            <w:r w:rsidRPr="00660897">
              <w:rPr>
                <w:bCs/>
                <w:sz w:val="18"/>
                <w:szCs w:val="18"/>
              </w:rPr>
              <w:t>$81,897.84</w:t>
            </w:r>
          </w:p>
          <w:p w:rsidR="0062653A" w:rsidRPr="00660897" w:rsidRDefault="0062653A" w:rsidP="00B363CD">
            <w:pPr>
              <w:widowControl/>
              <w:jc w:val="center"/>
              <w:rPr>
                <w:sz w:val="18"/>
                <w:szCs w:val="18"/>
              </w:rPr>
            </w:pPr>
          </w:p>
        </w:tc>
        <w:tc>
          <w:tcPr>
            <w:tcW w:w="1392" w:type="dxa"/>
            <w:tcBorders>
              <w:top w:val="nil"/>
              <w:left w:val="nil"/>
              <w:bottom w:val="single" w:sz="4" w:space="0" w:color="auto"/>
              <w:right w:val="single" w:sz="4" w:space="0" w:color="auto"/>
            </w:tcBorders>
            <w:shd w:val="clear" w:color="auto" w:fill="auto"/>
            <w:noWrap/>
            <w:vAlign w:val="center"/>
          </w:tcPr>
          <w:p w:rsidR="0062653A" w:rsidRPr="00660897" w:rsidRDefault="007533BE" w:rsidP="00B363CD">
            <w:pPr>
              <w:widowControl/>
              <w:jc w:val="center"/>
              <w:rPr>
                <w:bCs/>
                <w:sz w:val="18"/>
                <w:szCs w:val="18"/>
              </w:rPr>
            </w:pPr>
            <w:r w:rsidRPr="00660897">
              <w:rPr>
                <w:bCs/>
                <w:sz w:val="18"/>
                <w:szCs w:val="18"/>
              </w:rPr>
              <w:t>$18,870.00</w:t>
            </w:r>
          </w:p>
        </w:tc>
      </w:tr>
      <w:tr w:rsidR="00F95163" w:rsidRPr="00660897" w:rsidTr="005F6A9C">
        <w:trPr>
          <w:trHeight w:val="315"/>
          <w:jc w:val="center"/>
        </w:trPr>
        <w:tc>
          <w:tcPr>
            <w:tcW w:w="2923" w:type="dxa"/>
            <w:tcBorders>
              <w:top w:val="nil"/>
              <w:left w:val="single" w:sz="4" w:space="0" w:color="auto"/>
              <w:bottom w:val="single" w:sz="4" w:space="0" w:color="auto"/>
              <w:right w:val="single" w:sz="4" w:space="0" w:color="auto"/>
            </w:tcBorders>
            <w:shd w:val="clear" w:color="auto" w:fill="auto"/>
            <w:vAlign w:val="center"/>
            <w:hideMark/>
          </w:tcPr>
          <w:p w:rsidR="0062653A" w:rsidRPr="00660897" w:rsidRDefault="00225389" w:rsidP="00B363CD">
            <w:pPr>
              <w:widowControl/>
              <w:rPr>
                <w:sz w:val="18"/>
                <w:szCs w:val="18"/>
              </w:rPr>
            </w:pPr>
            <w:r w:rsidRPr="00660897">
              <w:rPr>
                <w:sz w:val="18"/>
                <w:szCs w:val="18"/>
              </w:rPr>
              <w:t xml:space="preserve">WIIN Act Alternative Performance Standard 6: Third-Party Certification: Professional Engineer </w:t>
            </w:r>
          </w:p>
        </w:tc>
        <w:tc>
          <w:tcPr>
            <w:tcW w:w="1710" w:type="dxa"/>
            <w:tcBorders>
              <w:top w:val="nil"/>
              <w:left w:val="nil"/>
              <w:bottom w:val="single" w:sz="4" w:space="0" w:color="auto"/>
              <w:right w:val="single" w:sz="4" w:space="0" w:color="auto"/>
            </w:tcBorders>
            <w:shd w:val="clear" w:color="auto" w:fill="auto"/>
            <w:noWrap/>
            <w:vAlign w:val="center"/>
          </w:tcPr>
          <w:p w:rsidR="00225389" w:rsidRPr="00660897" w:rsidRDefault="00225389" w:rsidP="00B363CD">
            <w:pPr>
              <w:widowControl/>
              <w:jc w:val="center"/>
              <w:rPr>
                <w:sz w:val="18"/>
                <w:szCs w:val="18"/>
              </w:rPr>
            </w:pPr>
            <w:r w:rsidRPr="00660897">
              <w:rPr>
                <w:sz w:val="18"/>
                <w:szCs w:val="18"/>
              </w:rPr>
              <w:t xml:space="preserve">Varies </w:t>
            </w:r>
          </w:p>
          <w:p w:rsidR="0062653A" w:rsidRPr="00660897" w:rsidRDefault="00225389" w:rsidP="00B363CD">
            <w:pPr>
              <w:widowControl/>
              <w:jc w:val="center"/>
              <w:rPr>
                <w:sz w:val="18"/>
                <w:szCs w:val="18"/>
              </w:rPr>
            </w:pPr>
            <w:r w:rsidRPr="00660897">
              <w:rPr>
                <w:sz w:val="18"/>
                <w:szCs w:val="18"/>
              </w:rPr>
              <w:t>(</w:t>
            </w:r>
            <w:r w:rsidR="007533BE" w:rsidRPr="00660897">
              <w:rPr>
                <w:sz w:val="18"/>
                <w:szCs w:val="18"/>
              </w:rPr>
              <w:t xml:space="preserve">342 </w:t>
            </w:r>
            <w:r w:rsidRPr="00660897">
              <w:rPr>
                <w:sz w:val="18"/>
                <w:szCs w:val="18"/>
              </w:rPr>
              <w:t>highest number required for specific certification)</w:t>
            </w:r>
          </w:p>
        </w:tc>
        <w:tc>
          <w:tcPr>
            <w:tcW w:w="2070" w:type="dxa"/>
            <w:tcBorders>
              <w:top w:val="nil"/>
              <w:left w:val="nil"/>
              <w:bottom w:val="single" w:sz="4" w:space="0" w:color="auto"/>
              <w:right w:val="single" w:sz="4" w:space="0" w:color="auto"/>
            </w:tcBorders>
            <w:shd w:val="clear" w:color="auto" w:fill="auto"/>
            <w:noWrap/>
            <w:vAlign w:val="center"/>
          </w:tcPr>
          <w:p w:rsidR="0062653A" w:rsidRPr="00660897" w:rsidRDefault="00225389" w:rsidP="00B363CD">
            <w:pPr>
              <w:widowControl/>
              <w:jc w:val="center"/>
              <w:rPr>
                <w:sz w:val="18"/>
                <w:szCs w:val="18"/>
              </w:rPr>
            </w:pPr>
            <w:r w:rsidRPr="00660897">
              <w:rPr>
                <w:sz w:val="18"/>
                <w:szCs w:val="18"/>
              </w:rPr>
              <w:t>0</w:t>
            </w:r>
          </w:p>
          <w:p w:rsidR="00225389" w:rsidRPr="00660897" w:rsidRDefault="00225389" w:rsidP="00B363CD">
            <w:pPr>
              <w:widowControl/>
              <w:jc w:val="center"/>
              <w:rPr>
                <w:sz w:val="18"/>
                <w:szCs w:val="18"/>
              </w:rPr>
            </w:pPr>
            <w:r w:rsidRPr="00660897">
              <w:rPr>
                <w:sz w:val="18"/>
                <w:szCs w:val="18"/>
              </w:rPr>
              <w:t>Change in labor cost only</w:t>
            </w:r>
          </w:p>
        </w:tc>
        <w:tc>
          <w:tcPr>
            <w:tcW w:w="1350" w:type="dxa"/>
            <w:tcBorders>
              <w:top w:val="nil"/>
              <w:left w:val="nil"/>
              <w:bottom w:val="single" w:sz="4" w:space="0" w:color="auto"/>
              <w:right w:val="single" w:sz="4" w:space="0" w:color="auto"/>
            </w:tcBorders>
            <w:shd w:val="clear" w:color="auto" w:fill="auto"/>
            <w:noWrap/>
            <w:vAlign w:val="center"/>
          </w:tcPr>
          <w:p w:rsidR="0062653A" w:rsidRPr="00660897" w:rsidRDefault="00225389" w:rsidP="00B363CD">
            <w:pPr>
              <w:widowControl/>
              <w:jc w:val="center"/>
              <w:rPr>
                <w:sz w:val="18"/>
                <w:szCs w:val="18"/>
              </w:rPr>
            </w:pPr>
            <w:r w:rsidRPr="00660897">
              <w:rPr>
                <w:sz w:val="18"/>
                <w:szCs w:val="18"/>
              </w:rPr>
              <w:t>($217,320.57)</w:t>
            </w:r>
          </w:p>
        </w:tc>
        <w:tc>
          <w:tcPr>
            <w:tcW w:w="1392" w:type="dxa"/>
            <w:tcBorders>
              <w:top w:val="nil"/>
              <w:left w:val="nil"/>
              <w:bottom w:val="single" w:sz="4" w:space="0" w:color="auto"/>
              <w:right w:val="single" w:sz="4" w:space="0" w:color="auto"/>
            </w:tcBorders>
            <w:shd w:val="clear" w:color="auto" w:fill="auto"/>
            <w:noWrap/>
            <w:vAlign w:val="center"/>
          </w:tcPr>
          <w:p w:rsidR="0062653A" w:rsidRPr="00660897" w:rsidRDefault="00A64F6E" w:rsidP="00B363CD">
            <w:pPr>
              <w:widowControl/>
              <w:jc w:val="center"/>
              <w:rPr>
                <w:i/>
                <w:sz w:val="18"/>
                <w:szCs w:val="18"/>
              </w:rPr>
            </w:pPr>
            <w:r w:rsidRPr="00660897">
              <w:rPr>
                <w:i/>
                <w:sz w:val="18"/>
                <w:szCs w:val="18"/>
              </w:rPr>
              <w:t>none</w:t>
            </w:r>
          </w:p>
        </w:tc>
      </w:tr>
      <w:tr w:rsidR="003800BF" w:rsidRPr="00660897" w:rsidTr="005F6A9C">
        <w:trPr>
          <w:trHeight w:val="315"/>
          <w:jc w:val="center"/>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53A" w:rsidRPr="00660897" w:rsidRDefault="0062653A" w:rsidP="00B363CD">
            <w:pPr>
              <w:widowControl/>
              <w:adjustRightInd/>
              <w:jc w:val="center"/>
              <w:rPr>
                <w:b/>
                <w:bCs/>
                <w:color w:val="000000"/>
                <w:sz w:val="20"/>
                <w:szCs w:val="20"/>
                <w:vertAlign w:val="superscript"/>
              </w:rPr>
            </w:pPr>
            <w:r w:rsidRPr="00660897">
              <w:rPr>
                <w:b/>
                <w:bCs/>
                <w:color w:val="000000"/>
                <w:sz w:val="20"/>
                <w:szCs w:val="20"/>
              </w:rPr>
              <w:t>Yearly Average</w:t>
            </w:r>
            <w:r w:rsidR="00475070" w:rsidRPr="00660897">
              <w:rPr>
                <w:b/>
                <w:bCs/>
                <w:color w:val="000000"/>
                <w:sz w:val="20"/>
                <w:szCs w:val="20"/>
              </w:rPr>
              <w:t xml:space="preserve"> CCR Remand Rule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62653A" w:rsidRPr="00660897" w:rsidRDefault="00A64F6E" w:rsidP="00B363CD">
            <w:pPr>
              <w:widowControl/>
              <w:adjustRightInd/>
              <w:jc w:val="center"/>
              <w:rPr>
                <w:b/>
                <w:color w:val="000000"/>
                <w:sz w:val="20"/>
                <w:szCs w:val="20"/>
              </w:rPr>
            </w:pPr>
            <w:r w:rsidRPr="00660897">
              <w:rPr>
                <w:b/>
                <w:bCs/>
                <w:color w:val="000000"/>
                <w:sz w:val="20"/>
                <w:szCs w:val="20"/>
              </w:rPr>
              <w:t>Varies</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62653A" w:rsidRPr="00660897" w:rsidRDefault="00A64F6E" w:rsidP="00B363CD">
            <w:pPr>
              <w:widowControl/>
              <w:adjustRightInd/>
              <w:jc w:val="center"/>
              <w:rPr>
                <w:b/>
                <w:color w:val="000000"/>
                <w:sz w:val="20"/>
                <w:szCs w:val="20"/>
              </w:rPr>
            </w:pPr>
            <w:r w:rsidRPr="00660897">
              <w:rPr>
                <w:b/>
                <w:color w:val="000000"/>
                <w:sz w:val="20"/>
                <w:szCs w:val="20"/>
              </w:rPr>
              <w:t>(</w:t>
            </w:r>
            <w:r w:rsidR="00CE2DEC" w:rsidRPr="00660897">
              <w:rPr>
                <w:b/>
                <w:color w:val="000000"/>
                <w:sz w:val="20"/>
                <w:szCs w:val="20"/>
              </w:rPr>
              <w:t>4,266.65)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62653A" w:rsidRPr="00660897" w:rsidRDefault="00A64F6E" w:rsidP="00B363CD">
            <w:pPr>
              <w:widowControl/>
              <w:adjustRightInd/>
              <w:jc w:val="center"/>
              <w:rPr>
                <w:b/>
                <w:bCs/>
                <w:color w:val="000000"/>
                <w:sz w:val="20"/>
                <w:szCs w:val="20"/>
              </w:rPr>
            </w:pPr>
            <w:r w:rsidRPr="00660897">
              <w:rPr>
                <w:b/>
                <w:color w:val="000000"/>
                <w:sz w:val="20"/>
                <w:szCs w:val="20"/>
              </w:rPr>
              <w:t>(</w:t>
            </w:r>
            <w:r w:rsidR="003B7D5F" w:rsidRPr="00660897">
              <w:rPr>
                <w:b/>
                <w:color w:val="000000"/>
                <w:sz w:val="20"/>
                <w:szCs w:val="20"/>
              </w:rPr>
              <w:t>$</w:t>
            </w:r>
            <w:r w:rsidR="00CE2DEC" w:rsidRPr="00660897">
              <w:rPr>
                <w:b/>
                <w:color w:val="000000"/>
                <w:sz w:val="20"/>
                <w:szCs w:val="20"/>
              </w:rPr>
              <w:t>519,832</w:t>
            </w:r>
            <w:r w:rsidRPr="00660897">
              <w:rPr>
                <w:b/>
                <w:color w:val="000000"/>
                <w:sz w:val="20"/>
                <w:szCs w:val="20"/>
              </w:rPr>
              <w:t>)</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62653A" w:rsidRPr="00660897" w:rsidRDefault="00A64F6E" w:rsidP="00B363CD">
            <w:pPr>
              <w:widowControl/>
              <w:adjustRightInd/>
              <w:jc w:val="center"/>
              <w:rPr>
                <w:b/>
                <w:color w:val="000000"/>
                <w:sz w:val="20"/>
                <w:szCs w:val="20"/>
              </w:rPr>
            </w:pPr>
            <w:r w:rsidRPr="00660897">
              <w:rPr>
                <w:b/>
                <w:color w:val="000000"/>
                <w:sz w:val="20"/>
                <w:szCs w:val="20"/>
              </w:rPr>
              <w:t>(</w:t>
            </w:r>
            <w:r w:rsidR="00131BBD" w:rsidRPr="00660897">
              <w:rPr>
                <w:b/>
                <w:color w:val="000000"/>
                <w:sz w:val="20"/>
                <w:szCs w:val="20"/>
              </w:rPr>
              <w:t>$</w:t>
            </w:r>
            <w:r w:rsidR="00CE2DEC" w:rsidRPr="00660897">
              <w:rPr>
                <w:b/>
                <w:color w:val="000000"/>
                <w:sz w:val="20"/>
                <w:szCs w:val="20"/>
              </w:rPr>
              <w:t>5,193,195</w:t>
            </w:r>
            <w:r w:rsidRPr="00660897">
              <w:rPr>
                <w:b/>
                <w:color w:val="000000"/>
                <w:sz w:val="20"/>
                <w:szCs w:val="20"/>
              </w:rPr>
              <w:t>)</w:t>
            </w:r>
          </w:p>
        </w:tc>
      </w:tr>
      <w:tr w:rsidR="00475070" w:rsidRPr="00660897" w:rsidTr="005F6A9C">
        <w:trPr>
          <w:trHeight w:val="315"/>
          <w:jc w:val="center"/>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475070" w:rsidRPr="00660897" w:rsidRDefault="005F6A9C" w:rsidP="00B363CD">
            <w:pPr>
              <w:widowControl/>
              <w:adjustRightInd/>
              <w:jc w:val="center"/>
              <w:rPr>
                <w:b/>
                <w:bCs/>
                <w:color w:val="000000"/>
                <w:sz w:val="20"/>
                <w:szCs w:val="20"/>
              </w:rPr>
            </w:pPr>
            <w:r w:rsidRPr="00660897">
              <w:rPr>
                <w:b/>
                <w:bCs/>
                <w:color w:val="000000"/>
                <w:sz w:val="20"/>
                <w:szCs w:val="20"/>
              </w:rPr>
              <w:t>Yearly</w:t>
            </w:r>
            <w:r w:rsidR="00475070" w:rsidRPr="00660897">
              <w:rPr>
                <w:b/>
                <w:bCs/>
                <w:color w:val="000000"/>
                <w:sz w:val="20"/>
                <w:szCs w:val="20"/>
              </w:rPr>
              <w:t xml:space="preserve"> Average from 2017 ICR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adjustRightInd/>
              <w:jc w:val="center"/>
              <w:rPr>
                <w:b/>
                <w:bCs/>
                <w:color w:val="000000"/>
                <w:sz w:val="20"/>
                <w:szCs w:val="20"/>
              </w:rPr>
            </w:pPr>
            <w:r w:rsidRPr="00660897">
              <w:rPr>
                <w:b/>
                <w:bCs/>
                <w:color w:val="000000"/>
                <w:sz w:val="20"/>
                <w:szCs w:val="20"/>
              </w:rPr>
              <w:t>Varies</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jc w:val="center"/>
              <w:rPr>
                <w:b/>
                <w:bCs/>
                <w:sz w:val="20"/>
                <w:szCs w:val="20"/>
              </w:rPr>
            </w:pPr>
            <w:r w:rsidRPr="00660897">
              <w:rPr>
                <w:b/>
                <w:bCs/>
                <w:sz w:val="20"/>
                <w:szCs w:val="20"/>
              </w:rPr>
              <w:t xml:space="preserve">354,602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adjustRightInd/>
              <w:jc w:val="center"/>
              <w:rPr>
                <w:b/>
                <w:color w:val="000000"/>
                <w:sz w:val="20"/>
                <w:szCs w:val="20"/>
              </w:rPr>
            </w:pPr>
            <w:r w:rsidRPr="00660897">
              <w:rPr>
                <w:b/>
                <w:bCs/>
                <w:sz w:val="20"/>
                <w:szCs w:val="20"/>
              </w:rPr>
              <w:t>$22,745,615</w:t>
            </w:r>
            <w:r w:rsidR="00B40374" w:rsidRPr="00660897">
              <w:rPr>
                <w:b/>
                <w:bCs/>
                <w:sz w:val="20"/>
                <w:szCs w:val="20"/>
                <w:vertAlign w:val="superscript"/>
              </w:rPr>
              <w:t>1</w:t>
            </w:r>
            <w:r w:rsidRPr="00660897">
              <w:rPr>
                <w:b/>
                <w:bCs/>
                <w:sz w:val="20"/>
                <w:szCs w:val="20"/>
              </w:rPr>
              <w:t xml:space="preserve"> </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B40374" w:rsidP="00B363CD">
            <w:pPr>
              <w:widowControl/>
              <w:adjustRightInd/>
              <w:jc w:val="center"/>
              <w:rPr>
                <w:b/>
                <w:color w:val="000000"/>
                <w:sz w:val="20"/>
                <w:szCs w:val="20"/>
                <w:vertAlign w:val="superscript"/>
              </w:rPr>
            </w:pPr>
            <w:r w:rsidRPr="00660897">
              <w:rPr>
                <w:b/>
                <w:bCs/>
                <w:sz w:val="20"/>
                <w:szCs w:val="20"/>
              </w:rPr>
              <w:t>$41,112,513</w:t>
            </w:r>
            <w:r w:rsidRPr="00660897">
              <w:rPr>
                <w:b/>
                <w:bCs/>
                <w:sz w:val="20"/>
                <w:szCs w:val="20"/>
                <w:vertAlign w:val="superscript"/>
              </w:rPr>
              <w:t>1</w:t>
            </w:r>
          </w:p>
        </w:tc>
      </w:tr>
      <w:tr w:rsidR="00475070" w:rsidRPr="00660897" w:rsidTr="005F6A9C">
        <w:trPr>
          <w:trHeight w:val="315"/>
          <w:jc w:val="center"/>
        </w:trPr>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475070" w:rsidRPr="00660897" w:rsidRDefault="00475070" w:rsidP="00B363CD">
            <w:pPr>
              <w:widowControl/>
              <w:adjustRightInd/>
              <w:jc w:val="center"/>
              <w:rPr>
                <w:b/>
                <w:bCs/>
                <w:color w:val="000000"/>
                <w:sz w:val="20"/>
                <w:szCs w:val="20"/>
              </w:rPr>
            </w:pPr>
            <w:r w:rsidRPr="00660897">
              <w:rPr>
                <w:b/>
                <w:bCs/>
                <w:color w:val="000000"/>
                <w:sz w:val="20"/>
                <w:szCs w:val="20"/>
              </w:rPr>
              <w:t>Total</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adjustRightInd/>
              <w:jc w:val="center"/>
              <w:rPr>
                <w:b/>
                <w:bCs/>
                <w:color w:val="000000"/>
                <w:sz w:val="20"/>
                <w:szCs w:val="20"/>
              </w:rPr>
            </w:pPr>
            <w:r w:rsidRPr="00660897">
              <w:rPr>
                <w:b/>
                <w:bCs/>
                <w:color w:val="000000"/>
                <w:sz w:val="20"/>
                <w:szCs w:val="20"/>
              </w:rPr>
              <w:t>Varies</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jc w:val="center"/>
              <w:rPr>
                <w:b/>
                <w:bCs/>
                <w:sz w:val="20"/>
                <w:szCs w:val="20"/>
              </w:rPr>
            </w:pPr>
            <w:r w:rsidRPr="00660897">
              <w:rPr>
                <w:b/>
                <w:bCs/>
                <w:sz w:val="20"/>
                <w:szCs w:val="20"/>
              </w:rPr>
              <w:t xml:space="preserve">350,335 </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adjustRightInd/>
              <w:jc w:val="center"/>
              <w:rPr>
                <w:b/>
                <w:color w:val="000000"/>
                <w:sz w:val="20"/>
                <w:szCs w:val="20"/>
              </w:rPr>
            </w:pPr>
            <w:r w:rsidRPr="00660897">
              <w:rPr>
                <w:b/>
                <w:bCs/>
                <w:sz w:val="20"/>
                <w:szCs w:val="20"/>
              </w:rPr>
              <w:t xml:space="preserve">$22,225,783 </w:t>
            </w:r>
          </w:p>
        </w:tc>
        <w:tc>
          <w:tcPr>
            <w:tcW w:w="1392" w:type="dxa"/>
            <w:tcBorders>
              <w:top w:val="single" w:sz="4" w:space="0" w:color="auto"/>
              <w:left w:val="nil"/>
              <w:bottom w:val="single" w:sz="4" w:space="0" w:color="auto"/>
              <w:right w:val="single" w:sz="4" w:space="0" w:color="auto"/>
            </w:tcBorders>
            <w:shd w:val="clear" w:color="auto" w:fill="auto"/>
            <w:noWrap/>
            <w:vAlign w:val="center"/>
          </w:tcPr>
          <w:p w:rsidR="00475070" w:rsidRPr="00660897" w:rsidRDefault="00475070" w:rsidP="00B363CD">
            <w:pPr>
              <w:widowControl/>
              <w:adjustRightInd/>
              <w:jc w:val="center"/>
              <w:rPr>
                <w:b/>
                <w:color w:val="000000"/>
                <w:sz w:val="20"/>
                <w:szCs w:val="20"/>
              </w:rPr>
            </w:pPr>
            <w:r w:rsidRPr="00660897">
              <w:rPr>
                <w:b/>
                <w:bCs/>
                <w:sz w:val="20"/>
                <w:szCs w:val="20"/>
              </w:rPr>
              <w:t xml:space="preserve">$35,919,318 </w:t>
            </w:r>
          </w:p>
        </w:tc>
      </w:tr>
    </w:tbl>
    <w:p w:rsidR="007824B8" w:rsidRPr="00660897" w:rsidRDefault="007824B8" w:rsidP="00B363CD">
      <w:pPr>
        <w:widowControl/>
        <w:rPr>
          <w:sz w:val="20"/>
          <w:szCs w:val="22"/>
        </w:rPr>
      </w:pPr>
    </w:p>
    <w:p w:rsidR="00660897" w:rsidRPr="00834BAC" w:rsidRDefault="00660897"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sidRPr="00660897">
        <w:rPr>
          <w:b/>
          <w:bCs/>
          <w:sz w:val="22"/>
          <w:szCs w:val="22"/>
        </w:rPr>
        <w:t>6(f)</w:t>
      </w:r>
      <w:r w:rsidRPr="00660897">
        <w:rPr>
          <w:b/>
          <w:bCs/>
          <w:sz w:val="22"/>
          <w:szCs w:val="22"/>
        </w:rPr>
        <w:tab/>
      </w:r>
      <w:r>
        <w:rPr>
          <w:b/>
          <w:bCs/>
          <w:sz w:val="22"/>
          <w:szCs w:val="22"/>
        </w:rPr>
        <w:t>Reasons for Change in Burden</w:t>
      </w:r>
      <w:r w:rsidRPr="00834BAC">
        <w:rPr>
          <w:b/>
          <w:bCs/>
          <w:sz w:val="22"/>
          <w:szCs w:val="22"/>
        </w:rPr>
        <w:fldChar w:fldCharType="begin"/>
      </w:r>
      <w:r w:rsidRPr="00834BAC">
        <w:rPr>
          <w:b/>
          <w:bCs/>
          <w:sz w:val="22"/>
          <w:szCs w:val="22"/>
        </w:rPr>
        <w:instrText>tc \l3 "6(f)</w:instrText>
      </w:r>
      <w:r w:rsidRPr="00834BAC">
        <w:rPr>
          <w:b/>
          <w:bCs/>
          <w:sz w:val="22"/>
          <w:szCs w:val="22"/>
        </w:rPr>
        <w:tab/>
      </w:r>
      <w:r w:rsidRPr="00834BAC">
        <w:rPr>
          <w:b/>
          <w:bCs/>
          <w:sz w:val="22"/>
          <w:szCs w:val="22"/>
          <w:u w:val="single"/>
        </w:rPr>
        <w:instrText>REASONS FOR CHANGE IN BURDEN</w:instrText>
      </w:r>
      <w:r w:rsidRPr="00834BAC">
        <w:rPr>
          <w:b/>
          <w:bCs/>
          <w:sz w:val="22"/>
          <w:szCs w:val="22"/>
        </w:rPr>
        <w:fldChar w:fldCharType="end"/>
      </w:r>
    </w:p>
    <w:p w:rsidR="00660897" w:rsidRPr="00834BAC" w:rsidRDefault="00704314"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after="120"/>
        <w:ind w:firstLine="720"/>
        <w:rPr>
          <w:sz w:val="22"/>
          <w:szCs w:val="22"/>
        </w:rPr>
      </w:pPr>
      <w:r>
        <w:rPr>
          <w:sz w:val="22"/>
          <w:szCs w:val="22"/>
        </w:rPr>
        <w:t xml:space="preserve">This ICR </w:t>
      </w:r>
      <w:r w:rsidR="00457043">
        <w:rPr>
          <w:sz w:val="22"/>
          <w:szCs w:val="22"/>
        </w:rPr>
        <w:t>ref</w:t>
      </w:r>
      <w:r>
        <w:rPr>
          <w:sz w:val="22"/>
          <w:szCs w:val="22"/>
        </w:rPr>
        <w:t>l</w:t>
      </w:r>
      <w:r w:rsidR="00457043">
        <w:rPr>
          <w:sz w:val="22"/>
          <w:szCs w:val="22"/>
        </w:rPr>
        <w:t>ects</w:t>
      </w:r>
      <w:r w:rsidR="00660897" w:rsidRPr="00834BAC">
        <w:rPr>
          <w:sz w:val="22"/>
          <w:szCs w:val="22"/>
        </w:rPr>
        <w:t xml:space="preserve"> </w:t>
      </w:r>
      <w:r>
        <w:rPr>
          <w:sz w:val="22"/>
          <w:szCs w:val="22"/>
        </w:rPr>
        <w:t xml:space="preserve">a decrease </w:t>
      </w:r>
      <w:r w:rsidR="00660897" w:rsidRPr="00834BAC">
        <w:rPr>
          <w:sz w:val="22"/>
          <w:szCs w:val="22"/>
        </w:rPr>
        <w:t xml:space="preserve">to the </w:t>
      </w:r>
      <w:r>
        <w:rPr>
          <w:sz w:val="22"/>
          <w:szCs w:val="22"/>
        </w:rPr>
        <w:t>currently approved burden hour and cost</w:t>
      </w:r>
      <w:r w:rsidRPr="00834BAC">
        <w:rPr>
          <w:sz w:val="22"/>
          <w:szCs w:val="22"/>
        </w:rPr>
        <w:t xml:space="preserve"> </w:t>
      </w:r>
      <w:r w:rsidR="00660897" w:rsidRPr="00834BAC">
        <w:rPr>
          <w:sz w:val="22"/>
          <w:szCs w:val="22"/>
        </w:rPr>
        <w:t xml:space="preserve">estimates based on </w:t>
      </w:r>
      <w:r w:rsidR="00457043">
        <w:rPr>
          <w:sz w:val="22"/>
          <w:szCs w:val="22"/>
        </w:rPr>
        <w:t xml:space="preserve">changes to requirements under the Proposed </w:t>
      </w:r>
      <w:r>
        <w:rPr>
          <w:sz w:val="22"/>
          <w:szCs w:val="22"/>
        </w:rPr>
        <w:t>Coal Cumbustion Residue (</w:t>
      </w:r>
      <w:r w:rsidR="00457043">
        <w:rPr>
          <w:sz w:val="22"/>
          <w:szCs w:val="22"/>
        </w:rPr>
        <w:t>CCR</w:t>
      </w:r>
      <w:r>
        <w:rPr>
          <w:sz w:val="22"/>
          <w:szCs w:val="22"/>
        </w:rPr>
        <w:t>)</w:t>
      </w:r>
      <w:r w:rsidR="00457043">
        <w:rPr>
          <w:sz w:val="22"/>
          <w:szCs w:val="22"/>
        </w:rPr>
        <w:t xml:space="preserve"> Remand Rule and state adoption of </w:t>
      </w:r>
      <w:r>
        <w:rPr>
          <w:sz w:val="22"/>
          <w:szCs w:val="22"/>
        </w:rPr>
        <w:t xml:space="preserve">anticipated </w:t>
      </w:r>
      <w:r w:rsidR="00457043">
        <w:rPr>
          <w:sz w:val="22"/>
          <w:szCs w:val="22"/>
        </w:rPr>
        <w:t xml:space="preserve">flexibilities under 2016 </w:t>
      </w:r>
      <w:r>
        <w:rPr>
          <w:sz w:val="22"/>
          <w:szCs w:val="22"/>
        </w:rPr>
        <w:t>Water Infrastructure Investment for the Nation (</w:t>
      </w:r>
      <w:r w:rsidR="00457043">
        <w:rPr>
          <w:sz w:val="22"/>
          <w:szCs w:val="22"/>
        </w:rPr>
        <w:t>WIIN</w:t>
      </w:r>
      <w:r>
        <w:rPr>
          <w:sz w:val="22"/>
          <w:szCs w:val="22"/>
        </w:rPr>
        <w:t>)</w:t>
      </w:r>
      <w:r w:rsidR="00457043">
        <w:rPr>
          <w:sz w:val="22"/>
          <w:szCs w:val="22"/>
        </w:rPr>
        <w:t xml:space="preserve"> Act.</w:t>
      </w:r>
      <w:r>
        <w:rPr>
          <w:sz w:val="22"/>
          <w:szCs w:val="22"/>
        </w:rPr>
        <w:t xml:space="preserve"> These program changes will result in an annual burden decrease of 4,267 hours and $5,713,027 ($519,832 in labor costs and $5,193,195 in other costs).</w:t>
      </w:r>
      <w:r w:rsidR="00284189">
        <w:rPr>
          <w:sz w:val="22"/>
          <w:szCs w:val="22"/>
        </w:rPr>
        <w:t xml:space="preserve"> This is a deregulatory action under EO 13771.</w:t>
      </w:r>
    </w:p>
    <w:p w:rsidR="00660897" w:rsidRPr="00834BAC" w:rsidRDefault="00660897" w:rsidP="00B363CD">
      <w:pPr>
        <w:widowControl/>
        <w:autoSpaceDE w:val="0"/>
        <w:autoSpaceDN w:val="0"/>
        <w:ind w:firstLine="720"/>
        <w:rPr>
          <w:strike/>
          <w:sz w:val="22"/>
          <w:szCs w:val="22"/>
        </w:rPr>
      </w:pPr>
    </w:p>
    <w:p w:rsidR="00C45052" w:rsidRPr="00660897" w:rsidRDefault="00834BAC" w:rsidP="00B363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r>
        <w:rPr>
          <w:b/>
          <w:sz w:val="22"/>
          <w:szCs w:val="22"/>
          <w:u w:val="single"/>
        </w:rPr>
        <w:t xml:space="preserve">6(g)   </w:t>
      </w:r>
      <w:r>
        <w:rPr>
          <w:b/>
          <w:sz w:val="22"/>
          <w:szCs w:val="22"/>
          <w:u w:val="single"/>
        </w:rPr>
        <w:tab/>
      </w:r>
      <w:r w:rsidR="00594D23" w:rsidRPr="00660897">
        <w:rPr>
          <w:b/>
          <w:sz w:val="22"/>
          <w:szCs w:val="22"/>
          <w:u w:val="single"/>
        </w:rPr>
        <w:t>Burden Statement</w:t>
      </w:r>
    </w:p>
    <w:p w:rsidR="00C45052" w:rsidRPr="00660897" w:rsidRDefault="00594D23" w:rsidP="00B363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60897">
        <w:rPr>
          <w:sz w:val="22"/>
          <w:szCs w:val="22"/>
        </w:rPr>
        <w:t xml:space="preserve">  </w:t>
      </w:r>
    </w:p>
    <w:p w:rsidR="00336E34" w:rsidRPr="00660897" w:rsidRDefault="00C45052" w:rsidP="00B363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660897">
        <w:rPr>
          <w:sz w:val="22"/>
          <w:szCs w:val="22"/>
        </w:rPr>
        <w:tab/>
      </w:r>
      <w:r w:rsidR="00336E34" w:rsidRPr="00660897">
        <w:rPr>
          <w:sz w:val="22"/>
          <w:szCs w:val="22"/>
        </w:rPr>
        <w:t xml:space="preserve">The annual reporting and recordkeeping burden for this collection of information is estimated to </w:t>
      </w:r>
      <w:r w:rsidR="008B3806" w:rsidRPr="00660897">
        <w:rPr>
          <w:sz w:val="22"/>
          <w:szCs w:val="22"/>
        </w:rPr>
        <w:t>reduce baseline burden by 4,267 hours and $5.2 million per year, for a final estimate of 350,335 hours and $22.2 million per year.</w:t>
      </w:r>
      <w:r w:rsidR="00336E34" w:rsidRPr="00660897">
        <w:rPr>
          <w:color w:val="000000"/>
          <w:sz w:val="22"/>
          <w:szCs w:val="22"/>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336E34" w:rsidRPr="00660897" w:rsidRDefault="00336E34" w:rsidP="00B363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p>
    <w:p w:rsidR="00336E34" w:rsidRDefault="00336E34" w:rsidP="00B363C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2"/>
          <w:szCs w:val="22"/>
        </w:rPr>
      </w:pPr>
      <w:r w:rsidRPr="00660897">
        <w:rPr>
          <w:color w:val="000000"/>
          <w:sz w:val="22"/>
          <w:szCs w:val="22"/>
        </w:rPr>
        <w:tab/>
      </w:r>
      <w:r w:rsidRPr="00660897">
        <w:rPr>
          <w:sz w:val="22"/>
          <w:szCs w:val="22"/>
        </w:rPr>
        <w:t>To comment on the Agency's need for this information, the accuracy of the provided burden estimates, and any suggested methods for minimizing respondent burden, including the use of automated collection techniques, EPA has established a public docket for this ICR u</w:t>
      </w:r>
      <w:r w:rsidR="00FF388A">
        <w:rPr>
          <w:sz w:val="22"/>
          <w:szCs w:val="22"/>
        </w:rPr>
        <w:t>nder Docket ID Number EPA-HQ</w:t>
      </w:r>
      <w:r w:rsidRPr="00660897">
        <w:rPr>
          <w:sz w:val="22"/>
          <w:szCs w:val="22"/>
        </w:rPr>
        <w:t>-</w:t>
      </w:r>
      <w:r w:rsidR="00FF388A">
        <w:rPr>
          <w:sz w:val="22"/>
          <w:szCs w:val="22"/>
        </w:rPr>
        <w:t>OLEM-2017-0286</w:t>
      </w:r>
      <w:r w:rsidRPr="00660897">
        <w:rPr>
          <w:sz w:val="22"/>
          <w:szCs w:val="22"/>
        </w:rPr>
        <w:t xml:space="preserve">, which is available for online viewing at </w:t>
      </w:r>
      <w:hyperlink r:id="rId13" w:history="1">
        <w:r w:rsidRPr="00660897">
          <w:rPr>
            <w:rStyle w:val="Hyperlink"/>
            <w:color w:val="auto"/>
            <w:sz w:val="22"/>
            <w:szCs w:val="22"/>
          </w:rPr>
          <w:t>www.regulations.gov</w:t>
        </w:r>
      </w:hyperlink>
      <w:r w:rsidRPr="00660897">
        <w:rPr>
          <w:sz w:val="22"/>
          <w:szCs w:val="22"/>
        </w:rPr>
        <w:t>, or in person viewing at the OLEM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OLEM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660897">
        <w:rPr>
          <w:rFonts w:ascii="Courier New" w:hAnsi="Courier New" w:cs="Courier New"/>
          <w:sz w:val="22"/>
          <w:szCs w:val="22"/>
        </w:rPr>
        <w:t xml:space="preserve"> </w:t>
      </w:r>
      <w:r w:rsidRPr="00660897">
        <w:rPr>
          <w:sz w:val="22"/>
          <w:szCs w:val="22"/>
        </w:rPr>
        <w:t>Number EPA-HQ-O</w:t>
      </w:r>
      <w:r w:rsidR="0060325D">
        <w:rPr>
          <w:sz w:val="22"/>
          <w:szCs w:val="22"/>
        </w:rPr>
        <w:t xml:space="preserve">LEM-2017-0286 and OMB Control Number 2050-0053 </w:t>
      </w:r>
      <w:r w:rsidRPr="00660897">
        <w:rPr>
          <w:sz w:val="22"/>
          <w:szCs w:val="22"/>
        </w:rPr>
        <w:t>in any correspondence.</w:t>
      </w:r>
    </w:p>
    <w:p w:rsidR="00D577DB" w:rsidRDefault="00D577DB" w:rsidP="00B363C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2"/>
          <w:szCs w:val="22"/>
        </w:rPr>
      </w:pPr>
    </w:p>
    <w:p w:rsidR="00834BAC" w:rsidRDefault="00834BAC" w:rsidP="00B363CD">
      <w:pPr>
        <w:widowControl/>
        <w:adjustRightInd/>
        <w:spacing w:after="160" w:line="259" w:lineRule="auto"/>
        <w:rPr>
          <w:b/>
          <w:bCs/>
          <w:sz w:val="30"/>
          <w:szCs w:val="30"/>
        </w:rPr>
      </w:pPr>
      <w:r>
        <w:rPr>
          <w:b/>
          <w:bCs/>
          <w:sz w:val="30"/>
          <w:szCs w:val="30"/>
        </w:rPr>
        <w:br w:type="page"/>
      </w:r>
    </w:p>
    <w:p w:rsidR="00834BAC" w:rsidRPr="00D95940" w:rsidRDefault="00834BAC" w:rsidP="00B363CD">
      <w:pPr>
        <w:widowControl/>
        <w:tabs>
          <w:tab w:val="left" w:pos="720"/>
          <w:tab w:val="left" w:pos="1440"/>
          <w:tab w:val="left" w:pos="2160"/>
          <w:tab w:val="left" w:pos="2880"/>
          <w:tab w:val="left" w:pos="3600"/>
          <w:tab w:val="left" w:pos="4320"/>
          <w:tab w:val="left" w:pos="5040"/>
          <w:tab w:val="left" w:pos="5850"/>
          <w:tab w:val="left" w:pos="6480"/>
          <w:tab w:val="left" w:pos="7200"/>
          <w:tab w:val="left" w:pos="7922"/>
        </w:tabs>
        <w:spacing w:before="240" w:after="120"/>
        <w:jc w:val="center"/>
      </w:pPr>
      <w:r w:rsidRPr="00D95940">
        <w:rPr>
          <w:b/>
          <w:bCs/>
          <w:sz w:val="30"/>
          <w:szCs w:val="30"/>
        </w:rPr>
        <w:t>ATTACHMENT</w:t>
      </w:r>
    </w:p>
    <w:p w:rsidR="00834BAC" w:rsidRPr="00D95940" w:rsidRDefault="00834BAC" w:rsidP="00B363CD">
      <w:pPr>
        <w:widowControl/>
        <w:autoSpaceDE w:val="0"/>
        <w:autoSpaceDN w:val="0"/>
        <w:rPr>
          <w:b/>
          <w:bCs/>
        </w:rPr>
      </w:pPr>
    </w:p>
    <w:p w:rsidR="00834BAC" w:rsidRPr="00D95940" w:rsidRDefault="00834BAC" w:rsidP="00B363CD">
      <w:pPr>
        <w:widowControl/>
        <w:tabs>
          <w:tab w:val="center" w:pos="4680"/>
        </w:tabs>
        <w:autoSpaceDE w:val="0"/>
        <w:autoSpaceDN w:val="0"/>
      </w:pPr>
      <w:r w:rsidRPr="00D95940">
        <w:rPr>
          <w:b/>
          <w:bCs/>
        </w:rPr>
        <w:tab/>
        <w:t>INFORMATION COLLECTION REQUEST 1189.26</w:t>
      </w:r>
    </w:p>
    <w:p w:rsidR="00834BAC" w:rsidRPr="00D95940" w:rsidRDefault="00834BAC" w:rsidP="00B363CD">
      <w:pPr>
        <w:widowControl/>
        <w:tabs>
          <w:tab w:val="center" w:pos="4680"/>
        </w:tabs>
        <w:autoSpaceDE w:val="0"/>
        <w:autoSpaceDN w:val="0"/>
        <w:rPr>
          <w:b/>
          <w:bCs/>
        </w:rPr>
      </w:pPr>
      <w:r w:rsidRPr="00D95940">
        <w:rPr>
          <w:b/>
          <w:bCs/>
        </w:rPr>
        <w:tab/>
        <w:t>BURDEN ESTIMATE METHODOLOGY</w:t>
      </w:r>
      <w:r w:rsidRPr="00D95940">
        <w:t xml:space="preserve"> </w:t>
      </w:r>
    </w:p>
    <w:p w:rsidR="00834BAC" w:rsidRPr="00D95940" w:rsidRDefault="00834BAC" w:rsidP="00B363CD">
      <w:pPr>
        <w:widowControl/>
        <w:autoSpaceDE w:val="0"/>
        <w:autoSpaceDN w:val="0"/>
      </w:pPr>
    </w:p>
    <w:p w:rsidR="00834BAC" w:rsidRPr="00D95940" w:rsidRDefault="00834BAC" w:rsidP="00B363CD">
      <w:pPr>
        <w:widowControl/>
        <w:tabs>
          <w:tab w:val="center" w:pos="4680"/>
        </w:tabs>
        <w:autoSpaceDE w:val="0"/>
        <w:autoSpaceDN w:val="0"/>
      </w:pPr>
      <w:r w:rsidRPr="00D95940">
        <w:tab/>
      </w:r>
    </w:p>
    <w:p w:rsidR="00D577DB" w:rsidRPr="00834BAC" w:rsidRDefault="00834BAC" w:rsidP="00B363CD">
      <w:pPr>
        <w:widowControl/>
        <w:tabs>
          <w:tab w:val="center" w:pos="4680"/>
        </w:tabs>
        <w:autoSpaceDE w:val="0"/>
        <w:autoSpaceDN w:val="0"/>
        <w:rPr>
          <w:sz w:val="22"/>
          <w:szCs w:val="22"/>
        </w:rPr>
      </w:pPr>
      <w:r w:rsidRPr="00834BAC">
        <w:rPr>
          <w:sz w:val="22"/>
          <w:szCs w:val="22"/>
        </w:rPr>
        <w:t>40 CFR Part 2</w:t>
      </w:r>
      <w:r>
        <w:rPr>
          <w:sz w:val="22"/>
          <w:szCs w:val="22"/>
        </w:rPr>
        <w:t>57</w:t>
      </w:r>
      <w:r w:rsidRPr="00834BAC">
        <w:rPr>
          <w:sz w:val="22"/>
          <w:szCs w:val="22"/>
        </w:rPr>
        <w:t xml:space="preserve"> contain</w:t>
      </w:r>
      <w:r>
        <w:rPr>
          <w:sz w:val="22"/>
          <w:szCs w:val="22"/>
        </w:rPr>
        <w:t>s</w:t>
      </w:r>
      <w:r w:rsidRPr="00834BAC">
        <w:rPr>
          <w:sz w:val="22"/>
          <w:szCs w:val="22"/>
        </w:rPr>
        <w:t xml:space="preserve"> provisions that </w:t>
      </w:r>
      <w:r w:rsidRPr="00722E5F">
        <w:rPr>
          <w:sz w:val="22"/>
          <w:szCs w:val="22"/>
        </w:rPr>
        <w:t>regulate the disposal of CCR generated by electric utilities as solid waste under RCRA Subtitle D and finalizes national minimum criteria for existing and new CCR landfills and existing and new CCR surface impoundments and all lateral expansions</w:t>
      </w:r>
      <w:r>
        <w:rPr>
          <w:sz w:val="22"/>
          <w:szCs w:val="22"/>
        </w:rPr>
        <w:t>.</w:t>
      </w:r>
      <w:r w:rsidRPr="00834BAC">
        <w:rPr>
          <w:sz w:val="22"/>
          <w:szCs w:val="22"/>
        </w:rPr>
        <w:t xml:space="preserve"> This </w:t>
      </w:r>
      <w:r>
        <w:rPr>
          <w:sz w:val="22"/>
          <w:szCs w:val="22"/>
        </w:rPr>
        <w:t xml:space="preserve">regulatory </w:t>
      </w:r>
      <w:r w:rsidRPr="00834BAC">
        <w:rPr>
          <w:sz w:val="22"/>
          <w:szCs w:val="22"/>
        </w:rPr>
        <w:t>process entails some amount of burden that is shouldered by the r</w:t>
      </w:r>
      <w:r>
        <w:rPr>
          <w:sz w:val="22"/>
          <w:szCs w:val="22"/>
        </w:rPr>
        <w:t>egulated community</w:t>
      </w:r>
      <w:r w:rsidRPr="00834BAC">
        <w:rPr>
          <w:sz w:val="22"/>
          <w:szCs w:val="22"/>
        </w:rPr>
        <w:t>. In accordance with the 1995 Paperwork Reduction Act (as amended), EPA must estimate respondent and Agency burden associated with all regulatory activities in 40 CFR Part</w:t>
      </w:r>
      <w:r>
        <w:rPr>
          <w:sz w:val="22"/>
          <w:szCs w:val="22"/>
        </w:rPr>
        <w:t xml:space="preserve"> 257</w:t>
      </w:r>
      <w:r w:rsidRPr="00834BAC">
        <w:rPr>
          <w:sz w:val="22"/>
          <w:szCs w:val="22"/>
        </w:rPr>
        <w:t xml:space="preserve">. Once burden estimates are developed, EPA submits an Information Collection Request (ICR) to the Office of Management and Budget (OMB) for approval. This </w:t>
      </w:r>
      <w:r>
        <w:rPr>
          <w:sz w:val="22"/>
          <w:szCs w:val="22"/>
        </w:rPr>
        <w:t>attachmen</w:t>
      </w:r>
      <w:r w:rsidRPr="00834BAC">
        <w:rPr>
          <w:sz w:val="22"/>
          <w:szCs w:val="22"/>
        </w:rPr>
        <w:t xml:space="preserve">t </w:t>
      </w:r>
      <w:r>
        <w:rPr>
          <w:sz w:val="22"/>
          <w:szCs w:val="22"/>
        </w:rPr>
        <w:t xml:space="preserve">provides a detailed breakdown of the </w:t>
      </w:r>
      <w:r w:rsidRPr="00834BAC">
        <w:rPr>
          <w:sz w:val="22"/>
          <w:szCs w:val="22"/>
        </w:rPr>
        <w:t xml:space="preserve">burden estimates </w:t>
      </w:r>
      <w:r>
        <w:rPr>
          <w:sz w:val="22"/>
          <w:szCs w:val="22"/>
        </w:rPr>
        <w:t>and number of entities affected that are associated with the Proposed CCR Remand Rule (the reg</w:t>
      </w:r>
      <w:r w:rsidRPr="00834BAC">
        <w:rPr>
          <w:sz w:val="22"/>
          <w:szCs w:val="22"/>
        </w:rPr>
        <w:t>ulato</w:t>
      </w:r>
      <w:r>
        <w:rPr>
          <w:sz w:val="22"/>
          <w:szCs w:val="22"/>
        </w:rPr>
        <w:t>ry activities cited above).</w:t>
      </w:r>
    </w:p>
    <w:p w:rsidR="00D577DB" w:rsidRDefault="00D577DB" w:rsidP="00B363CD">
      <w:pPr>
        <w:pageBreakBefore/>
        <w:widowControl/>
        <w:adjustRightInd/>
        <w:rPr>
          <w:b/>
          <w:bCs/>
          <w:sz w:val="16"/>
          <w:szCs w:val="16"/>
        </w:rPr>
        <w:sectPr w:rsidR="00D577DB" w:rsidSect="00D577DB">
          <w:footerReference w:type="default" r:id="rId14"/>
          <w:pgSz w:w="12240" w:h="15840"/>
          <w:pgMar w:top="1440" w:right="1440" w:bottom="1440" w:left="1440" w:header="720" w:footer="720" w:gutter="0"/>
          <w:cols w:space="720"/>
          <w:docGrid w:linePitch="360"/>
        </w:sectPr>
      </w:pPr>
    </w:p>
    <w:tbl>
      <w:tblPr>
        <w:tblW w:w="13300" w:type="dxa"/>
        <w:tblInd w:w="93" w:type="dxa"/>
        <w:tblLook w:val="04A0" w:firstRow="1" w:lastRow="0" w:firstColumn="1" w:lastColumn="0" w:noHBand="0" w:noVBand="1"/>
      </w:tblPr>
      <w:tblGrid>
        <w:gridCol w:w="6580"/>
        <w:gridCol w:w="1320"/>
        <w:gridCol w:w="1240"/>
        <w:gridCol w:w="1380"/>
        <w:gridCol w:w="1240"/>
        <w:gridCol w:w="1540"/>
      </w:tblGrid>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pageBreakBefore/>
              <w:widowControl/>
              <w:adjustRightInd/>
              <w:rPr>
                <w:b/>
                <w:bCs/>
                <w:sz w:val="16"/>
                <w:szCs w:val="16"/>
              </w:rPr>
            </w:pPr>
            <w:r w:rsidRPr="00D577DB">
              <w:rPr>
                <w:b/>
                <w:bCs/>
                <w:sz w:val="16"/>
                <w:szCs w:val="16"/>
              </w:rPr>
              <w:t>EXHIBIT 9</w:t>
            </w:r>
            <w:r>
              <w:rPr>
                <w:b/>
                <w:bCs/>
                <w:sz w:val="16"/>
                <w:szCs w:val="16"/>
              </w:rPr>
              <w:t>. Summary</w:t>
            </w: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b/>
                <w:bCs/>
                <w:sz w:val="16"/>
                <w:szCs w:val="16"/>
              </w:rPr>
            </w:pPr>
            <w:r w:rsidRPr="00D577DB">
              <w:rPr>
                <w:b/>
                <w:bCs/>
                <w:sz w:val="16"/>
                <w:szCs w:val="16"/>
              </w:rPr>
              <w:t>DISPOSAL OF COAL COMBUSTION RESIDUALS FROM ELECTRIC UTILITIES</w:t>
            </w: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b/>
                <w:bCs/>
                <w:sz w:val="16"/>
                <w:szCs w:val="16"/>
              </w:rPr>
            </w:pPr>
            <w:r w:rsidRPr="00D577DB">
              <w:rPr>
                <w:b/>
                <w:bCs/>
                <w:sz w:val="16"/>
                <w:szCs w:val="16"/>
              </w:rPr>
              <w:t xml:space="preserve">TOTAL ESTIMATED RESPONDENT HOUR AND COST BURDEN SUMMARY </w:t>
            </w:r>
            <w:r w:rsidRPr="00D577DB">
              <w:rPr>
                <w:b/>
                <w:bCs/>
                <w:sz w:val="16"/>
                <w:szCs w:val="16"/>
                <w:vertAlign w:val="superscript"/>
              </w:rPr>
              <w:t>a</w:t>
            </w: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b/>
                <w:bCs/>
                <w:sz w:val="16"/>
                <w:szCs w:val="16"/>
              </w:rPr>
            </w:pP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r w:rsidR="00D577DB" w:rsidRPr="00D577DB" w:rsidTr="00D577DB">
        <w:trPr>
          <w:trHeight w:val="75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center"/>
              <w:rPr>
                <w:b/>
                <w:bCs/>
                <w:sz w:val="16"/>
                <w:szCs w:val="16"/>
              </w:rPr>
            </w:pPr>
            <w:r w:rsidRPr="00D577DB">
              <w:rPr>
                <w:b/>
                <w:bCs/>
                <w:sz w:val="16"/>
                <w:szCs w:val="16"/>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D577DB" w:rsidRPr="00D577DB" w:rsidRDefault="00D577DB" w:rsidP="00B363CD">
            <w:pPr>
              <w:widowControl/>
              <w:adjustRightInd/>
              <w:jc w:val="center"/>
              <w:rPr>
                <w:b/>
                <w:bCs/>
                <w:sz w:val="16"/>
                <w:szCs w:val="16"/>
              </w:rPr>
            </w:pPr>
            <w:r w:rsidRPr="00D577DB">
              <w:rPr>
                <w:b/>
                <w:bCs/>
                <w:sz w:val="16"/>
                <w:szCs w:val="16"/>
              </w:rPr>
              <w:t>Annual Burden Hours</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77DB" w:rsidRPr="00D577DB" w:rsidRDefault="00D577DB" w:rsidP="00B363CD">
            <w:pPr>
              <w:widowControl/>
              <w:adjustRightInd/>
              <w:jc w:val="center"/>
              <w:rPr>
                <w:b/>
                <w:bCs/>
                <w:sz w:val="16"/>
                <w:szCs w:val="16"/>
              </w:rPr>
            </w:pPr>
            <w:r w:rsidRPr="00D577DB">
              <w:rPr>
                <w:b/>
                <w:bCs/>
                <w:sz w:val="16"/>
                <w:szCs w:val="16"/>
              </w:rPr>
              <w:t>Annual Labor Cost</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577DB" w:rsidRPr="00D577DB" w:rsidRDefault="00D577DB" w:rsidP="00B363CD">
            <w:pPr>
              <w:widowControl/>
              <w:adjustRightInd/>
              <w:jc w:val="center"/>
              <w:rPr>
                <w:b/>
                <w:bCs/>
                <w:sz w:val="16"/>
                <w:szCs w:val="16"/>
              </w:rPr>
            </w:pPr>
            <w:r w:rsidRPr="00D577DB">
              <w:rPr>
                <w:b/>
                <w:bCs/>
                <w:sz w:val="16"/>
                <w:szCs w:val="16"/>
              </w:rPr>
              <w:t>Annual Capital/ Startup Cost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577DB" w:rsidRPr="00D577DB" w:rsidRDefault="00D577DB" w:rsidP="00B363CD">
            <w:pPr>
              <w:widowControl/>
              <w:adjustRightInd/>
              <w:jc w:val="center"/>
              <w:rPr>
                <w:b/>
                <w:bCs/>
                <w:sz w:val="16"/>
                <w:szCs w:val="16"/>
              </w:rPr>
            </w:pPr>
            <w:r w:rsidRPr="00D577DB">
              <w:rPr>
                <w:b/>
                <w:bCs/>
                <w:sz w:val="16"/>
                <w:szCs w:val="16"/>
              </w:rPr>
              <w:t>Annual O&amp;M Cost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577DB" w:rsidRPr="00D577DB" w:rsidRDefault="00D577DB" w:rsidP="00B363CD">
            <w:pPr>
              <w:widowControl/>
              <w:adjustRightInd/>
              <w:jc w:val="center"/>
              <w:rPr>
                <w:b/>
                <w:bCs/>
                <w:sz w:val="16"/>
                <w:szCs w:val="16"/>
              </w:rPr>
            </w:pPr>
            <w:r w:rsidRPr="00D577DB">
              <w:rPr>
                <w:b/>
                <w:bCs/>
                <w:sz w:val="16"/>
                <w:szCs w:val="16"/>
              </w:rPr>
              <w:t>Total Annual Cost</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Location Restrictions (Exhibit 1)</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5,368.25</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$360,790.84</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$114,560.00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$475,350.84</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Design Criteria (Exhibit 2)</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31,433.25</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$1,944,719.12</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$594,142.00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$2,538,861.12</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Operating Criteria (Exhibit 3)</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172,864.50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$11,705,627.21</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$1,829,320.00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$13,534,947.21</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Groundwater Monitoring and Corrective Action (Exhibit 4)</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94,750.70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$5,853,064.46</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$30,284,066.00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$36,137,130.46</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Closure and Post-Closure Care (Exhibit 5)</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36,068.50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$2,180,021.73</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$8,265,790.00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$10,445,811.73</w:t>
            </w:r>
          </w:p>
        </w:tc>
      </w:tr>
      <w:tr w:rsidR="00D577DB" w:rsidRPr="00D577DB" w:rsidTr="00D577DB">
        <w:trPr>
          <w:trHeight w:val="45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D577DB" w:rsidRPr="00D577DB" w:rsidRDefault="00D577DB" w:rsidP="00B363CD">
            <w:pPr>
              <w:widowControl/>
              <w:adjustRightInd/>
              <w:rPr>
                <w:sz w:val="16"/>
                <w:szCs w:val="16"/>
              </w:rPr>
            </w:pPr>
            <w:r w:rsidRPr="00D577DB">
              <w:rPr>
                <w:sz w:val="16"/>
                <w:szCs w:val="16"/>
              </w:rPr>
              <w:t>Recordkeeping, Notification, and Posting of Information to the Internet - Owners and Operators of CCR Units (Exhibit 6)</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7,075.78</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$403,429.25</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$24,635.18</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$428,064.43</w:t>
            </w:r>
          </w:p>
        </w:tc>
      </w:tr>
      <w:tr w:rsidR="00D577DB" w:rsidRPr="00D577DB" w:rsidTr="00D577DB">
        <w:trPr>
          <w:trHeight w:val="45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D577DB" w:rsidRPr="00D577DB" w:rsidRDefault="00D577DB" w:rsidP="00B363CD">
            <w:pPr>
              <w:widowControl/>
              <w:adjustRightInd/>
              <w:rPr>
                <w:sz w:val="16"/>
                <w:szCs w:val="16"/>
              </w:rPr>
            </w:pPr>
            <w:r w:rsidRPr="00D577DB">
              <w:rPr>
                <w:sz w:val="16"/>
                <w:szCs w:val="16"/>
              </w:rPr>
              <w:t>Recordkeeping, Notification, and Posting of Information to the Internet - State Government Agencies and Tribal Authorities (Exhibit 7)</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515.92</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$17,541.28</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$17,541.28</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D577DB" w:rsidRPr="00D577DB" w:rsidRDefault="00D577DB" w:rsidP="00B363CD">
            <w:pPr>
              <w:widowControl/>
              <w:adjustRightInd/>
              <w:rPr>
                <w:sz w:val="16"/>
                <w:szCs w:val="16"/>
              </w:rPr>
            </w:pPr>
            <w:r w:rsidRPr="00D577DB">
              <w:rPr>
                <w:sz w:val="16"/>
                <w:szCs w:val="16"/>
              </w:rPr>
              <w:t>Solid Waste Managemet Plans (Exhibit 8a)</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680.00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$28,785.80</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$28,785.80</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D577DB" w:rsidRPr="00D577DB" w:rsidRDefault="00D577DB" w:rsidP="00B363CD">
            <w:pPr>
              <w:widowControl/>
              <w:adjustRightInd/>
              <w:rPr>
                <w:sz w:val="16"/>
                <w:szCs w:val="16"/>
              </w:rPr>
            </w:pPr>
            <w:r w:rsidRPr="00D577DB">
              <w:rPr>
                <w:sz w:val="16"/>
                <w:szCs w:val="16"/>
              </w:rPr>
              <w:t>State CCR Permit Program Application (Exhibit 8a)</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5,845.00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$251,635.30</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$0.00</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$251,635.30</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Subtotal</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354,602</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$22,745,615</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$0</w:t>
            </w:r>
            <w:r>
              <w:rPr>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$41,112,513</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$63,858,128</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rPr>
              <w:t>Incremental CCR Remand Rule Total (Exhibit 10)</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(4,267)</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($519,832)</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$0</w:t>
            </w:r>
            <w:r>
              <w:rPr>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($5,193,195)</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sz w:val="16"/>
                <w:szCs w:val="16"/>
              </w:rPr>
            </w:pPr>
            <w:r w:rsidRPr="00D577DB">
              <w:rPr>
                <w:sz w:val="16"/>
                <w:szCs w:val="16"/>
              </w:rPr>
              <w:t>($5,713,027)</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Total</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350,335</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$22,225,783</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$0</w:t>
            </w:r>
            <w:r>
              <w:rPr>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$35,919,318</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$58,145,101</w:t>
            </w:r>
          </w:p>
        </w:tc>
      </w:tr>
      <w:tr w:rsidR="00D577DB" w:rsidRPr="00D577DB" w:rsidTr="00D577DB">
        <w:trPr>
          <w:trHeight w:val="255"/>
        </w:trPr>
        <w:tc>
          <w:tcPr>
            <w:tcW w:w="6580" w:type="dxa"/>
            <w:tcBorders>
              <w:top w:val="nil"/>
              <w:left w:val="single" w:sz="4" w:space="0" w:color="auto"/>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3-year Total</w:t>
            </w:r>
          </w:p>
        </w:tc>
        <w:tc>
          <w:tcPr>
            <w:tcW w:w="132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1,051,006</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$66,677,348</w:t>
            </w:r>
          </w:p>
        </w:tc>
        <w:tc>
          <w:tcPr>
            <w:tcW w:w="138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$0</w:t>
            </w:r>
            <w:r>
              <w:rPr>
                <w:b/>
                <w:bCs/>
                <w:sz w:val="16"/>
                <w:szCs w:val="16"/>
              </w:rPr>
              <w:t>.00</w:t>
            </w:r>
          </w:p>
        </w:tc>
        <w:tc>
          <w:tcPr>
            <w:tcW w:w="12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$107,757,955</w:t>
            </w:r>
          </w:p>
        </w:tc>
        <w:tc>
          <w:tcPr>
            <w:tcW w:w="1540" w:type="dxa"/>
            <w:tcBorders>
              <w:top w:val="nil"/>
              <w:left w:val="nil"/>
              <w:bottom w:val="single" w:sz="4" w:space="0" w:color="auto"/>
              <w:right w:val="single" w:sz="4" w:space="0" w:color="auto"/>
            </w:tcBorders>
            <w:shd w:val="clear" w:color="auto" w:fill="auto"/>
            <w:noWrap/>
            <w:vAlign w:val="center"/>
            <w:hideMark/>
          </w:tcPr>
          <w:p w:rsidR="00D577DB" w:rsidRPr="00D577DB" w:rsidRDefault="00D577DB" w:rsidP="00B363CD">
            <w:pPr>
              <w:widowControl/>
              <w:adjustRightInd/>
              <w:jc w:val="right"/>
              <w:rPr>
                <w:b/>
                <w:bCs/>
                <w:sz w:val="16"/>
                <w:szCs w:val="16"/>
              </w:rPr>
            </w:pPr>
            <w:r w:rsidRPr="00D577DB">
              <w:rPr>
                <w:b/>
                <w:bCs/>
                <w:sz w:val="16"/>
                <w:szCs w:val="16"/>
              </w:rPr>
              <w:t>$174,435,302</w:t>
            </w:r>
          </w:p>
        </w:tc>
      </w:tr>
      <w:tr w:rsidR="00D577DB" w:rsidRPr="00D577DB" w:rsidTr="00D577DB">
        <w:trPr>
          <w:trHeight w:val="255"/>
        </w:trPr>
        <w:tc>
          <w:tcPr>
            <w:tcW w:w="65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r w:rsidRPr="00D577DB">
              <w:rPr>
                <w:sz w:val="16"/>
                <w:szCs w:val="16"/>
                <w:vertAlign w:val="superscript"/>
              </w:rPr>
              <w:t>a</w:t>
            </w:r>
            <w:r w:rsidRPr="00D577DB">
              <w:rPr>
                <w:sz w:val="16"/>
                <w:szCs w:val="16"/>
              </w:rPr>
              <w:t xml:space="preserve">  Exhibit includes rounding error.</w:t>
            </w:r>
          </w:p>
        </w:tc>
        <w:tc>
          <w:tcPr>
            <w:tcW w:w="132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38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2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c>
          <w:tcPr>
            <w:tcW w:w="1540" w:type="dxa"/>
            <w:tcBorders>
              <w:top w:val="nil"/>
              <w:left w:val="nil"/>
              <w:bottom w:val="nil"/>
              <w:right w:val="nil"/>
            </w:tcBorders>
            <w:shd w:val="clear" w:color="auto" w:fill="auto"/>
            <w:noWrap/>
            <w:vAlign w:val="center"/>
            <w:hideMark/>
          </w:tcPr>
          <w:p w:rsidR="00D577DB" w:rsidRPr="00D577DB" w:rsidRDefault="00D577DB" w:rsidP="00B363CD">
            <w:pPr>
              <w:widowControl/>
              <w:adjustRightInd/>
              <w:rPr>
                <w:sz w:val="16"/>
                <w:szCs w:val="16"/>
              </w:rPr>
            </w:pPr>
          </w:p>
        </w:tc>
      </w:tr>
    </w:tbl>
    <w:p w:rsidR="00D577DB" w:rsidRDefault="00D577DB" w:rsidP="00B363CD">
      <w:pPr>
        <w:widowControl/>
        <w:rPr>
          <w:b/>
          <w:bCs/>
          <w:sz w:val="16"/>
          <w:szCs w:val="16"/>
        </w:rPr>
        <w:sectPr w:rsidR="00D577DB" w:rsidSect="00D577DB">
          <w:pgSz w:w="15840" w:h="12240" w:orient="landscape"/>
          <w:pgMar w:top="1440" w:right="1440" w:bottom="1440" w:left="1440" w:header="720" w:footer="720" w:gutter="0"/>
          <w:cols w:space="720"/>
          <w:docGrid w:linePitch="360"/>
        </w:sectPr>
      </w:pPr>
    </w:p>
    <w:tbl>
      <w:tblPr>
        <w:tblW w:w="14585" w:type="dxa"/>
        <w:tblInd w:w="93" w:type="dxa"/>
        <w:tblLook w:val="04A0" w:firstRow="1" w:lastRow="0" w:firstColumn="1" w:lastColumn="0" w:noHBand="0" w:noVBand="1"/>
      </w:tblPr>
      <w:tblGrid>
        <w:gridCol w:w="5020"/>
        <w:gridCol w:w="781"/>
        <w:gridCol w:w="781"/>
        <w:gridCol w:w="701"/>
        <w:gridCol w:w="701"/>
        <w:gridCol w:w="763"/>
        <w:gridCol w:w="963"/>
        <w:gridCol w:w="768"/>
        <w:gridCol w:w="1040"/>
        <w:gridCol w:w="1007"/>
        <w:gridCol w:w="800"/>
        <w:gridCol w:w="1260"/>
      </w:tblGrid>
      <w:tr w:rsidR="00D577DB" w:rsidRPr="008345B1" w:rsidTr="00D577DB">
        <w:trPr>
          <w:trHeight w:val="315"/>
        </w:trPr>
        <w:tc>
          <w:tcPr>
            <w:tcW w:w="5020" w:type="dxa"/>
            <w:tcBorders>
              <w:top w:val="nil"/>
              <w:left w:val="nil"/>
              <w:bottom w:val="nil"/>
              <w:right w:val="nil"/>
            </w:tcBorders>
            <w:shd w:val="clear" w:color="auto" w:fill="auto"/>
            <w:noWrap/>
            <w:vAlign w:val="center"/>
            <w:hideMark/>
          </w:tcPr>
          <w:p w:rsidR="00D577DB" w:rsidRPr="008345B1" w:rsidRDefault="00D577DB" w:rsidP="00B363CD">
            <w:pPr>
              <w:pageBreakBefore/>
              <w:widowControl/>
              <w:rPr>
                <w:b/>
                <w:bCs/>
                <w:sz w:val="16"/>
                <w:szCs w:val="16"/>
              </w:rPr>
            </w:pPr>
            <w:r w:rsidRPr="008345B1">
              <w:rPr>
                <w:b/>
                <w:bCs/>
                <w:sz w:val="16"/>
                <w:szCs w:val="16"/>
              </w:rPr>
              <w:t>EXHIBIT 10a. Provision 1: Non-Groundwater Releases</w:t>
            </w: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07"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6582" w:type="dxa"/>
            <w:gridSpan w:val="3"/>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DISPOSAL OF COAL COMBUSTION RESIDUALS FROM ELECTRIC UTILITIES</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07"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9710" w:type="dxa"/>
            <w:gridSpan w:val="7"/>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 xml:space="preserve">ESTIMATED ANNUAL RESPONDENT HOUR AND COST BURDEN - OWNERS AND OPERATORS OF CCR UNITS </w:t>
            </w:r>
            <w:r w:rsidRPr="008345B1">
              <w:rPr>
                <w:b/>
                <w:bCs/>
                <w:sz w:val="16"/>
                <w:szCs w:val="16"/>
                <w:vertAlign w:val="superscript"/>
              </w:rPr>
              <w:t>a</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3067" w:type="dxa"/>
            <w:gridSpan w:val="3"/>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20"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07"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20" w:type="dxa"/>
            <w:tcBorders>
              <w:top w:val="nil"/>
              <w:left w:val="nil"/>
              <w:bottom w:val="nil"/>
              <w:right w:val="nil"/>
            </w:tcBorders>
            <w:shd w:val="clear" w:color="auto" w:fill="auto"/>
            <w:vAlign w:val="center"/>
            <w:hideMark/>
          </w:tcPr>
          <w:p w:rsidR="00D577DB" w:rsidRPr="008345B1" w:rsidRDefault="00D577DB" w:rsidP="00B363CD">
            <w:pPr>
              <w:widowControl/>
              <w:rPr>
                <w:sz w:val="16"/>
                <w:szCs w:val="16"/>
              </w:rPr>
            </w:pPr>
          </w:p>
        </w:tc>
        <w:tc>
          <w:tcPr>
            <w:tcW w:w="6498" w:type="dxa"/>
            <w:gridSpan w:val="8"/>
            <w:tcBorders>
              <w:top w:val="nil"/>
              <w:left w:val="nil"/>
              <w:bottom w:val="single" w:sz="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 and Costs Per Respondent Per Activity</w:t>
            </w:r>
          </w:p>
        </w:tc>
        <w:tc>
          <w:tcPr>
            <w:tcW w:w="3067" w:type="dxa"/>
            <w:gridSpan w:val="3"/>
            <w:tcBorders>
              <w:top w:val="nil"/>
              <w:left w:val="nil"/>
              <w:bottom w:val="single" w:sz="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 Hours and Costs</w:t>
            </w:r>
          </w:p>
        </w:tc>
      </w:tr>
      <w:tr w:rsidR="00D577DB" w:rsidRPr="008345B1" w:rsidTr="00D577DB">
        <w:trPr>
          <w:trHeight w:val="225"/>
        </w:trPr>
        <w:tc>
          <w:tcPr>
            <w:tcW w:w="5020" w:type="dxa"/>
            <w:tcBorders>
              <w:top w:val="nil"/>
              <w:left w:val="nil"/>
              <w:bottom w:val="nil"/>
              <w:right w:val="single" w:sz="18" w:space="0" w:color="auto"/>
            </w:tcBorders>
            <w:shd w:val="clear" w:color="auto" w:fill="auto"/>
            <w:vAlign w:val="center"/>
            <w:hideMark/>
          </w:tcPr>
          <w:p w:rsidR="00D577DB" w:rsidRPr="008345B1" w:rsidRDefault="00D577DB" w:rsidP="00B363CD">
            <w:pPr>
              <w:widowControl/>
              <w:rPr>
                <w:sz w:val="16"/>
                <w:szCs w:val="16"/>
              </w:rPr>
            </w:pPr>
          </w:p>
        </w:tc>
        <w:tc>
          <w:tcPr>
            <w:tcW w:w="781"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Leg.</w:t>
            </w:r>
          </w:p>
        </w:tc>
        <w:tc>
          <w:tcPr>
            <w:tcW w:w="78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Mgr.</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Tech.</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Cler.</w:t>
            </w:r>
          </w:p>
        </w:tc>
        <w:tc>
          <w:tcPr>
            <w:tcW w:w="76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96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Labor</w:t>
            </w:r>
          </w:p>
        </w:tc>
        <w:tc>
          <w:tcPr>
            <w:tcW w:w="768"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Capital/</w:t>
            </w:r>
          </w:p>
        </w:tc>
        <w:tc>
          <w:tcPr>
            <w:tcW w:w="1040"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 </w:t>
            </w:r>
          </w:p>
        </w:tc>
        <w:tc>
          <w:tcPr>
            <w:tcW w:w="1007"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Number of</w:t>
            </w:r>
          </w:p>
        </w:tc>
        <w:tc>
          <w:tcPr>
            <w:tcW w:w="800"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c>
          <w:tcPr>
            <w:tcW w:w="1260"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r>
      <w:tr w:rsidR="00D577DB" w:rsidRPr="008345B1" w:rsidTr="00D577DB">
        <w:trPr>
          <w:trHeight w:val="225"/>
        </w:trPr>
        <w:tc>
          <w:tcPr>
            <w:tcW w:w="5020" w:type="dxa"/>
            <w:tcBorders>
              <w:top w:val="nil"/>
              <w:left w:val="nil"/>
              <w:bottom w:val="nil"/>
              <w:right w:val="nil"/>
            </w:tcBorders>
            <w:shd w:val="clear" w:color="auto" w:fill="auto"/>
            <w:vAlign w:val="center"/>
            <w:hideMark/>
          </w:tcPr>
          <w:p w:rsidR="00D577DB" w:rsidRPr="008345B1" w:rsidRDefault="00D577DB" w:rsidP="00B363CD">
            <w:pPr>
              <w:widowControl/>
              <w:jc w:val="center"/>
              <w:rPr>
                <w:sz w:val="16"/>
                <w:szCs w:val="16"/>
              </w:rPr>
            </w:pP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$150.84/</w:t>
            </w: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$122.59/</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$64.51/</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$38.34/</w:t>
            </w: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96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Startup</w:t>
            </w: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O&amp;M</w:t>
            </w:r>
          </w:p>
        </w:tc>
        <w:tc>
          <w:tcPr>
            <w:tcW w:w="1007"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r>
      <w:tr w:rsidR="00D577DB" w:rsidRPr="008345B1" w:rsidTr="00D577DB">
        <w:trPr>
          <w:trHeight w:val="225"/>
        </w:trPr>
        <w:tc>
          <w:tcPr>
            <w:tcW w:w="502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INFORMATION COLLECTION ACTIVITY</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07"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Activities</w:t>
            </w:r>
          </w:p>
        </w:tc>
        <w:tc>
          <w:tcPr>
            <w:tcW w:w="80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c>
          <w:tcPr>
            <w:tcW w:w="126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r>
      <w:tr w:rsidR="00D577DB" w:rsidRPr="008345B1" w:rsidTr="00D577DB">
        <w:trPr>
          <w:trHeight w:val="240"/>
        </w:trPr>
        <w:tc>
          <w:tcPr>
            <w:tcW w:w="5020" w:type="dxa"/>
            <w:tcBorders>
              <w:top w:val="nil"/>
              <w:left w:val="single" w:sz="4" w:space="0" w:color="auto"/>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Reading the Regulations</w:t>
            </w:r>
          </w:p>
        </w:tc>
        <w:tc>
          <w:tcPr>
            <w:tcW w:w="781"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single" w:sz="4" w:space="0" w:color="auto"/>
              <w:left w:val="nil"/>
              <w:bottom w:val="single" w:sz="4" w:space="0" w:color="auto"/>
              <w:right w:val="nil"/>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Read the regulations</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5.00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$481.88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138</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690.00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$66,499.44 </w:t>
            </w:r>
          </w:p>
        </w:tc>
      </w:tr>
      <w:tr w:rsidR="00D577DB" w:rsidRPr="008345B1" w:rsidTr="00D577DB">
        <w:trPr>
          <w:trHeight w:val="210"/>
        </w:trPr>
        <w:tc>
          <w:tcPr>
            <w:tcW w:w="5020" w:type="dxa"/>
            <w:tcBorders>
              <w:top w:val="nil"/>
              <w:left w:val="single" w:sz="4" w:space="0" w:color="auto"/>
              <w:bottom w:val="nil"/>
              <w:right w:val="nil"/>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SUBTOTAL</w:t>
            </w:r>
          </w:p>
        </w:tc>
        <w:tc>
          <w:tcPr>
            <w:tcW w:w="781" w:type="dxa"/>
            <w:tcBorders>
              <w:top w:val="nil"/>
              <w:left w:val="single" w:sz="4" w:space="0" w:color="auto"/>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nil"/>
              <w:right w:val="single" w:sz="18"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single" w:sz="18" w:space="0" w:color="auto"/>
              <w:bottom w:val="nil"/>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138</w:t>
            </w:r>
          </w:p>
        </w:tc>
        <w:tc>
          <w:tcPr>
            <w:tcW w:w="800" w:type="dxa"/>
            <w:tcBorders>
              <w:top w:val="nil"/>
              <w:left w:val="nil"/>
              <w:bottom w:val="nil"/>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 xml:space="preserve">690.00 </w:t>
            </w:r>
          </w:p>
        </w:tc>
        <w:tc>
          <w:tcPr>
            <w:tcW w:w="1260" w:type="dxa"/>
            <w:tcBorders>
              <w:top w:val="nil"/>
              <w:left w:val="nil"/>
              <w:bottom w:val="nil"/>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 xml:space="preserve">$66,499.44 </w:t>
            </w:r>
          </w:p>
        </w:tc>
      </w:tr>
      <w:tr w:rsidR="00D577DB" w:rsidRPr="008345B1" w:rsidTr="00D577DB">
        <w:trPr>
          <w:trHeight w:val="255"/>
        </w:trPr>
        <w:tc>
          <w:tcPr>
            <w:tcW w:w="5020" w:type="dxa"/>
            <w:tcBorders>
              <w:top w:val="single" w:sz="4" w:space="0" w:color="auto"/>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Groundwater Monitoring and Corrective Action</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4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Assessment of Corrective Measures (40 CFR 257.96)</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demonstration required under 40 CFR 257.96(a)</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($1,269.77)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(80.00)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($5,079.08)</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257.96(a)</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($212.70)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($370.00)</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(14.00)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($2,330.80)</w:t>
            </w:r>
          </w:p>
        </w:tc>
      </w:tr>
      <w:tr w:rsidR="00D577DB" w:rsidRPr="008345B1" w:rsidTr="00D577DB">
        <w:trPr>
          <w:trHeight w:val="67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Discuss the results of the corrective measures assessment prior to the selection of remedy in a public meeting with interested and affected parties, as required under 40 CFR 257.96(e)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16.00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($1,437.14)</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(64.00)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($5,748.56)</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Selection of Remedy (40 CFR 257.97)</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45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semi-annual report describing the progress in selecting and designing the remedy</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12.00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24.00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40.00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($3,172.68)</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(160.00)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($12,690.72)</w:t>
            </w:r>
          </w:p>
        </w:tc>
      </w:tr>
      <w:tr w:rsidR="00D577DB" w:rsidRPr="008345B1" w:rsidTr="00D577DB">
        <w:trPr>
          <w:trHeight w:val="225"/>
        </w:trPr>
        <w:tc>
          <w:tcPr>
            <w:tcW w:w="5801" w:type="dxa"/>
            <w:gridSpan w:val="2"/>
            <w:tcBorders>
              <w:top w:val="single" w:sz="4" w:space="0" w:color="auto"/>
              <w:left w:val="single" w:sz="4" w:space="0" w:color="auto"/>
              <w:bottom w:val="single" w:sz="4" w:space="0" w:color="auto"/>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Implementation of the Corrective Action Program (40 CFR 257.98)</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notification required under 40 CFR 257.98(e)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($61.30)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($245.20)</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257.98(e)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($212.70)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($370.00)</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(14.00)</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($2,330.80)</w:t>
            </w:r>
          </w:p>
        </w:tc>
      </w:tr>
      <w:tr w:rsidR="00D577DB" w:rsidRPr="008345B1" w:rsidTr="00D577DB">
        <w:trPr>
          <w:trHeight w:val="225"/>
        </w:trPr>
        <w:tc>
          <w:tcPr>
            <w:tcW w:w="5801"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Recordkeeping, Notification, and Posting of Information to the Internet</w:t>
            </w:r>
          </w:p>
        </w:tc>
        <w:tc>
          <w:tcPr>
            <w:tcW w:w="78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Recordkeeping Requirements (40 CFR 257.105)</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Groundwater Monitoring and Corrective Action</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45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documentation required under 40 CFR 257.96(e)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(0.08)</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($3.08)</w:t>
            </w:r>
          </w:p>
        </w:tc>
      </w:tr>
      <w:tr w:rsidR="00D577DB" w:rsidRPr="008345B1" w:rsidTr="00D577DB">
        <w:trPr>
          <w:trHeight w:val="67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semi-annual reports describing the progress in selecting and designing the remedy required under 40 CFR 257.97(a)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(0.08)</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($3.08)</w:t>
            </w:r>
          </w:p>
        </w:tc>
      </w:tr>
      <w:tr w:rsidR="00D577DB" w:rsidRPr="008345B1" w:rsidTr="00D577DB">
        <w:trPr>
          <w:trHeight w:val="45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notification required under 40 CFR 257.98(e)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(0.08)</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($3.08)</w:t>
            </w:r>
          </w:p>
        </w:tc>
      </w:tr>
      <w:tr w:rsidR="00D577DB" w:rsidRPr="008345B1" w:rsidTr="00D577DB">
        <w:trPr>
          <w:trHeight w:val="21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SUBTOTAL</w:t>
            </w:r>
          </w:p>
        </w:tc>
        <w:tc>
          <w:tcPr>
            <w:tcW w:w="781"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0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(334.24)</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($28,434.40)</w:t>
            </w:r>
          </w:p>
        </w:tc>
      </w:tr>
      <w:tr w:rsidR="00D577DB" w:rsidRPr="008345B1" w:rsidTr="00D577DB">
        <w:trPr>
          <w:trHeight w:val="210"/>
        </w:trPr>
        <w:tc>
          <w:tcPr>
            <w:tcW w:w="5020" w:type="dxa"/>
            <w:tcBorders>
              <w:top w:val="single" w:sz="4" w:space="0" w:color="auto"/>
            </w:tcBorders>
            <w:shd w:val="clear" w:color="auto" w:fill="auto"/>
            <w:vAlign w:val="center"/>
          </w:tcPr>
          <w:p w:rsidR="00D577DB" w:rsidRPr="0072531B" w:rsidRDefault="00D577DB" w:rsidP="00B363CD">
            <w:pPr>
              <w:widowControl/>
              <w:rPr>
                <w:bCs/>
                <w:sz w:val="16"/>
                <w:szCs w:val="16"/>
              </w:rPr>
            </w:pPr>
            <w:r w:rsidRPr="0072531B">
              <w:rPr>
                <w:bCs/>
                <w:sz w:val="16"/>
                <w:szCs w:val="16"/>
              </w:rPr>
              <w:t>a. Exhibit includes rounding error.</w:t>
            </w:r>
          </w:p>
        </w:tc>
        <w:tc>
          <w:tcPr>
            <w:tcW w:w="781"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781"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701"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701"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763"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963"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768"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1040" w:type="dxa"/>
            <w:tcBorders>
              <w:top w:val="single" w:sz="4" w:space="0" w:color="auto"/>
            </w:tcBorders>
            <w:shd w:val="clear" w:color="auto" w:fill="auto"/>
            <w:vAlign w:val="center"/>
          </w:tcPr>
          <w:p w:rsidR="00D577DB" w:rsidRPr="008345B1" w:rsidRDefault="00D577DB" w:rsidP="00B363CD">
            <w:pPr>
              <w:widowControl/>
              <w:rPr>
                <w:b/>
                <w:bCs/>
                <w:sz w:val="16"/>
                <w:szCs w:val="16"/>
              </w:rPr>
            </w:pPr>
          </w:p>
        </w:tc>
        <w:tc>
          <w:tcPr>
            <w:tcW w:w="1007" w:type="dxa"/>
            <w:tcBorders>
              <w:top w:val="single" w:sz="4" w:space="0" w:color="auto"/>
            </w:tcBorders>
            <w:shd w:val="clear" w:color="auto" w:fill="auto"/>
            <w:vAlign w:val="center"/>
          </w:tcPr>
          <w:p w:rsidR="00D577DB" w:rsidRPr="008345B1" w:rsidRDefault="00D577DB" w:rsidP="00B363CD">
            <w:pPr>
              <w:widowControl/>
              <w:jc w:val="right"/>
              <w:rPr>
                <w:b/>
                <w:bCs/>
                <w:sz w:val="16"/>
                <w:szCs w:val="16"/>
              </w:rPr>
            </w:pPr>
          </w:p>
        </w:tc>
        <w:tc>
          <w:tcPr>
            <w:tcW w:w="800" w:type="dxa"/>
            <w:tcBorders>
              <w:top w:val="single" w:sz="4" w:space="0" w:color="auto"/>
            </w:tcBorders>
            <w:shd w:val="clear" w:color="auto" w:fill="auto"/>
            <w:vAlign w:val="center"/>
          </w:tcPr>
          <w:p w:rsidR="00D577DB" w:rsidRPr="008345B1" w:rsidRDefault="00D577DB" w:rsidP="00B363CD">
            <w:pPr>
              <w:widowControl/>
              <w:jc w:val="right"/>
              <w:rPr>
                <w:b/>
                <w:bCs/>
                <w:sz w:val="16"/>
                <w:szCs w:val="16"/>
              </w:rPr>
            </w:pPr>
          </w:p>
        </w:tc>
        <w:tc>
          <w:tcPr>
            <w:tcW w:w="1260" w:type="dxa"/>
            <w:tcBorders>
              <w:top w:val="single" w:sz="4" w:space="0" w:color="auto"/>
            </w:tcBorders>
            <w:shd w:val="clear" w:color="auto" w:fill="auto"/>
            <w:vAlign w:val="center"/>
          </w:tcPr>
          <w:p w:rsidR="00D577DB" w:rsidRPr="008345B1" w:rsidRDefault="00D577DB" w:rsidP="00B363CD">
            <w:pPr>
              <w:widowControl/>
              <w:jc w:val="right"/>
              <w:rPr>
                <w:b/>
                <w:bCs/>
                <w:sz w:val="16"/>
                <w:szCs w:val="16"/>
              </w:rPr>
            </w:pPr>
          </w:p>
        </w:tc>
      </w:tr>
    </w:tbl>
    <w:p w:rsidR="00D577DB" w:rsidRDefault="00D577DB" w:rsidP="00B363CD">
      <w:pPr>
        <w:widowControl/>
      </w:pPr>
    </w:p>
    <w:tbl>
      <w:tblPr>
        <w:tblW w:w="14585" w:type="dxa"/>
        <w:tblInd w:w="93" w:type="dxa"/>
        <w:tblLook w:val="04A0" w:firstRow="1" w:lastRow="0" w:firstColumn="1" w:lastColumn="0" w:noHBand="0" w:noVBand="1"/>
      </w:tblPr>
      <w:tblGrid>
        <w:gridCol w:w="5020"/>
        <w:gridCol w:w="781"/>
        <w:gridCol w:w="781"/>
        <w:gridCol w:w="701"/>
        <w:gridCol w:w="701"/>
        <w:gridCol w:w="763"/>
        <w:gridCol w:w="940"/>
        <w:gridCol w:w="768"/>
        <w:gridCol w:w="1040"/>
        <w:gridCol w:w="1030"/>
        <w:gridCol w:w="800"/>
        <w:gridCol w:w="1260"/>
      </w:tblGrid>
      <w:tr w:rsidR="00D577DB" w:rsidRPr="008345B1" w:rsidTr="00D577DB">
        <w:trPr>
          <w:trHeight w:val="315"/>
        </w:trPr>
        <w:tc>
          <w:tcPr>
            <w:tcW w:w="5020" w:type="dxa"/>
            <w:tcBorders>
              <w:top w:val="nil"/>
              <w:left w:val="nil"/>
              <w:bottom w:val="nil"/>
              <w:right w:val="nil"/>
            </w:tcBorders>
            <w:shd w:val="clear" w:color="auto" w:fill="auto"/>
            <w:noWrap/>
            <w:vAlign w:val="center"/>
            <w:hideMark/>
          </w:tcPr>
          <w:p w:rsidR="00D577DB" w:rsidRPr="008345B1" w:rsidRDefault="00D577DB" w:rsidP="00B363CD">
            <w:pPr>
              <w:pageBreakBefore/>
              <w:widowControl/>
              <w:rPr>
                <w:b/>
                <w:bCs/>
                <w:sz w:val="16"/>
                <w:szCs w:val="16"/>
              </w:rPr>
            </w:pPr>
            <w:r w:rsidRPr="008345B1">
              <w:rPr>
                <w:b/>
                <w:bCs/>
                <w:sz w:val="16"/>
                <w:szCs w:val="16"/>
              </w:rPr>
              <w:t>EXHIBIT 10b. Additional Provision 1: Alternative Closure</w:t>
            </w: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940"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3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6582" w:type="dxa"/>
            <w:gridSpan w:val="3"/>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DISPOSAL OF COAL COMBUSTION RESIDUALS FROM ELECTRIC UTILITIES</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3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9687" w:type="dxa"/>
            <w:gridSpan w:val="7"/>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 xml:space="preserve">ESTIMATED ANNUAL RESPONDENT HOUR AND COST BURDEN - OWNERS AND OPERATORS OF CCR UNITS </w:t>
            </w:r>
            <w:r w:rsidRPr="008345B1">
              <w:rPr>
                <w:b/>
                <w:bCs/>
                <w:sz w:val="16"/>
                <w:szCs w:val="16"/>
                <w:vertAlign w:val="superscript"/>
              </w:rPr>
              <w:t>a</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3090" w:type="dxa"/>
            <w:gridSpan w:val="3"/>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20"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3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20" w:type="dxa"/>
            <w:tcBorders>
              <w:top w:val="nil"/>
              <w:left w:val="nil"/>
              <w:bottom w:val="nil"/>
              <w:right w:val="nil"/>
            </w:tcBorders>
            <w:shd w:val="clear" w:color="auto" w:fill="auto"/>
            <w:vAlign w:val="center"/>
            <w:hideMark/>
          </w:tcPr>
          <w:p w:rsidR="00D577DB" w:rsidRPr="008345B1" w:rsidRDefault="00D577DB" w:rsidP="00B363CD">
            <w:pPr>
              <w:widowControl/>
              <w:rPr>
                <w:sz w:val="16"/>
                <w:szCs w:val="16"/>
              </w:rPr>
            </w:pPr>
          </w:p>
        </w:tc>
        <w:tc>
          <w:tcPr>
            <w:tcW w:w="6475" w:type="dxa"/>
            <w:gridSpan w:val="8"/>
            <w:tcBorders>
              <w:top w:val="nil"/>
              <w:left w:val="nil"/>
              <w:bottom w:val="single" w:sz="1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 and Costs Per Respondent Per Activity</w:t>
            </w:r>
          </w:p>
        </w:tc>
        <w:tc>
          <w:tcPr>
            <w:tcW w:w="3090" w:type="dxa"/>
            <w:gridSpan w:val="3"/>
            <w:tcBorders>
              <w:top w:val="nil"/>
              <w:left w:val="nil"/>
              <w:bottom w:val="single" w:sz="1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 Hours and Costs</w:t>
            </w:r>
          </w:p>
        </w:tc>
      </w:tr>
      <w:tr w:rsidR="00D577DB" w:rsidRPr="008345B1" w:rsidTr="00D577DB">
        <w:trPr>
          <w:trHeight w:val="225"/>
        </w:trPr>
        <w:tc>
          <w:tcPr>
            <w:tcW w:w="5020" w:type="dxa"/>
            <w:tcBorders>
              <w:top w:val="nil"/>
              <w:left w:val="nil"/>
              <w:bottom w:val="nil"/>
              <w:right w:val="single" w:sz="18" w:space="0" w:color="auto"/>
            </w:tcBorders>
            <w:shd w:val="clear" w:color="auto" w:fill="auto"/>
            <w:vAlign w:val="center"/>
            <w:hideMark/>
          </w:tcPr>
          <w:p w:rsidR="00D577DB" w:rsidRPr="008345B1" w:rsidRDefault="00D577DB" w:rsidP="00B363CD">
            <w:pPr>
              <w:widowControl/>
              <w:rPr>
                <w:sz w:val="16"/>
                <w:szCs w:val="16"/>
              </w:rPr>
            </w:pPr>
          </w:p>
        </w:tc>
        <w:tc>
          <w:tcPr>
            <w:tcW w:w="781"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Leg.</w:t>
            </w:r>
          </w:p>
        </w:tc>
        <w:tc>
          <w:tcPr>
            <w:tcW w:w="78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Mgr.</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Tech.</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Cler.</w:t>
            </w:r>
          </w:p>
        </w:tc>
        <w:tc>
          <w:tcPr>
            <w:tcW w:w="76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940"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Labor</w:t>
            </w:r>
          </w:p>
        </w:tc>
        <w:tc>
          <w:tcPr>
            <w:tcW w:w="768"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Capital/</w:t>
            </w:r>
          </w:p>
        </w:tc>
        <w:tc>
          <w:tcPr>
            <w:tcW w:w="1040"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 </w:t>
            </w:r>
          </w:p>
        </w:tc>
        <w:tc>
          <w:tcPr>
            <w:tcW w:w="1030"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Number of</w:t>
            </w:r>
          </w:p>
        </w:tc>
        <w:tc>
          <w:tcPr>
            <w:tcW w:w="800"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c>
          <w:tcPr>
            <w:tcW w:w="1260"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r>
      <w:tr w:rsidR="00D577DB" w:rsidRPr="008345B1" w:rsidTr="00D577DB">
        <w:trPr>
          <w:trHeight w:val="225"/>
        </w:trPr>
        <w:tc>
          <w:tcPr>
            <w:tcW w:w="5020" w:type="dxa"/>
            <w:tcBorders>
              <w:top w:val="nil"/>
              <w:left w:val="nil"/>
              <w:bottom w:val="nil"/>
              <w:right w:val="nil"/>
            </w:tcBorders>
            <w:shd w:val="clear" w:color="auto" w:fill="auto"/>
            <w:vAlign w:val="center"/>
            <w:hideMark/>
          </w:tcPr>
          <w:p w:rsidR="00D577DB" w:rsidRPr="008345B1" w:rsidRDefault="00D577DB" w:rsidP="00B363CD">
            <w:pPr>
              <w:widowControl/>
              <w:jc w:val="center"/>
              <w:rPr>
                <w:sz w:val="16"/>
                <w:szCs w:val="16"/>
              </w:rPr>
            </w:pP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$150.84/</w:t>
            </w: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$122.59/</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$64.51/</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$38.34/</w:t>
            </w: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94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Startup</w:t>
            </w:r>
          </w:p>
        </w:tc>
        <w:tc>
          <w:tcPr>
            <w:tcW w:w="104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O&amp;M</w:t>
            </w:r>
          </w:p>
        </w:tc>
        <w:tc>
          <w:tcPr>
            <w:tcW w:w="103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80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1260"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r>
      <w:tr w:rsidR="00D577DB" w:rsidRPr="008345B1" w:rsidTr="00D577DB">
        <w:trPr>
          <w:trHeight w:val="225"/>
        </w:trPr>
        <w:tc>
          <w:tcPr>
            <w:tcW w:w="502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INFORMATION COLLECTION ACTIVITY</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94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4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3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Activities</w:t>
            </w:r>
          </w:p>
        </w:tc>
        <w:tc>
          <w:tcPr>
            <w:tcW w:w="80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c>
          <w:tcPr>
            <w:tcW w:w="1260"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r>
      <w:tr w:rsidR="00D577DB" w:rsidRPr="008345B1" w:rsidTr="00D577DB">
        <w:trPr>
          <w:trHeight w:val="240"/>
        </w:trPr>
        <w:tc>
          <w:tcPr>
            <w:tcW w:w="5020" w:type="dxa"/>
            <w:tcBorders>
              <w:top w:val="nil"/>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Closure and Post-Closure Care</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Alternative Closure Requirements (40 CFR 257.103)</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257.103(a)(1)</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$212.70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$370.00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178.50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$29,717.70 </w:t>
            </w:r>
          </w:p>
        </w:tc>
      </w:tr>
      <w:tr w:rsidR="00D577DB" w:rsidRPr="008345B1"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Document that there is no alternative CCR disposal capacity</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$1,269.77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1020.00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$64,758.27 </w:t>
            </w:r>
          </w:p>
        </w:tc>
      </w:tr>
      <w:tr w:rsidR="00D577DB" w:rsidRPr="008345B1"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257.103(b)(1)</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$212.70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$370.00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r>
      <w:tr w:rsidR="00D577DB" w:rsidRPr="008345B1" w:rsidTr="00D577DB">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Document the permanent cessation of a coal-fired boiler(s) by a certain date</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20.00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$1,269.77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r>
      <w:tr w:rsidR="00D577DB" w:rsidRPr="008345B1"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Prepare notification required under 40 CFR 257.103(c)(1)</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$61.30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25.50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$3,126.30 </w:t>
            </w:r>
          </w:p>
        </w:tc>
      </w:tr>
      <w:tr w:rsidR="00D577DB" w:rsidRPr="008345B1" w:rsidTr="00D577DB">
        <w:trPr>
          <w:trHeight w:val="450"/>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Prepare periodic progress reports required by 40 CFR 257.103(a)(1)(iii) or (b)(1)(iii)</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6.50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8.00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$518.95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r>
      <w:tr w:rsidR="00D577DB" w:rsidRPr="008345B1"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rPr>
                <w:sz w:val="16"/>
                <w:szCs w:val="16"/>
              </w:rPr>
            </w:pPr>
            <w:r w:rsidRPr="008345B1">
              <w:rPr>
                <w:sz w:val="16"/>
                <w:szCs w:val="16"/>
              </w:rPr>
              <w:t>Prepare notification required under 40 CFR 257.103(c)(3)</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$61.30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25.50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$3,126.30 </w:t>
            </w:r>
          </w:p>
        </w:tc>
      </w:tr>
      <w:tr w:rsidR="00D577DB" w:rsidRPr="008345B1" w:rsidTr="00D577DB">
        <w:trPr>
          <w:trHeight w:val="225"/>
        </w:trPr>
        <w:tc>
          <w:tcPr>
            <w:tcW w:w="5801"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Recordkeeping, Notification, and Posting of Information to the Internet</w:t>
            </w:r>
          </w:p>
        </w:tc>
        <w:tc>
          <w:tcPr>
            <w:tcW w:w="78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Recordkeeping Requirements (40 CFR 257.105)</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Closure and Post-Closure Care</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45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notification required under 40 CFR 257.103(c)(1)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$0.77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1.02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$39.27 </w:t>
            </w:r>
          </w:p>
        </w:tc>
      </w:tr>
      <w:tr w:rsidR="00D577DB" w:rsidRPr="008345B1" w:rsidTr="00D577DB">
        <w:trPr>
          <w:trHeight w:val="450"/>
        </w:trPr>
        <w:tc>
          <w:tcPr>
            <w:tcW w:w="5020"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annual progress reports required under 40 CFR 257.103(c)(2)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4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$0.77 </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r>
      <w:tr w:rsidR="00D577DB" w:rsidRPr="008345B1" w:rsidTr="00D577DB">
        <w:trPr>
          <w:trHeight w:val="210"/>
        </w:trPr>
        <w:tc>
          <w:tcPr>
            <w:tcW w:w="5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SUBTOTAL</w:t>
            </w:r>
          </w:p>
        </w:tc>
        <w:tc>
          <w:tcPr>
            <w:tcW w:w="781"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0"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51</w:t>
            </w:r>
          </w:p>
        </w:tc>
        <w:tc>
          <w:tcPr>
            <w:tcW w:w="80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 xml:space="preserve">1250.52 </w:t>
            </w:r>
          </w:p>
        </w:tc>
        <w:tc>
          <w:tcPr>
            <w:tcW w:w="1260"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 xml:space="preserve">$100,767.84 </w:t>
            </w:r>
          </w:p>
        </w:tc>
      </w:tr>
    </w:tbl>
    <w:p w:rsidR="00D577DB" w:rsidRPr="0072531B" w:rsidRDefault="00D577DB" w:rsidP="00B363CD">
      <w:pPr>
        <w:widowControl/>
        <w:rPr>
          <w:bCs/>
          <w:sz w:val="16"/>
          <w:szCs w:val="16"/>
        </w:rPr>
      </w:pPr>
      <w:r w:rsidRPr="0072531B">
        <w:rPr>
          <w:bCs/>
          <w:sz w:val="16"/>
          <w:szCs w:val="16"/>
        </w:rPr>
        <w:t>a. Exhibit includes rounding error.</w:t>
      </w:r>
    </w:p>
    <w:p w:rsidR="00D577DB" w:rsidRDefault="00D577DB" w:rsidP="00B363CD">
      <w:pPr>
        <w:widowControl/>
      </w:pPr>
    </w:p>
    <w:tbl>
      <w:tblPr>
        <w:tblW w:w="14642" w:type="dxa"/>
        <w:tblInd w:w="93" w:type="dxa"/>
        <w:tblLook w:val="04A0" w:firstRow="1" w:lastRow="0" w:firstColumn="1" w:lastColumn="0" w:noHBand="0" w:noVBand="1"/>
      </w:tblPr>
      <w:tblGrid>
        <w:gridCol w:w="5005"/>
        <w:gridCol w:w="781"/>
        <w:gridCol w:w="781"/>
        <w:gridCol w:w="701"/>
        <w:gridCol w:w="701"/>
        <w:gridCol w:w="763"/>
        <w:gridCol w:w="963"/>
        <w:gridCol w:w="768"/>
        <w:gridCol w:w="1043"/>
        <w:gridCol w:w="1037"/>
        <w:gridCol w:w="843"/>
        <w:gridCol w:w="1256"/>
      </w:tblGrid>
      <w:tr w:rsidR="00D577DB" w:rsidRPr="008345B1" w:rsidTr="00D577DB">
        <w:trPr>
          <w:trHeight w:val="315"/>
        </w:trPr>
        <w:tc>
          <w:tcPr>
            <w:tcW w:w="6567" w:type="dxa"/>
            <w:gridSpan w:val="3"/>
            <w:tcBorders>
              <w:top w:val="nil"/>
              <w:left w:val="nil"/>
              <w:bottom w:val="nil"/>
              <w:right w:val="nil"/>
            </w:tcBorders>
            <w:shd w:val="clear" w:color="auto" w:fill="auto"/>
            <w:noWrap/>
            <w:vAlign w:val="center"/>
            <w:hideMark/>
          </w:tcPr>
          <w:p w:rsidR="00D577DB" w:rsidRPr="008345B1" w:rsidRDefault="00D577DB" w:rsidP="00B363CD">
            <w:pPr>
              <w:pageBreakBefore/>
              <w:widowControl/>
              <w:rPr>
                <w:b/>
                <w:bCs/>
                <w:sz w:val="16"/>
                <w:szCs w:val="16"/>
              </w:rPr>
            </w:pPr>
            <w:r w:rsidRPr="008345B1">
              <w:rPr>
                <w:b/>
                <w:bCs/>
                <w:sz w:val="16"/>
                <w:szCs w:val="16"/>
              </w:rPr>
              <w:t>EXHIBIT 10c. Alternative Performance Standard 2: Corrective Action Remedy</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1043"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37"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43"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56"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6567" w:type="dxa"/>
            <w:gridSpan w:val="3"/>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DISPOSAL OF COAL COMBUSTION RESIDUALS FROM ELECTRIC UTILITIES</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3"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037"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843"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c>
          <w:tcPr>
            <w:tcW w:w="1256" w:type="dxa"/>
            <w:tcBorders>
              <w:top w:val="nil"/>
              <w:left w:val="nil"/>
              <w:bottom w:val="nil"/>
              <w:right w:val="nil"/>
            </w:tcBorders>
            <w:shd w:val="clear" w:color="auto" w:fill="auto"/>
            <w:noWrap/>
            <w:vAlign w:val="center"/>
            <w:hideMark/>
          </w:tcPr>
          <w:p w:rsidR="00D577DB" w:rsidRPr="008345B1" w:rsidRDefault="00D577DB" w:rsidP="00B363CD">
            <w:pPr>
              <w:widowControl/>
              <w:rPr>
                <w:sz w:val="16"/>
                <w:szCs w:val="16"/>
              </w:rPr>
            </w:pPr>
          </w:p>
        </w:tc>
      </w:tr>
      <w:tr w:rsidR="00D577DB" w:rsidRPr="008345B1" w:rsidTr="00D577DB">
        <w:trPr>
          <w:trHeight w:val="240"/>
        </w:trPr>
        <w:tc>
          <w:tcPr>
            <w:tcW w:w="9695" w:type="dxa"/>
            <w:gridSpan w:val="7"/>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 xml:space="preserve">ESTIMATED ANNUAL RESPONDENT HOUR AND COST BURDEN - OWNERS AND OPERATORS OF CCR UNITS </w:t>
            </w:r>
            <w:r w:rsidRPr="008345B1">
              <w:rPr>
                <w:b/>
                <w:bCs/>
                <w:sz w:val="16"/>
                <w:szCs w:val="16"/>
                <w:vertAlign w:val="superscript"/>
              </w:rPr>
              <w:t>a</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3136" w:type="dxa"/>
            <w:gridSpan w:val="3"/>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05" w:type="dxa"/>
            <w:tcBorders>
              <w:top w:val="nil"/>
              <w:left w:val="nil"/>
              <w:bottom w:val="nil"/>
              <w:right w:val="nil"/>
            </w:tcBorders>
            <w:shd w:val="clear" w:color="auto" w:fill="auto"/>
            <w:noWrap/>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43" w:type="dxa"/>
            <w:tcBorders>
              <w:top w:val="nil"/>
              <w:left w:val="nil"/>
              <w:bottom w:val="nil"/>
              <w:right w:val="nil"/>
            </w:tcBorders>
            <w:shd w:val="clear" w:color="auto" w:fill="auto"/>
            <w:vAlign w:val="center"/>
            <w:hideMark/>
          </w:tcPr>
          <w:p w:rsidR="00D577DB" w:rsidRPr="008345B1" w:rsidRDefault="00D577DB" w:rsidP="00B363CD">
            <w:pPr>
              <w:widowControl/>
              <w:rPr>
                <w:b/>
                <w:bCs/>
                <w:sz w:val="16"/>
                <w:szCs w:val="16"/>
              </w:rPr>
            </w:pPr>
          </w:p>
        </w:tc>
        <w:tc>
          <w:tcPr>
            <w:tcW w:w="1037"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84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c>
          <w:tcPr>
            <w:tcW w:w="1256"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sz w:val="16"/>
                <w:szCs w:val="16"/>
              </w:rPr>
            </w:pPr>
          </w:p>
        </w:tc>
      </w:tr>
      <w:tr w:rsidR="00D577DB" w:rsidRPr="008345B1" w:rsidTr="00D577DB">
        <w:trPr>
          <w:trHeight w:val="240"/>
        </w:trPr>
        <w:tc>
          <w:tcPr>
            <w:tcW w:w="5005" w:type="dxa"/>
            <w:tcBorders>
              <w:top w:val="nil"/>
              <w:left w:val="nil"/>
              <w:bottom w:val="nil"/>
              <w:right w:val="nil"/>
            </w:tcBorders>
            <w:shd w:val="clear" w:color="auto" w:fill="auto"/>
            <w:vAlign w:val="center"/>
            <w:hideMark/>
          </w:tcPr>
          <w:p w:rsidR="00D577DB" w:rsidRPr="008345B1" w:rsidRDefault="00D577DB" w:rsidP="00B363CD">
            <w:pPr>
              <w:widowControl/>
              <w:rPr>
                <w:sz w:val="16"/>
                <w:szCs w:val="16"/>
              </w:rPr>
            </w:pPr>
          </w:p>
        </w:tc>
        <w:tc>
          <w:tcPr>
            <w:tcW w:w="6501" w:type="dxa"/>
            <w:gridSpan w:val="8"/>
            <w:tcBorders>
              <w:top w:val="nil"/>
              <w:left w:val="nil"/>
              <w:bottom w:val="single" w:sz="1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 and Costs Per Respondent Per Activity</w:t>
            </w:r>
          </w:p>
        </w:tc>
        <w:tc>
          <w:tcPr>
            <w:tcW w:w="3136" w:type="dxa"/>
            <w:gridSpan w:val="3"/>
            <w:tcBorders>
              <w:top w:val="nil"/>
              <w:left w:val="nil"/>
              <w:bottom w:val="single" w:sz="18" w:space="0" w:color="auto"/>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 Hours and Costs</w:t>
            </w:r>
          </w:p>
        </w:tc>
      </w:tr>
      <w:tr w:rsidR="00D577DB" w:rsidRPr="008345B1" w:rsidTr="00D577DB">
        <w:trPr>
          <w:trHeight w:val="225"/>
        </w:trPr>
        <w:tc>
          <w:tcPr>
            <w:tcW w:w="5005" w:type="dxa"/>
            <w:tcBorders>
              <w:top w:val="nil"/>
              <w:left w:val="nil"/>
              <w:bottom w:val="nil"/>
              <w:right w:val="single" w:sz="18" w:space="0" w:color="auto"/>
            </w:tcBorders>
            <w:shd w:val="clear" w:color="auto" w:fill="auto"/>
            <w:vAlign w:val="center"/>
            <w:hideMark/>
          </w:tcPr>
          <w:p w:rsidR="00D577DB" w:rsidRPr="008345B1" w:rsidRDefault="00D577DB" w:rsidP="00B363CD">
            <w:pPr>
              <w:widowControl/>
              <w:rPr>
                <w:sz w:val="16"/>
                <w:szCs w:val="16"/>
              </w:rPr>
            </w:pPr>
          </w:p>
        </w:tc>
        <w:tc>
          <w:tcPr>
            <w:tcW w:w="781"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Leg.</w:t>
            </w:r>
          </w:p>
        </w:tc>
        <w:tc>
          <w:tcPr>
            <w:tcW w:w="78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Mgr.</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Tech.</w:t>
            </w:r>
          </w:p>
        </w:tc>
        <w:tc>
          <w:tcPr>
            <w:tcW w:w="701"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Cler.</w:t>
            </w:r>
          </w:p>
        </w:tc>
        <w:tc>
          <w:tcPr>
            <w:tcW w:w="76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96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Labor</w:t>
            </w:r>
          </w:p>
        </w:tc>
        <w:tc>
          <w:tcPr>
            <w:tcW w:w="768"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Capital/</w:t>
            </w:r>
          </w:p>
        </w:tc>
        <w:tc>
          <w:tcPr>
            <w:tcW w:w="1043"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 </w:t>
            </w:r>
          </w:p>
        </w:tc>
        <w:tc>
          <w:tcPr>
            <w:tcW w:w="1037" w:type="dxa"/>
            <w:tcBorders>
              <w:top w:val="single" w:sz="18" w:space="0" w:color="auto"/>
              <w:left w:val="single" w:sz="18" w:space="0" w:color="auto"/>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Number of</w:t>
            </w:r>
          </w:p>
        </w:tc>
        <w:tc>
          <w:tcPr>
            <w:tcW w:w="843" w:type="dxa"/>
            <w:tcBorders>
              <w:top w:val="single" w:sz="18" w:space="0" w:color="auto"/>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c>
          <w:tcPr>
            <w:tcW w:w="1256" w:type="dxa"/>
            <w:tcBorders>
              <w:top w:val="single" w:sz="18" w:space="0" w:color="auto"/>
              <w:left w:val="nil"/>
              <w:bottom w:val="nil"/>
              <w:right w:val="single" w:sz="18" w:space="0" w:color="auto"/>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Total</w:t>
            </w:r>
          </w:p>
        </w:tc>
      </w:tr>
      <w:tr w:rsidR="00D577DB" w:rsidRPr="008345B1" w:rsidTr="00D577DB">
        <w:trPr>
          <w:trHeight w:val="225"/>
        </w:trPr>
        <w:tc>
          <w:tcPr>
            <w:tcW w:w="5005" w:type="dxa"/>
            <w:tcBorders>
              <w:top w:val="nil"/>
              <w:left w:val="nil"/>
              <w:bottom w:val="nil"/>
              <w:right w:val="nil"/>
            </w:tcBorders>
            <w:shd w:val="clear" w:color="auto" w:fill="auto"/>
            <w:vAlign w:val="center"/>
            <w:hideMark/>
          </w:tcPr>
          <w:p w:rsidR="00D577DB" w:rsidRPr="008345B1" w:rsidRDefault="00D577DB" w:rsidP="00B363CD">
            <w:pPr>
              <w:widowControl/>
              <w:jc w:val="center"/>
              <w:rPr>
                <w:sz w:val="16"/>
                <w:szCs w:val="16"/>
              </w:rPr>
            </w:pP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$150.84/</w:t>
            </w:r>
          </w:p>
        </w:tc>
        <w:tc>
          <w:tcPr>
            <w:tcW w:w="78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$122.59/</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$64.51/</w:t>
            </w:r>
          </w:p>
        </w:tc>
        <w:tc>
          <w:tcPr>
            <w:tcW w:w="701"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$38.34/</w:t>
            </w:r>
          </w:p>
        </w:tc>
        <w:tc>
          <w:tcPr>
            <w:tcW w:w="76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96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768"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Startup</w:t>
            </w:r>
          </w:p>
        </w:tc>
        <w:tc>
          <w:tcPr>
            <w:tcW w:w="104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O&amp;M</w:t>
            </w:r>
          </w:p>
        </w:tc>
        <w:tc>
          <w:tcPr>
            <w:tcW w:w="1037"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Respon.</w:t>
            </w:r>
          </w:p>
        </w:tc>
        <w:tc>
          <w:tcPr>
            <w:tcW w:w="843"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Hours/</w:t>
            </w:r>
          </w:p>
        </w:tc>
        <w:tc>
          <w:tcPr>
            <w:tcW w:w="1256" w:type="dxa"/>
            <w:tcBorders>
              <w:top w:val="nil"/>
              <w:left w:val="nil"/>
              <w:bottom w:val="nil"/>
              <w:right w:val="nil"/>
            </w:tcBorders>
            <w:shd w:val="clear" w:color="auto" w:fill="auto"/>
            <w:noWrap/>
            <w:vAlign w:val="center"/>
            <w:hideMark/>
          </w:tcPr>
          <w:p w:rsidR="00D577DB" w:rsidRPr="008345B1" w:rsidRDefault="00D577DB" w:rsidP="00B363CD">
            <w:pPr>
              <w:widowControl/>
              <w:jc w:val="center"/>
              <w:rPr>
                <w:b/>
                <w:bCs/>
                <w:sz w:val="16"/>
                <w:szCs w:val="16"/>
              </w:rPr>
            </w:pPr>
            <w:r w:rsidRPr="008345B1">
              <w:rPr>
                <w:b/>
                <w:bCs/>
                <w:sz w:val="16"/>
                <w:szCs w:val="16"/>
              </w:rPr>
              <w:t>Cost/</w:t>
            </w:r>
          </w:p>
        </w:tc>
      </w:tr>
      <w:tr w:rsidR="00D577DB" w:rsidRPr="008345B1" w:rsidTr="00D577DB">
        <w:trPr>
          <w:trHeight w:val="225"/>
        </w:trPr>
        <w:tc>
          <w:tcPr>
            <w:tcW w:w="5005"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INFORMATION COLLECTION ACTIVITY</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8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01"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Hour</w:t>
            </w:r>
          </w:p>
        </w:tc>
        <w:tc>
          <w:tcPr>
            <w:tcW w:w="76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96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Activity</w:t>
            </w:r>
          </w:p>
        </w:tc>
        <w:tc>
          <w:tcPr>
            <w:tcW w:w="768"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4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Cost</w:t>
            </w:r>
          </w:p>
        </w:tc>
        <w:tc>
          <w:tcPr>
            <w:tcW w:w="1037"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Activities</w:t>
            </w:r>
          </w:p>
        </w:tc>
        <w:tc>
          <w:tcPr>
            <w:tcW w:w="843"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c>
          <w:tcPr>
            <w:tcW w:w="1256" w:type="dxa"/>
            <w:tcBorders>
              <w:top w:val="nil"/>
              <w:left w:val="nil"/>
              <w:bottom w:val="nil"/>
              <w:right w:val="nil"/>
            </w:tcBorders>
            <w:shd w:val="clear" w:color="auto" w:fill="auto"/>
            <w:vAlign w:val="center"/>
            <w:hideMark/>
          </w:tcPr>
          <w:p w:rsidR="00D577DB" w:rsidRPr="008345B1" w:rsidRDefault="00D577DB" w:rsidP="00B363CD">
            <w:pPr>
              <w:widowControl/>
              <w:jc w:val="center"/>
              <w:rPr>
                <w:b/>
                <w:bCs/>
                <w:sz w:val="16"/>
                <w:szCs w:val="16"/>
              </w:rPr>
            </w:pPr>
            <w:r w:rsidRPr="008345B1">
              <w:rPr>
                <w:b/>
                <w:bCs/>
                <w:sz w:val="16"/>
                <w:szCs w:val="16"/>
              </w:rPr>
              <w:t>Year</w:t>
            </w:r>
          </w:p>
        </w:tc>
      </w:tr>
      <w:tr w:rsidR="00D577DB" w:rsidRPr="008345B1" w:rsidTr="00D577DB">
        <w:trPr>
          <w:trHeight w:val="240"/>
        </w:trPr>
        <w:tc>
          <w:tcPr>
            <w:tcW w:w="5005" w:type="dxa"/>
            <w:tcBorders>
              <w:top w:val="nil"/>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Groundwater Monitoring and Corrective Action</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single" w:sz="4" w:space="0" w:color="auto"/>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single" w:sz="4" w:space="0" w:color="auto"/>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Selection of Remedy (40 CFR 257.97)</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450"/>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semi-annual report describing the progress in selecting and designing the remedy</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12.00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24.00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40.00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($3,172.68)</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(2120.00)</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($168,152.04)</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report on selected remedy</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7.50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5.75</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63.25</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($4,365.38)</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($97,545.00)</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(3352.25)</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($5,401,250.14)</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257.97(a)</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($212.70)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($370.00)</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(185.50)</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($30,883.10)</w:t>
            </w:r>
          </w:p>
        </w:tc>
      </w:tr>
      <w:tr w:rsidR="00D577DB" w:rsidRPr="008345B1" w:rsidTr="00D577DB">
        <w:trPr>
          <w:trHeight w:val="225"/>
        </w:trPr>
        <w:tc>
          <w:tcPr>
            <w:tcW w:w="5786" w:type="dxa"/>
            <w:gridSpan w:val="2"/>
            <w:tcBorders>
              <w:top w:val="single" w:sz="4" w:space="0" w:color="auto"/>
              <w:left w:val="single" w:sz="4" w:space="0" w:color="auto"/>
              <w:bottom w:val="single" w:sz="4" w:space="0" w:color="auto"/>
              <w:right w:val="nil"/>
            </w:tcBorders>
            <w:shd w:val="clear" w:color="auto" w:fill="auto"/>
            <w:noWrap/>
            <w:vAlign w:val="center"/>
            <w:hideMark/>
          </w:tcPr>
          <w:p w:rsidR="00D577DB" w:rsidRPr="008345B1" w:rsidRDefault="00D577DB" w:rsidP="00B363CD">
            <w:pPr>
              <w:widowControl/>
              <w:rPr>
                <w:b/>
                <w:bCs/>
                <w:sz w:val="16"/>
                <w:szCs w:val="16"/>
              </w:rPr>
            </w:pPr>
            <w:r w:rsidRPr="008345B1">
              <w:rPr>
                <w:b/>
                <w:bCs/>
                <w:sz w:val="16"/>
                <w:szCs w:val="16"/>
              </w:rPr>
              <w:t>Implementation of the Corrective Action Program (40 CFR 257.98)</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Prepare notification required under 40 CFR 257.98(e)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($61.30)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(26.50)</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($3,248.90)</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Obtain certification required under 40 CFR 257.98(e)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3.50</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($212.70)</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($370.00)</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(185.50)</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($30,883.10)</w:t>
            </w:r>
          </w:p>
        </w:tc>
      </w:tr>
      <w:tr w:rsidR="00D577DB" w:rsidRPr="008345B1" w:rsidTr="00D577DB">
        <w:trPr>
          <w:trHeight w:val="225"/>
        </w:trPr>
        <w:tc>
          <w:tcPr>
            <w:tcW w:w="5786"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Recordkeeping, Notification, and Posting of Information to the Internet</w:t>
            </w:r>
          </w:p>
        </w:tc>
        <w:tc>
          <w:tcPr>
            <w:tcW w:w="78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nil"/>
              <w:left w:val="nil"/>
              <w:bottom w:val="single" w:sz="4" w:space="0" w:color="auto"/>
              <w:right w:val="nil"/>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nil"/>
              <w:left w:val="nil"/>
              <w:bottom w:val="single" w:sz="4" w:space="0" w:color="auto"/>
              <w:right w:val="single" w:sz="4" w:space="0" w:color="auto"/>
            </w:tcBorders>
            <w:shd w:val="clear" w:color="000000" w:fill="D9D9D9"/>
            <w:noWrap/>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Recordkeeping Requirements (40 CFR 257.105)</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22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Groundwater Monitoring and Corrective Action</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84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r>
      <w:tr w:rsidR="00D577DB" w:rsidRPr="008345B1" w:rsidTr="00D577DB">
        <w:trPr>
          <w:trHeight w:val="675"/>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semi-annual reports describing the progress in selecting and designing the remedy required under 40 CFR 257.97(a)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(1.06)</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($40.81)</w:t>
            </w:r>
          </w:p>
        </w:tc>
      </w:tr>
      <w:tr w:rsidR="00D577DB" w:rsidRPr="008345B1" w:rsidTr="00D577DB">
        <w:trPr>
          <w:trHeight w:val="450"/>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selection of remedy report required under 40 CFR 257.97(a)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(1.06)</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($40.81)</w:t>
            </w:r>
          </w:p>
        </w:tc>
      </w:tr>
      <w:tr w:rsidR="00D577DB" w:rsidRPr="008345B1" w:rsidTr="00D577DB">
        <w:trPr>
          <w:trHeight w:val="450"/>
        </w:trPr>
        <w:tc>
          <w:tcPr>
            <w:tcW w:w="5005"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sz w:val="16"/>
                <w:szCs w:val="16"/>
              </w:rPr>
            </w:pPr>
            <w:r w:rsidRPr="008345B1">
              <w:rPr>
                <w:sz w:val="16"/>
                <w:szCs w:val="16"/>
              </w:rPr>
              <w:t>Place the notification required under 40 CFR 257.98(e) in the facility’s operating record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7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0.02</w:t>
            </w:r>
          </w:p>
        </w:tc>
        <w:tc>
          <w:tcPr>
            <w:tcW w:w="96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($0.77)</w:t>
            </w:r>
          </w:p>
        </w:tc>
        <w:tc>
          <w:tcPr>
            <w:tcW w:w="768"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 xml:space="preserve">$0.00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(1.06)</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sz w:val="16"/>
                <w:szCs w:val="16"/>
              </w:rPr>
            </w:pPr>
            <w:r w:rsidRPr="008345B1">
              <w:rPr>
                <w:sz w:val="16"/>
                <w:szCs w:val="16"/>
              </w:rPr>
              <w:t>($40.81)</w:t>
            </w:r>
          </w:p>
        </w:tc>
      </w:tr>
      <w:tr w:rsidR="00D577DB" w:rsidRPr="008345B1" w:rsidTr="00D577DB">
        <w:trPr>
          <w:trHeight w:val="210"/>
        </w:trPr>
        <w:tc>
          <w:tcPr>
            <w:tcW w:w="5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SUBTOTAL</w:t>
            </w:r>
          </w:p>
        </w:tc>
        <w:tc>
          <w:tcPr>
            <w:tcW w:w="781" w:type="dxa"/>
            <w:tcBorders>
              <w:top w:val="nil"/>
              <w:left w:val="single" w:sz="4" w:space="0" w:color="auto"/>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963"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43" w:type="dxa"/>
            <w:tcBorders>
              <w:top w:val="nil"/>
              <w:left w:val="nil"/>
              <w:bottom w:val="single" w:sz="4" w:space="0" w:color="auto"/>
              <w:right w:val="single" w:sz="18" w:space="0" w:color="auto"/>
            </w:tcBorders>
            <w:shd w:val="clear" w:color="auto" w:fill="auto"/>
            <w:vAlign w:val="center"/>
            <w:hideMark/>
          </w:tcPr>
          <w:p w:rsidR="00D577DB" w:rsidRPr="008345B1" w:rsidRDefault="00D577DB" w:rsidP="00B363CD">
            <w:pPr>
              <w:widowControl/>
              <w:rPr>
                <w:b/>
                <w:bCs/>
                <w:sz w:val="16"/>
                <w:szCs w:val="16"/>
              </w:rPr>
            </w:pPr>
            <w:r w:rsidRPr="008345B1">
              <w:rPr>
                <w:b/>
                <w:bCs/>
                <w:sz w:val="16"/>
                <w:szCs w:val="16"/>
              </w:rPr>
              <w:t> </w:t>
            </w:r>
          </w:p>
        </w:tc>
        <w:tc>
          <w:tcPr>
            <w:tcW w:w="1037" w:type="dxa"/>
            <w:tcBorders>
              <w:top w:val="nil"/>
              <w:left w:val="single" w:sz="18" w:space="0" w:color="auto"/>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53</w:t>
            </w:r>
          </w:p>
        </w:tc>
        <w:tc>
          <w:tcPr>
            <w:tcW w:w="843"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(5872.93)</w:t>
            </w:r>
          </w:p>
        </w:tc>
        <w:tc>
          <w:tcPr>
            <w:tcW w:w="1256" w:type="dxa"/>
            <w:tcBorders>
              <w:top w:val="nil"/>
              <w:left w:val="nil"/>
              <w:bottom w:val="single" w:sz="4" w:space="0" w:color="auto"/>
              <w:right w:val="single" w:sz="4" w:space="0" w:color="auto"/>
            </w:tcBorders>
            <w:shd w:val="clear" w:color="auto" w:fill="auto"/>
            <w:vAlign w:val="center"/>
            <w:hideMark/>
          </w:tcPr>
          <w:p w:rsidR="00D577DB" w:rsidRPr="008345B1" w:rsidRDefault="00D577DB" w:rsidP="00B363CD">
            <w:pPr>
              <w:widowControl/>
              <w:jc w:val="right"/>
              <w:rPr>
                <w:b/>
                <w:bCs/>
                <w:sz w:val="16"/>
                <w:szCs w:val="16"/>
              </w:rPr>
            </w:pPr>
            <w:r w:rsidRPr="008345B1">
              <w:rPr>
                <w:b/>
                <w:bCs/>
                <w:sz w:val="16"/>
                <w:szCs w:val="16"/>
              </w:rPr>
              <w:t>($5,634,539.71)</w:t>
            </w:r>
          </w:p>
        </w:tc>
      </w:tr>
    </w:tbl>
    <w:p w:rsidR="00D577DB" w:rsidRPr="0072531B" w:rsidRDefault="00D577DB" w:rsidP="00B363CD">
      <w:pPr>
        <w:widowControl/>
        <w:rPr>
          <w:bCs/>
          <w:sz w:val="16"/>
          <w:szCs w:val="16"/>
        </w:rPr>
      </w:pPr>
      <w:r w:rsidRPr="0072531B">
        <w:rPr>
          <w:bCs/>
          <w:sz w:val="16"/>
          <w:szCs w:val="16"/>
        </w:rPr>
        <w:t>a. Exhibit includes rounding error.</w:t>
      </w:r>
    </w:p>
    <w:p w:rsidR="00D577DB" w:rsidRDefault="00D577DB" w:rsidP="00B363CD">
      <w:pPr>
        <w:widowControl/>
      </w:pPr>
    </w:p>
    <w:tbl>
      <w:tblPr>
        <w:tblW w:w="14585" w:type="dxa"/>
        <w:tblInd w:w="93" w:type="dxa"/>
        <w:tblLook w:val="04A0" w:firstRow="1" w:lastRow="0" w:firstColumn="1" w:lastColumn="0" w:noHBand="0" w:noVBand="1"/>
      </w:tblPr>
      <w:tblGrid>
        <w:gridCol w:w="5020"/>
        <w:gridCol w:w="781"/>
        <w:gridCol w:w="781"/>
        <w:gridCol w:w="701"/>
        <w:gridCol w:w="701"/>
        <w:gridCol w:w="763"/>
        <w:gridCol w:w="940"/>
        <w:gridCol w:w="768"/>
        <w:gridCol w:w="1040"/>
        <w:gridCol w:w="1030"/>
        <w:gridCol w:w="800"/>
        <w:gridCol w:w="1260"/>
      </w:tblGrid>
      <w:tr w:rsidR="00D577DB" w:rsidRPr="001C2EB5" w:rsidTr="00D577DB">
        <w:trPr>
          <w:trHeight w:val="315"/>
          <w:tblHeader/>
        </w:trPr>
        <w:tc>
          <w:tcPr>
            <w:tcW w:w="5801" w:type="dxa"/>
            <w:gridSpan w:val="2"/>
            <w:tcBorders>
              <w:top w:val="nil"/>
              <w:left w:val="nil"/>
              <w:bottom w:val="nil"/>
              <w:right w:val="nil"/>
            </w:tcBorders>
            <w:shd w:val="clear" w:color="auto" w:fill="auto"/>
            <w:noWrap/>
            <w:vAlign w:val="center"/>
            <w:hideMark/>
          </w:tcPr>
          <w:p w:rsidR="00D577DB" w:rsidRPr="001C2EB5" w:rsidRDefault="00D577DB" w:rsidP="00B363CD">
            <w:pPr>
              <w:pageBreakBefore/>
              <w:widowControl/>
              <w:rPr>
                <w:b/>
                <w:bCs/>
                <w:sz w:val="16"/>
                <w:szCs w:val="16"/>
              </w:rPr>
            </w:pPr>
            <w:r w:rsidRPr="001C2EB5">
              <w:rPr>
                <w:b/>
                <w:bCs/>
                <w:sz w:val="16"/>
                <w:szCs w:val="16"/>
              </w:rPr>
              <w:t>EXHIBIT 10d. Alternative Performance Standard 6: PE Certifications</w:t>
            </w:r>
          </w:p>
        </w:tc>
        <w:tc>
          <w:tcPr>
            <w:tcW w:w="781"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701"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763"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940"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768"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103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r>
      <w:tr w:rsidR="00D577DB" w:rsidRPr="001C2EB5" w:rsidTr="00D577DB">
        <w:trPr>
          <w:trHeight w:val="240"/>
          <w:tblHeader/>
        </w:trPr>
        <w:tc>
          <w:tcPr>
            <w:tcW w:w="6582" w:type="dxa"/>
            <w:gridSpan w:val="3"/>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DISPOSAL OF COAL COMBUSTION RESIDUALS FROM ELECTRIC UTILITIES</w:t>
            </w: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940"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104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103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80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c>
          <w:tcPr>
            <w:tcW w:w="1260" w:type="dxa"/>
            <w:tcBorders>
              <w:top w:val="nil"/>
              <w:left w:val="nil"/>
              <w:bottom w:val="nil"/>
              <w:right w:val="nil"/>
            </w:tcBorders>
            <w:shd w:val="clear" w:color="auto" w:fill="auto"/>
            <w:noWrap/>
            <w:vAlign w:val="center"/>
            <w:hideMark/>
          </w:tcPr>
          <w:p w:rsidR="00D577DB" w:rsidRPr="001C2EB5" w:rsidRDefault="00D577DB" w:rsidP="00B363CD">
            <w:pPr>
              <w:widowControl/>
              <w:rPr>
                <w:sz w:val="16"/>
                <w:szCs w:val="16"/>
              </w:rPr>
            </w:pPr>
          </w:p>
        </w:tc>
      </w:tr>
      <w:tr w:rsidR="00D577DB" w:rsidRPr="001C2EB5" w:rsidTr="00D577DB">
        <w:trPr>
          <w:trHeight w:val="240"/>
          <w:tblHeader/>
        </w:trPr>
        <w:tc>
          <w:tcPr>
            <w:tcW w:w="9687" w:type="dxa"/>
            <w:gridSpan w:val="7"/>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 xml:space="preserve">ESTIMATED ANNUAL RESPONDENT HOUR AND COST BURDEN - OWNERS AND OPERATORS OF CCR UNITS </w:t>
            </w:r>
            <w:r w:rsidRPr="001C2EB5">
              <w:rPr>
                <w:b/>
                <w:bCs/>
                <w:sz w:val="16"/>
                <w:szCs w:val="16"/>
                <w:vertAlign w:val="superscript"/>
              </w:rPr>
              <w:t>a</w:t>
            </w:r>
            <w:r>
              <w:rPr>
                <w:b/>
                <w:bCs/>
                <w:sz w:val="16"/>
                <w:szCs w:val="16"/>
                <w:vertAlign w:val="superscript"/>
              </w:rPr>
              <w:t>,b,c,d</w:t>
            </w:r>
          </w:p>
        </w:tc>
        <w:tc>
          <w:tcPr>
            <w:tcW w:w="768"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3090" w:type="dxa"/>
            <w:gridSpan w:val="3"/>
            <w:tcBorders>
              <w:top w:val="nil"/>
              <w:left w:val="nil"/>
              <w:bottom w:val="nil"/>
              <w:right w:val="nil"/>
            </w:tcBorders>
            <w:shd w:val="clear" w:color="auto" w:fill="auto"/>
            <w:noWrap/>
            <w:vAlign w:val="center"/>
            <w:hideMark/>
          </w:tcPr>
          <w:p w:rsidR="00D577DB" w:rsidRPr="001C2EB5" w:rsidRDefault="00D577DB" w:rsidP="00B363CD">
            <w:pPr>
              <w:widowControl/>
              <w:jc w:val="center"/>
              <w:rPr>
                <w:sz w:val="16"/>
                <w:szCs w:val="16"/>
              </w:rPr>
            </w:pPr>
          </w:p>
        </w:tc>
      </w:tr>
      <w:tr w:rsidR="00D577DB" w:rsidRPr="001C2EB5" w:rsidTr="00D577DB">
        <w:trPr>
          <w:trHeight w:val="240"/>
          <w:tblHeader/>
        </w:trPr>
        <w:tc>
          <w:tcPr>
            <w:tcW w:w="5020" w:type="dxa"/>
            <w:tcBorders>
              <w:top w:val="nil"/>
              <w:left w:val="nil"/>
              <w:bottom w:val="nil"/>
              <w:right w:val="nil"/>
            </w:tcBorders>
            <w:shd w:val="clear" w:color="auto" w:fill="auto"/>
            <w:noWrap/>
            <w:vAlign w:val="center"/>
            <w:hideMark/>
          </w:tcPr>
          <w:p w:rsidR="00D577DB" w:rsidRPr="001C2EB5"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8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63"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940"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768"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1040" w:type="dxa"/>
            <w:tcBorders>
              <w:top w:val="nil"/>
              <w:left w:val="nil"/>
              <w:bottom w:val="nil"/>
              <w:right w:val="nil"/>
            </w:tcBorders>
            <w:shd w:val="clear" w:color="auto" w:fill="auto"/>
            <w:vAlign w:val="center"/>
            <w:hideMark/>
          </w:tcPr>
          <w:p w:rsidR="00D577DB" w:rsidRPr="001C2EB5" w:rsidRDefault="00D577DB" w:rsidP="00B363CD">
            <w:pPr>
              <w:widowControl/>
              <w:rPr>
                <w:b/>
                <w:bCs/>
                <w:sz w:val="16"/>
                <w:szCs w:val="16"/>
              </w:rPr>
            </w:pPr>
          </w:p>
        </w:tc>
        <w:tc>
          <w:tcPr>
            <w:tcW w:w="103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sz w:val="16"/>
                <w:szCs w:val="16"/>
              </w:rPr>
            </w:pPr>
          </w:p>
        </w:tc>
        <w:tc>
          <w:tcPr>
            <w:tcW w:w="80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sz w:val="16"/>
                <w:szCs w:val="16"/>
              </w:rPr>
            </w:pPr>
          </w:p>
        </w:tc>
        <w:tc>
          <w:tcPr>
            <w:tcW w:w="126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sz w:val="16"/>
                <w:szCs w:val="16"/>
              </w:rPr>
            </w:pPr>
          </w:p>
        </w:tc>
      </w:tr>
      <w:tr w:rsidR="00D577DB" w:rsidRPr="001C2EB5" w:rsidTr="00D577DB">
        <w:trPr>
          <w:trHeight w:val="240"/>
          <w:tblHeader/>
        </w:trPr>
        <w:tc>
          <w:tcPr>
            <w:tcW w:w="5020" w:type="dxa"/>
            <w:tcBorders>
              <w:top w:val="nil"/>
              <w:left w:val="nil"/>
              <w:bottom w:val="nil"/>
              <w:right w:val="nil"/>
            </w:tcBorders>
            <w:shd w:val="clear" w:color="auto" w:fill="auto"/>
            <w:vAlign w:val="center"/>
            <w:hideMark/>
          </w:tcPr>
          <w:p w:rsidR="00D577DB" w:rsidRPr="001C2EB5" w:rsidRDefault="00D577DB" w:rsidP="00B363CD">
            <w:pPr>
              <w:widowControl/>
              <w:rPr>
                <w:sz w:val="16"/>
                <w:szCs w:val="16"/>
              </w:rPr>
            </w:pPr>
          </w:p>
        </w:tc>
        <w:tc>
          <w:tcPr>
            <w:tcW w:w="6475" w:type="dxa"/>
            <w:gridSpan w:val="8"/>
            <w:tcBorders>
              <w:top w:val="nil"/>
              <w:left w:val="nil"/>
              <w:bottom w:val="single" w:sz="18" w:space="0" w:color="auto"/>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Hours and Costs Per Respondent Per Activity</w:t>
            </w:r>
          </w:p>
        </w:tc>
        <w:tc>
          <w:tcPr>
            <w:tcW w:w="3090" w:type="dxa"/>
            <w:gridSpan w:val="3"/>
            <w:tcBorders>
              <w:top w:val="nil"/>
              <w:left w:val="nil"/>
              <w:bottom w:val="single" w:sz="18" w:space="0" w:color="auto"/>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Total Hours and Costs</w:t>
            </w:r>
          </w:p>
        </w:tc>
      </w:tr>
      <w:tr w:rsidR="00D577DB" w:rsidRPr="001C2EB5" w:rsidTr="00D577DB">
        <w:trPr>
          <w:trHeight w:val="225"/>
          <w:tblHeader/>
        </w:trPr>
        <w:tc>
          <w:tcPr>
            <w:tcW w:w="5020" w:type="dxa"/>
            <w:tcBorders>
              <w:top w:val="nil"/>
              <w:left w:val="nil"/>
              <w:bottom w:val="nil"/>
              <w:right w:val="single" w:sz="18" w:space="0" w:color="auto"/>
            </w:tcBorders>
            <w:shd w:val="clear" w:color="auto" w:fill="auto"/>
            <w:vAlign w:val="center"/>
            <w:hideMark/>
          </w:tcPr>
          <w:p w:rsidR="00D577DB" w:rsidRPr="001C2EB5" w:rsidRDefault="00D577DB" w:rsidP="00B363CD">
            <w:pPr>
              <w:widowControl/>
              <w:rPr>
                <w:sz w:val="16"/>
                <w:szCs w:val="16"/>
              </w:rPr>
            </w:pPr>
          </w:p>
        </w:tc>
        <w:tc>
          <w:tcPr>
            <w:tcW w:w="781" w:type="dxa"/>
            <w:tcBorders>
              <w:top w:val="single" w:sz="18" w:space="0" w:color="auto"/>
              <w:left w:val="single" w:sz="18" w:space="0" w:color="auto"/>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Leg.</w:t>
            </w:r>
          </w:p>
        </w:tc>
        <w:tc>
          <w:tcPr>
            <w:tcW w:w="781"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Mgr.</w:t>
            </w:r>
          </w:p>
        </w:tc>
        <w:tc>
          <w:tcPr>
            <w:tcW w:w="701"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Tech.</w:t>
            </w:r>
          </w:p>
        </w:tc>
        <w:tc>
          <w:tcPr>
            <w:tcW w:w="701"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Cler.</w:t>
            </w:r>
          </w:p>
        </w:tc>
        <w:tc>
          <w:tcPr>
            <w:tcW w:w="763"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Respon.</w:t>
            </w:r>
          </w:p>
        </w:tc>
        <w:tc>
          <w:tcPr>
            <w:tcW w:w="940"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Labor</w:t>
            </w:r>
          </w:p>
        </w:tc>
        <w:tc>
          <w:tcPr>
            <w:tcW w:w="768"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Capital/</w:t>
            </w:r>
          </w:p>
        </w:tc>
        <w:tc>
          <w:tcPr>
            <w:tcW w:w="1040" w:type="dxa"/>
            <w:tcBorders>
              <w:top w:val="single" w:sz="18" w:space="0" w:color="auto"/>
              <w:left w:val="nil"/>
              <w:bottom w:val="nil"/>
              <w:right w:val="single" w:sz="18" w:space="0" w:color="auto"/>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 </w:t>
            </w:r>
          </w:p>
        </w:tc>
        <w:tc>
          <w:tcPr>
            <w:tcW w:w="1030" w:type="dxa"/>
            <w:tcBorders>
              <w:top w:val="single" w:sz="18" w:space="0" w:color="auto"/>
              <w:left w:val="single" w:sz="18" w:space="0" w:color="auto"/>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Number of</w:t>
            </w:r>
          </w:p>
        </w:tc>
        <w:tc>
          <w:tcPr>
            <w:tcW w:w="800" w:type="dxa"/>
            <w:tcBorders>
              <w:top w:val="single" w:sz="18" w:space="0" w:color="auto"/>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Total</w:t>
            </w:r>
          </w:p>
        </w:tc>
        <w:tc>
          <w:tcPr>
            <w:tcW w:w="1260" w:type="dxa"/>
            <w:tcBorders>
              <w:top w:val="single" w:sz="18" w:space="0" w:color="auto"/>
              <w:left w:val="nil"/>
              <w:bottom w:val="nil"/>
              <w:right w:val="single" w:sz="18" w:space="0" w:color="auto"/>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Total</w:t>
            </w:r>
          </w:p>
        </w:tc>
      </w:tr>
      <w:tr w:rsidR="00D577DB" w:rsidRPr="001C2EB5" w:rsidTr="00D577DB">
        <w:trPr>
          <w:trHeight w:val="225"/>
          <w:tblHeader/>
        </w:trPr>
        <w:tc>
          <w:tcPr>
            <w:tcW w:w="5020" w:type="dxa"/>
            <w:tcBorders>
              <w:top w:val="nil"/>
              <w:left w:val="nil"/>
              <w:bottom w:val="nil"/>
              <w:right w:val="nil"/>
            </w:tcBorders>
            <w:shd w:val="clear" w:color="auto" w:fill="auto"/>
            <w:vAlign w:val="center"/>
            <w:hideMark/>
          </w:tcPr>
          <w:p w:rsidR="00D577DB" w:rsidRPr="001C2EB5" w:rsidRDefault="00D577DB" w:rsidP="00B363CD">
            <w:pPr>
              <w:widowControl/>
              <w:jc w:val="center"/>
              <w:rPr>
                <w:sz w:val="16"/>
                <w:szCs w:val="16"/>
              </w:rPr>
            </w:pPr>
          </w:p>
        </w:tc>
        <w:tc>
          <w:tcPr>
            <w:tcW w:w="781"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$150.84/</w:t>
            </w:r>
          </w:p>
        </w:tc>
        <w:tc>
          <w:tcPr>
            <w:tcW w:w="781"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$122.59/</w:t>
            </w:r>
          </w:p>
        </w:tc>
        <w:tc>
          <w:tcPr>
            <w:tcW w:w="701"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$64.51/</w:t>
            </w:r>
          </w:p>
        </w:tc>
        <w:tc>
          <w:tcPr>
            <w:tcW w:w="701"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$38.34/</w:t>
            </w:r>
          </w:p>
        </w:tc>
        <w:tc>
          <w:tcPr>
            <w:tcW w:w="763"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Hours/</w:t>
            </w:r>
          </w:p>
        </w:tc>
        <w:tc>
          <w:tcPr>
            <w:tcW w:w="94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Cost/</w:t>
            </w:r>
          </w:p>
        </w:tc>
        <w:tc>
          <w:tcPr>
            <w:tcW w:w="768"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Startup</w:t>
            </w:r>
          </w:p>
        </w:tc>
        <w:tc>
          <w:tcPr>
            <w:tcW w:w="104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O&amp;M</w:t>
            </w:r>
          </w:p>
        </w:tc>
        <w:tc>
          <w:tcPr>
            <w:tcW w:w="103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Respon.</w:t>
            </w:r>
          </w:p>
        </w:tc>
        <w:tc>
          <w:tcPr>
            <w:tcW w:w="80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Hours/</w:t>
            </w:r>
          </w:p>
        </w:tc>
        <w:tc>
          <w:tcPr>
            <w:tcW w:w="1260" w:type="dxa"/>
            <w:tcBorders>
              <w:top w:val="nil"/>
              <w:left w:val="nil"/>
              <w:bottom w:val="nil"/>
              <w:right w:val="nil"/>
            </w:tcBorders>
            <w:shd w:val="clear" w:color="auto" w:fill="auto"/>
            <w:noWrap/>
            <w:vAlign w:val="center"/>
            <w:hideMark/>
          </w:tcPr>
          <w:p w:rsidR="00D577DB" w:rsidRPr="001C2EB5" w:rsidRDefault="00D577DB" w:rsidP="00B363CD">
            <w:pPr>
              <w:widowControl/>
              <w:jc w:val="center"/>
              <w:rPr>
                <w:b/>
                <w:bCs/>
                <w:sz w:val="16"/>
                <w:szCs w:val="16"/>
              </w:rPr>
            </w:pPr>
            <w:r w:rsidRPr="001C2EB5">
              <w:rPr>
                <w:b/>
                <w:bCs/>
                <w:sz w:val="16"/>
                <w:szCs w:val="16"/>
              </w:rPr>
              <w:t>Cost/</w:t>
            </w:r>
          </w:p>
        </w:tc>
      </w:tr>
      <w:tr w:rsidR="00D577DB" w:rsidRPr="001C2EB5" w:rsidTr="00D577DB">
        <w:trPr>
          <w:trHeight w:val="225"/>
          <w:tblHeader/>
        </w:trPr>
        <w:tc>
          <w:tcPr>
            <w:tcW w:w="502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INFORMATION COLLECTION ACTIVITY</w:t>
            </w:r>
          </w:p>
        </w:tc>
        <w:tc>
          <w:tcPr>
            <w:tcW w:w="781"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Hour</w:t>
            </w:r>
          </w:p>
        </w:tc>
        <w:tc>
          <w:tcPr>
            <w:tcW w:w="781"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Hour</w:t>
            </w: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Hour</w:t>
            </w:r>
          </w:p>
        </w:tc>
        <w:tc>
          <w:tcPr>
            <w:tcW w:w="701"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Hour</w:t>
            </w:r>
          </w:p>
        </w:tc>
        <w:tc>
          <w:tcPr>
            <w:tcW w:w="763"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Activity</w:t>
            </w:r>
          </w:p>
        </w:tc>
        <w:tc>
          <w:tcPr>
            <w:tcW w:w="940"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Activity</w:t>
            </w:r>
          </w:p>
        </w:tc>
        <w:tc>
          <w:tcPr>
            <w:tcW w:w="768"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Cost</w:t>
            </w:r>
          </w:p>
        </w:tc>
        <w:tc>
          <w:tcPr>
            <w:tcW w:w="1040"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Cost</w:t>
            </w:r>
          </w:p>
        </w:tc>
        <w:tc>
          <w:tcPr>
            <w:tcW w:w="1030"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Activities</w:t>
            </w:r>
          </w:p>
        </w:tc>
        <w:tc>
          <w:tcPr>
            <w:tcW w:w="800"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Year</w:t>
            </w:r>
          </w:p>
        </w:tc>
        <w:tc>
          <w:tcPr>
            <w:tcW w:w="1260" w:type="dxa"/>
            <w:tcBorders>
              <w:top w:val="nil"/>
              <w:left w:val="nil"/>
              <w:bottom w:val="nil"/>
              <w:right w:val="nil"/>
            </w:tcBorders>
            <w:shd w:val="clear" w:color="auto" w:fill="auto"/>
            <w:vAlign w:val="center"/>
            <w:hideMark/>
          </w:tcPr>
          <w:p w:rsidR="00D577DB" w:rsidRPr="001C2EB5" w:rsidRDefault="00D577DB" w:rsidP="00B363CD">
            <w:pPr>
              <w:widowControl/>
              <w:jc w:val="center"/>
              <w:rPr>
                <w:b/>
                <w:bCs/>
                <w:sz w:val="16"/>
                <w:szCs w:val="16"/>
              </w:rPr>
            </w:pPr>
            <w:r w:rsidRPr="001C2EB5">
              <w:rPr>
                <w:b/>
                <w:bCs/>
                <w:sz w:val="16"/>
                <w:szCs w:val="16"/>
              </w:rPr>
              <w:t>Year</w:t>
            </w:r>
          </w:p>
        </w:tc>
      </w:tr>
      <w:tr w:rsidR="00D577DB" w:rsidRPr="001C2EB5" w:rsidTr="00D577DB">
        <w:trPr>
          <w:trHeight w:val="240"/>
        </w:trPr>
        <w:tc>
          <w:tcPr>
            <w:tcW w:w="5020" w:type="dxa"/>
            <w:tcBorders>
              <w:top w:val="nil"/>
              <w:left w:val="single" w:sz="4" w:space="0" w:color="auto"/>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Location Restrictions</w:t>
            </w:r>
          </w:p>
        </w:tc>
        <w:tc>
          <w:tcPr>
            <w:tcW w:w="781"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single" w:sz="4" w:space="0" w:color="auto"/>
              <w:left w:val="nil"/>
              <w:bottom w:val="single" w:sz="4" w:space="0" w:color="auto"/>
              <w:right w:val="nil"/>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Placement above the Uppermost Aquifer (40 CFR 257.60)</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257.60(b)</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105</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366.18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($9,582.27)</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Wetlands (40 CFR 257.61)</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257.61(b)</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105</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366.18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($9,582.27)</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Fault Areas (40 CFR 257.62)</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257.62(b)</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7.18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($187.89)</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Seismic Impact Zones (40 CFR 257.63)</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257.63(b)</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9.58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($250.52)</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Unstable Areas (40 CFR 257.64)</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257.64(c)</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5</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16.76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($438.40)</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Design Criteria</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8747" w:type="dxa"/>
            <w:gridSpan w:val="6"/>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Liner Design Criteria for New CCR Landfills and Any Lateral Expansion of a CCR Landfill (40 CFR 257.70)</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257.70(e)</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2.40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($62.63)</w:t>
            </w:r>
          </w:p>
        </w:tc>
      </w:tr>
      <w:tr w:rsidR="00D577DB" w:rsidRPr="001C2EB5" w:rsidTr="00D577DB">
        <w:trPr>
          <w:trHeight w:val="420"/>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Liner Design Criteria for Existing CCR Surface Impoundments (40 CFR 257.71)</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257.71(b)</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142</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497.81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($13,026.88)</w:t>
            </w:r>
          </w:p>
        </w:tc>
      </w:tr>
      <w:tr w:rsidR="00D577DB" w:rsidRPr="001C2EB5" w:rsidTr="00D577DB">
        <w:trPr>
          <w:trHeight w:val="225"/>
        </w:trPr>
        <w:tc>
          <w:tcPr>
            <w:tcW w:w="11495" w:type="dxa"/>
            <w:gridSpan w:val="9"/>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Liner Design Criteria for New CCR Surface Impoundments and Any Lateral Expansion of a CCR Surface Impoundment (40 CFR 257.72)</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 xml:space="preserve">Obtain certification required under 40 CFR 257.72(c) </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4.79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($125.26)</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257.72(d)</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4.79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($125.26)</w:t>
            </w:r>
          </w:p>
        </w:tc>
      </w:tr>
      <w:tr w:rsidR="00D577DB" w:rsidRPr="001C2EB5" w:rsidTr="00D577DB">
        <w:trPr>
          <w:trHeight w:val="420"/>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Structural Integrity Criteria for Existing CCR Surface Impoundments (40 CFR 257.73)</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257.73(a)(2)(ii)</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114</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399.69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($10,459.08)</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257.73(a)(3)(iv))</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342</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1196.65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($31,314.62)</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257.73(d)(3)</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92</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323.10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($8,454.95)</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257.73(e)(2)</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92</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323.10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($8,454.95)</w:t>
            </w:r>
          </w:p>
        </w:tc>
      </w:tr>
      <w:tr w:rsidR="00D577DB" w:rsidRPr="001C2EB5" w:rsidTr="00D577DB">
        <w:trPr>
          <w:trHeight w:val="225"/>
        </w:trPr>
        <w:tc>
          <w:tcPr>
            <w:tcW w:w="11495" w:type="dxa"/>
            <w:gridSpan w:val="9"/>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Structural Integrity Criteria for New CCR Surface Impoundments and Any Lateral Expansion of a CCR Surface Impoundment (40 CFR 257.74)</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257.74(a)(2)(ii)</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4.79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($125.26)</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257.74(a)(3)(iv))</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4</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14.36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($375.78)</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257.74(d)(3)</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4.79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($125.26)</w:t>
            </w:r>
          </w:p>
        </w:tc>
      </w:tr>
      <w:tr w:rsidR="00D577DB" w:rsidRPr="001C2EB5" w:rsidTr="00D577DB">
        <w:trPr>
          <w:trHeight w:val="225"/>
        </w:trPr>
        <w:tc>
          <w:tcPr>
            <w:tcW w:w="5020"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257.74(e)(2)</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4.79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($125.26)</w:t>
            </w:r>
          </w:p>
        </w:tc>
      </w:tr>
      <w:tr w:rsidR="00D577DB" w:rsidRPr="001C2EB5" w:rsidTr="00D577DB">
        <w:trPr>
          <w:trHeight w:val="225"/>
        </w:trPr>
        <w:tc>
          <w:tcPr>
            <w:tcW w:w="5020" w:type="dxa"/>
            <w:tcBorders>
              <w:top w:val="single" w:sz="4" w:space="0" w:color="auto"/>
              <w:left w:val="single" w:sz="4" w:space="0" w:color="auto"/>
              <w:bottom w:val="single" w:sz="4" w:space="0" w:color="auto"/>
              <w:right w:val="nil"/>
            </w:tcBorders>
            <w:shd w:val="clear" w:color="000000" w:fill="D9D9D9"/>
            <w:noWrap/>
            <w:vAlign w:val="center"/>
            <w:hideMark/>
          </w:tcPr>
          <w:p w:rsidR="00D577DB" w:rsidRPr="001C2EB5" w:rsidRDefault="00D577DB" w:rsidP="00B363CD">
            <w:pPr>
              <w:pageBreakBefore/>
              <w:widowControl/>
              <w:rPr>
                <w:b/>
                <w:bCs/>
                <w:sz w:val="16"/>
                <w:szCs w:val="16"/>
              </w:rPr>
            </w:pPr>
            <w:r w:rsidRPr="001C2EB5">
              <w:rPr>
                <w:b/>
                <w:bCs/>
                <w:sz w:val="16"/>
                <w:szCs w:val="16"/>
              </w:rPr>
              <w:t>Operating Criteria</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single" w:sz="4" w:space="0" w:color="auto"/>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single" w:sz="4" w:space="0" w:color="auto"/>
              <w:left w:val="nil"/>
              <w:bottom w:val="single" w:sz="4" w:space="0" w:color="auto"/>
              <w:right w:val="single" w:sz="4" w:space="0" w:color="auto"/>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Air Criteria (40 CFR 257.80)</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257.80(b)(7)</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209</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732.35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($19,164.55)</w:t>
            </w:r>
          </w:p>
        </w:tc>
      </w:tr>
      <w:tr w:rsidR="00D577DB" w:rsidRPr="001C2EB5" w:rsidTr="00D577DB">
        <w:trPr>
          <w:trHeight w:val="225"/>
        </w:trPr>
        <w:tc>
          <w:tcPr>
            <w:tcW w:w="5801" w:type="dxa"/>
            <w:gridSpan w:val="2"/>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Run-On and Run-Off Controls for CCR Landfills (40 CFR 257.81)</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257.81(c)(5)</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66</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229.76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($6,012.41)</w:t>
            </w:r>
          </w:p>
        </w:tc>
      </w:tr>
      <w:tr w:rsidR="00D577DB" w:rsidRPr="001C2EB5" w:rsidTr="00D577DB">
        <w:trPr>
          <w:trHeight w:val="225"/>
        </w:trPr>
        <w:tc>
          <w:tcPr>
            <w:tcW w:w="7984" w:type="dxa"/>
            <w:gridSpan w:val="5"/>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Hydrologic and Hydraulic Capacity Requirements for CCR Surface Impoundments (40 CFR 257.82)</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257.82(c)(5)</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144</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504.99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($13,214.77)</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Groundwater Monitoring and Corrective Action</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Groundwater Monitoring Systems (40 CFR 257.91)</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257.91(f)</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209</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732.35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($19,164.55)</w:t>
            </w:r>
          </w:p>
        </w:tc>
      </w:tr>
      <w:tr w:rsidR="00D577DB" w:rsidRPr="001C2EB5" w:rsidTr="00D577DB">
        <w:trPr>
          <w:trHeight w:val="225"/>
        </w:trPr>
        <w:tc>
          <w:tcPr>
            <w:tcW w:w="5801" w:type="dxa"/>
            <w:gridSpan w:val="2"/>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Groundwater Sampling and Analysis Requirements (40 CFR 257.93)</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257.93(f)(6)</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209</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732.35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($19,164.55)</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Detection Monitoring Program (40 CFR 257.94)</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257.94(d)(3)</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10</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35.90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($939.44)</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257.94(e)(2)</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46</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161.00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($4,213.14)</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Assessment Monitoring Program (40 CFR 257.95)</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257.95(c)(3)</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2.40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($62.63)</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Closure and Post-Closure Care</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000000" w:fill="D9D9D9"/>
            <w:noWrap/>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Inactive CCR Surface Impoundments (40 CFR 257.100)</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257.100(b)(6)</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25</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88.56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($2,317.28)</w:t>
            </w:r>
          </w:p>
        </w:tc>
      </w:tr>
      <w:tr w:rsidR="00D577DB" w:rsidRPr="001C2EB5" w:rsidTr="00D577DB">
        <w:trPr>
          <w:trHeight w:val="240"/>
        </w:trPr>
        <w:tc>
          <w:tcPr>
            <w:tcW w:w="8747" w:type="dxa"/>
            <w:gridSpan w:val="6"/>
            <w:tcBorders>
              <w:top w:val="single" w:sz="4" w:space="0" w:color="auto"/>
              <w:left w:val="single" w:sz="4" w:space="0" w:color="auto"/>
              <w:bottom w:val="single" w:sz="4" w:space="0" w:color="auto"/>
              <w:right w:val="nil"/>
            </w:tcBorders>
            <w:shd w:val="clear" w:color="auto" w:fill="auto"/>
            <w:noWrap/>
            <w:vAlign w:val="center"/>
            <w:hideMark/>
          </w:tcPr>
          <w:p w:rsidR="00D577DB" w:rsidRPr="001C2EB5" w:rsidRDefault="00D577DB" w:rsidP="00B363CD">
            <w:pPr>
              <w:widowControl/>
              <w:rPr>
                <w:b/>
                <w:bCs/>
                <w:sz w:val="16"/>
                <w:szCs w:val="16"/>
              </w:rPr>
            </w:pPr>
            <w:r w:rsidRPr="001C2EB5">
              <w:rPr>
                <w:b/>
                <w:bCs/>
                <w:sz w:val="16"/>
                <w:szCs w:val="16"/>
              </w:rPr>
              <w:t>Criteria for Conducting Closure of CCR Landfills and CCR Surface Impoundments (40 CFR 257.102)</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257.102(b)(4)</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209</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732.35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($19,164.55)</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257.102(d)(3)(iii)</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7</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23.94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($626.29)</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257.102(f)(3)</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7</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23.94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($626.29)</w:t>
            </w:r>
          </w:p>
        </w:tc>
      </w:tr>
      <w:tr w:rsidR="00D577DB" w:rsidRPr="001C2EB5" w:rsidTr="00D577DB">
        <w:trPr>
          <w:trHeight w:val="225"/>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257.102(h)</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7</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23.94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($626.29)</w:t>
            </w:r>
          </w:p>
        </w:tc>
      </w:tr>
      <w:tr w:rsidR="00D577DB" w:rsidRPr="001C2EB5" w:rsidTr="00D577DB">
        <w:trPr>
          <w:trHeight w:val="240"/>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Post-Closure Care Requirements (40 CFR 257.104)</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80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r>
      <w:tr w:rsidR="00D577DB" w:rsidRPr="001C2EB5" w:rsidTr="00D577DB">
        <w:trPr>
          <w:trHeight w:val="240"/>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rPr>
                <w:sz w:val="16"/>
                <w:szCs w:val="16"/>
              </w:rPr>
            </w:pPr>
            <w:r w:rsidRPr="001C2EB5">
              <w:rPr>
                <w:sz w:val="16"/>
                <w:szCs w:val="16"/>
              </w:rPr>
              <w:t>Obtain certification required under 40 CFR 257.104(d)(4)</w:t>
            </w:r>
          </w:p>
        </w:tc>
        <w:tc>
          <w:tcPr>
            <w:tcW w:w="781" w:type="dxa"/>
            <w:tcBorders>
              <w:top w:val="nil"/>
              <w:left w:val="single" w:sz="4"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8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3.00</w:t>
            </w:r>
          </w:p>
        </w:tc>
        <w:tc>
          <w:tcPr>
            <w:tcW w:w="701"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0.50</w:t>
            </w:r>
          </w:p>
        </w:tc>
        <w:tc>
          <w:tcPr>
            <w:tcW w:w="763"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3.50</w:t>
            </w:r>
          </w:p>
        </w:tc>
        <w:tc>
          <w:tcPr>
            <w:tcW w:w="94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($91.59)</w:t>
            </w:r>
          </w:p>
        </w:tc>
        <w:tc>
          <w:tcPr>
            <w:tcW w:w="768"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$0.00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209</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 xml:space="preserve">732.35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sz w:val="16"/>
                <w:szCs w:val="16"/>
              </w:rPr>
            </w:pPr>
            <w:r w:rsidRPr="001C2EB5">
              <w:rPr>
                <w:sz w:val="16"/>
                <w:szCs w:val="16"/>
              </w:rPr>
              <w:t>($19,164.55)</w:t>
            </w:r>
          </w:p>
        </w:tc>
      </w:tr>
      <w:tr w:rsidR="00D577DB" w:rsidRPr="001C2EB5" w:rsidTr="00D577DB">
        <w:trPr>
          <w:trHeight w:val="210"/>
        </w:trPr>
        <w:tc>
          <w:tcPr>
            <w:tcW w:w="5020" w:type="dxa"/>
            <w:tcBorders>
              <w:top w:val="nil"/>
              <w:left w:val="single" w:sz="4" w:space="0" w:color="auto"/>
              <w:bottom w:val="single" w:sz="4" w:space="0" w:color="auto"/>
              <w:right w:val="nil"/>
            </w:tcBorders>
            <w:shd w:val="clear" w:color="auto" w:fill="auto"/>
            <w:vAlign w:val="center"/>
            <w:hideMark/>
          </w:tcPr>
          <w:p w:rsidR="00D577DB" w:rsidRPr="001C2EB5" w:rsidRDefault="00D577DB" w:rsidP="00B363CD">
            <w:pPr>
              <w:widowControl/>
              <w:jc w:val="right"/>
              <w:rPr>
                <w:b/>
                <w:bCs/>
                <w:sz w:val="16"/>
                <w:szCs w:val="16"/>
              </w:rPr>
            </w:pPr>
            <w:r w:rsidRPr="001C2EB5">
              <w:rPr>
                <w:b/>
                <w:bCs/>
                <w:sz w:val="16"/>
                <w:szCs w:val="16"/>
              </w:rPr>
              <w:t>SUBTOTAL</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8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01"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3"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940"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768" w:type="dxa"/>
            <w:tcBorders>
              <w:top w:val="nil"/>
              <w:left w:val="nil"/>
              <w:bottom w:val="single" w:sz="4" w:space="0" w:color="auto"/>
              <w:right w:val="nil"/>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40" w:type="dxa"/>
            <w:tcBorders>
              <w:top w:val="nil"/>
              <w:left w:val="nil"/>
              <w:bottom w:val="single" w:sz="4" w:space="0" w:color="auto"/>
              <w:right w:val="single" w:sz="18" w:space="0" w:color="auto"/>
            </w:tcBorders>
            <w:shd w:val="clear" w:color="auto" w:fill="auto"/>
            <w:vAlign w:val="center"/>
            <w:hideMark/>
          </w:tcPr>
          <w:p w:rsidR="00D577DB" w:rsidRPr="001C2EB5" w:rsidRDefault="00D577DB" w:rsidP="00B363CD">
            <w:pPr>
              <w:widowControl/>
              <w:rPr>
                <w:b/>
                <w:bCs/>
                <w:sz w:val="16"/>
                <w:szCs w:val="16"/>
              </w:rPr>
            </w:pPr>
            <w:r w:rsidRPr="001C2EB5">
              <w:rPr>
                <w:b/>
                <w:bCs/>
                <w:sz w:val="16"/>
                <w:szCs w:val="16"/>
              </w:rPr>
              <w:t> </w:t>
            </w:r>
          </w:p>
        </w:tc>
        <w:tc>
          <w:tcPr>
            <w:tcW w:w="1030" w:type="dxa"/>
            <w:tcBorders>
              <w:top w:val="nil"/>
              <w:left w:val="single" w:sz="18" w:space="0" w:color="auto"/>
              <w:bottom w:val="single" w:sz="4" w:space="0" w:color="auto"/>
              <w:right w:val="single" w:sz="4" w:space="0" w:color="auto"/>
            </w:tcBorders>
            <w:shd w:val="clear" w:color="auto" w:fill="auto"/>
            <w:vAlign w:val="center"/>
            <w:hideMark/>
          </w:tcPr>
          <w:p w:rsidR="00D577DB" w:rsidRPr="001C2EB5" w:rsidRDefault="00D577DB" w:rsidP="00B363CD">
            <w:pPr>
              <w:widowControl/>
              <w:jc w:val="right"/>
              <w:rPr>
                <w:b/>
                <w:bCs/>
                <w:sz w:val="16"/>
                <w:szCs w:val="16"/>
              </w:rPr>
            </w:pPr>
            <w:r w:rsidRPr="001C2EB5">
              <w:rPr>
                <w:b/>
                <w:bCs/>
                <w:sz w:val="16"/>
                <w:szCs w:val="16"/>
              </w:rPr>
              <w:t>Varies</w:t>
            </w:r>
          </w:p>
        </w:tc>
        <w:tc>
          <w:tcPr>
            <w:tcW w:w="80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b/>
                <w:bCs/>
                <w:sz w:val="16"/>
                <w:szCs w:val="16"/>
              </w:rPr>
            </w:pPr>
            <w:r w:rsidRPr="001C2EB5">
              <w:rPr>
                <w:b/>
                <w:bCs/>
                <w:sz w:val="16"/>
                <w:szCs w:val="16"/>
              </w:rPr>
              <w:t xml:space="preserve">0.00 </w:t>
            </w:r>
          </w:p>
        </w:tc>
        <w:tc>
          <w:tcPr>
            <w:tcW w:w="1260" w:type="dxa"/>
            <w:tcBorders>
              <w:top w:val="nil"/>
              <w:left w:val="nil"/>
              <w:bottom w:val="single" w:sz="4" w:space="0" w:color="auto"/>
              <w:right w:val="single" w:sz="4" w:space="0" w:color="auto"/>
            </w:tcBorders>
            <w:shd w:val="clear" w:color="auto" w:fill="auto"/>
            <w:vAlign w:val="center"/>
            <w:hideMark/>
          </w:tcPr>
          <w:p w:rsidR="00D577DB" w:rsidRPr="001C2EB5" w:rsidRDefault="00D577DB" w:rsidP="00B363CD">
            <w:pPr>
              <w:widowControl/>
              <w:jc w:val="right"/>
              <w:rPr>
                <w:b/>
                <w:bCs/>
                <w:sz w:val="16"/>
                <w:szCs w:val="16"/>
              </w:rPr>
            </w:pPr>
            <w:r w:rsidRPr="001C2EB5">
              <w:rPr>
                <w:b/>
                <w:bCs/>
                <w:sz w:val="16"/>
                <w:szCs w:val="16"/>
              </w:rPr>
              <w:t>($217,320.66)</w:t>
            </w:r>
          </w:p>
        </w:tc>
      </w:tr>
      <w:tr w:rsidR="00D577DB" w:rsidRPr="001C2EB5" w:rsidTr="00D577DB">
        <w:trPr>
          <w:trHeight w:val="210"/>
        </w:trPr>
        <w:tc>
          <w:tcPr>
            <w:tcW w:w="14585" w:type="dxa"/>
            <w:gridSpan w:val="12"/>
            <w:tcBorders>
              <w:top w:val="single" w:sz="4" w:space="0" w:color="auto"/>
            </w:tcBorders>
            <w:shd w:val="clear" w:color="auto" w:fill="auto"/>
            <w:vAlign w:val="center"/>
          </w:tcPr>
          <w:p w:rsidR="00D577DB" w:rsidRDefault="00D577DB" w:rsidP="00B363CD">
            <w:pPr>
              <w:widowControl/>
              <w:rPr>
                <w:bCs/>
                <w:sz w:val="16"/>
                <w:szCs w:val="16"/>
              </w:rPr>
            </w:pPr>
            <w:r>
              <w:rPr>
                <w:bCs/>
                <w:sz w:val="16"/>
                <w:szCs w:val="16"/>
              </w:rPr>
              <w:t>a. Exhibit includes rounding error.</w:t>
            </w:r>
          </w:p>
          <w:p w:rsidR="00D577DB" w:rsidRDefault="00D577DB" w:rsidP="00B363CD">
            <w:pPr>
              <w:widowControl/>
              <w:rPr>
                <w:bCs/>
                <w:sz w:val="16"/>
                <w:szCs w:val="16"/>
              </w:rPr>
            </w:pPr>
            <w:r>
              <w:rPr>
                <w:bCs/>
                <w:sz w:val="16"/>
                <w:szCs w:val="16"/>
              </w:rPr>
              <w:t>b</w:t>
            </w:r>
            <w:r w:rsidRPr="00FA1FDC">
              <w:rPr>
                <w:bCs/>
                <w:sz w:val="16"/>
                <w:szCs w:val="16"/>
              </w:rPr>
              <w:t>.</w:t>
            </w:r>
            <w:r>
              <w:rPr>
                <w:bCs/>
                <w:sz w:val="16"/>
                <w:szCs w:val="16"/>
              </w:rPr>
              <w:t xml:space="preserve"> Additional </w:t>
            </w:r>
            <w:r w:rsidRPr="00FA1FDC">
              <w:rPr>
                <w:bCs/>
                <w:sz w:val="16"/>
                <w:szCs w:val="16"/>
              </w:rPr>
              <w:t>PE Certification requirements excluded from table with zero respondent activities during the ICR.</w:t>
            </w:r>
          </w:p>
          <w:p w:rsidR="00D577DB" w:rsidRDefault="009619ED" w:rsidP="00B363CD">
            <w:pPr>
              <w:widowControl/>
              <w:rPr>
                <w:bCs/>
                <w:sz w:val="16"/>
                <w:szCs w:val="16"/>
              </w:rPr>
            </w:pPr>
            <w:r>
              <w:rPr>
                <w:bCs/>
                <w:sz w:val="16"/>
                <w:szCs w:val="16"/>
              </w:rPr>
              <w:t xml:space="preserve">c. </w:t>
            </w:r>
            <w:r w:rsidR="00D577DB">
              <w:rPr>
                <w:bCs/>
                <w:sz w:val="16"/>
                <w:szCs w:val="16"/>
              </w:rPr>
              <w:t>Labor Cost/Activity and O&amp;M Cost represent the net costs per activity.</w:t>
            </w:r>
          </w:p>
          <w:p w:rsidR="00D577DB" w:rsidRPr="00FA1FDC" w:rsidRDefault="00D577DB" w:rsidP="00B363CD">
            <w:pPr>
              <w:widowControl/>
              <w:rPr>
                <w:bCs/>
                <w:sz w:val="16"/>
                <w:szCs w:val="16"/>
              </w:rPr>
            </w:pPr>
            <w:r>
              <w:rPr>
                <w:bCs/>
                <w:sz w:val="16"/>
                <w:szCs w:val="16"/>
              </w:rPr>
              <w:t>d. The net change in hours is zero; all burden reductions are due to the change in labor costs per activity.</w:t>
            </w:r>
          </w:p>
        </w:tc>
      </w:tr>
    </w:tbl>
    <w:p w:rsidR="00594D23" w:rsidRPr="008B3806" w:rsidRDefault="00594D23" w:rsidP="00B363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043C2" w:rsidRPr="008B3806" w:rsidRDefault="00C043C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sectPr w:rsidR="00C043C2" w:rsidRPr="008B3806" w:rsidSect="00D577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CF" w:rsidRDefault="00EC27CF" w:rsidP="00313D8C">
      <w:r>
        <w:separator/>
      </w:r>
    </w:p>
  </w:endnote>
  <w:endnote w:type="continuationSeparator" w:id="0">
    <w:p w:rsidR="00EC27CF" w:rsidRDefault="00EC27CF" w:rsidP="00313D8C">
      <w:r>
        <w:continuationSeparator/>
      </w:r>
    </w:p>
  </w:endnote>
  <w:endnote w:type="continuationNotice" w:id="1">
    <w:p w:rsidR="00EC27CF" w:rsidRDefault="00EC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36194777"/>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FD1D59" w:rsidRPr="0047574B" w:rsidRDefault="00FD1D59" w:rsidP="008C6F2D">
            <w:pPr>
              <w:pStyle w:val="Footer"/>
              <w:jc w:val="center"/>
              <w:rPr>
                <w:sz w:val="20"/>
              </w:rPr>
            </w:pPr>
            <w:r w:rsidRPr="0047574B">
              <w:rPr>
                <w:sz w:val="20"/>
              </w:rPr>
              <w:t xml:space="preserve">Page </w:t>
            </w:r>
            <w:r w:rsidRPr="0047574B">
              <w:rPr>
                <w:b/>
                <w:bCs/>
                <w:sz w:val="20"/>
              </w:rPr>
              <w:fldChar w:fldCharType="begin"/>
            </w:r>
            <w:r w:rsidRPr="0047574B">
              <w:rPr>
                <w:b/>
                <w:bCs/>
                <w:sz w:val="20"/>
              </w:rPr>
              <w:instrText xml:space="preserve"> PAGE </w:instrText>
            </w:r>
            <w:r w:rsidRPr="0047574B">
              <w:rPr>
                <w:b/>
                <w:bCs/>
                <w:sz w:val="20"/>
              </w:rPr>
              <w:fldChar w:fldCharType="separate"/>
            </w:r>
            <w:r w:rsidR="00320BEC">
              <w:rPr>
                <w:b/>
                <w:bCs/>
                <w:noProof/>
                <w:sz w:val="20"/>
              </w:rPr>
              <w:t>1</w:t>
            </w:r>
            <w:r w:rsidRPr="0047574B">
              <w:rPr>
                <w:b/>
                <w:bCs/>
                <w:sz w:val="20"/>
              </w:rPr>
              <w:fldChar w:fldCharType="end"/>
            </w:r>
            <w:r w:rsidRPr="0047574B">
              <w:rPr>
                <w:sz w:val="20"/>
              </w:rPr>
              <w:t xml:space="preserve"> of </w:t>
            </w:r>
            <w:r w:rsidRPr="0047574B">
              <w:rPr>
                <w:b/>
                <w:bCs/>
                <w:sz w:val="20"/>
              </w:rPr>
              <w:fldChar w:fldCharType="begin"/>
            </w:r>
            <w:r w:rsidRPr="0047574B">
              <w:rPr>
                <w:b/>
                <w:bCs/>
                <w:sz w:val="20"/>
              </w:rPr>
              <w:instrText xml:space="preserve"> NUMPAGES  </w:instrText>
            </w:r>
            <w:r w:rsidRPr="0047574B">
              <w:rPr>
                <w:b/>
                <w:bCs/>
                <w:sz w:val="20"/>
              </w:rPr>
              <w:fldChar w:fldCharType="separate"/>
            </w:r>
            <w:r w:rsidR="00320BEC">
              <w:rPr>
                <w:b/>
                <w:bCs/>
                <w:noProof/>
                <w:sz w:val="20"/>
              </w:rPr>
              <w:t>3</w:t>
            </w:r>
            <w:r w:rsidRPr="0047574B">
              <w:rPr>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CF" w:rsidRDefault="00EC27CF" w:rsidP="00313D8C">
      <w:r>
        <w:separator/>
      </w:r>
    </w:p>
  </w:footnote>
  <w:footnote w:type="continuationSeparator" w:id="0">
    <w:p w:rsidR="00EC27CF" w:rsidRDefault="00EC27CF" w:rsidP="00313D8C">
      <w:r>
        <w:continuationSeparator/>
      </w:r>
    </w:p>
  </w:footnote>
  <w:footnote w:type="continuationNotice" w:id="1">
    <w:p w:rsidR="00EC27CF" w:rsidRDefault="00EC27CF"/>
  </w:footnote>
  <w:footnote w:id="2">
    <w:p w:rsidR="00FD1D59" w:rsidRPr="005B05AB" w:rsidRDefault="00FD1D59" w:rsidP="009C629C">
      <w:pPr>
        <w:pStyle w:val="FootnoteText"/>
        <w:rPr>
          <w:rFonts w:ascii="Times New Roman" w:hAnsi="Times New Roman" w:cs="Times New Roman"/>
        </w:rPr>
      </w:pPr>
      <w:r w:rsidRPr="005B05AB">
        <w:rPr>
          <w:rStyle w:val="FootnoteReference"/>
          <w:rFonts w:ascii="Times New Roman" w:hAnsi="Times New Roman" w:cs="Times New Roman"/>
        </w:rPr>
        <w:footnoteRef/>
      </w:r>
      <w:r w:rsidRPr="006E0F8E">
        <w:rPr>
          <w:rFonts w:ascii="Times New Roman" w:hAnsi="Times New Roman" w:cs="Times New Roman"/>
        </w:rPr>
        <w:t xml:space="preserve">  </w:t>
      </w:r>
      <w:r>
        <w:rPr>
          <w:rFonts w:ascii="Times New Roman" w:hAnsi="Times New Roman" w:cs="Times New Roman"/>
        </w:rPr>
        <w:t>For workers employed by the private sector (respondents), see:</w:t>
      </w:r>
      <w:r w:rsidRPr="009C629C">
        <w:rPr>
          <w:rFonts w:ascii="Times New Roman" w:hAnsi="Times New Roman" w:cs="Times New Roman"/>
        </w:rPr>
        <w:t xml:space="preserve"> Bureau of Labor Statistics; "Table 4. Employment Cost Index for total compensation, for civilian workers, by occupational and industry;" Employment Cost Index, Historical Listing - Volume V, Continuous Occupational and Industry Series, September 1975 – March 2017; April 2017.  Available online at: http://www.bls.gov/web/eci/ecicois.pdf, last accessed on June 30, 2017.  </w:t>
      </w:r>
      <w:r>
        <w:rPr>
          <w:rFonts w:ascii="Times New Roman" w:hAnsi="Times New Roman" w:cs="Times New Roman"/>
        </w:rPr>
        <w:t xml:space="preserve">For State and local government workers, see: </w:t>
      </w:r>
      <w:r w:rsidRPr="009C629C">
        <w:rPr>
          <w:rFonts w:ascii="Times New Roman" w:hAnsi="Times New Roman" w:cs="Times New Roman"/>
        </w:rPr>
        <w:t>Civilian Workers, All Workers, June 2011=114.8 and March 2017=129.0.Bureau of Labor Statistics, "Table 7. Employment Cost Index for total compensation, for State and local government workers, by occupational and industry," Employment Cost Index Historical Listing - Volume V, April 2017.  Available online at: http://www.bls.gov/web/eci/ecicois.pdf, last accessed on June 30, 2017.  State and Local Government Workers, All Workers, June 2012=118.6 and March 2017=131.7.</w:t>
      </w:r>
    </w:p>
  </w:footnote>
  <w:footnote w:id="3">
    <w:p w:rsidR="00FD1D59" w:rsidRPr="005B05AB" w:rsidRDefault="00FD1D59" w:rsidP="00313D8C">
      <w:pPr>
        <w:pStyle w:val="FootnoteText"/>
        <w:rPr>
          <w:rFonts w:ascii="Times New Roman" w:hAnsi="Times New Roman" w:cs="Times New Roman"/>
        </w:rPr>
      </w:pPr>
      <w:r w:rsidRPr="005B05AB">
        <w:rPr>
          <w:rStyle w:val="FootnoteReference"/>
          <w:rFonts w:ascii="Times New Roman" w:hAnsi="Times New Roman" w:cs="Times New Roman"/>
        </w:rPr>
        <w:footnoteRef/>
      </w:r>
      <w:r w:rsidRPr="005B05AB">
        <w:rPr>
          <w:rFonts w:ascii="Times New Roman" w:hAnsi="Times New Roman" w:cs="Times New Roman"/>
        </w:rPr>
        <w:t xml:space="preserve"> The benefits multiplier is based on an average for the sectors as estimated by BLS in its Employer Costs for Employee Compensation.  BLS includes items such as sick leave and vacation as benefits.</w:t>
      </w:r>
    </w:p>
  </w:footnote>
  <w:footnote w:id="4">
    <w:p w:rsidR="00FD1D59" w:rsidRDefault="00FD1D59" w:rsidP="000F3429">
      <w:pPr>
        <w:pStyle w:val="FootnoteText"/>
      </w:pPr>
      <w:r>
        <w:rPr>
          <w:sz w:val="22"/>
          <w:vertAlign w:val="superscript"/>
        </w:rPr>
        <w:footnoteRef/>
      </w:r>
      <w:r>
        <w:rPr>
          <w:sz w:val="22"/>
        </w:rPr>
        <w:t xml:space="preserve"> </w:t>
      </w:r>
      <w:r w:rsidRPr="00BC4334">
        <w:t xml:space="preserve">The universe estimates in this ICR were obtained from </w:t>
      </w:r>
      <w:r>
        <w:t>the RIA developed for this rulemaking:</w:t>
      </w:r>
      <w:r w:rsidRPr="00741868">
        <w:t xml:space="preserve"> </w:t>
      </w:r>
      <w:r>
        <w:t xml:space="preserve"> </w:t>
      </w:r>
      <w:r w:rsidRPr="00741868">
        <w:rPr>
          <w:i/>
        </w:rPr>
        <w:t>EPA’s 2015 RCRA Final Rule Regulating Coal Combustion Residual (CCR) Landfills and Surface Impoundments at Coal-Fired Electric Utility Power Plants</w:t>
      </w:r>
      <w:r w:rsidRPr="00741868">
        <w:t xml:space="preserve">, </w:t>
      </w:r>
      <w:r>
        <w:t xml:space="preserve">Appendix M, </w:t>
      </w:r>
      <w:r w:rsidRPr="00741868">
        <w:t>October 2014</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nsid w:val="FFFFFFFE"/>
    <w:multiLevelType w:val="singleLevel"/>
    <w:tmpl w:val="CCC41B3A"/>
    <w:lvl w:ilvl="0">
      <w:numFmt w:val="bullet"/>
      <w:lvlText w:val="*"/>
      <w:lvlJc w:val="left"/>
    </w:lvl>
  </w:abstractNum>
  <w:abstractNum w:abstractNumId="1">
    <w:nsid w:val="0FD87B50"/>
    <w:multiLevelType w:val="hybridMultilevel"/>
    <w:tmpl w:val="8596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479C9"/>
    <w:multiLevelType w:val="hybridMultilevel"/>
    <w:tmpl w:val="7EE8F060"/>
    <w:lvl w:ilvl="0" w:tplc="FA5E9F8C">
      <w:start w:val="1"/>
      <w:numFmt w:val="bullet"/>
      <w:lvlText w:val=""/>
      <w:lvlPicBulletId w:val="0"/>
      <w:lvlJc w:val="left"/>
      <w:pPr>
        <w:tabs>
          <w:tab w:val="num" w:pos="1272"/>
        </w:tabs>
        <w:ind w:left="1200" w:hanging="360"/>
      </w:pPr>
      <w:rPr>
        <w:rFonts w:ascii="Symbol" w:hAnsi="Symbol" w:hint="default"/>
        <w:color w:val="auto"/>
      </w:rPr>
    </w:lvl>
    <w:lvl w:ilvl="1" w:tplc="04090003">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nsid w:val="27134BF8"/>
    <w:multiLevelType w:val="hybridMultilevel"/>
    <w:tmpl w:val="710C7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1B5346"/>
    <w:multiLevelType w:val="hybridMultilevel"/>
    <w:tmpl w:val="D0447A70"/>
    <w:lvl w:ilvl="0" w:tplc="751EA028">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4F2E3E"/>
    <w:multiLevelType w:val="hybridMultilevel"/>
    <w:tmpl w:val="001C7E8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3026F"/>
    <w:multiLevelType w:val="hybridMultilevel"/>
    <w:tmpl w:val="8E0491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8B1716"/>
    <w:multiLevelType w:val="hybridMultilevel"/>
    <w:tmpl w:val="BAE09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A5FC6"/>
    <w:multiLevelType w:val="hybridMultilevel"/>
    <w:tmpl w:val="9BAC7EA8"/>
    <w:lvl w:ilvl="0" w:tplc="6D861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CF13B2"/>
    <w:multiLevelType w:val="hybridMultilevel"/>
    <w:tmpl w:val="6CCE730E"/>
    <w:lvl w:ilvl="0" w:tplc="2A26557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497DAA"/>
    <w:multiLevelType w:val="hybridMultilevel"/>
    <w:tmpl w:val="230CCAB4"/>
    <w:lvl w:ilvl="0" w:tplc="CCA6B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2"/>
  </w:num>
  <w:num w:numId="4">
    <w:abstractNumId w:val="10"/>
  </w:num>
  <w:num w:numId="5">
    <w:abstractNumId w:val="9"/>
  </w:num>
  <w:num w:numId="6">
    <w:abstractNumId w:val="7"/>
  </w:num>
  <w:num w:numId="7">
    <w:abstractNumId w:val="6"/>
  </w:num>
  <w:num w:numId="8">
    <w:abstractNumId w:val="5"/>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40"/>
    <w:rsid w:val="000010BF"/>
    <w:rsid w:val="000077AF"/>
    <w:rsid w:val="0001086F"/>
    <w:rsid w:val="000118E5"/>
    <w:rsid w:val="00012E38"/>
    <w:rsid w:val="0001312F"/>
    <w:rsid w:val="00014784"/>
    <w:rsid w:val="00015228"/>
    <w:rsid w:val="000163B4"/>
    <w:rsid w:val="00016810"/>
    <w:rsid w:val="000242D2"/>
    <w:rsid w:val="000321BC"/>
    <w:rsid w:val="00033D18"/>
    <w:rsid w:val="00033FE0"/>
    <w:rsid w:val="000410EF"/>
    <w:rsid w:val="00041C3D"/>
    <w:rsid w:val="00042575"/>
    <w:rsid w:val="000455CD"/>
    <w:rsid w:val="00045D20"/>
    <w:rsid w:val="00046C4D"/>
    <w:rsid w:val="000475BB"/>
    <w:rsid w:val="00050A84"/>
    <w:rsid w:val="0005241F"/>
    <w:rsid w:val="00055A80"/>
    <w:rsid w:val="00056F61"/>
    <w:rsid w:val="00063B0D"/>
    <w:rsid w:val="00067D38"/>
    <w:rsid w:val="00071B87"/>
    <w:rsid w:val="0007742D"/>
    <w:rsid w:val="00077F9A"/>
    <w:rsid w:val="000819AB"/>
    <w:rsid w:val="0009363A"/>
    <w:rsid w:val="00097676"/>
    <w:rsid w:val="00097A03"/>
    <w:rsid w:val="000A3781"/>
    <w:rsid w:val="000A6E8B"/>
    <w:rsid w:val="000B05A9"/>
    <w:rsid w:val="000B6D0D"/>
    <w:rsid w:val="000C0151"/>
    <w:rsid w:val="000C1498"/>
    <w:rsid w:val="000D19FE"/>
    <w:rsid w:val="000D1FAF"/>
    <w:rsid w:val="000D55BB"/>
    <w:rsid w:val="000E420C"/>
    <w:rsid w:val="000E6714"/>
    <w:rsid w:val="000E7295"/>
    <w:rsid w:val="000F3429"/>
    <w:rsid w:val="000F42A5"/>
    <w:rsid w:val="000F5317"/>
    <w:rsid w:val="00100366"/>
    <w:rsid w:val="001074E0"/>
    <w:rsid w:val="0011145B"/>
    <w:rsid w:val="00111639"/>
    <w:rsid w:val="00116270"/>
    <w:rsid w:val="0011754B"/>
    <w:rsid w:val="00117C77"/>
    <w:rsid w:val="00120E9C"/>
    <w:rsid w:val="0012255A"/>
    <w:rsid w:val="00131002"/>
    <w:rsid w:val="00131BBD"/>
    <w:rsid w:val="001344F3"/>
    <w:rsid w:val="001348A2"/>
    <w:rsid w:val="00135800"/>
    <w:rsid w:val="00135E6E"/>
    <w:rsid w:val="00136BDF"/>
    <w:rsid w:val="00137905"/>
    <w:rsid w:val="00146A3C"/>
    <w:rsid w:val="0014753D"/>
    <w:rsid w:val="00147F6E"/>
    <w:rsid w:val="00152AC6"/>
    <w:rsid w:val="00153BA3"/>
    <w:rsid w:val="001640AE"/>
    <w:rsid w:val="00164F66"/>
    <w:rsid w:val="00166AF2"/>
    <w:rsid w:val="00170B20"/>
    <w:rsid w:val="0017250C"/>
    <w:rsid w:val="00174FC0"/>
    <w:rsid w:val="001766B1"/>
    <w:rsid w:val="001803E0"/>
    <w:rsid w:val="00185AF0"/>
    <w:rsid w:val="001861FB"/>
    <w:rsid w:val="00187E52"/>
    <w:rsid w:val="00192C71"/>
    <w:rsid w:val="00192D6F"/>
    <w:rsid w:val="00196F92"/>
    <w:rsid w:val="001A041E"/>
    <w:rsid w:val="001A58D8"/>
    <w:rsid w:val="001B2C12"/>
    <w:rsid w:val="001B4B2C"/>
    <w:rsid w:val="001B62F0"/>
    <w:rsid w:val="001B771E"/>
    <w:rsid w:val="001C1C39"/>
    <w:rsid w:val="001C2228"/>
    <w:rsid w:val="001C62C0"/>
    <w:rsid w:val="001C6C66"/>
    <w:rsid w:val="001D4A81"/>
    <w:rsid w:val="001D55CE"/>
    <w:rsid w:val="001D661D"/>
    <w:rsid w:val="001D7F4F"/>
    <w:rsid w:val="001E2A9D"/>
    <w:rsid w:val="001E3429"/>
    <w:rsid w:val="001E3678"/>
    <w:rsid w:val="001E421B"/>
    <w:rsid w:val="001F13D9"/>
    <w:rsid w:val="001F6272"/>
    <w:rsid w:val="0020059C"/>
    <w:rsid w:val="002014F0"/>
    <w:rsid w:val="002025EF"/>
    <w:rsid w:val="00203648"/>
    <w:rsid w:val="00204F4F"/>
    <w:rsid w:val="0020507C"/>
    <w:rsid w:val="0020792F"/>
    <w:rsid w:val="00207FC1"/>
    <w:rsid w:val="0021257C"/>
    <w:rsid w:val="002146BE"/>
    <w:rsid w:val="00215A96"/>
    <w:rsid w:val="00224797"/>
    <w:rsid w:val="00225389"/>
    <w:rsid w:val="00226FBF"/>
    <w:rsid w:val="0022774F"/>
    <w:rsid w:val="002346C6"/>
    <w:rsid w:val="0023697A"/>
    <w:rsid w:val="00242826"/>
    <w:rsid w:val="002454BA"/>
    <w:rsid w:val="00246122"/>
    <w:rsid w:val="00252DFF"/>
    <w:rsid w:val="00254105"/>
    <w:rsid w:val="00254760"/>
    <w:rsid w:val="00260B1E"/>
    <w:rsid w:val="00263C4F"/>
    <w:rsid w:val="00265EDE"/>
    <w:rsid w:val="00272737"/>
    <w:rsid w:val="002733B9"/>
    <w:rsid w:val="00274153"/>
    <w:rsid w:val="0027634E"/>
    <w:rsid w:val="0027700E"/>
    <w:rsid w:val="002807E3"/>
    <w:rsid w:val="00282D04"/>
    <w:rsid w:val="002837AE"/>
    <w:rsid w:val="00284189"/>
    <w:rsid w:val="002847B2"/>
    <w:rsid w:val="00287A1B"/>
    <w:rsid w:val="002900DA"/>
    <w:rsid w:val="002901EF"/>
    <w:rsid w:val="00292572"/>
    <w:rsid w:val="002A6AD5"/>
    <w:rsid w:val="002B029C"/>
    <w:rsid w:val="002B20A9"/>
    <w:rsid w:val="002C0A45"/>
    <w:rsid w:val="002C3CCD"/>
    <w:rsid w:val="002D1161"/>
    <w:rsid w:val="002D17BF"/>
    <w:rsid w:val="002D63EB"/>
    <w:rsid w:val="002F1999"/>
    <w:rsid w:val="002F4237"/>
    <w:rsid w:val="002F4EDC"/>
    <w:rsid w:val="002F78BC"/>
    <w:rsid w:val="003009CE"/>
    <w:rsid w:val="00302A2C"/>
    <w:rsid w:val="00310625"/>
    <w:rsid w:val="003122A2"/>
    <w:rsid w:val="00313D8C"/>
    <w:rsid w:val="003162D3"/>
    <w:rsid w:val="00316871"/>
    <w:rsid w:val="00316C36"/>
    <w:rsid w:val="00320BEC"/>
    <w:rsid w:val="0032368B"/>
    <w:rsid w:val="003242B2"/>
    <w:rsid w:val="003251F6"/>
    <w:rsid w:val="003273DB"/>
    <w:rsid w:val="00327B54"/>
    <w:rsid w:val="003303BF"/>
    <w:rsid w:val="00335D4C"/>
    <w:rsid w:val="00336E34"/>
    <w:rsid w:val="00343907"/>
    <w:rsid w:val="00343921"/>
    <w:rsid w:val="003440E8"/>
    <w:rsid w:val="00344477"/>
    <w:rsid w:val="003468BF"/>
    <w:rsid w:val="00350C33"/>
    <w:rsid w:val="00350D8E"/>
    <w:rsid w:val="00350EE6"/>
    <w:rsid w:val="0035195C"/>
    <w:rsid w:val="003578ED"/>
    <w:rsid w:val="0036387E"/>
    <w:rsid w:val="003731F2"/>
    <w:rsid w:val="003800BF"/>
    <w:rsid w:val="00383A9F"/>
    <w:rsid w:val="00384E89"/>
    <w:rsid w:val="00386FB4"/>
    <w:rsid w:val="003878A1"/>
    <w:rsid w:val="00387D76"/>
    <w:rsid w:val="00392084"/>
    <w:rsid w:val="003B012E"/>
    <w:rsid w:val="003B173F"/>
    <w:rsid w:val="003B2C29"/>
    <w:rsid w:val="003B6138"/>
    <w:rsid w:val="003B7D5F"/>
    <w:rsid w:val="003C37F6"/>
    <w:rsid w:val="003C573E"/>
    <w:rsid w:val="003C622C"/>
    <w:rsid w:val="003C6572"/>
    <w:rsid w:val="003C6D62"/>
    <w:rsid w:val="003C7EEE"/>
    <w:rsid w:val="003D6118"/>
    <w:rsid w:val="003E37D0"/>
    <w:rsid w:val="003F1D59"/>
    <w:rsid w:val="003F64AE"/>
    <w:rsid w:val="0040386F"/>
    <w:rsid w:val="00406529"/>
    <w:rsid w:val="004070D2"/>
    <w:rsid w:val="00412BE5"/>
    <w:rsid w:val="004171BC"/>
    <w:rsid w:val="00422294"/>
    <w:rsid w:val="004228B1"/>
    <w:rsid w:val="00423659"/>
    <w:rsid w:val="00425AA0"/>
    <w:rsid w:val="00425ADE"/>
    <w:rsid w:val="00427FBC"/>
    <w:rsid w:val="004355D6"/>
    <w:rsid w:val="0043655D"/>
    <w:rsid w:val="0043745F"/>
    <w:rsid w:val="0043792F"/>
    <w:rsid w:val="00441659"/>
    <w:rsid w:val="004416AB"/>
    <w:rsid w:val="00444880"/>
    <w:rsid w:val="00446E92"/>
    <w:rsid w:val="004473A7"/>
    <w:rsid w:val="00452DE4"/>
    <w:rsid w:val="00457043"/>
    <w:rsid w:val="00460BA1"/>
    <w:rsid w:val="004619D4"/>
    <w:rsid w:val="00461C36"/>
    <w:rsid w:val="004654A4"/>
    <w:rsid w:val="00475070"/>
    <w:rsid w:val="0047574B"/>
    <w:rsid w:val="00476D99"/>
    <w:rsid w:val="0048140E"/>
    <w:rsid w:val="004830D2"/>
    <w:rsid w:val="00483F8B"/>
    <w:rsid w:val="00483FA5"/>
    <w:rsid w:val="00485C9C"/>
    <w:rsid w:val="00486AC2"/>
    <w:rsid w:val="004907CC"/>
    <w:rsid w:val="004947F7"/>
    <w:rsid w:val="004951D5"/>
    <w:rsid w:val="004968A6"/>
    <w:rsid w:val="004A1D90"/>
    <w:rsid w:val="004A2487"/>
    <w:rsid w:val="004A28E2"/>
    <w:rsid w:val="004A2A0E"/>
    <w:rsid w:val="004A469C"/>
    <w:rsid w:val="004B787D"/>
    <w:rsid w:val="004B7BD6"/>
    <w:rsid w:val="004C6D2B"/>
    <w:rsid w:val="004C7548"/>
    <w:rsid w:val="004D059C"/>
    <w:rsid w:val="004D22DE"/>
    <w:rsid w:val="004D667C"/>
    <w:rsid w:val="004E03A1"/>
    <w:rsid w:val="004E279C"/>
    <w:rsid w:val="004E52CA"/>
    <w:rsid w:val="004E5FA8"/>
    <w:rsid w:val="004E6877"/>
    <w:rsid w:val="004E707D"/>
    <w:rsid w:val="004E768C"/>
    <w:rsid w:val="004E7E7F"/>
    <w:rsid w:val="004F6F34"/>
    <w:rsid w:val="004F77CF"/>
    <w:rsid w:val="00504CBF"/>
    <w:rsid w:val="00506CB4"/>
    <w:rsid w:val="00510CA7"/>
    <w:rsid w:val="00515612"/>
    <w:rsid w:val="00515B8C"/>
    <w:rsid w:val="0053006A"/>
    <w:rsid w:val="0053372C"/>
    <w:rsid w:val="00533D54"/>
    <w:rsid w:val="00533F67"/>
    <w:rsid w:val="00536EEF"/>
    <w:rsid w:val="00541B32"/>
    <w:rsid w:val="00546E45"/>
    <w:rsid w:val="00551A4B"/>
    <w:rsid w:val="00555299"/>
    <w:rsid w:val="00557CC0"/>
    <w:rsid w:val="00560F25"/>
    <w:rsid w:val="0056383D"/>
    <w:rsid w:val="005643DE"/>
    <w:rsid w:val="00564DB9"/>
    <w:rsid w:val="00567A99"/>
    <w:rsid w:val="00576E20"/>
    <w:rsid w:val="00577BAF"/>
    <w:rsid w:val="005842AA"/>
    <w:rsid w:val="00584790"/>
    <w:rsid w:val="00591640"/>
    <w:rsid w:val="005927EA"/>
    <w:rsid w:val="00594B0B"/>
    <w:rsid w:val="00594D23"/>
    <w:rsid w:val="00596C3F"/>
    <w:rsid w:val="00596D51"/>
    <w:rsid w:val="005A00FB"/>
    <w:rsid w:val="005A0C95"/>
    <w:rsid w:val="005A14F8"/>
    <w:rsid w:val="005A31C6"/>
    <w:rsid w:val="005B05AB"/>
    <w:rsid w:val="005B1972"/>
    <w:rsid w:val="005B32E3"/>
    <w:rsid w:val="005C48CB"/>
    <w:rsid w:val="005C6976"/>
    <w:rsid w:val="005D01AC"/>
    <w:rsid w:val="005E2F7B"/>
    <w:rsid w:val="005E3503"/>
    <w:rsid w:val="005E3C89"/>
    <w:rsid w:val="005E6D1E"/>
    <w:rsid w:val="005F1928"/>
    <w:rsid w:val="005F1ABF"/>
    <w:rsid w:val="005F5265"/>
    <w:rsid w:val="005F6A9C"/>
    <w:rsid w:val="005F6E1F"/>
    <w:rsid w:val="006007AA"/>
    <w:rsid w:val="0060325D"/>
    <w:rsid w:val="00603D3B"/>
    <w:rsid w:val="00610518"/>
    <w:rsid w:val="00612559"/>
    <w:rsid w:val="00616729"/>
    <w:rsid w:val="006217CA"/>
    <w:rsid w:val="00623C27"/>
    <w:rsid w:val="0062653A"/>
    <w:rsid w:val="006278E4"/>
    <w:rsid w:val="00631329"/>
    <w:rsid w:val="00632601"/>
    <w:rsid w:val="0063323E"/>
    <w:rsid w:val="0063684A"/>
    <w:rsid w:val="00637B6C"/>
    <w:rsid w:val="00642C8D"/>
    <w:rsid w:val="00647B7A"/>
    <w:rsid w:val="00647BF7"/>
    <w:rsid w:val="00651633"/>
    <w:rsid w:val="0065437A"/>
    <w:rsid w:val="00654A80"/>
    <w:rsid w:val="00656D9F"/>
    <w:rsid w:val="00660897"/>
    <w:rsid w:val="00661558"/>
    <w:rsid w:val="00663AC4"/>
    <w:rsid w:val="00664A33"/>
    <w:rsid w:val="00674778"/>
    <w:rsid w:val="00680175"/>
    <w:rsid w:val="00681AF5"/>
    <w:rsid w:val="006935B3"/>
    <w:rsid w:val="00694E67"/>
    <w:rsid w:val="0069667B"/>
    <w:rsid w:val="00696BFB"/>
    <w:rsid w:val="00697B33"/>
    <w:rsid w:val="006A0EA1"/>
    <w:rsid w:val="006A17C2"/>
    <w:rsid w:val="006A1E36"/>
    <w:rsid w:val="006A3443"/>
    <w:rsid w:val="006A45C4"/>
    <w:rsid w:val="006A621F"/>
    <w:rsid w:val="006A727B"/>
    <w:rsid w:val="006B0CBF"/>
    <w:rsid w:val="006B5E91"/>
    <w:rsid w:val="006B638E"/>
    <w:rsid w:val="006C2E3A"/>
    <w:rsid w:val="006C71EC"/>
    <w:rsid w:val="006C77C5"/>
    <w:rsid w:val="006D0FCB"/>
    <w:rsid w:val="006D4A2F"/>
    <w:rsid w:val="006D63A0"/>
    <w:rsid w:val="006D74B0"/>
    <w:rsid w:val="006D769C"/>
    <w:rsid w:val="006D7C92"/>
    <w:rsid w:val="006E0F8E"/>
    <w:rsid w:val="006E329A"/>
    <w:rsid w:val="006E43CA"/>
    <w:rsid w:val="006E4EBA"/>
    <w:rsid w:val="006F37C2"/>
    <w:rsid w:val="006F61B6"/>
    <w:rsid w:val="00700F8B"/>
    <w:rsid w:val="00703DF3"/>
    <w:rsid w:val="00704314"/>
    <w:rsid w:val="0070433C"/>
    <w:rsid w:val="007079A1"/>
    <w:rsid w:val="007118F8"/>
    <w:rsid w:val="00714155"/>
    <w:rsid w:val="00715F53"/>
    <w:rsid w:val="00722E5F"/>
    <w:rsid w:val="0072330C"/>
    <w:rsid w:val="007233FE"/>
    <w:rsid w:val="00724CEE"/>
    <w:rsid w:val="00731CF5"/>
    <w:rsid w:val="00732029"/>
    <w:rsid w:val="00732D35"/>
    <w:rsid w:val="0073619B"/>
    <w:rsid w:val="00743959"/>
    <w:rsid w:val="00743BCD"/>
    <w:rsid w:val="00745039"/>
    <w:rsid w:val="00745572"/>
    <w:rsid w:val="007533BE"/>
    <w:rsid w:val="0075458B"/>
    <w:rsid w:val="00754A85"/>
    <w:rsid w:val="00761F73"/>
    <w:rsid w:val="007643F7"/>
    <w:rsid w:val="007722E0"/>
    <w:rsid w:val="00774DC6"/>
    <w:rsid w:val="00775E05"/>
    <w:rsid w:val="00780461"/>
    <w:rsid w:val="0078151A"/>
    <w:rsid w:val="007824B8"/>
    <w:rsid w:val="007827FF"/>
    <w:rsid w:val="00784A96"/>
    <w:rsid w:val="00787AD3"/>
    <w:rsid w:val="00793250"/>
    <w:rsid w:val="00793DF6"/>
    <w:rsid w:val="0079774C"/>
    <w:rsid w:val="007A1BCE"/>
    <w:rsid w:val="007A6BDF"/>
    <w:rsid w:val="007B2540"/>
    <w:rsid w:val="007B4C87"/>
    <w:rsid w:val="007B721C"/>
    <w:rsid w:val="007C20D8"/>
    <w:rsid w:val="007C318A"/>
    <w:rsid w:val="007C7A43"/>
    <w:rsid w:val="007D5FEB"/>
    <w:rsid w:val="007E136B"/>
    <w:rsid w:val="007E5786"/>
    <w:rsid w:val="007F38E8"/>
    <w:rsid w:val="0080197B"/>
    <w:rsid w:val="00805308"/>
    <w:rsid w:val="008100BF"/>
    <w:rsid w:val="00811C18"/>
    <w:rsid w:val="00812899"/>
    <w:rsid w:val="00812D1D"/>
    <w:rsid w:val="00815B47"/>
    <w:rsid w:val="00821482"/>
    <w:rsid w:val="0082296B"/>
    <w:rsid w:val="00824757"/>
    <w:rsid w:val="00826F68"/>
    <w:rsid w:val="00827F0B"/>
    <w:rsid w:val="00833172"/>
    <w:rsid w:val="00834BAC"/>
    <w:rsid w:val="008427D8"/>
    <w:rsid w:val="008428A7"/>
    <w:rsid w:val="008433AE"/>
    <w:rsid w:val="00854C42"/>
    <w:rsid w:val="00857F04"/>
    <w:rsid w:val="0086266C"/>
    <w:rsid w:val="008634DA"/>
    <w:rsid w:val="0086487B"/>
    <w:rsid w:val="00865B3A"/>
    <w:rsid w:val="00866E24"/>
    <w:rsid w:val="00870283"/>
    <w:rsid w:val="008725FE"/>
    <w:rsid w:val="008813AD"/>
    <w:rsid w:val="00883005"/>
    <w:rsid w:val="008838D3"/>
    <w:rsid w:val="00884B75"/>
    <w:rsid w:val="00886B29"/>
    <w:rsid w:val="0089125D"/>
    <w:rsid w:val="008A2D17"/>
    <w:rsid w:val="008A3D43"/>
    <w:rsid w:val="008A668E"/>
    <w:rsid w:val="008A6C4B"/>
    <w:rsid w:val="008B3806"/>
    <w:rsid w:val="008C10FD"/>
    <w:rsid w:val="008C27DF"/>
    <w:rsid w:val="008C58C9"/>
    <w:rsid w:val="008C6F2D"/>
    <w:rsid w:val="008C6F6F"/>
    <w:rsid w:val="008D33BC"/>
    <w:rsid w:val="008D3BFE"/>
    <w:rsid w:val="008D7426"/>
    <w:rsid w:val="008E4157"/>
    <w:rsid w:val="008E6015"/>
    <w:rsid w:val="008F04C8"/>
    <w:rsid w:val="009015D2"/>
    <w:rsid w:val="00906220"/>
    <w:rsid w:val="00906998"/>
    <w:rsid w:val="00916E50"/>
    <w:rsid w:val="00920F5B"/>
    <w:rsid w:val="0092748F"/>
    <w:rsid w:val="0093729F"/>
    <w:rsid w:val="00937EE1"/>
    <w:rsid w:val="00944FA7"/>
    <w:rsid w:val="00945A25"/>
    <w:rsid w:val="00951E13"/>
    <w:rsid w:val="009529E3"/>
    <w:rsid w:val="00956413"/>
    <w:rsid w:val="009619ED"/>
    <w:rsid w:val="009711D6"/>
    <w:rsid w:val="0097539E"/>
    <w:rsid w:val="00975C4E"/>
    <w:rsid w:val="00984A23"/>
    <w:rsid w:val="009920CD"/>
    <w:rsid w:val="009A1F90"/>
    <w:rsid w:val="009A7381"/>
    <w:rsid w:val="009B5DE3"/>
    <w:rsid w:val="009C086C"/>
    <w:rsid w:val="009C5EFF"/>
    <w:rsid w:val="009C629C"/>
    <w:rsid w:val="009D0F95"/>
    <w:rsid w:val="009D33C0"/>
    <w:rsid w:val="009D3E46"/>
    <w:rsid w:val="009E3736"/>
    <w:rsid w:val="009E4531"/>
    <w:rsid w:val="009E6D0C"/>
    <w:rsid w:val="009F2C3C"/>
    <w:rsid w:val="009F3C14"/>
    <w:rsid w:val="009F5E63"/>
    <w:rsid w:val="00A04BE5"/>
    <w:rsid w:val="00A07F3B"/>
    <w:rsid w:val="00A11772"/>
    <w:rsid w:val="00A15649"/>
    <w:rsid w:val="00A17736"/>
    <w:rsid w:val="00A200EA"/>
    <w:rsid w:val="00A23181"/>
    <w:rsid w:val="00A24340"/>
    <w:rsid w:val="00A26AD5"/>
    <w:rsid w:val="00A26C73"/>
    <w:rsid w:val="00A30D04"/>
    <w:rsid w:val="00A37AEC"/>
    <w:rsid w:val="00A46B75"/>
    <w:rsid w:val="00A54A71"/>
    <w:rsid w:val="00A5582B"/>
    <w:rsid w:val="00A558B4"/>
    <w:rsid w:val="00A603B7"/>
    <w:rsid w:val="00A604C9"/>
    <w:rsid w:val="00A639B1"/>
    <w:rsid w:val="00A641F7"/>
    <w:rsid w:val="00A64F6E"/>
    <w:rsid w:val="00A668B7"/>
    <w:rsid w:val="00A70057"/>
    <w:rsid w:val="00A71162"/>
    <w:rsid w:val="00A71D0A"/>
    <w:rsid w:val="00A75BFD"/>
    <w:rsid w:val="00A838B2"/>
    <w:rsid w:val="00A900E8"/>
    <w:rsid w:val="00A922E8"/>
    <w:rsid w:val="00AA6D51"/>
    <w:rsid w:val="00AB21A0"/>
    <w:rsid w:val="00AB2BBB"/>
    <w:rsid w:val="00AB592D"/>
    <w:rsid w:val="00AC4BEC"/>
    <w:rsid w:val="00AD1D62"/>
    <w:rsid w:val="00AD5CE8"/>
    <w:rsid w:val="00AD633A"/>
    <w:rsid w:val="00AE0150"/>
    <w:rsid w:val="00AE1E63"/>
    <w:rsid w:val="00AE2AF3"/>
    <w:rsid w:val="00AE67D4"/>
    <w:rsid w:val="00AE760A"/>
    <w:rsid w:val="00AF5795"/>
    <w:rsid w:val="00B02624"/>
    <w:rsid w:val="00B02932"/>
    <w:rsid w:val="00B03E65"/>
    <w:rsid w:val="00B0612B"/>
    <w:rsid w:val="00B06B4E"/>
    <w:rsid w:val="00B106D7"/>
    <w:rsid w:val="00B1430D"/>
    <w:rsid w:val="00B14C55"/>
    <w:rsid w:val="00B1784B"/>
    <w:rsid w:val="00B202CF"/>
    <w:rsid w:val="00B20D3D"/>
    <w:rsid w:val="00B22278"/>
    <w:rsid w:val="00B230E3"/>
    <w:rsid w:val="00B252D7"/>
    <w:rsid w:val="00B25D3D"/>
    <w:rsid w:val="00B269D8"/>
    <w:rsid w:val="00B30DAC"/>
    <w:rsid w:val="00B338F7"/>
    <w:rsid w:val="00B35D35"/>
    <w:rsid w:val="00B363CD"/>
    <w:rsid w:val="00B40374"/>
    <w:rsid w:val="00B45CAB"/>
    <w:rsid w:val="00B52ECE"/>
    <w:rsid w:val="00B56A9C"/>
    <w:rsid w:val="00B57A50"/>
    <w:rsid w:val="00B624C2"/>
    <w:rsid w:val="00B62AC8"/>
    <w:rsid w:val="00B71E22"/>
    <w:rsid w:val="00B735D2"/>
    <w:rsid w:val="00B73D79"/>
    <w:rsid w:val="00B77CD4"/>
    <w:rsid w:val="00B80B0B"/>
    <w:rsid w:val="00B830C3"/>
    <w:rsid w:val="00B83EE8"/>
    <w:rsid w:val="00B87969"/>
    <w:rsid w:val="00B93387"/>
    <w:rsid w:val="00B93ABA"/>
    <w:rsid w:val="00B953E6"/>
    <w:rsid w:val="00BA211D"/>
    <w:rsid w:val="00BA341B"/>
    <w:rsid w:val="00BB2E90"/>
    <w:rsid w:val="00BB4A94"/>
    <w:rsid w:val="00BB7CA0"/>
    <w:rsid w:val="00BC08D6"/>
    <w:rsid w:val="00BC0AA7"/>
    <w:rsid w:val="00BC1069"/>
    <w:rsid w:val="00BC6369"/>
    <w:rsid w:val="00BC6C5E"/>
    <w:rsid w:val="00BC7652"/>
    <w:rsid w:val="00BD1317"/>
    <w:rsid w:val="00BD50C8"/>
    <w:rsid w:val="00BD606A"/>
    <w:rsid w:val="00BD6EFA"/>
    <w:rsid w:val="00BD7023"/>
    <w:rsid w:val="00BD7903"/>
    <w:rsid w:val="00BD7E5B"/>
    <w:rsid w:val="00BE1178"/>
    <w:rsid w:val="00BE124F"/>
    <w:rsid w:val="00BE451E"/>
    <w:rsid w:val="00BE4C40"/>
    <w:rsid w:val="00BE6D74"/>
    <w:rsid w:val="00BE76AF"/>
    <w:rsid w:val="00BE7B5A"/>
    <w:rsid w:val="00C0031F"/>
    <w:rsid w:val="00C01261"/>
    <w:rsid w:val="00C016C0"/>
    <w:rsid w:val="00C0220E"/>
    <w:rsid w:val="00C0339E"/>
    <w:rsid w:val="00C043C2"/>
    <w:rsid w:val="00C07CE4"/>
    <w:rsid w:val="00C16F44"/>
    <w:rsid w:val="00C2719A"/>
    <w:rsid w:val="00C35A57"/>
    <w:rsid w:val="00C37896"/>
    <w:rsid w:val="00C446FC"/>
    <w:rsid w:val="00C44A68"/>
    <w:rsid w:val="00C45052"/>
    <w:rsid w:val="00C46AD7"/>
    <w:rsid w:val="00C53868"/>
    <w:rsid w:val="00C629F5"/>
    <w:rsid w:val="00C63D9F"/>
    <w:rsid w:val="00C648EF"/>
    <w:rsid w:val="00C6744C"/>
    <w:rsid w:val="00C738E7"/>
    <w:rsid w:val="00C73B3D"/>
    <w:rsid w:val="00C76E92"/>
    <w:rsid w:val="00C77488"/>
    <w:rsid w:val="00C81E9D"/>
    <w:rsid w:val="00C8207F"/>
    <w:rsid w:val="00C84AC8"/>
    <w:rsid w:val="00C86969"/>
    <w:rsid w:val="00C92B48"/>
    <w:rsid w:val="00C948A2"/>
    <w:rsid w:val="00C9621C"/>
    <w:rsid w:val="00CA368F"/>
    <w:rsid w:val="00CA410F"/>
    <w:rsid w:val="00CA593D"/>
    <w:rsid w:val="00CA6FD4"/>
    <w:rsid w:val="00CB09A7"/>
    <w:rsid w:val="00CB1A10"/>
    <w:rsid w:val="00CB2572"/>
    <w:rsid w:val="00CB5C11"/>
    <w:rsid w:val="00CB7012"/>
    <w:rsid w:val="00CC068B"/>
    <w:rsid w:val="00CC6CA7"/>
    <w:rsid w:val="00CC7D46"/>
    <w:rsid w:val="00CD4C42"/>
    <w:rsid w:val="00CE2DEC"/>
    <w:rsid w:val="00CE3852"/>
    <w:rsid w:val="00CF1E90"/>
    <w:rsid w:val="00CF3DBF"/>
    <w:rsid w:val="00CF737B"/>
    <w:rsid w:val="00D02D51"/>
    <w:rsid w:val="00D07D8A"/>
    <w:rsid w:val="00D1132D"/>
    <w:rsid w:val="00D1541F"/>
    <w:rsid w:val="00D16FA8"/>
    <w:rsid w:val="00D24668"/>
    <w:rsid w:val="00D24B55"/>
    <w:rsid w:val="00D24B9C"/>
    <w:rsid w:val="00D25032"/>
    <w:rsid w:val="00D25440"/>
    <w:rsid w:val="00D31B6B"/>
    <w:rsid w:val="00D32E7D"/>
    <w:rsid w:val="00D41DB8"/>
    <w:rsid w:val="00D43151"/>
    <w:rsid w:val="00D44B0A"/>
    <w:rsid w:val="00D50459"/>
    <w:rsid w:val="00D53671"/>
    <w:rsid w:val="00D569D3"/>
    <w:rsid w:val="00D577DB"/>
    <w:rsid w:val="00D65E0D"/>
    <w:rsid w:val="00D73C5C"/>
    <w:rsid w:val="00D74D88"/>
    <w:rsid w:val="00D76DE6"/>
    <w:rsid w:val="00D77157"/>
    <w:rsid w:val="00D775A7"/>
    <w:rsid w:val="00D81DF5"/>
    <w:rsid w:val="00D8252A"/>
    <w:rsid w:val="00D82A76"/>
    <w:rsid w:val="00D82F53"/>
    <w:rsid w:val="00D837F9"/>
    <w:rsid w:val="00D841D5"/>
    <w:rsid w:val="00D901CC"/>
    <w:rsid w:val="00DA16AC"/>
    <w:rsid w:val="00DA5C42"/>
    <w:rsid w:val="00DA7FDB"/>
    <w:rsid w:val="00DB38F5"/>
    <w:rsid w:val="00DB5A9D"/>
    <w:rsid w:val="00DC576E"/>
    <w:rsid w:val="00DC5839"/>
    <w:rsid w:val="00DD0DFF"/>
    <w:rsid w:val="00DD6E48"/>
    <w:rsid w:val="00DE03A9"/>
    <w:rsid w:val="00DE0519"/>
    <w:rsid w:val="00DE24CB"/>
    <w:rsid w:val="00DE7624"/>
    <w:rsid w:val="00DF1149"/>
    <w:rsid w:val="00DF53A3"/>
    <w:rsid w:val="00DF5FF4"/>
    <w:rsid w:val="00E02022"/>
    <w:rsid w:val="00E0226A"/>
    <w:rsid w:val="00E037F7"/>
    <w:rsid w:val="00E03D4A"/>
    <w:rsid w:val="00E077E1"/>
    <w:rsid w:val="00E100C7"/>
    <w:rsid w:val="00E27BC8"/>
    <w:rsid w:val="00E36D9D"/>
    <w:rsid w:val="00E453F8"/>
    <w:rsid w:val="00E509F4"/>
    <w:rsid w:val="00E54604"/>
    <w:rsid w:val="00E55A0A"/>
    <w:rsid w:val="00E61509"/>
    <w:rsid w:val="00E61C79"/>
    <w:rsid w:val="00E7042A"/>
    <w:rsid w:val="00E70731"/>
    <w:rsid w:val="00E71B77"/>
    <w:rsid w:val="00E73DC6"/>
    <w:rsid w:val="00E748B7"/>
    <w:rsid w:val="00E852FF"/>
    <w:rsid w:val="00E86A98"/>
    <w:rsid w:val="00E93CEC"/>
    <w:rsid w:val="00E9626C"/>
    <w:rsid w:val="00EA5900"/>
    <w:rsid w:val="00EA7E2E"/>
    <w:rsid w:val="00EB0502"/>
    <w:rsid w:val="00EB2A66"/>
    <w:rsid w:val="00EB3C28"/>
    <w:rsid w:val="00EC1762"/>
    <w:rsid w:val="00EC2083"/>
    <w:rsid w:val="00EC2736"/>
    <w:rsid w:val="00EC27CF"/>
    <w:rsid w:val="00EC744B"/>
    <w:rsid w:val="00EC7F82"/>
    <w:rsid w:val="00ED160E"/>
    <w:rsid w:val="00ED691D"/>
    <w:rsid w:val="00ED75EE"/>
    <w:rsid w:val="00EE446C"/>
    <w:rsid w:val="00EE4512"/>
    <w:rsid w:val="00EE5A26"/>
    <w:rsid w:val="00EE7249"/>
    <w:rsid w:val="00EF0117"/>
    <w:rsid w:val="00EF034B"/>
    <w:rsid w:val="00EF31A1"/>
    <w:rsid w:val="00EF7679"/>
    <w:rsid w:val="00F01DDD"/>
    <w:rsid w:val="00F0456D"/>
    <w:rsid w:val="00F0469E"/>
    <w:rsid w:val="00F049ED"/>
    <w:rsid w:val="00F05D6C"/>
    <w:rsid w:val="00F066B3"/>
    <w:rsid w:val="00F07845"/>
    <w:rsid w:val="00F1176E"/>
    <w:rsid w:val="00F124AB"/>
    <w:rsid w:val="00F147DC"/>
    <w:rsid w:val="00F16B5A"/>
    <w:rsid w:val="00F2580D"/>
    <w:rsid w:val="00F261E5"/>
    <w:rsid w:val="00F30617"/>
    <w:rsid w:val="00F31876"/>
    <w:rsid w:val="00F34B14"/>
    <w:rsid w:val="00F35E35"/>
    <w:rsid w:val="00F404A0"/>
    <w:rsid w:val="00F41132"/>
    <w:rsid w:val="00F42381"/>
    <w:rsid w:val="00F53545"/>
    <w:rsid w:val="00F5406A"/>
    <w:rsid w:val="00F541A1"/>
    <w:rsid w:val="00F56E54"/>
    <w:rsid w:val="00F57E57"/>
    <w:rsid w:val="00F77A57"/>
    <w:rsid w:val="00F82EFF"/>
    <w:rsid w:val="00F844DD"/>
    <w:rsid w:val="00F91301"/>
    <w:rsid w:val="00F921BE"/>
    <w:rsid w:val="00F930D5"/>
    <w:rsid w:val="00F94936"/>
    <w:rsid w:val="00F95163"/>
    <w:rsid w:val="00FB2AE5"/>
    <w:rsid w:val="00FB3383"/>
    <w:rsid w:val="00FB7582"/>
    <w:rsid w:val="00FC15D2"/>
    <w:rsid w:val="00FC1B12"/>
    <w:rsid w:val="00FC63DE"/>
    <w:rsid w:val="00FD1D59"/>
    <w:rsid w:val="00FD21CB"/>
    <w:rsid w:val="00FD303E"/>
    <w:rsid w:val="00FE0645"/>
    <w:rsid w:val="00FE748F"/>
    <w:rsid w:val="00FF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20D3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40"/>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40"/>
    <w:pPr>
      <w:ind w:left="720"/>
      <w:contextualSpacing/>
    </w:pPr>
  </w:style>
  <w:style w:type="paragraph" w:customStyle="1" w:styleId="Level1">
    <w:name w:val="Level 1"/>
    <w:basedOn w:val="Normal"/>
    <w:rsid w:val="000242D2"/>
    <w:pPr>
      <w:ind w:left="1440" w:hanging="720"/>
    </w:pPr>
  </w:style>
  <w:style w:type="paragraph" w:customStyle="1" w:styleId="HHeading2">
    <w:name w:val="HHeading 2"/>
    <w:basedOn w:val="Normal"/>
    <w:rsid w:val="000242D2"/>
    <w:rPr>
      <w:b/>
      <w:bCs/>
      <w:sz w:val="22"/>
      <w:szCs w:val="22"/>
      <w:u w:val="single"/>
    </w:rPr>
  </w:style>
  <w:style w:type="paragraph" w:customStyle="1" w:styleId="BodyTextI1">
    <w:name w:val="Body Text I1"/>
    <w:basedOn w:val="Normal"/>
    <w:rsid w:val="000242D2"/>
    <w:pPr>
      <w:ind w:firstLine="720"/>
    </w:pPr>
    <w:rPr>
      <w:sz w:val="22"/>
      <w:szCs w:val="22"/>
    </w:rPr>
  </w:style>
  <w:style w:type="character" w:styleId="CommentReference">
    <w:name w:val="annotation reference"/>
    <w:basedOn w:val="DefaultParagraphFont"/>
    <w:uiPriority w:val="99"/>
    <w:semiHidden/>
    <w:unhideWhenUsed/>
    <w:rsid w:val="00C01261"/>
    <w:rPr>
      <w:sz w:val="16"/>
      <w:szCs w:val="16"/>
    </w:rPr>
  </w:style>
  <w:style w:type="paragraph" w:styleId="CommentText">
    <w:name w:val="annotation text"/>
    <w:basedOn w:val="Normal"/>
    <w:link w:val="CommentTextChar"/>
    <w:uiPriority w:val="99"/>
    <w:unhideWhenUsed/>
    <w:rsid w:val="00B56A9C"/>
    <w:rPr>
      <w:sz w:val="20"/>
      <w:szCs w:val="20"/>
    </w:rPr>
  </w:style>
  <w:style w:type="character" w:customStyle="1" w:styleId="CommentTextChar">
    <w:name w:val="Comment Text Char"/>
    <w:basedOn w:val="DefaultParagraphFont"/>
    <w:link w:val="CommentText"/>
    <w:uiPriority w:val="99"/>
    <w:rsid w:val="00C01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261"/>
    <w:rPr>
      <w:b/>
      <w:bCs/>
    </w:rPr>
  </w:style>
  <w:style w:type="character" w:customStyle="1" w:styleId="CommentSubjectChar">
    <w:name w:val="Comment Subject Char"/>
    <w:basedOn w:val="CommentTextChar"/>
    <w:link w:val="CommentSubject"/>
    <w:uiPriority w:val="99"/>
    <w:semiHidden/>
    <w:rsid w:val="00C01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1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61"/>
    <w:rPr>
      <w:rFonts w:ascii="Segoe UI" w:eastAsia="Times New Roman" w:hAnsi="Segoe UI" w:cs="Segoe UI"/>
      <w:sz w:val="18"/>
      <w:szCs w:val="18"/>
    </w:rPr>
  </w:style>
  <w:style w:type="table" w:customStyle="1" w:styleId="TableGridLight1">
    <w:name w:val="Table Grid Light1"/>
    <w:basedOn w:val="TableNormal"/>
    <w:uiPriority w:val="40"/>
    <w:rsid w:val="004E5FA8"/>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56A9C"/>
    <w:pPr>
      <w:widowControl/>
      <w:adjustRightInd/>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313D8C"/>
    <w:rPr>
      <w:rFonts w:eastAsiaTheme="minorEastAsia"/>
      <w:sz w:val="20"/>
      <w:szCs w:val="20"/>
    </w:rPr>
  </w:style>
  <w:style w:type="character" w:styleId="FootnoteReference">
    <w:name w:val="footnote reference"/>
    <w:basedOn w:val="DefaultParagraphFont"/>
    <w:uiPriority w:val="99"/>
    <w:unhideWhenUsed/>
    <w:rsid w:val="00B56A9C"/>
    <w:rPr>
      <w:vertAlign w:val="superscript"/>
    </w:rPr>
  </w:style>
  <w:style w:type="character" w:styleId="Hyperlink">
    <w:name w:val="Hyperlink"/>
    <w:basedOn w:val="DefaultParagraphFont"/>
    <w:uiPriority w:val="99"/>
    <w:unhideWhenUsed/>
    <w:rsid w:val="00313D8C"/>
    <w:rPr>
      <w:color w:val="0563C1" w:themeColor="hyperlink"/>
      <w:u w:val="single"/>
    </w:rPr>
  </w:style>
  <w:style w:type="table" w:customStyle="1" w:styleId="TableGrid2">
    <w:name w:val="Table Grid2"/>
    <w:basedOn w:val="TableNormal"/>
    <w:next w:val="TableGrid"/>
    <w:uiPriority w:val="39"/>
    <w:rsid w:val="0031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D22DE"/>
    <w:rPr>
      <w:i/>
      <w:iCs/>
    </w:rPr>
  </w:style>
  <w:style w:type="character" w:styleId="Strong">
    <w:name w:val="Strong"/>
    <w:basedOn w:val="DefaultParagraphFont"/>
    <w:uiPriority w:val="22"/>
    <w:qFormat/>
    <w:rsid w:val="004D22DE"/>
    <w:rPr>
      <w:b/>
      <w:bCs/>
    </w:rPr>
  </w:style>
  <w:style w:type="character" w:styleId="BookTitle">
    <w:name w:val="Book Title"/>
    <w:basedOn w:val="DefaultParagraphFont"/>
    <w:uiPriority w:val="33"/>
    <w:qFormat/>
    <w:rsid w:val="004D22DE"/>
    <w:rPr>
      <w:b/>
      <w:bCs/>
      <w:i/>
      <w:iCs/>
      <w:spacing w:val="5"/>
    </w:rPr>
  </w:style>
  <w:style w:type="character" w:styleId="SubtleEmphasis">
    <w:name w:val="Subtle Emphasis"/>
    <w:basedOn w:val="DefaultParagraphFont"/>
    <w:uiPriority w:val="19"/>
    <w:qFormat/>
    <w:rsid w:val="004D22DE"/>
    <w:rPr>
      <w:i/>
      <w:iCs/>
      <w:color w:val="404040" w:themeColor="text1" w:themeTint="BF"/>
    </w:rPr>
  </w:style>
  <w:style w:type="paragraph" w:styleId="Header">
    <w:name w:val="header"/>
    <w:basedOn w:val="Normal"/>
    <w:link w:val="HeaderChar"/>
    <w:uiPriority w:val="99"/>
    <w:unhideWhenUsed/>
    <w:rsid w:val="00584790"/>
    <w:pPr>
      <w:tabs>
        <w:tab w:val="center" w:pos="4680"/>
        <w:tab w:val="right" w:pos="9360"/>
      </w:tabs>
    </w:pPr>
  </w:style>
  <w:style w:type="character" w:customStyle="1" w:styleId="HeaderChar">
    <w:name w:val="Header Char"/>
    <w:basedOn w:val="DefaultParagraphFont"/>
    <w:link w:val="Header"/>
    <w:uiPriority w:val="99"/>
    <w:rsid w:val="005847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790"/>
    <w:pPr>
      <w:tabs>
        <w:tab w:val="center" w:pos="4680"/>
        <w:tab w:val="right" w:pos="9360"/>
      </w:tabs>
    </w:pPr>
  </w:style>
  <w:style w:type="character" w:customStyle="1" w:styleId="FooterChar">
    <w:name w:val="Footer Char"/>
    <w:basedOn w:val="DefaultParagraphFont"/>
    <w:link w:val="Footer"/>
    <w:uiPriority w:val="99"/>
    <w:rsid w:val="0058479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20D3D"/>
    <w:pPr>
      <w:spacing w:after="200"/>
    </w:pPr>
    <w:rPr>
      <w:i/>
      <w:iCs/>
      <w:color w:val="44546A" w:themeColor="text2"/>
      <w:sz w:val="18"/>
      <w:szCs w:val="18"/>
    </w:rPr>
  </w:style>
  <w:style w:type="paragraph" w:styleId="Revision">
    <w:name w:val="Revision"/>
    <w:hidden/>
    <w:uiPriority w:val="99"/>
    <w:semiHidden/>
    <w:rsid w:val="004654A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540"/>
    <w:pPr>
      <w:widowControl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40"/>
    <w:pPr>
      <w:ind w:left="720"/>
      <w:contextualSpacing/>
    </w:pPr>
  </w:style>
  <w:style w:type="paragraph" w:customStyle="1" w:styleId="Level1">
    <w:name w:val="Level 1"/>
    <w:basedOn w:val="Normal"/>
    <w:rsid w:val="000242D2"/>
    <w:pPr>
      <w:ind w:left="1440" w:hanging="720"/>
    </w:pPr>
  </w:style>
  <w:style w:type="paragraph" w:customStyle="1" w:styleId="HHeading2">
    <w:name w:val="HHeading 2"/>
    <w:basedOn w:val="Normal"/>
    <w:rsid w:val="000242D2"/>
    <w:rPr>
      <w:b/>
      <w:bCs/>
      <w:sz w:val="22"/>
      <w:szCs w:val="22"/>
      <w:u w:val="single"/>
    </w:rPr>
  </w:style>
  <w:style w:type="paragraph" w:customStyle="1" w:styleId="BodyTextI1">
    <w:name w:val="Body Text I1"/>
    <w:basedOn w:val="Normal"/>
    <w:rsid w:val="000242D2"/>
    <w:pPr>
      <w:ind w:firstLine="720"/>
    </w:pPr>
    <w:rPr>
      <w:sz w:val="22"/>
      <w:szCs w:val="22"/>
    </w:rPr>
  </w:style>
  <w:style w:type="character" w:styleId="CommentReference">
    <w:name w:val="annotation reference"/>
    <w:basedOn w:val="DefaultParagraphFont"/>
    <w:uiPriority w:val="99"/>
    <w:semiHidden/>
    <w:unhideWhenUsed/>
    <w:rsid w:val="00C01261"/>
    <w:rPr>
      <w:sz w:val="16"/>
      <w:szCs w:val="16"/>
    </w:rPr>
  </w:style>
  <w:style w:type="paragraph" w:styleId="CommentText">
    <w:name w:val="annotation text"/>
    <w:basedOn w:val="Normal"/>
    <w:link w:val="CommentTextChar"/>
    <w:uiPriority w:val="99"/>
    <w:unhideWhenUsed/>
    <w:rsid w:val="00B56A9C"/>
    <w:rPr>
      <w:sz w:val="20"/>
      <w:szCs w:val="20"/>
    </w:rPr>
  </w:style>
  <w:style w:type="character" w:customStyle="1" w:styleId="CommentTextChar">
    <w:name w:val="Comment Text Char"/>
    <w:basedOn w:val="DefaultParagraphFont"/>
    <w:link w:val="CommentText"/>
    <w:uiPriority w:val="99"/>
    <w:rsid w:val="00C01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261"/>
    <w:rPr>
      <w:b/>
      <w:bCs/>
    </w:rPr>
  </w:style>
  <w:style w:type="character" w:customStyle="1" w:styleId="CommentSubjectChar">
    <w:name w:val="Comment Subject Char"/>
    <w:basedOn w:val="CommentTextChar"/>
    <w:link w:val="CommentSubject"/>
    <w:uiPriority w:val="99"/>
    <w:semiHidden/>
    <w:rsid w:val="00C01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01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61"/>
    <w:rPr>
      <w:rFonts w:ascii="Segoe UI" w:eastAsia="Times New Roman" w:hAnsi="Segoe UI" w:cs="Segoe UI"/>
      <w:sz w:val="18"/>
      <w:szCs w:val="18"/>
    </w:rPr>
  </w:style>
  <w:style w:type="table" w:customStyle="1" w:styleId="TableGridLight1">
    <w:name w:val="Table Grid Light1"/>
    <w:basedOn w:val="TableNormal"/>
    <w:uiPriority w:val="40"/>
    <w:rsid w:val="004E5FA8"/>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A7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56A9C"/>
    <w:pPr>
      <w:widowControl/>
      <w:adjustRightInd/>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313D8C"/>
    <w:rPr>
      <w:rFonts w:eastAsiaTheme="minorEastAsia"/>
      <w:sz w:val="20"/>
      <w:szCs w:val="20"/>
    </w:rPr>
  </w:style>
  <w:style w:type="character" w:styleId="FootnoteReference">
    <w:name w:val="footnote reference"/>
    <w:basedOn w:val="DefaultParagraphFont"/>
    <w:uiPriority w:val="99"/>
    <w:unhideWhenUsed/>
    <w:rsid w:val="00B56A9C"/>
    <w:rPr>
      <w:vertAlign w:val="superscript"/>
    </w:rPr>
  </w:style>
  <w:style w:type="character" w:styleId="Hyperlink">
    <w:name w:val="Hyperlink"/>
    <w:basedOn w:val="DefaultParagraphFont"/>
    <w:uiPriority w:val="99"/>
    <w:unhideWhenUsed/>
    <w:rsid w:val="00313D8C"/>
    <w:rPr>
      <w:color w:val="0563C1" w:themeColor="hyperlink"/>
      <w:u w:val="single"/>
    </w:rPr>
  </w:style>
  <w:style w:type="table" w:customStyle="1" w:styleId="TableGrid2">
    <w:name w:val="Table Grid2"/>
    <w:basedOn w:val="TableNormal"/>
    <w:next w:val="TableGrid"/>
    <w:uiPriority w:val="39"/>
    <w:rsid w:val="00313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D22DE"/>
    <w:rPr>
      <w:i/>
      <w:iCs/>
    </w:rPr>
  </w:style>
  <w:style w:type="character" w:styleId="Strong">
    <w:name w:val="Strong"/>
    <w:basedOn w:val="DefaultParagraphFont"/>
    <w:uiPriority w:val="22"/>
    <w:qFormat/>
    <w:rsid w:val="004D22DE"/>
    <w:rPr>
      <w:b/>
      <w:bCs/>
    </w:rPr>
  </w:style>
  <w:style w:type="character" w:styleId="BookTitle">
    <w:name w:val="Book Title"/>
    <w:basedOn w:val="DefaultParagraphFont"/>
    <w:uiPriority w:val="33"/>
    <w:qFormat/>
    <w:rsid w:val="004D22DE"/>
    <w:rPr>
      <w:b/>
      <w:bCs/>
      <w:i/>
      <w:iCs/>
      <w:spacing w:val="5"/>
    </w:rPr>
  </w:style>
  <w:style w:type="character" w:styleId="SubtleEmphasis">
    <w:name w:val="Subtle Emphasis"/>
    <w:basedOn w:val="DefaultParagraphFont"/>
    <w:uiPriority w:val="19"/>
    <w:qFormat/>
    <w:rsid w:val="004D22DE"/>
    <w:rPr>
      <w:i/>
      <w:iCs/>
      <w:color w:val="404040" w:themeColor="text1" w:themeTint="BF"/>
    </w:rPr>
  </w:style>
  <w:style w:type="paragraph" w:styleId="Header">
    <w:name w:val="header"/>
    <w:basedOn w:val="Normal"/>
    <w:link w:val="HeaderChar"/>
    <w:uiPriority w:val="99"/>
    <w:unhideWhenUsed/>
    <w:rsid w:val="00584790"/>
    <w:pPr>
      <w:tabs>
        <w:tab w:val="center" w:pos="4680"/>
        <w:tab w:val="right" w:pos="9360"/>
      </w:tabs>
    </w:pPr>
  </w:style>
  <w:style w:type="character" w:customStyle="1" w:styleId="HeaderChar">
    <w:name w:val="Header Char"/>
    <w:basedOn w:val="DefaultParagraphFont"/>
    <w:link w:val="Header"/>
    <w:uiPriority w:val="99"/>
    <w:rsid w:val="005847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4790"/>
    <w:pPr>
      <w:tabs>
        <w:tab w:val="center" w:pos="4680"/>
        <w:tab w:val="right" w:pos="9360"/>
      </w:tabs>
    </w:pPr>
  </w:style>
  <w:style w:type="character" w:customStyle="1" w:styleId="FooterChar">
    <w:name w:val="Footer Char"/>
    <w:basedOn w:val="DefaultParagraphFont"/>
    <w:link w:val="Footer"/>
    <w:uiPriority w:val="99"/>
    <w:rsid w:val="00584790"/>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20D3D"/>
    <w:pPr>
      <w:spacing w:after="200"/>
    </w:pPr>
    <w:rPr>
      <w:i/>
      <w:iCs/>
      <w:color w:val="44546A" w:themeColor="text2"/>
      <w:sz w:val="18"/>
      <w:szCs w:val="18"/>
    </w:rPr>
  </w:style>
  <w:style w:type="paragraph" w:styleId="Revision">
    <w:name w:val="Revision"/>
    <w:hidden/>
    <w:uiPriority w:val="99"/>
    <w:semiHidden/>
    <w:rsid w:val="004654A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9267">
      <w:bodyDiv w:val="1"/>
      <w:marLeft w:val="0"/>
      <w:marRight w:val="0"/>
      <w:marTop w:val="0"/>
      <w:marBottom w:val="0"/>
      <w:divBdr>
        <w:top w:val="none" w:sz="0" w:space="0" w:color="auto"/>
        <w:left w:val="none" w:sz="0" w:space="0" w:color="auto"/>
        <w:bottom w:val="none" w:sz="0" w:space="0" w:color="auto"/>
        <w:right w:val="none" w:sz="0" w:space="0" w:color="auto"/>
      </w:divBdr>
    </w:div>
    <w:div w:id="91437290">
      <w:bodyDiv w:val="1"/>
      <w:marLeft w:val="0"/>
      <w:marRight w:val="0"/>
      <w:marTop w:val="0"/>
      <w:marBottom w:val="0"/>
      <w:divBdr>
        <w:top w:val="none" w:sz="0" w:space="0" w:color="auto"/>
        <w:left w:val="none" w:sz="0" w:space="0" w:color="auto"/>
        <w:bottom w:val="none" w:sz="0" w:space="0" w:color="auto"/>
        <w:right w:val="none" w:sz="0" w:space="0" w:color="auto"/>
      </w:divBdr>
    </w:div>
    <w:div w:id="194538908">
      <w:bodyDiv w:val="1"/>
      <w:marLeft w:val="0"/>
      <w:marRight w:val="0"/>
      <w:marTop w:val="0"/>
      <w:marBottom w:val="0"/>
      <w:divBdr>
        <w:top w:val="none" w:sz="0" w:space="0" w:color="auto"/>
        <w:left w:val="none" w:sz="0" w:space="0" w:color="auto"/>
        <w:bottom w:val="none" w:sz="0" w:space="0" w:color="auto"/>
        <w:right w:val="none" w:sz="0" w:space="0" w:color="auto"/>
      </w:divBdr>
    </w:div>
    <w:div w:id="209195975">
      <w:bodyDiv w:val="1"/>
      <w:marLeft w:val="0"/>
      <w:marRight w:val="0"/>
      <w:marTop w:val="0"/>
      <w:marBottom w:val="0"/>
      <w:divBdr>
        <w:top w:val="none" w:sz="0" w:space="0" w:color="auto"/>
        <w:left w:val="none" w:sz="0" w:space="0" w:color="auto"/>
        <w:bottom w:val="none" w:sz="0" w:space="0" w:color="auto"/>
        <w:right w:val="none" w:sz="0" w:space="0" w:color="auto"/>
      </w:divBdr>
    </w:div>
    <w:div w:id="248081752">
      <w:bodyDiv w:val="1"/>
      <w:marLeft w:val="0"/>
      <w:marRight w:val="0"/>
      <w:marTop w:val="0"/>
      <w:marBottom w:val="0"/>
      <w:divBdr>
        <w:top w:val="none" w:sz="0" w:space="0" w:color="auto"/>
        <w:left w:val="none" w:sz="0" w:space="0" w:color="auto"/>
        <w:bottom w:val="none" w:sz="0" w:space="0" w:color="auto"/>
        <w:right w:val="none" w:sz="0" w:space="0" w:color="auto"/>
      </w:divBdr>
    </w:div>
    <w:div w:id="279461380">
      <w:bodyDiv w:val="1"/>
      <w:marLeft w:val="0"/>
      <w:marRight w:val="0"/>
      <w:marTop w:val="0"/>
      <w:marBottom w:val="0"/>
      <w:divBdr>
        <w:top w:val="none" w:sz="0" w:space="0" w:color="auto"/>
        <w:left w:val="none" w:sz="0" w:space="0" w:color="auto"/>
        <w:bottom w:val="none" w:sz="0" w:space="0" w:color="auto"/>
        <w:right w:val="none" w:sz="0" w:space="0" w:color="auto"/>
      </w:divBdr>
    </w:div>
    <w:div w:id="351222984">
      <w:bodyDiv w:val="1"/>
      <w:marLeft w:val="0"/>
      <w:marRight w:val="0"/>
      <w:marTop w:val="0"/>
      <w:marBottom w:val="0"/>
      <w:divBdr>
        <w:top w:val="none" w:sz="0" w:space="0" w:color="auto"/>
        <w:left w:val="none" w:sz="0" w:space="0" w:color="auto"/>
        <w:bottom w:val="none" w:sz="0" w:space="0" w:color="auto"/>
        <w:right w:val="none" w:sz="0" w:space="0" w:color="auto"/>
      </w:divBdr>
    </w:div>
    <w:div w:id="364407228">
      <w:bodyDiv w:val="1"/>
      <w:marLeft w:val="0"/>
      <w:marRight w:val="0"/>
      <w:marTop w:val="0"/>
      <w:marBottom w:val="0"/>
      <w:divBdr>
        <w:top w:val="none" w:sz="0" w:space="0" w:color="auto"/>
        <w:left w:val="none" w:sz="0" w:space="0" w:color="auto"/>
        <w:bottom w:val="none" w:sz="0" w:space="0" w:color="auto"/>
        <w:right w:val="none" w:sz="0" w:space="0" w:color="auto"/>
      </w:divBdr>
    </w:div>
    <w:div w:id="369112338">
      <w:bodyDiv w:val="1"/>
      <w:marLeft w:val="0"/>
      <w:marRight w:val="0"/>
      <w:marTop w:val="0"/>
      <w:marBottom w:val="0"/>
      <w:divBdr>
        <w:top w:val="none" w:sz="0" w:space="0" w:color="auto"/>
        <w:left w:val="none" w:sz="0" w:space="0" w:color="auto"/>
        <w:bottom w:val="none" w:sz="0" w:space="0" w:color="auto"/>
        <w:right w:val="none" w:sz="0" w:space="0" w:color="auto"/>
      </w:divBdr>
    </w:div>
    <w:div w:id="376587936">
      <w:bodyDiv w:val="1"/>
      <w:marLeft w:val="0"/>
      <w:marRight w:val="0"/>
      <w:marTop w:val="0"/>
      <w:marBottom w:val="0"/>
      <w:divBdr>
        <w:top w:val="none" w:sz="0" w:space="0" w:color="auto"/>
        <w:left w:val="none" w:sz="0" w:space="0" w:color="auto"/>
        <w:bottom w:val="none" w:sz="0" w:space="0" w:color="auto"/>
        <w:right w:val="none" w:sz="0" w:space="0" w:color="auto"/>
      </w:divBdr>
    </w:div>
    <w:div w:id="443499529">
      <w:bodyDiv w:val="1"/>
      <w:marLeft w:val="0"/>
      <w:marRight w:val="0"/>
      <w:marTop w:val="0"/>
      <w:marBottom w:val="0"/>
      <w:divBdr>
        <w:top w:val="none" w:sz="0" w:space="0" w:color="auto"/>
        <w:left w:val="none" w:sz="0" w:space="0" w:color="auto"/>
        <w:bottom w:val="none" w:sz="0" w:space="0" w:color="auto"/>
        <w:right w:val="none" w:sz="0" w:space="0" w:color="auto"/>
      </w:divBdr>
    </w:div>
    <w:div w:id="448748148">
      <w:bodyDiv w:val="1"/>
      <w:marLeft w:val="0"/>
      <w:marRight w:val="0"/>
      <w:marTop w:val="0"/>
      <w:marBottom w:val="0"/>
      <w:divBdr>
        <w:top w:val="none" w:sz="0" w:space="0" w:color="auto"/>
        <w:left w:val="none" w:sz="0" w:space="0" w:color="auto"/>
        <w:bottom w:val="none" w:sz="0" w:space="0" w:color="auto"/>
        <w:right w:val="none" w:sz="0" w:space="0" w:color="auto"/>
      </w:divBdr>
    </w:div>
    <w:div w:id="449052763">
      <w:bodyDiv w:val="1"/>
      <w:marLeft w:val="0"/>
      <w:marRight w:val="0"/>
      <w:marTop w:val="0"/>
      <w:marBottom w:val="0"/>
      <w:divBdr>
        <w:top w:val="none" w:sz="0" w:space="0" w:color="auto"/>
        <w:left w:val="none" w:sz="0" w:space="0" w:color="auto"/>
        <w:bottom w:val="none" w:sz="0" w:space="0" w:color="auto"/>
        <w:right w:val="none" w:sz="0" w:space="0" w:color="auto"/>
      </w:divBdr>
    </w:div>
    <w:div w:id="450050591">
      <w:bodyDiv w:val="1"/>
      <w:marLeft w:val="0"/>
      <w:marRight w:val="0"/>
      <w:marTop w:val="0"/>
      <w:marBottom w:val="0"/>
      <w:divBdr>
        <w:top w:val="none" w:sz="0" w:space="0" w:color="auto"/>
        <w:left w:val="none" w:sz="0" w:space="0" w:color="auto"/>
        <w:bottom w:val="none" w:sz="0" w:space="0" w:color="auto"/>
        <w:right w:val="none" w:sz="0" w:space="0" w:color="auto"/>
      </w:divBdr>
    </w:div>
    <w:div w:id="493571637">
      <w:bodyDiv w:val="1"/>
      <w:marLeft w:val="0"/>
      <w:marRight w:val="0"/>
      <w:marTop w:val="0"/>
      <w:marBottom w:val="0"/>
      <w:divBdr>
        <w:top w:val="none" w:sz="0" w:space="0" w:color="auto"/>
        <w:left w:val="none" w:sz="0" w:space="0" w:color="auto"/>
        <w:bottom w:val="none" w:sz="0" w:space="0" w:color="auto"/>
        <w:right w:val="none" w:sz="0" w:space="0" w:color="auto"/>
      </w:divBdr>
    </w:div>
    <w:div w:id="511841139">
      <w:bodyDiv w:val="1"/>
      <w:marLeft w:val="0"/>
      <w:marRight w:val="0"/>
      <w:marTop w:val="0"/>
      <w:marBottom w:val="0"/>
      <w:divBdr>
        <w:top w:val="none" w:sz="0" w:space="0" w:color="auto"/>
        <w:left w:val="none" w:sz="0" w:space="0" w:color="auto"/>
        <w:bottom w:val="none" w:sz="0" w:space="0" w:color="auto"/>
        <w:right w:val="none" w:sz="0" w:space="0" w:color="auto"/>
      </w:divBdr>
    </w:div>
    <w:div w:id="555090236">
      <w:bodyDiv w:val="1"/>
      <w:marLeft w:val="0"/>
      <w:marRight w:val="0"/>
      <w:marTop w:val="0"/>
      <w:marBottom w:val="0"/>
      <w:divBdr>
        <w:top w:val="none" w:sz="0" w:space="0" w:color="auto"/>
        <w:left w:val="none" w:sz="0" w:space="0" w:color="auto"/>
        <w:bottom w:val="none" w:sz="0" w:space="0" w:color="auto"/>
        <w:right w:val="none" w:sz="0" w:space="0" w:color="auto"/>
      </w:divBdr>
    </w:div>
    <w:div w:id="563756459">
      <w:bodyDiv w:val="1"/>
      <w:marLeft w:val="0"/>
      <w:marRight w:val="0"/>
      <w:marTop w:val="0"/>
      <w:marBottom w:val="0"/>
      <w:divBdr>
        <w:top w:val="none" w:sz="0" w:space="0" w:color="auto"/>
        <w:left w:val="none" w:sz="0" w:space="0" w:color="auto"/>
        <w:bottom w:val="none" w:sz="0" w:space="0" w:color="auto"/>
        <w:right w:val="none" w:sz="0" w:space="0" w:color="auto"/>
      </w:divBdr>
    </w:div>
    <w:div w:id="628247935">
      <w:bodyDiv w:val="1"/>
      <w:marLeft w:val="0"/>
      <w:marRight w:val="0"/>
      <w:marTop w:val="0"/>
      <w:marBottom w:val="0"/>
      <w:divBdr>
        <w:top w:val="none" w:sz="0" w:space="0" w:color="auto"/>
        <w:left w:val="none" w:sz="0" w:space="0" w:color="auto"/>
        <w:bottom w:val="none" w:sz="0" w:space="0" w:color="auto"/>
        <w:right w:val="none" w:sz="0" w:space="0" w:color="auto"/>
      </w:divBdr>
    </w:div>
    <w:div w:id="680201651">
      <w:bodyDiv w:val="1"/>
      <w:marLeft w:val="0"/>
      <w:marRight w:val="0"/>
      <w:marTop w:val="0"/>
      <w:marBottom w:val="0"/>
      <w:divBdr>
        <w:top w:val="none" w:sz="0" w:space="0" w:color="auto"/>
        <w:left w:val="none" w:sz="0" w:space="0" w:color="auto"/>
        <w:bottom w:val="none" w:sz="0" w:space="0" w:color="auto"/>
        <w:right w:val="none" w:sz="0" w:space="0" w:color="auto"/>
      </w:divBdr>
    </w:div>
    <w:div w:id="753741738">
      <w:bodyDiv w:val="1"/>
      <w:marLeft w:val="0"/>
      <w:marRight w:val="0"/>
      <w:marTop w:val="0"/>
      <w:marBottom w:val="0"/>
      <w:divBdr>
        <w:top w:val="none" w:sz="0" w:space="0" w:color="auto"/>
        <w:left w:val="none" w:sz="0" w:space="0" w:color="auto"/>
        <w:bottom w:val="none" w:sz="0" w:space="0" w:color="auto"/>
        <w:right w:val="none" w:sz="0" w:space="0" w:color="auto"/>
      </w:divBdr>
    </w:div>
    <w:div w:id="770392166">
      <w:bodyDiv w:val="1"/>
      <w:marLeft w:val="0"/>
      <w:marRight w:val="0"/>
      <w:marTop w:val="0"/>
      <w:marBottom w:val="0"/>
      <w:divBdr>
        <w:top w:val="none" w:sz="0" w:space="0" w:color="auto"/>
        <w:left w:val="none" w:sz="0" w:space="0" w:color="auto"/>
        <w:bottom w:val="none" w:sz="0" w:space="0" w:color="auto"/>
        <w:right w:val="none" w:sz="0" w:space="0" w:color="auto"/>
      </w:divBdr>
    </w:div>
    <w:div w:id="782648690">
      <w:bodyDiv w:val="1"/>
      <w:marLeft w:val="0"/>
      <w:marRight w:val="0"/>
      <w:marTop w:val="0"/>
      <w:marBottom w:val="0"/>
      <w:divBdr>
        <w:top w:val="none" w:sz="0" w:space="0" w:color="auto"/>
        <w:left w:val="none" w:sz="0" w:space="0" w:color="auto"/>
        <w:bottom w:val="none" w:sz="0" w:space="0" w:color="auto"/>
        <w:right w:val="none" w:sz="0" w:space="0" w:color="auto"/>
      </w:divBdr>
    </w:div>
    <w:div w:id="826362265">
      <w:bodyDiv w:val="1"/>
      <w:marLeft w:val="0"/>
      <w:marRight w:val="0"/>
      <w:marTop w:val="0"/>
      <w:marBottom w:val="0"/>
      <w:divBdr>
        <w:top w:val="none" w:sz="0" w:space="0" w:color="auto"/>
        <w:left w:val="none" w:sz="0" w:space="0" w:color="auto"/>
        <w:bottom w:val="none" w:sz="0" w:space="0" w:color="auto"/>
        <w:right w:val="none" w:sz="0" w:space="0" w:color="auto"/>
      </w:divBdr>
    </w:div>
    <w:div w:id="830022645">
      <w:bodyDiv w:val="1"/>
      <w:marLeft w:val="0"/>
      <w:marRight w:val="0"/>
      <w:marTop w:val="0"/>
      <w:marBottom w:val="0"/>
      <w:divBdr>
        <w:top w:val="none" w:sz="0" w:space="0" w:color="auto"/>
        <w:left w:val="none" w:sz="0" w:space="0" w:color="auto"/>
        <w:bottom w:val="none" w:sz="0" w:space="0" w:color="auto"/>
        <w:right w:val="none" w:sz="0" w:space="0" w:color="auto"/>
      </w:divBdr>
    </w:div>
    <w:div w:id="855845506">
      <w:bodyDiv w:val="1"/>
      <w:marLeft w:val="0"/>
      <w:marRight w:val="0"/>
      <w:marTop w:val="0"/>
      <w:marBottom w:val="0"/>
      <w:divBdr>
        <w:top w:val="none" w:sz="0" w:space="0" w:color="auto"/>
        <w:left w:val="none" w:sz="0" w:space="0" w:color="auto"/>
        <w:bottom w:val="none" w:sz="0" w:space="0" w:color="auto"/>
        <w:right w:val="none" w:sz="0" w:space="0" w:color="auto"/>
      </w:divBdr>
    </w:div>
    <w:div w:id="861938897">
      <w:bodyDiv w:val="1"/>
      <w:marLeft w:val="0"/>
      <w:marRight w:val="0"/>
      <w:marTop w:val="0"/>
      <w:marBottom w:val="0"/>
      <w:divBdr>
        <w:top w:val="none" w:sz="0" w:space="0" w:color="auto"/>
        <w:left w:val="none" w:sz="0" w:space="0" w:color="auto"/>
        <w:bottom w:val="none" w:sz="0" w:space="0" w:color="auto"/>
        <w:right w:val="none" w:sz="0" w:space="0" w:color="auto"/>
      </w:divBdr>
    </w:div>
    <w:div w:id="901403344">
      <w:bodyDiv w:val="1"/>
      <w:marLeft w:val="0"/>
      <w:marRight w:val="0"/>
      <w:marTop w:val="0"/>
      <w:marBottom w:val="0"/>
      <w:divBdr>
        <w:top w:val="none" w:sz="0" w:space="0" w:color="auto"/>
        <w:left w:val="none" w:sz="0" w:space="0" w:color="auto"/>
        <w:bottom w:val="none" w:sz="0" w:space="0" w:color="auto"/>
        <w:right w:val="none" w:sz="0" w:space="0" w:color="auto"/>
      </w:divBdr>
    </w:div>
    <w:div w:id="908883617">
      <w:bodyDiv w:val="1"/>
      <w:marLeft w:val="0"/>
      <w:marRight w:val="0"/>
      <w:marTop w:val="0"/>
      <w:marBottom w:val="0"/>
      <w:divBdr>
        <w:top w:val="none" w:sz="0" w:space="0" w:color="auto"/>
        <w:left w:val="none" w:sz="0" w:space="0" w:color="auto"/>
        <w:bottom w:val="none" w:sz="0" w:space="0" w:color="auto"/>
        <w:right w:val="none" w:sz="0" w:space="0" w:color="auto"/>
      </w:divBdr>
    </w:div>
    <w:div w:id="927420382">
      <w:bodyDiv w:val="1"/>
      <w:marLeft w:val="0"/>
      <w:marRight w:val="0"/>
      <w:marTop w:val="0"/>
      <w:marBottom w:val="0"/>
      <w:divBdr>
        <w:top w:val="none" w:sz="0" w:space="0" w:color="auto"/>
        <w:left w:val="none" w:sz="0" w:space="0" w:color="auto"/>
        <w:bottom w:val="none" w:sz="0" w:space="0" w:color="auto"/>
        <w:right w:val="none" w:sz="0" w:space="0" w:color="auto"/>
      </w:divBdr>
    </w:div>
    <w:div w:id="956303185">
      <w:bodyDiv w:val="1"/>
      <w:marLeft w:val="0"/>
      <w:marRight w:val="0"/>
      <w:marTop w:val="0"/>
      <w:marBottom w:val="0"/>
      <w:divBdr>
        <w:top w:val="none" w:sz="0" w:space="0" w:color="auto"/>
        <w:left w:val="none" w:sz="0" w:space="0" w:color="auto"/>
        <w:bottom w:val="none" w:sz="0" w:space="0" w:color="auto"/>
        <w:right w:val="none" w:sz="0" w:space="0" w:color="auto"/>
      </w:divBdr>
    </w:div>
    <w:div w:id="992174920">
      <w:bodyDiv w:val="1"/>
      <w:marLeft w:val="0"/>
      <w:marRight w:val="0"/>
      <w:marTop w:val="0"/>
      <w:marBottom w:val="0"/>
      <w:divBdr>
        <w:top w:val="none" w:sz="0" w:space="0" w:color="auto"/>
        <w:left w:val="none" w:sz="0" w:space="0" w:color="auto"/>
        <w:bottom w:val="none" w:sz="0" w:space="0" w:color="auto"/>
        <w:right w:val="none" w:sz="0" w:space="0" w:color="auto"/>
      </w:divBdr>
    </w:div>
    <w:div w:id="1002975199">
      <w:bodyDiv w:val="1"/>
      <w:marLeft w:val="0"/>
      <w:marRight w:val="0"/>
      <w:marTop w:val="0"/>
      <w:marBottom w:val="0"/>
      <w:divBdr>
        <w:top w:val="none" w:sz="0" w:space="0" w:color="auto"/>
        <w:left w:val="none" w:sz="0" w:space="0" w:color="auto"/>
        <w:bottom w:val="none" w:sz="0" w:space="0" w:color="auto"/>
        <w:right w:val="none" w:sz="0" w:space="0" w:color="auto"/>
      </w:divBdr>
    </w:div>
    <w:div w:id="1019236250">
      <w:bodyDiv w:val="1"/>
      <w:marLeft w:val="0"/>
      <w:marRight w:val="0"/>
      <w:marTop w:val="0"/>
      <w:marBottom w:val="0"/>
      <w:divBdr>
        <w:top w:val="none" w:sz="0" w:space="0" w:color="auto"/>
        <w:left w:val="none" w:sz="0" w:space="0" w:color="auto"/>
        <w:bottom w:val="none" w:sz="0" w:space="0" w:color="auto"/>
        <w:right w:val="none" w:sz="0" w:space="0" w:color="auto"/>
      </w:divBdr>
    </w:div>
    <w:div w:id="1043213412">
      <w:bodyDiv w:val="1"/>
      <w:marLeft w:val="0"/>
      <w:marRight w:val="0"/>
      <w:marTop w:val="0"/>
      <w:marBottom w:val="0"/>
      <w:divBdr>
        <w:top w:val="none" w:sz="0" w:space="0" w:color="auto"/>
        <w:left w:val="none" w:sz="0" w:space="0" w:color="auto"/>
        <w:bottom w:val="none" w:sz="0" w:space="0" w:color="auto"/>
        <w:right w:val="none" w:sz="0" w:space="0" w:color="auto"/>
      </w:divBdr>
    </w:div>
    <w:div w:id="1059749665">
      <w:bodyDiv w:val="1"/>
      <w:marLeft w:val="0"/>
      <w:marRight w:val="0"/>
      <w:marTop w:val="0"/>
      <w:marBottom w:val="0"/>
      <w:divBdr>
        <w:top w:val="none" w:sz="0" w:space="0" w:color="auto"/>
        <w:left w:val="none" w:sz="0" w:space="0" w:color="auto"/>
        <w:bottom w:val="none" w:sz="0" w:space="0" w:color="auto"/>
        <w:right w:val="none" w:sz="0" w:space="0" w:color="auto"/>
      </w:divBdr>
    </w:div>
    <w:div w:id="1101996238">
      <w:bodyDiv w:val="1"/>
      <w:marLeft w:val="0"/>
      <w:marRight w:val="0"/>
      <w:marTop w:val="0"/>
      <w:marBottom w:val="0"/>
      <w:divBdr>
        <w:top w:val="none" w:sz="0" w:space="0" w:color="auto"/>
        <w:left w:val="none" w:sz="0" w:space="0" w:color="auto"/>
        <w:bottom w:val="none" w:sz="0" w:space="0" w:color="auto"/>
        <w:right w:val="none" w:sz="0" w:space="0" w:color="auto"/>
      </w:divBdr>
    </w:div>
    <w:div w:id="1109348595">
      <w:bodyDiv w:val="1"/>
      <w:marLeft w:val="0"/>
      <w:marRight w:val="0"/>
      <w:marTop w:val="0"/>
      <w:marBottom w:val="0"/>
      <w:divBdr>
        <w:top w:val="none" w:sz="0" w:space="0" w:color="auto"/>
        <w:left w:val="none" w:sz="0" w:space="0" w:color="auto"/>
        <w:bottom w:val="none" w:sz="0" w:space="0" w:color="auto"/>
        <w:right w:val="none" w:sz="0" w:space="0" w:color="auto"/>
      </w:divBdr>
    </w:div>
    <w:div w:id="1121267502">
      <w:bodyDiv w:val="1"/>
      <w:marLeft w:val="0"/>
      <w:marRight w:val="0"/>
      <w:marTop w:val="0"/>
      <w:marBottom w:val="0"/>
      <w:divBdr>
        <w:top w:val="none" w:sz="0" w:space="0" w:color="auto"/>
        <w:left w:val="none" w:sz="0" w:space="0" w:color="auto"/>
        <w:bottom w:val="none" w:sz="0" w:space="0" w:color="auto"/>
        <w:right w:val="none" w:sz="0" w:space="0" w:color="auto"/>
      </w:divBdr>
    </w:div>
    <w:div w:id="1217665543">
      <w:bodyDiv w:val="1"/>
      <w:marLeft w:val="0"/>
      <w:marRight w:val="0"/>
      <w:marTop w:val="0"/>
      <w:marBottom w:val="0"/>
      <w:divBdr>
        <w:top w:val="none" w:sz="0" w:space="0" w:color="auto"/>
        <w:left w:val="none" w:sz="0" w:space="0" w:color="auto"/>
        <w:bottom w:val="none" w:sz="0" w:space="0" w:color="auto"/>
        <w:right w:val="none" w:sz="0" w:space="0" w:color="auto"/>
      </w:divBdr>
    </w:div>
    <w:div w:id="1275095095">
      <w:bodyDiv w:val="1"/>
      <w:marLeft w:val="0"/>
      <w:marRight w:val="0"/>
      <w:marTop w:val="0"/>
      <w:marBottom w:val="0"/>
      <w:divBdr>
        <w:top w:val="none" w:sz="0" w:space="0" w:color="auto"/>
        <w:left w:val="none" w:sz="0" w:space="0" w:color="auto"/>
        <w:bottom w:val="none" w:sz="0" w:space="0" w:color="auto"/>
        <w:right w:val="none" w:sz="0" w:space="0" w:color="auto"/>
      </w:divBdr>
    </w:div>
    <w:div w:id="1291936604">
      <w:bodyDiv w:val="1"/>
      <w:marLeft w:val="0"/>
      <w:marRight w:val="0"/>
      <w:marTop w:val="0"/>
      <w:marBottom w:val="0"/>
      <w:divBdr>
        <w:top w:val="none" w:sz="0" w:space="0" w:color="auto"/>
        <w:left w:val="none" w:sz="0" w:space="0" w:color="auto"/>
        <w:bottom w:val="none" w:sz="0" w:space="0" w:color="auto"/>
        <w:right w:val="none" w:sz="0" w:space="0" w:color="auto"/>
      </w:divBdr>
    </w:div>
    <w:div w:id="1352337863">
      <w:bodyDiv w:val="1"/>
      <w:marLeft w:val="0"/>
      <w:marRight w:val="0"/>
      <w:marTop w:val="0"/>
      <w:marBottom w:val="0"/>
      <w:divBdr>
        <w:top w:val="none" w:sz="0" w:space="0" w:color="auto"/>
        <w:left w:val="none" w:sz="0" w:space="0" w:color="auto"/>
        <w:bottom w:val="none" w:sz="0" w:space="0" w:color="auto"/>
        <w:right w:val="none" w:sz="0" w:space="0" w:color="auto"/>
      </w:divBdr>
    </w:div>
    <w:div w:id="1421217233">
      <w:bodyDiv w:val="1"/>
      <w:marLeft w:val="0"/>
      <w:marRight w:val="0"/>
      <w:marTop w:val="0"/>
      <w:marBottom w:val="0"/>
      <w:divBdr>
        <w:top w:val="none" w:sz="0" w:space="0" w:color="auto"/>
        <w:left w:val="none" w:sz="0" w:space="0" w:color="auto"/>
        <w:bottom w:val="none" w:sz="0" w:space="0" w:color="auto"/>
        <w:right w:val="none" w:sz="0" w:space="0" w:color="auto"/>
      </w:divBdr>
    </w:div>
    <w:div w:id="1487235634">
      <w:bodyDiv w:val="1"/>
      <w:marLeft w:val="0"/>
      <w:marRight w:val="0"/>
      <w:marTop w:val="0"/>
      <w:marBottom w:val="0"/>
      <w:divBdr>
        <w:top w:val="none" w:sz="0" w:space="0" w:color="auto"/>
        <w:left w:val="none" w:sz="0" w:space="0" w:color="auto"/>
        <w:bottom w:val="none" w:sz="0" w:space="0" w:color="auto"/>
        <w:right w:val="none" w:sz="0" w:space="0" w:color="auto"/>
      </w:divBdr>
    </w:div>
    <w:div w:id="1572227418">
      <w:bodyDiv w:val="1"/>
      <w:marLeft w:val="0"/>
      <w:marRight w:val="0"/>
      <w:marTop w:val="0"/>
      <w:marBottom w:val="0"/>
      <w:divBdr>
        <w:top w:val="none" w:sz="0" w:space="0" w:color="auto"/>
        <w:left w:val="none" w:sz="0" w:space="0" w:color="auto"/>
        <w:bottom w:val="none" w:sz="0" w:space="0" w:color="auto"/>
        <w:right w:val="none" w:sz="0" w:space="0" w:color="auto"/>
      </w:divBdr>
    </w:div>
    <w:div w:id="1583104329">
      <w:bodyDiv w:val="1"/>
      <w:marLeft w:val="0"/>
      <w:marRight w:val="0"/>
      <w:marTop w:val="0"/>
      <w:marBottom w:val="0"/>
      <w:divBdr>
        <w:top w:val="none" w:sz="0" w:space="0" w:color="auto"/>
        <w:left w:val="none" w:sz="0" w:space="0" w:color="auto"/>
        <w:bottom w:val="none" w:sz="0" w:space="0" w:color="auto"/>
        <w:right w:val="none" w:sz="0" w:space="0" w:color="auto"/>
      </w:divBdr>
    </w:div>
    <w:div w:id="1589461592">
      <w:bodyDiv w:val="1"/>
      <w:marLeft w:val="0"/>
      <w:marRight w:val="0"/>
      <w:marTop w:val="0"/>
      <w:marBottom w:val="0"/>
      <w:divBdr>
        <w:top w:val="none" w:sz="0" w:space="0" w:color="auto"/>
        <w:left w:val="none" w:sz="0" w:space="0" w:color="auto"/>
        <w:bottom w:val="none" w:sz="0" w:space="0" w:color="auto"/>
        <w:right w:val="none" w:sz="0" w:space="0" w:color="auto"/>
      </w:divBdr>
    </w:div>
    <w:div w:id="1714188222">
      <w:bodyDiv w:val="1"/>
      <w:marLeft w:val="0"/>
      <w:marRight w:val="0"/>
      <w:marTop w:val="0"/>
      <w:marBottom w:val="0"/>
      <w:divBdr>
        <w:top w:val="none" w:sz="0" w:space="0" w:color="auto"/>
        <w:left w:val="none" w:sz="0" w:space="0" w:color="auto"/>
        <w:bottom w:val="none" w:sz="0" w:space="0" w:color="auto"/>
        <w:right w:val="none" w:sz="0" w:space="0" w:color="auto"/>
      </w:divBdr>
    </w:div>
    <w:div w:id="1742173442">
      <w:bodyDiv w:val="1"/>
      <w:marLeft w:val="0"/>
      <w:marRight w:val="0"/>
      <w:marTop w:val="0"/>
      <w:marBottom w:val="0"/>
      <w:divBdr>
        <w:top w:val="none" w:sz="0" w:space="0" w:color="auto"/>
        <w:left w:val="none" w:sz="0" w:space="0" w:color="auto"/>
        <w:bottom w:val="none" w:sz="0" w:space="0" w:color="auto"/>
        <w:right w:val="none" w:sz="0" w:space="0" w:color="auto"/>
      </w:divBdr>
    </w:div>
    <w:div w:id="1771974088">
      <w:bodyDiv w:val="1"/>
      <w:marLeft w:val="0"/>
      <w:marRight w:val="0"/>
      <w:marTop w:val="0"/>
      <w:marBottom w:val="0"/>
      <w:divBdr>
        <w:top w:val="none" w:sz="0" w:space="0" w:color="auto"/>
        <w:left w:val="none" w:sz="0" w:space="0" w:color="auto"/>
        <w:bottom w:val="none" w:sz="0" w:space="0" w:color="auto"/>
        <w:right w:val="none" w:sz="0" w:space="0" w:color="auto"/>
      </w:divBdr>
    </w:div>
    <w:div w:id="1811970662">
      <w:bodyDiv w:val="1"/>
      <w:marLeft w:val="0"/>
      <w:marRight w:val="0"/>
      <w:marTop w:val="0"/>
      <w:marBottom w:val="0"/>
      <w:divBdr>
        <w:top w:val="none" w:sz="0" w:space="0" w:color="auto"/>
        <w:left w:val="none" w:sz="0" w:space="0" w:color="auto"/>
        <w:bottom w:val="none" w:sz="0" w:space="0" w:color="auto"/>
        <w:right w:val="none" w:sz="0" w:space="0" w:color="auto"/>
      </w:divBdr>
    </w:div>
    <w:div w:id="1820414581">
      <w:bodyDiv w:val="1"/>
      <w:marLeft w:val="0"/>
      <w:marRight w:val="0"/>
      <w:marTop w:val="0"/>
      <w:marBottom w:val="0"/>
      <w:divBdr>
        <w:top w:val="none" w:sz="0" w:space="0" w:color="auto"/>
        <w:left w:val="none" w:sz="0" w:space="0" w:color="auto"/>
        <w:bottom w:val="none" w:sz="0" w:space="0" w:color="auto"/>
        <w:right w:val="none" w:sz="0" w:space="0" w:color="auto"/>
      </w:divBdr>
    </w:div>
    <w:div w:id="1863128551">
      <w:bodyDiv w:val="1"/>
      <w:marLeft w:val="0"/>
      <w:marRight w:val="0"/>
      <w:marTop w:val="0"/>
      <w:marBottom w:val="0"/>
      <w:divBdr>
        <w:top w:val="none" w:sz="0" w:space="0" w:color="auto"/>
        <w:left w:val="none" w:sz="0" w:space="0" w:color="auto"/>
        <w:bottom w:val="none" w:sz="0" w:space="0" w:color="auto"/>
        <w:right w:val="none" w:sz="0" w:space="0" w:color="auto"/>
      </w:divBdr>
    </w:div>
    <w:div w:id="1909731680">
      <w:bodyDiv w:val="1"/>
      <w:marLeft w:val="0"/>
      <w:marRight w:val="0"/>
      <w:marTop w:val="0"/>
      <w:marBottom w:val="0"/>
      <w:divBdr>
        <w:top w:val="none" w:sz="0" w:space="0" w:color="auto"/>
        <w:left w:val="none" w:sz="0" w:space="0" w:color="auto"/>
        <w:bottom w:val="none" w:sz="0" w:space="0" w:color="auto"/>
        <w:right w:val="none" w:sz="0" w:space="0" w:color="auto"/>
      </w:divBdr>
    </w:div>
    <w:div w:id="1913075881">
      <w:bodyDiv w:val="1"/>
      <w:marLeft w:val="0"/>
      <w:marRight w:val="0"/>
      <w:marTop w:val="0"/>
      <w:marBottom w:val="0"/>
      <w:divBdr>
        <w:top w:val="none" w:sz="0" w:space="0" w:color="auto"/>
        <w:left w:val="none" w:sz="0" w:space="0" w:color="auto"/>
        <w:bottom w:val="none" w:sz="0" w:space="0" w:color="auto"/>
        <w:right w:val="none" w:sz="0" w:space="0" w:color="auto"/>
      </w:divBdr>
    </w:div>
    <w:div w:id="1929000927">
      <w:bodyDiv w:val="1"/>
      <w:marLeft w:val="0"/>
      <w:marRight w:val="0"/>
      <w:marTop w:val="0"/>
      <w:marBottom w:val="0"/>
      <w:divBdr>
        <w:top w:val="none" w:sz="0" w:space="0" w:color="auto"/>
        <w:left w:val="none" w:sz="0" w:space="0" w:color="auto"/>
        <w:bottom w:val="none" w:sz="0" w:space="0" w:color="auto"/>
        <w:right w:val="none" w:sz="0" w:space="0" w:color="auto"/>
      </w:divBdr>
    </w:div>
    <w:div w:id="2002469122">
      <w:bodyDiv w:val="1"/>
      <w:marLeft w:val="0"/>
      <w:marRight w:val="0"/>
      <w:marTop w:val="0"/>
      <w:marBottom w:val="0"/>
      <w:divBdr>
        <w:top w:val="none" w:sz="0" w:space="0" w:color="auto"/>
        <w:left w:val="none" w:sz="0" w:space="0" w:color="auto"/>
        <w:bottom w:val="none" w:sz="0" w:space="0" w:color="auto"/>
        <w:right w:val="none" w:sz="0" w:space="0" w:color="auto"/>
      </w:divBdr>
    </w:div>
    <w:div w:id="2012558747">
      <w:bodyDiv w:val="1"/>
      <w:marLeft w:val="0"/>
      <w:marRight w:val="0"/>
      <w:marTop w:val="0"/>
      <w:marBottom w:val="0"/>
      <w:divBdr>
        <w:top w:val="none" w:sz="0" w:space="0" w:color="auto"/>
        <w:left w:val="none" w:sz="0" w:space="0" w:color="auto"/>
        <w:bottom w:val="none" w:sz="0" w:space="0" w:color="auto"/>
        <w:right w:val="none" w:sz="0" w:space="0" w:color="auto"/>
      </w:divBdr>
    </w:div>
    <w:div w:id="2064865299">
      <w:bodyDiv w:val="1"/>
      <w:marLeft w:val="0"/>
      <w:marRight w:val="0"/>
      <w:marTop w:val="0"/>
      <w:marBottom w:val="0"/>
      <w:divBdr>
        <w:top w:val="none" w:sz="0" w:space="0" w:color="auto"/>
        <w:left w:val="none" w:sz="0" w:space="0" w:color="auto"/>
        <w:bottom w:val="none" w:sz="0" w:space="0" w:color="auto"/>
        <w:right w:val="none" w:sz="0" w:space="0" w:color="auto"/>
      </w:divBdr>
    </w:div>
    <w:div w:id="2075001994">
      <w:bodyDiv w:val="1"/>
      <w:marLeft w:val="0"/>
      <w:marRight w:val="0"/>
      <w:marTop w:val="0"/>
      <w:marBottom w:val="0"/>
      <w:divBdr>
        <w:top w:val="none" w:sz="0" w:space="0" w:color="auto"/>
        <w:left w:val="none" w:sz="0" w:space="0" w:color="auto"/>
        <w:bottom w:val="none" w:sz="0" w:space="0" w:color="auto"/>
        <w:right w:val="none" w:sz="0" w:space="0" w:color="auto"/>
      </w:divBdr>
    </w:div>
    <w:div w:id="20870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2016-02-02T20:19:28+00:00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2cd29834-41a2-4a3f-b9cc-2458a4abdfb1">
      <UserInfo>
        <DisplayName>Belke, Jim</DisplayName>
        <AccountId>616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FC006FB921C642B116636844B69CCB" ma:contentTypeVersion="22" ma:contentTypeDescription="Create a new document." ma:contentTypeScope="" ma:versionID="99d8e1c82c3f3e85a197fc4d7633141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cd29834-41a2-4a3f-b9cc-2458a4abdfb1" targetNamespace="http://schemas.microsoft.com/office/2006/metadata/properties" ma:root="true" ma:fieldsID="20b08dee9afee1b56bea955696990e61" ns1:_="" ns2:_="" ns3:_="" ns4:_="" ns5:_="">
    <xsd:import namespace="http://schemas.microsoft.com/sharepoint/v3"/>
    <xsd:import namespace="4ffa91fb-a0ff-4ac5-b2db-65c790d184a4"/>
    <xsd:import namespace="http://schemas.microsoft.com/sharepoint.v3"/>
    <xsd:import namespace="http://schemas.microsoft.com/sharepoint/v3/fields"/>
    <xsd:import namespace="2cd29834-41a2-4a3f-b9cc-2458a4abdfb1"/>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ingHintHash"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4a55188-8747-4148-b735-812f52dff189}" ma:internalName="TaxCatchAllLabel" ma:readOnly="true" ma:showField="CatchAllDataLabel"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4a55188-8747-4148-b735-812f52dff189}" ma:internalName="TaxCatchAll" ma:showField="CatchAllData"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d29834-41a2-4a3f-b9cc-2458a4abdfb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50B6-4D1C-4BA8-AA93-486CA34ED851}">
  <ds:schemaRefs>
    <ds:schemaRef ds:uri="Microsoft.SharePoint.Taxonomy.ContentTypeSync"/>
  </ds:schemaRefs>
</ds:datastoreItem>
</file>

<file path=customXml/itemProps2.xml><?xml version="1.0" encoding="utf-8"?>
<ds:datastoreItem xmlns:ds="http://schemas.openxmlformats.org/officeDocument/2006/customXml" ds:itemID="{63CB539C-DCB5-4F1F-A459-AD80BE679AED}">
  <ds:schemaRefs>
    <ds:schemaRef ds:uri="http://schemas.microsoft.com/sharepoint/v3/contenttype/forms"/>
  </ds:schemaRefs>
</ds:datastoreItem>
</file>

<file path=customXml/itemProps3.xml><?xml version="1.0" encoding="utf-8"?>
<ds:datastoreItem xmlns:ds="http://schemas.openxmlformats.org/officeDocument/2006/customXml" ds:itemID="{D20B63B4-A5B4-4B37-8391-514953579A51}">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2cd29834-41a2-4a3f-b9cc-2458a4abdfb1"/>
  </ds:schemaRefs>
</ds:datastoreItem>
</file>

<file path=customXml/itemProps4.xml><?xml version="1.0" encoding="utf-8"?>
<ds:datastoreItem xmlns:ds="http://schemas.openxmlformats.org/officeDocument/2006/customXml" ds:itemID="{21179FD5-1A55-430D-83C9-EC86C15C6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cd29834-41a2-4a3f-b9cc-2458a4abd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3BFE8-2D14-4204-869E-DB3437D2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8648</Words>
  <Characters>49299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Madeline</dc:creator>
  <cp:lastModifiedBy>SYSTEM</cp:lastModifiedBy>
  <cp:revision>2</cp:revision>
  <cp:lastPrinted>2016-02-23T14:19:00Z</cp:lastPrinted>
  <dcterms:created xsi:type="dcterms:W3CDTF">2018-03-15T17:42:00Z</dcterms:created>
  <dcterms:modified xsi:type="dcterms:W3CDTF">2018-03-15T17:42:00Z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0x01010096FC006FB921C642B116636844B69CCB</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