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17E4A" w14:textId="77777777" w:rsidR="006E492A" w:rsidRPr="00D15828" w:rsidRDefault="006E492A" w:rsidP="006E492A">
      <w:pPr>
        <w:pStyle w:val="CM24"/>
        <w:spacing w:after="0" w:line="360" w:lineRule="atLeast"/>
        <w:jc w:val="center"/>
        <w:rPr>
          <w:b/>
          <w:bCs/>
          <w:color w:val="000000"/>
          <w:sz w:val="28"/>
          <w:szCs w:val="28"/>
        </w:rPr>
      </w:pPr>
      <w:bookmarkStart w:id="0" w:name="_GoBack"/>
      <w:bookmarkEnd w:id="0"/>
    </w:p>
    <w:p w14:paraId="2B86C8DB" w14:textId="77777777" w:rsidR="006E492A" w:rsidRPr="00D15828" w:rsidRDefault="006E492A" w:rsidP="006E492A">
      <w:pPr>
        <w:pStyle w:val="CM24"/>
        <w:spacing w:after="0" w:line="360" w:lineRule="atLeast"/>
        <w:jc w:val="center"/>
        <w:rPr>
          <w:b/>
          <w:bCs/>
          <w:color w:val="000000"/>
          <w:sz w:val="28"/>
          <w:szCs w:val="28"/>
        </w:rPr>
      </w:pPr>
    </w:p>
    <w:p w14:paraId="6CD44994" w14:textId="77777777" w:rsidR="006E492A" w:rsidRPr="00D15828" w:rsidRDefault="006E492A" w:rsidP="006E492A">
      <w:pPr>
        <w:pStyle w:val="CM24"/>
        <w:spacing w:after="0" w:line="360" w:lineRule="atLeast"/>
        <w:jc w:val="center"/>
        <w:rPr>
          <w:b/>
          <w:bCs/>
          <w:color w:val="000000"/>
          <w:sz w:val="28"/>
          <w:szCs w:val="28"/>
        </w:rPr>
      </w:pPr>
    </w:p>
    <w:p w14:paraId="2717B2AC" w14:textId="77777777" w:rsidR="006E492A" w:rsidRPr="00D15828" w:rsidRDefault="006E492A" w:rsidP="006E492A">
      <w:pPr>
        <w:pStyle w:val="CM24"/>
        <w:spacing w:after="0" w:line="360" w:lineRule="atLeast"/>
        <w:jc w:val="center"/>
        <w:rPr>
          <w:b/>
          <w:bCs/>
          <w:color w:val="000000"/>
          <w:sz w:val="28"/>
          <w:szCs w:val="28"/>
        </w:rPr>
      </w:pPr>
    </w:p>
    <w:p w14:paraId="532E265B" w14:textId="77777777" w:rsidR="006E492A" w:rsidRPr="00D15828" w:rsidRDefault="006E492A" w:rsidP="006E492A">
      <w:pPr>
        <w:pStyle w:val="CM24"/>
        <w:spacing w:after="0" w:line="360" w:lineRule="atLeast"/>
        <w:jc w:val="center"/>
        <w:rPr>
          <w:b/>
          <w:bCs/>
          <w:color w:val="000000"/>
          <w:sz w:val="28"/>
          <w:szCs w:val="28"/>
        </w:rPr>
      </w:pPr>
    </w:p>
    <w:p w14:paraId="2C8261E7" w14:textId="77777777" w:rsidR="006E492A" w:rsidRPr="00D15828" w:rsidRDefault="006E492A" w:rsidP="006E492A">
      <w:pPr>
        <w:pStyle w:val="CM24"/>
        <w:spacing w:after="0" w:line="360" w:lineRule="atLeast"/>
        <w:jc w:val="center"/>
        <w:rPr>
          <w:b/>
          <w:bCs/>
          <w:color w:val="000000"/>
          <w:sz w:val="28"/>
          <w:szCs w:val="28"/>
        </w:rPr>
      </w:pPr>
    </w:p>
    <w:p w14:paraId="20F2A387" w14:textId="77777777" w:rsidR="006E492A" w:rsidRPr="00D15828" w:rsidRDefault="006E492A" w:rsidP="006E492A">
      <w:pPr>
        <w:pStyle w:val="CM24"/>
        <w:spacing w:after="0" w:line="360" w:lineRule="atLeast"/>
        <w:jc w:val="center"/>
        <w:rPr>
          <w:b/>
          <w:bCs/>
          <w:color w:val="000000"/>
          <w:sz w:val="28"/>
          <w:szCs w:val="28"/>
        </w:rPr>
      </w:pPr>
    </w:p>
    <w:p w14:paraId="177825E5" w14:textId="77777777" w:rsidR="006E492A" w:rsidRPr="00D15828" w:rsidRDefault="006E492A" w:rsidP="006E492A">
      <w:pPr>
        <w:pStyle w:val="CM24"/>
        <w:spacing w:after="0" w:line="360" w:lineRule="atLeast"/>
        <w:jc w:val="center"/>
        <w:rPr>
          <w:b/>
          <w:bCs/>
          <w:color w:val="000000"/>
          <w:sz w:val="28"/>
          <w:szCs w:val="28"/>
        </w:rPr>
      </w:pPr>
    </w:p>
    <w:p w14:paraId="77529057" w14:textId="77777777" w:rsidR="006E492A" w:rsidRDefault="006E492A" w:rsidP="006E492A">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SUPPORTING STATEMENT FOR </w:t>
      </w:r>
    </w:p>
    <w:p w14:paraId="357844C1" w14:textId="1E032A31" w:rsidR="006E492A" w:rsidRPr="00D15828" w:rsidRDefault="006E492A" w:rsidP="006E492A">
      <w:pPr>
        <w:pStyle w:val="CM24"/>
        <w:spacing w:after="0" w:line="360" w:lineRule="atLeast"/>
        <w:jc w:val="center"/>
        <w:rPr>
          <w:rFonts w:ascii="Times New Roman" w:hAnsi="Times New Roman" w:cs="Times New Roman"/>
          <w:b/>
          <w:bCs/>
          <w:color w:val="000000"/>
        </w:rPr>
      </w:pPr>
      <w:r w:rsidRPr="00D15828">
        <w:rPr>
          <w:rFonts w:ascii="Times New Roman" w:hAnsi="Times New Roman" w:cs="Times New Roman"/>
          <w:b/>
          <w:bCs/>
          <w:color w:val="000000"/>
        </w:rPr>
        <w:t xml:space="preserve">EPA INFORMATION COLLECTION REQUEST NUMBER </w:t>
      </w:r>
      <w:r w:rsidR="006D1B8A">
        <w:rPr>
          <w:rFonts w:ascii="Times New Roman" w:hAnsi="Times New Roman" w:cs="Times New Roman"/>
          <w:b/>
          <w:bCs/>
          <w:color w:val="000000"/>
        </w:rPr>
        <w:t>1597.12</w:t>
      </w:r>
      <w:r w:rsidRPr="00D15828">
        <w:rPr>
          <w:rFonts w:ascii="Times New Roman" w:hAnsi="Times New Roman" w:cs="Times New Roman"/>
          <w:b/>
          <w:bCs/>
          <w:color w:val="000000"/>
        </w:rPr>
        <w:t xml:space="preserve"> </w:t>
      </w:r>
    </w:p>
    <w:p w14:paraId="61F2705C" w14:textId="77777777" w:rsidR="006E492A" w:rsidRPr="00D15828" w:rsidRDefault="006E492A" w:rsidP="006E492A">
      <w:pPr>
        <w:pStyle w:val="CM24"/>
        <w:spacing w:after="0" w:line="360" w:lineRule="atLeast"/>
        <w:jc w:val="center"/>
        <w:rPr>
          <w:rFonts w:ascii="Times New Roman" w:hAnsi="Times New Roman" w:cs="Times New Roman"/>
          <w:b/>
          <w:bCs/>
          <w:color w:val="000000"/>
        </w:rPr>
      </w:pPr>
    </w:p>
    <w:p w14:paraId="2CCD67DE" w14:textId="7B9C8D62" w:rsidR="006E492A" w:rsidRPr="0064226C" w:rsidRDefault="006E492A" w:rsidP="006E492A">
      <w:pPr>
        <w:pStyle w:val="CM24"/>
        <w:spacing w:after="0" w:line="360" w:lineRule="atLeast"/>
        <w:jc w:val="center"/>
        <w:rPr>
          <w:rFonts w:ascii="Times New Roman" w:hAnsi="Times New Roman" w:cs="Times New Roman"/>
          <w:b/>
          <w:bCs/>
          <w:color w:val="000000"/>
        </w:rPr>
      </w:pPr>
      <w:r w:rsidRPr="0064226C">
        <w:rPr>
          <w:rFonts w:ascii="Times New Roman" w:hAnsi="Times New Roman" w:cs="Times New Roman"/>
          <w:b/>
          <w:bCs/>
          <w:color w:val="000000"/>
        </w:rPr>
        <w:t xml:space="preserve">REPORTING AND RECORDKEEPING REQUIREMENTS FOR THE </w:t>
      </w:r>
      <w:r w:rsidR="0064226C" w:rsidRPr="0064226C">
        <w:rPr>
          <w:rFonts w:ascii="Times New Roman" w:hAnsi="Times New Roman" w:cs="Times New Roman"/>
          <w:b/>
          <w:bCs/>
          <w:color w:val="000000"/>
        </w:rPr>
        <w:t>PROPOSED</w:t>
      </w:r>
      <w:r w:rsidRPr="0064226C">
        <w:rPr>
          <w:rFonts w:ascii="Times New Roman" w:hAnsi="Times New Roman" w:cs="Times New Roman"/>
          <w:b/>
          <w:bCs/>
          <w:color w:val="000000"/>
        </w:rPr>
        <w:t xml:space="preserve"> AEROSOL CAN UNIVERSAL WASTE PROPOSED RULE</w:t>
      </w:r>
    </w:p>
    <w:p w14:paraId="5F167F72" w14:textId="77777777" w:rsidR="006E492A" w:rsidRPr="00D15828" w:rsidRDefault="006E492A" w:rsidP="006E492A">
      <w:pPr>
        <w:pStyle w:val="CM1"/>
        <w:jc w:val="center"/>
        <w:rPr>
          <w:rFonts w:ascii="Times New Roman" w:hAnsi="Times New Roman" w:cs="Times New Roman"/>
          <w:b/>
          <w:bCs/>
          <w:color w:val="000000"/>
        </w:rPr>
      </w:pPr>
    </w:p>
    <w:p w14:paraId="7D242369" w14:textId="77777777" w:rsidR="006E492A" w:rsidRPr="00D15828" w:rsidRDefault="006E492A" w:rsidP="006E492A">
      <w:pPr>
        <w:pStyle w:val="Default"/>
        <w:jc w:val="center"/>
        <w:rPr>
          <w:rFonts w:ascii="Times New Roman" w:hAnsi="Times New Roman" w:cs="Times New Roman"/>
        </w:rPr>
      </w:pPr>
    </w:p>
    <w:p w14:paraId="6E6F5BAB" w14:textId="77777777" w:rsidR="006E492A" w:rsidRPr="00D15828" w:rsidRDefault="006E492A" w:rsidP="006E492A">
      <w:pPr>
        <w:pStyle w:val="Default"/>
        <w:jc w:val="center"/>
        <w:rPr>
          <w:rFonts w:ascii="Times New Roman" w:hAnsi="Times New Roman" w:cs="Times New Roman"/>
        </w:rPr>
      </w:pPr>
    </w:p>
    <w:p w14:paraId="411C97F2" w14:textId="77777777" w:rsidR="006E492A" w:rsidRPr="00D15828" w:rsidRDefault="006E492A" w:rsidP="006E492A">
      <w:pPr>
        <w:pStyle w:val="Default"/>
        <w:jc w:val="center"/>
        <w:rPr>
          <w:rFonts w:ascii="Times New Roman" w:hAnsi="Times New Roman" w:cs="Times New Roman"/>
        </w:rPr>
      </w:pPr>
    </w:p>
    <w:p w14:paraId="00FDFD41" w14:textId="77777777" w:rsidR="006E492A" w:rsidRPr="00D15828" w:rsidRDefault="006E492A" w:rsidP="006E492A">
      <w:pPr>
        <w:pStyle w:val="Default"/>
        <w:jc w:val="center"/>
        <w:rPr>
          <w:rFonts w:ascii="Times New Roman" w:hAnsi="Times New Roman" w:cs="Times New Roman"/>
        </w:rPr>
      </w:pPr>
    </w:p>
    <w:p w14:paraId="2AE94E07" w14:textId="77777777" w:rsidR="006E492A" w:rsidRPr="00D15828" w:rsidRDefault="006E492A" w:rsidP="006E492A">
      <w:pPr>
        <w:pStyle w:val="Default"/>
        <w:jc w:val="center"/>
        <w:rPr>
          <w:rFonts w:ascii="Times New Roman" w:hAnsi="Times New Roman" w:cs="Times New Roman"/>
          <w:b/>
        </w:rPr>
      </w:pPr>
    </w:p>
    <w:p w14:paraId="53632AD9" w14:textId="5EB54E55" w:rsidR="006E492A" w:rsidRPr="00D15828" w:rsidRDefault="0066566E" w:rsidP="006E492A">
      <w:pPr>
        <w:pStyle w:val="CM1"/>
        <w:jc w:val="center"/>
        <w:rPr>
          <w:rFonts w:ascii="Times New Roman" w:hAnsi="Times New Roman" w:cs="Times New Roman"/>
          <w:color w:val="000000"/>
        </w:rPr>
      </w:pPr>
      <w:r>
        <w:rPr>
          <w:rFonts w:ascii="Times New Roman" w:hAnsi="Times New Roman" w:cs="Times New Roman"/>
          <w:bCs/>
          <w:color w:val="000000"/>
        </w:rPr>
        <w:t>March 2018</w:t>
      </w:r>
    </w:p>
    <w:p w14:paraId="1E6FB70A" w14:textId="77777777" w:rsidR="006E492A" w:rsidRPr="00D15828" w:rsidRDefault="006E492A" w:rsidP="006E492A"/>
    <w:p w14:paraId="3ECDC184" w14:textId="77777777" w:rsidR="006E492A" w:rsidRDefault="006E492A" w:rsidP="006E492A"/>
    <w:p w14:paraId="7685B858" w14:textId="77777777" w:rsidR="006E492A" w:rsidRDefault="006E492A">
      <w:pPr>
        <w:pStyle w:val="BodyTextIndent"/>
      </w:pPr>
      <w:r>
        <w:br w:type="page"/>
      </w:r>
    </w:p>
    <w:p w14:paraId="02FE0E8B" w14:textId="77777777" w:rsidR="00E05801" w:rsidRPr="00D15828" w:rsidRDefault="00E05801" w:rsidP="00E05801">
      <w:pPr>
        <w:jc w:val="center"/>
        <w:outlineLvl w:val="0"/>
      </w:pPr>
      <w:r w:rsidRPr="00D15828">
        <w:rPr>
          <w:b/>
          <w:bCs/>
        </w:rPr>
        <w:lastRenderedPageBreak/>
        <w:t>TABLE OF CONTENTS</w:t>
      </w:r>
    </w:p>
    <w:p w14:paraId="6780A6A9" w14:textId="77777777" w:rsidR="00E05801" w:rsidRDefault="00E05801" w:rsidP="00E05801"/>
    <w:p w14:paraId="4D869C21" w14:textId="77777777" w:rsidR="00E05801" w:rsidRDefault="00E05801" w:rsidP="00E05801"/>
    <w:p w14:paraId="40207CB3" w14:textId="77777777" w:rsidR="00E05801" w:rsidRDefault="00E05801" w:rsidP="00E05801">
      <w:pPr>
        <w:pStyle w:val="ListParagraph"/>
        <w:numPr>
          <w:ilvl w:val="0"/>
          <w:numId w:val="4"/>
        </w:numPr>
        <w:tabs>
          <w:tab w:val="right" w:leader="dot" w:pos="9360"/>
        </w:tabs>
        <w:ind w:left="360"/>
        <w:contextualSpacing w:val="0"/>
      </w:pPr>
      <w:r>
        <w:t>IDENTIFICATION OF THE INFORMATION COLLECTION</w:t>
      </w:r>
      <w:r>
        <w:tab/>
      </w:r>
      <w:r w:rsidR="00503B65">
        <w:t>4</w:t>
      </w:r>
    </w:p>
    <w:p w14:paraId="395CA948" w14:textId="77777777" w:rsidR="00E05801" w:rsidRDefault="00E05801" w:rsidP="00E05801">
      <w:pPr>
        <w:pStyle w:val="ListParagraph"/>
        <w:tabs>
          <w:tab w:val="right" w:leader="dot" w:pos="9360"/>
        </w:tabs>
        <w:ind w:left="360"/>
        <w:contextualSpacing w:val="0"/>
      </w:pPr>
      <w:r>
        <w:t>1(a)  Title and Number</w:t>
      </w:r>
      <w:r w:rsidR="00503B65">
        <w:t xml:space="preserve"> of the Information Collection</w:t>
      </w:r>
      <w:r w:rsidR="00503B65">
        <w:tab/>
        <w:t>4</w:t>
      </w:r>
    </w:p>
    <w:p w14:paraId="32D70939" w14:textId="77777777" w:rsidR="00E05801" w:rsidRDefault="00503B65" w:rsidP="00E05801">
      <w:pPr>
        <w:pStyle w:val="ListParagraph"/>
        <w:tabs>
          <w:tab w:val="right" w:leader="dot" w:pos="9360"/>
        </w:tabs>
        <w:ind w:left="360"/>
        <w:contextualSpacing w:val="0"/>
      </w:pPr>
      <w:r>
        <w:t>1(b)  Short Characterization</w:t>
      </w:r>
      <w:r>
        <w:tab/>
        <w:t>4</w:t>
      </w:r>
      <w:r w:rsidR="00E05801">
        <w:br/>
      </w:r>
    </w:p>
    <w:p w14:paraId="7E898FEB" w14:textId="77777777" w:rsidR="00E05801" w:rsidRDefault="00E05801" w:rsidP="00E05801">
      <w:pPr>
        <w:pStyle w:val="ListParagraph"/>
        <w:numPr>
          <w:ilvl w:val="0"/>
          <w:numId w:val="4"/>
        </w:numPr>
        <w:tabs>
          <w:tab w:val="right" w:leader="dot" w:pos="9360"/>
        </w:tabs>
        <w:ind w:left="360"/>
        <w:contextualSpacing w:val="0"/>
      </w:pPr>
      <w:r>
        <w:t>NEED FOR AND USE OF THE COLLECTION</w:t>
      </w:r>
      <w:r>
        <w:tab/>
      </w:r>
      <w:r w:rsidR="00503B65">
        <w:t>5</w:t>
      </w:r>
    </w:p>
    <w:p w14:paraId="7E631DC2" w14:textId="77777777" w:rsidR="00E05801" w:rsidRDefault="00E05801" w:rsidP="00E05801">
      <w:pPr>
        <w:pStyle w:val="ListParagraph"/>
        <w:tabs>
          <w:tab w:val="right" w:leader="dot" w:pos="9360"/>
        </w:tabs>
        <w:ind w:left="360"/>
        <w:contextualSpacing w:val="0"/>
      </w:pPr>
      <w:r>
        <w:t>2(a)  Need an</w:t>
      </w:r>
      <w:r w:rsidR="00503B65">
        <w:t>d Authority for the Collection</w:t>
      </w:r>
      <w:r w:rsidR="00503B65">
        <w:tab/>
        <w:t>5</w:t>
      </w:r>
    </w:p>
    <w:p w14:paraId="3B799131" w14:textId="77777777" w:rsidR="00E05801" w:rsidRDefault="00E05801" w:rsidP="00E05801">
      <w:pPr>
        <w:pStyle w:val="ListParagraph"/>
        <w:tabs>
          <w:tab w:val="right" w:leader="dot" w:pos="9360"/>
        </w:tabs>
        <w:ind w:left="360"/>
        <w:contextualSpacing w:val="0"/>
      </w:pPr>
      <w:r>
        <w:t>2(b)  Practical</w:t>
      </w:r>
      <w:r w:rsidR="00503B65">
        <w:t xml:space="preserve"> Utility and Users of the Data</w:t>
      </w:r>
      <w:r w:rsidR="00503B65">
        <w:tab/>
        <w:t>5</w:t>
      </w:r>
      <w:r>
        <w:br/>
      </w:r>
    </w:p>
    <w:p w14:paraId="41C3C610" w14:textId="77777777" w:rsidR="00E05801" w:rsidRDefault="00E05801" w:rsidP="00E05801">
      <w:pPr>
        <w:pStyle w:val="ListParagraph"/>
        <w:numPr>
          <w:ilvl w:val="0"/>
          <w:numId w:val="4"/>
        </w:numPr>
        <w:tabs>
          <w:tab w:val="right" w:leader="dot" w:pos="9360"/>
        </w:tabs>
        <w:ind w:left="360"/>
      </w:pPr>
      <w:r>
        <w:t xml:space="preserve">NONDUPLICATION, CONSULTATIONS, </w:t>
      </w:r>
      <w:r w:rsidR="00503B65">
        <w:t xml:space="preserve">AND OTHER COLLECTION </w:t>
      </w:r>
      <w:r w:rsidR="00503B65">
        <w:br/>
        <w:t>CRITERIA</w:t>
      </w:r>
      <w:r w:rsidR="00503B65">
        <w:tab/>
        <w:t>5</w:t>
      </w:r>
    </w:p>
    <w:p w14:paraId="0E9235AC" w14:textId="77777777" w:rsidR="00E05801" w:rsidRDefault="00503B65" w:rsidP="00E05801">
      <w:pPr>
        <w:pStyle w:val="ListParagraph"/>
        <w:tabs>
          <w:tab w:val="right" w:leader="dot" w:pos="9360"/>
        </w:tabs>
        <w:ind w:left="360"/>
      </w:pPr>
      <w:r>
        <w:t>3(a)  Nonduplication</w:t>
      </w:r>
      <w:r>
        <w:tab/>
        <w:t>5</w:t>
      </w:r>
    </w:p>
    <w:p w14:paraId="1A21C381" w14:textId="77777777" w:rsidR="00E05801" w:rsidRDefault="00503B65" w:rsidP="00E05801">
      <w:pPr>
        <w:pStyle w:val="ListParagraph"/>
        <w:tabs>
          <w:tab w:val="right" w:leader="dot" w:pos="9360"/>
        </w:tabs>
        <w:ind w:left="360"/>
      </w:pPr>
      <w:r>
        <w:t>3(b)  Public Notice</w:t>
      </w:r>
      <w:r>
        <w:tab/>
        <w:t>5</w:t>
      </w:r>
    </w:p>
    <w:p w14:paraId="1C55F24C" w14:textId="77777777" w:rsidR="00E05801" w:rsidRDefault="00503B65" w:rsidP="00E05801">
      <w:pPr>
        <w:pStyle w:val="ListParagraph"/>
        <w:tabs>
          <w:tab w:val="right" w:leader="dot" w:pos="9360"/>
        </w:tabs>
        <w:ind w:left="360"/>
      </w:pPr>
      <w:r>
        <w:t>3(c)  Consultations</w:t>
      </w:r>
      <w:r>
        <w:tab/>
        <w:t>6</w:t>
      </w:r>
    </w:p>
    <w:p w14:paraId="283D1D8F" w14:textId="77777777" w:rsidR="00E05801" w:rsidRDefault="00E05801" w:rsidP="00E05801">
      <w:pPr>
        <w:pStyle w:val="ListParagraph"/>
        <w:tabs>
          <w:tab w:val="right" w:leader="dot" w:pos="9360"/>
        </w:tabs>
        <w:ind w:left="360"/>
      </w:pPr>
      <w:r>
        <w:t>3(d)  Effec</w:t>
      </w:r>
      <w:r w:rsidR="00503B65">
        <w:t>ts of Less Frequent Collection</w:t>
      </w:r>
      <w:r w:rsidR="00503B65">
        <w:tab/>
        <w:t>6</w:t>
      </w:r>
    </w:p>
    <w:p w14:paraId="4BA3C985" w14:textId="77777777" w:rsidR="00E05801" w:rsidRDefault="00503B65" w:rsidP="00E05801">
      <w:pPr>
        <w:pStyle w:val="ListParagraph"/>
        <w:tabs>
          <w:tab w:val="right" w:leader="dot" w:pos="9360"/>
        </w:tabs>
        <w:ind w:left="360"/>
      </w:pPr>
      <w:r>
        <w:t>3(e)  General Guidelines</w:t>
      </w:r>
      <w:r>
        <w:tab/>
        <w:t>6</w:t>
      </w:r>
    </w:p>
    <w:p w14:paraId="6576D399" w14:textId="77777777" w:rsidR="00E05801" w:rsidRDefault="00503B65" w:rsidP="00E05801">
      <w:pPr>
        <w:pStyle w:val="ListParagraph"/>
        <w:tabs>
          <w:tab w:val="right" w:leader="dot" w:pos="9360"/>
        </w:tabs>
        <w:ind w:left="360"/>
      </w:pPr>
      <w:r>
        <w:t>3(f)  Confidentiality</w:t>
      </w:r>
      <w:r>
        <w:tab/>
        <w:t>6</w:t>
      </w:r>
    </w:p>
    <w:p w14:paraId="1AA07E15" w14:textId="77777777" w:rsidR="00E05801" w:rsidRDefault="00503B65" w:rsidP="00E05801">
      <w:pPr>
        <w:pStyle w:val="ListParagraph"/>
        <w:tabs>
          <w:tab w:val="right" w:leader="dot" w:pos="9360"/>
        </w:tabs>
        <w:ind w:left="360"/>
      </w:pPr>
      <w:r>
        <w:t>3(g)  Sensitive Questions</w:t>
      </w:r>
      <w:r>
        <w:tab/>
        <w:t>6</w:t>
      </w:r>
      <w:r w:rsidR="00E05801">
        <w:br/>
      </w:r>
    </w:p>
    <w:p w14:paraId="1A11BBE1" w14:textId="77777777" w:rsidR="00E05801" w:rsidRDefault="00E05801" w:rsidP="00E05801">
      <w:pPr>
        <w:pStyle w:val="ListParagraph"/>
        <w:numPr>
          <w:ilvl w:val="0"/>
          <w:numId w:val="4"/>
        </w:numPr>
        <w:tabs>
          <w:tab w:val="right" w:leader="dot" w:pos="9360"/>
        </w:tabs>
        <w:ind w:left="360"/>
      </w:pPr>
      <w:r>
        <w:t>THE RESPONDENTS</w:t>
      </w:r>
      <w:r w:rsidR="00503B65">
        <w:t xml:space="preserve"> AND THE INFORMATION REQUESTED</w:t>
      </w:r>
      <w:r w:rsidR="00503B65">
        <w:tab/>
        <w:t>7</w:t>
      </w:r>
    </w:p>
    <w:p w14:paraId="35616ED2" w14:textId="77777777" w:rsidR="00E05801" w:rsidRDefault="00E05801" w:rsidP="00E05801">
      <w:pPr>
        <w:pStyle w:val="ListParagraph"/>
        <w:tabs>
          <w:tab w:val="right" w:leader="dot" w:pos="9360"/>
        </w:tabs>
        <w:ind w:left="360"/>
      </w:pPr>
      <w:r>
        <w:t>4(a</w:t>
      </w:r>
      <w:r w:rsidR="00503B65">
        <w:t>)  Respondents and NAICS Codes</w:t>
      </w:r>
      <w:r w:rsidR="00503B65">
        <w:tab/>
        <w:t>7</w:t>
      </w:r>
    </w:p>
    <w:p w14:paraId="75E53E16" w14:textId="79556635" w:rsidR="00E05801" w:rsidRDefault="00503B65" w:rsidP="00E05801">
      <w:pPr>
        <w:pStyle w:val="ListParagraph"/>
        <w:tabs>
          <w:tab w:val="right" w:leader="dot" w:pos="9360"/>
        </w:tabs>
        <w:ind w:left="360"/>
      </w:pPr>
      <w:r>
        <w:t>4(b)  Information Requested</w:t>
      </w:r>
      <w:r>
        <w:tab/>
      </w:r>
      <w:r w:rsidR="00A23F32">
        <w:t>8</w:t>
      </w:r>
      <w:r w:rsidR="00E05801">
        <w:br/>
      </w:r>
    </w:p>
    <w:p w14:paraId="768BBCFD" w14:textId="77777777" w:rsidR="00E05801" w:rsidRDefault="00E05801" w:rsidP="00E05801">
      <w:pPr>
        <w:pStyle w:val="ListParagraph"/>
        <w:numPr>
          <w:ilvl w:val="0"/>
          <w:numId w:val="4"/>
        </w:numPr>
        <w:tabs>
          <w:tab w:val="right" w:leader="dot" w:pos="9360"/>
        </w:tabs>
        <w:ind w:left="360"/>
      </w:pPr>
      <w:r>
        <w:t>THE INFORMATION COLLECTED-AGENCY ACTIVITIES, COLLECTION METHODOLO</w:t>
      </w:r>
      <w:r w:rsidR="00503B65">
        <w:t>GY, AND INFORMATION MANAGEMENT</w:t>
      </w:r>
      <w:r w:rsidR="00503B65">
        <w:tab/>
        <w:t>9</w:t>
      </w:r>
    </w:p>
    <w:p w14:paraId="69DE1E6F" w14:textId="77777777" w:rsidR="00E05801" w:rsidRDefault="00503B65" w:rsidP="00E05801">
      <w:pPr>
        <w:pStyle w:val="ListParagraph"/>
        <w:tabs>
          <w:tab w:val="right" w:leader="dot" w:pos="9360"/>
        </w:tabs>
        <w:ind w:left="360"/>
      </w:pPr>
      <w:r>
        <w:t>5(a)  Agency Activities</w:t>
      </w:r>
      <w:r>
        <w:tab/>
        <w:t>9</w:t>
      </w:r>
    </w:p>
    <w:p w14:paraId="09427127" w14:textId="77777777" w:rsidR="00E05801" w:rsidRDefault="00E05801" w:rsidP="00E05801">
      <w:pPr>
        <w:pStyle w:val="ListParagraph"/>
        <w:tabs>
          <w:tab w:val="right" w:leader="dot" w:pos="9360"/>
        </w:tabs>
        <w:ind w:left="360"/>
      </w:pPr>
      <w:r>
        <w:t>5(b)  Collection Methodology</w:t>
      </w:r>
      <w:r w:rsidR="00503B65">
        <w:t xml:space="preserve"> and Management</w:t>
      </w:r>
      <w:r w:rsidR="00503B65">
        <w:tab/>
        <w:t>9</w:t>
      </w:r>
    </w:p>
    <w:p w14:paraId="54FB9D10" w14:textId="77777777" w:rsidR="00E05801" w:rsidRDefault="00E05801" w:rsidP="00E05801">
      <w:pPr>
        <w:pStyle w:val="ListParagraph"/>
        <w:tabs>
          <w:tab w:val="right" w:leader="dot" w:pos="9360"/>
        </w:tabs>
        <w:ind w:left="360"/>
      </w:pPr>
      <w:r>
        <w:t>5</w:t>
      </w:r>
      <w:r w:rsidR="00503B65">
        <w:t>(c)  Small Entity Flexibility</w:t>
      </w:r>
      <w:r w:rsidR="00503B65">
        <w:tab/>
        <w:t>9</w:t>
      </w:r>
    </w:p>
    <w:p w14:paraId="53C55BFB" w14:textId="5C3F0466" w:rsidR="00E05801" w:rsidRDefault="00503B65" w:rsidP="00E05801">
      <w:pPr>
        <w:pStyle w:val="ListParagraph"/>
        <w:tabs>
          <w:tab w:val="right" w:leader="dot" w:pos="9360"/>
        </w:tabs>
        <w:ind w:left="360"/>
      </w:pPr>
      <w:r>
        <w:t>5(d)  Collection Schedule</w:t>
      </w:r>
      <w:r>
        <w:tab/>
      </w:r>
      <w:r w:rsidR="00A23F32">
        <w:t>10</w:t>
      </w:r>
      <w:r w:rsidR="00E05801">
        <w:br/>
      </w:r>
    </w:p>
    <w:p w14:paraId="55669EF9" w14:textId="77777777" w:rsidR="00E05801" w:rsidRDefault="00E05801" w:rsidP="00E05801">
      <w:pPr>
        <w:pStyle w:val="ListParagraph"/>
        <w:numPr>
          <w:ilvl w:val="0"/>
          <w:numId w:val="4"/>
        </w:numPr>
        <w:tabs>
          <w:tab w:val="right" w:leader="dot" w:pos="9360"/>
        </w:tabs>
        <w:ind w:left="360"/>
      </w:pPr>
      <w:r>
        <w:t xml:space="preserve">ESTIMATING THE HOUR AND </w:t>
      </w:r>
      <w:r w:rsidR="00503B65">
        <w:t>COST BURDEN OF THE COLLECTION</w:t>
      </w:r>
      <w:r w:rsidR="00503B65">
        <w:tab/>
        <w:t>10</w:t>
      </w:r>
    </w:p>
    <w:p w14:paraId="5CED9AC9" w14:textId="77777777" w:rsidR="00E05801" w:rsidRDefault="00E05801" w:rsidP="00E05801">
      <w:pPr>
        <w:pStyle w:val="ListParagraph"/>
        <w:tabs>
          <w:tab w:val="right" w:leader="dot" w:pos="9360"/>
        </w:tabs>
        <w:ind w:left="360"/>
      </w:pPr>
      <w:r>
        <w:t xml:space="preserve">6(a) </w:t>
      </w:r>
      <w:r w:rsidR="00503B65">
        <w:t xml:space="preserve"> Estimating Respondent Burden</w:t>
      </w:r>
      <w:r w:rsidR="00503B65">
        <w:tab/>
        <w:t>10</w:t>
      </w:r>
    </w:p>
    <w:p w14:paraId="2257F32D" w14:textId="7898B4B6" w:rsidR="00E05801" w:rsidRDefault="00E05801" w:rsidP="00E05801">
      <w:pPr>
        <w:pStyle w:val="ListParagraph"/>
        <w:tabs>
          <w:tab w:val="right" w:leader="dot" w:pos="9360"/>
        </w:tabs>
        <w:ind w:left="360"/>
      </w:pPr>
      <w:r>
        <w:t>6(b)</w:t>
      </w:r>
      <w:r w:rsidR="00503B65">
        <w:t xml:space="preserve">  Estimating Respondent Costs</w:t>
      </w:r>
      <w:r w:rsidR="00503B65">
        <w:tab/>
      </w:r>
      <w:r w:rsidR="00A23F32">
        <w:t>11</w:t>
      </w:r>
    </w:p>
    <w:p w14:paraId="2318DD3E" w14:textId="6C8AF089" w:rsidR="00E05801" w:rsidRDefault="00E05801" w:rsidP="00E05801">
      <w:pPr>
        <w:pStyle w:val="ListParagraph"/>
        <w:tabs>
          <w:tab w:val="right" w:leader="dot" w:pos="9360"/>
        </w:tabs>
        <w:ind w:left="360"/>
      </w:pPr>
      <w:r>
        <w:t>6(c)  Estimating Agency Burden and Costs</w:t>
      </w:r>
      <w:r>
        <w:tab/>
      </w:r>
      <w:r w:rsidR="000015A5">
        <w:t>12</w:t>
      </w:r>
    </w:p>
    <w:p w14:paraId="0BEC497A" w14:textId="77777777" w:rsidR="00E05801" w:rsidRDefault="00E05801" w:rsidP="00E05801">
      <w:pPr>
        <w:pStyle w:val="ListParagraph"/>
        <w:tabs>
          <w:tab w:val="right" w:leader="dot" w:pos="9360"/>
        </w:tabs>
        <w:ind w:left="360"/>
      </w:pPr>
      <w:r>
        <w:t>6(d)  Estimating the Respondent Univer</w:t>
      </w:r>
      <w:r w:rsidR="00503B65">
        <w:t>se and Total Burden and Costs</w:t>
      </w:r>
      <w:r w:rsidR="00503B65">
        <w:tab/>
        <w:t>12</w:t>
      </w:r>
    </w:p>
    <w:p w14:paraId="02CB7868" w14:textId="293AB9EC" w:rsidR="00E05801" w:rsidRDefault="00E05801" w:rsidP="00E05801">
      <w:pPr>
        <w:pStyle w:val="ListParagraph"/>
        <w:tabs>
          <w:tab w:val="right" w:leader="dot" w:pos="9360"/>
        </w:tabs>
        <w:ind w:left="360"/>
      </w:pPr>
      <w:r>
        <w:t xml:space="preserve">6(e)  </w:t>
      </w:r>
      <w:r w:rsidRPr="000E1258">
        <w:rPr>
          <w:bCs/>
        </w:rPr>
        <w:t>Bottom Line Burden Hours and Cost Tables</w:t>
      </w:r>
      <w:r w:rsidR="00503B65">
        <w:rPr>
          <w:bCs/>
        </w:rPr>
        <w:tab/>
      </w:r>
      <w:r w:rsidR="000015A5">
        <w:rPr>
          <w:bCs/>
        </w:rPr>
        <w:t>15</w:t>
      </w:r>
    </w:p>
    <w:p w14:paraId="52D6F244" w14:textId="4CFB59D7" w:rsidR="00E05801" w:rsidRDefault="00E05801" w:rsidP="00E05801">
      <w:pPr>
        <w:pStyle w:val="ListParagraph"/>
        <w:tabs>
          <w:tab w:val="right" w:leader="dot" w:pos="9360"/>
        </w:tabs>
        <w:ind w:left="360"/>
      </w:pPr>
      <w:r>
        <w:t xml:space="preserve">6(f) </w:t>
      </w:r>
      <w:r w:rsidR="00503B65">
        <w:t xml:space="preserve"> Reasons for Change in Burden</w:t>
      </w:r>
      <w:r w:rsidR="00503B65">
        <w:tab/>
      </w:r>
      <w:r w:rsidR="000015A5">
        <w:t>15</w:t>
      </w:r>
    </w:p>
    <w:p w14:paraId="1B18F54C" w14:textId="164EEAA1" w:rsidR="00E05801" w:rsidRDefault="00503B65" w:rsidP="00E05801">
      <w:pPr>
        <w:pStyle w:val="ListParagraph"/>
        <w:tabs>
          <w:tab w:val="right" w:leader="dot" w:pos="9360"/>
        </w:tabs>
        <w:ind w:left="360"/>
      </w:pPr>
      <w:r>
        <w:t>6(g)  Burden Statement</w:t>
      </w:r>
      <w:r>
        <w:tab/>
      </w:r>
      <w:r w:rsidR="000015A5">
        <w:t>25</w:t>
      </w:r>
    </w:p>
    <w:p w14:paraId="27871FE1" w14:textId="77777777" w:rsidR="00E05801" w:rsidRDefault="00E05801" w:rsidP="00E05801">
      <w:pPr>
        <w:pStyle w:val="BodyTextIndent"/>
        <w:ind w:firstLine="0"/>
      </w:pPr>
      <w:r>
        <w:br w:type="page"/>
      </w:r>
    </w:p>
    <w:p w14:paraId="05DEC838" w14:textId="77777777" w:rsidR="00E05801" w:rsidRDefault="00E05801" w:rsidP="000A43E6">
      <w:pPr>
        <w:jc w:val="center"/>
        <w:outlineLvl w:val="0"/>
        <w:rPr>
          <w:b/>
          <w:bCs/>
        </w:rPr>
      </w:pPr>
      <w:r w:rsidRPr="008E075A">
        <w:rPr>
          <w:b/>
          <w:bCs/>
        </w:rPr>
        <w:lastRenderedPageBreak/>
        <w:t>EXHIBITS</w:t>
      </w:r>
    </w:p>
    <w:p w14:paraId="4EB3B8C7" w14:textId="77777777" w:rsidR="000A43E6" w:rsidRDefault="000A43E6" w:rsidP="000A43E6"/>
    <w:p w14:paraId="5FC4791E" w14:textId="77777777" w:rsidR="000A43E6" w:rsidRPr="008E075A" w:rsidRDefault="000A43E6" w:rsidP="000A43E6"/>
    <w:p w14:paraId="0F67510A" w14:textId="0807314D" w:rsidR="000A43E6" w:rsidRPr="0051780A" w:rsidRDefault="000A43E6" w:rsidP="000A43E6">
      <w:pPr>
        <w:tabs>
          <w:tab w:val="right" w:leader="dot" w:pos="9360"/>
        </w:tabs>
        <w:ind w:left="1440" w:right="720" w:hanging="1440"/>
        <w:rPr>
          <w:rFonts w:eastAsiaTheme="minorHAnsi"/>
        </w:rPr>
      </w:pPr>
      <w:r w:rsidRPr="0051780A">
        <w:rPr>
          <w:rFonts w:eastAsiaTheme="minorHAnsi"/>
        </w:rPr>
        <w:t>Exhibit 1:</w:t>
      </w:r>
      <w:r w:rsidRPr="0051780A">
        <w:rPr>
          <w:rFonts w:eastAsiaTheme="minorHAnsi"/>
        </w:rPr>
        <w:tab/>
      </w:r>
      <w:r w:rsidR="009166A6" w:rsidRPr="00294A15">
        <w:rPr>
          <w:bCs/>
          <w:szCs w:val="28"/>
        </w:rPr>
        <w:t>Average Annual Respondent Burden and Cost Estimates for the First Three Years</w:t>
      </w:r>
      <w:r>
        <w:rPr>
          <w:rFonts w:eastAsiaTheme="minorHAnsi"/>
        </w:rPr>
        <w:tab/>
      </w:r>
      <w:r w:rsidR="00344FFC">
        <w:rPr>
          <w:rFonts w:eastAsiaTheme="minorHAnsi"/>
        </w:rPr>
        <w:t>16</w:t>
      </w:r>
    </w:p>
    <w:p w14:paraId="099C97A5" w14:textId="77777777" w:rsidR="000A43E6" w:rsidRPr="0051780A" w:rsidRDefault="000A43E6" w:rsidP="000A43E6">
      <w:pPr>
        <w:tabs>
          <w:tab w:val="right" w:leader="dot" w:pos="9360"/>
        </w:tabs>
        <w:ind w:left="1440" w:right="720" w:hanging="1440"/>
        <w:rPr>
          <w:rFonts w:eastAsiaTheme="minorHAnsi"/>
        </w:rPr>
      </w:pPr>
    </w:p>
    <w:p w14:paraId="57725275" w14:textId="16FB183D" w:rsidR="000A43E6" w:rsidRPr="0051780A" w:rsidRDefault="000A43E6" w:rsidP="000A43E6">
      <w:pPr>
        <w:tabs>
          <w:tab w:val="right" w:leader="dot" w:pos="9360"/>
        </w:tabs>
        <w:ind w:left="1440" w:right="720" w:hanging="1440"/>
        <w:rPr>
          <w:rFonts w:eastAsiaTheme="minorHAnsi"/>
        </w:rPr>
      </w:pPr>
      <w:r w:rsidRPr="0051780A">
        <w:rPr>
          <w:bCs/>
        </w:rPr>
        <w:t>Exhibit 2:</w:t>
      </w:r>
      <w:r w:rsidRPr="0051780A">
        <w:rPr>
          <w:bCs/>
        </w:rPr>
        <w:tab/>
      </w:r>
      <w:r w:rsidR="009166A6" w:rsidRPr="00294A15">
        <w:rPr>
          <w:szCs w:val="28"/>
        </w:rPr>
        <w:t xml:space="preserve">Estimated Universe of Facilities Expected to </w:t>
      </w:r>
      <w:r w:rsidR="00B21ADD">
        <w:rPr>
          <w:szCs w:val="28"/>
        </w:rPr>
        <w:t>Experience Costs</w:t>
      </w:r>
      <w:r w:rsidR="009166A6" w:rsidRPr="00294A15">
        <w:rPr>
          <w:szCs w:val="28"/>
        </w:rPr>
        <w:t xml:space="preserve"> as a Result of the Aerosol Can Universal Waste Proposed Rule</w:t>
      </w:r>
      <w:r w:rsidRPr="0051780A">
        <w:rPr>
          <w:bCs/>
        </w:rPr>
        <w:tab/>
      </w:r>
      <w:r w:rsidR="00344FFC">
        <w:rPr>
          <w:bCs/>
        </w:rPr>
        <w:t>17</w:t>
      </w:r>
    </w:p>
    <w:p w14:paraId="57D23136" w14:textId="77777777" w:rsidR="000A43E6" w:rsidRPr="0051780A" w:rsidRDefault="000A43E6" w:rsidP="000A43E6">
      <w:pPr>
        <w:tabs>
          <w:tab w:val="right" w:leader="dot" w:pos="9360"/>
        </w:tabs>
        <w:ind w:left="1440" w:right="720" w:hanging="1440"/>
        <w:rPr>
          <w:rFonts w:eastAsiaTheme="minorHAnsi"/>
        </w:rPr>
      </w:pPr>
    </w:p>
    <w:p w14:paraId="35B6D53C" w14:textId="210A5D7B" w:rsidR="000A43E6" w:rsidRDefault="000A43E6" w:rsidP="000A43E6">
      <w:pPr>
        <w:tabs>
          <w:tab w:val="right" w:leader="dot" w:pos="9360"/>
        </w:tabs>
        <w:ind w:left="1440" w:right="720" w:hanging="1440"/>
        <w:rPr>
          <w:bCs/>
          <w:color w:val="000000"/>
        </w:rPr>
      </w:pPr>
      <w:r w:rsidRPr="0051780A">
        <w:rPr>
          <w:bCs/>
          <w:color w:val="000000"/>
        </w:rPr>
        <w:t>Exhibit 3</w:t>
      </w:r>
      <w:r>
        <w:rPr>
          <w:bCs/>
          <w:color w:val="000000"/>
        </w:rPr>
        <w:t>A</w:t>
      </w:r>
      <w:r w:rsidRPr="0051780A">
        <w:rPr>
          <w:bCs/>
          <w:color w:val="000000"/>
        </w:rPr>
        <w:t>:</w:t>
      </w:r>
      <w:r w:rsidRPr="0051780A">
        <w:rPr>
          <w:bCs/>
          <w:color w:val="000000"/>
        </w:rPr>
        <w:tab/>
      </w:r>
      <w:r w:rsidR="009166A6" w:rsidRPr="00294A15">
        <w:rPr>
          <w:bCs/>
          <w:color w:val="000000"/>
        </w:rPr>
        <w:t>Respondent Cost Estimates for LQGs that remain LQGs Post-Rule</w:t>
      </w:r>
      <w:r w:rsidRPr="0051780A">
        <w:rPr>
          <w:bCs/>
          <w:color w:val="000000"/>
        </w:rPr>
        <w:tab/>
      </w:r>
      <w:r w:rsidR="00344FFC">
        <w:rPr>
          <w:bCs/>
          <w:color w:val="000000"/>
        </w:rPr>
        <w:t>18</w:t>
      </w:r>
    </w:p>
    <w:p w14:paraId="421F38DC" w14:textId="77777777" w:rsidR="000A43E6" w:rsidRDefault="000A43E6" w:rsidP="000A43E6">
      <w:pPr>
        <w:tabs>
          <w:tab w:val="right" w:leader="dot" w:pos="9360"/>
        </w:tabs>
        <w:ind w:left="1440" w:right="720" w:hanging="1440"/>
        <w:rPr>
          <w:bCs/>
          <w:color w:val="000000"/>
        </w:rPr>
      </w:pPr>
    </w:p>
    <w:p w14:paraId="42D53680" w14:textId="73E50BFC" w:rsidR="000A43E6" w:rsidRDefault="000A43E6" w:rsidP="000A43E6">
      <w:pPr>
        <w:tabs>
          <w:tab w:val="right" w:leader="dot" w:pos="9360"/>
        </w:tabs>
        <w:ind w:left="1440" w:right="720" w:hanging="1440"/>
        <w:rPr>
          <w:bCs/>
          <w:color w:val="000000"/>
        </w:rPr>
      </w:pPr>
      <w:r w:rsidRPr="0051780A">
        <w:rPr>
          <w:bCs/>
          <w:color w:val="000000"/>
        </w:rPr>
        <w:t>Exhibit 3</w:t>
      </w:r>
      <w:r>
        <w:rPr>
          <w:bCs/>
          <w:color w:val="000000"/>
        </w:rPr>
        <w:t>B</w:t>
      </w:r>
      <w:r w:rsidRPr="0051780A">
        <w:rPr>
          <w:bCs/>
          <w:color w:val="000000"/>
        </w:rPr>
        <w:t>:</w:t>
      </w:r>
      <w:r w:rsidRPr="0051780A">
        <w:rPr>
          <w:bCs/>
          <w:color w:val="000000"/>
        </w:rPr>
        <w:tab/>
      </w:r>
      <w:r w:rsidR="009166A6" w:rsidRPr="00294A15">
        <w:rPr>
          <w:bCs/>
          <w:color w:val="000000"/>
        </w:rPr>
        <w:t>Respondent Cost</w:t>
      </w:r>
      <w:r w:rsidR="00B21ADD">
        <w:rPr>
          <w:bCs/>
          <w:color w:val="000000"/>
        </w:rPr>
        <w:t xml:space="preserve"> </w:t>
      </w:r>
      <w:r w:rsidR="009166A6" w:rsidRPr="00294A15">
        <w:rPr>
          <w:bCs/>
          <w:color w:val="000000"/>
        </w:rPr>
        <w:t>Estimates for LQGs that become SQGs Post-Rule</w:t>
      </w:r>
      <w:r>
        <w:rPr>
          <w:bCs/>
          <w:color w:val="000000"/>
        </w:rPr>
        <w:tab/>
      </w:r>
      <w:r w:rsidR="00344FFC">
        <w:rPr>
          <w:bCs/>
          <w:color w:val="000000"/>
        </w:rPr>
        <w:t>19</w:t>
      </w:r>
    </w:p>
    <w:p w14:paraId="08989988" w14:textId="77777777" w:rsidR="000A43E6" w:rsidRDefault="000A43E6" w:rsidP="000A43E6">
      <w:pPr>
        <w:tabs>
          <w:tab w:val="right" w:leader="dot" w:pos="9360"/>
        </w:tabs>
        <w:ind w:left="1440" w:right="720" w:hanging="1440"/>
        <w:rPr>
          <w:bCs/>
        </w:rPr>
      </w:pPr>
    </w:p>
    <w:p w14:paraId="61469F64" w14:textId="178CB4D9" w:rsidR="000A43E6" w:rsidRPr="0051780A" w:rsidRDefault="009166A6" w:rsidP="000A43E6">
      <w:pPr>
        <w:tabs>
          <w:tab w:val="right" w:leader="dot" w:pos="9360"/>
        </w:tabs>
        <w:ind w:left="1440" w:right="720" w:hanging="1440"/>
        <w:rPr>
          <w:rFonts w:eastAsiaTheme="minorHAnsi"/>
        </w:rPr>
      </w:pPr>
      <w:r>
        <w:rPr>
          <w:bCs/>
        </w:rPr>
        <w:t>Exhibit 3C</w:t>
      </w:r>
      <w:r w:rsidR="000A43E6" w:rsidRPr="0051780A">
        <w:rPr>
          <w:bCs/>
        </w:rPr>
        <w:t>:</w:t>
      </w:r>
      <w:r w:rsidR="000A43E6" w:rsidRPr="0051780A">
        <w:rPr>
          <w:bCs/>
        </w:rPr>
        <w:tab/>
      </w:r>
      <w:r w:rsidRPr="00294A15">
        <w:rPr>
          <w:bCs/>
          <w:color w:val="000000"/>
        </w:rPr>
        <w:t>Respondent Cost Estimates for LQGs that become LQHs Post-Rule</w:t>
      </w:r>
      <w:r w:rsidR="000A43E6" w:rsidRPr="0051780A">
        <w:rPr>
          <w:bCs/>
        </w:rPr>
        <w:tab/>
      </w:r>
      <w:r w:rsidR="00344FFC">
        <w:rPr>
          <w:bCs/>
        </w:rPr>
        <w:t>20</w:t>
      </w:r>
    </w:p>
    <w:p w14:paraId="6D5DA6E0" w14:textId="77777777" w:rsidR="000A43E6" w:rsidRPr="0051780A" w:rsidRDefault="000A43E6" w:rsidP="000A43E6">
      <w:pPr>
        <w:tabs>
          <w:tab w:val="right" w:leader="dot" w:pos="9360"/>
        </w:tabs>
        <w:ind w:left="1440" w:right="720" w:hanging="1440"/>
        <w:rPr>
          <w:rFonts w:eastAsiaTheme="minorHAnsi"/>
        </w:rPr>
      </w:pPr>
    </w:p>
    <w:p w14:paraId="3CD7E0A0" w14:textId="446E4BA0" w:rsidR="000A43E6" w:rsidRPr="0051780A" w:rsidRDefault="009166A6" w:rsidP="000A43E6">
      <w:pPr>
        <w:tabs>
          <w:tab w:val="right" w:leader="dot" w:pos="9360"/>
        </w:tabs>
        <w:ind w:left="1440" w:right="720" w:hanging="1440"/>
        <w:rPr>
          <w:rFonts w:eastAsiaTheme="minorHAnsi"/>
        </w:rPr>
      </w:pPr>
      <w:r>
        <w:rPr>
          <w:bCs/>
        </w:rPr>
        <w:t>Exhibit 3D</w:t>
      </w:r>
      <w:r w:rsidR="000A43E6" w:rsidRPr="0051780A">
        <w:rPr>
          <w:bCs/>
        </w:rPr>
        <w:t>:</w:t>
      </w:r>
      <w:r w:rsidR="000A43E6" w:rsidRPr="0051780A">
        <w:rPr>
          <w:bCs/>
        </w:rPr>
        <w:tab/>
      </w:r>
      <w:r w:rsidRPr="00294A15">
        <w:rPr>
          <w:bCs/>
          <w:color w:val="000000"/>
        </w:rPr>
        <w:t>Respondent Cost Estimates for SQGs that become LQHs Post-Rule</w:t>
      </w:r>
      <w:r w:rsidR="000A43E6" w:rsidRPr="0051780A">
        <w:rPr>
          <w:bCs/>
        </w:rPr>
        <w:tab/>
      </w:r>
      <w:r w:rsidR="00344FFC">
        <w:rPr>
          <w:bCs/>
        </w:rPr>
        <w:t>21</w:t>
      </w:r>
    </w:p>
    <w:p w14:paraId="40D140B4" w14:textId="77777777" w:rsidR="000A43E6" w:rsidRPr="0051780A" w:rsidRDefault="000A43E6" w:rsidP="000A43E6">
      <w:pPr>
        <w:tabs>
          <w:tab w:val="right" w:leader="dot" w:pos="9360"/>
        </w:tabs>
        <w:ind w:left="1440" w:right="720" w:hanging="1440"/>
        <w:rPr>
          <w:rFonts w:eastAsiaTheme="minorHAnsi"/>
        </w:rPr>
      </w:pPr>
    </w:p>
    <w:p w14:paraId="36AC066B" w14:textId="5E86472B" w:rsidR="000A43E6" w:rsidRPr="0051780A" w:rsidRDefault="009166A6" w:rsidP="000A43E6">
      <w:pPr>
        <w:tabs>
          <w:tab w:val="right" w:leader="dot" w:pos="9360"/>
        </w:tabs>
        <w:ind w:left="1440" w:right="720" w:hanging="1440"/>
        <w:rPr>
          <w:rFonts w:eastAsiaTheme="minorHAnsi"/>
        </w:rPr>
      </w:pPr>
      <w:r>
        <w:rPr>
          <w:bCs/>
        </w:rPr>
        <w:t>Exhibit 3E</w:t>
      </w:r>
      <w:r w:rsidR="000A43E6" w:rsidRPr="0051780A">
        <w:rPr>
          <w:bCs/>
        </w:rPr>
        <w:t>:</w:t>
      </w:r>
      <w:r w:rsidR="000A43E6" w:rsidRPr="0051780A">
        <w:rPr>
          <w:bCs/>
        </w:rPr>
        <w:tab/>
      </w:r>
      <w:r w:rsidRPr="00294A15">
        <w:rPr>
          <w:bCs/>
          <w:color w:val="000000"/>
        </w:rPr>
        <w:t>Respondent Cost Estimates for SQGs that become SQHs Post-Rule</w:t>
      </w:r>
      <w:r w:rsidR="000A43E6" w:rsidRPr="0051780A">
        <w:rPr>
          <w:bCs/>
        </w:rPr>
        <w:tab/>
      </w:r>
      <w:r w:rsidR="00344FFC">
        <w:rPr>
          <w:bCs/>
        </w:rPr>
        <w:t>22</w:t>
      </w:r>
    </w:p>
    <w:p w14:paraId="007F0639" w14:textId="77777777" w:rsidR="000A43E6" w:rsidRDefault="000A43E6" w:rsidP="000A43E6">
      <w:pPr>
        <w:tabs>
          <w:tab w:val="right" w:leader="dot" w:pos="9360"/>
        </w:tabs>
        <w:ind w:left="1440" w:right="720" w:hanging="1440"/>
        <w:rPr>
          <w:bCs/>
        </w:rPr>
      </w:pPr>
    </w:p>
    <w:p w14:paraId="241E79E6" w14:textId="6065376D" w:rsidR="000A43E6" w:rsidRDefault="000A43E6" w:rsidP="000A43E6">
      <w:pPr>
        <w:tabs>
          <w:tab w:val="right" w:leader="dot" w:pos="9360"/>
        </w:tabs>
        <w:ind w:left="1440" w:right="720" w:hanging="1440"/>
        <w:rPr>
          <w:bCs/>
        </w:rPr>
      </w:pPr>
      <w:r w:rsidRPr="0051780A">
        <w:rPr>
          <w:bCs/>
        </w:rPr>
        <w:t xml:space="preserve">Exhibit </w:t>
      </w:r>
      <w:r w:rsidR="009166A6">
        <w:rPr>
          <w:bCs/>
        </w:rPr>
        <w:t>4</w:t>
      </w:r>
      <w:r w:rsidRPr="0051780A">
        <w:rPr>
          <w:bCs/>
        </w:rPr>
        <w:t>:</w:t>
      </w:r>
      <w:r w:rsidRPr="0051780A">
        <w:rPr>
          <w:bCs/>
        </w:rPr>
        <w:tab/>
      </w:r>
      <w:r w:rsidR="009166A6" w:rsidRPr="00294A15">
        <w:rPr>
          <w:bCs/>
          <w:color w:val="000000"/>
        </w:rPr>
        <w:t xml:space="preserve">Federal Agency Burden and Cost Estimates for LQGs and SQGs that become </w:t>
      </w:r>
      <w:r w:rsidR="00125631">
        <w:rPr>
          <w:bCs/>
          <w:color w:val="000000"/>
        </w:rPr>
        <w:t>L</w:t>
      </w:r>
      <w:r w:rsidR="009166A6" w:rsidRPr="00294A15">
        <w:rPr>
          <w:bCs/>
          <w:color w:val="000000"/>
        </w:rPr>
        <w:t>QHs</w:t>
      </w:r>
      <w:r w:rsidRPr="0051780A">
        <w:rPr>
          <w:bCs/>
        </w:rPr>
        <w:tab/>
      </w:r>
      <w:r w:rsidR="00344FFC">
        <w:rPr>
          <w:bCs/>
        </w:rPr>
        <w:t>23</w:t>
      </w:r>
    </w:p>
    <w:p w14:paraId="40372115" w14:textId="77777777" w:rsidR="000A43E6" w:rsidRDefault="000A43E6" w:rsidP="000A43E6">
      <w:pPr>
        <w:tabs>
          <w:tab w:val="right" w:leader="dot" w:pos="9360"/>
        </w:tabs>
        <w:ind w:left="1440" w:right="720" w:hanging="1440"/>
        <w:rPr>
          <w:bCs/>
        </w:rPr>
      </w:pPr>
    </w:p>
    <w:p w14:paraId="0B4DA1BD" w14:textId="77777777" w:rsidR="00E05801" w:rsidRDefault="00E05801" w:rsidP="00E05801">
      <w:pPr>
        <w:pStyle w:val="BodyTextIndent"/>
        <w:ind w:firstLine="0"/>
      </w:pPr>
    </w:p>
    <w:p w14:paraId="3C428CE1" w14:textId="77777777" w:rsidR="000A43E6" w:rsidRDefault="000A43E6" w:rsidP="00E05801">
      <w:pPr>
        <w:outlineLvl w:val="0"/>
        <w:rPr>
          <w:b/>
          <w:bCs/>
        </w:rPr>
      </w:pPr>
      <w:r>
        <w:rPr>
          <w:b/>
          <w:bCs/>
        </w:rPr>
        <w:br w:type="page"/>
      </w:r>
    </w:p>
    <w:p w14:paraId="60235693" w14:textId="77777777" w:rsidR="00E05801" w:rsidRPr="0015005D" w:rsidRDefault="00E05801" w:rsidP="00E05801">
      <w:pPr>
        <w:outlineLvl w:val="0"/>
        <w:rPr>
          <w:b/>
          <w:bCs/>
        </w:rPr>
      </w:pPr>
      <w:r w:rsidRPr="0015005D">
        <w:rPr>
          <w:b/>
          <w:bCs/>
        </w:rPr>
        <w:t>1.</w:t>
      </w:r>
      <w:r w:rsidRPr="0015005D">
        <w:rPr>
          <w:b/>
          <w:bCs/>
        </w:rPr>
        <w:tab/>
        <w:t>IDENTIFICATION OF THE INFORMATION COLLECTION</w:t>
      </w:r>
    </w:p>
    <w:p w14:paraId="46BD2024" w14:textId="77777777" w:rsidR="00E05801" w:rsidRPr="00D15828" w:rsidRDefault="00E05801" w:rsidP="00E05801">
      <w:pPr>
        <w:rPr>
          <w:b/>
          <w:szCs w:val="28"/>
        </w:rPr>
      </w:pPr>
    </w:p>
    <w:p w14:paraId="6086DDA4" w14:textId="77777777" w:rsidR="00E05801" w:rsidRPr="00D15828" w:rsidRDefault="00E05801" w:rsidP="00E05801">
      <w:pPr>
        <w:ind w:firstLine="720"/>
        <w:rPr>
          <w:b/>
        </w:rPr>
      </w:pPr>
      <w:r w:rsidRPr="00D15828">
        <w:rPr>
          <w:b/>
        </w:rPr>
        <w:t>1(a)</w:t>
      </w:r>
      <w:r w:rsidRPr="00D15828">
        <w:rPr>
          <w:b/>
        </w:rPr>
        <w:tab/>
        <w:t>Title and Number of the Information Collection</w:t>
      </w:r>
    </w:p>
    <w:p w14:paraId="30F1D13E" w14:textId="77777777" w:rsidR="00E05801" w:rsidRPr="00D15828" w:rsidRDefault="00E05801" w:rsidP="00E05801">
      <w:pPr>
        <w:ind w:firstLine="720"/>
        <w:rPr>
          <w:b/>
        </w:rPr>
      </w:pPr>
    </w:p>
    <w:p w14:paraId="47F50A3E" w14:textId="260C45A3" w:rsidR="00E05801" w:rsidRPr="00066290" w:rsidRDefault="00E05801" w:rsidP="00E05801">
      <w:pPr>
        <w:ind w:firstLine="720"/>
        <w:jc w:val="both"/>
        <w:rPr>
          <w:bCs/>
        </w:rPr>
      </w:pPr>
      <w:r w:rsidRPr="00066290">
        <w:t>This information Collection Request (I</w:t>
      </w:r>
      <w:r w:rsidRPr="000B1DF5">
        <w:t>CR) is entitled “</w:t>
      </w:r>
      <w:r w:rsidRPr="0064226C">
        <w:t>Reporting And Recordkeeping Requirements for the Final Aerosol Can Universal Waste Proposed Rule,”</w:t>
      </w:r>
      <w:r w:rsidRPr="000B1DF5">
        <w:rPr>
          <w:bCs/>
        </w:rPr>
        <w:t xml:space="preserve"> EPA ICR Number</w:t>
      </w:r>
      <w:r w:rsidR="0064226C">
        <w:rPr>
          <w:bCs/>
        </w:rPr>
        <w:t xml:space="preserve"> </w:t>
      </w:r>
      <w:r w:rsidR="006D1B8A">
        <w:rPr>
          <w:bCs/>
        </w:rPr>
        <w:t>1597.12</w:t>
      </w:r>
      <w:r w:rsidRPr="000B1DF5">
        <w:rPr>
          <w:bCs/>
        </w:rPr>
        <w:t xml:space="preserve">, OMB </w:t>
      </w:r>
      <w:r w:rsidRPr="00FB08D1">
        <w:t xml:space="preserve">Number </w:t>
      </w:r>
      <w:r w:rsidR="00FB08D1" w:rsidRPr="00FB08D1">
        <w:t>2050-</w:t>
      </w:r>
      <w:r w:rsidR="00F060B9">
        <w:t>0145</w:t>
      </w:r>
      <w:r w:rsidRPr="00FB08D1">
        <w:t>.</w:t>
      </w:r>
    </w:p>
    <w:p w14:paraId="1E96DABF" w14:textId="77777777" w:rsidR="00E05801" w:rsidRDefault="00E05801" w:rsidP="00E05801">
      <w:pPr>
        <w:ind w:firstLine="720"/>
        <w:jc w:val="both"/>
        <w:rPr>
          <w:bCs/>
        </w:rPr>
      </w:pPr>
    </w:p>
    <w:p w14:paraId="1C528C48" w14:textId="77777777" w:rsidR="00E05801" w:rsidRDefault="00E05801" w:rsidP="00E05801">
      <w:pPr>
        <w:ind w:firstLine="720"/>
        <w:rPr>
          <w:b/>
          <w:bCs/>
        </w:rPr>
      </w:pPr>
      <w:r w:rsidRPr="00D15828">
        <w:rPr>
          <w:b/>
          <w:bCs/>
        </w:rPr>
        <w:t>1(b)</w:t>
      </w:r>
      <w:r w:rsidRPr="00D15828">
        <w:rPr>
          <w:b/>
          <w:bCs/>
        </w:rPr>
        <w:tab/>
        <w:t>Short Characterization</w:t>
      </w:r>
    </w:p>
    <w:p w14:paraId="25DC7728" w14:textId="77777777" w:rsidR="00E05801" w:rsidRPr="00D15828" w:rsidRDefault="00E05801" w:rsidP="00E05801">
      <w:pPr>
        <w:rPr>
          <w:b/>
          <w:bCs/>
        </w:rPr>
      </w:pPr>
    </w:p>
    <w:p w14:paraId="15D3FA92" w14:textId="77777777" w:rsidR="00C93DA5" w:rsidRPr="005834B3" w:rsidRDefault="00C93DA5" w:rsidP="000405F9">
      <w:pPr>
        <w:spacing w:after="120"/>
        <w:ind w:firstLine="720"/>
      </w:pPr>
      <w:r w:rsidRPr="005834B3">
        <w:t xml:space="preserve">Under current RCRA regulations, aerosol cans are categorized as hazardous waste and must be managed by a permitted RCRA hazardous waste treatment, storage, and disposal facility (TSDF).  Because the contents and/or propellant within aerosol cans may be flammable, these cans may adversely impact human health and the environment if not properly disposed.  In the absence of government intervention, facilities that generate waste aerosol cans (“generators”) would likely send them to municipal solid waste landfills (MSWLFs), which generally are less protective of human health and the environment than disposal at TSDFs.  </w:t>
      </w:r>
    </w:p>
    <w:p w14:paraId="00407FFF" w14:textId="77777777" w:rsidR="00C93DA5" w:rsidRPr="005834B3" w:rsidRDefault="00C93DA5" w:rsidP="000405F9">
      <w:pPr>
        <w:spacing w:after="120"/>
        <w:ind w:firstLine="720"/>
      </w:pPr>
      <w:r w:rsidRPr="005834B3">
        <w:t xml:space="preserve">While the RCRA Subtitle C requirements, when followed, reduce the risks associated with aerosol cans, facilities that generate hazardous aerosol can waste do not always manage these wastes in compliance with RCRA regulations.  Many generators may not realize that aerosol cans are hazardous or may be unaware of the proper method of disposing of these wastes.  The proposed designation of aerosol cans as Universal Waste (UW) will address this issue by simplifying the process of managing aerosol cans as hazardous waste. The UW designation will reduce the regulatory burden and cost of properly disposing of aerosol cans, creating an incentive for generators to dispose of them appropriately.   </w:t>
      </w:r>
    </w:p>
    <w:p w14:paraId="457AFBA7" w14:textId="77777777" w:rsidR="00C93DA5" w:rsidRPr="005834B3" w:rsidRDefault="00C93DA5" w:rsidP="000405F9">
      <w:pPr>
        <w:spacing w:after="120"/>
        <w:ind w:firstLine="720"/>
        <w:rPr>
          <w:b/>
        </w:rPr>
      </w:pPr>
      <w:r w:rsidRPr="005834B3">
        <w:t xml:space="preserve">The current regulation of aerosol can wastes is also inconsistent across the U.S.  </w:t>
      </w:r>
      <w:r w:rsidR="00D32B8B">
        <w:t>S</w:t>
      </w:r>
      <w:r w:rsidRPr="005834B3">
        <w:t>ome states (</w:t>
      </w:r>
      <w:r w:rsidR="00D32B8B">
        <w:t xml:space="preserve">i.e., </w:t>
      </w:r>
      <w:r w:rsidRPr="005834B3">
        <w:t>Colorado, New Mexico, Utah and California) have already taken steps to treat aerosol cans as universal waste while most other states have not.  This has created a situation in which requirements for managing aerosol cans vary from state to state.  Because aerosol cans often cross state boundaries during the process of disposal, establishing uniform requirements across all states will reduce the complexity of managing aerosol cans.  This will likely decrease the costs of managing aerosol cans at TSDFs and increase regulatory compliance.</w:t>
      </w:r>
    </w:p>
    <w:p w14:paraId="1A152158" w14:textId="77777777" w:rsidR="00C93DA5" w:rsidRPr="005834B3" w:rsidRDefault="00C93DA5" w:rsidP="000405F9">
      <w:pPr>
        <w:spacing w:after="120"/>
        <w:ind w:firstLine="720"/>
      </w:pPr>
      <w:r w:rsidRPr="005834B3">
        <w:t>The key provisions of the proposed rule include the following:</w:t>
      </w:r>
    </w:p>
    <w:p w14:paraId="37ACEF82" w14:textId="77777777" w:rsidR="00C93DA5" w:rsidRPr="005834B3" w:rsidRDefault="00C93DA5" w:rsidP="00C93DA5">
      <w:pPr>
        <w:numPr>
          <w:ilvl w:val="0"/>
          <w:numId w:val="34"/>
        </w:numPr>
      </w:pPr>
      <w:r w:rsidRPr="005834B3">
        <w:t>Aerosol cans managed under the proposed rule are not counted toward a facility’s RCRA generator status.</w:t>
      </w:r>
    </w:p>
    <w:p w14:paraId="006D0D18" w14:textId="77777777" w:rsidR="00C93DA5" w:rsidRPr="005834B3" w:rsidRDefault="00C93DA5" w:rsidP="00C93DA5">
      <w:pPr>
        <w:numPr>
          <w:ilvl w:val="0"/>
          <w:numId w:val="34"/>
        </w:numPr>
      </w:pPr>
      <w:r w:rsidRPr="005834B3">
        <w:t>The existing universal waste requirements currently applicable to small quantity handlers of universal waste (SQHUWs) and large quantity handlers of universal waste (LQHUWs) will also be applicable to handlers of aerosol can waste. For both SQHUWs and LQHUWs, these requirements include waste management standards, labeling and marking, accumulation time limits, employee training, response to releases, requirements related to off-site shipments, and export requirements.  LQHUWs are also subject to additional notification and tracking requirements.</w:t>
      </w:r>
    </w:p>
    <w:p w14:paraId="729C1467" w14:textId="77777777" w:rsidR="00C93DA5" w:rsidRPr="005834B3" w:rsidRDefault="00C93DA5" w:rsidP="00C93DA5">
      <w:pPr>
        <w:numPr>
          <w:ilvl w:val="0"/>
          <w:numId w:val="34"/>
        </w:numPr>
      </w:pPr>
      <w:r w:rsidRPr="005834B3">
        <w:t>All handlers must manage their universal waste aerosol cans in a manner designed to prevent fire, explosion, and unauthorized releases to the environment.</w:t>
      </w:r>
    </w:p>
    <w:p w14:paraId="68C7A695" w14:textId="77777777" w:rsidR="00C93DA5" w:rsidRPr="005834B3" w:rsidRDefault="00C93DA5" w:rsidP="00C93DA5">
      <w:pPr>
        <w:numPr>
          <w:ilvl w:val="0"/>
          <w:numId w:val="34"/>
        </w:numPr>
      </w:pPr>
      <w:r w:rsidRPr="005834B3">
        <w:t xml:space="preserve">The containers in which aerosol cans are stored should be labeled to easily identify what is in them. EPA is proposing that one of the following phrases be used for labeling the containers; “Universal Waste-Aerosol Cans”, “Waste Aerosol Cans" or "Used Aerosol Cans". </w:t>
      </w:r>
    </w:p>
    <w:p w14:paraId="4E4E8E8D" w14:textId="77777777" w:rsidR="00C93DA5" w:rsidRPr="005834B3" w:rsidRDefault="00C93DA5" w:rsidP="00C93DA5">
      <w:pPr>
        <w:numPr>
          <w:ilvl w:val="0"/>
          <w:numId w:val="34"/>
        </w:numPr>
      </w:pPr>
      <w:r w:rsidRPr="005834B3">
        <w:t>Generators of waste aerosol cans will be allowed to ship waste aerosol cans to other handlers without using a hazardous waste manifest or a hazardous waste transporter.</w:t>
      </w:r>
    </w:p>
    <w:p w14:paraId="36BF8AB2" w14:textId="77777777" w:rsidR="00C93DA5" w:rsidRPr="005834B3" w:rsidRDefault="00C93DA5" w:rsidP="00C93DA5">
      <w:pPr>
        <w:numPr>
          <w:ilvl w:val="0"/>
          <w:numId w:val="34"/>
        </w:numPr>
      </w:pPr>
      <w:r w:rsidRPr="005834B3">
        <w:t>Generators of waste aerosol cans will be allowed to puncture and drain the cans prior to shipping, storing, or recycling them.</w:t>
      </w:r>
    </w:p>
    <w:p w14:paraId="6D388F79" w14:textId="77777777" w:rsidR="00C93DA5" w:rsidRDefault="00C93DA5" w:rsidP="00E05801">
      <w:pPr>
        <w:ind w:firstLine="720"/>
      </w:pPr>
    </w:p>
    <w:p w14:paraId="2DE519BB" w14:textId="725345DA" w:rsidR="00E05801" w:rsidRPr="00066290" w:rsidRDefault="009E4235" w:rsidP="00E05801">
      <w:pPr>
        <w:ind w:firstLine="720"/>
      </w:pPr>
      <w:r>
        <w:t xml:space="preserve">This </w:t>
      </w:r>
      <w:r w:rsidR="00E05801" w:rsidRPr="00066290">
        <w:t xml:space="preserve">ICR is a description of the information collection requirements for all </w:t>
      </w:r>
      <w:r>
        <w:t>handlers of waste aerosol cans under the universal waste requirements</w:t>
      </w:r>
      <w:r w:rsidR="00E05801" w:rsidRPr="00066290">
        <w:t>.</w:t>
      </w:r>
      <w:r w:rsidR="00F33FA1">
        <w:t xml:space="preserve"> Th</w:t>
      </w:r>
      <w:r w:rsidR="00E44D99">
        <w:t xml:space="preserve">e scope of this </w:t>
      </w:r>
      <w:r w:rsidR="00F33FA1">
        <w:t xml:space="preserve">ICR </w:t>
      </w:r>
      <w:r w:rsidR="00E44D99">
        <w:t xml:space="preserve">is limited to the </w:t>
      </w:r>
      <w:r w:rsidR="00F33FA1">
        <w:t xml:space="preserve">information collection requirements associated with handling aerosol cans </w:t>
      </w:r>
      <w:r w:rsidR="00EF1070">
        <w:t>as</w:t>
      </w:r>
      <w:r w:rsidR="00F33FA1">
        <w:t xml:space="preserve"> universal waste. This ICR does not describe the reduction in burden</w:t>
      </w:r>
      <w:r w:rsidR="00EF1070">
        <w:t xml:space="preserve"> from avoided compliance with </w:t>
      </w:r>
      <w:r w:rsidR="00F33FA1">
        <w:t xml:space="preserve">the information collection requirements associated with handling aerosol cans </w:t>
      </w:r>
      <w:r w:rsidR="00EF1070">
        <w:t>as</w:t>
      </w:r>
      <w:r w:rsidR="00F33FA1">
        <w:t xml:space="preserve"> hazardous waste. The reduction in burden </w:t>
      </w:r>
      <w:r w:rsidR="00EF1070">
        <w:t>from avoided</w:t>
      </w:r>
      <w:r w:rsidR="00F33FA1">
        <w:t xml:space="preserve"> </w:t>
      </w:r>
      <w:r w:rsidR="005C61B3">
        <w:t xml:space="preserve">compliance with </w:t>
      </w:r>
      <w:r w:rsidR="00EF1070">
        <w:t xml:space="preserve">the </w:t>
      </w:r>
      <w:r w:rsidR="005C61B3">
        <w:t xml:space="preserve">hazardous waste information collection requirements </w:t>
      </w:r>
      <w:r w:rsidR="00F33FA1">
        <w:t xml:space="preserve">is described in </w:t>
      </w:r>
      <w:r w:rsidR="004829B2">
        <w:t>a separate ICR (OMB Control Number 2050-0213)</w:t>
      </w:r>
      <w:r w:rsidR="00F33FA1">
        <w:t xml:space="preserve">. </w:t>
      </w:r>
    </w:p>
    <w:p w14:paraId="4918EFAD" w14:textId="77777777" w:rsidR="00E05801" w:rsidRDefault="00E05801" w:rsidP="00E05801">
      <w:pPr>
        <w:jc w:val="both"/>
        <w:rPr>
          <w:b/>
          <w:szCs w:val="28"/>
        </w:rPr>
      </w:pPr>
    </w:p>
    <w:p w14:paraId="5CAFAA65" w14:textId="77777777" w:rsidR="00E05801" w:rsidRPr="00D15828" w:rsidRDefault="00E05801" w:rsidP="00E05801">
      <w:pPr>
        <w:outlineLvl w:val="0"/>
        <w:rPr>
          <w:b/>
          <w:szCs w:val="28"/>
        </w:rPr>
      </w:pPr>
      <w:r w:rsidRPr="0015005D">
        <w:rPr>
          <w:b/>
          <w:bCs/>
        </w:rPr>
        <w:t>2.</w:t>
      </w:r>
      <w:r w:rsidRPr="0015005D">
        <w:rPr>
          <w:b/>
          <w:bCs/>
        </w:rPr>
        <w:tab/>
        <w:t>NEED FOR AND USE OF THE COLLECTION</w:t>
      </w:r>
    </w:p>
    <w:p w14:paraId="5A28C9C5" w14:textId="77777777" w:rsidR="00E05801" w:rsidRPr="00D15828" w:rsidRDefault="00E05801" w:rsidP="00E05801">
      <w:pPr>
        <w:jc w:val="both"/>
        <w:rPr>
          <w:szCs w:val="28"/>
        </w:rPr>
      </w:pPr>
    </w:p>
    <w:p w14:paraId="69D165AD" w14:textId="77777777" w:rsidR="00E05801" w:rsidRPr="00D15828" w:rsidRDefault="00E05801" w:rsidP="00E05801">
      <w:pPr>
        <w:ind w:firstLine="720"/>
        <w:jc w:val="both"/>
        <w:rPr>
          <w:b/>
          <w:bCs/>
          <w:u w:val="single"/>
        </w:rPr>
      </w:pPr>
      <w:r w:rsidRPr="00D15828">
        <w:rPr>
          <w:b/>
          <w:bCs/>
        </w:rPr>
        <w:t xml:space="preserve">2(a) </w:t>
      </w:r>
      <w:r w:rsidRPr="00D15828">
        <w:rPr>
          <w:b/>
          <w:bCs/>
        </w:rPr>
        <w:tab/>
        <w:t>Need and Authority for the Collection</w:t>
      </w:r>
      <w:r w:rsidRPr="00D15828">
        <w:rPr>
          <w:b/>
          <w:bCs/>
          <w:u w:val="single"/>
        </w:rPr>
        <w:t xml:space="preserve"> </w:t>
      </w:r>
    </w:p>
    <w:p w14:paraId="21369942" w14:textId="77777777" w:rsidR="00E05801" w:rsidRDefault="00E05801" w:rsidP="00E05801"/>
    <w:p w14:paraId="46A232AC" w14:textId="77777777" w:rsidR="00E05801" w:rsidRDefault="00E05801" w:rsidP="00E05801">
      <w:pPr>
        <w:ind w:firstLine="720"/>
      </w:pPr>
      <w:r w:rsidRPr="00D15828">
        <w:t>The requirements covered in this ICR are necessary for EPA</w:t>
      </w:r>
      <w:r>
        <w:t xml:space="preserve"> to oversee the generation and management of waste</w:t>
      </w:r>
      <w:r w:rsidR="00C93DA5">
        <w:t xml:space="preserve"> aerosol cans</w:t>
      </w:r>
      <w:r>
        <w:t xml:space="preserve">. </w:t>
      </w:r>
      <w:r w:rsidRPr="00D15828">
        <w:t>EPA is</w:t>
      </w:r>
      <w:r>
        <w:t xml:space="preserve"> requiring</w:t>
      </w:r>
      <w:r w:rsidRPr="00D15828">
        <w:t xml:space="preserve"> the establishment of these information collection requirements under the authority of </w:t>
      </w:r>
      <w:r>
        <w:t xml:space="preserve">RCRA </w:t>
      </w:r>
      <w:r w:rsidRPr="00D15828">
        <w:t xml:space="preserve">Subtitle </w:t>
      </w:r>
      <w:r>
        <w:t>C</w:t>
      </w:r>
      <w:r w:rsidRPr="00D15828">
        <w:t>.</w:t>
      </w:r>
    </w:p>
    <w:p w14:paraId="577EC514" w14:textId="77777777" w:rsidR="00E05801" w:rsidRDefault="00E05801" w:rsidP="00E05801">
      <w:pPr>
        <w:ind w:firstLine="720"/>
        <w:jc w:val="both"/>
        <w:rPr>
          <w:b/>
          <w:bCs/>
        </w:rPr>
      </w:pPr>
    </w:p>
    <w:p w14:paraId="355B6CE1" w14:textId="77777777" w:rsidR="00E05801" w:rsidRPr="00D15828" w:rsidRDefault="00E05801" w:rsidP="00E05801">
      <w:pPr>
        <w:ind w:firstLine="720"/>
        <w:jc w:val="both"/>
        <w:rPr>
          <w:b/>
          <w:bCs/>
          <w:u w:val="single"/>
        </w:rPr>
      </w:pPr>
      <w:r w:rsidRPr="00D15828">
        <w:rPr>
          <w:b/>
          <w:bCs/>
        </w:rPr>
        <w:t xml:space="preserve">2(b) </w:t>
      </w:r>
      <w:r w:rsidRPr="00D15828">
        <w:rPr>
          <w:b/>
          <w:bCs/>
        </w:rPr>
        <w:tab/>
        <w:t>Practical Utility and Users of the Data</w:t>
      </w:r>
      <w:r w:rsidRPr="00D15828">
        <w:rPr>
          <w:b/>
          <w:bCs/>
          <w:u w:val="single"/>
        </w:rPr>
        <w:t xml:space="preserve"> </w:t>
      </w:r>
    </w:p>
    <w:p w14:paraId="0F6CBAB3" w14:textId="77777777" w:rsidR="00E05801" w:rsidRDefault="00E05801" w:rsidP="00E05801"/>
    <w:p w14:paraId="59431907" w14:textId="77777777" w:rsidR="00E05801" w:rsidRDefault="00E05801" w:rsidP="00E05801">
      <w:pPr>
        <w:ind w:firstLine="720"/>
      </w:pPr>
      <w:r w:rsidRPr="00D15828">
        <w:t>EPA will use the collected information to ensure that</w:t>
      </w:r>
      <w:r>
        <w:t xml:space="preserve"> </w:t>
      </w:r>
      <w:r w:rsidR="00A91403">
        <w:t>aerosol can</w:t>
      </w:r>
      <w:r>
        <w:t xml:space="preserve"> wastes are managed in a cost-effective manner that minimizes risks to hu</w:t>
      </w:r>
      <w:r w:rsidR="00A91403">
        <w:t>man health and the environment.</w:t>
      </w:r>
    </w:p>
    <w:p w14:paraId="7E23FDA0" w14:textId="77777777" w:rsidR="00E05801" w:rsidRDefault="00E05801" w:rsidP="00E05801">
      <w:r>
        <w:t xml:space="preserve">  </w:t>
      </w:r>
    </w:p>
    <w:p w14:paraId="45C5EC65" w14:textId="77777777" w:rsidR="00E05801" w:rsidRPr="0015005D" w:rsidRDefault="00E05801" w:rsidP="00E05801">
      <w:pPr>
        <w:outlineLvl w:val="0"/>
        <w:rPr>
          <w:b/>
          <w:bCs/>
        </w:rPr>
      </w:pPr>
      <w:r w:rsidRPr="0015005D">
        <w:rPr>
          <w:b/>
          <w:bCs/>
        </w:rPr>
        <w:t>3.</w:t>
      </w:r>
      <w:r w:rsidRPr="0015005D">
        <w:rPr>
          <w:b/>
          <w:bCs/>
        </w:rPr>
        <w:tab/>
        <w:t xml:space="preserve">NONDUPLICATION, CONSULTATIONS, AND OTHER COLLECTION CRITERIA </w:t>
      </w:r>
    </w:p>
    <w:p w14:paraId="550AAF8A" w14:textId="77777777" w:rsidR="00E05801" w:rsidRDefault="00E05801" w:rsidP="00E05801">
      <w:pPr>
        <w:ind w:firstLine="720"/>
        <w:jc w:val="both"/>
        <w:rPr>
          <w:b/>
        </w:rPr>
      </w:pPr>
    </w:p>
    <w:p w14:paraId="15FD1A9A" w14:textId="77777777" w:rsidR="00E05801" w:rsidRPr="00D15828" w:rsidRDefault="00E05801" w:rsidP="00E05801">
      <w:pPr>
        <w:ind w:firstLine="720"/>
        <w:jc w:val="both"/>
        <w:rPr>
          <w:b/>
        </w:rPr>
      </w:pPr>
      <w:r w:rsidRPr="00D15828">
        <w:rPr>
          <w:b/>
        </w:rPr>
        <w:t>3(a)</w:t>
      </w:r>
      <w:r w:rsidRPr="00D15828">
        <w:rPr>
          <w:b/>
        </w:rPr>
        <w:tab/>
        <w:t>Nonduplication</w:t>
      </w:r>
    </w:p>
    <w:p w14:paraId="29F234C7" w14:textId="77777777" w:rsidR="00E05801" w:rsidRPr="00D15828" w:rsidRDefault="00E05801" w:rsidP="00E05801">
      <w:pPr>
        <w:ind w:firstLine="720"/>
        <w:jc w:val="both"/>
        <w:rPr>
          <w:b/>
          <w:szCs w:val="28"/>
        </w:rPr>
      </w:pPr>
    </w:p>
    <w:p w14:paraId="4BDF7DED" w14:textId="77777777" w:rsidR="00E05801" w:rsidRPr="00D15828" w:rsidRDefault="00E05801" w:rsidP="00E05801">
      <w:pPr>
        <w:ind w:firstLine="720"/>
        <w:jc w:val="both"/>
      </w:pPr>
      <w:r w:rsidRPr="00D15828">
        <w:t xml:space="preserve">None of the information required by the </w:t>
      </w:r>
      <w:r w:rsidR="00ED37B7">
        <w:t>proposed</w:t>
      </w:r>
      <w:r>
        <w:t xml:space="preserve"> rule</w:t>
      </w:r>
      <w:r w:rsidRPr="00D15828">
        <w:t xml:space="preserve"> </w:t>
      </w:r>
      <w:r>
        <w:t>will</w:t>
      </w:r>
      <w:r w:rsidRPr="00D15828">
        <w:t xml:space="preserve"> duplicate information required by existing RCRA regulations.</w:t>
      </w:r>
    </w:p>
    <w:p w14:paraId="57EEB973" w14:textId="77777777" w:rsidR="00E05801" w:rsidRDefault="00E05801" w:rsidP="00E05801"/>
    <w:p w14:paraId="7C4D4E22" w14:textId="77777777" w:rsidR="00E05801" w:rsidRPr="00D15828" w:rsidRDefault="00E05801" w:rsidP="00E05801">
      <w:pPr>
        <w:ind w:firstLine="720"/>
        <w:rPr>
          <w:b/>
        </w:rPr>
      </w:pPr>
      <w:r w:rsidRPr="00D15828">
        <w:rPr>
          <w:b/>
        </w:rPr>
        <w:t>3(b)</w:t>
      </w:r>
      <w:r w:rsidRPr="00D15828">
        <w:rPr>
          <w:b/>
        </w:rPr>
        <w:tab/>
        <w:t>Public Notice</w:t>
      </w:r>
    </w:p>
    <w:p w14:paraId="3CBB7AFE" w14:textId="77777777" w:rsidR="00E05801" w:rsidRPr="00D15828" w:rsidRDefault="00E05801" w:rsidP="00E05801">
      <w:pPr>
        <w:ind w:firstLine="720"/>
        <w:rPr>
          <w:b/>
        </w:rPr>
      </w:pPr>
    </w:p>
    <w:p w14:paraId="4D01BFEC" w14:textId="0A010E5D" w:rsidR="00E05801" w:rsidRDefault="00E05801" w:rsidP="00E05801">
      <w:pPr>
        <w:ind w:firstLine="720"/>
        <w:rPr>
          <w:b/>
          <w:bCs/>
        </w:rPr>
      </w:pPr>
      <w:r w:rsidRPr="00C221C2">
        <w:t xml:space="preserve">In compliance with the Paperwork Reduction Act of 1995, EPA </w:t>
      </w:r>
      <w:r w:rsidR="00126621" w:rsidRPr="00C221C2">
        <w:t>open</w:t>
      </w:r>
      <w:r w:rsidR="004F193F">
        <w:t>ed</w:t>
      </w:r>
      <w:r w:rsidR="00126621" w:rsidRPr="00C221C2">
        <w:t xml:space="preserve"> a </w:t>
      </w:r>
      <w:r w:rsidR="004F193F">
        <w:t>30</w:t>
      </w:r>
      <w:r w:rsidR="00126621" w:rsidRPr="00C221C2">
        <w:t xml:space="preserve">-day public comment period </w:t>
      </w:r>
      <w:r w:rsidR="004F193F">
        <w:t>for collection activities in the</w:t>
      </w:r>
      <w:r w:rsidR="00126621" w:rsidRPr="00C221C2">
        <w:t xml:space="preserve"> proposed rule </w:t>
      </w:r>
      <w:r w:rsidR="004F193F">
        <w:t xml:space="preserve">, which was published </w:t>
      </w:r>
      <w:r w:rsidRPr="00C221C2">
        <w:t xml:space="preserve">in the </w:t>
      </w:r>
      <w:r w:rsidRPr="00C221C2">
        <w:rPr>
          <w:i/>
        </w:rPr>
        <w:t>Federal Register</w:t>
      </w:r>
      <w:r w:rsidR="004F193F">
        <w:t xml:space="preserve"> on </w:t>
      </w:r>
      <w:r w:rsidR="0058603C">
        <w:t>03/16/2018 (83 FR 11654)</w:t>
      </w:r>
      <w:r w:rsidR="00126621" w:rsidRPr="00C221C2">
        <w:t>.</w:t>
      </w:r>
      <w:r w:rsidRPr="00C221C2">
        <w:rPr>
          <w:i/>
        </w:rPr>
        <w:t xml:space="preserve"> </w:t>
      </w:r>
      <w:r w:rsidR="00126621" w:rsidRPr="00C221C2">
        <w:t>To assist the public in commenting on the proposal, EPA raised a number of issues in the preamble to the proposed rule and asked for the public to comment on them. At the end of the comment period, EPA will review public comments received in response to the notice and will address comments received, as appropriate.</w:t>
      </w:r>
    </w:p>
    <w:p w14:paraId="41BCB8CE" w14:textId="77777777" w:rsidR="00127EE6" w:rsidRDefault="00127EE6" w:rsidP="00E05801">
      <w:pPr>
        <w:ind w:firstLine="720"/>
        <w:rPr>
          <w:b/>
          <w:bCs/>
        </w:rPr>
      </w:pPr>
    </w:p>
    <w:p w14:paraId="572CAA15" w14:textId="77777777" w:rsidR="00E05801" w:rsidRPr="00D15828" w:rsidRDefault="00E05801" w:rsidP="00E05801">
      <w:pPr>
        <w:ind w:firstLine="720"/>
      </w:pPr>
      <w:r w:rsidRPr="00D15828">
        <w:rPr>
          <w:b/>
          <w:bCs/>
        </w:rPr>
        <w:t>3(c)</w:t>
      </w:r>
      <w:r w:rsidRPr="00D15828">
        <w:rPr>
          <w:b/>
          <w:bCs/>
        </w:rPr>
        <w:tab/>
        <w:t>Consultations</w:t>
      </w:r>
      <w:r w:rsidRPr="00D15828">
        <w:rPr>
          <w:b/>
          <w:bCs/>
        </w:rPr>
        <w:fldChar w:fldCharType="begin"/>
      </w:r>
      <w:r w:rsidRPr="00D15828">
        <w:rPr>
          <w:b/>
          <w:bCs/>
        </w:rPr>
        <w:instrText>tc \l2 "3(c)</w:instrText>
      </w:r>
      <w:r w:rsidRPr="00D15828">
        <w:rPr>
          <w:b/>
          <w:bCs/>
        </w:rPr>
        <w:tab/>
        <w:instrText>Consultations</w:instrText>
      </w:r>
      <w:r w:rsidRPr="00D15828">
        <w:rPr>
          <w:b/>
          <w:bCs/>
        </w:rPr>
        <w:fldChar w:fldCharType="end"/>
      </w:r>
    </w:p>
    <w:p w14:paraId="6785D04D" w14:textId="77777777" w:rsidR="00E05801" w:rsidRDefault="00E05801" w:rsidP="00E05801"/>
    <w:p w14:paraId="139510A9" w14:textId="77777777" w:rsidR="00A91403" w:rsidRDefault="00DE5871" w:rsidP="00E05801">
      <w:pPr>
        <w:ind w:firstLine="720"/>
        <w:rPr>
          <w:bCs/>
        </w:rPr>
      </w:pPr>
      <w:r>
        <w:rPr>
          <w:bCs/>
        </w:rPr>
        <w:t xml:space="preserve">EPA published a </w:t>
      </w:r>
      <w:r w:rsidR="002E14DF" w:rsidRPr="002E14DF">
        <w:rPr>
          <w:bCs/>
        </w:rPr>
        <w:t>Notice of Data Availability (NODA)</w:t>
      </w:r>
      <w:r w:rsidR="00702BEB">
        <w:rPr>
          <w:bCs/>
        </w:rPr>
        <w:t xml:space="preserve"> in 2014</w:t>
      </w:r>
      <w:r w:rsidR="002E14DF" w:rsidRPr="002E14DF">
        <w:rPr>
          <w:bCs/>
        </w:rPr>
        <w:t xml:space="preserve">, </w:t>
      </w:r>
      <w:r w:rsidR="001E71CA">
        <w:rPr>
          <w:bCs/>
        </w:rPr>
        <w:t>en</w:t>
      </w:r>
      <w:r w:rsidR="002E14DF" w:rsidRPr="002E14DF">
        <w:rPr>
          <w:bCs/>
        </w:rPr>
        <w:t>titled “Hazardous Waste Management and the Retail Sector: Providing and Seeking Information on Practices to Enhance Effectiveness to the Resource Conservati</w:t>
      </w:r>
      <w:r w:rsidR="002E14DF">
        <w:rPr>
          <w:bCs/>
        </w:rPr>
        <w:t>on and Recovery Act Program</w:t>
      </w:r>
      <w:r w:rsidR="00702BEB">
        <w:rPr>
          <w:bCs/>
        </w:rPr>
        <w:t>.</w:t>
      </w:r>
      <w:r>
        <w:rPr>
          <w:bCs/>
        </w:rPr>
        <w:t>”</w:t>
      </w:r>
      <w:r w:rsidR="002E14DF">
        <w:rPr>
          <w:rStyle w:val="FootnoteReference"/>
          <w:bCs/>
        </w:rPr>
        <w:footnoteReference w:id="1"/>
      </w:r>
      <w:r w:rsidR="002E14DF">
        <w:rPr>
          <w:bCs/>
        </w:rPr>
        <w:t xml:space="preserve"> </w:t>
      </w:r>
      <w:r w:rsidR="002E14DF" w:rsidRPr="002E14DF">
        <w:rPr>
          <w:bCs/>
        </w:rPr>
        <w:t>The NODA focused on the retail sector and solicited information regarding the hazardous waste managemen</w:t>
      </w:r>
      <w:r>
        <w:rPr>
          <w:bCs/>
        </w:rPr>
        <w:t xml:space="preserve">t practices of establishments. </w:t>
      </w:r>
      <w:r w:rsidR="002E14DF" w:rsidRPr="002E14DF">
        <w:rPr>
          <w:bCs/>
        </w:rPr>
        <w:t>EPA received 44 comments from stakeholders, and more than one-third of the respondents focused on the regulatory framework for managing retail products</w:t>
      </w:r>
      <w:r w:rsidR="00702BEB">
        <w:rPr>
          <w:bCs/>
        </w:rPr>
        <w:t>, including aerosol cans,</w:t>
      </w:r>
      <w:r w:rsidR="002E14DF" w:rsidRPr="002E14DF">
        <w:rPr>
          <w:bCs/>
        </w:rPr>
        <w:t xml:space="preserve"> as universal waste. Many of the comments focused on the very large </w:t>
      </w:r>
      <w:r w:rsidR="00702BEB">
        <w:rPr>
          <w:bCs/>
        </w:rPr>
        <w:t>number</w:t>
      </w:r>
      <w:r w:rsidR="002E14DF" w:rsidRPr="002E14DF">
        <w:rPr>
          <w:bCs/>
        </w:rPr>
        <w:t xml:space="preserve"> of </w:t>
      </w:r>
      <w:r w:rsidR="00702BEB">
        <w:rPr>
          <w:bCs/>
        </w:rPr>
        <w:t xml:space="preserve">generators of </w:t>
      </w:r>
      <w:r w:rsidR="002E14DF" w:rsidRPr="002E14DF">
        <w:rPr>
          <w:bCs/>
        </w:rPr>
        <w:t>aerosol can</w:t>
      </w:r>
      <w:r w:rsidR="00702BEB">
        <w:rPr>
          <w:bCs/>
        </w:rPr>
        <w:t xml:space="preserve"> waste</w:t>
      </w:r>
      <w:r w:rsidR="002E14DF" w:rsidRPr="002E14DF">
        <w:rPr>
          <w:bCs/>
        </w:rPr>
        <w:t xml:space="preserve"> </w:t>
      </w:r>
      <w:r w:rsidR="00702BEB">
        <w:rPr>
          <w:bCs/>
        </w:rPr>
        <w:t xml:space="preserve">in </w:t>
      </w:r>
      <w:r w:rsidR="002E14DF" w:rsidRPr="002E14DF">
        <w:rPr>
          <w:bCs/>
        </w:rPr>
        <w:t>the retail sector.</w:t>
      </w:r>
      <w:r w:rsidR="002E14DF">
        <w:t xml:space="preserve"> </w:t>
      </w:r>
      <w:r>
        <w:t>EPA referenced the information and data received through these comments while designing the aerosol can universal waste rule.</w:t>
      </w:r>
      <w:r w:rsidR="002E14DF">
        <w:t xml:space="preserve">  </w:t>
      </w:r>
    </w:p>
    <w:p w14:paraId="58ACF271" w14:textId="77777777" w:rsidR="007C10E7" w:rsidRPr="00A91403" w:rsidRDefault="007C10E7" w:rsidP="00E05801">
      <w:pPr>
        <w:ind w:firstLine="720"/>
        <w:rPr>
          <w:bCs/>
        </w:rPr>
      </w:pPr>
    </w:p>
    <w:p w14:paraId="7DDDCB17" w14:textId="77777777" w:rsidR="00E05801" w:rsidRPr="00D15828" w:rsidRDefault="00E05801" w:rsidP="00E05801">
      <w:pPr>
        <w:ind w:firstLine="720"/>
      </w:pPr>
      <w:r w:rsidRPr="00D15828">
        <w:rPr>
          <w:b/>
          <w:bCs/>
        </w:rPr>
        <w:t>3(d)</w:t>
      </w:r>
      <w:r w:rsidRPr="00D15828">
        <w:rPr>
          <w:b/>
          <w:bCs/>
        </w:rPr>
        <w:tab/>
        <w:t>Effects of Less Frequent Collection</w:t>
      </w:r>
      <w:r w:rsidRPr="00D15828">
        <w:rPr>
          <w:b/>
          <w:bCs/>
        </w:rPr>
        <w:fldChar w:fldCharType="begin"/>
      </w:r>
      <w:r w:rsidRPr="00D15828">
        <w:rPr>
          <w:b/>
          <w:bCs/>
        </w:rPr>
        <w:instrText>tc \l2 "3(d)</w:instrText>
      </w:r>
      <w:r w:rsidRPr="00D15828">
        <w:rPr>
          <w:b/>
          <w:bCs/>
        </w:rPr>
        <w:tab/>
        <w:instrText>Effects of Less Frequent Collection</w:instrText>
      </w:r>
      <w:r w:rsidRPr="00D15828">
        <w:rPr>
          <w:b/>
          <w:bCs/>
        </w:rPr>
        <w:fldChar w:fldCharType="end"/>
      </w:r>
    </w:p>
    <w:p w14:paraId="40C51CBA" w14:textId="77777777" w:rsidR="00E05801" w:rsidRDefault="00E05801" w:rsidP="00E05801">
      <w:pPr>
        <w:ind w:firstLine="720"/>
      </w:pPr>
    </w:p>
    <w:p w14:paraId="64EBF0A6" w14:textId="77777777" w:rsidR="00E05801" w:rsidRDefault="00126621" w:rsidP="00126621">
      <w:pPr>
        <w:ind w:firstLine="720"/>
      </w:pPr>
      <w:r>
        <w:t>EPA has carefully considered the burden imposed upon the regulated community by the proposed rule. EPA is confident that those activities required of respondents are necessary, and to the extent possible, the Agency has attempted to minimize the burden imposed. EPA believes strongly that, if the minimum information collection requirements of the proposed rule are not met, neither the industry nor EPA will be able to ensure that</w:t>
      </w:r>
      <w:r w:rsidR="00C221C2">
        <w:t xml:space="preserve"> waste aerosol cans </w:t>
      </w:r>
      <w:r>
        <w:t>are being managed in a manner protective of human health and the environment.</w:t>
      </w:r>
    </w:p>
    <w:p w14:paraId="4A7BEB6B" w14:textId="77777777" w:rsidR="00126621" w:rsidRDefault="00126621" w:rsidP="00126621">
      <w:pPr>
        <w:ind w:firstLine="720"/>
      </w:pPr>
    </w:p>
    <w:p w14:paraId="0F033CEB" w14:textId="77777777" w:rsidR="00E05801" w:rsidRPr="00D15828" w:rsidRDefault="00E05801" w:rsidP="00E05801">
      <w:pPr>
        <w:ind w:firstLine="720"/>
      </w:pPr>
      <w:r w:rsidRPr="00D15828">
        <w:rPr>
          <w:b/>
          <w:bCs/>
        </w:rPr>
        <w:t>3(e)</w:t>
      </w:r>
      <w:r w:rsidRPr="00D15828">
        <w:rPr>
          <w:b/>
          <w:bCs/>
        </w:rPr>
        <w:tab/>
        <w:t>General Guidelines</w:t>
      </w:r>
      <w:r w:rsidRPr="00D15828">
        <w:rPr>
          <w:b/>
          <w:bCs/>
        </w:rPr>
        <w:fldChar w:fldCharType="begin"/>
      </w:r>
      <w:r w:rsidRPr="00D15828">
        <w:rPr>
          <w:b/>
          <w:bCs/>
        </w:rPr>
        <w:instrText>tc \l2 "3(e)</w:instrText>
      </w:r>
      <w:r w:rsidRPr="00D15828">
        <w:rPr>
          <w:b/>
          <w:bCs/>
        </w:rPr>
        <w:tab/>
        <w:instrText>General Guidelines</w:instrText>
      </w:r>
      <w:r w:rsidRPr="00D15828">
        <w:rPr>
          <w:b/>
          <w:bCs/>
        </w:rPr>
        <w:fldChar w:fldCharType="end"/>
      </w:r>
    </w:p>
    <w:p w14:paraId="0A44BD12" w14:textId="77777777" w:rsidR="00E05801" w:rsidRDefault="00E05801" w:rsidP="00E05801">
      <w:pPr>
        <w:ind w:firstLine="720"/>
      </w:pPr>
    </w:p>
    <w:p w14:paraId="0A1609C6" w14:textId="77777777" w:rsidR="00E05801" w:rsidRDefault="00E05801" w:rsidP="00E05801">
      <w:pPr>
        <w:ind w:firstLine="720"/>
        <w:jc w:val="both"/>
      </w:pPr>
      <w:r w:rsidRPr="00D15828">
        <w:t>This ICR adheres to the guidelines stated in the Paperwork Reduction Act of 1995,</w:t>
      </w:r>
      <w:r>
        <w:t xml:space="preserve"> </w:t>
      </w:r>
      <w:r w:rsidRPr="00D15828">
        <w:t>OMB’s implementing regulations, EPA’s ICR Handbook, and other applicable OMB guidance.</w:t>
      </w:r>
    </w:p>
    <w:p w14:paraId="0A81A72E" w14:textId="77777777" w:rsidR="00E05801" w:rsidRDefault="00E05801" w:rsidP="00E05801">
      <w:pPr>
        <w:ind w:firstLine="720"/>
        <w:jc w:val="both"/>
      </w:pPr>
    </w:p>
    <w:p w14:paraId="2AF756AB" w14:textId="77777777" w:rsidR="00E05801" w:rsidRPr="00D15828" w:rsidRDefault="00E05801" w:rsidP="00E05801">
      <w:pPr>
        <w:ind w:firstLine="720"/>
      </w:pPr>
      <w:r w:rsidRPr="00D15828">
        <w:rPr>
          <w:b/>
          <w:bCs/>
        </w:rPr>
        <w:t>3(f)</w:t>
      </w:r>
      <w:r w:rsidRPr="00D15828">
        <w:rPr>
          <w:b/>
          <w:bCs/>
        </w:rPr>
        <w:tab/>
        <w:t>Confidentiality</w:t>
      </w:r>
      <w:r w:rsidRPr="00D15828">
        <w:rPr>
          <w:b/>
          <w:bCs/>
        </w:rPr>
        <w:fldChar w:fldCharType="begin"/>
      </w:r>
      <w:r w:rsidRPr="00D15828">
        <w:rPr>
          <w:b/>
          <w:bCs/>
        </w:rPr>
        <w:instrText>tc \l2 "3(f)</w:instrText>
      </w:r>
      <w:r w:rsidRPr="00D15828">
        <w:rPr>
          <w:b/>
          <w:bCs/>
        </w:rPr>
        <w:tab/>
        <w:instrText>Confidentiality</w:instrText>
      </w:r>
      <w:r w:rsidRPr="00D15828">
        <w:rPr>
          <w:b/>
          <w:bCs/>
        </w:rPr>
        <w:fldChar w:fldCharType="end"/>
      </w:r>
    </w:p>
    <w:p w14:paraId="6DC4B87B" w14:textId="77777777" w:rsidR="00E05801" w:rsidRDefault="00E05801" w:rsidP="00E05801">
      <w:pPr>
        <w:ind w:firstLine="720"/>
        <w:jc w:val="both"/>
      </w:pPr>
    </w:p>
    <w:p w14:paraId="2EE64923" w14:textId="77777777" w:rsidR="00E05801" w:rsidRPr="00D15828" w:rsidRDefault="00E05801" w:rsidP="00BD34BE">
      <w:pPr>
        <w:ind w:firstLine="720"/>
      </w:pPr>
      <w:r w:rsidRPr="00D15828">
        <w:t xml:space="preserve">Section 3007(b) of RCRA and 40 </w:t>
      </w:r>
      <w:r w:rsidRPr="00D15828">
        <w:rPr>
          <w:i/>
          <w:iCs/>
        </w:rPr>
        <w:t>CFR</w:t>
      </w:r>
      <w:r w:rsidRPr="00D15828">
        <w:t xml:space="preserve"> Part 2, Subpart B, which defines EPA’s general policy on public disclosure of information, contain provisions for confidentiality</w:t>
      </w:r>
      <w:r>
        <w:t xml:space="preserve">. </w:t>
      </w:r>
      <w:r w:rsidRPr="00D15828">
        <w:t xml:space="preserve">However, the Agency does not anticipate that businesses will assert a claim of confidentiality covering all or part of the </w:t>
      </w:r>
      <w:r w:rsidR="00ED37B7">
        <w:t>proposed</w:t>
      </w:r>
      <w:r>
        <w:t xml:space="preserve"> rule. </w:t>
      </w:r>
      <w:r w:rsidRPr="00D15828">
        <w:t>If such a claim is asserted, EPA must and will treat the information in accordance with the regulations cited above</w:t>
      </w:r>
      <w:r>
        <w:t xml:space="preserve">. </w:t>
      </w:r>
      <w:r w:rsidRPr="00D15828">
        <w:t>EPA also will assure that this information collection complies with the Privacy Act of 1974 and OMB Circular 108.</w:t>
      </w:r>
    </w:p>
    <w:p w14:paraId="53908055" w14:textId="77777777" w:rsidR="00E05801" w:rsidRDefault="00E05801" w:rsidP="00E05801">
      <w:pPr>
        <w:ind w:firstLine="720"/>
        <w:rPr>
          <w:b/>
          <w:bCs/>
        </w:rPr>
      </w:pPr>
    </w:p>
    <w:p w14:paraId="699814B1" w14:textId="77777777" w:rsidR="00E05801" w:rsidRPr="00D15828" w:rsidRDefault="00E05801" w:rsidP="00E05801">
      <w:pPr>
        <w:ind w:firstLine="720"/>
      </w:pPr>
      <w:r w:rsidRPr="00D15828">
        <w:rPr>
          <w:b/>
          <w:bCs/>
        </w:rPr>
        <w:t>3(g)</w:t>
      </w:r>
      <w:r w:rsidRPr="00D15828">
        <w:rPr>
          <w:b/>
          <w:bCs/>
        </w:rPr>
        <w:tab/>
        <w:t>Sensitive Questions</w:t>
      </w:r>
      <w:r w:rsidRPr="00D15828">
        <w:rPr>
          <w:b/>
          <w:bCs/>
        </w:rPr>
        <w:fldChar w:fldCharType="begin"/>
      </w:r>
      <w:r w:rsidRPr="00D15828">
        <w:rPr>
          <w:b/>
          <w:bCs/>
        </w:rPr>
        <w:instrText>tc \l2 "3(g)</w:instrText>
      </w:r>
      <w:r w:rsidRPr="00D15828">
        <w:rPr>
          <w:b/>
          <w:bCs/>
        </w:rPr>
        <w:tab/>
        <w:instrText>Sensitive Questions</w:instrText>
      </w:r>
      <w:r w:rsidRPr="00D15828">
        <w:rPr>
          <w:b/>
          <w:bCs/>
        </w:rPr>
        <w:fldChar w:fldCharType="end"/>
      </w:r>
    </w:p>
    <w:p w14:paraId="0A5EC603" w14:textId="77777777" w:rsidR="00E05801" w:rsidRPr="00D15828" w:rsidRDefault="00E05801" w:rsidP="00E05801">
      <w:pPr>
        <w:ind w:firstLine="720"/>
      </w:pPr>
    </w:p>
    <w:p w14:paraId="3880F7B8" w14:textId="14FEB030" w:rsidR="00E05801" w:rsidRDefault="00E05801" w:rsidP="00BC03B5">
      <w:pPr>
        <w:ind w:firstLine="720"/>
        <w:jc w:val="both"/>
        <w:rPr>
          <w:b/>
          <w:bCs/>
        </w:rPr>
      </w:pPr>
      <w:r w:rsidRPr="00D15828">
        <w:t xml:space="preserve">No questions of a sensitive nature are included in the information collection requirements associated with the </w:t>
      </w:r>
      <w:r w:rsidR="00ED37B7">
        <w:t>proposed</w:t>
      </w:r>
      <w:r>
        <w:t xml:space="preserve"> rule</w:t>
      </w:r>
      <w:r w:rsidRPr="00D15828">
        <w:t>.</w:t>
      </w:r>
    </w:p>
    <w:p w14:paraId="46AC2C07" w14:textId="77777777" w:rsidR="001C54A7" w:rsidRDefault="001C54A7">
      <w:pPr>
        <w:rPr>
          <w:b/>
          <w:bCs/>
        </w:rPr>
      </w:pPr>
      <w:r>
        <w:rPr>
          <w:b/>
          <w:bCs/>
        </w:rPr>
        <w:br w:type="page"/>
      </w:r>
    </w:p>
    <w:p w14:paraId="5621EEBE" w14:textId="77777777" w:rsidR="00E05801" w:rsidRPr="00D15828" w:rsidRDefault="00E05801" w:rsidP="00E05801">
      <w:pPr>
        <w:outlineLvl w:val="0"/>
        <w:rPr>
          <w:b/>
          <w:bCs/>
        </w:rPr>
      </w:pPr>
      <w:r w:rsidRPr="00D15828">
        <w:rPr>
          <w:b/>
          <w:bCs/>
        </w:rPr>
        <w:t>4.</w:t>
      </w:r>
      <w:r w:rsidRPr="00D15828">
        <w:rPr>
          <w:b/>
          <w:bCs/>
        </w:rPr>
        <w:tab/>
        <w:t>THE RESPONDENTS AND THE INFORMATION REQUESTED</w:t>
      </w:r>
      <w:r w:rsidRPr="00D15828">
        <w:rPr>
          <w:b/>
          <w:bCs/>
        </w:rPr>
        <w:fldChar w:fldCharType="begin"/>
      </w:r>
      <w:r w:rsidRPr="00D15828">
        <w:rPr>
          <w:b/>
          <w:bCs/>
        </w:rPr>
        <w:instrText>tc \l1 "4.</w:instrText>
      </w:r>
      <w:r w:rsidRPr="00D15828">
        <w:rPr>
          <w:b/>
          <w:bCs/>
        </w:rPr>
        <w:tab/>
        <w:instrText>THE RESPONDENTS AND THE INFORMATION REQUESTED</w:instrText>
      </w:r>
      <w:r w:rsidRPr="00D15828">
        <w:rPr>
          <w:b/>
          <w:bCs/>
        </w:rPr>
        <w:fldChar w:fldCharType="end"/>
      </w:r>
    </w:p>
    <w:p w14:paraId="6ED0E5EF" w14:textId="77777777" w:rsidR="00E05801" w:rsidRPr="00D15828" w:rsidRDefault="00E05801" w:rsidP="00E05801">
      <w:pPr>
        <w:keepNext/>
        <w:keepLines/>
        <w:rPr>
          <w:b/>
          <w:bCs/>
        </w:rPr>
      </w:pPr>
    </w:p>
    <w:p w14:paraId="5F11E5C7" w14:textId="77777777" w:rsidR="00E05801" w:rsidRPr="00D15828" w:rsidRDefault="00E05801" w:rsidP="00E05801">
      <w:pPr>
        <w:keepNext/>
        <w:keepLines/>
        <w:tabs>
          <w:tab w:val="left" w:pos="-1440"/>
        </w:tabs>
        <w:ind w:left="1440" w:hanging="720"/>
      </w:pPr>
      <w:r w:rsidRPr="00D15828">
        <w:rPr>
          <w:b/>
          <w:bCs/>
        </w:rPr>
        <w:t>4(a)</w:t>
      </w:r>
      <w:r w:rsidRPr="00D15828">
        <w:rPr>
          <w:b/>
          <w:bCs/>
        </w:rPr>
        <w:tab/>
        <w:t>Respondents and NAICS Codes</w:t>
      </w:r>
      <w:r w:rsidRPr="00D15828">
        <w:rPr>
          <w:b/>
          <w:bCs/>
        </w:rPr>
        <w:fldChar w:fldCharType="begin"/>
      </w:r>
      <w:r w:rsidRPr="00D15828">
        <w:rPr>
          <w:b/>
          <w:bCs/>
        </w:rPr>
        <w:instrText>tc \l2 "4(a)</w:instrText>
      </w:r>
      <w:r w:rsidRPr="00D15828">
        <w:rPr>
          <w:b/>
          <w:bCs/>
        </w:rPr>
        <w:tab/>
        <w:instrText>Respondents and SIC/NAICS Codes</w:instrText>
      </w:r>
      <w:r w:rsidRPr="00D15828">
        <w:rPr>
          <w:b/>
          <w:bCs/>
        </w:rPr>
        <w:fldChar w:fldCharType="end"/>
      </w:r>
    </w:p>
    <w:p w14:paraId="4CA8E91F" w14:textId="77777777" w:rsidR="00E05801" w:rsidRPr="00D15828" w:rsidRDefault="00E05801" w:rsidP="00E05801">
      <w:pPr>
        <w:keepNext/>
        <w:keepLines/>
      </w:pPr>
    </w:p>
    <w:p w14:paraId="60FAEA25" w14:textId="77777777" w:rsidR="000F132A" w:rsidRDefault="00E05801" w:rsidP="00A23F32">
      <w:pPr>
        <w:pStyle w:val="BodyTextIndent"/>
        <w:jc w:val="left"/>
      </w:pPr>
      <w:r w:rsidRPr="00D15828">
        <w:t>The following is a list of North American Industrial Classification System (NAICS) codes associated with the facilities most likely to be affected by the information collection requirements covered in this ICR</w:t>
      </w:r>
      <w:r w:rsidR="0036173B">
        <w:t>.</w:t>
      </w:r>
      <w:r w:rsidR="00126621" w:rsidRPr="00126621">
        <w:t xml:space="preserve"> </w:t>
      </w:r>
      <w:r w:rsidR="00A30A14">
        <w:t xml:space="preserve">This list includes all of the NAICS codes EPA identified for generators of aerosol can hazardous waste in the 2015 BR database. </w:t>
      </w:r>
      <w:r w:rsidR="00126621" w:rsidRPr="00126621">
        <w:t>This table is not intended to be exhaustive, but rather provides a guide for readers regarding entities likely to be impacted by this action.</w:t>
      </w:r>
      <w:r w:rsidR="00E45564" w:rsidRPr="00E45564">
        <w:t xml:space="preserve"> </w:t>
      </w:r>
    </w:p>
    <w:tbl>
      <w:tblPr>
        <w:tblW w:w="807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6A6A6"/>
        </w:tblBorders>
        <w:tblLook w:val="04A0" w:firstRow="1" w:lastRow="0" w:firstColumn="1" w:lastColumn="0" w:noHBand="0" w:noVBand="1"/>
      </w:tblPr>
      <w:tblGrid>
        <w:gridCol w:w="1275"/>
        <w:gridCol w:w="6795"/>
      </w:tblGrid>
      <w:tr w:rsidR="000F132A" w:rsidRPr="00D77C93" w14:paraId="71BAA9F0" w14:textId="77777777" w:rsidTr="004071B8">
        <w:trPr>
          <w:trHeight w:val="315"/>
          <w:tblHeader/>
        </w:trPr>
        <w:tc>
          <w:tcPr>
            <w:tcW w:w="1275" w:type="dxa"/>
            <w:tcBorders>
              <w:bottom w:val="single" w:sz="8" w:space="0" w:color="auto"/>
              <w:right w:val="single" w:sz="8" w:space="0" w:color="auto"/>
            </w:tcBorders>
            <w:shd w:val="clear" w:color="auto" w:fill="A6A6A6" w:themeFill="background1" w:themeFillShade="A6"/>
            <w:noWrap/>
            <w:vAlign w:val="center"/>
          </w:tcPr>
          <w:p w14:paraId="1FF4CA31" w14:textId="77777777" w:rsidR="000F132A" w:rsidRPr="00D77C93" w:rsidRDefault="000F132A" w:rsidP="004071B8">
            <w:pPr>
              <w:spacing w:line="240" w:lineRule="exact"/>
              <w:jc w:val="center"/>
              <w:rPr>
                <w:b/>
                <w:color w:val="000000"/>
                <w:sz w:val="20"/>
                <w:szCs w:val="20"/>
              </w:rPr>
            </w:pPr>
            <w:r w:rsidRPr="009573EC">
              <w:rPr>
                <w:b/>
                <w:color w:val="000000"/>
                <w:sz w:val="20"/>
                <w:szCs w:val="20"/>
              </w:rPr>
              <w:t>NAICS</w:t>
            </w:r>
          </w:p>
        </w:tc>
        <w:tc>
          <w:tcPr>
            <w:tcW w:w="6795" w:type="dxa"/>
            <w:tcBorders>
              <w:left w:val="single" w:sz="8" w:space="0" w:color="auto"/>
              <w:bottom w:val="single" w:sz="8" w:space="0" w:color="auto"/>
            </w:tcBorders>
            <w:shd w:val="clear" w:color="auto" w:fill="A6A6A6" w:themeFill="background1" w:themeFillShade="A6"/>
            <w:vAlign w:val="center"/>
          </w:tcPr>
          <w:p w14:paraId="0CFD6FE7" w14:textId="77777777" w:rsidR="000F132A" w:rsidRPr="009573EC" w:rsidRDefault="000F132A" w:rsidP="004071B8">
            <w:pPr>
              <w:spacing w:line="240" w:lineRule="exact"/>
              <w:jc w:val="center"/>
              <w:rPr>
                <w:b/>
                <w:color w:val="000000"/>
                <w:sz w:val="20"/>
                <w:szCs w:val="20"/>
              </w:rPr>
            </w:pPr>
            <w:r w:rsidRPr="009573EC">
              <w:rPr>
                <w:b/>
                <w:color w:val="000000"/>
                <w:sz w:val="20"/>
                <w:szCs w:val="20"/>
              </w:rPr>
              <w:t>NAICS CATEGORY</w:t>
            </w:r>
          </w:p>
        </w:tc>
      </w:tr>
      <w:tr w:rsidR="000F132A" w:rsidRPr="00D77C93" w14:paraId="0E8F8895" w14:textId="77777777" w:rsidTr="004071B8">
        <w:trPr>
          <w:trHeight w:val="315"/>
        </w:trPr>
        <w:tc>
          <w:tcPr>
            <w:tcW w:w="1275" w:type="dxa"/>
            <w:tcBorders>
              <w:right w:val="single" w:sz="8" w:space="0" w:color="auto"/>
            </w:tcBorders>
            <w:shd w:val="clear" w:color="auto" w:fill="auto"/>
            <w:noWrap/>
            <w:vAlign w:val="center"/>
          </w:tcPr>
          <w:p w14:paraId="21163ECC" w14:textId="77777777" w:rsidR="000F132A" w:rsidRPr="006B1856" w:rsidRDefault="000F132A" w:rsidP="004071B8">
            <w:pPr>
              <w:pStyle w:val="IEcChartText"/>
              <w:spacing w:before="0" w:after="0" w:line="240" w:lineRule="exact"/>
            </w:pPr>
            <w:r w:rsidRPr="006B1856">
              <w:t>44-45</w:t>
            </w:r>
          </w:p>
        </w:tc>
        <w:tc>
          <w:tcPr>
            <w:tcW w:w="6795" w:type="dxa"/>
            <w:tcBorders>
              <w:left w:val="single" w:sz="8" w:space="0" w:color="auto"/>
            </w:tcBorders>
            <w:vAlign w:val="center"/>
          </w:tcPr>
          <w:p w14:paraId="6D73CD15" w14:textId="77777777" w:rsidR="000F132A" w:rsidRPr="006B1856" w:rsidRDefault="000F132A" w:rsidP="004071B8">
            <w:pPr>
              <w:pStyle w:val="IEcChartText"/>
              <w:spacing w:before="0" w:after="0" w:line="240" w:lineRule="exact"/>
            </w:pPr>
            <w:r w:rsidRPr="006B1856">
              <w:t>Retail Trade</w:t>
            </w:r>
          </w:p>
        </w:tc>
      </w:tr>
      <w:tr w:rsidR="000F132A" w:rsidRPr="00D77C93" w14:paraId="6517B189" w14:textId="77777777" w:rsidTr="004071B8">
        <w:trPr>
          <w:trHeight w:val="315"/>
        </w:trPr>
        <w:tc>
          <w:tcPr>
            <w:tcW w:w="1275" w:type="dxa"/>
            <w:tcBorders>
              <w:right w:val="single" w:sz="8" w:space="0" w:color="auto"/>
            </w:tcBorders>
            <w:shd w:val="clear" w:color="auto" w:fill="auto"/>
            <w:noWrap/>
            <w:vAlign w:val="center"/>
            <w:hideMark/>
          </w:tcPr>
          <w:p w14:paraId="33776976" w14:textId="77777777" w:rsidR="000F132A" w:rsidRPr="006B1856" w:rsidRDefault="000F132A" w:rsidP="004071B8">
            <w:pPr>
              <w:pStyle w:val="IEcChartText"/>
              <w:spacing w:before="0" w:after="0" w:line="240" w:lineRule="exact"/>
            </w:pPr>
            <w:r w:rsidRPr="006B1856">
              <w:t>31-33</w:t>
            </w:r>
          </w:p>
        </w:tc>
        <w:tc>
          <w:tcPr>
            <w:tcW w:w="6795" w:type="dxa"/>
            <w:tcBorders>
              <w:left w:val="single" w:sz="8" w:space="0" w:color="auto"/>
            </w:tcBorders>
            <w:vAlign w:val="center"/>
          </w:tcPr>
          <w:p w14:paraId="0715A997" w14:textId="77777777" w:rsidR="000F132A" w:rsidRPr="006B1856" w:rsidRDefault="000F132A" w:rsidP="004071B8">
            <w:pPr>
              <w:pStyle w:val="IEcChartText"/>
              <w:spacing w:before="0" w:after="0" w:line="240" w:lineRule="exact"/>
            </w:pPr>
            <w:r w:rsidRPr="006B1856">
              <w:t>Manufacturing</w:t>
            </w:r>
          </w:p>
        </w:tc>
      </w:tr>
      <w:tr w:rsidR="000F132A" w:rsidRPr="00D77C93" w14:paraId="3E7CAD2C" w14:textId="77777777" w:rsidTr="004071B8">
        <w:trPr>
          <w:trHeight w:val="315"/>
        </w:trPr>
        <w:tc>
          <w:tcPr>
            <w:tcW w:w="1275" w:type="dxa"/>
            <w:tcBorders>
              <w:right w:val="single" w:sz="8" w:space="0" w:color="auto"/>
            </w:tcBorders>
            <w:shd w:val="clear" w:color="auto" w:fill="auto"/>
            <w:noWrap/>
            <w:vAlign w:val="center"/>
            <w:hideMark/>
          </w:tcPr>
          <w:p w14:paraId="5902D100" w14:textId="77777777" w:rsidR="000F132A" w:rsidRPr="006B1856" w:rsidRDefault="000F132A" w:rsidP="004071B8">
            <w:pPr>
              <w:pStyle w:val="IEcChartText"/>
              <w:spacing w:before="0" w:after="0" w:line="240" w:lineRule="exact"/>
            </w:pPr>
            <w:r w:rsidRPr="006B1856">
              <w:t>48-49</w:t>
            </w:r>
          </w:p>
        </w:tc>
        <w:tc>
          <w:tcPr>
            <w:tcW w:w="6795" w:type="dxa"/>
            <w:tcBorders>
              <w:left w:val="single" w:sz="8" w:space="0" w:color="auto"/>
            </w:tcBorders>
            <w:vAlign w:val="center"/>
          </w:tcPr>
          <w:p w14:paraId="5C18CCFB" w14:textId="77777777" w:rsidR="000F132A" w:rsidRPr="006B1856" w:rsidRDefault="000F132A" w:rsidP="004071B8">
            <w:pPr>
              <w:pStyle w:val="IEcChartText"/>
              <w:spacing w:before="0" w:after="0" w:line="240" w:lineRule="exact"/>
            </w:pPr>
            <w:r w:rsidRPr="006B1856">
              <w:t>Transportation and Warehousing</w:t>
            </w:r>
          </w:p>
        </w:tc>
      </w:tr>
      <w:tr w:rsidR="000F132A" w:rsidRPr="00D77C93" w14:paraId="5674217B" w14:textId="77777777" w:rsidTr="004071B8">
        <w:trPr>
          <w:trHeight w:val="315"/>
        </w:trPr>
        <w:tc>
          <w:tcPr>
            <w:tcW w:w="1275" w:type="dxa"/>
            <w:tcBorders>
              <w:right w:val="single" w:sz="8" w:space="0" w:color="auto"/>
            </w:tcBorders>
            <w:shd w:val="clear" w:color="auto" w:fill="auto"/>
            <w:noWrap/>
            <w:vAlign w:val="center"/>
            <w:hideMark/>
          </w:tcPr>
          <w:p w14:paraId="500C51B7" w14:textId="77777777" w:rsidR="000F132A" w:rsidRPr="006B1856" w:rsidRDefault="000F132A" w:rsidP="004071B8">
            <w:pPr>
              <w:pStyle w:val="IEcChartText"/>
              <w:spacing w:before="0" w:after="0" w:line="240" w:lineRule="exact"/>
            </w:pPr>
            <w:r w:rsidRPr="006B1856">
              <w:t>62</w:t>
            </w:r>
          </w:p>
        </w:tc>
        <w:tc>
          <w:tcPr>
            <w:tcW w:w="6795" w:type="dxa"/>
            <w:tcBorders>
              <w:left w:val="single" w:sz="8" w:space="0" w:color="auto"/>
            </w:tcBorders>
            <w:vAlign w:val="center"/>
          </w:tcPr>
          <w:p w14:paraId="03A7C66E" w14:textId="77777777" w:rsidR="000F132A" w:rsidRPr="006B1856" w:rsidRDefault="000F132A" w:rsidP="004071B8">
            <w:pPr>
              <w:pStyle w:val="IEcChartText"/>
              <w:spacing w:before="0" w:after="0" w:line="240" w:lineRule="exact"/>
            </w:pPr>
            <w:r w:rsidRPr="006B1856">
              <w:t>Health Care and Social Assistance</w:t>
            </w:r>
          </w:p>
        </w:tc>
      </w:tr>
      <w:tr w:rsidR="000F132A" w:rsidRPr="00D77C93" w14:paraId="72DA39BC" w14:textId="77777777" w:rsidTr="004071B8">
        <w:trPr>
          <w:trHeight w:val="315"/>
        </w:trPr>
        <w:tc>
          <w:tcPr>
            <w:tcW w:w="1275" w:type="dxa"/>
            <w:tcBorders>
              <w:right w:val="single" w:sz="8" w:space="0" w:color="auto"/>
            </w:tcBorders>
            <w:shd w:val="clear" w:color="auto" w:fill="auto"/>
            <w:noWrap/>
            <w:vAlign w:val="center"/>
            <w:hideMark/>
          </w:tcPr>
          <w:p w14:paraId="40355C60" w14:textId="77777777" w:rsidR="000F132A" w:rsidRPr="006B1856" w:rsidRDefault="000F132A" w:rsidP="004071B8">
            <w:pPr>
              <w:pStyle w:val="IEcChartText"/>
              <w:spacing w:before="0" w:after="0" w:line="240" w:lineRule="exact"/>
            </w:pPr>
            <w:r w:rsidRPr="006B1856">
              <w:t>92</w:t>
            </w:r>
          </w:p>
        </w:tc>
        <w:tc>
          <w:tcPr>
            <w:tcW w:w="6795" w:type="dxa"/>
            <w:tcBorders>
              <w:left w:val="single" w:sz="8" w:space="0" w:color="auto"/>
            </w:tcBorders>
            <w:vAlign w:val="center"/>
          </w:tcPr>
          <w:p w14:paraId="5A25AFE8" w14:textId="77777777" w:rsidR="000F132A" w:rsidRPr="006B1856" w:rsidRDefault="000F132A" w:rsidP="004071B8">
            <w:pPr>
              <w:pStyle w:val="IEcChartText"/>
              <w:spacing w:before="0" w:after="0" w:line="240" w:lineRule="exact"/>
            </w:pPr>
            <w:r w:rsidRPr="006B1856">
              <w:t>Public Administration</w:t>
            </w:r>
          </w:p>
        </w:tc>
      </w:tr>
      <w:tr w:rsidR="000F132A" w:rsidRPr="00D77C93" w14:paraId="76A85064" w14:textId="77777777" w:rsidTr="004071B8">
        <w:trPr>
          <w:trHeight w:val="315"/>
        </w:trPr>
        <w:tc>
          <w:tcPr>
            <w:tcW w:w="1275" w:type="dxa"/>
            <w:tcBorders>
              <w:right w:val="single" w:sz="8" w:space="0" w:color="auto"/>
            </w:tcBorders>
            <w:shd w:val="clear" w:color="auto" w:fill="auto"/>
            <w:noWrap/>
            <w:vAlign w:val="center"/>
            <w:hideMark/>
          </w:tcPr>
          <w:p w14:paraId="38E5D510" w14:textId="77777777" w:rsidR="000F132A" w:rsidRPr="006B1856" w:rsidRDefault="000F132A" w:rsidP="004071B8">
            <w:pPr>
              <w:pStyle w:val="IEcChartText"/>
              <w:spacing w:before="0" w:after="0" w:line="240" w:lineRule="exact"/>
            </w:pPr>
            <w:r w:rsidRPr="006B1856">
              <w:t>61</w:t>
            </w:r>
          </w:p>
        </w:tc>
        <w:tc>
          <w:tcPr>
            <w:tcW w:w="6795" w:type="dxa"/>
            <w:tcBorders>
              <w:left w:val="single" w:sz="8" w:space="0" w:color="auto"/>
            </w:tcBorders>
            <w:vAlign w:val="center"/>
          </w:tcPr>
          <w:p w14:paraId="642B92B7" w14:textId="77777777" w:rsidR="000F132A" w:rsidRPr="006B1856" w:rsidRDefault="000F132A" w:rsidP="004071B8">
            <w:pPr>
              <w:pStyle w:val="IEcChartText"/>
              <w:spacing w:before="0" w:after="0" w:line="240" w:lineRule="exact"/>
            </w:pPr>
            <w:r w:rsidRPr="006B1856">
              <w:t>Educational Services</w:t>
            </w:r>
          </w:p>
        </w:tc>
      </w:tr>
      <w:tr w:rsidR="000F132A" w:rsidRPr="00D77C93" w14:paraId="351C0D47" w14:textId="77777777" w:rsidTr="004071B8">
        <w:trPr>
          <w:trHeight w:val="315"/>
        </w:trPr>
        <w:tc>
          <w:tcPr>
            <w:tcW w:w="1275" w:type="dxa"/>
            <w:tcBorders>
              <w:right w:val="single" w:sz="8" w:space="0" w:color="auto"/>
            </w:tcBorders>
            <w:shd w:val="clear" w:color="auto" w:fill="auto"/>
            <w:noWrap/>
            <w:vAlign w:val="center"/>
            <w:hideMark/>
          </w:tcPr>
          <w:p w14:paraId="32210B55" w14:textId="77777777" w:rsidR="000F132A" w:rsidRPr="006B1856" w:rsidRDefault="000F132A" w:rsidP="004071B8">
            <w:pPr>
              <w:pStyle w:val="IEcChartText"/>
              <w:spacing w:before="0" w:after="0" w:line="240" w:lineRule="exact"/>
            </w:pPr>
            <w:r w:rsidRPr="006B1856">
              <w:t>54</w:t>
            </w:r>
          </w:p>
        </w:tc>
        <w:tc>
          <w:tcPr>
            <w:tcW w:w="6795" w:type="dxa"/>
            <w:tcBorders>
              <w:left w:val="single" w:sz="8" w:space="0" w:color="auto"/>
            </w:tcBorders>
            <w:vAlign w:val="center"/>
          </w:tcPr>
          <w:p w14:paraId="38BC9139" w14:textId="77777777" w:rsidR="000F132A" w:rsidRPr="006B1856" w:rsidRDefault="000F132A" w:rsidP="004071B8">
            <w:pPr>
              <w:pStyle w:val="IEcChartText"/>
              <w:spacing w:before="0" w:after="0" w:line="240" w:lineRule="exact"/>
            </w:pPr>
            <w:r w:rsidRPr="006B1856">
              <w:t>Professional, Scientific, and Technical Services</w:t>
            </w:r>
          </w:p>
        </w:tc>
      </w:tr>
      <w:tr w:rsidR="000F132A" w:rsidRPr="00D77C93" w14:paraId="17D517C8" w14:textId="77777777" w:rsidTr="004071B8">
        <w:trPr>
          <w:trHeight w:val="315"/>
        </w:trPr>
        <w:tc>
          <w:tcPr>
            <w:tcW w:w="1275" w:type="dxa"/>
            <w:tcBorders>
              <w:right w:val="single" w:sz="8" w:space="0" w:color="auto"/>
            </w:tcBorders>
            <w:shd w:val="clear" w:color="auto" w:fill="auto"/>
            <w:noWrap/>
            <w:vAlign w:val="center"/>
            <w:hideMark/>
          </w:tcPr>
          <w:p w14:paraId="103620E8" w14:textId="77777777" w:rsidR="000F132A" w:rsidRPr="006B1856" w:rsidRDefault="000F132A" w:rsidP="004071B8">
            <w:pPr>
              <w:pStyle w:val="IEcChartText"/>
              <w:spacing w:before="0" w:after="0" w:line="240" w:lineRule="exact"/>
            </w:pPr>
            <w:r w:rsidRPr="006B1856">
              <w:t>56</w:t>
            </w:r>
          </w:p>
        </w:tc>
        <w:tc>
          <w:tcPr>
            <w:tcW w:w="6795" w:type="dxa"/>
            <w:tcBorders>
              <w:left w:val="single" w:sz="8" w:space="0" w:color="auto"/>
            </w:tcBorders>
            <w:vAlign w:val="center"/>
          </w:tcPr>
          <w:p w14:paraId="07991C08" w14:textId="77777777" w:rsidR="000F132A" w:rsidRPr="006B1856" w:rsidRDefault="000F132A" w:rsidP="004071B8">
            <w:pPr>
              <w:pStyle w:val="IEcChartText"/>
              <w:spacing w:before="0" w:after="0" w:line="240" w:lineRule="exact"/>
            </w:pPr>
            <w:r w:rsidRPr="006B1856">
              <w:t>Administrative and Support and Waste Management and Remediation Services</w:t>
            </w:r>
          </w:p>
        </w:tc>
      </w:tr>
      <w:tr w:rsidR="000F132A" w:rsidRPr="00D77C93" w14:paraId="6FEFB61C" w14:textId="77777777" w:rsidTr="004071B8">
        <w:trPr>
          <w:trHeight w:val="315"/>
        </w:trPr>
        <w:tc>
          <w:tcPr>
            <w:tcW w:w="1275" w:type="dxa"/>
            <w:tcBorders>
              <w:right w:val="single" w:sz="8" w:space="0" w:color="auto"/>
            </w:tcBorders>
            <w:shd w:val="clear" w:color="auto" w:fill="auto"/>
            <w:noWrap/>
            <w:vAlign w:val="center"/>
            <w:hideMark/>
          </w:tcPr>
          <w:p w14:paraId="64FE01F6" w14:textId="77777777" w:rsidR="000F132A" w:rsidRPr="006B1856" w:rsidRDefault="000F132A" w:rsidP="004071B8">
            <w:pPr>
              <w:pStyle w:val="IEcChartText"/>
              <w:spacing w:before="0" w:after="0" w:line="240" w:lineRule="exact"/>
            </w:pPr>
            <w:r w:rsidRPr="006B1856">
              <w:t>42</w:t>
            </w:r>
          </w:p>
        </w:tc>
        <w:tc>
          <w:tcPr>
            <w:tcW w:w="6795" w:type="dxa"/>
            <w:tcBorders>
              <w:left w:val="single" w:sz="8" w:space="0" w:color="auto"/>
            </w:tcBorders>
            <w:vAlign w:val="center"/>
          </w:tcPr>
          <w:p w14:paraId="7F9E1DF1" w14:textId="77777777" w:rsidR="000F132A" w:rsidRPr="006B1856" w:rsidRDefault="000F132A" w:rsidP="004071B8">
            <w:pPr>
              <w:pStyle w:val="IEcChartText"/>
              <w:spacing w:before="0" w:after="0" w:line="240" w:lineRule="exact"/>
            </w:pPr>
            <w:r w:rsidRPr="006B1856">
              <w:t>Wholesale Trade</w:t>
            </w:r>
          </w:p>
        </w:tc>
      </w:tr>
      <w:tr w:rsidR="000F132A" w:rsidRPr="00D77C93" w14:paraId="61545ECE" w14:textId="77777777" w:rsidTr="004071B8">
        <w:trPr>
          <w:trHeight w:val="315"/>
        </w:trPr>
        <w:tc>
          <w:tcPr>
            <w:tcW w:w="1275" w:type="dxa"/>
            <w:tcBorders>
              <w:right w:val="single" w:sz="8" w:space="0" w:color="auto"/>
            </w:tcBorders>
            <w:shd w:val="clear" w:color="auto" w:fill="auto"/>
            <w:noWrap/>
            <w:vAlign w:val="center"/>
          </w:tcPr>
          <w:p w14:paraId="5A2A5146" w14:textId="77777777" w:rsidR="000F132A" w:rsidRPr="006B1856" w:rsidRDefault="000F132A" w:rsidP="004071B8">
            <w:pPr>
              <w:pStyle w:val="IEcChartText"/>
              <w:spacing w:before="0" w:after="0" w:line="240" w:lineRule="exact"/>
            </w:pPr>
            <w:r w:rsidRPr="006B1856">
              <w:t>22</w:t>
            </w:r>
          </w:p>
        </w:tc>
        <w:tc>
          <w:tcPr>
            <w:tcW w:w="6795" w:type="dxa"/>
            <w:tcBorders>
              <w:left w:val="single" w:sz="8" w:space="0" w:color="auto"/>
            </w:tcBorders>
            <w:vAlign w:val="center"/>
          </w:tcPr>
          <w:p w14:paraId="247CC312" w14:textId="77777777" w:rsidR="000F132A" w:rsidRPr="006B1856" w:rsidRDefault="000F132A" w:rsidP="004071B8">
            <w:pPr>
              <w:pStyle w:val="IEcChartText"/>
              <w:spacing w:before="0" w:after="0" w:line="240" w:lineRule="exact"/>
            </w:pPr>
            <w:r w:rsidRPr="006B1856">
              <w:t>Utilities</w:t>
            </w:r>
          </w:p>
        </w:tc>
      </w:tr>
      <w:tr w:rsidR="000F132A" w:rsidRPr="00D77C93" w14:paraId="563AD820" w14:textId="77777777" w:rsidTr="004071B8">
        <w:trPr>
          <w:trHeight w:val="315"/>
        </w:trPr>
        <w:tc>
          <w:tcPr>
            <w:tcW w:w="1275" w:type="dxa"/>
            <w:tcBorders>
              <w:right w:val="single" w:sz="8" w:space="0" w:color="auto"/>
            </w:tcBorders>
            <w:shd w:val="clear" w:color="auto" w:fill="auto"/>
            <w:noWrap/>
            <w:vAlign w:val="center"/>
            <w:hideMark/>
          </w:tcPr>
          <w:p w14:paraId="7CC5F9CC" w14:textId="77777777" w:rsidR="000F132A" w:rsidRPr="006B1856" w:rsidRDefault="000F132A" w:rsidP="004071B8">
            <w:pPr>
              <w:pStyle w:val="IEcChartText"/>
              <w:spacing w:before="0" w:after="0" w:line="240" w:lineRule="exact"/>
            </w:pPr>
            <w:r w:rsidRPr="006B1856">
              <w:t>81</w:t>
            </w:r>
          </w:p>
        </w:tc>
        <w:tc>
          <w:tcPr>
            <w:tcW w:w="6795" w:type="dxa"/>
            <w:tcBorders>
              <w:left w:val="single" w:sz="8" w:space="0" w:color="auto"/>
            </w:tcBorders>
            <w:vAlign w:val="center"/>
          </w:tcPr>
          <w:p w14:paraId="520CF5B4" w14:textId="77777777" w:rsidR="000F132A" w:rsidRPr="006B1856" w:rsidRDefault="000F132A" w:rsidP="004071B8">
            <w:pPr>
              <w:pStyle w:val="IEcChartText"/>
              <w:spacing w:before="0" w:after="0" w:line="240" w:lineRule="exact"/>
            </w:pPr>
            <w:r w:rsidRPr="006B1856">
              <w:t>Other Services (except Public Administration)</w:t>
            </w:r>
          </w:p>
        </w:tc>
      </w:tr>
      <w:tr w:rsidR="000F132A" w:rsidRPr="00D77C93" w14:paraId="5742C34C" w14:textId="77777777" w:rsidTr="004071B8">
        <w:trPr>
          <w:trHeight w:val="315"/>
        </w:trPr>
        <w:tc>
          <w:tcPr>
            <w:tcW w:w="1275" w:type="dxa"/>
            <w:tcBorders>
              <w:right w:val="single" w:sz="8" w:space="0" w:color="auto"/>
            </w:tcBorders>
            <w:shd w:val="clear" w:color="auto" w:fill="auto"/>
            <w:noWrap/>
            <w:vAlign w:val="center"/>
            <w:hideMark/>
          </w:tcPr>
          <w:p w14:paraId="2A822662" w14:textId="77777777" w:rsidR="000F132A" w:rsidRPr="006B1856" w:rsidRDefault="000F132A" w:rsidP="004071B8">
            <w:pPr>
              <w:pStyle w:val="IEcChartText"/>
              <w:spacing w:before="0" w:after="0" w:line="240" w:lineRule="exact"/>
            </w:pPr>
            <w:r w:rsidRPr="006B1856">
              <w:t>21</w:t>
            </w:r>
          </w:p>
        </w:tc>
        <w:tc>
          <w:tcPr>
            <w:tcW w:w="6795" w:type="dxa"/>
            <w:tcBorders>
              <w:left w:val="single" w:sz="8" w:space="0" w:color="auto"/>
            </w:tcBorders>
            <w:vAlign w:val="center"/>
          </w:tcPr>
          <w:p w14:paraId="5E074083" w14:textId="77777777" w:rsidR="000F132A" w:rsidRPr="006B1856" w:rsidRDefault="000F132A" w:rsidP="004071B8">
            <w:pPr>
              <w:pStyle w:val="IEcChartText"/>
              <w:spacing w:before="0" w:after="0" w:line="240" w:lineRule="exact"/>
            </w:pPr>
            <w:r w:rsidRPr="006B1856">
              <w:t>Mining, Quarrying, and Oil and Gas Extraction</w:t>
            </w:r>
          </w:p>
        </w:tc>
      </w:tr>
      <w:tr w:rsidR="000F132A" w:rsidRPr="00D77C93" w14:paraId="2ADFBA0A" w14:textId="77777777" w:rsidTr="004071B8">
        <w:trPr>
          <w:trHeight w:val="315"/>
        </w:trPr>
        <w:tc>
          <w:tcPr>
            <w:tcW w:w="1275" w:type="dxa"/>
            <w:tcBorders>
              <w:right w:val="single" w:sz="8" w:space="0" w:color="auto"/>
            </w:tcBorders>
            <w:shd w:val="clear" w:color="auto" w:fill="auto"/>
            <w:noWrap/>
            <w:vAlign w:val="center"/>
            <w:hideMark/>
          </w:tcPr>
          <w:p w14:paraId="374B0F0E" w14:textId="77777777" w:rsidR="000F132A" w:rsidRPr="006B1856" w:rsidRDefault="000F132A" w:rsidP="004071B8">
            <w:pPr>
              <w:pStyle w:val="IEcChartText"/>
              <w:spacing w:before="0" w:after="0" w:line="240" w:lineRule="exact"/>
            </w:pPr>
            <w:r w:rsidRPr="006B1856">
              <w:t>23</w:t>
            </w:r>
          </w:p>
        </w:tc>
        <w:tc>
          <w:tcPr>
            <w:tcW w:w="6795" w:type="dxa"/>
            <w:tcBorders>
              <w:left w:val="single" w:sz="8" w:space="0" w:color="auto"/>
            </w:tcBorders>
            <w:vAlign w:val="center"/>
          </w:tcPr>
          <w:p w14:paraId="558D5AC2" w14:textId="77777777" w:rsidR="000F132A" w:rsidRPr="006B1856" w:rsidRDefault="000F132A" w:rsidP="004071B8">
            <w:pPr>
              <w:pStyle w:val="IEcChartText"/>
              <w:spacing w:before="0" w:after="0" w:line="240" w:lineRule="exact"/>
            </w:pPr>
            <w:r w:rsidRPr="006B1856">
              <w:t>Construction</w:t>
            </w:r>
          </w:p>
        </w:tc>
      </w:tr>
      <w:tr w:rsidR="000F132A" w:rsidRPr="00D77C93" w14:paraId="6D498634" w14:textId="77777777" w:rsidTr="004071B8">
        <w:trPr>
          <w:trHeight w:val="315"/>
        </w:trPr>
        <w:tc>
          <w:tcPr>
            <w:tcW w:w="1275" w:type="dxa"/>
            <w:tcBorders>
              <w:right w:val="single" w:sz="8" w:space="0" w:color="auto"/>
            </w:tcBorders>
            <w:shd w:val="clear" w:color="auto" w:fill="auto"/>
            <w:noWrap/>
            <w:vAlign w:val="center"/>
            <w:hideMark/>
          </w:tcPr>
          <w:p w14:paraId="63F0EB3F" w14:textId="77777777" w:rsidR="000F132A" w:rsidRPr="006B1856" w:rsidRDefault="000F132A" w:rsidP="004071B8">
            <w:pPr>
              <w:pStyle w:val="IEcChartText"/>
              <w:spacing w:before="0" w:after="0" w:line="240" w:lineRule="exact"/>
            </w:pPr>
            <w:r w:rsidRPr="006B1856">
              <w:t>71</w:t>
            </w:r>
          </w:p>
        </w:tc>
        <w:tc>
          <w:tcPr>
            <w:tcW w:w="6795" w:type="dxa"/>
            <w:tcBorders>
              <w:left w:val="single" w:sz="8" w:space="0" w:color="auto"/>
            </w:tcBorders>
            <w:vAlign w:val="center"/>
          </w:tcPr>
          <w:p w14:paraId="2C7DB305" w14:textId="77777777" w:rsidR="000F132A" w:rsidRPr="006B1856" w:rsidRDefault="000F132A" w:rsidP="004071B8">
            <w:pPr>
              <w:pStyle w:val="IEcChartText"/>
              <w:spacing w:before="0" w:after="0" w:line="240" w:lineRule="exact"/>
            </w:pPr>
            <w:r w:rsidRPr="006B1856">
              <w:t>Arts, Entertainment, and Recreation</w:t>
            </w:r>
          </w:p>
        </w:tc>
      </w:tr>
      <w:tr w:rsidR="000F132A" w:rsidRPr="00D77C93" w14:paraId="3C60E72D" w14:textId="77777777" w:rsidTr="004071B8">
        <w:trPr>
          <w:trHeight w:val="315"/>
        </w:trPr>
        <w:tc>
          <w:tcPr>
            <w:tcW w:w="1275" w:type="dxa"/>
            <w:tcBorders>
              <w:right w:val="single" w:sz="8" w:space="0" w:color="auto"/>
            </w:tcBorders>
            <w:shd w:val="clear" w:color="auto" w:fill="auto"/>
            <w:noWrap/>
            <w:vAlign w:val="center"/>
            <w:hideMark/>
          </w:tcPr>
          <w:p w14:paraId="38AE6C5B" w14:textId="77777777" w:rsidR="000F132A" w:rsidRPr="006B1856" w:rsidRDefault="000F132A" w:rsidP="004071B8">
            <w:pPr>
              <w:pStyle w:val="IEcChartText"/>
              <w:spacing w:before="0" w:after="0" w:line="240" w:lineRule="exact"/>
            </w:pPr>
            <w:r w:rsidRPr="006B1856">
              <w:t>55</w:t>
            </w:r>
          </w:p>
        </w:tc>
        <w:tc>
          <w:tcPr>
            <w:tcW w:w="6795" w:type="dxa"/>
            <w:tcBorders>
              <w:left w:val="single" w:sz="8" w:space="0" w:color="auto"/>
            </w:tcBorders>
            <w:vAlign w:val="center"/>
          </w:tcPr>
          <w:p w14:paraId="167FB574" w14:textId="77777777" w:rsidR="000F132A" w:rsidRPr="006B1856" w:rsidRDefault="000F132A" w:rsidP="004071B8">
            <w:pPr>
              <w:pStyle w:val="IEcChartText"/>
              <w:spacing w:before="0" w:after="0" w:line="240" w:lineRule="exact"/>
            </w:pPr>
            <w:r w:rsidRPr="006B1856">
              <w:t>Management of Companies and Enterprises</w:t>
            </w:r>
          </w:p>
        </w:tc>
      </w:tr>
      <w:tr w:rsidR="000F132A" w:rsidRPr="00D77C93" w14:paraId="50D8197F" w14:textId="77777777" w:rsidTr="004071B8">
        <w:trPr>
          <w:trHeight w:val="315"/>
        </w:trPr>
        <w:tc>
          <w:tcPr>
            <w:tcW w:w="1275" w:type="dxa"/>
            <w:tcBorders>
              <w:right w:val="single" w:sz="8" w:space="0" w:color="auto"/>
            </w:tcBorders>
            <w:shd w:val="clear" w:color="auto" w:fill="auto"/>
            <w:noWrap/>
            <w:vAlign w:val="center"/>
            <w:hideMark/>
          </w:tcPr>
          <w:p w14:paraId="6C91807D" w14:textId="77777777" w:rsidR="000F132A" w:rsidRPr="006B1856" w:rsidRDefault="000F132A" w:rsidP="004071B8">
            <w:pPr>
              <w:pStyle w:val="IEcChartText"/>
              <w:spacing w:before="0" w:after="0" w:line="240" w:lineRule="exact"/>
            </w:pPr>
            <w:r w:rsidRPr="006B1856">
              <w:t>53</w:t>
            </w:r>
          </w:p>
        </w:tc>
        <w:tc>
          <w:tcPr>
            <w:tcW w:w="6795" w:type="dxa"/>
            <w:tcBorders>
              <w:left w:val="single" w:sz="8" w:space="0" w:color="auto"/>
            </w:tcBorders>
            <w:vAlign w:val="center"/>
          </w:tcPr>
          <w:p w14:paraId="24FB1EC4" w14:textId="77777777" w:rsidR="000F132A" w:rsidRPr="006B1856" w:rsidRDefault="000F132A" w:rsidP="004071B8">
            <w:pPr>
              <w:pStyle w:val="IEcChartText"/>
              <w:spacing w:before="0" w:after="0" w:line="240" w:lineRule="exact"/>
            </w:pPr>
            <w:r w:rsidRPr="006B1856">
              <w:t>Real Estate and Rental and Leasing</w:t>
            </w:r>
          </w:p>
        </w:tc>
      </w:tr>
      <w:tr w:rsidR="000F132A" w:rsidRPr="00D77C93" w14:paraId="68A83FCF" w14:textId="77777777" w:rsidTr="004071B8">
        <w:trPr>
          <w:trHeight w:val="315"/>
        </w:trPr>
        <w:tc>
          <w:tcPr>
            <w:tcW w:w="1275" w:type="dxa"/>
            <w:tcBorders>
              <w:right w:val="single" w:sz="8" w:space="0" w:color="auto"/>
            </w:tcBorders>
            <w:shd w:val="clear" w:color="auto" w:fill="auto"/>
            <w:noWrap/>
            <w:vAlign w:val="center"/>
            <w:hideMark/>
          </w:tcPr>
          <w:p w14:paraId="0D57043E" w14:textId="77777777" w:rsidR="000F132A" w:rsidRPr="006B1856" w:rsidRDefault="000F132A" w:rsidP="004071B8">
            <w:pPr>
              <w:pStyle w:val="IEcChartText"/>
              <w:spacing w:before="0" w:after="0" w:line="240" w:lineRule="exact"/>
            </w:pPr>
            <w:r w:rsidRPr="006B1856">
              <w:t>51</w:t>
            </w:r>
          </w:p>
        </w:tc>
        <w:tc>
          <w:tcPr>
            <w:tcW w:w="6795" w:type="dxa"/>
            <w:tcBorders>
              <w:left w:val="single" w:sz="8" w:space="0" w:color="auto"/>
            </w:tcBorders>
            <w:vAlign w:val="center"/>
          </w:tcPr>
          <w:p w14:paraId="5E4A6F9A" w14:textId="77777777" w:rsidR="000F132A" w:rsidRPr="006B1856" w:rsidRDefault="000F132A" w:rsidP="004071B8">
            <w:pPr>
              <w:pStyle w:val="IEcChartText"/>
              <w:spacing w:before="0" w:after="0" w:line="240" w:lineRule="exact"/>
            </w:pPr>
            <w:r w:rsidRPr="006B1856">
              <w:t>Information</w:t>
            </w:r>
          </w:p>
        </w:tc>
      </w:tr>
      <w:tr w:rsidR="000F132A" w:rsidRPr="00D77C93" w14:paraId="7ADE74E3" w14:textId="77777777" w:rsidTr="004071B8">
        <w:trPr>
          <w:trHeight w:val="315"/>
        </w:trPr>
        <w:tc>
          <w:tcPr>
            <w:tcW w:w="1275" w:type="dxa"/>
            <w:tcBorders>
              <w:right w:val="single" w:sz="8" w:space="0" w:color="auto"/>
            </w:tcBorders>
            <w:shd w:val="clear" w:color="auto" w:fill="auto"/>
            <w:noWrap/>
            <w:vAlign w:val="center"/>
            <w:hideMark/>
          </w:tcPr>
          <w:p w14:paraId="19A4D260" w14:textId="77777777" w:rsidR="000F132A" w:rsidRPr="006B1856" w:rsidRDefault="000F132A" w:rsidP="004071B8">
            <w:pPr>
              <w:pStyle w:val="IEcChartText"/>
              <w:spacing w:before="0" w:after="0" w:line="240" w:lineRule="exact"/>
            </w:pPr>
            <w:r w:rsidRPr="006B1856">
              <w:t>11</w:t>
            </w:r>
          </w:p>
        </w:tc>
        <w:tc>
          <w:tcPr>
            <w:tcW w:w="6795" w:type="dxa"/>
            <w:tcBorders>
              <w:left w:val="single" w:sz="8" w:space="0" w:color="auto"/>
            </w:tcBorders>
            <w:vAlign w:val="center"/>
          </w:tcPr>
          <w:p w14:paraId="63276F1C" w14:textId="77777777" w:rsidR="000F132A" w:rsidRPr="006B1856" w:rsidRDefault="000F132A" w:rsidP="004071B8">
            <w:pPr>
              <w:pStyle w:val="IEcChartText"/>
              <w:spacing w:before="0" w:after="0" w:line="240" w:lineRule="exact"/>
            </w:pPr>
            <w:r w:rsidRPr="006B1856">
              <w:t>Agriculture, Forestry, Fishing and Hunting</w:t>
            </w:r>
          </w:p>
        </w:tc>
      </w:tr>
    </w:tbl>
    <w:p w14:paraId="232570A2" w14:textId="77777777" w:rsidR="000F132A" w:rsidRDefault="000F132A" w:rsidP="00A23F32">
      <w:pPr>
        <w:pStyle w:val="BodyTextIndent"/>
        <w:jc w:val="left"/>
      </w:pPr>
    </w:p>
    <w:p w14:paraId="1BB61946" w14:textId="14F585DB" w:rsidR="00685523" w:rsidRPr="004037A8" w:rsidRDefault="00E45564" w:rsidP="00A23F32">
      <w:pPr>
        <w:pStyle w:val="BodyTextIndent"/>
        <w:jc w:val="left"/>
        <w:rPr>
          <w:szCs w:val="20"/>
        </w:rPr>
      </w:pPr>
      <w:r>
        <w:t xml:space="preserve">The information collection requirements of the proposed rule vary based on facility generator and handler status. The proposed rule is expected to affect facilities within all three </w:t>
      </w:r>
      <w:r w:rsidRPr="001A502D">
        <w:rPr>
          <w:szCs w:val="20"/>
        </w:rPr>
        <w:t>hazardous</w:t>
      </w:r>
      <w:r w:rsidRPr="004037A8">
        <w:rPr>
          <w:szCs w:val="20"/>
        </w:rPr>
        <w:t xml:space="preserve"> waste generators categories:</w:t>
      </w:r>
    </w:p>
    <w:p w14:paraId="501AEDC5" w14:textId="08319F23" w:rsidR="00685523" w:rsidRDefault="00E45564" w:rsidP="00A23F32">
      <w:pPr>
        <w:pStyle w:val="BodyTextIndent"/>
        <w:numPr>
          <w:ilvl w:val="0"/>
          <w:numId w:val="43"/>
        </w:numPr>
        <w:spacing w:after="120"/>
        <w:jc w:val="left"/>
        <w:rPr>
          <w:szCs w:val="20"/>
        </w:rPr>
      </w:pPr>
      <w:r w:rsidRPr="004037A8">
        <w:rPr>
          <w:szCs w:val="20"/>
        </w:rPr>
        <w:t>L</w:t>
      </w:r>
      <w:r w:rsidR="00685523" w:rsidRPr="004037A8">
        <w:rPr>
          <w:szCs w:val="20"/>
        </w:rPr>
        <w:t>arge Quantity Generators (LQGs)</w:t>
      </w:r>
      <w:r w:rsidR="00685523">
        <w:rPr>
          <w:szCs w:val="20"/>
        </w:rPr>
        <w:t xml:space="preserve">: Monthly generation </w:t>
      </w:r>
      <w:r w:rsidR="00685523" w:rsidRPr="008F5EF0">
        <w:t xml:space="preserve">≥ </w:t>
      </w:r>
      <w:r w:rsidR="00685523" w:rsidRPr="00A34A7E">
        <w:t>1.1 tons HW</w:t>
      </w:r>
      <w:r w:rsidR="00685523">
        <w:t xml:space="preserve"> or </w:t>
      </w:r>
      <w:r w:rsidR="00685523" w:rsidRPr="00A34A7E">
        <w:t>&gt;</w:t>
      </w:r>
      <w:r w:rsidR="00685523">
        <w:t xml:space="preserve"> 0</w:t>
      </w:r>
      <w:r w:rsidR="00685523" w:rsidRPr="00A34A7E">
        <w:t xml:space="preserve">.001 </w:t>
      </w:r>
      <w:r w:rsidR="00685523">
        <w:t xml:space="preserve">tons </w:t>
      </w:r>
      <w:r w:rsidR="00685523" w:rsidRPr="00A34A7E">
        <w:t>acute HW</w:t>
      </w:r>
      <w:r w:rsidR="00685523">
        <w:t xml:space="preserve"> </w:t>
      </w:r>
    </w:p>
    <w:p w14:paraId="7F60FFBC" w14:textId="76C6C96C" w:rsidR="00685523" w:rsidRPr="001A502D" w:rsidRDefault="00E45564" w:rsidP="00A23F32">
      <w:pPr>
        <w:pStyle w:val="BodyTextIndent"/>
        <w:numPr>
          <w:ilvl w:val="0"/>
          <w:numId w:val="43"/>
        </w:numPr>
        <w:spacing w:after="120"/>
        <w:jc w:val="left"/>
        <w:rPr>
          <w:szCs w:val="20"/>
        </w:rPr>
      </w:pPr>
      <w:r w:rsidRPr="001A502D">
        <w:rPr>
          <w:szCs w:val="20"/>
        </w:rPr>
        <w:t>Small</w:t>
      </w:r>
      <w:r w:rsidR="00685523" w:rsidRPr="004037A8">
        <w:rPr>
          <w:szCs w:val="20"/>
        </w:rPr>
        <w:t xml:space="preserve"> Quantity Generators (SQGs)</w:t>
      </w:r>
      <w:r w:rsidR="00685523" w:rsidRPr="00685523">
        <w:rPr>
          <w:szCs w:val="20"/>
        </w:rPr>
        <w:t xml:space="preserve">: </w:t>
      </w:r>
      <w:r w:rsidR="00685523">
        <w:rPr>
          <w:szCs w:val="20"/>
        </w:rPr>
        <w:t xml:space="preserve">Monthly generation </w:t>
      </w:r>
      <w:r w:rsidR="00685523" w:rsidRPr="00685523">
        <w:rPr>
          <w:szCs w:val="20"/>
        </w:rPr>
        <w:t xml:space="preserve">&gt; 0.11 tons HW and &lt; 1.1 tons HW </w:t>
      </w:r>
      <w:r w:rsidR="00685523">
        <w:rPr>
          <w:szCs w:val="20"/>
        </w:rPr>
        <w:t xml:space="preserve">and  </w:t>
      </w:r>
      <w:r w:rsidR="00685523" w:rsidRPr="00685523">
        <w:rPr>
          <w:szCs w:val="20"/>
        </w:rPr>
        <w:t>≤ .001 acute HW</w:t>
      </w:r>
    </w:p>
    <w:p w14:paraId="47540437" w14:textId="490C1CC7" w:rsidR="00685523" w:rsidRPr="001A502D" w:rsidRDefault="00E45564" w:rsidP="00A23F32">
      <w:pPr>
        <w:pStyle w:val="BodyTextIndent"/>
        <w:numPr>
          <w:ilvl w:val="0"/>
          <w:numId w:val="41"/>
        </w:numPr>
        <w:jc w:val="left"/>
        <w:rPr>
          <w:szCs w:val="20"/>
        </w:rPr>
      </w:pPr>
      <w:r w:rsidRPr="004037A8">
        <w:rPr>
          <w:szCs w:val="20"/>
        </w:rPr>
        <w:t>Very Sma</w:t>
      </w:r>
      <w:r w:rsidR="00685523">
        <w:rPr>
          <w:szCs w:val="20"/>
        </w:rPr>
        <w:t xml:space="preserve">ll Quantity Generators (VSQGs): Monthly generation </w:t>
      </w:r>
      <w:r w:rsidR="00685523" w:rsidRPr="00685523">
        <w:rPr>
          <w:szCs w:val="20"/>
        </w:rPr>
        <w:t xml:space="preserve">≤ .11 tons HW and ≤ </w:t>
      </w:r>
      <w:r w:rsidR="00685523">
        <w:rPr>
          <w:szCs w:val="20"/>
        </w:rPr>
        <w:t>0</w:t>
      </w:r>
      <w:r w:rsidR="00685523" w:rsidRPr="00685523">
        <w:rPr>
          <w:szCs w:val="20"/>
        </w:rPr>
        <w:t>.001 acute HW per month</w:t>
      </w:r>
    </w:p>
    <w:p w14:paraId="1CC0CDF2" w14:textId="77777777" w:rsidR="00685523" w:rsidRPr="004037A8" w:rsidRDefault="00E45564" w:rsidP="00A23F32">
      <w:pPr>
        <w:pStyle w:val="BodyTextIndent"/>
        <w:ind w:firstLine="0"/>
        <w:jc w:val="left"/>
        <w:rPr>
          <w:szCs w:val="20"/>
        </w:rPr>
      </w:pPr>
      <w:r w:rsidRPr="004037A8">
        <w:rPr>
          <w:szCs w:val="20"/>
        </w:rPr>
        <w:t>Additionally, the proposed rule is expected to affect both categories of universal waste handlers:</w:t>
      </w:r>
    </w:p>
    <w:p w14:paraId="0FEBF63A" w14:textId="03F6DA95" w:rsidR="00685523" w:rsidRPr="001A502D" w:rsidRDefault="00685523" w:rsidP="00A23F32">
      <w:pPr>
        <w:pStyle w:val="BodyTextIndent"/>
        <w:numPr>
          <w:ilvl w:val="0"/>
          <w:numId w:val="41"/>
        </w:numPr>
        <w:spacing w:after="120"/>
        <w:jc w:val="left"/>
        <w:rPr>
          <w:szCs w:val="20"/>
        </w:rPr>
      </w:pPr>
      <w:r w:rsidRPr="004037A8">
        <w:rPr>
          <w:szCs w:val="20"/>
        </w:rPr>
        <w:t>Large Quantity Handlers (LQHs)</w:t>
      </w:r>
      <w:r>
        <w:rPr>
          <w:szCs w:val="20"/>
        </w:rPr>
        <w:t xml:space="preserve">: Annual generation </w:t>
      </w:r>
      <w:r w:rsidRPr="00685523">
        <w:rPr>
          <w:szCs w:val="20"/>
        </w:rPr>
        <w:t>≥ 5.5 tons UW per year</w:t>
      </w:r>
    </w:p>
    <w:p w14:paraId="7516A68F" w14:textId="612887EC" w:rsidR="00685523" w:rsidRPr="001A502D" w:rsidRDefault="00685523" w:rsidP="00A23F32">
      <w:pPr>
        <w:pStyle w:val="BodyTextIndent"/>
        <w:numPr>
          <w:ilvl w:val="0"/>
          <w:numId w:val="43"/>
        </w:numPr>
        <w:jc w:val="left"/>
        <w:rPr>
          <w:szCs w:val="20"/>
        </w:rPr>
      </w:pPr>
      <w:r>
        <w:rPr>
          <w:szCs w:val="20"/>
        </w:rPr>
        <w:t xml:space="preserve">Small Quantity Handlers (SQHs): Annual generation </w:t>
      </w:r>
      <w:r w:rsidRPr="00685523">
        <w:rPr>
          <w:szCs w:val="20"/>
        </w:rPr>
        <w:t>&lt; 5.5 tons UW per year</w:t>
      </w:r>
    </w:p>
    <w:p w14:paraId="3DAB45F0" w14:textId="5C3F3C0E" w:rsidR="00E45564" w:rsidRPr="00D15828" w:rsidRDefault="00E45564" w:rsidP="00A23F32">
      <w:r>
        <w:t>If facilities generate hazardous and universal wastes, they may be classified as both generators and handlers. Overall, the information collection requirements for hazardous waste generators are more stringent than the requirements for universal waste handlers.</w:t>
      </w:r>
    </w:p>
    <w:p w14:paraId="5CF67FE2" w14:textId="77777777" w:rsidR="00E05801" w:rsidRDefault="00E05801" w:rsidP="00E05801">
      <w:pPr>
        <w:ind w:firstLine="720"/>
        <w:rPr>
          <w:b/>
        </w:rPr>
      </w:pPr>
    </w:p>
    <w:p w14:paraId="7794E128" w14:textId="77777777" w:rsidR="00E05801" w:rsidRPr="0090669D" w:rsidRDefault="00E05801" w:rsidP="00E05801">
      <w:pPr>
        <w:ind w:firstLine="720"/>
        <w:rPr>
          <w:b/>
        </w:rPr>
      </w:pPr>
      <w:r w:rsidRPr="0090669D">
        <w:rPr>
          <w:b/>
        </w:rPr>
        <w:t>4(b)</w:t>
      </w:r>
      <w:r w:rsidRPr="0090669D">
        <w:rPr>
          <w:b/>
        </w:rPr>
        <w:tab/>
        <w:t>Info</w:t>
      </w:r>
      <w:r w:rsidRPr="00AE16F1">
        <w:rPr>
          <w:b/>
        </w:rPr>
        <w:t>rmatio</w:t>
      </w:r>
      <w:r w:rsidRPr="0090669D">
        <w:rPr>
          <w:b/>
        </w:rPr>
        <w:t>n Requested</w:t>
      </w:r>
    </w:p>
    <w:p w14:paraId="258EB67E" w14:textId="77777777" w:rsidR="00E05801" w:rsidRPr="0090669D" w:rsidRDefault="00E05801" w:rsidP="00E05801">
      <w:pPr>
        <w:jc w:val="both"/>
      </w:pPr>
    </w:p>
    <w:p w14:paraId="6EFBB618" w14:textId="2A955359" w:rsidR="00E05801" w:rsidRPr="0090669D" w:rsidRDefault="00E05801" w:rsidP="00E45564">
      <w:pPr>
        <w:ind w:firstLine="720"/>
      </w:pPr>
      <w:r w:rsidRPr="0090669D">
        <w:t xml:space="preserve">This section describes information collection requirements applicable to entities that </w:t>
      </w:r>
      <w:r>
        <w:t>will</w:t>
      </w:r>
      <w:r w:rsidRPr="0090669D">
        <w:t xml:space="preserve"> be affected by the </w:t>
      </w:r>
      <w:r w:rsidR="00C221C2">
        <w:t>proposed</w:t>
      </w:r>
      <w:r>
        <w:t xml:space="preserve"> rule. </w:t>
      </w:r>
      <w:r w:rsidR="00437401">
        <w:t>All of</w:t>
      </w:r>
      <w:r w:rsidRPr="0090669D">
        <w:t xml:space="preserve"> the</w:t>
      </w:r>
      <w:r w:rsidR="00437401">
        <w:t xml:space="preserve"> provisions in </w:t>
      </w:r>
      <w:r w:rsidRPr="0090669D">
        <w:t xml:space="preserve">the </w:t>
      </w:r>
      <w:r w:rsidR="00437401">
        <w:t xml:space="preserve">proposed </w:t>
      </w:r>
      <w:r w:rsidRPr="0090669D">
        <w:t xml:space="preserve">rule are intended to provide greater flexibility to </w:t>
      </w:r>
      <w:r w:rsidR="005834B3">
        <w:t>generators of waste aerosol cans.</w:t>
      </w:r>
      <w:r w:rsidR="00437401">
        <w:t xml:space="preserve"> </w:t>
      </w:r>
    </w:p>
    <w:p w14:paraId="4985AB02" w14:textId="77777777" w:rsidR="00E05801" w:rsidRDefault="00E05801" w:rsidP="00125561">
      <w:pPr>
        <w:pStyle w:val="Default"/>
        <w:rPr>
          <w:rFonts w:ascii="Times New Roman" w:hAnsi="Times New Roman" w:cs="Times New Roman"/>
        </w:rPr>
      </w:pPr>
    </w:p>
    <w:p w14:paraId="27FE41F9" w14:textId="77777777" w:rsidR="00125561" w:rsidRDefault="0063605B" w:rsidP="0063605B">
      <w:pPr>
        <w:pStyle w:val="Default"/>
        <w:ind w:firstLine="720"/>
        <w:rPr>
          <w:rFonts w:ascii="Times New Roman" w:hAnsi="Times New Roman" w:cs="Times New Roman"/>
          <w:b/>
          <w:i/>
        </w:rPr>
      </w:pPr>
      <w:r w:rsidRPr="0063605B">
        <w:rPr>
          <w:rFonts w:ascii="Times New Roman" w:hAnsi="Times New Roman" w:cs="Times New Roman"/>
          <w:b/>
          <w:i/>
        </w:rPr>
        <w:t>Notification</w:t>
      </w:r>
    </w:p>
    <w:p w14:paraId="6035A38E" w14:textId="77777777" w:rsidR="000C1FA6" w:rsidRDefault="000C1FA6" w:rsidP="0063605B">
      <w:pPr>
        <w:pStyle w:val="Default"/>
        <w:ind w:firstLine="720"/>
        <w:rPr>
          <w:rFonts w:ascii="Times New Roman" w:hAnsi="Times New Roman" w:cs="Times New Roman"/>
          <w:b/>
          <w:i/>
        </w:rPr>
      </w:pPr>
    </w:p>
    <w:p w14:paraId="04D05DF9" w14:textId="77777777" w:rsidR="0063605B" w:rsidRDefault="0063605B" w:rsidP="0070551B">
      <w:pPr>
        <w:pStyle w:val="Default"/>
        <w:spacing w:after="120"/>
        <w:ind w:firstLine="720"/>
        <w:rPr>
          <w:rFonts w:ascii="Times New Roman" w:hAnsi="Times New Roman" w:cs="Times New Roman"/>
          <w:b/>
          <w:i/>
        </w:rPr>
      </w:pPr>
      <w:r>
        <w:rPr>
          <w:rFonts w:ascii="Times New Roman" w:hAnsi="Times New Roman" w:cs="Times New Roman"/>
        </w:rPr>
        <w:t xml:space="preserve">Under the proposed rule, </w:t>
      </w:r>
      <w:r w:rsidR="006A2564">
        <w:rPr>
          <w:rFonts w:ascii="Times New Roman" w:hAnsi="Times New Roman" w:cs="Times New Roman"/>
        </w:rPr>
        <w:t xml:space="preserve">large quantity handlers of universal waste must notify EPA of aerosol can universal waste management activities. LQHUWs that have already notified EPA of hazardous waste management activities under RCRA and have received an EPA identification number are not required to re-notify. </w:t>
      </w:r>
      <w:r w:rsidRPr="0063605B">
        <w:rPr>
          <w:rFonts w:ascii="Times New Roman" w:hAnsi="Times New Roman" w:cs="Times New Roman"/>
        </w:rPr>
        <w:t xml:space="preserve">As part of </w:t>
      </w:r>
      <w:r w:rsidR="006A2564">
        <w:rPr>
          <w:rFonts w:ascii="Times New Roman" w:hAnsi="Times New Roman" w:cs="Times New Roman"/>
        </w:rPr>
        <w:t>the</w:t>
      </w:r>
      <w:r w:rsidRPr="0063605B">
        <w:rPr>
          <w:rFonts w:ascii="Times New Roman" w:hAnsi="Times New Roman" w:cs="Times New Roman"/>
        </w:rPr>
        <w:t xml:space="preserve"> notification</w:t>
      </w:r>
      <w:r w:rsidR="006A2564">
        <w:rPr>
          <w:rFonts w:ascii="Times New Roman" w:hAnsi="Times New Roman" w:cs="Times New Roman"/>
        </w:rPr>
        <w:t xml:space="preserve"> process</w:t>
      </w:r>
      <w:r w:rsidRPr="0063605B">
        <w:rPr>
          <w:rFonts w:ascii="Times New Roman" w:hAnsi="Times New Roman" w:cs="Times New Roman"/>
        </w:rPr>
        <w:t xml:space="preserve">, </w:t>
      </w:r>
      <w:r w:rsidR="00AE16F1">
        <w:rPr>
          <w:rFonts w:ascii="Times New Roman" w:hAnsi="Times New Roman" w:cs="Times New Roman"/>
        </w:rPr>
        <w:t>LQHUWs</w:t>
      </w:r>
      <w:r w:rsidR="00AE16F1" w:rsidRPr="0063605B">
        <w:rPr>
          <w:rFonts w:ascii="Times New Roman" w:hAnsi="Times New Roman" w:cs="Times New Roman"/>
        </w:rPr>
        <w:t xml:space="preserve"> </w:t>
      </w:r>
      <w:r w:rsidRPr="0063605B">
        <w:rPr>
          <w:rFonts w:ascii="Times New Roman" w:hAnsi="Times New Roman" w:cs="Times New Roman"/>
        </w:rPr>
        <w:t>will be required to provide the following information to EPA:</w:t>
      </w:r>
    </w:p>
    <w:p w14:paraId="48B1D5B3" w14:textId="77777777" w:rsidR="0063605B" w:rsidRDefault="0063605B" w:rsidP="0063605B">
      <w:pPr>
        <w:pStyle w:val="CM25"/>
        <w:numPr>
          <w:ilvl w:val="0"/>
          <w:numId w:val="36"/>
        </w:numPr>
        <w:tabs>
          <w:tab w:val="left" w:pos="8640"/>
          <w:tab w:val="left" w:pos="8730"/>
        </w:tabs>
        <w:spacing w:after="0"/>
        <w:rPr>
          <w:rFonts w:ascii="Times New Roman" w:hAnsi="Times New Roman" w:cs="Times New Roman"/>
        </w:rPr>
      </w:pPr>
      <w:r w:rsidRPr="0063605B">
        <w:rPr>
          <w:rFonts w:ascii="Times New Roman" w:hAnsi="Times New Roman" w:cs="Times New Roman"/>
        </w:rPr>
        <w:t>The universal waste handler's name and mailing address;</w:t>
      </w:r>
    </w:p>
    <w:p w14:paraId="69600F5D" w14:textId="77777777" w:rsidR="0063605B" w:rsidRDefault="0063605B" w:rsidP="0063605B">
      <w:pPr>
        <w:pStyle w:val="CM25"/>
        <w:numPr>
          <w:ilvl w:val="0"/>
          <w:numId w:val="36"/>
        </w:numPr>
        <w:tabs>
          <w:tab w:val="left" w:pos="8640"/>
          <w:tab w:val="left" w:pos="8730"/>
        </w:tabs>
        <w:spacing w:after="0"/>
        <w:rPr>
          <w:rFonts w:ascii="Times New Roman" w:hAnsi="Times New Roman" w:cs="Times New Roman"/>
        </w:rPr>
      </w:pPr>
      <w:r w:rsidRPr="0063605B">
        <w:rPr>
          <w:rFonts w:ascii="Times New Roman" w:hAnsi="Times New Roman" w:cs="Times New Roman"/>
        </w:rPr>
        <w:t>The name and business telephone number of the person at the universal waste handler's site who should be contacted regarding universal waste management activities;</w:t>
      </w:r>
    </w:p>
    <w:p w14:paraId="253A4CBC" w14:textId="77777777" w:rsidR="0063605B" w:rsidRDefault="0063605B" w:rsidP="0063605B">
      <w:pPr>
        <w:pStyle w:val="CM25"/>
        <w:numPr>
          <w:ilvl w:val="0"/>
          <w:numId w:val="36"/>
        </w:numPr>
        <w:tabs>
          <w:tab w:val="left" w:pos="8640"/>
          <w:tab w:val="left" w:pos="8730"/>
        </w:tabs>
        <w:spacing w:after="0"/>
        <w:rPr>
          <w:rFonts w:ascii="Times New Roman" w:hAnsi="Times New Roman" w:cs="Times New Roman"/>
        </w:rPr>
      </w:pPr>
      <w:r w:rsidRPr="0063605B">
        <w:rPr>
          <w:rFonts w:ascii="Times New Roman" w:hAnsi="Times New Roman" w:cs="Times New Roman"/>
        </w:rPr>
        <w:t>The address or physical location of the universal waste management activities;</w:t>
      </w:r>
    </w:p>
    <w:p w14:paraId="489E9BFE" w14:textId="77777777" w:rsidR="0063605B" w:rsidRDefault="0063605B" w:rsidP="0063605B">
      <w:pPr>
        <w:pStyle w:val="CM25"/>
        <w:numPr>
          <w:ilvl w:val="0"/>
          <w:numId w:val="36"/>
        </w:numPr>
        <w:tabs>
          <w:tab w:val="left" w:pos="8640"/>
          <w:tab w:val="left" w:pos="8730"/>
        </w:tabs>
        <w:spacing w:after="0"/>
        <w:rPr>
          <w:rFonts w:ascii="Times New Roman" w:hAnsi="Times New Roman" w:cs="Times New Roman"/>
        </w:rPr>
      </w:pPr>
      <w:r w:rsidRPr="0063605B">
        <w:rPr>
          <w:rFonts w:ascii="Times New Roman" w:hAnsi="Times New Roman" w:cs="Times New Roman"/>
        </w:rPr>
        <w:t>A list of all the types of universal waste managed by the handler (e.g., batteries, pesticides, mercury-containing equipment, lamps, and aerosol cans); and</w:t>
      </w:r>
    </w:p>
    <w:p w14:paraId="07D334FF" w14:textId="77777777" w:rsidR="0063605B" w:rsidRPr="0063605B" w:rsidRDefault="0063605B" w:rsidP="0063605B">
      <w:pPr>
        <w:pStyle w:val="CM25"/>
        <w:numPr>
          <w:ilvl w:val="0"/>
          <w:numId w:val="36"/>
        </w:numPr>
        <w:tabs>
          <w:tab w:val="left" w:pos="8640"/>
          <w:tab w:val="left" w:pos="8730"/>
        </w:tabs>
        <w:spacing w:after="0"/>
        <w:rPr>
          <w:rFonts w:ascii="Times New Roman" w:hAnsi="Times New Roman" w:cs="Times New Roman"/>
        </w:rPr>
      </w:pPr>
      <w:r w:rsidRPr="0063605B">
        <w:rPr>
          <w:rFonts w:ascii="Times New Roman" w:hAnsi="Times New Roman" w:cs="Times New Roman"/>
        </w:rPr>
        <w:t>A statement indicating that the handler is accumulating more than 5,000 kilograms of universal waste at one time.</w:t>
      </w:r>
    </w:p>
    <w:p w14:paraId="4CA4C652" w14:textId="77777777" w:rsidR="0063605B" w:rsidRDefault="0063605B" w:rsidP="0063605B">
      <w:pPr>
        <w:pStyle w:val="Default"/>
        <w:ind w:firstLine="720"/>
        <w:rPr>
          <w:rFonts w:ascii="Times New Roman" w:hAnsi="Times New Roman" w:cs="Times New Roman"/>
          <w:b/>
          <w:i/>
        </w:rPr>
      </w:pPr>
    </w:p>
    <w:p w14:paraId="68590DA8" w14:textId="77777777" w:rsidR="0063605B" w:rsidRDefault="0063605B" w:rsidP="0063605B">
      <w:pPr>
        <w:pStyle w:val="Default"/>
        <w:ind w:firstLine="720"/>
        <w:rPr>
          <w:rFonts w:ascii="Times New Roman" w:hAnsi="Times New Roman" w:cs="Times New Roman"/>
          <w:b/>
          <w:i/>
          <w:color w:val="auto"/>
        </w:rPr>
      </w:pPr>
      <w:r w:rsidRPr="00C77FCE">
        <w:rPr>
          <w:rFonts w:ascii="Times New Roman" w:hAnsi="Times New Roman" w:cs="Times New Roman"/>
          <w:b/>
          <w:i/>
          <w:color w:val="auto"/>
        </w:rPr>
        <w:t>Rule Familiarization</w:t>
      </w:r>
    </w:p>
    <w:p w14:paraId="3B6DC604" w14:textId="77777777" w:rsidR="000C1FA6" w:rsidRPr="00C77FCE" w:rsidRDefault="000C1FA6" w:rsidP="0063605B">
      <w:pPr>
        <w:pStyle w:val="Default"/>
        <w:ind w:firstLine="720"/>
        <w:rPr>
          <w:rFonts w:ascii="Times New Roman" w:hAnsi="Times New Roman" w:cs="Times New Roman"/>
          <w:b/>
          <w:i/>
          <w:color w:val="auto"/>
        </w:rPr>
      </w:pPr>
    </w:p>
    <w:p w14:paraId="7D525513" w14:textId="0BE55DED" w:rsidR="0063605B" w:rsidRPr="00C77FCE" w:rsidRDefault="00C77FCE" w:rsidP="00C77FCE">
      <w:pPr>
        <w:pStyle w:val="Default"/>
        <w:ind w:firstLine="720"/>
        <w:rPr>
          <w:rFonts w:ascii="Times New Roman" w:hAnsi="Times New Roman" w:cs="Times New Roman"/>
          <w:highlight w:val="yellow"/>
        </w:rPr>
      </w:pPr>
      <w:r>
        <w:rPr>
          <w:rFonts w:ascii="Times New Roman" w:hAnsi="Times New Roman" w:cs="Times New Roman"/>
        </w:rPr>
        <w:t xml:space="preserve">This ICR </w:t>
      </w:r>
      <w:r w:rsidR="000048CC">
        <w:rPr>
          <w:rFonts w:ascii="Times New Roman" w:hAnsi="Times New Roman" w:cs="Times New Roman"/>
        </w:rPr>
        <w:t xml:space="preserve">estimates </w:t>
      </w:r>
      <w:r>
        <w:rPr>
          <w:rFonts w:ascii="Times New Roman" w:hAnsi="Times New Roman" w:cs="Times New Roman"/>
        </w:rPr>
        <w:t>that existing facilities that decide to manage their aerosol cans as universal waste will spend a limited amount of legal, managerial, and technical time reviewing the provisions of the rule.</w:t>
      </w:r>
      <w:r w:rsidR="00EF7444">
        <w:rPr>
          <w:rFonts w:ascii="Times New Roman" w:hAnsi="Times New Roman" w:cs="Times New Roman"/>
        </w:rPr>
        <w:t xml:space="preserve"> This ICR also </w:t>
      </w:r>
      <w:r w:rsidR="000048CC">
        <w:rPr>
          <w:rFonts w:ascii="Times New Roman" w:hAnsi="Times New Roman" w:cs="Times New Roman"/>
        </w:rPr>
        <w:t xml:space="preserve">estimates </w:t>
      </w:r>
      <w:r w:rsidR="00EF7444">
        <w:rPr>
          <w:rFonts w:ascii="Times New Roman" w:hAnsi="Times New Roman" w:cs="Times New Roman"/>
        </w:rPr>
        <w:t>that new facilities will spend a limited amount of labor time reviewing existing universal waste regulations.</w:t>
      </w:r>
    </w:p>
    <w:p w14:paraId="5A96C0FF" w14:textId="77777777" w:rsidR="0063605B" w:rsidRPr="00FC274C" w:rsidRDefault="0063605B" w:rsidP="0063605B">
      <w:pPr>
        <w:pStyle w:val="Default"/>
        <w:ind w:firstLine="720"/>
        <w:rPr>
          <w:rFonts w:ascii="Times New Roman" w:hAnsi="Times New Roman" w:cs="Times New Roman"/>
          <w:b/>
          <w:i/>
          <w:highlight w:val="yellow"/>
        </w:rPr>
      </w:pPr>
    </w:p>
    <w:p w14:paraId="6476E3A8" w14:textId="77777777" w:rsidR="0063605B" w:rsidRDefault="0063605B" w:rsidP="0063605B">
      <w:pPr>
        <w:pStyle w:val="Default"/>
        <w:ind w:firstLine="720"/>
        <w:rPr>
          <w:rFonts w:ascii="Times New Roman" w:hAnsi="Times New Roman" w:cs="Times New Roman"/>
          <w:b/>
          <w:i/>
        </w:rPr>
      </w:pPr>
      <w:r w:rsidRPr="00F858BC">
        <w:rPr>
          <w:rFonts w:ascii="Times New Roman" w:hAnsi="Times New Roman" w:cs="Times New Roman"/>
          <w:b/>
          <w:i/>
        </w:rPr>
        <w:t>Annual Review of Regulations</w:t>
      </w:r>
    </w:p>
    <w:p w14:paraId="400888E3" w14:textId="77777777" w:rsidR="000C1FA6" w:rsidRPr="00F858BC" w:rsidRDefault="000C1FA6" w:rsidP="0063605B">
      <w:pPr>
        <w:pStyle w:val="Default"/>
        <w:ind w:firstLine="720"/>
        <w:rPr>
          <w:rFonts w:ascii="Times New Roman" w:hAnsi="Times New Roman" w:cs="Times New Roman"/>
          <w:b/>
          <w:i/>
        </w:rPr>
      </w:pPr>
    </w:p>
    <w:p w14:paraId="227832AD" w14:textId="7950F52E" w:rsidR="0063605B" w:rsidRPr="00FC274C" w:rsidRDefault="00C77FCE" w:rsidP="0063605B">
      <w:pPr>
        <w:pStyle w:val="Default"/>
        <w:ind w:firstLine="720"/>
        <w:rPr>
          <w:rFonts w:ascii="Times New Roman" w:hAnsi="Times New Roman" w:cs="Times New Roman"/>
          <w:b/>
          <w:i/>
          <w:highlight w:val="yellow"/>
        </w:rPr>
      </w:pPr>
      <w:r>
        <w:rPr>
          <w:rFonts w:ascii="Times New Roman" w:hAnsi="Times New Roman" w:cs="Times New Roman"/>
        </w:rPr>
        <w:t xml:space="preserve">This ICR </w:t>
      </w:r>
      <w:r w:rsidR="000048CC">
        <w:rPr>
          <w:rFonts w:ascii="Times New Roman" w:hAnsi="Times New Roman" w:cs="Times New Roman"/>
        </w:rPr>
        <w:t xml:space="preserve">estimates </w:t>
      </w:r>
      <w:r>
        <w:rPr>
          <w:rFonts w:ascii="Times New Roman" w:hAnsi="Times New Roman" w:cs="Times New Roman"/>
        </w:rPr>
        <w:t xml:space="preserve">that handlers of aerosol can universal waste under the proposed rule conduct an annual review of the regulations. </w:t>
      </w:r>
      <w:r w:rsidRPr="00C77FCE">
        <w:rPr>
          <w:rFonts w:ascii="Times New Roman" w:hAnsi="Times New Roman" w:cs="Times New Roman"/>
        </w:rPr>
        <w:t>This review involves a limited amount of legal, managerial, and technician time</w:t>
      </w:r>
      <w:r>
        <w:rPr>
          <w:rFonts w:ascii="Times New Roman" w:hAnsi="Times New Roman" w:cs="Times New Roman"/>
        </w:rPr>
        <w:t>.</w:t>
      </w:r>
    </w:p>
    <w:p w14:paraId="783CD1E3" w14:textId="77777777" w:rsidR="0063605B" w:rsidRPr="00FC274C" w:rsidRDefault="0063605B" w:rsidP="0063605B">
      <w:pPr>
        <w:pStyle w:val="Default"/>
        <w:ind w:firstLine="720"/>
        <w:rPr>
          <w:rFonts w:ascii="Times New Roman" w:hAnsi="Times New Roman" w:cs="Times New Roman"/>
          <w:b/>
          <w:i/>
          <w:highlight w:val="yellow"/>
        </w:rPr>
      </w:pPr>
    </w:p>
    <w:p w14:paraId="08D9F8F2" w14:textId="77777777" w:rsidR="00BD34BE" w:rsidRDefault="00BD34BE" w:rsidP="0063605B">
      <w:pPr>
        <w:pStyle w:val="Default"/>
        <w:ind w:firstLine="720"/>
        <w:rPr>
          <w:rFonts w:ascii="Times New Roman" w:hAnsi="Times New Roman" w:cs="Times New Roman"/>
          <w:b/>
          <w:i/>
        </w:rPr>
      </w:pPr>
    </w:p>
    <w:p w14:paraId="504CF6C3" w14:textId="77777777" w:rsidR="0063605B" w:rsidRDefault="0063605B" w:rsidP="0063605B">
      <w:pPr>
        <w:pStyle w:val="Default"/>
        <w:ind w:firstLine="720"/>
        <w:rPr>
          <w:rFonts w:ascii="Times New Roman" w:hAnsi="Times New Roman" w:cs="Times New Roman"/>
          <w:b/>
          <w:i/>
        </w:rPr>
      </w:pPr>
      <w:r w:rsidRPr="00F858BC">
        <w:rPr>
          <w:rFonts w:ascii="Times New Roman" w:hAnsi="Times New Roman" w:cs="Times New Roman"/>
          <w:b/>
          <w:i/>
        </w:rPr>
        <w:t>Personnel Safety Training</w:t>
      </w:r>
    </w:p>
    <w:p w14:paraId="33A37613" w14:textId="77777777" w:rsidR="0063605B" w:rsidRDefault="0063605B" w:rsidP="0063605B">
      <w:pPr>
        <w:pStyle w:val="Default"/>
        <w:ind w:firstLine="720"/>
        <w:rPr>
          <w:rFonts w:ascii="Times New Roman" w:hAnsi="Times New Roman" w:cs="Times New Roman"/>
          <w:b/>
          <w:i/>
        </w:rPr>
      </w:pPr>
    </w:p>
    <w:p w14:paraId="20F58B93" w14:textId="77777777" w:rsidR="0063605B" w:rsidRPr="0063605B" w:rsidRDefault="006A2564" w:rsidP="0063605B">
      <w:pPr>
        <w:pStyle w:val="CM25"/>
        <w:tabs>
          <w:tab w:val="left" w:pos="8640"/>
          <w:tab w:val="left" w:pos="8730"/>
        </w:tabs>
        <w:spacing w:after="0"/>
        <w:ind w:firstLine="720"/>
        <w:rPr>
          <w:rFonts w:ascii="Times New Roman" w:hAnsi="Times New Roman" w:cs="Times New Roman"/>
        </w:rPr>
      </w:pPr>
      <w:r>
        <w:rPr>
          <w:rFonts w:ascii="Times New Roman" w:hAnsi="Times New Roman" w:cs="Times New Roman"/>
        </w:rPr>
        <w:t xml:space="preserve">Under the proposed rule, </w:t>
      </w:r>
      <w:r w:rsidR="0063605B" w:rsidRPr="0063605B">
        <w:rPr>
          <w:rFonts w:ascii="Times New Roman" w:hAnsi="Times New Roman" w:cs="Times New Roman"/>
        </w:rPr>
        <w:t>large quantity handler</w:t>
      </w:r>
      <w:r>
        <w:rPr>
          <w:rFonts w:ascii="Times New Roman" w:hAnsi="Times New Roman" w:cs="Times New Roman"/>
        </w:rPr>
        <w:t>s</w:t>
      </w:r>
      <w:r w:rsidR="0063605B" w:rsidRPr="0063605B">
        <w:rPr>
          <w:rFonts w:ascii="Times New Roman" w:hAnsi="Times New Roman" w:cs="Times New Roman"/>
        </w:rPr>
        <w:t xml:space="preserve"> of universal waste must ensure that all employees are thoroughly familiar with proper </w:t>
      </w:r>
      <w:r>
        <w:rPr>
          <w:rFonts w:ascii="Times New Roman" w:hAnsi="Times New Roman" w:cs="Times New Roman"/>
        </w:rPr>
        <w:t xml:space="preserve">aerosol can </w:t>
      </w:r>
      <w:r w:rsidR="0063605B" w:rsidRPr="0063605B">
        <w:rPr>
          <w:rFonts w:ascii="Times New Roman" w:hAnsi="Times New Roman" w:cs="Times New Roman"/>
        </w:rPr>
        <w:t>waste handling and emergency procedures, relative to their responsibilities during normal facility operations and emergencies.</w:t>
      </w:r>
    </w:p>
    <w:p w14:paraId="06F8439F" w14:textId="77777777" w:rsidR="0063605B" w:rsidRDefault="0063605B" w:rsidP="0063605B">
      <w:pPr>
        <w:pStyle w:val="Default"/>
        <w:ind w:firstLine="720"/>
        <w:rPr>
          <w:rFonts w:ascii="Times New Roman" w:hAnsi="Times New Roman" w:cs="Times New Roman"/>
          <w:b/>
          <w:i/>
        </w:rPr>
      </w:pPr>
    </w:p>
    <w:p w14:paraId="7D46ED98" w14:textId="77777777" w:rsidR="0063605B" w:rsidRDefault="0063605B" w:rsidP="0063605B">
      <w:pPr>
        <w:pStyle w:val="Default"/>
        <w:ind w:firstLine="720"/>
        <w:rPr>
          <w:rFonts w:ascii="Times New Roman" w:hAnsi="Times New Roman" w:cs="Times New Roman"/>
          <w:b/>
          <w:i/>
        </w:rPr>
      </w:pPr>
      <w:r>
        <w:rPr>
          <w:rFonts w:ascii="Times New Roman" w:hAnsi="Times New Roman" w:cs="Times New Roman"/>
          <w:b/>
          <w:i/>
        </w:rPr>
        <w:t>Shipping Recordkeeeping</w:t>
      </w:r>
    </w:p>
    <w:p w14:paraId="2515E152" w14:textId="77777777" w:rsidR="0063605B" w:rsidRPr="0063605B" w:rsidRDefault="0063605B" w:rsidP="0063605B">
      <w:pPr>
        <w:pStyle w:val="Default"/>
        <w:ind w:firstLine="720"/>
        <w:rPr>
          <w:rFonts w:ascii="Times New Roman" w:hAnsi="Times New Roman" w:cs="Times New Roman"/>
          <w:b/>
          <w:i/>
        </w:rPr>
      </w:pPr>
    </w:p>
    <w:p w14:paraId="5371DF6E" w14:textId="77777777" w:rsidR="004A09A0" w:rsidRPr="004A09A0" w:rsidRDefault="006A2564" w:rsidP="004A09A0">
      <w:pPr>
        <w:pStyle w:val="Default"/>
        <w:ind w:firstLine="720"/>
        <w:rPr>
          <w:rFonts w:ascii="Times New Roman" w:hAnsi="Times New Roman" w:cs="Times New Roman"/>
        </w:rPr>
      </w:pPr>
      <w:r>
        <w:rPr>
          <w:rFonts w:ascii="Times New Roman" w:hAnsi="Times New Roman" w:cs="Times New Roman"/>
        </w:rPr>
        <w:t>The proposed rule requires l</w:t>
      </w:r>
      <w:r w:rsidR="004A09A0" w:rsidRPr="004A09A0">
        <w:rPr>
          <w:rFonts w:ascii="Times New Roman" w:hAnsi="Times New Roman" w:cs="Times New Roman"/>
        </w:rPr>
        <w:t>arge quantity handler</w:t>
      </w:r>
      <w:r w:rsidR="004A09A0">
        <w:rPr>
          <w:rFonts w:ascii="Times New Roman" w:hAnsi="Times New Roman" w:cs="Times New Roman"/>
        </w:rPr>
        <w:t>s</w:t>
      </w:r>
      <w:r w:rsidR="004A09A0" w:rsidRPr="004A09A0">
        <w:rPr>
          <w:rFonts w:ascii="Times New Roman" w:hAnsi="Times New Roman" w:cs="Times New Roman"/>
        </w:rPr>
        <w:t xml:space="preserve"> of </w:t>
      </w:r>
      <w:r>
        <w:rPr>
          <w:rFonts w:ascii="Times New Roman" w:hAnsi="Times New Roman" w:cs="Times New Roman"/>
        </w:rPr>
        <w:t xml:space="preserve">aerosol can </w:t>
      </w:r>
      <w:r w:rsidR="004A09A0" w:rsidRPr="004A09A0">
        <w:rPr>
          <w:rFonts w:ascii="Times New Roman" w:hAnsi="Times New Roman" w:cs="Times New Roman"/>
        </w:rPr>
        <w:t xml:space="preserve">universal waste </w:t>
      </w:r>
      <w:r>
        <w:rPr>
          <w:rFonts w:ascii="Times New Roman" w:hAnsi="Times New Roman" w:cs="Times New Roman"/>
        </w:rPr>
        <w:t>to</w:t>
      </w:r>
      <w:r w:rsidR="004A09A0" w:rsidRPr="004A09A0">
        <w:rPr>
          <w:rFonts w:ascii="Times New Roman" w:hAnsi="Times New Roman" w:cs="Times New Roman"/>
        </w:rPr>
        <w:t xml:space="preserve"> keep a record of each shipment of universal waste </w:t>
      </w:r>
      <w:r>
        <w:rPr>
          <w:rFonts w:ascii="Times New Roman" w:hAnsi="Times New Roman" w:cs="Times New Roman"/>
        </w:rPr>
        <w:t>sent and received by</w:t>
      </w:r>
      <w:r w:rsidR="004A09A0" w:rsidRPr="004A09A0">
        <w:rPr>
          <w:rFonts w:ascii="Times New Roman" w:hAnsi="Times New Roman" w:cs="Times New Roman"/>
        </w:rPr>
        <w:t xml:space="preserve"> the facility. The record may take the form of a log, invoice, manifest, bill of lading, or other shipping document. </w:t>
      </w:r>
      <w:r>
        <w:rPr>
          <w:rFonts w:ascii="Times New Roman" w:hAnsi="Times New Roman" w:cs="Times New Roman"/>
        </w:rPr>
        <w:t>Large quantity handlers must r</w:t>
      </w:r>
      <w:r w:rsidRPr="004A09A0">
        <w:rPr>
          <w:rFonts w:ascii="Times New Roman" w:hAnsi="Times New Roman" w:cs="Times New Roman"/>
        </w:rPr>
        <w:t xml:space="preserve">etain the records for </w:t>
      </w:r>
      <w:r>
        <w:rPr>
          <w:rFonts w:ascii="Times New Roman" w:hAnsi="Times New Roman" w:cs="Times New Roman"/>
        </w:rPr>
        <w:t xml:space="preserve">all shipments for </w:t>
      </w:r>
      <w:r w:rsidRPr="004A09A0">
        <w:rPr>
          <w:rFonts w:ascii="Times New Roman" w:hAnsi="Times New Roman" w:cs="Times New Roman"/>
        </w:rPr>
        <w:t>at least three years.</w:t>
      </w:r>
      <w:r>
        <w:rPr>
          <w:rFonts w:ascii="Times New Roman" w:hAnsi="Times New Roman" w:cs="Times New Roman"/>
        </w:rPr>
        <w:t xml:space="preserve"> </w:t>
      </w:r>
      <w:r w:rsidR="004A09A0" w:rsidRPr="004A09A0">
        <w:rPr>
          <w:rFonts w:ascii="Times New Roman" w:hAnsi="Times New Roman" w:cs="Times New Roman"/>
        </w:rPr>
        <w:t>The record for each shipment of universal waste must include the following information:</w:t>
      </w:r>
    </w:p>
    <w:p w14:paraId="5295543B" w14:textId="77777777" w:rsidR="004A09A0" w:rsidRDefault="004A09A0" w:rsidP="004A09A0">
      <w:pPr>
        <w:pStyle w:val="Default"/>
        <w:numPr>
          <w:ilvl w:val="0"/>
          <w:numId w:val="37"/>
        </w:numPr>
        <w:rPr>
          <w:rFonts w:ascii="Times New Roman" w:hAnsi="Times New Roman" w:cs="Times New Roman"/>
        </w:rPr>
      </w:pPr>
      <w:r w:rsidRPr="004A09A0">
        <w:rPr>
          <w:rFonts w:ascii="Times New Roman" w:hAnsi="Times New Roman" w:cs="Times New Roman"/>
        </w:rPr>
        <w:t xml:space="preserve">The name and address of the </w:t>
      </w:r>
      <w:r w:rsidR="006A2564">
        <w:rPr>
          <w:rFonts w:ascii="Times New Roman" w:hAnsi="Times New Roman" w:cs="Times New Roman"/>
        </w:rPr>
        <w:t>originating or destination facility</w:t>
      </w:r>
      <w:r w:rsidRPr="004A09A0">
        <w:rPr>
          <w:rFonts w:ascii="Times New Roman" w:hAnsi="Times New Roman" w:cs="Times New Roman"/>
        </w:rPr>
        <w:t>;</w:t>
      </w:r>
    </w:p>
    <w:p w14:paraId="45CD2A09" w14:textId="77777777" w:rsidR="004A09A0" w:rsidRDefault="004A09A0" w:rsidP="004A09A0">
      <w:pPr>
        <w:pStyle w:val="Default"/>
        <w:numPr>
          <w:ilvl w:val="0"/>
          <w:numId w:val="37"/>
        </w:numPr>
        <w:rPr>
          <w:rFonts w:ascii="Times New Roman" w:hAnsi="Times New Roman" w:cs="Times New Roman"/>
        </w:rPr>
      </w:pPr>
      <w:r w:rsidRPr="004A09A0">
        <w:rPr>
          <w:rFonts w:ascii="Times New Roman" w:hAnsi="Times New Roman" w:cs="Times New Roman"/>
        </w:rPr>
        <w:t>The quantity of each type of universal waste</w:t>
      </w:r>
      <w:r w:rsidR="006A2564">
        <w:rPr>
          <w:rFonts w:ascii="Times New Roman" w:hAnsi="Times New Roman" w:cs="Times New Roman"/>
        </w:rPr>
        <w:t xml:space="preserve"> sent or</w:t>
      </w:r>
      <w:r w:rsidRPr="004A09A0">
        <w:rPr>
          <w:rFonts w:ascii="Times New Roman" w:hAnsi="Times New Roman" w:cs="Times New Roman"/>
        </w:rPr>
        <w:t xml:space="preserve"> received (e.g., batteries, pesticides, thermostats</w:t>
      </w:r>
      <w:r w:rsidR="006A2564">
        <w:rPr>
          <w:rFonts w:ascii="Times New Roman" w:hAnsi="Times New Roman" w:cs="Times New Roman"/>
        </w:rPr>
        <w:t>, aerosol cans</w:t>
      </w:r>
      <w:r w:rsidRPr="004A09A0">
        <w:rPr>
          <w:rFonts w:ascii="Times New Roman" w:hAnsi="Times New Roman" w:cs="Times New Roman"/>
        </w:rPr>
        <w:t>);</w:t>
      </w:r>
    </w:p>
    <w:p w14:paraId="6AD26380" w14:textId="77777777" w:rsidR="004A09A0" w:rsidRPr="004A09A0" w:rsidRDefault="006A2564" w:rsidP="004A09A0">
      <w:pPr>
        <w:pStyle w:val="Default"/>
        <w:numPr>
          <w:ilvl w:val="0"/>
          <w:numId w:val="37"/>
        </w:numPr>
        <w:rPr>
          <w:rFonts w:ascii="Times New Roman" w:hAnsi="Times New Roman" w:cs="Times New Roman"/>
        </w:rPr>
      </w:pPr>
      <w:r>
        <w:rPr>
          <w:rFonts w:ascii="Times New Roman" w:hAnsi="Times New Roman" w:cs="Times New Roman"/>
        </w:rPr>
        <w:t xml:space="preserve">The date </w:t>
      </w:r>
      <w:r w:rsidR="004A09A0" w:rsidRPr="004A09A0">
        <w:rPr>
          <w:rFonts w:ascii="Times New Roman" w:hAnsi="Times New Roman" w:cs="Times New Roman"/>
        </w:rPr>
        <w:t>the shipment of universal waste</w:t>
      </w:r>
      <w:r>
        <w:rPr>
          <w:rFonts w:ascii="Times New Roman" w:hAnsi="Times New Roman" w:cs="Times New Roman"/>
        </w:rPr>
        <w:t xml:space="preserve"> was sent or received</w:t>
      </w:r>
      <w:r w:rsidR="004A09A0" w:rsidRPr="004A09A0">
        <w:rPr>
          <w:rFonts w:ascii="Times New Roman" w:hAnsi="Times New Roman" w:cs="Times New Roman"/>
        </w:rPr>
        <w:t>.</w:t>
      </w:r>
    </w:p>
    <w:p w14:paraId="2440033D" w14:textId="77777777" w:rsidR="004A09A0" w:rsidRPr="004A09A0" w:rsidRDefault="004A09A0" w:rsidP="004A09A0">
      <w:pPr>
        <w:pStyle w:val="Default"/>
        <w:ind w:firstLine="720"/>
        <w:rPr>
          <w:rFonts w:ascii="Times New Roman" w:hAnsi="Times New Roman" w:cs="Times New Roman"/>
        </w:rPr>
      </w:pPr>
    </w:p>
    <w:p w14:paraId="2D64E4BC" w14:textId="77777777" w:rsidR="00E05801" w:rsidRPr="0090669D" w:rsidRDefault="00E05801" w:rsidP="00550AEF">
      <w:pPr>
        <w:rPr>
          <w:b/>
          <w:bCs/>
        </w:rPr>
      </w:pPr>
      <w:r w:rsidRPr="0090669D">
        <w:rPr>
          <w:b/>
          <w:bCs/>
        </w:rPr>
        <w:t>5.</w:t>
      </w:r>
      <w:r w:rsidRPr="0090669D">
        <w:rPr>
          <w:b/>
          <w:bCs/>
        </w:rPr>
        <w:tab/>
        <w:t>THE INFORMATION C</w:t>
      </w:r>
      <w:r w:rsidRPr="00AE16F1">
        <w:rPr>
          <w:b/>
          <w:bCs/>
        </w:rPr>
        <w:t>OLLECT</w:t>
      </w:r>
      <w:r w:rsidRPr="0090669D">
        <w:rPr>
          <w:b/>
          <w:bCs/>
        </w:rPr>
        <w:t>ED—AGENCY ACTIVITIES, COLLECTION METHODOLOGY, AND INFORMATION MANAGEMENT</w:t>
      </w:r>
    </w:p>
    <w:p w14:paraId="12A7D51E" w14:textId="77777777" w:rsidR="00E05801" w:rsidRPr="0090669D" w:rsidRDefault="00E05801" w:rsidP="00E05801">
      <w:pPr>
        <w:pStyle w:val="CM25"/>
        <w:spacing w:after="0"/>
        <w:rPr>
          <w:rFonts w:ascii="Times New Roman" w:hAnsi="Times New Roman" w:cs="Times New Roman"/>
          <w:b/>
          <w:bCs/>
        </w:rPr>
      </w:pPr>
    </w:p>
    <w:p w14:paraId="4BA7AB0D" w14:textId="77777777" w:rsidR="00E05801" w:rsidRPr="0090669D" w:rsidRDefault="00E05801" w:rsidP="00E05801">
      <w:pPr>
        <w:pStyle w:val="CM25"/>
        <w:spacing w:after="0"/>
        <w:ind w:firstLine="720"/>
        <w:rPr>
          <w:rFonts w:ascii="Times New Roman" w:hAnsi="Times New Roman" w:cs="Times New Roman"/>
          <w:b/>
          <w:bCs/>
        </w:rPr>
      </w:pPr>
      <w:r w:rsidRPr="0090669D">
        <w:rPr>
          <w:rFonts w:ascii="Times New Roman" w:hAnsi="Times New Roman" w:cs="Times New Roman"/>
          <w:b/>
          <w:bCs/>
        </w:rPr>
        <w:t>5(a)</w:t>
      </w:r>
      <w:r w:rsidRPr="0090669D">
        <w:rPr>
          <w:rFonts w:ascii="Times New Roman" w:hAnsi="Times New Roman" w:cs="Times New Roman"/>
          <w:b/>
          <w:bCs/>
        </w:rPr>
        <w:tab/>
        <w:t xml:space="preserve">Agency Activities </w:t>
      </w:r>
    </w:p>
    <w:p w14:paraId="7A59F2AD" w14:textId="77777777" w:rsidR="00E05801" w:rsidRPr="0090669D" w:rsidRDefault="00E05801" w:rsidP="00E05801">
      <w:pPr>
        <w:pStyle w:val="Default"/>
        <w:ind w:firstLine="720"/>
        <w:rPr>
          <w:rFonts w:ascii="Times New Roman" w:hAnsi="Times New Roman" w:cs="Times New Roman"/>
          <w:b/>
          <w:i/>
        </w:rPr>
      </w:pPr>
    </w:p>
    <w:p w14:paraId="67BFD8B2" w14:textId="77777777" w:rsidR="00ED29BA" w:rsidRDefault="00ED29BA" w:rsidP="00777B48">
      <w:pPr>
        <w:pStyle w:val="Default"/>
        <w:ind w:firstLine="720"/>
        <w:rPr>
          <w:rFonts w:ascii="Times New Roman" w:hAnsi="Times New Roman" w:cs="Times New Roman"/>
        </w:rPr>
      </w:pPr>
      <w:r w:rsidRPr="00ED29BA">
        <w:rPr>
          <w:rFonts w:ascii="Times New Roman" w:hAnsi="Times New Roman" w:cs="Times New Roman"/>
        </w:rPr>
        <w:t xml:space="preserve">Most of the information that is required of handlers </w:t>
      </w:r>
      <w:r>
        <w:rPr>
          <w:rFonts w:ascii="Times New Roman" w:hAnsi="Times New Roman" w:cs="Times New Roman"/>
        </w:rPr>
        <w:t xml:space="preserve">of aerosol can universal waste </w:t>
      </w:r>
      <w:r w:rsidRPr="00ED29BA">
        <w:rPr>
          <w:rFonts w:ascii="Times New Roman" w:hAnsi="Times New Roman" w:cs="Times New Roman"/>
        </w:rPr>
        <w:t>would be kept on site and not</w:t>
      </w:r>
      <w:r>
        <w:rPr>
          <w:rFonts w:ascii="Times New Roman" w:hAnsi="Times New Roman" w:cs="Times New Roman"/>
        </w:rPr>
        <w:t xml:space="preserve"> </w:t>
      </w:r>
      <w:r w:rsidRPr="00ED29BA">
        <w:rPr>
          <w:rFonts w:ascii="Times New Roman" w:hAnsi="Times New Roman" w:cs="Times New Roman"/>
        </w:rPr>
        <w:t xml:space="preserve">submitted to EPA formally. The Agency will conduct the following activities in response to </w:t>
      </w:r>
      <w:r w:rsidR="00E72351">
        <w:rPr>
          <w:rFonts w:ascii="Times New Roman" w:hAnsi="Times New Roman" w:cs="Times New Roman"/>
        </w:rPr>
        <w:t>notification of universal waste management activity by LQHs</w:t>
      </w:r>
      <w:r w:rsidRPr="00ED29BA">
        <w:rPr>
          <w:rFonts w:ascii="Times New Roman" w:hAnsi="Times New Roman" w:cs="Times New Roman"/>
        </w:rPr>
        <w:t>:</w:t>
      </w:r>
    </w:p>
    <w:p w14:paraId="45E91CA0" w14:textId="77777777" w:rsidR="00ED29BA" w:rsidRDefault="00ED29BA" w:rsidP="00ED29BA">
      <w:pPr>
        <w:pStyle w:val="Default"/>
        <w:numPr>
          <w:ilvl w:val="0"/>
          <w:numId w:val="35"/>
        </w:numPr>
        <w:rPr>
          <w:rFonts w:ascii="Times New Roman" w:hAnsi="Times New Roman" w:cs="Times New Roman"/>
        </w:rPr>
      </w:pPr>
      <w:r w:rsidRPr="00ED29BA">
        <w:rPr>
          <w:rFonts w:ascii="Times New Roman" w:hAnsi="Times New Roman" w:cs="Times New Roman"/>
        </w:rPr>
        <w:t>Review and file notification of universal waste</w:t>
      </w:r>
      <w:r w:rsidR="00777B48">
        <w:rPr>
          <w:rFonts w:ascii="Times New Roman" w:hAnsi="Times New Roman" w:cs="Times New Roman"/>
        </w:rPr>
        <w:t xml:space="preserve"> aerosol can</w:t>
      </w:r>
      <w:r w:rsidRPr="00ED29BA">
        <w:rPr>
          <w:rFonts w:ascii="Times New Roman" w:hAnsi="Times New Roman" w:cs="Times New Roman"/>
        </w:rPr>
        <w:t xml:space="preserve"> management provided by large quantity handlers;</w:t>
      </w:r>
    </w:p>
    <w:p w14:paraId="1AFBF88C" w14:textId="77777777" w:rsidR="00ED29BA" w:rsidRDefault="00ED29BA" w:rsidP="00ED29BA">
      <w:pPr>
        <w:pStyle w:val="Default"/>
        <w:numPr>
          <w:ilvl w:val="0"/>
          <w:numId w:val="35"/>
        </w:numPr>
        <w:rPr>
          <w:rFonts w:ascii="Times New Roman" w:hAnsi="Times New Roman" w:cs="Times New Roman"/>
        </w:rPr>
      </w:pPr>
      <w:r w:rsidRPr="00ED29BA">
        <w:rPr>
          <w:rFonts w:ascii="Times New Roman" w:hAnsi="Times New Roman" w:cs="Times New Roman"/>
        </w:rPr>
        <w:t>Send an EPA identification number to large quantity handlers; and</w:t>
      </w:r>
    </w:p>
    <w:p w14:paraId="4F7AE534" w14:textId="77777777" w:rsidR="00E05801" w:rsidRDefault="00ED29BA" w:rsidP="00ED29BA">
      <w:pPr>
        <w:pStyle w:val="Default"/>
        <w:numPr>
          <w:ilvl w:val="0"/>
          <w:numId w:val="35"/>
        </w:numPr>
        <w:rPr>
          <w:rFonts w:ascii="Times New Roman" w:hAnsi="Times New Roman" w:cs="Times New Roman"/>
        </w:rPr>
      </w:pPr>
      <w:r w:rsidRPr="00ED29BA">
        <w:rPr>
          <w:rFonts w:ascii="Times New Roman" w:hAnsi="Times New Roman" w:cs="Times New Roman"/>
        </w:rPr>
        <w:t>Enter notification information into a database.</w:t>
      </w:r>
    </w:p>
    <w:p w14:paraId="38B7EDA2" w14:textId="77777777" w:rsidR="00ED29BA" w:rsidRPr="0090669D" w:rsidRDefault="00ED29BA" w:rsidP="00ED29BA">
      <w:pPr>
        <w:pStyle w:val="Default"/>
        <w:rPr>
          <w:rFonts w:ascii="Times New Roman" w:hAnsi="Times New Roman" w:cs="Times New Roman"/>
        </w:rPr>
      </w:pPr>
    </w:p>
    <w:p w14:paraId="03242F5B" w14:textId="77777777" w:rsidR="00E05801" w:rsidRDefault="00E05801" w:rsidP="00E05801">
      <w:pPr>
        <w:pStyle w:val="Default"/>
        <w:ind w:firstLine="720"/>
        <w:rPr>
          <w:rFonts w:ascii="Times New Roman" w:hAnsi="Times New Roman" w:cs="Times New Roman"/>
          <w:b/>
          <w:bCs/>
        </w:rPr>
      </w:pPr>
      <w:r w:rsidRPr="0090669D">
        <w:rPr>
          <w:rFonts w:ascii="Times New Roman" w:hAnsi="Times New Roman" w:cs="Times New Roman"/>
          <w:b/>
          <w:bCs/>
        </w:rPr>
        <w:t>5(b)</w:t>
      </w:r>
      <w:r w:rsidRPr="0090669D">
        <w:rPr>
          <w:rFonts w:ascii="Times New Roman" w:hAnsi="Times New Roman" w:cs="Times New Roman"/>
          <w:b/>
          <w:bCs/>
        </w:rPr>
        <w:tab/>
      </w:r>
      <w:r>
        <w:rPr>
          <w:rFonts w:ascii="Times New Roman" w:hAnsi="Times New Roman" w:cs="Times New Roman"/>
          <w:b/>
          <w:bCs/>
        </w:rPr>
        <w:t>Collection Methodology and Management</w:t>
      </w:r>
    </w:p>
    <w:p w14:paraId="1E395ED2" w14:textId="77777777" w:rsidR="00E05801" w:rsidRDefault="00E05801" w:rsidP="00E05801">
      <w:pPr>
        <w:pStyle w:val="Default"/>
        <w:ind w:firstLine="720"/>
        <w:rPr>
          <w:rFonts w:ascii="Times New Roman" w:hAnsi="Times New Roman" w:cs="Times New Roman"/>
          <w:b/>
          <w:bCs/>
        </w:rPr>
      </w:pPr>
    </w:p>
    <w:p w14:paraId="19F770F1" w14:textId="77777777" w:rsidR="00E05801" w:rsidRDefault="00E05801" w:rsidP="00E05801">
      <w:pPr>
        <w:pStyle w:val="Default"/>
        <w:ind w:firstLine="720"/>
        <w:rPr>
          <w:rFonts w:ascii="Times New Roman" w:hAnsi="Times New Roman" w:cs="Times New Roman"/>
        </w:rPr>
      </w:pPr>
      <w:r w:rsidRPr="008C5460">
        <w:rPr>
          <w:rFonts w:ascii="Times New Roman" w:hAnsi="Times New Roman" w:cs="Times New Roman"/>
        </w:rPr>
        <w:t xml:space="preserve">In collecting and analyzing the information required by the </w:t>
      </w:r>
      <w:r w:rsidR="000E4866">
        <w:rPr>
          <w:rFonts w:ascii="Times New Roman" w:hAnsi="Times New Roman" w:cs="Times New Roman"/>
        </w:rPr>
        <w:t>proposed aerosol can universal waste</w:t>
      </w:r>
      <w:r w:rsidRPr="008C5460">
        <w:rPr>
          <w:rFonts w:ascii="Times New Roman" w:hAnsi="Times New Roman" w:cs="Times New Roman"/>
        </w:rPr>
        <w:t xml:space="preserve"> rule, the Agency will rely upon hard copy forms, electronic submissions, and applicable database software, where appropriate</w:t>
      </w:r>
      <w:r w:rsidR="000E4866">
        <w:rPr>
          <w:rFonts w:ascii="Times New Roman" w:hAnsi="Times New Roman" w:cs="Times New Roman"/>
        </w:rPr>
        <w:t>.</w:t>
      </w:r>
    </w:p>
    <w:p w14:paraId="44B47F14" w14:textId="77777777" w:rsidR="00035828" w:rsidRDefault="00035828" w:rsidP="00E05801">
      <w:pPr>
        <w:pStyle w:val="Default"/>
        <w:ind w:firstLine="720"/>
        <w:rPr>
          <w:rFonts w:ascii="Times New Roman" w:hAnsi="Times New Roman" w:cs="Times New Roman"/>
        </w:rPr>
      </w:pPr>
    </w:p>
    <w:p w14:paraId="5B7BFE93" w14:textId="77777777" w:rsidR="00E05801" w:rsidRPr="0090669D" w:rsidRDefault="00E05801" w:rsidP="00E05801">
      <w:pPr>
        <w:pStyle w:val="Default"/>
        <w:ind w:firstLine="720"/>
        <w:rPr>
          <w:rFonts w:ascii="Times New Roman" w:hAnsi="Times New Roman" w:cs="Times New Roman"/>
          <w:b/>
          <w:bCs/>
        </w:rPr>
      </w:pPr>
      <w:r>
        <w:rPr>
          <w:rFonts w:ascii="Times New Roman" w:hAnsi="Times New Roman" w:cs="Times New Roman"/>
          <w:b/>
          <w:bCs/>
        </w:rPr>
        <w:t>5(c)</w:t>
      </w:r>
      <w:r>
        <w:rPr>
          <w:rFonts w:ascii="Times New Roman" w:hAnsi="Times New Roman" w:cs="Times New Roman"/>
          <w:b/>
          <w:bCs/>
        </w:rPr>
        <w:tab/>
        <w:t>S</w:t>
      </w:r>
      <w:r w:rsidRPr="0090669D">
        <w:rPr>
          <w:rFonts w:ascii="Times New Roman" w:hAnsi="Times New Roman" w:cs="Times New Roman"/>
          <w:b/>
          <w:bCs/>
        </w:rPr>
        <w:t>mall Entity Flexibility</w:t>
      </w:r>
    </w:p>
    <w:p w14:paraId="3EE24537" w14:textId="77777777" w:rsidR="00E05801" w:rsidRPr="0090669D" w:rsidRDefault="00E05801" w:rsidP="00E05801">
      <w:pPr>
        <w:pStyle w:val="Default"/>
        <w:ind w:firstLine="720"/>
        <w:rPr>
          <w:rFonts w:ascii="Times New Roman" w:hAnsi="Times New Roman" w:cs="Times New Roman"/>
          <w:b/>
          <w:bCs/>
        </w:rPr>
      </w:pPr>
    </w:p>
    <w:p w14:paraId="09861378" w14:textId="77777777" w:rsidR="00615835" w:rsidRDefault="00E05801" w:rsidP="004D3D2B">
      <w:pPr>
        <w:pStyle w:val="Default"/>
        <w:ind w:firstLine="720"/>
        <w:rPr>
          <w:rFonts w:ascii="Times New Roman" w:hAnsi="Times New Roman" w:cs="Times New Roman"/>
        </w:rPr>
      </w:pPr>
      <w:r w:rsidRPr="0090669D">
        <w:rPr>
          <w:rFonts w:ascii="Times New Roman" w:hAnsi="Times New Roman" w:cs="Times New Roman"/>
        </w:rPr>
        <w:t>Some respondents will be small organizations</w:t>
      </w:r>
      <w:r>
        <w:rPr>
          <w:rFonts w:ascii="Times New Roman" w:hAnsi="Times New Roman" w:cs="Times New Roman"/>
        </w:rPr>
        <w:t xml:space="preserve">. </w:t>
      </w:r>
      <w:r w:rsidR="004D3D2B">
        <w:rPr>
          <w:rFonts w:ascii="Times New Roman" w:hAnsi="Times New Roman" w:cs="Times New Roman"/>
        </w:rPr>
        <w:t>However, a</w:t>
      </w:r>
      <w:r w:rsidR="004D3D2B" w:rsidRPr="004D3D2B">
        <w:rPr>
          <w:rFonts w:ascii="Times New Roman" w:hAnsi="Times New Roman" w:cs="Times New Roman"/>
        </w:rPr>
        <w:t xml:space="preserve">ll of the provisions in the proposed rule are intended to provide greater flexibility to </w:t>
      </w:r>
      <w:r w:rsidR="004D3D2B">
        <w:rPr>
          <w:rFonts w:ascii="Times New Roman" w:hAnsi="Times New Roman" w:cs="Times New Roman"/>
        </w:rPr>
        <w:t>facilit</w:t>
      </w:r>
      <w:r w:rsidR="004D3D2B" w:rsidRPr="004D3D2B">
        <w:rPr>
          <w:rFonts w:ascii="Times New Roman" w:hAnsi="Times New Roman" w:cs="Times New Roman"/>
        </w:rPr>
        <w:t xml:space="preserve">ies involved in </w:t>
      </w:r>
      <w:r w:rsidR="004D3D2B">
        <w:rPr>
          <w:rFonts w:ascii="Times New Roman" w:hAnsi="Times New Roman" w:cs="Times New Roman"/>
        </w:rPr>
        <w:t>aerosol can m</w:t>
      </w:r>
      <w:r w:rsidR="004D3D2B" w:rsidRPr="004D3D2B">
        <w:rPr>
          <w:rFonts w:ascii="Times New Roman" w:hAnsi="Times New Roman" w:cs="Times New Roman"/>
        </w:rPr>
        <w:t>anagement.</w:t>
      </w:r>
      <w:r w:rsidR="004D3D2B">
        <w:rPr>
          <w:rFonts w:ascii="Times New Roman" w:hAnsi="Times New Roman" w:cs="Times New Roman"/>
        </w:rPr>
        <w:t xml:space="preserve"> Some facilities that are currently SQGs may become LQHUWs or SQHUWs.</w:t>
      </w:r>
      <w:r w:rsidR="004D3D2B" w:rsidRPr="004D3D2B">
        <w:t xml:space="preserve"> </w:t>
      </w:r>
      <w:r w:rsidR="004D3D2B" w:rsidRPr="004D3D2B">
        <w:rPr>
          <w:rFonts w:ascii="Times New Roman" w:hAnsi="Times New Roman" w:cs="Times New Roman"/>
        </w:rPr>
        <w:t>Regulatory requirements for handlers of universal waste are considerably simpler than those applicable to small quantity generators</w:t>
      </w:r>
      <w:r w:rsidR="004D3D2B">
        <w:rPr>
          <w:rFonts w:ascii="Times New Roman" w:hAnsi="Times New Roman" w:cs="Times New Roman"/>
        </w:rPr>
        <w:t xml:space="preserve"> </w:t>
      </w:r>
      <w:r w:rsidR="004D3D2B" w:rsidRPr="004D3D2B">
        <w:rPr>
          <w:rFonts w:ascii="Times New Roman" w:hAnsi="Times New Roman" w:cs="Times New Roman"/>
        </w:rPr>
        <w:t>of hazardous waste.</w:t>
      </w:r>
    </w:p>
    <w:p w14:paraId="77A596D1" w14:textId="77777777" w:rsidR="004D3D2B" w:rsidRDefault="004D3D2B" w:rsidP="00E05801">
      <w:pPr>
        <w:pStyle w:val="Default"/>
        <w:ind w:firstLine="720"/>
        <w:rPr>
          <w:rFonts w:ascii="Times New Roman" w:hAnsi="Times New Roman" w:cs="Times New Roman"/>
        </w:rPr>
      </w:pPr>
    </w:p>
    <w:p w14:paraId="2697C0EB" w14:textId="77777777" w:rsidR="00615835" w:rsidRDefault="004D3D2B" w:rsidP="00E05801">
      <w:pPr>
        <w:pStyle w:val="Default"/>
        <w:ind w:firstLine="720"/>
        <w:rPr>
          <w:rFonts w:ascii="Times New Roman" w:hAnsi="Times New Roman" w:cs="Times New Roman"/>
        </w:rPr>
      </w:pPr>
      <w:r>
        <w:rPr>
          <w:rFonts w:ascii="Times New Roman" w:hAnsi="Times New Roman" w:cs="Times New Roman"/>
        </w:rPr>
        <w:t xml:space="preserve">Additionally, </w:t>
      </w:r>
      <w:r w:rsidR="00615835" w:rsidRPr="00615835">
        <w:rPr>
          <w:rFonts w:ascii="Times New Roman" w:hAnsi="Times New Roman" w:cs="Times New Roman"/>
        </w:rPr>
        <w:t>EPA exempted SQHUWs from several administrative requirements</w:t>
      </w:r>
      <w:r>
        <w:rPr>
          <w:rFonts w:ascii="Times New Roman" w:hAnsi="Times New Roman" w:cs="Times New Roman"/>
        </w:rPr>
        <w:t xml:space="preserve"> applicable to LQHUWs</w:t>
      </w:r>
      <w:r w:rsidR="00615835" w:rsidRPr="00615835">
        <w:rPr>
          <w:rFonts w:ascii="Times New Roman" w:hAnsi="Times New Roman" w:cs="Times New Roman"/>
        </w:rPr>
        <w:t>. For example, EPA does not require SQHUWs of universal wastes to submit notification</w:t>
      </w:r>
      <w:r w:rsidR="00615835">
        <w:rPr>
          <w:rFonts w:ascii="Times New Roman" w:hAnsi="Times New Roman" w:cs="Times New Roman"/>
        </w:rPr>
        <w:t>s of universal waste management</w:t>
      </w:r>
      <w:r w:rsidR="00615835" w:rsidRPr="00615835">
        <w:rPr>
          <w:rFonts w:ascii="Times New Roman" w:hAnsi="Times New Roman" w:cs="Times New Roman"/>
        </w:rPr>
        <w:t xml:space="preserve"> or to obtain an EPA identification number. EPA also does not require SQHUWs of </w:t>
      </w:r>
      <w:r w:rsidR="00615835">
        <w:rPr>
          <w:rFonts w:ascii="Times New Roman" w:hAnsi="Times New Roman" w:cs="Times New Roman"/>
        </w:rPr>
        <w:t>aerosol can</w:t>
      </w:r>
      <w:r w:rsidR="00615835" w:rsidRPr="00615835">
        <w:rPr>
          <w:rFonts w:ascii="Times New Roman" w:hAnsi="Times New Roman" w:cs="Times New Roman"/>
        </w:rPr>
        <w:t xml:space="preserve"> wastes to keep records of their universal waste shipments. EPA believes these exemptions </w:t>
      </w:r>
      <w:r w:rsidR="00615835">
        <w:rPr>
          <w:rFonts w:ascii="Times New Roman" w:hAnsi="Times New Roman" w:cs="Times New Roman"/>
        </w:rPr>
        <w:t xml:space="preserve">would </w:t>
      </w:r>
      <w:r w:rsidR="00615835" w:rsidRPr="00615835">
        <w:rPr>
          <w:rFonts w:ascii="Times New Roman" w:hAnsi="Times New Roman" w:cs="Times New Roman"/>
        </w:rPr>
        <w:t xml:space="preserve">encourage small businesses to safely manage </w:t>
      </w:r>
      <w:r w:rsidR="00615835">
        <w:rPr>
          <w:rFonts w:ascii="Times New Roman" w:hAnsi="Times New Roman" w:cs="Times New Roman"/>
        </w:rPr>
        <w:t>aerosol can</w:t>
      </w:r>
      <w:r w:rsidR="00615835" w:rsidRPr="00615835">
        <w:rPr>
          <w:rFonts w:ascii="Times New Roman" w:hAnsi="Times New Roman" w:cs="Times New Roman"/>
        </w:rPr>
        <w:t xml:space="preserve"> wastes in compliance with </w:t>
      </w:r>
      <w:r w:rsidR="00615835">
        <w:rPr>
          <w:rFonts w:ascii="Times New Roman" w:hAnsi="Times New Roman" w:cs="Times New Roman"/>
        </w:rPr>
        <w:t>the regulation</w:t>
      </w:r>
      <w:r w:rsidR="00615835" w:rsidRPr="00615835">
        <w:rPr>
          <w:rFonts w:ascii="Times New Roman" w:hAnsi="Times New Roman" w:cs="Times New Roman"/>
        </w:rPr>
        <w:t>.</w:t>
      </w:r>
    </w:p>
    <w:p w14:paraId="26D0CDEA" w14:textId="77777777" w:rsidR="00615835" w:rsidRDefault="00615835" w:rsidP="00E05801">
      <w:pPr>
        <w:pStyle w:val="Default"/>
        <w:ind w:firstLine="720"/>
        <w:rPr>
          <w:rFonts w:ascii="Times New Roman" w:hAnsi="Times New Roman" w:cs="Times New Roman"/>
        </w:rPr>
      </w:pPr>
    </w:p>
    <w:p w14:paraId="33785BFB" w14:textId="77777777" w:rsidR="00615835" w:rsidRDefault="00615835" w:rsidP="00615835">
      <w:pPr>
        <w:pStyle w:val="Default"/>
        <w:ind w:firstLine="720"/>
        <w:rPr>
          <w:rFonts w:ascii="Times New Roman" w:hAnsi="Times New Roman" w:cs="Times New Roman"/>
        </w:rPr>
      </w:pPr>
      <w:r w:rsidRPr="00615835">
        <w:rPr>
          <w:rFonts w:ascii="Times New Roman" w:hAnsi="Times New Roman" w:cs="Times New Roman"/>
        </w:rPr>
        <w:t xml:space="preserve">Finally, the </w:t>
      </w:r>
      <w:r>
        <w:rPr>
          <w:rFonts w:ascii="Times New Roman" w:hAnsi="Times New Roman" w:cs="Times New Roman"/>
        </w:rPr>
        <w:t xml:space="preserve">aerosol can </w:t>
      </w:r>
      <w:r w:rsidRPr="00615835">
        <w:rPr>
          <w:rFonts w:ascii="Times New Roman" w:hAnsi="Times New Roman" w:cs="Times New Roman"/>
        </w:rPr>
        <w:t>universal waste rule is a regulatory relief initiative that should reduce regulatory</w:t>
      </w:r>
      <w:r>
        <w:rPr>
          <w:rFonts w:ascii="Times New Roman" w:hAnsi="Times New Roman" w:cs="Times New Roman"/>
        </w:rPr>
        <w:t xml:space="preserve"> </w:t>
      </w:r>
      <w:r w:rsidRPr="00615835">
        <w:rPr>
          <w:rFonts w:ascii="Times New Roman" w:hAnsi="Times New Roman" w:cs="Times New Roman"/>
        </w:rPr>
        <w:t>burden and costs for universal waste handlers, but should particularly benefit small entities.</w:t>
      </w:r>
    </w:p>
    <w:p w14:paraId="2B6D7B16" w14:textId="77777777" w:rsidR="00E05801" w:rsidRDefault="00E05801" w:rsidP="00E05801">
      <w:pPr>
        <w:pStyle w:val="Default"/>
        <w:ind w:firstLine="720"/>
        <w:rPr>
          <w:rFonts w:ascii="Times New Roman" w:hAnsi="Times New Roman" w:cs="Times New Roman"/>
        </w:rPr>
      </w:pPr>
    </w:p>
    <w:p w14:paraId="2217B8BC" w14:textId="77777777" w:rsidR="00E05801" w:rsidRPr="0090669D" w:rsidRDefault="00E05801" w:rsidP="00E05801">
      <w:pPr>
        <w:pStyle w:val="Default"/>
        <w:ind w:firstLine="720"/>
        <w:rPr>
          <w:rFonts w:ascii="Times New Roman" w:hAnsi="Times New Roman" w:cs="Times New Roman"/>
          <w:b/>
          <w:bCs/>
        </w:rPr>
      </w:pPr>
      <w:r>
        <w:rPr>
          <w:rFonts w:ascii="Times New Roman" w:hAnsi="Times New Roman" w:cs="Times New Roman"/>
          <w:b/>
          <w:bCs/>
        </w:rPr>
        <w:t xml:space="preserve">5(d)  </w:t>
      </w:r>
      <w:r>
        <w:rPr>
          <w:rFonts w:ascii="Times New Roman" w:hAnsi="Times New Roman" w:cs="Times New Roman"/>
          <w:b/>
          <w:bCs/>
        </w:rPr>
        <w:tab/>
        <w:t>Collection Schedule</w:t>
      </w:r>
    </w:p>
    <w:p w14:paraId="0316D18D" w14:textId="77777777" w:rsidR="00E05801" w:rsidRDefault="00E05801" w:rsidP="00E05801">
      <w:pPr>
        <w:pStyle w:val="Default"/>
        <w:ind w:firstLine="720"/>
        <w:rPr>
          <w:rFonts w:ascii="Times New Roman" w:hAnsi="Times New Roman" w:cs="Times New Roman"/>
        </w:rPr>
      </w:pPr>
    </w:p>
    <w:p w14:paraId="1D71CC1E" w14:textId="77777777" w:rsidR="00E05801" w:rsidRDefault="0050405E" w:rsidP="0050405E">
      <w:pPr>
        <w:ind w:firstLine="720"/>
        <w:jc w:val="both"/>
        <w:rPr>
          <w:color w:val="000000"/>
        </w:rPr>
      </w:pPr>
      <w:r w:rsidRPr="0050405E">
        <w:rPr>
          <w:color w:val="000000"/>
        </w:rPr>
        <w:t xml:space="preserve">EPA </w:t>
      </w:r>
      <w:r w:rsidR="006735A5">
        <w:rPr>
          <w:color w:val="000000"/>
        </w:rPr>
        <w:t>will collect</w:t>
      </w:r>
      <w:r w:rsidRPr="0050405E">
        <w:rPr>
          <w:color w:val="000000"/>
        </w:rPr>
        <w:t xml:space="preserve"> information under </w:t>
      </w:r>
      <w:r w:rsidR="006735A5">
        <w:rPr>
          <w:color w:val="000000"/>
        </w:rPr>
        <w:t xml:space="preserve">the proposed rule </w:t>
      </w:r>
      <w:r w:rsidRPr="0050405E">
        <w:rPr>
          <w:color w:val="000000"/>
        </w:rPr>
        <w:t xml:space="preserve">on a one-time or as-needed basis. EPA </w:t>
      </w:r>
      <w:r w:rsidR="006735A5">
        <w:rPr>
          <w:color w:val="000000"/>
        </w:rPr>
        <w:t>will</w:t>
      </w:r>
      <w:r w:rsidRPr="0050405E">
        <w:rPr>
          <w:color w:val="000000"/>
        </w:rPr>
        <w:t xml:space="preserve"> not collect any information on a regular schedule.</w:t>
      </w:r>
    </w:p>
    <w:p w14:paraId="31B04FBA" w14:textId="77777777" w:rsidR="0050405E" w:rsidRPr="0090669D" w:rsidRDefault="0050405E" w:rsidP="00E05801">
      <w:pPr>
        <w:jc w:val="both"/>
      </w:pPr>
    </w:p>
    <w:p w14:paraId="2124E094" w14:textId="77777777" w:rsidR="00E05801" w:rsidRPr="0090669D" w:rsidRDefault="00E05801" w:rsidP="00550AEF">
      <w:pPr>
        <w:rPr>
          <w:b/>
          <w:bCs/>
        </w:rPr>
      </w:pPr>
      <w:r w:rsidRPr="0090669D">
        <w:rPr>
          <w:b/>
          <w:bCs/>
        </w:rPr>
        <w:t>6.</w:t>
      </w:r>
      <w:r w:rsidRPr="0090669D">
        <w:rPr>
          <w:b/>
          <w:bCs/>
        </w:rPr>
        <w:tab/>
        <w:t>ESTIMATING THE HOUR AND</w:t>
      </w:r>
      <w:r>
        <w:rPr>
          <w:b/>
          <w:bCs/>
        </w:rPr>
        <w:t xml:space="preserve"> COST BURDEN OF THE COLLECTION</w:t>
      </w:r>
    </w:p>
    <w:p w14:paraId="1EC86390" w14:textId="77777777" w:rsidR="00E05801" w:rsidRPr="0090669D" w:rsidRDefault="00E05801" w:rsidP="00E05801">
      <w:pPr>
        <w:ind w:left="720"/>
        <w:rPr>
          <w:b/>
        </w:rPr>
      </w:pPr>
    </w:p>
    <w:p w14:paraId="08A03DF8" w14:textId="77777777" w:rsidR="00E05801" w:rsidRDefault="00125561" w:rsidP="00E05801">
      <w:pPr>
        <w:ind w:firstLine="720"/>
      </w:pPr>
      <w:r>
        <w:t>The RIA for the proposed rule estimates costs as a range</w:t>
      </w:r>
      <w:r w:rsidRPr="00921DED">
        <w:t xml:space="preserve"> </w:t>
      </w:r>
      <w:r>
        <w:t>t</w:t>
      </w:r>
      <w:r w:rsidR="00E05801" w:rsidRPr="00921DED">
        <w:t xml:space="preserve">o address uncertainties regarding </w:t>
      </w:r>
      <w:r w:rsidR="00E05801" w:rsidRPr="00D2512D">
        <w:t xml:space="preserve">several </w:t>
      </w:r>
      <w:r>
        <w:t>unit cost</w:t>
      </w:r>
      <w:r w:rsidR="00E05801">
        <w:t xml:space="preserve"> inputs</w:t>
      </w:r>
      <w:r w:rsidR="00E05801" w:rsidRPr="00D2512D">
        <w:t xml:space="preserve"> </w:t>
      </w:r>
      <w:r w:rsidR="00E05801">
        <w:t xml:space="preserve">for </w:t>
      </w:r>
      <w:r>
        <w:t>the</w:t>
      </w:r>
      <w:r w:rsidR="00E05801">
        <w:t xml:space="preserve"> analysis. This ICR </w:t>
      </w:r>
      <w:r w:rsidR="002F2A05">
        <w:t>uses</w:t>
      </w:r>
      <w:r w:rsidR="00E05801">
        <w:t xml:space="preserve"> the high-end estimates for these </w:t>
      </w:r>
      <w:r w:rsidR="002F2A05">
        <w:t>inputs</w:t>
      </w:r>
      <w:r w:rsidR="00E05801">
        <w:t>.</w:t>
      </w:r>
      <w:r w:rsidR="00E05801">
        <w:rPr>
          <w:rStyle w:val="FootnoteReference"/>
        </w:rPr>
        <w:footnoteReference w:id="2"/>
      </w:r>
    </w:p>
    <w:p w14:paraId="0675FE7B" w14:textId="77777777" w:rsidR="00E05801" w:rsidRDefault="00E05801" w:rsidP="00E05801">
      <w:pPr>
        <w:ind w:firstLine="720"/>
      </w:pPr>
    </w:p>
    <w:p w14:paraId="77B06EAD" w14:textId="77777777" w:rsidR="00E05801" w:rsidRPr="0090669D" w:rsidRDefault="00E05801" w:rsidP="00E05801">
      <w:pPr>
        <w:ind w:firstLine="720"/>
        <w:rPr>
          <w:b/>
        </w:rPr>
      </w:pPr>
      <w:r w:rsidRPr="0090669D">
        <w:rPr>
          <w:b/>
        </w:rPr>
        <w:t>6(a)</w:t>
      </w:r>
      <w:r w:rsidRPr="0090669D">
        <w:rPr>
          <w:b/>
        </w:rPr>
        <w:tab/>
        <w:t>Estimating Respondent Burden</w:t>
      </w:r>
    </w:p>
    <w:p w14:paraId="4692D351" w14:textId="77777777" w:rsidR="00E05801" w:rsidRPr="0090669D" w:rsidRDefault="00E05801" w:rsidP="00E05801">
      <w:pPr>
        <w:ind w:left="720"/>
        <w:rPr>
          <w:b/>
        </w:rPr>
      </w:pPr>
    </w:p>
    <w:p w14:paraId="09C196A2" w14:textId="73B64136" w:rsidR="00266A6B" w:rsidRDefault="00266A6B" w:rsidP="00E05801">
      <w:pPr>
        <w:ind w:firstLine="720"/>
      </w:pPr>
      <w:r w:rsidRPr="0070551B">
        <w:t>Exhibit 1</w:t>
      </w:r>
      <w:r w:rsidR="004F193F">
        <w:t>, on page 16,</w:t>
      </w:r>
      <w:r w:rsidR="00E05801" w:rsidRPr="0070551B">
        <w:t xml:space="preserve"> summarizes the </w:t>
      </w:r>
      <w:r w:rsidR="003A6C67" w:rsidRPr="0070551B">
        <w:t xml:space="preserve">change to </w:t>
      </w:r>
      <w:r w:rsidR="00E05801" w:rsidRPr="0070551B">
        <w:t xml:space="preserve">respondent burden associated with the new paperwork requirements in the </w:t>
      </w:r>
      <w:r w:rsidR="008B0BB5" w:rsidRPr="0070551B">
        <w:t>proposed</w:t>
      </w:r>
      <w:r w:rsidR="00E05801" w:rsidRPr="0070551B">
        <w:t xml:space="preserve"> rule. </w:t>
      </w:r>
      <w:r w:rsidR="00416471">
        <w:t xml:space="preserve">While </w:t>
      </w:r>
      <w:r w:rsidR="003A6C67" w:rsidRPr="0070551B">
        <w:t>EPA expects that the proposed rule</w:t>
      </w:r>
      <w:r w:rsidR="00035C85">
        <w:t>, if finalized,</w:t>
      </w:r>
      <w:r w:rsidR="003A6C67" w:rsidRPr="0070551B">
        <w:t xml:space="preserve"> will result in a</w:t>
      </w:r>
      <w:r w:rsidR="008B0BB5" w:rsidRPr="0070551B">
        <w:t>n</w:t>
      </w:r>
      <w:r w:rsidR="003A6C67" w:rsidRPr="0070551B">
        <w:t xml:space="preserve"> </w:t>
      </w:r>
      <w:r w:rsidR="008B0BB5" w:rsidRPr="0070551B">
        <w:t xml:space="preserve">overall </w:t>
      </w:r>
      <w:r w:rsidR="003A6C67" w:rsidRPr="0070551B">
        <w:t>reduction in burden to generators</w:t>
      </w:r>
      <w:r w:rsidR="00416471">
        <w:t xml:space="preserve">, EPA expects the proposed rule to increase the burden associated with compliance with </w:t>
      </w:r>
      <w:r w:rsidR="00134D4F">
        <w:t>universal waste</w:t>
      </w:r>
      <w:r w:rsidR="00416471">
        <w:t xml:space="preserve"> </w:t>
      </w:r>
      <w:r w:rsidR="00134D4F">
        <w:t xml:space="preserve">information collection </w:t>
      </w:r>
      <w:r w:rsidR="00416471">
        <w:t>requirements</w:t>
      </w:r>
      <w:r w:rsidR="00035C85">
        <w:t xml:space="preserve"> for a subsection of generators</w:t>
      </w:r>
      <w:r w:rsidR="00416471">
        <w:t xml:space="preserve">. </w:t>
      </w:r>
      <w:r w:rsidR="00E05801" w:rsidRPr="0070551B">
        <w:t xml:space="preserve">As shown in the exhibit, </w:t>
      </w:r>
      <w:r w:rsidR="003A6C67" w:rsidRPr="0070551B">
        <w:t xml:space="preserve">the expected </w:t>
      </w:r>
      <w:r w:rsidR="00416471">
        <w:t>increase</w:t>
      </w:r>
      <w:r w:rsidR="00416471" w:rsidRPr="0070551B">
        <w:t xml:space="preserve"> </w:t>
      </w:r>
      <w:r w:rsidR="003A6C67" w:rsidRPr="0070551B">
        <w:t xml:space="preserve">in burden for </w:t>
      </w:r>
      <w:r w:rsidR="003C3611">
        <w:t>handlers</w:t>
      </w:r>
      <w:r w:rsidR="003C3611" w:rsidRPr="0070551B">
        <w:t xml:space="preserve"> </w:t>
      </w:r>
      <w:r w:rsidR="003A6C67" w:rsidRPr="0070551B">
        <w:t xml:space="preserve">of </w:t>
      </w:r>
      <w:r w:rsidR="00416471">
        <w:t>universal</w:t>
      </w:r>
      <w:r w:rsidR="00416471" w:rsidRPr="0070551B">
        <w:t xml:space="preserve"> </w:t>
      </w:r>
      <w:r w:rsidR="003A6C67" w:rsidRPr="0070551B">
        <w:t xml:space="preserve">waste </w:t>
      </w:r>
      <w:r w:rsidR="00416471">
        <w:t xml:space="preserve">aerosol cans </w:t>
      </w:r>
      <w:r w:rsidR="003A6C67" w:rsidRPr="0070551B">
        <w:t xml:space="preserve">is a total of </w:t>
      </w:r>
      <w:r w:rsidR="001356C9">
        <w:t>5,</w:t>
      </w:r>
      <w:r w:rsidR="00B220B2">
        <w:t>973</w:t>
      </w:r>
      <w:r w:rsidR="003A6C67" w:rsidRPr="0070551B">
        <w:t xml:space="preserve"> hours </w:t>
      </w:r>
      <w:r w:rsidR="008B0BB5" w:rsidRPr="0070551B">
        <w:t xml:space="preserve">annually </w:t>
      </w:r>
      <w:r w:rsidR="003A6C67" w:rsidRPr="0070551B">
        <w:t xml:space="preserve">under the provisions of the proposed rule. </w:t>
      </w:r>
      <w:r w:rsidR="00E05801" w:rsidRPr="0070551B">
        <w:t xml:space="preserve">Thus, the </w:t>
      </w:r>
      <w:r w:rsidR="00011413">
        <w:t>total</w:t>
      </w:r>
      <w:r w:rsidR="00E05801" w:rsidRPr="0070551B">
        <w:t xml:space="preserve"> number of </w:t>
      </w:r>
      <w:r w:rsidR="00416471">
        <w:t xml:space="preserve">burden </w:t>
      </w:r>
      <w:r w:rsidR="00E05801" w:rsidRPr="0070551B">
        <w:t xml:space="preserve">hours during the first three years is estimated to be approximately </w:t>
      </w:r>
      <w:r w:rsidR="001356C9">
        <w:t>17,</w:t>
      </w:r>
      <w:r w:rsidR="00B220B2">
        <w:t>919</w:t>
      </w:r>
      <w:r w:rsidR="00E05801" w:rsidRPr="0070551B">
        <w:t xml:space="preserve"> hours</w:t>
      </w:r>
      <w:r w:rsidR="00035C85">
        <w:rPr>
          <w:rStyle w:val="FootnoteReference"/>
        </w:rPr>
        <w:footnoteReference w:id="3"/>
      </w:r>
      <w:r w:rsidR="00E05801" w:rsidRPr="0070551B">
        <w:t>.</w:t>
      </w:r>
      <w:r w:rsidR="00E05801">
        <w:t xml:space="preserve"> </w:t>
      </w:r>
    </w:p>
    <w:p w14:paraId="62BC6DE9" w14:textId="77777777" w:rsidR="00266A6B" w:rsidRDefault="00266A6B" w:rsidP="00E05801">
      <w:pPr>
        <w:ind w:firstLine="720"/>
      </w:pPr>
    </w:p>
    <w:p w14:paraId="71D17229" w14:textId="4CEA4CA1" w:rsidR="00E05801" w:rsidRPr="0090669D" w:rsidRDefault="00E05801" w:rsidP="00E05801">
      <w:pPr>
        <w:ind w:firstLine="720"/>
      </w:pPr>
      <w:r>
        <w:t xml:space="preserve">The expected annual </w:t>
      </w:r>
      <w:r w:rsidR="00416471">
        <w:t xml:space="preserve">increase </w:t>
      </w:r>
      <w:r w:rsidR="0024408D">
        <w:t>in respondent burden reflect</w:t>
      </w:r>
      <w:r w:rsidR="00932702">
        <w:t>s</w:t>
      </w:r>
      <w:r>
        <w:t xml:space="preserve"> </w:t>
      </w:r>
      <w:r w:rsidR="00416471">
        <w:t xml:space="preserve">costs </w:t>
      </w:r>
      <w:r w:rsidR="00FE372F">
        <w:t xml:space="preserve">within </w:t>
      </w:r>
      <w:r w:rsidR="00300E01">
        <w:t>three</w:t>
      </w:r>
      <w:r>
        <w:t xml:space="preserve"> </w:t>
      </w:r>
      <w:r w:rsidR="00300E01">
        <w:t>broad categories</w:t>
      </w:r>
      <w:r>
        <w:t xml:space="preserve">: (a) </w:t>
      </w:r>
      <w:r w:rsidR="00300E01">
        <w:t xml:space="preserve">one-time costs associated with new facilities that enter the universe </w:t>
      </w:r>
      <w:r w:rsidR="00AE16F1">
        <w:t xml:space="preserve">of affected facilities </w:t>
      </w:r>
      <w:r w:rsidR="00300E01">
        <w:t>each year</w:t>
      </w:r>
      <w:r>
        <w:t xml:space="preserve">, (b) </w:t>
      </w:r>
      <w:r w:rsidR="00300E01">
        <w:t>fixed</w:t>
      </w:r>
      <w:r>
        <w:t xml:space="preserve"> annual costs that </w:t>
      </w:r>
      <w:r w:rsidR="00300E01">
        <w:t>remain relatively constant from year to year</w:t>
      </w:r>
      <w:r>
        <w:t xml:space="preserve">, </w:t>
      </w:r>
      <w:r w:rsidR="00300E01">
        <w:t xml:space="preserve">and </w:t>
      </w:r>
      <w:r>
        <w:t xml:space="preserve">(c) </w:t>
      </w:r>
      <w:r w:rsidR="00300E01">
        <w:t xml:space="preserve">variable costs that occur throughout the year and vary by the number of </w:t>
      </w:r>
      <w:r w:rsidR="00601E2A">
        <w:t xml:space="preserve">universal </w:t>
      </w:r>
      <w:r w:rsidR="00300E01">
        <w:t>waste shipments made by each facility</w:t>
      </w:r>
      <w:r>
        <w:t xml:space="preserve">. </w:t>
      </w:r>
    </w:p>
    <w:p w14:paraId="706E0971" w14:textId="77777777" w:rsidR="000015A5" w:rsidRPr="0090669D" w:rsidRDefault="000015A5" w:rsidP="00E05801">
      <w:pPr>
        <w:ind w:left="720"/>
        <w:rPr>
          <w:b/>
        </w:rPr>
      </w:pPr>
    </w:p>
    <w:p w14:paraId="2D3004C0" w14:textId="77777777" w:rsidR="00BD34BE" w:rsidRDefault="00BD34BE" w:rsidP="00E05801">
      <w:pPr>
        <w:ind w:left="720"/>
        <w:rPr>
          <w:b/>
        </w:rPr>
      </w:pPr>
    </w:p>
    <w:p w14:paraId="54A9A935" w14:textId="77777777" w:rsidR="00E05801" w:rsidRPr="0090669D" w:rsidRDefault="00E05801" w:rsidP="00E05801">
      <w:pPr>
        <w:ind w:left="720"/>
        <w:rPr>
          <w:b/>
        </w:rPr>
      </w:pPr>
      <w:r w:rsidRPr="0090669D">
        <w:rPr>
          <w:b/>
        </w:rPr>
        <w:t>6(b)</w:t>
      </w:r>
      <w:r w:rsidRPr="0090669D">
        <w:rPr>
          <w:b/>
        </w:rPr>
        <w:tab/>
        <w:t>Estimating Respondent Costs</w:t>
      </w:r>
    </w:p>
    <w:p w14:paraId="0BCD26BB" w14:textId="77777777" w:rsidR="00E05801" w:rsidRPr="0090669D" w:rsidRDefault="00E05801" w:rsidP="00E05801">
      <w:pPr>
        <w:ind w:left="720"/>
        <w:rPr>
          <w:b/>
        </w:rPr>
      </w:pPr>
    </w:p>
    <w:p w14:paraId="58538A8E" w14:textId="4BFCEECD" w:rsidR="00E05801" w:rsidRDefault="00035C85" w:rsidP="00E05801">
      <w:pPr>
        <w:ind w:firstLine="720"/>
        <w:rPr>
          <w:bCs/>
        </w:rPr>
      </w:pPr>
      <w:r>
        <w:rPr>
          <w:bCs/>
        </w:rPr>
        <w:t xml:space="preserve">On page 16, </w:t>
      </w:r>
      <w:r w:rsidR="00E05801">
        <w:rPr>
          <w:bCs/>
        </w:rPr>
        <w:t xml:space="preserve">Exhibit </w:t>
      </w:r>
      <w:r w:rsidR="00266A6B">
        <w:rPr>
          <w:bCs/>
        </w:rPr>
        <w:t>1</w:t>
      </w:r>
      <w:r w:rsidR="00E05801">
        <w:rPr>
          <w:bCs/>
        </w:rPr>
        <w:t xml:space="preserve"> also summari</w:t>
      </w:r>
      <w:r w:rsidR="00266A6B">
        <w:rPr>
          <w:bCs/>
        </w:rPr>
        <w:t>z</w:t>
      </w:r>
      <w:r w:rsidR="00E05801">
        <w:rPr>
          <w:bCs/>
        </w:rPr>
        <w:t>es the total cost</w:t>
      </w:r>
      <w:r w:rsidR="00410C20">
        <w:rPr>
          <w:bCs/>
        </w:rPr>
        <w:t>s</w:t>
      </w:r>
      <w:r w:rsidR="00E05801">
        <w:rPr>
          <w:bCs/>
        </w:rPr>
        <w:t xml:space="preserve"> </w:t>
      </w:r>
      <w:r w:rsidR="00266A6B">
        <w:rPr>
          <w:bCs/>
        </w:rPr>
        <w:t xml:space="preserve">for </w:t>
      </w:r>
      <w:r w:rsidR="00E05801" w:rsidRPr="0090669D">
        <w:rPr>
          <w:bCs/>
        </w:rPr>
        <w:t>information collection activities associated</w:t>
      </w:r>
      <w:r w:rsidR="00E05801">
        <w:rPr>
          <w:bCs/>
        </w:rPr>
        <w:t xml:space="preserve"> with the </w:t>
      </w:r>
      <w:r w:rsidR="00ED37B7">
        <w:rPr>
          <w:bCs/>
        </w:rPr>
        <w:t>proposed</w:t>
      </w:r>
      <w:r w:rsidR="00E05801">
        <w:rPr>
          <w:bCs/>
        </w:rPr>
        <w:t xml:space="preserve"> rule by </w:t>
      </w:r>
      <w:r w:rsidR="00E05801" w:rsidRPr="0090669D">
        <w:rPr>
          <w:bCs/>
        </w:rPr>
        <w:t xml:space="preserve">respondent generator </w:t>
      </w:r>
      <w:r w:rsidR="00266A6B">
        <w:rPr>
          <w:bCs/>
        </w:rPr>
        <w:t xml:space="preserve">and handler </w:t>
      </w:r>
      <w:r w:rsidR="00E05801" w:rsidRPr="0090669D">
        <w:rPr>
          <w:bCs/>
        </w:rPr>
        <w:t>status</w:t>
      </w:r>
      <w:r w:rsidR="00266A6B">
        <w:rPr>
          <w:bCs/>
        </w:rPr>
        <w:t xml:space="preserve"> before and after the proposed rule</w:t>
      </w:r>
      <w:r w:rsidR="00E05801">
        <w:rPr>
          <w:bCs/>
        </w:rPr>
        <w:t xml:space="preserve">. Additional </w:t>
      </w:r>
      <w:r w:rsidR="00E05801" w:rsidRPr="0070551B">
        <w:rPr>
          <w:bCs/>
        </w:rPr>
        <w:t>detailed information on the cost</w:t>
      </w:r>
      <w:r w:rsidR="00266A6B" w:rsidRPr="0070551B">
        <w:rPr>
          <w:bCs/>
        </w:rPr>
        <w:t xml:space="preserve">s </w:t>
      </w:r>
      <w:r w:rsidR="00E05801" w:rsidRPr="0070551B">
        <w:rPr>
          <w:bCs/>
        </w:rPr>
        <w:t>of each rule provision by generator</w:t>
      </w:r>
      <w:r w:rsidR="00085F6A" w:rsidRPr="0070551B">
        <w:rPr>
          <w:bCs/>
        </w:rPr>
        <w:t xml:space="preserve"> and handler</w:t>
      </w:r>
      <w:r w:rsidR="00E05801" w:rsidRPr="0070551B">
        <w:rPr>
          <w:bCs/>
        </w:rPr>
        <w:t xml:space="preserve"> status is provided in Exhibits </w:t>
      </w:r>
      <w:r w:rsidR="00266A6B" w:rsidRPr="0070551B">
        <w:rPr>
          <w:bCs/>
        </w:rPr>
        <w:t>3</w:t>
      </w:r>
      <w:r w:rsidR="00E05801" w:rsidRPr="0070551B">
        <w:rPr>
          <w:bCs/>
        </w:rPr>
        <w:t>A-</w:t>
      </w:r>
      <w:r w:rsidR="000E269B" w:rsidRPr="0070551B">
        <w:rPr>
          <w:bCs/>
        </w:rPr>
        <w:t>E</w:t>
      </w:r>
      <w:r>
        <w:rPr>
          <w:bCs/>
        </w:rPr>
        <w:t>, located on pages 18-22</w:t>
      </w:r>
      <w:r w:rsidR="00E05801" w:rsidRPr="0070551B">
        <w:rPr>
          <w:bCs/>
        </w:rPr>
        <w:t xml:space="preserve">. </w:t>
      </w:r>
      <w:r w:rsidR="00266A6B" w:rsidRPr="0070551B">
        <w:rPr>
          <w:bCs/>
        </w:rPr>
        <w:t>T</w:t>
      </w:r>
      <w:r w:rsidR="00E05801" w:rsidRPr="0070551B">
        <w:rPr>
          <w:bCs/>
        </w:rPr>
        <w:t>hese cost estimates reflect the cost</w:t>
      </w:r>
      <w:r w:rsidR="00410C20">
        <w:rPr>
          <w:bCs/>
        </w:rPr>
        <w:t>s</w:t>
      </w:r>
      <w:r w:rsidR="00E05801" w:rsidRPr="0070551B">
        <w:rPr>
          <w:bCs/>
        </w:rPr>
        <w:t xml:space="preserve"> of labor as well as operations and maintenance (O&amp;M) costs</w:t>
      </w:r>
      <w:r w:rsidR="00266A6B" w:rsidRPr="0070551B">
        <w:rPr>
          <w:bCs/>
        </w:rPr>
        <w:t xml:space="preserve"> where applicable</w:t>
      </w:r>
      <w:r w:rsidR="00E05801" w:rsidRPr="0070551B">
        <w:rPr>
          <w:bCs/>
        </w:rPr>
        <w:t xml:space="preserve">. As shown in Exhibit </w:t>
      </w:r>
      <w:r w:rsidR="00266A6B" w:rsidRPr="0070551B">
        <w:rPr>
          <w:bCs/>
        </w:rPr>
        <w:t>1</w:t>
      </w:r>
      <w:r w:rsidR="00E05801" w:rsidRPr="0070551B">
        <w:rPr>
          <w:bCs/>
        </w:rPr>
        <w:t xml:space="preserve">, </w:t>
      </w:r>
      <w:r w:rsidR="008730A1">
        <w:rPr>
          <w:bCs/>
        </w:rPr>
        <w:t>which only reflects an increase in labor burden,</w:t>
      </w:r>
      <w:r w:rsidR="008730A1" w:rsidRPr="0070551B">
        <w:rPr>
          <w:bCs/>
        </w:rPr>
        <w:t xml:space="preserve"> </w:t>
      </w:r>
      <w:r w:rsidR="00E05801" w:rsidRPr="0070551B">
        <w:rPr>
          <w:bCs/>
        </w:rPr>
        <w:t xml:space="preserve">the </w:t>
      </w:r>
      <w:r w:rsidR="00266A6B" w:rsidRPr="0070551B">
        <w:rPr>
          <w:bCs/>
        </w:rPr>
        <w:t xml:space="preserve">total </w:t>
      </w:r>
      <w:r w:rsidR="00D4400D">
        <w:rPr>
          <w:bCs/>
        </w:rPr>
        <w:t>increase</w:t>
      </w:r>
      <w:r w:rsidR="00D4400D" w:rsidRPr="0070551B">
        <w:rPr>
          <w:bCs/>
        </w:rPr>
        <w:t xml:space="preserve"> </w:t>
      </w:r>
      <w:r w:rsidR="00266A6B" w:rsidRPr="0070551B">
        <w:rPr>
          <w:bCs/>
        </w:rPr>
        <w:t xml:space="preserve">in </w:t>
      </w:r>
      <w:r w:rsidR="00E05801" w:rsidRPr="0070551B">
        <w:rPr>
          <w:bCs/>
        </w:rPr>
        <w:t xml:space="preserve">cost burden during the first three years of the </w:t>
      </w:r>
      <w:r w:rsidR="00ED37B7" w:rsidRPr="0070551B">
        <w:rPr>
          <w:bCs/>
        </w:rPr>
        <w:t>proposed</w:t>
      </w:r>
      <w:r w:rsidR="00E05801" w:rsidRPr="0070551B">
        <w:rPr>
          <w:bCs/>
        </w:rPr>
        <w:t xml:space="preserve"> rule is </w:t>
      </w:r>
      <w:r w:rsidR="00E05801" w:rsidRPr="0092743A">
        <w:rPr>
          <w:bCs/>
        </w:rPr>
        <w:t>$</w:t>
      </w:r>
      <w:r w:rsidR="009A204A" w:rsidRPr="0092743A">
        <w:rPr>
          <w:bCs/>
        </w:rPr>
        <w:t>432,000</w:t>
      </w:r>
      <w:r w:rsidR="008730A1">
        <w:rPr>
          <w:bCs/>
        </w:rPr>
        <w:t>.Whereas</w:t>
      </w:r>
      <w:r w:rsidR="00085F6A" w:rsidRPr="0070551B">
        <w:rPr>
          <w:bCs/>
        </w:rPr>
        <w:t>summarized in Exhibits 3</w:t>
      </w:r>
      <w:r w:rsidR="00E05801" w:rsidRPr="0070551B">
        <w:rPr>
          <w:bCs/>
        </w:rPr>
        <w:t>A-</w:t>
      </w:r>
      <w:r w:rsidR="002345DE" w:rsidRPr="0070551B">
        <w:rPr>
          <w:bCs/>
        </w:rPr>
        <w:t>E</w:t>
      </w:r>
      <w:r w:rsidR="008730A1">
        <w:rPr>
          <w:bCs/>
        </w:rPr>
        <w:t>, there is an estimated $22 increase in O&amp;M costs</w:t>
      </w:r>
      <w:r w:rsidR="00E05801" w:rsidRPr="0070551B">
        <w:rPr>
          <w:bCs/>
        </w:rPr>
        <w:t>.</w:t>
      </w:r>
    </w:p>
    <w:p w14:paraId="17F75363" w14:textId="77777777" w:rsidR="00E05801" w:rsidRPr="0090669D" w:rsidRDefault="00E05801" w:rsidP="00E05801">
      <w:pPr>
        <w:ind w:left="720"/>
        <w:rPr>
          <w:b/>
          <w:bCs/>
        </w:rPr>
      </w:pPr>
    </w:p>
    <w:p w14:paraId="0646C2BA" w14:textId="77777777" w:rsidR="00E05801" w:rsidRPr="0090669D" w:rsidRDefault="00E05801" w:rsidP="00E05801">
      <w:pPr>
        <w:ind w:left="720"/>
        <w:rPr>
          <w:b/>
          <w:bCs/>
        </w:rPr>
      </w:pPr>
      <w:r w:rsidRPr="001C54A7">
        <w:rPr>
          <w:b/>
          <w:bCs/>
        </w:rPr>
        <w:t>Labor Costs</w:t>
      </w:r>
      <w:r w:rsidRPr="0090669D">
        <w:rPr>
          <w:b/>
          <w:bCs/>
        </w:rPr>
        <w:t xml:space="preserve"> </w:t>
      </w:r>
    </w:p>
    <w:p w14:paraId="63A9112A" w14:textId="77777777" w:rsidR="00E05801" w:rsidRPr="0090669D" w:rsidRDefault="00E05801" w:rsidP="00E05801">
      <w:pPr>
        <w:ind w:left="720"/>
      </w:pPr>
    </w:p>
    <w:p w14:paraId="68046FEB" w14:textId="77777777" w:rsidR="00E05801" w:rsidRPr="0090669D" w:rsidRDefault="00E05801" w:rsidP="00E05801">
      <w:pPr>
        <w:ind w:firstLine="720"/>
      </w:pPr>
      <w:r w:rsidRPr="002D0913">
        <w:t>For purposes of this analysis, this ICR estimates an average hourly respondent labor cost (including fringe benefits and overhead costs) of $</w:t>
      </w:r>
      <w:r w:rsidR="00FB3348">
        <w:t>160.74</w:t>
      </w:r>
      <w:r w:rsidRPr="002D0913">
        <w:t xml:space="preserve"> for legal staff, $</w:t>
      </w:r>
      <w:r w:rsidR="00FB3348">
        <w:t>113.78</w:t>
      </w:r>
      <w:r w:rsidRPr="002D0913">
        <w:t xml:space="preserve"> for managerial staff, $</w:t>
      </w:r>
      <w:r w:rsidR="00FB3348">
        <w:t>49.22</w:t>
      </w:r>
      <w:r w:rsidRPr="002D0913">
        <w:t xml:space="preserve"> for technical staff, and $</w:t>
      </w:r>
      <w:r w:rsidR="00FB3348">
        <w:t>37.11</w:t>
      </w:r>
      <w:r w:rsidRPr="002D0913">
        <w:t xml:space="preserve"> for clerical staff.</w:t>
      </w:r>
      <w:r>
        <w:t xml:space="preserve"> </w:t>
      </w:r>
      <w:r w:rsidRPr="0090669D">
        <w:t>These hourly labor costs were obtained from the following sources:</w:t>
      </w:r>
    </w:p>
    <w:p w14:paraId="0D466749" w14:textId="77777777" w:rsidR="00E05801" w:rsidRPr="0090669D" w:rsidRDefault="00E05801" w:rsidP="00E05801">
      <w:pPr>
        <w:ind w:left="720"/>
      </w:pPr>
    </w:p>
    <w:p w14:paraId="60F517FC" w14:textId="77777777" w:rsidR="00E05801" w:rsidRPr="0090669D" w:rsidRDefault="00E05801" w:rsidP="00E05801">
      <w:pPr>
        <w:pStyle w:val="ListParagraph"/>
        <w:numPr>
          <w:ilvl w:val="0"/>
          <w:numId w:val="7"/>
        </w:numPr>
        <w:autoSpaceDE w:val="0"/>
        <w:autoSpaceDN w:val="0"/>
        <w:adjustRightInd w:val="0"/>
        <w:ind w:left="1080"/>
        <w:rPr>
          <w:rFonts w:eastAsiaTheme="minorHAnsi"/>
        </w:rPr>
      </w:pPr>
      <w:r w:rsidRPr="0090669D">
        <w:rPr>
          <w:rFonts w:eastAsiaTheme="minorHAnsi"/>
        </w:rPr>
        <w:t xml:space="preserve">Hourly Wage: Bureau of Labor Statistics, occupational earnings data for May </w:t>
      </w:r>
      <w:r w:rsidR="00FB3348">
        <w:rPr>
          <w:rFonts w:eastAsiaTheme="minorHAnsi"/>
        </w:rPr>
        <w:t>2016</w:t>
      </w:r>
      <w:r w:rsidRPr="0090669D">
        <w:rPr>
          <w:rFonts w:eastAsiaTheme="minorHAnsi"/>
        </w:rPr>
        <w:t>.</w:t>
      </w:r>
      <w:r w:rsidRPr="0090669D">
        <w:rPr>
          <w:rStyle w:val="FootnoteReference"/>
          <w:rFonts w:eastAsiaTheme="minorHAnsi"/>
        </w:rPr>
        <w:footnoteReference w:id="4"/>
      </w:r>
    </w:p>
    <w:p w14:paraId="35A60ECA" w14:textId="77777777" w:rsidR="007B387D" w:rsidRPr="007B387D" w:rsidRDefault="007B387D" w:rsidP="007B387D">
      <w:pPr>
        <w:pStyle w:val="ListParagraph"/>
        <w:numPr>
          <w:ilvl w:val="0"/>
          <w:numId w:val="7"/>
        </w:numPr>
        <w:autoSpaceDE w:val="0"/>
        <w:autoSpaceDN w:val="0"/>
        <w:adjustRightInd w:val="0"/>
        <w:ind w:left="1080"/>
        <w:rPr>
          <w:rFonts w:eastAsiaTheme="minorHAnsi"/>
        </w:rPr>
      </w:pPr>
      <w:r>
        <w:rPr>
          <w:rFonts w:eastAsiaTheme="minorHAnsi"/>
        </w:rPr>
        <w:t>Fringe Benefit C</w:t>
      </w:r>
      <w:r w:rsidRPr="007B387D">
        <w:rPr>
          <w:rFonts w:eastAsiaTheme="minorHAnsi"/>
        </w:rPr>
        <w:t xml:space="preserve">ost </w:t>
      </w:r>
      <w:r>
        <w:rPr>
          <w:rFonts w:eastAsiaTheme="minorHAnsi"/>
        </w:rPr>
        <w:t>F</w:t>
      </w:r>
      <w:r w:rsidRPr="007B387D">
        <w:rPr>
          <w:rFonts w:eastAsiaTheme="minorHAnsi"/>
        </w:rPr>
        <w:t>actor</w:t>
      </w:r>
      <w:r>
        <w:rPr>
          <w:rFonts w:eastAsiaTheme="minorHAnsi"/>
        </w:rPr>
        <w:t>:</w:t>
      </w:r>
      <w:r w:rsidRPr="007B387D">
        <w:rPr>
          <w:rFonts w:eastAsiaTheme="minorHAnsi"/>
        </w:rPr>
        <w:t xml:space="preserve"> Bureau of Labor Statistics, Employer Costs for Worker Compensation, released June 9, 2017</w:t>
      </w:r>
      <w:r>
        <w:rPr>
          <w:rFonts w:eastAsiaTheme="minorHAnsi"/>
        </w:rPr>
        <w:t>.</w:t>
      </w:r>
      <w:r w:rsidRPr="007B387D">
        <w:rPr>
          <w:rFonts w:eastAsia="Calibri"/>
          <w:szCs w:val="18"/>
        </w:rPr>
        <w:t xml:space="preserve"> </w:t>
      </w:r>
      <w:r w:rsidRPr="001B1919">
        <w:rPr>
          <w:rFonts w:eastAsia="Calibri"/>
          <w:szCs w:val="18"/>
        </w:rPr>
        <w:t xml:space="preserve">Table 10:  Employer Costs per Hour Worked for Employee Compensation and Costs as a Percent of Total Compensation: Private Workers, </w:t>
      </w:r>
      <w:r>
        <w:rPr>
          <w:rFonts w:eastAsia="Calibri"/>
          <w:szCs w:val="18"/>
        </w:rPr>
        <w:t xml:space="preserve">by Industry Group, March 2017. </w:t>
      </w:r>
    </w:p>
    <w:p w14:paraId="2C95D2FE" w14:textId="6768EE9D" w:rsidR="004130A7" w:rsidRDefault="007B387D" w:rsidP="004130A7">
      <w:pPr>
        <w:pStyle w:val="ListParagraph"/>
        <w:numPr>
          <w:ilvl w:val="0"/>
          <w:numId w:val="7"/>
        </w:numPr>
        <w:autoSpaceDE w:val="0"/>
        <w:autoSpaceDN w:val="0"/>
        <w:adjustRightInd w:val="0"/>
        <w:ind w:left="1080"/>
        <w:rPr>
          <w:rFonts w:eastAsiaTheme="minorHAnsi"/>
        </w:rPr>
      </w:pPr>
      <w:r>
        <w:rPr>
          <w:rFonts w:eastAsiaTheme="minorHAnsi"/>
        </w:rPr>
        <w:t>Overhead L</w:t>
      </w:r>
      <w:r w:rsidRPr="007B387D">
        <w:rPr>
          <w:rFonts w:eastAsiaTheme="minorHAnsi"/>
        </w:rPr>
        <w:t xml:space="preserve">oading </w:t>
      </w:r>
      <w:r>
        <w:rPr>
          <w:rFonts w:eastAsiaTheme="minorHAnsi"/>
        </w:rPr>
        <w:t>F</w:t>
      </w:r>
      <w:r w:rsidRPr="007B387D">
        <w:rPr>
          <w:rFonts w:eastAsiaTheme="minorHAnsi"/>
        </w:rPr>
        <w:t>actor</w:t>
      </w:r>
      <w:r>
        <w:rPr>
          <w:rFonts w:eastAsiaTheme="minorHAnsi"/>
        </w:rPr>
        <w:t>:</w:t>
      </w:r>
      <w:r w:rsidRPr="007B387D">
        <w:rPr>
          <w:rFonts w:eastAsiaTheme="minorHAnsi"/>
        </w:rPr>
        <w:t xml:space="preserve"> Remedial Action Cost Engineering and Requirements (RACER) cost estimating software 2005 defaults.</w:t>
      </w:r>
    </w:p>
    <w:p w14:paraId="3F96DA79" w14:textId="77777777" w:rsidR="004130A7" w:rsidRPr="004130A7" w:rsidRDefault="004130A7" w:rsidP="00EF00AA">
      <w:pPr>
        <w:pStyle w:val="ListParagraph"/>
        <w:autoSpaceDE w:val="0"/>
        <w:autoSpaceDN w:val="0"/>
        <w:adjustRightInd w:val="0"/>
        <w:ind w:left="1080"/>
        <w:rPr>
          <w:rFonts w:eastAsiaTheme="minorHAnsi"/>
        </w:rPr>
      </w:pPr>
    </w:p>
    <w:p w14:paraId="0AA056EB" w14:textId="416203BE" w:rsidR="00E05801" w:rsidRDefault="009F1856" w:rsidP="00232824">
      <w:pPr>
        <w:autoSpaceDE w:val="0"/>
        <w:autoSpaceDN w:val="0"/>
        <w:adjustRightInd w:val="0"/>
        <w:ind w:firstLine="720"/>
        <w:rPr>
          <w:rFonts w:eastAsiaTheme="minorHAnsi"/>
        </w:rPr>
      </w:pPr>
      <w:r>
        <w:rPr>
          <w:rFonts w:eastAsiaTheme="minorHAnsi"/>
        </w:rPr>
        <w:t>The overhead cost adjustment factor is approximately 1.336.</w:t>
      </w:r>
      <w:r>
        <w:rPr>
          <w:rStyle w:val="FootnoteReference"/>
          <w:rFonts w:eastAsiaTheme="minorHAnsi"/>
        </w:rPr>
        <w:footnoteReference w:id="5"/>
      </w:r>
      <w:r>
        <w:rPr>
          <w:rFonts w:eastAsiaTheme="minorHAnsi"/>
        </w:rPr>
        <w:t xml:space="preserve"> </w:t>
      </w:r>
      <w:r w:rsidR="004130A7" w:rsidRPr="004130A7">
        <w:rPr>
          <w:rFonts w:eastAsiaTheme="minorHAnsi"/>
        </w:rPr>
        <w:t xml:space="preserve">Because industry-specific data is not readily available, this RIA uses the overhead cost adjustment factor from the Remedial Action Cost Engineering Requirements (RACER) System software (a cost estimating software) 2005 defaults. This RIA </w:t>
      </w:r>
      <w:r w:rsidR="000048CC">
        <w:rPr>
          <w:rFonts w:eastAsiaTheme="minorHAnsi"/>
        </w:rPr>
        <w:t>estimates</w:t>
      </w:r>
      <w:r w:rsidR="000048CC" w:rsidRPr="004130A7">
        <w:rPr>
          <w:rFonts w:eastAsiaTheme="minorHAnsi"/>
        </w:rPr>
        <w:t xml:space="preserve"> </w:t>
      </w:r>
      <w:r w:rsidR="004130A7" w:rsidRPr="004130A7">
        <w:rPr>
          <w:rFonts w:eastAsiaTheme="minorHAnsi"/>
        </w:rPr>
        <w:t>that costs included in the overhead cost adjustment factor generally do not overlap with the overhead costs estimated directly in the RIA. The overhead cost adjustment factor does not explicitly include the direct administrative or fixed costs associated with implementing the regulatory requirements of RCRA, which are estimated directly in the RIA</w:t>
      </w:r>
      <w:r w:rsidR="004130A7">
        <w:rPr>
          <w:rFonts w:eastAsiaTheme="minorHAnsi"/>
        </w:rPr>
        <w:t>.</w:t>
      </w:r>
      <w:r w:rsidR="004130A7">
        <w:rPr>
          <w:rStyle w:val="FootnoteReference"/>
          <w:rFonts w:eastAsiaTheme="minorHAnsi"/>
        </w:rPr>
        <w:footnoteReference w:id="6"/>
      </w:r>
      <w:r>
        <w:rPr>
          <w:rFonts w:eastAsiaTheme="minorHAnsi"/>
        </w:rPr>
        <w:t xml:space="preserve"> </w:t>
      </w:r>
      <w:r w:rsidRPr="009F1856">
        <w:rPr>
          <w:rFonts w:eastAsiaTheme="minorHAnsi"/>
        </w:rPr>
        <w:t>Importantly, there are drawbacks to accounting for overhead costs by adjusting hourly labor rates. Overhead costs might not vary with the magnitude of changes in labor caused by the rule. Some of the overhead costs that facilities experience are unlikely to vary continuously with quantities of labor. However, due to the lack of facility-specific data and due to the inherent uncertainty in the changes in overhead costs associated with changes in labor hours devoted to regulatory compliance, this RIA concludes that the average relationship is the best that can be approximated. In order to ensure that this RIA fully captures the opportunity cost of a unit of time associated with RCRA regulatory compliance, this RIA relies on the RACER overhead cost adjustment factor</w:t>
      </w:r>
      <w:r>
        <w:rPr>
          <w:rFonts w:eastAsiaTheme="minorHAnsi"/>
        </w:rPr>
        <w:t>.</w:t>
      </w:r>
    </w:p>
    <w:p w14:paraId="1FA296D8" w14:textId="77777777" w:rsidR="009F1856" w:rsidRPr="0090669D" w:rsidRDefault="009F1856" w:rsidP="00232824">
      <w:pPr>
        <w:autoSpaceDE w:val="0"/>
        <w:autoSpaceDN w:val="0"/>
        <w:adjustRightInd w:val="0"/>
        <w:ind w:firstLine="720"/>
        <w:rPr>
          <w:rFonts w:eastAsiaTheme="minorHAnsi"/>
        </w:rPr>
      </w:pPr>
    </w:p>
    <w:p w14:paraId="44331A29" w14:textId="77777777" w:rsidR="00E05801" w:rsidRPr="0090669D" w:rsidRDefault="00E05801" w:rsidP="00E05801">
      <w:pPr>
        <w:ind w:left="720"/>
        <w:rPr>
          <w:b/>
          <w:bCs/>
        </w:rPr>
      </w:pPr>
      <w:r w:rsidRPr="0090669D">
        <w:rPr>
          <w:b/>
          <w:bCs/>
        </w:rPr>
        <w:t>Operation &amp; Maintenance Costs</w:t>
      </w:r>
    </w:p>
    <w:p w14:paraId="777F77D9" w14:textId="77777777" w:rsidR="00E05801" w:rsidRPr="0090669D" w:rsidRDefault="00E05801" w:rsidP="00E05801">
      <w:pPr>
        <w:ind w:firstLine="720"/>
      </w:pPr>
    </w:p>
    <w:p w14:paraId="7025C1AE" w14:textId="2192121F" w:rsidR="00E05801" w:rsidRPr="0090669D" w:rsidRDefault="00E05801" w:rsidP="00E05801">
      <w:pPr>
        <w:ind w:firstLine="720"/>
        <w:rPr>
          <w:b/>
          <w:bCs/>
        </w:rPr>
      </w:pPr>
      <w:r w:rsidRPr="001B0656">
        <w:t>O&amp;M costs are those costs associated with materials and services procured for the information collection requirements included in the ICR. For this ICR, O&amp;M costs primarily include the following:</w:t>
      </w:r>
      <w:r w:rsidR="0070551B">
        <w:t xml:space="preserve"> </w:t>
      </w:r>
      <w:r w:rsidR="00A4266B">
        <w:t>costs of</w:t>
      </w:r>
      <w:r w:rsidRPr="001B0656">
        <w:t xml:space="preserve"> </w:t>
      </w:r>
      <w:r w:rsidR="001811B9">
        <w:t>postage/shipping (</w:t>
      </w:r>
      <w:r w:rsidR="00A4266B">
        <w:t xml:space="preserve">approximately </w:t>
      </w:r>
      <w:r w:rsidR="001811B9">
        <w:t>$</w:t>
      </w:r>
      <w:r w:rsidR="00A4266B">
        <w:t>2.00 to $4.00</w:t>
      </w:r>
      <w:r w:rsidR="001811B9">
        <w:t>/doc)</w:t>
      </w:r>
      <w:r w:rsidR="00A4266B">
        <w:t xml:space="preserve"> and</w:t>
      </w:r>
      <w:r w:rsidR="001811B9">
        <w:t xml:space="preserve"> photocopies (</w:t>
      </w:r>
      <w:r w:rsidR="00A4266B">
        <w:t xml:space="preserve">approximately </w:t>
      </w:r>
      <w:r w:rsidR="001811B9">
        <w:t>$0.1</w:t>
      </w:r>
      <w:r w:rsidR="00A4266B">
        <w:t>0 to $0.15</w:t>
      </w:r>
      <w:r w:rsidR="001811B9">
        <w:t>/page)</w:t>
      </w:r>
      <w:r w:rsidR="00A4266B">
        <w:t>.</w:t>
      </w:r>
      <w:r w:rsidR="00021FA6">
        <w:t xml:space="preserve"> </w:t>
      </w:r>
    </w:p>
    <w:p w14:paraId="7384282B" w14:textId="77777777" w:rsidR="00E05801" w:rsidRDefault="00E05801" w:rsidP="00E05801">
      <w:pPr>
        <w:ind w:left="720"/>
        <w:rPr>
          <w:b/>
          <w:bCs/>
        </w:rPr>
      </w:pPr>
    </w:p>
    <w:p w14:paraId="3005F27B" w14:textId="77777777" w:rsidR="00E05801" w:rsidRPr="0090669D" w:rsidRDefault="00E05801" w:rsidP="00E05801">
      <w:pPr>
        <w:ind w:left="720"/>
        <w:rPr>
          <w:b/>
          <w:bCs/>
        </w:rPr>
      </w:pPr>
      <w:r w:rsidRPr="0090669D">
        <w:rPr>
          <w:b/>
          <w:bCs/>
        </w:rPr>
        <w:t>6(c)</w:t>
      </w:r>
      <w:r w:rsidRPr="0090669D">
        <w:rPr>
          <w:b/>
          <w:bCs/>
        </w:rPr>
        <w:tab/>
        <w:t>Estimating Agency Burden and Costs</w:t>
      </w:r>
    </w:p>
    <w:p w14:paraId="6F343212" w14:textId="77777777" w:rsidR="00E05801" w:rsidRPr="0090669D" w:rsidRDefault="00E05801" w:rsidP="00E05801">
      <w:pPr>
        <w:ind w:left="720"/>
        <w:rPr>
          <w:b/>
          <w:bCs/>
        </w:rPr>
      </w:pPr>
    </w:p>
    <w:p w14:paraId="4071D121" w14:textId="77777777" w:rsidR="00E05801" w:rsidRPr="00B14F6E" w:rsidRDefault="00E05801" w:rsidP="00E05801">
      <w:pPr>
        <w:ind w:firstLine="720"/>
        <w:rPr>
          <w:bCs/>
        </w:rPr>
      </w:pPr>
      <w:r w:rsidRPr="00B14F6E">
        <w:rPr>
          <w:bCs/>
        </w:rPr>
        <w:t>The Agency burden hours and costs associate</w:t>
      </w:r>
      <w:r w:rsidR="0008508A">
        <w:rPr>
          <w:bCs/>
        </w:rPr>
        <w:t>d</w:t>
      </w:r>
      <w:r w:rsidRPr="00B14F6E">
        <w:rPr>
          <w:bCs/>
        </w:rPr>
        <w:t xml:space="preserve"> with all the requirements covered in this ICR are reported in Exhibit </w:t>
      </w:r>
      <w:r w:rsidR="00331F60">
        <w:rPr>
          <w:bCs/>
        </w:rPr>
        <w:t>4</w:t>
      </w:r>
      <w:r w:rsidRPr="00B14F6E">
        <w:rPr>
          <w:bCs/>
        </w:rPr>
        <w:t>. This ICR uses the 201</w:t>
      </w:r>
      <w:r w:rsidR="00B14F6E" w:rsidRPr="00B14F6E">
        <w:rPr>
          <w:bCs/>
        </w:rPr>
        <w:t>7</w:t>
      </w:r>
      <w:r w:rsidRPr="00B14F6E">
        <w:rPr>
          <w:bCs/>
        </w:rPr>
        <w:t xml:space="preserve"> Federal Pay Schedule salary figures to estimate hourly compensation of EPA legal, managerial, technical, and clerical staff.</w:t>
      </w:r>
      <w:r w:rsidRPr="00B14F6E">
        <w:rPr>
          <w:rStyle w:val="FootnoteReference"/>
          <w:bCs/>
        </w:rPr>
        <w:footnoteReference w:id="7"/>
      </w:r>
      <w:r w:rsidRPr="00B14F6E">
        <w:rPr>
          <w:bCs/>
        </w:rPr>
        <w:t xml:space="preserve">  For purposes of this ICR, the following government services levels were assigned:</w:t>
      </w:r>
    </w:p>
    <w:p w14:paraId="6970AABD" w14:textId="77777777" w:rsidR="00E05801" w:rsidRPr="00B14F6E" w:rsidRDefault="00E05801" w:rsidP="00E05801">
      <w:pPr>
        <w:pStyle w:val="ListParagraph"/>
        <w:ind w:left="1440"/>
        <w:rPr>
          <w:bCs/>
        </w:rPr>
      </w:pPr>
    </w:p>
    <w:p w14:paraId="22530701" w14:textId="77777777" w:rsidR="00E05801" w:rsidRPr="00B14F6E" w:rsidRDefault="00E05801" w:rsidP="00B14F6E">
      <w:pPr>
        <w:pStyle w:val="ListParagraph"/>
        <w:numPr>
          <w:ilvl w:val="0"/>
          <w:numId w:val="14"/>
        </w:numPr>
        <w:rPr>
          <w:bCs/>
        </w:rPr>
      </w:pPr>
      <w:r w:rsidRPr="00B14F6E">
        <w:rPr>
          <w:bCs/>
        </w:rPr>
        <w:t>Legal Staff: GS-15, Step 5 ($</w:t>
      </w:r>
      <w:r w:rsidR="00B14F6E" w:rsidRPr="00B14F6E">
        <w:rPr>
          <w:bCs/>
        </w:rPr>
        <w:t>115.31</w:t>
      </w:r>
      <w:r w:rsidRPr="00B14F6E">
        <w:rPr>
          <w:bCs/>
        </w:rPr>
        <w:t>/hr)</w:t>
      </w:r>
    </w:p>
    <w:p w14:paraId="66406BE1" w14:textId="77777777" w:rsidR="00E05801" w:rsidRPr="00B14F6E" w:rsidRDefault="00E05801" w:rsidP="00B14F6E">
      <w:pPr>
        <w:pStyle w:val="ListParagraph"/>
        <w:numPr>
          <w:ilvl w:val="0"/>
          <w:numId w:val="14"/>
        </w:numPr>
        <w:rPr>
          <w:bCs/>
        </w:rPr>
      </w:pPr>
      <w:r w:rsidRPr="00B14F6E">
        <w:rPr>
          <w:bCs/>
        </w:rPr>
        <w:t xml:space="preserve">Managerial Staff: GS-13, Step 5 </w:t>
      </w:r>
      <w:r w:rsidR="00B14F6E">
        <w:rPr>
          <w:bCs/>
        </w:rPr>
        <w:t>(</w:t>
      </w:r>
      <w:r w:rsidR="00B14F6E" w:rsidRPr="00B14F6E">
        <w:rPr>
          <w:bCs/>
        </w:rPr>
        <w:t>$82.95</w:t>
      </w:r>
      <w:r w:rsidRPr="00B14F6E">
        <w:rPr>
          <w:bCs/>
        </w:rPr>
        <w:t>/hr)</w:t>
      </w:r>
    </w:p>
    <w:p w14:paraId="5077919F" w14:textId="77777777" w:rsidR="00E05801" w:rsidRPr="00B14F6E" w:rsidRDefault="00E05801" w:rsidP="00B14F6E">
      <w:pPr>
        <w:pStyle w:val="ListParagraph"/>
        <w:numPr>
          <w:ilvl w:val="0"/>
          <w:numId w:val="14"/>
        </w:numPr>
        <w:rPr>
          <w:bCs/>
        </w:rPr>
      </w:pPr>
      <w:r w:rsidRPr="00B14F6E">
        <w:rPr>
          <w:bCs/>
        </w:rPr>
        <w:t xml:space="preserve">Technical Staff: GS-11, Step 5 </w:t>
      </w:r>
      <w:r w:rsidR="00B14F6E">
        <w:rPr>
          <w:bCs/>
        </w:rPr>
        <w:t>(</w:t>
      </w:r>
      <w:r w:rsidR="00B14F6E" w:rsidRPr="00B14F6E">
        <w:rPr>
          <w:bCs/>
        </w:rPr>
        <w:t>$58.21</w:t>
      </w:r>
      <w:r w:rsidRPr="00B14F6E">
        <w:rPr>
          <w:bCs/>
        </w:rPr>
        <w:t>/hr)</w:t>
      </w:r>
    </w:p>
    <w:p w14:paraId="161A5668" w14:textId="77777777" w:rsidR="00E05801" w:rsidRPr="00B14F6E" w:rsidRDefault="00B14F6E" w:rsidP="00B14F6E">
      <w:pPr>
        <w:pStyle w:val="ListParagraph"/>
        <w:numPr>
          <w:ilvl w:val="0"/>
          <w:numId w:val="14"/>
        </w:numPr>
        <w:rPr>
          <w:bCs/>
        </w:rPr>
      </w:pPr>
      <w:r>
        <w:rPr>
          <w:bCs/>
        </w:rPr>
        <w:t>Clerical Staff: GS-06, Step 5 (</w:t>
      </w:r>
      <w:r w:rsidRPr="00B14F6E">
        <w:rPr>
          <w:bCs/>
        </w:rPr>
        <w:t>$35.39</w:t>
      </w:r>
      <w:r w:rsidR="00E05801" w:rsidRPr="00B14F6E">
        <w:rPr>
          <w:bCs/>
        </w:rPr>
        <w:t>/hr)</w:t>
      </w:r>
    </w:p>
    <w:p w14:paraId="0B719EDD" w14:textId="77777777" w:rsidR="00E05801" w:rsidRPr="00B14F6E" w:rsidRDefault="00E05801" w:rsidP="00E05801">
      <w:pPr>
        <w:ind w:firstLine="720"/>
        <w:rPr>
          <w:bCs/>
        </w:rPr>
      </w:pPr>
    </w:p>
    <w:p w14:paraId="20E837EA" w14:textId="77777777" w:rsidR="00E05801" w:rsidRPr="0090669D" w:rsidRDefault="00E05801" w:rsidP="00E05801">
      <w:pPr>
        <w:ind w:firstLine="720"/>
        <w:rPr>
          <w:bCs/>
        </w:rPr>
      </w:pPr>
      <w:r w:rsidRPr="00B14F6E">
        <w:rPr>
          <w:bCs/>
        </w:rPr>
        <w:t xml:space="preserve">The hourly rates above reflect base salary plus </w:t>
      </w:r>
      <w:r w:rsidR="00105B31">
        <w:rPr>
          <w:bCs/>
        </w:rPr>
        <w:t xml:space="preserve">the </w:t>
      </w:r>
      <w:r w:rsidRPr="00B14F6E">
        <w:rPr>
          <w:bCs/>
        </w:rPr>
        <w:t>fringe benefit and overhead factors</w:t>
      </w:r>
      <w:r w:rsidR="00105B31">
        <w:rPr>
          <w:bCs/>
        </w:rPr>
        <w:t xml:space="preserve"> cited above</w:t>
      </w:r>
      <w:r w:rsidRPr="00B14F6E">
        <w:rPr>
          <w:bCs/>
        </w:rPr>
        <w:t>.</w:t>
      </w:r>
    </w:p>
    <w:p w14:paraId="07B5C542" w14:textId="77777777" w:rsidR="00E05801" w:rsidRPr="00CA3B1F" w:rsidRDefault="00E05801" w:rsidP="00E05801">
      <w:pPr>
        <w:pStyle w:val="Default"/>
        <w:ind w:firstLine="720"/>
        <w:rPr>
          <w:rFonts w:ascii="Times New Roman" w:hAnsi="Times New Roman" w:cs="Times New Roman"/>
        </w:rPr>
      </w:pPr>
    </w:p>
    <w:p w14:paraId="635D1FC2" w14:textId="64205050" w:rsidR="00E05801" w:rsidRPr="001D0195" w:rsidRDefault="00E05801" w:rsidP="00E05801">
      <w:pPr>
        <w:ind w:left="720"/>
        <w:rPr>
          <w:b/>
          <w:bCs/>
        </w:rPr>
      </w:pPr>
      <w:r w:rsidRPr="001D0195">
        <w:rPr>
          <w:b/>
          <w:bCs/>
        </w:rPr>
        <w:t>Estimating State and Local Authority Burden and Cost</w:t>
      </w:r>
    </w:p>
    <w:p w14:paraId="06984AD1" w14:textId="77777777" w:rsidR="00E05801" w:rsidRDefault="00E05801" w:rsidP="00E05801">
      <w:pPr>
        <w:ind w:firstLine="720"/>
        <w:jc w:val="both"/>
        <w:rPr>
          <w:b/>
          <w:bCs/>
        </w:rPr>
      </w:pPr>
    </w:p>
    <w:p w14:paraId="62476A98" w14:textId="193A75C7" w:rsidR="0070551B" w:rsidRDefault="0070551B" w:rsidP="00E05801">
      <w:pPr>
        <w:ind w:firstLine="720"/>
        <w:rPr>
          <w:bCs/>
        </w:rPr>
      </w:pPr>
      <w:r>
        <w:rPr>
          <w:bCs/>
        </w:rPr>
        <w:t>To the extent that state agencies incur costs associated with administering universal waste programs</w:t>
      </w:r>
      <w:r w:rsidR="002C5347">
        <w:rPr>
          <w:bCs/>
        </w:rPr>
        <w:t>, they may experience an increase in burden.  Such activities may include reviewing notifications, reviewing requests for EPA</w:t>
      </w:r>
      <w:r w:rsidR="009D5C54">
        <w:rPr>
          <w:bCs/>
        </w:rPr>
        <w:t xml:space="preserve"> </w:t>
      </w:r>
      <w:r w:rsidR="002C5347">
        <w:rPr>
          <w:bCs/>
        </w:rPr>
        <w:t xml:space="preserve">IDs, and issuing EPA IDs.  </w:t>
      </w:r>
      <w:r w:rsidR="001222ED">
        <w:rPr>
          <w:bCs/>
        </w:rPr>
        <w:t xml:space="preserve">However, </w:t>
      </w:r>
      <w:r w:rsidR="00210FB4">
        <w:rPr>
          <w:bCs/>
        </w:rPr>
        <w:t>these tasks m</w:t>
      </w:r>
      <w:r w:rsidR="0058603C">
        <w:rPr>
          <w:bCs/>
        </w:rPr>
        <w:t xml:space="preserve">ay also be undertaken by </w:t>
      </w:r>
      <w:r w:rsidR="00210FB4">
        <w:rPr>
          <w:bCs/>
        </w:rPr>
        <w:t xml:space="preserve">EPA. Without </w:t>
      </w:r>
      <w:r w:rsidR="0058603C">
        <w:rPr>
          <w:bCs/>
        </w:rPr>
        <w:t>available data on the magnitude of these burdens that will fall to the states rather than EPA, this analysis estimates</w:t>
      </w:r>
      <w:r w:rsidR="000048CC">
        <w:rPr>
          <w:bCs/>
        </w:rPr>
        <w:t xml:space="preserve"> </w:t>
      </w:r>
      <w:r w:rsidR="002C5347">
        <w:rPr>
          <w:bCs/>
        </w:rPr>
        <w:t xml:space="preserve">that the burden </w:t>
      </w:r>
      <w:r w:rsidR="000048CC">
        <w:rPr>
          <w:bCs/>
        </w:rPr>
        <w:t xml:space="preserve">associated with </w:t>
      </w:r>
      <w:r w:rsidR="002C5347">
        <w:rPr>
          <w:bCs/>
        </w:rPr>
        <w:t xml:space="preserve"> these activities </w:t>
      </w:r>
      <w:r w:rsidR="000048CC">
        <w:rPr>
          <w:bCs/>
        </w:rPr>
        <w:t xml:space="preserve">are </w:t>
      </w:r>
      <w:r w:rsidR="002C5347">
        <w:rPr>
          <w:bCs/>
        </w:rPr>
        <w:t>borne by EPA rather than by the states.</w:t>
      </w:r>
    </w:p>
    <w:p w14:paraId="68D1473F" w14:textId="77777777" w:rsidR="00CF589B" w:rsidRPr="0090669D" w:rsidRDefault="00CF589B" w:rsidP="00E05801">
      <w:pPr>
        <w:ind w:firstLine="720"/>
        <w:rPr>
          <w:b/>
          <w:bCs/>
        </w:rPr>
      </w:pPr>
    </w:p>
    <w:p w14:paraId="3FA729A8" w14:textId="77777777" w:rsidR="00E05801" w:rsidRPr="0090669D" w:rsidRDefault="00E05801" w:rsidP="00E05801">
      <w:pPr>
        <w:ind w:firstLine="720"/>
        <w:rPr>
          <w:b/>
          <w:bCs/>
        </w:rPr>
      </w:pPr>
      <w:r w:rsidRPr="0090669D">
        <w:rPr>
          <w:b/>
          <w:bCs/>
        </w:rPr>
        <w:t>6(</w:t>
      </w:r>
      <w:r>
        <w:rPr>
          <w:b/>
          <w:bCs/>
        </w:rPr>
        <w:t>d</w:t>
      </w:r>
      <w:r w:rsidRPr="0090669D">
        <w:rPr>
          <w:b/>
          <w:bCs/>
        </w:rPr>
        <w:t>)</w:t>
      </w:r>
      <w:r w:rsidRPr="0090669D">
        <w:rPr>
          <w:b/>
          <w:bCs/>
        </w:rPr>
        <w:tab/>
        <w:t>Estimating the Respondent Universe and Total Burden and Costs</w:t>
      </w:r>
    </w:p>
    <w:p w14:paraId="0AF5EFD8" w14:textId="77777777" w:rsidR="00E05801" w:rsidRPr="0090669D" w:rsidRDefault="00E05801" w:rsidP="00E05801">
      <w:pPr>
        <w:ind w:firstLine="720"/>
        <w:jc w:val="both"/>
      </w:pPr>
    </w:p>
    <w:p w14:paraId="17FEF4D5" w14:textId="77777777" w:rsidR="00E05801" w:rsidRPr="0090669D" w:rsidRDefault="00E05801" w:rsidP="00E05801">
      <w:pPr>
        <w:ind w:left="720"/>
        <w:rPr>
          <w:b/>
          <w:bCs/>
        </w:rPr>
      </w:pPr>
      <w:r w:rsidRPr="0090669D">
        <w:rPr>
          <w:b/>
          <w:bCs/>
        </w:rPr>
        <w:t>Respondent Universe</w:t>
      </w:r>
    </w:p>
    <w:p w14:paraId="2B034E2C" w14:textId="77777777" w:rsidR="00E05801" w:rsidRPr="0090669D" w:rsidRDefault="00E05801" w:rsidP="00E05801"/>
    <w:p w14:paraId="38DAA9B4" w14:textId="57B1D11C" w:rsidR="00E05801" w:rsidRDefault="00E05801" w:rsidP="00E05801">
      <w:r w:rsidRPr="0090669D">
        <w:tab/>
      </w:r>
      <w:r w:rsidR="0097427A">
        <w:t xml:space="preserve">On page 17, </w:t>
      </w:r>
      <w:r w:rsidRPr="0029386C">
        <w:t xml:space="preserve">Exhibit 2 reports the estimated annual universe of facilities </w:t>
      </w:r>
      <w:r w:rsidR="00845333">
        <w:t xml:space="preserve">that </w:t>
      </w:r>
      <w:r w:rsidR="0097427A">
        <w:t xml:space="preserve">may </w:t>
      </w:r>
      <w:r w:rsidR="00845333">
        <w:t>choose to opt in</w:t>
      </w:r>
      <w:r w:rsidRPr="0029386C">
        <w:t xml:space="preserve"> to each of the </w:t>
      </w:r>
      <w:r w:rsidRPr="002C5347">
        <w:t xml:space="preserve">provisions of the </w:t>
      </w:r>
      <w:r w:rsidR="00F76ABE" w:rsidRPr="002C5347">
        <w:t>proposed</w:t>
      </w:r>
      <w:r w:rsidRPr="002C5347">
        <w:t xml:space="preserve"> rule covered in this ICR. The total estimated annual number of respondents is </w:t>
      </w:r>
      <w:r w:rsidR="002345DE" w:rsidRPr="002C5347">
        <w:t>639</w:t>
      </w:r>
      <w:r w:rsidRPr="002C5347">
        <w:t>.</w:t>
      </w:r>
      <w:r w:rsidR="00804633" w:rsidRPr="002C5347">
        <w:t xml:space="preserve"> EPA identified</w:t>
      </w:r>
      <w:r w:rsidR="00804633">
        <w:t xml:space="preserve"> 18,900 additional facilities that generate aerosol can wastes that may choose to opt in to the rule provisions. However, EPA’s economic analysis in the RIA </w:t>
      </w:r>
      <w:r w:rsidR="00B7206C">
        <w:t>determined</w:t>
      </w:r>
      <w:r w:rsidR="00804633">
        <w:t xml:space="preserve"> that </w:t>
      </w:r>
      <w:r w:rsidR="00B7206C">
        <w:t xml:space="preserve">these facilities are likely to find it </w:t>
      </w:r>
      <w:r w:rsidR="00804633">
        <w:t>less costly to continue managing aerosol cans as hazardous waste.</w:t>
      </w:r>
    </w:p>
    <w:p w14:paraId="37AD2F50" w14:textId="77777777" w:rsidR="00E05801" w:rsidRDefault="00E05801" w:rsidP="00E05801"/>
    <w:p w14:paraId="09FCF080" w14:textId="77777777" w:rsidR="00E05801" w:rsidRPr="0090669D" w:rsidRDefault="00E05801" w:rsidP="00E05801">
      <w:pPr>
        <w:ind w:firstLine="720"/>
        <w:rPr>
          <w:b/>
          <w:bCs/>
        </w:rPr>
      </w:pPr>
      <w:r w:rsidRPr="0090669D">
        <w:rPr>
          <w:b/>
          <w:bCs/>
        </w:rPr>
        <w:t>Respondent Burden and Cost</w:t>
      </w:r>
    </w:p>
    <w:p w14:paraId="47A30936" w14:textId="77777777" w:rsidR="00E05801" w:rsidRPr="0090669D" w:rsidRDefault="00E05801" w:rsidP="00E05801">
      <w:pPr>
        <w:ind w:firstLine="720"/>
        <w:rPr>
          <w:b/>
          <w:bCs/>
        </w:rPr>
      </w:pPr>
    </w:p>
    <w:p w14:paraId="54A5249F" w14:textId="52660955" w:rsidR="00E05801" w:rsidRDefault="00E05801" w:rsidP="00E05801">
      <w:pPr>
        <w:pStyle w:val="Default"/>
        <w:ind w:firstLine="720"/>
        <w:rPr>
          <w:rFonts w:ascii="Times New Roman" w:hAnsi="Times New Roman" w:cs="Times New Roman"/>
        </w:rPr>
      </w:pPr>
      <w:r w:rsidRPr="0090669D">
        <w:rPr>
          <w:rFonts w:ascii="Times New Roman" w:hAnsi="Times New Roman" w:cs="Times New Roman"/>
        </w:rPr>
        <w:t xml:space="preserve">Based on the universe data presented in Exhibit 2, this section estimates the </w:t>
      </w:r>
      <w:r w:rsidR="00F04421">
        <w:rPr>
          <w:rFonts w:ascii="Times New Roman" w:hAnsi="Times New Roman" w:cs="Times New Roman"/>
        </w:rPr>
        <w:t xml:space="preserve">change in </w:t>
      </w:r>
      <w:r w:rsidRPr="0090669D">
        <w:rPr>
          <w:rFonts w:ascii="Times New Roman" w:hAnsi="Times New Roman" w:cs="Times New Roman"/>
        </w:rPr>
        <w:t>respondent burden associated with all of the information collection requirements covered in this ICR</w:t>
      </w:r>
      <w:r>
        <w:rPr>
          <w:rFonts w:ascii="Times New Roman" w:hAnsi="Times New Roman" w:cs="Times New Roman"/>
        </w:rPr>
        <w:t xml:space="preserve">. </w:t>
      </w:r>
      <w:r w:rsidRPr="0090669D">
        <w:rPr>
          <w:rFonts w:ascii="Times New Roman" w:hAnsi="Times New Roman" w:cs="Times New Roman"/>
        </w:rPr>
        <w:t>The total</w:t>
      </w:r>
      <w:r w:rsidR="00F04421">
        <w:rPr>
          <w:rFonts w:ascii="Times New Roman" w:hAnsi="Times New Roman" w:cs="Times New Roman"/>
        </w:rPr>
        <w:t xml:space="preserve"> changes in</w:t>
      </w:r>
      <w:r w:rsidRPr="0090669D">
        <w:rPr>
          <w:rFonts w:ascii="Times New Roman" w:hAnsi="Times New Roman" w:cs="Times New Roman"/>
        </w:rPr>
        <w:t xml:space="preserve"> respondent burden and cost are reported in Exhibits </w:t>
      </w:r>
      <w:r w:rsidR="00F04421">
        <w:rPr>
          <w:rFonts w:ascii="Times New Roman" w:hAnsi="Times New Roman" w:cs="Times New Roman"/>
        </w:rPr>
        <w:t>3</w:t>
      </w:r>
      <w:r>
        <w:rPr>
          <w:rFonts w:ascii="Times New Roman" w:hAnsi="Times New Roman" w:cs="Times New Roman"/>
        </w:rPr>
        <w:t>A</w:t>
      </w:r>
      <w:r w:rsidRPr="0090669D">
        <w:rPr>
          <w:rFonts w:ascii="Times New Roman" w:hAnsi="Times New Roman" w:cs="Times New Roman"/>
        </w:rPr>
        <w:t>-</w:t>
      </w:r>
      <w:r w:rsidR="001B2C82">
        <w:rPr>
          <w:rFonts w:ascii="Times New Roman" w:hAnsi="Times New Roman" w:cs="Times New Roman"/>
        </w:rPr>
        <w:t>E</w:t>
      </w:r>
      <w:r w:rsidR="0097427A">
        <w:rPr>
          <w:rFonts w:ascii="Times New Roman" w:hAnsi="Times New Roman" w:cs="Times New Roman"/>
        </w:rPr>
        <w:t xml:space="preserve"> found on pages 18-20</w:t>
      </w:r>
      <w:r>
        <w:rPr>
          <w:rFonts w:ascii="Times New Roman" w:hAnsi="Times New Roman" w:cs="Times New Roman"/>
        </w:rPr>
        <w:t xml:space="preserve">. </w:t>
      </w:r>
      <w:r w:rsidRPr="0090669D">
        <w:rPr>
          <w:rFonts w:ascii="Times New Roman" w:hAnsi="Times New Roman" w:cs="Times New Roman"/>
        </w:rPr>
        <w:t>This section describes the assumptions used in developing the burden estimates.</w:t>
      </w:r>
      <w:r>
        <w:rPr>
          <w:rFonts w:ascii="Times New Roman" w:hAnsi="Times New Roman" w:cs="Times New Roman"/>
        </w:rPr>
        <w:t xml:space="preserve"> </w:t>
      </w:r>
    </w:p>
    <w:p w14:paraId="5E7AD6F4" w14:textId="77777777" w:rsidR="00114E8C" w:rsidRDefault="00114E8C" w:rsidP="00E05801">
      <w:pPr>
        <w:pStyle w:val="Default"/>
        <w:ind w:firstLine="720"/>
        <w:rPr>
          <w:rFonts w:ascii="Times New Roman" w:hAnsi="Times New Roman" w:cs="Times New Roman"/>
        </w:rPr>
      </w:pPr>
    </w:p>
    <w:p w14:paraId="29953DC3" w14:textId="77777777" w:rsidR="009317B2" w:rsidRDefault="009317B2" w:rsidP="009317B2">
      <w:pPr>
        <w:pStyle w:val="Default"/>
        <w:ind w:firstLine="720"/>
        <w:rPr>
          <w:rFonts w:ascii="Times New Roman" w:hAnsi="Times New Roman" w:cs="Times New Roman"/>
          <w:b/>
          <w:i/>
        </w:rPr>
      </w:pPr>
      <w:r w:rsidRPr="009317B2">
        <w:rPr>
          <w:rFonts w:ascii="Times New Roman" w:hAnsi="Times New Roman" w:cs="Times New Roman"/>
          <w:b/>
          <w:i/>
        </w:rPr>
        <w:t>One Time Costs</w:t>
      </w:r>
    </w:p>
    <w:p w14:paraId="5D6F23A0" w14:textId="77777777" w:rsidR="0078639C" w:rsidRPr="009317B2" w:rsidRDefault="0078639C" w:rsidP="009317B2">
      <w:pPr>
        <w:pStyle w:val="Default"/>
        <w:ind w:firstLine="720"/>
        <w:rPr>
          <w:rFonts w:ascii="Times New Roman" w:hAnsi="Times New Roman" w:cs="Times New Roman"/>
          <w:b/>
          <w:i/>
        </w:rPr>
      </w:pPr>
    </w:p>
    <w:p w14:paraId="0BB69D66" w14:textId="0962BD26" w:rsidR="009317B2" w:rsidRDefault="00AF439A" w:rsidP="00403A59">
      <w:pPr>
        <w:pStyle w:val="BodyTextIndent"/>
        <w:spacing w:after="120"/>
        <w:jc w:val="left"/>
      </w:pPr>
      <w:r>
        <w:t>E</w:t>
      </w:r>
      <w:r w:rsidR="009317B2">
        <w:t xml:space="preserve">PA estimates </w:t>
      </w:r>
      <w:r>
        <w:t>one-time</w:t>
      </w:r>
      <w:r w:rsidR="009317B2">
        <w:t xml:space="preserve"> costs for facilities that enter the universe of facilities affected by the rule in a given year.  Facilities are </w:t>
      </w:r>
      <w:r w:rsidR="000048CC">
        <w:t xml:space="preserve">estimated </w:t>
      </w:r>
      <w:r w:rsidR="009317B2">
        <w:t>to incur these costs only in the year in which they enter the affected universe.</w:t>
      </w:r>
      <w:r w:rsidR="00403A59">
        <w:t xml:space="preserve"> </w:t>
      </w:r>
      <w:r w:rsidR="005B1A92" w:rsidRPr="00166AFF">
        <w:t xml:space="preserve">EPA </w:t>
      </w:r>
      <w:r w:rsidR="00823A25">
        <w:t>estimates</w:t>
      </w:r>
      <w:r w:rsidR="00823A25" w:rsidRPr="00166AFF">
        <w:t xml:space="preserve"> </w:t>
      </w:r>
      <w:r w:rsidR="005B1A92" w:rsidRPr="00166AFF">
        <w:t>that new facilities will open at a rate equal to</w:t>
      </w:r>
      <w:r w:rsidR="005B1A92">
        <w:t xml:space="preserve"> 5.9 percent</w:t>
      </w:r>
      <w:r w:rsidR="005B1A92" w:rsidRPr="00166AFF">
        <w:t xml:space="preserve"> of the size of the universe each year</w:t>
      </w:r>
      <w:r w:rsidR="005B1A92">
        <w:t>.</w:t>
      </w:r>
      <w:r w:rsidR="007B387D">
        <w:rPr>
          <w:rStyle w:val="FootnoteReference"/>
        </w:rPr>
        <w:footnoteReference w:id="8"/>
      </w:r>
    </w:p>
    <w:p w14:paraId="77C11796" w14:textId="77777777" w:rsidR="0078639C" w:rsidRDefault="0078639C" w:rsidP="009317B2">
      <w:pPr>
        <w:pStyle w:val="BodyTextIndent"/>
        <w:spacing w:after="120"/>
        <w:ind w:firstLine="0"/>
        <w:jc w:val="left"/>
      </w:pPr>
    </w:p>
    <w:p w14:paraId="7638FC60" w14:textId="320290C5" w:rsidR="009317B2" w:rsidRDefault="009317B2" w:rsidP="00550AEF">
      <w:pPr>
        <w:ind w:firstLine="720"/>
        <w:rPr>
          <w:b/>
          <w:i/>
        </w:rPr>
      </w:pPr>
      <w:r w:rsidRPr="009317B2">
        <w:rPr>
          <w:b/>
          <w:i/>
        </w:rPr>
        <w:t xml:space="preserve">Notification </w:t>
      </w:r>
    </w:p>
    <w:p w14:paraId="0336F7FF" w14:textId="77777777" w:rsidR="00C509F7" w:rsidRPr="009317B2" w:rsidRDefault="00C509F7" w:rsidP="009317B2">
      <w:pPr>
        <w:pStyle w:val="Default"/>
        <w:ind w:firstLine="720"/>
        <w:rPr>
          <w:rFonts w:ascii="Times New Roman" w:hAnsi="Times New Roman" w:cs="Times New Roman"/>
          <w:b/>
          <w:i/>
        </w:rPr>
      </w:pPr>
    </w:p>
    <w:p w14:paraId="6ED4B4B2" w14:textId="758AB596" w:rsidR="009317B2" w:rsidRPr="004037A8" w:rsidRDefault="002B3263" w:rsidP="00403A59">
      <w:pPr>
        <w:pStyle w:val="IEcNormalText"/>
        <w:ind w:firstLine="720"/>
        <w:rPr>
          <w:sz w:val="24"/>
          <w:szCs w:val="24"/>
        </w:rPr>
      </w:pPr>
      <w:r w:rsidRPr="004037A8">
        <w:rPr>
          <w:sz w:val="24"/>
          <w:szCs w:val="24"/>
        </w:rPr>
        <w:t>U</w:t>
      </w:r>
      <w:r w:rsidR="009317B2" w:rsidRPr="004037A8">
        <w:rPr>
          <w:sz w:val="24"/>
          <w:szCs w:val="24"/>
        </w:rPr>
        <w:t>nder the proposed rule</w:t>
      </w:r>
      <w:r w:rsidRPr="004037A8">
        <w:rPr>
          <w:sz w:val="24"/>
          <w:szCs w:val="24"/>
        </w:rPr>
        <w:t>, notification is required</w:t>
      </w:r>
      <w:r w:rsidR="009317B2" w:rsidRPr="004037A8">
        <w:rPr>
          <w:sz w:val="24"/>
          <w:szCs w:val="24"/>
        </w:rPr>
        <w:t xml:space="preserve"> for </w:t>
      </w:r>
      <w:r w:rsidRPr="004037A8">
        <w:rPr>
          <w:sz w:val="24"/>
          <w:szCs w:val="24"/>
        </w:rPr>
        <w:t xml:space="preserve">new </w:t>
      </w:r>
      <w:r w:rsidR="009317B2" w:rsidRPr="004037A8">
        <w:rPr>
          <w:sz w:val="24"/>
          <w:szCs w:val="24"/>
        </w:rPr>
        <w:t xml:space="preserve">facilities that </w:t>
      </w:r>
      <w:r w:rsidRPr="004037A8">
        <w:rPr>
          <w:sz w:val="24"/>
          <w:szCs w:val="24"/>
        </w:rPr>
        <w:t xml:space="preserve">are </w:t>
      </w:r>
      <w:r w:rsidR="009317B2" w:rsidRPr="004037A8">
        <w:rPr>
          <w:sz w:val="24"/>
          <w:szCs w:val="24"/>
        </w:rPr>
        <w:t xml:space="preserve">LQHs.  SQHs are not required to notify under the </w:t>
      </w:r>
      <w:r w:rsidRPr="004037A8">
        <w:rPr>
          <w:sz w:val="24"/>
          <w:szCs w:val="24"/>
        </w:rPr>
        <w:t>proposed rule</w:t>
      </w:r>
      <w:r w:rsidR="009317B2" w:rsidRPr="004037A8">
        <w:rPr>
          <w:sz w:val="24"/>
          <w:szCs w:val="24"/>
        </w:rPr>
        <w:t xml:space="preserve">.  </w:t>
      </w:r>
      <w:r w:rsidRPr="004037A8">
        <w:rPr>
          <w:sz w:val="24"/>
          <w:szCs w:val="24"/>
        </w:rPr>
        <w:t xml:space="preserve">This ICR estimates notification costs of </w:t>
      </w:r>
      <w:r w:rsidR="009317B2" w:rsidRPr="004037A8">
        <w:rPr>
          <w:sz w:val="24"/>
          <w:szCs w:val="24"/>
        </w:rPr>
        <w:t>approximately $62 per facility.  This cost reflects 0.08 hours of managerial time, 0.93 hours of technician time, and 0.08 hours of administrative time, as well as an O&amp;M cost of approximately $3.85.</w:t>
      </w:r>
      <w:r w:rsidRPr="004037A8">
        <w:rPr>
          <w:sz w:val="24"/>
          <w:szCs w:val="24"/>
        </w:rPr>
        <w:t xml:space="preserve"> </w:t>
      </w:r>
      <w:r w:rsidR="00B007D8" w:rsidRPr="004037A8">
        <w:rPr>
          <w:sz w:val="24"/>
          <w:szCs w:val="24"/>
        </w:rPr>
        <w:t xml:space="preserve">This ICR estimates that </w:t>
      </w:r>
      <w:r w:rsidR="00835407">
        <w:rPr>
          <w:sz w:val="24"/>
          <w:szCs w:val="24"/>
        </w:rPr>
        <w:t xml:space="preserve">approximately </w:t>
      </w:r>
      <w:r w:rsidR="00674230">
        <w:rPr>
          <w:sz w:val="24"/>
          <w:szCs w:val="24"/>
        </w:rPr>
        <w:t>6</w:t>
      </w:r>
      <w:r w:rsidR="00674230" w:rsidRPr="004037A8">
        <w:rPr>
          <w:sz w:val="24"/>
          <w:szCs w:val="24"/>
        </w:rPr>
        <w:t xml:space="preserve"> </w:t>
      </w:r>
      <w:r w:rsidR="00B007D8" w:rsidRPr="004037A8">
        <w:rPr>
          <w:sz w:val="24"/>
          <w:szCs w:val="24"/>
        </w:rPr>
        <w:t xml:space="preserve">new </w:t>
      </w:r>
      <w:r w:rsidR="00674230">
        <w:rPr>
          <w:sz w:val="24"/>
          <w:szCs w:val="24"/>
        </w:rPr>
        <w:t>L</w:t>
      </w:r>
      <w:r w:rsidR="00674230" w:rsidRPr="004037A8">
        <w:rPr>
          <w:sz w:val="24"/>
          <w:szCs w:val="24"/>
        </w:rPr>
        <w:t xml:space="preserve">QHs </w:t>
      </w:r>
      <w:r w:rsidR="00B007D8" w:rsidRPr="004037A8">
        <w:rPr>
          <w:sz w:val="24"/>
          <w:szCs w:val="24"/>
        </w:rPr>
        <w:t xml:space="preserve">will enter the post-rule universe each year and </w:t>
      </w:r>
      <w:r w:rsidR="00674230">
        <w:rPr>
          <w:sz w:val="24"/>
          <w:szCs w:val="24"/>
        </w:rPr>
        <w:t>incur the costs associated with the UW notification requirements.</w:t>
      </w:r>
    </w:p>
    <w:p w14:paraId="7125004F" w14:textId="77777777" w:rsidR="00C509F7" w:rsidRDefault="00C509F7" w:rsidP="009317B2">
      <w:pPr>
        <w:pStyle w:val="IEcNormalText"/>
      </w:pPr>
    </w:p>
    <w:p w14:paraId="3389B9FB" w14:textId="77777777" w:rsidR="009317B2" w:rsidRDefault="003A0748" w:rsidP="009317B2">
      <w:pPr>
        <w:pStyle w:val="Default"/>
        <w:ind w:firstLine="720"/>
        <w:rPr>
          <w:rFonts w:ascii="Times New Roman" w:hAnsi="Times New Roman" w:cs="Times New Roman"/>
          <w:b/>
          <w:i/>
        </w:rPr>
      </w:pPr>
      <w:r>
        <w:rPr>
          <w:rFonts w:ascii="Times New Roman" w:hAnsi="Times New Roman" w:cs="Times New Roman"/>
          <w:b/>
          <w:i/>
        </w:rPr>
        <w:t>Rule Familiarization</w:t>
      </w:r>
    </w:p>
    <w:p w14:paraId="45B09F96" w14:textId="77777777" w:rsidR="00C509F7" w:rsidRPr="009317B2" w:rsidRDefault="00C509F7" w:rsidP="009317B2">
      <w:pPr>
        <w:pStyle w:val="Default"/>
        <w:ind w:firstLine="720"/>
        <w:rPr>
          <w:rFonts w:ascii="Times New Roman" w:hAnsi="Times New Roman" w:cs="Times New Roman"/>
          <w:b/>
          <w:i/>
        </w:rPr>
      </w:pPr>
    </w:p>
    <w:p w14:paraId="23E70952" w14:textId="2BFF0A9C" w:rsidR="009317B2" w:rsidRPr="004037A8" w:rsidRDefault="00566D3E" w:rsidP="00775D05">
      <w:pPr>
        <w:pStyle w:val="IEcNormalText"/>
        <w:ind w:firstLine="720"/>
        <w:rPr>
          <w:sz w:val="24"/>
          <w:szCs w:val="24"/>
        </w:rPr>
      </w:pPr>
      <w:r w:rsidRPr="004037A8">
        <w:rPr>
          <w:sz w:val="24"/>
          <w:szCs w:val="24"/>
        </w:rPr>
        <w:t>Under the proposed rule, new L</w:t>
      </w:r>
      <w:r w:rsidR="00726C01" w:rsidRPr="004037A8">
        <w:rPr>
          <w:sz w:val="24"/>
          <w:szCs w:val="24"/>
        </w:rPr>
        <w:t>Q</w:t>
      </w:r>
      <w:r w:rsidRPr="004037A8">
        <w:rPr>
          <w:sz w:val="24"/>
          <w:szCs w:val="24"/>
        </w:rPr>
        <w:t xml:space="preserve">Hs and SQHs that enter the regulatory universe </w:t>
      </w:r>
      <w:r w:rsidR="00835407" w:rsidRPr="004037A8">
        <w:rPr>
          <w:sz w:val="24"/>
          <w:szCs w:val="24"/>
        </w:rPr>
        <w:t xml:space="preserve">are </w:t>
      </w:r>
      <w:r w:rsidR="000048CC">
        <w:rPr>
          <w:sz w:val="24"/>
          <w:szCs w:val="24"/>
        </w:rPr>
        <w:t>estimated</w:t>
      </w:r>
      <w:r w:rsidR="000048CC" w:rsidRPr="004037A8">
        <w:rPr>
          <w:sz w:val="24"/>
          <w:szCs w:val="24"/>
        </w:rPr>
        <w:t xml:space="preserve"> </w:t>
      </w:r>
      <w:r w:rsidR="00835407" w:rsidRPr="004037A8">
        <w:rPr>
          <w:sz w:val="24"/>
          <w:szCs w:val="24"/>
        </w:rPr>
        <w:t>to incur costs to familiarize themselves with the Universal Waste Rule and other RCRA regulations.</w:t>
      </w:r>
      <w:r w:rsidRPr="004037A8">
        <w:rPr>
          <w:sz w:val="24"/>
          <w:szCs w:val="24"/>
        </w:rPr>
        <w:t xml:space="preserve"> </w:t>
      </w:r>
      <w:r w:rsidR="00207090" w:rsidRPr="004037A8">
        <w:rPr>
          <w:sz w:val="24"/>
          <w:szCs w:val="24"/>
        </w:rPr>
        <w:t xml:space="preserve">LQHs are expected to spend 0.5 hours of legal time, 1 hour of managerial time, and 1.5 hours of technical time familiarizing themselves with the Universal Waste Rule and other RCRA regulations. SQHs are expected to spend </w:t>
      </w:r>
      <w:r w:rsidR="00D6082A" w:rsidRPr="004037A8">
        <w:rPr>
          <w:sz w:val="24"/>
          <w:szCs w:val="24"/>
        </w:rPr>
        <w:t xml:space="preserve">1 hour of managerial time </w:t>
      </w:r>
      <w:r w:rsidR="00207090" w:rsidRPr="004037A8">
        <w:rPr>
          <w:sz w:val="24"/>
          <w:szCs w:val="24"/>
        </w:rPr>
        <w:t>and 1.5 hours of technical time</w:t>
      </w:r>
      <w:r w:rsidR="00D6082A" w:rsidRPr="004037A8">
        <w:rPr>
          <w:sz w:val="24"/>
          <w:szCs w:val="24"/>
        </w:rPr>
        <w:t xml:space="preserve">. As a result, new LQHs and SQHs are expected to </w:t>
      </w:r>
      <w:r w:rsidR="00835407">
        <w:rPr>
          <w:sz w:val="24"/>
          <w:szCs w:val="24"/>
        </w:rPr>
        <w:t>incur</w:t>
      </w:r>
      <w:r w:rsidR="00835407" w:rsidRPr="004037A8">
        <w:rPr>
          <w:sz w:val="24"/>
          <w:szCs w:val="24"/>
        </w:rPr>
        <w:t xml:space="preserve"> </w:t>
      </w:r>
      <w:r w:rsidR="00651A7B">
        <w:rPr>
          <w:sz w:val="24"/>
          <w:szCs w:val="24"/>
        </w:rPr>
        <w:t xml:space="preserve">costs of </w:t>
      </w:r>
      <w:r w:rsidR="00D6082A" w:rsidRPr="004037A8">
        <w:rPr>
          <w:sz w:val="24"/>
          <w:szCs w:val="24"/>
        </w:rPr>
        <w:t>$</w:t>
      </w:r>
      <w:r w:rsidR="00835407">
        <w:rPr>
          <w:sz w:val="24"/>
          <w:szCs w:val="24"/>
        </w:rPr>
        <w:t>268</w:t>
      </w:r>
      <w:r w:rsidR="00D6082A" w:rsidRPr="004037A8">
        <w:rPr>
          <w:sz w:val="24"/>
          <w:szCs w:val="24"/>
        </w:rPr>
        <w:t xml:space="preserve"> and $</w:t>
      </w:r>
      <w:r w:rsidR="00835407">
        <w:rPr>
          <w:sz w:val="24"/>
          <w:szCs w:val="24"/>
        </w:rPr>
        <w:t>188</w:t>
      </w:r>
      <w:r w:rsidR="00D6082A" w:rsidRPr="004037A8">
        <w:rPr>
          <w:sz w:val="24"/>
          <w:szCs w:val="24"/>
        </w:rPr>
        <w:t xml:space="preserve"> on rule familiarization respectively as result of the proposed rule.</w:t>
      </w:r>
    </w:p>
    <w:p w14:paraId="1C66B080" w14:textId="3A0F60A1" w:rsidR="002C5347" w:rsidRDefault="009317B2" w:rsidP="00B57A66">
      <w:pPr>
        <w:pStyle w:val="IEcNormalText"/>
        <w:rPr>
          <w:b/>
          <w:i/>
          <w:color w:val="000000"/>
        </w:rPr>
      </w:pPr>
      <w:r w:rsidRPr="004037A8">
        <w:rPr>
          <w:sz w:val="24"/>
          <w:szCs w:val="24"/>
        </w:rPr>
        <w:t xml:space="preserve">This </w:t>
      </w:r>
      <w:r w:rsidR="00804633" w:rsidRPr="004037A8">
        <w:rPr>
          <w:sz w:val="24"/>
          <w:szCs w:val="24"/>
        </w:rPr>
        <w:t xml:space="preserve">ICR </w:t>
      </w:r>
      <w:r w:rsidRPr="004037A8">
        <w:rPr>
          <w:sz w:val="24"/>
          <w:szCs w:val="24"/>
        </w:rPr>
        <w:t xml:space="preserve">also estimates rule familiarization costs for </w:t>
      </w:r>
      <w:r w:rsidRPr="004037A8">
        <w:rPr>
          <w:i/>
          <w:sz w:val="24"/>
          <w:szCs w:val="24"/>
        </w:rPr>
        <w:t>existing</w:t>
      </w:r>
      <w:r w:rsidRPr="004037A8">
        <w:rPr>
          <w:sz w:val="24"/>
          <w:szCs w:val="24"/>
        </w:rPr>
        <w:t xml:space="preserve"> facilities that decide to manage their aerosol cans as universal waste.  </w:t>
      </w:r>
      <w:r w:rsidR="00743D1D">
        <w:rPr>
          <w:sz w:val="24"/>
          <w:szCs w:val="24"/>
        </w:rPr>
        <w:t xml:space="preserve"> As for new UW facilities, t</w:t>
      </w:r>
      <w:r w:rsidR="00804633" w:rsidRPr="004037A8">
        <w:rPr>
          <w:sz w:val="24"/>
          <w:szCs w:val="24"/>
        </w:rPr>
        <w:t>his ICR estimates that rule familiarization at existing facilities costs $</w:t>
      </w:r>
      <w:r w:rsidR="00420818" w:rsidRPr="004037A8">
        <w:rPr>
          <w:sz w:val="24"/>
          <w:szCs w:val="24"/>
        </w:rPr>
        <w:t>2</w:t>
      </w:r>
      <w:r w:rsidR="00743D1D">
        <w:rPr>
          <w:sz w:val="24"/>
          <w:szCs w:val="24"/>
        </w:rPr>
        <w:t>6</w:t>
      </w:r>
      <w:r w:rsidR="00420818">
        <w:rPr>
          <w:sz w:val="24"/>
          <w:szCs w:val="24"/>
        </w:rPr>
        <w:t>8</w:t>
      </w:r>
      <w:r w:rsidR="00420818" w:rsidRPr="004037A8">
        <w:rPr>
          <w:sz w:val="24"/>
          <w:szCs w:val="24"/>
        </w:rPr>
        <w:t xml:space="preserve"> </w:t>
      </w:r>
      <w:r w:rsidR="00804633" w:rsidRPr="004037A8">
        <w:rPr>
          <w:sz w:val="24"/>
          <w:szCs w:val="24"/>
        </w:rPr>
        <w:t>for LQHs and $188 for SQHs, or $19 and $13 respectively when annualized at a seven percent discount rate.</w:t>
      </w:r>
      <w:r w:rsidR="00BD22DC" w:rsidRPr="004037A8">
        <w:rPr>
          <w:sz w:val="24"/>
          <w:szCs w:val="24"/>
        </w:rPr>
        <w:t xml:space="preserve"> EPA expects 431 facilities that are SQHs post-rule and 208 facilities that are LQHs post-rule to incur these rule familiarization costs.</w:t>
      </w:r>
    </w:p>
    <w:p w14:paraId="5721D6E7" w14:textId="77777777" w:rsidR="00C509F7" w:rsidRPr="004037A8" w:rsidRDefault="00C509F7" w:rsidP="009317B2">
      <w:pPr>
        <w:pStyle w:val="IEcNormalText"/>
        <w:rPr>
          <w:sz w:val="24"/>
          <w:szCs w:val="24"/>
        </w:rPr>
      </w:pPr>
    </w:p>
    <w:p w14:paraId="483E3562" w14:textId="77777777" w:rsidR="009317B2" w:rsidRPr="004037A8" w:rsidRDefault="009317B2" w:rsidP="009317B2">
      <w:pPr>
        <w:pStyle w:val="Default"/>
        <w:ind w:firstLine="720"/>
        <w:rPr>
          <w:rFonts w:ascii="Times New Roman" w:hAnsi="Times New Roman" w:cs="Times New Roman"/>
          <w:b/>
          <w:i/>
        </w:rPr>
      </w:pPr>
      <w:r w:rsidRPr="004037A8">
        <w:rPr>
          <w:rFonts w:ascii="Times New Roman" w:hAnsi="Times New Roman" w:cs="Times New Roman"/>
          <w:b/>
          <w:i/>
        </w:rPr>
        <w:t>Fixed Annual Costs</w:t>
      </w:r>
    </w:p>
    <w:p w14:paraId="1592DCCD" w14:textId="77777777" w:rsidR="00F1189D" w:rsidRPr="004037A8" w:rsidRDefault="00F1189D" w:rsidP="009317B2">
      <w:pPr>
        <w:pStyle w:val="IEcNormalText"/>
        <w:rPr>
          <w:sz w:val="24"/>
          <w:szCs w:val="24"/>
        </w:rPr>
      </w:pPr>
    </w:p>
    <w:p w14:paraId="3E2D630A" w14:textId="77777777" w:rsidR="009317B2" w:rsidRPr="004037A8" w:rsidRDefault="009317B2" w:rsidP="00F1189D">
      <w:pPr>
        <w:pStyle w:val="IEcNormalText"/>
        <w:ind w:firstLine="720"/>
        <w:rPr>
          <w:sz w:val="24"/>
          <w:szCs w:val="24"/>
        </w:rPr>
      </w:pPr>
      <w:r w:rsidRPr="004037A8">
        <w:rPr>
          <w:sz w:val="24"/>
          <w:szCs w:val="24"/>
        </w:rPr>
        <w:t>Fixed annual costs include costs that typically remain unchanged from year to year</w:t>
      </w:r>
      <w:r w:rsidR="00F449E7" w:rsidRPr="004037A8">
        <w:rPr>
          <w:sz w:val="24"/>
          <w:szCs w:val="24"/>
        </w:rPr>
        <w:t xml:space="preserve"> for facilities potentially affected by the proposed rule</w:t>
      </w:r>
      <w:r w:rsidRPr="004037A8">
        <w:rPr>
          <w:sz w:val="24"/>
          <w:szCs w:val="24"/>
        </w:rPr>
        <w:t>.</w:t>
      </w:r>
    </w:p>
    <w:p w14:paraId="6E3D43CE" w14:textId="77777777" w:rsidR="00F1189D" w:rsidRPr="004037A8" w:rsidRDefault="00F1189D" w:rsidP="009317B2">
      <w:pPr>
        <w:pStyle w:val="IEcNormalText"/>
        <w:rPr>
          <w:sz w:val="24"/>
          <w:szCs w:val="24"/>
        </w:rPr>
      </w:pPr>
    </w:p>
    <w:p w14:paraId="3F5F397C" w14:textId="77777777" w:rsidR="00C509F7" w:rsidRPr="004037A8" w:rsidRDefault="00C509F7" w:rsidP="00C509F7">
      <w:pPr>
        <w:pStyle w:val="Default"/>
        <w:ind w:firstLine="720"/>
        <w:rPr>
          <w:rFonts w:ascii="Times New Roman" w:hAnsi="Times New Roman" w:cs="Times New Roman"/>
          <w:b/>
          <w:i/>
        </w:rPr>
      </w:pPr>
      <w:r w:rsidRPr="004037A8">
        <w:rPr>
          <w:rFonts w:ascii="Times New Roman" w:hAnsi="Times New Roman" w:cs="Times New Roman"/>
          <w:b/>
          <w:i/>
        </w:rPr>
        <w:t>Annual Review of Regulations</w:t>
      </w:r>
    </w:p>
    <w:p w14:paraId="432D296E" w14:textId="77777777" w:rsidR="00C509F7" w:rsidRPr="004037A8" w:rsidRDefault="00C509F7" w:rsidP="00C509F7">
      <w:pPr>
        <w:pStyle w:val="Default"/>
        <w:ind w:firstLine="720"/>
        <w:rPr>
          <w:rFonts w:ascii="Times New Roman" w:hAnsi="Times New Roman" w:cs="Times New Roman"/>
          <w:b/>
          <w:i/>
        </w:rPr>
      </w:pPr>
    </w:p>
    <w:p w14:paraId="369B4391" w14:textId="2BE29E59" w:rsidR="00C509F7" w:rsidRPr="004037A8" w:rsidRDefault="00BE0854" w:rsidP="00C509F7">
      <w:pPr>
        <w:pStyle w:val="IEcNormalText"/>
        <w:ind w:firstLine="720"/>
        <w:rPr>
          <w:sz w:val="24"/>
          <w:szCs w:val="24"/>
        </w:rPr>
      </w:pPr>
      <w:r w:rsidRPr="004037A8">
        <w:rPr>
          <w:sz w:val="24"/>
          <w:szCs w:val="24"/>
        </w:rPr>
        <w:t xml:space="preserve">Under the proposed rule, universal waste handlers are expected to incur costs associated with an annual review of the regulations, estimated to cost $93 for LQHs and $61 for SQHs. </w:t>
      </w:r>
      <w:r w:rsidR="00C509F7" w:rsidRPr="004037A8">
        <w:rPr>
          <w:sz w:val="24"/>
          <w:szCs w:val="24"/>
        </w:rPr>
        <w:t xml:space="preserve"> </w:t>
      </w:r>
      <w:r w:rsidR="0033116A" w:rsidRPr="004037A8">
        <w:rPr>
          <w:sz w:val="24"/>
          <w:szCs w:val="24"/>
        </w:rPr>
        <w:t xml:space="preserve">This ICR estimates that 28 facilities will change generator status from LQG to SQG/SQH and </w:t>
      </w:r>
      <w:r w:rsidR="00C3096E">
        <w:rPr>
          <w:sz w:val="24"/>
          <w:szCs w:val="24"/>
        </w:rPr>
        <w:t>incur</w:t>
      </w:r>
      <w:r w:rsidR="00C3096E" w:rsidRPr="004037A8">
        <w:rPr>
          <w:sz w:val="24"/>
          <w:szCs w:val="24"/>
        </w:rPr>
        <w:t xml:space="preserve"> </w:t>
      </w:r>
      <w:r w:rsidR="0033116A" w:rsidRPr="004037A8">
        <w:rPr>
          <w:sz w:val="24"/>
          <w:szCs w:val="24"/>
        </w:rPr>
        <w:t>cost</w:t>
      </w:r>
      <w:r w:rsidR="00C3096E">
        <w:rPr>
          <w:sz w:val="24"/>
          <w:szCs w:val="24"/>
        </w:rPr>
        <w:t>s</w:t>
      </w:r>
      <w:r w:rsidR="0033116A" w:rsidRPr="004037A8">
        <w:rPr>
          <w:sz w:val="24"/>
          <w:szCs w:val="24"/>
        </w:rPr>
        <w:t xml:space="preserve"> of $</w:t>
      </w:r>
      <w:r w:rsidR="00C3096E">
        <w:rPr>
          <w:sz w:val="24"/>
          <w:szCs w:val="24"/>
        </w:rPr>
        <w:t>61</w:t>
      </w:r>
      <w:r w:rsidR="0033116A" w:rsidRPr="004037A8">
        <w:rPr>
          <w:sz w:val="24"/>
          <w:szCs w:val="24"/>
        </w:rPr>
        <w:t xml:space="preserve"> each year. This ICR also estimates that 92 facilities will change generator status from SQG to LQH and incur costs of $</w:t>
      </w:r>
      <w:r w:rsidR="00C3096E">
        <w:rPr>
          <w:sz w:val="24"/>
          <w:szCs w:val="24"/>
        </w:rPr>
        <w:t>93</w:t>
      </w:r>
      <w:r w:rsidR="00C3096E" w:rsidRPr="004037A8">
        <w:rPr>
          <w:sz w:val="24"/>
          <w:szCs w:val="24"/>
        </w:rPr>
        <w:t xml:space="preserve"> </w:t>
      </w:r>
      <w:r w:rsidR="0033116A" w:rsidRPr="004037A8">
        <w:rPr>
          <w:sz w:val="24"/>
          <w:szCs w:val="24"/>
        </w:rPr>
        <w:t>each year.</w:t>
      </w:r>
    </w:p>
    <w:p w14:paraId="36CE4383" w14:textId="13F3D400" w:rsidR="009317B2" w:rsidRPr="004037A8" w:rsidRDefault="009317B2">
      <w:pPr>
        <w:pStyle w:val="IEcNormalText"/>
        <w:ind w:firstLine="720"/>
        <w:rPr>
          <w:sz w:val="24"/>
          <w:szCs w:val="24"/>
        </w:rPr>
      </w:pPr>
    </w:p>
    <w:p w14:paraId="106E077D" w14:textId="77777777" w:rsidR="009317B2" w:rsidRPr="004037A8" w:rsidRDefault="009317B2" w:rsidP="00D005DF">
      <w:pPr>
        <w:pStyle w:val="Default"/>
        <w:ind w:firstLine="720"/>
        <w:rPr>
          <w:rFonts w:ascii="Times New Roman" w:hAnsi="Times New Roman" w:cs="Times New Roman"/>
          <w:b/>
          <w:i/>
        </w:rPr>
      </w:pPr>
      <w:r w:rsidRPr="004037A8">
        <w:rPr>
          <w:rFonts w:ascii="Times New Roman" w:hAnsi="Times New Roman" w:cs="Times New Roman"/>
          <w:b/>
          <w:i/>
        </w:rPr>
        <w:t>Annual Employee Training</w:t>
      </w:r>
    </w:p>
    <w:p w14:paraId="6821EFB2" w14:textId="77777777" w:rsidR="00F1189D" w:rsidRPr="004037A8" w:rsidRDefault="00F1189D" w:rsidP="00F1189D">
      <w:pPr>
        <w:pStyle w:val="IEcNormalText"/>
        <w:ind w:firstLine="720"/>
        <w:rPr>
          <w:sz w:val="24"/>
          <w:szCs w:val="24"/>
          <w:lang w:val="en-CA"/>
        </w:rPr>
      </w:pPr>
    </w:p>
    <w:p w14:paraId="400C1BC9" w14:textId="1284B667" w:rsidR="00A11043" w:rsidRPr="004037A8" w:rsidRDefault="00737D52" w:rsidP="00F1189D">
      <w:pPr>
        <w:pStyle w:val="IEcNormalText"/>
        <w:ind w:firstLine="720"/>
        <w:rPr>
          <w:sz w:val="24"/>
          <w:szCs w:val="24"/>
        </w:rPr>
      </w:pPr>
      <w:r w:rsidRPr="004037A8">
        <w:rPr>
          <w:sz w:val="24"/>
          <w:szCs w:val="24"/>
        </w:rPr>
        <w:t xml:space="preserve">Under the proposed rule, handlers of universal waste aerosol cans will incur training costs.  LQHs are </w:t>
      </w:r>
      <w:r w:rsidR="000048CC">
        <w:rPr>
          <w:sz w:val="24"/>
          <w:szCs w:val="24"/>
        </w:rPr>
        <w:t>estimated</w:t>
      </w:r>
      <w:r w:rsidR="000048CC" w:rsidRPr="004037A8">
        <w:rPr>
          <w:sz w:val="24"/>
          <w:szCs w:val="24"/>
        </w:rPr>
        <w:t xml:space="preserve"> </w:t>
      </w:r>
      <w:r w:rsidRPr="004037A8">
        <w:rPr>
          <w:sz w:val="24"/>
          <w:szCs w:val="24"/>
        </w:rPr>
        <w:t>to train four technicians and two manag</w:t>
      </w:r>
      <w:r w:rsidR="00A11043" w:rsidRPr="004037A8">
        <w:rPr>
          <w:sz w:val="24"/>
          <w:szCs w:val="24"/>
        </w:rPr>
        <w:t xml:space="preserve">ers through a two-hour training. Additionally, LQHs are </w:t>
      </w:r>
      <w:r w:rsidR="000048CC">
        <w:rPr>
          <w:sz w:val="24"/>
          <w:szCs w:val="24"/>
        </w:rPr>
        <w:t>estimated</w:t>
      </w:r>
      <w:r w:rsidR="000048CC" w:rsidRPr="004037A8">
        <w:rPr>
          <w:sz w:val="24"/>
          <w:szCs w:val="24"/>
        </w:rPr>
        <w:t xml:space="preserve"> </w:t>
      </w:r>
      <w:r w:rsidR="00A11043" w:rsidRPr="004037A8">
        <w:rPr>
          <w:sz w:val="24"/>
          <w:szCs w:val="24"/>
        </w:rPr>
        <w:t>to incur 0.6 hours of clerical time an</w:t>
      </w:r>
      <w:r w:rsidR="000F1B98" w:rsidRPr="004037A8">
        <w:rPr>
          <w:sz w:val="24"/>
          <w:szCs w:val="24"/>
        </w:rPr>
        <w:t>d</w:t>
      </w:r>
      <w:r w:rsidR="00A11043" w:rsidRPr="004037A8">
        <w:rPr>
          <w:sz w:val="24"/>
          <w:szCs w:val="24"/>
        </w:rPr>
        <w:t xml:space="preserve"> 4 managerial hours to develop the training. SQHs are </w:t>
      </w:r>
      <w:r w:rsidR="000048CC">
        <w:rPr>
          <w:sz w:val="24"/>
          <w:szCs w:val="24"/>
        </w:rPr>
        <w:t>estimated</w:t>
      </w:r>
      <w:r w:rsidR="000048CC" w:rsidRPr="004037A8">
        <w:rPr>
          <w:sz w:val="24"/>
          <w:szCs w:val="24"/>
        </w:rPr>
        <w:t xml:space="preserve"> </w:t>
      </w:r>
      <w:r w:rsidR="00A11043" w:rsidRPr="004037A8">
        <w:rPr>
          <w:sz w:val="24"/>
          <w:szCs w:val="24"/>
        </w:rPr>
        <w:t>to train 2 to 4 technicians and 1 to 2 managers through a</w:t>
      </w:r>
      <w:r w:rsidR="00BB4990" w:rsidRPr="004037A8">
        <w:rPr>
          <w:sz w:val="24"/>
          <w:szCs w:val="24"/>
        </w:rPr>
        <w:t xml:space="preserve"> </w:t>
      </w:r>
      <w:r w:rsidR="00A11043" w:rsidRPr="004037A8">
        <w:rPr>
          <w:sz w:val="24"/>
          <w:szCs w:val="24"/>
        </w:rPr>
        <w:t xml:space="preserve">one-hour training, and are also </w:t>
      </w:r>
      <w:r w:rsidR="000048CC">
        <w:rPr>
          <w:sz w:val="24"/>
          <w:szCs w:val="24"/>
        </w:rPr>
        <w:t>estimated</w:t>
      </w:r>
      <w:r w:rsidR="000048CC" w:rsidRPr="004037A8">
        <w:rPr>
          <w:sz w:val="24"/>
          <w:szCs w:val="24"/>
        </w:rPr>
        <w:t xml:space="preserve"> </w:t>
      </w:r>
      <w:r w:rsidR="00A11043" w:rsidRPr="004037A8">
        <w:rPr>
          <w:sz w:val="24"/>
          <w:szCs w:val="24"/>
        </w:rPr>
        <w:t xml:space="preserve">to incur 2 hours of managerial time to develop the training. </w:t>
      </w:r>
    </w:p>
    <w:p w14:paraId="2B92BEA5" w14:textId="4E649B30" w:rsidR="00737D52" w:rsidRPr="004037A8" w:rsidRDefault="00A11043" w:rsidP="00F1189D">
      <w:pPr>
        <w:pStyle w:val="IEcNormalText"/>
        <w:ind w:firstLine="720"/>
        <w:rPr>
          <w:sz w:val="24"/>
          <w:szCs w:val="24"/>
        </w:rPr>
      </w:pPr>
      <w:r w:rsidRPr="004037A8">
        <w:rPr>
          <w:sz w:val="24"/>
          <w:szCs w:val="24"/>
        </w:rPr>
        <w:t xml:space="preserve">Under the proposed rule, this ICR estimates that 6 facilities will change generator status from LQG to </w:t>
      </w:r>
      <w:r w:rsidR="00D5205D">
        <w:rPr>
          <w:sz w:val="24"/>
          <w:szCs w:val="24"/>
        </w:rPr>
        <w:t xml:space="preserve">LQH and </w:t>
      </w:r>
      <w:r w:rsidR="00D5205D" w:rsidRPr="004037A8">
        <w:rPr>
          <w:sz w:val="24"/>
          <w:szCs w:val="24"/>
        </w:rPr>
        <w:t xml:space="preserve">92 </w:t>
      </w:r>
      <w:r w:rsidR="00D5205D">
        <w:rPr>
          <w:sz w:val="24"/>
          <w:szCs w:val="24"/>
        </w:rPr>
        <w:t>facilities</w:t>
      </w:r>
      <w:r w:rsidR="00D5205D" w:rsidRPr="004037A8">
        <w:rPr>
          <w:sz w:val="24"/>
          <w:szCs w:val="24"/>
        </w:rPr>
        <w:t xml:space="preserve"> will change generator status from SQG to LQH</w:t>
      </w:r>
      <w:r w:rsidRPr="004037A8">
        <w:rPr>
          <w:sz w:val="24"/>
          <w:szCs w:val="24"/>
        </w:rPr>
        <w:t xml:space="preserve">. These facilities are expected to </w:t>
      </w:r>
      <w:r w:rsidR="00D5205D">
        <w:rPr>
          <w:sz w:val="24"/>
          <w:szCs w:val="24"/>
        </w:rPr>
        <w:t>incur</w:t>
      </w:r>
      <w:r w:rsidRPr="004037A8">
        <w:rPr>
          <w:sz w:val="24"/>
          <w:szCs w:val="24"/>
        </w:rPr>
        <w:t xml:space="preserve"> cost</w:t>
      </w:r>
      <w:r w:rsidR="00D5205D">
        <w:rPr>
          <w:sz w:val="24"/>
          <w:szCs w:val="24"/>
        </w:rPr>
        <w:t>s</w:t>
      </w:r>
      <w:r w:rsidRPr="004037A8">
        <w:rPr>
          <w:sz w:val="24"/>
          <w:szCs w:val="24"/>
        </w:rPr>
        <w:t xml:space="preserve"> of approximately $</w:t>
      </w:r>
      <w:r w:rsidR="00D5205D">
        <w:rPr>
          <w:sz w:val="24"/>
          <w:szCs w:val="24"/>
        </w:rPr>
        <w:t>1,326</w:t>
      </w:r>
      <w:r w:rsidRPr="004037A8">
        <w:rPr>
          <w:sz w:val="24"/>
          <w:szCs w:val="24"/>
        </w:rPr>
        <w:t xml:space="preserve"> each year</w:t>
      </w:r>
      <w:r w:rsidR="009248ED">
        <w:rPr>
          <w:sz w:val="24"/>
          <w:szCs w:val="24"/>
        </w:rPr>
        <w:t xml:space="preserve"> on employee training</w:t>
      </w:r>
      <w:r w:rsidRPr="004037A8">
        <w:rPr>
          <w:sz w:val="24"/>
          <w:szCs w:val="24"/>
        </w:rPr>
        <w:t xml:space="preserve">. </w:t>
      </w:r>
      <w:r w:rsidR="00771435" w:rsidRPr="004037A8">
        <w:rPr>
          <w:sz w:val="24"/>
          <w:szCs w:val="24"/>
        </w:rPr>
        <w:t xml:space="preserve">This ICR also estimates that 385 facilities will change generator status from SQG to SQH. EPA expects these facilities to </w:t>
      </w:r>
      <w:r w:rsidR="009248ED">
        <w:rPr>
          <w:sz w:val="24"/>
          <w:szCs w:val="24"/>
        </w:rPr>
        <w:t>incur costs of</w:t>
      </w:r>
      <w:r w:rsidR="009248ED" w:rsidRPr="004037A8">
        <w:rPr>
          <w:sz w:val="24"/>
          <w:szCs w:val="24"/>
        </w:rPr>
        <w:t xml:space="preserve"> </w:t>
      </w:r>
      <w:r w:rsidR="00771435" w:rsidRPr="004037A8">
        <w:rPr>
          <w:sz w:val="24"/>
          <w:szCs w:val="24"/>
        </w:rPr>
        <w:t>$</w:t>
      </w:r>
      <w:r w:rsidR="009248ED">
        <w:rPr>
          <w:sz w:val="24"/>
          <w:szCs w:val="24"/>
        </w:rPr>
        <w:t>652</w:t>
      </w:r>
      <w:r w:rsidR="009248ED" w:rsidRPr="004037A8">
        <w:rPr>
          <w:sz w:val="24"/>
          <w:szCs w:val="24"/>
        </w:rPr>
        <w:t xml:space="preserve"> </w:t>
      </w:r>
      <w:r w:rsidR="00771435" w:rsidRPr="004037A8">
        <w:rPr>
          <w:sz w:val="24"/>
          <w:szCs w:val="24"/>
        </w:rPr>
        <w:t>each year</w:t>
      </w:r>
      <w:r w:rsidR="009248ED">
        <w:rPr>
          <w:sz w:val="24"/>
          <w:szCs w:val="24"/>
        </w:rPr>
        <w:t xml:space="preserve"> on employee training</w:t>
      </w:r>
      <w:r w:rsidR="00771435" w:rsidRPr="004037A8">
        <w:rPr>
          <w:sz w:val="24"/>
          <w:szCs w:val="24"/>
        </w:rPr>
        <w:t>.</w:t>
      </w:r>
    </w:p>
    <w:p w14:paraId="584D4C9F" w14:textId="77777777" w:rsidR="00114E8C" w:rsidRPr="004037A8" w:rsidRDefault="00114E8C" w:rsidP="00F1189D">
      <w:pPr>
        <w:pStyle w:val="IEcNormalText"/>
        <w:ind w:firstLine="720"/>
        <w:rPr>
          <w:sz w:val="24"/>
          <w:szCs w:val="24"/>
        </w:rPr>
      </w:pPr>
    </w:p>
    <w:p w14:paraId="28815451" w14:textId="77777777" w:rsidR="00737D52" w:rsidRPr="004037A8" w:rsidRDefault="00737D52" w:rsidP="009421CB">
      <w:pPr>
        <w:pStyle w:val="Default"/>
        <w:ind w:firstLine="720"/>
        <w:rPr>
          <w:rFonts w:ascii="Times New Roman" w:hAnsi="Times New Roman" w:cs="Times New Roman"/>
          <w:b/>
          <w:i/>
        </w:rPr>
      </w:pPr>
      <w:r w:rsidRPr="004037A8">
        <w:rPr>
          <w:rFonts w:ascii="Times New Roman" w:hAnsi="Times New Roman" w:cs="Times New Roman"/>
          <w:b/>
          <w:i/>
        </w:rPr>
        <w:t>Variable Costs</w:t>
      </w:r>
    </w:p>
    <w:p w14:paraId="048C7821" w14:textId="77777777" w:rsidR="00114E8C" w:rsidRPr="004037A8" w:rsidRDefault="00114E8C" w:rsidP="009421CB">
      <w:pPr>
        <w:pStyle w:val="Default"/>
        <w:ind w:firstLine="720"/>
        <w:rPr>
          <w:rFonts w:ascii="Times New Roman" w:hAnsi="Times New Roman" w:cs="Times New Roman"/>
          <w:b/>
          <w:i/>
        </w:rPr>
      </w:pPr>
    </w:p>
    <w:p w14:paraId="5BC2C89A" w14:textId="24F19B2F" w:rsidR="00114E8C" w:rsidRPr="004037A8" w:rsidRDefault="00737D52" w:rsidP="004037A8">
      <w:pPr>
        <w:pStyle w:val="IEcNormalText"/>
        <w:ind w:firstLine="720"/>
        <w:rPr>
          <w:sz w:val="24"/>
          <w:szCs w:val="24"/>
        </w:rPr>
      </w:pPr>
      <w:r w:rsidRPr="004037A8">
        <w:rPr>
          <w:sz w:val="24"/>
          <w:szCs w:val="24"/>
        </w:rPr>
        <w:t xml:space="preserve">Variable costs include those costs that are experienced throughout the year and vary by the number of </w:t>
      </w:r>
      <w:r w:rsidR="006F0173">
        <w:rPr>
          <w:sz w:val="24"/>
          <w:szCs w:val="24"/>
        </w:rPr>
        <w:t>universal</w:t>
      </w:r>
      <w:r w:rsidR="006F0173" w:rsidRPr="004037A8">
        <w:rPr>
          <w:sz w:val="24"/>
          <w:szCs w:val="24"/>
        </w:rPr>
        <w:t xml:space="preserve"> </w:t>
      </w:r>
      <w:r w:rsidRPr="004037A8">
        <w:rPr>
          <w:sz w:val="24"/>
          <w:szCs w:val="24"/>
        </w:rPr>
        <w:t xml:space="preserve">waste shipments made by each facility. As a result, these costs are dependent on the quantity of </w:t>
      </w:r>
      <w:r w:rsidR="006F0173">
        <w:rPr>
          <w:sz w:val="24"/>
          <w:szCs w:val="24"/>
        </w:rPr>
        <w:t>universal</w:t>
      </w:r>
      <w:r w:rsidR="006F0173" w:rsidRPr="004037A8">
        <w:rPr>
          <w:sz w:val="24"/>
          <w:szCs w:val="24"/>
        </w:rPr>
        <w:t xml:space="preserve"> </w:t>
      </w:r>
      <w:r w:rsidRPr="004037A8">
        <w:rPr>
          <w:sz w:val="24"/>
          <w:szCs w:val="24"/>
        </w:rPr>
        <w:t>waste shipped by each facility.</w:t>
      </w:r>
    </w:p>
    <w:p w14:paraId="5A96A931" w14:textId="7CAF5F4D" w:rsidR="002C5347" w:rsidRPr="004037A8" w:rsidRDefault="002C5347">
      <w:pPr>
        <w:rPr>
          <w:b/>
          <w:i/>
          <w:color w:val="000000"/>
        </w:rPr>
      </w:pPr>
    </w:p>
    <w:p w14:paraId="60E59032" w14:textId="673339EB" w:rsidR="00737D52" w:rsidRPr="004037A8" w:rsidRDefault="001222ED" w:rsidP="009421CB">
      <w:pPr>
        <w:pStyle w:val="Default"/>
        <w:ind w:firstLine="720"/>
        <w:rPr>
          <w:rFonts w:ascii="Times New Roman" w:hAnsi="Times New Roman" w:cs="Times New Roman"/>
          <w:b/>
          <w:i/>
        </w:rPr>
      </w:pPr>
      <w:r>
        <w:rPr>
          <w:rFonts w:ascii="Times New Roman" w:hAnsi="Times New Roman" w:cs="Times New Roman"/>
          <w:b/>
          <w:i/>
        </w:rPr>
        <w:t xml:space="preserve">Shipping </w:t>
      </w:r>
      <w:r w:rsidR="009421CB" w:rsidRPr="004037A8">
        <w:rPr>
          <w:rFonts w:ascii="Times New Roman" w:hAnsi="Times New Roman" w:cs="Times New Roman"/>
          <w:b/>
          <w:i/>
        </w:rPr>
        <w:t>Recordkeeping</w:t>
      </w:r>
    </w:p>
    <w:p w14:paraId="61D9AE5F" w14:textId="6FE8BFE9" w:rsidR="00114E8C" w:rsidRPr="004037A8" w:rsidRDefault="00114E8C" w:rsidP="009421CB">
      <w:pPr>
        <w:pStyle w:val="Default"/>
        <w:ind w:firstLine="720"/>
        <w:rPr>
          <w:rFonts w:ascii="Times New Roman" w:hAnsi="Times New Roman" w:cs="Times New Roman"/>
          <w:b/>
          <w:i/>
        </w:rPr>
      </w:pPr>
    </w:p>
    <w:p w14:paraId="55E25B5D" w14:textId="56D46F86" w:rsidR="00737D52" w:rsidRPr="004037A8" w:rsidRDefault="00737D52" w:rsidP="009421CB">
      <w:pPr>
        <w:pStyle w:val="IEcNormalText"/>
        <w:ind w:firstLine="720"/>
        <w:rPr>
          <w:sz w:val="24"/>
          <w:szCs w:val="24"/>
        </w:rPr>
      </w:pPr>
      <w:r w:rsidRPr="004037A8">
        <w:rPr>
          <w:sz w:val="24"/>
          <w:szCs w:val="24"/>
        </w:rPr>
        <w:t>Under the universal waste rule requirements, LQHs must record all</w:t>
      </w:r>
      <w:r w:rsidR="00C5369D">
        <w:rPr>
          <w:sz w:val="24"/>
          <w:szCs w:val="24"/>
        </w:rPr>
        <w:t xml:space="preserve"> universal waste</w:t>
      </w:r>
      <w:r w:rsidRPr="004037A8">
        <w:rPr>
          <w:sz w:val="24"/>
          <w:szCs w:val="24"/>
        </w:rPr>
        <w:t xml:space="preserve"> shipments received or shipped.  Logs, invoices, bills of lading, or other shipping documents constitute acceptable forms of records.  These records must be maintained for at least three years.  The cost to complete and maintain a record of universal waste shipments was estimated as $3.71 per shipment.</w:t>
      </w:r>
      <w:r w:rsidRPr="004037A8">
        <w:rPr>
          <w:rStyle w:val="FootnoteReference"/>
          <w:sz w:val="24"/>
          <w:szCs w:val="24"/>
        </w:rPr>
        <w:footnoteReference w:id="9"/>
      </w:r>
      <w:r w:rsidRPr="004037A8">
        <w:rPr>
          <w:sz w:val="24"/>
          <w:szCs w:val="24"/>
        </w:rPr>
        <w:t xml:space="preserve"> </w:t>
      </w:r>
      <w:r w:rsidR="004021D5">
        <w:rPr>
          <w:sz w:val="24"/>
          <w:szCs w:val="24"/>
        </w:rPr>
        <w:t xml:space="preserve">Additionally, LQHs in some states can send hazardous waste to MSW facilities, and do not need to complete any recordkeeping for these shipments. </w:t>
      </w:r>
      <w:r w:rsidR="00166021" w:rsidRPr="004037A8">
        <w:rPr>
          <w:sz w:val="24"/>
          <w:szCs w:val="24"/>
        </w:rPr>
        <w:t>This ICR estimates that 208 LQHs will ship aerosol cans as universal waste post-rule and will experience these cost</w:t>
      </w:r>
      <w:r w:rsidR="006F0173">
        <w:rPr>
          <w:sz w:val="24"/>
          <w:szCs w:val="24"/>
        </w:rPr>
        <w:t>s</w:t>
      </w:r>
      <w:r w:rsidR="00166021" w:rsidRPr="004037A8">
        <w:rPr>
          <w:sz w:val="24"/>
          <w:szCs w:val="24"/>
        </w:rPr>
        <w:t>.</w:t>
      </w:r>
      <w:r w:rsidR="009421CB" w:rsidRPr="004037A8">
        <w:rPr>
          <w:sz w:val="24"/>
          <w:szCs w:val="24"/>
        </w:rPr>
        <w:t xml:space="preserve"> SQHs that begin shipping aerosol cans as universal waste are </w:t>
      </w:r>
      <w:r w:rsidR="006F0173">
        <w:rPr>
          <w:sz w:val="24"/>
          <w:szCs w:val="24"/>
        </w:rPr>
        <w:t xml:space="preserve">not </w:t>
      </w:r>
      <w:r w:rsidR="009421CB" w:rsidRPr="004037A8">
        <w:rPr>
          <w:sz w:val="24"/>
          <w:szCs w:val="24"/>
        </w:rPr>
        <w:t xml:space="preserve">expected to </w:t>
      </w:r>
      <w:r w:rsidR="006F0173">
        <w:rPr>
          <w:sz w:val="24"/>
          <w:szCs w:val="24"/>
        </w:rPr>
        <w:t xml:space="preserve">incur any costs associated with shipping recordkeeping. </w:t>
      </w:r>
    </w:p>
    <w:p w14:paraId="67D7ED01" w14:textId="77777777" w:rsidR="009317B2" w:rsidRPr="004037A8" w:rsidRDefault="009317B2" w:rsidP="009317B2">
      <w:pPr>
        <w:pStyle w:val="IEcNormalText"/>
        <w:rPr>
          <w:sz w:val="24"/>
          <w:szCs w:val="24"/>
        </w:rPr>
      </w:pPr>
    </w:p>
    <w:p w14:paraId="61AC209E" w14:textId="77777777" w:rsidR="00E05801" w:rsidRPr="004037A8" w:rsidRDefault="00E05801" w:rsidP="00E05801">
      <w:pPr>
        <w:ind w:firstLine="720"/>
        <w:rPr>
          <w:b/>
          <w:bCs/>
        </w:rPr>
      </w:pPr>
      <w:r w:rsidRPr="004037A8">
        <w:rPr>
          <w:b/>
          <w:bCs/>
        </w:rPr>
        <w:t>6(e)</w:t>
      </w:r>
      <w:r w:rsidRPr="004037A8">
        <w:rPr>
          <w:b/>
          <w:bCs/>
        </w:rPr>
        <w:tab/>
        <w:t xml:space="preserve">Bottom Line Burden Hours and Cost Tables </w:t>
      </w:r>
    </w:p>
    <w:p w14:paraId="236C44C3" w14:textId="77777777" w:rsidR="00E05801" w:rsidRPr="004037A8" w:rsidRDefault="00E05801" w:rsidP="00E05801">
      <w:pPr>
        <w:ind w:firstLine="720"/>
        <w:rPr>
          <w:b/>
          <w:bCs/>
        </w:rPr>
      </w:pPr>
    </w:p>
    <w:p w14:paraId="0B96ADE2" w14:textId="08563F66" w:rsidR="00E05801" w:rsidRDefault="00E05801" w:rsidP="00E05801">
      <w:r w:rsidRPr="004037A8">
        <w:rPr>
          <w:b/>
          <w:bCs/>
        </w:rPr>
        <w:tab/>
      </w:r>
      <w:r w:rsidR="00823A25" w:rsidRPr="00823A25">
        <w:rPr>
          <w:bCs/>
        </w:rPr>
        <w:t xml:space="preserve">On </w:t>
      </w:r>
      <w:r w:rsidR="00721ACD">
        <w:rPr>
          <w:bCs/>
        </w:rPr>
        <w:t>p</w:t>
      </w:r>
      <w:r w:rsidR="00823A25" w:rsidRPr="00823A25">
        <w:rPr>
          <w:bCs/>
        </w:rPr>
        <w:t>age 16,</w:t>
      </w:r>
      <w:r w:rsidR="00823A25">
        <w:rPr>
          <w:b/>
          <w:bCs/>
        </w:rPr>
        <w:t xml:space="preserve"> </w:t>
      </w:r>
      <w:r w:rsidRPr="004037A8">
        <w:rPr>
          <w:bCs/>
        </w:rPr>
        <w:t xml:space="preserve">Exhibit 1 summarizes the total </w:t>
      </w:r>
      <w:r w:rsidRPr="004037A8">
        <w:t>cost</w:t>
      </w:r>
      <w:r w:rsidR="004F2906">
        <w:t>s</w:t>
      </w:r>
      <w:r w:rsidR="00F54938" w:rsidRPr="004037A8">
        <w:t xml:space="preserve"> </w:t>
      </w:r>
      <w:r w:rsidRPr="004037A8">
        <w:t xml:space="preserve">of the </w:t>
      </w:r>
      <w:r w:rsidR="00ED37B7" w:rsidRPr="004037A8">
        <w:t>proposed</w:t>
      </w:r>
      <w:r w:rsidRPr="004037A8">
        <w:t xml:space="preserve"> rule for the first three years by respondent type. </w:t>
      </w:r>
      <w:r w:rsidRPr="004037A8">
        <w:rPr>
          <w:bCs/>
        </w:rPr>
        <w:t xml:space="preserve">Exhibit </w:t>
      </w:r>
      <w:r w:rsidR="00F54938" w:rsidRPr="004037A8">
        <w:rPr>
          <w:bCs/>
        </w:rPr>
        <w:t>2</w:t>
      </w:r>
      <w:r w:rsidR="00721ACD">
        <w:rPr>
          <w:bCs/>
        </w:rPr>
        <w:t>, on page 17,</w:t>
      </w:r>
      <w:r w:rsidRPr="004037A8">
        <w:rPr>
          <w:bCs/>
        </w:rPr>
        <w:t xml:space="preserve"> presents the total number of respondents </w:t>
      </w:r>
      <w:r w:rsidR="00E55890" w:rsidRPr="004037A8">
        <w:rPr>
          <w:bCs/>
        </w:rPr>
        <w:t>that are expected to experience cost</w:t>
      </w:r>
      <w:r w:rsidR="004F2906">
        <w:rPr>
          <w:bCs/>
        </w:rPr>
        <w:t>s</w:t>
      </w:r>
      <w:r w:rsidR="00E55890" w:rsidRPr="004037A8">
        <w:rPr>
          <w:bCs/>
        </w:rPr>
        <w:t xml:space="preserve"> associated with</w:t>
      </w:r>
      <w:r w:rsidRPr="004037A8">
        <w:rPr>
          <w:bCs/>
        </w:rPr>
        <w:t xml:space="preserve"> </w:t>
      </w:r>
      <w:r w:rsidR="00F54938" w:rsidRPr="004037A8">
        <w:rPr>
          <w:bCs/>
        </w:rPr>
        <w:t>information</w:t>
      </w:r>
      <w:r w:rsidR="00E55890" w:rsidRPr="004037A8">
        <w:rPr>
          <w:bCs/>
        </w:rPr>
        <w:t xml:space="preserve"> collection</w:t>
      </w:r>
      <w:r w:rsidR="00F54938" w:rsidRPr="004037A8">
        <w:rPr>
          <w:bCs/>
        </w:rPr>
        <w:t xml:space="preserve">. </w:t>
      </w:r>
      <w:r w:rsidR="00721ACD">
        <w:rPr>
          <w:bCs/>
        </w:rPr>
        <w:t xml:space="preserve">On pages 18-22, </w:t>
      </w:r>
      <w:r w:rsidRPr="004037A8">
        <w:t>Exhibits</w:t>
      </w:r>
      <w:r w:rsidR="00F54938" w:rsidRPr="004037A8">
        <w:t xml:space="preserve"> 3</w:t>
      </w:r>
      <w:r w:rsidRPr="004037A8">
        <w:t>A-</w:t>
      </w:r>
      <w:r w:rsidR="00E55890" w:rsidRPr="004037A8">
        <w:t>E</w:t>
      </w:r>
      <w:r w:rsidRPr="004037A8">
        <w:t xml:space="preserve"> provide additional detail on the burden and cost estimates. Exhibit </w:t>
      </w:r>
      <w:r w:rsidR="00F54938" w:rsidRPr="004037A8">
        <w:t>4</w:t>
      </w:r>
      <w:r w:rsidR="00721ACD">
        <w:t xml:space="preserve">, on page 23, </w:t>
      </w:r>
      <w:r w:rsidRPr="004037A8">
        <w:t xml:space="preserve">presents </w:t>
      </w:r>
      <w:r w:rsidR="00F54938" w:rsidRPr="004037A8">
        <w:t xml:space="preserve">the change in Agency burden. </w:t>
      </w:r>
    </w:p>
    <w:p w14:paraId="13A8B109" w14:textId="77777777" w:rsidR="00BD34BE" w:rsidRDefault="00BD34BE" w:rsidP="00E05801"/>
    <w:p w14:paraId="5FF22D38" w14:textId="77777777" w:rsidR="00BD34BE" w:rsidRPr="0090669D" w:rsidRDefault="00BD34BE" w:rsidP="00BD34BE">
      <w:pPr>
        <w:ind w:firstLine="720"/>
        <w:rPr>
          <w:b/>
          <w:bCs/>
        </w:rPr>
      </w:pPr>
      <w:r w:rsidRPr="0090669D">
        <w:rPr>
          <w:b/>
          <w:bCs/>
        </w:rPr>
        <w:t>6(</w:t>
      </w:r>
      <w:r>
        <w:rPr>
          <w:b/>
          <w:bCs/>
        </w:rPr>
        <w:t>f</w:t>
      </w:r>
      <w:r w:rsidRPr="0090669D">
        <w:rPr>
          <w:b/>
          <w:bCs/>
        </w:rPr>
        <w:t>)</w:t>
      </w:r>
      <w:r w:rsidRPr="0090669D">
        <w:rPr>
          <w:b/>
          <w:bCs/>
        </w:rPr>
        <w:tab/>
        <w:t>Reasons for Change in Burden</w:t>
      </w:r>
    </w:p>
    <w:p w14:paraId="68BD9C33" w14:textId="77777777" w:rsidR="00BD34BE" w:rsidRPr="0090669D" w:rsidRDefault="00BD34BE" w:rsidP="00BD34BE">
      <w:pPr>
        <w:ind w:firstLine="720"/>
      </w:pPr>
    </w:p>
    <w:p w14:paraId="508A2D21" w14:textId="5F57D602" w:rsidR="00BD34BE" w:rsidRPr="00EF422C" w:rsidRDefault="00B8335D" w:rsidP="00D147C5">
      <w:pPr>
        <w:ind w:firstLine="720"/>
        <w:sectPr w:rsidR="00BD34BE" w:rsidRPr="00EF422C" w:rsidSect="00E05801">
          <w:footerReference w:type="default" r:id="rId9"/>
          <w:footerReference w:type="first" r:id="rId10"/>
          <w:pgSz w:w="12240" w:h="15840"/>
          <w:pgMar w:top="1440" w:right="1440" w:bottom="1440" w:left="1440" w:header="720" w:footer="720" w:gutter="0"/>
          <w:pgNumType w:start="1"/>
          <w:cols w:space="720"/>
          <w:docGrid w:linePitch="360"/>
        </w:sectPr>
      </w:pPr>
      <w:r>
        <w:t xml:space="preserve">EPA expects that the proposed rule </w:t>
      </w:r>
      <w:r w:rsidR="00D147C5">
        <w:t xml:space="preserve">collection requirements contained within this ICR package </w:t>
      </w:r>
      <w:r>
        <w:t>will result in an increase in burden for compliance with information collection requirements specific to the management of aerosol cans as universal waste.</w:t>
      </w:r>
      <w:r w:rsidR="001222ED">
        <w:t xml:space="preserve">. </w:t>
      </w:r>
      <w:r w:rsidR="00BD34BE">
        <w:t xml:space="preserve">The expected annual </w:t>
      </w:r>
      <w:r w:rsidR="008B1235">
        <w:t xml:space="preserve">increase </w:t>
      </w:r>
      <w:r w:rsidR="00BD34BE">
        <w:t xml:space="preserve">in burden for </w:t>
      </w:r>
      <w:r w:rsidR="008B1235">
        <w:t>handlers of universal</w:t>
      </w:r>
      <w:r w:rsidR="00BD34BE">
        <w:t xml:space="preserve"> waste </w:t>
      </w:r>
      <w:r w:rsidR="001222ED">
        <w:t xml:space="preserve">aerosol cans </w:t>
      </w:r>
      <w:r w:rsidR="00BD34BE">
        <w:t xml:space="preserve">is a total </w:t>
      </w:r>
      <w:r w:rsidR="00BD34BE" w:rsidRPr="00826E13">
        <w:t xml:space="preserve">of </w:t>
      </w:r>
      <w:r w:rsidR="001356C9">
        <w:t>5,</w:t>
      </w:r>
      <w:r w:rsidR="00B220B2">
        <w:t>973</w:t>
      </w:r>
      <w:r w:rsidR="00BD34BE" w:rsidRPr="00826E13">
        <w:t xml:space="preserve"> hours under</w:t>
      </w:r>
      <w:r w:rsidR="00BD34BE">
        <w:t xml:space="preserve"> the provisions of the proposed rule. This corresponds to a cumulative </w:t>
      </w:r>
      <w:r w:rsidR="00A62085">
        <w:t xml:space="preserve">increase </w:t>
      </w:r>
      <w:r w:rsidR="00BD34BE">
        <w:t xml:space="preserve">in burden </w:t>
      </w:r>
      <w:r w:rsidR="00BD34BE" w:rsidRPr="00043A1B">
        <w:t xml:space="preserve">of </w:t>
      </w:r>
      <w:r w:rsidR="001356C9">
        <w:t>17,</w:t>
      </w:r>
      <w:r w:rsidR="00B220B2">
        <w:t>919</w:t>
      </w:r>
      <w:r w:rsidR="00BD34BE">
        <w:t xml:space="preserve"> hours for the first three years following the rule. </w:t>
      </w:r>
      <w:r w:rsidR="00BD34BE" w:rsidRPr="0090669D">
        <w:t xml:space="preserve">This </w:t>
      </w:r>
      <w:r w:rsidR="008B1235">
        <w:t>increase</w:t>
      </w:r>
      <w:r w:rsidR="008B1235" w:rsidRPr="0090669D">
        <w:t xml:space="preserve"> </w:t>
      </w:r>
      <w:r w:rsidR="00BD34BE" w:rsidRPr="0090669D">
        <w:t>in burden reflects</w:t>
      </w:r>
      <w:r w:rsidR="00BD34BE">
        <w:t xml:space="preserve"> </w:t>
      </w:r>
      <w:r w:rsidR="00BD34BE" w:rsidRPr="0090669D">
        <w:t xml:space="preserve">paperwork requirements </w:t>
      </w:r>
      <w:r w:rsidR="00BD34BE">
        <w:t xml:space="preserve">at </w:t>
      </w:r>
      <w:r w:rsidR="00BD34BE" w:rsidRPr="0090669D">
        <w:t xml:space="preserve">facilities </w:t>
      </w:r>
      <w:r w:rsidR="00BD34BE">
        <w:t xml:space="preserve">that ship aerosol cans as universal waste as a result of the proposed rule. The majority of the </w:t>
      </w:r>
      <w:r w:rsidR="008B1235">
        <w:t xml:space="preserve">increase </w:t>
      </w:r>
      <w:r w:rsidR="00BD34BE">
        <w:t>in burden is associated with facilities that change generator status as a result of the designation of aerosol cans as universal waste.</w:t>
      </w:r>
      <w:r w:rsidR="00964161">
        <w:t xml:space="preserve"> </w:t>
      </w:r>
      <w:r w:rsidR="001062C8">
        <w:t xml:space="preserve">However, </w:t>
      </w:r>
      <w:r w:rsidR="001062C8" w:rsidRPr="0090669D">
        <w:t xml:space="preserve">EPA expects that the </w:t>
      </w:r>
      <w:r w:rsidR="001062C8">
        <w:t xml:space="preserve">proposed rule will result in an overall reduction </w:t>
      </w:r>
      <w:r w:rsidR="001062C8" w:rsidRPr="0090669D">
        <w:t xml:space="preserve">in burden to generators of </w:t>
      </w:r>
      <w:r w:rsidR="001062C8">
        <w:t xml:space="preserve">aerosol can </w:t>
      </w:r>
      <w:r w:rsidR="001062C8" w:rsidRPr="0090669D">
        <w:t>hazardous waste</w:t>
      </w:r>
      <w:r w:rsidR="001062C8">
        <w:t xml:space="preserve">. </w:t>
      </w:r>
      <w:r w:rsidR="00964161">
        <w:t xml:space="preserve">The cumulative impact of the proposed rule is </w:t>
      </w:r>
      <w:r w:rsidR="00D147C5">
        <w:t>estimated to be a</w:t>
      </w:r>
      <w:r w:rsidR="00964161">
        <w:t xml:space="preserve"> net decrease of 39,113 annual burden hours.</w:t>
      </w:r>
    </w:p>
    <w:tbl>
      <w:tblPr>
        <w:tblW w:w="12600" w:type="dxa"/>
        <w:tblInd w:w="-702" w:type="dxa"/>
        <w:tblLayout w:type="fixed"/>
        <w:tblLook w:val="04A0" w:firstRow="1" w:lastRow="0" w:firstColumn="1" w:lastColumn="0" w:noHBand="0" w:noVBand="1"/>
      </w:tblPr>
      <w:tblGrid>
        <w:gridCol w:w="6030"/>
        <w:gridCol w:w="1530"/>
        <w:gridCol w:w="1170"/>
        <w:gridCol w:w="1170"/>
        <w:gridCol w:w="1350"/>
        <w:gridCol w:w="1350"/>
      </w:tblGrid>
      <w:tr w:rsidR="00E05801" w:rsidRPr="00DE0E39" w14:paraId="4CAC17AE" w14:textId="77777777" w:rsidTr="00E05801">
        <w:trPr>
          <w:trHeight w:val="300"/>
        </w:trPr>
        <w:tc>
          <w:tcPr>
            <w:tcW w:w="12600" w:type="dxa"/>
            <w:gridSpan w:val="6"/>
            <w:tcBorders>
              <w:bottom w:val="single" w:sz="4" w:space="0" w:color="auto"/>
            </w:tcBorders>
          </w:tcPr>
          <w:p w14:paraId="2E995DB1" w14:textId="309977CD" w:rsidR="00E05801" w:rsidRPr="0063561A" w:rsidRDefault="00E05801" w:rsidP="00736788">
            <w:pPr>
              <w:ind w:left="-108"/>
              <w:rPr>
                <w:b/>
                <w:bCs/>
                <w:szCs w:val="28"/>
              </w:rPr>
            </w:pPr>
            <w:r>
              <w:rPr>
                <w:b/>
                <w:bCs/>
                <w:szCs w:val="28"/>
              </w:rPr>
              <w:t>Exhibit 1</w:t>
            </w:r>
            <w:r w:rsidRPr="0063561A">
              <w:rPr>
                <w:b/>
                <w:bCs/>
                <w:szCs w:val="28"/>
              </w:rPr>
              <w:t xml:space="preserve">:  Average </w:t>
            </w:r>
            <w:r w:rsidR="00804633">
              <w:rPr>
                <w:b/>
                <w:bCs/>
                <w:szCs w:val="28"/>
              </w:rPr>
              <w:t xml:space="preserve">Annual </w:t>
            </w:r>
            <w:r w:rsidR="00B93E6B">
              <w:rPr>
                <w:b/>
                <w:bCs/>
                <w:szCs w:val="28"/>
              </w:rPr>
              <w:t xml:space="preserve">Increase </w:t>
            </w:r>
            <w:r w:rsidR="00FA614A">
              <w:rPr>
                <w:b/>
                <w:bCs/>
                <w:szCs w:val="28"/>
              </w:rPr>
              <w:t xml:space="preserve">in </w:t>
            </w:r>
            <w:r w:rsidRPr="0063561A">
              <w:rPr>
                <w:b/>
                <w:bCs/>
                <w:szCs w:val="28"/>
              </w:rPr>
              <w:t>Respondent Burden and Cost Esti</w:t>
            </w:r>
            <w:r w:rsidR="00266A6B">
              <w:rPr>
                <w:b/>
                <w:bCs/>
                <w:szCs w:val="28"/>
              </w:rPr>
              <w:t>mates for the First Three Years</w:t>
            </w:r>
          </w:p>
        </w:tc>
      </w:tr>
      <w:tr w:rsidR="00E05801" w:rsidRPr="00DE0E39" w14:paraId="3AE29259" w14:textId="77777777" w:rsidTr="00E05801">
        <w:trPr>
          <w:trHeight w:val="480"/>
        </w:trPr>
        <w:tc>
          <w:tcPr>
            <w:tcW w:w="60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11559E3" w14:textId="77777777" w:rsidR="00E05801" w:rsidRPr="00DE0E39" w:rsidRDefault="00E05801" w:rsidP="00E05801">
            <w:pPr>
              <w:spacing w:line="240" w:lineRule="exact"/>
              <w:jc w:val="center"/>
              <w:rPr>
                <w:b/>
                <w:bCs/>
                <w:color w:val="000000"/>
                <w:sz w:val="18"/>
                <w:szCs w:val="18"/>
              </w:rPr>
            </w:pPr>
            <w:r>
              <w:rPr>
                <w:b/>
                <w:bCs/>
                <w:color w:val="000000"/>
                <w:sz w:val="18"/>
                <w:szCs w:val="18"/>
              </w:rPr>
              <w:t>Respondent Type</w:t>
            </w:r>
          </w:p>
        </w:tc>
        <w:tc>
          <w:tcPr>
            <w:tcW w:w="1530" w:type="dxa"/>
            <w:tcBorders>
              <w:top w:val="nil"/>
              <w:left w:val="nil"/>
              <w:bottom w:val="single" w:sz="4" w:space="0" w:color="auto"/>
              <w:right w:val="single" w:sz="4" w:space="0" w:color="auto"/>
            </w:tcBorders>
            <w:shd w:val="clear" w:color="auto" w:fill="A6A6A6" w:themeFill="background1" w:themeFillShade="A6"/>
            <w:vAlign w:val="center"/>
          </w:tcPr>
          <w:p w14:paraId="2B260D9E" w14:textId="77777777" w:rsidR="00E05801" w:rsidRPr="00DE0E39" w:rsidRDefault="00E05801" w:rsidP="00E05801">
            <w:pPr>
              <w:spacing w:line="240" w:lineRule="exact"/>
              <w:jc w:val="center"/>
              <w:rPr>
                <w:b/>
                <w:bCs/>
                <w:color w:val="000000"/>
                <w:sz w:val="18"/>
                <w:szCs w:val="18"/>
              </w:rPr>
            </w:pPr>
            <w:r>
              <w:rPr>
                <w:b/>
                <w:bCs/>
                <w:color w:val="000000"/>
                <w:sz w:val="18"/>
                <w:szCs w:val="18"/>
              </w:rPr>
              <w:t>Total Respondents</w:t>
            </w:r>
          </w:p>
        </w:tc>
        <w:tc>
          <w:tcPr>
            <w:tcW w:w="1170" w:type="dxa"/>
            <w:tcBorders>
              <w:top w:val="nil"/>
              <w:left w:val="nil"/>
              <w:bottom w:val="single" w:sz="4" w:space="0" w:color="auto"/>
              <w:right w:val="single" w:sz="4" w:space="0" w:color="auto"/>
            </w:tcBorders>
            <w:shd w:val="clear" w:color="auto" w:fill="A6A6A6" w:themeFill="background1" w:themeFillShade="A6"/>
            <w:vAlign w:val="center"/>
          </w:tcPr>
          <w:p w14:paraId="6DE52A0F" w14:textId="77777777" w:rsidR="00E05801" w:rsidRPr="00DE0E39" w:rsidRDefault="00E05801" w:rsidP="00E05801">
            <w:pPr>
              <w:spacing w:line="240" w:lineRule="exact"/>
              <w:jc w:val="center"/>
              <w:rPr>
                <w:b/>
                <w:bCs/>
                <w:color w:val="000000"/>
                <w:sz w:val="18"/>
                <w:szCs w:val="18"/>
              </w:rPr>
            </w:pPr>
            <w:r>
              <w:rPr>
                <w:b/>
                <w:bCs/>
                <w:color w:val="000000"/>
                <w:sz w:val="18"/>
                <w:szCs w:val="18"/>
              </w:rPr>
              <w:t>Total Hours</w:t>
            </w:r>
          </w:p>
        </w:tc>
        <w:tc>
          <w:tcPr>
            <w:tcW w:w="1170"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0B8B679E" w14:textId="77777777" w:rsidR="00E05801" w:rsidRPr="00DE0E39" w:rsidRDefault="00E05801" w:rsidP="00E05801">
            <w:pPr>
              <w:spacing w:line="240" w:lineRule="exact"/>
              <w:jc w:val="center"/>
              <w:rPr>
                <w:b/>
                <w:bCs/>
                <w:color w:val="000000"/>
                <w:sz w:val="18"/>
                <w:szCs w:val="18"/>
              </w:rPr>
            </w:pPr>
            <w:r>
              <w:rPr>
                <w:b/>
                <w:bCs/>
                <w:color w:val="000000"/>
                <w:sz w:val="18"/>
                <w:szCs w:val="18"/>
              </w:rPr>
              <w:t>Total Labor Costs</w:t>
            </w:r>
          </w:p>
        </w:tc>
        <w:tc>
          <w:tcPr>
            <w:tcW w:w="1350" w:type="dxa"/>
            <w:tcBorders>
              <w:top w:val="nil"/>
              <w:left w:val="nil"/>
              <w:bottom w:val="single" w:sz="4" w:space="0" w:color="auto"/>
              <w:right w:val="single" w:sz="4" w:space="0" w:color="auto"/>
            </w:tcBorders>
            <w:shd w:val="clear" w:color="auto" w:fill="A6A6A6" w:themeFill="background1" w:themeFillShade="A6"/>
            <w:vAlign w:val="center"/>
          </w:tcPr>
          <w:p w14:paraId="7E12D251" w14:textId="77777777" w:rsidR="00E05801" w:rsidRPr="00DE0E39" w:rsidRDefault="00E05801" w:rsidP="00E05801">
            <w:pPr>
              <w:spacing w:line="240" w:lineRule="exact"/>
              <w:jc w:val="center"/>
              <w:rPr>
                <w:b/>
                <w:bCs/>
                <w:color w:val="000000"/>
                <w:sz w:val="18"/>
                <w:szCs w:val="18"/>
              </w:rPr>
            </w:pPr>
            <w:r>
              <w:rPr>
                <w:b/>
                <w:bCs/>
                <w:color w:val="000000"/>
                <w:sz w:val="18"/>
                <w:szCs w:val="18"/>
              </w:rPr>
              <w:t>O&amp;M Costs</w:t>
            </w:r>
          </w:p>
        </w:tc>
        <w:tc>
          <w:tcPr>
            <w:tcW w:w="1350" w:type="dxa"/>
            <w:tcBorders>
              <w:top w:val="nil"/>
              <w:left w:val="nil"/>
              <w:bottom w:val="single" w:sz="4" w:space="0" w:color="auto"/>
              <w:right w:val="single" w:sz="4" w:space="0" w:color="auto"/>
            </w:tcBorders>
            <w:shd w:val="clear" w:color="auto" w:fill="A6A6A6" w:themeFill="background1" w:themeFillShade="A6"/>
            <w:vAlign w:val="center"/>
          </w:tcPr>
          <w:p w14:paraId="331B56ED" w14:textId="77777777" w:rsidR="00E05801" w:rsidRDefault="00E05801" w:rsidP="00E05801">
            <w:pPr>
              <w:spacing w:line="240" w:lineRule="exact"/>
              <w:jc w:val="center"/>
              <w:rPr>
                <w:b/>
                <w:bCs/>
                <w:color w:val="000000"/>
                <w:sz w:val="18"/>
                <w:szCs w:val="18"/>
              </w:rPr>
            </w:pPr>
            <w:r>
              <w:rPr>
                <w:b/>
                <w:bCs/>
                <w:color w:val="000000"/>
                <w:sz w:val="18"/>
                <w:szCs w:val="18"/>
              </w:rPr>
              <w:t>Total Cost</w:t>
            </w:r>
          </w:p>
        </w:tc>
      </w:tr>
      <w:tr w:rsidR="008C5256" w:rsidRPr="005B0B97" w14:paraId="7CCF91EF" w14:textId="77777777" w:rsidTr="003474B3">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2115286A" w14:textId="77777777" w:rsidR="008C5256" w:rsidRPr="00DE0E39" w:rsidRDefault="008C5256" w:rsidP="00E05801">
            <w:pPr>
              <w:spacing w:line="240" w:lineRule="exact"/>
              <w:rPr>
                <w:color w:val="000000"/>
                <w:sz w:val="18"/>
                <w:szCs w:val="18"/>
              </w:rPr>
            </w:pPr>
            <w:r>
              <w:rPr>
                <w:color w:val="000000"/>
                <w:sz w:val="18"/>
                <w:szCs w:val="18"/>
              </w:rPr>
              <w:t>Remain LQG</w:t>
            </w:r>
          </w:p>
        </w:tc>
        <w:tc>
          <w:tcPr>
            <w:tcW w:w="1530" w:type="dxa"/>
            <w:tcBorders>
              <w:top w:val="nil"/>
              <w:left w:val="nil"/>
              <w:bottom w:val="single" w:sz="4" w:space="0" w:color="auto"/>
              <w:right w:val="single" w:sz="4" w:space="0" w:color="auto"/>
            </w:tcBorders>
            <w:shd w:val="clear" w:color="auto" w:fill="auto"/>
            <w:noWrap/>
            <w:vAlign w:val="center"/>
          </w:tcPr>
          <w:p w14:paraId="43BC3A4E" w14:textId="3F0B3648" w:rsidR="008C5256" w:rsidRPr="000E73E6" w:rsidRDefault="008C5256" w:rsidP="003474B3">
            <w:pPr>
              <w:spacing w:line="240" w:lineRule="exact"/>
              <w:jc w:val="right"/>
              <w:rPr>
                <w:color w:val="000000"/>
                <w:sz w:val="18"/>
                <w:szCs w:val="18"/>
              </w:rPr>
            </w:pPr>
            <w:r w:rsidRPr="000E73E6">
              <w:rPr>
                <w:color w:val="000000"/>
                <w:sz w:val="18"/>
                <w:szCs w:val="18"/>
              </w:rPr>
              <w:t>112</w:t>
            </w:r>
          </w:p>
        </w:tc>
        <w:tc>
          <w:tcPr>
            <w:tcW w:w="1170" w:type="dxa"/>
            <w:tcBorders>
              <w:top w:val="nil"/>
              <w:left w:val="nil"/>
              <w:bottom w:val="single" w:sz="4" w:space="0" w:color="auto"/>
              <w:right w:val="single" w:sz="4" w:space="0" w:color="auto"/>
            </w:tcBorders>
            <w:shd w:val="clear" w:color="auto" w:fill="auto"/>
            <w:noWrap/>
            <w:vAlign w:val="center"/>
          </w:tcPr>
          <w:p w14:paraId="2715AD56" w14:textId="269957BD" w:rsidR="008C5256" w:rsidRPr="009A204A" w:rsidRDefault="008C5256" w:rsidP="003474B3">
            <w:pPr>
              <w:spacing w:line="240" w:lineRule="exact"/>
              <w:jc w:val="right"/>
              <w:rPr>
                <w:sz w:val="18"/>
                <w:szCs w:val="18"/>
              </w:rPr>
            </w:pPr>
            <w:r w:rsidRPr="008C5256">
              <w:rPr>
                <w:sz w:val="18"/>
                <w:szCs w:val="18"/>
              </w:rPr>
              <w:t xml:space="preserve"> </w:t>
            </w:r>
            <w:r w:rsidR="00B220B2">
              <w:rPr>
                <w:sz w:val="18"/>
                <w:szCs w:val="18"/>
              </w:rPr>
              <w:t>379</w:t>
            </w:r>
            <w:r w:rsidRPr="008C5256">
              <w:rPr>
                <w:sz w:val="18"/>
                <w:szCs w:val="18"/>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05A77E68" w14:textId="15588DE0" w:rsidR="008C5256" w:rsidRPr="000E73E6" w:rsidRDefault="008C5256" w:rsidP="003474B3">
            <w:pPr>
              <w:spacing w:line="240" w:lineRule="exact"/>
              <w:jc w:val="right"/>
              <w:rPr>
                <w:color w:val="000000"/>
                <w:sz w:val="18"/>
                <w:szCs w:val="18"/>
              </w:rPr>
            </w:pPr>
            <w:r w:rsidRPr="000E73E6">
              <w:rPr>
                <w:sz w:val="18"/>
                <w:szCs w:val="18"/>
              </w:rPr>
              <w:t>$4,066</w:t>
            </w:r>
          </w:p>
        </w:tc>
        <w:tc>
          <w:tcPr>
            <w:tcW w:w="1350" w:type="dxa"/>
            <w:tcBorders>
              <w:top w:val="nil"/>
              <w:left w:val="nil"/>
              <w:bottom w:val="single" w:sz="4" w:space="0" w:color="auto"/>
              <w:right w:val="single" w:sz="4" w:space="0" w:color="auto"/>
            </w:tcBorders>
            <w:shd w:val="clear" w:color="auto" w:fill="auto"/>
            <w:noWrap/>
            <w:vAlign w:val="center"/>
          </w:tcPr>
          <w:p w14:paraId="05A91E2C" w14:textId="014789FE" w:rsidR="008C5256" w:rsidRPr="000E73E6" w:rsidRDefault="008C5256" w:rsidP="003474B3">
            <w:pPr>
              <w:spacing w:line="240" w:lineRule="exact"/>
              <w:jc w:val="right"/>
              <w:rPr>
                <w:color w:val="000000"/>
                <w:sz w:val="18"/>
                <w:szCs w:val="18"/>
              </w:rPr>
            </w:pPr>
            <w:r w:rsidRPr="000E73E6">
              <w:rPr>
                <w:sz w:val="18"/>
                <w:szCs w:val="18"/>
              </w:rPr>
              <w:t>$0</w:t>
            </w:r>
          </w:p>
        </w:tc>
        <w:tc>
          <w:tcPr>
            <w:tcW w:w="1350" w:type="dxa"/>
            <w:tcBorders>
              <w:top w:val="nil"/>
              <w:left w:val="nil"/>
              <w:bottom w:val="single" w:sz="4" w:space="0" w:color="auto"/>
              <w:right w:val="single" w:sz="4" w:space="0" w:color="auto"/>
            </w:tcBorders>
            <w:vAlign w:val="center"/>
          </w:tcPr>
          <w:p w14:paraId="43F72EEA" w14:textId="308590EB" w:rsidR="008C5256" w:rsidRPr="000E73E6" w:rsidRDefault="008C5256" w:rsidP="003474B3">
            <w:pPr>
              <w:spacing w:line="240" w:lineRule="exact"/>
              <w:jc w:val="right"/>
              <w:rPr>
                <w:color w:val="000000"/>
                <w:sz w:val="18"/>
                <w:szCs w:val="18"/>
              </w:rPr>
            </w:pPr>
            <w:r w:rsidRPr="000E73E6">
              <w:rPr>
                <w:sz w:val="18"/>
                <w:szCs w:val="18"/>
              </w:rPr>
              <w:t>$4,066</w:t>
            </w:r>
          </w:p>
        </w:tc>
      </w:tr>
      <w:tr w:rsidR="008C5256" w:rsidRPr="00AD498F" w14:paraId="46522D6A" w14:textId="77777777" w:rsidTr="003474B3">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421E703D" w14:textId="77777777" w:rsidR="008C5256" w:rsidRDefault="008C5256" w:rsidP="00E05801">
            <w:pPr>
              <w:spacing w:line="240" w:lineRule="exact"/>
              <w:rPr>
                <w:color w:val="000000"/>
                <w:sz w:val="18"/>
                <w:szCs w:val="18"/>
              </w:rPr>
            </w:pPr>
            <w:r>
              <w:rPr>
                <w:color w:val="000000"/>
                <w:sz w:val="18"/>
                <w:szCs w:val="18"/>
              </w:rPr>
              <w:t>LQG to SQG</w:t>
            </w:r>
          </w:p>
        </w:tc>
        <w:tc>
          <w:tcPr>
            <w:tcW w:w="1530" w:type="dxa"/>
            <w:tcBorders>
              <w:top w:val="nil"/>
              <w:left w:val="nil"/>
              <w:bottom w:val="single" w:sz="4" w:space="0" w:color="auto"/>
              <w:right w:val="single" w:sz="4" w:space="0" w:color="auto"/>
            </w:tcBorders>
            <w:shd w:val="clear" w:color="auto" w:fill="auto"/>
            <w:noWrap/>
            <w:vAlign w:val="center"/>
          </w:tcPr>
          <w:p w14:paraId="24C4BC16" w14:textId="7495007A" w:rsidR="008C5256" w:rsidRPr="000E73E6" w:rsidRDefault="008C5256" w:rsidP="003474B3">
            <w:pPr>
              <w:spacing w:line="240" w:lineRule="exact"/>
              <w:jc w:val="right"/>
              <w:rPr>
                <w:color w:val="000000"/>
                <w:sz w:val="18"/>
                <w:szCs w:val="18"/>
              </w:rPr>
            </w:pPr>
            <w:r w:rsidRPr="000E73E6">
              <w:rPr>
                <w:color w:val="000000"/>
                <w:sz w:val="18"/>
                <w:szCs w:val="18"/>
              </w:rPr>
              <w:t>44</w:t>
            </w:r>
          </w:p>
        </w:tc>
        <w:tc>
          <w:tcPr>
            <w:tcW w:w="1170" w:type="dxa"/>
            <w:tcBorders>
              <w:top w:val="nil"/>
              <w:left w:val="nil"/>
              <w:bottom w:val="single" w:sz="4" w:space="0" w:color="auto"/>
              <w:right w:val="single" w:sz="4" w:space="0" w:color="auto"/>
            </w:tcBorders>
            <w:shd w:val="clear" w:color="auto" w:fill="auto"/>
            <w:noWrap/>
            <w:vAlign w:val="center"/>
          </w:tcPr>
          <w:p w14:paraId="2A706F5C" w14:textId="01CD3038" w:rsidR="008C5256" w:rsidRPr="009A204A" w:rsidRDefault="008C5256" w:rsidP="003474B3">
            <w:pPr>
              <w:spacing w:line="240" w:lineRule="exact"/>
              <w:jc w:val="right"/>
              <w:rPr>
                <w:sz w:val="18"/>
                <w:szCs w:val="18"/>
              </w:rPr>
            </w:pPr>
            <w:r w:rsidRPr="008C5256">
              <w:rPr>
                <w:sz w:val="18"/>
                <w:szCs w:val="18"/>
              </w:rPr>
              <w:t xml:space="preserve"> </w:t>
            </w:r>
            <w:r w:rsidR="00B220B2">
              <w:rPr>
                <w:sz w:val="18"/>
                <w:szCs w:val="18"/>
              </w:rPr>
              <w:t>133</w:t>
            </w:r>
            <w:r w:rsidRPr="008C5256">
              <w:rPr>
                <w:sz w:val="18"/>
                <w:szCs w:val="18"/>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366CEE52" w14:textId="3FDDCD35" w:rsidR="008C5256" w:rsidRPr="000E73E6" w:rsidRDefault="008C5256" w:rsidP="003474B3">
            <w:pPr>
              <w:spacing w:line="240" w:lineRule="exact"/>
              <w:jc w:val="right"/>
              <w:rPr>
                <w:color w:val="000000"/>
                <w:sz w:val="18"/>
                <w:szCs w:val="18"/>
              </w:rPr>
            </w:pPr>
            <w:r w:rsidRPr="000E73E6">
              <w:rPr>
                <w:sz w:val="18"/>
                <w:szCs w:val="18"/>
              </w:rPr>
              <w:t>$1,062</w:t>
            </w:r>
          </w:p>
        </w:tc>
        <w:tc>
          <w:tcPr>
            <w:tcW w:w="1350" w:type="dxa"/>
            <w:tcBorders>
              <w:top w:val="nil"/>
              <w:left w:val="nil"/>
              <w:bottom w:val="single" w:sz="4" w:space="0" w:color="auto"/>
              <w:right w:val="single" w:sz="4" w:space="0" w:color="auto"/>
            </w:tcBorders>
            <w:shd w:val="clear" w:color="auto" w:fill="auto"/>
            <w:noWrap/>
            <w:vAlign w:val="center"/>
          </w:tcPr>
          <w:p w14:paraId="0BFF87B9" w14:textId="3B16499A" w:rsidR="008C5256" w:rsidRPr="000E73E6" w:rsidRDefault="008C5256" w:rsidP="003474B3">
            <w:pPr>
              <w:spacing w:line="240" w:lineRule="exact"/>
              <w:jc w:val="right"/>
              <w:rPr>
                <w:color w:val="000000"/>
                <w:sz w:val="18"/>
                <w:szCs w:val="18"/>
              </w:rPr>
            </w:pPr>
            <w:r w:rsidRPr="000E73E6">
              <w:rPr>
                <w:sz w:val="18"/>
                <w:szCs w:val="18"/>
              </w:rPr>
              <w:t>$0</w:t>
            </w:r>
          </w:p>
        </w:tc>
        <w:tc>
          <w:tcPr>
            <w:tcW w:w="1350" w:type="dxa"/>
            <w:tcBorders>
              <w:top w:val="nil"/>
              <w:left w:val="nil"/>
              <w:bottom w:val="single" w:sz="4" w:space="0" w:color="auto"/>
              <w:right w:val="single" w:sz="4" w:space="0" w:color="auto"/>
            </w:tcBorders>
            <w:vAlign w:val="center"/>
          </w:tcPr>
          <w:p w14:paraId="65068611" w14:textId="611264EC" w:rsidR="008C5256" w:rsidRPr="000E73E6" w:rsidRDefault="008C5256" w:rsidP="003474B3">
            <w:pPr>
              <w:spacing w:line="240" w:lineRule="exact"/>
              <w:jc w:val="right"/>
              <w:rPr>
                <w:color w:val="000000"/>
                <w:sz w:val="18"/>
                <w:szCs w:val="18"/>
              </w:rPr>
            </w:pPr>
            <w:r w:rsidRPr="000E73E6">
              <w:rPr>
                <w:sz w:val="18"/>
                <w:szCs w:val="18"/>
              </w:rPr>
              <w:t>$1,062</w:t>
            </w:r>
          </w:p>
        </w:tc>
      </w:tr>
      <w:tr w:rsidR="008C5256" w:rsidRPr="00AD498F" w14:paraId="7E9B0AAA" w14:textId="77777777" w:rsidTr="003474B3">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59A52348" w14:textId="77777777" w:rsidR="008C5256" w:rsidRDefault="008C5256" w:rsidP="00132DFA">
            <w:pPr>
              <w:spacing w:line="240" w:lineRule="exact"/>
              <w:rPr>
                <w:color w:val="000000"/>
                <w:sz w:val="18"/>
                <w:szCs w:val="18"/>
              </w:rPr>
            </w:pPr>
            <w:r>
              <w:rPr>
                <w:color w:val="000000"/>
                <w:sz w:val="18"/>
                <w:szCs w:val="18"/>
              </w:rPr>
              <w:t>LQG to LQH</w:t>
            </w:r>
          </w:p>
        </w:tc>
        <w:tc>
          <w:tcPr>
            <w:tcW w:w="1530" w:type="dxa"/>
            <w:tcBorders>
              <w:top w:val="nil"/>
              <w:left w:val="nil"/>
              <w:bottom w:val="single" w:sz="4" w:space="0" w:color="auto"/>
              <w:right w:val="single" w:sz="4" w:space="0" w:color="auto"/>
            </w:tcBorders>
            <w:shd w:val="clear" w:color="auto" w:fill="auto"/>
            <w:noWrap/>
            <w:vAlign w:val="center"/>
          </w:tcPr>
          <w:p w14:paraId="2F4770F3" w14:textId="3EBBE109" w:rsidR="008C5256" w:rsidRPr="000E73E6" w:rsidRDefault="008C5256" w:rsidP="003474B3">
            <w:pPr>
              <w:spacing w:line="240" w:lineRule="exact"/>
              <w:jc w:val="right"/>
              <w:rPr>
                <w:color w:val="000000"/>
                <w:sz w:val="18"/>
                <w:szCs w:val="18"/>
              </w:rPr>
            </w:pPr>
            <w:r w:rsidRPr="000E73E6">
              <w:rPr>
                <w:color w:val="000000"/>
                <w:sz w:val="18"/>
                <w:szCs w:val="18"/>
              </w:rPr>
              <w:t>6</w:t>
            </w:r>
          </w:p>
        </w:tc>
        <w:tc>
          <w:tcPr>
            <w:tcW w:w="1170" w:type="dxa"/>
            <w:tcBorders>
              <w:top w:val="nil"/>
              <w:left w:val="nil"/>
              <w:bottom w:val="single" w:sz="4" w:space="0" w:color="auto"/>
              <w:right w:val="single" w:sz="4" w:space="0" w:color="auto"/>
            </w:tcBorders>
            <w:shd w:val="clear" w:color="auto" w:fill="auto"/>
            <w:noWrap/>
            <w:vAlign w:val="center"/>
          </w:tcPr>
          <w:p w14:paraId="62C4F46A" w14:textId="2531F5D0" w:rsidR="008C5256" w:rsidRPr="009A204A" w:rsidRDefault="008C5256" w:rsidP="003474B3">
            <w:pPr>
              <w:spacing w:line="240" w:lineRule="exact"/>
              <w:jc w:val="right"/>
              <w:rPr>
                <w:sz w:val="18"/>
                <w:szCs w:val="18"/>
              </w:rPr>
            </w:pPr>
            <w:r w:rsidRPr="008C5256">
              <w:rPr>
                <w:sz w:val="18"/>
                <w:szCs w:val="18"/>
              </w:rPr>
              <w:t xml:space="preserve"> </w:t>
            </w:r>
            <w:r w:rsidR="00B220B2">
              <w:rPr>
                <w:sz w:val="18"/>
                <w:szCs w:val="18"/>
              </w:rPr>
              <w:t>130</w:t>
            </w:r>
            <w:r w:rsidRPr="008C5256">
              <w:rPr>
                <w:sz w:val="18"/>
                <w:szCs w:val="18"/>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38E1740E" w14:textId="0C238BEC" w:rsidR="008C5256" w:rsidRPr="000E73E6" w:rsidRDefault="008C5256" w:rsidP="003474B3">
            <w:pPr>
              <w:spacing w:line="240" w:lineRule="exact"/>
              <w:jc w:val="right"/>
              <w:rPr>
                <w:color w:val="000000"/>
                <w:sz w:val="18"/>
                <w:szCs w:val="18"/>
              </w:rPr>
            </w:pPr>
            <w:r w:rsidRPr="000E73E6">
              <w:rPr>
                <w:sz w:val="18"/>
                <w:szCs w:val="18"/>
              </w:rPr>
              <w:t>$8,927</w:t>
            </w:r>
          </w:p>
        </w:tc>
        <w:tc>
          <w:tcPr>
            <w:tcW w:w="1350" w:type="dxa"/>
            <w:tcBorders>
              <w:top w:val="nil"/>
              <w:left w:val="nil"/>
              <w:bottom w:val="single" w:sz="4" w:space="0" w:color="auto"/>
              <w:right w:val="single" w:sz="4" w:space="0" w:color="auto"/>
            </w:tcBorders>
            <w:shd w:val="clear" w:color="auto" w:fill="auto"/>
            <w:noWrap/>
            <w:vAlign w:val="center"/>
          </w:tcPr>
          <w:p w14:paraId="3C2E05FE" w14:textId="4ABB8C04" w:rsidR="008C5256" w:rsidRPr="000E73E6" w:rsidRDefault="008C5256" w:rsidP="003474B3">
            <w:pPr>
              <w:spacing w:line="240" w:lineRule="exact"/>
              <w:jc w:val="right"/>
              <w:rPr>
                <w:color w:val="000000"/>
                <w:sz w:val="18"/>
                <w:szCs w:val="18"/>
              </w:rPr>
            </w:pPr>
            <w:r w:rsidRPr="000E73E6">
              <w:rPr>
                <w:sz w:val="18"/>
                <w:szCs w:val="18"/>
              </w:rPr>
              <w:t>$1</w:t>
            </w:r>
          </w:p>
        </w:tc>
        <w:tc>
          <w:tcPr>
            <w:tcW w:w="1350" w:type="dxa"/>
            <w:tcBorders>
              <w:top w:val="nil"/>
              <w:left w:val="nil"/>
              <w:bottom w:val="single" w:sz="4" w:space="0" w:color="auto"/>
              <w:right w:val="single" w:sz="4" w:space="0" w:color="auto"/>
            </w:tcBorders>
            <w:vAlign w:val="center"/>
          </w:tcPr>
          <w:p w14:paraId="4CA8B0FF" w14:textId="17F74089" w:rsidR="008C5256" w:rsidRPr="000E73E6" w:rsidRDefault="008C5256" w:rsidP="003474B3">
            <w:pPr>
              <w:spacing w:line="240" w:lineRule="exact"/>
              <w:jc w:val="right"/>
              <w:rPr>
                <w:color w:val="000000"/>
                <w:sz w:val="18"/>
                <w:szCs w:val="18"/>
              </w:rPr>
            </w:pPr>
            <w:r w:rsidRPr="000E73E6">
              <w:rPr>
                <w:sz w:val="18"/>
                <w:szCs w:val="18"/>
              </w:rPr>
              <w:t>$8,928</w:t>
            </w:r>
          </w:p>
        </w:tc>
      </w:tr>
      <w:tr w:rsidR="008C5256" w:rsidRPr="00AD498F" w14:paraId="508BA0EA" w14:textId="77777777" w:rsidTr="003474B3">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1CF50868" w14:textId="77777777" w:rsidR="008C5256" w:rsidRDefault="008C5256" w:rsidP="00E05801">
            <w:pPr>
              <w:spacing w:line="240" w:lineRule="exact"/>
              <w:rPr>
                <w:color w:val="000000"/>
                <w:sz w:val="18"/>
                <w:szCs w:val="18"/>
              </w:rPr>
            </w:pPr>
            <w:r>
              <w:rPr>
                <w:color w:val="000000"/>
                <w:sz w:val="18"/>
                <w:szCs w:val="18"/>
              </w:rPr>
              <w:t>SQG to LQH</w:t>
            </w:r>
          </w:p>
        </w:tc>
        <w:tc>
          <w:tcPr>
            <w:tcW w:w="1530" w:type="dxa"/>
            <w:tcBorders>
              <w:top w:val="nil"/>
              <w:left w:val="nil"/>
              <w:bottom w:val="single" w:sz="4" w:space="0" w:color="auto"/>
              <w:right w:val="single" w:sz="4" w:space="0" w:color="auto"/>
            </w:tcBorders>
            <w:shd w:val="clear" w:color="auto" w:fill="auto"/>
            <w:noWrap/>
            <w:vAlign w:val="center"/>
          </w:tcPr>
          <w:p w14:paraId="7F503FF0" w14:textId="2B29E082" w:rsidR="008C5256" w:rsidRPr="000E73E6" w:rsidRDefault="008C5256" w:rsidP="003474B3">
            <w:pPr>
              <w:spacing w:line="240" w:lineRule="exact"/>
              <w:jc w:val="right"/>
              <w:rPr>
                <w:color w:val="000000"/>
                <w:sz w:val="18"/>
                <w:szCs w:val="18"/>
              </w:rPr>
            </w:pPr>
            <w:r w:rsidRPr="000E73E6">
              <w:rPr>
                <w:color w:val="000000"/>
                <w:sz w:val="18"/>
                <w:szCs w:val="18"/>
              </w:rPr>
              <w:t>92</w:t>
            </w:r>
          </w:p>
        </w:tc>
        <w:tc>
          <w:tcPr>
            <w:tcW w:w="1170" w:type="dxa"/>
            <w:tcBorders>
              <w:top w:val="nil"/>
              <w:left w:val="nil"/>
              <w:bottom w:val="single" w:sz="4" w:space="0" w:color="auto"/>
              <w:right w:val="single" w:sz="4" w:space="0" w:color="auto"/>
            </w:tcBorders>
            <w:shd w:val="clear" w:color="auto" w:fill="auto"/>
            <w:noWrap/>
            <w:vAlign w:val="center"/>
          </w:tcPr>
          <w:p w14:paraId="44B1E94D" w14:textId="7504E127" w:rsidR="008C5256" w:rsidRPr="009A204A" w:rsidRDefault="008C5256" w:rsidP="003474B3">
            <w:pPr>
              <w:spacing w:line="240" w:lineRule="exact"/>
              <w:jc w:val="right"/>
              <w:rPr>
                <w:sz w:val="18"/>
                <w:szCs w:val="18"/>
              </w:rPr>
            </w:pPr>
            <w:r w:rsidRPr="008C5256">
              <w:rPr>
                <w:sz w:val="18"/>
                <w:szCs w:val="18"/>
              </w:rPr>
              <w:t xml:space="preserve"> 1,</w:t>
            </w:r>
            <w:r w:rsidR="00B220B2">
              <w:rPr>
                <w:sz w:val="18"/>
                <w:szCs w:val="18"/>
              </w:rPr>
              <w:t>925</w:t>
            </w:r>
            <w:r w:rsidRPr="008C5256">
              <w:rPr>
                <w:sz w:val="18"/>
                <w:szCs w:val="18"/>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78500669" w14:textId="0051B14E" w:rsidR="008C5256" w:rsidRPr="000E73E6" w:rsidRDefault="008C5256" w:rsidP="003474B3">
            <w:pPr>
              <w:spacing w:line="240" w:lineRule="exact"/>
              <w:jc w:val="right"/>
              <w:rPr>
                <w:color w:val="000000"/>
                <w:sz w:val="18"/>
                <w:szCs w:val="18"/>
              </w:rPr>
            </w:pPr>
            <w:r w:rsidRPr="000E73E6">
              <w:rPr>
                <w:sz w:val="18"/>
                <w:szCs w:val="18"/>
              </w:rPr>
              <w:t>$134,169</w:t>
            </w:r>
          </w:p>
        </w:tc>
        <w:tc>
          <w:tcPr>
            <w:tcW w:w="1350" w:type="dxa"/>
            <w:tcBorders>
              <w:top w:val="nil"/>
              <w:left w:val="nil"/>
              <w:bottom w:val="single" w:sz="4" w:space="0" w:color="auto"/>
              <w:right w:val="single" w:sz="4" w:space="0" w:color="auto"/>
            </w:tcBorders>
            <w:shd w:val="clear" w:color="auto" w:fill="auto"/>
            <w:noWrap/>
            <w:vAlign w:val="center"/>
          </w:tcPr>
          <w:p w14:paraId="3112E960" w14:textId="590BA81E" w:rsidR="008C5256" w:rsidRPr="000E73E6" w:rsidRDefault="008C5256" w:rsidP="003474B3">
            <w:pPr>
              <w:spacing w:line="240" w:lineRule="exact"/>
              <w:jc w:val="right"/>
              <w:rPr>
                <w:color w:val="000000"/>
                <w:sz w:val="18"/>
                <w:szCs w:val="18"/>
              </w:rPr>
            </w:pPr>
            <w:r w:rsidRPr="000E73E6">
              <w:rPr>
                <w:sz w:val="18"/>
                <w:szCs w:val="18"/>
              </w:rPr>
              <w:t>$21</w:t>
            </w:r>
          </w:p>
        </w:tc>
        <w:tc>
          <w:tcPr>
            <w:tcW w:w="1350" w:type="dxa"/>
            <w:tcBorders>
              <w:top w:val="nil"/>
              <w:left w:val="nil"/>
              <w:bottom w:val="single" w:sz="4" w:space="0" w:color="auto"/>
              <w:right w:val="single" w:sz="4" w:space="0" w:color="auto"/>
            </w:tcBorders>
            <w:vAlign w:val="center"/>
          </w:tcPr>
          <w:p w14:paraId="3D8FCBD6" w14:textId="2F3D7C3D" w:rsidR="008C5256" w:rsidRPr="000E73E6" w:rsidRDefault="008C5256" w:rsidP="003474B3">
            <w:pPr>
              <w:spacing w:line="240" w:lineRule="exact"/>
              <w:jc w:val="right"/>
              <w:rPr>
                <w:color w:val="000000"/>
                <w:sz w:val="18"/>
                <w:szCs w:val="18"/>
              </w:rPr>
            </w:pPr>
            <w:r w:rsidRPr="000E73E6">
              <w:rPr>
                <w:sz w:val="18"/>
                <w:szCs w:val="18"/>
              </w:rPr>
              <w:t>$134,190</w:t>
            </w:r>
          </w:p>
        </w:tc>
      </w:tr>
      <w:tr w:rsidR="008C5256" w:rsidRPr="00AD498F" w14:paraId="402FD754" w14:textId="77777777" w:rsidTr="003474B3">
        <w:trPr>
          <w:trHeight w:val="317"/>
        </w:trPr>
        <w:tc>
          <w:tcPr>
            <w:tcW w:w="6030" w:type="dxa"/>
            <w:tcBorders>
              <w:top w:val="nil"/>
              <w:left w:val="single" w:sz="4" w:space="0" w:color="auto"/>
              <w:bottom w:val="single" w:sz="4" w:space="0" w:color="auto"/>
              <w:right w:val="single" w:sz="4" w:space="0" w:color="auto"/>
            </w:tcBorders>
            <w:shd w:val="clear" w:color="auto" w:fill="auto"/>
            <w:vAlign w:val="center"/>
          </w:tcPr>
          <w:p w14:paraId="17A9187D" w14:textId="77777777" w:rsidR="008C5256" w:rsidRDefault="008C5256" w:rsidP="00E05801">
            <w:pPr>
              <w:spacing w:line="240" w:lineRule="exact"/>
              <w:rPr>
                <w:color w:val="000000"/>
                <w:sz w:val="18"/>
                <w:szCs w:val="18"/>
              </w:rPr>
            </w:pPr>
            <w:r>
              <w:rPr>
                <w:color w:val="000000"/>
                <w:sz w:val="18"/>
                <w:szCs w:val="18"/>
              </w:rPr>
              <w:t>SQG to SQH</w:t>
            </w:r>
          </w:p>
        </w:tc>
        <w:tc>
          <w:tcPr>
            <w:tcW w:w="1530" w:type="dxa"/>
            <w:tcBorders>
              <w:top w:val="nil"/>
              <w:left w:val="nil"/>
              <w:bottom w:val="single" w:sz="4" w:space="0" w:color="auto"/>
              <w:right w:val="single" w:sz="4" w:space="0" w:color="auto"/>
            </w:tcBorders>
            <w:shd w:val="clear" w:color="auto" w:fill="auto"/>
            <w:noWrap/>
            <w:vAlign w:val="center"/>
          </w:tcPr>
          <w:p w14:paraId="4D1D20F7" w14:textId="586C5E84" w:rsidR="008C5256" w:rsidRPr="000E73E6" w:rsidRDefault="008C5256" w:rsidP="003474B3">
            <w:pPr>
              <w:spacing w:line="240" w:lineRule="exact"/>
              <w:jc w:val="right"/>
              <w:rPr>
                <w:color w:val="000000"/>
                <w:sz w:val="18"/>
                <w:szCs w:val="18"/>
              </w:rPr>
            </w:pPr>
            <w:r w:rsidRPr="000E73E6">
              <w:rPr>
                <w:color w:val="000000"/>
                <w:sz w:val="18"/>
                <w:szCs w:val="18"/>
              </w:rPr>
              <w:t>385</w:t>
            </w:r>
          </w:p>
        </w:tc>
        <w:tc>
          <w:tcPr>
            <w:tcW w:w="1170" w:type="dxa"/>
            <w:tcBorders>
              <w:top w:val="nil"/>
              <w:left w:val="nil"/>
              <w:bottom w:val="single" w:sz="4" w:space="0" w:color="auto"/>
              <w:right w:val="single" w:sz="4" w:space="0" w:color="auto"/>
            </w:tcBorders>
            <w:shd w:val="clear" w:color="auto" w:fill="auto"/>
            <w:noWrap/>
            <w:vAlign w:val="center"/>
          </w:tcPr>
          <w:p w14:paraId="71868E5A" w14:textId="01055E64" w:rsidR="008C5256" w:rsidRPr="009A204A" w:rsidRDefault="008C5256" w:rsidP="003474B3">
            <w:pPr>
              <w:spacing w:line="240" w:lineRule="exact"/>
              <w:jc w:val="right"/>
              <w:rPr>
                <w:sz w:val="18"/>
                <w:szCs w:val="18"/>
              </w:rPr>
            </w:pPr>
            <w:r w:rsidRPr="008C5256">
              <w:rPr>
                <w:sz w:val="18"/>
                <w:szCs w:val="18"/>
              </w:rPr>
              <w:t xml:space="preserve"> 3,</w:t>
            </w:r>
            <w:r w:rsidR="00B220B2">
              <w:rPr>
                <w:sz w:val="18"/>
                <w:szCs w:val="18"/>
              </w:rPr>
              <w:t>406</w:t>
            </w:r>
            <w:r w:rsidRPr="008C5256">
              <w:rPr>
                <w:sz w:val="18"/>
                <w:szCs w:val="18"/>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center"/>
          </w:tcPr>
          <w:p w14:paraId="520FFEBE" w14:textId="348DBF50" w:rsidR="008C5256" w:rsidRPr="000E73E6" w:rsidRDefault="008C5256" w:rsidP="003474B3">
            <w:pPr>
              <w:spacing w:line="240" w:lineRule="exact"/>
              <w:jc w:val="right"/>
              <w:rPr>
                <w:color w:val="000000"/>
                <w:sz w:val="18"/>
                <w:szCs w:val="18"/>
              </w:rPr>
            </w:pPr>
            <w:r w:rsidRPr="000E73E6">
              <w:rPr>
                <w:sz w:val="18"/>
                <w:szCs w:val="18"/>
              </w:rPr>
              <w:t>$283,817</w:t>
            </w:r>
          </w:p>
        </w:tc>
        <w:tc>
          <w:tcPr>
            <w:tcW w:w="1350" w:type="dxa"/>
            <w:tcBorders>
              <w:top w:val="nil"/>
              <w:left w:val="nil"/>
              <w:bottom w:val="single" w:sz="4" w:space="0" w:color="auto"/>
              <w:right w:val="single" w:sz="4" w:space="0" w:color="auto"/>
            </w:tcBorders>
            <w:shd w:val="clear" w:color="auto" w:fill="auto"/>
            <w:noWrap/>
            <w:vAlign w:val="center"/>
          </w:tcPr>
          <w:p w14:paraId="4AAC962A" w14:textId="3CF12CB7" w:rsidR="008C5256" w:rsidRPr="000E73E6" w:rsidRDefault="008C5256" w:rsidP="003474B3">
            <w:pPr>
              <w:spacing w:line="240" w:lineRule="exact"/>
              <w:jc w:val="right"/>
              <w:rPr>
                <w:color w:val="000000"/>
                <w:sz w:val="18"/>
                <w:szCs w:val="18"/>
              </w:rPr>
            </w:pPr>
            <w:r w:rsidRPr="000E73E6">
              <w:rPr>
                <w:sz w:val="18"/>
                <w:szCs w:val="18"/>
              </w:rPr>
              <w:t>$0</w:t>
            </w:r>
          </w:p>
        </w:tc>
        <w:tc>
          <w:tcPr>
            <w:tcW w:w="1350" w:type="dxa"/>
            <w:tcBorders>
              <w:top w:val="nil"/>
              <w:left w:val="nil"/>
              <w:bottom w:val="single" w:sz="4" w:space="0" w:color="auto"/>
              <w:right w:val="single" w:sz="4" w:space="0" w:color="auto"/>
            </w:tcBorders>
            <w:vAlign w:val="center"/>
          </w:tcPr>
          <w:p w14:paraId="5A09AC9D" w14:textId="0B4D3B5B" w:rsidR="008C5256" w:rsidRPr="000E73E6" w:rsidRDefault="008C5256" w:rsidP="003474B3">
            <w:pPr>
              <w:spacing w:line="240" w:lineRule="exact"/>
              <w:jc w:val="right"/>
              <w:rPr>
                <w:color w:val="000000"/>
                <w:sz w:val="18"/>
                <w:szCs w:val="18"/>
              </w:rPr>
            </w:pPr>
            <w:r w:rsidRPr="000E73E6">
              <w:rPr>
                <w:sz w:val="18"/>
                <w:szCs w:val="18"/>
              </w:rPr>
              <w:t>$283,817</w:t>
            </w:r>
          </w:p>
        </w:tc>
      </w:tr>
      <w:tr w:rsidR="008C5256" w:rsidRPr="00AD498F" w14:paraId="007E6F7A" w14:textId="77777777" w:rsidTr="007164D2">
        <w:trPr>
          <w:trHeight w:val="300"/>
        </w:trPr>
        <w:tc>
          <w:tcPr>
            <w:tcW w:w="6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4989F" w14:textId="4602CEC3" w:rsidR="008C5256" w:rsidRPr="00A3154B" w:rsidRDefault="008C5256" w:rsidP="00E05801">
            <w:pPr>
              <w:spacing w:line="240" w:lineRule="exact"/>
              <w:rPr>
                <w:b/>
                <w:color w:val="000000"/>
                <w:sz w:val="18"/>
                <w:szCs w:val="18"/>
              </w:rPr>
            </w:pPr>
            <w:r w:rsidRPr="00A3154B">
              <w:rPr>
                <w:b/>
                <w:color w:val="000000"/>
                <w:sz w:val="18"/>
                <w:szCs w:val="18"/>
              </w:rPr>
              <w:t>AVERAGE ANNUAL COSTS FOR THE FIRST THREE YEARS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FBCD7" w14:textId="77777777" w:rsidR="008C5256" w:rsidRPr="000E73E6" w:rsidRDefault="008C5256" w:rsidP="003474B3">
            <w:pPr>
              <w:spacing w:line="240" w:lineRule="exact"/>
              <w:jc w:val="right"/>
              <w:rPr>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43C5CF9" w14:textId="72BEAB5B" w:rsidR="008C5256" w:rsidRPr="008C5256" w:rsidRDefault="008C5256" w:rsidP="00736788">
            <w:pPr>
              <w:spacing w:line="240" w:lineRule="exact"/>
              <w:jc w:val="right"/>
              <w:rPr>
                <w:b/>
                <w:sz w:val="18"/>
                <w:szCs w:val="18"/>
              </w:rPr>
            </w:pPr>
            <w:r w:rsidRPr="008C5256">
              <w:rPr>
                <w:b/>
                <w:sz w:val="18"/>
                <w:szCs w:val="18"/>
              </w:rPr>
              <w:t xml:space="preserve"> 5,</w:t>
            </w:r>
            <w:r w:rsidR="00B220B2">
              <w:rPr>
                <w:b/>
                <w:sz w:val="18"/>
                <w:szCs w:val="18"/>
              </w:rPr>
              <w:t>973</w:t>
            </w:r>
            <w:r w:rsidRPr="008C5256">
              <w:rPr>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C78044" w14:textId="450DB16D" w:rsidR="008C5256" w:rsidRPr="000E73E6" w:rsidRDefault="008C5256" w:rsidP="003474B3">
            <w:pPr>
              <w:spacing w:line="240" w:lineRule="exact"/>
              <w:jc w:val="right"/>
              <w:rPr>
                <w:b/>
                <w:color w:val="000000"/>
                <w:sz w:val="18"/>
                <w:szCs w:val="18"/>
              </w:rPr>
            </w:pPr>
            <w:r w:rsidRPr="000E73E6">
              <w:rPr>
                <w:b/>
                <w:sz w:val="18"/>
                <w:szCs w:val="18"/>
              </w:rPr>
              <w:t>$432,041</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90994F" w14:textId="395C7458" w:rsidR="008C5256" w:rsidRPr="000E73E6" w:rsidRDefault="008C5256" w:rsidP="003474B3">
            <w:pPr>
              <w:spacing w:line="240" w:lineRule="exact"/>
              <w:jc w:val="right"/>
              <w:rPr>
                <w:b/>
                <w:color w:val="000000"/>
                <w:sz w:val="18"/>
                <w:szCs w:val="18"/>
              </w:rPr>
            </w:pPr>
            <w:r w:rsidRPr="000E73E6">
              <w:rPr>
                <w:b/>
                <w:sz w:val="18"/>
                <w:szCs w:val="18"/>
              </w:rPr>
              <w:t>$22</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560EB2" w14:textId="2AE83454" w:rsidR="008C5256" w:rsidRPr="000E73E6" w:rsidRDefault="008C5256" w:rsidP="003474B3">
            <w:pPr>
              <w:spacing w:line="240" w:lineRule="exact"/>
              <w:jc w:val="right"/>
              <w:rPr>
                <w:b/>
                <w:color w:val="000000"/>
                <w:sz w:val="18"/>
                <w:szCs w:val="18"/>
              </w:rPr>
            </w:pPr>
            <w:r w:rsidRPr="000E73E6">
              <w:rPr>
                <w:b/>
                <w:sz w:val="18"/>
                <w:szCs w:val="18"/>
              </w:rPr>
              <w:t>$432,063</w:t>
            </w:r>
          </w:p>
        </w:tc>
      </w:tr>
      <w:tr w:rsidR="008C5256" w:rsidRPr="00AD498F" w14:paraId="069C70EC" w14:textId="77777777" w:rsidTr="007164D2">
        <w:trPr>
          <w:trHeight w:val="300"/>
        </w:trPr>
        <w:tc>
          <w:tcPr>
            <w:tcW w:w="6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875743" w14:textId="77777777" w:rsidR="008C5256" w:rsidRPr="00A3154B" w:rsidRDefault="008C5256" w:rsidP="00E05801">
            <w:pPr>
              <w:spacing w:line="240" w:lineRule="exact"/>
              <w:rPr>
                <w:b/>
                <w:color w:val="000000"/>
                <w:sz w:val="18"/>
                <w:szCs w:val="18"/>
              </w:rPr>
            </w:pPr>
            <w:r w:rsidRPr="00A3154B">
              <w:rPr>
                <w:b/>
                <w:color w:val="000000"/>
                <w:sz w:val="18"/>
                <w:szCs w:val="18"/>
              </w:rPr>
              <w:t>TOTAL COSTS FOR THE FIRST THREE YEARS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B548E" w14:textId="77777777" w:rsidR="008C5256" w:rsidRPr="000E73E6" w:rsidRDefault="008C5256" w:rsidP="003474B3">
            <w:pPr>
              <w:spacing w:line="240" w:lineRule="exact"/>
              <w:jc w:val="right"/>
              <w:rPr>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5579376" w14:textId="46156A67" w:rsidR="008C5256" w:rsidRPr="008C5256" w:rsidRDefault="008C5256" w:rsidP="00344FFC">
            <w:pPr>
              <w:spacing w:line="240" w:lineRule="exact"/>
              <w:jc w:val="right"/>
              <w:rPr>
                <w:b/>
                <w:sz w:val="18"/>
                <w:szCs w:val="18"/>
              </w:rPr>
            </w:pPr>
            <w:r w:rsidRPr="008C5256">
              <w:rPr>
                <w:b/>
                <w:sz w:val="18"/>
                <w:szCs w:val="18"/>
              </w:rPr>
              <w:t xml:space="preserve"> 17,</w:t>
            </w:r>
            <w:r w:rsidR="00B220B2">
              <w:rPr>
                <w:b/>
                <w:sz w:val="18"/>
                <w:szCs w:val="18"/>
              </w:rPr>
              <w:t>919</w:t>
            </w:r>
            <w:r w:rsidRPr="008C5256">
              <w:rPr>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C0EF42" w14:textId="225153E4" w:rsidR="008C5256" w:rsidRPr="000E73E6" w:rsidRDefault="008C5256" w:rsidP="003474B3">
            <w:pPr>
              <w:spacing w:line="240" w:lineRule="exact"/>
              <w:jc w:val="right"/>
              <w:rPr>
                <w:b/>
                <w:color w:val="000000"/>
                <w:sz w:val="18"/>
                <w:szCs w:val="18"/>
              </w:rPr>
            </w:pPr>
            <w:r w:rsidRPr="000E73E6">
              <w:rPr>
                <w:b/>
                <w:sz w:val="18"/>
                <w:szCs w:val="18"/>
              </w:rPr>
              <w:t>$1,296,122</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3A78534" w14:textId="250C1A49" w:rsidR="008C5256" w:rsidRPr="000E73E6" w:rsidRDefault="008C5256" w:rsidP="003474B3">
            <w:pPr>
              <w:spacing w:line="240" w:lineRule="exact"/>
              <w:jc w:val="right"/>
              <w:rPr>
                <w:b/>
                <w:color w:val="000000"/>
                <w:sz w:val="18"/>
                <w:szCs w:val="18"/>
              </w:rPr>
            </w:pPr>
            <w:r w:rsidRPr="000E73E6">
              <w:rPr>
                <w:b/>
                <w:sz w:val="18"/>
                <w:szCs w:val="18"/>
              </w:rPr>
              <w:t>$67</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ADE7A6" w14:textId="5C592ECC" w:rsidR="008C5256" w:rsidRPr="000E73E6" w:rsidRDefault="008C5256" w:rsidP="003474B3">
            <w:pPr>
              <w:spacing w:line="240" w:lineRule="exact"/>
              <w:jc w:val="right"/>
              <w:rPr>
                <w:b/>
                <w:color w:val="000000"/>
                <w:sz w:val="18"/>
                <w:szCs w:val="18"/>
              </w:rPr>
            </w:pPr>
            <w:r w:rsidRPr="000E73E6">
              <w:rPr>
                <w:b/>
                <w:sz w:val="18"/>
                <w:szCs w:val="18"/>
              </w:rPr>
              <w:t>$1,296,189</w:t>
            </w:r>
          </w:p>
        </w:tc>
      </w:tr>
      <w:tr w:rsidR="00E05801" w:rsidRPr="00DE0E39" w14:paraId="36F9FFFF" w14:textId="77777777" w:rsidTr="00E05801">
        <w:trPr>
          <w:trHeight w:val="467"/>
        </w:trPr>
        <w:tc>
          <w:tcPr>
            <w:tcW w:w="12600" w:type="dxa"/>
            <w:gridSpan w:val="6"/>
            <w:tcBorders>
              <w:top w:val="single" w:sz="4" w:space="0" w:color="auto"/>
              <w:left w:val="single" w:sz="4" w:space="0" w:color="auto"/>
              <w:bottom w:val="single" w:sz="4" w:space="0" w:color="auto"/>
              <w:right w:val="single" w:sz="4" w:space="0" w:color="auto"/>
            </w:tcBorders>
          </w:tcPr>
          <w:p w14:paraId="3AA4C841" w14:textId="77777777" w:rsidR="00E05801" w:rsidRPr="00EC2ACC" w:rsidRDefault="00E05801" w:rsidP="00E05801">
            <w:pPr>
              <w:spacing w:line="240" w:lineRule="exact"/>
              <w:rPr>
                <w:sz w:val="18"/>
                <w:szCs w:val="18"/>
                <w:u w:val="single"/>
              </w:rPr>
            </w:pPr>
            <w:r w:rsidRPr="00EC2ACC">
              <w:rPr>
                <w:sz w:val="18"/>
                <w:szCs w:val="18"/>
                <w:u w:val="single"/>
              </w:rPr>
              <w:t>Notes:</w:t>
            </w:r>
          </w:p>
          <w:p w14:paraId="34AA23FD" w14:textId="1EAC911D" w:rsidR="009A3996" w:rsidRPr="008C5256" w:rsidRDefault="00E05801" w:rsidP="008C5256">
            <w:pPr>
              <w:pStyle w:val="ListParagraph"/>
              <w:numPr>
                <w:ilvl w:val="0"/>
                <w:numId w:val="44"/>
              </w:numPr>
              <w:spacing w:line="240" w:lineRule="exact"/>
              <w:rPr>
                <w:sz w:val="18"/>
                <w:szCs w:val="18"/>
              </w:rPr>
            </w:pPr>
            <w:r w:rsidRPr="008C5256">
              <w:rPr>
                <w:sz w:val="18"/>
                <w:szCs w:val="18"/>
              </w:rPr>
              <w:t>Numbers may not sum due to rounding.</w:t>
            </w:r>
          </w:p>
          <w:p w14:paraId="5EA33A21" w14:textId="694E8F17" w:rsidR="007F4096" w:rsidRPr="008C5256" w:rsidRDefault="007F4096" w:rsidP="00736788">
            <w:pPr>
              <w:pStyle w:val="ListParagraph"/>
              <w:spacing w:line="240" w:lineRule="exact"/>
              <w:rPr>
                <w:sz w:val="18"/>
                <w:szCs w:val="18"/>
              </w:rPr>
            </w:pPr>
          </w:p>
        </w:tc>
      </w:tr>
    </w:tbl>
    <w:p w14:paraId="5D925509" w14:textId="6F169620" w:rsidR="00E05801" w:rsidRDefault="00E05801" w:rsidP="00BD34BE">
      <w:pPr>
        <w:rPr>
          <w:b/>
          <w:bCs/>
          <w:szCs w:val="28"/>
        </w:rPr>
        <w:sectPr w:rsidR="00E05801" w:rsidSect="00BD34BE">
          <w:pgSz w:w="15840" w:h="12240" w:orient="landscape"/>
          <w:pgMar w:top="1440" w:right="1440" w:bottom="1440" w:left="1440" w:header="720" w:footer="720" w:gutter="0"/>
          <w:cols w:space="720"/>
          <w:docGrid w:linePitch="360"/>
        </w:sectPr>
      </w:pPr>
    </w:p>
    <w:tbl>
      <w:tblPr>
        <w:tblW w:w="13068" w:type="dxa"/>
        <w:tblLayout w:type="fixed"/>
        <w:tblLook w:val="04A0" w:firstRow="1" w:lastRow="0" w:firstColumn="1" w:lastColumn="0" w:noHBand="0" w:noVBand="1"/>
      </w:tblPr>
      <w:tblGrid>
        <w:gridCol w:w="5420"/>
        <w:gridCol w:w="1274"/>
        <w:gridCol w:w="1275"/>
        <w:gridCol w:w="1275"/>
        <w:gridCol w:w="1274"/>
        <w:gridCol w:w="1275"/>
        <w:gridCol w:w="1275"/>
      </w:tblGrid>
      <w:tr w:rsidR="00067FE8" w:rsidRPr="00266A6B" w14:paraId="7A903861" w14:textId="77777777" w:rsidTr="00412AB6">
        <w:tc>
          <w:tcPr>
            <w:tcW w:w="13068" w:type="dxa"/>
            <w:gridSpan w:val="7"/>
            <w:tcBorders>
              <w:top w:val="nil"/>
              <w:left w:val="nil"/>
              <w:bottom w:val="single" w:sz="4" w:space="0" w:color="auto"/>
              <w:right w:val="nil"/>
            </w:tcBorders>
            <w:vAlign w:val="center"/>
          </w:tcPr>
          <w:p w14:paraId="51D52F9B" w14:textId="164FFEE7" w:rsidR="00067FE8" w:rsidRPr="00266A6B" w:rsidRDefault="00067FE8" w:rsidP="0014780D">
            <w:pPr>
              <w:pStyle w:val="Default"/>
              <w:ind w:left="-90"/>
              <w:rPr>
                <w:rFonts w:ascii="Times New Roman" w:hAnsi="Times New Roman" w:cs="Times New Roman"/>
                <w:b/>
                <w:szCs w:val="28"/>
              </w:rPr>
            </w:pPr>
            <w:r w:rsidRPr="00266A6B">
              <w:rPr>
                <w:rFonts w:ascii="Times New Roman" w:hAnsi="Times New Roman" w:cs="Times New Roman"/>
                <w:b/>
                <w:szCs w:val="28"/>
              </w:rPr>
              <w:t xml:space="preserve">Exhibit 2: Estimated Universe of Facilities </w:t>
            </w:r>
            <w:r w:rsidR="00983D15">
              <w:rPr>
                <w:rFonts w:ascii="Times New Roman" w:hAnsi="Times New Roman" w:cs="Times New Roman"/>
                <w:b/>
                <w:szCs w:val="28"/>
              </w:rPr>
              <w:t xml:space="preserve">Expected to </w:t>
            </w:r>
            <w:r w:rsidR="0014780D">
              <w:rPr>
                <w:rFonts w:ascii="Times New Roman" w:hAnsi="Times New Roman" w:cs="Times New Roman"/>
                <w:b/>
                <w:szCs w:val="28"/>
              </w:rPr>
              <w:t xml:space="preserve">Incur </w:t>
            </w:r>
            <w:r w:rsidR="00983D15">
              <w:rPr>
                <w:rFonts w:ascii="Times New Roman" w:hAnsi="Times New Roman" w:cs="Times New Roman"/>
                <w:b/>
                <w:szCs w:val="28"/>
              </w:rPr>
              <w:t>Cost</w:t>
            </w:r>
            <w:r w:rsidR="00B93E6B">
              <w:rPr>
                <w:rFonts w:ascii="Times New Roman" w:hAnsi="Times New Roman" w:cs="Times New Roman"/>
                <w:b/>
                <w:szCs w:val="28"/>
              </w:rPr>
              <w:t>s</w:t>
            </w:r>
            <w:r w:rsidR="00983D15">
              <w:rPr>
                <w:rFonts w:ascii="Times New Roman" w:hAnsi="Times New Roman" w:cs="Times New Roman"/>
                <w:b/>
                <w:szCs w:val="28"/>
              </w:rPr>
              <w:t xml:space="preserve"> as a Result of</w:t>
            </w:r>
            <w:r w:rsidRPr="00266A6B">
              <w:rPr>
                <w:rFonts w:ascii="Times New Roman" w:hAnsi="Times New Roman" w:cs="Times New Roman"/>
                <w:b/>
                <w:szCs w:val="28"/>
              </w:rPr>
              <w:t xml:space="preserve"> the Aerosol Can Universal Waste Proposed Rule</w:t>
            </w:r>
          </w:p>
        </w:tc>
      </w:tr>
      <w:tr w:rsidR="00105504" w:rsidRPr="00412AB6" w14:paraId="5C75BDFA" w14:textId="77777777" w:rsidTr="00412AB6">
        <w:tc>
          <w:tcPr>
            <w:tcW w:w="5420"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CFD0BC" w14:textId="77777777" w:rsidR="00105504" w:rsidRPr="00412AB6" w:rsidRDefault="00105504" w:rsidP="00E05801">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Information Collection Activity</w:t>
            </w:r>
          </w:p>
        </w:tc>
        <w:tc>
          <w:tcPr>
            <w:tcW w:w="7648"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877A91" w14:textId="77777777" w:rsidR="00105504" w:rsidRPr="00412AB6" w:rsidRDefault="00105504" w:rsidP="00E05801">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Number of Respondents</w:t>
            </w:r>
          </w:p>
        </w:tc>
      </w:tr>
      <w:tr w:rsidR="00105504" w:rsidRPr="00412AB6" w14:paraId="2A760E47" w14:textId="77777777" w:rsidTr="00412AB6">
        <w:tc>
          <w:tcPr>
            <w:tcW w:w="542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C060D98" w14:textId="77777777" w:rsidR="00105504" w:rsidRPr="00412AB6" w:rsidRDefault="00105504" w:rsidP="00E05801">
            <w:pPr>
              <w:pStyle w:val="Default"/>
              <w:spacing w:line="240" w:lineRule="exact"/>
              <w:jc w:val="center"/>
              <w:rPr>
                <w:rFonts w:ascii="Times New Roman" w:hAnsi="Times New Roman" w:cs="Times New Roman"/>
                <w:b/>
                <w:sz w:val="18"/>
                <w:szCs w:val="18"/>
              </w:rPr>
            </w:pPr>
          </w:p>
        </w:tc>
        <w:tc>
          <w:tcPr>
            <w:tcW w:w="12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F4437AA" w14:textId="77777777" w:rsidR="00105504" w:rsidRPr="00412AB6" w:rsidRDefault="00105504" w:rsidP="00105504">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Remain LQG</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7185E7B" w14:textId="77777777" w:rsidR="00105504" w:rsidRPr="00412AB6" w:rsidRDefault="00105504" w:rsidP="00E05801">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LQG to SQG</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CED79E9" w14:textId="77777777" w:rsidR="00105504" w:rsidRPr="00412AB6" w:rsidRDefault="00105504" w:rsidP="009F072E">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LQG to L</w:t>
            </w:r>
            <w:r w:rsidR="009F072E">
              <w:rPr>
                <w:rFonts w:ascii="Times New Roman" w:hAnsi="Times New Roman" w:cs="Times New Roman"/>
                <w:b/>
                <w:sz w:val="18"/>
                <w:szCs w:val="18"/>
              </w:rPr>
              <w:t>Q</w:t>
            </w:r>
            <w:r w:rsidRPr="00412AB6">
              <w:rPr>
                <w:rFonts w:ascii="Times New Roman" w:hAnsi="Times New Roman" w:cs="Times New Roman"/>
                <w:b/>
                <w:sz w:val="18"/>
                <w:szCs w:val="18"/>
              </w:rPr>
              <w:t>H</w:t>
            </w:r>
          </w:p>
        </w:tc>
        <w:tc>
          <w:tcPr>
            <w:tcW w:w="127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6AC8C5" w14:textId="77777777" w:rsidR="00105504" w:rsidRPr="00412AB6" w:rsidRDefault="00105504" w:rsidP="00105504">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SQG to LQH</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A50169" w14:textId="77777777" w:rsidR="00105504" w:rsidRPr="00412AB6" w:rsidRDefault="00105504" w:rsidP="00E05801">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SQG to SQH</w:t>
            </w: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33FCCE" w14:textId="77777777" w:rsidR="00105504" w:rsidRPr="00412AB6" w:rsidRDefault="00105504" w:rsidP="00E05801">
            <w:pPr>
              <w:pStyle w:val="Default"/>
              <w:spacing w:line="240" w:lineRule="exact"/>
              <w:jc w:val="center"/>
              <w:rPr>
                <w:rFonts w:ascii="Times New Roman" w:hAnsi="Times New Roman" w:cs="Times New Roman"/>
                <w:b/>
                <w:sz w:val="18"/>
                <w:szCs w:val="18"/>
              </w:rPr>
            </w:pPr>
            <w:r w:rsidRPr="00412AB6">
              <w:rPr>
                <w:rFonts w:ascii="Times New Roman" w:hAnsi="Times New Roman" w:cs="Times New Roman"/>
                <w:b/>
                <w:sz w:val="18"/>
                <w:szCs w:val="18"/>
              </w:rPr>
              <w:t>Total</w:t>
            </w:r>
          </w:p>
        </w:tc>
      </w:tr>
      <w:tr w:rsidR="00412AB6" w:rsidRPr="00266A6B" w14:paraId="5FC6E515" w14:textId="77777777" w:rsidTr="006620DC">
        <w:tc>
          <w:tcPr>
            <w:tcW w:w="130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E906A" w14:textId="77777777" w:rsidR="00412AB6" w:rsidRPr="00067FE8" w:rsidRDefault="00412AB6" w:rsidP="00F76ABE">
            <w:pPr>
              <w:spacing w:line="240" w:lineRule="exact"/>
              <w:rPr>
                <w:color w:val="000000"/>
                <w:sz w:val="18"/>
                <w:szCs w:val="18"/>
              </w:rPr>
            </w:pPr>
            <w:r w:rsidRPr="00067FE8">
              <w:rPr>
                <w:color w:val="000000"/>
                <w:sz w:val="18"/>
                <w:szCs w:val="18"/>
              </w:rPr>
              <w:t>One Time Costs</w:t>
            </w:r>
          </w:p>
        </w:tc>
      </w:tr>
      <w:tr w:rsidR="00F43B5C" w:rsidRPr="00266A6B" w14:paraId="18DB44FC" w14:textId="77777777" w:rsidTr="00412AB6">
        <w:tc>
          <w:tcPr>
            <w:tcW w:w="5420" w:type="dxa"/>
            <w:tcBorders>
              <w:top w:val="single" w:sz="4" w:space="0" w:color="auto"/>
              <w:left w:val="single" w:sz="4" w:space="0" w:color="auto"/>
              <w:bottom w:val="single" w:sz="4" w:space="0" w:color="auto"/>
              <w:right w:val="single" w:sz="4" w:space="0" w:color="auto"/>
            </w:tcBorders>
          </w:tcPr>
          <w:p w14:paraId="6C4F47C5" w14:textId="77777777" w:rsidR="00F43B5C" w:rsidRPr="00067FE8" w:rsidRDefault="00F43B5C" w:rsidP="00F76ABE">
            <w:pPr>
              <w:spacing w:line="240" w:lineRule="exact"/>
              <w:rPr>
                <w:color w:val="000000"/>
                <w:sz w:val="18"/>
                <w:szCs w:val="18"/>
              </w:rPr>
            </w:pPr>
            <w:r w:rsidRPr="00067FE8">
              <w:rPr>
                <w:color w:val="000000"/>
                <w:sz w:val="18"/>
                <w:szCs w:val="18"/>
              </w:rPr>
              <w:t>Notification of Hazardous Waste Activity</w:t>
            </w:r>
          </w:p>
        </w:tc>
        <w:tc>
          <w:tcPr>
            <w:tcW w:w="1274" w:type="dxa"/>
            <w:tcBorders>
              <w:top w:val="single" w:sz="4" w:space="0" w:color="auto"/>
              <w:left w:val="single" w:sz="4" w:space="0" w:color="auto"/>
              <w:bottom w:val="single" w:sz="4" w:space="0" w:color="auto"/>
              <w:right w:val="single" w:sz="4" w:space="0" w:color="auto"/>
            </w:tcBorders>
          </w:tcPr>
          <w:p w14:paraId="3881350C"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4FDCD72A"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66373CDF" w14:textId="77777777" w:rsidR="00F43B5C" w:rsidRPr="00F43B5C" w:rsidRDefault="00F43B5C" w:rsidP="00F43B5C">
            <w:pPr>
              <w:spacing w:line="240" w:lineRule="exact"/>
              <w:jc w:val="right"/>
              <w:rPr>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tcPr>
          <w:p w14:paraId="70273650"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5 </w:t>
            </w:r>
          </w:p>
        </w:tc>
        <w:tc>
          <w:tcPr>
            <w:tcW w:w="1275" w:type="dxa"/>
            <w:tcBorders>
              <w:top w:val="single" w:sz="4" w:space="0" w:color="auto"/>
              <w:left w:val="single" w:sz="4" w:space="0" w:color="auto"/>
              <w:bottom w:val="single" w:sz="4" w:space="0" w:color="auto"/>
              <w:right w:val="single" w:sz="4" w:space="0" w:color="auto"/>
            </w:tcBorders>
          </w:tcPr>
          <w:p w14:paraId="2B5B8C35"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23 </w:t>
            </w:r>
          </w:p>
        </w:tc>
        <w:tc>
          <w:tcPr>
            <w:tcW w:w="1275" w:type="dxa"/>
            <w:tcBorders>
              <w:top w:val="single" w:sz="4" w:space="0" w:color="auto"/>
              <w:left w:val="single" w:sz="4" w:space="0" w:color="auto"/>
              <w:bottom w:val="single" w:sz="4" w:space="0" w:color="auto"/>
              <w:right w:val="single" w:sz="4" w:space="0" w:color="auto"/>
            </w:tcBorders>
          </w:tcPr>
          <w:p w14:paraId="721E8B84"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28 </w:t>
            </w:r>
          </w:p>
        </w:tc>
      </w:tr>
      <w:tr w:rsidR="00F43B5C" w:rsidRPr="00266A6B" w14:paraId="7C7D9649" w14:textId="77777777" w:rsidTr="00412AB6">
        <w:tc>
          <w:tcPr>
            <w:tcW w:w="5420" w:type="dxa"/>
            <w:tcBorders>
              <w:top w:val="single" w:sz="4" w:space="0" w:color="auto"/>
              <w:left w:val="single" w:sz="4" w:space="0" w:color="auto"/>
              <w:bottom w:val="single" w:sz="4" w:space="0" w:color="auto"/>
              <w:right w:val="single" w:sz="4" w:space="0" w:color="auto"/>
            </w:tcBorders>
          </w:tcPr>
          <w:p w14:paraId="2EF23F1B" w14:textId="77777777" w:rsidR="00F43B5C" w:rsidRPr="00067FE8" w:rsidRDefault="00F43B5C" w:rsidP="00F76ABE">
            <w:pPr>
              <w:spacing w:line="240" w:lineRule="exact"/>
              <w:rPr>
                <w:color w:val="000000"/>
                <w:sz w:val="18"/>
                <w:szCs w:val="18"/>
              </w:rPr>
            </w:pPr>
            <w:r w:rsidRPr="00067FE8">
              <w:rPr>
                <w:color w:val="000000"/>
                <w:sz w:val="18"/>
                <w:szCs w:val="18"/>
              </w:rPr>
              <w:t>Rule Familiarization</w:t>
            </w:r>
          </w:p>
        </w:tc>
        <w:tc>
          <w:tcPr>
            <w:tcW w:w="1274" w:type="dxa"/>
            <w:tcBorders>
              <w:top w:val="single" w:sz="4" w:space="0" w:color="auto"/>
              <w:left w:val="single" w:sz="4" w:space="0" w:color="auto"/>
              <w:bottom w:val="single" w:sz="4" w:space="0" w:color="auto"/>
              <w:right w:val="single" w:sz="4" w:space="0" w:color="auto"/>
            </w:tcBorders>
          </w:tcPr>
          <w:p w14:paraId="1E6BB432"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24EC9D49"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245AB910"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0.4 </w:t>
            </w:r>
          </w:p>
        </w:tc>
        <w:tc>
          <w:tcPr>
            <w:tcW w:w="1274" w:type="dxa"/>
            <w:tcBorders>
              <w:top w:val="single" w:sz="4" w:space="0" w:color="auto"/>
              <w:left w:val="single" w:sz="4" w:space="0" w:color="auto"/>
              <w:bottom w:val="single" w:sz="4" w:space="0" w:color="auto"/>
              <w:right w:val="single" w:sz="4" w:space="0" w:color="auto"/>
            </w:tcBorders>
          </w:tcPr>
          <w:p w14:paraId="477A4F7D"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5 </w:t>
            </w:r>
          </w:p>
        </w:tc>
        <w:tc>
          <w:tcPr>
            <w:tcW w:w="1275" w:type="dxa"/>
            <w:tcBorders>
              <w:top w:val="single" w:sz="4" w:space="0" w:color="auto"/>
              <w:left w:val="single" w:sz="4" w:space="0" w:color="auto"/>
              <w:bottom w:val="single" w:sz="4" w:space="0" w:color="auto"/>
              <w:right w:val="single" w:sz="4" w:space="0" w:color="auto"/>
            </w:tcBorders>
          </w:tcPr>
          <w:p w14:paraId="3A483C7C"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23 </w:t>
            </w:r>
          </w:p>
        </w:tc>
        <w:tc>
          <w:tcPr>
            <w:tcW w:w="1275" w:type="dxa"/>
            <w:tcBorders>
              <w:top w:val="single" w:sz="4" w:space="0" w:color="auto"/>
              <w:left w:val="single" w:sz="4" w:space="0" w:color="auto"/>
              <w:bottom w:val="single" w:sz="4" w:space="0" w:color="auto"/>
              <w:right w:val="single" w:sz="4" w:space="0" w:color="auto"/>
            </w:tcBorders>
          </w:tcPr>
          <w:p w14:paraId="0045453B" w14:textId="77777777" w:rsidR="00F43B5C" w:rsidRPr="00F43B5C" w:rsidRDefault="00F43B5C" w:rsidP="00F43B5C">
            <w:pPr>
              <w:spacing w:line="240" w:lineRule="exact"/>
              <w:jc w:val="right"/>
              <w:rPr>
                <w:color w:val="000000"/>
                <w:sz w:val="18"/>
                <w:szCs w:val="18"/>
              </w:rPr>
            </w:pPr>
            <w:r w:rsidRPr="00F43B5C">
              <w:rPr>
                <w:color w:val="000000"/>
                <w:sz w:val="18"/>
                <w:szCs w:val="18"/>
              </w:rPr>
              <w:t xml:space="preserve"> 28 </w:t>
            </w:r>
          </w:p>
        </w:tc>
      </w:tr>
      <w:tr w:rsidR="00412AB6" w:rsidRPr="00266A6B" w14:paraId="024BCD28" w14:textId="77777777" w:rsidTr="006620DC">
        <w:tc>
          <w:tcPr>
            <w:tcW w:w="130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0D4638" w14:textId="77777777" w:rsidR="00412AB6" w:rsidRPr="00067FE8" w:rsidRDefault="00412AB6" w:rsidP="00F76ABE">
            <w:pPr>
              <w:spacing w:line="240" w:lineRule="exact"/>
              <w:rPr>
                <w:color w:val="000000"/>
                <w:sz w:val="18"/>
                <w:szCs w:val="18"/>
              </w:rPr>
            </w:pPr>
            <w:r w:rsidRPr="00067FE8">
              <w:rPr>
                <w:color w:val="000000"/>
                <w:sz w:val="18"/>
                <w:szCs w:val="18"/>
              </w:rPr>
              <w:t>Annual Costs</w:t>
            </w:r>
          </w:p>
        </w:tc>
      </w:tr>
      <w:tr w:rsidR="00067FE8" w:rsidRPr="00266A6B" w14:paraId="439D963A" w14:textId="77777777" w:rsidTr="00412AB6">
        <w:tc>
          <w:tcPr>
            <w:tcW w:w="5420" w:type="dxa"/>
            <w:tcBorders>
              <w:top w:val="single" w:sz="4" w:space="0" w:color="auto"/>
              <w:left w:val="single" w:sz="4" w:space="0" w:color="auto"/>
              <w:bottom w:val="single" w:sz="4" w:space="0" w:color="auto"/>
              <w:right w:val="single" w:sz="4" w:space="0" w:color="auto"/>
            </w:tcBorders>
            <w:vAlign w:val="bottom"/>
          </w:tcPr>
          <w:p w14:paraId="310A1FEB" w14:textId="77777777" w:rsidR="00067FE8" w:rsidRPr="00067FE8" w:rsidRDefault="00067FE8" w:rsidP="00F76ABE">
            <w:pPr>
              <w:spacing w:line="240" w:lineRule="exact"/>
              <w:rPr>
                <w:color w:val="000000"/>
                <w:sz w:val="18"/>
                <w:szCs w:val="18"/>
              </w:rPr>
            </w:pPr>
            <w:r w:rsidRPr="00067FE8">
              <w:rPr>
                <w:color w:val="000000"/>
                <w:sz w:val="18"/>
                <w:szCs w:val="18"/>
              </w:rPr>
              <w:t>Annual Review of Regulations</w:t>
            </w:r>
          </w:p>
        </w:tc>
        <w:tc>
          <w:tcPr>
            <w:tcW w:w="1274" w:type="dxa"/>
            <w:tcBorders>
              <w:top w:val="single" w:sz="4" w:space="0" w:color="auto"/>
              <w:left w:val="single" w:sz="4" w:space="0" w:color="auto"/>
              <w:bottom w:val="single" w:sz="4" w:space="0" w:color="auto"/>
              <w:right w:val="single" w:sz="4" w:space="0" w:color="auto"/>
            </w:tcBorders>
          </w:tcPr>
          <w:p w14:paraId="6C77508A"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3859AAA1"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44 </w:t>
            </w:r>
          </w:p>
        </w:tc>
        <w:tc>
          <w:tcPr>
            <w:tcW w:w="1275" w:type="dxa"/>
            <w:tcBorders>
              <w:top w:val="single" w:sz="4" w:space="0" w:color="auto"/>
              <w:left w:val="single" w:sz="4" w:space="0" w:color="auto"/>
              <w:bottom w:val="single" w:sz="4" w:space="0" w:color="auto"/>
              <w:right w:val="single" w:sz="4" w:space="0" w:color="auto"/>
            </w:tcBorders>
          </w:tcPr>
          <w:p w14:paraId="62F3BCED"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3BA3B327"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tcPr>
          <w:p w14:paraId="121CBDF5"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385 </w:t>
            </w:r>
          </w:p>
        </w:tc>
        <w:tc>
          <w:tcPr>
            <w:tcW w:w="1275" w:type="dxa"/>
            <w:tcBorders>
              <w:top w:val="single" w:sz="4" w:space="0" w:color="auto"/>
              <w:left w:val="single" w:sz="4" w:space="0" w:color="auto"/>
              <w:bottom w:val="single" w:sz="4" w:space="0" w:color="auto"/>
              <w:right w:val="single" w:sz="4" w:space="0" w:color="auto"/>
            </w:tcBorders>
          </w:tcPr>
          <w:p w14:paraId="73B00ADC"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527 </w:t>
            </w:r>
          </w:p>
        </w:tc>
      </w:tr>
      <w:tr w:rsidR="00067FE8" w:rsidRPr="00266A6B" w14:paraId="76120D31" w14:textId="77777777" w:rsidTr="00412AB6">
        <w:tc>
          <w:tcPr>
            <w:tcW w:w="5420" w:type="dxa"/>
            <w:tcBorders>
              <w:top w:val="single" w:sz="4" w:space="0" w:color="auto"/>
              <w:left w:val="single" w:sz="4" w:space="0" w:color="auto"/>
              <w:bottom w:val="single" w:sz="4" w:space="0" w:color="auto"/>
              <w:right w:val="single" w:sz="4" w:space="0" w:color="auto"/>
            </w:tcBorders>
            <w:vAlign w:val="bottom"/>
          </w:tcPr>
          <w:p w14:paraId="29D5095C" w14:textId="77777777" w:rsidR="00067FE8" w:rsidRPr="00067FE8" w:rsidRDefault="00067FE8" w:rsidP="00F76ABE">
            <w:pPr>
              <w:spacing w:line="240" w:lineRule="exact"/>
              <w:rPr>
                <w:color w:val="000000"/>
                <w:sz w:val="18"/>
                <w:szCs w:val="18"/>
              </w:rPr>
            </w:pPr>
            <w:r w:rsidRPr="00067FE8">
              <w:rPr>
                <w:color w:val="000000"/>
                <w:sz w:val="18"/>
                <w:szCs w:val="18"/>
              </w:rPr>
              <w:t>Personnel Safety Training (annualized cost)</w:t>
            </w:r>
          </w:p>
        </w:tc>
        <w:tc>
          <w:tcPr>
            <w:tcW w:w="1274" w:type="dxa"/>
            <w:tcBorders>
              <w:top w:val="single" w:sz="4" w:space="0" w:color="auto"/>
              <w:left w:val="single" w:sz="4" w:space="0" w:color="auto"/>
              <w:bottom w:val="single" w:sz="4" w:space="0" w:color="auto"/>
              <w:right w:val="single" w:sz="4" w:space="0" w:color="auto"/>
            </w:tcBorders>
          </w:tcPr>
          <w:p w14:paraId="6CD4D082"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tcPr>
          <w:p w14:paraId="3B4FED02"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44 </w:t>
            </w:r>
          </w:p>
        </w:tc>
        <w:tc>
          <w:tcPr>
            <w:tcW w:w="1275" w:type="dxa"/>
            <w:tcBorders>
              <w:top w:val="single" w:sz="4" w:space="0" w:color="auto"/>
              <w:left w:val="single" w:sz="4" w:space="0" w:color="auto"/>
              <w:bottom w:val="single" w:sz="4" w:space="0" w:color="auto"/>
              <w:right w:val="single" w:sz="4" w:space="0" w:color="auto"/>
            </w:tcBorders>
          </w:tcPr>
          <w:p w14:paraId="04444138"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4986AC81"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tcPr>
          <w:p w14:paraId="4E949C51"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385 </w:t>
            </w:r>
          </w:p>
        </w:tc>
        <w:tc>
          <w:tcPr>
            <w:tcW w:w="1275" w:type="dxa"/>
            <w:tcBorders>
              <w:top w:val="single" w:sz="4" w:space="0" w:color="auto"/>
              <w:left w:val="single" w:sz="4" w:space="0" w:color="auto"/>
              <w:bottom w:val="single" w:sz="4" w:space="0" w:color="auto"/>
              <w:right w:val="single" w:sz="4" w:space="0" w:color="auto"/>
            </w:tcBorders>
          </w:tcPr>
          <w:p w14:paraId="363DA5E5" w14:textId="77777777" w:rsidR="00067FE8" w:rsidRPr="00067FE8" w:rsidRDefault="00067FE8" w:rsidP="00067FE8">
            <w:pPr>
              <w:spacing w:line="240" w:lineRule="exact"/>
              <w:jc w:val="right"/>
              <w:rPr>
                <w:color w:val="000000"/>
                <w:sz w:val="18"/>
                <w:szCs w:val="18"/>
              </w:rPr>
            </w:pPr>
            <w:r w:rsidRPr="00067FE8">
              <w:rPr>
                <w:color w:val="000000"/>
                <w:sz w:val="18"/>
                <w:szCs w:val="18"/>
              </w:rPr>
              <w:t xml:space="preserve"> 527 </w:t>
            </w:r>
          </w:p>
        </w:tc>
      </w:tr>
      <w:tr w:rsidR="00067FE8" w:rsidRPr="00067FE8" w14:paraId="0630A49D" w14:textId="77777777" w:rsidTr="00473730">
        <w:tc>
          <w:tcPr>
            <w:tcW w:w="5420" w:type="dxa"/>
            <w:tcBorders>
              <w:top w:val="single" w:sz="4" w:space="0" w:color="auto"/>
              <w:left w:val="single" w:sz="4" w:space="0" w:color="auto"/>
              <w:bottom w:val="single" w:sz="4" w:space="0" w:color="auto"/>
              <w:right w:val="single" w:sz="4" w:space="0" w:color="auto"/>
            </w:tcBorders>
          </w:tcPr>
          <w:p w14:paraId="5F51B001" w14:textId="77777777" w:rsidR="00067FE8" w:rsidRPr="00067FE8" w:rsidRDefault="00067FE8" w:rsidP="00067FE8">
            <w:pPr>
              <w:spacing w:line="240" w:lineRule="exact"/>
              <w:rPr>
                <w:color w:val="000000"/>
                <w:sz w:val="18"/>
                <w:szCs w:val="18"/>
              </w:rPr>
            </w:pPr>
            <w:r w:rsidRPr="00067FE8">
              <w:rPr>
                <w:color w:val="000000"/>
                <w:sz w:val="18"/>
                <w:szCs w:val="18"/>
              </w:rPr>
              <w:t>Familiarization with proposed rule without legal council</w:t>
            </w:r>
            <w:r w:rsidR="00F43B5C">
              <w:rPr>
                <w:color w:val="000000"/>
                <w:sz w:val="18"/>
                <w:szCs w:val="18"/>
              </w:rPr>
              <w:t xml:space="preserve"> (SQHs</w:t>
            </w:r>
            <w:r w:rsidR="009F072E">
              <w:rPr>
                <w:color w:val="000000"/>
                <w:sz w:val="18"/>
                <w:szCs w:val="18"/>
              </w:rPr>
              <w:t xml:space="preserve"> under the rule</w:t>
            </w:r>
            <w:r w:rsidR="00F43B5C">
              <w:rPr>
                <w:color w:val="000000"/>
                <w:sz w:val="18"/>
                <w:szCs w:val="18"/>
              </w:rPr>
              <w:t>)</w:t>
            </w:r>
          </w:p>
        </w:tc>
        <w:tc>
          <w:tcPr>
            <w:tcW w:w="1274" w:type="dxa"/>
            <w:tcBorders>
              <w:top w:val="single" w:sz="4" w:space="0" w:color="auto"/>
              <w:left w:val="single" w:sz="4" w:space="0" w:color="auto"/>
              <w:bottom w:val="single" w:sz="4" w:space="0" w:color="auto"/>
              <w:right w:val="single" w:sz="4" w:space="0" w:color="auto"/>
            </w:tcBorders>
            <w:vAlign w:val="center"/>
          </w:tcPr>
          <w:p w14:paraId="5BD9F3CC" w14:textId="77777777" w:rsidR="00067FE8" w:rsidRPr="00067FE8" w:rsidRDefault="00293EB3" w:rsidP="009F072E">
            <w:pPr>
              <w:spacing w:line="240" w:lineRule="exact"/>
              <w:jc w:val="right"/>
              <w:rPr>
                <w:color w:val="000000"/>
                <w:sz w:val="18"/>
                <w:szCs w:val="18"/>
              </w:rPr>
            </w:pPr>
            <w:r>
              <w:rPr>
                <w:color w:val="000000"/>
                <w:sz w:val="18"/>
                <w:szCs w:val="18"/>
              </w:rPr>
              <w:t>30</w:t>
            </w:r>
            <w:r w:rsidR="00067FE8" w:rsidRPr="00067FE8">
              <w:rPr>
                <w:color w:val="000000"/>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536AC65B" w14:textId="77777777" w:rsidR="00067FE8" w:rsidRPr="00067FE8" w:rsidRDefault="00067FE8">
            <w:pPr>
              <w:spacing w:line="240" w:lineRule="exact"/>
              <w:jc w:val="right"/>
              <w:rPr>
                <w:color w:val="000000"/>
                <w:sz w:val="18"/>
                <w:szCs w:val="18"/>
              </w:rPr>
            </w:pPr>
            <w:r w:rsidRPr="00067FE8">
              <w:rPr>
                <w:color w:val="000000"/>
                <w:sz w:val="18"/>
                <w:szCs w:val="18"/>
              </w:rPr>
              <w:t xml:space="preserve"> 16 </w:t>
            </w:r>
          </w:p>
        </w:tc>
        <w:tc>
          <w:tcPr>
            <w:tcW w:w="1275" w:type="dxa"/>
            <w:tcBorders>
              <w:top w:val="single" w:sz="4" w:space="0" w:color="auto"/>
              <w:left w:val="single" w:sz="4" w:space="0" w:color="auto"/>
              <w:bottom w:val="single" w:sz="4" w:space="0" w:color="auto"/>
              <w:right w:val="single" w:sz="4" w:space="0" w:color="auto"/>
            </w:tcBorders>
            <w:vAlign w:val="center"/>
          </w:tcPr>
          <w:p w14:paraId="42486474" w14:textId="77777777" w:rsidR="00067FE8" w:rsidRPr="00067FE8" w:rsidRDefault="00067FE8">
            <w:pPr>
              <w:spacing w:line="240" w:lineRule="exact"/>
              <w:jc w:val="right"/>
              <w:rPr>
                <w:color w:val="000000"/>
                <w:sz w:val="18"/>
                <w:szCs w:val="18"/>
              </w:rPr>
            </w:pPr>
            <w:r w:rsidRPr="00067FE8">
              <w:rPr>
                <w:color w:val="000000"/>
                <w:sz w:val="18"/>
                <w:szCs w:val="18"/>
              </w:rPr>
              <w:t xml:space="preserve"> -   </w:t>
            </w:r>
          </w:p>
        </w:tc>
        <w:tc>
          <w:tcPr>
            <w:tcW w:w="1274" w:type="dxa"/>
            <w:tcBorders>
              <w:top w:val="single" w:sz="4" w:space="0" w:color="auto"/>
              <w:left w:val="single" w:sz="4" w:space="0" w:color="auto"/>
              <w:bottom w:val="single" w:sz="4" w:space="0" w:color="auto"/>
              <w:right w:val="single" w:sz="4" w:space="0" w:color="auto"/>
            </w:tcBorders>
            <w:vAlign w:val="center"/>
          </w:tcPr>
          <w:p w14:paraId="6E429659" w14:textId="77777777" w:rsidR="00067FE8" w:rsidRPr="00067FE8" w:rsidRDefault="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vAlign w:val="center"/>
          </w:tcPr>
          <w:p w14:paraId="0B8EB6DE" w14:textId="77777777" w:rsidR="00067FE8" w:rsidRPr="00067FE8" w:rsidRDefault="00067FE8">
            <w:pPr>
              <w:spacing w:line="240" w:lineRule="exact"/>
              <w:jc w:val="right"/>
              <w:rPr>
                <w:color w:val="000000"/>
                <w:sz w:val="18"/>
                <w:szCs w:val="18"/>
              </w:rPr>
            </w:pPr>
            <w:r w:rsidRPr="00067FE8">
              <w:rPr>
                <w:color w:val="000000"/>
                <w:sz w:val="18"/>
                <w:szCs w:val="18"/>
              </w:rPr>
              <w:t xml:space="preserve"> 385 </w:t>
            </w:r>
          </w:p>
        </w:tc>
        <w:tc>
          <w:tcPr>
            <w:tcW w:w="1275" w:type="dxa"/>
            <w:tcBorders>
              <w:top w:val="single" w:sz="4" w:space="0" w:color="auto"/>
              <w:left w:val="single" w:sz="4" w:space="0" w:color="auto"/>
              <w:bottom w:val="single" w:sz="4" w:space="0" w:color="auto"/>
              <w:right w:val="single" w:sz="4" w:space="0" w:color="auto"/>
            </w:tcBorders>
            <w:vAlign w:val="center"/>
          </w:tcPr>
          <w:p w14:paraId="7D0A10BA" w14:textId="77777777" w:rsidR="00067FE8" w:rsidRPr="00067FE8" w:rsidRDefault="00067FE8">
            <w:pPr>
              <w:spacing w:line="240" w:lineRule="exact"/>
              <w:jc w:val="right"/>
              <w:rPr>
                <w:color w:val="000000"/>
                <w:sz w:val="18"/>
                <w:szCs w:val="18"/>
              </w:rPr>
            </w:pPr>
            <w:r w:rsidRPr="00067FE8">
              <w:rPr>
                <w:color w:val="000000"/>
                <w:sz w:val="18"/>
                <w:szCs w:val="18"/>
              </w:rPr>
              <w:t xml:space="preserve"> 401 </w:t>
            </w:r>
          </w:p>
        </w:tc>
      </w:tr>
      <w:tr w:rsidR="00067FE8" w:rsidRPr="00067FE8" w14:paraId="6B7CE84A" w14:textId="77777777" w:rsidTr="00473730">
        <w:tc>
          <w:tcPr>
            <w:tcW w:w="5420" w:type="dxa"/>
            <w:tcBorders>
              <w:top w:val="single" w:sz="4" w:space="0" w:color="auto"/>
              <w:left w:val="single" w:sz="4" w:space="0" w:color="auto"/>
              <w:bottom w:val="single" w:sz="4" w:space="0" w:color="auto"/>
              <w:right w:val="single" w:sz="4" w:space="0" w:color="auto"/>
            </w:tcBorders>
          </w:tcPr>
          <w:p w14:paraId="1327C406" w14:textId="77777777" w:rsidR="00067FE8" w:rsidRPr="00067FE8" w:rsidRDefault="00067FE8" w:rsidP="00067FE8">
            <w:pPr>
              <w:spacing w:line="240" w:lineRule="exact"/>
              <w:rPr>
                <w:color w:val="000000"/>
                <w:sz w:val="18"/>
                <w:szCs w:val="18"/>
              </w:rPr>
            </w:pPr>
            <w:r w:rsidRPr="00067FE8">
              <w:rPr>
                <w:color w:val="000000"/>
                <w:sz w:val="18"/>
                <w:szCs w:val="18"/>
              </w:rPr>
              <w:t>Familiarization with proposed rule with legal council</w:t>
            </w:r>
            <w:r w:rsidR="00F43B5C">
              <w:rPr>
                <w:color w:val="000000"/>
                <w:sz w:val="18"/>
                <w:szCs w:val="18"/>
              </w:rPr>
              <w:t xml:space="preserve"> (LQHs</w:t>
            </w:r>
            <w:r w:rsidR="009F072E">
              <w:rPr>
                <w:color w:val="000000"/>
                <w:sz w:val="18"/>
                <w:szCs w:val="18"/>
              </w:rPr>
              <w:t xml:space="preserve"> under the rule</w:t>
            </w:r>
            <w:r w:rsidR="00F43B5C">
              <w:rPr>
                <w:color w:val="000000"/>
                <w:sz w:val="18"/>
                <w:szCs w:val="18"/>
              </w:rPr>
              <w:t>)</w:t>
            </w:r>
          </w:p>
        </w:tc>
        <w:tc>
          <w:tcPr>
            <w:tcW w:w="1274" w:type="dxa"/>
            <w:tcBorders>
              <w:top w:val="single" w:sz="4" w:space="0" w:color="auto"/>
              <w:left w:val="single" w:sz="4" w:space="0" w:color="auto"/>
              <w:bottom w:val="single" w:sz="4" w:space="0" w:color="auto"/>
              <w:right w:val="single" w:sz="4" w:space="0" w:color="auto"/>
            </w:tcBorders>
            <w:vAlign w:val="center"/>
          </w:tcPr>
          <w:p w14:paraId="7797DB5D" w14:textId="77777777" w:rsidR="00067FE8" w:rsidRPr="00067FE8" w:rsidRDefault="00293EB3" w:rsidP="009F072E">
            <w:pPr>
              <w:spacing w:line="240" w:lineRule="exact"/>
              <w:jc w:val="right"/>
              <w:rPr>
                <w:color w:val="000000"/>
                <w:sz w:val="18"/>
                <w:szCs w:val="18"/>
              </w:rPr>
            </w:pPr>
            <w:r>
              <w:rPr>
                <w:color w:val="000000"/>
                <w:sz w:val="18"/>
                <w:szCs w:val="18"/>
              </w:rPr>
              <w:t>82</w:t>
            </w:r>
            <w:r w:rsidR="00067FE8" w:rsidRPr="00067FE8">
              <w:rPr>
                <w:color w:val="000000"/>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17C7800A" w14:textId="77777777" w:rsidR="00067FE8" w:rsidRPr="00067FE8" w:rsidRDefault="00067FE8">
            <w:pPr>
              <w:spacing w:line="240" w:lineRule="exact"/>
              <w:jc w:val="right"/>
              <w:rPr>
                <w:color w:val="000000"/>
                <w:sz w:val="18"/>
                <w:szCs w:val="18"/>
              </w:rPr>
            </w:pPr>
            <w:r w:rsidRPr="00067FE8">
              <w:rPr>
                <w:color w:val="000000"/>
                <w:sz w:val="18"/>
                <w:szCs w:val="18"/>
              </w:rPr>
              <w:t xml:space="preserve"> 28 </w:t>
            </w:r>
          </w:p>
        </w:tc>
        <w:tc>
          <w:tcPr>
            <w:tcW w:w="1275" w:type="dxa"/>
            <w:tcBorders>
              <w:top w:val="single" w:sz="4" w:space="0" w:color="auto"/>
              <w:left w:val="single" w:sz="4" w:space="0" w:color="auto"/>
              <w:bottom w:val="single" w:sz="4" w:space="0" w:color="auto"/>
              <w:right w:val="single" w:sz="4" w:space="0" w:color="auto"/>
            </w:tcBorders>
            <w:vAlign w:val="center"/>
          </w:tcPr>
          <w:p w14:paraId="5B87BFD8" w14:textId="77777777" w:rsidR="00067FE8" w:rsidRPr="00067FE8" w:rsidRDefault="00067FE8">
            <w:pPr>
              <w:spacing w:line="240" w:lineRule="exact"/>
              <w:jc w:val="right"/>
              <w:rPr>
                <w:color w:val="000000"/>
                <w:sz w:val="18"/>
                <w:szCs w:val="18"/>
              </w:rPr>
            </w:pPr>
            <w:r w:rsidRPr="00067FE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vAlign w:val="center"/>
          </w:tcPr>
          <w:p w14:paraId="01D7B4DD" w14:textId="77777777" w:rsidR="00067FE8" w:rsidRPr="00067FE8" w:rsidRDefault="00067FE8">
            <w:pPr>
              <w:spacing w:line="240" w:lineRule="exact"/>
              <w:jc w:val="right"/>
              <w:rPr>
                <w:color w:val="000000"/>
                <w:sz w:val="18"/>
                <w:szCs w:val="18"/>
              </w:rPr>
            </w:pPr>
            <w:r w:rsidRPr="00067FE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vAlign w:val="center"/>
          </w:tcPr>
          <w:p w14:paraId="4B422B45" w14:textId="77777777" w:rsidR="00067FE8" w:rsidRPr="00067FE8" w:rsidRDefault="00067FE8">
            <w:pPr>
              <w:spacing w:line="240" w:lineRule="exact"/>
              <w:jc w:val="right"/>
              <w:rPr>
                <w:color w:val="000000"/>
                <w:sz w:val="18"/>
                <w:szCs w:val="18"/>
              </w:rPr>
            </w:pPr>
            <w:r w:rsidRPr="00067FE8">
              <w:rPr>
                <w:color w:val="000000"/>
                <w:sz w:val="18"/>
                <w:szCs w:val="18"/>
              </w:rPr>
              <w:t xml:space="preserve"> -   </w:t>
            </w:r>
          </w:p>
        </w:tc>
        <w:tc>
          <w:tcPr>
            <w:tcW w:w="1275" w:type="dxa"/>
            <w:tcBorders>
              <w:top w:val="single" w:sz="4" w:space="0" w:color="auto"/>
              <w:left w:val="single" w:sz="4" w:space="0" w:color="auto"/>
              <w:bottom w:val="single" w:sz="4" w:space="0" w:color="auto"/>
              <w:right w:val="single" w:sz="4" w:space="0" w:color="auto"/>
            </w:tcBorders>
            <w:vAlign w:val="center"/>
          </w:tcPr>
          <w:p w14:paraId="4482DD9F" w14:textId="77777777" w:rsidR="00067FE8" w:rsidRPr="00067FE8" w:rsidRDefault="00067FE8">
            <w:pPr>
              <w:spacing w:line="240" w:lineRule="exact"/>
              <w:jc w:val="right"/>
              <w:rPr>
                <w:color w:val="000000"/>
                <w:sz w:val="18"/>
                <w:szCs w:val="18"/>
              </w:rPr>
            </w:pPr>
            <w:r w:rsidRPr="00067FE8">
              <w:rPr>
                <w:color w:val="000000"/>
                <w:sz w:val="18"/>
                <w:szCs w:val="18"/>
              </w:rPr>
              <w:t xml:space="preserve"> 126 </w:t>
            </w:r>
          </w:p>
        </w:tc>
      </w:tr>
      <w:tr w:rsidR="00412AB6" w:rsidRPr="00266A6B" w14:paraId="355EDCBF" w14:textId="77777777" w:rsidTr="006620DC">
        <w:tc>
          <w:tcPr>
            <w:tcW w:w="130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E83C52" w14:textId="77777777" w:rsidR="00412AB6" w:rsidRPr="00067FE8" w:rsidRDefault="00412AB6" w:rsidP="00F76ABE">
            <w:pPr>
              <w:spacing w:line="240" w:lineRule="exact"/>
              <w:rPr>
                <w:color w:val="000000"/>
                <w:sz w:val="18"/>
                <w:szCs w:val="18"/>
              </w:rPr>
            </w:pPr>
            <w:r w:rsidRPr="00067FE8">
              <w:rPr>
                <w:color w:val="000000"/>
                <w:sz w:val="18"/>
                <w:szCs w:val="18"/>
              </w:rPr>
              <w:t>Variable Costs</w:t>
            </w:r>
          </w:p>
        </w:tc>
      </w:tr>
      <w:tr w:rsidR="002D2728" w:rsidRPr="00067FE8" w14:paraId="01BF10D6" w14:textId="77777777" w:rsidTr="00412AB6">
        <w:tc>
          <w:tcPr>
            <w:tcW w:w="5420" w:type="dxa"/>
            <w:tcBorders>
              <w:top w:val="single" w:sz="4" w:space="0" w:color="auto"/>
              <w:left w:val="single" w:sz="4" w:space="0" w:color="auto"/>
              <w:bottom w:val="single" w:sz="4" w:space="0" w:color="auto"/>
              <w:right w:val="single" w:sz="4" w:space="0" w:color="auto"/>
            </w:tcBorders>
            <w:vAlign w:val="center"/>
          </w:tcPr>
          <w:p w14:paraId="1B551061" w14:textId="77777777" w:rsidR="002D2728" w:rsidRPr="00067FE8" w:rsidRDefault="002D2728" w:rsidP="00067FE8">
            <w:pPr>
              <w:spacing w:line="240" w:lineRule="exact"/>
              <w:rPr>
                <w:color w:val="000000"/>
                <w:sz w:val="18"/>
                <w:szCs w:val="18"/>
              </w:rPr>
            </w:pPr>
            <w:r w:rsidRPr="00067FE8">
              <w:rPr>
                <w:color w:val="000000"/>
                <w:sz w:val="18"/>
                <w:szCs w:val="18"/>
              </w:rPr>
              <w:t>Shipping Recordkeeping (per shipment)</w:t>
            </w:r>
            <w:r w:rsidR="00C450FE">
              <w:rPr>
                <w:color w:val="000000"/>
                <w:sz w:val="18"/>
                <w:szCs w:val="18"/>
              </w:rPr>
              <w:t xml:space="preserve"> (LQHs)</w:t>
            </w:r>
          </w:p>
        </w:tc>
        <w:tc>
          <w:tcPr>
            <w:tcW w:w="1274" w:type="dxa"/>
            <w:tcBorders>
              <w:top w:val="single" w:sz="4" w:space="0" w:color="auto"/>
              <w:left w:val="single" w:sz="4" w:space="0" w:color="auto"/>
              <w:bottom w:val="single" w:sz="4" w:space="0" w:color="auto"/>
              <w:right w:val="single" w:sz="4" w:space="0" w:color="auto"/>
            </w:tcBorders>
          </w:tcPr>
          <w:p w14:paraId="2962199A"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82 </w:t>
            </w:r>
          </w:p>
        </w:tc>
        <w:tc>
          <w:tcPr>
            <w:tcW w:w="1275" w:type="dxa"/>
            <w:tcBorders>
              <w:top w:val="single" w:sz="4" w:space="0" w:color="auto"/>
              <w:left w:val="single" w:sz="4" w:space="0" w:color="auto"/>
              <w:bottom w:val="single" w:sz="4" w:space="0" w:color="auto"/>
              <w:right w:val="single" w:sz="4" w:space="0" w:color="auto"/>
            </w:tcBorders>
          </w:tcPr>
          <w:p w14:paraId="337D03E9"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28 </w:t>
            </w:r>
          </w:p>
        </w:tc>
        <w:tc>
          <w:tcPr>
            <w:tcW w:w="1275" w:type="dxa"/>
            <w:tcBorders>
              <w:top w:val="single" w:sz="4" w:space="0" w:color="auto"/>
              <w:left w:val="single" w:sz="4" w:space="0" w:color="auto"/>
              <w:bottom w:val="single" w:sz="4" w:space="0" w:color="auto"/>
              <w:right w:val="single" w:sz="4" w:space="0" w:color="auto"/>
            </w:tcBorders>
          </w:tcPr>
          <w:p w14:paraId="5E0BC8C0"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6 </w:t>
            </w:r>
          </w:p>
        </w:tc>
        <w:tc>
          <w:tcPr>
            <w:tcW w:w="1274" w:type="dxa"/>
            <w:tcBorders>
              <w:top w:val="single" w:sz="4" w:space="0" w:color="auto"/>
              <w:left w:val="single" w:sz="4" w:space="0" w:color="auto"/>
              <w:bottom w:val="single" w:sz="4" w:space="0" w:color="auto"/>
              <w:right w:val="single" w:sz="4" w:space="0" w:color="auto"/>
            </w:tcBorders>
          </w:tcPr>
          <w:p w14:paraId="0521560E"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92 </w:t>
            </w:r>
          </w:p>
        </w:tc>
        <w:tc>
          <w:tcPr>
            <w:tcW w:w="1275" w:type="dxa"/>
            <w:tcBorders>
              <w:top w:val="single" w:sz="4" w:space="0" w:color="auto"/>
              <w:left w:val="single" w:sz="4" w:space="0" w:color="auto"/>
              <w:bottom w:val="single" w:sz="4" w:space="0" w:color="auto"/>
              <w:right w:val="single" w:sz="4" w:space="0" w:color="auto"/>
            </w:tcBorders>
          </w:tcPr>
          <w:p w14:paraId="6AEF0491" w14:textId="77777777" w:rsidR="002D2728" w:rsidRPr="002D2728" w:rsidRDefault="002D2728" w:rsidP="002D2728">
            <w:pPr>
              <w:spacing w:line="240" w:lineRule="exact"/>
              <w:jc w:val="right"/>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E8F1254" w14:textId="77777777" w:rsidR="002D2728" w:rsidRPr="002D2728" w:rsidRDefault="002D2728" w:rsidP="002D2728">
            <w:pPr>
              <w:spacing w:line="240" w:lineRule="exact"/>
              <w:jc w:val="right"/>
              <w:rPr>
                <w:color w:val="000000"/>
                <w:sz w:val="18"/>
                <w:szCs w:val="18"/>
              </w:rPr>
            </w:pPr>
            <w:r w:rsidRPr="002D2728">
              <w:rPr>
                <w:color w:val="000000"/>
                <w:sz w:val="18"/>
                <w:szCs w:val="18"/>
              </w:rPr>
              <w:t xml:space="preserve"> 208 </w:t>
            </w:r>
          </w:p>
        </w:tc>
      </w:tr>
      <w:tr w:rsidR="00105504" w:rsidRPr="00412AB6" w14:paraId="66E18468" w14:textId="77777777" w:rsidTr="00412AB6">
        <w:tc>
          <w:tcPr>
            <w:tcW w:w="5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5A003" w14:textId="77777777" w:rsidR="00105504" w:rsidRPr="00412AB6" w:rsidRDefault="00105504" w:rsidP="00E05801">
            <w:pPr>
              <w:spacing w:line="240" w:lineRule="exact"/>
              <w:rPr>
                <w:b/>
                <w:color w:val="000000"/>
                <w:sz w:val="18"/>
                <w:szCs w:val="18"/>
              </w:rPr>
            </w:pPr>
            <w:r w:rsidRPr="00412AB6">
              <w:rPr>
                <w:b/>
                <w:color w:val="000000"/>
                <w:sz w:val="18"/>
                <w:szCs w:val="18"/>
              </w:rPr>
              <w:t>Total</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84464" w14:textId="77777777" w:rsidR="00105504" w:rsidRPr="00412AB6" w:rsidRDefault="00067FE8" w:rsidP="00293EB3">
            <w:pPr>
              <w:spacing w:line="240" w:lineRule="exact"/>
              <w:jc w:val="right"/>
              <w:rPr>
                <w:b/>
                <w:color w:val="000000"/>
                <w:sz w:val="18"/>
                <w:szCs w:val="18"/>
              </w:rPr>
            </w:pPr>
            <w:r w:rsidRPr="00412AB6">
              <w:rPr>
                <w:b/>
                <w:color w:val="000000"/>
                <w:sz w:val="18"/>
                <w:szCs w:val="18"/>
              </w:rPr>
              <w:t>1</w:t>
            </w:r>
            <w:r w:rsidR="00293EB3">
              <w:rPr>
                <w:b/>
                <w:color w:val="000000"/>
                <w:sz w:val="18"/>
                <w:szCs w:val="18"/>
              </w:rPr>
              <w:t>1</w:t>
            </w:r>
            <w:r w:rsidRPr="00412AB6">
              <w:rPr>
                <w:b/>
                <w:color w:val="000000"/>
                <w:sz w:val="18"/>
                <w:szCs w:val="18"/>
              </w:rPr>
              <w:t>2</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4B519" w14:textId="77777777" w:rsidR="00105504" w:rsidRPr="00412AB6" w:rsidRDefault="00067FE8" w:rsidP="00067FE8">
            <w:pPr>
              <w:spacing w:line="240" w:lineRule="exact"/>
              <w:jc w:val="right"/>
              <w:rPr>
                <w:b/>
                <w:color w:val="000000"/>
                <w:sz w:val="18"/>
                <w:szCs w:val="18"/>
              </w:rPr>
            </w:pPr>
            <w:r w:rsidRPr="00412AB6">
              <w:rPr>
                <w:b/>
                <w:color w:val="000000"/>
                <w:sz w:val="18"/>
                <w:szCs w:val="18"/>
              </w:rPr>
              <w:t>44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47B31" w14:textId="77777777" w:rsidR="00105504" w:rsidRPr="00412AB6" w:rsidRDefault="00067FE8" w:rsidP="00067FE8">
            <w:pPr>
              <w:spacing w:line="240" w:lineRule="exact"/>
              <w:jc w:val="right"/>
              <w:rPr>
                <w:b/>
                <w:color w:val="000000"/>
                <w:sz w:val="18"/>
                <w:szCs w:val="18"/>
              </w:rPr>
            </w:pPr>
            <w:r w:rsidRPr="00412AB6">
              <w:rPr>
                <w:b/>
                <w:color w:val="000000"/>
                <w:sz w:val="18"/>
                <w:szCs w:val="18"/>
              </w:rPr>
              <w:t>6</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6CB10" w14:textId="77777777" w:rsidR="00105504" w:rsidRPr="00412AB6" w:rsidRDefault="00067FE8" w:rsidP="00067FE8">
            <w:pPr>
              <w:spacing w:line="240" w:lineRule="exact"/>
              <w:jc w:val="right"/>
              <w:rPr>
                <w:b/>
                <w:color w:val="000000"/>
                <w:sz w:val="18"/>
                <w:szCs w:val="18"/>
              </w:rPr>
            </w:pPr>
            <w:r w:rsidRPr="00412AB6">
              <w:rPr>
                <w:b/>
                <w:color w:val="000000"/>
                <w:sz w:val="18"/>
                <w:szCs w:val="18"/>
              </w:rPr>
              <w:t>92</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8EA80" w14:textId="77777777" w:rsidR="00105504" w:rsidRPr="00412AB6" w:rsidRDefault="00067FE8" w:rsidP="00067FE8">
            <w:pPr>
              <w:spacing w:line="240" w:lineRule="exact"/>
              <w:jc w:val="right"/>
              <w:rPr>
                <w:b/>
                <w:color w:val="000000"/>
                <w:sz w:val="18"/>
                <w:szCs w:val="18"/>
              </w:rPr>
            </w:pPr>
            <w:r w:rsidRPr="00412AB6">
              <w:rPr>
                <w:b/>
                <w:color w:val="000000"/>
                <w:sz w:val="18"/>
                <w:szCs w:val="18"/>
              </w:rPr>
              <w:t>385</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8E122" w14:textId="06077FAF" w:rsidR="00105504" w:rsidRPr="00412AB6" w:rsidRDefault="00067FE8" w:rsidP="00FA614A">
            <w:pPr>
              <w:spacing w:line="240" w:lineRule="exact"/>
              <w:jc w:val="right"/>
              <w:rPr>
                <w:b/>
                <w:color w:val="000000"/>
                <w:sz w:val="18"/>
                <w:szCs w:val="18"/>
              </w:rPr>
            </w:pPr>
            <w:r w:rsidRPr="00412AB6">
              <w:rPr>
                <w:b/>
                <w:color w:val="000000"/>
                <w:sz w:val="18"/>
                <w:szCs w:val="18"/>
              </w:rPr>
              <w:t>6</w:t>
            </w:r>
            <w:r w:rsidR="00FA614A">
              <w:rPr>
                <w:b/>
                <w:color w:val="000000"/>
                <w:sz w:val="18"/>
                <w:szCs w:val="18"/>
              </w:rPr>
              <w:t>3</w:t>
            </w:r>
            <w:r w:rsidRPr="00412AB6">
              <w:rPr>
                <w:b/>
                <w:color w:val="000000"/>
                <w:sz w:val="18"/>
                <w:szCs w:val="18"/>
              </w:rPr>
              <w:t>9</w:t>
            </w:r>
          </w:p>
        </w:tc>
      </w:tr>
      <w:tr w:rsidR="00640F8D" w:rsidRPr="00266A6B" w14:paraId="2208D639" w14:textId="77777777" w:rsidTr="00412AB6">
        <w:tc>
          <w:tcPr>
            <w:tcW w:w="13068" w:type="dxa"/>
            <w:gridSpan w:val="7"/>
            <w:tcBorders>
              <w:top w:val="single" w:sz="4" w:space="0" w:color="auto"/>
              <w:left w:val="single" w:sz="4" w:space="0" w:color="auto"/>
              <w:bottom w:val="single" w:sz="4" w:space="0" w:color="auto"/>
              <w:right w:val="single" w:sz="4" w:space="0" w:color="auto"/>
            </w:tcBorders>
            <w:vAlign w:val="bottom"/>
          </w:tcPr>
          <w:p w14:paraId="74A16651" w14:textId="77777777" w:rsidR="00640F8D" w:rsidRPr="00067FE8" w:rsidRDefault="00640F8D" w:rsidP="00640F8D">
            <w:pPr>
              <w:spacing w:line="240" w:lineRule="exact"/>
              <w:rPr>
                <w:color w:val="000000"/>
                <w:sz w:val="18"/>
                <w:szCs w:val="18"/>
                <w:u w:val="single"/>
              </w:rPr>
            </w:pPr>
            <w:r w:rsidRPr="00067FE8">
              <w:rPr>
                <w:color w:val="000000"/>
                <w:sz w:val="18"/>
                <w:szCs w:val="18"/>
                <w:u w:val="single"/>
              </w:rPr>
              <w:t>Notes:</w:t>
            </w:r>
          </w:p>
          <w:p w14:paraId="6EDF233D" w14:textId="77777777" w:rsidR="00640F8D" w:rsidRDefault="00640F8D" w:rsidP="00640F8D">
            <w:pPr>
              <w:spacing w:line="240" w:lineRule="exact"/>
              <w:rPr>
                <w:color w:val="000000"/>
                <w:sz w:val="18"/>
                <w:szCs w:val="18"/>
              </w:rPr>
            </w:pPr>
            <w:r w:rsidRPr="00067FE8">
              <w:rPr>
                <w:color w:val="000000"/>
                <w:sz w:val="18"/>
                <w:szCs w:val="18"/>
              </w:rPr>
              <w:t>Totals do not sum due to the fact that some the same facilities are subject to the same requirements.</w:t>
            </w:r>
          </w:p>
          <w:p w14:paraId="0157D812" w14:textId="77777777" w:rsidR="00926CA1" w:rsidRPr="00067FE8" w:rsidRDefault="00926CA1" w:rsidP="00926CA1">
            <w:pPr>
              <w:spacing w:line="240" w:lineRule="exact"/>
              <w:rPr>
                <w:color w:val="000000"/>
                <w:sz w:val="18"/>
                <w:szCs w:val="18"/>
                <w:u w:val="single"/>
              </w:rPr>
            </w:pPr>
            <w:r>
              <w:rPr>
                <w:color w:val="000000"/>
                <w:sz w:val="18"/>
                <w:szCs w:val="18"/>
              </w:rPr>
              <w:t>Blank cells indicate that no facilities within the respondent category are expected to experience changes in respondent burden as a result of the proposed rule.</w:t>
            </w:r>
          </w:p>
        </w:tc>
      </w:tr>
    </w:tbl>
    <w:p w14:paraId="480F1E93" w14:textId="77777777" w:rsidR="00067FE8" w:rsidRDefault="00067FE8" w:rsidP="00E05801">
      <w:pPr>
        <w:rPr>
          <w:b/>
          <w:bCs/>
          <w:szCs w:val="28"/>
        </w:rPr>
        <w:sectPr w:rsidR="00067FE8" w:rsidSect="00067FE8">
          <w:pgSz w:w="15840" w:h="12240" w:orient="landscape"/>
          <w:pgMar w:top="1440" w:right="1440" w:bottom="1440" w:left="1440" w:header="720" w:footer="720" w:gutter="0"/>
          <w:cols w:space="720"/>
          <w:docGrid w:linePitch="360"/>
        </w:sectPr>
      </w:pPr>
    </w:p>
    <w:tbl>
      <w:tblPr>
        <w:tblW w:w="14328" w:type="dxa"/>
        <w:tblInd w:w="-612" w:type="dxa"/>
        <w:tblLayout w:type="fixed"/>
        <w:tblLook w:val="04A0" w:firstRow="1" w:lastRow="0" w:firstColumn="1" w:lastColumn="0" w:noHBand="0" w:noVBand="1"/>
      </w:tblPr>
      <w:tblGrid>
        <w:gridCol w:w="2600"/>
        <w:gridCol w:w="822"/>
        <w:gridCol w:w="1285"/>
        <w:gridCol w:w="1146"/>
        <w:gridCol w:w="972"/>
        <w:gridCol w:w="1396"/>
        <w:gridCol w:w="1139"/>
        <w:gridCol w:w="990"/>
        <w:gridCol w:w="900"/>
        <w:gridCol w:w="1051"/>
        <w:gridCol w:w="937"/>
        <w:gridCol w:w="8"/>
        <w:gridCol w:w="1073"/>
        <w:gridCol w:w="9"/>
      </w:tblGrid>
      <w:tr w:rsidR="005478BE" w14:paraId="45D158C7" w14:textId="77777777" w:rsidTr="00B675D3">
        <w:trPr>
          <w:gridAfter w:val="1"/>
          <w:wAfter w:w="9" w:type="dxa"/>
          <w:trHeight w:val="315"/>
        </w:trPr>
        <w:tc>
          <w:tcPr>
            <w:tcW w:w="14319" w:type="dxa"/>
            <w:gridSpan w:val="13"/>
            <w:tcBorders>
              <w:top w:val="nil"/>
              <w:left w:val="nil"/>
              <w:bottom w:val="single" w:sz="4" w:space="0" w:color="auto"/>
              <w:right w:val="nil"/>
            </w:tcBorders>
            <w:shd w:val="clear" w:color="auto" w:fill="auto"/>
            <w:noWrap/>
            <w:vAlign w:val="center"/>
            <w:hideMark/>
          </w:tcPr>
          <w:p w14:paraId="0714D8E4" w14:textId="15F294B3" w:rsidR="005478BE" w:rsidRDefault="005478BE" w:rsidP="00B93E6B">
            <w:pPr>
              <w:rPr>
                <w:b/>
                <w:bCs/>
                <w:color w:val="000000"/>
              </w:rPr>
            </w:pPr>
            <w:r>
              <w:rPr>
                <w:b/>
                <w:bCs/>
                <w:color w:val="000000"/>
              </w:rPr>
              <w:t>Exhibit 3A: Respondent Cost Estimates for LQGs that remain LQGs Post-Rule</w:t>
            </w:r>
          </w:p>
        </w:tc>
      </w:tr>
      <w:tr w:rsidR="008A3AD4" w14:paraId="7570E98D" w14:textId="77777777" w:rsidTr="00B675D3">
        <w:trPr>
          <w:gridAfter w:val="1"/>
          <w:wAfter w:w="9" w:type="dxa"/>
          <w:trHeight w:val="300"/>
        </w:trPr>
        <w:tc>
          <w:tcPr>
            <w:tcW w:w="2600" w:type="dxa"/>
            <w:vMerge w:val="restart"/>
            <w:tcBorders>
              <w:top w:val="nil"/>
              <w:left w:val="single" w:sz="4" w:space="0" w:color="auto"/>
              <w:bottom w:val="single" w:sz="4" w:space="0" w:color="auto"/>
              <w:right w:val="single" w:sz="4" w:space="0" w:color="auto"/>
            </w:tcBorders>
            <w:shd w:val="clear" w:color="000000" w:fill="A6A6A6"/>
            <w:vAlign w:val="bottom"/>
            <w:hideMark/>
          </w:tcPr>
          <w:p w14:paraId="0B479BBE" w14:textId="77777777" w:rsidR="005478BE" w:rsidRDefault="005478BE">
            <w:pPr>
              <w:rPr>
                <w:b/>
                <w:bCs/>
                <w:color w:val="000000"/>
                <w:sz w:val="18"/>
                <w:szCs w:val="18"/>
              </w:rPr>
            </w:pPr>
            <w:r>
              <w:rPr>
                <w:b/>
                <w:bCs/>
                <w:color w:val="000000"/>
                <w:sz w:val="18"/>
                <w:szCs w:val="18"/>
              </w:rPr>
              <w:t>Information Collection Activity</w:t>
            </w:r>
          </w:p>
        </w:tc>
        <w:tc>
          <w:tcPr>
            <w:tcW w:w="6760" w:type="dxa"/>
            <w:gridSpan w:val="6"/>
            <w:tcBorders>
              <w:top w:val="single" w:sz="4" w:space="0" w:color="auto"/>
              <w:left w:val="nil"/>
              <w:bottom w:val="single" w:sz="4" w:space="0" w:color="auto"/>
              <w:right w:val="single" w:sz="4" w:space="0" w:color="auto"/>
            </w:tcBorders>
            <w:shd w:val="clear" w:color="000000" w:fill="A6A6A6"/>
            <w:noWrap/>
            <w:vAlign w:val="bottom"/>
            <w:hideMark/>
          </w:tcPr>
          <w:p w14:paraId="552E8C82" w14:textId="26CFE635" w:rsidR="005478BE" w:rsidRDefault="005478BE">
            <w:pPr>
              <w:jc w:val="center"/>
              <w:rPr>
                <w:b/>
                <w:bCs/>
                <w:color w:val="000000"/>
                <w:sz w:val="18"/>
                <w:szCs w:val="18"/>
              </w:rPr>
            </w:pPr>
            <w:r>
              <w:rPr>
                <w:b/>
                <w:bCs/>
                <w:color w:val="000000"/>
                <w:sz w:val="18"/>
                <w:szCs w:val="18"/>
              </w:rPr>
              <w:t>Hours and Costs Per Respondent Per Activity</w:t>
            </w:r>
          </w:p>
        </w:tc>
        <w:tc>
          <w:tcPr>
            <w:tcW w:w="4959" w:type="dxa"/>
            <w:gridSpan w:val="6"/>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75D131D0" w14:textId="48F1DD9B" w:rsidR="005478BE" w:rsidRDefault="005478BE">
            <w:pPr>
              <w:jc w:val="center"/>
              <w:rPr>
                <w:b/>
                <w:bCs/>
                <w:color w:val="000000"/>
                <w:sz w:val="18"/>
                <w:szCs w:val="18"/>
              </w:rPr>
            </w:pPr>
            <w:r>
              <w:rPr>
                <w:b/>
                <w:bCs/>
                <w:color w:val="000000"/>
                <w:sz w:val="18"/>
                <w:szCs w:val="18"/>
              </w:rPr>
              <w:t>Total Hours and Cost</w:t>
            </w:r>
          </w:p>
        </w:tc>
      </w:tr>
      <w:tr w:rsidR="003A34A6" w14:paraId="5F9CCE40" w14:textId="77777777" w:rsidTr="00B675D3">
        <w:trPr>
          <w:trHeight w:val="495"/>
        </w:trPr>
        <w:tc>
          <w:tcPr>
            <w:tcW w:w="2600" w:type="dxa"/>
            <w:vMerge/>
            <w:tcBorders>
              <w:top w:val="nil"/>
              <w:left w:val="single" w:sz="4" w:space="0" w:color="auto"/>
              <w:bottom w:val="single" w:sz="4" w:space="0" w:color="auto"/>
              <w:right w:val="single" w:sz="4" w:space="0" w:color="auto"/>
            </w:tcBorders>
            <w:vAlign w:val="center"/>
            <w:hideMark/>
          </w:tcPr>
          <w:p w14:paraId="07BCC322" w14:textId="77777777" w:rsidR="005478BE" w:rsidRDefault="005478BE">
            <w:pPr>
              <w:rPr>
                <w:b/>
                <w:bCs/>
                <w:color w:val="000000"/>
                <w:sz w:val="18"/>
                <w:szCs w:val="18"/>
              </w:rPr>
            </w:pPr>
          </w:p>
        </w:tc>
        <w:tc>
          <w:tcPr>
            <w:tcW w:w="822" w:type="dxa"/>
            <w:tcBorders>
              <w:top w:val="nil"/>
              <w:left w:val="nil"/>
              <w:bottom w:val="single" w:sz="4" w:space="0" w:color="auto"/>
              <w:right w:val="single" w:sz="4" w:space="0" w:color="auto"/>
            </w:tcBorders>
            <w:shd w:val="clear" w:color="000000" w:fill="A6A6A6"/>
            <w:vAlign w:val="bottom"/>
            <w:hideMark/>
          </w:tcPr>
          <w:p w14:paraId="6F969B08" w14:textId="77777777" w:rsidR="005478BE" w:rsidRDefault="005478BE">
            <w:pPr>
              <w:jc w:val="center"/>
              <w:rPr>
                <w:b/>
                <w:bCs/>
                <w:color w:val="000000"/>
                <w:sz w:val="18"/>
                <w:szCs w:val="18"/>
              </w:rPr>
            </w:pPr>
            <w:r>
              <w:rPr>
                <w:b/>
                <w:bCs/>
                <w:color w:val="000000"/>
                <w:sz w:val="18"/>
                <w:szCs w:val="18"/>
              </w:rPr>
              <w:t>Legal</w:t>
            </w:r>
            <w:r>
              <w:rPr>
                <w:b/>
                <w:bCs/>
                <w:color w:val="000000"/>
                <w:sz w:val="18"/>
                <w:szCs w:val="18"/>
              </w:rPr>
              <w:br/>
              <w:t>$160.74</w:t>
            </w:r>
          </w:p>
        </w:tc>
        <w:tc>
          <w:tcPr>
            <w:tcW w:w="1285" w:type="dxa"/>
            <w:tcBorders>
              <w:top w:val="nil"/>
              <w:left w:val="nil"/>
              <w:bottom w:val="single" w:sz="4" w:space="0" w:color="auto"/>
              <w:right w:val="single" w:sz="4" w:space="0" w:color="auto"/>
            </w:tcBorders>
            <w:shd w:val="clear" w:color="000000" w:fill="A6A6A6"/>
            <w:vAlign w:val="bottom"/>
            <w:hideMark/>
          </w:tcPr>
          <w:p w14:paraId="7FC67E22" w14:textId="77777777" w:rsidR="005478BE" w:rsidRDefault="005478BE">
            <w:pPr>
              <w:jc w:val="center"/>
              <w:rPr>
                <w:b/>
                <w:bCs/>
                <w:color w:val="000000"/>
                <w:sz w:val="18"/>
                <w:szCs w:val="18"/>
              </w:rPr>
            </w:pPr>
            <w:r>
              <w:rPr>
                <w:b/>
                <w:bCs/>
                <w:color w:val="000000"/>
                <w:sz w:val="18"/>
                <w:szCs w:val="18"/>
              </w:rPr>
              <w:t>Managerial</w:t>
            </w:r>
            <w:r>
              <w:rPr>
                <w:b/>
                <w:bCs/>
                <w:color w:val="000000"/>
                <w:sz w:val="18"/>
                <w:szCs w:val="18"/>
              </w:rPr>
              <w:br/>
              <w:t>$113.78</w:t>
            </w:r>
          </w:p>
        </w:tc>
        <w:tc>
          <w:tcPr>
            <w:tcW w:w="1146" w:type="dxa"/>
            <w:tcBorders>
              <w:top w:val="nil"/>
              <w:left w:val="nil"/>
              <w:bottom w:val="single" w:sz="4" w:space="0" w:color="auto"/>
              <w:right w:val="single" w:sz="4" w:space="0" w:color="auto"/>
            </w:tcBorders>
            <w:shd w:val="clear" w:color="000000" w:fill="A6A6A6"/>
            <w:vAlign w:val="bottom"/>
            <w:hideMark/>
          </w:tcPr>
          <w:p w14:paraId="7CE1E4D8" w14:textId="77777777" w:rsidR="005478BE" w:rsidRDefault="005478BE">
            <w:pPr>
              <w:jc w:val="center"/>
              <w:rPr>
                <w:b/>
                <w:bCs/>
                <w:color w:val="000000"/>
                <w:sz w:val="18"/>
                <w:szCs w:val="18"/>
              </w:rPr>
            </w:pPr>
            <w:r>
              <w:rPr>
                <w:b/>
                <w:bCs/>
                <w:color w:val="000000"/>
                <w:sz w:val="18"/>
                <w:szCs w:val="18"/>
              </w:rPr>
              <w:t>Technical</w:t>
            </w:r>
            <w:r>
              <w:rPr>
                <w:b/>
                <w:bCs/>
                <w:color w:val="000000"/>
                <w:sz w:val="18"/>
                <w:szCs w:val="18"/>
              </w:rPr>
              <w:br/>
              <w:t>$49.22</w:t>
            </w:r>
          </w:p>
        </w:tc>
        <w:tc>
          <w:tcPr>
            <w:tcW w:w="972" w:type="dxa"/>
            <w:tcBorders>
              <w:top w:val="nil"/>
              <w:left w:val="nil"/>
              <w:bottom w:val="single" w:sz="4" w:space="0" w:color="auto"/>
              <w:right w:val="single" w:sz="4" w:space="0" w:color="auto"/>
            </w:tcBorders>
            <w:shd w:val="clear" w:color="000000" w:fill="A6A6A6"/>
            <w:vAlign w:val="bottom"/>
            <w:hideMark/>
          </w:tcPr>
          <w:p w14:paraId="01153479" w14:textId="77777777" w:rsidR="005478BE" w:rsidRDefault="005478BE">
            <w:pPr>
              <w:jc w:val="center"/>
              <w:rPr>
                <w:b/>
                <w:bCs/>
                <w:color w:val="000000"/>
                <w:sz w:val="18"/>
                <w:szCs w:val="18"/>
              </w:rPr>
            </w:pPr>
            <w:r>
              <w:rPr>
                <w:b/>
                <w:bCs/>
                <w:color w:val="000000"/>
                <w:sz w:val="18"/>
                <w:szCs w:val="18"/>
              </w:rPr>
              <w:t>Admin</w:t>
            </w:r>
            <w:r w:rsidR="009F072E">
              <w:rPr>
                <w:b/>
                <w:bCs/>
                <w:color w:val="000000"/>
                <w:sz w:val="18"/>
                <w:szCs w:val="18"/>
              </w:rPr>
              <w:t>.</w:t>
            </w:r>
            <w:r>
              <w:rPr>
                <w:b/>
                <w:bCs/>
                <w:color w:val="000000"/>
                <w:sz w:val="18"/>
                <w:szCs w:val="18"/>
              </w:rPr>
              <w:br/>
              <w:t>$37.11</w:t>
            </w:r>
          </w:p>
        </w:tc>
        <w:tc>
          <w:tcPr>
            <w:tcW w:w="1396" w:type="dxa"/>
            <w:tcBorders>
              <w:top w:val="nil"/>
              <w:left w:val="nil"/>
              <w:bottom w:val="single" w:sz="4" w:space="0" w:color="auto"/>
              <w:right w:val="single" w:sz="4" w:space="0" w:color="auto"/>
            </w:tcBorders>
            <w:shd w:val="clear" w:color="000000" w:fill="A6A6A6"/>
            <w:vAlign w:val="bottom"/>
            <w:hideMark/>
          </w:tcPr>
          <w:p w14:paraId="258ABF21" w14:textId="77777777" w:rsidR="005478BE" w:rsidRDefault="005478BE">
            <w:pPr>
              <w:jc w:val="center"/>
              <w:rPr>
                <w:b/>
                <w:bCs/>
                <w:color w:val="000000"/>
                <w:sz w:val="18"/>
                <w:szCs w:val="18"/>
              </w:rPr>
            </w:pPr>
            <w:r>
              <w:rPr>
                <w:b/>
                <w:bCs/>
                <w:color w:val="000000"/>
                <w:sz w:val="18"/>
                <w:szCs w:val="18"/>
              </w:rPr>
              <w:t>Programmer</w:t>
            </w:r>
            <w:r>
              <w:rPr>
                <w:b/>
                <w:bCs/>
                <w:color w:val="000000"/>
                <w:sz w:val="18"/>
                <w:szCs w:val="18"/>
              </w:rPr>
              <w:br/>
              <w:t>$95.72</w:t>
            </w:r>
          </w:p>
        </w:tc>
        <w:tc>
          <w:tcPr>
            <w:tcW w:w="1139" w:type="dxa"/>
            <w:tcBorders>
              <w:top w:val="nil"/>
              <w:left w:val="nil"/>
              <w:bottom w:val="single" w:sz="4" w:space="0" w:color="auto"/>
              <w:right w:val="single" w:sz="4" w:space="0" w:color="auto"/>
            </w:tcBorders>
            <w:shd w:val="clear" w:color="000000" w:fill="A6A6A6"/>
            <w:vAlign w:val="bottom"/>
            <w:hideMark/>
          </w:tcPr>
          <w:p w14:paraId="56D31F2B" w14:textId="77777777" w:rsidR="005478BE" w:rsidRDefault="005478BE" w:rsidP="006620DC">
            <w:pPr>
              <w:jc w:val="center"/>
              <w:rPr>
                <w:b/>
                <w:bCs/>
                <w:color w:val="000000"/>
                <w:sz w:val="18"/>
                <w:szCs w:val="18"/>
              </w:rPr>
            </w:pPr>
            <w:r>
              <w:rPr>
                <w:b/>
                <w:bCs/>
                <w:color w:val="000000"/>
                <w:sz w:val="18"/>
                <w:szCs w:val="18"/>
              </w:rPr>
              <w:t xml:space="preserve">O&amp;M Cost </w:t>
            </w:r>
          </w:p>
        </w:tc>
        <w:tc>
          <w:tcPr>
            <w:tcW w:w="990" w:type="dxa"/>
            <w:tcBorders>
              <w:top w:val="nil"/>
              <w:left w:val="nil"/>
              <w:bottom w:val="single" w:sz="4" w:space="0" w:color="auto"/>
              <w:right w:val="single" w:sz="4" w:space="0" w:color="auto"/>
            </w:tcBorders>
            <w:shd w:val="clear" w:color="000000" w:fill="A6A6A6"/>
            <w:vAlign w:val="bottom"/>
            <w:hideMark/>
          </w:tcPr>
          <w:p w14:paraId="7C5F9337" w14:textId="77777777" w:rsidR="005478BE" w:rsidRDefault="005478BE">
            <w:pPr>
              <w:jc w:val="center"/>
              <w:rPr>
                <w:b/>
                <w:bCs/>
                <w:color w:val="000000"/>
                <w:sz w:val="18"/>
                <w:szCs w:val="18"/>
              </w:rPr>
            </w:pPr>
            <w:r>
              <w:rPr>
                <w:b/>
                <w:bCs/>
                <w:color w:val="000000"/>
                <w:sz w:val="18"/>
                <w:szCs w:val="18"/>
              </w:rPr>
              <w:t>Number of Resp.</w:t>
            </w:r>
          </w:p>
        </w:tc>
        <w:tc>
          <w:tcPr>
            <w:tcW w:w="900" w:type="dxa"/>
            <w:tcBorders>
              <w:top w:val="nil"/>
              <w:left w:val="nil"/>
              <w:bottom w:val="single" w:sz="4" w:space="0" w:color="auto"/>
              <w:right w:val="single" w:sz="4" w:space="0" w:color="auto"/>
            </w:tcBorders>
            <w:shd w:val="clear" w:color="000000" w:fill="A6A6A6"/>
            <w:vAlign w:val="bottom"/>
            <w:hideMark/>
          </w:tcPr>
          <w:p w14:paraId="799F9E5C" w14:textId="77777777" w:rsidR="005478BE" w:rsidRDefault="005478BE">
            <w:pPr>
              <w:jc w:val="center"/>
              <w:rPr>
                <w:b/>
                <w:bCs/>
                <w:color w:val="000000"/>
                <w:sz w:val="18"/>
                <w:szCs w:val="18"/>
              </w:rPr>
            </w:pPr>
            <w:r>
              <w:rPr>
                <w:b/>
                <w:bCs/>
                <w:color w:val="000000"/>
                <w:sz w:val="18"/>
                <w:szCs w:val="18"/>
              </w:rPr>
              <w:t>Total Hours</w:t>
            </w:r>
          </w:p>
        </w:tc>
        <w:tc>
          <w:tcPr>
            <w:tcW w:w="1051" w:type="dxa"/>
            <w:tcBorders>
              <w:top w:val="nil"/>
              <w:left w:val="nil"/>
              <w:bottom w:val="single" w:sz="4" w:space="0" w:color="auto"/>
              <w:right w:val="single" w:sz="4" w:space="0" w:color="auto"/>
            </w:tcBorders>
            <w:shd w:val="clear" w:color="000000" w:fill="A6A6A6"/>
            <w:vAlign w:val="bottom"/>
            <w:hideMark/>
          </w:tcPr>
          <w:p w14:paraId="7B8B3983" w14:textId="77777777" w:rsidR="005478BE" w:rsidRDefault="005478BE">
            <w:pPr>
              <w:jc w:val="center"/>
              <w:rPr>
                <w:b/>
                <w:bCs/>
                <w:color w:val="000000"/>
                <w:sz w:val="18"/>
                <w:szCs w:val="18"/>
              </w:rPr>
            </w:pPr>
            <w:r>
              <w:rPr>
                <w:b/>
                <w:bCs/>
                <w:color w:val="000000"/>
                <w:sz w:val="18"/>
                <w:szCs w:val="18"/>
              </w:rPr>
              <w:t>Total Labor Costs</w:t>
            </w:r>
          </w:p>
        </w:tc>
        <w:tc>
          <w:tcPr>
            <w:tcW w:w="937" w:type="dxa"/>
            <w:tcBorders>
              <w:top w:val="nil"/>
              <w:left w:val="nil"/>
              <w:bottom w:val="single" w:sz="4" w:space="0" w:color="auto"/>
              <w:right w:val="single" w:sz="4" w:space="0" w:color="auto"/>
            </w:tcBorders>
            <w:shd w:val="clear" w:color="000000" w:fill="A6A6A6"/>
            <w:vAlign w:val="bottom"/>
            <w:hideMark/>
          </w:tcPr>
          <w:p w14:paraId="272A4DCD" w14:textId="77777777" w:rsidR="005478BE" w:rsidRDefault="005478BE">
            <w:pPr>
              <w:jc w:val="center"/>
              <w:rPr>
                <w:b/>
                <w:bCs/>
                <w:color w:val="000000"/>
                <w:sz w:val="18"/>
                <w:szCs w:val="18"/>
              </w:rPr>
            </w:pPr>
            <w:r>
              <w:rPr>
                <w:b/>
                <w:bCs/>
                <w:color w:val="000000"/>
                <w:sz w:val="18"/>
                <w:szCs w:val="18"/>
              </w:rPr>
              <w:t>Total O&amp;M Costs</w:t>
            </w:r>
          </w:p>
        </w:tc>
        <w:tc>
          <w:tcPr>
            <w:tcW w:w="1090" w:type="dxa"/>
            <w:gridSpan w:val="3"/>
            <w:tcBorders>
              <w:top w:val="nil"/>
              <w:left w:val="nil"/>
              <w:bottom w:val="single" w:sz="4" w:space="0" w:color="auto"/>
              <w:right w:val="single" w:sz="4" w:space="0" w:color="auto"/>
            </w:tcBorders>
            <w:shd w:val="clear" w:color="000000" w:fill="A6A6A6"/>
            <w:vAlign w:val="bottom"/>
            <w:hideMark/>
          </w:tcPr>
          <w:p w14:paraId="1CF78B04" w14:textId="77777777" w:rsidR="005478BE" w:rsidRDefault="005478BE">
            <w:pPr>
              <w:jc w:val="center"/>
              <w:rPr>
                <w:b/>
                <w:bCs/>
                <w:color w:val="000000"/>
                <w:sz w:val="18"/>
                <w:szCs w:val="18"/>
              </w:rPr>
            </w:pPr>
            <w:r>
              <w:rPr>
                <w:b/>
                <w:bCs/>
                <w:color w:val="000000"/>
                <w:sz w:val="18"/>
                <w:szCs w:val="18"/>
              </w:rPr>
              <w:t>Total Cost</w:t>
            </w:r>
          </w:p>
        </w:tc>
      </w:tr>
      <w:tr w:rsidR="008A3AD4" w14:paraId="5198335A" w14:textId="77777777" w:rsidTr="00B675D3">
        <w:trPr>
          <w:gridAfter w:val="1"/>
          <w:wAfter w:w="9" w:type="dxa"/>
          <w:trHeight w:val="300"/>
        </w:trPr>
        <w:tc>
          <w:tcPr>
            <w:tcW w:w="14319" w:type="dxa"/>
            <w:gridSpan w:val="13"/>
            <w:tcBorders>
              <w:top w:val="nil"/>
              <w:left w:val="single" w:sz="4" w:space="0" w:color="auto"/>
              <w:bottom w:val="single" w:sz="4" w:space="0" w:color="auto"/>
              <w:right w:val="single" w:sz="4" w:space="0" w:color="auto"/>
            </w:tcBorders>
            <w:shd w:val="clear" w:color="000000" w:fill="BFBFBF"/>
            <w:noWrap/>
            <w:vAlign w:val="bottom"/>
          </w:tcPr>
          <w:p w14:paraId="1DA15720" w14:textId="77777777" w:rsidR="008A3AD4" w:rsidRDefault="008A3AD4" w:rsidP="008A3AD4">
            <w:pPr>
              <w:rPr>
                <w:b/>
                <w:bCs/>
                <w:color w:val="000000"/>
                <w:sz w:val="18"/>
                <w:szCs w:val="18"/>
              </w:rPr>
            </w:pPr>
            <w:r>
              <w:rPr>
                <w:b/>
                <w:bCs/>
                <w:color w:val="000000"/>
                <w:sz w:val="18"/>
                <w:szCs w:val="18"/>
              </w:rPr>
              <w:t>ANNUAL COSTS</w:t>
            </w:r>
          </w:p>
        </w:tc>
      </w:tr>
      <w:tr w:rsidR="008A3AD4" w14:paraId="579DA271" w14:textId="77777777" w:rsidTr="00B675D3">
        <w:trPr>
          <w:gridAfter w:val="1"/>
          <w:wAfter w:w="9" w:type="dxa"/>
          <w:trHeight w:val="300"/>
        </w:trPr>
        <w:tc>
          <w:tcPr>
            <w:tcW w:w="14319" w:type="dxa"/>
            <w:gridSpan w:val="13"/>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6F6DD89" w14:textId="77777777" w:rsidR="008A3AD4" w:rsidRDefault="008A3AD4" w:rsidP="008A3AD4">
            <w:pPr>
              <w:rPr>
                <w:b/>
                <w:bCs/>
                <w:color w:val="000000"/>
                <w:sz w:val="18"/>
                <w:szCs w:val="18"/>
              </w:rPr>
            </w:pPr>
            <w:r>
              <w:rPr>
                <w:b/>
                <w:bCs/>
                <w:color w:val="000000"/>
                <w:sz w:val="18"/>
                <w:szCs w:val="18"/>
              </w:rPr>
              <w:t>Rule Familiarization</w:t>
            </w:r>
          </w:p>
        </w:tc>
      </w:tr>
      <w:tr w:rsidR="00692490" w14:paraId="7D0F4A67" w14:textId="77777777" w:rsidTr="00B675D3">
        <w:trPr>
          <w:gridAfter w:val="1"/>
          <w:wAfter w:w="9" w:type="dxa"/>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56DA270" w14:textId="77777777" w:rsidR="00692490" w:rsidRDefault="00692490">
            <w:pPr>
              <w:rPr>
                <w:color w:val="000000"/>
                <w:sz w:val="18"/>
                <w:szCs w:val="18"/>
              </w:rPr>
            </w:pPr>
            <w:r>
              <w:rPr>
                <w:color w:val="000000"/>
                <w:sz w:val="18"/>
                <w:szCs w:val="18"/>
              </w:rPr>
              <w:t>Familiarization with proposed rule without legal council</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D9746" w14:textId="163F5406" w:rsidR="00692490" w:rsidRDefault="00692490">
            <w:pPr>
              <w:jc w:val="right"/>
              <w:rPr>
                <w:color w:val="000000"/>
                <w:sz w:val="18"/>
                <w:szCs w:val="18"/>
              </w:rPr>
            </w:pPr>
            <w:r>
              <w:rPr>
                <w:color w:val="000000"/>
                <w:sz w:val="18"/>
                <w:szCs w:val="18"/>
              </w:rPr>
              <w:t>0.00</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14A8C" w14:textId="1687181D" w:rsidR="00692490" w:rsidRDefault="00692490">
            <w:pPr>
              <w:jc w:val="right"/>
              <w:rPr>
                <w:color w:val="000000"/>
                <w:sz w:val="18"/>
                <w:szCs w:val="18"/>
              </w:rPr>
            </w:pPr>
            <w:r>
              <w:rPr>
                <w:color w:val="000000"/>
                <w:sz w:val="18"/>
                <w:szCs w:val="18"/>
              </w:rPr>
              <w:t>1.00</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5A8D7" w14:textId="57B4D146" w:rsidR="00692490" w:rsidRDefault="00692490">
            <w:pPr>
              <w:jc w:val="right"/>
              <w:rPr>
                <w:color w:val="000000"/>
                <w:sz w:val="18"/>
                <w:szCs w:val="18"/>
              </w:rPr>
            </w:pPr>
            <w:r>
              <w:rPr>
                <w:color w:val="000000"/>
                <w:sz w:val="18"/>
                <w:szCs w:val="18"/>
              </w:rPr>
              <w:t>1.50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AFAA1" w14:textId="4ECD41DF" w:rsidR="00692490" w:rsidRDefault="00692490">
            <w:pPr>
              <w:jc w:val="right"/>
              <w:rPr>
                <w:color w:val="000000"/>
                <w:sz w:val="18"/>
                <w:szCs w:val="18"/>
              </w:rPr>
            </w:pPr>
            <w:r>
              <w:rPr>
                <w:color w:val="000000"/>
                <w:sz w:val="18"/>
                <w:szCs w:val="18"/>
              </w:rPr>
              <w:t>0.00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DA0A4" w14:textId="3364E0E1" w:rsidR="00692490" w:rsidRDefault="00692490">
            <w:pPr>
              <w:jc w:val="right"/>
              <w:rPr>
                <w:color w:val="000000"/>
                <w:sz w:val="18"/>
                <w:szCs w:val="18"/>
              </w:rPr>
            </w:pPr>
            <w:r>
              <w:rPr>
                <w:color w:val="000000"/>
                <w:sz w:val="18"/>
                <w:szCs w:val="18"/>
              </w:rPr>
              <w:t>0.00</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8AF97" w14:textId="4013DB8C" w:rsidR="00692490" w:rsidRDefault="00692490">
            <w:pPr>
              <w:jc w:val="right"/>
              <w:rPr>
                <w:color w:val="000000"/>
                <w:sz w:val="18"/>
                <w:szCs w:val="18"/>
              </w:rPr>
            </w:pPr>
            <w:r>
              <w:rPr>
                <w:color w:val="000000"/>
                <w:sz w:val="18"/>
                <w:szCs w:val="18"/>
              </w:rPr>
              <w:t>$0.00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4EF92" w14:textId="54DA7275" w:rsidR="00692490" w:rsidRDefault="00692490">
            <w:pPr>
              <w:jc w:val="right"/>
              <w:rPr>
                <w:color w:val="000000"/>
                <w:sz w:val="18"/>
                <w:szCs w:val="18"/>
              </w:rPr>
            </w:pPr>
            <w:r>
              <w:rPr>
                <w:color w:val="000000"/>
                <w:sz w:val="18"/>
                <w:szCs w:val="18"/>
              </w:rPr>
              <w:t>30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7AB53" w14:textId="5B65E238" w:rsidR="00692490" w:rsidRDefault="00692490" w:rsidP="003A34A6">
            <w:pPr>
              <w:jc w:val="right"/>
              <w:rPr>
                <w:color w:val="000000"/>
                <w:sz w:val="18"/>
                <w:szCs w:val="18"/>
              </w:rPr>
            </w:pPr>
            <w:r>
              <w:rPr>
                <w:color w:val="000000"/>
                <w:sz w:val="18"/>
                <w:szCs w:val="18"/>
              </w:rPr>
              <w:t xml:space="preserve">                  75 </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46F96" w14:textId="6EA477E0" w:rsidR="00692490" w:rsidRDefault="00692490" w:rsidP="003A34A6">
            <w:pPr>
              <w:jc w:val="right"/>
              <w:rPr>
                <w:color w:val="000000"/>
                <w:sz w:val="18"/>
                <w:szCs w:val="18"/>
              </w:rPr>
            </w:pPr>
            <w:r>
              <w:rPr>
                <w:color w:val="000000"/>
                <w:sz w:val="18"/>
                <w:szCs w:val="18"/>
              </w:rPr>
              <w:t>$393.99</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E99E91" w14:textId="3697BE0B" w:rsidR="00692490" w:rsidRDefault="00692490" w:rsidP="003A34A6">
            <w:pPr>
              <w:jc w:val="right"/>
              <w:rPr>
                <w:color w:val="000000"/>
                <w:sz w:val="18"/>
                <w:szCs w:val="18"/>
              </w:rPr>
            </w:pPr>
            <w:r>
              <w:rPr>
                <w:color w:val="000000"/>
                <w:sz w:val="18"/>
                <w:szCs w:val="18"/>
              </w:rPr>
              <w:t>$0.00</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4E8B0" w14:textId="76627499" w:rsidR="00692490" w:rsidRDefault="00692490" w:rsidP="003A34A6">
            <w:pPr>
              <w:jc w:val="right"/>
              <w:rPr>
                <w:color w:val="000000"/>
                <w:sz w:val="18"/>
                <w:szCs w:val="18"/>
              </w:rPr>
            </w:pPr>
            <w:r>
              <w:rPr>
                <w:color w:val="000000"/>
                <w:sz w:val="18"/>
                <w:szCs w:val="18"/>
              </w:rPr>
              <w:t>$393.99</w:t>
            </w:r>
          </w:p>
        </w:tc>
      </w:tr>
      <w:tr w:rsidR="00692490" w14:paraId="45436AAC" w14:textId="77777777" w:rsidTr="00B675D3">
        <w:trPr>
          <w:gridAfter w:val="1"/>
          <w:wAfter w:w="9" w:type="dxa"/>
          <w:trHeight w:val="30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EA6408A" w14:textId="77777777" w:rsidR="00692490" w:rsidRDefault="00692490">
            <w:pPr>
              <w:rPr>
                <w:color w:val="000000"/>
                <w:sz w:val="18"/>
                <w:szCs w:val="18"/>
              </w:rPr>
            </w:pPr>
            <w:r>
              <w:rPr>
                <w:color w:val="000000"/>
                <w:sz w:val="18"/>
                <w:szCs w:val="18"/>
              </w:rPr>
              <w:t>Familiarization with proposed rule with legal council</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6BB88" w14:textId="3A201229" w:rsidR="00692490" w:rsidRDefault="00692490">
            <w:pPr>
              <w:jc w:val="right"/>
              <w:rPr>
                <w:color w:val="000000"/>
                <w:sz w:val="18"/>
                <w:szCs w:val="18"/>
              </w:rPr>
            </w:pPr>
            <w:r>
              <w:rPr>
                <w:color w:val="000000"/>
                <w:sz w:val="18"/>
                <w:szCs w:val="18"/>
              </w:rPr>
              <w:t>0.50</w:t>
            </w:r>
          </w:p>
        </w:tc>
        <w:tc>
          <w:tcPr>
            <w:tcW w:w="12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54299" w14:textId="7B657D0B" w:rsidR="00692490" w:rsidRDefault="00692490">
            <w:pPr>
              <w:jc w:val="right"/>
              <w:rPr>
                <w:color w:val="000000"/>
                <w:sz w:val="18"/>
                <w:szCs w:val="18"/>
              </w:rPr>
            </w:pPr>
            <w:r>
              <w:rPr>
                <w:color w:val="000000"/>
                <w:sz w:val="18"/>
                <w:szCs w:val="18"/>
              </w:rPr>
              <w:t>1.00</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8BA87" w14:textId="7F7AFA24" w:rsidR="00692490" w:rsidRDefault="00692490">
            <w:pPr>
              <w:jc w:val="right"/>
              <w:rPr>
                <w:color w:val="000000"/>
                <w:sz w:val="18"/>
                <w:szCs w:val="18"/>
              </w:rPr>
            </w:pPr>
            <w:r>
              <w:rPr>
                <w:color w:val="000000"/>
                <w:sz w:val="18"/>
                <w:szCs w:val="18"/>
              </w:rPr>
              <w:t>1.50</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8A9CE" w14:textId="2BDB2D8B" w:rsidR="00692490" w:rsidRDefault="00692490">
            <w:pPr>
              <w:jc w:val="right"/>
              <w:rPr>
                <w:color w:val="000000"/>
                <w:sz w:val="18"/>
                <w:szCs w:val="18"/>
              </w:rPr>
            </w:pPr>
            <w:r>
              <w:rPr>
                <w:color w:val="000000"/>
                <w:sz w:val="18"/>
                <w:szCs w:val="18"/>
              </w:rPr>
              <w:t>0.00</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718BB" w14:textId="126EE7B8" w:rsidR="00692490" w:rsidRDefault="00692490">
            <w:pPr>
              <w:jc w:val="right"/>
              <w:rPr>
                <w:color w:val="000000"/>
                <w:sz w:val="18"/>
                <w:szCs w:val="18"/>
              </w:rPr>
            </w:pPr>
            <w:r>
              <w:rPr>
                <w:color w:val="000000"/>
                <w:sz w:val="18"/>
                <w:szCs w:val="18"/>
              </w:rPr>
              <w:t>0.00</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C900E" w14:textId="43BC367D" w:rsidR="00692490" w:rsidRDefault="00692490">
            <w:pPr>
              <w:jc w:val="right"/>
              <w:rPr>
                <w:color w:val="000000"/>
                <w:sz w:val="18"/>
                <w:szCs w:val="18"/>
              </w:rPr>
            </w:pPr>
            <w:r>
              <w:rPr>
                <w:color w:val="000000"/>
                <w:sz w:val="18"/>
                <w:szCs w:val="18"/>
              </w:rPr>
              <w:t>$0.00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F45ED" w14:textId="26833F8A" w:rsidR="00692490" w:rsidRDefault="00692490">
            <w:pPr>
              <w:jc w:val="right"/>
              <w:rPr>
                <w:color w:val="000000"/>
                <w:sz w:val="18"/>
                <w:szCs w:val="18"/>
              </w:rPr>
            </w:pPr>
            <w:r>
              <w:rPr>
                <w:color w:val="000000"/>
                <w:sz w:val="18"/>
                <w:szCs w:val="18"/>
              </w:rPr>
              <w:t>82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A4A99" w14:textId="14295AB7" w:rsidR="00692490" w:rsidRDefault="00692490" w:rsidP="003A34A6">
            <w:pPr>
              <w:jc w:val="right"/>
              <w:rPr>
                <w:color w:val="000000"/>
                <w:sz w:val="18"/>
                <w:szCs w:val="18"/>
              </w:rPr>
            </w:pPr>
            <w:r>
              <w:rPr>
                <w:color w:val="000000"/>
                <w:sz w:val="18"/>
                <w:szCs w:val="18"/>
              </w:rPr>
              <w:t xml:space="preserve">                246 </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C9D95" w14:textId="1189E032" w:rsidR="00692490" w:rsidRDefault="00692490" w:rsidP="003A34A6">
            <w:pPr>
              <w:jc w:val="right"/>
              <w:rPr>
                <w:color w:val="000000"/>
                <w:sz w:val="18"/>
                <w:szCs w:val="18"/>
              </w:rPr>
            </w:pPr>
            <w:r>
              <w:rPr>
                <w:color w:val="000000"/>
                <w:sz w:val="18"/>
                <w:szCs w:val="18"/>
              </w:rPr>
              <w:t>$1,538.21</w:t>
            </w:r>
          </w:p>
        </w:tc>
        <w:tc>
          <w:tcPr>
            <w:tcW w:w="9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163A56" w14:textId="716A9D1A" w:rsidR="00692490" w:rsidRDefault="00692490" w:rsidP="003A34A6">
            <w:pPr>
              <w:jc w:val="right"/>
              <w:rPr>
                <w:color w:val="000000"/>
                <w:sz w:val="18"/>
                <w:szCs w:val="18"/>
              </w:rPr>
            </w:pPr>
            <w:r>
              <w:rPr>
                <w:color w:val="000000"/>
                <w:sz w:val="18"/>
                <w:szCs w:val="18"/>
              </w:rPr>
              <w:t>$0.00</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8F3F1" w14:textId="2219DE77" w:rsidR="00692490" w:rsidRDefault="00692490" w:rsidP="003A34A6">
            <w:pPr>
              <w:jc w:val="right"/>
              <w:rPr>
                <w:color w:val="000000"/>
                <w:sz w:val="18"/>
                <w:szCs w:val="18"/>
              </w:rPr>
            </w:pPr>
            <w:r>
              <w:rPr>
                <w:color w:val="000000"/>
                <w:sz w:val="18"/>
                <w:szCs w:val="18"/>
              </w:rPr>
              <w:t>$1,538.21</w:t>
            </w:r>
          </w:p>
        </w:tc>
      </w:tr>
      <w:tr w:rsidR="008A3AD4" w14:paraId="71E09283" w14:textId="77777777" w:rsidTr="00B675D3">
        <w:trPr>
          <w:gridAfter w:val="1"/>
          <w:wAfter w:w="9" w:type="dxa"/>
          <w:trHeight w:val="300"/>
        </w:trPr>
        <w:tc>
          <w:tcPr>
            <w:tcW w:w="14319" w:type="dxa"/>
            <w:gridSpan w:val="13"/>
            <w:tcBorders>
              <w:top w:val="nil"/>
              <w:left w:val="single" w:sz="4" w:space="0" w:color="auto"/>
              <w:bottom w:val="single" w:sz="4" w:space="0" w:color="auto"/>
              <w:right w:val="single" w:sz="4" w:space="0" w:color="auto"/>
            </w:tcBorders>
            <w:shd w:val="clear" w:color="000000" w:fill="BFBFBF"/>
            <w:noWrap/>
            <w:vAlign w:val="bottom"/>
            <w:hideMark/>
          </w:tcPr>
          <w:p w14:paraId="466027B8" w14:textId="77777777" w:rsidR="008A3AD4" w:rsidRDefault="008A3AD4" w:rsidP="008A3AD4">
            <w:pPr>
              <w:rPr>
                <w:b/>
                <w:bCs/>
                <w:color w:val="000000"/>
                <w:sz w:val="18"/>
                <w:szCs w:val="18"/>
              </w:rPr>
            </w:pPr>
            <w:r>
              <w:rPr>
                <w:b/>
                <w:bCs/>
                <w:color w:val="000000"/>
                <w:sz w:val="18"/>
                <w:szCs w:val="18"/>
              </w:rPr>
              <w:t>VARIABLE COSTS</w:t>
            </w:r>
          </w:p>
        </w:tc>
      </w:tr>
      <w:tr w:rsidR="008A3AD4" w14:paraId="47398C64" w14:textId="77777777" w:rsidTr="00B675D3">
        <w:trPr>
          <w:gridAfter w:val="1"/>
          <w:wAfter w:w="9" w:type="dxa"/>
          <w:trHeight w:val="300"/>
        </w:trPr>
        <w:tc>
          <w:tcPr>
            <w:tcW w:w="14319" w:type="dxa"/>
            <w:gridSpan w:val="13"/>
            <w:tcBorders>
              <w:top w:val="nil"/>
              <w:left w:val="single" w:sz="4" w:space="0" w:color="auto"/>
              <w:bottom w:val="single" w:sz="4" w:space="0" w:color="auto"/>
              <w:right w:val="single" w:sz="4" w:space="0" w:color="auto"/>
            </w:tcBorders>
            <w:shd w:val="clear" w:color="000000" w:fill="D9D9D9"/>
            <w:noWrap/>
            <w:vAlign w:val="center"/>
            <w:hideMark/>
          </w:tcPr>
          <w:p w14:paraId="2EC4994B" w14:textId="77777777" w:rsidR="008A3AD4" w:rsidRDefault="008A3AD4" w:rsidP="008A3AD4">
            <w:pPr>
              <w:rPr>
                <w:b/>
                <w:bCs/>
                <w:color w:val="000000"/>
                <w:sz w:val="18"/>
                <w:szCs w:val="18"/>
              </w:rPr>
            </w:pPr>
            <w:r>
              <w:rPr>
                <w:b/>
                <w:bCs/>
                <w:color w:val="000000"/>
                <w:sz w:val="18"/>
                <w:szCs w:val="18"/>
              </w:rPr>
              <w:t>Shipping Recordkeeping (per shipment)</w:t>
            </w:r>
          </w:p>
        </w:tc>
      </w:tr>
      <w:tr w:rsidR="00692490" w14:paraId="6195CCAF" w14:textId="77777777" w:rsidTr="00B675D3">
        <w:trPr>
          <w:gridAfter w:val="1"/>
          <w:wAfter w:w="9" w:type="dxa"/>
          <w:trHeight w:val="300"/>
        </w:trPr>
        <w:tc>
          <w:tcPr>
            <w:tcW w:w="2600" w:type="dxa"/>
            <w:tcBorders>
              <w:top w:val="nil"/>
              <w:left w:val="single" w:sz="4" w:space="0" w:color="auto"/>
              <w:bottom w:val="single" w:sz="4" w:space="0" w:color="auto"/>
              <w:right w:val="single" w:sz="4" w:space="0" w:color="auto"/>
            </w:tcBorders>
            <w:shd w:val="clear" w:color="auto" w:fill="auto"/>
            <w:vAlign w:val="bottom"/>
            <w:hideMark/>
          </w:tcPr>
          <w:p w14:paraId="05CBB05F" w14:textId="77777777" w:rsidR="00692490" w:rsidRDefault="00692490">
            <w:pPr>
              <w:rPr>
                <w:color w:val="000000"/>
                <w:sz w:val="18"/>
                <w:szCs w:val="18"/>
              </w:rPr>
            </w:pPr>
            <w:r>
              <w:rPr>
                <w:color w:val="000000"/>
                <w:sz w:val="18"/>
                <w:szCs w:val="18"/>
              </w:rPr>
              <w:t>Shipping Recordkeeping</w:t>
            </w:r>
          </w:p>
        </w:tc>
        <w:tc>
          <w:tcPr>
            <w:tcW w:w="822" w:type="dxa"/>
            <w:tcBorders>
              <w:top w:val="nil"/>
              <w:left w:val="nil"/>
              <w:bottom w:val="single" w:sz="4" w:space="0" w:color="auto"/>
              <w:right w:val="single" w:sz="4" w:space="0" w:color="auto"/>
            </w:tcBorders>
            <w:shd w:val="clear" w:color="auto" w:fill="auto"/>
            <w:noWrap/>
            <w:vAlign w:val="bottom"/>
            <w:hideMark/>
          </w:tcPr>
          <w:p w14:paraId="7239F065" w14:textId="557843FC" w:rsidR="00692490" w:rsidRDefault="00692490">
            <w:pPr>
              <w:jc w:val="right"/>
              <w:rPr>
                <w:color w:val="000000"/>
                <w:sz w:val="18"/>
                <w:szCs w:val="18"/>
              </w:rPr>
            </w:pPr>
            <w:r>
              <w:rPr>
                <w:color w:val="000000"/>
                <w:sz w:val="18"/>
                <w:szCs w:val="18"/>
              </w:rPr>
              <w:t>0.00</w:t>
            </w:r>
          </w:p>
        </w:tc>
        <w:tc>
          <w:tcPr>
            <w:tcW w:w="1285" w:type="dxa"/>
            <w:tcBorders>
              <w:top w:val="nil"/>
              <w:left w:val="nil"/>
              <w:bottom w:val="single" w:sz="4" w:space="0" w:color="auto"/>
              <w:right w:val="single" w:sz="4" w:space="0" w:color="auto"/>
            </w:tcBorders>
            <w:shd w:val="clear" w:color="auto" w:fill="auto"/>
            <w:noWrap/>
            <w:vAlign w:val="bottom"/>
            <w:hideMark/>
          </w:tcPr>
          <w:p w14:paraId="33C84243" w14:textId="01D502B4" w:rsidR="00692490" w:rsidRDefault="00692490">
            <w:pPr>
              <w:jc w:val="right"/>
              <w:rPr>
                <w:color w:val="000000"/>
                <w:sz w:val="18"/>
                <w:szCs w:val="18"/>
              </w:rPr>
            </w:pPr>
            <w:r>
              <w:rPr>
                <w:color w:val="000000"/>
                <w:sz w:val="18"/>
                <w:szCs w:val="18"/>
              </w:rPr>
              <w:t>0.00</w:t>
            </w:r>
          </w:p>
        </w:tc>
        <w:tc>
          <w:tcPr>
            <w:tcW w:w="1146" w:type="dxa"/>
            <w:tcBorders>
              <w:top w:val="nil"/>
              <w:left w:val="nil"/>
              <w:bottom w:val="single" w:sz="4" w:space="0" w:color="auto"/>
              <w:right w:val="single" w:sz="4" w:space="0" w:color="auto"/>
            </w:tcBorders>
            <w:shd w:val="clear" w:color="auto" w:fill="auto"/>
            <w:noWrap/>
            <w:vAlign w:val="bottom"/>
            <w:hideMark/>
          </w:tcPr>
          <w:p w14:paraId="24A2C9A7" w14:textId="63D552EF" w:rsidR="00692490" w:rsidRDefault="00692490">
            <w:pPr>
              <w:jc w:val="right"/>
              <w:rPr>
                <w:color w:val="000000"/>
                <w:sz w:val="18"/>
                <w:szCs w:val="18"/>
              </w:rPr>
            </w:pPr>
            <w:r>
              <w:rPr>
                <w:color w:val="000000"/>
                <w:sz w:val="18"/>
                <w:szCs w:val="18"/>
              </w:rPr>
              <w:t>0.00</w:t>
            </w:r>
          </w:p>
        </w:tc>
        <w:tc>
          <w:tcPr>
            <w:tcW w:w="972" w:type="dxa"/>
            <w:tcBorders>
              <w:top w:val="nil"/>
              <w:left w:val="nil"/>
              <w:bottom w:val="single" w:sz="4" w:space="0" w:color="auto"/>
              <w:right w:val="single" w:sz="4" w:space="0" w:color="auto"/>
            </w:tcBorders>
            <w:shd w:val="clear" w:color="auto" w:fill="auto"/>
            <w:noWrap/>
            <w:vAlign w:val="bottom"/>
            <w:hideMark/>
          </w:tcPr>
          <w:p w14:paraId="141EBFD2" w14:textId="09DB86BA" w:rsidR="00692490" w:rsidRDefault="00692490">
            <w:pPr>
              <w:jc w:val="right"/>
              <w:rPr>
                <w:color w:val="000000"/>
                <w:sz w:val="18"/>
                <w:szCs w:val="18"/>
              </w:rPr>
            </w:pPr>
            <w:r>
              <w:rPr>
                <w:color w:val="000000"/>
                <w:sz w:val="18"/>
                <w:szCs w:val="18"/>
              </w:rPr>
              <w:t>0.10</w:t>
            </w:r>
          </w:p>
        </w:tc>
        <w:tc>
          <w:tcPr>
            <w:tcW w:w="1396" w:type="dxa"/>
            <w:tcBorders>
              <w:top w:val="nil"/>
              <w:left w:val="nil"/>
              <w:bottom w:val="single" w:sz="4" w:space="0" w:color="auto"/>
              <w:right w:val="single" w:sz="4" w:space="0" w:color="auto"/>
            </w:tcBorders>
            <w:shd w:val="clear" w:color="auto" w:fill="auto"/>
            <w:noWrap/>
            <w:vAlign w:val="bottom"/>
            <w:hideMark/>
          </w:tcPr>
          <w:p w14:paraId="7AB19EF2" w14:textId="45CC4744" w:rsidR="00692490" w:rsidRDefault="00692490">
            <w:pPr>
              <w:jc w:val="right"/>
              <w:rPr>
                <w:color w:val="000000"/>
                <w:sz w:val="18"/>
                <w:szCs w:val="18"/>
              </w:rPr>
            </w:pPr>
            <w:r>
              <w:rPr>
                <w:color w:val="000000"/>
                <w:sz w:val="18"/>
                <w:szCs w:val="18"/>
              </w:rPr>
              <w:t>0.00</w:t>
            </w:r>
          </w:p>
        </w:tc>
        <w:tc>
          <w:tcPr>
            <w:tcW w:w="1139" w:type="dxa"/>
            <w:tcBorders>
              <w:top w:val="nil"/>
              <w:left w:val="nil"/>
              <w:bottom w:val="single" w:sz="4" w:space="0" w:color="auto"/>
              <w:right w:val="single" w:sz="4" w:space="0" w:color="auto"/>
            </w:tcBorders>
            <w:shd w:val="clear" w:color="auto" w:fill="auto"/>
            <w:noWrap/>
            <w:vAlign w:val="bottom"/>
            <w:hideMark/>
          </w:tcPr>
          <w:p w14:paraId="0B2BAAF2" w14:textId="48D6D04C" w:rsidR="00692490" w:rsidRDefault="00692490">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2549B14D" w14:textId="7401D038" w:rsidR="00692490" w:rsidRDefault="00692490" w:rsidP="005B3845">
            <w:pPr>
              <w:jc w:val="right"/>
              <w:rPr>
                <w:color w:val="000000"/>
                <w:sz w:val="18"/>
                <w:szCs w:val="18"/>
              </w:rPr>
            </w:pPr>
            <w:r>
              <w:rPr>
                <w:color w:val="000000"/>
                <w:sz w:val="18"/>
                <w:szCs w:val="18"/>
              </w:rPr>
              <w:t>82</w:t>
            </w:r>
          </w:p>
        </w:tc>
        <w:tc>
          <w:tcPr>
            <w:tcW w:w="900" w:type="dxa"/>
            <w:tcBorders>
              <w:top w:val="nil"/>
              <w:left w:val="nil"/>
              <w:bottom w:val="single" w:sz="4" w:space="0" w:color="auto"/>
              <w:right w:val="single" w:sz="4" w:space="0" w:color="auto"/>
            </w:tcBorders>
            <w:shd w:val="clear" w:color="auto" w:fill="auto"/>
            <w:noWrap/>
            <w:vAlign w:val="bottom"/>
            <w:hideMark/>
          </w:tcPr>
          <w:p w14:paraId="172390F8" w14:textId="049DE1AB" w:rsidR="00692490" w:rsidRDefault="00692490" w:rsidP="005B3845">
            <w:pPr>
              <w:jc w:val="right"/>
              <w:rPr>
                <w:color w:val="000000"/>
                <w:sz w:val="18"/>
                <w:szCs w:val="18"/>
              </w:rPr>
            </w:pPr>
            <w:r>
              <w:rPr>
                <w:color w:val="000000"/>
                <w:sz w:val="18"/>
                <w:szCs w:val="18"/>
              </w:rPr>
              <w:t xml:space="preserve">                  58 </w:t>
            </w:r>
          </w:p>
        </w:tc>
        <w:tc>
          <w:tcPr>
            <w:tcW w:w="1051" w:type="dxa"/>
            <w:tcBorders>
              <w:top w:val="nil"/>
              <w:left w:val="nil"/>
              <w:bottom w:val="single" w:sz="4" w:space="0" w:color="auto"/>
              <w:right w:val="single" w:sz="4" w:space="0" w:color="auto"/>
            </w:tcBorders>
            <w:shd w:val="clear" w:color="auto" w:fill="auto"/>
            <w:noWrap/>
            <w:vAlign w:val="bottom"/>
            <w:hideMark/>
          </w:tcPr>
          <w:p w14:paraId="4A7D4433" w14:textId="37E71132" w:rsidR="00692490" w:rsidRDefault="00692490" w:rsidP="005B3845">
            <w:pPr>
              <w:jc w:val="right"/>
              <w:rPr>
                <w:color w:val="000000"/>
                <w:sz w:val="18"/>
                <w:szCs w:val="18"/>
              </w:rPr>
            </w:pPr>
            <w:r>
              <w:rPr>
                <w:color w:val="000000"/>
                <w:sz w:val="18"/>
                <w:szCs w:val="18"/>
              </w:rPr>
              <w:t>$2,133.77</w:t>
            </w:r>
          </w:p>
        </w:tc>
        <w:tc>
          <w:tcPr>
            <w:tcW w:w="945" w:type="dxa"/>
            <w:gridSpan w:val="2"/>
            <w:tcBorders>
              <w:top w:val="nil"/>
              <w:left w:val="nil"/>
              <w:bottom w:val="single" w:sz="4" w:space="0" w:color="auto"/>
              <w:right w:val="single" w:sz="4" w:space="0" w:color="auto"/>
            </w:tcBorders>
            <w:shd w:val="clear" w:color="auto" w:fill="auto"/>
            <w:noWrap/>
            <w:vAlign w:val="bottom"/>
            <w:hideMark/>
          </w:tcPr>
          <w:p w14:paraId="42AE24A8" w14:textId="368B8E38" w:rsidR="00692490" w:rsidRDefault="00692490" w:rsidP="005B3845">
            <w:pPr>
              <w:jc w:val="right"/>
              <w:rPr>
                <w:color w:val="000000"/>
                <w:sz w:val="18"/>
                <w:szCs w:val="18"/>
              </w:rPr>
            </w:pPr>
            <w:r>
              <w:rPr>
                <w:color w:val="000000"/>
                <w:sz w:val="18"/>
                <w:szCs w:val="18"/>
              </w:rPr>
              <w:t>$0.00</w:t>
            </w:r>
          </w:p>
        </w:tc>
        <w:tc>
          <w:tcPr>
            <w:tcW w:w="1073" w:type="dxa"/>
            <w:tcBorders>
              <w:top w:val="nil"/>
              <w:left w:val="nil"/>
              <w:bottom w:val="single" w:sz="4" w:space="0" w:color="auto"/>
              <w:right w:val="single" w:sz="4" w:space="0" w:color="auto"/>
            </w:tcBorders>
            <w:shd w:val="clear" w:color="auto" w:fill="auto"/>
            <w:noWrap/>
            <w:vAlign w:val="bottom"/>
            <w:hideMark/>
          </w:tcPr>
          <w:p w14:paraId="2DC1097D" w14:textId="22DBD921" w:rsidR="00692490" w:rsidRDefault="00692490" w:rsidP="005B3845">
            <w:pPr>
              <w:jc w:val="right"/>
              <w:rPr>
                <w:color w:val="000000"/>
                <w:sz w:val="18"/>
                <w:szCs w:val="18"/>
              </w:rPr>
            </w:pPr>
            <w:r>
              <w:rPr>
                <w:color w:val="000000"/>
                <w:sz w:val="18"/>
                <w:szCs w:val="18"/>
              </w:rPr>
              <w:t>$2,133.77</w:t>
            </w:r>
          </w:p>
        </w:tc>
      </w:tr>
      <w:tr w:rsidR="00692490" w14:paraId="677F9192" w14:textId="77777777" w:rsidTr="00B675D3">
        <w:trPr>
          <w:gridAfter w:val="1"/>
          <w:wAfter w:w="9" w:type="dxa"/>
          <w:trHeight w:val="300"/>
        </w:trPr>
        <w:tc>
          <w:tcPr>
            <w:tcW w:w="936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ADA5254" w14:textId="01CF5B21" w:rsidR="00692490" w:rsidRDefault="00692490">
            <w:pPr>
              <w:rPr>
                <w:color w:val="000000"/>
                <w:sz w:val="18"/>
                <w:szCs w:val="18"/>
              </w:rPr>
            </w:pPr>
            <w:r>
              <w:rPr>
                <w:color w:val="000000"/>
                <w:sz w:val="18"/>
                <w:szCs w:val="18"/>
              </w:rPr>
              <w:t>TOTAL COST</w:t>
            </w:r>
          </w:p>
        </w:tc>
        <w:tc>
          <w:tcPr>
            <w:tcW w:w="990" w:type="dxa"/>
            <w:tcBorders>
              <w:top w:val="nil"/>
              <w:left w:val="nil"/>
              <w:bottom w:val="nil"/>
              <w:right w:val="single" w:sz="4" w:space="0" w:color="auto"/>
            </w:tcBorders>
            <w:shd w:val="clear" w:color="auto" w:fill="auto"/>
            <w:noWrap/>
            <w:vAlign w:val="bottom"/>
            <w:hideMark/>
          </w:tcPr>
          <w:p w14:paraId="34954AEA" w14:textId="77777777" w:rsidR="00692490" w:rsidRDefault="00692490" w:rsidP="005B3845">
            <w:pPr>
              <w:jc w:val="right"/>
              <w:rPr>
                <w:color w:val="000000"/>
                <w:sz w:val="18"/>
                <w:szCs w:val="18"/>
              </w:rPr>
            </w:pPr>
            <w:r>
              <w:rPr>
                <w:color w:val="000000"/>
                <w:sz w:val="18"/>
                <w:szCs w:val="18"/>
              </w:rPr>
              <w:t> N/A</w:t>
            </w:r>
          </w:p>
        </w:tc>
        <w:tc>
          <w:tcPr>
            <w:tcW w:w="900" w:type="dxa"/>
            <w:tcBorders>
              <w:top w:val="nil"/>
              <w:left w:val="nil"/>
              <w:bottom w:val="nil"/>
              <w:right w:val="single" w:sz="4" w:space="0" w:color="auto"/>
            </w:tcBorders>
            <w:shd w:val="clear" w:color="auto" w:fill="auto"/>
            <w:noWrap/>
            <w:vAlign w:val="bottom"/>
            <w:hideMark/>
          </w:tcPr>
          <w:p w14:paraId="5E67CA26" w14:textId="67259835" w:rsidR="00692490" w:rsidRDefault="00692490" w:rsidP="005B3845">
            <w:pPr>
              <w:jc w:val="right"/>
              <w:rPr>
                <w:color w:val="000000"/>
                <w:sz w:val="18"/>
                <w:szCs w:val="18"/>
              </w:rPr>
            </w:pPr>
            <w:r>
              <w:rPr>
                <w:color w:val="000000"/>
                <w:sz w:val="18"/>
                <w:szCs w:val="18"/>
              </w:rPr>
              <w:t xml:space="preserve">                379 </w:t>
            </w:r>
          </w:p>
        </w:tc>
        <w:tc>
          <w:tcPr>
            <w:tcW w:w="1051" w:type="dxa"/>
            <w:tcBorders>
              <w:top w:val="nil"/>
              <w:left w:val="nil"/>
              <w:bottom w:val="nil"/>
              <w:right w:val="single" w:sz="4" w:space="0" w:color="auto"/>
            </w:tcBorders>
            <w:shd w:val="clear" w:color="auto" w:fill="auto"/>
            <w:noWrap/>
            <w:vAlign w:val="bottom"/>
            <w:hideMark/>
          </w:tcPr>
          <w:p w14:paraId="4EC2F729" w14:textId="2068B632" w:rsidR="00692490" w:rsidRDefault="00692490" w:rsidP="005B3845">
            <w:pPr>
              <w:jc w:val="right"/>
              <w:rPr>
                <w:color w:val="000000"/>
                <w:sz w:val="18"/>
                <w:szCs w:val="18"/>
              </w:rPr>
            </w:pPr>
            <w:r>
              <w:rPr>
                <w:color w:val="000000"/>
                <w:sz w:val="18"/>
                <w:szCs w:val="18"/>
              </w:rPr>
              <w:t xml:space="preserve">             </w:t>
            </w:r>
            <w:r w:rsidR="0032593C">
              <w:rPr>
                <w:color w:val="000000"/>
                <w:sz w:val="18"/>
                <w:szCs w:val="18"/>
              </w:rPr>
              <w:t>$</w:t>
            </w:r>
            <w:r>
              <w:rPr>
                <w:color w:val="000000"/>
                <w:sz w:val="18"/>
                <w:szCs w:val="18"/>
              </w:rPr>
              <w:t xml:space="preserve">4,066 </w:t>
            </w:r>
          </w:p>
        </w:tc>
        <w:tc>
          <w:tcPr>
            <w:tcW w:w="937" w:type="dxa"/>
            <w:tcBorders>
              <w:top w:val="nil"/>
              <w:left w:val="nil"/>
              <w:bottom w:val="nil"/>
              <w:right w:val="single" w:sz="4" w:space="0" w:color="auto"/>
            </w:tcBorders>
            <w:shd w:val="clear" w:color="auto" w:fill="auto"/>
            <w:noWrap/>
            <w:vAlign w:val="bottom"/>
            <w:hideMark/>
          </w:tcPr>
          <w:p w14:paraId="2890B431" w14:textId="32A6C5E7" w:rsidR="00692490" w:rsidRDefault="00692490" w:rsidP="005B3845">
            <w:pPr>
              <w:jc w:val="right"/>
              <w:rPr>
                <w:color w:val="000000"/>
                <w:sz w:val="18"/>
                <w:szCs w:val="18"/>
              </w:rPr>
            </w:pPr>
            <w:r>
              <w:rPr>
                <w:color w:val="000000"/>
                <w:sz w:val="18"/>
                <w:szCs w:val="18"/>
              </w:rPr>
              <w:t xml:space="preserve">                  -   </w:t>
            </w:r>
          </w:p>
        </w:tc>
        <w:tc>
          <w:tcPr>
            <w:tcW w:w="1081" w:type="dxa"/>
            <w:gridSpan w:val="2"/>
            <w:tcBorders>
              <w:top w:val="nil"/>
              <w:left w:val="nil"/>
              <w:bottom w:val="nil"/>
              <w:right w:val="single" w:sz="4" w:space="0" w:color="auto"/>
            </w:tcBorders>
            <w:shd w:val="clear" w:color="auto" w:fill="auto"/>
            <w:noWrap/>
            <w:vAlign w:val="bottom"/>
            <w:hideMark/>
          </w:tcPr>
          <w:p w14:paraId="525D7C8A" w14:textId="6C91A790" w:rsidR="00692490" w:rsidRDefault="00692490" w:rsidP="005B3845">
            <w:pPr>
              <w:jc w:val="right"/>
              <w:rPr>
                <w:color w:val="000000"/>
                <w:sz w:val="18"/>
                <w:szCs w:val="18"/>
              </w:rPr>
            </w:pPr>
            <w:r>
              <w:rPr>
                <w:color w:val="000000"/>
                <w:sz w:val="18"/>
                <w:szCs w:val="18"/>
              </w:rPr>
              <w:t xml:space="preserve">             </w:t>
            </w:r>
            <w:r w:rsidR="0032593C">
              <w:rPr>
                <w:color w:val="000000"/>
                <w:sz w:val="18"/>
                <w:szCs w:val="18"/>
              </w:rPr>
              <w:t>$</w:t>
            </w:r>
            <w:r>
              <w:rPr>
                <w:color w:val="000000"/>
                <w:sz w:val="18"/>
                <w:szCs w:val="18"/>
              </w:rPr>
              <w:t xml:space="preserve">4,066 </w:t>
            </w:r>
          </w:p>
        </w:tc>
      </w:tr>
      <w:tr w:rsidR="00BC58A3" w14:paraId="738A602C" w14:textId="77777777" w:rsidTr="00B675D3">
        <w:trPr>
          <w:gridAfter w:val="1"/>
          <w:wAfter w:w="9" w:type="dxa"/>
          <w:trHeight w:val="300"/>
        </w:trPr>
        <w:tc>
          <w:tcPr>
            <w:tcW w:w="14319"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4008D45" w14:textId="77777777" w:rsidR="00BC58A3" w:rsidRDefault="00BC58A3">
            <w:pPr>
              <w:rPr>
                <w:color w:val="000000"/>
                <w:sz w:val="18"/>
                <w:szCs w:val="18"/>
              </w:rPr>
            </w:pPr>
            <w:r w:rsidRPr="00BC58A3">
              <w:rPr>
                <w:color w:val="000000"/>
                <w:sz w:val="18"/>
                <w:szCs w:val="18"/>
                <w:u w:val="single"/>
              </w:rPr>
              <w:t>Notes</w:t>
            </w:r>
            <w:r>
              <w:rPr>
                <w:color w:val="000000"/>
                <w:sz w:val="18"/>
                <w:szCs w:val="18"/>
              </w:rPr>
              <w:t>:</w:t>
            </w:r>
          </w:p>
          <w:p w14:paraId="3FF6A0FA" w14:textId="1B757B08" w:rsidR="00BC58A3" w:rsidRDefault="00BC58A3">
            <w:pPr>
              <w:spacing w:line="240" w:lineRule="exact"/>
              <w:rPr>
                <w:color w:val="000000"/>
                <w:sz w:val="18"/>
                <w:szCs w:val="18"/>
              </w:rPr>
            </w:pPr>
            <w:r>
              <w:rPr>
                <w:color w:val="000000"/>
                <w:sz w:val="18"/>
                <w:szCs w:val="18"/>
              </w:rPr>
              <w:t>Numbers may not sum due to rounding.</w:t>
            </w:r>
          </w:p>
        </w:tc>
      </w:tr>
    </w:tbl>
    <w:p w14:paraId="1E987185" w14:textId="77777777" w:rsidR="00E05801" w:rsidRDefault="00E05801" w:rsidP="00E05801">
      <w:pPr>
        <w:rPr>
          <w:b/>
          <w:bCs/>
          <w:szCs w:val="28"/>
        </w:rPr>
      </w:pPr>
    </w:p>
    <w:p w14:paraId="5947C6C5" w14:textId="77777777" w:rsidR="00FC12B0" w:rsidRDefault="00FC12B0">
      <w:r>
        <w:br w:type="page"/>
      </w:r>
    </w:p>
    <w:tbl>
      <w:tblPr>
        <w:tblW w:w="14602" w:type="dxa"/>
        <w:tblInd w:w="-612" w:type="dxa"/>
        <w:tblLayout w:type="fixed"/>
        <w:tblLook w:val="04A0" w:firstRow="1" w:lastRow="0" w:firstColumn="1" w:lastColumn="0" w:noHBand="0" w:noVBand="1"/>
      </w:tblPr>
      <w:tblGrid>
        <w:gridCol w:w="3922"/>
        <w:gridCol w:w="986"/>
        <w:gridCol w:w="1109"/>
        <w:gridCol w:w="966"/>
        <w:gridCol w:w="792"/>
        <w:gridCol w:w="1216"/>
        <w:gridCol w:w="936"/>
        <w:gridCol w:w="856"/>
        <w:gridCol w:w="1236"/>
        <w:gridCol w:w="891"/>
        <w:gridCol w:w="801"/>
        <w:gridCol w:w="891"/>
      </w:tblGrid>
      <w:tr w:rsidR="006620DC" w14:paraId="13A20647" w14:textId="77777777" w:rsidTr="00B675D3">
        <w:trPr>
          <w:trHeight w:val="315"/>
          <w:tblHeader/>
        </w:trPr>
        <w:tc>
          <w:tcPr>
            <w:tcW w:w="14602" w:type="dxa"/>
            <w:gridSpan w:val="12"/>
            <w:tcBorders>
              <w:top w:val="nil"/>
              <w:left w:val="nil"/>
              <w:bottom w:val="single" w:sz="4" w:space="0" w:color="auto"/>
              <w:right w:val="nil"/>
            </w:tcBorders>
            <w:shd w:val="clear" w:color="auto" w:fill="auto"/>
            <w:noWrap/>
            <w:vAlign w:val="center"/>
            <w:hideMark/>
          </w:tcPr>
          <w:p w14:paraId="31A14A09" w14:textId="04FDAB31" w:rsidR="006620DC" w:rsidRDefault="006620DC" w:rsidP="00B93E6B">
            <w:pPr>
              <w:rPr>
                <w:b/>
                <w:bCs/>
                <w:color w:val="000000"/>
              </w:rPr>
            </w:pPr>
            <w:r>
              <w:rPr>
                <w:b/>
                <w:bCs/>
                <w:color w:val="000000"/>
              </w:rPr>
              <w:t>Exhibit 3B: Respondent Cost Estimates for LQGs that become SQGs Post-Rule</w:t>
            </w:r>
          </w:p>
        </w:tc>
      </w:tr>
      <w:tr w:rsidR="006620DC" w14:paraId="0F3F3BA6" w14:textId="77777777" w:rsidTr="00B675D3">
        <w:trPr>
          <w:trHeight w:val="300"/>
          <w:tblHeader/>
        </w:trPr>
        <w:tc>
          <w:tcPr>
            <w:tcW w:w="3922" w:type="dxa"/>
            <w:vMerge w:val="restart"/>
            <w:tcBorders>
              <w:top w:val="nil"/>
              <w:left w:val="single" w:sz="4" w:space="0" w:color="auto"/>
              <w:bottom w:val="single" w:sz="4" w:space="0" w:color="auto"/>
              <w:right w:val="single" w:sz="4" w:space="0" w:color="auto"/>
            </w:tcBorders>
            <w:shd w:val="clear" w:color="000000" w:fill="A6A6A6"/>
            <w:vAlign w:val="bottom"/>
            <w:hideMark/>
          </w:tcPr>
          <w:p w14:paraId="49D77E73" w14:textId="77777777" w:rsidR="006620DC" w:rsidRDefault="006620DC">
            <w:pPr>
              <w:rPr>
                <w:b/>
                <w:bCs/>
                <w:color w:val="000000"/>
                <w:sz w:val="18"/>
                <w:szCs w:val="18"/>
              </w:rPr>
            </w:pPr>
            <w:r>
              <w:rPr>
                <w:b/>
                <w:bCs/>
                <w:color w:val="000000"/>
                <w:sz w:val="18"/>
                <w:szCs w:val="18"/>
              </w:rPr>
              <w:t>Information Collection Activity</w:t>
            </w:r>
          </w:p>
        </w:tc>
        <w:tc>
          <w:tcPr>
            <w:tcW w:w="6005" w:type="dxa"/>
            <w:gridSpan w:val="6"/>
            <w:tcBorders>
              <w:top w:val="single" w:sz="4" w:space="0" w:color="auto"/>
              <w:left w:val="nil"/>
              <w:bottom w:val="single" w:sz="4" w:space="0" w:color="auto"/>
              <w:right w:val="single" w:sz="4" w:space="0" w:color="auto"/>
            </w:tcBorders>
            <w:shd w:val="clear" w:color="000000" w:fill="A6A6A6"/>
            <w:noWrap/>
            <w:vAlign w:val="bottom"/>
            <w:hideMark/>
          </w:tcPr>
          <w:p w14:paraId="6B1AE581" w14:textId="06D0FEAC" w:rsidR="006620DC" w:rsidRDefault="006620DC">
            <w:pPr>
              <w:jc w:val="center"/>
              <w:rPr>
                <w:b/>
                <w:bCs/>
                <w:color w:val="000000"/>
                <w:sz w:val="18"/>
                <w:szCs w:val="18"/>
              </w:rPr>
            </w:pPr>
            <w:r>
              <w:rPr>
                <w:b/>
                <w:bCs/>
                <w:color w:val="000000"/>
                <w:sz w:val="18"/>
                <w:szCs w:val="18"/>
              </w:rPr>
              <w:t>Hours and Costs Per Respondent Per Activity</w:t>
            </w:r>
          </w:p>
        </w:tc>
        <w:tc>
          <w:tcPr>
            <w:tcW w:w="4675"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01E37D01" w14:textId="49762384" w:rsidR="006620DC" w:rsidRDefault="006620DC">
            <w:pPr>
              <w:jc w:val="center"/>
              <w:rPr>
                <w:b/>
                <w:bCs/>
                <w:color w:val="000000"/>
                <w:sz w:val="18"/>
                <w:szCs w:val="18"/>
              </w:rPr>
            </w:pPr>
            <w:r>
              <w:rPr>
                <w:b/>
                <w:bCs/>
                <w:color w:val="000000"/>
                <w:sz w:val="18"/>
                <w:szCs w:val="18"/>
              </w:rPr>
              <w:t>Total Hours and Cost</w:t>
            </w:r>
          </w:p>
        </w:tc>
      </w:tr>
      <w:tr w:rsidR="006620DC" w14:paraId="7D67048C" w14:textId="77777777" w:rsidTr="00B675D3">
        <w:trPr>
          <w:trHeight w:val="495"/>
          <w:tblHeader/>
        </w:trPr>
        <w:tc>
          <w:tcPr>
            <w:tcW w:w="3922" w:type="dxa"/>
            <w:vMerge/>
            <w:tcBorders>
              <w:top w:val="nil"/>
              <w:left w:val="single" w:sz="4" w:space="0" w:color="auto"/>
              <w:bottom w:val="single" w:sz="4" w:space="0" w:color="auto"/>
              <w:right w:val="single" w:sz="4" w:space="0" w:color="auto"/>
            </w:tcBorders>
            <w:vAlign w:val="center"/>
            <w:hideMark/>
          </w:tcPr>
          <w:p w14:paraId="07E01033" w14:textId="77777777" w:rsidR="006620DC" w:rsidRDefault="006620DC">
            <w:pPr>
              <w:rPr>
                <w:b/>
                <w:bCs/>
                <w:color w:val="000000"/>
                <w:sz w:val="18"/>
                <w:szCs w:val="18"/>
              </w:rPr>
            </w:pPr>
          </w:p>
        </w:tc>
        <w:tc>
          <w:tcPr>
            <w:tcW w:w="986" w:type="dxa"/>
            <w:tcBorders>
              <w:top w:val="nil"/>
              <w:left w:val="nil"/>
              <w:bottom w:val="single" w:sz="4" w:space="0" w:color="auto"/>
              <w:right w:val="single" w:sz="4" w:space="0" w:color="auto"/>
            </w:tcBorders>
            <w:shd w:val="clear" w:color="000000" w:fill="A6A6A6"/>
            <w:vAlign w:val="bottom"/>
            <w:hideMark/>
          </w:tcPr>
          <w:p w14:paraId="39DA242F" w14:textId="77777777" w:rsidR="006620DC" w:rsidRDefault="006620DC">
            <w:pPr>
              <w:jc w:val="center"/>
              <w:rPr>
                <w:b/>
                <w:bCs/>
                <w:color w:val="000000"/>
                <w:sz w:val="18"/>
                <w:szCs w:val="18"/>
              </w:rPr>
            </w:pPr>
            <w:r>
              <w:rPr>
                <w:b/>
                <w:bCs/>
                <w:color w:val="000000"/>
                <w:sz w:val="18"/>
                <w:szCs w:val="18"/>
              </w:rPr>
              <w:t>Legal</w:t>
            </w:r>
            <w:r>
              <w:rPr>
                <w:b/>
                <w:bCs/>
                <w:color w:val="000000"/>
                <w:sz w:val="18"/>
                <w:szCs w:val="18"/>
              </w:rPr>
              <w:br/>
              <w:t>$160.74</w:t>
            </w:r>
          </w:p>
        </w:tc>
        <w:tc>
          <w:tcPr>
            <w:tcW w:w="1109" w:type="dxa"/>
            <w:tcBorders>
              <w:top w:val="nil"/>
              <w:left w:val="nil"/>
              <w:bottom w:val="single" w:sz="4" w:space="0" w:color="auto"/>
              <w:right w:val="single" w:sz="4" w:space="0" w:color="auto"/>
            </w:tcBorders>
            <w:shd w:val="clear" w:color="000000" w:fill="A6A6A6"/>
            <w:vAlign w:val="bottom"/>
            <w:hideMark/>
          </w:tcPr>
          <w:p w14:paraId="00AAE6A3" w14:textId="77777777" w:rsidR="006620DC" w:rsidRDefault="006620DC">
            <w:pPr>
              <w:jc w:val="center"/>
              <w:rPr>
                <w:b/>
                <w:bCs/>
                <w:color w:val="000000"/>
                <w:sz w:val="18"/>
                <w:szCs w:val="18"/>
              </w:rPr>
            </w:pPr>
            <w:r>
              <w:rPr>
                <w:b/>
                <w:bCs/>
                <w:color w:val="000000"/>
                <w:sz w:val="18"/>
                <w:szCs w:val="18"/>
              </w:rPr>
              <w:t>Managerial</w:t>
            </w:r>
            <w:r>
              <w:rPr>
                <w:b/>
                <w:bCs/>
                <w:color w:val="000000"/>
                <w:sz w:val="18"/>
                <w:szCs w:val="18"/>
              </w:rPr>
              <w:br/>
              <w:t>$113.78</w:t>
            </w:r>
          </w:p>
        </w:tc>
        <w:tc>
          <w:tcPr>
            <w:tcW w:w="966" w:type="dxa"/>
            <w:tcBorders>
              <w:top w:val="nil"/>
              <w:left w:val="nil"/>
              <w:bottom w:val="single" w:sz="4" w:space="0" w:color="auto"/>
              <w:right w:val="single" w:sz="4" w:space="0" w:color="auto"/>
            </w:tcBorders>
            <w:shd w:val="clear" w:color="000000" w:fill="A6A6A6"/>
            <w:vAlign w:val="bottom"/>
            <w:hideMark/>
          </w:tcPr>
          <w:p w14:paraId="375E9A3C" w14:textId="77777777" w:rsidR="006620DC" w:rsidRDefault="006620DC">
            <w:pPr>
              <w:jc w:val="center"/>
              <w:rPr>
                <w:b/>
                <w:bCs/>
                <w:color w:val="000000"/>
                <w:sz w:val="18"/>
                <w:szCs w:val="18"/>
              </w:rPr>
            </w:pPr>
            <w:r>
              <w:rPr>
                <w:b/>
                <w:bCs/>
                <w:color w:val="000000"/>
                <w:sz w:val="18"/>
                <w:szCs w:val="18"/>
              </w:rPr>
              <w:t>Technical</w:t>
            </w:r>
            <w:r>
              <w:rPr>
                <w:b/>
                <w:bCs/>
                <w:color w:val="000000"/>
                <w:sz w:val="18"/>
                <w:szCs w:val="18"/>
              </w:rPr>
              <w:br/>
              <w:t>$49.22</w:t>
            </w:r>
          </w:p>
        </w:tc>
        <w:tc>
          <w:tcPr>
            <w:tcW w:w="792" w:type="dxa"/>
            <w:tcBorders>
              <w:top w:val="nil"/>
              <w:left w:val="nil"/>
              <w:bottom w:val="single" w:sz="4" w:space="0" w:color="auto"/>
              <w:right w:val="single" w:sz="4" w:space="0" w:color="auto"/>
            </w:tcBorders>
            <w:shd w:val="clear" w:color="000000" w:fill="A6A6A6"/>
            <w:vAlign w:val="bottom"/>
            <w:hideMark/>
          </w:tcPr>
          <w:p w14:paraId="434FD148" w14:textId="77777777" w:rsidR="006620DC" w:rsidRDefault="006620DC">
            <w:pPr>
              <w:jc w:val="center"/>
              <w:rPr>
                <w:b/>
                <w:bCs/>
                <w:color w:val="000000"/>
                <w:sz w:val="18"/>
                <w:szCs w:val="18"/>
              </w:rPr>
            </w:pPr>
            <w:r>
              <w:rPr>
                <w:b/>
                <w:bCs/>
                <w:color w:val="000000"/>
                <w:sz w:val="18"/>
                <w:szCs w:val="18"/>
              </w:rPr>
              <w:t>Admin</w:t>
            </w:r>
            <w:r w:rsidR="009F072E">
              <w:rPr>
                <w:b/>
                <w:bCs/>
                <w:color w:val="000000"/>
                <w:sz w:val="18"/>
                <w:szCs w:val="18"/>
              </w:rPr>
              <w:t>.</w:t>
            </w:r>
            <w:r>
              <w:rPr>
                <w:b/>
                <w:bCs/>
                <w:color w:val="000000"/>
                <w:sz w:val="18"/>
                <w:szCs w:val="18"/>
              </w:rPr>
              <w:br/>
              <w:t>$37.11</w:t>
            </w:r>
          </w:p>
        </w:tc>
        <w:tc>
          <w:tcPr>
            <w:tcW w:w="1216" w:type="dxa"/>
            <w:tcBorders>
              <w:top w:val="nil"/>
              <w:left w:val="nil"/>
              <w:bottom w:val="single" w:sz="4" w:space="0" w:color="auto"/>
              <w:right w:val="single" w:sz="4" w:space="0" w:color="auto"/>
            </w:tcBorders>
            <w:shd w:val="clear" w:color="000000" w:fill="A6A6A6"/>
            <w:vAlign w:val="bottom"/>
            <w:hideMark/>
          </w:tcPr>
          <w:p w14:paraId="681C8228" w14:textId="77777777" w:rsidR="006620DC" w:rsidRDefault="006620DC">
            <w:pPr>
              <w:jc w:val="center"/>
              <w:rPr>
                <w:b/>
                <w:bCs/>
                <w:color w:val="000000"/>
                <w:sz w:val="18"/>
                <w:szCs w:val="18"/>
              </w:rPr>
            </w:pPr>
            <w:r>
              <w:rPr>
                <w:b/>
                <w:bCs/>
                <w:color w:val="000000"/>
                <w:sz w:val="18"/>
                <w:szCs w:val="18"/>
              </w:rPr>
              <w:t>Programmer</w:t>
            </w:r>
            <w:r>
              <w:rPr>
                <w:b/>
                <w:bCs/>
                <w:color w:val="000000"/>
                <w:sz w:val="18"/>
                <w:szCs w:val="18"/>
              </w:rPr>
              <w:br/>
              <w:t>$95.72</w:t>
            </w:r>
          </w:p>
        </w:tc>
        <w:tc>
          <w:tcPr>
            <w:tcW w:w="936" w:type="dxa"/>
            <w:tcBorders>
              <w:top w:val="nil"/>
              <w:left w:val="nil"/>
              <w:bottom w:val="single" w:sz="4" w:space="0" w:color="auto"/>
              <w:right w:val="single" w:sz="4" w:space="0" w:color="auto"/>
            </w:tcBorders>
            <w:shd w:val="clear" w:color="000000" w:fill="A6A6A6"/>
            <w:vAlign w:val="bottom"/>
            <w:hideMark/>
          </w:tcPr>
          <w:p w14:paraId="28BA31EB" w14:textId="77777777" w:rsidR="006620DC" w:rsidRDefault="006620DC">
            <w:pPr>
              <w:jc w:val="center"/>
              <w:rPr>
                <w:b/>
                <w:bCs/>
                <w:color w:val="000000"/>
                <w:sz w:val="18"/>
                <w:szCs w:val="18"/>
              </w:rPr>
            </w:pPr>
            <w:r>
              <w:rPr>
                <w:b/>
                <w:bCs/>
                <w:color w:val="000000"/>
                <w:sz w:val="18"/>
                <w:szCs w:val="18"/>
              </w:rPr>
              <w:t>O&amp;M Cost (2017$)</w:t>
            </w:r>
          </w:p>
        </w:tc>
        <w:tc>
          <w:tcPr>
            <w:tcW w:w="856" w:type="dxa"/>
            <w:tcBorders>
              <w:top w:val="nil"/>
              <w:left w:val="nil"/>
              <w:bottom w:val="single" w:sz="4" w:space="0" w:color="auto"/>
              <w:right w:val="single" w:sz="4" w:space="0" w:color="auto"/>
            </w:tcBorders>
            <w:shd w:val="clear" w:color="000000" w:fill="A6A6A6"/>
            <w:vAlign w:val="bottom"/>
            <w:hideMark/>
          </w:tcPr>
          <w:p w14:paraId="0A19C1BE" w14:textId="77777777" w:rsidR="006620DC" w:rsidRDefault="006620DC">
            <w:pPr>
              <w:jc w:val="center"/>
              <w:rPr>
                <w:b/>
                <w:bCs/>
                <w:color w:val="000000"/>
                <w:sz w:val="18"/>
                <w:szCs w:val="18"/>
              </w:rPr>
            </w:pPr>
            <w:r>
              <w:rPr>
                <w:b/>
                <w:bCs/>
                <w:color w:val="000000"/>
                <w:sz w:val="18"/>
                <w:szCs w:val="18"/>
              </w:rPr>
              <w:t>Number of Resp.</w:t>
            </w:r>
          </w:p>
        </w:tc>
        <w:tc>
          <w:tcPr>
            <w:tcW w:w="1236" w:type="dxa"/>
            <w:tcBorders>
              <w:top w:val="nil"/>
              <w:left w:val="nil"/>
              <w:bottom w:val="single" w:sz="4" w:space="0" w:color="auto"/>
              <w:right w:val="single" w:sz="4" w:space="0" w:color="auto"/>
            </w:tcBorders>
            <w:shd w:val="clear" w:color="000000" w:fill="A6A6A6"/>
            <w:vAlign w:val="bottom"/>
            <w:hideMark/>
          </w:tcPr>
          <w:p w14:paraId="192A4070" w14:textId="77777777" w:rsidR="006620DC" w:rsidRDefault="006620DC">
            <w:pPr>
              <w:jc w:val="center"/>
              <w:rPr>
                <w:b/>
                <w:bCs/>
                <w:color w:val="000000"/>
                <w:sz w:val="18"/>
                <w:szCs w:val="18"/>
              </w:rPr>
            </w:pPr>
            <w:r>
              <w:rPr>
                <w:b/>
                <w:bCs/>
                <w:color w:val="000000"/>
                <w:sz w:val="18"/>
                <w:szCs w:val="18"/>
              </w:rPr>
              <w:t>Total Hours</w:t>
            </w:r>
          </w:p>
        </w:tc>
        <w:tc>
          <w:tcPr>
            <w:tcW w:w="891" w:type="dxa"/>
            <w:tcBorders>
              <w:top w:val="nil"/>
              <w:left w:val="nil"/>
              <w:bottom w:val="single" w:sz="4" w:space="0" w:color="auto"/>
              <w:right w:val="single" w:sz="4" w:space="0" w:color="auto"/>
            </w:tcBorders>
            <w:shd w:val="clear" w:color="000000" w:fill="A6A6A6"/>
            <w:vAlign w:val="bottom"/>
            <w:hideMark/>
          </w:tcPr>
          <w:p w14:paraId="04F6B4D3" w14:textId="77777777" w:rsidR="006620DC" w:rsidRDefault="006620DC">
            <w:pPr>
              <w:jc w:val="center"/>
              <w:rPr>
                <w:b/>
                <w:bCs/>
                <w:color w:val="000000"/>
                <w:sz w:val="18"/>
                <w:szCs w:val="18"/>
              </w:rPr>
            </w:pPr>
            <w:r>
              <w:rPr>
                <w:b/>
                <w:bCs/>
                <w:color w:val="000000"/>
                <w:sz w:val="18"/>
                <w:szCs w:val="18"/>
              </w:rPr>
              <w:t>Total Labor Costs</w:t>
            </w:r>
          </w:p>
        </w:tc>
        <w:tc>
          <w:tcPr>
            <w:tcW w:w="801" w:type="dxa"/>
            <w:tcBorders>
              <w:top w:val="nil"/>
              <w:left w:val="nil"/>
              <w:bottom w:val="single" w:sz="4" w:space="0" w:color="auto"/>
              <w:right w:val="single" w:sz="4" w:space="0" w:color="auto"/>
            </w:tcBorders>
            <w:shd w:val="clear" w:color="000000" w:fill="A6A6A6"/>
            <w:vAlign w:val="bottom"/>
            <w:hideMark/>
          </w:tcPr>
          <w:p w14:paraId="0783B59B" w14:textId="77777777" w:rsidR="006620DC" w:rsidRDefault="006620DC">
            <w:pPr>
              <w:jc w:val="center"/>
              <w:rPr>
                <w:b/>
                <w:bCs/>
                <w:color w:val="000000"/>
                <w:sz w:val="18"/>
                <w:szCs w:val="18"/>
              </w:rPr>
            </w:pPr>
            <w:r>
              <w:rPr>
                <w:b/>
                <w:bCs/>
                <w:color w:val="000000"/>
                <w:sz w:val="18"/>
                <w:szCs w:val="18"/>
              </w:rPr>
              <w:t>Total O&amp;M Costs</w:t>
            </w:r>
          </w:p>
        </w:tc>
        <w:tc>
          <w:tcPr>
            <w:tcW w:w="891" w:type="dxa"/>
            <w:tcBorders>
              <w:top w:val="nil"/>
              <w:left w:val="nil"/>
              <w:bottom w:val="single" w:sz="4" w:space="0" w:color="auto"/>
              <w:right w:val="single" w:sz="4" w:space="0" w:color="auto"/>
            </w:tcBorders>
            <w:shd w:val="clear" w:color="000000" w:fill="A6A6A6"/>
            <w:vAlign w:val="bottom"/>
            <w:hideMark/>
          </w:tcPr>
          <w:p w14:paraId="62DAC290" w14:textId="77777777" w:rsidR="006620DC" w:rsidRDefault="006620DC">
            <w:pPr>
              <w:jc w:val="center"/>
              <w:rPr>
                <w:b/>
                <w:bCs/>
                <w:color w:val="000000"/>
                <w:sz w:val="18"/>
                <w:szCs w:val="18"/>
              </w:rPr>
            </w:pPr>
            <w:r>
              <w:rPr>
                <w:b/>
                <w:bCs/>
                <w:color w:val="000000"/>
                <w:sz w:val="18"/>
                <w:szCs w:val="18"/>
              </w:rPr>
              <w:t>Total Cost</w:t>
            </w:r>
          </w:p>
        </w:tc>
      </w:tr>
      <w:tr w:rsidR="006620DC" w14:paraId="29BC9D9B" w14:textId="77777777" w:rsidTr="00B675D3">
        <w:trPr>
          <w:trHeight w:val="300"/>
        </w:trPr>
        <w:tc>
          <w:tcPr>
            <w:tcW w:w="3922" w:type="dxa"/>
            <w:tcBorders>
              <w:top w:val="nil"/>
              <w:left w:val="single" w:sz="4" w:space="0" w:color="auto"/>
              <w:bottom w:val="single" w:sz="4" w:space="0" w:color="auto"/>
              <w:right w:val="nil"/>
            </w:tcBorders>
            <w:shd w:val="clear" w:color="000000" w:fill="BFBFBF"/>
            <w:noWrap/>
            <w:vAlign w:val="bottom"/>
            <w:hideMark/>
          </w:tcPr>
          <w:p w14:paraId="6C1A8A62" w14:textId="77777777" w:rsidR="006620DC" w:rsidRDefault="006620DC">
            <w:pPr>
              <w:rPr>
                <w:b/>
                <w:bCs/>
                <w:color w:val="000000"/>
                <w:sz w:val="18"/>
                <w:szCs w:val="18"/>
              </w:rPr>
            </w:pPr>
            <w:r>
              <w:rPr>
                <w:b/>
                <w:bCs/>
                <w:color w:val="000000"/>
                <w:sz w:val="18"/>
                <w:szCs w:val="18"/>
              </w:rPr>
              <w:t>ANNUAL COSTS</w:t>
            </w:r>
          </w:p>
        </w:tc>
        <w:tc>
          <w:tcPr>
            <w:tcW w:w="986" w:type="dxa"/>
            <w:tcBorders>
              <w:top w:val="nil"/>
              <w:left w:val="nil"/>
              <w:bottom w:val="single" w:sz="4" w:space="0" w:color="auto"/>
              <w:right w:val="nil"/>
            </w:tcBorders>
            <w:shd w:val="clear" w:color="000000" w:fill="BFBFBF"/>
            <w:noWrap/>
            <w:vAlign w:val="bottom"/>
            <w:hideMark/>
          </w:tcPr>
          <w:p w14:paraId="513BD195"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BFBFBF"/>
            <w:noWrap/>
            <w:vAlign w:val="bottom"/>
            <w:hideMark/>
          </w:tcPr>
          <w:p w14:paraId="7EE414F8"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0F05781D"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5FDDBA7D"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584831F6"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BFBFBF"/>
            <w:noWrap/>
            <w:vAlign w:val="bottom"/>
            <w:hideMark/>
          </w:tcPr>
          <w:p w14:paraId="64B1A16D"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BFBFBF"/>
            <w:noWrap/>
            <w:vAlign w:val="bottom"/>
            <w:hideMark/>
          </w:tcPr>
          <w:p w14:paraId="0D8AC47E"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1FA0CCD9"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BFBFBF"/>
            <w:noWrap/>
            <w:vAlign w:val="bottom"/>
            <w:hideMark/>
          </w:tcPr>
          <w:p w14:paraId="76DF67B6"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BFBFBF"/>
            <w:noWrap/>
            <w:vAlign w:val="bottom"/>
            <w:hideMark/>
          </w:tcPr>
          <w:p w14:paraId="739AAADF"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BFBFBF"/>
            <w:noWrap/>
            <w:vAlign w:val="bottom"/>
            <w:hideMark/>
          </w:tcPr>
          <w:p w14:paraId="0F9A33A9" w14:textId="77777777" w:rsidR="006620DC" w:rsidRDefault="006620DC">
            <w:pPr>
              <w:jc w:val="right"/>
              <w:rPr>
                <w:b/>
                <w:bCs/>
                <w:color w:val="000000"/>
                <w:sz w:val="18"/>
                <w:szCs w:val="18"/>
              </w:rPr>
            </w:pPr>
            <w:r>
              <w:rPr>
                <w:b/>
                <w:bCs/>
                <w:color w:val="000000"/>
                <w:sz w:val="18"/>
                <w:szCs w:val="18"/>
              </w:rPr>
              <w:t> </w:t>
            </w:r>
          </w:p>
        </w:tc>
      </w:tr>
      <w:tr w:rsidR="006620DC" w14:paraId="1950E383" w14:textId="77777777" w:rsidTr="00B675D3">
        <w:trPr>
          <w:trHeight w:val="300"/>
        </w:trPr>
        <w:tc>
          <w:tcPr>
            <w:tcW w:w="3922" w:type="dxa"/>
            <w:tcBorders>
              <w:top w:val="nil"/>
              <w:left w:val="single" w:sz="4" w:space="0" w:color="auto"/>
              <w:bottom w:val="single" w:sz="4" w:space="0" w:color="auto"/>
              <w:right w:val="nil"/>
            </w:tcBorders>
            <w:shd w:val="clear" w:color="000000" w:fill="D9D9D9"/>
            <w:vAlign w:val="center"/>
            <w:hideMark/>
          </w:tcPr>
          <w:p w14:paraId="13A8518E" w14:textId="77777777" w:rsidR="006620DC" w:rsidRDefault="006620DC">
            <w:pPr>
              <w:rPr>
                <w:b/>
                <w:bCs/>
                <w:color w:val="000000"/>
                <w:sz w:val="18"/>
                <w:szCs w:val="18"/>
              </w:rPr>
            </w:pPr>
            <w:r>
              <w:rPr>
                <w:b/>
                <w:bCs/>
                <w:color w:val="000000"/>
                <w:sz w:val="18"/>
                <w:szCs w:val="18"/>
              </w:rPr>
              <w:t>Rule Familiarization</w:t>
            </w:r>
          </w:p>
        </w:tc>
        <w:tc>
          <w:tcPr>
            <w:tcW w:w="986" w:type="dxa"/>
            <w:tcBorders>
              <w:top w:val="nil"/>
              <w:left w:val="nil"/>
              <w:bottom w:val="single" w:sz="4" w:space="0" w:color="auto"/>
              <w:right w:val="nil"/>
            </w:tcBorders>
            <w:shd w:val="clear" w:color="000000" w:fill="D9D9D9"/>
            <w:vAlign w:val="center"/>
            <w:hideMark/>
          </w:tcPr>
          <w:p w14:paraId="3B4D65AA"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vAlign w:val="center"/>
            <w:hideMark/>
          </w:tcPr>
          <w:p w14:paraId="234203A0"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3691D4F0"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13A2BD6D"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6549C7F3"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vAlign w:val="center"/>
            <w:hideMark/>
          </w:tcPr>
          <w:p w14:paraId="5A88AECF"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vAlign w:val="center"/>
            <w:hideMark/>
          </w:tcPr>
          <w:p w14:paraId="48A72CDD"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5071092E"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vAlign w:val="center"/>
            <w:hideMark/>
          </w:tcPr>
          <w:p w14:paraId="1B79FCF5"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vAlign w:val="center"/>
            <w:hideMark/>
          </w:tcPr>
          <w:p w14:paraId="31EA1547"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vAlign w:val="center"/>
            <w:hideMark/>
          </w:tcPr>
          <w:p w14:paraId="7C3F0933" w14:textId="77777777" w:rsidR="006620DC" w:rsidRDefault="006620DC">
            <w:pPr>
              <w:jc w:val="right"/>
              <w:rPr>
                <w:b/>
                <w:bCs/>
                <w:color w:val="000000"/>
                <w:sz w:val="18"/>
                <w:szCs w:val="18"/>
              </w:rPr>
            </w:pPr>
            <w:r>
              <w:rPr>
                <w:b/>
                <w:bCs/>
                <w:color w:val="000000"/>
                <w:sz w:val="18"/>
                <w:szCs w:val="18"/>
              </w:rPr>
              <w:t> </w:t>
            </w:r>
          </w:p>
        </w:tc>
      </w:tr>
      <w:tr w:rsidR="00EA792F" w14:paraId="57F2DC14" w14:textId="77777777" w:rsidTr="00B675D3">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4F34E757" w14:textId="77777777" w:rsidR="00EA792F" w:rsidRDefault="00EA792F">
            <w:pPr>
              <w:rPr>
                <w:color w:val="000000"/>
                <w:sz w:val="18"/>
                <w:szCs w:val="18"/>
              </w:rPr>
            </w:pPr>
            <w:r>
              <w:rPr>
                <w:color w:val="000000"/>
                <w:sz w:val="18"/>
                <w:szCs w:val="18"/>
              </w:rPr>
              <w:t>Familiarization with proposed rule without legal counsel</w:t>
            </w:r>
          </w:p>
        </w:tc>
        <w:tc>
          <w:tcPr>
            <w:tcW w:w="986" w:type="dxa"/>
            <w:tcBorders>
              <w:top w:val="nil"/>
              <w:left w:val="nil"/>
              <w:bottom w:val="single" w:sz="4" w:space="0" w:color="auto"/>
              <w:right w:val="single" w:sz="4" w:space="0" w:color="auto"/>
            </w:tcBorders>
            <w:shd w:val="clear" w:color="auto" w:fill="auto"/>
            <w:noWrap/>
            <w:vAlign w:val="bottom"/>
          </w:tcPr>
          <w:p w14:paraId="3B9BCAC6" w14:textId="129D1CA5" w:rsidR="00EA792F" w:rsidRDefault="00EA792F">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tcPr>
          <w:p w14:paraId="62BEE36C" w14:textId="30608F01" w:rsidR="00EA792F" w:rsidRDefault="00EA792F">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tcPr>
          <w:p w14:paraId="502789BD" w14:textId="035AE186" w:rsidR="00EA792F" w:rsidRDefault="00EA792F">
            <w:pPr>
              <w:jc w:val="right"/>
              <w:rPr>
                <w:color w:val="000000"/>
                <w:sz w:val="18"/>
                <w:szCs w:val="18"/>
              </w:rPr>
            </w:pPr>
            <w:r>
              <w:rPr>
                <w:color w:val="000000"/>
                <w:sz w:val="18"/>
                <w:szCs w:val="18"/>
              </w:rPr>
              <w:t>1.50</w:t>
            </w:r>
          </w:p>
        </w:tc>
        <w:tc>
          <w:tcPr>
            <w:tcW w:w="792" w:type="dxa"/>
            <w:tcBorders>
              <w:top w:val="nil"/>
              <w:left w:val="nil"/>
              <w:bottom w:val="single" w:sz="4" w:space="0" w:color="auto"/>
              <w:right w:val="single" w:sz="4" w:space="0" w:color="auto"/>
            </w:tcBorders>
            <w:shd w:val="clear" w:color="auto" w:fill="auto"/>
            <w:noWrap/>
            <w:vAlign w:val="bottom"/>
          </w:tcPr>
          <w:p w14:paraId="17DBF9E5" w14:textId="508A8215" w:rsidR="00EA792F" w:rsidRDefault="00EA792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tcPr>
          <w:p w14:paraId="6D0E7EAF" w14:textId="6CAD4681" w:rsidR="00EA792F" w:rsidRDefault="00EA792F">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tcPr>
          <w:p w14:paraId="601EFE20" w14:textId="4E76ABC3" w:rsidR="00EA792F" w:rsidRDefault="00EA792F">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tcPr>
          <w:p w14:paraId="200809E3" w14:textId="39A83D12" w:rsidR="00EA792F" w:rsidRDefault="00EA792F">
            <w:pPr>
              <w:jc w:val="right"/>
              <w:rPr>
                <w:color w:val="000000"/>
                <w:sz w:val="18"/>
                <w:szCs w:val="18"/>
              </w:rPr>
            </w:pPr>
            <w:r>
              <w:rPr>
                <w:color w:val="000000"/>
                <w:sz w:val="18"/>
                <w:szCs w:val="18"/>
              </w:rPr>
              <w:t>16</w:t>
            </w:r>
          </w:p>
        </w:tc>
        <w:tc>
          <w:tcPr>
            <w:tcW w:w="1236" w:type="dxa"/>
            <w:tcBorders>
              <w:top w:val="nil"/>
              <w:left w:val="nil"/>
              <w:bottom w:val="single" w:sz="4" w:space="0" w:color="auto"/>
              <w:right w:val="single" w:sz="4" w:space="0" w:color="auto"/>
            </w:tcBorders>
            <w:shd w:val="clear" w:color="auto" w:fill="auto"/>
            <w:noWrap/>
            <w:vAlign w:val="bottom"/>
          </w:tcPr>
          <w:p w14:paraId="6F701165" w14:textId="063B9E3B" w:rsidR="00EA792F" w:rsidRDefault="00EA792F">
            <w:pPr>
              <w:jc w:val="right"/>
              <w:rPr>
                <w:color w:val="000000"/>
                <w:sz w:val="18"/>
                <w:szCs w:val="18"/>
              </w:rPr>
            </w:pPr>
            <w:r>
              <w:rPr>
                <w:color w:val="000000"/>
                <w:sz w:val="18"/>
                <w:szCs w:val="18"/>
              </w:rPr>
              <w:t xml:space="preserve">                  40 </w:t>
            </w:r>
          </w:p>
        </w:tc>
        <w:tc>
          <w:tcPr>
            <w:tcW w:w="891" w:type="dxa"/>
            <w:tcBorders>
              <w:top w:val="nil"/>
              <w:left w:val="nil"/>
              <w:bottom w:val="single" w:sz="4" w:space="0" w:color="auto"/>
              <w:right w:val="single" w:sz="4" w:space="0" w:color="auto"/>
            </w:tcBorders>
            <w:shd w:val="clear" w:color="auto" w:fill="auto"/>
            <w:noWrap/>
            <w:vAlign w:val="bottom"/>
          </w:tcPr>
          <w:p w14:paraId="395837EB" w14:textId="3831E3DF" w:rsidR="00EA792F" w:rsidRDefault="00EA792F">
            <w:pPr>
              <w:jc w:val="right"/>
              <w:rPr>
                <w:color w:val="000000"/>
                <w:sz w:val="18"/>
                <w:szCs w:val="18"/>
              </w:rPr>
            </w:pPr>
            <w:r>
              <w:rPr>
                <w:color w:val="000000"/>
                <w:sz w:val="18"/>
                <w:szCs w:val="18"/>
              </w:rPr>
              <w:t>$210</w:t>
            </w:r>
          </w:p>
        </w:tc>
        <w:tc>
          <w:tcPr>
            <w:tcW w:w="801" w:type="dxa"/>
            <w:tcBorders>
              <w:top w:val="nil"/>
              <w:left w:val="nil"/>
              <w:bottom w:val="single" w:sz="4" w:space="0" w:color="auto"/>
              <w:right w:val="single" w:sz="4" w:space="0" w:color="auto"/>
            </w:tcBorders>
            <w:shd w:val="clear" w:color="auto" w:fill="auto"/>
            <w:noWrap/>
            <w:vAlign w:val="bottom"/>
          </w:tcPr>
          <w:p w14:paraId="0865FF53" w14:textId="6CFFC2D1" w:rsidR="00EA792F" w:rsidRDefault="00EA792F">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tcPr>
          <w:p w14:paraId="4C00DB88" w14:textId="2AE1BFD7" w:rsidR="00EA792F" w:rsidRDefault="00EA792F">
            <w:pPr>
              <w:jc w:val="right"/>
              <w:rPr>
                <w:color w:val="000000"/>
                <w:sz w:val="18"/>
                <w:szCs w:val="18"/>
              </w:rPr>
            </w:pPr>
            <w:r>
              <w:rPr>
                <w:color w:val="000000"/>
                <w:sz w:val="18"/>
                <w:szCs w:val="18"/>
              </w:rPr>
              <w:t>$210</w:t>
            </w:r>
          </w:p>
        </w:tc>
      </w:tr>
      <w:tr w:rsidR="00EA792F" w14:paraId="28FF9198" w14:textId="77777777" w:rsidTr="00B675D3">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1AF1C5C8" w14:textId="77777777" w:rsidR="00EA792F" w:rsidRDefault="00EA792F">
            <w:pPr>
              <w:rPr>
                <w:color w:val="000000"/>
                <w:sz w:val="18"/>
                <w:szCs w:val="18"/>
              </w:rPr>
            </w:pPr>
            <w:r>
              <w:rPr>
                <w:color w:val="000000"/>
                <w:sz w:val="18"/>
                <w:szCs w:val="18"/>
              </w:rPr>
              <w:t>Familiarization with proposed rule with legal counsel</w:t>
            </w:r>
          </w:p>
        </w:tc>
        <w:tc>
          <w:tcPr>
            <w:tcW w:w="986" w:type="dxa"/>
            <w:tcBorders>
              <w:top w:val="nil"/>
              <w:left w:val="nil"/>
              <w:bottom w:val="single" w:sz="4" w:space="0" w:color="auto"/>
              <w:right w:val="single" w:sz="4" w:space="0" w:color="auto"/>
            </w:tcBorders>
            <w:shd w:val="clear" w:color="auto" w:fill="auto"/>
            <w:noWrap/>
            <w:vAlign w:val="bottom"/>
          </w:tcPr>
          <w:p w14:paraId="483D4D51" w14:textId="318974F2" w:rsidR="00EA792F" w:rsidRDefault="00EA792F">
            <w:pPr>
              <w:jc w:val="right"/>
              <w:rPr>
                <w:color w:val="000000"/>
                <w:sz w:val="18"/>
                <w:szCs w:val="18"/>
              </w:rPr>
            </w:pPr>
            <w:r>
              <w:rPr>
                <w:color w:val="000000"/>
                <w:sz w:val="18"/>
                <w:szCs w:val="18"/>
              </w:rPr>
              <w:t>0.50</w:t>
            </w:r>
          </w:p>
        </w:tc>
        <w:tc>
          <w:tcPr>
            <w:tcW w:w="1109" w:type="dxa"/>
            <w:tcBorders>
              <w:top w:val="nil"/>
              <w:left w:val="nil"/>
              <w:bottom w:val="single" w:sz="4" w:space="0" w:color="auto"/>
              <w:right w:val="single" w:sz="4" w:space="0" w:color="auto"/>
            </w:tcBorders>
            <w:shd w:val="clear" w:color="auto" w:fill="auto"/>
            <w:noWrap/>
            <w:vAlign w:val="bottom"/>
          </w:tcPr>
          <w:p w14:paraId="72CBF716" w14:textId="01583997" w:rsidR="00EA792F" w:rsidRDefault="00EA792F">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tcPr>
          <w:p w14:paraId="15D2FEF5" w14:textId="30A608E2" w:rsidR="00EA792F" w:rsidRDefault="00EA792F">
            <w:pPr>
              <w:jc w:val="right"/>
              <w:rPr>
                <w:color w:val="000000"/>
                <w:sz w:val="18"/>
                <w:szCs w:val="18"/>
              </w:rPr>
            </w:pPr>
            <w:r>
              <w:rPr>
                <w:color w:val="000000"/>
                <w:sz w:val="18"/>
                <w:szCs w:val="18"/>
              </w:rPr>
              <w:t>1.50</w:t>
            </w:r>
          </w:p>
        </w:tc>
        <w:tc>
          <w:tcPr>
            <w:tcW w:w="792" w:type="dxa"/>
            <w:tcBorders>
              <w:top w:val="nil"/>
              <w:left w:val="nil"/>
              <w:bottom w:val="single" w:sz="4" w:space="0" w:color="auto"/>
              <w:right w:val="single" w:sz="4" w:space="0" w:color="auto"/>
            </w:tcBorders>
            <w:shd w:val="clear" w:color="auto" w:fill="auto"/>
            <w:noWrap/>
            <w:vAlign w:val="bottom"/>
          </w:tcPr>
          <w:p w14:paraId="5A8BA923" w14:textId="6CAF9453" w:rsidR="00EA792F" w:rsidRDefault="00EA792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tcPr>
          <w:p w14:paraId="3AE47D08" w14:textId="26DA31C5" w:rsidR="00EA792F" w:rsidRDefault="00EA792F">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tcPr>
          <w:p w14:paraId="6A9D6329" w14:textId="1BB42D28" w:rsidR="00EA792F" w:rsidRDefault="00EA792F">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tcPr>
          <w:p w14:paraId="32F21222" w14:textId="6A352228" w:rsidR="00EA792F" w:rsidRDefault="00EA792F">
            <w:pPr>
              <w:jc w:val="right"/>
              <w:rPr>
                <w:color w:val="000000"/>
                <w:sz w:val="18"/>
                <w:szCs w:val="18"/>
              </w:rPr>
            </w:pPr>
            <w:r>
              <w:rPr>
                <w:color w:val="000000"/>
                <w:sz w:val="18"/>
                <w:szCs w:val="18"/>
              </w:rPr>
              <w:t>28</w:t>
            </w:r>
          </w:p>
        </w:tc>
        <w:tc>
          <w:tcPr>
            <w:tcW w:w="1236" w:type="dxa"/>
            <w:tcBorders>
              <w:top w:val="nil"/>
              <w:left w:val="nil"/>
              <w:bottom w:val="single" w:sz="4" w:space="0" w:color="auto"/>
              <w:right w:val="single" w:sz="4" w:space="0" w:color="auto"/>
            </w:tcBorders>
            <w:shd w:val="clear" w:color="auto" w:fill="auto"/>
            <w:noWrap/>
            <w:vAlign w:val="bottom"/>
          </w:tcPr>
          <w:p w14:paraId="0BAE6DF5" w14:textId="136C5571" w:rsidR="00EA792F" w:rsidRDefault="00EA792F">
            <w:pPr>
              <w:jc w:val="right"/>
              <w:rPr>
                <w:color w:val="000000"/>
                <w:sz w:val="18"/>
                <w:szCs w:val="18"/>
              </w:rPr>
            </w:pPr>
            <w:r>
              <w:rPr>
                <w:color w:val="000000"/>
                <w:sz w:val="18"/>
                <w:szCs w:val="18"/>
              </w:rPr>
              <w:t xml:space="preserve">                  84 </w:t>
            </w:r>
          </w:p>
        </w:tc>
        <w:tc>
          <w:tcPr>
            <w:tcW w:w="891" w:type="dxa"/>
            <w:tcBorders>
              <w:top w:val="nil"/>
              <w:left w:val="nil"/>
              <w:bottom w:val="single" w:sz="4" w:space="0" w:color="auto"/>
              <w:right w:val="single" w:sz="4" w:space="0" w:color="auto"/>
            </w:tcBorders>
            <w:shd w:val="clear" w:color="auto" w:fill="auto"/>
            <w:noWrap/>
            <w:vAlign w:val="bottom"/>
          </w:tcPr>
          <w:p w14:paraId="3DBD0E0C" w14:textId="3E167BA9" w:rsidR="00EA792F" w:rsidRDefault="00EA792F">
            <w:pPr>
              <w:jc w:val="right"/>
              <w:rPr>
                <w:color w:val="000000"/>
                <w:sz w:val="18"/>
                <w:szCs w:val="18"/>
              </w:rPr>
            </w:pPr>
            <w:r>
              <w:rPr>
                <w:color w:val="000000"/>
                <w:sz w:val="18"/>
                <w:szCs w:val="18"/>
              </w:rPr>
              <w:t>$525</w:t>
            </w:r>
          </w:p>
        </w:tc>
        <w:tc>
          <w:tcPr>
            <w:tcW w:w="801" w:type="dxa"/>
            <w:tcBorders>
              <w:top w:val="nil"/>
              <w:left w:val="nil"/>
              <w:bottom w:val="single" w:sz="4" w:space="0" w:color="auto"/>
              <w:right w:val="single" w:sz="4" w:space="0" w:color="auto"/>
            </w:tcBorders>
            <w:shd w:val="clear" w:color="auto" w:fill="auto"/>
            <w:noWrap/>
            <w:vAlign w:val="bottom"/>
          </w:tcPr>
          <w:p w14:paraId="18D0A520" w14:textId="7F92D14A" w:rsidR="00EA792F" w:rsidRDefault="00EA792F">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tcPr>
          <w:p w14:paraId="175B6A09" w14:textId="3E740E5A" w:rsidR="00EA792F" w:rsidRDefault="00EA792F">
            <w:pPr>
              <w:jc w:val="right"/>
              <w:rPr>
                <w:color w:val="000000"/>
                <w:sz w:val="18"/>
                <w:szCs w:val="18"/>
              </w:rPr>
            </w:pPr>
            <w:r>
              <w:rPr>
                <w:color w:val="000000"/>
                <w:sz w:val="18"/>
                <w:szCs w:val="18"/>
              </w:rPr>
              <w:t>$525</w:t>
            </w:r>
          </w:p>
        </w:tc>
      </w:tr>
      <w:tr w:rsidR="006620DC" w14:paraId="7F22D7BC" w14:textId="77777777" w:rsidTr="00B675D3">
        <w:trPr>
          <w:trHeight w:val="300"/>
        </w:trPr>
        <w:tc>
          <w:tcPr>
            <w:tcW w:w="3922" w:type="dxa"/>
            <w:tcBorders>
              <w:top w:val="nil"/>
              <w:left w:val="single" w:sz="4" w:space="0" w:color="auto"/>
              <w:bottom w:val="single" w:sz="4" w:space="0" w:color="auto"/>
              <w:right w:val="nil"/>
            </w:tcBorders>
            <w:shd w:val="clear" w:color="000000" w:fill="BFBFBF"/>
            <w:noWrap/>
            <w:vAlign w:val="bottom"/>
            <w:hideMark/>
          </w:tcPr>
          <w:p w14:paraId="6F814224" w14:textId="77777777" w:rsidR="006620DC" w:rsidRDefault="006620DC">
            <w:pPr>
              <w:rPr>
                <w:b/>
                <w:bCs/>
                <w:color w:val="000000"/>
                <w:sz w:val="18"/>
                <w:szCs w:val="18"/>
              </w:rPr>
            </w:pPr>
            <w:r>
              <w:rPr>
                <w:b/>
                <w:bCs/>
                <w:color w:val="000000"/>
                <w:sz w:val="18"/>
                <w:szCs w:val="18"/>
              </w:rPr>
              <w:t>VARIABLE COSTS</w:t>
            </w:r>
          </w:p>
        </w:tc>
        <w:tc>
          <w:tcPr>
            <w:tcW w:w="986" w:type="dxa"/>
            <w:tcBorders>
              <w:top w:val="nil"/>
              <w:left w:val="nil"/>
              <w:bottom w:val="single" w:sz="4" w:space="0" w:color="auto"/>
              <w:right w:val="nil"/>
            </w:tcBorders>
            <w:shd w:val="clear" w:color="000000" w:fill="BFBFBF"/>
            <w:noWrap/>
            <w:vAlign w:val="bottom"/>
            <w:hideMark/>
          </w:tcPr>
          <w:p w14:paraId="4CD35BAF"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BFBFBF"/>
            <w:noWrap/>
            <w:vAlign w:val="bottom"/>
            <w:hideMark/>
          </w:tcPr>
          <w:p w14:paraId="6371251C"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06A98987"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310DB82A"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765EFEF8"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BFBFBF"/>
            <w:noWrap/>
            <w:vAlign w:val="bottom"/>
            <w:hideMark/>
          </w:tcPr>
          <w:p w14:paraId="35685686"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BFBFBF"/>
            <w:noWrap/>
            <w:vAlign w:val="bottom"/>
            <w:hideMark/>
          </w:tcPr>
          <w:p w14:paraId="7ECC11D7"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75D56A06"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BFBFBF"/>
            <w:noWrap/>
            <w:vAlign w:val="bottom"/>
            <w:hideMark/>
          </w:tcPr>
          <w:p w14:paraId="17517160"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BFBFBF"/>
            <w:noWrap/>
            <w:vAlign w:val="bottom"/>
            <w:hideMark/>
          </w:tcPr>
          <w:p w14:paraId="2A7739D5"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BFBFBF"/>
            <w:noWrap/>
            <w:vAlign w:val="bottom"/>
            <w:hideMark/>
          </w:tcPr>
          <w:p w14:paraId="3AF25E92" w14:textId="77777777" w:rsidR="006620DC" w:rsidRDefault="006620DC">
            <w:pPr>
              <w:jc w:val="right"/>
              <w:rPr>
                <w:b/>
                <w:bCs/>
                <w:color w:val="000000"/>
                <w:sz w:val="18"/>
                <w:szCs w:val="18"/>
              </w:rPr>
            </w:pPr>
            <w:r>
              <w:rPr>
                <w:b/>
                <w:bCs/>
                <w:color w:val="000000"/>
                <w:sz w:val="18"/>
                <w:szCs w:val="18"/>
              </w:rPr>
              <w:t> </w:t>
            </w:r>
          </w:p>
        </w:tc>
      </w:tr>
      <w:tr w:rsidR="006620DC" w14:paraId="6CEFC0EC" w14:textId="77777777" w:rsidTr="00B675D3">
        <w:trPr>
          <w:trHeight w:val="300"/>
        </w:trPr>
        <w:tc>
          <w:tcPr>
            <w:tcW w:w="3922" w:type="dxa"/>
            <w:tcBorders>
              <w:top w:val="nil"/>
              <w:left w:val="single" w:sz="4" w:space="0" w:color="auto"/>
              <w:bottom w:val="single" w:sz="4" w:space="0" w:color="auto"/>
              <w:right w:val="nil"/>
            </w:tcBorders>
            <w:shd w:val="clear" w:color="000000" w:fill="D9D9D9"/>
            <w:noWrap/>
            <w:vAlign w:val="center"/>
            <w:hideMark/>
          </w:tcPr>
          <w:p w14:paraId="46E2DE0C" w14:textId="77777777" w:rsidR="006620DC" w:rsidRDefault="006620DC">
            <w:pPr>
              <w:rPr>
                <w:b/>
                <w:bCs/>
                <w:color w:val="000000"/>
                <w:sz w:val="18"/>
                <w:szCs w:val="18"/>
              </w:rPr>
            </w:pPr>
            <w:r>
              <w:rPr>
                <w:b/>
                <w:bCs/>
                <w:color w:val="000000"/>
                <w:sz w:val="18"/>
                <w:szCs w:val="18"/>
              </w:rPr>
              <w:t>Shipping Recordkeeping (per shipment)</w:t>
            </w:r>
          </w:p>
        </w:tc>
        <w:tc>
          <w:tcPr>
            <w:tcW w:w="986" w:type="dxa"/>
            <w:tcBorders>
              <w:top w:val="nil"/>
              <w:left w:val="nil"/>
              <w:bottom w:val="single" w:sz="4" w:space="0" w:color="auto"/>
              <w:right w:val="nil"/>
            </w:tcBorders>
            <w:shd w:val="clear" w:color="000000" w:fill="D9D9D9"/>
            <w:noWrap/>
            <w:vAlign w:val="center"/>
            <w:hideMark/>
          </w:tcPr>
          <w:p w14:paraId="086D4DED" w14:textId="77777777" w:rsidR="006620DC" w:rsidRDefault="006620DC">
            <w:pPr>
              <w:jc w:val="right"/>
              <w:rPr>
                <w:b/>
                <w:bCs/>
                <w:color w:val="000000"/>
                <w:sz w:val="18"/>
                <w:szCs w:val="18"/>
              </w:rPr>
            </w:pPr>
            <w:r>
              <w:rPr>
                <w:b/>
                <w:bCs/>
                <w:color w:val="000000"/>
                <w:sz w:val="18"/>
                <w:szCs w:val="18"/>
              </w:rPr>
              <w:t> </w:t>
            </w:r>
          </w:p>
        </w:tc>
        <w:tc>
          <w:tcPr>
            <w:tcW w:w="1109" w:type="dxa"/>
            <w:tcBorders>
              <w:top w:val="nil"/>
              <w:left w:val="nil"/>
              <w:bottom w:val="single" w:sz="4" w:space="0" w:color="auto"/>
              <w:right w:val="nil"/>
            </w:tcBorders>
            <w:shd w:val="clear" w:color="000000" w:fill="D9D9D9"/>
            <w:noWrap/>
            <w:vAlign w:val="center"/>
            <w:hideMark/>
          </w:tcPr>
          <w:p w14:paraId="64532F39"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66478B66"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61BBC542"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7B8B62D1" w14:textId="77777777" w:rsidR="006620DC" w:rsidRDefault="006620DC">
            <w:pPr>
              <w:jc w:val="right"/>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000000" w:fill="D9D9D9"/>
            <w:noWrap/>
            <w:vAlign w:val="center"/>
            <w:hideMark/>
          </w:tcPr>
          <w:p w14:paraId="2D5AF712" w14:textId="77777777" w:rsidR="006620DC" w:rsidRDefault="006620DC">
            <w:pPr>
              <w:jc w:val="right"/>
              <w:rPr>
                <w:b/>
                <w:bCs/>
                <w:color w:val="000000"/>
                <w:sz w:val="18"/>
                <w:szCs w:val="18"/>
              </w:rPr>
            </w:pPr>
            <w:r>
              <w:rPr>
                <w:b/>
                <w:bCs/>
                <w:color w:val="000000"/>
                <w:sz w:val="18"/>
                <w:szCs w:val="18"/>
              </w:rPr>
              <w:t> </w:t>
            </w:r>
          </w:p>
        </w:tc>
        <w:tc>
          <w:tcPr>
            <w:tcW w:w="856" w:type="dxa"/>
            <w:tcBorders>
              <w:top w:val="nil"/>
              <w:left w:val="nil"/>
              <w:bottom w:val="single" w:sz="4" w:space="0" w:color="auto"/>
              <w:right w:val="nil"/>
            </w:tcBorders>
            <w:shd w:val="clear" w:color="000000" w:fill="D9D9D9"/>
            <w:noWrap/>
            <w:vAlign w:val="center"/>
            <w:hideMark/>
          </w:tcPr>
          <w:p w14:paraId="15C52CDB"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485693B1"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nil"/>
            </w:tcBorders>
            <w:shd w:val="clear" w:color="000000" w:fill="D9D9D9"/>
            <w:noWrap/>
            <w:vAlign w:val="center"/>
            <w:hideMark/>
          </w:tcPr>
          <w:p w14:paraId="3C6CC7BD" w14:textId="77777777" w:rsidR="006620DC" w:rsidRDefault="006620DC">
            <w:pPr>
              <w:jc w:val="right"/>
              <w:rPr>
                <w:b/>
                <w:bCs/>
                <w:color w:val="000000"/>
                <w:sz w:val="18"/>
                <w:szCs w:val="18"/>
              </w:rPr>
            </w:pPr>
            <w:r>
              <w:rPr>
                <w:b/>
                <w:bCs/>
                <w:color w:val="000000"/>
                <w:sz w:val="18"/>
                <w:szCs w:val="18"/>
              </w:rPr>
              <w:t> </w:t>
            </w:r>
          </w:p>
        </w:tc>
        <w:tc>
          <w:tcPr>
            <w:tcW w:w="801" w:type="dxa"/>
            <w:tcBorders>
              <w:top w:val="nil"/>
              <w:left w:val="nil"/>
              <w:bottom w:val="single" w:sz="4" w:space="0" w:color="auto"/>
              <w:right w:val="nil"/>
            </w:tcBorders>
            <w:shd w:val="clear" w:color="000000" w:fill="D9D9D9"/>
            <w:noWrap/>
            <w:vAlign w:val="center"/>
            <w:hideMark/>
          </w:tcPr>
          <w:p w14:paraId="343780B7" w14:textId="77777777" w:rsidR="006620DC" w:rsidRDefault="006620DC">
            <w:pPr>
              <w:jc w:val="right"/>
              <w:rPr>
                <w:b/>
                <w:bCs/>
                <w:color w:val="000000"/>
                <w:sz w:val="18"/>
                <w:szCs w:val="18"/>
              </w:rPr>
            </w:pPr>
            <w:r>
              <w:rPr>
                <w:b/>
                <w:bCs/>
                <w:color w:val="000000"/>
                <w:sz w:val="18"/>
                <w:szCs w:val="18"/>
              </w:rPr>
              <w:t> </w:t>
            </w:r>
          </w:p>
        </w:tc>
        <w:tc>
          <w:tcPr>
            <w:tcW w:w="891" w:type="dxa"/>
            <w:tcBorders>
              <w:top w:val="nil"/>
              <w:left w:val="nil"/>
              <w:bottom w:val="single" w:sz="4" w:space="0" w:color="auto"/>
              <w:right w:val="single" w:sz="4" w:space="0" w:color="auto"/>
            </w:tcBorders>
            <w:shd w:val="clear" w:color="000000" w:fill="D9D9D9"/>
            <w:noWrap/>
            <w:vAlign w:val="center"/>
            <w:hideMark/>
          </w:tcPr>
          <w:p w14:paraId="5051CB44" w14:textId="77777777" w:rsidR="006620DC" w:rsidRDefault="006620DC">
            <w:pPr>
              <w:jc w:val="right"/>
              <w:rPr>
                <w:b/>
                <w:bCs/>
                <w:color w:val="000000"/>
                <w:sz w:val="18"/>
                <w:szCs w:val="18"/>
              </w:rPr>
            </w:pPr>
            <w:r>
              <w:rPr>
                <w:b/>
                <w:bCs/>
                <w:color w:val="000000"/>
                <w:sz w:val="18"/>
                <w:szCs w:val="18"/>
              </w:rPr>
              <w:t> </w:t>
            </w:r>
          </w:p>
        </w:tc>
      </w:tr>
      <w:tr w:rsidR="00EA792F" w14:paraId="16727A18" w14:textId="77777777" w:rsidTr="00B675D3">
        <w:trPr>
          <w:trHeight w:val="300"/>
        </w:trPr>
        <w:tc>
          <w:tcPr>
            <w:tcW w:w="3922" w:type="dxa"/>
            <w:tcBorders>
              <w:top w:val="nil"/>
              <w:left w:val="single" w:sz="4" w:space="0" w:color="auto"/>
              <w:bottom w:val="single" w:sz="4" w:space="0" w:color="auto"/>
              <w:right w:val="single" w:sz="4" w:space="0" w:color="auto"/>
            </w:tcBorders>
            <w:shd w:val="clear" w:color="auto" w:fill="auto"/>
            <w:vAlign w:val="bottom"/>
            <w:hideMark/>
          </w:tcPr>
          <w:p w14:paraId="44C91A0A" w14:textId="77777777" w:rsidR="00EA792F" w:rsidRDefault="00EA792F">
            <w:pPr>
              <w:rPr>
                <w:color w:val="000000"/>
                <w:sz w:val="18"/>
                <w:szCs w:val="18"/>
              </w:rPr>
            </w:pPr>
            <w:r>
              <w:rPr>
                <w:color w:val="000000"/>
                <w:sz w:val="18"/>
                <w:szCs w:val="18"/>
              </w:rPr>
              <w:t>Shipping Recordkeeping</w:t>
            </w:r>
          </w:p>
        </w:tc>
        <w:tc>
          <w:tcPr>
            <w:tcW w:w="986" w:type="dxa"/>
            <w:tcBorders>
              <w:top w:val="nil"/>
              <w:left w:val="nil"/>
              <w:bottom w:val="single" w:sz="4" w:space="0" w:color="auto"/>
              <w:right w:val="single" w:sz="4" w:space="0" w:color="auto"/>
            </w:tcBorders>
            <w:shd w:val="clear" w:color="auto" w:fill="auto"/>
            <w:noWrap/>
            <w:vAlign w:val="bottom"/>
            <w:hideMark/>
          </w:tcPr>
          <w:p w14:paraId="71F8D8A8" w14:textId="05575FF3" w:rsidR="00EA792F" w:rsidRDefault="00EA792F">
            <w:pPr>
              <w:jc w:val="right"/>
              <w:rPr>
                <w:color w:val="000000"/>
                <w:sz w:val="18"/>
                <w:szCs w:val="18"/>
              </w:rPr>
            </w:pPr>
            <w:r>
              <w:rPr>
                <w:color w:val="000000"/>
                <w:sz w:val="18"/>
                <w:szCs w:val="18"/>
              </w:rPr>
              <w:t>0.00</w:t>
            </w:r>
          </w:p>
        </w:tc>
        <w:tc>
          <w:tcPr>
            <w:tcW w:w="1109" w:type="dxa"/>
            <w:tcBorders>
              <w:top w:val="nil"/>
              <w:left w:val="nil"/>
              <w:bottom w:val="single" w:sz="4" w:space="0" w:color="auto"/>
              <w:right w:val="single" w:sz="4" w:space="0" w:color="auto"/>
            </w:tcBorders>
            <w:shd w:val="clear" w:color="auto" w:fill="auto"/>
            <w:noWrap/>
            <w:vAlign w:val="bottom"/>
            <w:hideMark/>
          </w:tcPr>
          <w:p w14:paraId="729C9BDD" w14:textId="0408AB2C" w:rsidR="00EA792F" w:rsidRDefault="00EA792F">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7D1470C8" w14:textId="5B9B6BCF" w:rsidR="00EA792F" w:rsidRDefault="00EA792F">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1437A078" w14:textId="7483C035" w:rsidR="00EA792F" w:rsidRDefault="00EA792F">
            <w:pPr>
              <w:jc w:val="right"/>
              <w:rPr>
                <w:color w:val="000000"/>
                <w:sz w:val="18"/>
                <w:szCs w:val="18"/>
              </w:rPr>
            </w:pPr>
            <w:r>
              <w:rPr>
                <w:color w:val="000000"/>
                <w:sz w:val="18"/>
                <w:szCs w:val="18"/>
              </w:rPr>
              <w:t>0.10</w:t>
            </w:r>
          </w:p>
        </w:tc>
        <w:tc>
          <w:tcPr>
            <w:tcW w:w="1216" w:type="dxa"/>
            <w:tcBorders>
              <w:top w:val="nil"/>
              <w:left w:val="nil"/>
              <w:bottom w:val="single" w:sz="4" w:space="0" w:color="auto"/>
              <w:right w:val="single" w:sz="4" w:space="0" w:color="auto"/>
            </w:tcBorders>
            <w:shd w:val="clear" w:color="auto" w:fill="auto"/>
            <w:noWrap/>
            <w:vAlign w:val="bottom"/>
            <w:hideMark/>
          </w:tcPr>
          <w:p w14:paraId="3513E027" w14:textId="7D71B38D" w:rsidR="00EA792F" w:rsidRDefault="00EA792F">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bottom"/>
            <w:hideMark/>
          </w:tcPr>
          <w:p w14:paraId="568B19B9" w14:textId="0E0223A2" w:rsidR="00EA792F" w:rsidRDefault="00EA792F">
            <w:pPr>
              <w:jc w:val="right"/>
              <w:rPr>
                <w:color w:val="000000"/>
                <w:sz w:val="18"/>
                <w:szCs w:val="18"/>
              </w:rPr>
            </w:pPr>
            <w:r>
              <w:rPr>
                <w:color w:val="000000"/>
                <w:sz w:val="18"/>
                <w:szCs w:val="18"/>
              </w:rPr>
              <w:t>0.00</w:t>
            </w:r>
          </w:p>
        </w:tc>
        <w:tc>
          <w:tcPr>
            <w:tcW w:w="856" w:type="dxa"/>
            <w:tcBorders>
              <w:top w:val="nil"/>
              <w:left w:val="nil"/>
              <w:bottom w:val="single" w:sz="4" w:space="0" w:color="auto"/>
              <w:right w:val="single" w:sz="4" w:space="0" w:color="auto"/>
            </w:tcBorders>
            <w:shd w:val="clear" w:color="auto" w:fill="auto"/>
            <w:noWrap/>
            <w:vAlign w:val="bottom"/>
            <w:hideMark/>
          </w:tcPr>
          <w:p w14:paraId="3166BB14" w14:textId="031DB7A0" w:rsidR="00EA792F" w:rsidRDefault="00EA792F">
            <w:pPr>
              <w:jc w:val="right"/>
              <w:rPr>
                <w:color w:val="000000"/>
                <w:sz w:val="18"/>
                <w:szCs w:val="18"/>
              </w:rPr>
            </w:pPr>
            <w:r>
              <w:rPr>
                <w:color w:val="000000"/>
                <w:sz w:val="18"/>
                <w:szCs w:val="18"/>
              </w:rPr>
              <w:t>28</w:t>
            </w:r>
          </w:p>
        </w:tc>
        <w:tc>
          <w:tcPr>
            <w:tcW w:w="1236" w:type="dxa"/>
            <w:tcBorders>
              <w:top w:val="nil"/>
              <w:left w:val="nil"/>
              <w:bottom w:val="single" w:sz="4" w:space="0" w:color="auto"/>
              <w:right w:val="single" w:sz="4" w:space="0" w:color="auto"/>
            </w:tcBorders>
            <w:shd w:val="clear" w:color="auto" w:fill="auto"/>
            <w:noWrap/>
            <w:vAlign w:val="bottom"/>
            <w:hideMark/>
          </w:tcPr>
          <w:p w14:paraId="4D23C52F" w14:textId="261A2A53" w:rsidR="00EA792F" w:rsidRDefault="00EA792F">
            <w:pPr>
              <w:jc w:val="right"/>
              <w:rPr>
                <w:color w:val="000000"/>
                <w:sz w:val="18"/>
                <w:szCs w:val="18"/>
              </w:rPr>
            </w:pPr>
            <w:r>
              <w:rPr>
                <w:color w:val="000000"/>
                <w:sz w:val="18"/>
                <w:szCs w:val="18"/>
              </w:rPr>
              <w:t xml:space="preserve">                    9 </w:t>
            </w:r>
          </w:p>
        </w:tc>
        <w:tc>
          <w:tcPr>
            <w:tcW w:w="891" w:type="dxa"/>
            <w:tcBorders>
              <w:top w:val="nil"/>
              <w:left w:val="nil"/>
              <w:bottom w:val="single" w:sz="4" w:space="0" w:color="auto"/>
              <w:right w:val="single" w:sz="4" w:space="0" w:color="auto"/>
            </w:tcBorders>
            <w:shd w:val="clear" w:color="auto" w:fill="auto"/>
            <w:noWrap/>
            <w:vAlign w:val="bottom"/>
            <w:hideMark/>
          </w:tcPr>
          <w:p w14:paraId="70506A86" w14:textId="54D68AA5" w:rsidR="00EA792F" w:rsidRDefault="00EA792F">
            <w:pPr>
              <w:jc w:val="right"/>
              <w:rPr>
                <w:color w:val="000000"/>
                <w:sz w:val="18"/>
                <w:szCs w:val="18"/>
              </w:rPr>
            </w:pPr>
            <w:r>
              <w:rPr>
                <w:color w:val="000000"/>
                <w:sz w:val="18"/>
                <w:szCs w:val="18"/>
              </w:rPr>
              <w:t>$327</w:t>
            </w:r>
          </w:p>
        </w:tc>
        <w:tc>
          <w:tcPr>
            <w:tcW w:w="801" w:type="dxa"/>
            <w:tcBorders>
              <w:top w:val="nil"/>
              <w:left w:val="nil"/>
              <w:bottom w:val="single" w:sz="4" w:space="0" w:color="auto"/>
              <w:right w:val="single" w:sz="4" w:space="0" w:color="auto"/>
            </w:tcBorders>
            <w:shd w:val="clear" w:color="auto" w:fill="auto"/>
            <w:noWrap/>
            <w:vAlign w:val="bottom"/>
            <w:hideMark/>
          </w:tcPr>
          <w:p w14:paraId="58137756" w14:textId="4591BA47" w:rsidR="00EA792F" w:rsidRDefault="00EA792F">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7DD6045E" w14:textId="02A40393" w:rsidR="00EA792F" w:rsidRDefault="00EA792F">
            <w:pPr>
              <w:jc w:val="right"/>
              <w:rPr>
                <w:color w:val="000000"/>
                <w:sz w:val="18"/>
                <w:szCs w:val="18"/>
              </w:rPr>
            </w:pPr>
            <w:r>
              <w:rPr>
                <w:color w:val="000000"/>
                <w:sz w:val="18"/>
                <w:szCs w:val="18"/>
              </w:rPr>
              <w:t>$327</w:t>
            </w:r>
          </w:p>
        </w:tc>
      </w:tr>
      <w:tr w:rsidR="00EA792F" w14:paraId="76E738C8" w14:textId="77777777" w:rsidTr="00B675D3">
        <w:trPr>
          <w:trHeight w:val="300"/>
        </w:trPr>
        <w:tc>
          <w:tcPr>
            <w:tcW w:w="99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0C2AC95" w14:textId="543D575E" w:rsidR="00EA792F" w:rsidRDefault="00EA792F">
            <w:pPr>
              <w:rPr>
                <w:color w:val="000000"/>
                <w:sz w:val="18"/>
                <w:szCs w:val="18"/>
              </w:rPr>
            </w:pPr>
            <w:r>
              <w:rPr>
                <w:color w:val="000000"/>
                <w:sz w:val="18"/>
                <w:szCs w:val="18"/>
              </w:rPr>
              <w:t>TOTAL COST</w:t>
            </w:r>
          </w:p>
        </w:tc>
        <w:tc>
          <w:tcPr>
            <w:tcW w:w="856" w:type="dxa"/>
            <w:tcBorders>
              <w:top w:val="nil"/>
              <w:left w:val="nil"/>
              <w:bottom w:val="single" w:sz="4" w:space="0" w:color="auto"/>
              <w:right w:val="single" w:sz="4" w:space="0" w:color="auto"/>
            </w:tcBorders>
            <w:shd w:val="clear" w:color="auto" w:fill="auto"/>
            <w:noWrap/>
            <w:vAlign w:val="bottom"/>
            <w:hideMark/>
          </w:tcPr>
          <w:p w14:paraId="07639D02" w14:textId="77777777" w:rsidR="00EA792F" w:rsidRDefault="00EA792F">
            <w:pPr>
              <w:jc w:val="right"/>
              <w:rPr>
                <w:color w:val="000000"/>
                <w:sz w:val="18"/>
                <w:szCs w:val="18"/>
              </w:rPr>
            </w:pPr>
            <w:r>
              <w:rPr>
                <w:color w:val="000000"/>
                <w:sz w:val="18"/>
                <w:szCs w:val="18"/>
              </w:rPr>
              <w:t>N/A</w:t>
            </w:r>
          </w:p>
        </w:tc>
        <w:tc>
          <w:tcPr>
            <w:tcW w:w="1236" w:type="dxa"/>
            <w:tcBorders>
              <w:top w:val="nil"/>
              <w:left w:val="nil"/>
              <w:bottom w:val="single" w:sz="4" w:space="0" w:color="auto"/>
              <w:right w:val="single" w:sz="4" w:space="0" w:color="auto"/>
            </w:tcBorders>
            <w:shd w:val="clear" w:color="auto" w:fill="auto"/>
            <w:noWrap/>
            <w:vAlign w:val="bottom"/>
            <w:hideMark/>
          </w:tcPr>
          <w:p w14:paraId="138B1724" w14:textId="6929C058" w:rsidR="00EA792F" w:rsidRDefault="00EA792F">
            <w:pPr>
              <w:jc w:val="right"/>
              <w:rPr>
                <w:color w:val="000000"/>
                <w:sz w:val="18"/>
                <w:szCs w:val="18"/>
              </w:rPr>
            </w:pPr>
            <w:r>
              <w:rPr>
                <w:color w:val="000000"/>
                <w:sz w:val="18"/>
                <w:szCs w:val="18"/>
              </w:rPr>
              <w:t xml:space="preserve">                133 </w:t>
            </w:r>
          </w:p>
        </w:tc>
        <w:tc>
          <w:tcPr>
            <w:tcW w:w="891" w:type="dxa"/>
            <w:tcBorders>
              <w:top w:val="nil"/>
              <w:left w:val="nil"/>
              <w:bottom w:val="single" w:sz="4" w:space="0" w:color="auto"/>
              <w:right w:val="single" w:sz="4" w:space="0" w:color="auto"/>
            </w:tcBorders>
            <w:shd w:val="clear" w:color="auto" w:fill="auto"/>
            <w:noWrap/>
            <w:vAlign w:val="bottom"/>
            <w:hideMark/>
          </w:tcPr>
          <w:p w14:paraId="5A038982" w14:textId="01C4D4AE" w:rsidR="00EA792F" w:rsidRDefault="00EA792F">
            <w:pPr>
              <w:jc w:val="right"/>
              <w:rPr>
                <w:color w:val="000000"/>
                <w:sz w:val="18"/>
                <w:szCs w:val="18"/>
              </w:rPr>
            </w:pPr>
            <w:r>
              <w:rPr>
                <w:color w:val="000000"/>
                <w:sz w:val="18"/>
                <w:szCs w:val="18"/>
              </w:rPr>
              <w:t>$1,062</w:t>
            </w:r>
          </w:p>
        </w:tc>
        <w:tc>
          <w:tcPr>
            <w:tcW w:w="801" w:type="dxa"/>
            <w:tcBorders>
              <w:top w:val="nil"/>
              <w:left w:val="nil"/>
              <w:bottom w:val="single" w:sz="4" w:space="0" w:color="auto"/>
              <w:right w:val="single" w:sz="4" w:space="0" w:color="auto"/>
            </w:tcBorders>
            <w:shd w:val="clear" w:color="auto" w:fill="auto"/>
            <w:noWrap/>
            <w:vAlign w:val="bottom"/>
            <w:hideMark/>
          </w:tcPr>
          <w:p w14:paraId="54BF1A5D" w14:textId="771FC01E" w:rsidR="00EA792F" w:rsidRDefault="00EA792F">
            <w:pPr>
              <w:jc w:val="right"/>
              <w:rPr>
                <w:color w:val="000000"/>
                <w:sz w:val="18"/>
                <w:szCs w:val="18"/>
              </w:rPr>
            </w:pPr>
            <w:r>
              <w:rPr>
                <w:color w:val="000000"/>
                <w:sz w:val="18"/>
                <w:szCs w:val="18"/>
              </w:rPr>
              <w:t>$0</w:t>
            </w:r>
          </w:p>
        </w:tc>
        <w:tc>
          <w:tcPr>
            <w:tcW w:w="891" w:type="dxa"/>
            <w:tcBorders>
              <w:top w:val="nil"/>
              <w:left w:val="nil"/>
              <w:bottom w:val="single" w:sz="4" w:space="0" w:color="auto"/>
              <w:right w:val="single" w:sz="4" w:space="0" w:color="auto"/>
            </w:tcBorders>
            <w:shd w:val="clear" w:color="auto" w:fill="auto"/>
            <w:noWrap/>
            <w:vAlign w:val="bottom"/>
            <w:hideMark/>
          </w:tcPr>
          <w:p w14:paraId="42634F55" w14:textId="181A45D9" w:rsidR="00EA792F" w:rsidRDefault="00EA792F">
            <w:pPr>
              <w:jc w:val="right"/>
              <w:rPr>
                <w:color w:val="000000"/>
                <w:sz w:val="18"/>
                <w:szCs w:val="18"/>
              </w:rPr>
            </w:pPr>
            <w:r>
              <w:rPr>
                <w:color w:val="000000"/>
                <w:sz w:val="18"/>
                <w:szCs w:val="18"/>
              </w:rPr>
              <w:t>$1,062</w:t>
            </w:r>
          </w:p>
        </w:tc>
      </w:tr>
      <w:tr w:rsidR="00BC58A3" w14:paraId="3AD26486" w14:textId="77777777" w:rsidTr="00B675D3">
        <w:trPr>
          <w:trHeight w:val="300"/>
        </w:trPr>
        <w:tc>
          <w:tcPr>
            <w:tcW w:w="14602"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1F7A46BF" w14:textId="77777777" w:rsidR="00BC58A3" w:rsidRDefault="00BC58A3" w:rsidP="00AE16F1">
            <w:pPr>
              <w:rPr>
                <w:color w:val="000000"/>
                <w:sz w:val="18"/>
                <w:szCs w:val="18"/>
              </w:rPr>
            </w:pPr>
            <w:r w:rsidRPr="00BC58A3">
              <w:rPr>
                <w:color w:val="000000"/>
                <w:sz w:val="18"/>
                <w:szCs w:val="18"/>
                <w:u w:val="single"/>
              </w:rPr>
              <w:t>Notes</w:t>
            </w:r>
            <w:r>
              <w:rPr>
                <w:color w:val="000000"/>
                <w:sz w:val="18"/>
                <w:szCs w:val="18"/>
              </w:rPr>
              <w:t>:</w:t>
            </w:r>
          </w:p>
          <w:p w14:paraId="53929E5E" w14:textId="019FFCC0" w:rsidR="00BC58A3" w:rsidRDefault="00BC58A3">
            <w:pPr>
              <w:spacing w:line="240" w:lineRule="exact"/>
              <w:rPr>
                <w:color w:val="000000"/>
                <w:sz w:val="18"/>
                <w:szCs w:val="18"/>
              </w:rPr>
            </w:pPr>
            <w:r>
              <w:rPr>
                <w:color w:val="000000"/>
                <w:sz w:val="18"/>
                <w:szCs w:val="18"/>
              </w:rPr>
              <w:t>Numbers may not sum due to rounding.</w:t>
            </w:r>
          </w:p>
        </w:tc>
      </w:tr>
    </w:tbl>
    <w:p w14:paraId="3467437E" w14:textId="77777777" w:rsidR="002669BF" w:rsidRDefault="002669BF"/>
    <w:p w14:paraId="1FA7ACE6" w14:textId="77777777" w:rsidR="00EA792F" w:rsidRDefault="00EA792F">
      <w:r>
        <w:br w:type="page"/>
      </w:r>
    </w:p>
    <w:tbl>
      <w:tblPr>
        <w:tblW w:w="14703" w:type="dxa"/>
        <w:tblInd w:w="-612" w:type="dxa"/>
        <w:tblLayout w:type="fixed"/>
        <w:tblLook w:val="04A0" w:firstRow="1" w:lastRow="0" w:firstColumn="1" w:lastColumn="0" w:noHBand="0" w:noVBand="1"/>
      </w:tblPr>
      <w:tblGrid>
        <w:gridCol w:w="3745"/>
        <w:gridCol w:w="801"/>
        <w:gridCol w:w="1106"/>
        <w:gridCol w:w="966"/>
        <w:gridCol w:w="792"/>
        <w:gridCol w:w="1216"/>
        <w:gridCol w:w="990"/>
        <w:gridCol w:w="905"/>
        <w:gridCol w:w="1236"/>
        <w:gridCol w:w="848"/>
        <w:gridCol w:w="755"/>
        <w:gridCol w:w="1343"/>
      </w:tblGrid>
      <w:tr w:rsidR="006620DC" w14:paraId="0AD258E2" w14:textId="77777777" w:rsidTr="00B675D3">
        <w:trPr>
          <w:trHeight w:val="300"/>
          <w:tblHeader/>
        </w:trPr>
        <w:tc>
          <w:tcPr>
            <w:tcW w:w="14703" w:type="dxa"/>
            <w:gridSpan w:val="12"/>
            <w:tcBorders>
              <w:top w:val="nil"/>
              <w:left w:val="nil"/>
              <w:bottom w:val="single" w:sz="4" w:space="0" w:color="auto"/>
              <w:right w:val="nil"/>
            </w:tcBorders>
            <w:shd w:val="clear" w:color="auto" w:fill="auto"/>
            <w:noWrap/>
            <w:vAlign w:val="center"/>
            <w:hideMark/>
          </w:tcPr>
          <w:p w14:paraId="7895184E" w14:textId="71AFF5CA" w:rsidR="006620DC" w:rsidRDefault="006620DC" w:rsidP="00B93E6B">
            <w:pPr>
              <w:rPr>
                <w:b/>
                <w:bCs/>
                <w:color w:val="000000"/>
              </w:rPr>
            </w:pPr>
            <w:r>
              <w:rPr>
                <w:b/>
                <w:bCs/>
                <w:color w:val="000000"/>
              </w:rPr>
              <w:t>Exhibit 3C: Respondent Cost Estimates for LQGs that become LQHs Post-Rule</w:t>
            </w:r>
          </w:p>
        </w:tc>
      </w:tr>
      <w:tr w:rsidR="006620DC" w14:paraId="01B3F9A7" w14:textId="77777777" w:rsidTr="00B675D3">
        <w:trPr>
          <w:trHeight w:val="300"/>
          <w:tblHeader/>
        </w:trPr>
        <w:tc>
          <w:tcPr>
            <w:tcW w:w="3745" w:type="dxa"/>
            <w:vMerge w:val="restart"/>
            <w:tcBorders>
              <w:top w:val="nil"/>
              <w:left w:val="single" w:sz="4" w:space="0" w:color="auto"/>
              <w:bottom w:val="single" w:sz="4" w:space="0" w:color="auto"/>
              <w:right w:val="single" w:sz="4" w:space="0" w:color="auto"/>
            </w:tcBorders>
            <w:shd w:val="clear" w:color="000000" w:fill="A6A6A6"/>
            <w:vAlign w:val="bottom"/>
            <w:hideMark/>
          </w:tcPr>
          <w:p w14:paraId="42A882FC" w14:textId="77777777" w:rsidR="006620DC" w:rsidRDefault="006620DC">
            <w:pPr>
              <w:rPr>
                <w:b/>
                <w:bCs/>
                <w:color w:val="000000"/>
                <w:sz w:val="18"/>
                <w:szCs w:val="18"/>
              </w:rPr>
            </w:pPr>
            <w:r>
              <w:rPr>
                <w:b/>
                <w:bCs/>
                <w:color w:val="000000"/>
                <w:sz w:val="18"/>
                <w:szCs w:val="18"/>
              </w:rPr>
              <w:t>Information Collection Activity</w:t>
            </w:r>
          </w:p>
        </w:tc>
        <w:tc>
          <w:tcPr>
            <w:tcW w:w="5871" w:type="dxa"/>
            <w:gridSpan w:val="6"/>
            <w:tcBorders>
              <w:top w:val="single" w:sz="4" w:space="0" w:color="auto"/>
              <w:left w:val="nil"/>
              <w:bottom w:val="single" w:sz="4" w:space="0" w:color="auto"/>
              <w:right w:val="single" w:sz="4" w:space="0" w:color="auto"/>
            </w:tcBorders>
            <w:shd w:val="clear" w:color="000000" w:fill="A6A6A6"/>
            <w:noWrap/>
            <w:vAlign w:val="bottom"/>
            <w:hideMark/>
          </w:tcPr>
          <w:p w14:paraId="55B5CFD1" w14:textId="503E95AD" w:rsidR="006620DC" w:rsidRDefault="006620DC">
            <w:pPr>
              <w:jc w:val="center"/>
              <w:rPr>
                <w:b/>
                <w:bCs/>
                <w:color w:val="000000"/>
                <w:sz w:val="18"/>
                <w:szCs w:val="18"/>
              </w:rPr>
            </w:pPr>
            <w:r>
              <w:rPr>
                <w:b/>
                <w:bCs/>
                <w:color w:val="000000"/>
                <w:sz w:val="18"/>
                <w:szCs w:val="18"/>
              </w:rPr>
              <w:t>Hours and Costs Per Respondent Per Activity</w:t>
            </w:r>
          </w:p>
        </w:tc>
        <w:tc>
          <w:tcPr>
            <w:tcW w:w="5087" w:type="dxa"/>
            <w:gridSpan w:val="5"/>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AF26FB3" w14:textId="5F7AA5FF" w:rsidR="006620DC" w:rsidRDefault="006620DC">
            <w:pPr>
              <w:jc w:val="center"/>
              <w:rPr>
                <w:b/>
                <w:bCs/>
                <w:color w:val="000000"/>
                <w:sz w:val="18"/>
                <w:szCs w:val="18"/>
              </w:rPr>
            </w:pPr>
            <w:r>
              <w:rPr>
                <w:b/>
                <w:bCs/>
                <w:color w:val="000000"/>
                <w:sz w:val="18"/>
                <w:szCs w:val="18"/>
              </w:rPr>
              <w:t>Total Hours and Cost</w:t>
            </w:r>
          </w:p>
        </w:tc>
      </w:tr>
      <w:tr w:rsidR="006620DC" w14:paraId="381022EF" w14:textId="77777777" w:rsidTr="00B675D3">
        <w:trPr>
          <w:trHeight w:val="900"/>
          <w:tblHeader/>
        </w:trPr>
        <w:tc>
          <w:tcPr>
            <w:tcW w:w="3745" w:type="dxa"/>
            <w:vMerge/>
            <w:tcBorders>
              <w:top w:val="nil"/>
              <w:left w:val="single" w:sz="4" w:space="0" w:color="auto"/>
              <w:bottom w:val="single" w:sz="4" w:space="0" w:color="auto"/>
              <w:right w:val="single" w:sz="4" w:space="0" w:color="auto"/>
            </w:tcBorders>
            <w:vAlign w:val="center"/>
            <w:hideMark/>
          </w:tcPr>
          <w:p w14:paraId="707D240D" w14:textId="77777777" w:rsidR="006620DC" w:rsidRDefault="006620DC">
            <w:pPr>
              <w:rPr>
                <w:b/>
                <w:bCs/>
                <w:color w:val="000000"/>
                <w:sz w:val="18"/>
                <w:szCs w:val="18"/>
              </w:rPr>
            </w:pPr>
          </w:p>
        </w:tc>
        <w:tc>
          <w:tcPr>
            <w:tcW w:w="801" w:type="dxa"/>
            <w:tcBorders>
              <w:top w:val="nil"/>
              <w:left w:val="nil"/>
              <w:bottom w:val="single" w:sz="4" w:space="0" w:color="auto"/>
              <w:right w:val="single" w:sz="4" w:space="0" w:color="auto"/>
            </w:tcBorders>
            <w:shd w:val="clear" w:color="000000" w:fill="A6A6A6"/>
            <w:vAlign w:val="bottom"/>
            <w:hideMark/>
          </w:tcPr>
          <w:p w14:paraId="0BDD0342" w14:textId="77777777" w:rsidR="006620DC" w:rsidRDefault="006620DC">
            <w:pPr>
              <w:jc w:val="center"/>
              <w:rPr>
                <w:b/>
                <w:bCs/>
                <w:color w:val="000000"/>
                <w:sz w:val="18"/>
                <w:szCs w:val="18"/>
              </w:rPr>
            </w:pPr>
            <w:r>
              <w:rPr>
                <w:b/>
                <w:bCs/>
                <w:color w:val="000000"/>
                <w:sz w:val="18"/>
                <w:szCs w:val="18"/>
              </w:rPr>
              <w:t>Legal</w:t>
            </w:r>
            <w:r>
              <w:rPr>
                <w:b/>
                <w:bCs/>
                <w:color w:val="000000"/>
                <w:sz w:val="18"/>
                <w:szCs w:val="18"/>
              </w:rPr>
              <w:br/>
              <w:t>$160.74</w:t>
            </w:r>
          </w:p>
        </w:tc>
        <w:tc>
          <w:tcPr>
            <w:tcW w:w="1106" w:type="dxa"/>
            <w:tcBorders>
              <w:top w:val="nil"/>
              <w:left w:val="nil"/>
              <w:bottom w:val="single" w:sz="4" w:space="0" w:color="auto"/>
              <w:right w:val="single" w:sz="4" w:space="0" w:color="auto"/>
            </w:tcBorders>
            <w:shd w:val="clear" w:color="000000" w:fill="A6A6A6"/>
            <w:vAlign w:val="bottom"/>
            <w:hideMark/>
          </w:tcPr>
          <w:p w14:paraId="38D2C12F" w14:textId="77777777" w:rsidR="006620DC" w:rsidRDefault="006620DC">
            <w:pPr>
              <w:jc w:val="center"/>
              <w:rPr>
                <w:b/>
                <w:bCs/>
                <w:color w:val="000000"/>
                <w:sz w:val="18"/>
                <w:szCs w:val="18"/>
              </w:rPr>
            </w:pPr>
            <w:r>
              <w:rPr>
                <w:b/>
                <w:bCs/>
                <w:color w:val="000000"/>
                <w:sz w:val="18"/>
                <w:szCs w:val="18"/>
              </w:rPr>
              <w:t>Managerial</w:t>
            </w:r>
            <w:r>
              <w:rPr>
                <w:b/>
                <w:bCs/>
                <w:color w:val="000000"/>
                <w:sz w:val="18"/>
                <w:szCs w:val="18"/>
              </w:rPr>
              <w:br/>
              <w:t>$113.78</w:t>
            </w:r>
          </w:p>
        </w:tc>
        <w:tc>
          <w:tcPr>
            <w:tcW w:w="966" w:type="dxa"/>
            <w:tcBorders>
              <w:top w:val="nil"/>
              <w:left w:val="nil"/>
              <w:bottom w:val="single" w:sz="4" w:space="0" w:color="auto"/>
              <w:right w:val="single" w:sz="4" w:space="0" w:color="auto"/>
            </w:tcBorders>
            <w:shd w:val="clear" w:color="000000" w:fill="A6A6A6"/>
            <w:vAlign w:val="bottom"/>
            <w:hideMark/>
          </w:tcPr>
          <w:p w14:paraId="084A097C" w14:textId="77777777" w:rsidR="006620DC" w:rsidRDefault="006620DC">
            <w:pPr>
              <w:jc w:val="center"/>
              <w:rPr>
                <w:b/>
                <w:bCs/>
                <w:color w:val="000000"/>
                <w:sz w:val="18"/>
                <w:szCs w:val="18"/>
              </w:rPr>
            </w:pPr>
            <w:r>
              <w:rPr>
                <w:b/>
                <w:bCs/>
                <w:color w:val="000000"/>
                <w:sz w:val="18"/>
                <w:szCs w:val="18"/>
              </w:rPr>
              <w:t>Technical</w:t>
            </w:r>
            <w:r>
              <w:rPr>
                <w:b/>
                <w:bCs/>
                <w:color w:val="000000"/>
                <w:sz w:val="18"/>
                <w:szCs w:val="18"/>
              </w:rPr>
              <w:br/>
              <w:t>$49.22</w:t>
            </w:r>
          </w:p>
        </w:tc>
        <w:tc>
          <w:tcPr>
            <w:tcW w:w="792" w:type="dxa"/>
            <w:tcBorders>
              <w:top w:val="nil"/>
              <w:left w:val="nil"/>
              <w:bottom w:val="single" w:sz="4" w:space="0" w:color="auto"/>
              <w:right w:val="single" w:sz="4" w:space="0" w:color="auto"/>
            </w:tcBorders>
            <w:shd w:val="clear" w:color="000000" w:fill="A6A6A6"/>
            <w:vAlign w:val="bottom"/>
            <w:hideMark/>
          </w:tcPr>
          <w:p w14:paraId="1B5A929F" w14:textId="77777777" w:rsidR="006620DC" w:rsidRDefault="006620DC">
            <w:pPr>
              <w:jc w:val="center"/>
              <w:rPr>
                <w:b/>
                <w:bCs/>
                <w:color w:val="000000"/>
                <w:sz w:val="18"/>
                <w:szCs w:val="18"/>
              </w:rPr>
            </w:pPr>
            <w:r>
              <w:rPr>
                <w:b/>
                <w:bCs/>
                <w:color w:val="000000"/>
                <w:sz w:val="18"/>
                <w:szCs w:val="18"/>
              </w:rPr>
              <w:t>Admin</w:t>
            </w:r>
            <w:r w:rsidR="00AA5DF6">
              <w:rPr>
                <w:b/>
                <w:bCs/>
                <w:color w:val="000000"/>
                <w:sz w:val="18"/>
                <w:szCs w:val="18"/>
              </w:rPr>
              <w:t>.</w:t>
            </w:r>
            <w:r>
              <w:rPr>
                <w:b/>
                <w:bCs/>
                <w:color w:val="000000"/>
                <w:sz w:val="18"/>
                <w:szCs w:val="18"/>
              </w:rPr>
              <w:br/>
              <w:t>$37.11</w:t>
            </w:r>
          </w:p>
        </w:tc>
        <w:tc>
          <w:tcPr>
            <w:tcW w:w="1216" w:type="dxa"/>
            <w:tcBorders>
              <w:top w:val="nil"/>
              <w:left w:val="nil"/>
              <w:bottom w:val="single" w:sz="4" w:space="0" w:color="auto"/>
              <w:right w:val="single" w:sz="4" w:space="0" w:color="auto"/>
            </w:tcBorders>
            <w:shd w:val="clear" w:color="000000" w:fill="A6A6A6"/>
            <w:vAlign w:val="bottom"/>
            <w:hideMark/>
          </w:tcPr>
          <w:p w14:paraId="7CB7968E" w14:textId="77777777" w:rsidR="006620DC" w:rsidRDefault="006620DC">
            <w:pPr>
              <w:jc w:val="center"/>
              <w:rPr>
                <w:b/>
                <w:bCs/>
                <w:color w:val="000000"/>
                <w:sz w:val="18"/>
                <w:szCs w:val="18"/>
              </w:rPr>
            </w:pPr>
            <w:r>
              <w:rPr>
                <w:b/>
                <w:bCs/>
                <w:color w:val="000000"/>
                <w:sz w:val="18"/>
                <w:szCs w:val="18"/>
              </w:rPr>
              <w:t>Programmer</w:t>
            </w:r>
            <w:r>
              <w:rPr>
                <w:b/>
                <w:bCs/>
                <w:color w:val="000000"/>
                <w:sz w:val="18"/>
                <w:szCs w:val="18"/>
              </w:rPr>
              <w:br/>
              <w:t>$95.72</w:t>
            </w:r>
          </w:p>
        </w:tc>
        <w:tc>
          <w:tcPr>
            <w:tcW w:w="990" w:type="dxa"/>
            <w:tcBorders>
              <w:top w:val="nil"/>
              <w:left w:val="nil"/>
              <w:bottom w:val="single" w:sz="4" w:space="0" w:color="auto"/>
              <w:right w:val="single" w:sz="4" w:space="0" w:color="auto"/>
            </w:tcBorders>
            <w:shd w:val="clear" w:color="000000" w:fill="A6A6A6"/>
            <w:vAlign w:val="bottom"/>
            <w:hideMark/>
          </w:tcPr>
          <w:p w14:paraId="2A17B9A7" w14:textId="77777777" w:rsidR="006620DC" w:rsidRDefault="006620DC">
            <w:pPr>
              <w:jc w:val="center"/>
              <w:rPr>
                <w:b/>
                <w:bCs/>
                <w:color w:val="000000"/>
                <w:sz w:val="18"/>
                <w:szCs w:val="18"/>
              </w:rPr>
            </w:pPr>
            <w:r>
              <w:rPr>
                <w:b/>
                <w:bCs/>
                <w:color w:val="000000"/>
                <w:sz w:val="18"/>
                <w:szCs w:val="18"/>
              </w:rPr>
              <w:t>O&amp;M Cost (2017$)</w:t>
            </w:r>
          </w:p>
        </w:tc>
        <w:tc>
          <w:tcPr>
            <w:tcW w:w="905" w:type="dxa"/>
            <w:tcBorders>
              <w:top w:val="nil"/>
              <w:left w:val="nil"/>
              <w:bottom w:val="single" w:sz="4" w:space="0" w:color="auto"/>
              <w:right w:val="single" w:sz="4" w:space="0" w:color="auto"/>
            </w:tcBorders>
            <w:shd w:val="clear" w:color="000000" w:fill="A6A6A6"/>
            <w:vAlign w:val="bottom"/>
            <w:hideMark/>
          </w:tcPr>
          <w:p w14:paraId="6B39FD14" w14:textId="77777777" w:rsidR="006620DC" w:rsidRDefault="006620DC">
            <w:pPr>
              <w:jc w:val="center"/>
              <w:rPr>
                <w:b/>
                <w:bCs/>
                <w:color w:val="000000"/>
                <w:sz w:val="18"/>
                <w:szCs w:val="18"/>
              </w:rPr>
            </w:pPr>
            <w:r>
              <w:rPr>
                <w:b/>
                <w:bCs/>
                <w:color w:val="000000"/>
                <w:sz w:val="18"/>
                <w:szCs w:val="18"/>
              </w:rPr>
              <w:t>Number of Resp.</w:t>
            </w:r>
          </w:p>
        </w:tc>
        <w:tc>
          <w:tcPr>
            <w:tcW w:w="1236" w:type="dxa"/>
            <w:tcBorders>
              <w:top w:val="nil"/>
              <w:left w:val="nil"/>
              <w:bottom w:val="single" w:sz="4" w:space="0" w:color="auto"/>
              <w:right w:val="single" w:sz="4" w:space="0" w:color="auto"/>
            </w:tcBorders>
            <w:shd w:val="clear" w:color="000000" w:fill="A6A6A6"/>
            <w:vAlign w:val="bottom"/>
            <w:hideMark/>
          </w:tcPr>
          <w:p w14:paraId="2AAED80F" w14:textId="77777777" w:rsidR="006620DC" w:rsidRDefault="006620DC">
            <w:pPr>
              <w:jc w:val="center"/>
              <w:rPr>
                <w:b/>
                <w:bCs/>
                <w:color w:val="000000"/>
                <w:sz w:val="18"/>
                <w:szCs w:val="18"/>
              </w:rPr>
            </w:pPr>
            <w:r>
              <w:rPr>
                <w:b/>
                <w:bCs/>
                <w:color w:val="000000"/>
                <w:sz w:val="18"/>
                <w:szCs w:val="18"/>
              </w:rPr>
              <w:t>Total Hours</w:t>
            </w:r>
          </w:p>
        </w:tc>
        <w:tc>
          <w:tcPr>
            <w:tcW w:w="848" w:type="dxa"/>
            <w:tcBorders>
              <w:top w:val="nil"/>
              <w:left w:val="nil"/>
              <w:bottom w:val="single" w:sz="4" w:space="0" w:color="auto"/>
              <w:right w:val="single" w:sz="4" w:space="0" w:color="auto"/>
            </w:tcBorders>
            <w:shd w:val="clear" w:color="000000" w:fill="A6A6A6"/>
            <w:vAlign w:val="bottom"/>
            <w:hideMark/>
          </w:tcPr>
          <w:p w14:paraId="10A39197" w14:textId="77777777" w:rsidR="006620DC" w:rsidRDefault="006620DC">
            <w:pPr>
              <w:jc w:val="center"/>
              <w:rPr>
                <w:b/>
                <w:bCs/>
                <w:color w:val="000000"/>
                <w:sz w:val="18"/>
                <w:szCs w:val="18"/>
              </w:rPr>
            </w:pPr>
            <w:r>
              <w:rPr>
                <w:b/>
                <w:bCs/>
                <w:color w:val="000000"/>
                <w:sz w:val="18"/>
                <w:szCs w:val="18"/>
              </w:rPr>
              <w:t>Total Labor Costs</w:t>
            </w:r>
          </w:p>
        </w:tc>
        <w:tc>
          <w:tcPr>
            <w:tcW w:w="755" w:type="dxa"/>
            <w:tcBorders>
              <w:top w:val="nil"/>
              <w:left w:val="nil"/>
              <w:bottom w:val="single" w:sz="4" w:space="0" w:color="auto"/>
              <w:right w:val="single" w:sz="4" w:space="0" w:color="auto"/>
            </w:tcBorders>
            <w:shd w:val="clear" w:color="000000" w:fill="A6A6A6"/>
            <w:vAlign w:val="bottom"/>
            <w:hideMark/>
          </w:tcPr>
          <w:p w14:paraId="6E151509" w14:textId="77777777" w:rsidR="006620DC" w:rsidRDefault="006620DC">
            <w:pPr>
              <w:jc w:val="center"/>
              <w:rPr>
                <w:b/>
                <w:bCs/>
                <w:color w:val="000000"/>
                <w:sz w:val="18"/>
                <w:szCs w:val="18"/>
              </w:rPr>
            </w:pPr>
            <w:r>
              <w:rPr>
                <w:b/>
                <w:bCs/>
                <w:color w:val="000000"/>
                <w:sz w:val="18"/>
                <w:szCs w:val="18"/>
              </w:rPr>
              <w:t>Total O&amp;M Costs</w:t>
            </w:r>
          </w:p>
        </w:tc>
        <w:tc>
          <w:tcPr>
            <w:tcW w:w="1343" w:type="dxa"/>
            <w:tcBorders>
              <w:top w:val="nil"/>
              <w:left w:val="nil"/>
              <w:bottom w:val="single" w:sz="4" w:space="0" w:color="auto"/>
              <w:right w:val="single" w:sz="4" w:space="0" w:color="auto"/>
            </w:tcBorders>
            <w:shd w:val="clear" w:color="000000" w:fill="A6A6A6"/>
            <w:vAlign w:val="bottom"/>
            <w:hideMark/>
          </w:tcPr>
          <w:p w14:paraId="39D4E98A" w14:textId="77777777" w:rsidR="006620DC" w:rsidRDefault="006620DC">
            <w:pPr>
              <w:jc w:val="center"/>
              <w:rPr>
                <w:b/>
                <w:bCs/>
                <w:color w:val="000000"/>
                <w:sz w:val="18"/>
                <w:szCs w:val="18"/>
              </w:rPr>
            </w:pPr>
            <w:r>
              <w:rPr>
                <w:b/>
                <w:bCs/>
                <w:color w:val="000000"/>
                <w:sz w:val="18"/>
                <w:szCs w:val="18"/>
              </w:rPr>
              <w:t>Total Cost</w:t>
            </w:r>
          </w:p>
        </w:tc>
      </w:tr>
      <w:tr w:rsidR="006620DC" w14:paraId="4AEE49C4" w14:textId="77777777" w:rsidTr="00B675D3">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5E18EF75" w14:textId="77777777" w:rsidR="006620DC" w:rsidRDefault="006620DC">
            <w:pPr>
              <w:rPr>
                <w:b/>
                <w:bCs/>
                <w:color w:val="000000"/>
                <w:sz w:val="18"/>
                <w:szCs w:val="18"/>
              </w:rPr>
            </w:pPr>
            <w:r>
              <w:rPr>
                <w:b/>
                <w:bCs/>
                <w:color w:val="000000"/>
                <w:sz w:val="18"/>
                <w:szCs w:val="18"/>
              </w:rPr>
              <w:t>ONE-TIME COSTS</w:t>
            </w:r>
          </w:p>
        </w:tc>
        <w:tc>
          <w:tcPr>
            <w:tcW w:w="801" w:type="dxa"/>
            <w:tcBorders>
              <w:top w:val="nil"/>
              <w:left w:val="nil"/>
              <w:bottom w:val="single" w:sz="4" w:space="0" w:color="auto"/>
              <w:right w:val="nil"/>
            </w:tcBorders>
            <w:shd w:val="clear" w:color="000000" w:fill="BFBFBF"/>
            <w:noWrap/>
            <w:vAlign w:val="bottom"/>
            <w:hideMark/>
          </w:tcPr>
          <w:p w14:paraId="7DA74407"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14E9A94C"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631079B0"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0A192DCE"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02FEFBA6" w14:textId="77777777" w:rsidR="006620DC" w:rsidRDefault="006620DC">
            <w:pPr>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BFBFBF"/>
            <w:noWrap/>
            <w:vAlign w:val="bottom"/>
            <w:hideMark/>
          </w:tcPr>
          <w:p w14:paraId="0B08D18B" w14:textId="77777777" w:rsidR="006620DC" w:rsidRDefault="006620DC">
            <w:pPr>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BFBFBF"/>
            <w:noWrap/>
            <w:vAlign w:val="bottom"/>
            <w:hideMark/>
          </w:tcPr>
          <w:p w14:paraId="6C5B8ADA"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0EEAB75D" w14:textId="77777777" w:rsidR="006620DC" w:rsidRDefault="006620DC">
            <w:pPr>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BFBFBF"/>
            <w:noWrap/>
            <w:vAlign w:val="bottom"/>
            <w:hideMark/>
          </w:tcPr>
          <w:p w14:paraId="5D891DCF" w14:textId="77777777" w:rsidR="006620DC" w:rsidRDefault="006620DC">
            <w:pPr>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BFBFBF"/>
            <w:noWrap/>
            <w:vAlign w:val="bottom"/>
            <w:hideMark/>
          </w:tcPr>
          <w:p w14:paraId="704982C9" w14:textId="77777777" w:rsidR="006620DC" w:rsidRDefault="006620DC">
            <w:pPr>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BFBFBF"/>
            <w:noWrap/>
            <w:vAlign w:val="bottom"/>
            <w:hideMark/>
          </w:tcPr>
          <w:p w14:paraId="4F2B4B22" w14:textId="77777777" w:rsidR="006620DC" w:rsidRDefault="006620DC">
            <w:pPr>
              <w:rPr>
                <w:b/>
                <w:bCs/>
                <w:color w:val="000000"/>
                <w:sz w:val="18"/>
                <w:szCs w:val="18"/>
              </w:rPr>
            </w:pPr>
            <w:r>
              <w:rPr>
                <w:b/>
                <w:bCs/>
                <w:color w:val="000000"/>
                <w:sz w:val="18"/>
                <w:szCs w:val="18"/>
              </w:rPr>
              <w:t> </w:t>
            </w:r>
          </w:p>
        </w:tc>
      </w:tr>
      <w:tr w:rsidR="006620DC" w14:paraId="25AD8F18" w14:textId="77777777" w:rsidTr="00B675D3">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3290CC0E" w14:textId="77777777" w:rsidR="006620DC" w:rsidRDefault="006620DC">
            <w:pPr>
              <w:rPr>
                <w:b/>
                <w:bCs/>
                <w:color w:val="000000"/>
                <w:sz w:val="18"/>
                <w:szCs w:val="18"/>
              </w:rPr>
            </w:pPr>
            <w:r>
              <w:rPr>
                <w:b/>
                <w:bCs/>
                <w:color w:val="000000"/>
                <w:sz w:val="18"/>
                <w:szCs w:val="18"/>
              </w:rPr>
              <w:t>Notification of Hazardous Waste Activity</w:t>
            </w:r>
          </w:p>
        </w:tc>
        <w:tc>
          <w:tcPr>
            <w:tcW w:w="801" w:type="dxa"/>
            <w:tcBorders>
              <w:top w:val="nil"/>
              <w:left w:val="nil"/>
              <w:bottom w:val="single" w:sz="4" w:space="0" w:color="auto"/>
              <w:right w:val="nil"/>
            </w:tcBorders>
            <w:shd w:val="clear" w:color="000000" w:fill="D9D9D9"/>
            <w:noWrap/>
            <w:vAlign w:val="center"/>
            <w:hideMark/>
          </w:tcPr>
          <w:p w14:paraId="77F1057B"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746C3C10"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77491FBB"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4B5334C1"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521BB8A3" w14:textId="77777777" w:rsidR="006620DC" w:rsidRDefault="006620DC">
            <w:pPr>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0C872DF8" w14:textId="77777777" w:rsidR="006620DC" w:rsidRDefault="006620DC">
            <w:pPr>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38FB3406"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1807951C" w14:textId="77777777" w:rsidR="006620DC" w:rsidRDefault="006620DC">
            <w:pPr>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75F01F39" w14:textId="77777777" w:rsidR="006620DC" w:rsidRDefault="006620DC">
            <w:pPr>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17EAB58F" w14:textId="77777777" w:rsidR="006620DC" w:rsidRDefault="006620DC">
            <w:pPr>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2243FF80" w14:textId="77777777" w:rsidR="006620DC" w:rsidRDefault="006620DC">
            <w:pPr>
              <w:rPr>
                <w:b/>
                <w:bCs/>
                <w:color w:val="000000"/>
                <w:sz w:val="18"/>
                <w:szCs w:val="18"/>
              </w:rPr>
            </w:pPr>
            <w:r>
              <w:rPr>
                <w:b/>
                <w:bCs/>
                <w:color w:val="000000"/>
                <w:sz w:val="18"/>
                <w:szCs w:val="18"/>
              </w:rPr>
              <w:t> </w:t>
            </w:r>
          </w:p>
        </w:tc>
      </w:tr>
      <w:tr w:rsidR="00EA792F" w14:paraId="64F75AF4" w14:textId="77777777" w:rsidTr="00B675D3">
        <w:trPr>
          <w:trHeight w:val="73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0E574B09" w14:textId="77777777" w:rsidR="00EA792F" w:rsidRDefault="00EA792F">
            <w:pPr>
              <w:rPr>
                <w:color w:val="000000"/>
                <w:sz w:val="18"/>
                <w:szCs w:val="18"/>
              </w:rPr>
            </w:pPr>
            <w:r>
              <w:rPr>
                <w:color w:val="000000"/>
                <w:sz w:val="18"/>
                <w:szCs w:val="18"/>
              </w:rPr>
              <w:t>Notification of Hazardous Waste Activity under RCRA Section 3010 - Initial Notification - Complete and submit EPA Form 8700-12</w:t>
            </w:r>
          </w:p>
        </w:tc>
        <w:tc>
          <w:tcPr>
            <w:tcW w:w="801" w:type="dxa"/>
            <w:tcBorders>
              <w:top w:val="nil"/>
              <w:left w:val="nil"/>
              <w:bottom w:val="single" w:sz="4" w:space="0" w:color="auto"/>
              <w:right w:val="single" w:sz="4" w:space="0" w:color="auto"/>
            </w:tcBorders>
            <w:shd w:val="clear" w:color="auto" w:fill="auto"/>
            <w:noWrap/>
            <w:vAlign w:val="bottom"/>
            <w:hideMark/>
          </w:tcPr>
          <w:p w14:paraId="45E65E67" w14:textId="06752E63" w:rsidR="00EA792F" w:rsidRDefault="00EA792F">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31C06FDC" w14:textId="58814F79" w:rsidR="00EA792F" w:rsidRDefault="00EA792F">
            <w:pPr>
              <w:jc w:val="right"/>
              <w:rPr>
                <w:color w:val="000000"/>
                <w:sz w:val="18"/>
                <w:szCs w:val="18"/>
              </w:rPr>
            </w:pPr>
            <w:r>
              <w:rPr>
                <w:color w:val="000000"/>
                <w:sz w:val="18"/>
                <w:szCs w:val="18"/>
              </w:rPr>
              <w:t>0.08</w:t>
            </w:r>
          </w:p>
        </w:tc>
        <w:tc>
          <w:tcPr>
            <w:tcW w:w="966" w:type="dxa"/>
            <w:tcBorders>
              <w:top w:val="nil"/>
              <w:left w:val="nil"/>
              <w:bottom w:val="single" w:sz="4" w:space="0" w:color="auto"/>
              <w:right w:val="single" w:sz="4" w:space="0" w:color="auto"/>
            </w:tcBorders>
            <w:shd w:val="clear" w:color="auto" w:fill="auto"/>
            <w:noWrap/>
            <w:vAlign w:val="bottom"/>
            <w:hideMark/>
          </w:tcPr>
          <w:p w14:paraId="3E90079D" w14:textId="73D2C80B" w:rsidR="00EA792F" w:rsidRDefault="00EA792F">
            <w:pPr>
              <w:jc w:val="right"/>
              <w:rPr>
                <w:color w:val="000000"/>
                <w:sz w:val="18"/>
                <w:szCs w:val="18"/>
              </w:rPr>
            </w:pPr>
            <w:r>
              <w:rPr>
                <w:color w:val="000000"/>
                <w:sz w:val="18"/>
                <w:szCs w:val="18"/>
              </w:rPr>
              <w:t>0.93</w:t>
            </w:r>
          </w:p>
        </w:tc>
        <w:tc>
          <w:tcPr>
            <w:tcW w:w="792" w:type="dxa"/>
            <w:tcBorders>
              <w:top w:val="nil"/>
              <w:left w:val="nil"/>
              <w:bottom w:val="single" w:sz="4" w:space="0" w:color="auto"/>
              <w:right w:val="single" w:sz="4" w:space="0" w:color="auto"/>
            </w:tcBorders>
            <w:shd w:val="clear" w:color="auto" w:fill="auto"/>
            <w:noWrap/>
            <w:vAlign w:val="bottom"/>
            <w:hideMark/>
          </w:tcPr>
          <w:p w14:paraId="3680F0D2" w14:textId="78514E32" w:rsidR="00EA792F" w:rsidRDefault="00EA792F">
            <w:pPr>
              <w:jc w:val="right"/>
              <w:rPr>
                <w:color w:val="000000"/>
                <w:sz w:val="18"/>
                <w:szCs w:val="18"/>
              </w:rPr>
            </w:pPr>
            <w:r>
              <w:rPr>
                <w:color w:val="000000"/>
                <w:sz w:val="18"/>
                <w:szCs w:val="18"/>
              </w:rPr>
              <w:t>0.08</w:t>
            </w:r>
          </w:p>
        </w:tc>
        <w:tc>
          <w:tcPr>
            <w:tcW w:w="1216" w:type="dxa"/>
            <w:tcBorders>
              <w:top w:val="nil"/>
              <w:left w:val="nil"/>
              <w:bottom w:val="single" w:sz="4" w:space="0" w:color="auto"/>
              <w:right w:val="single" w:sz="4" w:space="0" w:color="auto"/>
            </w:tcBorders>
            <w:shd w:val="clear" w:color="auto" w:fill="auto"/>
            <w:noWrap/>
            <w:vAlign w:val="bottom"/>
            <w:hideMark/>
          </w:tcPr>
          <w:p w14:paraId="0BA37984" w14:textId="6231CC46" w:rsidR="00EA792F" w:rsidRDefault="00EA792F">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19796C89" w14:textId="2B7679DD" w:rsidR="00EA792F" w:rsidRDefault="00EA792F">
            <w:pPr>
              <w:jc w:val="right"/>
              <w:rPr>
                <w:color w:val="000000"/>
                <w:sz w:val="18"/>
                <w:szCs w:val="18"/>
              </w:rPr>
            </w:pPr>
            <w:r>
              <w:rPr>
                <w:color w:val="000000"/>
                <w:sz w:val="18"/>
                <w:szCs w:val="18"/>
              </w:rPr>
              <w:t>3.8</w:t>
            </w:r>
          </w:p>
        </w:tc>
        <w:tc>
          <w:tcPr>
            <w:tcW w:w="905" w:type="dxa"/>
            <w:tcBorders>
              <w:top w:val="nil"/>
              <w:left w:val="nil"/>
              <w:bottom w:val="single" w:sz="4" w:space="0" w:color="auto"/>
              <w:right w:val="single" w:sz="4" w:space="0" w:color="auto"/>
            </w:tcBorders>
            <w:shd w:val="clear" w:color="auto" w:fill="auto"/>
            <w:noWrap/>
            <w:vAlign w:val="bottom"/>
            <w:hideMark/>
          </w:tcPr>
          <w:p w14:paraId="6245845B" w14:textId="1487436B" w:rsidR="00EA792F" w:rsidRDefault="00EA792F">
            <w:pPr>
              <w:jc w:val="right"/>
              <w:rPr>
                <w:color w:val="000000"/>
                <w:sz w:val="18"/>
                <w:szCs w:val="18"/>
              </w:rPr>
            </w:pPr>
            <w:r>
              <w:rPr>
                <w:color w:val="000000"/>
                <w:sz w:val="18"/>
                <w:szCs w:val="18"/>
              </w:rPr>
              <w:t>0</w:t>
            </w:r>
            <w:r w:rsidR="00A5645F">
              <w:rPr>
                <w:color w:val="000000"/>
                <w:sz w:val="18"/>
                <w:szCs w:val="18"/>
              </w:rPr>
              <w:t>.4</w:t>
            </w:r>
          </w:p>
        </w:tc>
        <w:tc>
          <w:tcPr>
            <w:tcW w:w="1236" w:type="dxa"/>
            <w:tcBorders>
              <w:top w:val="nil"/>
              <w:left w:val="nil"/>
              <w:bottom w:val="single" w:sz="4" w:space="0" w:color="auto"/>
              <w:right w:val="single" w:sz="4" w:space="0" w:color="auto"/>
            </w:tcBorders>
            <w:shd w:val="clear" w:color="auto" w:fill="auto"/>
            <w:noWrap/>
            <w:vAlign w:val="bottom"/>
            <w:hideMark/>
          </w:tcPr>
          <w:p w14:paraId="1FF386EE" w14:textId="51D8E015" w:rsidR="00EA792F" w:rsidRDefault="00EA792F">
            <w:pPr>
              <w:jc w:val="right"/>
              <w:rPr>
                <w:color w:val="000000"/>
                <w:sz w:val="18"/>
                <w:szCs w:val="18"/>
              </w:rPr>
            </w:pPr>
            <w:r>
              <w:rPr>
                <w:color w:val="000000"/>
                <w:sz w:val="18"/>
                <w:szCs w:val="18"/>
              </w:rPr>
              <w:t xml:space="preserve">                    0</w:t>
            </w:r>
            <w:r w:rsidR="00A5645F">
              <w:rPr>
                <w:color w:val="000000"/>
                <w:sz w:val="18"/>
                <w:szCs w:val="18"/>
              </w:rPr>
              <w:t>.4</w:t>
            </w:r>
            <w:r>
              <w:rPr>
                <w:color w:val="000000"/>
                <w:sz w:val="18"/>
                <w:szCs w:val="18"/>
              </w:rPr>
              <w:t xml:space="preserve"> </w:t>
            </w:r>
          </w:p>
        </w:tc>
        <w:tc>
          <w:tcPr>
            <w:tcW w:w="848" w:type="dxa"/>
            <w:tcBorders>
              <w:top w:val="nil"/>
              <w:left w:val="nil"/>
              <w:bottom w:val="single" w:sz="4" w:space="0" w:color="auto"/>
              <w:right w:val="single" w:sz="4" w:space="0" w:color="auto"/>
            </w:tcBorders>
            <w:shd w:val="clear" w:color="auto" w:fill="auto"/>
            <w:noWrap/>
            <w:vAlign w:val="bottom"/>
            <w:hideMark/>
          </w:tcPr>
          <w:p w14:paraId="5C8C1334" w14:textId="19A5F5DE" w:rsidR="00EA792F" w:rsidRDefault="00EA792F">
            <w:pPr>
              <w:jc w:val="right"/>
              <w:rPr>
                <w:color w:val="000000"/>
                <w:sz w:val="18"/>
                <w:szCs w:val="18"/>
              </w:rPr>
            </w:pPr>
            <w:r>
              <w:rPr>
                <w:color w:val="000000"/>
                <w:sz w:val="18"/>
                <w:szCs w:val="18"/>
              </w:rPr>
              <w:t>$20</w:t>
            </w:r>
          </w:p>
        </w:tc>
        <w:tc>
          <w:tcPr>
            <w:tcW w:w="755" w:type="dxa"/>
            <w:tcBorders>
              <w:top w:val="nil"/>
              <w:left w:val="nil"/>
              <w:bottom w:val="single" w:sz="4" w:space="0" w:color="auto"/>
              <w:right w:val="single" w:sz="4" w:space="0" w:color="auto"/>
            </w:tcBorders>
            <w:shd w:val="clear" w:color="auto" w:fill="auto"/>
            <w:noWrap/>
            <w:vAlign w:val="bottom"/>
            <w:hideMark/>
          </w:tcPr>
          <w:p w14:paraId="04C99B52" w14:textId="0ED61560" w:rsidR="00EA792F" w:rsidRDefault="00EA792F">
            <w:pPr>
              <w:jc w:val="right"/>
              <w:rPr>
                <w:color w:val="000000"/>
                <w:sz w:val="18"/>
                <w:szCs w:val="18"/>
              </w:rPr>
            </w:pPr>
            <w:r>
              <w:rPr>
                <w:color w:val="000000"/>
                <w:sz w:val="18"/>
                <w:szCs w:val="18"/>
              </w:rPr>
              <w:t>$1</w:t>
            </w:r>
          </w:p>
        </w:tc>
        <w:tc>
          <w:tcPr>
            <w:tcW w:w="1343" w:type="dxa"/>
            <w:tcBorders>
              <w:top w:val="nil"/>
              <w:left w:val="nil"/>
              <w:bottom w:val="single" w:sz="4" w:space="0" w:color="auto"/>
              <w:right w:val="single" w:sz="4" w:space="0" w:color="auto"/>
            </w:tcBorders>
            <w:shd w:val="clear" w:color="auto" w:fill="auto"/>
            <w:noWrap/>
            <w:vAlign w:val="bottom"/>
            <w:hideMark/>
          </w:tcPr>
          <w:p w14:paraId="45583BB5" w14:textId="45FEC18A" w:rsidR="00EA792F" w:rsidRDefault="00EA792F">
            <w:pPr>
              <w:jc w:val="right"/>
              <w:rPr>
                <w:color w:val="000000"/>
                <w:sz w:val="18"/>
                <w:szCs w:val="18"/>
              </w:rPr>
            </w:pPr>
            <w:r>
              <w:rPr>
                <w:color w:val="000000"/>
                <w:sz w:val="18"/>
                <w:szCs w:val="18"/>
              </w:rPr>
              <w:t>$22</w:t>
            </w:r>
          </w:p>
        </w:tc>
      </w:tr>
      <w:tr w:rsidR="006620DC" w14:paraId="2F9F2CCE" w14:textId="77777777" w:rsidTr="00B675D3">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0069386F" w14:textId="77777777" w:rsidR="006620DC" w:rsidRDefault="006620DC">
            <w:pPr>
              <w:rPr>
                <w:b/>
                <w:bCs/>
                <w:color w:val="000000"/>
                <w:sz w:val="18"/>
                <w:szCs w:val="18"/>
              </w:rPr>
            </w:pPr>
            <w:r>
              <w:rPr>
                <w:b/>
                <w:bCs/>
                <w:color w:val="000000"/>
                <w:sz w:val="18"/>
                <w:szCs w:val="18"/>
              </w:rPr>
              <w:t>Rule Familiarization</w:t>
            </w:r>
          </w:p>
        </w:tc>
        <w:tc>
          <w:tcPr>
            <w:tcW w:w="801" w:type="dxa"/>
            <w:tcBorders>
              <w:top w:val="nil"/>
              <w:left w:val="nil"/>
              <w:bottom w:val="single" w:sz="4" w:space="0" w:color="auto"/>
              <w:right w:val="nil"/>
            </w:tcBorders>
            <w:shd w:val="clear" w:color="000000" w:fill="D9D9D9"/>
            <w:noWrap/>
            <w:vAlign w:val="center"/>
            <w:hideMark/>
          </w:tcPr>
          <w:p w14:paraId="5FA69C1E"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15C001AB"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020CCC06"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3FFBBFEC"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37FE8DFD"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3B99F7CE"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1CC46BF6"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366E72D7"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46387DF8"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00456119"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00AAB2EF" w14:textId="77777777" w:rsidR="006620DC" w:rsidRDefault="006620DC">
            <w:pPr>
              <w:jc w:val="right"/>
              <w:rPr>
                <w:b/>
                <w:bCs/>
                <w:color w:val="000000"/>
                <w:sz w:val="18"/>
                <w:szCs w:val="18"/>
              </w:rPr>
            </w:pPr>
            <w:r>
              <w:rPr>
                <w:b/>
                <w:bCs/>
                <w:color w:val="000000"/>
                <w:sz w:val="18"/>
                <w:szCs w:val="18"/>
              </w:rPr>
              <w:t> </w:t>
            </w:r>
          </w:p>
        </w:tc>
      </w:tr>
      <w:tr w:rsidR="00EA792F" w14:paraId="004FE0E2" w14:textId="77777777" w:rsidTr="00B675D3">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0886A29C" w14:textId="77777777" w:rsidR="00EA792F" w:rsidRDefault="00EA792F">
            <w:pPr>
              <w:rPr>
                <w:color w:val="000000"/>
                <w:sz w:val="18"/>
                <w:szCs w:val="18"/>
              </w:rPr>
            </w:pPr>
            <w:r>
              <w:rPr>
                <w:color w:val="000000"/>
                <w:sz w:val="18"/>
                <w:szCs w:val="18"/>
              </w:rPr>
              <w:t>Rule familiarization with legal counsel</w:t>
            </w:r>
          </w:p>
        </w:tc>
        <w:tc>
          <w:tcPr>
            <w:tcW w:w="801" w:type="dxa"/>
            <w:tcBorders>
              <w:top w:val="nil"/>
              <w:left w:val="nil"/>
              <w:bottom w:val="single" w:sz="4" w:space="0" w:color="auto"/>
              <w:right w:val="single" w:sz="4" w:space="0" w:color="auto"/>
            </w:tcBorders>
            <w:shd w:val="clear" w:color="auto" w:fill="auto"/>
            <w:noWrap/>
            <w:vAlign w:val="bottom"/>
            <w:hideMark/>
          </w:tcPr>
          <w:p w14:paraId="3018E336" w14:textId="5953B7C7" w:rsidR="00EA792F" w:rsidRDefault="00EA792F">
            <w:pPr>
              <w:jc w:val="right"/>
              <w:rPr>
                <w:color w:val="000000"/>
                <w:sz w:val="18"/>
                <w:szCs w:val="18"/>
              </w:rPr>
            </w:pPr>
            <w:r>
              <w:rPr>
                <w:color w:val="000000"/>
                <w:sz w:val="18"/>
                <w:szCs w:val="18"/>
              </w:rPr>
              <w:t>0.50</w:t>
            </w:r>
          </w:p>
        </w:tc>
        <w:tc>
          <w:tcPr>
            <w:tcW w:w="1106" w:type="dxa"/>
            <w:tcBorders>
              <w:top w:val="nil"/>
              <w:left w:val="nil"/>
              <w:bottom w:val="single" w:sz="4" w:space="0" w:color="auto"/>
              <w:right w:val="single" w:sz="4" w:space="0" w:color="auto"/>
            </w:tcBorders>
            <w:shd w:val="clear" w:color="auto" w:fill="auto"/>
            <w:noWrap/>
            <w:vAlign w:val="bottom"/>
            <w:hideMark/>
          </w:tcPr>
          <w:p w14:paraId="45D14C5C" w14:textId="7BBE35AA" w:rsidR="00EA792F" w:rsidRDefault="00EA792F">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096B32AD" w14:textId="4B1DBBEF" w:rsidR="00EA792F" w:rsidRDefault="00EA792F">
            <w:pPr>
              <w:jc w:val="right"/>
              <w:rPr>
                <w:color w:val="000000"/>
                <w:sz w:val="18"/>
                <w:szCs w:val="18"/>
              </w:rPr>
            </w:pPr>
            <w:r>
              <w:rPr>
                <w:color w:val="000000"/>
                <w:sz w:val="18"/>
                <w:szCs w:val="18"/>
              </w:rPr>
              <w:t>1.50</w:t>
            </w:r>
          </w:p>
        </w:tc>
        <w:tc>
          <w:tcPr>
            <w:tcW w:w="792" w:type="dxa"/>
            <w:tcBorders>
              <w:top w:val="nil"/>
              <w:left w:val="nil"/>
              <w:bottom w:val="single" w:sz="4" w:space="0" w:color="auto"/>
              <w:right w:val="single" w:sz="4" w:space="0" w:color="auto"/>
            </w:tcBorders>
            <w:shd w:val="clear" w:color="auto" w:fill="auto"/>
            <w:noWrap/>
            <w:vAlign w:val="bottom"/>
            <w:hideMark/>
          </w:tcPr>
          <w:p w14:paraId="7083D4BC" w14:textId="4EBF9F5B" w:rsidR="00EA792F" w:rsidRDefault="00EA792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0C8531DA" w14:textId="2851569A" w:rsidR="00EA792F" w:rsidRDefault="00EA792F">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6CD62DEB" w14:textId="5374250A" w:rsidR="00EA792F" w:rsidRDefault="00EA792F">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6FAC7346" w14:textId="29BDDB55" w:rsidR="00EA792F" w:rsidRDefault="00EA792F">
            <w:pPr>
              <w:jc w:val="right"/>
              <w:rPr>
                <w:color w:val="000000"/>
                <w:sz w:val="18"/>
                <w:szCs w:val="18"/>
              </w:rPr>
            </w:pPr>
            <w:r>
              <w:rPr>
                <w:color w:val="000000"/>
                <w:sz w:val="18"/>
                <w:szCs w:val="18"/>
              </w:rPr>
              <w:t>0.4</w:t>
            </w:r>
          </w:p>
        </w:tc>
        <w:tc>
          <w:tcPr>
            <w:tcW w:w="1236" w:type="dxa"/>
            <w:tcBorders>
              <w:top w:val="nil"/>
              <w:left w:val="nil"/>
              <w:bottom w:val="single" w:sz="4" w:space="0" w:color="auto"/>
              <w:right w:val="single" w:sz="4" w:space="0" w:color="auto"/>
            </w:tcBorders>
            <w:shd w:val="clear" w:color="auto" w:fill="auto"/>
            <w:noWrap/>
            <w:vAlign w:val="bottom"/>
            <w:hideMark/>
          </w:tcPr>
          <w:p w14:paraId="45CF3BA4" w14:textId="73941887" w:rsidR="00EA792F" w:rsidRDefault="00EA792F">
            <w:pPr>
              <w:jc w:val="right"/>
              <w:rPr>
                <w:color w:val="000000"/>
                <w:sz w:val="18"/>
                <w:szCs w:val="18"/>
              </w:rPr>
            </w:pPr>
            <w:r>
              <w:rPr>
                <w:color w:val="000000"/>
                <w:sz w:val="18"/>
                <w:szCs w:val="18"/>
              </w:rPr>
              <w:t xml:space="preserve">                    1 </w:t>
            </w:r>
          </w:p>
        </w:tc>
        <w:tc>
          <w:tcPr>
            <w:tcW w:w="848" w:type="dxa"/>
            <w:tcBorders>
              <w:top w:val="nil"/>
              <w:left w:val="nil"/>
              <w:bottom w:val="single" w:sz="4" w:space="0" w:color="auto"/>
              <w:right w:val="single" w:sz="4" w:space="0" w:color="auto"/>
            </w:tcBorders>
            <w:shd w:val="clear" w:color="auto" w:fill="auto"/>
            <w:noWrap/>
            <w:vAlign w:val="bottom"/>
            <w:hideMark/>
          </w:tcPr>
          <w:p w14:paraId="3A2FDC1E" w14:textId="137DEC48" w:rsidR="00EA792F" w:rsidRDefault="00EA792F">
            <w:pPr>
              <w:jc w:val="right"/>
              <w:rPr>
                <w:color w:val="000000"/>
                <w:sz w:val="18"/>
                <w:szCs w:val="18"/>
              </w:rPr>
            </w:pPr>
            <w:r>
              <w:rPr>
                <w:color w:val="000000"/>
                <w:sz w:val="18"/>
                <w:szCs w:val="18"/>
              </w:rPr>
              <w:t>$95</w:t>
            </w:r>
          </w:p>
        </w:tc>
        <w:tc>
          <w:tcPr>
            <w:tcW w:w="755" w:type="dxa"/>
            <w:tcBorders>
              <w:top w:val="nil"/>
              <w:left w:val="nil"/>
              <w:bottom w:val="single" w:sz="4" w:space="0" w:color="auto"/>
              <w:right w:val="single" w:sz="4" w:space="0" w:color="auto"/>
            </w:tcBorders>
            <w:shd w:val="clear" w:color="auto" w:fill="auto"/>
            <w:noWrap/>
            <w:vAlign w:val="bottom"/>
            <w:hideMark/>
          </w:tcPr>
          <w:p w14:paraId="591C470F" w14:textId="60DE3596" w:rsidR="00EA792F" w:rsidRDefault="00EA792F">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2CDEF453" w14:textId="47BA9482" w:rsidR="00EA792F" w:rsidRDefault="00EA792F">
            <w:pPr>
              <w:jc w:val="right"/>
              <w:rPr>
                <w:color w:val="000000"/>
                <w:sz w:val="18"/>
                <w:szCs w:val="18"/>
              </w:rPr>
            </w:pPr>
            <w:r>
              <w:rPr>
                <w:color w:val="000000"/>
                <w:sz w:val="18"/>
                <w:szCs w:val="18"/>
              </w:rPr>
              <w:t>$95</w:t>
            </w:r>
          </w:p>
        </w:tc>
      </w:tr>
      <w:tr w:rsidR="006620DC" w14:paraId="6B2792D7" w14:textId="77777777" w:rsidTr="00B675D3">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0F7D3854" w14:textId="77777777" w:rsidR="006620DC" w:rsidRDefault="006620DC">
            <w:pPr>
              <w:rPr>
                <w:b/>
                <w:bCs/>
                <w:color w:val="000000"/>
                <w:sz w:val="18"/>
                <w:szCs w:val="18"/>
              </w:rPr>
            </w:pPr>
            <w:r>
              <w:rPr>
                <w:b/>
                <w:bCs/>
                <w:color w:val="000000"/>
                <w:sz w:val="18"/>
                <w:szCs w:val="18"/>
              </w:rPr>
              <w:t>ANNUAL COSTS</w:t>
            </w:r>
          </w:p>
        </w:tc>
        <w:tc>
          <w:tcPr>
            <w:tcW w:w="801" w:type="dxa"/>
            <w:tcBorders>
              <w:top w:val="nil"/>
              <w:left w:val="nil"/>
              <w:bottom w:val="single" w:sz="4" w:space="0" w:color="auto"/>
              <w:right w:val="nil"/>
            </w:tcBorders>
            <w:shd w:val="clear" w:color="000000" w:fill="BFBFBF"/>
            <w:noWrap/>
            <w:vAlign w:val="bottom"/>
            <w:hideMark/>
          </w:tcPr>
          <w:p w14:paraId="51E69A7D"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16C18FE8"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1ABA7506"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7E28346D"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67704437"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BFBFBF"/>
            <w:noWrap/>
            <w:vAlign w:val="bottom"/>
            <w:hideMark/>
          </w:tcPr>
          <w:p w14:paraId="58F5CD51"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BFBFBF"/>
            <w:noWrap/>
            <w:vAlign w:val="bottom"/>
            <w:hideMark/>
          </w:tcPr>
          <w:p w14:paraId="68D2865F"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6F79E491"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BFBFBF"/>
            <w:noWrap/>
            <w:vAlign w:val="bottom"/>
            <w:hideMark/>
          </w:tcPr>
          <w:p w14:paraId="32428AC2"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BFBFBF"/>
            <w:noWrap/>
            <w:vAlign w:val="bottom"/>
            <w:hideMark/>
          </w:tcPr>
          <w:p w14:paraId="3DD20686"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BFBFBF"/>
            <w:noWrap/>
            <w:vAlign w:val="bottom"/>
            <w:hideMark/>
          </w:tcPr>
          <w:p w14:paraId="3D51188C" w14:textId="77777777" w:rsidR="006620DC" w:rsidRDefault="006620DC">
            <w:pPr>
              <w:jc w:val="right"/>
              <w:rPr>
                <w:b/>
                <w:bCs/>
                <w:color w:val="000000"/>
                <w:sz w:val="18"/>
                <w:szCs w:val="18"/>
              </w:rPr>
            </w:pPr>
            <w:r>
              <w:rPr>
                <w:b/>
                <w:bCs/>
                <w:color w:val="000000"/>
                <w:sz w:val="18"/>
                <w:szCs w:val="18"/>
              </w:rPr>
              <w:t> </w:t>
            </w:r>
          </w:p>
        </w:tc>
      </w:tr>
      <w:tr w:rsidR="006620DC" w14:paraId="2793624F" w14:textId="77777777" w:rsidTr="00B675D3">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68393618" w14:textId="77777777" w:rsidR="006620DC" w:rsidRDefault="006620DC">
            <w:pPr>
              <w:rPr>
                <w:b/>
                <w:bCs/>
                <w:color w:val="000000"/>
                <w:sz w:val="18"/>
                <w:szCs w:val="18"/>
              </w:rPr>
            </w:pPr>
            <w:r>
              <w:rPr>
                <w:b/>
                <w:bCs/>
                <w:color w:val="000000"/>
                <w:sz w:val="18"/>
                <w:szCs w:val="18"/>
              </w:rPr>
              <w:t>Annual Review of Regulations</w:t>
            </w:r>
          </w:p>
        </w:tc>
        <w:tc>
          <w:tcPr>
            <w:tcW w:w="801" w:type="dxa"/>
            <w:tcBorders>
              <w:top w:val="nil"/>
              <w:left w:val="nil"/>
              <w:bottom w:val="single" w:sz="4" w:space="0" w:color="auto"/>
              <w:right w:val="nil"/>
            </w:tcBorders>
            <w:shd w:val="clear" w:color="000000" w:fill="D9D9D9"/>
            <w:noWrap/>
            <w:vAlign w:val="center"/>
            <w:hideMark/>
          </w:tcPr>
          <w:p w14:paraId="75DD1773"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3DD983B9"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5C9F2E3E"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61BDD8CA"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4B32962C"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6EB7F930"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22DF9329"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761D54F2"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5E50CBF0"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5CAC9220"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636EAA98" w14:textId="77777777" w:rsidR="006620DC" w:rsidRDefault="006620DC">
            <w:pPr>
              <w:jc w:val="right"/>
              <w:rPr>
                <w:b/>
                <w:bCs/>
                <w:color w:val="000000"/>
                <w:sz w:val="18"/>
                <w:szCs w:val="18"/>
              </w:rPr>
            </w:pPr>
            <w:r>
              <w:rPr>
                <w:b/>
                <w:bCs/>
                <w:color w:val="000000"/>
                <w:sz w:val="18"/>
                <w:szCs w:val="18"/>
              </w:rPr>
              <w:t> </w:t>
            </w:r>
          </w:p>
        </w:tc>
      </w:tr>
      <w:tr w:rsidR="00EA792F" w14:paraId="245D8E6A" w14:textId="77777777" w:rsidTr="00B675D3">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C2F496A" w14:textId="77777777" w:rsidR="00EA792F" w:rsidRDefault="00EA792F">
            <w:pPr>
              <w:rPr>
                <w:color w:val="000000"/>
                <w:sz w:val="18"/>
                <w:szCs w:val="18"/>
              </w:rPr>
            </w:pPr>
            <w:r>
              <w:rPr>
                <w:color w:val="000000"/>
                <w:sz w:val="18"/>
                <w:szCs w:val="18"/>
              </w:rPr>
              <w:t>Read the Regulations</w:t>
            </w:r>
          </w:p>
        </w:tc>
        <w:tc>
          <w:tcPr>
            <w:tcW w:w="801" w:type="dxa"/>
            <w:tcBorders>
              <w:top w:val="nil"/>
              <w:left w:val="nil"/>
              <w:bottom w:val="single" w:sz="4" w:space="0" w:color="auto"/>
              <w:right w:val="single" w:sz="4" w:space="0" w:color="auto"/>
            </w:tcBorders>
            <w:shd w:val="clear" w:color="auto" w:fill="auto"/>
            <w:noWrap/>
            <w:vAlign w:val="bottom"/>
            <w:hideMark/>
          </w:tcPr>
          <w:p w14:paraId="1D2043BF" w14:textId="5BE010F9" w:rsidR="00EA792F" w:rsidRDefault="00EA792F">
            <w:pPr>
              <w:jc w:val="right"/>
              <w:rPr>
                <w:color w:val="000000"/>
                <w:sz w:val="18"/>
                <w:szCs w:val="18"/>
              </w:rPr>
            </w:pPr>
            <w:r>
              <w:rPr>
                <w:color w:val="000000"/>
                <w:sz w:val="18"/>
                <w:szCs w:val="18"/>
              </w:rPr>
              <w:t>0.25</w:t>
            </w:r>
          </w:p>
        </w:tc>
        <w:tc>
          <w:tcPr>
            <w:tcW w:w="1106" w:type="dxa"/>
            <w:tcBorders>
              <w:top w:val="nil"/>
              <w:left w:val="nil"/>
              <w:bottom w:val="single" w:sz="4" w:space="0" w:color="auto"/>
              <w:right w:val="single" w:sz="4" w:space="0" w:color="auto"/>
            </w:tcBorders>
            <w:shd w:val="clear" w:color="auto" w:fill="auto"/>
            <w:noWrap/>
            <w:vAlign w:val="bottom"/>
            <w:hideMark/>
          </w:tcPr>
          <w:p w14:paraId="79D3C0DD" w14:textId="3DF800D1" w:rsidR="00EA792F" w:rsidRDefault="00EA792F">
            <w:pPr>
              <w:jc w:val="right"/>
              <w:rPr>
                <w:color w:val="000000"/>
                <w:sz w:val="18"/>
                <w:szCs w:val="18"/>
              </w:rPr>
            </w:pPr>
            <w:r>
              <w:rPr>
                <w:color w:val="000000"/>
                <w:sz w:val="18"/>
                <w:szCs w:val="18"/>
              </w:rPr>
              <w:t>0.25</w:t>
            </w:r>
          </w:p>
        </w:tc>
        <w:tc>
          <w:tcPr>
            <w:tcW w:w="966" w:type="dxa"/>
            <w:tcBorders>
              <w:top w:val="nil"/>
              <w:left w:val="nil"/>
              <w:bottom w:val="single" w:sz="4" w:space="0" w:color="auto"/>
              <w:right w:val="single" w:sz="4" w:space="0" w:color="auto"/>
            </w:tcBorders>
            <w:shd w:val="clear" w:color="auto" w:fill="auto"/>
            <w:noWrap/>
            <w:vAlign w:val="bottom"/>
            <w:hideMark/>
          </w:tcPr>
          <w:p w14:paraId="4B9ACD41" w14:textId="6E441C07" w:rsidR="00EA792F" w:rsidRDefault="00EA792F">
            <w:pPr>
              <w:jc w:val="right"/>
              <w:rPr>
                <w:color w:val="000000"/>
                <w:sz w:val="18"/>
                <w:szCs w:val="18"/>
              </w:rPr>
            </w:pPr>
            <w:r>
              <w:rPr>
                <w:color w:val="000000"/>
                <w:sz w:val="18"/>
                <w:szCs w:val="18"/>
              </w:rPr>
              <w:t>0.50</w:t>
            </w:r>
          </w:p>
        </w:tc>
        <w:tc>
          <w:tcPr>
            <w:tcW w:w="792" w:type="dxa"/>
            <w:tcBorders>
              <w:top w:val="nil"/>
              <w:left w:val="nil"/>
              <w:bottom w:val="single" w:sz="4" w:space="0" w:color="auto"/>
              <w:right w:val="single" w:sz="4" w:space="0" w:color="auto"/>
            </w:tcBorders>
            <w:shd w:val="clear" w:color="auto" w:fill="auto"/>
            <w:noWrap/>
            <w:vAlign w:val="bottom"/>
            <w:hideMark/>
          </w:tcPr>
          <w:p w14:paraId="0CC110E8" w14:textId="45F42B09" w:rsidR="00EA792F" w:rsidRDefault="00EA792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65B24309" w14:textId="4323C0BA" w:rsidR="00EA792F" w:rsidRDefault="00EA792F">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02C2974D" w14:textId="4DA56BD9" w:rsidR="00EA792F" w:rsidRDefault="00EA792F">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7E330F14" w14:textId="5E273A39" w:rsidR="00EA792F" w:rsidRDefault="00EA792F">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07D6759F" w14:textId="21F1871B" w:rsidR="00EA792F" w:rsidRDefault="00EA792F">
            <w:pPr>
              <w:jc w:val="right"/>
              <w:rPr>
                <w:color w:val="000000"/>
                <w:sz w:val="18"/>
                <w:szCs w:val="18"/>
              </w:rPr>
            </w:pPr>
            <w:r>
              <w:rPr>
                <w:color w:val="000000"/>
                <w:sz w:val="18"/>
                <w:szCs w:val="18"/>
              </w:rPr>
              <w:t xml:space="preserve">                    6 </w:t>
            </w:r>
          </w:p>
        </w:tc>
        <w:tc>
          <w:tcPr>
            <w:tcW w:w="848" w:type="dxa"/>
            <w:tcBorders>
              <w:top w:val="nil"/>
              <w:left w:val="nil"/>
              <w:bottom w:val="single" w:sz="4" w:space="0" w:color="auto"/>
              <w:right w:val="single" w:sz="4" w:space="0" w:color="auto"/>
            </w:tcBorders>
            <w:shd w:val="clear" w:color="auto" w:fill="auto"/>
            <w:noWrap/>
            <w:vAlign w:val="bottom"/>
            <w:hideMark/>
          </w:tcPr>
          <w:p w14:paraId="496B08D6" w14:textId="49D8EDF3" w:rsidR="00EA792F" w:rsidRDefault="00EA792F">
            <w:pPr>
              <w:jc w:val="right"/>
              <w:rPr>
                <w:color w:val="000000"/>
                <w:sz w:val="18"/>
                <w:szCs w:val="18"/>
              </w:rPr>
            </w:pPr>
            <w:r>
              <w:rPr>
                <w:color w:val="000000"/>
                <w:sz w:val="18"/>
                <w:szCs w:val="18"/>
              </w:rPr>
              <w:t>$559</w:t>
            </w:r>
          </w:p>
        </w:tc>
        <w:tc>
          <w:tcPr>
            <w:tcW w:w="755" w:type="dxa"/>
            <w:tcBorders>
              <w:top w:val="nil"/>
              <w:left w:val="nil"/>
              <w:bottom w:val="single" w:sz="4" w:space="0" w:color="auto"/>
              <w:right w:val="single" w:sz="4" w:space="0" w:color="auto"/>
            </w:tcBorders>
            <w:shd w:val="clear" w:color="auto" w:fill="auto"/>
            <w:noWrap/>
            <w:vAlign w:val="bottom"/>
            <w:hideMark/>
          </w:tcPr>
          <w:p w14:paraId="2A3EDCCD" w14:textId="222D66A2" w:rsidR="00EA792F" w:rsidRDefault="00EA792F">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48A95CE5" w14:textId="42C72925" w:rsidR="00EA792F" w:rsidRDefault="00EA792F">
            <w:pPr>
              <w:jc w:val="right"/>
              <w:rPr>
                <w:color w:val="000000"/>
                <w:sz w:val="18"/>
                <w:szCs w:val="18"/>
              </w:rPr>
            </w:pPr>
            <w:r>
              <w:rPr>
                <w:color w:val="000000"/>
                <w:sz w:val="18"/>
                <w:szCs w:val="18"/>
              </w:rPr>
              <w:t>$559</w:t>
            </w:r>
          </w:p>
        </w:tc>
      </w:tr>
      <w:tr w:rsidR="006620DC" w14:paraId="7F6EE6C3" w14:textId="77777777" w:rsidTr="00B675D3">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322FB282" w14:textId="77777777" w:rsidR="006620DC" w:rsidRDefault="006620DC">
            <w:pPr>
              <w:rPr>
                <w:b/>
                <w:bCs/>
                <w:color w:val="000000"/>
                <w:sz w:val="18"/>
                <w:szCs w:val="18"/>
              </w:rPr>
            </w:pPr>
            <w:r>
              <w:rPr>
                <w:b/>
                <w:bCs/>
                <w:color w:val="000000"/>
                <w:sz w:val="18"/>
                <w:szCs w:val="18"/>
              </w:rPr>
              <w:t xml:space="preserve">Personnel Safety Training </w:t>
            </w:r>
          </w:p>
        </w:tc>
        <w:tc>
          <w:tcPr>
            <w:tcW w:w="801" w:type="dxa"/>
            <w:tcBorders>
              <w:top w:val="nil"/>
              <w:left w:val="nil"/>
              <w:bottom w:val="single" w:sz="4" w:space="0" w:color="auto"/>
              <w:right w:val="nil"/>
            </w:tcBorders>
            <w:shd w:val="clear" w:color="000000" w:fill="D9D9D9"/>
            <w:noWrap/>
            <w:vAlign w:val="center"/>
            <w:hideMark/>
          </w:tcPr>
          <w:p w14:paraId="6ADFE7C3"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2ACB0912"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4A27BA4D"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7122EFBD"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645428B5"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0BAA9C1F"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2B34081C"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0627F284"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458F6B59"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2A16146B"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2C1A139B" w14:textId="77777777" w:rsidR="006620DC" w:rsidRDefault="006620DC">
            <w:pPr>
              <w:jc w:val="right"/>
              <w:rPr>
                <w:b/>
                <w:bCs/>
                <w:color w:val="000000"/>
                <w:sz w:val="18"/>
                <w:szCs w:val="18"/>
              </w:rPr>
            </w:pPr>
            <w:r>
              <w:rPr>
                <w:b/>
                <w:bCs/>
                <w:color w:val="000000"/>
                <w:sz w:val="18"/>
                <w:szCs w:val="18"/>
              </w:rPr>
              <w:t> </w:t>
            </w:r>
          </w:p>
        </w:tc>
      </w:tr>
      <w:tr w:rsidR="00EA792F" w14:paraId="2F421F68" w14:textId="77777777" w:rsidTr="00B675D3">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C97D5A7" w14:textId="77777777" w:rsidR="00EA792F" w:rsidRDefault="00EA792F">
            <w:pPr>
              <w:rPr>
                <w:color w:val="000000"/>
                <w:sz w:val="18"/>
                <w:szCs w:val="18"/>
              </w:rPr>
            </w:pPr>
            <w:r>
              <w:rPr>
                <w:color w:val="000000"/>
                <w:sz w:val="18"/>
                <w:szCs w:val="18"/>
              </w:rPr>
              <w:t>Training</w:t>
            </w:r>
          </w:p>
        </w:tc>
        <w:tc>
          <w:tcPr>
            <w:tcW w:w="801" w:type="dxa"/>
            <w:tcBorders>
              <w:top w:val="nil"/>
              <w:left w:val="nil"/>
              <w:bottom w:val="single" w:sz="4" w:space="0" w:color="auto"/>
              <w:right w:val="single" w:sz="4" w:space="0" w:color="auto"/>
            </w:tcBorders>
            <w:shd w:val="clear" w:color="auto" w:fill="auto"/>
            <w:noWrap/>
            <w:vAlign w:val="bottom"/>
            <w:hideMark/>
          </w:tcPr>
          <w:p w14:paraId="47EC4999" w14:textId="6D82578A" w:rsidR="00EA792F" w:rsidRDefault="00EA792F">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4ED05BEE" w14:textId="3C6546F0" w:rsidR="00EA792F" w:rsidRDefault="00EA792F">
            <w:pPr>
              <w:jc w:val="right"/>
              <w:rPr>
                <w:color w:val="000000"/>
                <w:sz w:val="18"/>
                <w:szCs w:val="18"/>
              </w:rPr>
            </w:pPr>
            <w:r>
              <w:rPr>
                <w:color w:val="000000"/>
                <w:sz w:val="18"/>
                <w:szCs w:val="18"/>
              </w:rPr>
              <w:t>8.00</w:t>
            </w:r>
          </w:p>
        </w:tc>
        <w:tc>
          <w:tcPr>
            <w:tcW w:w="966" w:type="dxa"/>
            <w:tcBorders>
              <w:top w:val="nil"/>
              <w:left w:val="nil"/>
              <w:bottom w:val="single" w:sz="4" w:space="0" w:color="auto"/>
              <w:right w:val="single" w:sz="4" w:space="0" w:color="auto"/>
            </w:tcBorders>
            <w:shd w:val="clear" w:color="auto" w:fill="auto"/>
            <w:noWrap/>
            <w:vAlign w:val="bottom"/>
            <w:hideMark/>
          </w:tcPr>
          <w:p w14:paraId="2A63A223" w14:textId="145F3E21" w:rsidR="00EA792F" w:rsidRDefault="00EA792F">
            <w:pPr>
              <w:jc w:val="right"/>
              <w:rPr>
                <w:color w:val="000000"/>
                <w:sz w:val="18"/>
                <w:szCs w:val="18"/>
              </w:rPr>
            </w:pPr>
            <w:r>
              <w:rPr>
                <w:color w:val="000000"/>
                <w:sz w:val="18"/>
                <w:szCs w:val="18"/>
              </w:rPr>
              <w:t>8.00</w:t>
            </w:r>
          </w:p>
        </w:tc>
        <w:tc>
          <w:tcPr>
            <w:tcW w:w="792" w:type="dxa"/>
            <w:tcBorders>
              <w:top w:val="nil"/>
              <w:left w:val="nil"/>
              <w:bottom w:val="single" w:sz="4" w:space="0" w:color="auto"/>
              <w:right w:val="single" w:sz="4" w:space="0" w:color="auto"/>
            </w:tcBorders>
            <w:shd w:val="clear" w:color="auto" w:fill="auto"/>
            <w:noWrap/>
            <w:vAlign w:val="bottom"/>
            <w:hideMark/>
          </w:tcPr>
          <w:p w14:paraId="4B4FE90A" w14:textId="24DF42C5" w:rsidR="00EA792F" w:rsidRDefault="00EA792F">
            <w:pPr>
              <w:jc w:val="right"/>
              <w:rPr>
                <w:color w:val="000000"/>
                <w:sz w:val="18"/>
                <w:szCs w:val="18"/>
              </w:rPr>
            </w:pPr>
            <w:r>
              <w:rPr>
                <w:color w:val="000000"/>
                <w:sz w:val="18"/>
                <w:szCs w:val="18"/>
              </w:rPr>
              <w:t>0.60</w:t>
            </w:r>
          </w:p>
        </w:tc>
        <w:tc>
          <w:tcPr>
            <w:tcW w:w="1216" w:type="dxa"/>
            <w:tcBorders>
              <w:top w:val="nil"/>
              <w:left w:val="nil"/>
              <w:bottom w:val="single" w:sz="4" w:space="0" w:color="auto"/>
              <w:right w:val="single" w:sz="4" w:space="0" w:color="auto"/>
            </w:tcBorders>
            <w:shd w:val="clear" w:color="auto" w:fill="auto"/>
            <w:noWrap/>
            <w:vAlign w:val="bottom"/>
            <w:hideMark/>
          </w:tcPr>
          <w:p w14:paraId="53ABF3AE" w14:textId="24113DAF" w:rsidR="00EA792F" w:rsidRDefault="00EA792F">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06B04C41" w14:textId="44782C4E" w:rsidR="00EA792F" w:rsidRDefault="00EA792F">
            <w:pPr>
              <w:jc w:val="right"/>
              <w:rPr>
                <w:color w:val="000000"/>
                <w:sz w:val="18"/>
                <w:szCs w:val="18"/>
              </w:rPr>
            </w:pPr>
            <w:r>
              <w:rPr>
                <w:color w:val="000000"/>
                <w:sz w:val="18"/>
                <w:szCs w:val="18"/>
              </w:rPr>
              <w:t>0</w:t>
            </w:r>
          </w:p>
        </w:tc>
        <w:tc>
          <w:tcPr>
            <w:tcW w:w="905" w:type="dxa"/>
            <w:tcBorders>
              <w:top w:val="nil"/>
              <w:left w:val="nil"/>
              <w:bottom w:val="single" w:sz="4" w:space="0" w:color="auto"/>
              <w:right w:val="single" w:sz="4" w:space="0" w:color="auto"/>
            </w:tcBorders>
            <w:shd w:val="clear" w:color="auto" w:fill="auto"/>
            <w:noWrap/>
            <w:vAlign w:val="bottom"/>
            <w:hideMark/>
          </w:tcPr>
          <w:p w14:paraId="346A1EA0" w14:textId="51487BFC" w:rsidR="00EA792F" w:rsidRDefault="00EA792F">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66259EC3" w14:textId="64C94F9B" w:rsidR="00EA792F" w:rsidRDefault="00EA792F">
            <w:pPr>
              <w:jc w:val="right"/>
              <w:rPr>
                <w:color w:val="000000"/>
                <w:sz w:val="18"/>
                <w:szCs w:val="18"/>
              </w:rPr>
            </w:pPr>
            <w:r>
              <w:rPr>
                <w:color w:val="000000"/>
                <w:sz w:val="18"/>
                <w:szCs w:val="18"/>
              </w:rPr>
              <w:t xml:space="preserve">                100 </w:t>
            </w:r>
          </w:p>
        </w:tc>
        <w:tc>
          <w:tcPr>
            <w:tcW w:w="848" w:type="dxa"/>
            <w:tcBorders>
              <w:top w:val="nil"/>
              <w:left w:val="nil"/>
              <w:bottom w:val="single" w:sz="4" w:space="0" w:color="auto"/>
              <w:right w:val="single" w:sz="4" w:space="0" w:color="auto"/>
            </w:tcBorders>
            <w:shd w:val="clear" w:color="auto" w:fill="auto"/>
            <w:noWrap/>
            <w:vAlign w:val="bottom"/>
            <w:hideMark/>
          </w:tcPr>
          <w:p w14:paraId="4C489959" w14:textId="19FFDE14" w:rsidR="00EA792F" w:rsidRDefault="00EA792F">
            <w:pPr>
              <w:jc w:val="right"/>
              <w:rPr>
                <w:color w:val="000000"/>
                <w:sz w:val="18"/>
                <w:szCs w:val="18"/>
              </w:rPr>
            </w:pPr>
            <w:r>
              <w:rPr>
                <w:color w:val="000000"/>
                <w:sz w:val="18"/>
                <w:szCs w:val="18"/>
              </w:rPr>
              <w:t>$7,958</w:t>
            </w:r>
          </w:p>
        </w:tc>
        <w:tc>
          <w:tcPr>
            <w:tcW w:w="755" w:type="dxa"/>
            <w:tcBorders>
              <w:top w:val="nil"/>
              <w:left w:val="nil"/>
              <w:bottom w:val="single" w:sz="4" w:space="0" w:color="auto"/>
              <w:right w:val="single" w:sz="4" w:space="0" w:color="auto"/>
            </w:tcBorders>
            <w:shd w:val="clear" w:color="auto" w:fill="auto"/>
            <w:noWrap/>
            <w:vAlign w:val="bottom"/>
            <w:hideMark/>
          </w:tcPr>
          <w:p w14:paraId="182FC480" w14:textId="07F766E8" w:rsidR="00EA792F" w:rsidRDefault="00EA792F">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7B921BD1" w14:textId="39338A41" w:rsidR="00EA792F" w:rsidRDefault="00EA792F">
            <w:pPr>
              <w:jc w:val="right"/>
              <w:rPr>
                <w:color w:val="000000"/>
                <w:sz w:val="18"/>
                <w:szCs w:val="18"/>
              </w:rPr>
            </w:pPr>
            <w:r>
              <w:rPr>
                <w:color w:val="000000"/>
                <w:sz w:val="18"/>
                <w:szCs w:val="18"/>
              </w:rPr>
              <w:t>$7,958</w:t>
            </w:r>
          </w:p>
        </w:tc>
      </w:tr>
      <w:tr w:rsidR="006620DC" w14:paraId="2E635427" w14:textId="77777777" w:rsidTr="00B675D3">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29A99E40" w14:textId="77777777" w:rsidR="006620DC" w:rsidRDefault="006620DC">
            <w:pPr>
              <w:rPr>
                <w:b/>
                <w:bCs/>
                <w:color w:val="000000"/>
                <w:sz w:val="18"/>
                <w:szCs w:val="18"/>
              </w:rPr>
            </w:pPr>
            <w:r>
              <w:rPr>
                <w:b/>
                <w:bCs/>
                <w:color w:val="000000"/>
                <w:sz w:val="18"/>
                <w:szCs w:val="18"/>
              </w:rPr>
              <w:t>Rule Familiarization</w:t>
            </w:r>
          </w:p>
        </w:tc>
        <w:tc>
          <w:tcPr>
            <w:tcW w:w="801" w:type="dxa"/>
            <w:tcBorders>
              <w:top w:val="nil"/>
              <w:left w:val="nil"/>
              <w:bottom w:val="single" w:sz="4" w:space="0" w:color="auto"/>
              <w:right w:val="nil"/>
            </w:tcBorders>
            <w:shd w:val="clear" w:color="000000" w:fill="D9D9D9"/>
            <w:vAlign w:val="center"/>
            <w:hideMark/>
          </w:tcPr>
          <w:p w14:paraId="6B28CE2C"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177A4E6B"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4A1F3005"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2981FECB"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7B187674"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vAlign w:val="center"/>
            <w:hideMark/>
          </w:tcPr>
          <w:p w14:paraId="74852FA2"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vAlign w:val="center"/>
            <w:hideMark/>
          </w:tcPr>
          <w:p w14:paraId="34813E7B"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5D46CC6C"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vAlign w:val="center"/>
            <w:hideMark/>
          </w:tcPr>
          <w:p w14:paraId="001D3FFA"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vAlign w:val="center"/>
            <w:hideMark/>
          </w:tcPr>
          <w:p w14:paraId="7D2C0D25"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vAlign w:val="center"/>
            <w:hideMark/>
          </w:tcPr>
          <w:p w14:paraId="1E012E8B" w14:textId="77777777" w:rsidR="006620DC" w:rsidRDefault="006620DC">
            <w:pPr>
              <w:jc w:val="right"/>
              <w:rPr>
                <w:b/>
                <w:bCs/>
                <w:color w:val="000000"/>
                <w:sz w:val="18"/>
                <w:szCs w:val="18"/>
              </w:rPr>
            </w:pPr>
            <w:r>
              <w:rPr>
                <w:b/>
                <w:bCs/>
                <w:color w:val="000000"/>
                <w:sz w:val="18"/>
                <w:szCs w:val="18"/>
              </w:rPr>
              <w:t> </w:t>
            </w:r>
          </w:p>
        </w:tc>
      </w:tr>
      <w:tr w:rsidR="00EA792F" w14:paraId="4CA7E2AC" w14:textId="77777777" w:rsidTr="00B675D3">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33A024D9" w14:textId="77777777" w:rsidR="00EA792F" w:rsidRDefault="00EA792F">
            <w:pPr>
              <w:rPr>
                <w:color w:val="000000"/>
                <w:sz w:val="18"/>
                <w:szCs w:val="18"/>
              </w:rPr>
            </w:pPr>
            <w:r>
              <w:rPr>
                <w:color w:val="000000"/>
                <w:sz w:val="18"/>
                <w:szCs w:val="18"/>
              </w:rPr>
              <w:t>Familiarization with proposed rule with legal council</w:t>
            </w:r>
          </w:p>
        </w:tc>
        <w:tc>
          <w:tcPr>
            <w:tcW w:w="801" w:type="dxa"/>
            <w:tcBorders>
              <w:top w:val="nil"/>
              <w:left w:val="nil"/>
              <w:bottom w:val="single" w:sz="4" w:space="0" w:color="auto"/>
              <w:right w:val="single" w:sz="4" w:space="0" w:color="auto"/>
            </w:tcBorders>
            <w:shd w:val="clear" w:color="auto" w:fill="auto"/>
            <w:noWrap/>
            <w:vAlign w:val="bottom"/>
            <w:hideMark/>
          </w:tcPr>
          <w:p w14:paraId="21B27A04" w14:textId="094BAD64" w:rsidR="00EA792F" w:rsidRDefault="00EA792F">
            <w:pPr>
              <w:jc w:val="right"/>
              <w:rPr>
                <w:color w:val="000000"/>
                <w:sz w:val="18"/>
                <w:szCs w:val="18"/>
              </w:rPr>
            </w:pPr>
            <w:r>
              <w:rPr>
                <w:color w:val="000000"/>
                <w:sz w:val="18"/>
                <w:szCs w:val="18"/>
              </w:rPr>
              <w:t>0.50</w:t>
            </w:r>
          </w:p>
        </w:tc>
        <w:tc>
          <w:tcPr>
            <w:tcW w:w="1106" w:type="dxa"/>
            <w:tcBorders>
              <w:top w:val="nil"/>
              <w:left w:val="nil"/>
              <w:bottom w:val="single" w:sz="4" w:space="0" w:color="auto"/>
              <w:right w:val="single" w:sz="4" w:space="0" w:color="auto"/>
            </w:tcBorders>
            <w:shd w:val="clear" w:color="auto" w:fill="auto"/>
            <w:noWrap/>
            <w:vAlign w:val="bottom"/>
            <w:hideMark/>
          </w:tcPr>
          <w:p w14:paraId="56FFB57B" w14:textId="37479DA3" w:rsidR="00EA792F" w:rsidRDefault="00EA792F">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2AE21B35" w14:textId="5177348E" w:rsidR="00EA792F" w:rsidRDefault="00EA792F">
            <w:pPr>
              <w:jc w:val="right"/>
              <w:rPr>
                <w:color w:val="000000"/>
                <w:sz w:val="18"/>
                <w:szCs w:val="18"/>
              </w:rPr>
            </w:pPr>
            <w:r>
              <w:rPr>
                <w:color w:val="000000"/>
                <w:sz w:val="18"/>
                <w:szCs w:val="18"/>
              </w:rPr>
              <w:t>1.50</w:t>
            </w:r>
          </w:p>
        </w:tc>
        <w:tc>
          <w:tcPr>
            <w:tcW w:w="792" w:type="dxa"/>
            <w:tcBorders>
              <w:top w:val="nil"/>
              <w:left w:val="nil"/>
              <w:bottom w:val="single" w:sz="4" w:space="0" w:color="auto"/>
              <w:right w:val="single" w:sz="4" w:space="0" w:color="auto"/>
            </w:tcBorders>
            <w:shd w:val="clear" w:color="auto" w:fill="auto"/>
            <w:noWrap/>
            <w:vAlign w:val="bottom"/>
            <w:hideMark/>
          </w:tcPr>
          <w:p w14:paraId="3F3A8CD5" w14:textId="65280A38" w:rsidR="00EA792F" w:rsidRDefault="00EA792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44399348" w14:textId="4C1CEFFE" w:rsidR="00EA792F" w:rsidRDefault="00EA792F">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6FD40B11" w14:textId="0D2FC176" w:rsidR="00EA792F" w:rsidRDefault="00EA792F">
            <w:pPr>
              <w:jc w:val="right"/>
              <w:rPr>
                <w:color w:val="000000"/>
                <w:sz w:val="18"/>
                <w:szCs w:val="18"/>
              </w:rPr>
            </w:pPr>
            <w:r>
              <w:rPr>
                <w:color w:val="000000"/>
                <w:sz w:val="18"/>
                <w:szCs w:val="18"/>
              </w:rPr>
              <w:t>$0.00</w:t>
            </w:r>
          </w:p>
        </w:tc>
        <w:tc>
          <w:tcPr>
            <w:tcW w:w="905" w:type="dxa"/>
            <w:tcBorders>
              <w:top w:val="nil"/>
              <w:left w:val="nil"/>
              <w:bottom w:val="single" w:sz="4" w:space="0" w:color="auto"/>
              <w:right w:val="single" w:sz="4" w:space="0" w:color="auto"/>
            </w:tcBorders>
            <w:shd w:val="clear" w:color="auto" w:fill="auto"/>
            <w:noWrap/>
            <w:vAlign w:val="bottom"/>
            <w:hideMark/>
          </w:tcPr>
          <w:p w14:paraId="34B98A2E" w14:textId="7C1D8BB4" w:rsidR="00EA792F" w:rsidRDefault="00EA792F">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4CF6DC0E" w14:textId="14856F4E" w:rsidR="00EA792F" w:rsidRDefault="00EA792F">
            <w:pPr>
              <w:jc w:val="right"/>
              <w:rPr>
                <w:color w:val="000000"/>
                <w:sz w:val="18"/>
                <w:szCs w:val="18"/>
              </w:rPr>
            </w:pPr>
            <w:r>
              <w:rPr>
                <w:color w:val="000000"/>
                <w:sz w:val="18"/>
                <w:szCs w:val="18"/>
              </w:rPr>
              <w:t xml:space="preserve">                  18 </w:t>
            </w:r>
          </w:p>
        </w:tc>
        <w:tc>
          <w:tcPr>
            <w:tcW w:w="848" w:type="dxa"/>
            <w:tcBorders>
              <w:top w:val="nil"/>
              <w:left w:val="nil"/>
              <w:bottom w:val="single" w:sz="4" w:space="0" w:color="auto"/>
              <w:right w:val="single" w:sz="4" w:space="0" w:color="auto"/>
            </w:tcBorders>
            <w:shd w:val="clear" w:color="auto" w:fill="auto"/>
            <w:noWrap/>
            <w:vAlign w:val="bottom"/>
            <w:hideMark/>
          </w:tcPr>
          <w:p w14:paraId="3564DAA8" w14:textId="5E0BC100" w:rsidR="00EA792F" w:rsidRDefault="00EA792F">
            <w:pPr>
              <w:jc w:val="right"/>
              <w:rPr>
                <w:color w:val="000000"/>
                <w:sz w:val="18"/>
                <w:szCs w:val="18"/>
              </w:rPr>
            </w:pPr>
            <w:r>
              <w:rPr>
                <w:color w:val="000000"/>
                <w:sz w:val="18"/>
                <w:szCs w:val="18"/>
              </w:rPr>
              <w:t>$113</w:t>
            </w:r>
          </w:p>
        </w:tc>
        <w:tc>
          <w:tcPr>
            <w:tcW w:w="755" w:type="dxa"/>
            <w:tcBorders>
              <w:top w:val="nil"/>
              <w:left w:val="nil"/>
              <w:bottom w:val="single" w:sz="4" w:space="0" w:color="auto"/>
              <w:right w:val="single" w:sz="4" w:space="0" w:color="auto"/>
            </w:tcBorders>
            <w:shd w:val="clear" w:color="auto" w:fill="auto"/>
            <w:noWrap/>
            <w:vAlign w:val="bottom"/>
            <w:hideMark/>
          </w:tcPr>
          <w:p w14:paraId="79252323" w14:textId="03F809A6" w:rsidR="00EA792F" w:rsidRDefault="00EA792F">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20C1FA31" w14:textId="5D96E751" w:rsidR="00EA792F" w:rsidRDefault="00EA792F">
            <w:pPr>
              <w:jc w:val="right"/>
              <w:rPr>
                <w:color w:val="000000"/>
                <w:sz w:val="18"/>
                <w:szCs w:val="18"/>
              </w:rPr>
            </w:pPr>
            <w:r>
              <w:rPr>
                <w:color w:val="000000"/>
                <w:sz w:val="18"/>
                <w:szCs w:val="18"/>
              </w:rPr>
              <w:t>$113</w:t>
            </w:r>
          </w:p>
        </w:tc>
      </w:tr>
      <w:tr w:rsidR="006620DC" w14:paraId="524543E2" w14:textId="77777777" w:rsidTr="00B675D3">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5FAFB527" w14:textId="77777777" w:rsidR="006620DC" w:rsidRDefault="006620DC">
            <w:pPr>
              <w:rPr>
                <w:b/>
                <w:bCs/>
                <w:color w:val="000000"/>
                <w:sz w:val="18"/>
                <w:szCs w:val="18"/>
              </w:rPr>
            </w:pPr>
            <w:r>
              <w:rPr>
                <w:b/>
                <w:bCs/>
                <w:color w:val="000000"/>
                <w:sz w:val="18"/>
                <w:szCs w:val="18"/>
              </w:rPr>
              <w:t>VARIABLE COSTS</w:t>
            </w:r>
          </w:p>
        </w:tc>
        <w:tc>
          <w:tcPr>
            <w:tcW w:w="801" w:type="dxa"/>
            <w:tcBorders>
              <w:top w:val="nil"/>
              <w:left w:val="nil"/>
              <w:bottom w:val="single" w:sz="4" w:space="0" w:color="auto"/>
              <w:right w:val="nil"/>
            </w:tcBorders>
            <w:shd w:val="clear" w:color="000000" w:fill="BFBFBF"/>
            <w:noWrap/>
            <w:vAlign w:val="bottom"/>
            <w:hideMark/>
          </w:tcPr>
          <w:p w14:paraId="72C57CBF"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1D4F9497"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1104193C"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6548C4FF"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33BA5F4D"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BFBFBF"/>
            <w:noWrap/>
            <w:vAlign w:val="bottom"/>
            <w:hideMark/>
          </w:tcPr>
          <w:p w14:paraId="0FE6DFB2"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BFBFBF"/>
            <w:noWrap/>
            <w:vAlign w:val="bottom"/>
            <w:hideMark/>
          </w:tcPr>
          <w:p w14:paraId="27207786"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23960A93"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BFBFBF"/>
            <w:noWrap/>
            <w:vAlign w:val="bottom"/>
            <w:hideMark/>
          </w:tcPr>
          <w:p w14:paraId="4E207A66"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BFBFBF"/>
            <w:noWrap/>
            <w:vAlign w:val="bottom"/>
            <w:hideMark/>
          </w:tcPr>
          <w:p w14:paraId="4F048275"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BFBFBF"/>
            <w:noWrap/>
            <w:vAlign w:val="bottom"/>
            <w:hideMark/>
          </w:tcPr>
          <w:p w14:paraId="7B0D8F74" w14:textId="77777777" w:rsidR="006620DC" w:rsidRDefault="006620DC">
            <w:pPr>
              <w:jc w:val="right"/>
              <w:rPr>
                <w:b/>
                <w:bCs/>
                <w:color w:val="000000"/>
                <w:sz w:val="18"/>
                <w:szCs w:val="18"/>
              </w:rPr>
            </w:pPr>
            <w:r>
              <w:rPr>
                <w:b/>
                <w:bCs/>
                <w:color w:val="000000"/>
                <w:sz w:val="18"/>
                <w:szCs w:val="18"/>
              </w:rPr>
              <w:t> </w:t>
            </w:r>
          </w:p>
        </w:tc>
      </w:tr>
      <w:tr w:rsidR="006620DC" w14:paraId="2C7ACE3B" w14:textId="77777777" w:rsidTr="00B675D3">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0264E35B" w14:textId="77777777" w:rsidR="006620DC" w:rsidRDefault="006620DC">
            <w:pPr>
              <w:rPr>
                <w:b/>
                <w:bCs/>
                <w:color w:val="000000"/>
                <w:sz w:val="18"/>
                <w:szCs w:val="18"/>
              </w:rPr>
            </w:pPr>
            <w:r>
              <w:rPr>
                <w:b/>
                <w:bCs/>
                <w:color w:val="000000"/>
                <w:sz w:val="18"/>
                <w:szCs w:val="18"/>
              </w:rPr>
              <w:t>Shipping Recordkeeping (per shipment)</w:t>
            </w:r>
          </w:p>
        </w:tc>
        <w:tc>
          <w:tcPr>
            <w:tcW w:w="801" w:type="dxa"/>
            <w:tcBorders>
              <w:top w:val="nil"/>
              <w:left w:val="nil"/>
              <w:bottom w:val="single" w:sz="4" w:space="0" w:color="auto"/>
              <w:right w:val="nil"/>
            </w:tcBorders>
            <w:shd w:val="clear" w:color="000000" w:fill="D9D9D9"/>
            <w:noWrap/>
            <w:vAlign w:val="center"/>
            <w:hideMark/>
          </w:tcPr>
          <w:p w14:paraId="7372C1B2"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147DB261"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3530DCF9"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2E9A1CF7"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695607C5" w14:textId="77777777" w:rsidR="006620DC" w:rsidRDefault="006620DC">
            <w:pPr>
              <w:jc w:val="right"/>
              <w:rPr>
                <w:b/>
                <w:bCs/>
                <w:color w:val="000000"/>
                <w:sz w:val="18"/>
                <w:szCs w:val="18"/>
              </w:rPr>
            </w:pPr>
            <w:r>
              <w:rPr>
                <w:b/>
                <w:bCs/>
                <w:color w:val="000000"/>
                <w:sz w:val="18"/>
                <w:szCs w:val="18"/>
              </w:rPr>
              <w:t> </w:t>
            </w:r>
          </w:p>
        </w:tc>
        <w:tc>
          <w:tcPr>
            <w:tcW w:w="990" w:type="dxa"/>
            <w:tcBorders>
              <w:top w:val="nil"/>
              <w:left w:val="nil"/>
              <w:bottom w:val="single" w:sz="4" w:space="0" w:color="auto"/>
              <w:right w:val="nil"/>
            </w:tcBorders>
            <w:shd w:val="clear" w:color="000000" w:fill="D9D9D9"/>
            <w:noWrap/>
            <w:vAlign w:val="center"/>
            <w:hideMark/>
          </w:tcPr>
          <w:p w14:paraId="2474FAD1" w14:textId="77777777" w:rsidR="006620DC" w:rsidRDefault="006620DC">
            <w:pPr>
              <w:jc w:val="right"/>
              <w:rPr>
                <w:b/>
                <w:bCs/>
                <w:color w:val="000000"/>
                <w:sz w:val="18"/>
                <w:szCs w:val="18"/>
              </w:rPr>
            </w:pPr>
            <w:r>
              <w:rPr>
                <w:b/>
                <w:bCs/>
                <w:color w:val="000000"/>
                <w:sz w:val="18"/>
                <w:szCs w:val="18"/>
              </w:rPr>
              <w:t> </w:t>
            </w:r>
          </w:p>
        </w:tc>
        <w:tc>
          <w:tcPr>
            <w:tcW w:w="905" w:type="dxa"/>
            <w:tcBorders>
              <w:top w:val="nil"/>
              <w:left w:val="nil"/>
              <w:bottom w:val="single" w:sz="4" w:space="0" w:color="auto"/>
              <w:right w:val="nil"/>
            </w:tcBorders>
            <w:shd w:val="clear" w:color="000000" w:fill="D9D9D9"/>
            <w:noWrap/>
            <w:vAlign w:val="center"/>
            <w:hideMark/>
          </w:tcPr>
          <w:p w14:paraId="36C6ED22"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0883F697" w14:textId="77777777" w:rsidR="006620DC" w:rsidRDefault="006620DC">
            <w:pPr>
              <w:jc w:val="right"/>
              <w:rPr>
                <w:b/>
                <w:bCs/>
                <w:color w:val="000000"/>
                <w:sz w:val="18"/>
                <w:szCs w:val="18"/>
              </w:rPr>
            </w:pPr>
            <w:r>
              <w:rPr>
                <w:b/>
                <w:bCs/>
                <w:color w:val="000000"/>
                <w:sz w:val="18"/>
                <w:szCs w:val="18"/>
              </w:rPr>
              <w:t> </w:t>
            </w:r>
          </w:p>
        </w:tc>
        <w:tc>
          <w:tcPr>
            <w:tcW w:w="848" w:type="dxa"/>
            <w:tcBorders>
              <w:top w:val="nil"/>
              <w:left w:val="nil"/>
              <w:bottom w:val="single" w:sz="4" w:space="0" w:color="auto"/>
              <w:right w:val="nil"/>
            </w:tcBorders>
            <w:shd w:val="clear" w:color="000000" w:fill="D9D9D9"/>
            <w:noWrap/>
            <w:vAlign w:val="center"/>
            <w:hideMark/>
          </w:tcPr>
          <w:p w14:paraId="4997AC09" w14:textId="77777777" w:rsidR="006620DC" w:rsidRDefault="006620DC">
            <w:pPr>
              <w:jc w:val="right"/>
              <w:rPr>
                <w:b/>
                <w:bCs/>
                <w:color w:val="000000"/>
                <w:sz w:val="18"/>
                <w:szCs w:val="18"/>
              </w:rPr>
            </w:pPr>
            <w:r>
              <w:rPr>
                <w:b/>
                <w:bCs/>
                <w:color w:val="000000"/>
                <w:sz w:val="18"/>
                <w:szCs w:val="18"/>
              </w:rPr>
              <w:t> </w:t>
            </w:r>
          </w:p>
        </w:tc>
        <w:tc>
          <w:tcPr>
            <w:tcW w:w="755" w:type="dxa"/>
            <w:tcBorders>
              <w:top w:val="nil"/>
              <w:left w:val="nil"/>
              <w:bottom w:val="single" w:sz="4" w:space="0" w:color="auto"/>
              <w:right w:val="nil"/>
            </w:tcBorders>
            <w:shd w:val="clear" w:color="000000" w:fill="D9D9D9"/>
            <w:noWrap/>
            <w:vAlign w:val="center"/>
            <w:hideMark/>
          </w:tcPr>
          <w:p w14:paraId="5AAFC36A" w14:textId="77777777" w:rsidR="006620DC" w:rsidRDefault="006620DC">
            <w:pPr>
              <w:jc w:val="right"/>
              <w:rPr>
                <w:b/>
                <w:bCs/>
                <w:color w:val="000000"/>
                <w:sz w:val="18"/>
                <w:szCs w:val="18"/>
              </w:rPr>
            </w:pPr>
            <w:r>
              <w:rPr>
                <w:b/>
                <w:bCs/>
                <w:color w:val="000000"/>
                <w:sz w:val="18"/>
                <w:szCs w:val="18"/>
              </w:rPr>
              <w:t> </w:t>
            </w:r>
          </w:p>
        </w:tc>
        <w:tc>
          <w:tcPr>
            <w:tcW w:w="1343" w:type="dxa"/>
            <w:tcBorders>
              <w:top w:val="nil"/>
              <w:left w:val="nil"/>
              <w:bottom w:val="single" w:sz="4" w:space="0" w:color="auto"/>
              <w:right w:val="single" w:sz="4" w:space="0" w:color="auto"/>
            </w:tcBorders>
            <w:shd w:val="clear" w:color="000000" w:fill="D9D9D9"/>
            <w:noWrap/>
            <w:vAlign w:val="center"/>
            <w:hideMark/>
          </w:tcPr>
          <w:p w14:paraId="23E893CC" w14:textId="77777777" w:rsidR="006620DC" w:rsidRDefault="006620DC">
            <w:pPr>
              <w:jc w:val="right"/>
              <w:rPr>
                <w:b/>
                <w:bCs/>
                <w:color w:val="000000"/>
                <w:sz w:val="18"/>
                <w:szCs w:val="18"/>
              </w:rPr>
            </w:pPr>
            <w:r>
              <w:rPr>
                <w:b/>
                <w:bCs/>
                <w:color w:val="000000"/>
                <w:sz w:val="18"/>
                <w:szCs w:val="18"/>
              </w:rPr>
              <w:t> </w:t>
            </w:r>
          </w:p>
        </w:tc>
      </w:tr>
      <w:tr w:rsidR="00EA792F" w14:paraId="7B88C95C" w14:textId="77777777" w:rsidTr="00B675D3">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7E466E18" w14:textId="77777777" w:rsidR="00EA792F" w:rsidRDefault="00EA792F">
            <w:pPr>
              <w:rPr>
                <w:color w:val="000000"/>
                <w:sz w:val="18"/>
                <w:szCs w:val="18"/>
              </w:rPr>
            </w:pPr>
            <w:r>
              <w:rPr>
                <w:color w:val="000000"/>
                <w:sz w:val="18"/>
                <w:szCs w:val="18"/>
              </w:rPr>
              <w:t>Shipping Recordkeeping</w:t>
            </w:r>
          </w:p>
        </w:tc>
        <w:tc>
          <w:tcPr>
            <w:tcW w:w="801" w:type="dxa"/>
            <w:tcBorders>
              <w:top w:val="nil"/>
              <w:left w:val="nil"/>
              <w:bottom w:val="single" w:sz="4" w:space="0" w:color="auto"/>
              <w:right w:val="single" w:sz="4" w:space="0" w:color="auto"/>
            </w:tcBorders>
            <w:shd w:val="clear" w:color="auto" w:fill="auto"/>
            <w:noWrap/>
            <w:vAlign w:val="bottom"/>
            <w:hideMark/>
          </w:tcPr>
          <w:p w14:paraId="6EFA858D" w14:textId="0134E93E" w:rsidR="00EA792F" w:rsidRDefault="00EA792F">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1BE275B9" w14:textId="65E4A8B1" w:rsidR="00EA792F" w:rsidRDefault="00EA792F">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59CB0BA7" w14:textId="10287ED9" w:rsidR="00EA792F" w:rsidRDefault="00EA792F">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5D8AF084" w14:textId="7C970306" w:rsidR="00EA792F" w:rsidRDefault="00EA792F">
            <w:pPr>
              <w:jc w:val="right"/>
              <w:rPr>
                <w:color w:val="000000"/>
                <w:sz w:val="18"/>
                <w:szCs w:val="18"/>
              </w:rPr>
            </w:pPr>
            <w:r>
              <w:rPr>
                <w:color w:val="000000"/>
                <w:sz w:val="18"/>
                <w:szCs w:val="18"/>
              </w:rPr>
              <w:t>0.10</w:t>
            </w:r>
          </w:p>
        </w:tc>
        <w:tc>
          <w:tcPr>
            <w:tcW w:w="1216" w:type="dxa"/>
            <w:tcBorders>
              <w:top w:val="nil"/>
              <w:left w:val="nil"/>
              <w:bottom w:val="single" w:sz="4" w:space="0" w:color="auto"/>
              <w:right w:val="single" w:sz="4" w:space="0" w:color="auto"/>
            </w:tcBorders>
            <w:shd w:val="clear" w:color="auto" w:fill="auto"/>
            <w:noWrap/>
            <w:vAlign w:val="bottom"/>
            <w:hideMark/>
          </w:tcPr>
          <w:p w14:paraId="3639D28B" w14:textId="485C0639" w:rsidR="00EA792F" w:rsidRDefault="00EA792F">
            <w:pPr>
              <w:jc w:val="right"/>
              <w:rPr>
                <w:color w:val="000000"/>
                <w:sz w:val="18"/>
                <w:szCs w:val="18"/>
              </w:rPr>
            </w:pPr>
            <w:r>
              <w:rPr>
                <w:color w:val="000000"/>
                <w:sz w:val="18"/>
                <w:szCs w:val="18"/>
              </w:rPr>
              <w:t>0.00</w:t>
            </w:r>
          </w:p>
        </w:tc>
        <w:tc>
          <w:tcPr>
            <w:tcW w:w="990" w:type="dxa"/>
            <w:tcBorders>
              <w:top w:val="nil"/>
              <w:left w:val="nil"/>
              <w:bottom w:val="single" w:sz="4" w:space="0" w:color="auto"/>
              <w:right w:val="single" w:sz="4" w:space="0" w:color="auto"/>
            </w:tcBorders>
            <w:shd w:val="clear" w:color="auto" w:fill="auto"/>
            <w:noWrap/>
            <w:vAlign w:val="bottom"/>
            <w:hideMark/>
          </w:tcPr>
          <w:p w14:paraId="634EE91F" w14:textId="0D679B17" w:rsidR="00EA792F" w:rsidRDefault="00EA792F">
            <w:pPr>
              <w:jc w:val="right"/>
              <w:rPr>
                <w:color w:val="000000"/>
                <w:sz w:val="18"/>
                <w:szCs w:val="18"/>
              </w:rPr>
            </w:pPr>
            <w:r>
              <w:rPr>
                <w:color w:val="000000"/>
                <w:sz w:val="18"/>
                <w:szCs w:val="18"/>
              </w:rPr>
              <w:t>0</w:t>
            </w:r>
          </w:p>
        </w:tc>
        <w:tc>
          <w:tcPr>
            <w:tcW w:w="905" w:type="dxa"/>
            <w:tcBorders>
              <w:top w:val="nil"/>
              <w:left w:val="nil"/>
              <w:bottom w:val="single" w:sz="4" w:space="0" w:color="auto"/>
              <w:right w:val="single" w:sz="4" w:space="0" w:color="auto"/>
            </w:tcBorders>
            <w:shd w:val="clear" w:color="auto" w:fill="auto"/>
            <w:noWrap/>
            <w:vAlign w:val="bottom"/>
            <w:hideMark/>
          </w:tcPr>
          <w:p w14:paraId="6552472A" w14:textId="5AB587C9" w:rsidR="00EA792F" w:rsidRDefault="00EA792F">
            <w:pPr>
              <w:jc w:val="right"/>
              <w:rPr>
                <w:color w:val="000000"/>
                <w:sz w:val="18"/>
                <w:szCs w:val="18"/>
              </w:rPr>
            </w:pPr>
            <w:r>
              <w:rPr>
                <w:color w:val="000000"/>
                <w:sz w:val="18"/>
                <w:szCs w:val="18"/>
              </w:rPr>
              <w:t>6</w:t>
            </w:r>
          </w:p>
        </w:tc>
        <w:tc>
          <w:tcPr>
            <w:tcW w:w="1236" w:type="dxa"/>
            <w:tcBorders>
              <w:top w:val="nil"/>
              <w:left w:val="nil"/>
              <w:bottom w:val="single" w:sz="4" w:space="0" w:color="auto"/>
              <w:right w:val="single" w:sz="4" w:space="0" w:color="auto"/>
            </w:tcBorders>
            <w:shd w:val="clear" w:color="auto" w:fill="auto"/>
            <w:noWrap/>
            <w:vAlign w:val="bottom"/>
            <w:hideMark/>
          </w:tcPr>
          <w:p w14:paraId="20810E98" w14:textId="01272056" w:rsidR="00EA792F" w:rsidRDefault="00EA792F">
            <w:pPr>
              <w:jc w:val="right"/>
              <w:rPr>
                <w:color w:val="000000"/>
                <w:sz w:val="18"/>
                <w:szCs w:val="18"/>
              </w:rPr>
            </w:pPr>
            <w:r>
              <w:rPr>
                <w:color w:val="000000"/>
                <w:sz w:val="18"/>
                <w:szCs w:val="18"/>
              </w:rPr>
              <w:t xml:space="preserve">                    5 </w:t>
            </w:r>
          </w:p>
        </w:tc>
        <w:tc>
          <w:tcPr>
            <w:tcW w:w="848" w:type="dxa"/>
            <w:tcBorders>
              <w:top w:val="nil"/>
              <w:left w:val="nil"/>
              <w:bottom w:val="single" w:sz="4" w:space="0" w:color="auto"/>
              <w:right w:val="single" w:sz="4" w:space="0" w:color="auto"/>
            </w:tcBorders>
            <w:shd w:val="clear" w:color="auto" w:fill="auto"/>
            <w:noWrap/>
            <w:vAlign w:val="bottom"/>
            <w:hideMark/>
          </w:tcPr>
          <w:p w14:paraId="1219AC1F" w14:textId="55102F73" w:rsidR="00EA792F" w:rsidRDefault="00EA792F">
            <w:pPr>
              <w:jc w:val="right"/>
              <w:rPr>
                <w:color w:val="000000"/>
                <w:sz w:val="18"/>
                <w:szCs w:val="18"/>
              </w:rPr>
            </w:pPr>
            <w:r>
              <w:rPr>
                <w:color w:val="000000"/>
                <w:sz w:val="18"/>
                <w:szCs w:val="18"/>
              </w:rPr>
              <w:t>$182</w:t>
            </w:r>
          </w:p>
        </w:tc>
        <w:tc>
          <w:tcPr>
            <w:tcW w:w="755" w:type="dxa"/>
            <w:tcBorders>
              <w:top w:val="nil"/>
              <w:left w:val="nil"/>
              <w:bottom w:val="single" w:sz="4" w:space="0" w:color="auto"/>
              <w:right w:val="single" w:sz="4" w:space="0" w:color="auto"/>
            </w:tcBorders>
            <w:shd w:val="clear" w:color="auto" w:fill="auto"/>
            <w:noWrap/>
            <w:vAlign w:val="bottom"/>
            <w:hideMark/>
          </w:tcPr>
          <w:p w14:paraId="7DECDF00" w14:textId="68F92F0F" w:rsidR="00EA792F" w:rsidRDefault="00EA792F">
            <w:pPr>
              <w:jc w:val="right"/>
              <w:rPr>
                <w:color w:val="000000"/>
                <w:sz w:val="18"/>
                <w:szCs w:val="18"/>
              </w:rPr>
            </w:pPr>
            <w:r>
              <w:rPr>
                <w:color w:val="000000"/>
                <w:sz w:val="18"/>
                <w:szCs w:val="18"/>
              </w:rPr>
              <w:t>$0</w:t>
            </w:r>
          </w:p>
        </w:tc>
        <w:tc>
          <w:tcPr>
            <w:tcW w:w="1343" w:type="dxa"/>
            <w:tcBorders>
              <w:top w:val="nil"/>
              <w:left w:val="nil"/>
              <w:bottom w:val="single" w:sz="4" w:space="0" w:color="auto"/>
              <w:right w:val="single" w:sz="4" w:space="0" w:color="auto"/>
            </w:tcBorders>
            <w:shd w:val="clear" w:color="auto" w:fill="auto"/>
            <w:noWrap/>
            <w:vAlign w:val="bottom"/>
            <w:hideMark/>
          </w:tcPr>
          <w:p w14:paraId="0333F69E" w14:textId="3A8F476A" w:rsidR="00EA792F" w:rsidRDefault="00EA792F">
            <w:pPr>
              <w:jc w:val="right"/>
              <w:rPr>
                <w:color w:val="000000"/>
                <w:sz w:val="18"/>
                <w:szCs w:val="18"/>
              </w:rPr>
            </w:pPr>
            <w:r>
              <w:rPr>
                <w:color w:val="000000"/>
                <w:sz w:val="18"/>
                <w:szCs w:val="18"/>
              </w:rPr>
              <w:t>$182</w:t>
            </w:r>
          </w:p>
        </w:tc>
      </w:tr>
      <w:tr w:rsidR="00EA792F" w14:paraId="26AA0633" w14:textId="77777777" w:rsidTr="00B675D3">
        <w:trPr>
          <w:trHeight w:val="300"/>
        </w:trPr>
        <w:tc>
          <w:tcPr>
            <w:tcW w:w="961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9A1D6F1" w14:textId="7F3F175A" w:rsidR="00EA792F" w:rsidRDefault="00EA792F">
            <w:pPr>
              <w:rPr>
                <w:color w:val="000000"/>
                <w:sz w:val="18"/>
                <w:szCs w:val="18"/>
              </w:rPr>
            </w:pPr>
            <w:r>
              <w:rPr>
                <w:color w:val="000000"/>
                <w:sz w:val="18"/>
                <w:szCs w:val="18"/>
              </w:rPr>
              <w:t>TOTAL COST</w:t>
            </w:r>
          </w:p>
        </w:tc>
        <w:tc>
          <w:tcPr>
            <w:tcW w:w="905" w:type="dxa"/>
            <w:tcBorders>
              <w:top w:val="nil"/>
              <w:left w:val="nil"/>
              <w:bottom w:val="single" w:sz="4" w:space="0" w:color="auto"/>
              <w:right w:val="single" w:sz="4" w:space="0" w:color="auto"/>
            </w:tcBorders>
            <w:shd w:val="clear" w:color="auto" w:fill="auto"/>
            <w:noWrap/>
            <w:vAlign w:val="bottom"/>
            <w:hideMark/>
          </w:tcPr>
          <w:p w14:paraId="60BFCA85" w14:textId="77777777" w:rsidR="00EA792F" w:rsidRDefault="00EA792F">
            <w:pPr>
              <w:rPr>
                <w:rFonts w:ascii="Calibri" w:hAnsi="Calibri"/>
                <w:color w:val="000000"/>
                <w:sz w:val="22"/>
                <w:szCs w:val="22"/>
              </w:rPr>
            </w:pPr>
            <w:r>
              <w:rPr>
                <w:rFonts w:ascii="Calibri" w:hAnsi="Calibri"/>
                <w:color w:val="000000"/>
                <w:sz w:val="22"/>
                <w:szCs w:val="22"/>
              </w:rPr>
              <w:t> </w:t>
            </w:r>
          </w:p>
        </w:tc>
        <w:tc>
          <w:tcPr>
            <w:tcW w:w="1236" w:type="dxa"/>
            <w:tcBorders>
              <w:top w:val="nil"/>
              <w:left w:val="nil"/>
              <w:bottom w:val="single" w:sz="4" w:space="0" w:color="auto"/>
              <w:right w:val="single" w:sz="4" w:space="0" w:color="auto"/>
            </w:tcBorders>
            <w:shd w:val="clear" w:color="auto" w:fill="auto"/>
            <w:noWrap/>
            <w:vAlign w:val="bottom"/>
            <w:hideMark/>
          </w:tcPr>
          <w:p w14:paraId="38C92A88" w14:textId="25B375BE" w:rsidR="00EA792F" w:rsidRDefault="00EA792F" w:rsidP="00EA48DD">
            <w:pPr>
              <w:jc w:val="right"/>
              <w:rPr>
                <w:color w:val="000000"/>
                <w:sz w:val="18"/>
                <w:szCs w:val="18"/>
              </w:rPr>
            </w:pPr>
            <w:r>
              <w:rPr>
                <w:color w:val="000000"/>
                <w:sz w:val="18"/>
                <w:szCs w:val="18"/>
              </w:rPr>
              <w:t xml:space="preserve">                130 </w:t>
            </w:r>
          </w:p>
        </w:tc>
        <w:tc>
          <w:tcPr>
            <w:tcW w:w="848" w:type="dxa"/>
            <w:tcBorders>
              <w:top w:val="nil"/>
              <w:left w:val="nil"/>
              <w:bottom w:val="single" w:sz="4" w:space="0" w:color="auto"/>
              <w:right w:val="single" w:sz="4" w:space="0" w:color="auto"/>
            </w:tcBorders>
            <w:shd w:val="clear" w:color="auto" w:fill="auto"/>
            <w:noWrap/>
            <w:vAlign w:val="bottom"/>
            <w:hideMark/>
          </w:tcPr>
          <w:p w14:paraId="1871718F" w14:textId="70B8B165" w:rsidR="00EA792F" w:rsidRDefault="00EA792F" w:rsidP="00EA48DD">
            <w:pPr>
              <w:jc w:val="right"/>
              <w:rPr>
                <w:color w:val="000000"/>
                <w:sz w:val="18"/>
                <w:szCs w:val="18"/>
              </w:rPr>
            </w:pPr>
            <w:r>
              <w:rPr>
                <w:color w:val="000000"/>
                <w:sz w:val="18"/>
                <w:szCs w:val="18"/>
              </w:rPr>
              <w:t>$8,927</w:t>
            </w:r>
          </w:p>
        </w:tc>
        <w:tc>
          <w:tcPr>
            <w:tcW w:w="755" w:type="dxa"/>
            <w:tcBorders>
              <w:top w:val="nil"/>
              <w:left w:val="nil"/>
              <w:bottom w:val="single" w:sz="4" w:space="0" w:color="auto"/>
              <w:right w:val="single" w:sz="4" w:space="0" w:color="auto"/>
            </w:tcBorders>
            <w:shd w:val="clear" w:color="auto" w:fill="auto"/>
            <w:noWrap/>
            <w:vAlign w:val="bottom"/>
            <w:hideMark/>
          </w:tcPr>
          <w:p w14:paraId="531E3FBC" w14:textId="787A5272" w:rsidR="00EA792F" w:rsidRDefault="00EA792F">
            <w:pPr>
              <w:jc w:val="right"/>
              <w:rPr>
                <w:color w:val="000000"/>
                <w:sz w:val="18"/>
                <w:szCs w:val="18"/>
              </w:rPr>
            </w:pPr>
            <w:r>
              <w:rPr>
                <w:color w:val="000000"/>
                <w:sz w:val="18"/>
                <w:szCs w:val="18"/>
              </w:rPr>
              <w:t>$1</w:t>
            </w:r>
          </w:p>
        </w:tc>
        <w:tc>
          <w:tcPr>
            <w:tcW w:w="1343" w:type="dxa"/>
            <w:tcBorders>
              <w:top w:val="nil"/>
              <w:left w:val="nil"/>
              <w:bottom w:val="single" w:sz="4" w:space="0" w:color="auto"/>
              <w:right w:val="single" w:sz="4" w:space="0" w:color="auto"/>
            </w:tcBorders>
            <w:shd w:val="clear" w:color="auto" w:fill="auto"/>
            <w:noWrap/>
            <w:vAlign w:val="bottom"/>
            <w:hideMark/>
          </w:tcPr>
          <w:p w14:paraId="4A7FDF65" w14:textId="07B9C8B1" w:rsidR="00EA792F" w:rsidRDefault="00EA792F" w:rsidP="00EA48DD">
            <w:pPr>
              <w:jc w:val="right"/>
              <w:rPr>
                <w:color w:val="000000"/>
                <w:sz w:val="18"/>
                <w:szCs w:val="18"/>
              </w:rPr>
            </w:pPr>
            <w:r>
              <w:rPr>
                <w:color w:val="000000"/>
                <w:sz w:val="18"/>
                <w:szCs w:val="18"/>
              </w:rPr>
              <w:t>$8,928</w:t>
            </w:r>
          </w:p>
        </w:tc>
      </w:tr>
      <w:tr w:rsidR="00BC58A3" w14:paraId="59D88492" w14:textId="77777777" w:rsidTr="00B675D3">
        <w:trPr>
          <w:trHeight w:val="300"/>
        </w:trPr>
        <w:tc>
          <w:tcPr>
            <w:tcW w:w="1470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63BCAA91" w14:textId="77777777" w:rsidR="00BC58A3" w:rsidRDefault="00BC58A3" w:rsidP="00AE16F1">
            <w:pPr>
              <w:rPr>
                <w:color w:val="000000"/>
                <w:sz w:val="18"/>
                <w:szCs w:val="18"/>
              </w:rPr>
            </w:pPr>
            <w:r w:rsidRPr="00BC58A3">
              <w:rPr>
                <w:color w:val="000000"/>
                <w:sz w:val="18"/>
                <w:szCs w:val="18"/>
                <w:u w:val="single"/>
              </w:rPr>
              <w:t>Notes</w:t>
            </w:r>
            <w:r>
              <w:rPr>
                <w:color w:val="000000"/>
                <w:sz w:val="18"/>
                <w:szCs w:val="18"/>
              </w:rPr>
              <w:t>:</w:t>
            </w:r>
          </w:p>
          <w:p w14:paraId="09C15B4E" w14:textId="67CA9587" w:rsidR="00BC58A3" w:rsidRDefault="00BC58A3">
            <w:pPr>
              <w:spacing w:line="240" w:lineRule="exact"/>
              <w:rPr>
                <w:color w:val="000000"/>
                <w:sz w:val="18"/>
                <w:szCs w:val="18"/>
              </w:rPr>
            </w:pPr>
            <w:r>
              <w:rPr>
                <w:color w:val="000000"/>
                <w:sz w:val="18"/>
                <w:szCs w:val="18"/>
              </w:rPr>
              <w:t>Numbers may not sum due to rounding.</w:t>
            </w:r>
          </w:p>
        </w:tc>
      </w:tr>
    </w:tbl>
    <w:p w14:paraId="6262A895" w14:textId="77777777" w:rsidR="00E05801" w:rsidRDefault="00E05801" w:rsidP="00E05801">
      <w:pPr>
        <w:sectPr w:rsidR="00E05801" w:rsidSect="000405F9">
          <w:pgSz w:w="15840" w:h="12240" w:orient="landscape"/>
          <w:pgMar w:top="864" w:right="1440" w:bottom="1080" w:left="1440" w:header="720" w:footer="720" w:gutter="0"/>
          <w:cols w:space="720"/>
          <w:docGrid w:linePitch="360"/>
        </w:sectPr>
      </w:pPr>
    </w:p>
    <w:tbl>
      <w:tblPr>
        <w:tblW w:w="14691" w:type="dxa"/>
        <w:tblInd w:w="-612" w:type="dxa"/>
        <w:tblLayout w:type="fixed"/>
        <w:tblLook w:val="04A0" w:firstRow="1" w:lastRow="0" w:firstColumn="1" w:lastColumn="0" w:noHBand="0" w:noVBand="1"/>
      </w:tblPr>
      <w:tblGrid>
        <w:gridCol w:w="3745"/>
        <w:gridCol w:w="801"/>
        <w:gridCol w:w="1106"/>
        <w:gridCol w:w="966"/>
        <w:gridCol w:w="792"/>
        <w:gridCol w:w="1216"/>
        <w:gridCol w:w="850"/>
        <w:gridCol w:w="916"/>
        <w:gridCol w:w="1236"/>
        <w:gridCol w:w="950"/>
        <w:gridCol w:w="840"/>
        <w:gridCol w:w="1273"/>
      </w:tblGrid>
      <w:tr w:rsidR="006620DC" w14:paraId="203039B8" w14:textId="77777777" w:rsidTr="00B675D3">
        <w:trPr>
          <w:trHeight w:val="315"/>
          <w:tblHeader/>
        </w:trPr>
        <w:tc>
          <w:tcPr>
            <w:tcW w:w="14691" w:type="dxa"/>
            <w:gridSpan w:val="12"/>
            <w:tcBorders>
              <w:top w:val="nil"/>
              <w:left w:val="nil"/>
              <w:bottom w:val="single" w:sz="4" w:space="0" w:color="auto"/>
              <w:right w:val="nil"/>
            </w:tcBorders>
            <w:shd w:val="clear" w:color="auto" w:fill="auto"/>
            <w:noWrap/>
            <w:vAlign w:val="center"/>
            <w:hideMark/>
          </w:tcPr>
          <w:p w14:paraId="7DEA4A45" w14:textId="61D751FA" w:rsidR="006620DC" w:rsidRDefault="006620DC" w:rsidP="00B93E6B">
            <w:pPr>
              <w:rPr>
                <w:b/>
                <w:bCs/>
                <w:color w:val="000000"/>
              </w:rPr>
            </w:pPr>
            <w:r>
              <w:rPr>
                <w:b/>
                <w:bCs/>
                <w:color w:val="000000"/>
              </w:rPr>
              <w:t>Exhibit 3D: Respondent Cost Estimates for SQGs that become LQHs Post-Rule</w:t>
            </w:r>
          </w:p>
        </w:tc>
      </w:tr>
      <w:tr w:rsidR="006620DC" w14:paraId="3CEF2F72" w14:textId="77777777" w:rsidTr="00B675D3">
        <w:trPr>
          <w:trHeight w:val="300"/>
          <w:tblHeader/>
        </w:trPr>
        <w:tc>
          <w:tcPr>
            <w:tcW w:w="3745" w:type="dxa"/>
            <w:vMerge w:val="restart"/>
            <w:tcBorders>
              <w:top w:val="nil"/>
              <w:left w:val="single" w:sz="4" w:space="0" w:color="auto"/>
              <w:bottom w:val="single" w:sz="4" w:space="0" w:color="auto"/>
              <w:right w:val="single" w:sz="4" w:space="0" w:color="auto"/>
            </w:tcBorders>
            <w:shd w:val="clear" w:color="000000" w:fill="A6A6A6"/>
            <w:vAlign w:val="bottom"/>
            <w:hideMark/>
          </w:tcPr>
          <w:p w14:paraId="75231D09" w14:textId="77777777" w:rsidR="006620DC" w:rsidRDefault="006620DC">
            <w:pPr>
              <w:rPr>
                <w:b/>
                <w:bCs/>
                <w:color w:val="000000"/>
                <w:sz w:val="18"/>
                <w:szCs w:val="18"/>
              </w:rPr>
            </w:pPr>
            <w:r>
              <w:rPr>
                <w:b/>
                <w:bCs/>
                <w:color w:val="000000"/>
                <w:sz w:val="18"/>
                <w:szCs w:val="18"/>
              </w:rPr>
              <w:t>Information Collection Activity</w:t>
            </w:r>
          </w:p>
        </w:tc>
        <w:tc>
          <w:tcPr>
            <w:tcW w:w="5731" w:type="dxa"/>
            <w:gridSpan w:val="6"/>
            <w:tcBorders>
              <w:top w:val="single" w:sz="4" w:space="0" w:color="auto"/>
              <w:left w:val="nil"/>
              <w:bottom w:val="single" w:sz="4" w:space="0" w:color="auto"/>
              <w:right w:val="single" w:sz="4" w:space="0" w:color="auto"/>
            </w:tcBorders>
            <w:shd w:val="clear" w:color="000000" w:fill="A6A6A6"/>
            <w:noWrap/>
            <w:vAlign w:val="bottom"/>
            <w:hideMark/>
          </w:tcPr>
          <w:p w14:paraId="5F1DD043" w14:textId="0B5511EA" w:rsidR="006620DC" w:rsidRDefault="006620DC">
            <w:pPr>
              <w:jc w:val="center"/>
              <w:rPr>
                <w:b/>
                <w:bCs/>
                <w:color w:val="000000"/>
                <w:sz w:val="18"/>
                <w:szCs w:val="18"/>
              </w:rPr>
            </w:pPr>
            <w:r>
              <w:rPr>
                <w:b/>
                <w:bCs/>
                <w:color w:val="000000"/>
                <w:sz w:val="18"/>
                <w:szCs w:val="18"/>
              </w:rPr>
              <w:t>Hours and Costs</w:t>
            </w:r>
            <w:r w:rsidR="00B21ADD">
              <w:rPr>
                <w:b/>
                <w:bCs/>
                <w:color w:val="000000"/>
                <w:sz w:val="18"/>
                <w:szCs w:val="18"/>
              </w:rPr>
              <w:t xml:space="preserve"> </w:t>
            </w:r>
            <w:r>
              <w:rPr>
                <w:b/>
                <w:bCs/>
                <w:color w:val="000000"/>
                <w:sz w:val="18"/>
                <w:szCs w:val="18"/>
              </w:rPr>
              <w:t>Per Respondent Per Activity</w:t>
            </w:r>
          </w:p>
        </w:tc>
        <w:tc>
          <w:tcPr>
            <w:tcW w:w="5215"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15CB8D0F" w14:textId="2B206BA6" w:rsidR="006620DC" w:rsidRDefault="006620DC">
            <w:pPr>
              <w:jc w:val="center"/>
              <w:rPr>
                <w:b/>
                <w:bCs/>
                <w:color w:val="000000"/>
                <w:sz w:val="18"/>
                <w:szCs w:val="18"/>
              </w:rPr>
            </w:pPr>
            <w:r>
              <w:rPr>
                <w:b/>
                <w:bCs/>
                <w:color w:val="000000"/>
                <w:sz w:val="18"/>
                <w:szCs w:val="18"/>
              </w:rPr>
              <w:t>Total Hours and Cost</w:t>
            </w:r>
          </w:p>
        </w:tc>
      </w:tr>
      <w:tr w:rsidR="006620DC" w14:paraId="5046070C" w14:textId="77777777" w:rsidTr="00B675D3">
        <w:trPr>
          <w:trHeight w:val="495"/>
          <w:tblHeader/>
        </w:trPr>
        <w:tc>
          <w:tcPr>
            <w:tcW w:w="3745" w:type="dxa"/>
            <w:vMerge/>
            <w:tcBorders>
              <w:top w:val="nil"/>
              <w:left w:val="single" w:sz="4" w:space="0" w:color="auto"/>
              <w:bottom w:val="single" w:sz="4" w:space="0" w:color="auto"/>
              <w:right w:val="single" w:sz="4" w:space="0" w:color="auto"/>
            </w:tcBorders>
            <w:vAlign w:val="center"/>
            <w:hideMark/>
          </w:tcPr>
          <w:p w14:paraId="3EFC0EB1" w14:textId="77777777" w:rsidR="006620DC" w:rsidRDefault="006620DC">
            <w:pPr>
              <w:rPr>
                <w:b/>
                <w:bCs/>
                <w:color w:val="000000"/>
                <w:sz w:val="18"/>
                <w:szCs w:val="18"/>
              </w:rPr>
            </w:pPr>
          </w:p>
        </w:tc>
        <w:tc>
          <w:tcPr>
            <w:tcW w:w="801" w:type="dxa"/>
            <w:tcBorders>
              <w:top w:val="nil"/>
              <w:left w:val="nil"/>
              <w:bottom w:val="single" w:sz="4" w:space="0" w:color="auto"/>
              <w:right w:val="single" w:sz="4" w:space="0" w:color="auto"/>
            </w:tcBorders>
            <w:shd w:val="clear" w:color="000000" w:fill="A6A6A6"/>
            <w:vAlign w:val="bottom"/>
            <w:hideMark/>
          </w:tcPr>
          <w:p w14:paraId="66CC73D1" w14:textId="77777777" w:rsidR="006620DC" w:rsidRDefault="006620DC">
            <w:pPr>
              <w:jc w:val="center"/>
              <w:rPr>
                <w:b/>
                <w:bCs/>
                <w:color w:val="000000"/>
                <w:sz w:val="18"/>
                <w:szCs w:val="18"/>
              </w:rPr>
            </w:pPr>
            <w:r>
              <w:rPr>
                <w:b/>
                <w:bCs/>
                <w:color w:val="000000"/>
                <w:sz w:val="18"/>
                <w:szCs w:val="18"/>
              </w:rPr>
              <w:t>Legal</w:t>
            </w:r>
            <w:r>
              <w:rPr>
                <w:b/>
                <w:bCs/>
                <w:color w:val="000000"/>
                <w:sz w:val="18"/>
                <w:szCs w:val="18"/>
              </w:rPr>
              <w:br/>
              <w:t>$160.74</w:t>
            </w:r>
          </w:p>
        </w:tc>
        <w:tc>
          <w:tcPr>
            <w:tcW w:w="1106" w:type="dxa"/>
            <w:tcBorders>
              <w:top w:val="nil"/>
              <w:left w:val="nil"/>
              <w:bottom w:val="single" w:sz="4" w:space="0" w:color="auto"/>
              <w:right w:val="single" w:sz="4" w:space="0" w:color="auto"/>
            </w:tcBorders>
            <w:shd w:val="clear" w:color="000000" w:fill="A6A6A6"/>
            <w:vAlign w:val="bottom"/>
            <w:hideMark/>
          </w:tcPr>
          <w:p w14:paraId="4C83F8C2" w14:textId="77777777" w:rsidR="006620DC" w:rsidRDefault="006620DC">
            <w:pPr>
              <w:jc w:val="center"/>
              <w:rPr>
                <w:b/>
                <w:bCs/>
                <w:color w:val="000000"/>
                <w:sz w:val="18"/>
                <w:szCs w:val="18"/>
              </w:rPr>
            </w:pPr>
            <w:r>
              <w:rPr>
                <w:b/>
                <w:bCs/>
                <w:color w:val="000000"/>
                <w:sz w:val="18"/>
                <w:szCs w:val="18"/>
              </w:rPr>
              <w:t>Managerial</w:t>
            </w:r>
            <w:r>
              <w:rPr>
                <w:b/>
                <w:bCs/>
                <w:color w:val="000000"/>
                <w:sz w:val="18"/>
                <w:szCs w:val="18"/>
              </w:rPr>
              <w:br/>
              <w:t>$113.78</w:t>
            </w:r>
          </w:p>
        </w:tc>
        <w:tc>
          <w:tcPr>
            <w:tcW w:w="966" w:type="dxa"/>
            <w:tcBorders>
              <w:top w:val="nil"/>
              <w:left w:val="nil"/>
              <w:bottom w:val="single" w:sz="4" w:space="0" w:color="auto"/>
              <w:right w:val="single" w:sz="4" w:space="0" w:color="auto"/>
            </w:tcBorders>
            <w:shd w:val="clear" w:color="000000" w:fill="A6A6A6"/>
            <w:vAlign w:val="bottom"/>
            <w:hideMark/>
          </w:tcPr>
          <w:p w14:paraId="7DEB1087" w14:textId="77777777" w:rsidR="006620DC" w:rsidRDefault="006620DC">
            <w:pPr>
              <w:jc w:val="center"/>
              <w:rPr>
                <w:b/>
                <w:bCs/>
                <w:color w:val="000000"/>
                <w:sz w:val="18"/>
                <w:szCs w:val="18"/>
              </w:rPr>
            </w:pPr>
            <w:r>
              <w:rPr>
                <w:b/>
                <w:bCs/>
                <w:color w:val="000000"/>
                <w:sz w:val="18"/>
                <w:szCs w:val="18"/>
              </w:rPr>
              <w:t>Technical</w:t>
            </w:r>
            <w:r>
              <w:rPr>
                <w:b/>
                <w:bCs/>
                <w:color w:val="000000"/>
                <w:sz w:val="18"/>
                <w:szCs w:val="18"/>
              </w:rPr>
              <w:br/>
              <w:t>$49.22</w:t>
            </w:r>
          </w:p>
        </w:tc>
        <w:tc>
          <w:tcPr>
            <w:tcW w:w="792" w:type="dxa"/>
            <w:tcBorders>
              <w:top w:val="nil"/>
              <w:left w:val="nil"/>
              <w:bottom w:val="single" w:sz="4" w:space="0" w:color="auto"/>
              <w:right w:val="single" w:sz="4" w:space="0" w:color="auto"/>
            </w:tcBorders>
            <w:shd w:val="clear" w:color="000000" w:fill="A6A6A6"/>
            <w:vAlign w:val="bottom"/>
            <w:hideMark/>
          </w:tcPr>
          <w:p w14:paraId="3DE5F405" w14:textId="77777777" w:rsidR="006620DC" w:rsidRDefault="006620DC">
            <w:pPr>
              <w:jc w:val="center"/>
              <w:rPr>
                <w:b/>
                <w:bCs/>
                <w:color w:val="000000"/>
                <w:sz w:val="18"/>
                <w:szCs w:val="18"/>
              </w:rPr>
            </w:pPr>
            <w:r>
              <w:rPr>
                <w:b/>
                <w:bCs/>
                <w:color w:val="000000"/>
                <w:sz w:val="18"/>
                <w:szCs w:val="18"/>
              </w:rPr>
              <w:t>Admin</w:t>
            </w:r>
            <w:r w:rsidR="00AA5DF6">
              <w:rPr>
                <w:b/>
                <w:bCs/>
                <w:color w:val="000000"/>
                <w:sz w:val="18"/>
                <w:szCs w:val="18"/>
              </w:rPr>
              <w:t>.</w:t>
            </w:r>
            <w:r>
              <w:rPr>
                <w:b/>
                <w:bCs/>
                <w:color w:val="000000"/>
                <w:sz w:val="18"/>
                <w:szCs w:val="18"/>
              </w:rPr>
              <w:br/>
              <w:t>$37.11</w:t>
            </w:r>
          </w:p>
        </w:tc>
        <w:tc>
          <w:tcPr>
            <w:tcW w:w="1216" w:type="dxa"/>
            <w:tcBorders>
              <w:top w:val="nil"/>
              <w:left w:val="nil"/>
              <w:bottom w:val="single" w:sz="4" w:space="0" w:color="auto"/>
              <w:right w:val="single" w:sz="4" w:space="0" w:color="auto"/>
            </w:tcBorders>
            <w:shd w:val="clear" w:color="000000" w:fill="A6A6A6"/>
            <w:vAlign w:val="bottom"/>
            <w:hideMark/>
          </w:tcPr>
          <w:p w14:paraId="39CF29BA" w14:textId="77777777" w:rsidR="006620DC" w:rsidRDefault="006620DC">
            <w:pPr>
              <w:jc w:val="center"/>
              <w:rPr>
                <w:b/>
                <w:bCs/>
                <w:color w:val="000000"/>
                <w:sz w:val="18"/>
                <w:szCs w:val="18"/>
              </w:rPr>
            </w:pPr>
            <w:r>
              <w:rPr>
                <w:b/>
                <w:bCs/>
                <w:color w:val="000000"/>
                <w:sz w:val="18"/>
                <w:szCs w:val="18"/>
              </w:rPr>
              <w:t>Programmer</w:t>
            </w:r>
            <w:r>
              <w:rPr>
                <w:b/>
                <w:bCs/>
                <w:color w:val="000000"/>
                <w:sz w:val="18"/>
                <w:szCs w:val="18"/>
              </w:rPr>
              <w:br/>
              <w:t>$95.72</w:t>
            </w:r>
          </w:p>
        </w:tc>
        <w:tc>
          <w:tcPr>
            <w:tcW w:w="850" w:type="dxa"/>
            <w:tcBorders>
              <w:top w:val="nil"/>
              <w:left w:val="nil"/>
              <w:bottom w:val="single" w:sz="4" w:space="0" w:color="auto"/>
              <w:right w:val="single" w:sz="4" w:space="0" w:color="auto"/>
            </w:tcBorders>
            <w:shd w:val="clear" w:color="000000" w:fill="A6A6A6"/>
            <w:vAlign w:val="bottom"/>
            <w:hideMark/>
          </w:tcPr>
          <w:p w14:paraId="5B808A1A" w14:textId="77777777" w:rsidR="006620DC" w:rsidRDefault="006620DC">
            <w:pPr>
              <w:jc w:val="center"/>
              <w:rPr>
                <w:b/>
                <w:bCs/>
                <w:color w:val="000000"/>
                <w:sz w:val="18"/>
                <w:szCs w:val="18"/>
              </w:rPr>
            </w:pPr>
            <w:r>
              <w:rPr>
                <w:b/>
                <w:bCs/>
                <w:color w:val="000000"/>
                <w:sz w:val="18"/>
                <w:szCs w:val="18"/>
              </w:rPr>
              <w:t>O&amp;M Cost (2017$)</w:t>
            </w:r>
          </w:p>
        </w:tc>
        <w:tc>
          <w:tcPr>
            <w:tcW w:w="916" w:type="dxa"/>
            <w:tcBorders>
              <w:top w:val="nil"/>
              <w:left w:val="nil"/>
              <w:bottom w:val="single" w:sz="4" w:space="0" w:color="auto"/>
              <w:right w:val="single" w:sz="4" w:space="0" w:color="auto"/>
            </w:tcBorders>
            <w:shd w:val="clear" w:color="000000" w:fill="A6A6A6"/>
            <w:vAlign w:val="bottom"/>
            <w:hideMark/>
          </w:tcPr>
          <w:p w14:paraId="6D3EF6DC" w14:textId="77777777" w:rsidR="006620DC" w:rsidRDefault="006620DC">
            <w:pPr>
              <w:jc w:val="center"/>
              <w:rPr>
                <w:b/>
                <w:bCs/>
                <w:color w:val="000000"/>
                <w:sz w:val="18"/>
                <w:szCs w:val="18"/>
              </w:rPr>
            </w:pPr>
            <w:r>
              <w:rPr>
                <w:b/>
                <w:bCs/>
                <w:color w:val="000000"/>
                <w:sz w:val="18"/>
                <w:szCs w:val="18"/>
              </w:rPr>
              <w:t>Number of Resp.</w:t>
            </w:r>
          </w:p>
        </w:tc>
        <w:tc>
          <w:tcPr>
            <w:tcW w:w="1236" w:type="dxa"/>
            <w:tcBorders>
              <w:top w:val="nil"/>
              <w:left w:val="nil"/>
              <w:bottom w:val="single" w:sz="4" w:space="0" w:color="auto"/>
              <w:right w:val="single" w:sz="4" w:space="0" w:color="auto"/>
            </w:tcBorders>
            <w:shd w:val="clear" w:color="000000" w:fill="A6A6A6"/>
            <w:vAlign w:val="bottom"/>
            <w:hideMark/>
          </w:tcPr>
          <w:p w14:paraId="239159F3" w14:textId="77777777" w:rsidR="006620DC" w:rsidRDefault="006620DC">
            <w:pPr>
              <w:jc w:val="center"/>
              <w:rPr>
                <w:b/>
                <w:bCs/>
                <w:color w:val="000000"/>
                <w:sz w:val="18"/>
                <w:szCs w:val="18"/>
              </w:rPr>
            </w:pPr>
            <w:r>
              <w:rPr>
                <w:b/>
                <w:bCs/>
                <w:color w:val="000000"/>
                <w:sz w:val="18"/>
                <w:szCs w:val="18"/>
              </w:rPr>
              <w:t>Total Hours</w:t>
            </w:r>
          </w:p>
        </w:tc>
        <w:tc>
          <w:tcPr>
            <w:tcW w:w="950" w:type="dxa"/>
            <w:tcBorders>
              <w:top w:val="nil"/>
              <w:left w:val="nil"/>
              <w:bottom w:val="single" w:sz="4" w:space="0" w:color="auto"/>
              <w:right w:val="single" w:sz="4" w:space="0" w:color="auto"/>
            </w:tcBorders>
            <w:shd w:val="clear" w:color="000000" w:fill="A6A6A6"/>
            <w:vAlign w:val="bottom"/>
            <w:hideMark/>
          </w:tcPr>
          <w:p w14:paraId="1A3474DB" w14:textId="77777777" w:rsidR="006620DC" w:rsidRDefault="006620DC">
            <w:pPr>
              <w:jc w:val="center"/>
              <w:rPr>
                <w:b/>
                <w:bCs/>
                <w:color w:val="000000"/>
                <w:sz w:val="18"/>
                <w:szCs w:val="18"/>
              </w:rPr>
            </w:pPr>
            <w:r>
              <w:rPr>
                <w:b/>
                <w:bCs/>
                <w:color w:val="000000"/>
                <w:sz w:val="18"/>
                <w:szCs w:val="18"/>
              </w:rPr>
              <w:t>Total Labor Costs</w:t>
            </w:r>
          </w:p>
        </w:tc>
        <w:tc>
          <w:tcPr>
            <w:tcW w:w="840" w:type="dxa"/>
            <w:tcBorders>
              <w:top w:val="nil"/>
              <w:left w:val="nil"/>
              <w:bottom w:val="single" w:sz="4" w:space="0" w:color="auto"/>
              <w:right w:val="single" w:sz="4" w:space="0" w:color="auto"/>
            </w:tcBorders>
            <w:shd w:val="clear" w:color="000000" w:fill="A6A6A6"/>
            <w:vAlign w:val="bottom"/>
            <w:hideMark/>
          </w:tcPr>
          <w:p w14:paraId="6973A429" w14:textId="77777777" w:rsidR="006620DC" w:rsidRDefault="006620DC">
            <w:pPr>
              <w:jc w:val="center"/>
              <w:rPr>
                <w:b/>
                <w:bCs/>
                <w:color w:val="000000"/>
                <w:sz w:val="18"/>
                <w:szCs w:val="18"/>
              </w:rPr>
            </w:pPr>
            <w:r>
              <w:rPr>
                <w:b/>
                <w:bCs/>
                <w:color w:val="000000"/>
                <w:sz w:val="18"/>
                <w:szCs w:val="18"/>
              </w:rPr>
              <w:t>Total O&amp;M Costs</w:t>
            </w:r>
          </w:p>
        </w:tc>
        <w:tc>
          <w:tcPr>
            <w:tcW w:w="1273" w:type="dxa"/>
            <w:tcBorders>
              <w:top w:val="nil"/>
              <w:left w:val="nil"/>
              <w:bottom w:val="single" w:sz="4" w:space="0" w:color="auto"/>
              <w:right w:val="single" w:sz="4" w:space="0" w:color="auto"/>
            </w:tcBorders>
            <w:shd w:val="clear" w:color="000000" w:fill="A6A6A6"/>
            <w:vAlign w:val="bottom"/>
            <w:hideMark/>
          </w:tcPr>
          <w:p w14:paraId="146DB85A" w14:textId="77777777" w:rsidR="006620DC" w:rsidRDefault="006620DC">
            <w:pPr>
              <w:jc w:val="center"/>
              <w:rPr>
                <w:b/>
                <w:bCs/>
                <w:color w:val="000000"/>
                <w:sz w:val="18"/>
                <w:szCs w:val="18"/>
              </w:rPr>
            </w:pPr>
            <w:r>
              <w:rPr>
                <w:b/>
                <w:bCs/>
                <w:color w:val="000000"/>
                <w:sz w:val="18"/>
                <w:szCs w:val="18"/>
              </w:rPr>
              <w:t>Total Cost</w:t>
            </w:r>
          </w:p>
        </w:tc>
      </w:tr>
      <w:tr w:rsidR="006620DC" w14:paraId="0B5F5548" w14:textId="77777777" w:rsidTr="00B675D3">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29893399" w14:textId="77777777" w:rsidR="006620DC" w:rsidRDefault="006620DC">
            <w:pPr>
              <w:rPr>
                <w:b/>
                <w:bCs/>
                <w:color w:val="000000"/>
                <w:sz w:val="18"/>
                <w:szCs w:val="18"/>
              </w:rPr>
            </w:pPr>
            <w:r>
              <w:rPr>
                <w:b/>
                <w:bCs/>
                <w:color w:val="000000"/>
                <w:sz w:val="18"/>
                <w:szCs w:val="18"/>
              </w:rPr>
              <w:t>ONE-TIME COSTS</w:t>
            </w:r>
          </w:p>
        </w:tc>
        <w:tc>
          <w:tcPr>
            <w:tcW w:w="801" w:type="dxa"/>
            <w:tcBorders>
              <w:top w:val="nil"/>
              <w:left w:val="nil"/>
              <w:bottom w:val="single" w:sz="4" w:space="0" w:color="auto"/>
              <w:right w:val="nil"/>
            </w:tcBorders>
            <w:shd w:val="clear" w:color="000000" w:fill="BFBFBF"/>
            <w:noWrap/>
            <w:vAlign w:val="bottom"/>
            <w:hideMark/>
          </w:tcPr>
          <w:p w14:paraId="0F8D3F10"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38B9116B"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2EDE1016"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181BEA25"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01F2523B" w14:textId="77777777" w:rsidR="006620DC" w:rsidRDefault="006620DC">
            <w:pPr>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BFBFBF"/>
            <w:noWrap/>
            <w:vAlign w:val="bottom"/>
            <w:hideMark/>
          </w:tcPr>
          <w:p w14:paraId="48494B2B" w14:textId="77777777" w:rsidR="006620DC" w:rsidRDefault="006620DC">
            <w:pP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BFBFBF"/>
            <w:noWrap/>
            <w:vAlign w:val="bottom"/>
            <w:hideMark/>
          </w:tcPr>
          <w:p w14:paraId="3ED59122"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222D8E09" w14:textId="77777777" w:rsidR="006620DC" w:rsidRDefault="006620DC">
            <w:pPr>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BFBFBF"/>
            <w:noWrap/>
            <w:vAlign w:val="bottom"/>
            <w:hideMark/>
          </w:tcPr>
          <w:p w14:paraId="48AEAA17" w14:textId="77777777" w:rsidR="006620DC" w:rsidRDefault="006620DC">
            <w:pPr>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BFBFBF"/>
            <w:noWrap/>
            <w:vAlign w:val="bottom"/>
            <w:hideMark/>
          </w:tcPr>
          <w:p w14:paraId="6FBFFE62" w14:textId="77777777" w:rsidR="006620DC" w:rsidRDefault="006620DC">
            <w:pPr>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BFBFBF"/>
            <w:noWrap/>
            <w:vAlign w:val="bottom"/>
            <w:hideMark/>
          </w:tcPr>
          <w:p w14:paraId="338EE120" w14:textId="77777777" w:rsidR="006620DC" w:rsidRDefault="006620DC">
            <w:pPr>
              <w:rPr>
                <w:b/>
                <w:bCs/>
                <w:color w:val="000000"/>
                <w:sz w:val="18"/>
                <w:szCs w:val="18"/>
              </w:rPr>
            </w:pPr>
            <w:r>
              <w:rPr>
                <w:b/>
                <w:bCs/>
                <w:color w:val="000000"/>
                <w:sz w:val="18"/>
                <w:szCs w:val="18"/>
              </w:rPr>
              <w:t> </w:t>
            </w:r>
          </w:p>
        </w:tc>
      </w:tr>
      <w:tr w:rsidR="006620DC" w14:paraId="215FCD2E" w14:textId="77777777" w:rsidTr="00B675D3">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635757A9" w14:textId="77777777" w:rsidR="006620DC" w:rsidRDefault="006620DC">
            <w:pPr>
              <w:rPr>
                <w:b/>
                <w:bCs/>
                <w:color w:val="000000"/>
                <w:sz w:val="18"/>
                <w:szCs w:val="18"/>
              </w:rPr>
            </w:pPr>
            <w:r>
              <w:rPr>
                <w:b/>
                <w:bCs/>
                <w:color w:val="000000"/>
                <w:sz w:val="18"/>
                <w:szCs w:val="18"/>
              </w:rPr>
              <w:t>Notification of Hazardous Waste Activity</w:t>
            </w:r>
          </w:p>
        </w:tc>
        <w:tc>
          <w:tcPr>
            <w:tcW w:w="801" w:type="dxa"/>
            <w:tcBorders>
              <w:top w:val="nil"/>
              <w:left w:val="nil"/>
              <w:bottom w:val="single" w:sz="4" w:space="0" w:color="auto"/>
              <w:right w:val="nil"/>
            </w:tcBorders>
            <w:shd w:val="clear" w:color="000000" w:fill="D9D9D9"/>
            <w:vAlign w:val="center"/>
            <w:hideMark/>
          </w:tcPr>
          <w:p w14:paraId="28CAEA8D"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0B94FC3E"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6D9D81E8"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4E8D81A3"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25B33AD6" w14:textId="77777777" w:rsidR="006620DC" w:rsidRDefault="006620DC">
            <w:pPr>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67E4D771" w14:textId="77777777" w:rsidR="006620DC" w:rsidRDefault="006620DC">
            <w:pP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5129F0A0"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51011D84" w14:textId="77777777" w:rsidR="006620DC" w:rsidRDefault="006620DC">
            <w:pPr>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32D6204E" w14:textId="77777777" w:rsidR="006620DC" w:rsidRDefault="006620DC">
            <w:pPr>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5BA21186" w14:textId="77777777" w:rsidR="006620DC" w:rsidRDefault="006620DC">
            <w:pPr>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73871C91" w14:textId="77777777" w:rsidR="006620DC" w:rsidRDefault="006620DC">
            <w:pPr>
              <w:rPr>
                <w:b/>
                <w:bCs/>
                <w:color w:val="000000"/>
                <w:sz w:val="18"/>
                <w:szCs w:val="18"/>
              </w:rPr>
            </w:pPr>
            <w:r>
              <w:rPr>
                <w:b/>
                <w:bCs/>
                <w:color w:val="000000"/>
                <w:sz w:val="18"/>
                <w:szCs w:val="18"/>
              </w:rPr>
              <w:t> </w:t>
            </w:r>
          </w:p>
        </w:tc>
      </w:tr>
      <w:tr w:rsidR="00EA792F" w14:paraId="1602675A" w14:textId="77777777" w:rsidTr="00B675D3">
        <w:trPr>
          <w:trHeight w:val="73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734F23C4" w14:textId="77777777" w:rsidR="00EA792F" w:rsidRDefault="00EA792F">
            <w:pPr>
              <w:rPr>
                <w:color w:val="000000"/>
                <w:sz w:val="18"/>
                <w:szCs w:val="18"/>
              </w:rPr>
            </w:pPr>
            <w:r>
              <w:rPr>
                <w:color w:val="000000"/>
                <w:sz w:val="18"/>
                <w:szCs w:val="18"/>
              </w:rPr>
              <w:t>Notification of Hazardous Waste Activity under RCRA Section 3010 - Initial Notification - Complete and submit EPA Form 8700-12</w:t>
            </w:r>
          </w:p>
        </w:tc>
        <w:tc>
          <w:tcPr>
            <w:tcW w:w="801" w:type="dxa"/>
            <w:tcBorders>
              <w:top w:val="nil"/>
              <w:left w:val="nil"/>
              <w:bottom w:val="single" w:sz="4" w:space="0" w:color="auto"/>
              <w:right w:val="single" w:sz="4" w:space="0" w:color="auto"/>
            </w:tcBorders>
            <w:shd w:val="clear" w:color="auto" w:fill="auto"/>
            <w:noWrap/>
            <w:vAlign w:val="bottom"/>
            <w:hideMark/>
          </w:tcPr>
          <w:p w14:paraId="3E1C1009" w14:textId="1C70E047" w:rsidR="00EA792F" w:rsidRDefault="00EA792F">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55A01098" w14:textId="3158D252" w:rsidR="00EA792F" w:rsidRDefault="00EA792F">
            <w:pPr>
              <w:jc w:val="right"/>
              <w:rPr>
                <w:color w:val="000000"/>
                <w:sz w:val="18"/>
                <w:szCs w:val="18"/>
              </w:rPr>
            </w:pPr>
            <w:r>
              <w:rPr>
                <w:color w:val="000000"/>
                <w:sz w:val="18"/>
                <w:szCs w:val="18"/>
              </w:rPr>
              <w:t>0.08</w:t>
            </w:r>
          </w:p>
        </w:tc>
        <w:tc>
          <w:tcPr>
            <w:tcW w:w="966" w:type="dxa"/>
            <w:tcBorders>
              <w:top w:val="nil"/>
              <w:left w:val="nil"/>
              <w:bottom w:val="single" w:sz="4" w:space="0" w:color="auto"/>
              <w:right w:val="single" w:sz="4" w:space="0" w:color="auto"/>
            </w:tcBorders>
            <w:shd w:val="clear" w:color="auto" w:fill="auto"/>
            <w:noWrap/>
            <w:vAlign w:val="bottom"/>
            <w:hideMark/>
          </w:tcPr>
          <w:p w14:paraId="78A98390" w14:textId="3789550D" w:rsidR="00EA792F" w:rsidRDefault="00EA792F">
            <w:pPr>
              <w:jc w:val="right"/>
              <w:rPr>
                <w:color w:val="000000"/>
                <w:sz w:val="18"/>
                <w:szCs w:val="18"/>
              </w:rPr>
            </w:pPr>
            <w:r>
              <w:rPr>
                <w:color w:val="000000"/>
                <w:sz w:val="18"/>
                <w:szCs w:val="18"/>
              </w:rPr>
              <w:t>0.93</w:t>
            </w:r>
          </w:p>
        </w:tc>
        <w:tc>
          <w:tcPr>
            <w:tcW w:w="792" w:type="dxa"/>
            <w:tcBorders>
              <w:top w:val="nil"/>
              <w:left w:val="nil"/>
              <w:bottom w:val="single" w:sz="4" w:space="0" w:color="auto"/>
              <w:right w:val="single" w:sz="4" w:space="0" w:color="auto"/>
            </w:tcBorders>
            <w:shd w:val="clear" w:color="auto" w:fill="auto"/>
            <w:noWrap/>
            <w:vAlign w:val="bottom"/>
            <w:hideMark/>
          </w:tcPr>
          <w:p w14:paraId="1A291E2E" w14:textId="2A90B595" w:rsidR="00EA792F" w:rsidRDefault="00EA792F">
            <w:pPr>
              <w:jc w:val="right"/>
              <w:rPr>
                <w:color w:val="000000"/>
                <w:sz w:val="18"/>
                <w:szCs w:val="18"/>
              </w:rPr>
            </w:pPr>
            <w:r>
              <w:rPr>
                <w:color w:val="000000"/>
                <w:sz w:val="18"/>
                <w:szCs w:val="18"/>
              </w:rPr>
              <w:t>0.08</w:t>
            </w:r>
          </w:p>
        </w:tc>
        <w:tc>
          <w:tcPr>
            <w:tcW w:w="1216" w:type="dxa"/>
            <w:tcBorders>
              <w:top w:val="nil"/>
              <w:left w:val="nil"/>
              <w:bottom w:val="single" w:sz="4" w:space="0" w:color="auto"/>
              <w:right w:val="single" w:sz="4" w:space="0" w:color="auto"/>
            </w:tcBorders>
            <w:shd w:val="clear" w:color="auto" w:fill="auto"/>
            <w:noWrap/>
            <w:vAlign w:val="bottom"/>
            <w:hideMark/>
          </w:tcPr>
          <w:p w14:paraId="36778FB9" w14:textId="0C92D126" w:rsidR="00EA792F" w:rsidRDefault="00EA792F">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23D16AD9" w14:textId="776E653C" w:rsidR="00EA792F" w:rsidRDefault="00EA792F">
            <w:pPr>
              <w:jc w:val="right"/>
              <w:rPr>
                <w:color w:val="000000"/>
                <w:sz w:val="18"/>
                <w:szCs w:val="18"/>
              </w:rPr>
            </w:pPr>
            <w:r>
              <w:rPr>
                <w:color w:val="000000"/>
                <w:sz w:val="18"/>
                <w:szCs w:val="18"/>
              </w:rPr>
              <w:t>3.8</w:t>
            </w:r>
          </w:p>
        </w:tc>
        <w:tc>
          <w:tcPr>
            <w:tcW w:w="916" w:type="dxa"/>
            <w:tcBorders>
              <w:top w:val="nil"/>
              <w:left w:val="nil"/>
              <w:bottom w:val="single" w:sz="4" w:space="0" w:color="auto"/>
              <w:right w:val="single" w:sz="4" w:space="0" w:color="auto"/>
            </w:tcBorders>
            <w:shd w:val="clear" w:color="auto" w:fill="auto"/>
            <w:noWrap/>
            <w:vAlign w:val="bottom"/>
            <w:hideMark/>
          </w:tcPr>
          <w:p w14:paraId="33FCDAFA" w14:textId="612EA51B" w:rsidR="00EA792F" w:rsidRDefault="00EA792F">
            <w:pPr>
              <w:jc w:val="right"/>
              <w:rPr>
                <w:color w:val="000000"/>
                <w:sz w:val="18"/>
                <w:szCs w:val="18"/>
              </w:rPr>
            </w:pPr>
            <w:r>
              <w:rPr>
                <w:color w:val="000000"/>
                <w:sz w:val="18"/>
                <w:szCs w:val="18"/>
              </w:rPr>
              <w:t>5</w:t>
            </w:r>
          </w:p>
        </w:tc>
        <w:tc>
          <w:tcPr>
            <w:tcW w:w="1236" w:type="dxa"/>
            <w:tcBorders>
              <w:top w:val="nil"/>
              <w:left w:val="nil"/>
              <w:bottom w:val="single" w:sz="4" w:space="0" w:color="auto"/>
              <w:right w:val="single" w:sz="4" w:space="0" w:color="auto"/>
            </w:tcBorders>
            <w:shd w:val="clear" w:color="auto" w:fill="auto"/>
            <w:noWrap/>
            <w:vAlign w:val="bottom"/>
            <w:hideMark/>
          </w:tcPr>
          <w:p w14:paraId="066981FD" w14:textId="5580F5D1" w:rsidR="00EA792F" w:rsidRDefault="00EA792F">
            <w:pPr>
              <w:jc w:val="right"/>
              <w:rPr>
                <w:color w:val="000000"/>
                <w:sz w:val="18"/>
                <w:szCs w:val="18"/>
              </w:rPr>
            </w:pPr>
            <w:r>
              <w:rPr>
                <w:color w:val="000000"/>
                <w:sz w:val="18"/>
                <w:szCs w:val="18"/>
              </w:rPr>
              <w:t xml:space="preserve">                    6 </w:t>
            </w:r>
          </w:p>
        </w:tc>
        <w:tc>
          <w:tcPr>
            <w:tcW w:w="950" w:type="dxa"/>
            <w:tcBorders>
              <w:top w:val="nil"/>
              <w:left w:val="nil"/>
              <w:bottom w:val="single" w:sz="4" w:space="0" w:color="auto"/>
              <w:right w:val="single" w:sz="4" w:space="0" w:color="auto"/>
            </w:tcBorders>
            <w:shd w:val="clear" w:color="auto" w:fill="auto"/>
            <w:noWrap/>
            <w:vAlign w:val="bottom"/>
            <w:hideMark/>
          </w:tcPr>
          <w:p w14:paraId="18AC803C" w14:textId="4F633A2D" w:rsidR="00EA792F" w:rsidRDefault="00EA792F">
            <w:pPr>
              <w:jc w:val="right"/>
              <w:rPr>
                <w:color w:val="000000"/>
                <w:sz w:val="18"/>
                <w:szCs w:val="18"/>
              </w:rPr>
            </w:pPr>
            <w:r>
              <w:rPr>
                <w:color w:val="000000"/>
                <w:sz w:val="18"/>
                <w:szCs w:val="18"/>
              </w:rPr>
              <w:t>$313</w:t>
            </w:r>
          </w:p>
        </w:tc>
        <w:tc>
          <w:tcPr>
            <w:tcW w:w="840" w:type="dxa"/>
            <w:tcBorders>
              <w:top w:val="nil"/>
              <w:left w:val="nil"/>
              <w:bottom w:val="single" w:sz="4" w:space="0" w:color="auto"/>
              <w:right w:val="single" w:sz="4" w:space="0" w:color="auto"/>
            </w:tcBorders>
            <w:shd w:val="clear" w:color="auto" w:fill="auto"/>
            <w:noWrap/>
            <w:vAlign w:val="bottom"/>
            <w:hideMark/>
          </w:tcPr>
          <w:p w14:paraId="2CC02F8D" w14:textId="2CBBB5BA" w:rsidR="00EA792F" w:rsidRDefault="00EA792F">
            <w:pPr>
              <w:jc w:val="right"/>
              <w:rPr>
                <w:color w:val="000000"/>
                <w:sz w:val="18"/>
                <w:szCs w:val="18"/>
              </w:rPr>
            </w:pPr>
            <w:r>
              <w:rPr>
                <w:color w:val="000000"/>
                <w:sz w:val="18"/>
                <w:szCs w:val="18"/>
              </w:rPr>
              <w:t>$21</w:t>
            </w:r>
          </w:p>
        </w:tc>
        <w:tc>
          <w:tcPr>
            <w:tcW w:w="1273" w:type="dxa"/>
            <w:tcBorders>
              <w:top w:val="nil"/>
              <w:left w:val="nil"/>
              <w:bottom w:val="single" w:sz="4" w:space="0" w:color="auto"/>
              <w:right w:val="single" w:sz="4" w:space="0" w:color="auto"/>
            </w:tcBorders>
            <w:shd w:val="clear" w:color="auto" w:fill="auto"/>
            <w:noWrap/>
            <w:vAlign w:val="bottom"/>
            <w:hideMark/>
          </w:tcPr>
          <w:p w14:paraId="63ECFF13" w14:textId="38377132" w:rsidR="00EA792F" w:rsidRDefault="00EA792F">
            <w:pPr>
              <w:jc w:val="right"/>
              <w:rPr>
                <w:color w:val="000000"/>
                <w:sz w:val="18"/>
                <w:szCs w:val="18"/>
              </w:rPr>
            </w:pPr>
            <w:r>
              <w:rPr>
                <w:color w:val="000000"/>
                <w:sz w:val="18"/>
                <w:szCs w:val="18"/>
              </w:rPr>
              <w:t>$334</w:t>
            </w:r>
          </w:p>
        </w:tc>
      </w:tr>
      <w:tr w:rsidR="006620DC" w14:paraId="4333A37F" w14:textId="77777777" w:rsidTr="00B675D3">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7543AD4D" w14:textId="77777777" w:rsidR="006620DC" w:rsidRDefault="006620DC">
            <w:pPr>
              <w:rPr>
                <w:b/>
                <w:bCs/>
                <w:color w:val="000000"/>
                <w:sz w:val="18"/>
                <w:szCs w:val="18"/>
              </w:rPr>
            </w:pPr>
            <w:r>
              <w:rPr>
                <w:b/>
                <w:bCs/>
                <w:color w:val="000000"/>
                <w:sz w:val="18"/>
                <w:szCs w:val="18"/>
              </w:rPr>
              <w:t>Rule Familiarization</w:t>
            </w:r>
          </w:p>
        </w:tc>
        <w:tc>
          <w:tcPr>
            <w:tcW w:w="801" w:type="dxa"/>
            <w:tcBorders>
              <w:top w:val="nil"/>
              <w:left w:val="nil"/>
              <w:bottom w:val="single" w:sz="4" w:space="0" w:color="auto"/>
              <w:right w:val="nil"/>
            </w:tcBorders>
            <w:shd w:val="clear" w:color="000000" w:fill="D9D9D9"/>
            <w:vAlign w:val="center"/>
            <w:hideMark/>
          </w:tcPr>
          <w:p w14:paraId="405C595C"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31DCF7F6"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05217488"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F8048EA"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277A2C19"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14FA94ED"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6C2FF367"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0699B62D"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51EE8449"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4655B73E"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61638D61" w14:textId="77777777" w:rsidR="006620DC" w:rsidRDefault="006620DC">
            <w:pPr>
              <w:jc w:val="right"/>
              <w:rPr>
                <w:b/>
                <w:bCs/>
                <w:color w:val="000000"/>
                <w:sz w:val="18"/>
                <w:szCs w:val="18"/>
              </w:rPr>
            </w:pPr>
            <w:r>
              <w:rPr>
                <w:b/>
                <w:bCs/>
                <w:color w:val="000000"/>
                <w:sz w:val="18"/>
                <w:szCs w:val="18"/>
              </w:rPr>
              <w:t> </w:t>
            </w:r>
          </w:p>
        </w:tc>
      </w:tr>
      <w:tr w:rsidR="00EA792F" w14:paraId="4D9E35DC" w14:textId="77777777" w:rsidTr="00B675D3">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2F141023" w14:textId="77777777" w:rsidR="00EA792F" w:rsidRDefault="00EA792F">
            <w:pPr>
              <w:rPr>
                <w:color w:val="000000"/>
                <w:sz w:val="18"/>
                <w:szCs w:val="18"/>
              </w:rPr>
            </w:pPr>
            <w:r>
              <w:rPr>
                <w:color w:val="000000"/>
                <w:sz w:val="18"/>
                <w:szCs w:val="18"/>
              </w:rPr>
              <w:t>Rule familiarization with legal counsel</w:t>
            </w:r>
          </w:p>
        </w:tc>
        <w:tc>
          <w:tcPr>
            <w:tcW w:w="801" w:type="dxa"/>
            <w:tcBorders>
              <w:top w:val="nil"/>
              <w:left w:val="nil"/>
              <w:bottom w:val="single" w:sz="4" w:space="0" w:color="auto"/>
              <w:right w:val="single" w:sz="4" w:space="0" w:color="auto"/>
            </w:tcBorders>
            <w:shd w:val="clear" w:color="auto" w:fill="auto"/>
            <w:noWrap/>
            <w:vAlign w:val="bottom"/>
            <w:hideMark/>
          </w:tcPr>
          <w:p w14:paraId="2FBBCFC1" w14:textId="41FE4FB9" w:rsidR="00EA792F" w:rsidRDefault="00EA792F">
            <w:pPr>
              <w:jc w:val="right"/>
              <w:rPr>
                <w:color w:val="000000"/>
                <w:sz w:val="18"/>
                <w:szCs w:val="18"/>
              </w:rPr>
            </w:pPr>
            <w:r>
              <w:rPr>
                <w:color w:val="000000"/>
                <w:sz w:val="18"/>
                <w:szCs w:val="18"/>
              </w:rPr>
              <w:t>0.50</w:t>
            </w:r>
          </w:p>
        </w:tc>
        <w:tc>
          <w:tcPr>
            <w:tcW w:w="1106" w:type="dxa"/>
            <w:tcBorders>
              <w:top w:val="nil"/>
              <w:left w:val="nil"/>
              <w:bottom w:val="single" w:sz="4" w:space="0" w:color="auto"/>
              <w:right w:val="single" w:sz="4" w:space="0" w:color="auto"/>
            </w:tcBorders>
            <w:shd w:val="clear" w:color="auto" w:fill="auto"/>
            <w:noWrap/>
            <w:vAlign w:val="bottom"/>
            <w:hideMark/>
          </w:tcPr>
          <w:p w14:paraId="531DEC10" w14:textId="54454DC3" w:rsidR="00EA792F" w:rsidRDefault="00EA792F">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3DF6108F" w14:textId="01C51EB7" w:rsidR="00EA792F" w:rsidRDefault="00EA792F">
            <w:pPr>
              <w:jc w:val="right"/>
              <w:rPr>
                <w:color w:val="000000"/>
                <w:sz w:val="18"/>
                <w:szCs w:val="18"/>
              </w:rPr>
            </w:pPr>
            <w:r>
              <w:rPr>
                <w:color w:val="000000"/>
                <w:sz w:val="18"/>
                <w:szCs w:val="18"/>
              </w:rPr>
              <w:t>1.50</w:t>
            </w:r>
          </w:p>
        </w:tc>
        <w:tc>
          <w:tcPr>
            <w:tcW w:w="792" w:type="dxa"/>
            <w:tcBorders>
              <w:top w:val="nil"/>
              <w:left w:val="nil"/>
              <w:bottom w:val="single" w:sz="4" w:space="0" w:color="auto"/>
              <w:right w:val="single" w:sz="4" w:space="0" w:color="auto"/>
            </w:tcBorders>
            <w:shd w:val="clear" w:color="auto" w:fill="auto"/>
            <w:noWrap/>
            <w:vAlign w:val="bottom"/>
            <w:hideMark/>
          </w:tcPr>
          <w:p w14:paraId="23E60343" w14:textId="0238030A" w:rsidR="00EA792F" w:rsidRDefault="00EA792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4A17D57D" w14:textId="39D93EB9" w:rsidR="00EA792F" w:rsidRDefault="00EA792F">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F660670" w14:textId="5E48107F" w:rsidR="00EA792F" w:rsidRDefault="00EA792F">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5811AAFC" w14:textId="0DADD3C6" w:rsidR="00EA792F" w:rsidRDefault="00EA792F">
            <w:pPr>
              <w:jc w:val="right"/>
              <w:rPr>
                <w:color w:val="000000"/>
                <w:sz w:val="18"/>
                <w:szCs w:val="18"/>
              </w:rPr>
            </w:pPr>
            <w:r>
              <w:rPr>
                <w:color w:val="000000"/>
                <w:sz w:val="18"/>
                <w:szCs w:val="18"/>
              </w:rPr>
              <w:t>5</w:t>
            </w:r>
          </w:p>
        </w:tc>
        <w:tc>
          <w:tcPr>
            <w:tcW w:w="1236" w:type="dxa"/>
            <w:tcBorders>
              <w:top w:val="nil"/>
              <w:left w:val="nil"/>
              <w:bottom w:val="single" w:sz="4" w:space="0" w:color="auto"/>
              <w:right w:val="single" w:sz="4" w:space="0" w:color="auto"/>
            </w:tcBorders>
            <w:shd w:val="clear" w:color="auto" w:fill="auto"/>
            <w:noWrap/>
            <w:vAlign w:val="bottom"/>
            <w:hideMark/>
          </w:tcPr>
          <w:p w14:paraId="38D97D82" w14:textId="60A1FB2A" w:rsidR="00EA792F" w:rsidRDefault="00EA792F">
            <w:pPr>
              <w:jc w:val="right"/>
              <w:rPr>
                <w:color w:val="000000"/>
                <w:sz w:val="18"/>
                <w:szCs w:val="18"/>
              </w:rPr>
            </w:pPr>
            <w:r>
              <w:rPr>
                <w:color w:val="000000"/>
                <w:sz w:val="18"/>
                <w:szCs w:val="18"/>
              </w:rPr>
              <w:t xml:space="preserve">                  16 </w:t>
            </w:r>
          </w:p>
        </w:tc>
        <w:tc>
          <w:tcPr>
            <w:tcW w:w="950" w:type="dxa"/>
            <w:tcBorders>
              <w:top w:val="nil"/>
              <w:left w:val="nil"/>
              <w:bottom w:val="single" w:sz="4" w:space="0" w:color="auto"/>
              <w:right w:val="single" w:sz="4" w:space="0" w:color="auto"/>
            </w:tcBorders>
            <w:shd w:val="clear" w:color="auto" w:fill="auto"/>
            <w:noWrap/>
            <w:vAlign w:val="bottom"/>
            <w:hideMark/>
          </w:tcPr>
          <w:p w14:paraId="0AB0B6A7" w14:textId="412D68DA" w:rsidR="00EA792F" w:rsidRDefault="00EA792F">
            <w:pPr>
              <w:jc w:val="right"/>
              <w:rPr>
                <w:color w:val="000000"/>
                <w:sz w:val="18"/>
                <w:szCs w:val="18"/>
              </w:rPr>
            </w:pPr>
            <w:r>
              <w:rPr>
                <w:color w:val="000000"/>
                <w:sz w:val="18"/>
                <w:szCs w:val="18"/>
              </w:rPr>
              <w:t>$1,450</w:t>
            </w:r>
          </w:p>
        </w:tc>
        <w:tc>
          <w:tcPr>
            <w:tcW w:w="840" w:type="dxa"/>
            <w:tcBorders>
              <w:top w:val="nil"/>
              <w:left w:val="nil"/>
              <w:bottom w:val="single" w:sz="4" w:space="0" w:color="auto"/>
              <w:right w:val="single" w:sz="4" w:space="0" w:color="auto"/>
            </w:tcBorders>
            <w:shd w:val="clear" w:color="auto" w:fill="auto"/>
            <w:noWrap/>
            <w:vAlign w:val="bottom"/>
            <w:hideMark/>
          </w:tcPr>
          <w:p w14:paraId="385BD0A7" w14:textId="061C50EF" w:rsidR="00EA792F" w:rsidRDefault="00EA792F">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3560620C" w14:textId="07599D38" w:rsidR="00EA792F" w:rsidRDefault="00EA792F">
            <w:pPr>
              <w:jc w:val="right"/>
              <w:rPr>
                <w:color w:val="000000"/>
                <w:sz w:val="18"/>
                <w:szCs w:val="18"/>
              </w:rPr>
            </w:pPr>
            <w:r>
              <w:rPr>
                <w:color w:val="000000"/>
                <w:sz w:val="18"/>
                <w:szCs w:val="18"/>
              </w:rPr>
              <w:t>$1,450</w:t>
            </w:r>
          </w:p>
        </w:tc>
      </w:tr>
      <w:tr w:rsidR="006620DC" w14:paraId="680A8AA3" w14:textId="77777777" w:rsidTr="00B675D3">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4985080C" w14:textId="77777777" w:rsidR="006620DC" w:rsidRDefault="006620DC">
            <w:pPr>
              <w:rPr>
                <w:b/>
                <w:bCs/>
                <w:color w:val="000000"/>
                <w:sz w:val="18"/>
                <w:szCs w:val="18"/>
              </w:rPr>
            </w:pPr>
            <w:r>
              <w:rPr>
                <w:b/>
                <w:bCs/>
                <w:color w:val="000000"/>
                <w:sz w:val="18"/>
                <w:szCs w:val="18"/>
              </w:rPr>
              <w:t>ANNUAL COSTS</w:t>
            </w:r>
          </w:p>
        </w:tc>
        <w:tc>
          <w:tcPr>
            <w:tcW w:w="801" w:type="dxa"/>
            <w:tcBorders>
              <w:top w:val="nil"/>
              <w:left w:val="nil"/>
              <w:bottom w:val="single" w:sz="4" w:space="0" w:color="auto"/>
              <w:right w:val="nil"/>
            </w:tcBorders>
            <w:shd w:val="clear" w:color="000000" w:fill="BFBFBF"/>
            <w:noWrap/>
            <w:vAlign w:val="bottom"/>
            <w:hideMark/>
          </w:tcPr>
          <w:p w14:paraId="0F928702"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0352189E"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7F872469"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7E8CC721"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79C03EFC"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BFBFBF"/>
            <w:noWrap/>
            <w:vAlign w:val="bottom"/>
            <w:hideMark/>
          </w:tcPr>
          <w:p w14:paraId="5F3D4F71"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BFBFBF"/>
            <w:noWrap/>
            <w:vAlign w:val="bottom"/>
            <w:hideMark/>
          </w:tcPr>
          <w:p w14:paraId="4E1D92AB"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5F90842F"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BFBFBF"/>
            <w:noWrap/>
            <w:vAlign w:val="bottom"/>
            <w:hideMark/>
          </w:tcPr>
          <w:p w14:paraId="462BE5A7"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BFBFBF"/>
            <w:noWrap/>
            <w:vAlign w:val="bottom"/>
            <w:hideMark/>
          </w:tcPr>
          <w:p w14:paraId="1D1604B2"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BFBFBF"/>
            <w:noWrap/>
            <w:vAlign w:val="bottom"/>
            <w:hideMark/>
          </w:tcPr>
          <w:p w14:paraId="70BEF003" w14:textId="77777777" w:rsidR="006620DC" w:rsidRDefault="006620DC">
            <w:pPr>
              <w:jc w:val="right"/>
              <w:rPr>
                <w:b/>
                <w:bCs/>
                <w:color w:val="000000"/>
                <w:sz w:val="18"/>
                <w:szCs w:val="18"/>
              </w:rPr>
            </w:pPr>
            <w:r>
              <w:rPr>
                <w:b/>
                <w:bCs/>
                <w:color w:val="000000"/>
                <w:sz w:val="18"/>
                <w:szCs w:val="18"/>
              </w:rPr>
              <w:t> </w:t>
            </w:r>
          </w:p>
        </w:tc>
      </w:tr>
      <w:tr w:rsidR="006620DC" w14:paraId="1BAB85E9" w14:textId="77777777" w:rsidTr="00B675D3">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7775909D" w14:textId="77777777" w:rsidR="006620DC" w:rsidRDefault="006620DC">
            <w:pPr>
              <w:rPr>
                <w:b/>
                <w:bCs/>
                <w:color w:val="000000"/>
                <w:sz w:val="18"/>
                <w:szCs w:val="18"/>
              </w:rPr>
            </w:pPr>
            <w:r>
              <w:rPr>
                <w:b/>
                <w:bCs/>
                <w:color w:val="000000"/>
                <w:sz w:val="18"/>
                <w:szCs w:val="18"/>
              </w:rPr>
              <w:t>Annual Review of Regulations</w:t>
            </w:r>
          </w:p>
        </w:tc>
        <w:tc>
          <w:tcPr>
            <w:tcW w:w="801" w:type="dxa"/>
            <w:tcBorders>
              <w:top w:val="nil"/>
              <w:left w:val="nil"/>
              <w:bottom w:val="single" w:sz="4" w:space="0" w:color="auto"/>
              <w:right w:val="nil"/>
            </w:tcBorders>
            <w:shd w:val="clear" w:color="000000" w:fill="D9D9D9"/>
            <w:vAlign w:val="center"/>
            <w:hideMark/>
          </w:tcPr>
          <w:p w14:paraId="7439CB79"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683FC549"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718063BF"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57F9B9B"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6B818803"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634BBAD9"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6B4BF610"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5C2BBED8"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15454834"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1DEF9D4D"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0C726579" w14:textId="77777777" w:rsidR="006620DC" w:rsidRDefault="006620DC">
            <w:pPr>
              <w:jc w:val="right"/>
              <w:rPr>
                <w:b/>
                <w:bCs/>
                <w:color w:val="000000"/>
                <w:sz w:val="18"/>
                <w:szCs w:val="18"/>
              </w:rPr>
            </w:pPr>
            <w:r>
              <w:rPr>
                <w:b/>
                <w:bCs/>
                <w:color w:val="000000"/>
                <w:sz w:val="18"/>
                <w:szCs w:val="18"/>
              </w:rPr>
              <w:t> </w:t>
            </w:r>
          </w:p>
        </w:tc>
      </w:tr>
      <w:tr w:rsidR="00EA792F" w14:paraId="5AB49FB0" w14:textId="77777777" w:rsidTr="00B675D3">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1E3D02E7" w14:textId="77777777" w:rsidR="00EA792F" w:rsidRDefault="00EA792F">
            <w:pPr>
              <w:rPr>
                <w:color w:val="000000"/>
                <w:sz w:val="18"/>
                <w:szCs w:val="18"/>
              </w:rPr>
            </w:pPr>
            <w:r>
              <w:rPr>
                <w:color w:val="000000"/>
                <w:sz w:val="18"/>
                <w:szCs w:val="18"/>
              </w:rPr>
              <w:t>Read the Regulations</w:t>
            </w:r>
          </w:p>
        </w:tc>
        <w:tc>
          <w:tcPr>
            <w:tcW w:w="801" w:type="dxa"/>
            <w:tcBorders>
              <w:top w:val="nil"/>
              <w:left w:val="nil"/>
              <w:bottom w:val="single" w:sz="4" w:space="0" w:color="auto"/>
              <w:right w:val="single" w:sz="4" w:space="0" w:color="auto"/>
            </w:tcBorders>
            <w:shd w:val="clear" w:color="auto" w:fill="auto"/>
            <w:noWrap/>
            <w:vAlign w:val="bottom"/>
            <w:hideMark/>
          </w:tcPr>
          <w:p w14:paraId="25A527CB" w14:textId="13F13042" w:rsidR="00EA792F" w:rsidRDefault="00EA792F">
            <w:pPr>
              <w:jc w:val="right"/>
              <w:rPr>
                <w:color w:val="000000"/>
                <w:sz w:val="18"/>
                <w:szCs w:val="18"/>
              </w:rPr>
            </w:pPr>
            <w:r>
              <w:rPr>
                <w:color w:val="000000"/>
                <w:sz w:val="18"/>
                <w:szCs w:val="18"/>
              </w:rPr>
              <w:t>0.25</w:t>
            </w:r>
          </w:p>
        </w:tc>
        <w:tc>
          <w:tcPr>
            <w:tcW w:w="1106" w:type="dxa"/>
            <w:tcBorders>
              <w:top w:val="nil"/>
              <w:left w:val="nil"/>
              <w:bottom w:val="single" w:sz="4" w:space="0" w:color="auto"/>
              <w:right w:val="single" w:sz="4" w:space="0" w:color="auto"/>
            </w:tcBorders>
            <w:shd w:val="clear" w:color="auto" w:fill="auto"/>
            <w:noWrap/>
            <w:vAlign w:val="bottom"/>
            <w:hideMark/>
          </w:tcPr>
          <w:p w14:paraId="4BF46259" w14:textId="26D50F52" w:rsidR="00EA792F" w:rsidRDefault="00EA792F">
            <w:pPr>
              <w:jc w:val="right"/>
              <w:rPr>
                <w:color w:val="000000"/>
                <w:sz w:val="18"/>
                <w:szCs w:val="18"/>
              </w:rPr>
            </w:pPr>
            <w:r>
              <w:rPr>
                <w:color w:val="000000"/>
                <w:sz w:val="18"/>
                <w:szCs w:val="18"/>
              </w:rPr>
              <w:t>0.25</w:t>
            </w:r>
          </w:p>
        </w:tc>
        <w:tc>
          <w:tcPr>
            <w:tcW w:w="966" w:type="dxa"/>
            <w:tcBorders>
              <w:top w:val="nil"/>
              <w:left w:val="nil"/>
              <w:bottom w:val="single" w:sz="4" w:space="0" w:color="auto"/>
              <w:right w:val="single" w:sz="4" w:space="0" w:color="auto"/>
            </w:tcBorders>
            <w:shd w:val="clear" w:color="auto" w:fill="auto"/>
            <w:noWrap/>
            <w:vAlign w:val="bottom"/>
            <w:hideMark/>
          </w:tcPr>
          <w:p w14:paraId="796DD4BC" w14:textId="56B9913B" w:rsidR="00EA792F" w:rsidRDefault="00EA792F">
            <w:pPr>
              <w:jc w:val="right"/>
              <w:rPr>
                <w:color w:val="000000"/>
                <w:sz w:val="18"/>
                <w:szCs w:val="18"/>
              </w:rPr>
            </w:pPr>
            <w:r>
              <w:rPr>
                <w:color w:val="000000"/>
                <w:sz w:val="18"/>
                <w:szCs w:val="18"/>
              </w:rPr>
              <w:t>0.50</w:t>
            </w:r>
          </w:p>
        </w:tc>
        <w:tc>
          <w:tcPr>
            <w:tcW w:w="792" w:type="dxa"/>
            <w:tcBorders>
              <w:top w:val="nil"/>
              <w:left w:val="nil"/>
              <w:bottom w:val="single" w:sz="4" w:space="0" w:color="auto"/>
              <w:right w:val="single" w:sz="4" w:space="0" w:color="auto"/>
            </w:tcBorders>
            <w:shd w:val="clear" w:color="auto" w:fill="auto"/>
            <w:noWrap/>
            <w:vAlign w:val="bottom"/>
            <w:hideMark/>
          </w:tcPr>
          <w:p w14:paraId="0587196D" w14:textId="28057979" w:rsidR="00EA792F" w:rsidRDefault="00EA792F">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2AE71815" w14:textId="7511E627" w:rsidR="00EA792F" w:rsidRDefault="00EA792F">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E939AEB" w14:textId="4AB76625" w:rsidR="00EA792F" w:rsidRDefault="00EA792F">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7FAB1989" w14:textId="78D67C92" w:rsidR="00EA792F" w:rsidRDefault="00EA792F">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61FF99D3" w14:textId="5775D2CA" w:rsidR="00EA792F" w:rsidRDefault="00EA792F">
            <w:pPr>
              <w:jc w:val="right"/>
              <w:rPr>
                <w:color w:val="000000"/>
                <w:sz w:val="18"/>
                <w:szCs w:val="18"/>
              </w:rPr>
            </w:pPr>
            <w:r>
              <w:rPr>
                <w:color w:val="000000"/>
                <w:sz w:val="18"/>
                <w:szCs w:val="18"/>
              </w:rPr>
              <w:t xml:space="preserve">                  92 </w:t>
            </w:r>
          </w:p>
        </w:tc>
        <w:tc>
          <w:tcPr>
            <w:tcW w:w="950" w:type="dxa"/>
            <w:tcBorders>
              <w:top w:val="nil"/>
              <w:left w:val="nil"/>
              <w:bottom w:val="single" w:sz="4" w:space="0" w:color="auto"/>
              <w:right w:val="single" w:sz="4" w:space="0" w:color="auto"/>
            </w:tcBorders>
            <w:shd w:val="clear" w:color="auto" w:fill="auto"/>
            <w:noWrap/>
            <w:vAlign w:val="bottom"/>
            <w:hideMark/>
          </w:tcPr>
          <w:p w14:paraId="25BD13A3" w14:textId="5E2482D9" w:rsidR="00EA792F" w:rsidRDefault="00EA792F">
            <w:pPr>
              <w:jc w:val="right"/>
              <w:rPr>
                <w:color w:val="000000"/>
                <w:sz w:val="18"/>
                <w:szCs w:val="18"/>
              </w:rPr>
            </w:pPr>
            <w:r>
              <w:rPr>
                <w:color w:val="000000"/>
                <w:sz w:val="18"/>
                <w:szCs w:val="18"/>
              </w:rPr>
              <w:t>$8,548</w:t>
            </w:r>
          </w:p>
        </w:tc>
        <w:tc>
          <w:tcPr>
            <w:tcW w:w="840" w:type="dxa"/>
            <w:tcBorders>
              <w:top w:val="nil"/>
              <w:left w:val="nil"/>
              <w:bottom w:val="single" w:sz="4" w:space="0" w:color="auto"/>
              <w:right w:val="single" w:sz="4" w:space="0" w:color="auto"/>
            </w:tcBorders>
            <w:shd w:val="clear" w:color="auto" w:fill="auto"/>
            <w:noWrap/>
            <w:vAlign w:val="bottom"/>
            <w:hideMark/>
          </w:tcPr>
          <w:p w14:paraId="61A721D7" w14:textId="39BC9526" w:rsidR="00EA792F" w:rsidRDefault="00EA792F">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63CA15D6" w14:textId="12B2B63D" w:rsidR="00EA792F" w:rsidRDefault="00EA792F">
            <w:pPr>
              <w:jc w:val="right"/>
              <w:rPr>
                <w:color w:val="000000"/>
                <w:sz w:val="18"/>
                <w:szCs w:val="18"/>
              </w:rPr>
            </w:pPr>
            <w:r>
              <w:rPr>
                <w:color w:val="000000"/>
                <w:sz w:val="18"/>
                <w:szCs w:val="18"/>
              </w:rPr>
              <w:t>$8,548</w:t>
            </w:r>
          </w:p>
        </w:tc>
      </w:tr>
      <w:tr w:rsidR="006620DC" w:rsidRPr="00C06044" w14:paraId="5D1050A1" w14:textId="77777777" w:rsidTr="00B675D3">
        <w:trPr>
          <w:trHeight w:val="300"/>
        </w:trPr>
        <w:tc>
          <w:tcPr>
            <w:tcW w:w="3745" w:type="dxa"/>
            <w:tcBorders>
              <w:top w:val="nil"/>
              <w:left w:val="single" w:sz="4" w:space="0" w:color="auto"/>
              <w:bottom w:val="single" w:sz="4" w:space="0" w:color="auto"/>
              <w:right w:val="nil"/>
            </w:tcBorders>
            <w:shd w:val="clear" w:color="000000" w:fill="D9D9D9"/>
            <w:vAlign w:val="center"/>
            <w:hideMark/>
          </w:tcPr>
          <w:p w14:paraId="23EDAD74" w14:textId="77777777" w:rsidR="006620DC" w:rsidRDefault="006620DC" w:rsidP="00C06044">
            <w:pPr>
              <w:rPr>
                <w:b/>
                <w:bCs/>
                <w:color w:val="000000"/>
                <w:sz w:val="18"/>
                <w:szCs w:val="18"/>
              </w:rPr>
            </w:pPr>
            <w:r>
              <w:rPr>
                <w:b/>
                <w:bCs/>
                <w:color w:val="000000"/>
                <w:sz w:val="18"/>
                <w:szCs w:val="18"/>
              </w:rPr>
              <w:t xml:space="preserve">Personnel Safety Training </w:t>
            </w:r>
          </w:p>
        </w:tc>
        <w:tc>
          <w:tcPr>
            <w:tcW w:w="801" w:type="dxa"/>
            <w:tcBorders>
              <w:top w:val="nil"/>
              <w:left w:val="nil"/>
              <w:bottom w:val="single" w:sz="4" w:space="0" w:color="auto"/>
              <w:right w:val="nil"/>
            </w:tcBorders>
            <w:shd w:val="clear" w:color="000000" w:fill="D9D9D9"/>
            <w:vAlign w:val="center"/>
            <w:hideMark/>
          </w:tcPr>
          <w:p w14:paraId="7023FA4D" w14:textId="77777777" w:rsidR="006620DC" w:rsidRDefault="006620DC" w:rsidP="00C06044">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2F4660E6" w14:textId="77777777" w:rsidR="006620DC" w:rsidRDefault="006620DC" w:rsidP="00C06044">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3A001406" w14:textId="77777777" w:rsidR="006620DC" w:rsidRDefault="006620DC" w:rsidP="00C06044">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300CF40F" w14:textId="77777777" w:rsidR="006620DC" w:rsidRDefault="006620DC" w:rsidP="00C06044">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7BFBC108" w14:textId="77777777" w:rsidR="006620DC" w:rsidRDefault="006620DC" w:rsidP="00C06044">
            <w:pPr>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04294B18" w14:textId="77777777" w:rsidR="006620DC" w:rsidRDefault="006620DC" w:rsidP="00C06044">
            <w:pP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3F327C82" w14:textId="77777777" w:rsidR="006620DC" w:rsidRDefault="006620DC" w:rsidP="00C06044">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0EDF6830" w14:textId="77777777" w:rsidR="006620DC" w:rsidRDefault="006620DC" w:rsidP="00C06044">
            <w:pPr>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2BACAE90" w14:textId="77777777" w:rsidR="006620DC" w:rsidRDefault="006620DC" w:rsidP="00C06044">
            <w:pPr>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1AB19BD6" w14:textId="77777777" w:rsidR="006620DC" w:rsidRDefault="006620DC" w:rsidP="00C06044">
            <w:pPr>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2AB42C32" w14:textId="77777777" w:rsidR="006620DC" w:rsidRDefault="006620DC" w:rsidP="00C06044">
            <w:pPr>
              <w:rPr>
                <w:b/>
                <w:bCs/>
                <w:color w:val="000000"/>
                <w:sz w:val="18"/>
                <w:szCs w:val="18"/>
              </w:rPr>
            </w:pPr>
            <w:r>
              <w:rPr>
                <w:b/>
                <w:bCs/>
                <w:color w:val="000000"/>
                <w:sz w:val="18"/>
                <w:szCs w:val="18"/>
              </w:rPr>
              <w:t> </w:t>
            </w:r>
          </w:p>
        </w:tc>
      </w:tr>
      <w:tr w:rsidR="00EA792F" w14:paraId="5C4462F5" w14:textId="77777777" w:rsidTr="00B675D3">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55F221DB" w14:textId="77777777" w:rsidR="00EA792F" w:rsidRDefault="00EA792F">
            <w:pPr>
              <w:rPr>
                <w:color w:val="000000"/>
                <w:sz w:val="18"/>
                <w:szCs w:val="18"/>
              </w:rPr>
            </w:pPr>
            <w:r>
              <w:rPr>
                <w:color w:val="000000"/>
                <w:sz w:val="18"/>
                <w:szCs w:val="18"/>
              </w:rPr>
              <w:t>Training</w:t>
            </w:r>
          </w:p>
        </w:tc>
        <w:tc>
          <w:tcPr>
            <w:tcW w:w="801" w:type="dxa"/>
            <w:tcBorders>
              <w:top w:val="nil"/>
              <w:left w:val="nil"/>
              <w:bottom w:val="single" w:sz="4" w:space="0" w:color="auto"/>
              <w:right w:val="single" w:sz="4" w:space="0" w:color="auto"/>
            </w:tcBorders>
            <w:shd w:val="clear" w:color="auto" w:fill="auto"/>
            <w:noWrap/>
            <w:vAlign w:val="bottom"/>
            <w:hideMark/>
          </w:tcPr>
          <w:p w14:paraId="4509A194" w14:textId="6D05F70F" w:rsidR="00EA792F" w:rsidRDefault="00EA792F">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1D888E7F" w14:textId="18E3DD6F" w:rsidR="00EA792F" w:rsidRDefault="00EA792F">
            <w:pPr>
              <w:jc w:val="right"/>
              <w:rPr>
                <w:color w:val="000000"/>
                <w:sz w:val="18"/>
                <w:szCs w:val="18"/>
              </w:rPr>
            </w:pPr>
            <w:r>
              <w:rPr>
                <w:color w:val="000000"/>
                <w:sz w:val="18"/>
                <w:szCs w:val="18"/>
              </w:rPr>
              <w:t>8.00</w:t>
            </w:r>
          </w:p>
        </w:tc>
        <w:tc>
          <w:tcPr>
            <w:tcW w:w="966" w:type="dxa"/>
            <w:tcBorders>
              <w:top w:val="nil"/>
              <w:left w:val="nil"/>
              <w:bottom w:val="single" w:sz="4" w:space="0" w:color="auto"/>
              <w:right w:val="single" w:sz="4" w:space="0" w:color="auto"/>
            </w:tcBorders>
            <w:shd w:val="clear" w:color="auto" w:fill="auto"/>
            <w:noWrap/>
            <w:vAlign w:val="bottom"/>
            <w:hideMark/>
          </w:tcPr>
          <w:p w14:paraId="1ACF6EE9" w14:textId="78B29CD9" w:rsidR="00EA792F" w:rsidRDefault="00EA792F">
            <w:pPr>
              <w:jc w:val="right"/>
              <w:rPr>
                <w:color w:val="000000"/>
                <w:sz w:val="18"/>
                <w:szCs w:val="18"/>
              </w:rPr>
            </w:pPr>
            <w:r>
              <w:rPr>
                <w:color w:val="000000"/>
                <w:sz w:val="18"/>
                <w:szCs w:val="18"/>
              </w:rPr>
              <w:t>8.00</w:t>
            </w:r>
          </w:p>
        </w:tc>
        <w:tc>
          <w:tcPr>
            <w:tcW w:w="792" w:type="dxa"/>
            <w:tcBorders>
              <w:top w:val="nil"/>
              <w:left w:val="nil"/>
              <w:bottom w:val="single" w:sz="4" w:space="0" w:color="auto"/>
              <w:right w:val="single" w:sz="4" w:space="0" w:color="auto"/>
            </w:tcBorders>
            <w:shd w:val="clear" w:color="auto" w:fill="auto"/>
            <w:noWrap/>
            <w:vAlign w:val="bottom"/>
            <w:hideMark/>
          </w:tcPr>
          <w:p w14:paraId="22DEB325" w14:textId="77383381" w:rsidR="00EA792F" w:rsidRDefault="00EA792F">
            <w:pPr>
              <w:jc w:val="right"/>
              <w:rPr>
                <w:color w:val="000000"/>
                <w:sz w:val="18"/>
                <w:szCs w:val="18"/>
              </w:rPr>
            </w:pPr>
            <w:r>
              <w:rPr>
                <w:color w:val="000000"/>
                <w:sz w:val="18"/>
                <w:szCs w:val="18"/>
              </w:rPr>
              <w:t>0.60</w:t>
            </w:r>
          </w:p>
        </w:tc>
        <w:tc>
          <w:tcPr>
            <w:tcW w:w="1216" w:type="dxa"/>
            <w:tcBorders>
              <w:top w:val="nil"/>
              <w:left w:val="nil"/>
              <w:bottom w:val="single" w:sz="4" w:space="0" w:color="auto"/>
              <w:right w:val="single" w:sz="4" w:space="0" w:color="auto"/>
            </w:tcBorders>
            <w:shd w:val="clear" w:color="auto" w:fill="auto"/>
            <w:noWrap/>
            <w:vAlign w:val="bottom"/>
            <w:hideMark/>
          </w:tcPr>
          <w:p w14:paraId="548B4564" w14:textId="421CD3AC" w:rsidR="00EA792F" w:rsidRDefault="00EA792F">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7DF1FAF2" w14:textId="66F15868" w:rsidR="00EA792F" w:rsidRDefault="00EA792F">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47350C27" w14:textId="53D96F56" w:rsidR="00EA792F" w:rsidRDefault="00EA792F">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591FFFEB" w14:textId="5791231D" w:rsidR="00EA792F" w:rsidRDefault="00EA792F">
            <w:pPr>
              <w:jc w:val="right"/>
              <w:rPr>
                <w:color w:val="000000"/>
                <w:sz w:val="18"/>
                <w:szCs w:val="18"/>
              </w:rPr>
            </w:pPr>
            <w:r>
              <w:rPr>
                <w:color w:val="000000"/>
                <w:sz w:val="18"/>
                <w:szCs w:val="18"/>
              </w:rPr>
              <w:t xml:space="preserve">             1,522 </w:t>
            </w:r>
          </w:p>
        </w:tc>
        <w:tc>
          <w:tcPr>
            <w:tcW w:w="950" w:type="dxa"/>
            <w:tcBorders>
              <w:top w:val="nil"/>
              <w:left w:val="nil"/>
              <w:bottom w:val="single" w:sz="4" w:space="0" w:color="auto"/>
              <w:right w:val="single" w:sz="4" w:space="0" w:color="auto"/>
            </w:tcBorders>
            <w:shd w:val="clear" w:color="auto" w:fill="auto"/>
            <w:noWrap/>
            <w:vAlign w:val="bottom"/>
            <w:hideMark/>
          </w:tcPr>
          <w:p w14:paraId="3BA9CCB6" w14:textId="75FCE673" w:rsidR="00EA792F" w:rsidRDefault="00EA792F">
            <w:pPr>
              <w:jc w:val="right"/>
              <w:rPr>
                <w:color w:val="000000"/>
                <w:sz w:val="18"/>
                <w:szCs w:val="18"/>
              </w:rPr>
            </w:pPr>
            <w:r>
              <w:rPr>
                <w:color w:val="000000"/>
                <w:sz w:val="18"/>
                <w:szCs w:val="18"/>
              </w:rPr>
              <w:t>$121,594</w:t>
            </w:r>
          </w:p>
        </w:tc>
        <w:tc>
          <w:tcPr>
            <w:tcW w:w="840" w:type="dxa"/>
            <w:tcBorders>
              <w:top w:val="nil"/>
              <w:left w:val="nil"/>
              <w:bottom w:val="single" w:sz="4" w:space="0" w:color="auto"/>
              <w:right w:val="single" w:sz="4" w:space="0" w:color="auto"/>
            </w:tcBorders>
            <w:shd w:val="clear" w:color="auto" w:fill="auto"/>
            <w:noWrap/>
            <w:vAlign w:val="bottom"/>
            <w:hideMark/>
          </w:tcPr>
          <w:p w14:paraId="7C1F42FF" w14:textId="0221BE98" w:rsidR="00EA792F" w:rsidRDefault="00EA792F">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565A2B85" w14:textId="63998796" w:rsidR="00EA792F" w:rsidRDefault="00EA792F">
            <w:pPr>
              <w:jc w:val="right"/>
              <w:rPr>
                <w:color w:val="000000"/>
                <w:sz w:val="18"/>
                <w:szCs w:val="18"/>
              </w:rPr>
            </w:pPr>
            <w:r>
              <w:rPr>
                <w:color w:val="000000"/>
                <w:sz w:val="18"/>
                <w:szCs w:val="18"/>
              </w:rPr>
              <w:t>$121,594</w:t>
            </w:r>
          </w:p>
        </w:tc>
      </w:tr>
      <w:tr w:rsidR="006620DC" w:rsidRPr="00C06044" w14:paraId="6EE3CE3C" w14:textId="77777777" w:rsidTr="00B675D3">
        <w:trPr>
          <w:trHeight w:val="315"/>
        </w:trPr>
        <w:tc>
          <w:tcPr>
            <w:tcW w:w="3745" w:type="dxa"/>
            <w:tcBorders>
              <w:top w:val="nil"/>
              <w:left w:val="single" w:sz="4" w:space="0" w:color="auto"/>
              <w:bottom w:val="single" w:sz="4" w:space="0" w:color="auto"/>
              <w:right w:val="nil"/>
            </w:tcBorders>
            <w:shd w:val="clear" w:color="000000" w:fill="D9D9D9"/>
            <w:vAlign w:val="center"/>
            <w:hideMark/>
          </w:tcPr>
          <w:p w14:paraId="1E96C1CC" w14:textId="77777777" w:rsidR="006620DC" w:rsidRDefault="006620DC" w:rsidP="00C06044">
            <w:pPr>
              <w:rPr>
                <w:b/>
                <w:bCs/>
                <w:color w:val="000000"/>
                <w:sz w:val="18"/>
                <w:szCs w:val="18"/>
              </w:rPr>
            </w:pPr>
            <w:r>
              <w:rPr>
                <w:b/>
                <w:bCs/>
                <w:color w:val="000000"/>
                <w:sz w:val="18"/>
                <w:szCs w:val="18"/>
              </w:rPr>
              <w:t>Rule Familiarization</w:t>
            </w:r>
          </w:p>
        </w:tc>
        <w:tc>
          <w:tcPr>
            <w:tcW w:w="801" w:type="dxa"/>
            <w:tcBorders>
              <w:top w:val="nil"/>
              <w:left w:val="nil"/>
              <w:bottom w:val="single" w:sz="4" w:space="0" w:color="auto"/>
              <w:right w:val="nil"/>
            </w:tcBorders>
            <w:shd w:val="clear" w:color="000000" w:fill="D9D9D9"/>
            <w:vAlign w:val="center"/>
            <w:hideMark/>
          </w:tcPr>
          <w:p w14:paraId="18956164" w14:textId="77777777" w:rsidR="006620DC" w:rsidRDefault="006620DC" w:rsidP="00C06044">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35C5E83C" w14:textId="77777777" w:rsidR="006620DC" w:rsidRDefault="006620DC" w:rsidP="00C06044">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046B1467" w14:textId="77777777" w:rsidR="006620DC" w:rsidRDefault="006620DC" w:rsidP="00C06044">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1AFA554A" w14:textId="77777777" w:rsidR="006620DC" w:rsidRDefault="006620DC" w:rsidP="00C06044">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10A6AF42" w14:textId="77777777" w:rsidR="006620DC" w:rsidRDefault="006620DC" w:rsidP="00C06044">
            <w:pPr>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vAlign w:val="center"/>
            <w:hideMark/>
          </w:tcPr>
          <w:p w14:paraId="659E335E" w14:textId="77777777" w:rsidR="006620DC" w:rsidRDefault="006620DC" w:rsidP="00C06044">
            <w:pPr>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vAlign w:val="center"/>
            <w:hideMark/>
          </w:tcPr>
          <w:p w14:paraId="0125866D" w14:textId="77777777" w:rsidR="006620DC" w:rsidRDefault="006620DC" w:rsidP="00C06044">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17A2BEF2" w14:textId="77777777" w:rsidR="006620DC" w:rsidRDefault="006620DC" w:rsidP="00C06044">
            <w:pPr>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vAlign w:val="center"/>
            <w:hideMark/>
          </w:tcPr>
          <w:p w14:paraId="5983F7FF" w14:textId="77777777" w:rsidR="006620DC" w:rsidRDefault="006620DC" w:rsidP="00C06044">
            <w:pPr>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vAlign w:val="center"/>
            <w:hideMark/>
          </w:tcPr>
          <w:p w14:paraId="36CDCBD0" w14:textId="77777777" w:rsidR="006620DC" w:rsidRDefault="006620DC" w:rsidP="00C06044">
            <w:pPr>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vAlign w:val="center"/>
            <w:hideMark/>
          </w:tcPr>
          <w:p w14:paraId="1010C860" w14:textId="77777777" w:rsidR="006620DC" w:rsidRDefault="006620DC" w:rsidP="00C06044">
            <w:pPr>
              <w:rPr>
                <w:b/>
                <w:bCs/>
                <w:color w:val="000000"/>
                <w:sz w:val="18"/>
                <w:szCs w:val="18"/>
              </w:rPr>
            </w:pPr>
            <w:r>
              <w:rPr>
                <w:b/>
                <w:bCs/>
                <w:color w:val="000000"/>
                <w:sz w:val="18"/>
                <w:szCs w:val="18"/>
              </w:rPr>
              <w:t> </w:t>
            </w:r>
          </w:p>
        </w:tc>
      </w:tr>
      <w:tr w:rsidR="00EA792F" w14:paraId="2C429160" w14:textId="77777777" w:rsidTr="00B675D3">
        <w:trPr>
          <w:trHeight w:val="315"/>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346BB8F3" w14:textId="77777777" w:rsidR="00EA792F" w:rsidRDefault="00EA792F" w:rsidP="00826E13">
            <w:pPr>
              <w:rPr>
                <w:color w:val="000000"/>
                <w:sz w:val="18"/>
                <w:szCs w:val="18"/>
              </w:rPr>
            </w:pPr>
            <w:r>
              <w:rPr>
                <w:color w:val="000000"/>
                <w:sz w:val="18"/>
                <w:szCs w:val="18"/>
              </w:rPr>
              <w:t>Familiarization with proposed rule with legal council</w:t>
            </w:r>
          </w:p>
        </w:tc>
        <w:tc>
          <w:tcPr>
            <w:tcW w:w="801" w:type="dxa"/>
            <w:tcBorders>
              <w:top w:val="nil"/>
              <w:left w:val="nil"/>
              <w:bottom w:val="single" w:sz="4" w:space="0" w:color="auto"/>
              <w:right w:val="single" w:sz="4" w:space="0" w:color="auto"/>
            </w:tcBorders>
            <w:shd w:val="clear" w:color="auto" w:fill="auto"/>
            <w:noWrap/>
            <w:vAlign w:val="bottom"/>
            <w:hideMark/>
          </w:tcPr>
          <w:p w14:paraId="23A32483" w14:textId="13F37271" w:rsidR="00EA792F" w:rsidRDefault="00EA792F" w:rsidP="00826E13">
            <w:pPr>
              <w:jc w:val="right"/>
              <w:rPr>
                <w:color w:val="000000"/>
                <w:sz w:val="18"/>
                <w:szCs w:val="18"/>
              </w:rPr>
            </w:pPr>
            <w:r>
              <w:rPr>
                <w:color w:val="000000"/>
                <w:sz w:val="18"/>
                <w:szCs w:val="18"/>
              </w:rPr>
              <w:t>0.50</w:t>
            </w:r>
          </w:p>
        </w:tc>
        <w:tc>
          <w:tcPr>
            <w:tcW w:w="1106" w:type="dxa"/>
            <w:tcBorders>
              <w:top w:val="nil"/>
              <w:left w:val="nil"/>
              <w:bottom w:val="single" w:sz="4" w:space="0" w:color="auto"/>
              <w:right w:val="single" w:sz="4" w:space="0" w:color="auto"/>
            </w:tcBorders>
            <w:shd w:val="clear" w:color="auto" w:fill="auto"/>
            <w:noWrap/>
            <w:vAlign w:val="bottom"/>
            <w:hideMark/>
          </w:tcPr>
          <w:p w14:paraId="44BC6E16" w14:textId="7D7A2792" w:rsidR="00EA792F" w:rsidRDefault="00EA792F" w:rsidP="00826E13">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0BD81A30" w14:textId="524D1A07" w:rsidR="00EA792F" w:rsidRDefault="00EA792F" w:rsidP="00826E13">
            <w:pPr>
              <w:jc w:val="right"/>
              <w:rPr>
                <w:color w:val="000000"/>
                <w:sz w:val="18"/>
                <w:szCs w:val="18"/>
              </w:rPr>
            </w:pPr>
            <w:r>
              <w:rPr>
                <w:color w:val="000000"/>
                <w:sz w:val="18"/>
                <w:szCs w:val="18"/>
              </w:rPr>
              <w:t>1.50</w:t>
            </w:r>
          </w:p>
        </w:tc>
        <w:tc>
          <w:tcPr>
            <w:tcW w:w="792" w:type="dxa"/>
            <w:tcBorders>
              <w:top w:val="nil"/>
              <w:left w:val="nil"/>
              <w:bottom w:val="single" w:sz="4" w:space="0" w:color="auto"/>
              <w:right w:val="single" w:sz="4" w:space="0" w:color="auto"/>
            </w:tcBorders>
            <w:shd w:val="clear" w:color="auto" w:fill="auto"/>
            <w:noWrap/>
            <w:vAlign w:val="bottom"/>
            <w:hideMark/>
          </w:tcPr>
          <w:p w14:paraId="7C714EE4" w14:textId="72EC6079" w:rsidR="00EA792F" w:rsidRDefault="00EA792F" w:rsidP="00826E13">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21EC8E85" w14:textId="713DEB4E" w:rsidR="00EA792F" w:rsidRDefault="00EA792F" w:rsidP="00826E13">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0B244A61" w14:textId="6F78F802" w:rsidR="00EA792F" w:rsidRDefault="00EA792F" w:rsidP="00826E13">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0A461859" w14:textId="0ECF5B7E" w:rsidR="00EA792F" w:rsidRDefault="00EA792F" w:rsidP="00826E13">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3E20CF25" w14:textId="43F5A081" w:rsidR="00EA792F" w:rsidRDefault="00EA792F" w:rsidP="00826E13">
            <w:pPr>
              <w:jc w:val="right"/>
              <w:rPr>
                <w:color w:val="000000"/>
                <w:sz w:val="18"/>
                <w:szCs w:val="18"/>
              </w:rPr>
            </w:pPr>
            <w:r>
              <w:rPr>
                <w:color w:val="000000"/>
                <w:sz w:val="18"/>
                <w:szCs w:val="18"/>
              </w:rPr>
              <w:t xml:space="preserve">                275 </w:t>
            </w:r>
          </w:p>
        </w:tc>
        <w:tc>
          <w:tcPr>
            <w:tcW w:w="950" w:type="dxa"/>
            <w:tcBorders>
              <w:top w:val="nil"/>
              <w:left w:val="nil"/>
              <w:bottom w:val="single" w:sz="4" w:space="0" w:color="auto"/>
              <w:right w:val="single" w:sz="4" w:space="0" w:color="auto"/>
            </w:tcBorders>
            <w:shd w:val="clear" w:color="auto" w:fill="auto"/>
            <w:noWrap/>
            <w:vAlign w:val="bottom"/>
            <w:hideMark/>
          </w:tcPr>
          <w:p w14:paraId="0BB79CDB" w14:textId="411B4363" w:rsidR="00EA792F" w:rsidRDefault="00EA792F" w:rsidP="00826E13">
            <w:pPr>
              <w:jc w:val="right"/>
              <w:rPr>
                <w:color w:val="000000"/>
                <w:sz w:val="18"/>
                <w:szCs w:val="18"/>
              </w:rPr>
            </w:pPr>
            <w:r>
              <w:rPr>
                <w:color w:val="000000"/>
                <w:sz w:val="18"/>
                <w:szCs w:val="18"/>
              </w:rPr>
              <w:t>$1,720</w:t>
            </w:r>
          </w:p>
        </w:tc>
        <w:tc>
          <w:tcPr>
            <w:tcW w:w="840" w:type="dxa"/>
            <w:tcBorders>
              <w:top w:val="nil"/>
              <w:left w:val="nil"/>
              <w:bottom w:val="single" w:sz="4" w:space="0" w:color="auto"/>
              <w:right w:val="single" w:sz="4" w:space="0" w:color="auto"/>
            </w:tcBorders>
            <w:shd w:val="clear" w:color="auto" w:fill="auto"/>
            <w:noWrap/>
            <w:vAlign w:val="bottom"/>
            <w:hideMark/>
          </w:tcPr>
          <w:p w14:paraId="1E092BF1" w14:textId="4DF51497" w:rsidR="00EA792F" w:rsidRDefault="00EA792F" w:rsidP="00826E13">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60E780BC" w14:textId="4E23C6B6" w:rsidR="00EA792F" w:rsidRDefault="00EA792F" w:rsidP="00826E13">
            <w:pPr>
              <w:jc w:val="right"/>
              <w:rPr>
                <w:color w:val="000000"/>
                <w:sz w:val="18"/>
                <w:szCs w:val="18"/>
              </w:rPr>
            </w:pPr>
            <w:r>
              <w:rPr>
                <w:color w:val="000000"/>
                <w:sz w:val="18"/>
                <w:szCs w:val="18"/>
              </w:rPr>
              <w:t>$1,720</w:t>
            </w:r>
          </w:p>
        </w:tc>
      </w:tr>
      <w:tr w:rsidR="006620DC" w14:paraId="6A58BDAF" w14:textId="77777777" w:rsidTr="00B675D3">
        <w:trPr>
          <w:trHeight w:val="300"/>
        </w:trPr>
        <w:tc>
          <w:tcPr>
            <w:tcW w:w="3745" w:type="dxa"/>
            <w:tcBorders>
              <w:top w:val="nil"/>
              <w:left w:val="single" w:sz="4" w:space="0" w:color="auto"/>
              <w:bottom w:val="single" w:sz="4" w:space="0" w:color="auto"/>
              <w:right w:val="nil"/>
            </w:tcBorders>
            <w:shd w:val="clear" w:color="000000" w:fill="BFBFBF"/>
            <w:noWrap/>
            <w:vAlign w:val="bottom"/>
            <w:hideMark/>
          </w:tcPr>
          <w:p w14:paraId="10CFEAFE" w14:textId="77777777" w:rsidR="006620DC" w:rsidRDefault="006620DC">
            <w:pPr>
              <w:rPr>
                <w:b/>
                <w:bCs/>
                <w:color w:val="000000"/>
                <w:sz w:val="18"/>
                <w:szCs w:val="18"/>
              </w:rPr>
            </w:pPr>
            <w:r>
              <w:rPr>
                <w:b/>
                <w:bCs/>
                <w:color w:val="000000"/>
                <w:sz w:val="18"/>
                <w:szCs w:val="18"/>
              </w:rPr>
              <w:t>VARIABLE COSTS</w:t>
            </w:r>
          </w:p>
        </w:tc>
        <w:tc>
          <w:tcPr>
            <w:tcW w:w="801" w:type="dxa"/>
            <w:tcBorders>
              <w:top w:val="nil"/>
              <w:left w:val="nil"/>
              <w:bottom w:val="single" w:sz="4" w:space="0" w:color="auto"/>
              <w:right w:val="nil"/>
            </w:tcBorders>
            <w:shd w:val="clear" w:color="000000" w:fill="BFBFBF"/>
            <w:noWrap/>
            <w:vAlign w:val="bottom"/>
            <w:hideMark/>
          </w:tcPr>
          <w:p w14:paraId="1376C0F5"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4DD530B3"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06BA17A0"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2C290B60"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3DA628D5"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BFBFBF"/>
            <w:noWrap/>
            <w:vAlign w:val="bottom"/>
            <w:hideMark/>
          </w:tcPr>
          <w:p w14:paraId="2A794DBE"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BFBFBF"/>
            <w:noWrap/>
            <w:vAlign w:val="bottom"/>
            <w:hideMark/>
          </w:tcPr>
          <w:p w14:paraId="0AA84E1D"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75C96B13"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BFBFBF"/>
            <w:noWrap/>
            <w:vAlign w:val="bottom"/>
            <w:hideMark/>
          </w:tcPr>
          <w:p w14:paraId="4B1DAF1D"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BFBFBF"/>
            <w:noWrap/>
            <w:vAlign w:val="bottom"/>
            <w:hideMark/>
          </w:tcPr>
          <w:p w14:paraId="4CD3C513"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BFBFBF"/>
            <w:noWrap/>
            <w:vAlign w:val="bottom"/>
            <w:hideMark/>
          </w:tcPr>
          <w:p w14:paraId="733C4610" w14:textId="77777777" w:rsidR="006620DC" w:rsidRDefault="006620DC">
            <w:pPr>
              <w:jc w:val="right"/>
              <w:rPr>
                <w:b/>
                <w:bCs/>
                <w:color w:val="000000"/>
                <w:sz w:val="18"/>
                <w:szCs w:val="18"/>
              </w:rPr>
            </w:pPr>
            <w:r>
              <w:rPr>
                <w:b/>
                <w:bCs/>
                <w:color w:val="000000"/>
                <w:sz w:val="18"/>
                <w:szCs w:val="18"/>
              </w:rPr>
              <w:t> </w:t>
            </w:r>
          </w:p>
        </w:tc>
      </w:tr>
      <w:tr w:rsidR="006620DC" w14:paraId="6F5E63F8" w14:textId="77777777" w:rsidTr="00B675D3">
        <w:trPr>
          <w:trHeight w:val="300"/>
        </w:trPr>
        <w:tc>
          <w:tcPr>
            <w:tcW w:w="3745" w:type="dxa"/>
            <w:tcBorders>
              <w:top w:val="nil"/>
              <w:left w:val="single" w:sz="4" w:space="0" w:color="auto"/>
              <w:bottom w:val="single" w:sz="4" w:space="0" w:color="auto"/>
              <w:right w:val="nil"/>
            </w:tcBorders>
            <w:shd w:val="clear" w:color="000000" w:fill="D9D9D9"/>
            <w:noWrap/>
            <w:vAlign w:val="center"/>
            <w:hideMark/>
          </w:tcPr>
          <w:p w14:paraId="43AE6968" w14:textId="77777777" w:rsidR="006620DC" w:rsidRDefault="006620DC">
            <w:pPr>
              <w:rPr>
                <w:b/>
                <w:bCs/>
                <w:color w:val="000000"/>
                <w:sz w:val="18"/>
                <w:szCs w:val="18"/>
              </w:rPr>
            </w:pPr>
            <w:r>
              <w:rPr>
                <w:b/>
                <w:bCs/>
                <w:color w:val="000000"/>
                <w:sz w:val="18"/>
                <w:szCs w:val="18"/>
              </w:rPr>
              <w:t>Shipping Recordkeeping (per shipment)</w:t>
            </w:r>
          </w:p>
        </w:tc>
        <w:tc>
          <w:tcPr>
            <w:tcW w:w="801" w:type="dxa"/>
            <w:tcBorders>
              <w:top w:val="nil"/>
              <w:left w:val="nil"/>
              <w:bottom w:val="single" w:sz="4" w:space="0" w:color="auto"/>
              <w:right w:val="nil"/>
            </w:tcBorders>
            <w:shd w:val="clear" w:color="000000" w:fill="D9D9D9"/>
            <w:noWrap/>
            <w:vAlign w:val="center"/>
            <w:hideMark/>
          </w:tcPr>
          <w:p w14:paraId="150E887C"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6996BE62"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57129E6D"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005499DD"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489F53BB" w14:textId="77777777" w:rsidR="006620DC" w:rsidRDefault="006620DC">
            <w:pPr>
              <w:jc w:val="right"/>
              <w:rPr>
                <w:b/>
                <w:bCs/>
                <w:color w:val="000000"/>
                <w:sz w:val="18"/>
                <w:szCs w:val="18"/>
              </w:rPr>
            </w:pPr>
            <w:r>
              <w:rPr>
                <w:b/>
                <w:bCs/>
                <w:color w:val="000000"/>
                <w:sz w:val="18"/>
                <w:szCs w:val="18"/>
              </w:rPr>
              <w:t> </w:t>
            </w:r>
          </w:p>
        </w:tc>
        <w:tc>
          <w:tcPr>
            <w:tcW w:w="850" w:type="dxa"/>
            <w:tcBorders>
              <w:top w:val="nil"/>
              <w:left w:val="nil"/>
              <w:bottom w:val="single" w:sz="4" w:space="0" w:color="auto"/>
              <w:right w:val="nil"/>
            </w:tcBorders>
            <w:shd w:val="clear" w:color="000000" w:fill="D9D9D9"/>
            <w:noWrap/>
            <w:vAlign w:val="center"/>
            <w:hideMark/>
          </w:tcPr>
          <w:p w14:paraId="235BF95D" w14:textId="77777777" w:rsidR="006620DC" w:rsidRDefault="006620DC">
            <w:pPr>
              <w:jc w:val="right"/>
              <w:rPr>
                <w:b/>
                <w:bCs/>
                <w:color w:val="000000"/>
                <w:sz w:val="18"/>
                <w:szCs w:val="18"/>
              </w:rPr>
            </w:pPr>
            <w:r>
              <w:rPr>
                <w:b/>
                <w:bCs/>
                <w:color w:val="000000"/>
                <w:sz w:val="18"/>
                <w:szCs w:val="18"/>
              </w:rPr>
              <w:t> </w:t>
            </w:r>
          </w:p>
        </w:tc>
        <w:tc>
          <w:tcPr>
            <w:tcW w:w="916" w:type="dxa"/>
            <w:tcBorders>
              <w:top w:val="nil"/>
              <w:left w:val="nil"/>
              <w:bottom w:val="single" w:sz="4" w:space="0" w:color="auto"/>
              <w:right w:val="nil"/>
            </w:tcBorders>
            <w:shd w:val="clear" w:color="000000" w:fill="D9D9D9"/>
            <w:noWrap/>
            <w:vAlign w:val="center"/>
            <w:hideMark/>
          </w:tcPr>
          <w:p w14:paraId="1A7A3124"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5CBBE913" w14:textId="77777777" w:rsidR="006620DC" w:rsidRDefault="006620DC">
            <w:pPr>
              <w:jc w:val="right"/>
              <w:rPr>
                <w:b/>
                <w:bCs/>
                <w:color w:val="000000"/>
                <w:sz w:val="18"/>
                <w:szCs w:val="18"/>
              </w:rPr>
            </w:pPr>
            <w:r>
              <w:rPr>
                <w:b/>
                <w:bCs/>
                <w:color w:val="000000"/>
                <w:sz w:val="18"/>
                <w:szCs w:val="18"/>
              </w:rPr>
              <w:t> </w:t>
            </w:r>
          </w:p>
        </w:tc>
        <w:tc>
          <w:tcPr>
            <w:tcW w:w="950" w:type="dxa"/>
            <w:tcBorders>
              <w:top w:val="nil"/>
              <w:left w:val="nil"/>
              <w:bottom w:val="single" w:sz="4" w:space="0" w:color="auto"/>
              <w:right w:val="nil"/>
            </w:tcBorders>
            <w:shd w:val="clear" w:color="000000" w:fill="D9D9D9"/>
            <w:noWrap/>
            <w:vAlign w:val="center"/>
            <w:hideMark/>
          </w:tcPr>
          <w:p w14:paraId="2FE9642E" w14:textId="77777777" w:rsidR="006620DC" w:rsidRDefault="006620DC">
            <w:pPr>
              <w:jc w:val="right"/>
              <w:rPr>
                <w:b/>
                <w:bCs/>
                <w:color w:val="000000"/>
                <w:sz w:val="18"/>
                <w:szCs w:val="18"/>
              </w:rPr>
            </w:pPr>
            <w:r>
              <w:rPr>
                <w:b/>
                <w:bCs/>
                <w:color w:val="000000"/>
                <w:sz w:val="18"/>
                <w:szCs w:val="18"/>
              </w:rPr>
              <w:t> </w:t>
            </w:r>
          </w:p>
        </w:tc>
        <w:tc>
          <w:tcPr>
            <w:tcW w:w="840" w:type="dxa"/>
            <w:tcBorders>
              <w:top w:val="nil"/>
              <w:left w:val="nil"/>
              <w:bottom w:val="single" w:sz="4" w:space="0" w:color="auto"/>
              <w:right w:val="nil"/>
            </w:tcBorders>
            <w:shd w:val="clear" w:color="000000" w:fill="D9D9D9"/>
            <w:noWrap/>
            <w:vAlign w:val="center"/>
            <w:hideMark/>
          </w:tcPr>
          <w:p w14:paraId="27B5103B" w14:textId="77777777" w:rsidR="006620DC" w:rsidRDefault="006620DC">
            <w:pPr>
              <w:jc w:val="right"/>
              <w:rPr>
                <w:b/>
                <w:bCs/>
                <w:color w:val="000000"/>
                <w:sz w:val="18"/>
                <w:szCs w:val="18"/>
              </w:rPr>
            </w:pPr>
            <w:r>
              <w:rPr>
                <w:b/>
                <w:bCs/>
                <w:color w:val="000000"/>
                <w:sz w:val="18"/>
                <w:szCs w:val="18"/>
              </w:rPr>
              <w:t> </w:t>
            </w:r>
          </w:p>
        </w:tc>
        <w:tc>
          <w:tcPr>
            <w:tcW w:w="1273" w:type="dxa"/>
            <w:tcBorders>
              <w:top w:val="nil"/>
              <w:left w:val="nil"/>
              <w:bottom w:val="single" w:sz="4" w:space="0" w:color="auto"/>
              <w:right w:val="single" w:sz="4" w:space="0" w:color="auto"/>
            </w:tcBorders>
            <w:shd w:val="clear" w:color="000000" w:fill="D9D9D9"/>
            <w:noWrap/>
            <w:vAlign w:val="center"/>
            <w:hideMark/>
          </w:tcPr>
          <w:p w14:paraId="683C60E7" w14:textId="77777777" w:rsidR="006620DC" w:rsidRDefault="006620DC">
            <w:pPr>
              <w:jc w:val="right"/>
              <w:rPr>
                <w:b/>
                <w:bCs/>
                <w:color w:val="000000"/>
                <w:sz w:val="18"/>
                <w:szCs w:val="18"/>
              </w:rPr>
            </w:pPr>
            <w:r>
              <w:rPr>
                <w:b/>
                <w:bCs/>
                <w:color w:val="000000"/>
                <w:sz w:val="18"/>
                <w:szCs w:val="18"/>
              </w:rPr>
              <w:t> </w:t>
            </w:r>
          </w:p>
        </w:tc>
      </w:tr>
      <w:tr w:rsidR="00EA792F" w14:paraId="3687F5BD" w14:textId="77777777" w:rsidTr="00B675D3">
        <w:trPr>
          <w:trHeight w:val="300"/>
        </w:trPr>
        <w:tc>
          <w:tcPr>
            <w:tcW w:w="3745" w:type="dxa"/>
            <w:tcBorders>
              <w:top w:val="nil"/>
              <w:left w:val="single" w:sz="4" w:space="0" w:color="auto"/>
              <w:bottom w:val="single" w:sz="4" w:space="0" w:color="auto"/>
              <w:right w:val="single" w:sz="4" w:space="0" w:color="auto"/>
            </w:tcBorders>
            <w:shd w:val="clear" w:color="auto" w:fill="auto"/>
            <w:vAlign w:val="bottom"/>
            <w:hideMark/>
          </w:tcPr>
          <w:p w14:paraId="132E0A12" w14:textId="77777777" w:rsidR="00EA792F" w:rsidRDefault="00EA792F">
            <w:pPr>
              <w:rPr>
                <w:color w:val="000000"/>
                <w:sz w:val="18"/>
                <w:szCs w:val="18"/>
              </w:rPr>
            </w:pPr>
            <w:r>
              <w:rPr>
                <w:color w:val="000000"/>
                <w:sz w:val="18"/>
                <w:szCs w:val="18"/>
              </w:rPr>
              <w:t>Shipping Recordkeeping</w:t>
            </w:r>
          </w:p>
        </w:tc>
        <w:tc>
          <w:tcPr>
            <w:tcW w:w="801" w:type="dxa"/>
            <w:tcBorders>
              <w:top w:val="nil"/>
              <w:left w:val="nil"/>
              <w:bottom w:val="single" w:sz="4" w:space="0" w:color="auto"/>
              <w:right w:val="single" w:sz="4" w:space="0" w:color="auto"/>
            </w:tcBorders>
            <w:shd w:val="clear" w:color="auto" w:fill="auto"/>
            <w:noWrap/>
            <w:vAlign w:val="bottom"/>
            <w:hideMark/>
          </w:tcPr>
          <w:p w14:paraId="68451A72" w14:textId="4D8B167F" w:rsidR="00EA792F" w:rsidRDefault="00EA792F">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3E147350" w14:textId="6BEAF2EE" w:rsidR="00EA792F" w:rsidRDefault="00EA792F">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31988D1E" w14:textId="2F768AC6" w:rsidR="00EA792F" w:rsidRDefault="00EA792F">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446A958F" w14:textId="71B6A093" w:rsidR="00EA792F" w:rsidRDefault="00EA792F">
            <w:pPr>
              <w:jc w:val="right"/>
              <w:rPr>
                <w:color w:val="000000"/>
                <w:sz w:val="18"/>
                <w:szCs w:val="18"/>
              </w:rPr>
            </w:pPr>
            <w:r>
              <w:rPr>
                <w:color w:val="000000"/>
                <w:sz w:val="18"/>
                <w:szCs w:val="18"/>
              </w:rPr>
              <w:t>0.10</w:t>
            </w:r>
          </w:p>
        </w:tc>
        <w:tc>
          <w:tcPr>
            <w:tcW w:w="1216" w:type="dxa"/>
            <w:tcBorders>
              <w:top w:val="nil"/>
              <w:left w:val="nil"/>
              <w:bottom w:val="single" w:sz="4" w:space="0" w:color="auto"/>
              <w:right w:val="single" w:sz="4" w:space="0" w:color="auto"/>
            </w:tcBorders>
            <w:shd w:val="clear" w:color="auto" w:fill="auto"/>
            <w:noWrap/>
            <w:vAlign w:val="bottom"/>
            <w:hideMark/>
          </w:tcPr>
          <w:p w14:paraId="47F86ABC" w14:textId="063B0EA8" w:rsidR="00EA792F" w:rsidRDefault="00EA792F">
            <w:pPr>
              <w:jc w:val="right"/>
              <w:rPr>
                <w:color w:val="000000"/>
                <w:sz w:val="18"/>
                <w:szCs w:val="18"/>
              </w:rPr>
            </w:pPr>
            <w:r>
              <w:rPr>
                <w:color w:val="000000"/>
                <w:sz w:val="18"/>
                <w:szCs w:val="18"/>
              </w:rPr>
              <w:t>0.00</w:t>
            </w:r>
          </w:p>
        </w:tc>
        <w:tc>
          <w:tcPr>
            <w:tcW w:w="850" w:type="dxa"/>
            <w:tcBorders>
              <w:top w:val="nil"/>
              <w:left w:val="nil"/>
              <w:bottom w:val="single" w:sz="4" w:space="0" w:color="auto"/>
              <w:right w:val="single" w:sz="4" w:space="0" w:color="auto"/>
            </w:tcBorders>
            <w:shd w:val="clear" w:color="auto" w:fill="auto"/>
            <w:noWrap/>
            <w:vAlign w:val="bottom"/>
            <w:hideMark/>
          </w:tcPr>
          <w:p w14:paraId="20239BB2" w14:textId="22AE020C" w:rsidR="00EA792F" w:rsidRDefault="00EA792F">
            <w:pPr>
              <w:jc w:val="right"/>
              <w:rPr>
                <w:color w:val="000000"/>
                <w:sz w:val="18"/>
                <w:szCs w:val="18"/>
              </w:rPr>
            </w:pPr>
            <w:r>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bottom"/>
            <w:hideMark/>
          </w:tcPr>
          <w:p w14:paraId="1118B6A3" w14:textId="089156FC" w:rsidR="00EA792F" w:rsidRDefault="00EA792F">
            <w:pPr>
              <w:jc w:val="right"/>
              <w:rPr>
                <w:color w:val="000000"/>
                <w:sz w:val="18"/>
                <w:szCs w:val="18"/>
              </w:rPr>
            </w:pPr>
            <w:r>
              <w:rPr>
                <w:color w:val="000000"/>
                <w:sz w:val="18"/>
                <w:szCs w:val="18"/>
              </w:rPr>
              <w:t>92</w:t>
            </w:r>
          </w:p>
        </w:tc>
        <w:tc>
          <w:tcPr>
            <w:tcW w:w="1236" w:type="dxa"/>
            <w:tcBorders>
              <w:top w:val="nil"/>
              <w:left w:val="nil"/>
              <w:bottom w:val="single" w:sz="4" w:space="0" w:color="auto"/>
              <w:right w:val="single" w:sz="4" w:space="0" w:color="auto"/>
            </w:tcBorders>
            <w:shd w:val="clear" w:color="auto" w:fill="auto"/>
            <w:noWrap/>
            <w:vAlign w:val="bottom"/>
            <w:hideMark/>
          </w:tcPr>
          <w:p w14:paraId="7C233CD0" w14:textId="4AC2C61B" w:rsidR="00EA792F" w:rsidRDefault="00EA792F">
            <w:pPr>
              <w:jc w:val="right"/>
              <w:rPr>
                <w:color w:val="000000"/>
                <w:sz w:val="18"/>
                <w:szCs w:val="18"/>
              </w:rPr>
            </w:pPr>
            <w:r>
              <w:rPr>
                <w:color w:val="000000"/>
                <w:sz w:val="18"/>
                <w:szCs w:val="18"/>
              </w:rPr>
              <w:t xml:space="preserve">                  15 </w:t>
            </w:r>
          </w:p>
        </w:tc>
        <w:tc>
          <w:tcPr>
            <w:tcW w:w="950" w:type="dxa"/>
            <w:tcBorders>
              <w:top w:val="nil"/>
              <w:left w:val="nil"/>
              <w:bottom w:val="single" w:sz="4" w:space="0" w:color="auto"/>
              <w:right w:val="single" w:sz="4" w:space="0" w:color="auto"/>
            </w:tcBorders>
            <w:shd w:val="clear" w:color="auto" w:fill="auto"/>
            <w:noWrap/>
            <w:vAlign w:val="bottom"/>
            <w:hideMark/>
          </w:tcPr>
          <w:p w14:paraId="6EE10134" w14:textId="2D36DB5E" w:rsidR="00EA792F" w:rsidRDefault="00EA792F">
            <w:pPr>
              <w:jc w:val="right"/>
              <w:rPr>
                <w:color w:val="000000"/>
                <w:sz w:val="18"/>
                <w:szCs w:val="18"/>
              </w:rPr>
            </w:pPr>
            <w:r>
              <w:rPr>
                <w:color w:val="000000"/>
                <w:sz w:val="18"/>
                <w:szCs w:val="18"/>
              </w:rPr>
              <w:t>$544</w:t>
            </w:r>
          </w:p>
        </w:tc>
        <w:tc>
          <w:tcPr>
            <w:tcW w:w="840" w:type="dxa"/>
            <w:tcBorders>
              <w:top w:val="nil"/>
              <w:left w:val="nil"/>
              <w:bottom w:val="single" w:sz="4" w:space="0" w:color="auto"/>
              <w:right w:val="single" w:sz="4" w:space="0" w:color="auto"/>
            </w:tcBorders>
            <w:shd w:val="clear" w:color="auto" w:fill="auto"/>
            <w:noWrap/>
            <w:vAlign w:val="bottom"/>
            <w:hideMark/>
          </w:tcPr>
          <w:p w14:paraId="48F81BA8" w14:textId="2C8A6BA8" w:rsidR="00EA792F" w:rsidRDefault="00EA792F">
            <w:pPr>
              <w:jc w:val="right"/>
              <w:rPr>
                <w:color w:val="000000"/>
                <w:sz w:val="18"/>
                <w:szCs w:val="18"/>
              </w:rPr>
            </w:pPr>
            <w:r>
              <w:rPr>
                <w:color w:val="000000"/>
                <w:sz w:val="18"/>
                <w:szCs w:val="18"/>
              </w:rPr>
              <w:t>$0</w:t>
            </w:r>
          </w:p>
        </w:tc>
        <w:tc>
          <w:tcPr>
            <w:tcW w:w="1273" w:type="dxa"/>
            <w:tcBorders>
              <w:top w:val="nil"/>
              <w:left w:val="nil"/>
              <w:bottom w:val="single" w:sz="4" w:space="0" w:color="auto"/>
              <w:right w:val="single" w:sz="4" w:space="0" w:color="auto"/>
            </w:tcBorders>
            <w:shd w:val="clear" w:color="auto" w:fill="auto"/>
            <w:noWrap/>
            <w:vAlign w:val="bottom"/>
            <w:hideMark/>
          </w:tcPr>
          <w:p w14:paraId="7149C7EE" w14:textId="5550E2F2" w:rsidR="00EA792F" w:rsidRDefault="00EA792F">
            <w:pPr>
              <w:jc w:val="right"/>
              <w:rPr>
                <w:color w:val="000000"/>
                <w:sz w:val="18"/>
                <w:szCs w:val="18"/>
              </w:rPr>
            </w:pPr>
            <w:r>
              <w:rPr>
                <w:color w:val="000000"/>
                <w:sz w:val="18"/>
                <w:szCs w:val="18"/>
              </w:rPr>
              <w:t>$544</w:t>
            </w:r>
          </w:p>
        </w:tc>
      </w:tr>
      <w:tr w:rsidR="00EA792F" w14:paraId="21F67747" w14:textId="77777777" w:rsidTr="00B675D3">
        <w:trPr>
          <w:trHeight w:val="300"/>
        </w:trPr>
        <w:tc>
          <w:tcPr>
            <w:tcW w:w="947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18EB2C4E" w14:textId="15CE80F2" w:rsidR="00EA792F" w:rsidRDefault="00EA792F">
            <w:pPr>
              <w:rPr>
                <w:color w:val="000000"/>
                <w:sz w:val="18"/>
                <w:szCs w:val="18"/>
              </w:rPr>
            </w:pPr>
            <w:r>
              <w:rPr>
                <w:color w:val="000000"/>
                <w:sz w:val="18"/>
                <w:szCs w:val="18"/>
              </w:rPr>
              <w:t>TOTAL COST</w:t>
            </w:r>
          </w:p>
        </w:tc>
        <w:tc>
          <w:tcPr>
            <w:tcW w:w="916" w:type="dxa"/>
            <w:tcBorders>
              <w:top w:val="nil"/>
              <w:left w:val="nil"/>
              <w:bottom w:val="single" w:sz="4" w:space="0" w:color="auto"/>
              <w:right w:val="single" w:sz="4" w:space="0" w:color="auto"/>
            </w:tcBorders>
            <w:shd w:val="clear" w:color="auto" w:fill="auto"/>
            <w:noWrap/>
            <w:vAlign w:val="bottom"/>
            <w:hideMark/>
          </w:tcPr>
          <w:p w14:paraId="110F5B3F" w14:textId="77777777" w:rsidR="00EA792F" w:rsidRDefault="00EA792F">
            <w:pPr>
              <w:rPr>
                <w:color w:val="000000"/>
                <w:sz w:val="18"/>
                <w:szCs w:val="18"/>
              </w:rPr>
            </w:pPr>
            <w:r>
              <w:rPr>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14:paraId="152C2820" w14:textId="1B1F52BB" w:rsidR="00EA792F" w:rsidRDefault="00EA792F">
            <w:pPr>
              <w:jc w:val="right"/>
              <w:rPr>
                <w:color w:val="000000"/>
                <w:sz w:val="18"/>
                <w:szCs w:val="18"/>
              </w:rPr>
            </w:pPr>
            <w:r>
              <w:rPr>
                <w:color w:val="000000"/>
                <w:sz w:val="18"/>
                <w:szCs w:val="18"/>
              </w:rPr>
              <w:t xml:space="preserve">             1,925 </w:t>
            </w:r>
          </w:p>
        </w:tc>
        <w:tc>
          <w:tcPr>
            <w:tcW w:w="950" w:type="dxa"/>
            <w:tcBorders>
              <w:top w:val="nil"/>
              <w:left w:val="nil"/>
              <w:bottom w:val="single" w:sz="4" w:space="0" w:color="auto"/>
              <w:right w:val="single" w:sz="4" w:space="0" w:color="auto"/>
            </w:tcBorders>
            <w:shd w:val="clear" w:color="auto" w:fill="auto"/>
            <w:noWrap/>
            <w:vAlign w:val="bottom"/>
            <w:hideMark/>
          </w:tcPr>
          <w:p w14:paraId="5A0C1BDB" w14:textId="1BB58A3B" w:rsidR="00EA792F" w:rsidRDefault="00EA792F">
            <w:pPr>
              <w:jc w:val="right"/>
              <w:rPr>
                <w:color w:val="000000"/>
                <w:sz w:val="18"/>
                <w:szCs w:val="18"/>
              </w:rPr>
            </w:pPr>
            <w:r>
              <w:rPr>
                <w:color w:val="000000"/>
                <w:sz w:val="18"/>
                <w:szCs w:val="18"/>
              </w:rPr>
              <w:t>$134,169</w:t>
            </w:r>
          </w:p>
        </w:tc>
        <w:tc>
          <w:tcPr>
            <w:tcW w:w="840" w:type="dxa"/>
            <w:tcBorders>
              <w:top w:val="nil"/>
              <w:left w:val="nil"/>
              <w:bottom w:val="single" w:sz="4" w:space="0" w:color="auto"/>
              <w:right w:val="single" w:sz="4" w:space="0" w:color="auto"/>
            </w:tcBorders>
            <w:shd w:val="clear" w:color="auto" w:fill="auto"/>
            <w:noWrap/>
            <w:vAlign w:val="bottom"/>
            <w:hideMark/>
          </w:tcPr>
          <w:p w14:paraId="1D957E4C" w14:textId="1E84B90D" w:rsidR="00EA792F" w:rsidRDefault="00EA792F">
            <w:pPr>
              <w:jc w:val="right"/>
              <w:rPr>
                <w:color w:val="000000"/>
                <w:sz w:val="18"/>
                <w:szCs w:val="18"/>
              </w:rPr>
            </w:pPr>
            <w:r>
              <w:rPr>
                <w:color w:val="000000"/>
                <w:sz w:val="18"/>
                <w:szCs w:val="18"/>
              </w:rPr>
              <w:t>$21</w:t>
            </w:r>
          </w:p>
        </w:tc>
        <w:tc>
          <w:tcPr>
            <w:tcW w:w="1273" w:type="dxa"/>
            <w:tcBorders>
              <w:top w:val="nil"/>
              <w:left w:val="nil"/>
              <w:bottom w:val="single" w:sz="4" w:space="0" w:color="auto"/>
              <w:right w:val="single" w:sz="4" w:space="0" w:color="auto"/>
            </w:tcBorders>
            <w:shd w:val="clear" w:color="auto" w:fill="auto"/>
            <w:noWrap/>
            <w:vAlign w:val="bottom"/>
            <w:hideMark/>
          </w:tcPr>
          <w:p w14:paraId="0B1AE601" w14:textId="64BBE35D" w:rsidR="00EA792F" w:rsidRDefault="00EA792F">
            <w:pPr>
              <w:jc w:val="right"/>
              <w:rPr>
                <w:color w:val="000000"/>
                <w:sz w:val="18"/>
                <w:szCs w:val="18"/>
              </w:rPr>
            </w:pPr>
            <w:r>
              <w:rPr>
                <w:color w:val="000000"/>
                <w:sz w:val="18"/>
                <w:szCs w:val="18"/>
              </w:rPr>
              <w:t>$134,190</w:t>
            </w:r>
          </w:p>
        </w:tc>
      </w:tr>
      <w:tr w:rsidR="00BC58A3" w14:paraId="6213E43D" w14:textId="77777777" w:rsidTr="00B675D3">
        <w:trPr>
          <w:trHeight w:val="300"/>
        </w:trPr>
        <w:tc>
          <w:tcPr>
            <w:tcW w:w="1469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074A9A24" w14:textId="77777777" w:rsidR="00BC58A3" w:rsidRDefault="00BC58A3" w:rsidP="00AE16F1">
            <w:pPr>
              <w:rPr>
                <w:color w:val="000000"/>
                <w:sz w:val="18"/>
                <w:szCs w:val="18"/>
              </w:rPr>
            </w:pPr>
            <w:r w:rsidRPr="00BC58A3">
              <w:rPr>
                <w:color w:val="000000"/>
                <w:sz w:val="18"/>
                <w:szCs w:val="18"/>
                <w:u w:val="single"/>
              </w:rPr>
              <w:t>Notes</w:t>
            </w:r>
            <w:r>
              <w:rPr>
                <w:color w:val="000000"/>
                <w:sz w:val="18"/>
                <w:szCs w:val="18"/>
              </w:rPr>
              <w:t>:</w:t>
            </w:r>
          </w:p>
          <w:p w14:paraId="52BAC492" w14:textId="1C306500" w:rsidR="00BC58A3" w:rsidRDefault="00BC58A3">
            <w:pPr>
              <w:spacing w:line="240" w:lineRule="exact"/>
              <w:rPr>
                <w:color w:val="000000"/>
                <w:sz w:val="18"/>
                <w:szCs w:val="18"/>
              </w:rPr>
            </w:pPr>
            <w:r>
              <w:rPr>
                <w:color w:val="000000"/>
                <w:sz w:val="18"/>
                <w:szCs w:val="18"/>
              </w:rPr>
              <w:t>Numbers may not sum due to rounding..</w:t>
            </w:r>
          </w:p>
        </w:tc>
      </w:tr>
    </w:tbl>
    <w:p w14:paraId="3027D1C7" w14:textId="77777777" w:rsidR="00E05801" w:rsidRDefault="00E05801" w:rsidP="00E05801">
      <w:pPr>
        <w:sectPr w:rsidR="00E05801" w:rsidSect="00E05801">
          <w:pgSz w:w="15840" w:h="12240" w:orient="landscape"/>
          <w:pgMar w:top="1080" w:right="1440" w:bottom="1080" w:left="1440" w:header="720" w:footer="720" w:gutter="0"/>
          <w:cols w:space="720"/>
          <w:docGrid w:linePitch="360"/>
        </w:sectPr>
      </w:pPr>
    </w:p>
    <w:tbl>
      <w:tblPr>
        <w:tblW w:w="14708" w:type="dxa"/>
        <w:tblInd w:w="-612" w:type="dxa"/>
        <w:tblLayout w:type="fixed"/>
        <w:tblLook w:val="04A0" w:firstRow="1" w:lastRow="0" w:firstColumn="1" w:lastColumn="0" w:noHBand="0" w:noVBand="1"/>
      </w:tblPr>
      <w:tblGrid>
        <w:gridCol w:w="3747"/>
        <w:gridCol w:w="801"/>
        <w:gridCol w:w="1106"/>
        <w:gridCol w:w="966"/>
        <w:gridCol w:w="792"/>
        <w:gridCol w:w="1216"/>
        <w:gridCol w:w="859"/>
        <w:gridCol w:w="924"/>
        <w:gridCol w:w="1236"/>
        <w:gridCol w:w="1094"/>
        <w:gridCol w:w="773"/>
        <w:gridCol w:w="1194"/>
      </w:tblGrid>
      <w:tr w:rsidR="006620DC" w14:paraId="6E4F3133" w14:textId="77777777" w:rsidTr="00B675D3">
        <w:trPr>
          <w:trHeight w:val="315"/>
          <w:tblHeader/>
        </w:trPr>
        <w:tc>
          <w:tcPr>
            <w:tcW w:w="14708" w:type="dxa"/>
            <w:gridSpan w:val="12"/>
            <w:tcBorders>
              <w:top w:val="nil"/>
              <w:left w:val="nil"/>
              <w:bottom w:val="single" w:sz="4" w:space="0" w:color="auto"/>
              <w:right w:val="nil"/>
            </w:tcBorders>
            <w:shd w:val="clear" w:color="auto" w:fill="auto"/>
            <w:noWrap/>
            <w:vAlign w:val="center"/>
            <w:hideMark/>
          </w:tcPr>
          <w:p w14:paraId="02A77C10" w14:textId="079F81B4" w:rsidR="006620DC" w:rsidRDefault="006620DC" w:rsidP="00B93E6B">
            <w:pPr>
              <w:rPr>
                <w:b/>
                <w:bCs/>
                <w:color w:val="000000"/>
              </w:rPr>
            </w:pPr>
            <w:r>
              <w:rPr>
                <w:b/>
                <w:bCs/>
                <w:color w:val="000000"/>
              </w:rPr>
              <w:t>Exhibit 3E: Respondent Cost Estimates for SQGs that become SQHs Post-Rule</w:t>
            </w:r>
          </w:p>
        </w:tc>
      </w:tr>
      <w:tr w:rsidR="006620DC" w14:paraId="218C2617" w14:textId="77777777" w:rsidTr="00B675D3">
        <w:trPr>
          <w:trHeight w:val="300"/>
          <w:tblHeader/>
        </w:trPr>
        <w:tc>
          <w:tcPr>
            <w:tcW w:w="3747" w:type="dxa"/>
            <w:vMerge w:val="restart"/>
            <w:tcBorders>
              <w:top w:val="nil"/>
              <w:left w:val="single" w:sz="4" w:space="0" w:color="auto"/>
              <w:bottom w:val="single" w:sz="4" w:space="0" w:color="auto"/>
              <w:right w:val="single" w:sz="4" w:space="0" w:color="auto"/>
            </w:tcBorders>
            <w:shd w:val="clear" w:color="000000" w:fill="A6A6A6"/>
            <w:vAlign w:val="bottom"/>
            <w:hideMark/>
          </w:tcPr>
          <w:p w14:paraId="6F1F64FE" w14:textId="77777777" w:rsidR="006620DC" w:rsidRDefault="006620DC">
            <w:pPr>
              <w:rPr>
                <w:b/>
                <w:bCs/>
                <w:color w:val="000000"/>
                <w:sz w:val="18"/>
                <w:szCs w:val="18"/>
              </w:rPr>
            </w:pPr>
            <w:r>
              <w:rPr>
                <w:b/>
                <w:bCs/>
                <w:color w:val="000000"/>
                <w:sz w:val="18"/>
                <w:szCs w:val="18"/>
              </w:rPr>
              <w:t>Information Collection Activity</w:t>
            </w:r>
          </w:p>
        </w:tc>
        <w:tc>
          <w:tcPr>
            <w:tcW w:w="5740" w:type="dxa"/>
            <w:gridSpan w:val="6"/>
            <w:tcBorders>
              <w:top w:val="single" w:sz="4" w:space="0" w:color="auto"/>
              <w:left w:val="nil"/>
              <w:bottom w:val="single" w:sz="4" w:space="0" w:color="auto"/>
              <w:right w:val="single" w:sz="4" w:space="0" w:color="auto"/>
            </w:tcBorders>
            <w:shd w:val="clear" w:color="000000" w:fill="A6A6A6"/>
            <w:noWrap/>
            <w:vAlign w:val="bottom"/>
            <w:hideMark/>
          </w:tcPr>
          <w:p w14:paraId="22725199" w14:textId="6DF1162F" w:rsidR="006620DC" w:rsidRDefault="006620DC">
            <w:pPr>
              <w:jc w:val="center"/>
              <w:rPr>
                <w:b/>
                <w:bCs/>
                <w:color w:val="000000"/>
                <w:sz w:val="18"/>
                <w:szCs w:val="18"/>
              </w:rPr>
            </w:pPr>
            <w:r>
              <w:rPr>
                <w:b/>
                <w:bCs/>
                <w:color w:val="000000"/>
                <w:sz w:val="18"/>
                <w:szCs w:val="18"/>
              </w:rPr>
              <w:t>Hours and Costs</w:t>
            </w:r>
            <w:r w:rsidR="00B21ADD">
              <w:rPr>
                <w:b/>
                <w:bCs/>
                <w:color w:val="000000"/>
                <w:sz w:val="18"/>
                <w:szCs w:val="18"/>
              </w:rPr>
              <w:t xml:space="preserve"> </w:t>
            </w:r>
            <w:r>
              <w:rPr>
                <w:b/>
                <w:bCs/>
                <w:color w:val="000000"/>
                <w:sz w:val="18"/>
                <w:szCs w:val="18"/>
              </w:rPr>
              <w:t>Per Respondent Per Activity</w:t>
            </w:r>
          </w:p>
        </w:tc>
        <w:tc>
          <w:tcPr>
            <w:tcW w:w="5221" w:type="dxa"/>
            <w:gridSpan w:val="5"/>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16B10EA9" w14:textId="35CD9E4C" w:rsidR="006620DC" w:rsidRDefault="006620DC">
            <w:pPr>
              <w:jc w:val="center"/>
              <w:rPr>
                <w:b/>
                <w:bCs/>
                <w:color w:val="000000"/>
                <w:sz w:val="18"/>
                <w:szCs w:val="18"/>
              </w:rPr>
            </w:pPr>
            <w:r>
              <w:rPr>
                <w:b/>
                <w:bCs/>
                <w:color w:val="000000"/>
                <w:sz w:val="18"/>
                <w:szCs w:val="18"/>
              </w:rPr>
              <w:t>Total Hours and Cost</w:t>
            </w:r>
          </w:p>
        </w:tc>
      </w:tr>
      <w:tr w:rsidR="006620DC" w14:paraId="594C1741" w14:textId="77777777" w:rsidTr="00B675D3">
        <w:trPr>
          <w:trHeight w:val="495"/>
          <w:tblHeader/>
        </w:trPr>
        <w:tc>
          <w:tcPr>
            <w:tcW w:w="3747" w:type="dxa"/>
            <w:vMerge/>
            <w:tcBorders>
              <w:top w:val="nil"/>
              <w:left w:val="single" w:sz="4" w:space="0" w:color="auto"/>
              <w:bottom w:val="single" w:sz="4" w:space="0" w:color="auto"/>
              <w:right w:val="single" w:sz="4" w:space="0" w:color="auto"/>
            </w:tcBorders>
            <w:vAlign w:val="center"/>
            <w:hideMark/>
          </w:tcPr>
          <w:p w14:paraId="189DF8C7" w14:textId="77777777" w:rsidR="006620DC" w:rsidRDefault="006620DC">
            <w:pPr>
              <w:rPr>
                <w:b/>
                <w:bCs/>
                <w:color w:val="000000"/>
                <w:sz w:val="18"/>
                <w:szCs w:val="18"/>
              </w:rPr>
            </w:pPr>
          </w:p>
        </w:tc>
        <w:tc>
          <w:tcPr>
            <w:tcW w:w="801" w:type="dxa"/>
            <w:tcBorders>
              <w:top w:val="nil"/>
              <w:left w:val="nil"/>
              <w:bottom w:val="single" w:sz="4" w:space="0" w:color="auto"/>
              <w:right w:val="single" w:sz="4" w:space="0" w:color="auto"/>
            </w:tcBorders>
            <w:shd w:val="clear" w:color="000000" w:fill="A6A6A6"/>
            <w:vAlign w:val="bottom"/>
            <w:hideMark/>
          </w:tcPr>
          <w:p w14:paraId="7F5DBB83" w14:textId="77777777" w:rsidR="006620DC" w:rsidRDefault="006620DC">
            <w:pPr>
              <w:jc w:val="center"/>
              <w:rPr>
                <w:b/>
                <w:bCs/>
                <w:color w:val="000000"/>
                <w:sz w:val="18"/>
                <w:szCs w:val="18"/>
              </w:rPr>
            </w:pPr>
            <w:r>
              <w:rPr>
                <w:b/>
                <w:bCs/>
                <w:color w:val="000000"/>
                <w:sz w:val="18"/>
                <w:szCs w:val="18"/>
              </w:rPr>
              <w:t>Legal</w:t>
            </w:r>
            <w:r>
              <w:rPr>
                <w:b/>
                <w:bCs/>
                <w:color w:val="000000"/>
                <w:sz w:val="18"/>
                <w:szCs w:val="18"/>
              </w:rPr>
              <w:br/>
              <w:t>$160.74</w:t>
            </w:r>
          </w:p>
        </w:tc>
        <w:tc>
          <w:tcPr>
            <w:tcW w:w="1106" w:type="dxa"/>
            <w:tcBorders>
              <w:top w:val="nil"/>
              <w:left w:val="nil"/>
              <w:bottom w:val="single" w:sz="4" w:space="0" w:color="auto"/>
              <w:right w:val="single" w:sz="4" w:space="0" w:color="auto"/>
            </w:tcBorders>
            <w:shd w:val="clear" w:color="000000" w:fill="A6A6A6"/>
            <w:vAlign w:val="bottom"/>
            <w:hideMark/>
          </w:tcPr>
          <w:p w14:paraId="49EF8CE5" w14:textId="77777777" w:rsidR="006620DC" w:rsidRDefault="006620DC">
            <w:pPr>
              <w:jc w:val="center"/>
              <w:rPr>
                <w:b/>
                <w:bCs/>
                <w:color w:val="000000"/>
                <w:sz w:val="18"/>
                <w:szCs w:val="18"/>
              </w:rPr>
            </w:pPr>
            <w:r>
              <w:rPr>
                <w:b/>
                <w:bCs/>
                <w:color w:val="000000"/>
                <w:sz w:val="18"/>
                <w:szCs w:val="18"/>
              </w:rPr>
              <w:t>Managerial</w:t>
            </w:r>
            <w:r>
              <w:rPr>
                <w:b/>
                <w:bCs/>
                <w:color w:val="000000"/>
                <w:sz w:val="18"/>
                <w:szCs w:val="18"/>
              </w:rPr>
              <w:br/>
              <w:t>$113.78</w:t>
            </w:r>
          </w:p>
        </w:tc>
        <w:tc>
          <w:tcPr>
            <w:tcW w:w="966" w:type="dxa"/>
            <w:tcBorders>
              <w:top w:val="nil"/>
              <w:left w:val="nil"/>
              <w:bottom w:val="single" w:sz="4" w:space="0" w:color="auto"/>
              <w:right w:val="single" w:sz="4" w:space="0" w:color="auto"/>
            </w:tcBorders>
            <w:shd w:val="clear" w:color="000000" w:fill="A6A6A6"/>
            <w:vAlign w:val="bottom"/>
            <w:hideMark/>
          </w:tcPr>
          <w:p w14:paraId="05FD1439" w14:textId="77777777" w:rsidR="006620DC" w:rsidRDefault="006620DC">
            <w:pPr>
              <w:jc w:val="center"/>
              <w:rPr>
                <w:b/>
                <w:bCs/>
                <w:color w:val="000000"/>
                <w:sz w:val="18"/>
                <w:szCs w:val="18"/>
              </w:rPr>
            </w:pPr>
            <w:r>
              <w:rPr>
                <w:b/>
                <w:bCs/>
                <w:color w:val="000000"/>
                <w:sz w:val="18"/>
                <w:szCs w:val="18"/>
              </w:rPr>
              <w:t>Technical</w:t>
            </w:r>
            <w:r>
              <w:rPr>
                <w:b/>
                <w:bCs/>
                <w:color w:val="000000"/>
                <w:sz w:val="18"/>
                <w:szCs w:val="18"/>
              </w:rPr>
              <w:br/>
              <w:t>$49.22</w:t>
            </w:r>
          </w:p>
        </w:tc>
        <w:tc>
          <w:tcPr>
            <w:tcW w:w="792" w:type="dxa"/>
            <w:tcBorders>
              <w:top w:val="nil"/>
              <w:left w:val="nil"/>
              <w:bottom w:val="single" w:sz="4" w:space="0" w:color="auto"/>
              <w:right w:val="single" w:sz="4" w:space="0" w:color="auto"/>
            </w:tcBorders>
            <w:shd w:val="clear" w:color="000000" w:fill="A6A6A6"/>
            <w:vAlign w:val="bottom"/>
            <w:hideMark/>
          </w:tcPr>
          <w:p w14:paraId="58FD78D1" w14:textId="77777777" w:rsidR="006620DC" w:rsidRDefault="00AA5DF6" w:rsidP="00AA5DF6">
            <w:pPr>
              <w:jc w:val="center"/>
              <w:rPr>
                <w:b/>
                <w:bCs/>
                <w:color w:val="000000"/>
                <w:sz w:val="18"/>
                <w:szCs w:val="18"/>
              </w:rPr>
            </w:pPr>
            <w:r>
              <w:rPr>
                <w:b/>
                <w:bCs/>
                <w:color w:val="000000"/>
                <w:sz w:val="18"/>
                <w:szCs w:val="18"/>
              </w:rPr>
              <w:t>Admin.</w:t>
            </w:r>
            <w:r w:rsidR="006620DC">
              <w:rPr>
                <w:b/>
                <w:bCs/>
                <w:color w:val="000000"/>
                <w:sz w:val="18"/>
                <w:szCs w:val="18"/>
              </w:rPr>
              <w:br/>
              <w:t>$37.11</w:t>
            </w:r>
          </w:p>
        </w:tc>
        <w:tc>
          <w:tcPr>
            <w:tcW w:w="1216" w:type="dxa"/>
            <w:tcBorders>
              <w:top w:val="nil"/>
              <w:left w:val="nil"/>
              <w:bottom w:val="single" w:sz="4" w:space="0" w:color="auto"/>
              <w:right w:val="single" w:sz="4" w:space="0" w:color="auto"/>
            </w:tcBorders>
            <w:shd w:val="clear" w:color="000000" w:fill="A6A6A6"/>
            <w:vAlign w:val="bottom"/>
            <w:hideMark/>
          </w:tcPr>
          <w:p w14:paraId="0F10C6EA" w14:textId="77777777" w:rsidR="006620DC" w:rsidRDefault="006620DC">
            <w:pPr>
              <w:jc w:val="center"/>
              <w:rPr>
                <w:b/>
                <w:bCs/>
                <w:color w:val="000000"/>
                <w:sz w:val="18"/>
                <w:szCs w:val="18"/>
              </w:rPr>
            </w:pPr>
            <w:r>
              <w:rPr>
                <w:b/>
                <w:bCs/>
                <w:color w:val="000000"/>
                <w:sz w:val="18"/>
                <w:szCs w:val="18"/>
              </w:rPr>
              <w:t>Programmer</w:t>
            </w:r>
            <w:r>
              <w:rPr>
                <w:b/>
                <w:bCs/>
                <w:color w:val="000000"/>
                <w:sz w:val="18"/>
                <w:szCs w:val="18"/>
              </w:rPr>
              <w:br/>
              <w:t>$95.72</w:t>
            </w:r>
          </w:p>
        </w:tc>
        <w:tc>
          <w:tcPr>
            <w:tcW w:w="859" w:type="dxa"/>
            <w:tcBorders>
              <w:top w:val="nil"/>
              <w:left w:val="nil"/>
              <w:bottom w:val="single" w:sz="4" w:space="0" w:color="auto"/>
              <w:right w:val="single" w:sz="4" w:space="0" w:color="auto"/>
            </w:tcBorders>
            <w:shd w:val="clear" w:color="000000" w:fill="A6A6A6"/>
            <w:vAlign w:val="bottom"/>
            <w:hideMark/>
          </w:tcPr>
          <w:p w14:paraId="11ABC272" w14:textId="77777777" w:rsidR="006620DC" w:rsidRDefault="006620DC">
            <w:pPr>
              <w:jc w:val="center"/>
              <w:rPr>
                <w:b/>
                <w:bCs/>
                <w:color w:val="000000"/>
                <w:sz w:val="18"/>
                <w:szCs w:val="18"/>
              </w:rPr>
            </w:pPr>
            <w:r>
              <w:rPr>
                <w:b/>
                <w:bCs/>
                <w:color w:val="000000"/>
                <w:sz w:val="18"/>
                <w:szCs w:val="18"/>
              </w:rPr>
              <w:t>O&amp;M Cost (2017$)</w:t>
            </w:r>
          </w:p>
        </w:tc>
        <w:tc>
          <w:tcPr>
            <w:tcW w:w="924" w:type="dxa"/>
            <w:tcBorders>
              <w:top w:val="nil"/>
              <w:left w:val="nil"/>
              <w:bottom w:val="single" w:sz="4" w:space="0" w:color="auto"/>
              <w:right w:val="single" w:sz="4" w:space="0" w:color="auto"/>
            </w:tcBorders>
            <w:shd w:val="clear" w:color="000000" w:fill="A6A6A6"/>
            <w:vAlign w:val="bottom"/>
            <w:hideMark/>
          </w:tcPr>
          <w:p w14:paraId="054F552D" w14:textId="77777777" w:rsidR="006620DC" w:rsidRDefault="006620DC">
            <w:pPr>
              <w:jc w:val="center"/>
              <w:rPr>
                <w:b/>
                <w:bCs/>
                <w:color w:val="000000"/>
                <w:sz w:val="18"/>
                <w:szCs w:val="18"/>
              </w:rPr>
            </w:pPr>
            <w:r>
              <w:rPr>
                <w:b/>
                <w:bCs/>
                <w:color w:val="000000"/>
                <w:sz w:val="18"/>
                <w:szCs w:val="18"/>
              </w:rPr>
              <w:t>Number of Resp.</w:t>
            </w:r>
          </w:p>
        </w:tc>
        <w:tc>
          <w:tcPr>
            <w:tcW w:w="1236" w:type="dxa"/>
            <w:tcBorders>
              <w:top w:val="nil"/>
              <w:left w:val="nil"/>
              <w:bottom w:val="single" w:sz="4" w:space="0" w:color="auto"/>
              <w:right w:val="single" w:sz="4" w:space="0" w:color="auto"/>
            </w:tcBorders>
            <w:shd w:val="clear" w:color="000000" w:fill="A6A6A6"/>
            <w:vAlign w:val="bottom"/>
            <w:hideMark/>
          </w:tcPr>
          <w:p w14:paraId="4F8356F2" w14:textId="77777777" w:rsidR="006620DC" w:rsidRDefault="006620DC">
            <w:pPr>
              <w:jc w:val="center"/>
              <w:rPr>
                <w:b/>
                <w:bCs/>
                <w:color w:val="000000"/>
                <w:sz w:val="18"/>
                <w:szCs w:val="18"/>
              </w:rPr>
            </w:pPr>
            <w:r>
              <w:rPr>
                <w:b/>
                <w:bCs/>
                <w:color w:val="000000"/>
                <w:sz w:val="18"/>
                <w:szCs w:val="18"/>
              </w:rPr>
              <w:t>Total Hours</w:t>
            </w:r>
          </w:p>
        </w:tc>
        <w:tc>
          <w:tcPr>
            <w:tcW w:w="1094" w:type="dxa"/>
            <w:tcBorders>
              <w:top w:val="nil"/>
              <w:left w:val="nil"/>
              <w:bottom w:val="single" w:sz="4" w:space="0" w:color="auto"/>
              <w:right w:val="single" w:sz="4" w:space="0" w:color="auto"/>
            </w:tcBorders>
            <w:shd w:val="clear" w:color="000000" w:fill="A6A6A6"/>
            <w:vAlign w:val="bottom"/>
            <w:hideMark/>
          </w:tcPr>
          <w:p w14:paraId="7CAB5335" w14:textId="77777777" w:rsidR="006620DC" w:rsidRDefault="006620DC">
            <w:pPr>
              <w:jc w:val="center"/>
              <w:rPr>
                <w:b/>
                <w:bCs/>
                <w:color w:val="000000"/>
                <w:sz w:val="18"/>
                <w:szCs w:val="18"/>
              </w:rPr>
            </w:pPr>
            <w:r>
              <w:rPr>
                <w:b/>
                <w:bCs/>
                <w:color w:val="000000"/>
                <w:sz w:val="18"/>
                <w:szCs w:val="18"/>
              </w:rPr>
              <w:t>Total Labor Costs</w:t>
            </w:r>
          </w:p>
        </w:tc>
        <w:tc>
          <w:tcPr>
            <w:tcW w:w="773" w:type="dxa"/>
            <w:tcBorders>
              <w:top w:val="nil"/>
              <w:left w:val="nil"/>
              <w:bottom w:val="single" w:sz="4" w:space="0" w:color="auto"/>
              <w:right w:val="single" w:sz="4" w:space="0" w:color="auto"/>
            </w:tcBorders>
            <w:shd w:val="clear" w:color="000000" w:fill="A6A6A6"/>
            <w:vAlign w:val="bottom"/>
            <w:hideMark/>
          </w:tcPr>
          <w:p w14:paraId="53A41B87" w14:textId="77777777" w:rsidR="006620DC" w:rsidRDefault="006620DC">
            <w:pPr>
              <w:jc w:val="center"/>
              <w:rPr>
                <w:b/>
                <w:bCs/>
                <w:color w:val="000000"/>
                <w:sz w:val="18"/>
                <w:szCs w:val="18"/>
              </w:rPr>
            </w:pPr>
            <w:r>
              <w:rPr>
                <w:b/>
                <w:bCs/>
                <w:color w:val="000000"/>
                <w:sz w:val="18"/>
                <w:szCs w:val="18"/>
              </w:rPr>
              <w:t>Total O&amp;M Costs</w:t>
            </w:r>
          </w:p>
        </w:tc>
        <w:tc>
          <w:tcPr>
            <w:tcW w:w="1194" w:type="dxa"/>
            <w:tcBorders>
              <w:top w:val="nil"/>
              <w:left w:val="nil"/>
              <w:bottom w:val="single" w:sz="4" w:space="0" w:color="auto"/>
              <w:right w:val="single" w:sz="4" w:space="0" w:color="auto"/>
            </w:tcBorders>
            <w:shd w:val="clear" w:color="000000" w:fill="A6A6A6"/>
            <w:vAlign w:val="bottom"/>
            <w:hideMark/>
          </w:tcPr>
          <w:p w14:paraId="59C0ECDF" w14:textId="77777777" w:rsidR="006620DC" w:rsidRDefault="006620DC">
            <w:pPr>
              <w:jc w:val="center"/>
              <w:rPr>
                <w:b/>
                <w:bCs/>
                <w:color w:val="000000"/>
                <w:sz w:val="18"/>
                <w:szCs w:val="18"/>
              </w:rPr>
            </w:pPr>
            <w:r>
              <w:rPr>
                <w:b/>
                <w:bCs/>
                <w:color w:val="000000"/>
                <w:sz w:val="18"/>
                <w:szCs w:val="18"/>
              </w:rPr>
              <w:t>Total Cost</w:t>
            </w:r>
          </w:p>
        </w:tc>
      </w:tr>
      <w:tr w:rsidR="006620DC" w14:paraId="32FF8AE5" w14:textId="77777777" w:rsidTr="00B675D3">
        <w:trPr>
          <w:trHeight w:val="300"/>
        </w:trPr>
        <w:tc>
          <w:tcPr>
            <w:tcW w:w="3747" w:type="dxa"/>
            <w:tcBorders>
              <w:top w:val="nil"/>
              <w:left w:val="single" w:sz="4" w:space="0" w:color="auto"/>
              <w:bottom w:val="single" w:sz="4" w:space="0" w:color="auto"/>
              <w:right w:val="nil"/>
            </w:tcBorders>
            <w:shd w:val="clear" w:color="000000" w:fill="BFBFBF"/>
            <w:noWrap/>
            <w:vAlign w:val="bottom"/>
            <w:hideMark/>
          </w:tcPr>
          <w:p w14:paraId="5724F633" w14:textId="77777777" w:rsidR="006620DC" w:rsidRDefault="006620DC">
            <w:pPr>
              <w:rPr>
                <w:b/>
                <w:bCs/>
                <w:color w:val="000000"/>
                <w:sz w:val="18"/>
                <w:szCs w:val="18"/>
              </w:rPr>
            </w:pPr>
            <w:r>
              <w:rPr>
                <w:b/>
                <w:bCs/>
                <w:color w:val="000000"/>
                <w:sz w:val="18"/>
                <w:szCs w:val="18"/>
              </w:rPr>
              <w:t>ONE-TIME COSTS</w:t>
            </w:r>
          </w:p>
        </w:tc>
        <w:tc>
          <w:tcPr>
            <w:tcW w:w="801" w:type="dxa"/>
            <w:tcBorders>
              <w:top w:val="nil"/>
              <w:left w:val="nil"/>
              <w:bottom w:val="single" w:sz="4" w:space="0" w:color="auto"/>
              <w:right w:val="nil"/>
            </w:tcBorders>
            <w:shd w:val="clear" w:color="000000" w:fill="BFBFBF"/>
            <w:noWrap/>
            <w:vAlign w:val="bottom"/>
            <w:hideMark/>
          </w:tcPr>
          <w:p w14:paraId="4005D759" w14:textId="77777777" w:rsidR="006620DC" w:rsidRDefault="006620DC">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3B233C7C" w14:textId="77777777" w:rsidR="006620DC" w:rsidRDefault="006620DC">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51D44201" w14:textId="77777777" w:rsidR="006620DC" w:rsidRDefault="006620DC">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56F4FBDA" w14:textId="77777777" w:rsidR="006620DC" w:rsidRDefault="006620DC">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0F6EABB8" w14:textId="77777777" w:rsidR="006620DC" w:rsidRDefault="006620DC">
            <w:pPr>
              <w:rPr>
                <w:b/>
                <w:bCs/>
                <w:color w:val="000000"/>
                <w:sz w:val="18"/>
                <w:szCs w:val="18"/>
              </w:rPr>
            </w:pPr>
            <w:r>
              <w:rPr>
                <w:b/>
                <w:bCs/>
                <w:color w:val="000000"/>
                <w:sz w:val="18"/>
                <w:szCs w:val="18"/>
              </w:rPr>
              <w:t> </w:t>
            </w:r>
          </w:p>
        </w:tc>
        <w:tc>
          <w:tcPr>
            <w:tcW w:w="859" w:type="dxa"/>
            <w:tcBorders>
              <w:top w:val="nil"/>
              <w:left w:val="nil"/>
              <w:bottom w:val="single" w:sz="4" w:space="0" w:color="auto"/>
              <w:right w:val="nil"/>
            </w:tcBorders>
            <w:shd w:val="clear" w:color="000000" w:fill="BFBFBF"/>
            <w:noWrap/>
            <w:vAlign w:val="bottom"/>
            <w:hideMark/>
          </w:tcPr>
          <w:p w14:paraId="23BE7D4C" w14:textId="77777777" w:rsidR="006620DC" w:rsidRDefault="006620DC">
            <w:pPr>
              <w:rPr>
                <w:b/>
                <w:bCs/>
                <w:color w:val="000000"/>
                <w:sz w:val="18"/>
                <w:szCs w:val="18"/>
              </w:rPr>
            </w:pPr>
            <w:r>
              <w:rPr>
                <w:b/>
                <w:bCs/>
                <w:color w:val="000000"/>
                <w:sz w:val="18"/>
                <w:szCs w:val="18"/>
              </w:rPr>
              <w:t> </w:t>
            </w:r>
          </w:p>
        </w:tc>
        <w:tc>
          <w:tcPr>
            <w:tcW w:w="924" w:type="dxa"/>
            <w:tcBorders>
              <w:top w:val="nil"/>
              <w:left w:val="nil"/>
              <w:bottom w:val="single" w:sz="4" w:space="0" w:color="auto"/>
              <w:right w:val="nil"/>
            </w:tcBorders>
            <w:shd w:val="clear" w:color="000000" w:fill="BFBFBF"/>
            <w:noWrap/>
            <w:vAlign w:val="bottom"/>
            <w:hideMark/>
          </w:tcPr>
          <w:p w14:paraId="5DD9A313" w14:textId="77777777" w:rsidR="006620DC" w:rsidRDefault="006620DC">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01520146" w14:textId="77777777" w:rsidR="006620DC" w:rsidRDefault="006620DC">
            <w:pPr>
              <w:rPr>
                <w:b/>
                <w:bCs/>
                <w:color w:val="000000"/>
                <w:sz w:val="18"/>
                <w:szCs w:val="18"/>
              </w:rPr>
            </w:pPr>
            <w:r>
              <w:rPr>
                <w:b/>
                <w:bCs/>
                <w:color w:val="000000"/>
                <w:sz w:val="18"/>
                <w:szCs w:val="18"/>
              </w:rPr>
              <w:t> </w:t>
            </w:r>
          </w:p>
        </w:tc>
        <w:tc>
          <w:tcPr>
            <w:tcW w:w="1094" w:type="dxa"/>
            <w:tcBorders>
              <w:top w:val="nil"/>
              <w:left w:val="nil"/>
              <w:bottom w:val="single" w:sz="4" w:space="0" w:color="auto"/>
              <w:right w:val="nil"/>
            </w:tcBorders>
            <w:shd w:val="clear" w:color="000000" w:fill="BFBFBF"/>
            <w:noWrap/>
            <w:vAlign w:val="bottom"/>
            <w:hideMark/>
          </w:tcPr>
          <w:p w14:paraId="42078716" w14:textId="77777777" w:rsidR="006620DC" w:rsidRDefault="006620DC">
            <w:pPr>
              <w:rPr>
                <w:b/>
                <w:bCs/>
                <w:color w:val="000000"/>
                <w:sz w:val="18"/>
                <w:szCs w:val="18"/>
              </w:rPr>
            </w:pPr>
            <w:r>
              <w:rPr>
                <w:b/>
                <w:bCs/>
                <w:color w:val="000000"/>
                <w:sz w:val="18"/>
                <w:szCs w:val="18"/>
              </w:rPr>
              <w:t> </w:t>
            </w:r>
          </w:p>
        </w:tc>
        <w:tc>
          <w:tcPr>
            <w:tcW w:w="773" w:type="dxa"/>
            <w:tcBorders>
              <w:top w:val="nil"/>
              <w:left w:val="nil"/>
              <w:bottom w:val="single" w:sz="4" w:space="0" w:color="auto"/>
              <w:right w:val="nil"/>
            </w:tcBorders>
            <w:shd w:val="clear" w:color="000000" w:fill="BFBFBF"/>
            <w:noWrap/>
            <w:vAlign w:val="bottom"/>
            <w:hideMark/>
          </w:tcPr>
          <w:p w14:paraId="35D63AB9" w14:textId="77777777" w:rsidR="006620DC" w:rsidRDefault="006620DC">
            <w:pPr>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BFBFBF"/>
            <w:noWrap/>
            <w:vAlign w:val="bottom"/>
            <w:hideMark/>
          </w:tcPr>
          <w:p w14:paraId="7697A771" w14:textId="77777777" w:rsidR="006620DC" w:rsidRDefault="006620DC">
            <w:pPr>
              <w:rPr>
                <w:b/>
                <w:bCs/>
                <w:color w:val="000000"/>
                <w:sz w:val="18"/>
                <w:szCs w:val="18"/>
              </w:rPr>
            </w:pPr>
            <w:r>
              <w:rPr>
                <w:b/>
                <w:bCs/>
                <w:color w:val="000000"/>
                <w:sz w:val="18"/>
                <w:szCs w:val="18"/>
              </w:rPr>
              <w:t> </w:t>
            </w:r>
          </w:p>
        </w:tc>
      </w:tr>
      <w:tr w:rsidR="006620DC" w14:paraId="554D2359" w14:textId="77777777" w:rsidTr="00B675D3">
        <w:trPr>
          <w:trHeight w:val="300"/>
        </w:trPr>
        <w:tc>
          <w:tcPr>
            <w:tcW w:w="3747" w:type="dxa"/>
            <w:tcBorders>
              <w:top w:val="nil"/>
              <w:left w:val="single" w:sz="4" w:space="0" w:color="auto"/>
              <w:bottom w:val="single" w:sz="4" w:space="0" w:color="auto"/>
              <w:right w:val="nil"/>
            </w:tcBorders>
            <w:shd w:val="clear" w:color="000000" w:fill="D9D9D9"/>
            <w:vAlign w:val="center"/>
            <w:hideMark/>
          </w:tcPr>
          <w:p w14:paraId="384423F5" w14:textId="77777777" w:rsidR="006620DC" w:rsidRDefault="006620DC">
            <w:pPr>
              <w:rPr>
                <w:b/>
                <w:bCs/>
                <w:color w:val="000000"/>
                <w:sz w:val="18"/>
                <w:szCs w:val="18"/>
              </w:rPr>
            </w:pPr>
            <w:r>
              <w:rPr>
                <w:b/>
                <w:bCs/>
                <w:color w:val="000000"/>
                <w:sz w:val="18"/>
                <w:szCs w:val="18"/>
              </w:rPr>
              <w:t>Rule Familiarization</w:t>
            </w:r>
          </w:p>
        </w:tc>
        <w:tc>
          <w:tcPr>
            <w:tcW w:w="801" w:type="dxa"/>
            <w:tcBorders>
              <w:top w:val="nil"/>
              <w:left w:val="nil"/>
              <w:bottom w:val="single" w:sz="4" w:space="0" w:color="auto"/>
              <w:right w:val="nil"/>
            </w:tcBorders>
            <w:shd w:val="clear" w:color="000000" w:fill="D9D9D9"/>
            <w:vAlign w:val="center"/>
            <w:hideMark/>
          </w:tcPr>
          <w:p w14:paraId="29245183"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7157CA74"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4FFEC95D"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7C7FCD1F"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4DED2462" w14:textId="77777777" w:rsidR="006620DC" w:rsidRDefault="006620DC">
            <w:pPr>
              <w:jc w:val="right"/>
              <w:rPr>
                <w:b/>
                <w:bCs/>
                <w:color w:val="000000"/>
                <w:sz w:val="18"/>
                <w:szCs w:val="18"/>
              </w:rPr>
            </w:pPr>
            <w:r>
              <w:rPr>
                <w:b/>
                <w:bCs/>
                <w:color w:val="000000"/>
                <w:sz w:val="18"/>
                <w:szCs w:val="18"/>
              </w:rPr>
              <w:t> </w:t>
            </w:r>
          </w:p>
        </w:tc>
        <w:tc>
          <w:tcPr>
            <w:tcW w:w="859" w:type="dxa"/>
            <w:tcBorders>
              <w:top w:val="nil"/>
              <w:left w:val="nil"/>
              <w:bottom w:val="single" w:sz="4" w:space="0" w:color="auto"/>
              <w:right w:val="nil"/>
            </w:tcBorders>
            <w:shd w:val="clear" w:color="000000" w:fill="D9D9D9"/>
            <w:vAlign w:val="center"/>
            <w:hideMark/>
          </w:tcPr>
          <w:p w14:paraId="1D99A2D6" w14:textId="77777777" w:rsidR="006620DC" w:rsidRDefault="006620DC">
            <w:pPr>
              <w:jc w:val="right"/>
              <w:rPr>
                <w:b/>
                <w:bCs/>
                <w:color w:val="000000"/>
                <w:sz w:val="18"/>
                <w:szCs w:val="18"/>
              </w:rPr>
            </w:pPr>
            <w:r>
              <w:rPr>
                <w:b/>
                <w:bCs/>
                <w:color w:val="000000"/>
                <w:sz w:val="18"/>
                <w:szCs w:val="18"/>
              </w:rPr>
              <w:t> </w:t>
            </w:r>
          </w:p>
        </w:tc>
        <w:tc>
          <w:tcPr>
            <w:tcW w:w="924" w:type="dxa"/>
            <w:tcBorders>
              <w:top w:val="nil"/>
              <w:left w:val="nil"/>
              <w:bottom w:val="single" w:sz="4" w:space="0" w:color="auto"/>
              <w:right w:val="nil"/>
            </w:tcBorders>
            <w:shd w:val="clear" w:color="000000" w:fill="D9D9D9"/>
            <w:vAlign w:val="center"/>
            <w:hideMark/>
          </w:tcPr>
          <w:p w14:paraId="2A08C06A"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2CCA5FBA" w14:textId="77777777" w:rsidR="006620DC" w:rsidRDefault="006620DC">
            <w:pPr>
              <w:jc w:val="right"/>
              <w:rPr>
                <w:b/>
                <w:bCs/>
                <w:color w:val="000000"/>
                <w:sz w:val="18"/>
                <w:szCs w:val="18"/>
              </w:rPr>
            </w:pPr>
            <w:r>
              <w:rPr>
                <w:b/>
                <w:bCs/>
                <w:color w:val="000000"/>
                <w:sz w:val="18"/>
                <w:szCs w:val="18"/>
              </w:rPr>
              <w:t> </w:t>
            </w:r>
          </w:p>
        </w:tc>
        <w:tc>
          <w:tcPr>
            <w:tcW w:w="1094" w:type="dxa"/>
            <w:tcBorders>
              <w:top w:val="nil"/>
              <w:left w:val="nil"/>
              <w:bottom w:val="single" w:sz="4" w:space="0" w:color="auto"/>
              <w:right w:val="nil"/>
            </w:tcBorders>
            <w:shd w:val="clear" w:color="000000" w:fill="D9D9D9"/>
            <w:vAlign w:val="center"/>
            <w:hideMark/>
          </w:tcPr>
          <w:p w14:paraId="6AC72567" w14:textId="77777777" w:rsidR="006620DC" w:rsidRDefault="006620DC">
            <w:pPr>
              <w:jc w:val="right"/>
              <w:rPr>
                <w:b/>
                <w:bCs/>
                <w:color w:val="000000"/>
                <w:sz w:val="18"/>
                <w:szCs w:val="18"/>
              </w:rPr>
            </w:pPr>
            <w:r>
              <w:rPr>
                <w:b/>
                <w:bCs/>
                <w:color w:val="000000"/>
                <w:sz w:val="18"/>
                <w:szCs w:val="18"/>
              </w:rPr>
              <w:t> </w:t>
            </w:r>
          </w:p>
        </w:tc>
        <w:tc>
          <w:tcPr>
            <w:tcW w:w="773" w:type="dxa"/>
            <w:tcBorders>
              <w:top w:val="nil"/>
              <w:left w:val="nil"/>
              <w:bottom w:val="single" w:sz="4" w:space="0" w:color="auto"/>
              <w:right w:val="nil"/>
            </w:tcBorders>
            <w:shd w:val="clear" w:color="000000" w:fill="D9D9D9"/>
            <w:vAlign w:val="center"/>
            <w:hideMark/>
          </w:tcPr>
          <w:p w14:paraId="74F2E184"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24C283F5" w14:textId="77777777" w:rsidR="006620DC" w:rsidRDefault="006620DC">
            <w:pPr>
              <w:jc w:val="right"/>
              <w:rPr>
                <w:b/>
                <w:bCs/>
                <w:color w:val="000000"/>
                <w:sz w:val="18"/>
                <w:szCs w:val="18"/>
              </w:rPr>
            </w:pPr>
            <w:r>
              <w:rPr>
                <w:b/>
                <w:bCs/>
                <w:color w:val="000000"/>
                <w:sz w:val="18"/>
                <w:szCs w:val="18"/>
              </w:rPr>
              <w:t> </w:t>
            </w:r>
          </w:p>
        </w:tc>
      </w:tr>
      <w:tr w:rsidR="00593711" w14:paraId="30D720BD" w14:textId="77777777" w:rsidTr="00B675D3">
        <w:trPr>
          <w:trHeight w:val="300"/>
        </w:trPr>
        <w:tc>
          <w:tcPr>
            <w:tcW w:w="3747" w:type="dxa"/>
            <w:tcBorders>
              <w:top w:val="nil"/>
              <w:left w:val="single" w:sz="4" w:space="0" w:color="auto"/>
              <w:bottom w:val="single" w:sz="4" w:space="0" w:color="auto"/>
              <w:right w:val="single" w:sz="4" w:space="0" w:color="auto"/>
            </w:tcBorders>
            <w:shd w:val="clear" w:color="auto" w:fill="auto"/>
            <w:vAlign w:val="bottom"/>
            <w:hideMark/>
          </w:tcPr>
          <w:p w14:paraId="0B51E2E7" w14:textId="77777777" w:rsidR="00593711" w:rsidRDefault="00593711">
            <w:pPr>
              <w:rPr>
                <w:color w:val="000000"/>
                <w:sz w:val="18"/>
                <w:szCs w:val="18"/>
              </w:rPr>
            </w:pPr>
            <w:r>
              <w:rPr>
                <w:color w:val="000000"/>
                <w:sz w:val="18"/>
                <w:szCs w:val="18"/>
              </w:rPr>
              <w:t>Rule familiarization with legal counsel</w:t>
            </w:r>
          </w:p>
        </w:tc>
        <w:tc>
          <w:tcPr>
            <w:tcW w:w="801" w:type="dxa"/>
            <w:tcBorders>
              <w:top w:val="nil"/>
              <w:left w:val="nil"/>
              <w:bottom w:val="single" w:sz="4" w:space="0" w:color="auto"/>
              <w:right w:val="single" w:sz="4" w:space="0" w:color="auto"/>
            </w:tcBorders>
            <w:shd w:val="clear" w:color="auto" w:fill="auto"/>
            <w:noWrap/>
            <w:vAlign w:val="bottom"/>
            <w:hideMark/>
          </w:tcPr>
          <w:p w14:paraId="5F7A7C07" w14:textId="0D3F7B8F" w:rsidR="00593711" w:rsidRDefault="00593711">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78F4F6A6" w14:textId="5773D405" w:rsidR="00593711" w:rsidRDefault="00593711">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68A743E6" w14:textId="1199B111" w:rsidR="00593711" w:rsidRDefault="00593711">
            <w:pPr>
              <w:jc w:val="right"/>
              <w:rPr>
                <w:color w:val="000000"/>
                <w:sz w:val="18"/>
                <w:szCs w:val="18"/>
              </w:rPr>
            </w:pPr>
            <w:r>
              <w:rPr>
                <w:color w:val="000000"/>
                <w:sz w:val="18"/>
                <w:szCs w:val="18"/>
              </w:rPr>
              <w:t>1.50</w:t>
            </w:r>
          </w:p>
        </w:tc>
        <w:tc>
          <w:tcPr>
            <w:tcW w:w="792" w:type="dxa"/>
            <w:tcBorders>
              <w:top w:val="nil"/>
              <w:left w:val="nil"/>
              <w:bottom w:val="single" w:sz="4" w:space="0" w:color="auto"/>
              <w:right w:val="single" w:sz="4" w:space="0" w:color="auto"/>
            </w:tcBorders>
            <w:shd w:val="clear" w:color="auto" w:fill="auto"/>
            <w:noWrap/>
            <w:vAlign w:val="bottom"/>
            <w:hideMark/>
          </w:tcPr>
          <w:p w14:paraId="73E4C9A9" w14:textId="502A8635" w:rsidR="00593711" w:rsidRDefault="00593711">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2B1942F2" w14:textId="0A6B7F77" w:rsidR="00593711" w:rsidRDefault="00593711">
            <w:pPr>
              <w:jc w:val="right"/>
              <w:rPr>
                <w:color w:val="000000"/>
                <w:sz w:val="18"/>
                <w:szCs w:val="18"/>
              </w:rPr>
            </w:pPr>
            <w:r>
              <w:rPr>
                <w:color w:val="000000"/>
                <w:sz w:val="18"/>
                <w:szCs w:val="18"/>
              </w:rPr>
              <w:t>0.00</w:t>
            </w:r>
          </w:p>
        </w:tc>
        <w:tc>
          <w:tcPr>
            <w:tcW w:w="859" w:type="dxa"/>
            <w:tcBorders>
              <w:top w:val="nil"/>
              <w:left w:val="nil"/>
              <w:bottom w:val="single" w:sz="4" w:space="0" w:color="auto"/>
              <w:right w:val="single" w:sz="4" w:space="0" w:color="auto"/>
            </w:tcBorders>
            <w:shd w:val="clear" w:color="auto" w:fill="auto"/>
            <w:noWrap/>
            <w:vAlign w:val="bottom"/>
            <w:hideMark/>
          </w:tcPr>
          <w:p w14:paraId="0329FCC8" w14:textId="5905B466" w:rsidR="00593711" w:rsidRDefault="00593711">
            <w:pPr>
              <w:jc w:val="right"/>
              <w:rPr>
                <w:color w:val="000000"/>
                <w:sz w:val="18"/>
                <w:szCs w:val="18"/>
              </w:rPr>
            </w:pPr>
            <w:r>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bottom"/>
            <w:hideMark/>
          </w:tcPr>
          <w:p w14:paraId="7CD34757" w14:textId="4AE6816C" w:rsidR="00593711" w:rsidRDefault="00593711">
            <w:pPr>
              <w:jc w:val="right"/>
              <w:rPr>
                <w:color w:val="000000"/>
                <w:sz w:val="18"/>
                <w:szCs w:val="18"/>
              </w:rPr>
            </w:pPr>
            <w:r>
              <w:rPr>
                <w:color w:val="000000"/>
                <w:sz w:val="18"/>
                <w:szCs w:val="18"/>
              </w:rPr>
              <w:t>23</w:t>
            </w:r>
          </w:p>
        </w:tc>
        <w:tc>
          <w:tcPr>
            <w:tcW w:w="1236" w:type="dxa"/>
            <w:tcBorders>
              <w:top w:val="nil"/>
              <w:left w:val="nil"/>
              <w:bottom w:val="single" w:sz="4" w:space="0" w:color="auto"/>
              <w:right w:val="single" w:sz="4" w:space="0" w:color="auto"/>
            </w:tcBorders>
            <w:shd w:val="clear" w:color="auto" w:fill="auto"/>
            <w:noWrap/>
            <w:vAlign w:val="bottom"/>
            <w:hideMark/>
          </w:tcPr>
          <w:p w14:paraId="5064C7C6" w14:textId="07FFFA4F" w:rsidR="00593711" w:rsidRDefault="00593711">
            <w:pPr>
              <w:jc w:val="right"/>
              <w:rPr>
                <w:color w:val="000000"/>
                <w:sz w:val="18"/>
                <w:szCs w:val="18"/>
              </w:rPr>
            </w:pPr>
            <w:r>
              <w:rPr>
                <w:color w:val="000000"/>
                <w:sz w:val="18"/>
                <w:szCs w:val="18"/>
              </w:rPr>
              <w:t xml:space="preserve">                  57 </w:t>
            </w:r>
          </w:p>
        </w:tc>
        <w:tc>
          <w:tcPr>
            <w:tcW w:w="1094" w:type="dxa"/>
            <w:tcBorders>
              <w:top w:val="nil"/>
              <w:left w:val="nil"/>
              <w:bottom w:val="single" w:sz="4" w:space="0" w:color="auto"/>
              <w:right w:val="single" w:sz="4" w:space="0" w:color="auto"/>
            </w:tcBorders>
            <w:shd w:val="clear" w:color="auto" w:fill="auto"/>
            <w:noWrap/>
            <w:vAlign w:val="bottom"/>
            <w:hideMark/>
          </w:tcPr>
          <w:p w14:paraId="4550C860" w14:textId="023255A9" w:rsidR="00593711" w:rsidRDefault="00593711">
            <w:pPr>
              <w:jc w:val="right"/>
              <w:rPr>
                <w:color w:val="000000"/>
                <w:sz w:val="18"/>
                <w:szCs w:val="18"/>
              </w:rPr>
            </w:pPr>
            <w:r>
              <w:rPr>
                <w:color w:val="000000"/>
                <w:sz w:val="18"/>
                <w:szCs w:val="18"/>
              </w:rPr>
              <w:t>$4,262</w:t>
            </w:r>
          </w:p>
        </w:tc>
        <w:tc>
          <w:tcPr>
            <w:tcW w:w="773" w:type="dxa"/>
            <w:tcBorders>
              <w:top w:val="nil"/>
              <w:left w:val="nil"/>
              <w:bottom w:val="single" w:sz="4" w:space="0" w:color="auto"/>
              <w:right w:val="single" w:sz="4" w:space="0" w:color="auto"/>
            </w:tcBorders>
            <w:shd w:val="clear" w:color="auto" w:fill="auto"/>
            <w:noWrap/>
            <w:vAlign w:val="bottom"/>
            <w:hideMark/>
          </w:tcPr>
          <w:p w14:paraId="4723F5B9" w14:textId="600CE745" w:rsidR="00593711" w:rsidRDefault="00593711">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499694CC" w14:textId="6A1128B8" w:rsidR="00593711" w:rsidRDefault="00593711">
            <w:pPr>
              <w:jc w:val="right"/>
              <w:rPr>
                <w:color w:val="000000"/>
                <w:sz w:val="18"/>
                <w:szCs w:val="18"/>
              </w:rPr>
            </w:pPr>
            <w:r>
              <w:rPr>
                <w:color w:val="000000"/>
                <w:sz w:val="18"/>
                <w:szCs w:val="18"/>
              </w:rPr>
              <w:t>$4,262</w:t>
            </w:r>
          </w:p>
        </w:tc>
      </w:tr>
      <w:tr w:rsidR="006620DC" w14:paraId="1429C294" w14:textId="77777777" w:rsidTr="00B675D3">
        <w:trPr>
          <w:trHeight w:val="300"/>
        </w:trPr>
        <w:tc>
          <w:tcPr>
            <w:tcW w:w="3747" w:type="dxa"/>
            <w:tcBorders>
              <w:top w:val="nil"/>
              <w:left w:val="single" w:sz="4" w:space="0" w:color="auto"/>
              <w:bottom w:val="single" w:sz="4" w:space="0" w:color="auto"/>
              <w:right w:val="nil"/>
            </w:tcBorders>
            <w:shd w:val="clear" w:color="000000" w:fill="BFBFBF"/>
            <w:noWrap/>
            <w:vAlign w:val="bottom"/>
            <w:hideMark/>
          </w:tcPr>
          <w:p w14:paraId="480FC934" w14:textId="77777777" w:rsidR="006620DC" w:rsidRDefault="006620DC">
            <w:pPr>
              <w:rPr>
                <w:b/>
                <w:bCs/>
                <w:color w:val="000000"/>
                <w:sz w:val="18"/>
                <w:szCs w:val="18"/>
              </w:rPr>
            </w:pPr>
            <w:r>
              <w:rPr>
                <w:b/>
                <w:bCs/>
                <w:color w:val="000000"/>
                <w:sz w:val="18"/>
                <w:szCs w:val="18"/>
              </w:rPr>
              <w:t>ANNUAL COSTS</w:t>
            </w:r>
          </w:p>
        </w:tc>
        <w:tc>
          <w:tcPr>
            <w:tcW w:w="801" w:type="dxa"/>
            <w:tcBorders>
              <w:top w:val="nil"/>
              <w:left w:val="nil"/>
              <w:bottom w:val="single" w:sz="4" w:space="0" w:color="auto"/>
              <w:right w:val="nil"/>
            </w:tcBorders>
            <w:shd w:val="clear" w:color="000000" w:fill="BFBFBF"/>
            <w:noWrap/>
            <w:vAlign w:val="bottom"/>
            <w:hideMark/>
          </w:tcPr>
          <w:p w14:paraId="20A6A1DD"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339C6A30"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12A2712E"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7CDCBEF5"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3B96C79F" w14:textId="77777777" w:rsidR="006620DC" w:rsidRDefault="006620DC">
            <w:pPr>
              <w:jc w:val="right"/>
              <w:rPr>
                <w:b/>
                <w:bCs/>
                <w:color w:val="000000"/>
                <w:sz w:val="18"/>
                <w:szCs w:val="18"/>
              </w:rPr>
            </w:pPr>
            <w:r>
              <w:rPr>
                <w:b/>
                <w:bCs/>
                <w:color w:val="000000"/>
                <w:sz w:val="18"/>
                <w:szCs w:val="18"/>
              </w:rPr>
              <w:t> </w:t>
            </w:r>
          </w:p>
        </w:tc>
        <w:tc>
          <w:tcPr>
            <w:tcW w:w="859" w:type="dxa"/>
            <w:tcBorders>
              <w:top w:val="nil"/>
              <w:left w:val="nil"/>
              <w:bottom w:val="single" w:sz="4" w:space="0" w:color="auto"/>
              <w:right w:val="nil"/>
            </w:tcBorders>
            <w:shd w:val="clear" w:color="000000" w:fill="BFBFBF"/>
            <w:noWrap/>
            <w:vAlign w:val="bottom"/>
            <w:hideMark/>
          </w:tcPr>
          <w:p w14:paraId="2274FA1A" w14:textId="77777777" w:rsidR="006620DC" w:rsidRDefault="006620DC">
            <w:pPr>
              <w:jc w:val="right"/>
              <w:rPr>
                <w:b/>
                <w:bCs/>
                <w:color w:val="000000"/>
                <w:sz w:val="18"/>
                <w:szCs w:val="18"/>
              </w:rPr>
            </w:pPr>
            <w:r>
              <w:rPr>
                <w:b/>
                <w:bCs/>
                <w:color w:val="000000"/>
                <w:sz w:val="18"/>
                <w:szCs w:val="18"/>
              </w:rPr>
              <w:t> </w:t>
            </w:r>
          </w:p>
        </w:tc>
        <w:tc>
          <w:tcPr>
            <w:tcW w:w="924" w:type="dxa"/>
            <w:tcBorders>
              <w:top w:val="nil"/>
              <w:left w:val="nil"/>
              <w:bottom w:val="single" w:sz="4" w:space="0" w:color="auto"/>
              <w:right w:val="nil"/>
            </w:tcBorders>
            <w:shd w:val="clear" w:color="000000" w:fill="BFBFBF"/>
            <w:noWrap/>
            <w:vAlign w:val="bottom"/>
            <w:hideMark/>
          </w:tcPr>
          <w:p w14:paraId="7CAB7B07"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599BB59A" w14:textId="77777777" w:rsidR="006620DC" w:rsidRDefault="006620DC">
            <w:pPr>
              <w:jc w:val="right"/>
              <w:rPr>
                <w:b/>
                <w:bCs/>
                <w:color w:val="000000"/>
                <w:sz w:val="18"/>
                <w:szCs w:val="18"/>
              </w:rPr>
            </w:pPr>
            <w:r>
              <w:rPr>
                <w:b/>
                <w:bCs/>
                <w:color w:val="000000"/>
                <w:sz w:val="18"/>
                <w:szCs w:val="18"/>
              </w:rPr>
              <w:t> </w:t>
            </w:r>
          </w:p>
        </w:tc>
        <w:tc>
          <w:tcPr>
            <w:tcW w:w="1094" w:type="dxa"/>
            <w:tcBorders>
              <w:top w:val="nil"/>
              <w:left w:val="nil"/>
              <w:bottom w:val="single" w:sz="4" w:space="0" w:color="auto"/>
              <w:right w:val="nil"/>
            </w:tcBorders>
            <w:shd w:val="clear" w:color="000000" w:fill="BFBFBF"/>
            <w:noWrap/>
            <w:vAlign w:val="bottom"/>
            <w:hideMark/>
          </w:tcPr>
          <w:p w14:paraId="4592AABD" w14:textId="77777777" w:rsidR="006620DC" w:rsidRDefault="006620DC">
            <w:pPr>
              <w:jc w:val="right"/>
              <w:rPr>
                <w:b/>
                <w:bCs/>
                <w:color w:val="000000"/>
                <w:sz w:val="18"/>
                <w:szCs w:val="18"/>
              </w:rPr>
            </w:pPr>
            <w:r>
              <w:rPr>
                <w:b/>
                <w:bCs/>
                <w:color w:val="000000"/>
                <w:sz w:val="18"/>
                <w:szCs w:val="18"/>
              </w:rPr>
              <w:t> </w:t>
            </w:r>
          </w:p>
        </w:tc>
        <w:tc>
          <w:tcPr>
            <w:tcW w:w="773" w:type="dxa"/>
            <w:tcBorders>
              <w:top w:val="nil"/>
              <w:left w:val="nil"/>
              <w:bottom w:val="single" w:sz="4" w:space="0" w:color="auto"/>
              <w:right w:val="nil"/>
            </w:tcBorders>
            <w:shd w:val="clear" w:color="000000" w:fill="BFBFBF"/>
            <w:noWrap/>
            <w:vAlign w:val="bottom"/>
            <w:hideMark/>
          </w:tcPr>
          <w:p w14:paraId="26ACEDAD"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BFBFBF"/>
            <w:noWrap/>
            <w:vAlign w:val="bottom"/>
            <w:hideMark/>
          </w:tcPr>
          <w:p w14:paraId="5326D798" w14:textId="77777777" w:rsidR="006620DC" w:rsidRDefault="006620DC">
            <w:pPr>
              <w:jc w:val="right"/>
              <w:rPr>
                <w:b/>
                <w:bCs/>
                <w:color w:val="000000"/>
                <w:sz w:val="18"/>
                <w:szCs w:val="18"/>
              </w:rPr>
            </w:pPr>
            <w:r>
              <w:rPr>
                <w:b/>
                <w:bCs/>
                <w:color w:val="000000"/>
                <w:sz w:val="18"/>
                <w:szCs w:val="18"/>
              </w:rPr>
              <w:t> </w:t>
            </w:r>
          </w:p>
        </w:tc>
      </w:tr>
      <w:tr w:rsidR="006620DC" w14:paraId="2B5B34AC" w14:textId="77777777" w:rsidTr="00B675D3">
        <w:trPr>
          <w:trHeight w:val="300"/>
        </w:trPr>
        <w:tc>
          <w:tcPr>
            <w:tcW w:w="3747" w:type="dxa"/>
            <w:tcBorders>
              <w:top w:val="nil"/>
              <w:left w:val="single" w:sz="4" w:space="0" w:color="auto"/>
              <w:bottom w:val="single" w:sz="4" w:space="0" w:color="auto"/>
              <w:right w:val="nil"/>
            </w:tcBorders>
            <w:shd w:val="clear" w:color="000000" w:fill="D9D9D9"/>
            <w:vAlign w:val="center"/>
            <w:hideMark/>
          </w:tcPr>
          <w:p w14:paraId="211A71DF" w14:textId="77777777" w:rsidR="006620DC" w:rsidRDefault="006620DC">
            <w:pPr>
              <w:rPr>
                <w:b/>
                <w:bCs/>
                <w:color w:val="000000"/>
                <w:sz w:val="18"/>
                <w:szCs w:val="18"/>
              </w:rPr>
            </w:pPr>
            <w:r>
              <w:rPr>
                <w:b/>
                <w:bCs/>
                <w:color w:val="000000"/>
                <w:sz w:val="18"/>
                <w:szCs w:val="18"/>
              </w:rPr>
              <w:t>Annual Review of Regulations</w:t>
            </w:r>
          </w:p>
        </w:tc>
        <w:tc>
          <w:tcPr>
            <w:tcW w:w="801" w:type="dxa"/>
            <w:tcBorders>
              <w:top w:val="nil"/>
              <w:left w:val="nil"/>
              <w:bottom w:val="single" w:sz="4" w:space="0" w:color="auto"/>
              <w:right w:val="nil"/>
            </w:tcBorders>
            <w:shd w:val="clear" w:color="000000" w:fill="D9D9D9"/>
            <w:vAlign w:val="center"/>
            <w:hideMark/>
          </w:tcPr>
          <w:p w14:paraId="0E8F4424"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2935E189"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131A110D"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A0CCFC0"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088AE327" w14:textId="77777777" w:rsidR="006620DC" w:rsidRDefault="006620DC">
            <w:pPr>
              <w:jc w:val="right"/>
              <w:rPr>
                <w:b/>
                <w:bCs/>
                <w:color w:val="000000"/>
                <w:sz w:val="18"/>
                <w:szCs w:val="18"/>
              </w:rPr>
            </w:pPr>
            <w:r>
              <w:rPr>
                <w:b/>
                <w:bCs/>
                <w:color w:val="000000"/>
                <w:sz w:val="18"/>
                <w:szCs w:val="18"/>
              </w:rPr>
              <w:t> </w:t>
            </w:r>
          </w:p>
        </w:tc>
        <w:tc>
          <w:tcPr>
            <w:tcW w:w="859" w:type="dxa"/>
            <w:tcBorders>
              <w:top w:val="nil"/>
              <w:left w:val="nil"/>
              <w:bottom w:val="single" w:sz="4" w:space="0" w:color="auto"/>
              <w:right w:val="nil"/>
            </w:tcBorders>
            <w:shd w:val="clear" w:color="000000" w:fill="D9D9D9"/>
            <w:vAlign w:val="center"/>
            <w:hideMark/>
          </w:tcPr>
          <w:p w14:paraId="5338FFF2" w14:textId="77777777" w:rsidR="006620DC" w:rsidRDefault="006620DC">
            <w:pPr>
              <w:jc w:val="right"/>
              <w:rPr>
                <w:b/>
                <w:bCs/>
                <w:color w:val="000000"/>
                <w:sz w:val="18"/>
                <w:szCs w:val="18"/>
              </w:rPr>
            </w:pPr>
            <w:r>
              <w:rPr>
                <w:b/>
                <w:bCs/>
                <w:color w:val="000000"/>
                <w:sz w:val="18"/>
                <w:szCs w:val="18"/>
              </w:rPr>
              <w:t> </w:t>
            </w:r>
          </w:p>
        </w:tc>
        <w:tc>
          <w:tcPr>
            <w:tcW w:w="924" w:type="dxa"/>
            <w:tcBorders>
              <w:top w:val="nil"/>
              <w:left w:val="nil"/>
              <w:bottom w:val="single" w:sz="4" w:space="0" w:color="auto"/>
              <w:right w:val="nil"/>
            </w:tcBorders>
            <w:shd w:val="clear" w:color="000000" w:fill="D9D9D9"/>
            <w:vAlign w:val="center"/>
            <w:hideMark/>
          </w:tcPr>
          <w:p w14:paraId="4CBFCA45"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74BF8D5C" w14:textId="77777777" w:rsidR="006620DC" w:rsidRDefault="006620DC">
            <w:pPr>
              <w:jc w:val="right"/>
              <w:rPr>
                <w:b/>
                <w:bCs/>
                <w:color w:val="000000"/>
                <w:sz w:val="18"/>
                <w:szCs w:val="18"/>
              </w:rPr>
            </w:pPr>
            <w:r>
              <w:rPr>
                <w:b/>
                <w:bCs/>
                <w:color w:val="000000"/>
                <w:sz w:val="18"/>
                <w:szCs w:val="18"/>
              </w:rPr>
              <w:t> </w:t>
            </w:r>
          </w:p>
        </w:tc>
        <w:tc>
          <w:tcPr>
            <w:tcW w:w="1094" w:type="dxa"/>
            <w:tcBorders>
              <w:top w:val="nil"/>
              <w:left w:val="nil"/>
              <w:bottom w:val="single" w:sz="4" w:space="0" w:color="auto"/>
              <w:right w:val="nil"/>
            </w:tcBorders>
            <w:shd w:val="clear" w:color="000000" w:fill="D9D9D9"/>
            <w:vAlign w:val="center"/>
            <w:hideMark/>
          </w:tcPr>
          <w:p w14:paraId="739EE985" w14:textId="77777777" w:rsidR="006620DC" w:rsidRDefault="006620DC">
            <w:pPr>
              <w:jc w:val="right"/>
              <w:rPr>
                <w:b/>
                <w:bCs/>
                <w:color w:val="000000"/>
                <w:sz w:val="18"/>
                <w:szCs w:val="18"/>
              </w:rPr>
            </w:pPr>
            <w:r>
              <w:rPr>
                <w:b/>
                <w:bCs/>
                <w:color w:val="000000"/>
                <w:sz w:val="18"/>
                <w:szCs w:val="18"/>
              </w:rPr>
              <w:t> </w:t>
            </w:r>
          </w:p>
        </w:tc>
        <w:tc>
          <w:tcPr>
            <w:tcW w:w="773" w:type="dxa"/>
            <w:tcBorders>
              <w:top w:val="nil"/>
              <w:left w:val="nil"/>
              <w:bottom w:val="single" w:sz="4" w:space="0" w:color="auto"/>
              <w:right w:val="nil"/>
            </w:tcBorders>
            <w:shd w:val="clear" w:color="000000" w:fill="D9D9D9"/>
            <w:vAlign w:val="center"/>
            <w:hideMark/>
          </w:tcPr>
          <w:p w14:paraId="3271911F"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49D92B34" w14:textId="77777777" w:rsidR="006620DC" w:rsidRDefault="006620DC">
            <w:pPr>
              <w:jc w:val="right"/>
              <w:rPr>
                <w:b/>
                <w:bCs/>
                <w:color w:val="000000"/>
                <w:sz w:val="18"/>
                <w:szCs w:val="18"/>
              </w:rPr>
            </w:pPr>
            <w:r>
              <w:rPr>
                <w:b/>
                <w:bCs/>
                <w:color w:val="000000"/>
                <w:sz w:val="18"/>
                <w:szCs w:val="18"/>
              </w:rPr>
              <w:t> </w:t>
            </w:r>
          </w:p>
        </w:tc>
      </w:tr>
      <w:tr w:rsidR="00593711" w14:paraId="1CDD14BC" w14:textId="77777777" w:rsidTr="00B675D3">
        <w:trPr>
          <w:trHeight w:val="300"/>
        </w:trPr>
        <w:tc>
          <w:tcPr>
            <w:tcW w:w="3747" w:type="dxa"/>
            <w:tcBorders>
              <w:top w:val="nil"/>
              <w:left w:val="single" w:sz="4" w:space="0" w:color="auto"/>
              <w:bottom w:val="single" w:sz="4" w:space="0" w:color="auto"/>
              <w:right w:val="single" w:sz="4" w:space="0" w:color="auto"/>
            </w:tcBorders>
            <w:shd w:val="clear" w:color="auto" w:fill="auto"/>
            <w:vAlign w:val="bottom"/>
            <w:hideMark/>
          </w:tcPr>
          <w:p w14:paraId="65006899" w14:textId="77777777" w:rsidR="00593711" w:rsidRDefault="00593711">
            <w:pPr>
              <w:rPr>
                <w:color w:val="000000"/>
                <w:sz w:val="18"/>
                <w:szCs w:val="18"/>
              </w:rPr>
            </w:pPr>
            <w:r>
              <w:rPr>
                <w:color w:val="000000"/>
                <w:sz w:val="18"/>
                <w:szCs w:val="18"/>
              </w:rPr>
              <w:t>Read the Regulations</w:t>
            </w:r>
          </w:p>
        </w:tc>
        <w:tc>
          <w:tcPr>
            <w:tcW w:w="801" w:type="dxa"/>
            <w:tcBorders>
              <w:top w:val="nil"/>
              <w:left w:val="nil"/>
              <w:bottom w:val="single" w:sz="4" w:space="0" w:color="auto"/>
              <w:right w:val="single" w:sz="4" w:space="0" w:color="auto"/>
            </w:tcBorders>
            <w:shd w:val="clear" w:color="auto" w:fill="auto"/>
            <w:noWrap/>
            <w:vAlign w:val="bottom"/>
            <w:hideMark/>
          </w:tcPr>
          <w:p w14:paraId="5BB9A5AC" w14:textId="2F5405D8" w:rsidR="00593711" w:rsidRDefault="00593711">
            <w:pPr>
              <w:jc w:val="right"/>
              <w:rPr>
                <w:color w:val="000000"/>
                <w:sz w:val="18"/>
                <w:szCs w:val="18"/>
              </w:rPr>
            </w:pPr>
            <w:r>
              <w:rPr>
                <w:color w:val="000000"/>
                <w:sz w:val="18"/>
                <w:szCs w:val="18"/>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7C15AD7E" w14:textId="4570F1A1" w:rsidR="00593711" w:rsidRDefault="00593711">
            <w:pPr>
              <w:jc w:val="right"/>
              <w:rPr>
                <w:color w:val="000000"/>
                <w:sz w:val="18"/>
                <w:szCs w:val="18"/>
              </w:rPr>
            </w:pPr>
            <w:r>
              <w:rPr>
                <w:color w:val="000000"/>
                <w:sz w:val="18"/>
                <w:szCs w:val="18"/>
              </w:rPr>
              <w:t>0.15</w:t>
            </w:r>
          </w:p>
        </w:tc>
        <w:tc>
          <w:tcPr>
            <w:tcW w:w="966" w:type="dxa"/>
            <w:tcBorders>
              <w:top w:val="nil"/>
              <w:left w:val="nil"/>
              <w:bottom w:val="single" w:sz="4" w:space="0" w:color="auto"/>
              <w:right w:val="single" w:sz="4" w:space="0" w:color="auto"/>
            </w:tcBorders>
            <w:shd w:val="clear" w:color="auto" w:fill="auto"/>
            <w:noWrap/>
            <w:vAlign w:val="bottom"/>
            <w:hideMark/>
          </w:tcPr>
          <w:p w14:paraId="66ADBE32" w14:textId="18F2963E" w:rsidR="00593711" w:rsidRDefault="00593711">
            <w:pPr>
              <w:jc w:val="right"/>
              <w:rPr>
                <w:color w:val="000000"/>
                <w:sz w:val="18"/>
                <w:szCs w:val="18"/>
              </w:rPr>
            </w:pPr>
            <w:r>
              <w:rPr>
                <w:color w:val="000000"/>
                <w:sz w:val="18"/>
                <w:szCs w:val="18"/>
              </w:rPr>
              <w:t>0.40</w:t>
            </w:r>
          </w:p>
        </w:tc>
        <w:tc>
          <w:tcPr>
            <w:tcW w:w="792" w:type="dxa"/>
            <w:tcBorders>
              <w:top w:val="nil"/>
              <w:left w:val="nil"/>
              <w:bottom w:val="single" w:sz="4" w:space="0" w:color="auto"/>
              <w:right w:val="single" w:sz="4" w:space="0" w:color="auto"/>
            </w:tcBorders>
            <w:shd w:val="clear" w:color="auto" w:fill="auto"/>
            <w:noWrap/>
            <w:vAlign w:val="bottom"/>
            <w:hideMark/>
          </w:tcPr>
          <w:p w14:paraId="32667515" w14:textId="2D7A7974" w:rsidR="00593711" w:rsidRDefault="00593711">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1FA67634" w14:textId="4E922211" w:rsidR="00593711" w:rsidRDefault="00593711">
            <w:pPr>
              <w:jc w:val="right"/>
              <w:rPr>
                <w:color w:val="000000"/>
                <w:sz w:val="18"/>
                <w:szCs w:val="18"/>
              </w:rPr>
            </w:pPr>
            <w:r>
              <w:rPr>
                <w:color w:val="000000"/>
                <w:sz w:val="18"/>
                <w:szCs w:val="18"/>
              </w:rPr>
              <w:t>0.00</w:t>
            </w:r>
          </w:p>
        </w:tc>
        <w:tc>
          <w:tcPr>
            <w:tcW w:w="859" w:type="dxa"/>
            <w:tcBorders>
              <w:top w:val="nil"/>
              <w:left w:val="nil"/>
              <w:bottom w:val="single" w:sz="4" w:space="0" w:color="auto"/>
              <w:right w:val="single" w:sz="4" w:space="0" w:color="auto"/>
            </w:tcBorders>
            <w:shd w:val="clear" w:color="auto" w:fill="auto"/>
            <w:noWrap/>
            <w:vAlign w:val="bottom"/>
            <w:hideMark/>
          </w:tcPr>
          <w:p w14:paraId="50117EFC" w14:textId="5731D897" w:rsidR="00593711" w:rsidRDefault="00593711">
            <w:pPr>
              <w:jc w:val="right"/>
              <w:rPr>
                <w:color w:val="000000"/>
                <w:sz w:val="18"/>
                <w:szCs w:val="18"/>
              </w:rPr>
            </w:pPr>
            <w:r>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bottom"/>
            <w:hideMark/>
          </w:tcPr>
          <w:p w14:paraId="4A415812" w14:textId="2E4F00B5" w:rsidR="00593711" w:rsidRDefault="00593711">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47DC922A" w14:textId="27DAF027" w:rsidR="00593711" w:rsidRDefault="00593711">
            <w:pPr>
              <w:jc w:val="right"/>
              <w:rPr>
                <w:color w:val="000000"/>
                <w:sz w:val="18"/>
                <w:szCs w:val="18"/>
              </w:rPr>
            </w:pPr>
            <w:r>
              <w:rPr>
                <w:color w:val="000000"/>
                <w:sz w:val="18"/>
                <w:szCs w:val="18"/>
              </w:rPr>
              <w:t xml:space="preserve">                270 </w:t>
            </w:r>
          </w:p>
        </w:tc>
        <w:tc>
          <w:tcPr>
            <w:tcW w:w="1094" w:type="dxa"/>
            <w:tcBorders>
              <w:top w:val="nil"/>
              <w:left w:val="nil"/>
              <w:bottom w:val="single" w:sz="4" w:space="0" w:color="auto"/>
              <w:right w:val="single" w:sz="4" w:space="0" w:color="auto"/>
            </w:tcBorders>
            <w:shd w:val="clear" w:color="auto" w:fill="auto"/>
            <w:noWrap/>
            <w:vAlign w:val="bottom"/>
            <w:hideMark/>
          </w:tcPr>
          <w:p w14:paraId="73E0371C" w14:textId="153BDE30" w:rsidR="00593711" w:rsidRDefault="00593711">
            <w:pPr>
              <w:jc w:val="right"/>
              <w:rPr>
                <w:color w:val="000000"/>
                <w:sz w:val="18"/>
                <w:szCs w:val="18"/>
              </w:rPr>
            </w:pPr>
            <w:r>
              <w:rPr>
                <w:color w:val="000000"/>
                <w:sz w:val="18"/>
                <w:szCs w:val="18"/>
              </w:rPr>
              <w:t>$23,437</w:t>
            </w:r>
          </w:p>
        </w:tc>
        <w:tc>
          <w:tcPr>
            <w:tcW w:w="773" w:type="dxa"/>
            <w:tcBorders>
              <w:top w:val="nil"/>
              <w:left w:val="nil"/>
              <w:bottom w:val="single" w:sz="4" w:space="0" w:color="auto"/>
              <w:right w:val="single" w:sz="4" w:space="0" w:color="auto"/>
            </w:tcBorders>
            <w:shd w:val="clear" w:color="auto" w:fill="auto"/>
            <w:noWrap/>
            <w:vAlign w:val="bottom"/>
            <w:hideMark/>
          </w:tcPr>
          <w:p w14:paraId="7BAF35EA" w14:textId="34C79EFF" w:rsidR="00593711" w:rsidRDefault="00593711">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0BB43EE2" w14:textId="692B6205" w:rsidR="00593711" w:rsidRDefault="00593711">
            <w:pPr>
              <w:jc w:val="right"/>
              <w:rPr>
                <w:color w:val="000000"/>
                <w:sz w:val="18"/>
                <w:szCs w:val="18"/>
              </w:rPr>
            </w:pPr>
            <w:r>
              <w:rPr>
                <w:color w:val="000000"/>
                <w:sz w:val="18"/>
                <w:szCs w:val="18"/>
              </w:rPr>
              <w:t>$23,437</w:t>
            </w:r>
          </w:p>
        </w:tc>
      </w:tr>
      <w:tr w:rsidR="006620DC" w:rsidRPr="00C06044" w14:paraId="22FAA670" w14:textId="77777777" w:rsidTr="00B675D3">
        <w:trPr>
          <w:trHeight w:val="302"/>
        </w:trPr>
        <w:tc>
          <w:tcPr>
            <w:tcW w:w="3747" w:type="dxa"/>
            <w:tcBorders>
              <w:top w:val="nil"/>
              <w:left w:val="single" w:sz="4" w:space="0" w:color="auto"/>
              <w:bottom w:val="single" w:sz="4" w:space="0" w:color="auto"/>
              <w:right w:val="nil"/>
            </w:tcBorders>
            <w:shd w:val="clear" w:color="000000" w:fill="D9D9D9"/>
            <w:vAlign w:val="center"/>
            <w:hideMark/>
          </w:tcPr>
          <w:p w14:paraId="40DCCFD7" w14:textId="6C9FBED9" w:rsidR="006620DC" w:rsidRDefault="00C06044" w:rsidP="00C06044">
            <w:pPr>
              <w:rPr>
                <w:b/>
                <w:bCs/>
                <w:color w:val="000000"/>
                <w:sz w:val="18"/>
                <w:szCs w:val="18"/>
              </w:rPr>
            </w:pPr>
            <w:r>
              <w:rPr>
                <w:b/>
                <w:bCs/>
                <w:color w:val="000000"/>
                <w:sz w:val="18"/>
                <w:szCs w:val="18"/>
              </w:rPr>
              <w:t>Personnel Safety Training</w:t>
            </w:r>
          </w:p>
        </w:tc>
        <w:tc>
          <w:tcPr>
            <w:tcW w:w="801" w:type="dxa"/>
            <w:tcBorders>
              <w:top w:val="nil"/>
              <w:left w:val="nil"/>
              <w:bottom w:val="single" w:sz="4" w:space="0" w:color="auto"/>
              <w:right w:val="nil"/>
            </w:tcBorders>
            <w:shd w:val="clear" w:color="000000" w:fill="D9D9D9"/>
            <w:vAlign w:val="center"/>
            <w:hideMark/>
          </w:tcPr>
          <w:p w14:paraId="721E33A2" w14:textId="77777777" w:rsidR="006620DC" w:rsidRDefault="006620DC" w:rsidP="00C06044">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0BAFC777" w14:textId="77777777" w:rsidR="006620DC" w:rsidRDefault="006620DC" w:rsidP="00C06044">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7183CC36" w14:textId="77777777" w:rsidR="006620DC" w:rsidRDefault="006620DC" w:rsidP="00C06044">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683E255B" w14:textId="77777777" w:rsidR="006620DC" w:rsidRDefault="006620DC" w:rsidP="00C06044">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332C0A12" w14:textId="77777777" w:rsidR="006620DC" w:rsidRDefault="006620DC" w:rsidP="00C06044">
            <w:pPr>
              <w:rPr>
                <w:b/>
                <w:bCs/>
                <w:color w:val="000000"/>
                <w:sz w:val="18"/>
                <w:szCs w:val="18"/>
              </w:rPr>
            </w:pPr>
            <w:r>
              <w:rPr>
                <w:b/>
                <w:bCs/>
                <w:color w:val="000000"/>
                <w:sz w:val="18"/>
                <w:szCs w:val="18"/>
              </w:rPr>
              <w:t> </w:t>
            </w:r>
          </w:p>
        </w:tc>
        <w:tc>
          <w:tcPr>
            <w:tcW w:w="859" w:type="dxa"/>
            <w:tcBorders>
              <w:top w:val="nil"/>
              <w:left w:val="nil"/>
              <w:bottom w:val="single" w:sz="4" w:space="0" w:color="auto"/>
              <w:right w:val="nil"/>
            </w:tcBorders>
            <w:shd w:val="clear" w:color="000000" w:fill="D9D9D9"/>
            <w:vAlign w:val="center"/>
            <w:hideMark/>
          </w:tcPr>
          <w:p w14:paraId="3B8B319A" w14:textId="77777777" w:rsidR="006620DC" w:rsidRDefault="006620DC" w:rsidP="00C06044">
            <w:pPr>
              <w:rPr>
                <w:b/>
                <w:bCs/>
                <w:color w:val="000000"/>
                <w:sz w:val="18"/>
                <w:szCs w:val="18"/>
              </w:rPr>
            </w:pPr>
            <w:r>
              <w:rPr>
                <w:b/>
                <w:bCs/>
                <w:color w:val="000000"/>
                <w:sz w:val="18"/>
                <w:szCs w:val="18"/>
              </w:rPr>
              <w:t> </w:t>
            </w:r>
          </w:p>
        </w:tc>
        <w:tc>
          <w:tcPr>
            <w:tcW w:w="924" w:type="dxa"/>
            <w:tcBorders>
              <w:top w:val="nil"/>
              <w:left w:val="nil"/>
              <w:bottom w:val="single" w:sz="4" w:space="0" w:color="auto"/>
              <w:right w:val="nil"/>
            </w:tcBorders>
            <w:shd w:val="clear" w:color="000000" w:fill="D9D9D9"/>
            <w:vAlign w:val="center"/>
            <w:hideMark/>
          </w:tcPr>
          <w:p w14:paraId="65FAAB59" w14:textId="77777777" w:rsidR="006620DC" w:rsidRDefault="006620DC" w:rsidP="00C06044">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5C8C5D55" w14:textId="77777777" w:rsidR="006620DC" w:rsidRDefault="006620DC" w:rsidP="00C06044">
            <w:pPr>
              <w:rPr>
                <w:b/>
                <w:bCs/>
                <w:color w:val="000000"/>
                <w:sz w:val="18"/>
                <w:szCs w:val="18"/>
              </w:rPr>
            </w:pPr>
            <w:r>
              <w:rPr>
                <w:b/>
                <w:bCs/>
                <w:color w:val="000000"/>
                <w:sz w:val="18"/>
                <w:szCs w:val="18"/>
              </w:rPr>
              <w:t> </w:t>
            </w:r>
          </w:p>
        </w:tc>
        <w:tc>
          <w:tcPr>
            <w:tcW w:w="1094" w:type="dxa"/>
            <w:tcBorders>
              <w:top w:val="nil"/>
              <w:left w:val="nil"/>
              <w:bottom w:val="single" w:sz="4" w:space="0" w:color="auto"/>
              <w:right w:val="nil"/>
            </w:tcBorders>
            <w:shd w:val="clear" w:color="000000" w:fill="D9D9D9"/>
            <w:vAlign w:val="center"/>
            <w:hideMark/>
          </w:tcPr>
          <w:p w14:paraId="0FE56438" w14:textId="77777777" w:rsidR="006620DC" w:rsidRDefault="006620DC" w:rsidP="00C06044">
            <w:pPr>
              <w:rPr>
                <w:b/>
                <w:bCs/>
                <w:color w:val="000000"/>
                <w:sz w:val="18"/>
                <w:szCs w:val="18"/>
              </w:rPr>
            </w:pPr>
            <w:r>
              <w:rPr>
                <w:b/>
                <w:bCs/>
                <w:color w:val="000000"/>
                <w:sz w:val="18"/>
                <w:szCs w:val="18"/>
              </w:rPr>
              <w:t> </w:t>
            </w:r>
          </w:p>
        </w:tc>
        <w:tc>
          <w:tcPr>
            <w:tcW w:w="773" w:type="dxa"/>
            <w:tcBorders>
              <w:top w:val="nil"/>
              <w:left w:val="nil"/>
              <w:bottom w:val="single" w:sz="4" w:space="0" w:color="auto"/>
              <w:right w:val="nil"/>
            </w:tcBorders>
            <w:shd w:val="clear" w:color="000000" w:fill="D9D9D9"/>
            <w:vAlign w:val="center"/>
            <w:hideMark/>
          </w:tcPr>
          <w:p w14:paraId="6E425FC1" w14:textId="77777777" w:rsidR="006620DC" w:rsidRDefault="006620DC" w:rsidP="00C06044">
            <w:pPr>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03605DC9" w14:textId="77777777" w:rsidR="006620DC" w:rsidRDefault="006620DC" w:rsidP="00C06044">
            <w:pPr>
              <w:rPr>
                <w:b/>
                <w:bCs/>
                <w:color w:val="000000"/>
                <w:sz w:val="18"/>
                <w:szCs w:val="18"/>
              </w:rPr>
            </w:pPr>
            <w:r>
              <w:rPr>
                <w:b/>
                <w:bCs/>
                <w:color w:val="000000"/>
                <w:sz w:val="18"/>
                <w:szCs w:val="18"/>
              </w:rPr>
              <w:t> </w:t>
            </w:r>
          </w:p>
        </w:tc>
      </w:tr>
      <w:tr w:rsidR="00593711" w14:paraId="47A005CF" w14:textId="77777777" w:rsidTr="00B675D3">
        <w:trPr>
          <w:trHeight w:val="300"/>
        </w:trPr>
        <w:tc>
          <w:tcPr>
            <w:tcW w:w="3747" w:type="dxa"/>
            <w:tcBorders>
              <w:top w:val="nil"/>
              <w:left w:val="single" w:sz="4" w:space="0" w:color="auto"/>
              <w:bottom w:val="single" w:sz="4" w:space="0" w:color="auto"/>
              <w:right w:val="single" w:sz="4" w:space="0" w:color="auto"/>
            </w:tcBorders>
            <w:shd w:val="clear" w:color="auto" w:fill="auto"/>
            <w:vAlign w:val="bottom"/>
            <w:hideMark/>
          </w:tcPr>
          <w:p w14:paraId="04CFD5EE" w14:textId="77777777" w:rsidR="00593711" w:rsidRDefault="00593711">
            <w:pPr>
              <w:rPr>
                <w:color w:val="000000"/>
                <w:sz w:val="18"/>
                <w:szCs w:val="18"/>
              </w:rPr>
            </w:pPr>
            <w:r>
              <w:rPr>
                <w:color w:val="000000"/>
                <w:sz w:val="18"/>
                <w:szCs w:val="18"/>
              </w:rPr>
              <w:t>Training</w:t>
            </w:r>
          </w:p>
        </w:tc>
        <w:tc>
          <w:tcPr>
            <w:tcW w:w="801" w:type="dxa"/>
            <w:tcBorders>
              <w:top w:val="nil"/>
              <w:left w:val="nil"/>
              <w:bottom w:val="single" w:sz="4" w:space="0" w:color="auto"/>
              <w:right w:val="single" w:sz="4" w:space="0" w:color="auto"/>
            </w:tcBorders>
            <w:shd w:val="clear" w:color="auto" w:fill="auto"/>
            <w:noWrap/>
            <w:vAlign w:val="bottom"/>
            <w:hideMark/>
          </w:tcPr>
          <w:p w14:paraId="344ECAA0" w14:textId="405C3B4C" w:rsidR="00593711" w:rsidRDefault="00593711">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4DC03AAF" w14:textId="2D5BB883" w:rsidR="00593711" w:rsidRDefault="00593711">
            <w:pPr>
              <w:jc w:val="right"/>
              <w:rPr>
                <w:color w:val="000000"/>
                <w:sz w:val="18"/>
                <w:szCs w:val="18"/>
              </w:rPr>
            </w:pPr>
            <w:r>
              <w:rPr>
                <w:color w:val="000000"/>
                <w:sz w:val="18"/>
                <w:szCs w:val="18"/>
              </w:rPr>
              <w:t>4.00</w:t>
            </w:r>
          </w:p>
        </w:tc>
        <w:tc>
          <w:tcPr>
            <w:tcW w:w="966" w:type="dxa"/>
            <w:tcBorders>
              <w:top w:val="nil"/>
              <w:left w:val="nil"/>
              <w:bottom w:val="single" w:sz="4" w:space="0" w:color="auto"/>
              <w:right w:val="single" w:sz="4" w:space="0" w:color="auto"/>
            </w:tcBorders>
            <w:shd w:val="clear" w:color="auto" w:fill="auto"/>
            <w:noWrap/>
            <w:vAlign w:val="bottom"/>
            <w:hideMark/>
          </w:tcPr>
          <w:p w14:paraId="62982E41" w14:textId="32C254A1" w:rsidR="00593711" w:rsidRDefault="00593711">
            <w:pPr>
              <w:jc w:val="right"/>
              <w:rPr>
                <w:color w:val="000000"/>
                <w:sz w:val="18"/>
                <w:szCs w:val="18"/>
              </w:rPr>
            </w:pPr>
            <w:r>
              <w:rPr>
                <w:color w:val="000000"/>
                <w:sz w:val="18"/>
                <w:szCs w:val="18"/>
              </w:rPr>
              <w:t>4.00</w:t>
            </w:r>
          </w:p>
        </w:tc>
        <w:tc>
          <w:tcPr>
            <w:tcW w:w="792" w:type="dxa"/>
            <w:tcBorders>
              <w:top w:val="nil"/>
              <w:left w:val="nil"/>
              <w:bottom w:val="single" w:sz="4" w:space="0" w:color="auto"/>
              <w:right w:val="single" w:sz="4" w:space="0" w:color="auto"/>
            </w:tcBorders>
            <w:shd w:val="clear" w:color="auto" w:fill="auto"/>
            <w:noWrap/>
            <w:vAlign w:val="bottom"/>
            <w:hideMark/>
          </w:tcPr>
          <w:p w14:paraId="033355EC" w14:textId="64357290" w:rsidR="00593711" w:rsidRDefault="00593711">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6373FE32" w14:textId="7178E27D" w:rsidR="00593711" w:rsidRDefault="00593711">
            <w:pPr>
              <w:jc w:val="right"/>
              <w:rPr>
                <w:color w:val="000000"/>
                <w:sz w:val="18"/>
                <w:szCs w:val="18"/>
              </w:rPr>
            </w:pPr>
            <w:r>
              <w:rPr>
                <w:color w:val="000000"/>
                <w:sz w:val="18"/>
                <w:szCs w:val="18"/>
              </w:rPr>
              <w:t>0.00</w:t>
            </w:r>
          </w:p>
        </w:tc>
        <w:tc>
          <w:tcPr>
            <w:tcW w:w="859" w:type="dxa"/>
            <w:tcBorders>
              <w:top w:val="nil"/>
              <w:left w:val="nil"/>
              <w:bottom w:val="single" w:sz="4" w:space="0" w:color="auto"/>
              <w:right w:val="single" w:sz="4" w:space="0" w:color="auto"/>
            </w:tcBorders>
            <w:shd w:val="clear" w:color="auto" w:fill="auto"/>
            <w:noWrap/>
            <w:vAlign w:val="bottom"/>
            <w:hideMark/>
          </w:tcPr>
          <w:p w14:paraId="73EBBE99" w14:textId="4595CFFE" w:rsidR="00593711" w:rsidRDefault="00593711">
            <w:pPr>
              <w:jc w:val="right"/>
              <w:rPr>
                <w:color w:val="000000"/>
                <w:sz w:val="18"/>
                <w:szCs w:val="18"/>
              </w:rPr>
            </w:pPr>
            <w:r>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bottom"/>
            <w:hideMark/>
          </w:tcPr>
          <w:p w14:paraId="35FBDCC8" w14:textId="1F592369" w:rsidR="00593711" w:rsidRDefault="00593711">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1A51BF66" w14:textId="39B02858" w:rsidR="00593711" w:rsidRDefault="00593711">
            <w:pPr>
              <w:jc w:val="right"/>
              <w:rPr>
                <w:color w:val="000000"/>
                <w:sz w:val="18"/>
                <w:szCs w:val="18"/>
              </w:rPr>
            </w:pPr>
            <w:r>
              <w:rPr>
                <w:color w:val="000000"/>
                <w:sz w:val="18"/>
                <w:szCs w:val="18"/>
              </w:rPr>
              <w:t xml:space="preserve">             3,080 </w:t>
            </w:r>
          </w:p>
        </w:tc>
        <w:tc>
          <w:tcPr>
            <w:tcW w:w="1094" w:type="dxa"/>
            <w:tcBorders>
              <w:top w:val="nil"/>
              <w:left w:val="nil"/>
              <w:bottom w:val="single" w:sz="4" w:space="0" w:color="auto"/>
              <w:right w:val="single" w:sz="4" w:space="0" w:color="auto"/>
            </w:tcBorders>
            <w:shd w:val="clear" w:color="auto" w:fill="auto"/>
            <w:noWrap/>
            <w:vAlign w:val="bottom"/>
            <w:hideMark/>
          </w:tcPr>
          <w:p w14:paraId="4D285E42" w14:textId="36089076" w:rsidR="00593711" w:rsidRDefault="00593711">
            <w:pPr>
              <w:jc w:val="right"/>
              <w:rPr>
                <w:color w:val="000000"/>
                <w:sz w:val="18"/>
                <w:szCs w:val="18"/>
              </w:rPr>
            </w:pPr>
            <w:r>
              <w:rPr>
                <w:color w:val="000000"/>
                <w:sz w:val="18"/>
                <w:szCs w:val="18"/>
              </w:rPr>
              <w:t>$251,061</w:t>
            </w:r>
          </w:p>
        </w:tc>
        <w:tc>
          <w:tcPr>
            <w:tcW w:w="773" w:type="dxa"/>
            <w:tcBorders>
              <w:top w:val="nil"/>
              <w:left w:val="nil"/>
              <w:bottom w:val="single" w:sz="4" w:space="0" w:color="auto"/>
              <w:right w:val="single" w:sz="4" w:space="0" w:color="auto"/>
            </w:tcBorders>
            <w:shd w:val="clear" w:color="auto" w:fill="auto"/>
            <w:noWrap/>
            <w:vAlign w:val="bottom"/>
            <w:hideMark/>
          </w:tcPr>
          <w:p w14:paraId="20B4D847" w14:textId="019AC634" w:rsidR="00593711" w:rsidRDefault="00593711">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54D9EE83" w14:textId="29B2695F" w:rsidR="00593711" w:rsidRDefault="00593711">
            <w:pPr>
              <w:jc w:val="right"/>
              <w:rPr>
                <w:color w:val="000000"/>
                <w:sz w:val="18"/>
                <w:szCs w:val="18"/>
              </w:rPr>
            </w:pPr>
            <w:r>
              <w:rPr>
                <w:color w:val="000000"/>
                <w:sz w:val="18"/>
                <w:szCs w:val="18"/>
              </w:rPr>
              <w:t>$251,061</w:t>
            </w:r>
          </w:p>
        </w:tc>
      </w:tr>
      <w:tr w:rsidR="006620DC" w:rsidRPr="00C06044" w14:paraId="6E289753" w14:textId="77777777" w:rsidTr="00B675D3">
        <w:trPr>
          <w:trHeight w:val="300"/>
        </w:trPr>
        <w:tc>
          <w:tcPr>
            <w:tcW w:w="3747" w:type="dxa"/>
            <w:tcBorders>
              <w:top w:val="nil"/>
              <w:left w:val="single" w:sz="4" w:space="0" w:color="auto"/>
              <w:bottom w:val="single" w:sz="4" w:space="0" w:color="auto"/>
              <w:right w:val="nil"/>
            </w:tcBorders>
            <w:shd w:val="clear" w:color="000000" w:fill="D9D9D9"/>
            <w:vAlign w:val="center"/>
            <w:hideMark/>
          </w:tcPr>
          <w:p w14:paraId="4C9BD377" w14:textId="77777777" w:rsidR="006620DC" w:rsidRDefault="006620DC" w:rsidP="00C06044">
            <w:pPr>
              <w:rPr>
                <w:b/>
                <w:bCs/>
                <w:color w:val="000000"/>
                <w:sz w:val="18"/>
                <w:szCs w:val="18"/>
              </w:rPr>
            </w:pPr>
            <w:r>
              <w:rPr>
                <w:b/>
                <w:bCs/>
                <w:color w:val="000000"/>
                <w:sz w:val="18"/>
                <w:szCs w:val="18"/>
              </w:rPr>
              <w:t>Rule Familiarization</w:t>
            </w:r>
          </w:p>
        </w:tc>
        <w:tc>
          <w:tcPr>
            <w:tcW w:w="801" w:type="dxa"/>
            <w:tcBorders>
              <w:top w:val="nil"/>
              <w:left w:val="nil"/>
              <w:bottom w:val="single" w:sz="4" w:space="0" w:color="auto"/>
              <w:right w:val="nil"/>
            </w:tcBorders>
            <w:shd w:val="clear" w:color="000000" w:fill="D9D9D9"/>
            <w:vAlign w:val="center"/>
            <w:hideMark/>
          </w:tcPr>
          <w:p w14:paraId="110C4FD8" w14:textId="77777777" w:rsidR="006620DC" w:rsidRDefault="006620DC" w:rsidP="00C06044">
            <w:pPr>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vAlign w:val="center"/>
            <w:hideMark/>
          </w:tcPr>
          <w:p w14:paraId="205FD0EF" w14:textId="77777777" w:rsidR="006620DC" w:rsidRDefault="006620DC" w:rsidP="00C06044">
            <w:pPr>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vAlign w:val="center"/>
            <w:hideMark/>
          </w:tcPr>
          <w:p w14:paraId="16DF34E6" w14:textId="77777777" w:rsidR="006620DC" w:rsidRDefault="006620DC" w:rsidP="00C06044">
            <w:pPr>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vAlign w:val="center"/>
            <w:hideMark/>
          </w:tcPr>
          <w:p w14:paraId="0BFD0764" w14:textId="77777777" w:rsidR="006620DC" w:rsidRDefault="006620DC" w:rsidP="00C06044">
            <w:pPr>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vAlign w:val="center"/>
            <w:hideMark/>
          </w:tcPr>
          <w:p w14:paraId="051144C6" w14:textId="77777777" w:rsidR="006620DC" w:rsidRDefault="006620DC" w:rsidP="00C06044">
            <w:pPr>
              <w:rPr>
                <w:b/>
                <w:bCs/>
                <w:color w:val="000000"/>
                <w:sz w:val="18"/>
                <w:szCs w:val="18"/>
              </w:rPr>
            </w:pPr>
            <w:r>
              <w:rPr>
                <w:b/>
                <w:bCs/>
                <w:color w:val="000000"/>
                <w:sz w:val="18"/>
                <w:szCs w:val="18"/>
              </w:rPr>
              <w:t> </w:t>
            </w:r>
          </w:p>
        </w:tc>
        <w:tc>
          <w:tcPr>
            <w:tcW w:w="859" w:type="dxa"/>
            <w:tcBorders>
              <w:top w:val="nil"/>
              <w:left w:val="nil"/>
              <w:bottom w:val="single" w:sz="4" w:space="0" w:color="auto"/>
              <w:right w:val="nil"/>
            </w:tcBorders>
            <w:shd w:val="clear" w:color="000000" w:fill="D9D9D9"/>
            <w:vAlign w:val="center"/>
            <w:hideMark/>
          </w:tcPr>
          <w:p w14:paraId="02881150" w14:textId="77777777" w:rsidR="006620DC" w:rsidRDefault="006620DC" w:rsidP="00C06044">
            <w:pPr>
              <w:rPr>
                <w:b/>
                <w:bCs/>
                <w:color w:val="000000"/>
                <w:sz w:val="18"/>
                <w:szCs w:val="18"/>
              </w:rPr>
            </w:pPr>
            <w:r>
              <w:rPr>
                <w:b/>
                <w:bCs/>
                <w:color w:val="000000"/>
                <w:sz w:val="18"/>
                <w:szCs w:val="18"/>
              </w:rPr>
              <w:t> </w:t>
            </w:r>
          </w:p>
        </w:tc>
        <w:tc>
          <w:tcPr>
            <w:tcW w:w="924" w:type="dxa"/>
            <w:tcBorders>
              <w:top w:val="nil"/>
              <w:left w:val="nil"/>
              <w:bottom w:val="single" w:sz="4" w:space="0" w:color="auto"/>
              <w:right w:val="nil"/>
            </w:tcBorders>
            <w:shd w:val="clear" w:color="000000" w:fill="D9D9D9"/>
            <w:vAlign w:val="center"/>
            <w:hideMark/>
          </w:tcPr>
          <w:p w14:paraId="390CD213" w14:textId="77777777" w:rsidR="006620DC" w:rsidRDefault="006620DC" w:rsidP="00C06044">
            <w:pPr>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vAlign w:val="center"/>
            <w:hideMark/>
          </w:tcPr>
          <w:p w14:paraId="3BE3FC98" w14:textId="77777777" w:rsidR="006620DC" w:rsidRDefault="006620DC" w:rsidP="00C06044">
            <w:pPr>
              <w:rPr>
                <w:b/>
                <w:bCs/>
                <w:color w:val="000000"/>
                <w:sz w:val="18"/>
                <w:szCs w:val="18"/>
              </w:rPr>
            </w:pPr>
            <w:r>
              <w:rPr>
                <w:b/>
                <w:bCs/>
                <w:color w:val="000000"/>
                <w:sz w:val="18"/>
                <w:szCs w:val="18"/>
              </w:rPr>
              <w:t> </w:t>
            </w:r>
          </w:p>
        </w:tc>
        <w:tc>
          <w:tcPr>
            <w:tcW w:w="1094" w:type="dxa"/>
            <w:tcBorders>
              <w:top w:val="nil"/>
              <w:left w:val="nil"/>
              <w:bottom w:val="single" w:sz="4" w:space="0" w:color="auto"/>
              <w:right w:val="nil"/>
            </w:tcBorders>
            <w:shd w:val="clear" w:color="000000" w:fill="D9D9D9"/>
            <w:vAlign w:val="center"/>
            <w:hideMark/>
          </w:tcPr>
          <w:p w14:paraId="345E2DF5" w14:textId="77777777" w:rsidR="006620DC" w:rsidRDefault="006620DC" w:rsidP="00C06044">
            <w:pPr>
              <w:rPr>
                <w:b/>
                <w:bCs/>
                <w:color w:val="000000"/>
                <w:sz w:val="18"/>
                <w:szCs w:val="18"/>
              </w:rPr>
            </w:pPr>
            <w:r>
              <w:rPr>
                <w:b/>
                <w:bCs/>
                <w:color w:val="000000"/>
                <w:sz w:val="18"/>
                <w:szCs w:val="18"/>
              </w:rPr>
              <w:t> </w:t>
            </w:r>
          </w:p>
        </w:tc>
        <w:tc>
          <w:tcPr>
            <w:tcW w:w="773" w:type="dxa"/>
            <w:tcBorders>
              <w:top w:val="nil"/>
              <w:left w:val="nil"/>
              <w:bottom w:val="single" w:sz="4" w:space="0" w:color="auto"/>
              <w:right w:val="nil"/>
            </w:tcBorders>
            <w:shd w:val="clear" w:color="000000" w:fill="D9D9D9"/>
            <w:vAlign w:val="center"/>
            <w:hideMark/>
          </w:tcPr>
          <w:p w14:paraId="1C15E892" w14:textId="77777777" w:rsidR="006620DC" w:rsidRDefault="006620DC" w:rsidP="00C06044">
            <w:pPr>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vAlign w:val="center"/>
            <w:hideMark/>
          </w:tcPr>
          <w:p w14:paraId="0F87F758" w14:textId="77777777" w:rsidR="006620DC" w:rsidRDefault="006620DC" w:rsidP="00C06044">
            <w:pPr>
              <w:rPr>
                <w:b/>
                <w:bCs/>
                <w:color w:val="000000"/>
                <w:sz w:val="18"/>
                <w:szCs w:val="18"/>
              </w:rPr>
            </w:pPr>
            <w:r>
              <w:rPr>
                <w:b/>
                <w:bCs/>
                <w:color w:val="000000"/>
                <w:sz w:val="18"/>
                <w:szCs w:val="18"/>
              </w:rPr>
              <w:t> </w:t>
            </w:r>
          </w:p>
        </w:tc>
      </w:tr>
      <w:tr w:rsidR="00593711" w14:paraId="26D931CB" w14:textId="77777777" w:rsidTr="00B675D3">
        <w:trPr>
          <w:trHeight w:val="300"/>
        </w:trPr>
        <w:tc>
          <w:tcPr>
            <w:tcW w:w="3747" w:type="dxa"/>
            <w:tcBorders>
              <w:top w:val="nil"/>
              <w:left w:val="single" w:sz="4" w:space="0" w:color="auto"/>
              <w:bottom w:val="single" w:sz="4" w:space="0" w:color="auto"/>
              <w:right w:val="single" w:sz="4" w:space="0" w:color="auto"/>
            </w:tcBorders>
            <w:shd w:val="clear" w:color="auto" w:fill="auto"/>
            <w:vAlign w:val="bottom"/>
            <w:hideMark/>
          </w:tcPr>
          <w:p w14:paraId="26423960" w14:textId="77777777" w:rsidR="00593711" w:rsidRDefault="00593711">
            <w:pPr>
              <w:rPr>
                <w:color w:val="000000"/>
                <w:sz w:val="18"/>
                <w:szCs w:val="18"/>
              </w:rPr>
            </w:pPr>
            <w:r>
              <w:rPr>
                <w:color w:val="000000"/>
                <w:sz w:val="18"/>
                <w:szCs w:val="18"/>
              </w:rPr>
              <w:t>Familiarization with proposed rule without legal council</w:t>
            </w:r>
          </w:p>
        </w:tc>
        <w:tc>
          <w:tcPr>
            <w:tcW w:w="801" w:type="dxa"/>
            <w:tcBorders>
              <w:top w:val="nil"/>
              <w:left w:val="nil"/>
              <w:bottom w:val="single" w:sz="4" w:space="0" w:color="auto"/>
              <w:right w:val="single" w:sz="4" w:space="0" w:color="auto"/>
            </w:tcBorders>
            <w:shd w:val="clear" w:color="auto" w:fill="auto"/>
            <w:noWrap/>
            <w:vAlign w:val="bottom"/>
            <w:hideMark/>
          </w:tcPr>
          <w:p w14:paraId="559FD2D8" w14:textId="3C8128FF" w:rsidR="00593711" w:rsidRDefault="00593711">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6F68806F" w14:textId="420E888E" w:rsidR="00593711" w:rsidRDefault="00593711">
            <w:pPr>
              <w:jc w:val="right"/>
              <w:rPr>
                <w:color w:val="000000"/>
                <w:sz w:val="18"/>
                <w:szCs w:val="18"/>
              </w:rPr>
            </w:pPr>
            <w:r>
              <w:rPr>
                <w:color w:val="000000"/>
                <w:sz w:val="18"/>
                <w:szCs w:val="18"/>
              </w:rPr>
              <w:t>1.00</w:t>
            </w:r>
          </w:p>
        </w:tc>
        <w:tc>
          <w:tcPr>
            <w:tcW w:w="966" w:type="dxa"/>
            <w:tcBorders>
              <w:top w:val="nil"/>
              <w:left w:val="nil"/>
              <w:bottom w:val="single" w:sz="4" w:space="0" w:color="auto"/>
              <w:right w:val="single" w:sz="4" w:space="0" w:color="auto"/>
            </w:tcBorders>
            <w:shd w:val="clear" w:color="auto" w:fill="auto"/>
            <w:noWrap/>
            <w:vAlign w:val="bottom"/>
            <w:hideMark/>
          </w:tcPr>
          <w:p w14:paraId="1714059B" w14:textId="42997D83" w:rsidR="00593711" w:rsidRDefault="00593711">
            <w:pPr>
              <w:jc w:val="right"/>
              <w:rPr>
                <w:color w:val="000000"/>
                <w:sz w:val="18"/>
                <w:szCs w:val="18"/>
              </w:rPr>
            </w:pPr>
            <w:r>
              <w:rPr>
                <w:color w:val="000000"/>
                <w:sz w:val="18"/>
                <w:szCs w:val="18"/>
              </w:rPr>
              <w:t>1.50</w:t>
            </w:r>
          </w:p>
        </w:tc>
        <w:tc>
          <w:tcPr>
            <w:tcW w:w="792" w:type="dxa"/>
            <w:tcBorders>
              <w:top w:val="nil"/>
              <w:left w:val="nil"/>
              <w:bottom w:val="single" w:sz="4" w:space="0" w:color="auto"/>
              <w:right w:val="single" w:sz="4" w:space="0" w:color="auto"/>
            </w:tcBorders>
            <w:shd w:val="clear" w:color="auto" w:fill="auto"/>
            <w:noWrap/>
            <w:vAlign w:val="bottom"/>
            <w:hideMark/>
          </w:tcPr>
          <w:p w14:paraId="7627D8B5" w14:textId="1570E0D6" w:rsidR="00593711" w:rsidRDefault="00593711">
            <w:pPr>
              <w:jc w:val="right"/>
              <w:rPr>
                <w:color w:val="000000"/>
                <w:sz w:val="18"/>
                <w:szCs w:val="18"/>
              </w:rPr>
            </w:pPr>
            <w:r>
              <w:rPr>
                <w:color w:val="000000"/>
                <w:sz w:val="18"/>
                <w:szCs w:val="18"/>
              </w:rPr>
              <w:t>0.00</w:t>
            </w:r>
          </w:p>
        </w:tc>
        <w:tc>
          <w:tcPr>
            <w:tcW w:w="1216" w:type="dxa"/>
            <w:tcBorders>
              <w:top w:val="nil"/>
              <w:left w:val="nil"/>
              <w:bottom w:val="single" w:sz="4" w:space="0" w:color="auto"/>
              <w:right w:val="single" w:sz="4" w:space="0" w:color="auto"/>
            </w:tcBorders>
            <w:shd w:val="clear" w:color="auto" w:fill="auto"/>
            <w:noWrap/>
            <w:vAlign w:val="bottom"/>
            <w:hideMark/>
          </w:tcPr>
          <w:p w14:paraId="71B189F1" w14:textId="266E27D8" w:rsidR="00593711" w:rsidRDefault="00593711">
            <w:pPr>
              <w:jc w:val="right"/>
              <w:rPr>
                <w:color w:val="000000"/>
                <w:sz w:val="18"/>
                <w:szCs w:val="18"/>
              </w:rPr>
            </w:pPr>
            <w:r>
              <w:rPr>
                <w:color w:val="000000"/>
                <w:sz w:val="18"/>
                <w:szCs w:val="18"/>
              </w:rPr>
              <w:t>0.00</w:t>
            </w:r>
          </w:p>
        </w:tc>
        <w:tc>
          <w:tcPr>
            <w:tcW w:w="859" w:type="dxa"/>
            <w:tcBorders>
              <w:top w:val="nil"/>
              <w:left w:val="nil"/>
              <w:bottom w:val="single" w:sz="4" w:space="0" w:color="auto"/>
              <w:right w:val="single" w:sz="4" w:space="0" w:color="auto"/>
            </w:tcBorders>
            <w:shd w:val="clear" w:color="auto" w:fill="auto"/>
            <w:noWrap/>
            <w:vAlign w:val="bottom"/>
            <w:hideMark/>
          </w:tcPr>
          <w:p w14:paraId="4305DBDC" w14:textId="6AFB427D" w:rsidR="00593711" w:rsidRDefault="00593711">
            <w:pPr>
              <w:jc w:val="right"/>
              <w:rPr>
                <w:color w:val="000000"/>
                <w:sz w:val="18"/>
                <w:szCs w:val="18"/>
              </w:rPr>
            </w:pPr>
            <w:r>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bottom"/>
            <w:hideMark/>
          </w:tcPr>
          <w:p w14:paraId="52D063C2" w14:textId="44329804" w:rsidR="00593711" w:rsidRDefault="00593711">
            <w:pPr>
              <w:jc w:val="right"/>
              <w:rPr>
                <w:color w:val="000000"/>
                <w:sz w:val="18"/>
                <w:szCs w:val="18"/>
              </w:rPr>
            </w:pPr>
            <w:r>
              <w:rPr>
                <w:color w:val="000000"/>
                <w:sz w:val="18"/>
                <w:szCs w:val="18"/>
              </w:rPr>
              <w:t>385</w:t>
            </w:r>
          </w:p>
        </w:tc>
        <w:tc>
          <w:tcPr>
            <w:tcW w:w="1236" w:type="dxa"/>
            <w:tcBorders>
              <w:top w:val="nil"/>
              <w:left w:val="nil"/>
              <w:bottom w:val="single" w:sz="4" w:space="0" w:color="auto"/>
              <w:right w:val="single" w:sz="4" w:space="0" w:color="auto"/>
            </w:tcBorders>
            <w:shd w:val="clear" w:color="auto" w:fill="auto"/>
            <w:noWrap/>
            <w:vAlign w:val="bottom"/>
            <w:hideMark/>
          </w:tcPr>
          <w:p w14:paraId="1F8FE557" w14:textId="63FEACCA" w:rsidR="00593711" w:rsidRDefault="00593711">
            <w:pPr>
              <w:jc w:val="right"/>
              <w:rPr>
                <w:color w:val="000000"/>
                <w:sz w:val="18"/>
                <w:szCs w:val="18"/>
              </w:rPr>
            </w:pPr>
            <w:r>
              <w:rPr>
                <w:color w:val="000000"/>
                <w:sz w:val="18"/>
                <w:szCs w:val="18"/>
              </w:rPr>
              <w:t xml:space="preserve">                963 </w:t>
            </w:r>
          </w:p>
        </w:tc>
        <w:tc>
          <w:tcPr>
            <w:tcW w:w="1094" w:type="dxa"/>
            <w:tcBorders>
              <w:top w:val="nil"/>
              <w:left w:val="nil"/>
              <w:bottom w:val="single" w:sz="4" w:space="0" w:color="auto"/>
              <w:right w:val="single" w:sz="4" w:space="0" w:color="auto"/>
            </w:tcBorders>
            <w:shd w:val="clear" w:color="auto" w:fill="auto"/>
            <w:noWrap/>
            <w:vAlign w:val="bottom"/>
            <w:hideMark/>
          </w:tcPr>
          <w:p w14:paraId="6E5E089A" w14:textId="3C37AB55" w:rsidR="00593711" w:rsidRDefault="00593711">
            <w:pPr>
              <w:jc w:val="right"/>
              <w:rPr>
                <w:color w:val="000000"/>
                <w:sz w:val="18"/>
                <w:szCs w:val="18"/>
              </w:rPr>
            </w:pPr>
            <w:r>
              <w:rPr>
                <w:color w:val="000000"/>
                <w:sz w:val="18"/>
                <w:szCs w:val="18"/>
              </w:rPr>
              <w:t>$5,057</w:t>
            </w:r>
          </w:p>
        </w:tc>
        <w:tc>
          <w:tcPr>
            <w:tcW w:w="773" w:type="dxa"/>
            <w:tcBorders>
              <w:top w:val="nil"/>
              <w:left w:val="nil"/>
              <w:bottom w:val="single" w:sz="4" w:space="0" w:color="auto"/>
              <w:right w:val="single" w:sz="4" w:space="0" w:color="auto"/>
            </w:tcBorders>
            <w:shd w:val="clear" w:color="auto" w:fill="auto"/>
            <w:noWrap/>
            <w:vAlign w:val="bottom"/>
            <w:hideMark/>
          </w:tcPr>
          <w:p w14:paraId="287CFF85" w14:textId="3EB4AF93" w:rsidR="00593711" w:rsidRDefault="00593711">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5E6369A8" w14:textId="34C0701F" w:rsidR="00593711" w:rsidRDefault="00593711">
            <w:pPr>
              <w:jc w:val="right"/>
              <w:rPr>
                <w:color w:val="000000"/>
                <w:sz w:val="18"/>
                <w:szCs w:val="18"/>
              </w:rPr>
            </w:pPr>
            <w:r>
              <w:rPr>
                <w:color w:val="000000"/>
                <w:sz w:val="18"/>
                <w:szCs w:val="18"/>
              </w:rPr>
              <w:t>$5,057</w:t>
            </w:r>
          </w:p>
        </w:tc>
      </w:tr>
      <w:tr w:rsidR="006620DC" w14:paraId="5C407A5C" w14:textId="77777777" w:rsidTr="00B675D3">
        <w:trPr>
          <w:trHeight w:val="300"/>
        </w:trPr>
        <w:tc>
          <w:tcPr>
            <w:tcW w:w="3747" w:type="dxa"/>
            <w:tcBorders>
              <w:top w:val="nil"/>
              <w:left w:val="single" w:sz="4" w:space="0" w:color="auto"/>
              <w:bottom w:val="single" w:sz="4" w:space="0" w:color="auto"/>
              <w:right w:val="nil"/>
            </w:tcBorders>
            <w:shd w:val="clear" w:color="000000" w:fill="BFBFBF"/>
            <w:noWrap/>
            <w:vAlign w:val="bottom"/>
            <w:hideMark/>
          </w:tcPr>
          <w:p w14:paraId="7557F177" w14:textId="77777777" w:rsidR="006620DC" w:rsidRDefault="006620DC">
            <w:pPr>
              <w:rPr>
                <w:b/>
                <w:bCs/>
                <w:color w:val="000000"/>
                <w:sz w:val="18"/>
                <w:szCs w:val="18"/>
              </w:rPr>
            </w:pPr>
            <w:r>
              <w:rPr>
                <w:b/>
                <w:bCs/>
                <w:color w:val="000000"/>
                <w:sz w:val="18"/>
                <w:szCs w:val="18"/>
              </w:rPr>
              <w:t>VARIABLE COSTS</w:t>
            </w:r>
          </w:p>
        </w:tc>
        <w:tc>
          <w:tcPr>
            <w:tcW w:w="801" w:type="dxa"/>
            <w:tcBorders>
              <w:top w:val="nil"/>
              <w:left w:val="nil"/>
              <w:bottom w:val="single" w:sz="4" w:space="0" w:color="auto"/>
              <w:right w:val="nil"/>
            </w:tcBorders>
            <w:shd w:val="clear" w:color="000000" w:fill="BFBFBF"/>
            <w:noWrap/>
            <w:vAlign w:val="bottom"/>
            <w:hideMark/>
          </w:tcPr>
          <w:p w14:paraId="49D74F53"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BFBFBF"/>
            <w:noWrap/>
            <w:vAlign w:val="bottom"/>
            <w:hideMark/>
          </w:tcPr>
          <w:p w14:paraId="640B0EF9"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BFBFBF"/>
            <w:noWrap/>
            <w:vAlign w:val="bottom"/>
            <w:hideMark/>
          </w:tcPr>
          <w:p w14:paraId="174A4EE9"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BFBFBF"/>
            <w:noWrap/>
            <w:vAlign w:val="bottom"/>
            <w:hideMark/>
          </w:tcPr>
          <w:p w14:paraId="18C1FC11"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BFBFBF"/>
            <w:noWrap/>
            <w:vAlign w:val="bottom"/>
            <w:hideMark/>
          </w:tcPr>
          <w:p w14:paraId="64EFCD39" w14:textId="77777777" w:rsidR="006620DC" w:rsidRDefault="006620DC">
            <w:pPr>
              <w:jc w:val="right"/>
              <w:rPr>
                <w:b/>
                <w:bCs/>
                <w:color w:val="000000"/>
                <w:sz w:val="18"/>
                <w:szCs w:val="18"/>
              </w:rPr>
            </w:pPr>
            <w:r>
              <w:rPr>
                <w:b/>
                <w:bCs/>
                <w:color w:val="000000"/>
                <w:sz w:val="18"/>
                <w:szCs w:val="18"/>
              </w:rPr>
              <w:t> </w:t>
            </w:r>
          </w:p>
        </w:tc>
        <w:tc>
          <w:tcPr>
            <w:tcW w:w="859" w:type="dxa"/>
            <w:tcBorders>
              <w:top w:val="nil"/>
              <w:left w:val="nil"/>
              <w:bottom w:val="single" w:sz="4" w:space="0" w:color="auto"/>
              <w:right w:val="nil"/>
            </w:tcBorders>
            <w:shd w:val="clear" w:color="000000" w:fill="BFBFBF"/>
            <w:noWrap/>
            <w:vAlign w:val="bottom"/>
            <w:hideMark/>
          </w:tcPr>
          <w:p w14:paraId="5EA0F49F" w14:textId="77777777" w:rsidR="006620DC" w:rsidRDefault="006620DC">
            <w:pPr>
              <w:jc w:val="right"/>
              <w:rPr>
                <w:b/>
                <w:bCs/>
                <w:color w:val="000000"/>
                <w:sz w:val="18"/>
                <w:szCs w:val="18"/>
              </w:rPr>
            </w:pPr>
            <w:r>
              <w:rPr>
                <w:b/>
                <w:bCs/>
                <w:color w:val="000000"/>
                <w:sz w:val="18"/>
                <w:szCs w:val="18"/>
              </w:rPr>
              <w:t> </w:t>
            </w:r>
          </w:p>
        </w:tc>
        <w:tc>
          <w:tcPr>
            <w:tcW w:w="924" w:type="dxa"/>
            <w:tcBorders>
              <w:top w:val="nil"/>
              <w:left w:val="nil"/>
              <w:bottom w:val="single" w:sz="4" w:space="0" w:color="auto"/>
              <w:right w:val="nil"/>
            </w:tcBorders>
            <w:shd w:val="clear" w:color="000000" w:fill="BFBFBF"/>
            <w:noWrap/>
            <w:vAlign w:val="bottom"/>
            <w:hideMark/>
          </w:tcPr>
          <w:p w14:paraId="5FD56DB2"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BFBFBF"/>
            <w:noWrap/>
            <w:vAlign w:val="bottom"/>
            <w:hideMark/>
          </w:tcPr>
          <w:p w14:paraId="19DE421F" w14:textId="77777777" w:rsidR="006620DC" w:rsidRDefault="006620DC">
            <w:pPr>
              <w:jc w:val="right"/>
              <w:rPr>
                <w:b/>
                <w:bCs/>
                <w:color w:val="000000"/>
                <w:sz w:val="18"/>
                <w:szCs w:val="18"/>
              </w:rPr>
            </w:pPr>
            <w:r>
              <w:rPr>
                <w:b/>
                <w:bCs/>
                <w:color w:val="000000"/>
                <w:sz w:val="18"/>
                <w:szCs w:val="18"/>
              </w:rPr>
              <w:t> </w:t>
            </w:r>
          </w:p>
        </w:tc>
        <w:tc>
          <w:tcPr>
            <w:tcW w:w="1094" w:type="dxa"/>
            <w:tcBorders>
              <w:top w:val="nil"/>
              <w:left w:val="nil"/>
              <w:bottom w:val="single" w:sz="4" w:space="0" w:color="auto"/>
              <w:right w:val="nil"/>
            </w:tcBorders>
            <w:shd w:val="clear" w:color="000000" w:fill="BFBFBF"/>
            <w:noWrap/>
            <w:vAlign w:val="bottom"/>
            <w:hideMark/>
          </w:tcPr>
          <w:p w14:paraId="7E9B6DC8" w14:textId="77777777" w:rsidR="006620DC" w:rsidRDefault="006620DC">
            <w:pPr>
              <w:jc w:val="right"/>
              <w:rPr>
                <w:b/>
                <w:bCs/>
                <w:color w:val="000000"/>
                <w:sz w:val="18"/>
                <w:szCs w:val="18"/>
              </w:rPr>
            </w:pPr>
            <w:r>
              <w:rPr>
                <w:b/>
                <w:bCs/>
                <w:color w:val="000000"/>
                <w:sz w:val="18"/>
                <w:szCs w:val="18"/>
              </w:rPr>
              <w:t> </w:t>
            </w:r>
          </w:p>
        </w:tc>
        <w:tc>
          <w:tcPr>
            <w:tcW w:w="773" w:type="dxa"/>
            <w:tcBorders>
              <w:top w:val="nil"/>
              <w:left w:val="nil"/>
              <w:bottom w:val="single" w:sz="4" w:space="0" w:color="auto"/>
              <w:right w:val="nil"/>
            </w:tcBorders>
            <w:shd w:val="clear" w:color="000000" w:fill="BFBFBF"/>
            <w:noWrap/>
            <w:vAlign w:val="bottom"/>
            <w:hideMark/>
          </w:tcPr>
          <w:p w14:paraId="2BCF9FA6"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BFBFBF"/>
            <w:noWrap/>
            <w:vAlign w:val="bottom"/>
            <w:hideMark/>
          </w:tcPr>
          <w:p w14:paraId="572C5EDF" w14:textId="77777777" w:rsidR="006620DC" w:rsidRDefault="006620DC">
            <w:pPr>
              <w:jc w:val="right"/>
              <w:rPr>
                <w:b/>
                <w:bCs/>
                <w:color w:val="000000"/>
                <w:sz w:val="18"/>
                <w:szCs w:val="18"/>
              </w:rPr>
            </w:pPr>
            <w:r>
              <w:rPr>
                <w:b/>
                <w:bCs/>
                <w:color w:val="000000"/>
                <w:sz w:val="18"/>
                <w:szCs w:val="18"/>
              </w:rPr>
              <w:t> </w:t>
            </w:r>
          </w:p>
        </w:tc>
      </w:tr>
      <w:tr w:rsidR="006620DC" w14:paraId="218D122F" w14:textId="77777777" w:rsidTr="00B675D3">
        <w:trPr>
          <w:trHeight w:val="300"/>
        </w:trPr>
        <w:tc>
          <w:tcPr>
            <w:tcW w:w="3747" w:type="dxa"/>
            <w:tcBorders>
              <w:top w:val="nil"/>
              <w:left w:val="single" w:sz="4" w:space="0" w:color="auto"/>
              <w:bottom w:val="single" w:sz="4" w:space="0" w:color="auto"/>
              <w:right w:val="nil"/>
            </w:tcBorders>
            <w:shd w:val="clear" w:color="000000" w:fill="D9D9D9"/>
            <w:noWrap/>
            <w:vAlign w:val="center"/>
            <w:hideMark/>
          </w:tcPr>
          <w:p w14:paraId="55532288" w14:textId="77777777" w:rsidR="006620DC" w:rsidRDefault="006620DC">
            <w:pPr>
              <w:rPr>
                <w:b/>
                <w:bCs/>
                <w:color w:val="000000"/>
                <w:sz w:val="18"/>
                <w:szCs w:val="18"/>
              </w:rPr>
            </w:pPr>
            <w:r>
              <w:rPr>
                <w:b/>
                <w:bCs/>
                <w:color w:val="000000"/>
                <w:sz w:val="18"/>
                <w:szCs w:val="18"/>
              </w:rPr>
              <w:t>Shipping Recordkeeping (per shipment)</w:t>
            </w:r>
          </w:p>
        </w:tc>
        <w:tc>
          <w:tcPr>
            <w:tcW w:w="801" w:type="dxa"/>
            <w:tcBorders>
              <w:top w:val="nil"/>
              <w:left w:val="nil"/>
              <w:bottom w:val="single" w:sz="4" w:space="0" w:color="auto"/>
              <w:right w:val="nil"/>
            </w:tcBorders>
            <w:shd w:val="clear" w:color="000000" w:fill="D9D9D9"/>
            <w:noWrap/>
            <w:vAlign w:val="center"/>
            <w:hideMark/>
          </w:tcPr>
          <w:p w14:paraId="71608F40" w14:textId="77777777" w:rsidR="006620DC" w:rsidRDefault="006620DC">
            <w:pPr>
              <w:jc w:val="right"/>
              <w:rPr>
                <w:b/>
                <w:bCs/>
                <w:color w:val="000000"/>
                <w:sz w:val="18"/>
                <w:szCs w:val="18"/>
              </w:rPr>
            </w:pPr>
            <w:r>
              <w:rPr>
                <w:b/>
                <w:bCs/>
                <w:color w:val="000000"/>
                <w:sz w:val="18"/>
                <w:szCs w:val="18"/>
              </w:rPr>
              <w:t> </w:t>
            </w:r>
          </w:p>
        </w:tc>
        <w:tc>
          <w:tcPr>
            <w:tcW w:w="1106" w:type="dxa"/>
            <w:tcBorders>
              <w:top w:val="nil"/>
              <w:left w:val="nil"/>
              <w:bottom w:val="single" w:sz="4" w:space="0" w:color="auto"/>
              <w:right w:val="nil"/>
            </w:tcBorders>
            <w:shd w:val="clear" w:color="000000" w:fill="D9D9D9"/>
            <w:noWrap/>
            <w:vAlign w:val="center"/>
            <w:hideMark/>
          </w:tcPr>
          <w:p w14:paraId="20646DE8" w14:textId="77777777" w:rsidR="006620DC" w:rsidRDefault="006620DC">
            <w:pPr>
              <w:jc w:val="right"/>
              <w:rPr>
                <w:b/>
                <w:bCs/>
                <w:color w:val="000000"/>
                <w:sz w:val="18"/>
                <w:szCs w:val="18"/>
              </w:rPr>
            </w:pPr>
            <w:r>
              <w:rPr>
                <w:b/>
                <w:bCs/>
                <w:color w:val="000000"/>
                <w:sz w:val="18"/>
                <w:szCs w:val="18"/>
              </w:rPr>
              <w:t> </w:t>
            </w:r>
          </w:p>
        </w:tc>
        <w:tc>
          <w:tcPr>
            <w:tcW w:w="966" w:type="dxa"/>
            <w:tcBorders>
              <w:top w:val="nil"/>
              <w:left w:val="nil"/>
              <w:bottom w:val="single" w:sz="4" w:space="0" w:color="auto"/>
              <w:right w:val="nil"/>
            </w:tcBorders>
            <w:shd w:val="clear" w:color="000000" w:fill="D9D9D9"/>
            <w:noWrap/>
            <w:vAlign w:val="center"/>
            <w:hideMark/>
          </w:tcPr>
          <w:p w14:paraId="47D9273C" w14:textId="77777777" w:rsidR="006620DC" w:rsidRDefault="006620DC">
            <w:pPr>
              <w:jc w:val="right"/>
              <w:rPr>
                <w:b/>
                <w:bCs/>
                <w:color w:val="000000"/>
                <w:sz w:val="18"/>
                <w:szCs w:val="18"/>
              </w:rPr>
            </w:pPr>
            <w:r>
              <w:rPr>
                <w:b/>
                <w:bCs/>
                <w:color w:val="000000"/>
                <w:sz w:val="18"/>
                <w:szCs w:val="18"/>
              </w:rPr>
              <w:t> </w:t>
            </w:r>
          </w:p>
        </w:tc>
        <w:tc>
          <w:tcPr>
            <w:tcW w:w="792" w:type="dxa"/>
            <w:tcBorders>
              <w:top w:val="nil"/>
              <w:left w:val="nil"/>
              <w:bottom w:val="single" w:sz="4" w:space="0" w:color="auto"/>
              <w:right w:val="nil"/>
            </w:tcBorders>
            <w:shd w:val="clear" w:color="000000" w:fill="D9D9D9"/>
            <w:noWrap/>
            <w:vAlign w:val="center"/>
            <w:hideMark/>
          </w:tcPr>
          <w:p w14:paraId="70C30D59" w14:textId="77777777" w:rsidR="006620DC" w:rsidRDefault="006620DC">
            <w:pPr>
              <w:jc w:val="right"/>
              <w:rPr>
                <w:b/>
                <w:bCs/>
                <w:color w:val="000000"/>
                <w:sz w:val="18"/>
                <w:szCs w:val="18"/>
              </w:rPr>
            </w:pPr>
            <w:r>
              <w:rPr>
                <w:b/>
                <w:bCs/>
                <w:color w:val="000000"/>
                <w:sz w:val="18"/>
                <w:szCs w:val="18"/>
              </w:rPr>
              <w:t> </w:t>
            </w:r>
          </w:p>
        </w:tc>
        <w:tc>
          <w:tcPr>
            <w:tcW w:w="1216" w:type="dxa"/>
            <w:tcBorders>
              <w:top w:val="nil"/>
              <w:left w:val="nil"/>
              <w:bottom w:val="single" w:sz="4" w:space="0" w:color="auto"/>
              <w:right w:val="nil"/>
            </w:tcBorders>
            <w:shd w:val="clear" w:color="000000" w:fill="D9D9D9"/>
            <w:noWrap/>
            <w:vAlign w:val="center"/>
            <w:hideMark/>
          </w:tcPr>
          <w:p w14:paraId="05E40666" w14:textId="77777777" w:rsidR="006620DC" w:rsidRDefault="006620DC">
            <w:pPr>
              <w:jc w:val="right"/>
              <w:rPr>
                <w:b/>
                <w:bCs/>
                <w:color w:val="000000"/>
                <w:sz w:val="18"/>
                <w:szCs w:val="18"/>
              </w:rPr>
            </w:pPr>
            <w:r>
              <w:rPr>
                <w:b/>
                <w:bCs/>
                <w:color w:val="000000"/>
                <w:sz w:val="18"/>
                <w:szCs w:val="18"/>
              </w:rPr>
              <w:t> </w:t>
            </w:r>
          </w:p>
        </w:tc>
        <w:tc>
          <w:tcPr>
            <w:tcW w:w="859" w:type="dxa"/>
            <w:tcBorders>
              <w:top w:val="nil"/>
              <w:left w:val="nil"/>
              <w:bottom w:val="single" w:sz="4" w:space="0" w:color="auto"/>
              <w:right w:val="nil"/>
            </w:tcBorders>
            <w:shd w:val="clear" w:color="000000" w:fill="D9D9D9"/>
            <w:noWrap/>
            <w:vAlign w:val="center"/>
            <w:hideMark/>
          </w:tcPr>
          <w:p w14:paraId="17D61C4C" w14:textId="77777777" w:rsidR="006620DC" w:rsidRDefault="006620DC">
            <w:pPr>
              <w:jc w:val="right"/>
              <w:rPr>
                <w:b/>
                <w:bCs/>
                <w:color w:val="000000"/>
                <w:sz w:val="18"/>
                <w:szCs w:val="18"/>
              </w:rPr>
            </w:pPr>
            <w:r>
              <w:rPr>
                <w:b/>
                <w:bCs/>
                <w:color w:val="000000"/>
                <w:sz w:val="18"/>
                <w:szCs w:val="18"/>
              </w:rPr>
              <w:t> </w:t>
            </w:r>
          </w:p>
        </w:tc>
        <w:tc>
          <w:tcPr>
            <w:tcW w:w="924" w:type="dxa"/>
            <w:tcBorders>
              <w:top w:val="nil"/>
              <w:left w:val="nil"/>
              <w:bottom w:val="single" w:sz="4" w:space="0" w:color="auto"/>
              <w:right w:val="nil"/>
            </w:tcBorders>
            <w:shd w:val="clear" w:color="000000" w:fill="D9D9D9"/>
            <w:noWrap/>
            <w:vAlign w:val="center"/>
            <w:hideMark/>
          </w:tcPr>
          <w:p w14:paraId="0C084DA7" w14:textId="77777777" w:rsidR="006620DC" w:rsidRDefault="006620DC">
            <w:pPr>
              <w:jc w:val="right"/>
              <w:rPr>
                <w:b/>
                <w:bCs/>
                <w:color w:val="000000"/>
                <w:sz w:val="18"/>
                <w:szCs w:val="18"/>
              </w:rPr>
            </w:pPr>
            <w:r>
              <w:rPr>
                <w:b/>
                <w:bCs/>
                <w:color w:val="000000"/>
                <w:sz w:val="18"/>
                <w:szCs w:val="18"/>
              </w:rPr>
              <w:t> </w:t>
            </w:r>
          </w:p>
        </w:tc>
        <w:tc>
          <w:tcPr>
            <w:tcW w:w="1236" w:type="dxa"/>
            <w:tcBorders>
              <w:top w:val="nil"/>
              <w:left w:val="nil"/>
              <w:bottom w:val="single" w:sz="4" w:space="0" w:color="auto"/>
              <w:right w:val="nil"/>
            </w:tcBorders>
            <w:shd w:val="clear" w:color="000000" w:fill="D9D9D9"/>
            <w:noWrap/>
            <w:vAlign w:val="center"/>
            <w:hideMark/>
          </w:tcPr>
          <w:p w14:paraId="3597C26E" w14:textId="77777777" w:rsidR="006620DC" w:rsidRDefault="006620DC">
            <w:pPr>
              <w:jc w:val="right"/>
              <w:rPr>
                <w:b/>
                <w:bCs/>
                <w:color w:val="000000"/>
                <w:sz w:val="18"/>
                <w:szCs w:val="18"/>
              </w:rPr>
            </w:pPr>
            <w:r>
              <w:rPr>
                <w:b/>
                <w:bCs/>
                <w:color w:val="000000"/>
                <w:sz w:val="18"/>
                <w:szCs w:val="18"/>
              </w:rPr>
              <w:t> </w:t>
            </w:r>
          </w:p>
        </w:tc>
        <w:tc>
          <w:tcPr>
            <w:tcW w:w="1094" w:type="dxa"/>
            <w:tcBorders>
              <w:top w:val="nil"/>
              <w:left w:val="nil"/>
              <w:bottom w:val="single" w:sz="4" w:space="0" w:color="auto"/>
              <w:right w:val="nil"/>
            </w:tcBorders>
            <w:shd w:val="clear" w:color="000000" w:fill="D9D9D9"/>
            <w:noWrap/>
            <w:vAlign w:val="center"/>
            <w:hideMark/>
          </w:tcPr>
          <w:p w14:paraId="1A0AC9BC" w14:textId="77777777" w:rsidR="006620DC" w:rsidRDefault="006620DC">
            <w:pPr>
              <w:jc w:val="right"/>
              <w:rPr>
                <w:b/>
                <w:bCs/>
                <w:color w:val="000000"/>
                <w:sz w:val="18"/>
                <w:szCs w:val="18"/>
              </w:rPr>
            </w:pPr>
            <w:r>
              <w:rPr>
                <w:b/>
                <w:bCs/>
                <w:color w:val="000000"/>
                <w:sz w:val="18"/>
                <w:szCs w:val="18"/>
              </w:rPr>
              <w:t> </w:t>
            </w:r>
          </w:p>
        </w:tc>
        <w:tc>
          <w:tcPr>
            <w:tcW w:w="773" w:type="dxa"/>
            <w:tcBorders>
              <w:top w:val="nil"/>
              <w:left w:val="nil"/>
              <w:bottom w:val="single" w:sz="4" w:space="0" w:color="auto"/>
              <w:right w:val="nil"/>
            </w:tcBorders>
            <w:shd w:val="clear" w:color="000000" w:fill="D9D9D9"/>
            <w:noWrap/>
            <w:vAlign w:val="center"/>
            <w:hideMark/>
          </w:tcPr>
          <w:p w14:paraId="2AE9E79F" w14:textId="77777777" w:rsidR="006620DC" w:rsidRDefault="006620DC">
            <w:pPr>
              <w:jc w:val="right"/>
              <w:rPr>
                <w:b/>
                <w:bCs/>
                <w:color w:val="000000"/>
                <w:sz w:val="18"/>
                <w:szCs w:val="18"/>
              </w:rPr>
            </w:pPr>
            <w:r>
              <w:rPr>
                <w:b/>
                <w:bCs/>
                <w:color w:val="000000"/>
                <w:sz w:val="18"/>
                <w:szCs w:val="18"/>
              </w:rPr>
              <w:t> </w:t>
            </w:r>
          </w:p>
        </w:tc>
        <w:tc>
          <w:tcPr>
            <w:tcW w:w="1194" w:type="dxa"/>
            <w:tcBorders>
              <w:top w:val="nil"/>
              <w:left w:val="nil"/>
              <w:bottom w:val="single" w:sz="4" w:space="0" w:color="auto"/>
              <w:right w:val="single" w:sz="4" w:space="0" w:color="auto"/>
            </w:tcBorders>
            <w:shd w:val="clear" w:color="000000" w:fill="D9D9D9"/>
            <w:noWrap/>
            <w:vAlign w:val="center"/>
            <w:hideMark/>
          </w:tcPr>
          <w:p w14:paraId="6A678CAF" w14:textId="77777777" w:rsidR="006620DC" w:rsidRDefault="006620DC">
            <w:pPr>
              <w:jc w:val="right"/>
              <w:rPr>
                <w:b/>
                <w:bCs/>
                <w:color w:val="000000"/>
                <w:sz w:val="18"/>
                <w:szCs w:val="18"/>
              </w:rPr>
            </w:pPr>
            <w:r>
              <w:rPr>
                <w:b/>
                <w:bCs/>
                <w:color w:val="000000"/>
                <w:sz w:val="18"/>
                <w:szCs w:val="18"/>
              </w:rPr>
              <w:t> </w:t>
            </w:r>
          </w:p>
        </w:tc>
      </w:tr>
      <w:tr w:rsidR="00593711" w14:paraId="3187DC53" w14:textId="77777777" w:rsidTr="00B675D3">
        <w:trPr>
          <w:trHeight w:val="300"/>
        </w:trPr>
        <w:tc>
          <w:tcPr>
            <w:tcW w:w="3747" w:type="dxa"/>
            <w:tcBorders>
              <w:top w:val="nil"/>
              <w:left w:val="single" w:sz="4" w:space="0" w:color="auto"/>
              <w:bottom w:val="single" w:sz="4" w:space="0" w:color="auto"/>
              <w:right w:val="single" w:sz="4" w:space="0" w:color="auto"/>
            </w:tcBorders>
            <w:shd w:val="clear" w:color="auto" w:fill="auto"/>
            <w:vAlign w:val="bottom"/>
            <w:hideMark/>
          </w:tcPr>
          <w:p w14:paraId="3BFF4B2C" w14:textId="77777777" w:rsidR="00593711" w:rsidRDefault="00593711">
            <w:pPr>
              <w:rPr>
                <w:color w:val="000000"/>
                <w:sz w:val="18"/>
                <w:szCs w:val="18"/>
              </w:rPr>
            </w:pPr>
            <w:r>
              <w:rPr>
                <w:color w:val="000000"/>
                <w:sz w:val="18"/>
                <w:szCs w:val="18"/>
              </w:rPr>
              <w:t>Shipping Recordkeeping</w:t>
            </w:r>
          </w:p>
        </w:tc>
        <w:tc>
          <w:tcPr>
            <w:tcW w:w="801" w:type="dxa"/>
            <w:tcBorders>
              <w:top w:val="nil"/>
              <w:left w:val="nil"/>
              <w:bottom w:val="single" w:sz="4" w:space="0" w:color="auto"/>
              <w:right w:val="single" w:sz="4" w:space="0" w:color="auto"/>
            </w:tcBorders>
            <w:shd w:val="clear" w:color="auto" w:fill="auto"/>
            <w:noWrap/>
            <w:vAlign w:val="bottom"/>
            <w:hideMark/>
          </w:tcPr>
          <w:p w14:paraId="4BF3B65E" w14:textId="559A274F" w:rsidR="00593711" w:rsidRDefault="00593711">
            <w:pPr>
              <w:jc w:val="right"/>
              <w:rPr>
                <w:color w:val="000000"/>
                <w:sz w:val="18"/>
                <w:szCs w:val="18"/>
              </w:rPr>
            </w:pPr>
            <w:r>
              <w:rPr>
                <w:color w:val="000000"/>
                <w:sz w:val="18"/>
                <w:szCs w:val="18"/>
              </w:rPr>
              <w:t>0.00</w:t>
            </w:r>
          </w:p>
        </w:tc>
        <w:tc>
          <w:tcPr>
            <w:tcW w:w="1106" w:type="dxa"/>
            <w:tcBorders>
              <w:top w:val="nil"/>
              <w:left w:val="nil"/>
              <w:bottom w:val="single" w:sz="4" w:space="0" w:color="auto"/>
              <w:right w:val="single" w:sz="4" w:space="0" w:color="auto"/>
            </w:tcBorders>
            <w:shd w:val="clear" w:color="auto" w:fill="auto"/>
            <w:noWrap/>
            <w:vAlign w:val="bottom"/>
            <w:hideMark/>
          </w:tcPr>
          <w:p w14:paraId="5FA816C1" w14:textId="15E2D792" w:rsidR="00593711" w:rsidRDefault="00593711">
            <w:pPr>
              <w:jc w:val="right"/>
              <w:rPr>
                <w:color w:val="000000"/>
                <w:sz w:val="18"/>
                <w:szCs w:val="18"/>
              </w:rPr>
            </w:pPr>
            <w:r>
              <w:rPr>
                <w:color w:val="000000"/>
                <w:sz w:val="18"/>
                <w:szCs w:val="18"/>
              </w:rPr>
              <w:t>0.00</w:t>
            </w:r>
          </w:p>
        </w:tc>
        <w:tc>
          <w:tcPr>
            <w:tcW w:w="966" w:type="dxa"/>
            <w:tcBorders>
              <w:top w:val="nil"/>
              <w:left w:val="nil"/>
              <w:bottom w:val="single" w:sz="4" w:space="0" w:color="auto"/>
              <w:right w:val="single" w:sz="4" w:space="0" w:color="auto"/>
            </w:tcBorders>
            <w:shd w:val="clear" w:color="auto" w:fill="auto"/>
            <w:noWrap/>
            <w:vAlign w:val="bottom"/>
            <w:hideMark/>
          </w:tcPr>
          <w:p w14:paraId="4E7DC573" w14:textId="3A74B5A9" w:rsidR="00593711" w:rsidRDefault="00593711">
            <w:pPr>
              <w:jc w:val="right"/>
              <w:rPr>
                <w:color w:val="000000"/>
                <w:sz w:val="18"/>
                <w:szCs w:val="18"/>
              </w:rPr>
            </w:pPr>
            <w:r>
              <w:rPr>
                <w:color w:val="000000"/>
                <w:sz w:val="18"/>
                <w:szCs w:val="18"/>
              </w:rPr>
              <w:t>0.00</w:t>
            </w:r>
          </w:p>
        </w:tc>
        <w:tc>
          <w:tcPr>
            <w:tcW w:w="792" w:type="dxa"/>
            <w:tcBorders>
              <w:top w:val="nil"/>
              <w:left w:val="nil"/>
              <w:bottom w:val="single" w:sz="4" w:space="0" w:color="auto"/>
              <w:right w:val="single" w:sz="4" w:space="0" w:color="auto"/>
            </w:tcBorders>
            <w:shd w:val="clear" w:color="auto" w:fill="auto"/>
            <w:noWrap/>
            <w:vAlign w:val="bottom"/>
            <w:hideMark/>
          </w:tcPr>
          <w:p w14:paraId="4A0CB6BA" w14:textId="2A69E206" w:rsidR="00593711" w:rsidRDefault="00593711">
            <w:pPr>
              <w:jc w:val="right"/>
              <w:rPr>
                <w:color w:val="000000"/>
                <w:sz w:val="18"/>
                <w:szCs w:val="18"/>
              </w:rPr>
            </w:pPr>
            <w:r>
              <w:rPr>
                <w:color w:val="000000"/>
                <w:sz w:val="18"/>
                <w:szCs w:val="18"/>
              </w:rPr>
              <w:t>0.10</w:t>
            </w:r>
          </w:p>
        </w:tc>
        <w:tc>
          <w:tcPr>
            <w:tcW w:w="1216" w:type="dxa"/>
            <w:tcBorders>
              <w:top w:val="nil"/>
              <w:left w:val="nil"/>
              <w:bottom w:val="single" w:sz="4" w:space="0" w:color="auto"/>
              <w:right w:val="single" w:sz="4" w:space="0" w:color="auto"/>
            </w:tcBorders>
            <w:shd w:val="clear" w:color="auto" w:fill="auto"/>
            <w:noWrap/>
            <w:vAlign w:val="bottom"/>
            <w:hideMark/>
          </w:tcPr>
          <w:p w14:paraId="64CAD143" w14:textId="3B10BA8D" w:rsidR="00593711" w:rsidRDefault="00593711">
            <w:pPr>
              <w:jc w:val="right"/>
              <w:rPr>
                <w:color w:val="000000"/>
                <w:sz w:val="18"/>
                <w:szCs w:val="18"/>
              </w:rPr>
            </w:pPr>
            <w:r>
              <w:rPr>
                <w:color w:val="000000"/>
                <w:sz w:val="18"/>
                <w:szCs w:val="18"/>
              </w:rPr>
              <w:t>0.00</w:t>
            </w:r>
          </w:p>
        </w:tc>
        <w:tc>
          <w:tcPr>
            <w:tcW w:w="859" w:type="dxa"/>
            <w:tcBorders>
              <w:top w:val="nil"/>
              <w:left w:val="nil"/>
              <w:bottom w:val="single" w:sz="4" w:space="0" w:color="auto"/>
              <w:right w:val="single" w:sz="4" w:space="0" w:color="auto"/>
            </w:tcBorders>
            <w:shd w:val="clear" w:color="auto" w:fill="auto"/>
            <w:noWrap/>
            <w:vAlign w:val="bottom"/>
            <w:hideMark/>
          </w:tcPr>
          <w:p w14:paraId="53CAF36C" w14:textId="0BD179CF" w:rsidR="00593711" w:rsidRDefault="00593711">
            <w:pPr>
              <w:jc w:val="right"/>
              <w:rPr>
                <w:color w:val="000000"/>
                <w:sz w:val="18"/>
                <w:szCs w:val="18"/>
              </w:rPr>
            </w:pPr>
            <w:r>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bottom"/>
            <w:hideMark/>
          </w:tcPr>
          <w:p w14:paraId="2BE94848" w14:textId="7E3AB1B8" w:rsidR="00593711" w:rsidRDefault="00593711">
            <w:pPr>
              <w:jc w:val="right"/>
              <w:rPr>
                <w:color w:val="000000"/>
                <w:sz w:val="18"/>
                <w:szCs w:val="18"/>
              </w:rPr>
            </w:pPr>
            <w:r>
              <w:rPr>
                <w:color w:val="000000"/>
                <w:sz w:val="18"/>
                <w:szCs w:val="18"/>
              </w:rPr>
              <w:t>0</w:t>
            </w:r>
          </w:p>
        </w:tc>
        <w:tc>
          <w:tcPr>
            <w:tcW w:w="1236" w:type="dxa"/>
            <w:tcBorders>
              <w:top w:val="nil"/>
              <w:left w:val="nil"/>
              <w:bottom w:val="single" w:sz="4" w:space="0" w:color="auto"/>
              <w:right w:val="single" w:sz="4" w:space="0" w:color="auto"/>
            </w:tcBorders>
            <w:shd w:val="clear" w:color="auto" w:fill="auto"/>
            <w:noWrap/>
            <w:vAlign w:val="bottom"/>
            <w:hideMark/>
          </w:tcPr>
          <w:p w14:paraId="2F86C807" w14:textId="2CC0D08A" w:rsidR="00593711" w:rsidRDefault="00593711">
            <w:pPr>
              <w:jc w:val="right"/>
              <w:rPr>
                <w:color w:val="000000"/>
                <w:sz w:val="18"/>
                <w:szCs w:val="18"/>
              </w:rPr>
            </w:pPr>
            <w:r>
              <w:rPr>
                <w:color w:val="000000"/>
                <w:sz w:val="18"/>
                <w:szCs w:val="18"/>
              </w:rPr>
              <w:t xml:space="preserve">                  -   </w:t>
            </w:r>
          </w:p>
        </w:tc>
        <w:tc>
          <w:tcPr>
            <w:tcW w:w="1094" w:type="dxa"/>
            <w:tcBorders>
              <w:top w:val="nil"/>
              <w:left w:val="nil"/>
              <w:bottom w:val="single" w:sz="4" w:space="0" w:color="auto"/>
              <w:right w:val="single" w:sz="4" w:space="0" w:color="auto"/>
            </w:tcBorders>
            <w:shd w:val="clear" w:color="auto" w:fill="auto"/>
            <w:noWrap/>
            <w:vAlign w:val="bottom"/>
            <w:hideMark/>
          </w:tcPr>
          <w:p w14:paraId="60B46E29" w14:textId="7C0CF8CC" w:rsidR="00593711" w:rsidRDefault="00593711">
            <w:pPr>
              <w:jc w:val="right"/>
              <w:rPr>
                <w:color w:val="000000"/>
                <w:sz w:val="18"/>
                <w:szCs w:val="18"/>
              </w:rPr>
            </w:pPr>
            <w:r>
              <w:rPr>
                <w:color w:val="000000"/>
                <w:sz w:val="18"/>
                <w:szCs w:val="18"/>
              </w:rPr>
              <w:t>$0</w:t>
            </w:r>
          </w:p>
        </w:tc>
        <w:tc>
          <w:tcPr>
            <w:tcW w:w="773" w:type="dxa"/>
            <w:tcBorders>
              <w:top w:val="nil"/>
              <w:left w:val="nil"/>
              <w:bottom w:val="single" w:sz="4" w:space="0" w:color="auto"/>
              <w:right w:val="single" w:sz="4" w:space="0" w:color="auto"/>
            </w:tcBorders>
            <w:shd w:val="clear" w:color="auto" w:fill="auto"/>
            <w:noWrap/>
            <w:vAlign w:val="bottom"/>
            <w:hideMark/>
          </w:tcPr>
          <w:p w14:paraId="04F30EE3" w14:textId="18B1B2EE" w:rsidR="00593711" w:rsidRDefault="00593711">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7B8ED4D5" w14:textId="742A21DC" w:rsidR="00593711" w:rsidRDefault="00593711">
            <w:pPr>
              <w:jc w:val="right"/>
              <w:rPr>
                <w:color w:val="000000"/>
                <w:sz w:val="18"/>
                <w:szCs w:val="18"/>
              </w:rPr>
            </w:pPr>
            <w:r>
              <w:rPr>
                <w:color w:val="000000"/>
                <w:sz w:val="18"/>
                <w:szCs w:val="18"/>
              </w:rPr>
              <w:t>$0</w:t>
            </w:r>
          </w:p>
        </w:tc>
      </w:tr>
      <w:tr w:rsidR="00593711" w14:paraId="23652F00" w14:textId="77777777" w:rsidTr="00B675D3">
        <w:trPr>
          <w:trHeight w:val="300"/>
        </w:trPr>
        <w:tc>
          <w:tcPr>
            <w:tcW w:w="948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41C3A30" w14:textId="2C3EAB18" w:rsidR="00593711" w:rsidRDefault="00593711">
            <w:pPr>
              <w:rPr>
                <w:color w:val="000000"/>
                <w:sz w:val="18"/>
                <w:szCs w:val="18"/>
              </w:rPr>
            </w:pPr>
            <w:r>
              <w:rPr>
                <w:color w:val="000000"/>
                <w:sz w:val="18"/>
                <w:szCs w:val="18"/>
              </w:rPr>
              <w:t>TOTAL COST</w:t>
            </w:r>
          </w:p>
        </w:tc>
        <w:tc>
          <w:tcPr>
            <w:tcW w:w="924" w:type="dxa"/>
            <w:tcBorders>
              <w:top w:val="nil"/>
              <w:left w:val="nil"/>
              <w:bottom w:val="single" w:sz="4" w:space="0" w:color="auto"/>
              <w:right w:val="single" w:sz="4" w:space="0" w:color="auto"/>
            </w:tcBorders>
            <w:shd w:val="clear" w:color="auto" w:fill="auto"/>
            <w:noWrap/>
            <w:vAlign w:val="bottom"/>
            <w:hideMark/>
          </w:tcPr>
          <w:p w14:paraId="09F11BB5" w14:textId="77777777" w:rsidR="00593711" w:rsidRDefault="00593711">
            <w:pPr>
              <w:rPr>
                <w:color w:val="000000"/>
                <w:sz w:val="18"/>
                <w:szCs w:val="18"/>
              </w:rPr>
            </w:pPr>
            <w:r>
              <w:rPr>
                <w:color w:val="000000"/>
                <w:sz w:val="18"/>
                <w:szCs w:val="18"/>
              </w:rPr>
              <w:t> </w:t>
            </w:r>
          </w:p>
        </w:tc>
        <w:tc>
          <w:tcPr>
            <w:tcW w:w="1236" w:type="dxa"/>
            <w:tcBorders>
              <w:top w:val="nil"/>
              <w:left w:val="nil"/>
              <w:bottom w:val="single" w:sz="4" w:space="0" w:color="auto"/>
              <w:right w:val="single" w:sz="4" w:space="0" w:color="auto"/>
            </w:tcBorders>
            <w:shd w:val="clear" w:color="auto" w:fill="auto"/>
            <w:noWrap/>
            <w:vAlign w:val="bottom"/>
            <w:hideMark/>
          </w:tcPr>
          <w:p w14:paraId="01C0A12F" w14:textId="6593ACB0" w:rsidR="00593711" w:rsidRDefault="00593711" w:rsidP="00066BA6">
            <w:pPr>
              <w:jc w:val="right"/>
              <w:rPr>
                <w:color w:val="000000"/>
                <w:sz w:val="18"/>
                <w:szCs w:val="18"/>
              </w:rPr>
            </w:pPr>
            <w:r>
              <w:rPr>
                <w:color w:val="000000"/>
                <w:sz w:val="18"/>
                <w:szCs w:val="18"/>
              </w:rPr>
              <w:t xml:space="preserve">             </w:t>
            </w:r>
            <w:r w:rsidR="00B220B2">
              <w:rPr>
                <w:color w:val="000000"/>
                <w:sz w:val="18"/>
                <w:szCs w:val="18"/>
              </w:rPr>
              <w:t>3,406</w:t>
            </w:r>
            <w:r>
              <w:rPr>
                <w:color w:val="000000"/>
                <w:sz w:val="18"/>
                <w:szCs w:val="18"/>
              </w:rPr>
              <w:t xml:space="preserve"> </w:t>
            </w:r>
          </w:p>
        </w:tc>
        <w:tc>
          <w:tcPr>
            <w:tcW w:w="1094" w:type="dxa"/>
            <w:tcBorders>
              <w:top w:val="nil"/>
              <w:left w:val="nil"/>
              <w:bottom w:val="single" w:sz="4" w:space="0" w:color="auto"/>
              <w:right w:val="single" w:sz="4" w:space="0" w:color="auto"/>
            </w:tcBorders>
            <w:shd w:val="clear" w:color="auto" w:fill="auto"/>
            <w:noWrap/>
            <w:vAlign w:val="bottom"/>
            <w:hideMark/>
          </w:tcPr>
          <w:p w14:paraId="55F444EA" w14:textId="39EC167B" w:rsidR="00593711" w:rsidRDefault="00593711">
            <w:pPr>
              <w:jc w:val="right"/>
              <w:rPr>
                <w:color w:val="000000"/>
                <w:sz w:val="18"/>
                <w:szCs w:val="18"/>
              </w:rPr>
            </w:pPr>
            <w:r>
              <w:rPr>
                <w:color w:val="000000"/>
                <w:sz w:val="18"/>
                <w:szCs w:val="18"/>
              </w:rPr>
              <w:t>$283,817</w:t>
            </w:r>
          </w:p>
        </w:tc>
        <w:tc>
          <w:tcPr>
            <w:tcW w:w="773" w:type="dxa"/>
            <w:tcBorders>
              <w:top w:val="nil"/>
              <w:left w:val="nil"/>
              <w:bottom w:val="single" w:sz="4" w:space="0" w:color="auto"/>
              <w:right w:val="single" w:sz="4" w:space="0" w:color="auto"/>
            </w:tcBorders>
            <w:shd w:val="clear" w:color="auto" w:fill="auto"/>
            <w:noWrap/>
            <w:vAlign w:val="bottom"/>
            <w:hideMark/>
          </w:tcPr>
          <w:p w14:paraId="1704B1BC" w14:textId="31274972" w:rsidR="00593711" w:rsidRDefault="00593711">
            <w:pPr>
              <w:jc w:val="right"/>
              <w:rPr>
                <w:color w:val="000000"/>
                <w:sz w:val="18"/>
                <w:szCs w:val="18"/>
              </w:rPr>
            </w:pPr>
            <w:r>
              <w:rPr>
                <w:color w:val="000000"/>
                <w:sz w:val="18"/>
                <w:szCs w:val="18"/>
              </w:rPr>
              <w:t>$0</w:t>
            </w:r>
          </w:p>
        </w:tc>
        <w:tc>
          <w:tcPr>
            <w:tcW w:w="1194" w:type="dxa"/>
            <w:tcBorders>
              <w:top w:val="nil"/>
              <w:left w:val="nil"/>
              <w:bottom w:val="single" w:sz="4" w:space="0" w:color="auto"/>
              <w:right w:val="single" w:sz="4" w:space="0" w:color="auto"/>
            </w:tcBorders>
            <w:shd w:val="clear" w:color="auto" w:fill="auto"/>
            <w:noWrap/>
            <w:vAlign w:val="bottom"/>
            <w:hideMark/>
          </w:tcPr>
          <w:p w14:paraId="2A2332EB" w14:textId="4B396F4F" w:rsidR="00593711" w:rsidRDefault="00593711">
            <w:pPr>
              <w:jc w:val="right"/>
              <w:rPr>
                <w:color w:val="000000"/>
                <w:sz w:val="18"/>
                <w:szCs w:val="18"/>
              </w:rPr>
            </w:pPr>
            <w:r>
              <w:rPr>
                <w:color w:val="000000"/>
                <w:sz w:val="18"/>
                <w:szCs w:val="18"/>
              </w:rPr>
              <w:t>$283,817</w:t>
            </w:r>
          </w:p>
        </w:tc>
      </w:tr>
      <w:tr w:rsidR="00BC58A3" w14:paraId="1A28FE62" w14:textId="77777777" w:rsidTr="00B675D3">
        <w:trPr>
          <w:trHeight w:val="300"/>
        </w:trPr>
        <w:tc>
          <w:tcPr>
            <w:tcW w:w="14708"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7BC8CD5E" w14:textId="77777777" w:rsidR="00BC58A3" w:rsidRDefault="00BC58A3" w:rsidP="00AE16F1">
            <w:pPr>
              <w:rPr>
                <w:color w:val="000000"/>
                <w:sz w:val="18"/>
                <w:szCs w:val="18"/>
              </w:rPr>
            </w:pPr>
            <w:r w:rsidRPr="00BC58A3">
              <w:rPr>
                <w:color w:val="000000"/>
                <w:sz w:val="18"/>
                <w:szCs w:val="18"/>
                <w:u w:val="single"/>
              </w:rPr>
              <w:t>Notes</w:t>
            </w:r>
            <w:r>
              <w:rPr>
                <w:color w:val="000000"/>
                <w:sz w:val="18"/>
                <w:szCs w:val="18"/>
              </w:rPr>
              <w:t>:</w:t>
            </w:r>
          </w:p>
          <w:p w14:paraId="595482C1" w14:textId="641C8420" w:rsidR="00BC58A3" w:rsidRDefault="00BC58A3">
            <w:pPr>
              <w:spacing w:line="240" w:lineRule="exact"/>
              <w:rPr>
                <w:color w:val="000000"/>
                <w:sz w:val="18"/>
                <w:szCs w:val="18"/>
              </w:rPr>
            </w:pPr>
            <w:r>
              <w:rPr>
                <w:color w:val="000000"/>
                <w:sz w:val="18"/>
                <w:szCs w:val="18"/>
              </w:rPr>
              <w:t>Numbers may not sum due to rounding.</w:t>
            </w:r>
          </w:p>
        </w:tc>
      </w:tr>
    </w:tbl>
    <w:p w14:paraId="31B3A808" w14:textId="77777777" w:rsidR="00E05801" w:rsidRDefault="00E05801" w:rsidP="00E05801">
      <w:pPr>
        <w:rPr>
          <w:b/>
          <w:bCs/>
          <w:szCs w:val="28"/>
        </w:rPr>
        <w:sectPr w:rsidR="00E05801" w:rsidSect="00E05801">
          <w:pgSz w:w="15840" w:h="12240" w:orient="landscape"/>
          <w:pgMar w:top="1080" w:right="1440" w:bottom="1080" w:left="1440" w:header="720" w:footer="720" w:gutter="0"/>
          <w:cols w:space="720"/>
          <w:docGrid w:linePitch="360"/>
        </w:sectPr>
      </w:pPr>
    </w:p>
    <w:tbl>
      <w:tblPr>
        <w:tblW w:w="12150" w:type="dxa"/>
        <w:tblInd w:w="108" w:type="dxa"/>
        <w:tblLook w:val="04A0" w:firstRow="1" w:lastRow="0" w:firstColumn="1" w:lastColumn="0" w:noHBand="0" w:noVBand="1"/>
      </w:tblPr>
      <w:tblGrid>
        <w:gridCol w:w="3060"/>
        <w:gridCol w:w="1136"/>
        <w:gridCol w:w="1136"/>
        <w:gridCol w:w="1136"/>
        <w:gridCol w:w="1137"/>
        <w:gridCol w:w="1136"/>
        <w:gridCol w:w="1136"/>
        <w:gridCol w:w="1136"/>
        <w:gridCol w:w="1137"/>
      </w:tblGrid>
      <w:tr w:rsidR="007F6F55" w14:paraId="01CA471D" w14:textId="4FEDBCB4" w:rsidTr="00BF33EC">
        <w:trPr>
          <w:trHeight w:val="315"/>
        </w:trPr>
        <w:tc>
          <w:tcPr>
            <w:tcW w:w="12150" w:type="dxa"/>
            <w:gridSpan w:val="9"/>
            <w:tcBorders>
              <w:top w:val="nil"/>
              <w:left w:val="nil"/>
              <w:bottom w:val="single" w:sz="4" w:space="0" w:color="auto"/>
              <w:right w:val="nil"/>
            </w:tcBorders>
            <w:shd w:val="clear" w:color="auto" w:fill="auto"/>
            <w:noWrap/>
            <w:vAlign w:val="bottom"/>
            <w:hideMark/>
          </w:tcPr>
          <w:p w14:paraId="5441F7BF" w14:textId="7C037B3E" w:rsidR="007F6F55" w:rsidRDefault="00266A6B" w:rsidP="00B93E6B">
            <w:pPr>
              <w:rPr>
                <w:b/>
                <w:bCs/>
                <w:color w:val="000000"/>
              </w:rPr>
            </w:pPr>
            <w:r>
              <w:rPr>
                <w:b/>
                <w:bCs/>
                <w:color w:val="000000"/>
              </w:rPr>
              <w:t>Exhibit 4</w:t>
            </w:r>
            <w:r w:rsidR="007F6F55">
              <w:rPr>
                <w:b/>
                <w:bCs/>
                <w:color w:val="000000"/>
              </w:rPr>
              <w:t>:</w:t>
            </w:r>
            <w:r w:rsidR="00E71D6E">
              <w:rPr>
                <w:b/>
                <w:bCs/>
                <w:color w:val="000000"/>
              </w:rPr>
              <w:t xml:space="preserve"> Federal</w:t>
            </w:r>
            <w:r w:rsidR="007F6F55">
              <w:rPr>
                <w:b/>
                <w:bCs/>
                <w:color w:val="000000"/>
              </w:rPr>
              <w:t xml:space="preserve"> Agency</w:t>
            </w:r>
            <w:r w:rsidR="00FA614A">
              <w:rPr>
                <w:b/>
                <w:bCs/>
                <w:color w:val="000000"/>
              </w:rPr>
              <w:t xml:space="preserve"> </w:t>
            </w:r>
            <w:r w:rsidR="004E61E1">
              <w:rPr>
                <w:b/>
                <w:bCs/>
                <w:color w:val="000000"/>
              </w:rPr>
              <w:t xml:space="preserve">Annual </w:t>
            </w:r>
            <w:r w:rsidR="00B93E6B">
              <w:rPr>
                <w:b/>
                <w:bCs/>
                <w:color w:val="000000"/>
              </w:rPr>
              <w:t xml:space="preserve">Increase </w:t>
            </w:r>
            <w:r w:rsidR="00FA614A">
              <w:rPr>
                <w:b/>
                <w:bCs/>
                <w:color w:val="000000"/>
              </w:rPr>
              <w:t>in</w:t>
            </w:r>
            <w:r w:rsidR="007F6F55">
              <w:rPr>
                <w:b/>
                <w:bCs/>
                <w:color w:val="000000"/>
              </w:rPr>
              <w:t xml:space="preserve"> Burden and Cost Estimates for LQGs and SQGs that become </w:t>
            </w:r>
            <w:r w:rsidR="00953BF4">
              <w:rPr>
                <w:b/>
                <w:bCs/>
                <w:color w:val="000000"/>
              </w:rPr>
              <w:t>L</w:t>
            </w:r>
            <w:r w:rsidR="007F6F55">
              <w:rPr>
                <w:b/>
                <w:bCs/>
                <w:color w:val="000000"/>
              </w:rPr>
              <w:t>QHs</w:t>
            </w:r>
          </w:p>
        </w:tc>
      </w:tr>
      <w:tr w:rsidR="007F6F55" w14:paraId="0F72C156" w14:textId="741E50D5" w:rsidTr="00BF33EC">
        <w:trPr>
          <w:trHeight w:val="300"/>
        </w:trPr>
        <w:tc>
          <w:tcPr>
            <w:tcW w:w="3060" w:type="dxa"/>
            <w:vMerge w:val="restart"/>
            <w:tcBorders>
              <w:top w:val="nil"/>
              <w:left w:val="single" w:sz="4" w:space="0" w:color="auto"/>
              <w:bottom w:val="single" w:sz="4" w:space="0" w:color="auto"/>
              <w:right w:val="single" w:sz="4" w:space="0" w:color="auto"/>
            </w:tcBorders>
            <w:shd w:val="clear" w:color="000000" w:fill="A6A6A6"/>
            <w:vAlign w:val="bottom"/>
            <w:hideMark/>
          </w:tcPr>
          <w:p w14:paraId="4816C627" w14:textId="20B9A705" w:rsidR="007F6F55" w:rsidRPr="007F6F55" w:rsidRDefault="007F6F55" w:rsidP="007F6F55">
            <w:pPr>
              <w:jc w:val="center"/>
              <w:rPr>
                <w:b/>
                <w:sz w:val="18"/>
                <w:szCs w:val="18"/>
              </w:rPr>
            </w:pPr>
            <w:r w:rsidRPr="007F6F55">
              <w:rPr>
                <w:b/>
                <w:sz w:val="18"/>
                <w:szCs w:val="18"/>
              </w:rPr>
              <w:t>Information Collection Activity</w:t>
            </w:r>
          </w:p>
        </w:tc>
        <w:tc>
          <w:tcPr>
            <w:tcW w:w="4545" w:type="dxa"/>
            <w:gridSpan w:val="4"/>
            <w:tcBorders>
              <w:top w:val="single" w:sz="4" w:space="0" w:color="auto"/>
              <w:left w:val="nil"/>
              <w:bottom w:val="single" w:sz="4" w:space="0" w:color="auto"/>
              <w:right w:val="single" w:sz="4" w:space="0" w:color="auto"/>
            </w:tcBorders>
            <w:shd w:val="clear" w:color="000000" w:fill="A6A6A6"/>
            <w:vAlign w:val="bottom"/>
            <w:hideMark/>
          </w:tcPr>
          <w:p w14:paraId="2CBC9CDD" w14:textId="4D7D027B" w:rsidR="007F6F55" w:rsidRPr="007F6F55" w:rsidRDefault="007F6F55" w:rsidP="007F6F55">
            <w:pPr>
              <w:jc w:val="center"/>
              <w:rPr>
                <w:b/>
                <w:color w:val="000000"/>
                <w:sz w:val="18"/>
                <w:szCs w:val="18"/>
              </w:rPr>
            </w:pPr>
            <w:r w:rsidRPr="007F6F55">
              <w:rPr>
                <w:b/>
                <w:color w:val="000000"/>
                <w:sz w:val="18"/>
                <w:szCs w:val="18"/>
              </w:rPr>
              <w:t>Hours and Costs Per Respondent Per Activity</w:t>
            </w:r>
          </w:p>
        </w:tc>
        <w:tc>
          <w:tcPr>
            <w:tcW w:w="4545" w:type="dxa"/>
            <w:gridSpan w:val="4"/>
            <w:tcBorders>
              <w:top w:val="single" w:sz="4" w:space="0" w:color="auto"/>
              <w:left w:val="nil"/>
              <w:bottom w:val="single" w:sz="4" w:space="0" w:color="auto"/>
              <w:right w:val="single" w:sz="4" w:space="0" w:color="auto"/>
            </w:tcBorders>
            <w:shd w:val="clear" w:color="000000" w:fill="A6A6A6"/>
            <w:noWrap/>
            <w:vAlign w:val="bottom"/>
            <w:hideMark/>
          </w:tcPr>
          <w:p w14:paraId="5ADA9AD5" w14:textId="3A589A25" w:rsidR="007F6F55" w:rsidRPr="007F6F55" w:rsidRDefault="007F6F55" w:rsidP="007F6F55">
            <w:pPr>
              <w:jc w:val="center"/>
              <w:rPr>
                <w:b/>
                <w:color w:val="000000"/>
                <w:sz w:val="18"/>
                <w:szCs w:val="18"/>
              </w:rPr>
            </w:pPr>
            <w:r w:rsidRPr="007F6F55">
              <w:rPr>
                <w:b/>
                <w:color w:val="000000"/>
                <w:sz w:val="18"/>
                <w:szCs w:val="18"/>
              </w:rPr>
              <w:t>Total Hours and Costs</w:t>
            </w:r>
          </w:p>
        </w:tc>
      </w:tr>
      <w:tr w:rsidR="00BF33EC" w14:paraId="13EE88A3" w14:textId="59A508E9" w:rsidTr="00BF33EC">
        <w:trPr>
          <w:trHeight w:val="480"/>
        </w:trPr>
        <w:tc>
          <w:tcPr>
            <w:tcW w:w="3060" w:type="dxa"/>
            <w:vMerge/>
            <w:tcBorders>
              <w:top w:val="nil"/>
              <w:left w:val="single" w:sz="4" w:space="0" w:color="auto"/>
              <w:bottom w:val="single" w:sz="4" w:space="0" w:color="auto"/>
              <w:right w:val="single" w:sz="4" w:space="0" w:color="auto"/>
            </w:tcBorders>
            <w:vAlign w:val="bottom"/>
            <w:hideMark/>
          </w:tcPr>
          <w:p w14:paraId="406FBF8F" w14:textId="4A1001F3" w:rsidR="007F6F55" w:rsidRPr="007F6F55" w:rsidRDefault="007F6F55" w:rsidP="007F6F55">
            <w:pPr>
              <w:jc w:val="center"/>
              <w:rPr>
                <w:b/>
                <w:sz w:val="18"/>
                <w:szCs w:val="18"/>
              </w:rPr>
            </w:pPr>
          </w:p>
        </w:tc>
        <w:tc>
          <w:tcPr>
            <w:tcW w:w="1136" w:type="dxa"/>
            <w:tcBorders>
              <w:top w:val="nil"/>
              <w:left w:val="nil"/>
              <w:bottom w:val="single" w:sz="4" w:space="0" w:color="auto"/>
              <w:right w:val="single" w:sz="4" w:space="0" w:color="auto"/>
            </w:tcBorders>
            <w:shd w:val="clear" w:color="000000" w:fill="A6A6A6"/>
            <w:vAlign w:val="bottom"/>
            <w:hideMark/>
          </w:tcPr>
          <w:p w14:paraId="1A149716" w14:textId="03AA3E93" w:rsidR="007F6F55" w:rsidRPr="007F6F55" w:rsidRDefault="007F6F55" w:rsidP="007F6F55">
            <w:pPr>
              <w:jc w:val="center"/>
              <w:rPr>
                <w:b/>
                <w:color w:val="000000"/>
                <w:sz w:val="18"/>
                <w:szCs w:val="18"/>
              </w:rPr>
            </w:pPr>
            <w:r w:rsidRPr="007F6F55">
              <w:rPr>
                <w:b/>
                <w:color w:val="000000"/>
                <w:sz w:val="18"/>
                <w:szCs w:val="18"/>
              </w:rPr>
              <w:t>Legal</w:t>
            </w:r>
            <w:r w:rsidRPr="007F6F55">
              <w:rPr>
                <w:b/>
                <w:color w:val="000000"/>
                <w:sz w:val="18"/>
                <w:szCs w:val="18"/>
              </w:rPr>
              <w:br/>
              <w:t>$115.31/hr</w:t>
            </w:r>
          </w:p>
        </w:tc>
        <w:tc>
          <w:tcPr>
            <w:tcW w:w="1136" w:type="dxa"/>
            <w:tcBorders>
              <w:top w:val="nil"/>
              <w:left w:val="nil"/>
              <w:bottom w:val="single" w:sz="4" w:space="0" w:color="auto"/>
              <w:right w:val="single" w:sz="4" w:space="0" w:color="auto"/>
            </w:tcBorders>
            <w:shd w:val="clear" w:color="000000" w:fill="A6A6A6"/>
            <w:vAlign w:val="bottom"/>
            <w:hideMark/>
          </w:tcPr>
          <w:p w14:paraId="22F4DB12" w14:textId="6E2128B4" w:rsidR="007F6F55" w:rsidRPr="007F6F55" w:rsidRDefault="007F6F55" w:rsidP="007F6F55">
            <w:pPr>
              <w:jc w:val="center"/>
              <w:rPr>
                <w:b/>
                <w:color w:val="000000"/>
                <w:sz w:val="18"/>
                <w:szCs w:val="18"/>
              </w:rPr>
            </w:pPr>
            <w:r w:rsidRPr="007F6F55">
              <w:rPr>
                <w:b/>
                <w:color w:val="000000"/>
                <w:sz w:val="18"/>
                <w:szCs w:val="18"/>
              </w:rPr>
              <w:t>Manager</w:t>
            </w:r>
            <w:r w:rsidRPr="007F6F55">
              <w:rPr>
                <w:b/>
                <w:color w:val="000000"/>
                <w:sz w:val="18"/>
                <w:szCs w:val="18"/>
              </w:rPr>
              <w:br/>
              <w:t>$82.95/hr</w:t>
            </w:r>
          </w:p>
        </w:tc>
        <w:tc>
          <w:tcPr>
            <w:tcW w:w="1136" w:type="dxa"/>
            <w:tcBorders>
              <w:top w:val="nil"/>
              <w:left w:val="nil"/>
              <w:bottom w:val="single" w:sz="4" w:space="0" w:color="auto"/>
              <w:right w:val="single" w:sz="4" w:space="0" w:color="auto"/>
            </w:tcBorders>
            <w:shd w:val="clear" w:color="000000" w:fill="A6A6A6"/>
            <w:vAlign w:val="bottom"/>
            <w:hideMark/>
          </w:tcPr>
          <w:p w14:paraId="2684FE3C" w14:textId="32187700" w:rsidR="007F6F55" w:rsidRPr="007F6F55" w:rsidRDefault="007F6F55" w:rsidP="007F6F55">
            <w:pPr>
              <w:jc w:val="center"/>
              <w:rPr>
                <w:b/>
                <w:color w:val="000000"/>
                <w:sz w:val="18"/>
                <w:szCs w:val="18"/>
              </w:rPr>
            </w:pPr>
            <w:r w:rsidRPr="007F6F55">
              <w:rPr>
                <w:b/>
                <w:color w:val="000000"/>
                <w:sz w:val="18"/>
                <w:szCs w:val="18"/>
              </w:rPr>
              <w:t>Technical</w:t>
            </w:r>
            <w:r w:rsidRPr="007F6F55">
              <w:rPr>
                <w:b/>
                <w:color w:val="000000"/>
                <w:sz w:val="18"/>
                <w:szCs w:val="18"/>
              </w:rPr>
              <w:br/>
              <w:t>$58.21/hr</w:t>
            </w:r>
          </w:p>
        </w:tc>
        <w:tc>
          <w:tcPr>
            <w:tcW w:w="1137" w:type="dxa"/>
            <w:tcBorders>
              <w:top w:val="nil"/>
              <w:left w:val="nil"/>
              <w:bottom w:val="single" w:sz="4" w:space="0" w:color="auto"/>
              <w:right w:val="single" w:sz="4" w:space="0" w:color="auto"/>
            </w:tcBorders>
            <w:shd w:val="clear" w:color="000000" w:fill="A6A6A6"/>
            <w:vAlign w:val="bottom"/>
            <w:hideMark/>
          </w:tcPr>
          <w:p w14:paraId="5719FC38" w14:textId="05496BD7" w:rsidR="007F6F55" w:rsidRPr="007F6F55" w:rsidRDefault="007F6F55" w:rsidP="007F6F55">
            <w:pPr>
              <w:jc w:val="center"/>
              <w:rPr>
                <w:b/>
                <w:color w:val="000000"/>
                <w:sz w:val="18"/>
                <w:szCs w:val="18"/>
              </w:rPr>
            </w:pPr>
            <w:r w:rsidRPr="007F6F55">
              <w:rPr>
                <w:b/>
                <w:color w:val="000000"/>
                <w:sz w:val="18"/>
                <w:szCs w:val="18"/>
              </w:rPr>
              <w:t>Clerical</w:t>
            </w:r>
            <w:r w:rsidRPr="007F6F55">
              <w:rPr>
                <w:b/>
                <w:color w:val="000000"/>
                <w:sz w:val="18"/>
                <w:szCs w:val="18"/>
              </w:rPr>
              <w:br/>
              <w:t>$35.39/hr</w:t>
            </w:r>
          </w:p>
        </w:tc>
        <w:tc>
          <w:tcPr>
            <w:tcW w:w="1136" w:type="dxa"/>
            <w:tcBorders>
              <w:top w:val="nil"/>
              <w:left w:val="nil"/>
              <w:bottom w:val="single" w:sz="4" w:space="0" w:color="auto"/>
              <w:right w:val="single" w:sz="4" w:space="0" w:color="auto"/>
            </w:tcBorders>
            <w:shd w:val="clear" w:color="000000" w:fill="A6A6A6"/>
            <w:vAlign w:val="bottom"/>
            <w:hideMark/>
          </w:tcPr>
          <w:p w14:paraId="1AEDC192" w14:textId="57282EB6" w:rsidR="007F6F55" w:rsidRPr="007F6F55" w:rsidRDefault="007F6F55" w:rsidP="007F6F55">
            <w:pPr>
              <w:jc w:val="center"/>
              <w:rPr>
                <w:b/>
                <w:color w:val="000000"/>
                <w:sz w:val="18"/>
                <w:szCs w:val="18"/>
              </w:rPr>
            </w:pPr>
            <w:r w:rsidRPr="007F6F55">
              <w:rPr>
                <w:b/>
                <w:color w:val="000000"/>
                <w:sz w:val="18"/>
                <w:szCs w:val="18"/>
              </w:rPr>
              <w:t>O&amp;M Cost</w:t>
            </w:r>
          </w:p>
        </w:tc>
        <w:tc>
          <w:tcPr>
            <w:tcW w:w="1136" w:type="dxa"/>
            <w:tcBorders>
              <w:top w:val="nil"/>
              <w:left w:val="nil"/>
              <w:bottom w:val="single" w:sz="4" w:space="0" w:color="auto"/>
              <w:right w:val="single" w:sz="4" w:space="0" w:color="auto"/>
            </w:tcBorders>
            <w:shd w:val="clear" w:color="000000" w:fill="A6A6A6"/>
            <w:vAlign w:val="bottom"/>
            <w:hideMark/>
          </w:tcPr>
          <w:p w14:paraId="2E27AD9F" w14:textId="58BB5FD9" w:rsidR="007F6F55" w:rsidRPr="007F6F55" w:rsidRDefault="007F6F55" w:rsidP="007F6F55">
            <w:pPr>
              <w:jc w:val="center"/>
              <w:rPr>
                <w:b/>
                <w:color w:val="000000"/>
                <w:sz w:val="18"/>
                <w:szCs w:val="18"/>
              </w:rPr>
            </w:pPr>
            <w:r w:rsidRPr="007F6F55">
              <w:rPr>
                <w:b/>
                <w:color w:val="000000"/>
                <w:sz w:val="18"/>
                <w:szCs w:val="18"/>
              </w:rPr>
              <w:t>Number of Resp.</w:t>
            </w:r>
          </w:p>
        </w:tc>
        <w:tc>
          <w:tcPr>
            <w:tcW w:w="1136" w:type="dxa"/>
            <w:tcBorders>
              <w:top w:val="nil"/>
              <w:left w:val="nil"/>
              <w:bottom w:val="single" w:sz="4" w:space="0" w:color="auto"/>
              <w:right w:val="single" w:sz="4" w:space="0" w:color="auto"/>
            </w:tcBorders>
            <w:shd w:val="clear" w:color="000000" w:fill="A6A6A6"/>
            <w:vAlign w:val="bottom"/>
            <w:hideMark/>
          </w:tcPr>
          <w:p w14:paraId="433C6D5A" w14:textId="16D3A0CC" w:rsidR="007F6F55" w:rsidRPr="007F6F55" w:rsidRDefault="007F6F55" w:rsidP="007F6F55">
            <w:pPr>
              <w:jc w:val="center"/>
              <w:rPr>
                <w:b/>
                <w:color w:val="000000"/>
                <w:sz w:val="18"/>
                <w:szCs w:val="18"/>
              </w:rPr>
            </w:pPr>
            <w:r w:rsidRPr="007F6F55">
              <w:rPr>
                <w:b/>
                <w:color w:val="000000"/>
                <w:sz w:val="18"/>
                <w:szCs w:val="18"/>
              </w:rPr>
              <w:t>Total Hours</w:t>
            </w:r>
          </w:p>
        </w:tc>
        <w:tc>
          <w:tcPr>
            <w:tcW w:w="1137" w:type="dxa"/>
            <w:tcBorders>
              <w:top w:val="nil"/>
              <w:left w:val="nil"/>
              <w:bottom w:val="single" w:sz="4" w:space="0" w:color="auto"/>
              <w:right w:val="single" w:sz="4" w:space="0" w:color="auto"/>
            </w:tcBorders>
            <w:shd w:val="clear" w:color="000000" w:fill="A6A6A6"/>
            <w:vAlign w:val="bottom"/>
            <w:hideMark/>
          </w:tcPr>
          <w:p w14:paraId="003BDF34" w14:textId="7327D1B5" w:rsidR="007F6F55" w:rsidRPr="007F6F55" w:rsidRDefault="007F6F55" w:rsidP="007F6F55">
            <w:pPr>
              <w:jc w:val="center"/>
              <w:rPr>
                <w:b/>
                <w:color w:val="000000"/>
                <w:sz w:val="18"/>
                <w:szCs w:val="18"/>
              </w:rPr>
            </w:pPr>
            <w:r w:rsidRPr="007F6F55">
              <w:rPr>
                <w:b/>
                <w:color w:val="000000"/>
                <w:sz w:val="18"/>
                <w:szCs w:val="18"/>
              </w:rPr>
              <w:t>Total Cost</w:t>
            </w:r>
          </w:p>
        </w:tc>
      </w:tr>
      <w:tr w:rsidR="007F6F55" w14:paraId="196D3833" w14:textId="225C562C" w:rsidTr="00BF33EC">
        <w:trPr>
          <w:trHeight w:val="300"/>
        </w:trPr>
        <w:tc>
          <w:tcPr>
            <w:tcW w:w="3060" w:type="dxa"/>
            <w:tcBorders>
              <w:top w:val="nil"/>
              <w:left w:val="single" w:sz="4" w:space="0" w:color="auto"/>
              <w:bottom w:val="single" w:sz="4" w:space="0" w:color="auto"/>
              <w:right w:val="single" w:sz="4" w:space="0" w:color="auto"/>
            </w:tcBorders>
            <w:shd w:val="clear" w:color="000000" w:fill="D9D9D9"/>
            <w:noWrap/>
            <w:vAlign w:val="bottom"/>
            <w:hideMark/>
          </w:tcPr>
          <w:p w14:paraId="40FC9847" w14:textId="43F02403" w:rsidR="007F6F55" w:rsidRDefault="007F6F55" w:rsidP="007F6F55">
            <w:pPr>
              <w:rPr>
                <w:b/>
                <w:bCs/>
                <w:color w:val="000000"/>
                <w:sz w:val="18"/>
                <w:szCs w:val="18"/>
              </w:rPr>
            </w:pPr>
            <w:r>
              <w:rPr>
                <w:b/>
                <w:bCs/>
                <w:color w:val="000000"/>
                <w:sz w:val="18"/>
                <w:szCs w:val="18"/>
              </w:rPr>
              <w:t>NOTIFICATION</w:t>
            </w:r>
          </w:p>
        </w:tc>
        <w:tc>
          <w:tcPr>
            <w:tcW w:w="1136" w:type="dxa"/>
            <w:tcBorders>
              <w:top w:val="nil"/>
              <w:left w:val="nil"/>
              <w:bottom w:val="single" w:sz="4" w:space="0" w:color="auto"/>
              <w:right w:val="single" w:sz="4" w:space="0" w:color="auto"/>
            </w:tcBorders>
            <w:shd w:val="clear" w:color="000000" w:fill="D9D9D9"/>
            <w:hideMark/>
          </w:tcPr>
          <w:p w14:paraId="356AB371" w14:textId="66C957FE" w:rsidR="007F6F55" w:rsidRDefault="007F6F55">
            <w:pPr>
              <w:rPr>
                <w:b/>
                <w:bCs/>
                <w:color w:val="000000"/>
                <w:sz w:val="18"/>
                <w:szCs w:val="18"/>
              </w:rPr>
            </w:pPr>
            <w:r>
              <w:rPr>
                <w:b/>
                <w:bCs/>
                <w:color w:val="000000"/>
                <w:sz w:val="18"/>
                <w:szCs w:val="18"/>
              </w:rPr>
              <w:t> </w:t>
            </w:r>
          </w:p>
        </w:tc>
        <w:tc>
          <w:tcPr>
            <w:tcW w:w="1136" w:type="dxa"/>
            <w:tcBorders>
              <w:top w:val="nil"/>
              <w:left w:val="nil"/>
              <w:bottom w:val="single" w:sz="4" w:space="0" w:color="auto"/>
              <w:right w:val="single" w:sz="4" w:space="0" w:color="auto"/>
            </w:tcBorders>
            <w:shd w:val="clear" w:color="000000" w:fill="D9D9D9"/>
            <w:hideMark/>
          </w:tcPr>
          <w:p w14:paraId="5972C553" w14:textId="50C716BD" w:rsidR="007F6F55" w:rsidRDefault="007F6F55">
            <w:pPr>
              <w:rPr>
                <w:b/>
                <w:bCs/>
                <w:color w:val="000000"/>
                <w:sz w:val="18"/>
                <w:szCs w:val="18"/>
              </w:rPr>
            </w:pPr>
            <w:r>
              <w:rPr>
                <w:b/>
                <w:bCs/>
                <w:color w:val="000000"/>
                <w:sz w:val="18"/>
                <w:szCs w:val="18"/>
              </w:rPr>
              <w:t> </w:t>
            </w:r>
          </w:p>
        </w:tc>
        <w:tc>
          <w:tcPr>
            <w:tcW w:w="1136" w:type="dxa"/>
            <w:tcBorders>
              <w:top w:val="nil"/>
              <w:left w:val="nil"/>
              <w:bottom w:val="single" w:sz="4" w:space="0" w:color="auto"/>
              <w:right w:val="single" w:sz="4" w:space="0" w:color="auto"/>
            </w:tcBorders>
            <w:shd w:val="clear" w:color="000000" w:fill="D9D9D9"/>
            <w:hideMark/>
          </w:tcPr>
          <w:p w14:paraId="2308E1BD" w14:textId="656AD658" w:rsidR="007F6F55" w:rsidRDefault="007F6F55">
            <w:pPr>
              <w:rPr>
                <w:b/>
                <w:bCs/>
                <w:color w:val="000000"/>
                <w:sz w:val="18"/>
                <w:szCs w:val="18"/>
              </w:rPr>
            </w:pPr>
            <w:r>
              <w:rPr>
                <w:b/>
                <w:bCs/>
                <w:color w:val="000000"/>
                <w:sz w:val="18"/>
                <w:szCs w:val="18"/>
              </w:rPr>
              <w:t> </w:t>
            </w:r>
          </w:p>
        </w:tc>
        <w:tc>
          <w:tcPr>
            <w:tcW w:w="1137" w:type="dxa"/>
            <w:tcBorders>
              <w:top w:val="nil"/>
              <w:left w:val="nil"/>
              <w:bottom w:val="single" w:sz="4" w:space="0" w:color="auto"/>
              <w:right w:val="single" w:sz="4" w:space="0" w:color="auto"/>
            </w:tcBorders>
            <w:shd w:val="clear" w:color="000000" w:fill="D9D9D9"/>
            <w:hideMark/>
          </w:tcPr>
          <w:p w14:paraId="26C8C84F" w14:textId="00213BF0" w:rsidR="007F6F55" w:rsidRDefault="007F6F55">
            <w:pPr>
              <w:rPr>
                <w:b/>
                <w:bCs/>
                <w:color w:val="000000"/>
                <w:sz w:val="18"/>
                <w:szCs w:val="18"/>
              </w:rPr>
            </w:pPr>
            <w:r>
              <w:rPr>
                <w:b/>
                <w:bCs/>
                <w:color w:val="000000"/>
                <w:sz w:val="18"/>
                <w:szCs w:val="18"/>
              </w:rPr>
              <w:t> </w:t>
            </w:r>
          </w:p>
        </w:tc>
        <w:tc>
          <w:tcPr>
            <w:tcW w:w="1136" w:type="dxa"/>
            <w:tcBorders>
              <w:top w:val="nil"/>
              <w:left w:val="nil"/>
              <w:bottom w:val="single" w:sz="4" w:space="0" w:color="auto"/>
              <w:right w:val="single" w:sz="4" w:space="0" w:color="auto"/>
            </w:tcBorders>
            <w:shd w:val="clear" w:color="000000" w:fill="D9D9D9"/>
            <w:hideMark/>
          </w:tcPr>
          <w:p w14:paraId="7FB93E76" w14:textId="5B3DD15F" w:rsidR="007F6F55" w:rsidRDefault="007F6F55">
            <w:pPr>
              <w:rPr>
                <w:b/>
                <w:bCs/>
                <w:color w:val="000000"/>
                <w:sz w:val="18"/>
                <w:szCs w:val="18"/>
              </w:rPr>
            </w:pPr>
            <w:r>
              <w:rPr>
                <w:b/>
                <w:bCs/>
                <w:color w:val="000000"/>
                <w:sz w:val="18"/>
                <w:szCs w:val="18"/>
              </w:rPr>
              <w:t> </w:t>
            </w:r>
          </w:p>
        </w:tc>
        <w:tc>
          <w:tcPr>
            <w:tcW w:w="1136" w:type="dxa"/>
            <w:tcBorders>
              <w:top w:val="nil"/>
              <w:left w:val="nil"/>
              <w:bottom w:val="single" w:sz="4" w:space="0" w:color="auto"/>
              <w:right w:val="single" w:sz="4" w:space="0" w:color="auto"/>
            </w:tcBorders>
            <w:shd w:val="clear" w:color="000000" w:fill="D9D9D9"/>
            <w:hideMark/>
          </w:tcPr>
          <w:p w14:paraId="009E24D0" w14:textId="318BB094" w:rsidR="007F6F55" w:rsidRDefault="007F6F55">
            <w:pPr>
              <w:rPr>
                <w:b/>
                <w:bCs/>
                <w:color w:val="000000"/>
                <w:sz w:val="18"/>
                <w:szCs w:val="18"/>
              </w:rPr>
            </w:pPr>
            <w:r>
              <w:rPr>
                <w:b/>
                <w:bCs/>
                <w:color w:val="000000"/>
                <w:sz w:val="18"/>
                <w:szCs w:val="18"/>
              </w:rPr>
              <w:t> </w:t>
            </w:r>
          </w:p>
        </w:tc>
        <w:tc>
          <w:tcPr>
            <w:tcW w:w="1136" w:type="dxa"/>
            <w:tcBorders>
              <w:top w:val="nil"/>
              <w:left w:val="nil"/>
              <w:bottom w:val="single" w:sz="4" w:space="0" w:color="auto"/>
              <w:right w:val="single" w:sz="4" w:space="0" w:color="auto"/>
            </w:tcBorders>
            <w:shd w:val="clear" w:color="000000" w:fill="D9D9D9"/>
            <w:hideMark/>
          </w:tcPr>
          <w:p w14:paraId="4DF7016D" w14:textId="02200000" w:rsidR="007F6F55" w:rsidRDefault="007F6F55">
            <w:pPr>
              <w:rPr>
                <w:b/>
                <w:bCs/>
                <w:color w:val="000000"/>
                <w:sz w:val="18"/>
                <w:szCs w:val="18"/>
              </w:rPr>
            </w:pPr>
            <w:r>
              <w:rPr>
                <w:b/>
                <w:bCs/>
                <w:color w:val="000000"/>
                <w:sz w:val="18"/>
                <w:szCs w:val="18"/>
              </w:rPr>
              <w:t> </w:t>
            </w:r>
          </w:p>
        </w:tc>
        <w:tc>
          <w:tcPr>
            <w:tcW w:w="1137" w:type="dxa"/>
            <w:tcBorders>
              <w:top w:val="nil"/>
              <w:left w:val="nil"/>
              <w:bottom w:val="single" w:sz="4" w:space="0" w:color="auto"/>
              <w:right w:val="single" w:sz="4" w:space="0" w:color="auto"/>
            </w:tcBorders>
            <w:shd w:val="clear" w:color="000000" w:fill="D9D9D9"/>
            <w:hideMark/>
          </w:tcPr>
          <w:p w14:paraId="17FE7F7A" w14:textId="1D821495" w:rsidR="007F6F55" w:rsidRDefault="007F6F55">
            <w:pPr>
              <w:rPr>
                <w:b/>
                <w:bCs/>
                <w:color w:val="000000"/>
                <w:sz w:val="18"/>
                <w:szCs w:val="18"/>
              </w:rPr>
            </w:pPr>
            <w:r>
              <w:rPr>
                <w:b/>
                <w:bCs/>
                <w:color w:val="000000"/>
                <w:sz w:val="18"/>
                <w:szCs w:val="18"/>
              </w:rPr>
              <w:t> </w:t>
            </w:r>
          </w:p>
        </w:tc>
      </w:tr>
      <w:tr w:rsidR="00593711" w14:paraId="6B6044F5" w14:textId="3AC4D7F3" w:rsidTr="00B675D3">
        <w:trPr>
          <w:trHeight w:val="480"/>
        </w:trPr>
        <w:tc>
          <w:tcPr>
            <w:tcW w:w="3060" w:type="dxa"/>
            <w:tcBorders>
              <w:top w:val="nil"/>
              <w:left w:val="single" w:sz="4" w:space="0" w:color="auto"/>
              <w:bottom w:val="single" w:sz="4" w:space="0" w:color="auto"/>
              <w:right w:val="single" w:sz="4" w:space="0" w:color="auto"/>
            </w:tcBorders>
            <w:shd w:val="clear" w:color="auto" w:fill="auto"/>
            <w:hideMark/>
          </w:tcPr>
          <w:p w14:paraId="0E11BDF1" w14:textId="02D4FA39" w:rsidR="00593711" w:rsidRDefault="00593711">
            <w:pPr>
              <w:rPr>
                <w:color w:val="000000"/>
                <w:sz w:val="18"/>
                <w:szCs w:val="18"/>
              </w:rPr>
            </w:pPr>
            <w:r>
              <w:rPr>
                <w:color w:val="000000"/>
                <w:sz w:val="18"/>
                <w:szCs w:val="18"/>
              </w:rPr>
              <w:t>Review notification for completeness and accuracy</w:t>
            </w:r>
          </w:p>
        </w:tc>
        <w:tc>
          <w:tcPr>
            <w:tcW w:w="1136" w:type="dxa"/>
            <w:tcBorders>
              <w:top w:val="nil"/>
              <w:left w:val="nil"/>
              <w:bottom w:val="single" w:sz="4" w:space="0" w:color="auto"/>
              <w:right w:val="single" w:sz="4" w:space="0" w:color="auto"/>
            </w:tcBorders>
            <w:shd w:val="clear" w:color="auto" w:fill="auto"/>
            <w:vAlign w:val="bottom"/>
            <w:hideMark/>
          </w:tcPr>
          <w:p w14:paraId="59B08FFB" w14:textId="2C9BF89A" w:rsidR="00593711" w:rsidRDefault="00593711" w:rsidP="00593711">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65906A52" w14:textId="769D082E" w:rsidR="00593711" w:rsidRDefault="00593711" w:rsidP="00593711">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704BB955" w14:textId="014FBD8F" w:rsidR="00593711" w:rsidRDefault="00593711" w:rsidP="00593711">
            <w:pPr>
              <w:jc w:val="right"/>
              <w:rPr>
                <w:color w:val="000000"/>
                <w:sz w:val="18"/>
                <w:szCs w:val="18"/>
              </w:rPr>
            </w:pPr>
            <w:r>
              <w:rPr>
                <w:color w:val="000000"/>
                <w:sz w:val="18"/>
                <w:szCs w:val="18"/>
              </w:rPr>
              <w:t>0.25</w:t>
            </w:r>
          </w:p>
        </w:tc>
        <w:tc>
          <w:tcPr>
            <w:tcW w:w="1137" w:type="dxa"/>
            <w:tcBorders>
              <w:top w:val="nil"/>
              <w:left w:val="nil"/>
              <w:bottom w:val="single" w:sz="4" w:space="0" w:color="auto"/>
              <w:right w:val="single" w:sz="4" w:space="0" w:color="auto"/>
            </w:tcBorders>
            <w:shd w:val="clear" w:color="auto" w:fill="auto"/>
            <w:vAlign w:val="bottom"/>
            <w:hideMark/>
          </w:tcPr>
          <w:p w14:paraId="2411E126" w14:textId="6B27B930" w:rsidR="00593711" w:rsidRDefault="00593711" w:rsidP="00593711">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5CF73E9A" w14:textId="6DF86703" w:rsidR="00593711" w:rsidRDefault="00593711" w:rsidP="00593711">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142984F2" w14:textId="6D94DE24" w:rsidR="00593711" w:rsidRDefault="00593711" w:rsidP="00593711">
            <w:pPr>
              <w:jc w:val="right"/>
              <w:rPr>
                <w:color w:val="000000"/>
                <w:sz w:val="18"/>
                <w:szCs w:val="18"/>
              </w:rPr>
            </w:pPr>
            <w:r>
              <w:rPr>
                <w:color w:val="000000"/>
                <w:sz w:val="18"/>
                <w:szCs w:val="18"/>
              </w:rPr>
              <w:t>6</w:t>
            </w:r>
          </w:p>
        </w:tc>
        <w:tc>
          <w:tcPr>
            <w:tcW w:w="1136" w:type="dxa"/>
            <w:tcBorders>
              <w:top w:val="nil"/>
              <w:left w:val="nil"/>
              <w:bottom w:val="single" w:sz="4" w:space="0" w:color="auto"/>
              <w:right w:val="single" w:sz="4" w:space="0" w:color="auto"/>
            </w:tcBorders>
            <w:shd w:val="clear" w:color="auto" w:fill="auto"/>
            <w:vAlign w:val="bottom"/>
            <w:hideMark/>
          </w:tcPr>
          <w:p w14:paraId="17DDFA14" w14:textId="031AF541" w:rsidR="00593711" w:rsidRDefault="00593711" w:rsidP="00593711">
            <w:pPr>
              <w:jc w:val="right"/>
              <w:rPr>
                <w:color w:val="000000"/>
                <w:sz w:val="18"/>
                <w:szCs w:val="18"/>
              </w:rPr>
            </w:pPr>
            <w:r>
              <w:rPr>
                <w:color w:val="000000"/>
                <w:sz w:val="18"/>
                <w:szCs w:val="18"/>
              </w:rPr>
              <w:t>1</w:t>
            </w:r>
          </w:p>
        </w:tc>
        <w:tc>
          <w:tcPr>
            <w:tcW w:w="1137" w:type="dxa"/>
            <w:tcBorders>
              <w:top w:val="nil"/>
              <w:left w:val="nil"/>
              <w:bottom w:val="single" w:sz="4" w:space="0" w:color="auto"/>
              <w:right w:val="single" w:sz="4" w:space="0" w:color="auto"/>
            </w:tcBorders>
            <w:shd w:val="clear" w:color="auto" w:fill="auto"/>
            <w:vAlign w:val="bottom"/>
            <w:hideMark/>
          </w:tcPr>
          <w:p w14:paraId="39CF93A7" w14:textId="3C3F80ED" w:rsidR="00593711" w:rsidRDefault="00593711" w:rsidP="00593711">
            <w:pPr>
              <w:jc w:val="right"/>
              <w:rPr>
                <w:color w:val="000000"/>
                <w:sz w:val="18"/>
                <w:szCs w:val="18"/>
              </w:rPr>
            </w:pPr>
            <w:r>
              <w:rPr>
                <w:color w:val="000000"/>
                <w:sz w:val="18"/>
                <w:szCs w:val="18"/>
              </w:rPr>
              <w:t>$84</w:t>
            </w:r>
          </w:p>
        </w:tc>
      </w:tr>
      <w:tr w:rsidR="00593711" w14:paraId="72D50EF5" w14:textId="7E723F98" w:rsidTr="00B675D3">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14:paraId="67425C4B" w14:textId="3D81B003" w:rsidR="00593711" w:rsidRDefault="00593711">
            <w:pPr>
              <w:rPr>
                <w:color w:val="000000"/>
                <w:sz w:val="18"/>
                <w:szCs w:val="18"/>
              </w:rPr>
            </w:pPr>
            <w:r w:rsidRPr="00011911">
              <w:rPr>
                <w:sz w:val="18"/>
                <w:szCs w:val="18"/>
              </w:rPr>
              <w:t>Review letter requesting EPA ID number</w:t>
            </w:r>
            <w:r>
              <w:rPr>
                <w:sz w:val="18"/>
                <w:szCs w:val="18"/>
              </w:rPr>
              <w:t xml:space="preserve"> and enter this information into a database</w:t>
            </w:r>
          </w:p>
        </w:tc>
        <w:tc>
          <w:tcPr>
            <w:tcW w:w="1136" w:type="dxa"/>
            <w:tcBorders>
              <w:top w:val="nil"/>
              <w:left w:val="nil"/>
              <w:bottom w:val="single" w:sz="4" w:space="0" w:color="auto"/>
              <w:right w:val="single" w:sz="4" w:space="0" w:color="auto"/>
            </w:tcBorders>
            <w:shd w:val="clear" w:color="auto" w:fill="auto"/>
            <w:vAlign w:val="bottom"/>
            <w:hideMark/>
          </w:tcPr>
          <w:p w14:paraId="77DB9BA9" w14:textId="6B41D46C" w:rsidR="00593711" w:rsidRDefault="00593711" w:rsidP="00593711">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3EEF8A3F" w14:textId="577F1949" w:rsidR="00593711" w:rsidRDefault="00593711" w:rsidP="00593711">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06976370" w14:textId="41F9EE7F" w:rsidR="00593711" w:rsidRDefault="00593711" w:rsidP="00593711">
            <w:pPr>
              <w:jc w:val="right"/>
              <w:rPr>
                <w:color w:val="000000"/>
                <w:sz w:val="18"/>
                <w:szCs w:val="18"/>
              </w:rPr>
            </w:pPr>
            <w:r>
              <w:rPr>
                <w:color w:val="000000"/>
                <w:sz w:val="18"/>
                <w:szCs w:val="18"/>
              </w:rPr>
              <w:t>1.58</w:t>
            </w:r>
          </w:p>
        </w:tc>
        <w:tc>
          <w:tcPr>
            <w:tcW w:w="1137" w:type="dxa"/>
            <w:tcBorders>
              <w:top w:val="nil"/>
              <w:left w:val="nil"/>
              <w:bottom w:val="single" w:sz="4" w:space="0" w:color="auto"/>
              <w:right w:val="single" w:sz="4" w:space="0" w:color="auto"/>
            </w:tcBorders>
            <w:shd w:val="clear" w:color="auto" w:fill="auto"/>
            <w:vAlign w:val="bottom"/>
            <w:hideMark/>
          </w:tcPr>
          <w:p w14:paraId="78CE7D47" w14:textId="2C3F43F9" w:rsidR="00593711" w:rsidRDefault="00593711" w:rsidP="00593711">
            <w:pPr>
              <w:jc w:val="right"/>
              <w:rPr>
                <w:color w:val="000000"/>
                <w:sz w:val="18"/>
                <w:szCs w:val="18"/>
              </w:rPr>
            </w:pPr>
            <w:r>
              <w:rPr>
                <w:color w:val="000000"/>
                <w:sz w:val="18"/>
                <w:szCs w:val="18"/>
              </w:rPr>
              <w:t>0.17</w:t>
            </w:r>
          </w:p>
        </w:tc>
        <w:tc>
          <w:tcPr>
            <w:tcW w:w="1136" w:type="dxa"/>
            <w:tcBorders>
              <w:top w:val="nil"/>
              <w:left w:val="nil"/>
              <w:bottom w:val="single" w:sz="4" w:space="0" w:color="auto"/>
              <w:right w:val="single" w:sz="4" w:space="0" w:color="auto"/>
            </w:tcBorders>
            <w:shd w:val="clear" w:color="auto" w:fill="auto"/>
            <w:vAlign w:val="bottom"/>
            <w:hideMark/>
          </w:tcPr>
          <w:p w14:paraId="24A8F279" w14:textId="121F6606" w:rsidR="00593711" w:rsidRDefault="00593711" w:rsidP="00593711">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006AD22B" w14:textId="5999C15B" w:rsidR="00593711" w:rsidRDefault="00593711" w:rsidP="00593711">
            <w:pPr>
              <w:jc w:val="right"/>
              <w:rPr>
                <w:color w:val="000000"/>
                <w:sz w:val="18"/>
                <w:szCs w:val="18"/>
              </w:rPr>
            </w:pPr>
            <w:r>
              <w:rPr>
                <w:color w:val="000000"/>
                <w:sz w:val="18"/>
                <w:szCs w:val="18"/>
              </w:rPr>
              <w:t>6</w:t>
            </w:r>
          </w:p>
        </w:tc>
        <w:tc>
          <w:tcPr>
            <w:tcW w:w="1136" w:type="dxa"/>
            <w:tcBorders>
              <w:top w:val="nil"/>
              <w:left w:val="nil"/>
              <w:bottom w:val="single" w:sz="4" w:space="0" w:color="auto"/>
              <w:right w:val="single" w:sz="4" w:space="0" w:color="auto"/>
            </w:tcBorders>
            <w:shd w:val="clear" w:color="auto" w:fill="auto"/>
            <w:vAlign w:val="bottom"/>
            <w:hideMark/>
          </w:tcPr>
          <w:p w14:paraId="1D0D76AB" w14:textId="7A9B9D57" w:rsidR="00593711" w:rsidRDefault="00593711" w:rsidP="00593711">
            <w:pPr>
              <w:jc w:val="right"/>
              <w:rPr>
                <w:color w:val="000000"/>
                <w:sz w:val="18"/>
                <w:szCs w:val="18"/>
              </w:rPr>
            </w:pPr>
            <w:r>
              <w:rPr>
                <w:color w:val="000000"/>
                <w:sz w:val="18"/>
                <w:szCs w:val="18"/>
              </w:rPr>
              <w:t>10</w:t>
            </w:r>
          </w:p>
        </w:tc>
        <w:tc>
          <w:tcPr>
            <w:tcW w:w="1137" w:type="dxa"/>
            <w:tcBorders>
              <w:top w:val="nil"/>
              <w:left w:val="nil"/>
              <w:bottom w:val="single" w:sz="4" w:space="0" w:color="auto"/>
              <w:right w:val="single" w:sz="4" w:space="0" w:color="auto"/>
            </w:tcBorders>
            <w:shd w:val="clear" w:color="auto" w:fill="auto"/>
            <w:vAlign w:val="bottom"/>
            <w:hideMark/>
          </w:tcPr>
          <w:p w14:paraId="288E36B2" w14:textId="3EF01847" w:rsidR="00593711" w:rsidRDefault="00593711" w:rsidP="00593711">
            <w:pPr>
              <w:jc w:val="right"/>
              <w:rPr>
                <w:color w:val="000000"/>
                <w:sz w:val="18"/>
                <w:szCs w:val="18"/>
              </w:rPr>
            </w:pPr>
            <w:r>
              <w:rPr>
                <w:color w:val="000000"/>
                <w:sz w:val="18"/>
                <w:szCs w:val="18"/>
              </w:rPr>
              <w:t>$565</w:t>
            </w:r>
          </w:p>
        </w:tc>
      </w:tr>
      <w:tr w:rsidR="00593711" w14:paraId="14BE472E" w14:textId="4DF2BA67" w:rsidTr="00B675D3">
        <w:trPr>
          <w:trHeight w:val="300"/>
        </w:trPr>
        <w:tc>
          <w:tcPr>
            <w:tcW w:w="3060" w:type="dxa"/>
            <w:tcBorders>
              <w:top w:val="nil"/>
              <w:left w:val="single" w:sz="4" w:space="0" w:color="auto"/>
              <w:bottom w:val="single" w:sz="4" w:space="0" w:color="auto"/>
              <w:right w:val="single" w:sz="4" w:space="0" w:color="auto"/>
            </w:tcBorders>
            <w:shd w:val="clear" w:color="auto" w:fill="auto"/>
            <w:noWrap/>
            <w:hideMark/>
          </w:tcPr>
          <w:p w14:paraId="72ABCFB7" w14:textId="1A407C23" w:rsidR="00593711" w:rsidRDefault="00593711">
            <w:pPr>
              <w:rPr>
                <w:color w:val="000000"/>
                <w:sz w:val="18"/>
                <w:szCs w:val="18"/>
              </w:rPr>
            </w:pPr>
            <w:r w:rsidRPr="00011911">
              <w:rPr>
                <w:sz w:val="18"/>
                <w:szCs w:val="18"/>
              </w:rPr>
              <w:t xml:space="preserve">Generate EPA ID number and send </w:t>
            </w:r>
            <w:r>
              <w:rPr>
                <w:sz w:val="18"/>
                <w:szCs w:val="18"/>
              </w:rPr>
              <w:t>EPA ID number to</w:t>
            </w:r>
            <w:r w:rsidRPr="00011911">
              <w:rPr>
                <w:sz w:val="18"/>
                <w:szCs w:val="18"/>
              </w:rPr>
              <w:t xml:space="preserve"> facility</w:t>
            </w:r>
          </w:p>
        </w:tc>
        <w:tc>
          <w:tcPr>
            <w:tcW w:w="1136" w:type="dxa"/>
            <w:tcBorders>
              <w:top w:val="nil"/>
              <w:left w:val="nil"/>
              <w:bottom w:val="single" w:sz="4" w:space="0" w:color="auto"/>
              <w:right w:val="single" w:sz="4" w:space="0" w:color="auto"/>
            </w:tcBorders>
            <w:shd w:val="clear" w:color="auto" w:fill="auto"/>
            <w:vAlign w:val="bottom"/>
            <w:hideMark/>
          </w:tcPr>
          <w:p w14:paraId="444C87B5" w14:textId="1BE0376F" w:rsidR="00593711" w:rsidRDefault="00593711" w:rsidP="00593711">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46FEF7B5" w14:textId="03BB566C" w:rsidR="00593711" w:rsidRDefault="00593711" w:rsidP="00593711">
            <w:pPr>
              <w:jc w:val="right"/>
              <w:rPr>
                <w:color w:val="000000"/>
                <w:sz w:val="18"/>
                <w:szCs w:val="18"/>
              </w:rPr>
            </w:pPr>
            <w:r>
              <w:rPr>
                <w:color w:val="000000"/>
                <w:sz w:val="18"/>
                <w:szCs w:val="18"/>
              </w:rPr>
              <w:t>0.00</w:t>
            </w:r>
          </w:p>
        </w:tc>
        <w:tc>
          <w:tcPr>
            <w:tcW w:w="1136" w:type="dxa"/>
            <w:tcBorders>
              <w:top w:val="nil"/>
              <w:left w:val="nil"/>
              <w:bottom w:val="single" w:sz="4" w:space="0" w:color="auto"/>
              <w:right w:val="single" w:sz="4" w:space="0" w:color="auto"/>
            </w:tcBorders>
            <w:shd w:val="clear" w:color="auto" w:fill="auto"/>
            <w:vAlign w:val="bottom"/>
            <w:hideMark/>
          </w:tcPr>
          <w:p w14:paraId="3E71A323" w14:textId="44EF3072" w:rsidR="00593711" w:rsidRDefault="00593711" w:rsidP="00593711">
            <w:pPr>
              <w:jc w:val="right"/>
              <w:rPr>
                <w:color w:val="000000"/>
                <w:sz w:val="18"/>
                <w:szCs w:val="18"/>
              </w:rPr>
            </w:pPr>
            <w:r>
              <w:rPr>
                <w:color w:val="000000"/>
                <w:sz w:val="18"/>
                <w:szCs w:val="18"/>
              </w:rPr>
              <w:t>0.02</w:t>
            </w:r>
          </w:p>
        </w:tc>
        <w:tc>
          <w:tcPr>
            <w:tcW w:w="1137" w:type="dxa"/>
            <w:tcBorders>
              <w:top w:val="nil"/>
              <w:left w:val="nil"/>
              <w:bottom w:val="single" w:sz="4" w:space="0" w:color="auto"/>
              <w:right w:val="single" w:sz="4" w:space="0" w:color="auto"/>
            </w:tcBorders>
            <w:shd w:val="clear" w:color="auto" w:fill="auto"/>
            <w:vAlign w:val="bottom"/>
            <w:hideMark/>
          </w:tcPr>
          <w:p w14:paraId="288C3B06" w14:textId="27225CA2" w:rsidR="00593711" w:rsidRDefault="00593711" w:rsidP="00593711">
            <w:pPr>
              <w:jc w:val="right"/>
              <w:rPr>
                <w:color w:val="000000"/>
                <w:sz w:val="18"/>
                <w:szCs w:val="18"/>
              </w:rPr>
            </w:pPr>
            <w:r>
              <w:rPr>
                <w:color w:val="000000"/>
                <w:sz w:val="18"/>
                <w:szCs w:val="18"/>
              </w:rPr>
              <w:t>0.40</w:t>
            </w:r>
          </w:p>
        </w:tc>
        <w:tc>
          <w:tcPr>
            <w:tcW w:w="1136" w:type="dxa"/>
            <w:tcBorders>
              <w:top w:val="nil"/>
              <w:left w:val="nil"/>
              <w:bottom w:val="single" w:sz="4" w:space="0" w:color="auto"/>
              <w:right w:val="single" w:sz="4" w:space="0" w:color="auto"/>
            </w:tcBorders>
            <w:shd w:val="clear" w:color="auto" w:fill="auto"/>
            <w:vAlign w:val="bottom"/>
            <w:hideMark/>
          </w:tcPr>
          <w:p w14:paraId="26C12FB2" w14:textId="6C4876CF" w:rsidR="00593711" w:rsidRDefault="00593711" w:rsidP="00593711">
            <w:pPr>
              <w:jc w:val="right"/>
              <w:rPr>
                <w:color w:val="000000"/>
                <w:sz w:val="18"/>
                <w:szCs w:val="18"/>
              </w:rPr>
            </w:pPr>
            <w:r>
              <w:rPr>
                <w:color w:val="000000"/>
                <w:sz w:val="18"/>
                <w:szCs w:val="18"/>
              </w:rPr>
              <w:t>0.49</w:t>
            </w:r>
          </w:p>
        </w:tc>
        <w:tc>
          <w:tcPr>
            <w:tcW w:w="1136" w:type="dxa"/>
            <w:tcBorders>
              <w:top w:val="nil"/>
              <w:left w:val="nil"/>
              <w:bottom w:val="single" w:sz="4" w:space="0" w:color="auto"/>
              <w:right w:val="single" w:sz="4" w:space="0" w:color="auto"/>
            </w:tcBorders>
            <w:shd w:val="clear" w:color="auto" w:fill="auto"/>
            <w:vAlign w:val="bottom"/>
            <w:hideMark/>
          </w:tcPr>
          <w:p w14:paraId="5C4F8353" w14:textId="3302D9BD" w:rsidR="00593711" w:rsidRDefault="00593711" w:rsidP="00593711">
            <w:pPr>
              <w:jc w:val="right"/>
              <w:rPr>
                <w:color w:val="000000"/>
                <w:sz w:val="18"/>
                <w:szCs w:val="18"/>
              </w:rPr>
            </w:pPr>
            <w:r>
              <w:rPr>
                <w:color w:val="000000"/>
                <w:sz w:val="18"/>
                <w:szCs w:val="18"/>
              </w:rPr>
              <w:t>6</w:t>
            </w:r>
          </w:p>
        </w:tc>
        <w:tc>
          <w:tcPr>
            <w:tcW w:w="1136" w:type="dxa"/>
            <w:tcBorders>
              <w:top w:val="nil"/>
              <w:left w:val="nil"/>
              <w:bottom w:val="single" w:sz="4" w:space="0" w:color="auto"/>
              <w:right w:val="single" w:sz="4" w:space="0" w:color="auto"/>
            </w:tcBorders>
            <w:shd w:val="clear" w:color="auto" w:fill="auto"/>
            <w:vAlign w:val="bottom"/>
            <w:hideMark/>
          </w:tcPr>
          <w:p w14:paraId="716DE1D0" w14:textId="0F67E8C7" w:rsidR="00593711" w:rsidRDefault="00593711" w:rsidP="00593711">
            <w:pPr>
              <w:jc w:val="right"/>
              <w:rPr>
                <w:color w:val="000000"/>
                <w:sz w:val="18"/>
                <w:szCs w:val="18"/>
              </w:rPr>
            </w:pPr>
            <w:r>
              <w:rPr>
                <w:color w:val="000000"/>
                <w:sz w:val="18"/>
                <w:szCs w:val="18"/>
              </w:rPr>
              <w:t>2</w:t>
            </w:r>
          </w:p>
        </w:tc>
        <w:tc>
          <w:tcPr>
            <w:tcW w:w="1137" w:type="dxa"/>
            <w:tcBorders>
              <w:top w:val="nil"/>
              <w:left w:val="nil"/>
              <w:bottom w:val="single" w:sz="4" w:space="0" w:color="auto"/>
              <w:right w:val="single" w:sz="4" w:space="0" w:color="auto"/>
            </w:tcBorders>
            <w:shd w:val="clear" w:color="auto" w:fill="auto"/>
            <w:vAlign w:val="bottom"/>
            <w:hideMark/>
          </w:tcPr>
          <w:p w14:paraId="1F7CE086" w14:textId="2059C7DA" w:rsidR="00593711" w:rsidRDefault="00593711" w:rsidP="00593711">
            <w:pPr>
              <w:jc w:val="right"/>
              <w:rPr>
                <w:color w:val="000000"/>
                <w:sz w:val="18"/>
                <w:szCs w:val="18"/>
              </w:rPr>
            </w:pPr>
            <w:r>
              <w:rPr>
                <w:color w:val="000000"/>
                <w:sz w:val="18"/>
                <w:szCs w:val="18"/>
              </w:rPr>
              <w:t>$88</w:t>
            </w:r>
          </w:p>
        </w:tc>
      </w:tr>
      <w:tr w:rsidR="00593711" w14:paraId="3F74B54D" w14:textId="478E5936" w:rsidTr="00B675D3">
        <w:trPr>
          <w:trHeight w:val="300"/>
        </w:trPr>
        <w:tc>
          <w:tcPr>
            <w:tcW w:w="8741" w:type="dxa"/>
            <w:gridSpan w:val="6"/>
            <w:tcBorders>
              <w:top w:val="nil"/>
              <w:left w:val="single" w:sz="4" w:space="0" w:color="auto"/>
              <w:bottom w:val="single" w:sz="4" w:space="0" w:color="auto"/>
              <w:right w:val="single" w:sz="4" w:space="0" w:color="auto"/>
            </w:tcBorders>
            <w:shd w:val="clear" w:color="000000" w:fill="D9D9D9"/>
            <w:hideMark/>
          </w:tcPr>
          <w:p w14:paraId="62BD62A9" w14:textId="526CF7EB" w:rsidR="00593711" w:rsidRDefault="00593711" w:rsidP="00625742">
            <w:pPr>
              <w:rPr>
                <w:color w:val="000000"/>
                <w:sz w:val="18"/>
                <w:szCs w:val="18"/>
              </w:rPr>
            </w:pPr>
            <w:r>
              <w:rPr>
                <w:b/>
                <w:bCs/>
                <w:color w:val="000000"/>
                <w:sz w:val="18"/>
                <w:szCs w:val="18"/>
              </w:rPr>
              <w:t>TOTAL</w:t>
            </w:r>
          </w:p>
        </w:tc>
        <w:tc>
          <w:tcPr>
            <w:tcW w:w="1136" w:type="dxa"/>
            <w:tcBorders>
              <w:top w:val="nil"/>
              <w:left w:val="nil"/>
              <w:bottom w:val="single" w:sz="4" w:space="0" w:color="auto"/>
              <w:right w:val="single" w:sz="4" w:space="0" w:color="auto"/>
            </w:tcBorders>
            <w:shd w:val="clear" w:color="000000" w:fill="D9D9D9"/>
            <w:vAlign w:val="bottom"/>
            <w:hideMark/>
          </w:tcPr>
          <w:p w14:paraId="167EDB04" w14:textId="2F54BA75" w:rsidR="00593711" w:rsidRDefault="00593711" w:rsidP="00593711">
            <w:pPr>
              <w:jc w:val="right"/>
              <w:rPr>
                <w:sz w:val="18"/>
                <w:szCs w:val="18"/>
              </w:rPr>
            </w:pPr>
            <w:r>
              <w:rPr>
                <w:sz w:val="18"/>
                <w:szCs w:val="18"/>
              </w:rPr>
              <w:t>6</w:t>
            </w:r>
          </w:p>
        </w:tc>
        <w:tc>
          <w:tcPr>
            <w:tcW w:w="1136" w:type="dxa"/>
            <w:tcBorders>
              <w:top w:val="nil"/>
              <w:left w:val="nil"/>
              <w:bottom w:val="single" w:sz="4" w:space="0" w:color="auto"/>
              <w:right w:val="single" w:sz="4" w:space="0" w:color="auto"/>
            </w:tcBorders>
            <w:shd w:val="clear" w:color="000000" w:fill="D9D9D9"/>
            <w:vAlign w:val="bottom"/>
            <w:hideMark/>
          </w:tcPr>
          <w:p w14:paraId="1BA4F854" w14:textId="6081E030" w:rsidR="00593711" w:rsidRDefault="00593711" w:rsidP="00593711">
            <w:pPr>
              <w:jc w:val="right"/>
              <w:rPr>
                <w:color w:val="000000"/>
                <w:sz w:val="18"/>
                <w:szCs w:val="18"/>
              </w:rPr>
            </w:pPr>
            <w:r>
              <w:rPr>
                <w:color w:val="000000"/>
                <w:sz w:val="18"/>
                <w:szCs w:val="18"/>
              </w:rPr>
              <w:t>14</w:t>
            </w:r>
          </w:p>
        </w:tc>
        <w:tc>
          <w:tcPr>
            <w:tcW w:w="1137" w:type="dxa"/>
            <w:tcBorders>
              <w:top w:val="nil"/>
              <w:left w:val="nil"/>
              <w:bottom w:val="single" w:sz="4" w:space="0" w:color="auto"/>
              <w:right w:val="single" w:sz="4" w:space="0" w:color="auto"/>
            </w:tcBorders>
            <w:shd w:val="clear" w:color="000000" w:fill="D9D9D9"/>
            <w:vAlign w:val="bottom"/>
            <w:hideMark/>
          </w:tcPr>
          <w:p w14:paraId="22D77A1F" w14:textId="7182686D" w:rsidR="00593711" w:rsidRDefault="00593711" w:rsidP="00593711">
            <w:pPr>
              <w:jc w:val="right"/>
              <w:rPr>
                <w:color w:val="000000"/>
                <w:sz w:val="18"/>
                <w:szCs w:val="18"/>
              </w:rPr>
            </w:pPr>
            <w:r>
              <w:rPr>
                <w:color w:val="000000"/>
                <w:sz w:val="18"/>
                <w:szCs w:val="18"/>
              </w:rPr>
              <w:t>$737</w:t>
            </w:r>
          </w:p>
        </w:tc>
      </w:tr>
      <w:tr w:rsidR="007F6F55" w14:paraId="1FA76609" w14:textId="63D8D685" w:rsidTr="00BF33EC">
        <w:trPr>
          <w:trHeight w:val="300"/>
        </w:trPr>
        <w:tc>
          <w:tcPr>
            <w:tcW w:w="12150" w:type="dxa"/>
            <w:gridSpan w:val="9"/>
            <w:tcBorders>
              <w:top w:val="single" w:sz="4" w:space="0" w:color="auto"/>
              <w:left w:val="single" w:sz="4" w:space="0" w:color="auto"/>
              <w:bottom w:val="single" w:sz="4" w:space="0" w:color="auto"/>
              <w:right w:val="single" w:sz="4" w:space="0" w:color="auto"/>
            </w:tcBorders>
            <w:shd w:val="clear" w:color="auto" w:fill="auto"/>
          </w:tcPr>
          <w:p w14:paraId="7B5C3418" w14:textId="39B3F6CA" w:rsidR="007F6F55" w:rsidRPr="00095BC3" w:rsidRDefault="007F6F55" w:rsidP="007F6F55">
            <w:pPr>
              <w:rPr>
                <w:color w:val="000000"/>
                <w:sz w:val="18"/>
                <w:szCs w:val="18"/>
                <w:u w:val="single"/>
              </w:rPr>
            </w:pPr>
            <w:r w:rsidRPr="00095BC3">
              <w:rPr>
                <w:color w:val="000000"/>
                <w:sz w:val="18"/>
                <w:szCs w:val="18"/>
                <w:u w:val="single"/>
              </w:rPr>
              <w:t>Notes:</w:t>
            </w:r>
          </w:p>
          <w:p w14:paraId="1B4776DB" w14:textId="15FE9CFA" w:rsidR="00BC58A3" w:rsidRDefault="007F6F55" w:rsidP="007F6F55">
            <w:pPr>
              <w:rPr>
                <w:color w:val="000000"/>
                <w:sz w:val="18"/>
                <w:szCs w:val="18"/>
              </w:rPr>
            </w:pPr>
            <w:r>
              <w:rPr>
                <w:color w:val="000000"/>
                <w:sz w:val="18"/>
                <w:szCs w:val="18"/>
              </w:rPr>
              <w:t>Numbers may not sum due to rounding.</w:t>
            </w:r>
          </w:p>
        </w:tc>
      </w:tr>
    </w:tbl>
    <w:p w14:paraId="7B547906" w14:textId="3A23A5E7" w:rsidR="00E05801" w:rsidRDefault="00E05801" w:rsidP="00C94474">
      <w:pPr>
        <w:rPr>
          <w:b/>
          <w:bCs/>
          <w:szCs w:val="28"/>
        </w:rPr>
        <w:sectPr w:rsidR="00E05801" w:rsidSect="00E05801">
          <w:pgSz w:w="15840" w:h="12240" w:orient="landscape"/>
          <w:pgMar w:top="1080" w:right="1440" w:bottom="1080" w:left="1440" w:header="720" w:footer="720" w:gutter="0"/>
          <w:cols w:space="720"/>
          <w:docGrid w:linePitch="360"/>
        </w:sectPr>
      </w:pPr>
    </w:p>
    <w:p w14:paraId="72B3D084" w14:textId="77777777" w:rsidR="00E05801" w:rsidRPr="0090669D" w:rsidRDefault="00E05801" w:rsidP="00C94474">
      <w:pPr>
        <w:rPr>
          <w:b/>
          <w:bCs/>
        </w:rPr>
      </w:pPr>
      <w:r w:rsidRPr="0090669D">
        <w:rPr>
          <w:b/>
          <w:bCs/>
        </w:rPr>
        <w:t>6(</w:t>
      </w:r>
      <w:r>
        <w:rPr>
          <w:b/>
          <w:bCs/>
        </w:rPr>
        <w:t>g</w:t>
      </w:r>
      <w:r w:rsidRPr="0090669D">
        <w:rPr>
          <w:b/>
          <w:bCs/>
        </w:rPr>
        <w:t>)</w:t>
      </w:r>
      <w:r w:rsidRPr="0090669D">
        <w:rPr>
          <w:b/>
          <w:bCs/>
        </w:rPr>
        <w:tab/>
        <w:t>Burden Statement</w:t>
      </w:r>
    </w:p>
    <w:p w14:paraId="77535169" w14:textId="77777777" w:rsidR="00E05801" w:rsidRPr="0090669D" w:rsidRDefault="00E05801" w:rsidP="00E05801">
      <w:pPr>
        <w:rPr>
          <w:b/>
          <w:bCs/>
        </w:rPr>
      </w:pPr>
    </w:p>
    <w:p w14:paraId="526713EB" w14:textId="658BE08B" w:rsidR="004C07A4" w:rsidRDefault="00E05801" w:rsidP="00E05801">
      <w:pPr>
        <w:pStyle w:val="Default"/>
        <w:ind w:firstLine="720"/>
        <w:rPr>
          <w:rFonts w:ascii="Times New Roman" w:hAnsi="Times New Roman" w:cs="Times New Roman"/>
        </w:rPr>
      </w:pPr>
      <w:r w:rsidRPr="000B3556">
        <w:rPr>
          <w:rFonts w:ascii="Times New Roman" w:hAnsi="Times New Roman" w:cs="Times New Roman"/>
        </w:rPr>
        <w:t>The average</w:t>
      </w:r>
      <w:r w:rsidR="00FC27F5">
        <w:rPr>
          <w:rFonts w:ascii="Times New Roman" w:hAnsi="Times New Roman" w:cs="Times New Roman"/>
        </w:rPr>
        <w:t xml:space="preserve"> </w:t>
      </w:r>
      <w:r w:rsidR="00AA5DF6">
        <w:rPr>
          <w:rFonts w:ascii="Times New Roman" w:hAnsi="Times New Roman" w:cs="Times New Roman"/>
        </w:rPr>
        <w:t xml:space="preserve">per-facility </w:t>
      </w:r>
      <w:r w:rsidRPr="000405F9">
        <w:rPr>
          <w:rFonts w:ascii="Times New Roman" w:hAnsi="Times New Roman" w:cs="Times New Roman"/>
        </w:rPr>
        <w:t xml:space="preserve">public reporting and recordkeeping burden for this collection of information during the first year of the rule is estimated to be </w:t>
      </w:r>
      <w:r w:rsidR="00B220B2">
        <w:rPr>
          <w:rFonts w:ascii="Times New Roman" w:hAnsi="Times New Roman" w:cs="Times New Roman"/>
        </w:rPr>
        <w:t>3</w:t>
      </w:r>
      <w:r w:rsidR="00043A1B" w:rsidRPr="000405F9">
        <w:rPr>
          <w:rFonts w:ascii="Times New Roman" w:hAnsi="Times New Roman" w:cs="Times New Roman"/>
        </w:rPr>
        <w:t xml:space="preserve"> </w:t>
      </w:r>
      <w:r w:rsidR="004F005B" w:rsidRPr="000405F9">
        <w:rPr>
          <w:rFonts w:ascii="Times New Roman" w:hAnsi="Times New Roman" w:cs="Times New Roman"/>
        </w:rPr>
        <w:t>hours for LQGs</w:t>
      </w:r>
      <w:r w:rsidR="00FC27F5" w:rsidRPr="000405F9">
        <w:rPr>
          <w:rFonts w:ascii="Times New Roman" w:hAnsi="Times New Roman" w:cs="Times New Roman"/>
        </w:rPr>
        <w:t xml:space="preserve"> that remain LQGs post-rule</w:t>
      </w:r>
      <w:r w:rsidR="004F005B" w:rsidRPr="000405F9">
        <w:rPr>
          <w:rFonts w:ascii="Times New Roman" w:hAnsi="Times New Roman" w:cs="Times New Roman"/>
        </w:rPr>
        <w:t xml:space="preserve">, </w:t>
      </w:r>
      <w:r w:rsidR="00B220B2">
        <w:rPr>
          <w:rFonts w:ascii="Times New Roman" w:hAnsi="Times New Roman" w:cs="Times New Roman"/>
        </w:rPr>
        <w:t>3</w:t>
      </w:r>
      <w:r w:rsidR="00043A1B" w:rsidRPr="000405F9">
        <w:rPr>
          <w:rFonts w:ascii="Times New Roman" w:hAnsi="Times New Roman" w:cs="Times New Roman"/>
        </w:rPr>
        <w:t xml:space="preserve"> </w:t>
      </w:r>
      <w:r w:rsidRPr="000405F9">
        <w:rPr>
          <w:rFonts w:ascii="Times New Roman" w:hAnsi="Times New Roman" w:cs="Times New Roman"/>
        </w:rPr>
        <w:t>hours for</w:t>
      </w:r>
      <w:r w:rsidR="00FC27F5" w:rsidRPr="000405F9">
        <w:rPr>
          <w:rFonts w:ascii="Times New Roman" w:hAnsi="Times New Roman" w:cs="Times New Roman"/>
        </w:rPr>
        <w:t xml:space="preserve"> LQGs that become</w:t>
      </w:r>
      <w:r w:rsidRPr="000405F9">
        <w:rPr>
          <w:rFonts w:ascii="Times New Roman" w:hAnsi="Times New Roman" w:cs="Times New Roman"/>
        </w:rPr>
        <w:t xml:space="preserve"> SQGs, </w:t>
      </w:r>
      <w:r w:rsidR="006D3C5E">
        <w:rPr>
          <w:rFonts w:ascii="Times New Roman" w:hAnsi="Times New Roman" w:cs="Times New Roman"/>
        </w:rPr>
        <w:t>2</w:t>
      </w:r>
      <w:r w:rsidR="00B220B2">
        <w:rPr>
          <w:rFonts w:ascii="Times New Roman" w:hAnsi="Times New Roman" w:cs="Times New Roman"/>
        </w:rPr>
        <w:t>2</w:t>
      </w:r>
      <w:r w:rsidR="00043A1B" w:rsidRPr="000405F9">
        <w:rPr>
          <w:rFonts w:ascii="Times New Roman" w:hAnsi="Times New Roman" w:cs="Times New Roman"/>
        </w:rPr>
        <w:t xml:space="preserve"> </w:t>
      </w:r>
      <w:r w:rsidRPr="000405F9">
        <w:rPr>
          <w:rFonts w:ascii="Times New Roman" w:hAnsi="Times New Roman" w:cs="Times New Roman"/>
        </w:rPr>
        <w:t xml:space="preserve">hours for </w:t>
      </w:r>
      <w:r w:rsidR="00FC27F5" w:rsidRPr="000405F9">
        <w:rPr>
          <w:rFonts w:ascii="Times New Roman" w:hAnsi="Times New Roman" w:cs="Times New Roman"/>
        </w:rPr>
        <w:t xml:space="preserve">LQGs that become LQHs, </w:t>
      </w:r>
      <w:r w:rsidR="00B220B2">
        <w:rPr>
          <w:rFonts w:ascii="Times New Roman" w:hAnsi="Times New Roman" w:cs="Times New Roman"/>
        </w:rPr>
        <w:t>21</w:t>
      </w:r>
      <w:r w:rsidR="00043A1B" w:rsidRPr="000405F9">
        <w:rPr>
          <w:rFonts w:ascii="Times New Roman" w:hAnsi="Times New Roman" w:cs="Times New Roman"/>
        </w:rPr>
        <w:t xml:space="preserve"> </w:t>
      </w:r>
      <w:r w:rsidR="00FC27F5" w:rsidRPr="000405F9">
        <w:rPr>
          <w:rFonts w:ascii="Times New Roman" w:hAnsi="Times New Roman" w:cs="Times New Roman"/>
        </w:rPr>
        <w:t xml:space="preserve">hours for SQGs that become LQHs, and </w:t>
      </w:r>
      <w:r w:rsidR="00B220B2">
        <w:rPr>
          <w:rFonts w:ascii="Times New Roman" w:hAnsi="Times New Roman" w:cs="Times New Roman"/>
        </w:rPr>
        <w:t>9</w:t>
      </w:r>
      <w:r w:rsidR="00043A1B" w:rsidRPr="000405F9">
        <w:rPr>
          <w:rFonts w:ascii="Times New Roman" w:hAnsi="Times New Roman" w:cs="Times New Roman"/>
        </w:rPr>
        <w:t xml:space="preserve"> </w:t>
      </w:r>
      <w:r w:rsidR="00FC27F5" w:rsidRPr="000405F9">
        <w:rPr>
          <w:rFonts w:ascii="Times New Roman" w:hAnsi="Times New Roman" w:cs="Times New Roman"/>
        </w:rPr>
        <w:t>hours for SQGs that become SQHs.</w:t>
      </w:r>
      <w:r w:rsidRPr="000405F9">
        <w:rPr>
          <w:rFonts w:ascii="Times New Roman" w:hAnsi="Times New Roman" w:cs="Times New Roman"/>
        </w:rPr>
        <w:t xml:space="preserve"> Under the </w:t>
      </w:r>
      <w:r w:rsidR="004F005B" w:rsidRPr="000405F9">
        <w:rPr>
          <w:rFonts w:ascii="Times New Roman" w:hAnsi="Times New Roman" w:cs="Times New Roman"/>
        </w:rPr>
        <w:t>proposed</w:t>
      </w:r>
      <w:r w:rsidRPr="000405F9">
        <w:rPr>
          <w:rFonts w:ascii="Times New Roman" w:hAnsi="Times New Roman" w:cs="Times New Roman"/>
        </w:rPr>
        <w:t xml:space="preserve"> rule, the </w:t>
      </w:r>
      <w:r w:rsidR="00FC27F5" w:rsidRPr="000405F9">
        <w:rPr>
          <w:rFonts w:ascii="Times New Roman" w:hAnsi="Times New Roman" w:cs="Times New Roman"/>
        </w:rPr>
        <w:t xml:space="preserve">total </w:t>
      </w:r>
      <w:r w:rsidRPr="000405F9">
        <w:rPr>
          <w:rFonts w:ascii="Times New Roman" w:hAnsi="Times New Roman" w:cs="Times New Roman"/>
        </w:rPr>
        <w:t>annual cost</w:t>
      </w:r>
      <w:r w:rsidR="00043A1B">
        <w:rPr>
          <w:rFonts w:ascii="Times New Roman" w:hAnsi="Times New Roman" w:cs="Times New Roman"/>
        </w:rPr>
        <w:t>s</w:t>
      </w:r>
      <w:r w:rsidRPr="000405F9">
        <w:rPr>
          <w:rFonts w:ascii="Times New Roman" w:hAnsi="Times New Roman" w:cs="Times New Roman"/>
        </w:rPr>
        <w:t xml:space="preserve"> related to information collection requirements are estimated to be </w:t>
      </w:r>
      <w:r w:rsidR="00B220B2">
        <w:rPr>
          <w:rFonts w:ascii="Times New Roman" w:hAnsi="Times New Roman" w:cs="Times New Roman"/>
        </w:rPr>
        <w:t>379</w:t>
      </w:r>
      <w:r w:rsidR="00FC27F5" w:rsidRPr="000405F9">
        <w:rPr>
          <w:rFonts w:ascii="Times New Roman" w:hAnsi="Times New Roman" w:cs="Times New Roman"/>
        </w:rPr>
        <w:t xml:space="preserve"> hours for LQGs that remain LQGs, </w:t>
      </w:r>
      <w:r w:rsidR="00B220B2">
        <w:rPr>
          <w:rFonts w:ascii="Times New Roman" w:hAnsi="Times New Roman" w:cs="Times New Roman"/>
        </w:rPr>
        <w:t>133</w:t>
      </w:r>
      <w:r w:rsidR="004E0F53" w:rsidRPr="000405F9">
        <w:rPr>
          <w:rFonts w:ascii="Times New Roman" w:hAnsi="Times New Roman" w:cs="Times New Roman"/>
        </w:rPr>
        <w:t xml:space="preserve"> </w:t>
      </w:r>
      <w:r w:rsidRPr="000405F9">
        <w:rPr>
          <w:rFonts w:ascii="Times New Roman" w:hAnsi="Times New Roman" w:cs="Times New Roman"/>
        </w:rPr>
        <w:t xml:space="preserve">hours for </w:t>
      </w:r>
      <w:r w:rsidR="004F005B" w:rsidRPr="000405F9">
        <w:rPr>
          <w:rFonts w:ascii="Times New Roman" w:hAnsi="Times New Roman" w:cs="Times New Roman"/>
        </w:rPr>
        <w:t xml:space="preserve">LQGs that become SQGs, </w:t>
      </w:r>
      <w:r w:rsidR="006D3C5E">
        <w:rPr>
          <w:rFonts w:ascii="Times New Roman" w:hAnsi="Times New Roman" w:cs="Times New Roman"/>
        </w:rPr>
        <w:t>1</w:t>
      </w:r>
      <w:r w:rsidR="00B220B2">
        <w:rPr>
          <w:rFonts w:ascii="Times New Roman" w:hAnsi="Times New Roman" w:cs="Times New Roman"/>
        </w:rPr>
        <w:t>130</w:t>
      </w:r>
      <w:r w:rsidR="00043A1B" w:rsidRPr="000405F9">
        <w:rPr>
          <w:rFonts w:ascii="Times New Roman" w:hAnsi="Times New Roman" w:cs="Times New Roman"/>
        </w:rPr>
        <w:t xml:space="preserve"> </w:t>
      </w:r>
      <w:r w:rsidR="004F005B" w:rsidRPr="000405F9">
        <w:rPr>
          <w:rFonts w:ascii="Times New Roman" w:hAnsi="Times New Roman" w:cs="Times New Roman"/>
        </w:rPr>
        <w:t xml:space="preserve">hours for LQGs that become LQHs, </w:t>
      </w:r>
      <w:r w:rsidR="006D3C5E">
        <w:rPr>
          <w:rFonts w:ascii="Times New Roman" w:hAnsi="Times New Roman" w:cs="Times New Roman"/>
        </w:rPr>
        <w:t>1,</w:t>
      </w:r>
      <w:r w:rsidR="00B220B2">
        <w:rPr>
          <w:rFonts w:ascii="Times New Roman" w:hAnsi="Times New Roman" w:cs="Times New Roman"/>
        </w:rPr>
        <w:t>925</w:t>
      </w:r>
      <w:r w:rsidR="004F005B" w:rsidRPr="000405F9">
        <w:rPr>
          <w:rFonts w:ascii="Times New Roman" w:hAnsi="Times New Roman" w:cs="Times New Roman"/>
        </w:rPr>
        <w:t xml:space="preserve"> hours for SQGs that become LQHs, and </w:t>
      </w:r>
      <w:r w:rsidR="006D3C5E">
        <w:rPr>
          <w:rFonts w:ascii="Times New Roman" w:hAnsi="Times New Roman" w:cs="Times New Roman"/>
        </w:rPr>
        <w:t>3,</w:t>
      </w:r>
      <w:r w:rsidR="00B220B2">
        <w:rPr>
          <w:rFonts w:ascii="Times New Roman" w:hAnsi="Times New Roman" w:cs="Times New Roman"/>
        </w:rPr>
        <w:t>406</w:t>
      </w:r>
      <w:r w:rsidR="004F005B" w:rsidRPr="000405F9">
        <w:rPr>
          <w:rFonts w:ascii="Times New Roman" w:hAnsi="Times New Roman" w:cs="Times New Roman"/>
        </w:rPr>
        <w:t xml:space="preserve"> hours for SQGs that become SQHs.</w:t>
      </w:r>
    </w:p>
    <w:p w14:paraId="5773F211" w14:textId="77777777" w:rsidR="004C07A4" w:rsidRDefault="004C07A4" w:rsidP="00E05801">
      <w:pPr>
        <w:pStyle w:val="Default"/>
        <w:ind w:firstLine="720"/>
        <w:rPr>
          <w:rFonts w:ascii="Times New Roman" w:hAnsi="Times New Roman" w:cs="Times New Roman"/>
        </w:rPr>
      </w:pPr>
    </w:p>
    <w:p w14:paraId="161A4BE6" w14:textId="77777777" w:rsidR="00E05801" w:rsidRDefault="00E05801" w:rsidP="00E05801">
      <w:pPr>
        <w:pStyle w:val="Default"/>
        <w:ind w:firstLine="720"/>
        <w:rPr>
          <w:rFonts w:ascii="Times New Roman" w:hAnsi="Times New Roman" w:cs="Times New Roman"/>
        </w:rPr>
      </w:pPr>
      <w:r>
        <w:rPr>
          <w:rFonts w:ascii="Times New Roman" w:hAnsi="Times New Roman" w:cs="Times New Roman"/>
        </w:rPr>
        <w:t xml:space="preserve">Burden means </w:t>
      </w:r>
      <w:r w:rsidRPr="000B3556">
        <w:rPr>
          <w:rFonts w:ascii="Times New Roman" w:hAnsi="Times New Roman" w:cs="Times New Roman"/>
        </w:rPr>
        <w:t>the</w:t>
      </w:r>
      <w:r w:rsidRPr="002C28D3">
        <w:rPr>
          <w:rFonts w:ascii="Times New Roman" w:hAnsi="Times New Roman" w:cs="Times New Roman"/>
        </w:rPr>
        <w:t xml:space="preserve"> total time, effort, or financial resources expended by persons to generate, maintain, retain, or disclose or provide information to or for a Federal agency</w:t>
      </w:r>
      <w:r>
        <w:rPr>
          <w:rFonts w:ascii="Times New Roman" w:hAnsi="Times New Roman" w:cs="Times New Roman"/>
        </w:rPr>
        <w:t xml:space="preserve">. </w:t>
      </w:r>
      <w:r w:rsidRPr="002C28D3">
        <w:rPr>
          <w:rFonts w:ascii="Times New Roman" w:hAnsi="Times New Roman" w:cs="Times New Roman"/>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Pr>
          <w:rFonts w:ascii="Times New Roman" w:hAnsi="Times New Roman" w:cs="Times New Roman"/>
        </w:rPr>
        <w:t xml:space="preserve">. </w:t>
      </w:r>
      <w:r w:rsidRPr="002C28D3">
        <w:rPr>
          <w:rFonts w:ascii="Times New Roman" w:hAnsi="Times New Roman" w:cs="Times New Roman"/>
        </w:rPr>
        <w:t>An agency may not conduct or sponsor, and a person is not required to respond to, a collection of information unless it displays a currently valid OMB control number</w:t>
      </w:r>
      <w:r>
        <w:rPr>
          <w:rFonts w:ascii="Times New Roman" w:hAnsi="Times New Roman" w:cs="Times New Roman"/>
        </w:rPr>
        <w:t xml:space="preserve">. </w:t>
      </w:r>
      <w:r w:rsidRPr="002C28D3">
        <w:rPr>
          <w:rFonts w:ascii="Times New Roman" w:hAnsi="Times New Roman" w:cs="Times New Roman"/>
        </w:rPr>
        <w:t xml:space="preserve">The OMB control numbers for EPA's regulations are listed in 40 CFR part 9 and 48 CFR </w:t>
      </w:r>
      <w:r>
        <w:rPr>
          <w:rFonts w:ascii="Times New Roman" w:hAnsi="Times New Roman" w:cs="Times New Roman"/>
        </w:rPr>
        <w:t>C</w:t>
      </w:r>
      <w:r w:rsidRPr="002C28D3">
        <w:rPr>
          <w:rFonts w:ascii="Times New Roman" w:hAnsi="Times New Roman" w:cs="Times New Roman"/>
        </w:rPr>
        <w:t>hapter 15.</w:t>
      </w:r>
    </w:p>
    <w:p w14:paraId="09DE623E" w14:textId="77777777" w:rsidR="004C07A4" w:rsidRDefault="004C07A4" w:rsidP="00E05801">
      <w:pPr>
        <w:pStyle w:val="Default"/>
        <w:ind w:firstLine="720"/>
        <w:rPr>
          <w:rFonts w:ascii="Times New Roman" w:hAnsi="Times New Roman" w:cs="Times New Roman"/>
          <w:color w:val="auto"/>
        </w:rPr>
      </w:pPr>
    </w:p>
    <w:p w14:paraId="336B9407" w14:textId="4521DCFE" w:rsidR="00E05801" w:rsidRPr="0090669D" w:rsidRDefault="00E05801" w:rsidP="00E05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0669D">
        <w:rPr>
          <w:color w:val="000000"/>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A5B1C" w:rsidRPr="002A5B1C">
        <w:t>EPA-HQ-OLEM-2017-0463</w:t>
      </w:r>
      <w:r w:rsidRPr="0090669D">
        <w:rPr>
          <w:color w:val="000000"/>
        </w:rPr>
        <w:t xml:space="preserve">, which is available for online viewing at </w:t>
      </w:r>
      <w:hyperlink r:id="rId11" w:history="1">
        <w:r w:rsidRPr="0090669D">
          <w:rPr>
            <w:rStyle w:val="Hyperlink"/>
          </w:rPr>
          <w:t>www.regulations.gov</w:t>
        </w:r>
      </w:hyperlink>
      <w:r w:rsidRPr="0090669D">
        <w:rPr>
          <w:color w:val="000000"/>
        </w:rPr>
        <w:t>, or in person viewing at the RCRA Docket in the EPA Docket Center (EPA/DC), EPA West, Room 3334, 1301 Constitution Ave., NW, Washington, D.C</w:t>
      </w:r>
      <w:r>
        <w:rPr>
          <w:color w:val="000000"/>
        </w:rPr>
        <w:t xml:space="preserve">. </w:t>
      </w:r>
      <w:r w:rsidRPr="0090669D">
        <w:rPr>
          <w:color w:val="000000"/>
        </w:rPr>
        <w:t>The EPA Docket Center Public Reading Room is open from 8:30 a.m. to 4:30 p.m., Monday through Friday, excluding legal holidays</w:t>
      </w:r>
      <w:r>
        <w:rPr>
          <w:color w:val="000000"/>
        </w:rPr>
        <w:t xml:space="preserve">. </w:t>
      </w:r>
      <w:r w:rsidRPr="0090669D">
        <w:rPr>
          <w:color w:val="000000"/>
        </w:rPr>
        <w:t>The telephone number for the Reading Room is (202) 566-1744, and the telephone number for the RCRA Docket is (202) 566-0270</w:t>
      </w:r>
      <w:r>
        <w:rPr>
          <w:color w:val="000000"/>
        </w:rPr>
        <w:t xml:space="preserve">. </w:t>
      </w:r>
      <w:r w:rsidRPr="0090669D">
        <w:rPr>
          <w:color w:val="000000"/>
        </w:rPr>
        <w:t xml:space="preserve">An electronic version of the public docket is available at </w:t>
      </w:r>
      <w:hyperlink r:id="rId12" w:history="1">
        <w:r w:rsidRPr="0090669D">
          <w:rPr>
            <w:rStyle w:val="Hyperlink"/>
          </w:rPr>
          <w:t>www.regulations.gov</w:t>
        </w:r>
      </w:hyperlink>
      <w:r>
        <w:rPr>
          <w:color w:val="000000"/>
        </w:rPr>
        <w:t xml:space="preserve">. </w:t>
      </w:r>
      <w:r w:rsidRPr="0090669D">
        <w:rPr>
          <w:color w:val="000000"/>
        </w:rPr>
        <w:t>This site can be used to submit or view public comments, access the index listing of the contents of the public docket, and to access those documents in the public docket that are available electronically</w:t>
      </w:r>
      <w:r>
        <w:rPr>
          <w:color w:val="000000"/>
        </w:rPr>
        <w:t xml:space="preserve">. </w:t>
      </w:r>
      <w:r w:rsidRPr="0090669D">
        <w:rPr>
          <w:color w:val="000000"/>
        </w:rPr>
        <w:t>When in the system, select “search,” then key in the Docket ID Number identified above</w:t>
      </w:r>
      <w:r>
        <w:rPr>
          <w:color w:val="000000"/>
        </w:rPr>
        <w:t xml:space="preserve">. </w:t>
      </w:r>
      <w:r w:rsidRPr="0090669D">
        <w:rPr>
          <w:color w:val="000000"/>
        </w:rPr>
        <w:t>Also, you can send comments to the Office of Information and Regulatory Affairs, Office of Management and Budget, 725 17th Street, NW, Washington, D.C. 20503, Attention: Desk Officer for EPA</w:t>
      </w:r>
      <w:r>
        <w:rPr>
          <w:color w:val="000000"/>
        </w:rPr>
        <w:t xml:space="preserve">. </w:t>
      </w:r>
      <w:r w:rsidRPr="0090669D">
        <w:rPr>
          <w:color w:val="000000"/>
        </w:rPr>
        <w:t xml:space="preserve">Please include the EPA Docket ID Number </w:t>
      </w:r>
      <w:r w:rsidR="002A5B1C" w:rsidRPr="002A5B1C">
        <w:t>EPA-HQ-OLEM-2017-0463</w:t>
      </w:r>
      <w:r w:rsidR="002A5B1C">
        <w:t xml:space="preserve"> </w:t>
      </w:r>
      <w:r w:rsidRPr="0090669D">
        <w:rPr>
          <w:color w:val="000000"/>
        </w:rPr>
        <w:t xml:space="preserve">and OMB Control Number </w:t>
      </w:r>
      <w:r w:rsidR="002A5B1C" w:rsidRPr="002A5B1C">
        <w:t>2050-0145</w:t>
      </w:r>
      <w:r w:rsidRPr="0090669D">
        <w:rPr>
          <w:color w:val="000000"/>
        </w:rPr>
        <w:t xml:space="preserve"> in any correspondence.</w:t>
      </w:r>
    </w:p>
    <w:p w14:paraId="411AB087" w14:textId="77777777" w:rsidR="00E05801" w:rsidRPr="00FF3DA5" w:rsidRDefault="00E05801" w:rsidP="00E05801"/>
    <w:p w14:paraId="37F2F8AB" w14:textId="77777777" w:rsidR="00E05801" w:rsidRDefault="00E05801" w:rsidP="00E05801">
      <w:pPr>
        <w:pStyle w:val="BodyTextIndent"/>
        <w:ind w:firstLine="0"/>
      </w:pPr>
    </w:p>
    <w:sectPr w:rsidR="00E05801">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94A96" w14:textId="77777777" w:rsidR="00210FB4" w:rsidRDefault="00210FB4">
      <w:r>
        <w:separator/>
      </w:r>
    </w:p>
  </w:endnote>
  <w:endnote w:type="continuationSeparator" w:id="0">
    <w:p w14:paraId="16783B18" w14:textId="77777777" w:rsidR="00210FB4" w:rsidRDefault="0021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072338"/>
      <w:docPartObj>
        <w:docPartGallery w:val="Page Numbers (Bottom of Page)"/>
        <w:docPartUnique/>
      </w:docPartObj>
    </w:sdtPr>
    <w:sdtEndPr>
      <w:rPr>
        <w:noProof/>
        <w:sz w:val="22"/>
        <w:szCs w:val="22"/>
      </w:rPr>
    </w:sdtEndPr>
    <w:sdtContent>
      <w:p w14:paraId="4807B2B8" w14:textId="3BAEA902" w:rsidR="00210FB4" w:rsidRPr="00E35CAD" w:rsidRDefault="00210FB4">
        <w:pPr>
          <w:pStyle w:val="Footer"/>
          <w:jc w:val="center"/>
          <w:rPr>
            <w:sz w:val="22"/>
            <w:szCs w:val="22"/>
          </w:rPr>
        </w:pPr>
        <w:r w:rsidRPr="00E35CAD">
          <w:rPr>
            <w:sz w:val="22"/>
            <w:szCs w:val="22"/>
          </w:rPr>
          <w:fldChar w:fldCharType="begin"/>
        </w:r>
        <w:r w:rsidRPr="00E35CAD">
          <w:rPr>
            <w:sz w:val="22"/>
            <w:szCs w:val="22"/>
          </w:rPr>
          <w:instrText xml:space="preserve"> PAGE  \* Arabic  \* MERGEFORMAT </w:instrText>
        </w:r>
        <w:r w:rsidRPr="00E35CAD">
          <w:rPr>
            <w:sz w:val="22"/>
            <w:szCs w:val="22"/>
          </w:rPr>
          <w:fldChar w:fldCharType="separate"/>
        </w:r>
        <w:r w:rsidR="005E0DB2">
          <w:rPr>
            <w:noProof/>
            <w:sz w:val="22"/>
            <w:szCs w:val="22"/>
          </w:rPr>
          <w:t>1</w:t>
        </w:r>
        <w:r w:rsidRPr="00E35CAD">
          <w:rPr>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319693"/>
      <w:docPartObj>
        <w:docPartGallery w:val="Page Numbers (Bottom of Page)"/>
        <w:docPartUnique/>
      </w:docPartObj>
    </w:sdtPr>
    <w:sdtEndPr>
      <w:rPr>
        <w:noProof/>
      </w:rPr>
    </w:sdtEndPr>
    <w:sdtContent>
      <w:p w14:paraId="00CC4659" w14:textId="04D3D890" w:rsidR="00210FB4" w:rsidRDefault="00210FB4">
        <w:pPr>
          <w:pStyle w:val="Footer"/>
          <w:jc w:val="center"/>
        </w:pPr>
        <w:r w:rsidRPr="00693F41">
          <w:rPr>
            <w:sz w:val="22"/>
            <w:szCs w:val="22"/>
          </w:rPr>
          <w:fldChar w:fldCharType="begin"/>
        </w:r>
        <w:r w:rsidRPr="00693F41">
          <w:rPr>
            <w:sz w:val="22"/>
            <w:szCs w:val="22"/>
          </w:rPr>
          <w:instrText xml:space="preserve"> PAGE   \* MERGEFORMAT </w:instrText>
        </w:r>
        <w:r w:rsidRPr="00693F41">
          <w:rPr>
            <w:sz w:val="22"/>
            <w:szCs w:val="22"/>
          </w:rPr>
          <w:fldChar w:fldCharType="separate"/>
        </w:r>
        <w:r w:rsidR="00EF422C">
          <w:rPr>
            <w:noProof/>
            <w:sz w:val="22"/>
            <w:szCs w:val="22"/>
          </w:rPr>
          <w:t>24</w:t>
        </w:r>
        <w:r w:rsidRPr="00693F41">
          <w:rPr>
            <w:noProof/>
            <w:sz w:val="22"/>
            <w:szCs w:val="22"/>
          </w:rPr>
          <w:fldChar w:fldCharType="end"/>
        </w:r>
      </w:p>
    </w:sdtContent>
  </w:sdt>
  <w:p w14:paraId="37B37DE1" w14:textId="77777777" w:rsidR="00210FB4" w:rsidRDefault="00210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9FE02" w14:textId="77777777" w:rsidR="00210FB4" w:rsidRDefault="00210FB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3FB4F" w14:textId="77777777" w:rsidR="00210FB4" w:rsidRDefault="00210FB4">
      <w:r>
        <w:separator/>
      </w:r>
    </w:p>
  </w:footnote>
  <w:footnote w:type="continuationSeparator" w:id="0">
    <w:p w14:paraId="7289C207" w14:textId="77777777" w:rsidR="00210FB4" w:rsidRDefault="00210FB4">
      <w:r>
        <w:continuationSeparator/>
      </w:r>
    </w:p>
  </w:footnote>
  <w:footnote w:id="1">
    <w:p w14:paraId="076D67FB" w14:textId="77777777" w:rsidR="00210FB4" w:rsidRPr="002E14DF" w:rsidRDefault="00210FB4" w:rsidP="003C6570">
      <w:pPr>
        <w:pStyle w:val="FootnoteText"/>
        <w:ind w:firstLine="0"/>
        <w:rPr>
          <w:rFonts w:ascii="Trebuchet MS" w:hAnsi="Trebuchet MS"/>
          <w:sz w:val="14"/>
          <w:szCs w:val="14"/>
        </w:rPr>
      </w:pPr>
      <w:r w:rsidRPr="002E14DF">
        <w:rPr>
          <w:rStyle w:val="FootnoteReference"/>
          <w:rFonts w:ascii="Trebuchet MS" w:hAnsi="Trebuchet MS"/>
          <w:sz w:val="22"/>
          <w:szCs w:val="22"/>
        </w:rPr>
        <w:footnoteRef/>
      </w:r>
      <w:r w:rsidRPr="002E14DF">
        <w:rPr>
          <w:rFonts w:ascii="Trebuchet MS" w:hAnsi="Trebuchet MS"/>
          <w:sz w:val="22"/>
          <w:szCs w:val="22"/>
        </w:rPr>
        <w:t xml:space="preserve"> </w:t>
      </w:r>
      <w:r w:rsidRPr="000076FA">
        <w:rPr>
          <w:rFonts w:ascii="Trebuchet MS" w:hAnsi="Trebuchet MS"/>
          <w:sz w:val="14"/>
          <w:szCs w:val="14"/>
        </w:rPr>
        <w:t>EPA. (2014). Hazardous Waste Management and the Retail Sector: Providing and Seeking Information on Practices to Enhance Effectiveness to the RCRA Program. Docket ID: EPA-HQ-RCRA-2012-0426. https://www.regulations.</w:t>
      </w:r>
      <w:r w:rsidRPr="002E14DF">
        <w:rPr>
          <w:rFonts w:ascii="Trebuchet MS" w:hAnsi="Trebuchet MS"/>
          <w:sz w:val="14"/>
          <w:szCs w:val="14"/>
        </w:rPr>
        <w:t>gov/document?D=EPA-HQ-RCRA-2012-0426-0001</w:t>
      </w:r>
    </w:p>
  </w:footnote>
  <w:footnote w:id="2">
    <w:p w14:paraId="0B3ABFA2" w14:textId="77777777" w:rsidR="00210FB4" w:rsidRPr="00195E5A" w:rsidRDefault="00210FB4" w:rsidP="00125561">
      <w:pPr>
        <w:pStyle w:val="FootnoteText"/>
        <w:spacing w:after="120" w:line="240" w:lineRule="exact"/>
        <w:ind w:firstLine="0"/>
        <w:rPr>
          <w:rFonts w:ascii="Trebuchet MS" w:hAnsi="Trebuchet MS"/>
          <w:sz w:val="14"/>
          <w:szCs w:val="14"/>
        </w:rPr>
      </w:pPr>
      <w:r w:rsidRPr="00195E5A">
        <w:rPr>
          <w:rStyle w:val="FootnoteReference"/>
          <w:rFonts w:ascii="Trebuchet MS" w:hAnsi="Trebuchet MS"/>
          <w:sz w:val="14"/>
          <w:szCs w:val="14"/>
        </w:rPr>
        <w:footnoteRef/>
      </w:r>
      <w:r w:rsidRPr="00195E5A">
        <w:rPr>
          <w:rFonts w:ascii="Trebuchet MS" w:hAnsi="Trebuchet MS"/>
          <w:sz w:val="14"/>
          <w:szCs w:val="14"/>
        </w:rPr>
        <w:t xml:space="preserve"> </w:t>
      </w:r>
      <w:r>
        <w:rPr>
          <w:rFonts w:ascii="Trebuchet MS" w:hAnsi="Trebuchet MS"/>
          <w:sz w:val="14"/>
          <w:szCs w:val="14"/>
        </w:rPr>
        <w:t xml:space="preserve">Overall, the low-end costs estimated in the RIA are less than two percent lower than the high-end costs. </w:t>
      </w:r>
      <w:r w:rsidRPr="00195E5A">
        <w:rPr>
          <w:rFonts w:ascii="Trebuchet MS" w:hAnsi="Trebuchet MS"/>
          <w:sz w:val="14"/>
          <w:szCs w:val="14"/>
        </w:rPr>
        <w:t xml:space="preserve">The low-end and high-end estimates are discussed in greater detail in U.S. EPA, </w:t>
      </w:r>
      <w:r w:rsidRPr="00125561">
        <w:rPr>
          <w:rFonts w:ascii="Trebuchet MS" w:hAnsi="Trebuchet MS"/>
          <w:sz w:val="14"/>
          <w:szCs w:val="14"/>
        </w:rPr>
        <w:t>Regulatory Impact Analysis of Proposed Rule To Add Aerosol Cans to the Universal Waste Rule</w:t>
      </w:r>
      <w:r>
        <w:rPr>
          <w:rFonts w:ascii="Trebuchet MS" w:hAnsi="Trebuchet MS"/>
          <w:sz w:val="14"/>
          <w:szCs w:val="14"/>
        </w:rPr>
        <w:t>, September 2017.</w:t>
      </w:r>
    </w:p>
  </w:footnote>
  <w:footnote w:id="3">
    <w:p w14:paraId="606A2D3D" w14:textId="0C87463E" w:rsidR="00210FB4" w:rsidRDefault="00210FB4">
      <w:pPr>
        <w:pStyle w:val="FootnoteText"/>
      </w:pPr>
      <w:r>
        <w:rPr>
          <w:rStyle w:val="FootnoteReference"/>
        </w:rPr>
        <w:footnoteRef/>
      </w:r>
      <w:r>
        <w:t xml:space="preserve"> However, EPA estimated that the cumulative impact of the proposed rule may result in a decrease of 39,113 annual burden hours.</w:t>
      </w:r>
    </w:p>
  </w:footnote>
  <w:footnote w:id="4">
    <w:p w14:paraId="67D66D36" w14:textId="77777777" w:rsidR="00210FB4" w:rsidRPr="00FA7529" w:rsidRDefault="00210FB4" w:rsidP="00E05801">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Bureau of Labor Statistics, May 201</w:t>
      </w:r>
      <w:r>
        <w:rPr>
          <w:rFonts w:ascii="Trebuchet MS" w:hAnsi="Trebuchet MS"/>
          <w:sz w:val="14"/>
          <w:szCs w:val="14"/>
        </w:rPr>
        <w:t>6</w:t>
      </w:r>
      <w:r w:rsidRPr="00FA7529">
        <w:rPr>
          <w:rFonts w:ascii="Trebuchet MS" w:hAnsi="Trebuchet MS"/>
          <w:sz w:val="14"/>
          <w:szCs w:val="14"/>
        </w:rPr>
        <w:t xml:space="preserve"> National Occupational Employment and Wage Estimates</w:t>
      </w:r>
      <w:r>
        <w:rPr>
          <w:rFonts w:ascii="Trebuchet MS" w:hAnsi="Trebuchet MS"/>
          <w:sz w:val="14"/>
          <w:szCs w:val="14"/>
        </w:rPr>
        <w:t>. Accessed August 2017</w:t>
      </w:r>
      <w:r w:rsidRPr="00FA7529">
        <w:rPr>
          <w:rFonts w:ascii="Trebuchet MS" w:hAnsi="Trebuchet MS"/>
          <w:sz w:val="14"/>
          <w:szCs w:val="14"/>
        </w:rPr>
        <w:t xml:space="preserve"> at </w:t>
      </w:r>
      <w:hyperlink r:id="rId1" w:history="1">
        <w:r w:rsidRPr="0033378F">
          <w:rPr>
            <w:rStyle w:val="Hyperlink"/>
            <w:rFonts w:ascii="Trebuchet MS" w:hAnsi="Trebuchet MS"/>
            <w:sz w:val="14"/>
            <w:szCs w:val="14"/>
          </w:rPr>
          <w:t>http://www.bls.gov/oes/current/oes_nat.htm</w:t>
        </w:r>
      </w:hyperlink>
      <w:r>
        <w:rPr>
          <w:rFonts w:ascii="Trebuchet MS" w:hAnsi="Trebuchet MS"/>
          <w:sz w:val="14"/>
          <w:szCs w:val="14"/>
        </w:rPr>
        <w:t>.</w:t>
      </w:r>
    </w:p>
  </w:footnote>
  <w:footnote w:id="5">
    <w:p w14:paraId="5E94FF24" w14:textId="6BACAE35" w:rsidR="00210FB4" w:rsidRDefault="00210FB4">
      <w:pPr>
        <w:pStyle w:val="FootnoteText"/>
      </w:pPr>
      <w:r>
        <w:rPr>
          <w:rStyle w:val="FootnoteReference"/>
        </w:rPr>
        <w:footnoteRef/>
      </w:r>
      <w:r>
        <w:t xml:space="preserve"> </w:t>
      </w:r>
      <w:r w:rsidRPr="00F545CC">
        <w:rPr>
          <w:rFonts w:ascii="Trebuchet MS" w:hAnsi="Trebuchet MS"/>
          <w:sz w:val="14"/>
          <w:szCs w:val="14"/>
        </w:rPr>
        <w:t>Loaded labor rates are adjusted to include 2 percent general and administrative overhead, 16.6 percent fixed overhead, 5 percent insurance, and 10 percent profit (1 + 0.02 + 0.166 + 0.05 + 0.10 = 1.336) estimated using RACER cost estimating software 2005 defaults. General and administrative cost overhead can include expenses such as human resources, payroll, accounting, sales personnel, executive salaries, legal fees, office supplies, equipment, communications, administrative buildings, office space, travel, subscriptions, and other overhead items related to administrative activities that support operating labor</w:t>
      </w:r>
      <w:r>
        <w:rPr>
          <w:rFonts w:ascii="Trebuchet MS" w:hAnsi="Trebuchet MS"/>
          <w:sz w:val="14"/>
          <w:szCs w:val="14"/>
        </w:rPr>
        <w:t xml:space="preserve">. </w:t>
      </w:r>
      <w:r w:rsidRPr="00F545CC">
        <w:rPr>
          <w:rFonts w:ascii="Trebuchet MS" w:hAnsi="Trebuchet MS"/>
          <w:sz w:val="14"/>
          <w:szCs w:val="14"/>
        </w:rPr>
        <w:t>Fixed overhead can include a proportion of the cost of building services (e.g., medical, safety, recreation, general engineering, general plant maintenance, janitorial, and cafeteria), electricity, heating, interplant transportation, warehouses, shipping and receiving facilities, insurance, and other resources shared throughout the organization in support of operating labor.</w:t>
      </w:r>
    </w:p>
  </w:footnote>
  <w:footnote w:id="6">
    <w:p w14:paraId="08EC95C3" w14:textId="1E15CAD6" w:rsidR="00210FB4" w:rsidRDefault="00210FB4">
      <w:pPr>
        <w:pStyle w:val="FootnoteText"/>
      </w:pPr>
      <w:r>
        <w:rPr>
          <w:rStyle w:val="FootnoteReference"/>
        </w:rPr>
        <w:footnoteRef/>
      </w:r>
      <w:r w:rsidRPr="00232824">
        <w:rPr>
          <w:rFonts w:ascii="Trebuchet MS" w:hAnsi="Trebuchet MS"/>
          <w:sz w:val="14"/>
          <w:szCs w:val="14"/>
        </w:rPr>
        <w:t xml:space="preserve"> Additionally, this overhead cost adjustment factor, when applied to the loaded labor rates, is in line with the “Guidelines for Regulatory Impact Analysis</w:t>
      </w:r>
      <w:r>
        <w:rPr>
          <w:rFonts w:ascii="Trebuchet MS" w:hAnsi="Trebuchet MS"/>
          <w:sz w:val="14"/>
          <w:szCs w:val="14"/>
        </w:rPr>
        <w:t xml:space="preserve">.” (U.S. Department of Health </w:t>
      </w:r>
      <w:r w:rsidRPr="004130A7">
        <w:rPr>
          <w:rFonts w:ascii="Trebuchet MS" w:hAnsi="Trebuchet MS"/>
          <w:sz w:val="14"/>
          <w:szCs w:val="14"/>
        </w:rPr>
        <w:t>and Human Services, “Guidelines for Regulatory Impact Analysis,” 2016. Available at: https://aspe.hhs.gov/system/files/pdf/242926/HHS_RIAGuidance.pdf</w:t>
      </w:r>
      <w:r>
        <w:rPr>
          <w:rFonts w:ascii="Trebuchet MS" w:hAnsi="Trebuchet MS"/>
          <w:sz w:val="14"/>
          <w:szCs w:val="14"/>
        </w:rPr>
        <w:t>)</w:t>
      </w:r>
    </w:p>
  </w:footnote>
  <w:footnote w:id="7">
    <w:p w14:paraId="282895C6" w14:textId="77777777" w:rsidR="00210FB4" w:rsidRPr="00957D49" w:rsidRDefault="00210FB4" w:rsidP="00E05801">
      <w:pPr>
        <w:pStyle w:val="FootnoteText"/>
        <w:spacing w:after="120" w:line="240" w:lineRule="exact"/>
        <w:rPr>
          <w:rFonts w:ascii="Trebuchet MS" w:hAnsi="Trebuchet MS"/>
          <w:sz w:val="14"/>
          <w:szCs w:val="14"/>
        </w:rPr>
      </w:pPr>
      <w:r w:rsidRPr="00FA7529">
        <w:rPr>
          <w:rStyle w:val="FootnoteReference"/>
          <w:rFonts w:ascii="Trebuchet MS" w:hAnsi="Trebuchet MS"/>
          <w:sz w:val="14"/>
          <w:szCs w:val="14"/>
        </w:rPr>
        <w:footnoteRef/>
      </w:r>
      <w:r w:rsidRPr="00FA7529">
        <w:rPr>
          <w:rFonts w:ascii="Trebuchet MS" w:hAnsi="Trebuchet MS"/>
          <w:sz w:val="14"/>
          <w:szCs w:val="14"/>
        </w:rPr>
        <w:t xml:space="preserve"> U.S. Office of Personnel Management, Salary Table 201</w:t>
      </w:r>
      <w:r>
        <w:rPr>
          <w:rFonts w:ascii="Trebuchet MS" w:hAnsi="Trebuchet MS"/>
          <w:sz w:val="14"/>
          <w:szCs w:val="14"/>
        </w:rPr>
        <w:t>7</w:t>
      </w:r>
      <w:r w:rsidRPr="00FA7529">
        <w:rPr>
          <w:rFonts w:ascii="Trebuchet MS" w:hAnsi="Trebuchet MS"/>
          <w:sz w:val="14"/>
          <w:szCs w:val="14"/>
        </w:rPr>
        <w:t>-GS, Incorporating the 1% General Schedule Increase, Effective January 201</w:t>
      </w:r>
      <w:r>
        <w:rPr>
          <w:rFonts w:ascii="Trebuchet MS" w:hAnsi="Trebuchet MS"/>
          <w:sz w:val="14"/>
          <w:szCs w:val="14"/>
        </w:rPr>
        <w:t>7</w:t>
      </w:r>
      <w:r w:rsidRPr="00FA7529">
        <w:rPr>
          <w:rFonts w:ascii="Trebuchet MS" w:hAnsi="Trebuchet MS"/>
          <w:sz w:val="14"/>
          <w:szCs w:val="14"/>
        </w:rPr>
        <w:t xml:space="preserve">, Hourly Basic Rates by Grade and Step, accessed at </w:t>
      </w:r>
      <w:hyperlink r:id="rId2" w:history="1">
        <w:r w:rsidRPr="00FA7529">
          <w:rPr>
            <w:rStyle w:val="Hyperlink"/>
            <w:rFonts w:ascii="Trebuchet MS" w:hAnsi="Trebuchet MS"/>
            <w:sz w:val="14"/>
            <w:szCs w:val="14"/>
          </w:rPr>
          <w:t>https://www.opm.gov/policy-data-oversight/pay-leave/salaries-wages/</w:t>
        </w:r>
      </w:hyperlink>
      <w:r w:rsidRPr="00FA7529">
        <w:rPr>
          <w:rFonts w:ascii="Trebuchet MS" w:hAnsi="Trebuchet MS"/>
          <w:sz w:val="14"/>
          <w:szCs w:val="14"/>
        </w:rPr>
        <w:t xml:space="preserve"> </w:t>
      </w:r>
      <w:r>
        <w:rPr>
          <w:rFonts w:ascii="Trebuchet MS" w:hAnsi="Trebuchet MS"/>
          <w:sz w:val="14"/>
          <w:szCs w:val="14"/>
        </w:rPr>
        <w:t>September 26</w:t>
      </w:r>
      <w:r w:rsidRPr="00FA7529">
        <w:rPr>
          <w:rFonts w:ascii="Trebuchet MS" w:hAnsi="Trebuchet MS"/>
          <w:sz w:val="14"/>
          <w:szCs w:val="14"/>
        </w:rPr>
        <w:t>, 201</w:t>
      </w:r>
      <w:r>
        <w:rPr>
          <w:rFonts w:ascii="Trebuchet MS" w:hAnsi="Trebuchet MS"/>
          <w:sz w:val="14"/>
          <w:szCs w:val="14"/>
        </w:rPr>
        <w:t>7</w:t>
      </w:r>
      <w:r w:rsidRPr="00FA7529">
        <w:rPr>
          <w:rFonts w:ascii="Trebuchet MS" w:hAnsi="Trebuchet MS"/>
          <w:sz w:val="14"/>
          <w:szCs w:val="14"/>
        </w:rPr>
        <w:t>.</w:t>
      </w:r>
    </w:p>
  </w:footnote>
  <w:footnote w:id="8">
    <w:p w14:paraId="6DB5193A" w14:textId="77777777" w:rsidR="00210FB4" w:rsidRPr="007B387D" w:rsidRDefault="00210FB4" w:rsidP="000405F9">
      <w:pPr>
        <w:pStyle w:val="FootnoteText"/>
        <w:ind w:firstLine="0"/>
        <w:jc w:val="left"/>
        <w:rPr>
          <w:rFonts w:ascii="Trebuchet MS" w:hAnsi="Trebuchet MS"/>
          <w:sz w:val="14"/>
          <w:szCs w:val="14"/>
        </w:rPr>
      </w:pPr>
      <w:r w:rsidRPr="007B387D">
        <w:rPr>
          <w:rStyle w:val="FootnoteReference"/>
          <w:sz w:val="14"/>
          <w:szCs w:val="14"/>
        </w:rPr>
        <w:footnoteRef/>
      </w:r>
      <w:r w:rsidRPr="007B387D">
        <w:rPr>
          <w:sz w:val="14"/>
          <w:szCs w:val="14"/>
        </w:rPr>
        <w:t xml:space="preserve"> </w:t>
      </w:r>
      <w:r w:rsidRPr="007B387D">
        <w:rPr>
          <w:rFonts w:ascii="Trebuchet MS" w:hAnsi="Trebuchet MS"/>
          <w:sz w:val="14"/>
          <w:szCs w:val="14"/>
        </w:rPr>
        <w:t xml:space="preserve">EPA estimated this percentage based on the average establishment entry rate from the 2014 Business Dynamic Statistics for the two most common NAICS codes </w:t>
      </w:r>
      <w:r>
        <w:rPr>
          <w:rFonts w:ascii="Trebuchet MS" w:hAnsi="Trebuchet MS"/>
          <w:sz w:val="14"/>
          <w:szCs w:val="14"/>
        </w:rPr>
        <w:t xml:space="preserve">among generators of waste aerosol cans </w:t>
      </w:r>
      <w:r w:rsidRPr="007B387D">
        <w:rPr>
          <w:rFonts w:ascii="Trebuchet MS" w:hAnsi="Trebuchet MS"/>
          <w:sz w:val="14"/>
          <w:szCs w:val="14"/>
        </w:rPr>
        <w:t xml:space="preserve">(Retail Trade and Manufacturing). </w:t>
      </w:r>
      <w:hyperlink r:id="rId3" w:history="1">
        <w:r w:rsidRPr="007B387D">
          <w:rPr>
            <w:rStyle w:val="Hyperlink"/>
            <w:rFonts w:ascii="Trebuchet MS" w:hAnsi="Trebuchet MS"/>
            <w:sz w:val="14"/>
            <w:szCs w:val="14"/>
          </w:rPr>
          <w:t>https://www.census.gov/ces/dataproducts/bds/data_firm.html</w:t>
        </w:r>
      </w:hyperlink>
    </w:p>
    <w:p w14:paraId="5795A680" w14:textId="77777777" w:rsidR="00210FB4" w:rsidRDefault="00210FB4">
      <w:pPr>
        <w:pStyle w:val="FootnoteText"/>
      </w:pPr>
    </w:p>
  </w:footnote>
  <w:footnote w:id="9">
    <w:p w14:paraId="22F24680" w14:textId="04F0C96D" w:rsidR="00210FB4" w:rsidRDefault="00210FB4" w:rsidP="00737D52">
      <w:pPr>
        <w:pStyle w:val="IEcFootnoteText"/>
      </w:pPr>
      <w:r w:rsidRPr="00983908">
        <w:rPr>
          <w:rStyle w:val="FootnoteReference"/>
        </w:rPr>
        <w:footnoteRef/>
      </w:r>
      <w:r w:rsidRPr="00983908">
        <w:t xml:space="preserve"> U.S. EPA, Modification of the Hazardous Waste Program: Hazardous Waste Lamps, Final Economic Assessment, March 11, 1999. and Economic Analysis of Including Mercury Containing Devices in the Universal Waste System, Notice of Proposed Rulemaking, </w:t>
      </w:r>
      <w:r w:rsidRPr="00983908">
        <w:rPr>
          <w:iCs/>
        </w:rPr>
        <w:t>February 15, 2002</w:t>
      </w:r>
      <w:r w:rsidRPr="00983908">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82736D"/>
    <w:multiLevelType w:val="hybridMultilevel"/>
    <w:tmpl w:val="65DE7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77791"/>
    <w:multiLevelType w:val="hybridMultilevel"/>
    <w:tmpl w:val="B7EEA4D8"/>
    <w:lvl w:ilvl="0" w:tplc="9F701C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A1890"/>
    <w:multiLevelType w:val="hybridMultilevel"/>
    <w:tmpl w:val="0AA6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911B06"/>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0905C6"/>
    <w:multiLevelType w:val="hybridMultilevel"/>
    <w:tmpl w:val="52C84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20BF4"/>
    <w:multiLevelType w:val="hybridMultilevel"/>
    <w:tmpl w:val="349A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401D2"/>
    <w:multiLevelType w:val="hybridMultilevel"/>
    <w:tmpl w:val="09EAB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126B79"/>
    <w:multiLevelType w:val="hybridMultilevel"/>
    <w:tmpl w:val="DDD8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D1562"/>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B7C94"/>
    <w:multiLevelType w:val="hybridMultilevel"/>
    <w:tmpl w:val="889A15BC"/>
    <w:lvl w:ilvl="0" w:tplc="5D7E1C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276CE"/>
    <w:multiLevelType w:val="hybridMultilevel"/>
    <w:tmpl w:val="12468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3B4C2C"/>
    <w:multiLevelType w:val="hybridMultilevel"/>
    <w:tmpl w:val="D80864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2C351D"/>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B431B"/>
    <w:multiLevelType w:val="hybridMultilevel"/>
    <w:tmpl w:val="4394E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ED5131"/>
    <w:multiLevelType w:val="hybridMultilevel"/>
    <w:tmpl w:val="0D6C6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373BE1"/>
    <w:multiLevelType w:val="hybridMultilevel"/>
    <w:tmpl w:val="DCB0CBF6"/>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057D46"/>
    <w:multiLevelType w:val="hybridMultilevel"/>
    <w:tmpl w:val="8146E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47366E"/>
    <w:multiLevelType w:val="hybridMultilevel"/>
    <w:tmpl w:val="9982A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4A4D43"/>
    <w:multiLevelType w:val="singleLevel"/>
    <w:tmpl w:val="00000000"/>
    <w:lvl w:ilvl="0">
      <w:start w:val="3"/>
      <w:numFmt w:val="decimal"/>
      <w:lvlText w:val="%1."/>
      <w:legacy w:legacy="1" w:legacySpace="0" w:legacyIndent="360"/>
      <w:lvlJc w:val="left"/>
      <w:pPr>
        <w:ind w:left="360" w:hanging="360"/>
      </w:pPr>
    </w:lvl>
  </w:abstractNum>
  <w:abstractNum w:abstractNumId="20">
    <w:nsid w:val="33395CF0"/>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471E79"/>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94041A"/>
    <w:multiLevelType w:val="hybridMultilevel"/>
    <w:tmpl w:val="1242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DF92C21"/>
    <w:multiLevelType w:val="hybridMultilevel"/>
    <w:tmpl w:val="1B7E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641B3C"/>
    <w:multiLevelType w:val="hybridMultilevel"/>
    <w:tmpl w:val="23DE4BCA"/>
    <w:lvl w:ilvl="0" w:tplc="661CE17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B65A30"/>
    <w:multiLevelType w:val="hybridMultilevel"/>
    <w:tmpl w:val="386603E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6">
    <w:nsid w:val="45E10AA4"/>
    <w:multiLevelType w:val="hybridMultilevel"/>
    <w:tmpl w:val="EA44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225171"/>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BE363A"/>
    <w:multiLevelType w:val="hybridMultilevel"/>
    <w:tmpl w:val="EC4E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263AA1"/>
    <w:multiLevelType w:val="hybridMultilevel"/>
    <w:tmpl w:val="1320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AC3EED"/>
    <w:multiLevelType w:val="hybridMultilevel"/>
    <w:tmpl w:val="D540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620A7E"/>
    <w:multiLevelType w:val="hybridMultilevel"/>
    <w:tmpl w:val="7A5EF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747601C"/>
    <w:multiLevelType w:val="hybridMultilevel"/>
    <w:tmpl w:val="48BA5F42"/>
    <w:lvl w:ilvl="0" w:tplc="0124FCA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263F37"/>
    <w:multiLevelType w:val="hybridMultilevel"/>
    <w:tmpl w:val="B76E9F1E"/>
    <w:lvl w:ilvl="0" w:tplc="661CE178">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840787"/>
    <w:multiLevelType w:val="hybridMultilevel"/>
    <w:tmpl w:val="12E2C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F974FCF"/>
    <w:multiLevelType w:val="hybridMultilevel"/>
    <w:tmpl w:val="183E5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715699"/>
    <w:multiLevelType w:val="hybridMultilevel"/>
    <w:tmpl w:val="EFBA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B24060"/>
    <w:multiLevelType w:val="hybridMultilevel"/>
    <w:tmpl w:val="EE32908C"/>
    <w:lvl w:ilvl="0" w:tplc="BFACD368">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AF277A"/>
    <w:multiLevelType w:val="hybridMultilevel"/>
    <w:tmpl w:val="F0C204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01160C"/>
    <w:multiLevelType w:val="hybridMultilevel"/>
    <w:tmpl w:val="6570DA16"/>
    <w:lvl w:ilvl="0" w:tplc="BB8C6D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9B2BF6"/>
    <w:multiLevelType w:val="hybridMultilevel"/>
    <w:tmpl w:val="8C2AB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D0B700C"/>
    <w:multiLevelType w:val="hybridMultilevel"/>
    <w:tmpl w:val="026C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6F40C2"/>
    <w:multiLevelType w:val="hybridMultilevel"/>
    <w:tmpl w:val="27B0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lvlOverride w:ilvl="0">
      <w:lvl w:ilvl="0">
        <w:start w:val="1"/>
        <w:numFmt w:val="bullet"/>
        <w:lvlText w:val=""/>
        <w:legacy w:legacy="1" w:legacySpace="0" w:legacyIndent="360"/>
        <w:lvlJc w:val="left"/>
        <w:pPr>
          <w:ind w:left="1080" w:hanging="360"/>
        </w:pPr>
        <w:rPr>
          <w:rFonts w:ascii="Arial" w:hAnsi="Arial" w:hint="default"/>
        </w:rPr>
      </w:lvl>
    </w:lvlOverride>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41"/>
  </w:num>
  <w:num w:numId="5">
    <w:abstractNumId w:val="2"/>
  </w:num>
  <w:num w:numId="6">
    <w:abstractNumId w:val="15"/>
  </w:num>
  <w:num w:numId="7">
    <w:abstractNumId w:val="36"/>
  </w:num>
  <w:num w:numId="8">
    <w:abstractNumId w:val="34"/>
  </w:num>
  <w:num w:numId="9">
    <w:abstractNumId w:val="32"/>
  </w:num>
  <w:num w:numId="10">
    <w:abstractNumId w:val="4"/>
  </w:num>
  <w:num w:numId="11">
    <w:abstractNumId w:val="24"/>
  </w:num>
  <w:num w:numId="12">
    <w:abstractNumId w:val="16"/>
  </w:num>
  <w:num w:numId="13">
    <w:abstractNumId w:val="33"/>
  </w:num>
  <w:num w:numId="14">
    <w:abstractNumId w:val="22"/>
  </w:num>
  <w:num w:numId="15">
    <w:abstractNumId w:val="7"/>
  </w:num>
  <w:num w:numId="16">
    <w:abstractNumId w:val="35"/>
  </w:num>
  <w:num w:numId="17">
    <w:abstractNumId w:val="27"/>
  </w:num>
  <w:num w:numId="18">
    <w:abstractNumId w:val="9"/>
  </w:num>
  <w:num w:numId="19">
    <w:abstractNumId w:val="42"/>
  </w:num>
  <w:num w:numId="20">
    <w:abstractNumId w:val="1"/>
  </w:num>
  <w:num w:numId="21">
    <w:abstractNumId w:val="38"/>
  </w:num>
  <w:num w:numId="22">
    <w:abstractNumId w:val="39"/>
  </w:num>
  <w:num w:numId="23">
    <w:abstractNumId w:val="13"/>
  </w:num>
  <w:num w:numId="24">
    <w:abstractNumId w:val="21"/>
  </w:num>
  <w:num w:numId="25">
    <w:abstractNumId w:val="25"/>
  </w:num>
  <w:num w:numId="26">
    <w:abstractNumId w:val="30"/>
  </w:num>
  <w:num w:numId="27">
    <w:abstractNumId w:val="20"/>
  </w:num>
  <w:num w:numId="28">
    <w:abstractNumId w:val="28"/>
  </w:num>
  <w:num w:numId="29">
    <w:abstractNumId w:val="37"/>
  </w:num>
  <w:num w:numId="30">
    <w:abstractNumId w:val="8"/>
  </w:num>
  <w:num w:numId="31">
    <w:abstractNumId w:val="18"/>
  </w:num>
  <w:num w:numId="32">
    <w:abstractNumId w:val="10"/>
  </w:num>
  <w:num w:numId="33">
    <w:abstractNumId w:val="29"/>
  </w:num>
  <w:num w:numId="34">
    <w:abstractNumId w:val="12"/>
  </w:num>
  <w:num w:numId="35">
    <w:abstractNumId w:val="40"/>
  </w:num>
  <w:num w:numId="36">
    <w:abstractNumId w:val="17"/>
  </w:num>
  <w:num w:numId="37">
    <w:abstractNumId w:val="31"/>
  </w:num>
  <w:num w:numId="38">
    <w:abstractNumId w:val="11"/>
  </w:num>
  <w:num w:numId="39">
    <w:abstractNumId w:val="5"/>
  </w:num>
  <w:num w:numId="40">
    <w:abstractNumId w:val="14"/>
  </w:num>
  <w:num w:numId="41">
    <w:abstractNumId w:val="23"/>
  </w:num>
  <w:num w:numId="42">
    <w:abstractNumId w:val="3"/>
  </w:num>
  <w:num w:numId="43">
    <w:abstractNumId w:val="26"/>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DF"/>
    <w:rsid w:val="000015A5"/>
    <w:rsid w:val="00003FB0"/>
    <w:rsid w:val="000048CC"/>
    <w:rsid w:val="000076FA"/>
    <w:rsid w:val="00011413"/>
    <w:rsid w:val="00021FA6"/>
    <w:rsid w:val="00035828"/>
    <w:rsid w:val="00035C85"/>
    <w:rsid w:val="000405F9"/>
    <w:rsid w:val="00043A1B"/>
    <w:rsid w:val="000538FF"/>
    <w:rsid w:val="00054079"/>
    <w:rsid w:val="00054762"/>
    <w:rsid w:val="00066BA6"/>
    <w:rsid w:val="00067FE8"/>
    <w:rsid w:val="00076A22"/>
    <w:rsid w:val="0008508A"/>
    <w:rsid w:val="00085F6A"/>
    <w:rsid w:val="000A1BAC"/>
    <w:rsid w:val="000A2F2F"/>
    <w:rsid w:val="000A4262"/>
    <w:rsid w:val="000A43E6"/>
    <w:rsid w:val="000B1DF5"/>
    <w:rsid w:val="000C1FA6"/>
    <w:rsid w:val="000C45A2"/>
    <w:rsid w:val="000C6B59"/>
    <w:rsid w:val="000E20AF"/>
    <w:rsid w:val="000E269B"/>
    <w:rsid w:val="000E4866"/>
    <w:rsid w:val="000E73E6"/>
    <w:rsid w:val="000F132A"/>
    <w:rsid w:val="000F142A"/>
    <w:rsid w:val="000F1B98"/>
    <w:rsid w:val="000F71EA"/>
    <w:rsid w:val="001005B5"/>
    <w:rsid w:val="00105504"/>
    <w:rsid w:val="00105B31"/>
    <w:rsid w:val="001062C8"/>
    <w:rsid w:val="001113DC"/>
    <w:rsid w:val="00114E8C"/>
    <w:rsid w:val="001222ED"/>
    <w:rsid w:val="00125561"/>
    <w:rsid w:val="00125631"/>
    <w:rsid w:val="00126621"/>
    <w:rsid w:val="00127EE6"/>
    <w:rsid w:val="00132DFA"/>
    <w:rsid w:val="00134D4F"/>
    <w:rsid w:val="001356C9"/>
    <w:rsid w:val="00143786"/>
    <w:rsid w:val="00143C2A"/>
    <w:rsid w:val="0014780D"/>
    <w:rsid w:val="0015211E"/>
    <w:rsid w:val="00166021"/>
    <w:rsid w:val="00166B94"/>
    <w:rsid w:val="00167B69"/>
    <w:rsid w:val="001712B2"/>
    <w:rsid w:val="001811B9"/>
    <w:rsid w:val="00191B26"/>
    <w:rsid w:val="00196698"/>
    <w:rsid w:val="001A4AE2"/>
    <w:rsid w:val="001A502D"/>
    <w:rsid w:val="001A596E"/>
    <w:rsid w:val="001B2C82"/>
    <w:rsid w:val="001C54A7"/>
    <w:rsid w:val="001E71CA"/>
    <w:rsid w:val="00207090"/>
    <w:rsid w:val="00210FB4"/>
    <w:rsid w:val="00225662"/>
    <w:rsid w:val="00232824"/>
    <w:rsid w:val="0023358B"/>
    <w:rsid w:val="002345DE"/>
    <w:rsid w:val="00240949"/>
    <w:rsid w:val="002415E5"/>
    <w:rsid w:val="00242636"/>
    <w:rsid w:val="0024408D"/>
    <w:rsid w:val="002669BF"/>
    <w:rsid w:val="00266A6B"/>
    <w:rsid w:val="002912B7"/>
    <w:rsid w:val="00293EB3"/>
    <w:rsid w:val="002A2CAF"/>
    <w:rsid w:val="002A31C4"/>
    <w:rsid w:val="002A5B1C"/>
    <w:rsid w:val="002B3263"/>
    <w:rsid w:val="002C5347"/>
    <w:rsid w:val="002D2728"/>
    <w:rsid w:val="002D3E14"/>
    <w:rsid w:val="002E14DF"/>
    <w:rsid w:val="002E1A29"/>
    <w:rsid w:val="002E1F06"/>
    <w:rsid w:val="002F2A05"/>
    <w:rsid w:val="00300E01"/>
    <w:rsid w:val="0030474D"/>
    <w:rsid w:val="00306D89"/>
    <w:rsid w:val="0032593C"/>
    <w:rsid w:val="0033116A"/>
    <w:rsid w:val="00331F60"/>
    <w:rsid w:val="003438CE"/>
    <w:rsid w:val="00343FC7"/>
    <w:rsid w:val="00344FFC"/>
    <w:rsid w:val="0034527E"/>
    <w:rsid w:val="003474B3"/>
    <w:rsid w:val="00351871"/>
    <w:rsid w:val="0036173B"/>
    <w:rsid w:val="00393AC8"/>
    <w:rsid w:val="003A0748"/>
    <w:rsid w:val="003A2A92"/>
    <w:rsid w:val="003A34A6"/>
    <w:rsid w:val="003A6A2F"/>
    <w:rsid w:val="003A6C67"/>
    <w:rsid w:val="003C314D"/>
    <w:rsid w:val="003C3611"/>
    <w:rsid w:val="003C6570"/>
    <w:rsid w:val="003E2525"/>
    <w:rsid w:val="003E6A51"/>
    <w:rsid w:val="003F117A"/>
    <w:rsid w:val="004021D5"/>
    <w:rsid w:val="004037A8"/>
    <w:rsid w:val="00403A59"/>
    <w:rsid w:val="004071B8"/>
    <w:rsid w:val="00410C20"/>
    <w:rsid w:val="00410D3E"/>
    <w:rsid w:val="00412811"/>
    <w:rsid w:val="00412AB6"/>
    <w:rsid w:val="004130A7"/>
    <w:rsid w:val="00416471"/>
    <w:rsid w:val="00420818"/>
    <w:rsid w:val="00422D55"/>
    <w:rsid w:val="00423167"/>
    <w:rsid w:val="00432E2A"/>
    <w:rsid w:val="00437401"/>
    <w:rsid w:val="00442236"/>
    <w:rsid w:val="00464FA5"/>
    <w:rsid w:val="00466C5B"/>
    <w:rsid w:val="00467519"/>
    <w:rsid w:val="00473730"/>
    <w:rsid w:val="00474385"/>
    <w:rsid w:val="004754C6"/>
    <w:rsid w:val="004829B2"/>
    <w:rsid w:val="004859AB"/>
    <w:rsid w:val="004A09A0"/>
    <w:rsid w:val="004A7651"/>
    <w:rsid w:val="004B0EFB"/>
    <w:rsid w:val="004B1B05"/>
    <w:rsid w:val="004B4FE6"/>
    <w:rsid w:val="004C07A4"/>
    <w:rsid w:val="004C436D"/>
    <w:rsid w:val="004C61EE"/>
    <w:rsid w:val="004D1987"/>
    <w:rsid w:val="004D3D2B"/>
    <w:rsid w:val="004E0F53"/>
    <w:rsid w:val="004E2C76"/>
    <w:rsid w:val="004E61E1"/>
    <w:rsid w:val="004F005B"/>
    <w:rsid w:val="004F025E"/>
    <w:rsid w:val="004F06F0"/>
    <w:rsid w:val="004F193F"/>
    <w:rsid w:val="004F2906"/>
    <w:rsid w:val="00503B65"/>
    <w:rsid w:val="0050405E"/>
    <w:rsid w:val="005054FB"/>
    <w:rsid w:val="0051153B"/>
    <w:rsid w:val="00512714"/>
    <w:rsid w:val="00523FFE"/>
    <w:rsid w:val="005277C4"/>
    <w:rsid w:val="00531FB0"/>
    <w:rsid w:val="00541ADC"/>
    <w:rsid w:val="00542E06"/>
    <w:rsid w:val="005478BE"/>
    <w:rsid w:val="00550AEF"/>
    <w:rsid w:val="00552C34"/>
    <w:rsid w:val="00555CFF"/>
    <w:rsid w:val="00565585"/>
    <w:rsid w:val="00566D3E"/>
    <w:rsid w:val="005834B3"/>
    <w:rsid w:val="0058603C"/>
    <w:rsid w:val="00593711"/>
    <w:rsid w:val="005B0B97"/>
    <w:rsid w:val="005B1A92"/>
    <w:rsid w:val="005B2FAA"/>
    <w:rsid w:val="005B3845"/>
    <w:rsid w:val="005B3BD2"/>
    <w:rsid w:val="005C61B3"/>
    <w:rsid w:val="005C7C80"/>
    <w:rsid w:val="005E0DB2"/>
    <w:rsid w:val="005E59BA"/>
    <w:rsid w:val="005E61CA"/>
    <w:rsid w:val="005F2D23"/>
    <w:rsid w:val="005F6C2E"/>
    <w:rsid w:val="00601E2A"/>
    <w:rsid w:val="00603F1A"/>
    <w:rsid w:val="00614E5C"/>
    <w:rsid w:val="00615835"/>
    <w:rsid w:val="006203C5"/>
    <w:rsid w:val="00625742"/>
    <w:rsid w:val="00632228"/>
    <w:rsid w:val="0063247A"/>
    <w:rsid w:val="0063605B"/>
    <w:rsid w:val="00640F8D"/>
    <w:rsid w:val="0064226C"/>
    <w:rsid w:val="00643898"/>
    <w:rsid w:val="00651A7B"/>
    <w:rsid w:val="006562D8"/>
    <w:rsid w:val="0065644A"/>
    <w:rsid w:val="00661E6F"/>
    <w:rsid w:val="006620DC"/>
    <w:rsid w:val="00664CCF"/>
    <w:rsid w:val="0066566E"/>
    <w:rsid w:val="00666BE1"/>
    <w:rsid w:val="00666FE4"/>
    <w:rsid w:val="00667DA4"/>
    <w:rsid w:val="00670FFE"/>
    <w:rsid w:val="006735A5"/>
    <w:rsid w:val="00674230"/>
    <w:rsid w:val="00683AFE"/>
    <w:rsid w:val="00685523"/>
    <w:rsid w:val="00686C71"/>
    <w:rsid w:val="0068738F"/>
    <w:rsid w:val="00692490"/>
    <w:rsid w:val="00693F41"/>
    <w:rsid w:val="006A2564"/>
    <w:rsid w:val="006A2B1B"/>
    <w:rsid w:val="006B5DCD"/>
    <w:rsid w:val="006B662F"/>
    <w:rsid w:val="006D0EAD"/>
    <w:rsid w:val="006D1B8A"/>
    <w:rsid w:val="006D3C5E"/>
    <w:rsid w:val="006D46FE"/>
    <w:rsid w:val="006D7E9E"/>
    <w:rsid w:val="006E492A"/>
    <w:rsid w:val="006F0173"/>
    <w:rsid w:val="006F0181"/>
    <w:rsid w:val="00702BEB"/>
    <w:rsid w:val="0070551B"/>
    <w:rsid w:val="00713D48"/>
    <w:rsid w:val="007164D2"/>
    <w:rsid w:val="00721ACD"/>
    <w:rsid w:val="00724DA0"/>
    <w:rsid w:val="00726C01"/>
    <w:rsid w:val="00736788"/>
    <w:rsid w:val="00737D52"/>
    <w:rsid w:val="00743D1D"/>
    <w:rsid w:val="0075655F"/>
    <w:rsid w:val="00771435"/>
    <w:rsid w:val="00771EEB"/>
    <w:rsid w:val="0077591C"/>
    <w:rsid w:val="00775D05"/>
    <w:rsid w:val="00777B48"/>
    <w:rsid w:val="0078639C"/>
    <w:rsid w:val="007A6491"/>
    <w:rsid w:val="007B387D"/>
    <w:rsid w:val="007C10E7"/>
    <w:rsid w:val="007D2AE7"/>
    <w:rsid w:val="007D5524"/>
    <w:rsid w:val="007F4096"/>
    <w:rsid w:val="007F5E24"/>
    <w:rsid w:val="007F6F55"/>
    <w:rsid w:val="00804633"/>
    <w:rsid w:val="00823A25"/>
    <w:rsid w:val="00826995"/>
    <w:rsid w:val="00826E13"/>
    <w:rsid w:val="00833B12"/>
    <w:rsid w:val="00835407"/>
    <w:rsid w:val="00835443"/>
    <w:rsid w:val="00845333"/>
    <w:rsid w:val="00862D8F"/>
    <w:rsid w:val="00864858"/>
    <w:rsid w:val="00867222"/>
    <w:rsid w:val="008730A1"/>
    <w:rsid w:val="00873647"/>
    <w:rsid w:val="00873BFD"/>
    <w:rsid w:val="0088194E"/>
    <w:rsid w:val="00882DF3"/>
    <w:rsid w:val="008919F3"/>
    <w:rsid w:val="008A0B0F"/>
    <w:rsid w:val="008A3AD4"/>
    <w:rsid w:val="008B0A5E"/>
    <w:rsid w:val="008B0BB5"/>
    <w:rsid w:val="008B1235"/>
    <w:rsid w:val="008B486D"/>
    <w:rsid w:val="008C5256"/>
    <w:rsid w:val="008D499E"/>
    <w:rsid w:val="008E022D"/>
    <w:rsid w:val="008E7265"/>
    <w:rsid w:val="008F6401"/>
    <w:rsid w:val="008F78D3"/>
    <w:rsid w:val="00913675"/>
    <w:rsid w:val="009166A6"/>
    <w:rsid w:val="009248ED"/>
    <w:rsid w:val="00925DE2"/>
    <w:rsid w:val="00926605"/>
    <w:rsid w:val="00926CA1"/>
    <w:rsid w:val="0092743A"/>
    <w:rsid w:val="00931542"/>
    <w:rsid w:val="009317B2"/>
    <w:rsid w:val="00932702"/>
    <w:rsid w:val="00941EC9"/>
    <w:rsid w:val="009421CB"/>
    <w:rsid w:val="00942604"/>
    <w:rsid w:val="009503F6"/>
    <w:rsid w:val="00953BF4"/>
    <w:rsid w:val="009636D7"/>
    <w:rsid w:val="00964161"/>
    <w:rsid w:val="00966178"/>
    <w:rsid w:val="0097427A"/>
    <w:rsid w:val="00976207"/>
    <w:rsid w:val="00981A94"/>
    <w:rsid w:val="00983D15"/>
    <w:rsid w:val="00987F9F"/>
    <w:rsid w:val="00997912"/>
    <w:rsid w:val="009A204A"/>
    <w:rsid w:val="009A3996"/>
    <w:rsid w:val="009A545E"/>
    <w:rsid w:val="009A61F8"/>
    <w:rsid w:val="009C06C5"/>
    <w:rsid w:val="009C1594"/>
    <w:rsid w:val="009D2291"/>
    <w:rsid w:val="009D5C54"/>
    <w:rsid w:val="009E3FD1"/>
    <w:rsid w:val="009E4235"/>
    <w:rsid w:val="009F072E"/>
    <w:rsid w:val="009F1856"/>
    <w:rsid w:val="00A11043"/>
    <w:rsid w:val="00A20E2C"/>
    <w:rsid w:val="00A239BB"/>
    <w:rsid w:val="00A23F32"/>
    <w:rsid w:val="00A30A14"/>
    <w:rsid w:val="00A3154B"/>
    <w:rsid w:val="00A34673"/>
    <w:rsid w:val="00A4266B"/>
    <w:rsid w:val="00A45DC0"/>
    <w:rsid w:val="00A514FD"/>
    <w:rsid w:val="00A54F83"/>
    <w:rsid w:val="00A5645F"/>
    <w:rsid w:val="00A62085"/>
    <w:rsid w:val="00A67DB4"/>
    <w:rsid w:val="00A718D9"/>
    <w:rsid w:val="00A84C8B"/>
    <w:rsid w:val="00A86426"/>
    <w:rsid w:val="00A91403"/>
    <w:rsid w:val="00A95DF6"/>
    <w:rsid w:val="00AA25FC"/>
    <w:rsid w:val="00AA3294"/>
    <w:rsid w:val="00AA5DF6"/>
    <w:rsid w:val="00AB20D8"/>
    <w:rsid w:val="00AB29EE"/>
    <w:rsid w:val="00AB6A38"/>
    <w:rsid w:val="00AC4DBB"/>
    <w:rsid w:val="00AC4F2A"/>
    <w:rsid w:val="00AD498F"/>
    <w:rsid w:val="00AE16F1"/>
    <w:rsid w:val="00AF3D06"/>
    <w:rsid w:val="00AF439A"/>
    <w:rsid w:val="00AF61FD"/>
    <w:rsid w:val="00AF7D11"/>
    <w:rsid w:val="00B007D8"/>
    <w:rsid w:val="00B05DF1"/>
    <w:rsid w:val="00B07735"/>
    <w:rsid w:val="00B14F6E"/>
    <w:rsid w:val="00B21ADD"/>
    <w:rsid w:val="00B220B2"/>
    <w:rsid w:val="00B41335"/>
    <w:rsid w:val="00B41CAC"/>
    <w:rsid w:val="00B44771"/>
    <w:rsid w:val="00B52A29"/>
    <w:rsid w:val="00B55BF0"/>
    <w:rsid w:val="00B57A66"/>
    <w:rsid w:val="00B626C3"/>
    <w:rsid w:val="00B675D3"/>
    <w:rsid w:val="00B7206C"/>
    <w:rsid w:val="00B72329"/>
    <w:rsid w:val="00B8335D"/>
    <w:rsid w:val="00B91246"/>
    <w:rsid w:val="00B93E6B"/>
    <w:rsid w:val="00B958E4"/>
    <w:rsid w:val="00BB15EE"/>
    <w:rsid w:val="00BB4990"/>
    <w:rsid w:val="00BB5481"/>
    <w:rsid w:val="00BC03B5"/>
    <w:rsid w:val="00BC24C2"/>
    <w:rsid w:val="00BC58A3"/>
    <w:rsid w:val="00BD22DC"/>
    <w:rsid w:val="00BD34BE"/>
    <w:rsid w:val="00BE0854"/>
    <w:rsid w:val="00BE2DFE"/>
    <w:rsid w:val="00BF14C9"/>
    <w:rsid w:val="00BF181C"/>
    <w:rsid w:val="00BF33EC"/>
    <w:rsid w:val="00C06044"/>
    <w:rsid w:val="00C221C2"/>
    <w:rsid w:val="00C238E2"/>
    <w:rsid w:val="00C27BC7"/>
    <w:rsid w:val="00C3096E"/>
    <w:rsid w:val="00C337B5"/>
    <w:rsid w:val="00C41387"/>
    <w:rsid w:val="00C450FE"/>
    <w:rsid w:val="00C5096C"/>
    <w:rsid w:val="00C509F7"/>
    <w:rsid w:val="00C5369D"/>
    <w:rsid w:val="00C5503A"/>
    <w:rsid w:val="00C62AAF"/>
    <w:rsid w:val="00C661AC"/>
    <w:rsid w:val="00C77FCE"/>
    <w:rsid w:val="00C82EC6"/>
    <w:rsid w:val="00C83495"/>
    <w:rsid w:val="00C866F6"/>
    <w:rsid w:val="00C91CA2"/>
    <w:rsid w:val="00C93DA5"/>
    <w:rsid w:val="00C94474"/>
    <w:rsid w:val="00CA3B1F"/>
    <w:rsid w:val="00CB06EA"/>
    <w:rsid w:val="00CC44EB"/>
    <w:rsid w:val="00CC7C21"/>
    <w:rsid w:val="00CD5B08"/>
    <w:rsid w:val="00CF02B6"/>
    <w:rsid w:val="00CF11DF"/>
    <w:rsid w:val="00CF589B"/>
    <w:rsid w:val="00D005DF"/>
    <w:rsid w:val="00D01410"/>
    <w:rsid w:val="00D03B3D"/>
    <w:rsid w:val="00D14681"/>
    <w:rsid w:val="00D147C5"/>
    <w:rsid w:val="00D30E9D"/>
    <w:rsid w:val="00D32115"/>
    <w:rsid w:val="00D32B8B"/>
    <w:rsid w:val="00D36C73"/>
    <w:rsid w:val="00D4400D"/>
    <w:rsid w:val="00D5205D"/>
    <w:rsid w:val="00D6082A"/>
    <w:rsid w:val="00D608A2"/>
    <w:rsid w:val="00D67328"/>
    <w:rsid w:val="00D75A2A"/>
    <w:rsid w:val="00D87BB8"/>
    <w:rsid w:val="00DB44B7"/>
    <w:rsid w:val="00DE23F9"/>
    <w:rsid w:val="00DE5871"/>
    <w:rsid w:val="00E05801"/>
    <w:rsid w:val="00E0708D"/>
    <w:rsid w:val="00E3172F"/>
    <w:rsid w:val="00E414BC"/>
    <w:rsid w:val="00E44D99"/>
    <w:rsid w:val="00E45564"/>
    <w:rsid w:val="00E547A4"/>
    <w:rsid w:val="00E55890"/>
    <w:rsid w:val="00E701E0"/>
    <w:rsid w:val="00E71D6E"/>
    <w:rsid w:val="00E72351"/>
    <w:rsid w:val="00E7655B"/>
    <w:rsid w:val="00E94F8F"/>
    <w:rsid w:val="00E953A9"/>
    <w:rsid w:val="00EA48DD"/>
    <w:rsid w:val="00EA6946"/>
    <w:rsid w:val="00EA792F"/>
    <w:rsid w:val="00EC52FB"/>
    <w:rsid w:val="00EC565D"/>
    <w:rsid w:val="00ED29BA"/>
    <w:rsid w:val="00ED37B7"/>
    <w:rsid w:val="00EE69B7"/>
    <w:rsid w:val="00EF00AA"/>
    <w:rsid w:val="00EF1070"/>
    <w:rsid w:val="00EF422C"/>
    <w:rsid w:val="00EF70DB"/>
    <w:rsid w:val="00EF7444"/>
    <w:rsid w:val="00F04421"/>
    <w:rsid w:val="00F060B9"/>
    <w:rsid w:val="00F1189D"/>
    <w:rsid w:val="00F15F23"/>
    <w:rsid w:val="00F16BC8"/>
    <w:rsid w:val="00F33FA1"/>
    <w:rsid w:val="00F41479"/>
    <w:rsid w:val="00F43B5C"/>
    <w:rsid w:val="00F449E7"/>
    <w:rsid w:val="00F54938"/>
    <w:rsid w:val="00F622FC"/>
    <w:rsid w:val="00F76ABE"/>
    <w:rsid w:val="00F80268"/>
    <w:rsid w:val="00F858BC"/>
    <w:rsid w:val="00F9572B"/>
    <w:rsid w:val="00FA23DA"/>
    <w:rsid w:val="00FA4B82"/>
    <w:rsid w:val="00FA614A"/>
    <w:rsid w:val="00FB04D1"/>
    <w:rsid w:val="00FB08D1"/>
    <w:rsid w:val="00FB3348"/>
    <w:rsid w:val="00FC12B0"/>
    <w:rsid w:val="00FC274C"/>
    <w:rsid w:val="00FC27F5"/>
    <w:rsid w:val="00FC3267"/>
    <w:rsid w:val="00FC3AA1"/>
    <w:rsid w:val="00FE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D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2A"/>
    <w:rPr>
      <w:sz w:val="24"/>
      <w:szCs w:val="24"/>
    </w:rPr>
  </w:style>
  <w:style w:type="paragraph" w:styleId="Heading1">
    <w:name w:val="heading 1"/>
    <w:basedOn w:val="Normal"/>
    <w:next w:val="BodyTextIndent"/>
    <w:link w:val="Heading1Char"/>
    <w:uiPriority w:val="9"/>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240"/>
      <w:ind w:firstLine="720"/>
      <w:jc w:val="both"/>
    </w:pPr>
  </w:style>
  <w:style w:type="character" w:customStyle="1" w:styleId="Heading1Char">
    <w:name w:val="Heading 1 Char"/>
    <w:basedOn w:val="DefaultParagraphFont"/>
    <w:link w:val="Heading1"/>
    <w:uiPriority w:val="9"/>
    <w:rsid w:val="00E05801"/>
    <w:rPr>
      <w:b/>
      <w:caps/>
      <w:kern w:val="28"/>
      <w:sz w:val="24"/>
      <w:szCs w:val="24"/>
    </w:r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link w:val="BodyTextChar"/>
    <w:pPr>
      <w:spacing w:after="240"/>
      <w:jc w:val="both"/>
    </w:pPr>
  </w:style>
  <w:style w:type="character" w:customStyle="1" w:styleId="BodyTextChar">
    <w:name w:val="Body Text Char"/>
    <w:basedOn w:val="DefaultParagraphFont"/>
    <w:link w:val="BodyText"/>
    <w:rsid w:val="00E05801"/>
    <w:rPr>
      <w:sz w:val="24"/>
      <w:szCs w:val="24"/>
    </w:rPr>
  </w:style>
  <w:style w:type="paragraph" w:customStyle="1" w:styleId="References">
    <w:name w:val="References"/>
    <w:basedOn w:val="BodyText"/>
    <w:pPr>
      <w:ind w:left="720" w:hanging="720"/>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pPr>
      <w:spacing w:after="240"/>
      <w:ind w:firstLine="720"/>
      <w:jc w:val="both"/>
    </w:p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E05801"/>
    <w:rPr>
      <w:sz w:val="24"/>
      <w:szCs w:val="24"/>
    </w:rPr>
  </w:style>
  <w:style w:type="character" w:styleId="FootnoteReference">
    <w:name w:val="footnote reference"/>
    <w:basedOn w:val="DefaultParagraphFont"/>
    <w:uiPriority w:val="99"/>
    <w:rPr>
      <w:vertAlign w:val="superscript"/>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E05801"/>
    <w:rPr>
      <w:sz w:val="24"/>
      <w:szCs w:val="24"/>
    </w:rPr>
  </w:style>
  <w:style w:type="paragraph" w:customStyle="1" w:styleId="Normal12point">
    <w:name w:val="Normal 12 point"/>
    <w:basedOn w:val="Normal"/>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05801"/>
    <w:rPr>
      <w:sz w:val="24"/>
      <w:szCs w:val="24"/>
    </w:rPr>
  </w:style>
  <w:style w:type="character" w:styleId="PageNumber">
    <w:name w:val="page number"/>
    <w:basedOn w:val="DefaultParagraphFont"/>
    <w:semiHidden/>
  </w:style>
  <w:style w:type="paragraph" w:customStyle="1" w:styleId="Table">
    <w:name w:val="Table"/>
    <w:basedOn w:val="Normal12point"/>
  </w:style>
  <w:style w:type="paragraph" w:customStyle="1" w:styleId="Default">
    <w:name w:val="Default"/>
    <w:rsid w:val="006E492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6E492A"/>
    <w:pPr>
      <w:spacing w:after="1708"/>
    </w:pPr>
    <w:rPr>
      <w:color w:val="auto"/>
    </w:rPr>
  </w:style>
  <w:style w:type="paragraph" w:customStyle="1" w:styleId="CM1">
    <w:name w:val="CM1"/>
    <w:basedOn w:val="Default"/>
    <w:next w:val="Default"/>
    <w:rsid w:val="006E492A"/>
    <w:rPr>
      <w:color w:val="auto"/>
    </w:rPr>
  </w:style>
  <w:style w:type="paragraph" w:styleId="ListParagraph">
    <w:name w:val="List Paragraph"/>
    <w:basedOn w:val="Normal"/>
    <w:uiPriority w:val="34"/>
    <w:qFormat/>
    <w:rsid w:val="00E05801"/>
    <w:pPr>
      <w:ind w:left="720"/>
      <w:contextualSpacing/>
    </w:pPr>
  </w:style>
  <w:style w:type="paragraph" w:customStyle="1" w:styleId="IEcNormalText">
    <w:name w:val="IEc Normal Text"/>
    <w:basedOn w:val="Normal"/>
    <w:link w:val="IEcNormalTextChar"/>
    <w:rsid w:val="00E05801"/>
    <w:pPr>
      <w:spacing w:after="120" w:line="280" w:lineRule="exact"/>
    </w:pPr>
    <w:rPr>
      <w:rFonts w:eastAsia="Times"/>
      <w:sz w:val="22"/>
      <w:szCs w:val="20"/>
    </w:rPr>
  </w:style>
  <w:style w:type="character" w:customStyle="1" w:styleId="IEcNormalTextChar">
    <w:name w:val="IEc Normal Text Char"/>
    <w:link w:val="IEcNormalText"/>
    <w:rsid w:val="00E05801"/>
    <w:rPr>
      <w:rFonts w:eastAsia="Times"/>
      <w:sz w:val="22"/>
    </w:rPr>
  </w:style>
  <w:style w:type="paragraph" w:customStyle="1" w:styleId="IEcFootnoteText">
    <w:name w:val="IEc Footnote Text"/>
    <w:basedOn w:val="Normal"/>
    <w:link w:val="IEcFootnoteTextChar"/>
    <w:rsid w:val="00E05801"/>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E05801"/>
    <w:rPr>
      <w:rFonts w:ascii="Trebuchet MS" w:eastAsia="Times" w:hAnsi="Trebuchet MS"/>
      <w:sz w:val="14"/>
    </w:rPr>
  </w:style>
  <w:style w:type="character" w:customStyle="1" w:styleId="CommentTextChar">
    <w:name w:val="Comment Text Char"/>
    <w:basedOn w:val="DefaultParagraphFont"/>
    <w:link w:val="CommentText"/>
    <w:semiHidden/>
    <w:rsid w:val="00E05801"/>
  </w:style>
  <w:style w:type="paragraph" w:styleId="CommentText">
    <w:name w:val="annotation text"/>
    <w:basedOn w:val="Normal"/>
    <w:link w:val="CommentTextChar"/>
    <w:semiHidden/>
    <w:rsid w:val="00E05801"/>
    <w:rPr>
      <w:sz w:val="20"/>
      <w:szCs w:val="20"/>
    </w:rPr>
  </w:style>
  <w:style w:type="character" w:customStyle="1" w:styleId="BalloonTextChar">
    <w:name w:val="Balloon Text Char"/>
    <w:basedOn w:val="DefaultParagraphFont"/>
    <w:link w:val="BalloonText"/>
    <w:uiPriority w:val="99"/>
    <w:semiHidden/>
    <w:rsid w:val="00E05801"/>
    <w:rPr>
      <w:rFonts w:ascii="Tahoma" w:hAnsi="Tahoma" w:cs="Tahoma"/>
      <w:sz w:val="16"/>
      <w:szCs w:val="16"/>
    </w:rPr>
  </w:style>
  <w:style w:type="paragraph" w:styleId="BalloonText">
    <w:name w:val="Balloon Text"/>
    <w:basedOn w:val="Normal"/>
    <w:link w:val="BalloonTextChar"/>
    <w:uiPriority w:val="99"/>
    <w:semiHidden/>
    <w:unhideWhenUsed/>
    <w:rsid w:val="00E05801"/>
    <w:rPr>
      <w:rFonts w:ascii="Tahoma" w:hAnsi="Tahoma" w:cs="Tahoma"/>
      <w:sz w:val="16"/>
      <w:szCs w:val="16"/>
    </w:rPr>
  </w:style>
  <w:style w:type="character" w:customStyle="1" w:styleId="CommentSubjectChar">
    <w:name w:val="Comment Subject Char"/>
    <w:basedOn w:val="CommentTextChar"/>
    <w:link w:val="CommentSubject"/>
    <w:uiPriority w:val="99"/>
    <w:semiHidden/>
    <w:rsid w:val="00E05801"/>
    <w:rPr>
      <w:b/>
      <w:bCs/>
    </w:rPr>
  </w:style>
  <w:style w:type="paragraph" w:styleId="CommentSubject">
    <w:name w:val="annotation subject"/>
    <w:basedOn w:val="CommentText"/>
    <w:next w:val="CommentText"/>
    <w:link w:val="CommentSubjectChar"/>
    <w:uiPriority w:val="99"/>
    <w:semiHidden/>
    <w:unhideWhenUsed/>
    <w:rsid w:val="00E05801"/>
    <w:rPr>
      <w:b/>
      <w:bCs/>
    </w:rPr>
  </w:style>
  <w:style w:type="table" w:styleId="TableGrid">
    <w:name w:val="Table Grid"/>
    <w:basedOn w:val="TableNormal"/>
    <w:uiPriority w:val="59"/>
    <w:rsid w:val="00E05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E05801"/>
    <w:pPr>
      <w:spacing w:after="283"/>
    </w:pPr>
    <w:rPr>
      <w:color w:val="auto"/>
    </w:rPr>
  </w:style>
  <w:style w:type="paragraph" w:customStyle="1" w:styleId="CM30">
    <w:name w:val="CM30"/>
    <w:basedOn w:val="Default"/>
    <w:next w:val="Default"/>
    <w:rsid w:val="00E05801"/>
    <w:pPr>
      <w:spacing w:after="488"/>
    </w:pPr>
    <w:rPr>
      <w:color w:val="auto"/>
    </w:rPr>
  </w:style>
  <w:style w:type="character" w:styleId="Hyperlink">
    <w:name w:val="Hyperlink"/>
    <w:basedOn w:val="DefaultParagraphFont"/>
    <w:uiPriority w:val="99"/>
    <w:unhideWhenUsed/>
    <w:rsid w:val="00E05801"/>
    <w:rPr>
      <w:color w:val="0000FF" w:themeColor="hyperlink"/>
      <w:u w:val="single"/>
    </w:rPr>
  </w:style>
  <w:style w:type="paragraph" w:styleId="TOC1">
    <w:name w:val="toc 1"/>
    <w:basedOn w:val="Normal"/>
    <w:next w:val="Normal"/>
    <w:autoRedefine/>
    <w:uiPriority w:val="39"/>
    <w:unhideWhenUsed/>
    <w:rsid w:val="00E05801"/>
    <w:pPr>
      <w:spacing w:after="100"/>
    </w:pPr>
  </w:style>
  <w:style w:type="character" w:styleId="CommentReference">
    <w:name w:val="annotation reference"/>
    <w:basedOn w:val="DefaultParagraphFont"/>
    <w:semiHidden/>
    <w:unhideWhenUsed/>
    <w:rsid w:val="00F41479"/>
    <w:rPr>
      <w:sz w:val="16"/>
      <w:szCs w:val="16"/>
    </w:rPr>
  </w:style>
  <w:style w:type="paragraph" w:customStyle="1" w:styleId="IEcChartText">
    <w:name w:val="IEc Chart Text"/>
    <w:basedOn w:val="Normal"/>
    <w:rsid w:val="00F41479"/>
    <w:pPr>
      <w:spacing w:before="20" w:after="20"/>
    </w:pPr>
    <w:rPr>
      <w:rFonts w:ascii="Trebuchet MS" w:eastAsia="Times" w:hAnsi="Trebuchet MS"/>
      <w:sz w:val="18"/>
      <w:szCs w:val="20"/>
    </w:rPr>
  </w:style>
  <w:style w:type="paragraph" w:customStyle="1" w:styleId="IEcChartSubHead">
    <w:name w:val="IEc Chart SubHead"/>
    <w:basedOn w:val="Normal"/>
    <w:rsid w:val="00B41335"/>
    <w:pPr>
      <w:spacing w:before="80" w:after="40" w:line="220" w:lineRule="exact"/>
    </w:pPr>
    <w:rPr>
      <w:rFonts w:ascii="Trebuchet MS" w:eastAsia="Times" w:hAnsi="Trebuchet MS"/>
      <w:b/>
      <w:caps/>
      <w:sz w:val="15"/>
      <w:szCs w:val="20"/>
    </w:rPr>
  </w:style>
  <w:style w:type="paragraph" w:customStyle="1" w:styleId="IEcChartHeading">
    <w:name w:val="IEc Chart Heading"/>
    <w:basedOn w:val="Normal"/>
    <w:rsid w:val="00B41335"/>
    <w:pPr>
      <w:keepNext/>
      <w:spacing w:before="120" w:after="120" w:line="290" w:lineRule="exact"/>
      <w:outlineLvl w:val="0"/>
    </w:pPr>
    <w:rPr>
      <w:rFonts w:ascii="Trebuchet MS" w:eastAsia="Times" w:hAnsi="Trebuchet MS"/>
      <w:b/>
      <w:caps/>
      <w:color w:val="003366"/>
      <w:sz w:val="17"/>
      <w:szCs w:val="20"/>
    </w:rPr>
  </w:style>
  <w:style w:type="paragraph" w:styleId="Revision">
    <w:name w:val="Revision"/>
    <w:hidden/>
    <w:uiPriority w:val="99"/>
    <w:semiHidden/>
    <w:rsid w:val="00191B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2A"/>
    <w:rPr>
      <w:sz w:val="24"/>
      <w:szCs w:val="24"/>
    </w:rPr>
  </w:style>
  <w:style w:type="paragraph" w:styleId="Heading1">
    <w:name w:val="heading 1"/>
    <w:basedOn w:val="Normal"/>
    <w:next w:val="BodyTextIndent"/>
    <w:link w:val="Heading1Char"/>
    <w:uiPriority w:val="9"/>
    <w:qFormat/>
    <w:pPr>
      <w:keepNext/>
      <w:spacing w:before="240" w:after="240"/>
      <w:ind w:left="360" w:hanging="360"/>
      <w:outlineLvl w:val="0"/>
    </w:pPr>
    <w:rPr>
      <w:b/>
      <w:caps/>
      <w:kern w:val="28"/>
    </w:rPr>
  </w:style>
  <w:style w:type="paragraph" w:styleId="Heading2">
    <w:name w:val="heading 2"/>
    <w:basedOn w:val="Normal"/>
    <w:next w:val="BodyTextIndent"/>
    <w:qFormat/>
    <w:pPr>
      <w:keepNext/>
      <w:spacing w:before="240" w:after="240"/>
      <w:ind w:left="360" w:hanging="360"/>
      <w:outlineLvl w:val="1"/>
    </w:pPr>
    <w:rPr>
      <w:b/>
      <w:u w:val="single"/>
    </w:rPr>
  </w:style>
  <w:style w:type="paragraph" w:styleId="Heading3">
    <w:name w:val="heading 3"/>
    <w:basedOn w:val="Normal"/>
    <w:next w:val="BodyTextIndent"/>
    <w:qFormat/>
    <w:pPr>
      <w:keepNext/>
      <w:spacing w:before="240" w:after="240"/>
      <w:ind w:left="360" w:hanging="360"/>
      <w:outlineLvl w:val="2"/>
    </w:pPr>
    <w:rPr>
      <w:b/>
    </w:rPr>
  </w:style>
  <w:style w:type="paragraph" w:styleId="Heading4">
    <w:name w:val="heading 4"/>
    <w:basedOn w:val="Normal"/>
    <w:next w:val="BodyTextIndent"/>
    <w:qFormat/>
    <w:pPr>
      <w:keepNext/>
      <w:spacing w:before="240" w:after="240"/>
      <w:ind w:left="1080" w:hanging="360"/>
      <w:outlineLvl w:val="3"/>
    </w:pPr>
    <w:rPr>
      <w:b/>
      <w:u w:val="single"/>
    </w:rPr>
  </w:style>
  <w:style w:type="paragraph" w:styleId="Heading5">
    <w:name w:val="heading 5"/>
    <w:basedOn w:val="Normal"/>
    <w:next w:val="BodyTextIndent"/>
    <w:qFormat/>
    <w:pPr>
      <w:keepNext/>
      <w:spacing w:before="240" w:after="240"/>
      <w:ind w:left="1080" w:hanging="3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after="240"/>
      <w:ind w:firstLine="720"/>
      <w:jc w:val="both"/>
    </w:pPr>
  </w:style>
  <w:style w:type="character" w:customStyle="1" w:styleId="Heading1Char">
    <w:name w:val="Heading 1 Char"/>
    <w:basedOn w:val="DefaultParagraphFont"/>
    <w:link w:val="Heading1"/>
    <w:uiPriority w:val="9"/>
    <w:rsid w:val="00E05801"/>
    <w:rPr>
      <w:b/>
      <w:caps/>
      <w:kern w:val="28"/>
      <w:sz w:val="24"/>
      <w:szCs w:val="24"/>
    </w:rPr>
  </w:style>
  <w:style w:type="paragraph" w:customStyle="1" w:styleId="Normal11point">
    <w:name w:val="Normal 11point"/>
    <w:basedOn w:val="Normal"/>
    <w:rPr>
      <w:sz w:val="22"/>
    </w:rPr>
  </w:style>
  <w:style w:type="paragraph" w:customStyle="1" w:styleId="ReferencesHeading">
    <w:name w:val="References Heading"/>
    <w:basedOn w:val="Normal11point"/>
    <w:pPr>
      <w:keepNext/>
      <w:spacing w:before="240" w:after="480"/>
      <w:jc w:val="center"/>
    </w:pPr>
    <w:rPr>
      <w:b/>
      <w:caps/>
    </w:rPr>
  </w:style>
  <w:style w:type="paragraph" w:customStyle="1" w:styleId="Heading4under3">
    <w:name w:val="Heading 4 under 3"/>
    <w:basedOn w:val="Normal"/>
    <w:next w:val="BodyTextIndent"/>
    <w:pPr>
      <w:keepNext/>
      <w:spacing w:after="240"/>
      <w:ind w:left="1080" w:hanging="360"/>
    </w:pPr>
    <w:rPr>
      <w:b/>
      <w:u w:val="single"/>
    </w:rPr>
  </w:style>
  <w:style w:type="paragraph" w:customStyle="1" w:styleId="Heading5under4">
    <w:name w:val="Heading 5 under 4"/>
    <w:basedOn w:val="Normal"/>
    <w:next w:val="BodyTextIndent"/>
    <w:pPr>
      <w:keepNext/>
      <w:spacing w:after="240"/>
      <w:ind w:left="1080" w:hanging="360"/>
    </w:pPr>
    <w:rPr>
      <w:b/>
    </w:rPr>
  </w:style>
  <w:style w:type="paragraph" w:styleId="BodyText">
    <w:name w:val="Body Text"/>
    <w:basedOn w:val="Normal"/>
    <w:link w:val="BodyTextChar"/>
    <w:pPr>
      <w:spacing w:after="240"/>
      <w:jc w:val="both"/>
    </w:pPr>
  </w:style>
  <w:style w:type="character" w:customStyle="1" w:styleId="BodyTextChar">
    <w:name w:val="Body Text Char"/>
    <w:basedOn w:val="DefaultParagraphFont"/>
    <w:link w:val="BodyText"/>
    <w:rsid w:val="00E05801"/>
    <w:rPr>
      <w:sz w:val="24"/>
      <w:szCs w:val="24"/>
    </w:rPr>
  </w:style>
  <w:style w:type="paragraph" w:customStyle="1" w:styleId="References">
    <w:name w:val="References"/>
    <w:basedOn w:val="BodyText"/>
    <w:pPr>
      <w:ind w:left="720" w:hanging="720"/>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pPr>
      <w:spacing w:after="240"/>
      <w:ind w:firstLine="720"/>
      <w:jc w:val="both"/>
    </w:p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E05801"/>
    <w:rPr>
      <w:sz w:val="24"/>
      <w:szCs w:val="24"/>
    </w:rPr>
  </w:style>
  <w:style w:type="character" w:styleId="FootnoteReference">
    <w:name w:val="footnote reference"/>
    <w:basedOn w:val="DefaultParagraphFont"/>
    <w:uiPriority w:val="99"/>
    <w:rPr>
      <w:vertAlign w:val="superscript"/>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customStyle="1" w:styleId="Heading2under1">
    <w:name w:val="Heading 2 under 1"/>
    <w:basedOn w:val="Normal"/>
    <w:next w:val="BodyTextIndent"/>
    <w:pPr>
      <w:keepNext/>
      <w:spacing w:after="240"/>
      <w:ind w:left="360" w:hanging="360"/>
    </w:pPr>
    <w:rPr>
      <w:b/>
      <w:u w:val="single"/>
    </w:rPr>
  </w:style>
  <w:style w:type="paragraph" w:customStyle="1" w:styleId="Bullets">
    <w:name w:val="Bullets"/>
    <w:basedOn w:val="BodyText"/>
    <w:pPr>
      <w:ind w:left="1440" w:right="720" w:hanging="720"/>
    </w:pPr>
  </w:style>
  <w:style w:type="paragraph" w:customStyle="1" w:styleId="Heading3under2">
    <w:name w:val="Heading 3 under 2"/>
    <w:basedOn w:val="Normal"/>
    <w:next w:val="BodyTextIndent"/>
    <w:pPr>
      <w:keepNext/>
      <w:spacing w:after="240"/>
      <w:ind w:left="360" w:hanging="360"/>
    </w:pPr>
    <w:rPr>
      <w:b/>
    </w:rPr>
  </w:style>
  <w:style w:type="paragraph" w:customStyle="1" w:styleId="Bulletslast">
    <w:name w:val="Bullets last"/>
    <w:basedOn w:val="Normal"/>
    <w:next w:val="BodyTextIndent"/>
    <w:pPr>
      <w:spacing w:after="480"/>
      <w:ind w:left="1440" w:right="720" w:hanging="720"/>
      <w:jc w:val="both"/>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E05801"/>
    <w:rPr>
      <w:sz w:val="24"/>
      <w:szCs w:val="24"/>
    </w:rPr>
  </w:style>
  <w:style w:type="paragraph" w:customStyle="1" w:styleId="Normal12point">
    <w:name w:val="Normal 12 point"/>
    <w:basedOn w:val="Normal"/>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05801"/>
    <w:rPr>
      <w:sz w:val="24"/>
      <w:szCs w:val="24"/>
    </w:rPr>
  </w:style>
  <w:style w:type="character" w:styleId="PageNumber">
    <w:name w:val="page number"/>
    <w:basedOn w:val="DefaultParagraphFont"/>
    <w:semiHidden/>
  </w:style>
  <w:style w:type="paragraph" w:customStyle="1" w:styleId="Table">
    <w:name w:val="Table"/>
    <w:basedOn w:val="Normal12point"/>
  </w:style>
  <w:style w:type="paragraph" w:customStyle="1" w:styleId="Default">
    <w:name w:val="Default"/>
    <w:rsid w:val="006E492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6E492A"/>
    <w:pPr>
      <w:spacing w:after="1708"/>
    </w:pPr>
    <w:rPr>
      <w:color w:val="auto"/>
    </w:rPr>
  </w:style>
  <w:style w:type="paragraph" w:customStyle="1" w:styleId="CM1">
    <w:name w:val="CM1"/>
    <w:basedOn w:val="Default"/>
    <w:next w:val="Default"/>
    <w:rsid w:val="006E492A"/>
    <w:rPr>
      <w:color w:val="auto"/>
    </w:rPr>
  </w:style>
  <w:style w:type="paragraph" w:styleId="ListParagraph">
    <w:name w:val="List Paragraph"/>
    <w:basedOn w:val="Normal"/>
    <w:uiPriority w:val="34"/>
    <w:qFormat/>
    <w:rsid w:val="00E05801"/>
    <w:pPr>
      <w:ind w:left="720"/>
      <w:contextualSpacing/>
    </w:pPr>
  </w:style>
  <w:style w:type="paragraph" w:customStyle="1" w:styleId="IEcNormalText">
    <w:name w:val="IEc Normal Text"/>
    <w:basedOn w:val="Normal"/>
    <w:link w:val="IEcNormalTextChar"/>
    <w:rsid w:val="00E05801"/>
    <w:pPr>
      <w:spacing w:after="120" w:line="280" w:lineRule="exact"/>
    </w:pPr>
    <w:rPr>
      <w:rFonts w:eastAsia="Times"/>
      <w:sz w:val="22"/>
      <w:szCs w:val="20"/>
    </w:rPr>
  </w:style>
  <w:style w:type="character" w:customStyle="1" w:styleId="IEcNormalTextChar">
    <w:name w:val="IEc Normal Text Char"/>
    <w:link w:val="IEcNormalText"/>
    <w:rsid w:val="00E05801"/>
    <w:rPr>
      <w:rFonts w:eastAsia="Times"/>
      <w:sz w:val="22"/>
    </w:rPr>
  </w:style>
  <w:style w:type="paragraph" w:customStyle="1" w:styleId="IEcFootnoteText">
    <w:name w:val="IEc Footnote Text"/>
    <w:basedOn w:val="Normal"/>
    <w:link w:val="IEcFootnoteTextChar"/>
    <w:rsid w:val="00E05801"/>
    <w:pPr>
      <w:spacing w:line="220" w:lineRule="exact"/>
      <w:ind w:left="86" w:hanging="86"/>
    </w:pPr>
    <w:rPr>
      <w:rFonts w:ascii="Trebuchet MS" w:eastAsia="Times" w:hAnsi="Trebuchet MS"/>
      <w:sz w:val="14"/>
      <w:szCs w:val="20"/>
    </w:rPr>
  </w:style>
  <w:style w:type="character" w:customStyle="1" w:styleId="IEcFootnoteTextChar">
    <w:name w:val="IEc Footnote Text Char"/>
    <w:link w:val="IEcFootnoteText"/>
    <w:rsid w:val="00E05801"/>
    <w:rPr>
      <w:rFonts w:ascii="Trebuchet MS" w:eastAsia="Times" w:hAnsi="Trebuchet MS"/>
      <w:sz w:val="14"/>
    </w:rPr>
  </w:style>
  <w:style w:type="character" w:customStyle="1" w:styleId="CommentTextChar">
    <w:name w:val="Comment Text Char"/>
    <w:basedOn w:val="DefaultParagraphFont"/>
    <w:link w:val="CommentText"/>
    <w:semiHidden/>
    <w:rsid w:val="00E05801"/>
  </w:style>
  <w:style w:type="paragraph" w:styleId="CommentText">
    <w:name w:val="annotation text"/>
    <w:basedOn w:val="Normal"/>
    <w:link w:val="CommentTextChar"/>
    <w:semiHidden/>
    <w:rsid w:val="00E05801"/>
    <w:rPr>
      <w:sz w:val="20"/>
      <w:szCs w:val="20"/>
    </w:rPr>
  </w:style>
  <w:style w:type="character" w:customStyle="1" w:styleId="BalloonTextChar">
    <w:name w:val="Balloon Text Char"/>
    <w:basedOn w:val="DefaultParagraphFont"/>
    <w:link w:val="BalloonText"/>
    <w:uiPriority w:val="99"/>
    <w:semiHidden/>
    <w:rsid w:val="00E05801"/>
    <w:rPr>
      <w:rFonts w:ascii="Tahoma" w:hAnsi="Tahoma" w:cs="Tahoma"/>
      <w:sz w:val="16"/>
      <w:szCs w:val="16"/>
    </w:rPr>
  </w:style>
  <w:style w:type="paragraph" w:styleId="BalloonText">
    <w:name w:val="Balloon Text"/>
    <w:basedOn w:val="Normal"/>
    <w:link w:val="BalloonTextChar"/>
    <w:uiPriority w:val="99"/>
    <w:semiHidden/>
    <w:unhideWhenUsed/>
    <w:rsid w:val="00E05801"/>
    <w:rPr>
      <w:rFonts w:ascii="Tahoma" w:hAnsi="Tahoma" w:cs="Tahoma"/>
      <w:sz w:val="16"/>
      <w:szCs w:val="16"/>
    </w:rPr>
  </w:style>
  <w:style w:type="character" w:customStyle="1" w:styleId="CommentSubjectChar">
    <w:name w:val="Comment Subject Char"/>
    <w:basedOn w:val="CommentTextChar"/>
    <w:link w:val="CommentSubject"/>
    <w:uiPriority w:val="99"/>
    <w:semiHidden/>
    <w:rsid w:val="00E05801"/>
    <w:rPr>
      <w:b/>
      <w:bCs/>
    </w:rPr>
  </w:style>
  <w:style w:type="paragraph" w:styleId="CommentSubject">
    <w:name w:val="annotation subject"/>
    <w:basedOn w:val="CommentText"/>
    <w:next w:val="CommentText"/>
    <w:link w:val="CommentSubjectChar"/>
    <w:uiPriority w:val="99"/>
    <w:semiHidden/>
    <w:unhideWhenUsed/>
    <w:rsid w:val="00E05801"/>
    <w:rPr>
      <w:b/>
      <w:bCs/>
    </w:rPr>
  </w:style>
  <w:style w:type="table" w:styleId="TableGrid">
    <w:name w:val="Table Grid"/>
    <w:basedOn w:val="TableNormal"/>
    <w:uiPriority w:val="59"/>
    <w:rsid w:val="00E058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5">
    <w:name w:val="CM25"/>
    <w:basedOn w:val="Default"/>
    <w:next w:val="Default"/>
    <w:rsid w:val="00E05801"/>
    <w:pPr>
      <w:spacing w:after="283"/>
    </w:pPr>
    <w:rPr>
      <w:color w:val="auto"/>
    </w:rPr>
  </w:style>
  <w:style w:type="paragraph" w:customStyle="1" w:styleId="CM30">
    <w:name w:val="CM30"/>
    <w:basedOn w:val="Default"/>
    <w:next w:val="Default"/>
    <w:rsid w:val="00E05801"/>
    <w:pPr>
      <w:spacing w:after="488"/>
    </w:pPr>
    <w:rPr>
      <w:color w:val="auto"/>
    </w:rPr>
  </w:style>
  <w:style w:type="character" w:styleId="Hyperlink">
    <w:name w:val="Hyperlink"/>
    <w:basedOn w:val="DefaultParagraphFont"/>
    <w:uiPriority w:val="99"/>
    <w:unhideWhenUsed/>
    <w:rsid w:val="00E05801"/>
    <w:rPr>
      <w:color w:val="0000FF" w:themeColor="hyperlink"/>
      <w:u w:val="single"/>
    </w:rPr>
  </w:style>
  <w:style w:type="paragraph" w:styleId="TOC1">
    <w:name w:val="toc 1"/>
    <w:basedOn w:val="Normal"/>
    <w:next w:val="Normal"/>
    <w:autoRedefine/>
    <w:uiPriority w:val="39"/>
    <w:unhideWhenUsed/>
    <w:rsid w:val="00E05801"/>
    <w:pPr>
      <w:spacing w:after="100"/>
    </w:pPr>
  </w:style>
  <w:style w:type="character" w:styleId="CommentReference">
    <w:name w:val="annotation reference"/>
    <w:basedOn w:val="DefaultParagraphFont"/>
    <w:semiHidden/>
    <w:unhideWhenUsed/>
    <w:rsid w:val="00F41479"/>
    <w:rPr>
      <w:sz w:val="16"/>
      <w:szCs w:val="16"/>
    </w:rPr>
  </w:style>
  <w:style w:type="paragraph" w:customStyle="1" w:styleId="IEcChartText">
    <w:name w:val="IEc Chart Text"/>
    <w:basedOn w:val="Normal"/>
    <w:rsid w:val="00F41479"/>
    <w:pPr>
      <w:spacing w:before="20" w:after="20"/>
    </w:pPr>
    <w:rPr>
      <w:rFonts w:ascii="Trebuchet MS" w:eastAsia="Times" w:hAnsi="Trebuchet MS"/>
      <w:sz w:val="18"/>
      <w:szCs w:val="20"/>
    </w:rPr>
  </w:style>
  <w:style w:type="paragraph" w:customStyle="1" w:styleId="IEcChartSubHead">
    <w:name w:val="IEc Chart SubHead"/>
    <w:basedOn w:val="Normal"/>
    <w:rsid w:val="00B41335"/>
    <w:pPr>
      <w:spacing w:before="80" w:after="40" w:line="220" w:lineRule="exact"/>
    </w:pPr>
    <w:rPr>
      <w:rFonts w:ascii="Trebuchet MS" w:eastAsia="Times" w:hAnsi="Trebuchet MS"/>
      <w:b/>
      <w:caps/>
      <w:sz w:val="15"/>
      <w:szCs w:val="20"/>
    </w:rPr>
  </w:style>
  <w:style w:type="paragraph" w:customStyle="1" w:styleId="IEcChartHeading">
    <w:name w:val="IEc Chart Heading"/>
    <w:basedOn w:val="Normal"/>
    <w:rsid w:val="00B41335"/>
    <w:pPr>
      <w:keepNext/>
      <w:spacing w:before="120" w:after="120" w:line="290" w:lineRule="exact"/>
      <w:outlineLvl w:val="0"/>
    </w:pPr>
    <w:rPr>
      <w:rFonts w:ascii="Trebuchet MS" w:eastAsia="Times" w:hAnsi="Trebuchet MS"/>
      <w:b/>
      <w:caps/>
      <w:color w:val="003366"/>
      <w:sz w:val="17"/>
      <w:szCs w:val="20"/>
    </w:rPr>
  </w:style>
  <w:style w:type="paragraph" w:styleId="Revision">
    <w:name w:val="Revision"/>
    <w:hidden/>
    <w:uiPriority w:val="99"/>
    <w:semiHidden/>
    <w:rsid w:val="00191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767">
      <w:bodyDiv w:val="1"/>
      <w:marLeft w:val="0"/>
      <w:marRight w:val="0"/>
      <w:marTop w:val="0"/>
      <w:marBottom w:val="0"/>
      <w:divBdr>
        <w:top w:val="none" w:sz="0" w:space="0" w:color="auto"/>
        <w:left w:val="none" w:sz="0" w:space="0" w:color="auto"/>
        <w:bottom w:val="none" w:sz="0" w:space="0" w:color="auto"/>
        <w:right w:val="none" w:sz="0" w:space="0" w:color="auto"/>
      </w:divBdr>
    </w:div>
    <w:div w:id="61219802">
      <w:bodyDiv w:val="1"/>
      <w:marLeft w:val="0"/>
      <w:marRight w:val="0"/>
      <w:marTop w:val="0"/>
      <w:marBottom w:val="0"/>
      <w:divBdr>
        <w:top w:val="none" w:sz="0" w:space="0" w:color="auto"/>
        <w:left w:val="none" w:sz="0" w:space="0" w:color="auto"/>
        <w:bottom w:val="none" w:sz="0" w:space="0" w:color="auto"/>
        <w:right w:val="none" w:sz="0" w:space="0" w:color="auto"/>
      </w:divBdr>
    </w:div>
    <w:div w:id="138229377">
      <w:bodyDiv w:val="1"/>
      <w:marLeft w:val="0"/>
      <w:marRight w:val="0"/>
      <w:marTop w:val="0"/>
      <w:marBottom w:val="0"/>
      <w:divBdr>
        <w:top w:val="none" w:sz="0" w:space="0" w:color="auto"/>
        <w:left w:val="none" w:sz="0" w:space="0" w:color="auto"/>
        <w:bottom w:val="none" w:sz="0" w:space="0" w:color="auto"/>
        <w:right w:val="none" w:sz="0" w:space="0" w:color="auto"/>
      </w:divBdr>
    </w:div>
    <w:div w:id="226693972">
      <w:bodyDiv w:val="1"/>
      <w:marLeft w:val="0"/>
      <w:marRight w:val="0"/>
      <w:marTop w:val="0"/>
      <w:marBottom w:val="0"/>
      <w:divBdr>
        <w:top w:val="none" w:sz="0" w:space="0" w:color="auto"/>
        <w:left w:val="none" w:sz="0" w:space="0" w:color="auto"/>
        <w:bottom w:val="none" w:sz="0" w:space="0" w:color="auto"/>
        <w:right w:val="none" w:sz="0" w:space="0" w:color="auto"/>
      </w:divBdr>
    </w:div>
    <w:div w:id="233316568">
      <w:bodyDiv w:val="1"/>
      <w:marLeft w:val="0"/>
      <w:marRight w:val="0"/>
      <w:marTop w:val="0"/>
      <w:marBottom w:val="0"/>
      <w:divBdr>
        <w:top w:val="none" w:sz="0" w:space="0" w:color="auto"/>
        <w:left w:val="none" w:sz="0" w:space="0" w:color="auto"/>
        <w:bottom w:val="none" w:sz="0" w:space="0" w:color="auto"/>
        <w:right w:val="none" w:sz="0" w:space="0" w:color="auto"/>
      </w:divBdr>
    </w:div>
    <w:div w:id="492644174">
      <w:bodyDiv w:val="1"/>
      <w:marLeft w:val="0"/>
      <w:marRight w:val="0"/>
      <w:marTop w:val="0"/>
      <w:marBottom w:val="0"/>
      <w:divBdr>
        <w:top w:val="none" w:sz="0" w:space="0" w:color="auto"/>
        <w:left w:val="none" w:sz="0" w:space="0" w:color="auto"/>
        <w:bottom w:val="none" w:sz="0" w:space="0" w:color="auto"/>
        <w:right w:val="none" w:sz="0" w:space="0" w:color="auto"/>
      </w:divBdr>
    </w:div>
    <w:div w:id="878325526">
      <w:bodyDiv w:val="1"/>
      <w:marLeft w:val="0"/>
      <w:marRight w:val="0"/>
      <w:marTop w:val="0"/>
      <w:marBottom w:val="0"/>
      <w:divBdr>
        <w:top w:val="none" w:sz="0" w:space="0" w:color="auto"/>
        <w:left w:val="none" w:sz="0" w:space="0" w:color="auto"/>
        <w:bottom w:val="none" w:sz="0" w:space="0" w:color="auto"/>
        <w:right w:val="none" w:sz="0" w:space="0" w:color="auto"/>
      </w:divBdr>
    </w:div>
    <w:div w:id="960189698">
      <w:bodyDiv w:val="1"/>
      <w:marLeft w:val="0"/>
      <w:marRight w:val="0"/>
      <w:marTop w:val="0"/>
      <w:marBottom w:val="0"/>
      <w:divBdr>
        <w:top w:val="none" w:sz="0" w:space="0" w:color="auto"/>
        <w:left w:val="none" w:sz="0" w:space="0" w:color="auto"/>
        <w:bottom w:val="none" w:sz="0" w:space="0" w:color="auto"/>
        <w:right w:val="none" w:sz="0" w:space="0" w:color="auto"/>
      </w:divBdr>
    </w:div>
    <w:div w:id="1020427696">
      <w:bodyDiv w:val="1"/>
      <w:marLeft w:val="0"/>
      <w:marRight w:val="0"/>
      <w:marTop w:val="0"/>
      <w:marBottom w:val="0"/>
      <w:divBdr>
        <w:top w:val="none" w:sz="0" w:space="0" w:color="auto"/>
        <w:left w:val="none" w:sz="0" w:space="0" w:color="auto"/>
        <w:bottom w:val="none" w:sz="0" w:space="0" w:color="auto"/>
        <w:right w:val="none" w:sz="0" w:space="0" w:color="auto"/>
      </w:divBdr>
    </w:div>
    <w:div w:id="1047220012">
      <w:bodyDiv w:val="1"/>
      <w:marLeft w:val="0"/>
      <w:marRight w:val="0"/>
      <w:marTop w:val="0"/>
      <w:marBottom w:val="0"/>
      <w:divBdr>
        <w:top w:val="none" w:sz="0" w:space="0" w:color="auto"/>
        <w:left w:val="none" w:sz="0" w:space="0" w:color="auto"/>
        <w:bottom w:val="none" w:sz="0" w:space="0" w:color="auto"/>
        <w:right w:val="none" w:sz="0" w:space="0" w:color="auto"/>
      </w:divBdr>
    </w:div>
    <w:div w:id="1054545779">
      <w:bodyDiv w:val="1"/>
      <w:marLeft w:val="0"/>
      <w:marRight w:val="0"/>
      <w:marTop w:val="0"/>
      <w:marBottom w:val="0"/>
      <w:divBdr>
        <w:top w:val="none" w:sz="0" w:space="0" w:color="auto"/>
        <w:left w:val="none" w:sz="0" w:space="0" w:color="auto"/>
        <w:bottom w:val="none" w:sz="0" w:space="0" w:color="auto"/>
        <w:right w:val="none" w:sz="0" w:space="0" w:color="auto"/>
      </w:divBdr>
    </w:div>
    <w:div w:id="1065570526">
      <w:bodyDiv w:val="1"/>
      <w:marLeft w:val="0"/>
      <w:marRight w:val="0"/>
      <w:marTop w:val="0"/>
      <w:marBottom w:val="0"/>
      <w:divBdr>
        <w:top w:val="none" w:sz="0" w:space="0" w:color="auto"/>
        <w:left w:val="none" w:sz="0" w:space="0" w:color="auto"/>
        <w:bottom w:val="none" w:sz="0" w:space="0" w:color="auto"/>
        <w:right w:val="none" w:sz="0" w:space="0" w:color="auto"/>
      </w:divBdr>
    </w:div>
    <w:div w:id="1190682262">
      <w:bodyDiv w:val="1"/>
      <w:marLeft w:val="0"/>
      <w:marRight w:val="0"/>
      <w:marTop w:val="0"/>
      <w:marBottom w:val="0"/>
      <w:divBdr>
        <w:top w:val="none" w:sz="0" w:space="0" w:color="auto"/>
        <w:left w:val="none" w:sz="0" w:space="0" w:color="auto"/>
        <w:bottom w:val="none" w:sz="0" w:space="0" w:color="auto"/>
        <w:right w:val="none" w:sz="0" w:space="0" w:color="auto"/>
      </w:divBdr>
    </w:div>
    <w:div w:id="1285693635">
      <w:bodyDiv w:val="1"/>
      <w:marLeft w:val="0"/>
      <w:marRight w:val="0"/>
      <w:marTop w:val="0"/>
      <w:marBottom w:val="0"/>
      <w:divBdr>
        <w:top w:val="none" w:sz="0" w:space="0" w:color="auto"/>
        <w:left w:val="none" w:sz="0" w:space="0" w:color="auto"/>
        <w:bottom w:val="none" w:sz="0" w:space="0" w:color="auto"/>
        <w:right w:val="none" w:sz="0" w:space="0" w:color="auto"/>
      </w:divBdr>
    </w:div>
    <w:div w:id="1314288626">
      <w:bodyDiv w:val="1"/>
      <w:marLeft w:val="0"/>
      <w:marRight w:val="0"/>
      <w:marTop w:val="0"/>
      <w:marBottom w:val="0"/>
      <w:divBdr>
        <w:top w:val="none" w:sz="0" w:space="0" w:color="auto"/>
        <w:left w:val="none" w:sz="0" w:space="0" w:color="auto"/>
        <w:bottom w:val="none" w:sz="0" w:space="0" w:color="auto"/>
        <w:right w:val="none" w:sz="0" w:space="0" w:color="auto"/>
      </w:divBdr>
    </w:div>
    <w:div w:id="1381590689">
      <w:bodyDiv w:val="1"/>
      <w:marLeft w:val="0"/>
      <w:marRight w:val="0"/>
      <w:marTop w:val="0"/>
      <w:marBottom w:val="0"/>
      <w:divBdr>
        <w:top w:val="none" w:sz="0" w:space="0" w:color="auto"/>
        <w:left w:val="none" w:sz="0" w:space="0" w:color="auto"/>
        <w:bottom w:val="none" w:sz="0" w:space="0" w:color="auto"/>
        <w:right w:val="none" w:sz="0" w:space="0" w:color="auto"/>
      </w:divBdr>
    </w:div>
    <w:div w:id="1457092666">
      <w:bodyDiv w:val="1"/>
      <w:marLeft w:val="0"/>
      <w:marRight w:val="0"/>
      <w:marTop w:val="0"/>
      <w:marBottom w:val="0"/>
      <w:divBdr>
        <w:top w:val="none" w:sz="0" w:space="0" w:color="auto"/>
        <w:left w:val="none" w:sz="0" w:space="0" w:color="auto"/>
        <w:bottom w:val="none" w:sz="0" w:space="0" w:color="auto"/>
        <w:right w:val="none" w:sz="0" w:space="0" w:color="auto"/>
      </w:divBdr>
    </w:div>
    <w:div w:id="1464887108">
      <w:bodyDiv w:val="1"/>
      <w:marLeft w:val="0"/>
      <w:marRight w:val="0"/>
      <w:marTop w:val="0"/>
      <w:marBottom w:val="0"/>
      <w:divBdr>
        <w:top w:val="none" w:sz="0" w:space="0" w:color="auto"/>
        <w:left w:val="none" w:sz="0" w:space="0" w:color="auto"/>
        <w:bottom w:val="none" w:sz="0" w:space="0" w:color="auto"/>
        <w:right w:val="none" w:sz="0" w:space="0" w:color="auto"/>
      </w:divBdr>
    </w:div>
    <w:div w:id="1515343652">
      <w:bodyDiv w:val="1"/>
      <w:marLeft w:val="0"/>
      <w:marRight w:val="0"/>
      <w:marTop w:val="0"/>
      <w:marBottom w:val="0"/>
      <w:divBdr>
        <w:top w:val="none" w:sz="0" w:space="0" w:color="auto"/>
        <w:left w:val="none" w:sz="0" w:space="0" w:color="auto"/>
        <w:bottom w:val="none" w:sz="0" w:space="0" w:color="auto"/>
        <w:right w:val="none" w:sz="0" w:space="0" w:color="auto"/>
      </w:divBdr>
    </w:div>
    <w:div w:id="1554387960">
      <w:bodyDiv w:val="1"/>
      <w:marLeft w:val="0"/>
      <w:marRight w:val="0"/>
      <w:marTop w:val="0"/>
      <w:marBottom w:val="0"/>
      <w:divBdr>
        <w:top w:val="none" w:sz="0" w:space="0" w:color="auto"/>
        <w:left w:val="none" w:sz="0" w:space="0" w:color="auto"/>
        <w:bottom w:val="none" w:sz="0" w:space="0" w:color="auto"/>
        <w:right w:val="none" w:sz="0" w:space="0" w:color="auto"/>
      </w:divBdr>
    </w:div>
    <w:div w:id="1717121947">
      <w:bodyDiv w:val="1"/>
      <w:marLeft w:val="0"/>
      <w:marRight w:val="0"/>
      <w:marTop w:val="0"/>
      <w:marBottom w:val="0"/>
      <w:divBdr>
        <w:top w:val="none" w:sz="0" w:space="0" w:color="auto"/>
        <w:left w:val="none" w:sz="0" w:space="0" w:color="auto"/>
        <w:bottom w:val="none" w:sz="0" w:space="0" w:color="auto"/>
        <w:right w:val="none" w:sz="0" w:space="0" w:color="auto"/>
      </w:divBdr>
    </w:div>
    <w:div w:id="1771926913">
      <w:bodyDiv w:val="1"/>
      <w:marLeft w:val="0"/>
      <w:marRight w:val="0"/>
      <w:marTop w:val="0"/>
      <w:marBottom w:val="0"/>
      <w:divBdr>
        <w:top w:val="none" w:sz="0" w:space="0" w:color="auto"/>
        <w:left w:val="none" w:sz="0" w:space="0" w:color="auto"/>
        <w:bottom w:val="none" w:sz="0" w:space="0" w:color="auto"/>
        <w:right w:val="none" w:sz="0" w:space="0" w:color="auto"/>
      </w:divBdr>
    </w:div>
    <w:div w:id="1799716749">
      <w:bodyDiv w:val="1"/>
      <w:marLeft w:val="0"/>
      <w:marRight w:val="0"/>
      <w:marTop w:val="0"/>
      <w:marBottom w:val="0"/>
      <w:divBdr>
        <w:top w:val="none" w:sz="0" w:space="0" w:color="auto"/>
        <w:left w:val="none" w:sz="0" w:space="0" w:color="auto"/>
        <w:bottom w:val="none" w:sz="0" w:space="0" w:color="auto"/>
        <w:right w:val="none" w:sz="0" w:space="0" w:color="auto"/>
      </w:divBdr>
    </w:div>
    <w:div w:id="1889608857">
      <w:bodyDiv w:val="1"/>
      <w:marLeft w:val="0"/>
      <w:marRight w:val="0"/>
      <w:marTop w:val="0"/>
      <w:marBottom w:val="0"/>
      <w:divBdr>
        <w:top w:val="none" w:sz="0" w:space="0" w:color="auto"/>
        <w:left w:val="none" w:sz="0" w:space="0" w:color="auto"/>
        <w:bottom w:val="none" w:sz="0" w:space="0" w:color="auto"/>
        <w:right w:val="none" w:sz="0" w:space="0" w:color="auto"/>
      </w:divBdr>
    </w:div>
    <w:div w:id="2018458193">
      <w:bodyDiv w:val="1"/>
      <w:marLeft w:val="0"/>
      <w:marRight w:val="0"/>
      <w:marTop w:val="0"/>
      <w:marBottom w:val="0"/>
      <w:divBdr>
        <w:top w:val="none" w:sz="0" w:space="0" w:color="auto"/>
        <w:left w:val="none" w:sz="0" w:space="0" w:color="auto"/>
        <w:bottom w:val="none" w:sz="0" w:space="0" w:color="auto"/>
        <w:right w:val="none" w:sz="0" w:space="0" w:color="auto"/>
      </w:divBdr>
    </w:div>
    <w:div w:id="2039774317">
      <w:bodyDiv w:val="1"/>
      <w:marLeft w:val="0"/>
      <w:marRight w:val="0"/>
      <w:marTop w:val="0"/>
      <w:marBottom w:val="0"/>
      <w:divBdr>
        <w:top w:val="none" w:sz="0" w:space="0" w:color="auto"/>
        <w:left w:val="none" w:sz="0" w:space="0" w:color="auto"/>
        <w:bottom w:val="none" w:sz="0" w:space="0" w:color="auto"/>
        <w:right w:val="none" w:sz="0" w:space="0" w:color="auto"/>
      </w:divBdr>
    </w:div>
    <w:div w:id="2104911497">
      <w:bodyDiv w:val="1"/>
      <w:marLeft w:val="0"/>
      <w:marRight w:val="0"/>
      <w:marTop w:val="0"/>
      <w:marBottom w:val="0"/>
      <w:divBdr>
        <w:top w:val="none" w:sz="0" w:space="0" w:color="auto"/>
        <w:left w:val="none" w:sz="0" w:space="0" w:color="auto"/>
        <w:bottom w:val="none" w:sz="0" w:space="0" w:color="auto"/>
        <w:right w:val="none" w:sz="0" w:space="0" w:color="auto"/>
      </w:divBdr>
    </w:div>
    <w:div w:id="21397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ces/dataproducts/bds/data_firm.html" TargetMode="External"/><Relationship Id="rId2" Type="http://schemas.openxmlformats.org/officeDocument/2006/relationships/hyperlink" Target="https://www.opm.gov/policy-data-oversight/pay-leave/salaries-wages/"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D0550B-E1A1-4364-BD05-835DD901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6451</Words>
  <Characters>36771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IEc Report Format v2.1</vt:lpstr>
    </vt:vector>
  </TitlesOfParts>
  <Company>Industrial Economics Inc.</Company>
  <LinksUpToDate>false</LinksUpToDate>
  <CharactersWithSpaces>43136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Report Format v2.1</dc:title>
  <dc:creator>Jacob Ebersole</dc:creator>
  <cp:lastModifiedBy>SYSTEM</cp:lastModifiedBy>
  <cp:revision>2</cp:revision>
  <cp:lastPrinted>2018-03-09T20:47:00Z</cp:lastPrinted>
  <dcterms:created xsi:type="dcterms:W3CDTF">2018-10-24T16:33:00Z</dcterms:created>
  <dcterms:modified xsi:type="dcterms:W3CDTF">2018-10-24T16:33:00Z</dcterms:modified>
</cp:coreProperties>
</file>