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92592" w14:textId="77777777" w:rsidR="00470720" w:rsidRPr="00326ADE" w:rsidRDefault="00470720" w:rsidP="00194AAB">
      <w:pPr>
        <w:pStyle w:val="Title"/>
        <w:rPr>
          <w:rFonts w:ascii="Times New Roman" w:hAnsi="Times New Roman"/>
          <w:sz w:val="28"/>
          <w:szCs w:val="28"/>
          <w:u w:val="none"/>
        </w:rPr>
      </w:pPr>
      <w:bookmarkStart w:id="0" w:name="_GoBack"/>
      <w:bookmarkEnd w:id="0"/>
      <w:r w:rsidRPr="00326ADE">
        <w:rPr>
          <w:rFonts w:ascii="Times New Roman" w:hAnsi="Times New Roman"/>
          <w:sz w:val="28"/>
          <w:szCs w:val="28"/>
          <w:u w:val="none"/>
        </w:rPr>
        <w:t>Department of Transportation</w:t>
      </w:r>
    </w:p>
    <w:p w14:paraId="4FC33146" w14:textId="77777777" w:rsidR="00470720" w:rsidRPr="00326ADE" w:rsidRDefault="00470720" w:rsidP="00194AAB">
      <w:pPr>
        <w:pStyle w:val="Title"/>
        <w:outlineLvl w:val="0"/>
        <w:rPr>
          <w:rFonts w:ascii="Times New Roman" w:hAnsi="Times New Roman"/>
          <w:sz w:val="32"/>
          <w:szCs w:val="32"/>
        </w:rPr>
      </w:pPr>
      <w:r w:rsidRPr="00326ADE">
        <w:rPr>
          <w:rFonts w:ascii="Times New Roman" w:hAnsi="Times New Roman"/>
          <w:sz w:val="28"/>
          <w:szCs w:val="28"/>
          <w:u w:val="none"/>
        </w:rPr>
        <w:t>Office of the Chief Information Officer</w:t>
      </w:r>
    </w:p>
    <w:p w14:paraId="0E461F1A" w14:textId="77777777" w:rsidR="00470720" w:rsidRPr="00326ADE" w:rsidRDefault="00470720">
      <w:pPr>
        <w:pStyle w:val="Title"/>
        <w:jc w:val="left"/>
        <w:rPr>
          <w:rFonts w:ascii="Times New Roman" w:hAnsi="Times New Roman"/>
        </w:rPr>
      </w:pPr>
    </w:p>
    <w:p w14:paraId="3323E5AA" w14:textId="77777777" w:rsidR="0004749E" w:rsidRPr="00194AAB" w:rsidRDefault="0004749E" w:rsidP="00194AAB">
      <w:pPr>
        <w:pStyle w:val="Title"/>
        <w:outlineLvl w:val="0"/>
        <w:rPr>
          <w:rFonts w:ascii="Times New Roman" w:hAnsi="Times New Roman"/>
          <w:u w:val="none"/>
        </w:rPr>
      </w:pPr>
      <w:r w:rsidRPr="00194AAB">
        <w:rPr>
          <w:rFonts w:ascii="Times New Roman" w:hAnsi="Times New Roman"/>
          <w:u w:val="none"/>
        </w:rPr>
        <w:t>SUPPORTING STATEMENT</w:t>
      </w:r>
    </w:p>
    <w:p w14:paraId="032E6D99" w14:textId="77777777" w:rsidR="0004749E" w:rsidRPr="00326ADE" w:rsidRDefault="00BE7DC7" w:rsidP="00194AAB">
      <w:pPr>
        <w:pStyle w:val="Title"/>
        <w:rPr>
          <w:rFonts w:ascii="Times New Roman" w:hAnsi="Times New Roman"/>
          <w:u w:val="none"/>
        </w:rPr>
      </w:pPr>
      <w:r w:rsidRPr="00326ADE">
        <w:rPr>
          <w:rFonts w:ascii="Times New Roman" w:hAnsi="Times New Roman"/>
          <w:u w:val="none"/>
        </w:rPr>
        <w:t>Motor Carrier Records Change Form</w:t>
      </w:r>
    </w:p>
    <w:p w14:paraId="272F3AF5" w14:textId="77777777" w:rsidR="0004749E" w:rsidRPr="00326ADE" w:rsidRDefault="0004749E">
      <w:pPr>
        <w:rPr>
          <w:rFonts w:ascii="Times New Roman" w:hAnsi="Times New Roman"/>
          <w:b/>
          <w:bCs/>
          <w:sz w:val="24"/>
          <w:szCs w:val="24"/>
        </w:rPr>
      </w:pPr>
    </w:p>
    <w:p w14:paraId="59F5A192" w14:textId="77777777" w:rsidR="00105F8E" w:rsidRPr="00326ADE" w:rsidRDefault="00105F8E">
      <w:pPr>
        <w:rPr>
          <w:rFonts w:ascii="Times New Roman" w:hAnsi="Times New Roman"/>
          <w:b/>
          <w:bCs/>
          <w:sz w:val="24"/>
          <w:szCs w:val="24"/>
        </w:rPr>
      </w:pPr>
    </w:p>
    <w:p w14:paraId="3F444358" w14:textId="77777777" w:rsidR="0004749E" w:rsidRPr="00326ADE" w:rsidRDefault="0004749E">
      <w:pPr>
        <w:pStyle w:val="Subtitle"/>
        <w:outlineLvl w:val="0"/>
        <w:rPr>
          <w:rFonts w:ascii="Times New Roman" w:hAnsi="Times New Roman"/>
        </w:rPr>
      </w:pPr>
      <w:r w:rsidRPr="00326ADE">
        <w:rPr>
          <w:rFonts w:ascii="Times New Roman" w:hAnsi="Times New Roman"/>
        </w:rPr>
        <w:t>INTRODUCTION</w:t>
      </w:r>
    </w:p>
    <w:p w14:paraId="38D850A0" w14:textId="77777777" w:rsidR="0004749E" w:rsidRPr="00326ADE" w:rsidRDefault="0004749E">
      <w:pPr>
        <w:rPr>
          <w:rFonts w:ascii="Times New Roman" w:hAnsi="Times New Roman"/>
          <w:b/>
          <w:bCs/>
          <w:sz w:val="24"/>
          <w:szCs w:val="24"/>
        </w:rPr>
      </w:pPr>
    </w:p>
    <w:p w14:paraId="5D99D2CE" w14:textId="1623D355" w:rsidR="0004749E" w:rsidRPr="00326ADE" w:rsidRDefault="0004749E">
      <w:pPr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sz w:val="24"/>
          <w:szCs w:val="24"/>
        </w:rPr>
        <w:t xml:space="preserve">This is to request the Office of Management and Budget’s (OMB) </w:t>
      </w:r>
      <w:r w:rsidR="00AE63E3" w:rsidRPr="00326ADE">
        <w:rPr>
          <w:rFonts w:ascii="Times New Roman" w:hAnsi="Times New Roman"/>
          <w:sz w:val="24"/>
          <w:szCs w:val="24"/>
        </w:rPr>
        <w:t xml:space="preserve">approval of a </w:t>
      </w:r>
      <w:r w:rsidR="00BA160F">
        <w:rPr>
          <w:rFonts w:ascii="Times New Roman" w:hAnsi="Times New Roman"/>
          <w:sz w:val="24"/>
          <w:szCs w:val="24"/>
        </w:rPr>
        <w:t>re</w:t>
      </w:r>
      <w:r w:rsidR="00DD5548">
        <w:rPr>
          <w:rFonts w:ascii="Times New Roman" w:hAnsi="Times New Roman"/>
          <w:sz w:val="24"/>
          <w:szCs w:val="24"/>
        </w:rPr>
        <w:t>newal</w:t>
      </w:r>
      <w:r w:rsidR="0084109F" w:rsidRPr="00326ADE">
        <w:rPr>
          <w:rFonts w:ascii="Times New Roman" w:hAnsi="Times New Roman"/>
          <w:sz w:val="24"/>
          <w:szCs w:val="24"/>
        </w:rPr>
        <w:t xml:space="preserve"> information collection request (ICR) titled,</w:t>
      </w:r>
      <w:r w:rsidRPr="00326ADE">
        <w:rPr>
          <w:rFonts w:ascii="Times New Roman" w:hAnsi="Times New Roman"/>
          <w:sz w:val="24"/>
          <w:szCs w:val="24"/>
        </w:rPr>
        <w:t xml:space="preserve"> </w:t>
      </w:r>
      <w:r w:rsidR="00AE63E3" w:rsidRPr="00326ADE">
        <w:rPr>
          <w:rFonts w:ascii="Times New Roman" w:hAnsi="Times New Roman"/>
          <w:sz w:val="24"/>
          <w:szCs w:val="24"/>
        </w:rPr>
        <w:t>“</w:t>
      </w:r>
      <w:r w:rsidR="00BE7DC7" w:rsidRPr="00326ADE">
        <w:rPr>
          <w:rFonts w:ascii="Times New Roman" w:hAnsi="Times New Roman"/>
          <w:sz w:val="24"/>
          <w:szCs w:val="24"/>
        </w:rPr>
        <w:t>Motor Carrier Records Change Form</w:t>
      </w:r>
      <w:r w:rsidR="0084109F" w:rsidRPr="00326ADE">
        <w:rPr>
          <w:rFonts w:ascii="Times New Roman" w:hAnsi="Times New Roman"/>
          <w:sz w:val="24"/>
          <w:szCs w:val="24"/>
        </w:rPr>
        <w:t>.</w:t>
      </w:r>
      <w:r w:rsidR="00AE63E3" w:rsidRPr="00326ADE">
        <w:rPr>
          <w:rFonts w:ascii="Times New Roman" w:hAnsi="Times New Roman"/>
          <w:sz w:val="24"/>
          <w:szCs w:val="24"/>
        </w:rPr>
        <w:t>”</w:t>
      </w:r>
      <w:r w:rsidR="00BE7DC7" w:rsidRPr="00326ADE">
        <w:rPr>
          <w:rFonts w:ascii="Times New Roman" w:hAnsi="Times New Roman"/>
          <w:sz w:val="24"/>
          <w:szCs w:val="24"/>
        </w:rPr>
        <w:t xml:space="preserve"> </w:t>
      </w:r>
      <w:r w:rsidR="00AE63E3" w:rsidRPr="00326ADE">
        <w:rPr>
          <w:rFonts w:ascii="Times New Roman" w:hAnsi="Times New Roman"/>
          <w:sz w:val="24"/>
          <w:szCs w:val="24"/>
        </w:rPr>
        <w:t xml:space="preserve"> This form collect</w:t>
      </w:r>
      <w:r w:rsidR="00BA160F">
        <w:rPr>
          <w:rFonts w:ascii="Times New Roman" w:hAnsi="Times New Roman"/>
          <w:sz w:val="24"/>
          <w:szCs w:val="24"/>
        </w:rPr>
        <w:t>s</w:t>
      </w:r>
      <w:r w:rsidR="00AE63E3" w:rsidRPr="00326ADE">
        <w:rPr>
          <w:rFonts w:ascii="Times New Roman" w:hAnsi="Times New Roman"/>
          <w:sz w:val="24"/>
          <w:szCs w:val="24"/>
        </w:rPr>
        <w:t xml:space="preserve"> information </w:t>
      </w:r>
      <w:r w:rsidR="0084109F" w:rsidRPr="00326ADE">
        <w:rPr>
          <w:rFonts w:ascii="Times New Roman" w:hAnsi="Times New Roman"/>
          <w:sz w:val="24"/>
          <w:szCs w:val="24"/>
        </w:rPr>
        <w:t>the Federal Motor Carrier Safety Administration (FMCSA)</w:t>
      </w:r>
      <w:r w:rsidR="00AE63E3" w:rsidRPr="00326ADE">
        <w:rPr>
          <w:rFonts w:ascii="Times New Roman" w:hAnsi="Times New Roman"/>
          <w:sz w:val="24"/>
          <w:szCs w:val="24"/>
        </w:rPr>
        <w:t xml:space="preserve"> requires to process name and address changes and reinstatements of operating authority.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</w:p>
    <w:p w14:paraId="71390A04" w14:textId="77777777" w:rsidR="0004749E" w:rsidRPr="00326ADE" w:rsidRDefault="0004749E">
      <w:pPr>
        <w:rPr>
          <w:rFonts w:ascii="Times New Roman" w:hAnsi="Times New Roman"/>
          <w:b/>
          <w:bCs/>
          <w:sz w:val="24"/>
          <w:szCs w:val="24"/>
        </w:rPr>
      </w:pPr>
    </w:p>
    <w:p w14:paraId="34422BD9" w14:textId="77777777" w:rsidR="0004749E" w:rsidRPr="00326ADE" w:rsidRDefault="0004749E">
      <w:pPr>
        <w:tabs>
          <w:tab w:val="left" w:pos="-1440"/>
          <w:tab w:val="left" w:pos="-720"/>
        </w:tabs>
        <w:outlineLvl w:val="0"/>
        <w:rPr>
          <w:rFonts w:ascii="Times New Roman" w:hAnsi="Times New Roman"/>
          <w:b/>
          <w:bCs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u w:val="single"/>
        </w:rPr>
        <w:t>Part A. Justification</w:t>
      </w:r>
    </w:p>
    <w:p w14:paraId="6998E8FD" w14:textId="77777777" w:rsidR="0004749E" w:rsidRPr="00326ADE" w:rsidRDefault="0004749E">
      <w:pPr>
        <w:tabs>
          <w:tab w:val="left" w:pos="-1440"/>
          <w:tab w:val="left" w:pos="-720"/>
        </w:tabs>
        <w:rPr>
          <w:rFonts w:ascii="Times New Roman" w:hAnsi="Times New Roman"/>
          <w:b/>
          <w:bCs/>
          <w:sz w:val="24"/>
          <w:szCs w:val="24"/>
        </w:rPr>
      </w:pPr>
    </w:p>
    <w:p w14:paraId="2A2F24DA" w14:textId="7E50CFEA" w:rsidR="00AE63E3" w:rsidRPr="00326ADE" w:rsidRDefault="00C14920">
      <w:pPr>
        <w:numPr>
          <w:ilvl w:val="0"/>
          <w:numId w:val="18"/>
        </w:numPr>
        <w:tabs>
          <w:tab w:val="left" w:pos="-1440"/>
          <w:tab w:val="left" w:pos="-720"/>
        </w:tabs>
        <w:rPr>
          <w:rFonts w:ascii="Times New Roman" w:hAnsi="Times New Roman"/>
          <w:b/>
          <w:bCs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t>CIRCUMSTANCES THAT MAKE THE COLLECTION OF INFORMATION NECESSARY</w:t>
      </w:r>
    </w:p>
    <w:p w14:paraId="7DB35C68" w14:textId="77777777" w:rsidR="00C872DE" w:rsidRDefault="00AE63E3">
      <w:pPr>
        <w:ind w:left="360"/>
        <w:rPr>
          <w:rFonts w:ascii="Times New Roman" w:hAnsi="Times New Roman"/>
          <w:bCs/>
          <w:sz w:val="24"/>
          <w:szCs w:val="24"/>
        </w:rPr>
      </w:pPr>
      <w:r w:rsidRPr="00326ADE">
        <w:rPr>
          <w:rFonts w:ascii="Times New Roman" w:hAnsi="Times New Roman"/>
          <w:bCs/>
          <w:sz w:val="24"/>
          <w:szCs w:val="24"/>
        </w:rPr>
        <w:t xml:space="preserve">The FMCSA registers for-hire motor carriers under 49 U.S.C. 13902 (see Attachment A), surface freight forwarders under 49 U.S.C. 13903 (see Attachment B), and property brokers under 49 U.S.C. 13904 (Attachment C). </w:t>
      </w:r>
      <w:r w:rsidR="00F41C0A" w:rsidRPr="00326ADE">
        <w:rPr>
          <w:rFonts w:ascii="Times New Roman" w:hAnsi="Times New Roman"/>
          <w:bCs/>
          <w:sz w:val="24"/>
          <w:szCs w:val="24"/>
        </w:rPr>
        <w:t xml:space="preserve"> </w:t>
      </w:r>
      <w:r w:rsidRPr="00326ADE">
        <w:rPr>
          <w:rFonts w:ascii="Times New Roman" w:hAnsi="Times New Roman"/>
          <w:bCs/>
          <w:sz w:val="24"/>
          <w:szCs w:val="24"/>
        </w:rPr>
        <w:t>Each registration is effective from the date specified under 49 U.S.C. 13905(c) (See Attachment D).</w:t>
      </w:r>
      <w:r w:rsidR="00A319AF" w:rsidRPr="00326ADE">
        <w:rPr>
          <w:rFonts w:ascii="Times New Roman" w:hAnsi="Times New Roman"/>
          <w:bCs/>
          <w:sz w:val="24"/>
          <w:szCs w:val="24"/>
        </w:rPr>
        <w:t xml:space="preserve"> </w:t>
      </w:r>
    </w:p>
    <w:p w14:paraId="7B395F2A" w14:textId="77777777" w:rsidR="00C872DE" w:rsidRDefault="00C872DE">
      <w:pPr>
        <w:ind w:left="360"/>
        <w:rPr>
          <w:rFonts w:ascii="Times New Roman" w:hAnsi="Times New Roman"/>
          <w:bCs/>
          <w:sz w:val="24"/>
          <w:szCs w:val="24"/>
        </w:rPr>
      </w:pPr>
    </w:p>
    <w:p w14:paraId="02F0FB11" w14:textId="727485AE" w:rsidR="00A420FD" w:rsidRPr="00326ADE" w:rsidRDefault="00FE565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A420FD" w:rsidRPr="00326ADE">
        <w:rPr>
          <w:rFonts w:ascii="Times New Roman" w:hAnsi="Times New Roman"/>
          <w:sz w:val="24"/>
          <w:szCs w:val="24"/>
        </w:rPr>
        <w:t xml:space="preserve">his information collection supports the DOT’s Strategic Goal of Safety by providing motor carriers a means to </w:t>
      </w:r>
      <w:r w:rsidR="0084109F" w:rsidRPr="00326ADE">
        <w:rPr>
          <w:rFonts w:ascii="Times New Roman" w:hAnsi="Times New Roman"/>
          <w:sz w:val="24"/>
          <w:szCs w:val="24"/>
        </w:rPr>
        <w:t>more efficiently provide the necessary information required to process their name and address changes and reinstatements of operating authority requests.</w:t>
      </w:r>
    </w:p>
    <w:p w14:paraId="71DC7A6A" w14:textId="77777777" w:rsidR="00A420FD" w:rsidRPr="00326ADE" w:rsidRDefault="00A420FD">
      <w:pPr>
        <w:rPr>
          <w:rFonts w:ascii="Times New Roman" w:hAnsi="Times New Roman"/>
          <w:sz w:val="24"/>
          <w:szCs w:val="24"/>
        </w:rPr>
      </w:pPr>
    </w:p>
    <w:p w14:paraId="32511A0A" w14:textId="461BCA21" w:rsidR="00932B5D" w:rsidRPr="00326ADE" w:rsidRDefault="00C1492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t>HOW, BY WHOM, AND FOR WHAT PURPOSE IS THE INFORMATION USED</w:t>
      </w:r>
      <w:r w:rsidR="009D4F72" w:rsidRPr="00326AD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C60C0D4" w14:textId="0A49319B" w:rsidR="008E4E78" w:rsidRPr="00326ADE" w:rsidRDefault="00C872D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49 CFR part 365.413, f</w:t>
      </w:r>
      <w:r w:rsidR="00932B5D" w:rsidRPr="00326ADE">
        <w:rPr>
          <w:rFonts w:ascii="Times New Roman" w:hAnsi="Times New Roman"/>
          <w:sz w:val="24"/>
          <w:szCs w:val="24"/>
        </w:rPr>
        <w:t xml:space="preserve">or-hire motor carriers, brokers and freight forwarders are required to notify </w:t>
      </w:r>
      <w:r w:rsidR="004716FE">
        <w:rPr>
          <w:rFonts w:ascii="Times New Roman" w:hAnsi="Times New Roman"/>
          <w:sz w:val="24"/>
          <w:szCs w:val="24"/>
        </w:rPr>
        <w:t xml:space="preserve">the Office of Registration and Safety Information </w:t>
      </w:r>
      <w:r w:rsidR="00932B5D" w:rsidRPr="00326ADE">
        <w:rPr>
          <w:rFonts w:ascii="Times New Roman" w:hAnsi="Times New Roman"/>
          <w:sz w:val="24"/>
          <w:szCs w:val="24"/>
        </w:rPr>
        <w:t xml:space="preserve">when they change the name or address of the company.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BA160F">
        <w:rPr>
          <w:rFonts w:ascii="Times New Roman" w:hAnsi="Times New Roman"/>
          <w:sz w:val="24"/>
          <w:szCs w:val="24"/>
        </w:rPr>
        <w:t>T</w:t>
      </w:r>
      <w:r w:rsidR="00932B5D" w:rsidRPr="00326ADE">
        <w:rPr>
          <w:rFonts w:ascii="Times New Roman" w:hAnsi="Times New Roman"/>
          <w:sz w:val="24"/>
          <w:szCs w:val="24"/>
        </w:rPr>
        <w:t xml:space="preserve">he name change request can be filed online through the Licensing and Insurance (L&amp;I) </w:t>
      </w:r>
      <w:r w:rsidR="00AE41F9" w:rsidRPr="00326ADE">
        <w:rPr>
          <w:rFonts w:ascii="Times New Roman" w:hAnsi="Times New Roman"/>
          <w:sz w:val="24"/>
          <w:szCs w:val="24"/>
        </w:rPr>
        <w:t>web site</w:t>
      </w:r>
      <w:r w:rsidR="00932B5D" w:rsidRPr="00326ADE">
        <w:rPr>
          <w:rFonts w:ascii="Times New Roman" w:hAnsi="Times New Roman"/>
          <w:sz w:val="24"/>
          <w:szCs w:val="24"/>
        </w:rPr>
        <w:t xml:space="preserve">, or companies can fax or mail </w:t>
      </w:r>
      <w:r w:rsidR="00BA160F">
        <w:rPr>
          <w:rFonts w:ascii="Times New Roman" w:hAnsi="Times New Roman"/>
          <w:sz w:val="24"/>
          <w:szCs w:val="24"/>
        </w:rPr>
        <w:t>the form</w:t>
      </w:r>
      <w:r w:rsidR="00932B5D" w:rsidRPr="00326ADE">
        <w:rPr>
          <w:rFonts w:ascii="Times New Roman" w:hAnsi="Times New Roman"/>
          <w:sz w:val="24"/>
          <w:szCs w:val="24"/>
        </w:rPr>
        <w:t xml:space="preserve"> requesting either name or address changes.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932B5D" w:rsidRPr="00326ADE">
        <w:rPr>
          <w:rFonts w:ascii="Times New Roman" w:hAnsi="Times New Roman"/>
          <w:sz w:val="24"/>
          <w:szCs w:val="24"/>
        </w:rPr>
        <w:t xml:space="preserve">Carriers can also request reinstatement of a revoked operating authority either online or via fax.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932B5D" w:rsidRPr="00326ADE">
        <w:rPr>
          <w:rFonts w:ascii="Times New Roman" w:hAnsi="Times New Roman"/>
          <w:sz w:val="24"/>
          <w:szCs w:val="24"/>
        </w:rPr>
        <w:t>This enables FMCSA to maintain up-to-date records so that the</w:t>
      </w:r>
      <w:r w:rsidR="00E73C87" w:rsidRPr="00326ADE">
        <w:rPr>
          <w:rFonts w:ascii="Times New Roman" w:hAnsi="Times New Roman"/>
          <w:sz w:val="24"/>
          <w:szCs w:val="24"/>
        </w:rPr>
        <w:t xml:space="preserve"> agency</w:t>
      </w:r>
      <w:r w:rsidR="00932B5D" w:rsidRPr="00326ADE">
        <w:rPr>
          <w:rFonts w:ascii="Times New Roman" w:hAnsi="Times New Roman"/>
          <w:sz w:val="24"/>
          <w:szCs w:val="24"/>
        </w:rPr>
        <w:t xml:space="preserve"> can recognize the entity in question in case of enforcement actions or other procedures required to ensure that the carrier is fit, willing and able to provide for-hire transportation services, and so that entities whose authority has been revoked can resume operation</w:t>
      </w:r>
      <w:r w:rsidR="00A4656E" w:rsidRPr="00326ADE">
        <w:rPr>
          <w:rFonts w:ascii="Times New Roman" w:hAnsi="Times New Roman"/>
          <w:sz w:val="24"/>
          <w:szCs w:val="24"/>
        </w:rPr>
        <w:t xml:space="preserve"> if they are not otherwise blocked from doing so</w:t>
      </w:r>
      <w:r w:rsidR="00932B5D" w:rsidRPr="00326ADE">
        <w:rPr>
          <w:rFonts w:ascii="Times New Roman" w:hAnsi="Times New Roman"/>
          <w:sz w:val="24"/>
          <w:szCs w:val="24"/>
        </w:rPr>
        <w:t xml:space="preserve">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932B5D" w:rsidRPr="00326ADE">
        <w:rPr>
          <w:rFonts w:ascii="Times New Roman" w:hAnsi="Times New Roman"/>
          <w:sz w:val="24"/>
          <w:szCs w:val="24"/>
        </w:rPr>
        <w:t>This multi-purpose form simplif</w:t>
      </w:r>
      <w:r w:rsidR="001F06D3">
        <w:rPr>
          <w:rFonts w:ascii="Times New Roman" w:hAnsi="Times New Roman"/>
          <w:sz w:val="24"/>
          <w:szCs w:val="24"/>
        </w:rPr>
        <w:t>ies</w:t>
      </w:r>
      <w:r w:rsidR="00932B5D" w:rsidRPr="00326ADE">
        <w:rPr>
          <w:rFonts w:ascii="Times New Roman" w:hAnsi="Times New Roman"/>
          <w:sz w:val="24"/>
          <w:szCs w:val="24"/>
        </w:rPr>
        <w:t xml:space="preserve"> the process of gathering the information needed to process the entities’ requests in a timely manner, with the least amount of effort for all parties involved. </w:t>
      </w:r>
    </w:p>
    <w:p w14:paraId="56D284FE" w14:textId="77777777" w:rsidR="005C1F0B" w:rsidRPr="00326ADE" w:rsidRDefault="005C1F0B">
      <w:pPr>
        <w:ind w:left="360"/>
        <w:rPr>
          <w:rFonts w:ascii="Times New Roman" w:hAnsi="Times New Roman"/>
          <w:sz w:val="24"/>
          <w:szCs w:val="24"/>
        </w:rPr>
      </w:pPr>
    </w:p>
    <w:p w14:paraId="6544E767" w14:textId="751FCEC5" w:rsidR="005C1F0B" w:rsidRPr="00326ADE" w:rsidRDefault="005C1F0B">
      <w:pPr>
        <w:ind w:left="360"/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sz w:val="24"/>
          <w:szCs w:val="24"/>
        </w:rPr>
        <w:t xml:space="preserve">This ICR </w:t>
      </w:r>
      <w:r w:rsidR="00715513" w:rsidRPr="00326ADE">
        <w:rPr>
          <w:rFonts w:ascii="Times New Roman" w:hAnsi="Times New Roman"/>
          <w:sz w:val="24"/>
          <w:szCs w:val="24"/>
        </w:rPr>
        <w:t xml:space="preserve">has one information collection (IC) </w:t>
      </w:r>
      <w:r w:rsidR="00037043" w:rsidRPr="00326ADE">
        <w:rPr>
          <w:rFonts w:ascii="Times New Roman" w:hAnsi="Times New Roman"/>
          <w:sz w:val="24"/>
          <w:szCs w:val="24"/>
        </w:rPr>
        <w:t xml:space="preserve">described </w:t>
      </w:r>
      <w:r w:rsidR="00850B5E" w:rsidRPr="00326ADE">
        <w:rPr>
          <w:rFonts w:ascii="Times New Roman" w:hAnsi="Times New Roman"/>
          <w:sz w:val="24"/>
          <w:szCs w:val="24"/>
        </w:rPr>
        <w:t>as</w:t>
      </w:r>
      <w:r w:rsidRPr="00326ADE">
        <w:rPr>
          <w:rFonts w:ascii="Times New Roman" w:hAnsi="Times New Roman"/>
          <w:sz w:val="24"/>
          <w:szCs w:val="24"/>
        </w:rPr>
        <w:t xml:space="preserve"> follow:</w:t>
      </w:r>
    </w:p>
    <w:p w14:paraId="1F6E402C" w14:textId="77777777" w:rsidR="005C1F0B" w:rsidRPr="00326ADE" w:rsidRDefault="005C1F0B">
      <w:pPr>
        <w:ind w:left="360"/>
        <w:rPr>
          <w:rFonts w:ascii="Times New Roman" w:hAnsi="Times New Roman"/>
          <w:sz w:val="24"/>
          <w:szCs w:val="24"/>
        </w:rPr>
      </w:pPr>
    </w:p>
    <w:p w14:paraId="63A0A515" w14:textId="081CEF2E" w:rsidR="005C1F0B" w:rsidRPr="00326ADE" w:rsidRDefault="005C1F0B">
      <w:pPr>
        <w:ind w:left="360"/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sz w:val="24"/>
          <w:szCs w:val="24"/>
        </w:rPr>
        <w:t xml:space="preserve">IC-1, Form MCSA-5889, Motor Carrier Records Change Form.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Pr="00326ADE">
        <w:rPr>
          <w:rFonts w:ascii="Times New Roman" w:hAnsi="Times New Roman"/>
          <w:sz w:val="24"/>
          <w:szCs w:val="24"/>
        </w:rPr>
        <w:t>This form is used by motor carriers to request name and address changes and reinstatements of operating.</w:t>
      </w:r>
    </w:p>
    <w:p w14:paraId="24EA1350" w14:textId="77777777" w:rsidR="005C1F0B" w:rsidRPr="00326ADE" w:rsidRDefault="005C1F0B">
      <w:pPr>
        <w:rPr>
          <w:rFonts w:ascii="Times New Roman" w:hAnsi="Times New Roman"/>
          <w:sz w:val="24"/>
          <w:szCs w:val="24"/>
        </w:rPr>
      </w:pPr>
    </w:p>
    <w:p w14:paraId="17794A41" w14:textId="7F693E77" w:rsidR="00565D89" w:rsidRPr="00326ADE" w:rsidRDefault="00C1492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lastRenderedPageBreak/>
        <w:t>EXTENT OF AUTOMATED INFORMATION COLLECTION</w:t>
      </w:r>
      <w:r w:rsidR="009D4F72" w:rsidRPr="00326ADE">
        <w:rPr>
          <w:rFonts w:ascii="Times New Roman" w:hAnsi="Times New Roman"/>
          <w:b/>
          <w:bCs/>
        </w:rPr>
        <w:t xml:space="preserve"> </w:t>
      </w:r>
      <w:r w:rsidR="005612EB" w:rsidRPr="00326ADE">
        <w:rPr>
          <w:rFonts w:ascii="Times New Roman" w:hAnsi="Times New Roman"/>
          <w:b/>
          <w:bCs/>
        </w:rPr>
        <w:br/>
      </w:r>
      <w:r w:rsidR="00AE41F9" w:rsidRPr="00326ADE">
        <w:rPr>
          <w:rFonts w:ascii="Times New Roman" w:hAnsi="Times New Roman"/>
          <w:sz w:val="24"/>
          <w:szCs w:val="24"/>
        </w:rPr>
        <w:t xml:space="preserve">This multi-purpose form </w:t>
      </w:r>
      <w:r w:rsidR="0028541F">
        <w:rPr>
          <w:rFonts w:ascii="Times New Roman" w:hAnsi="Times New Roman"/>
          <w:sz w:val="24"/>
          <w:szCs w:val="24"/>
        </w:rPr>
        <w:t xml:space="preserve">is </w:t>
      </w:r>
      <w:r w:rsidR="00AE41F9" w:rsidRPr="00326ADE">
        <w:rPr>
          <w:rFonts w:ascii="Times New Roman" w:hAnsi="Times New Roman"/>
          <w:sz w:val="24"/>
          <w:szCs w:val="24"/>
        </w:rPr>
        <w:t xml:space="preserve">filed by registrants on a voluntary, as-needed basis. Carriers may file the name change and reinstatement requests online via the L&amp;I web site, but many choose not to do so.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AE41F9" w:rsidRPr="00FE5653">
        <w:rPr>
          <w:rFonts w:ascii="Times New Roman" w:hAnsi="Times New Roman"/>
          <w:sz w:val="24"/>
          <w:szCs w:val="24"/>
        </w:rPr>
        <w:t xml:space="preserve">About </w:t>
      </w:r>
      <w:r w:rsidR="00296AF9" w:rsidRPr="00FE5653">
        <w:rPr>
          <w:rFonts w:ascii="Times New Roman" w:hAnsi="Times New Roman"/>
          <w:sz w:val="24"/>
          <w:szCs w:val="24"/>
        </w:rPr>
        <w:t>39</w:t>
      </w:r>
      <w:r w:rsidR="00AE41F9" w:rsidRPr="00FE5653">
        <w:rPr>
          <w:rFonts w:ascii="Times New Roman" w:hAnsi="Times New Roman"/>
          <w:sz w:val="24"/>
          <w:szCs w:val="24"/>
        </w:rPr>
        <w:t>% of name change</w:t>
      </w:r>
      <w:r w:rsidR="00296AF9" w:rsidRPr="00FE5653">
        <w:rPr>
          <w:rFonts w:ascii="Times New Roman" w:hAnsi="Times New Roman"/>
          <w:sz w:val="24"/>
          <w:szCs w:val="24"/>
        </w:rPr>
        <w:t>, address change,</w:t>
      </w:r>
      <w:r w:rsidR="00AE41F9" w:rsidRPr="00FE5653">
        <w:rPr>
          <w:rFonts w:ascii="Times New Roman" w:hAnsi="Times New Roman"/>
          <w:sz w:val="24"/>
          <w:szCs w:val="24"/>
        </w:rPr>
        <w:t xml:space="preserve"> and reinstatement</w:t>
      </w:r>
      <w:r w:rsidR="00296AF9" w:rsidRPr="00FE5653">
        <w:rPr>
          <w:rFonts w:ascii="Times New Roman" w:hAnsi="Times New Roman"/>
          <w:sz w:val="24"/>
          <w:szCs w:val="24"/>
        </w:rPr>
        <w:t xml:space="preserve"> requests</w:t>
      </w:r>
      <w:r w:rsidR="00AE41F9" w:rsidRPr="00FE5653">
        <w:rPr>
          <w:rFonts w:ascii="Times New Roman" w:hAnsi="Times New Roman"/>
          <w:sz w:val="24"/>
          <w:szCs w:val="24"/>
        </w:rPr>
        <w:t xml:space="preserve"> are </w:t>
      </w:r>
      <w:r w:rsidR="00296AF9" w:rsidRPr="00FE5653">
        <w:rPr>
          <w:rFonts w:ascii="Times New Roman" w:hAnsi="Times New Roman"/>
          <w:sz w:val="24"/>
          <w:szCs w:val="24"/>
        </w:rPr>
        <w:t xml:space="preserve">received by mail; 38% are filed online; and 23% </w:t>
      </w:r>
      <w:r w:rsidR="00AE41F9" w:rsidRPr="00FE5653">
        <w:rPr>
          <w:rFonts w:ascii="Times New Roman" w:hAnsi="Times New Roman"/>
          <w:sz w:val="24"/>
          <w:szCs w:val="24"/>
        </w:rPr>
        <w:t>are filed by faxing a request letter to MC-R</w:t>
      </w:r>
      <w:r w:rsidR="00715513" w:rsidRPr="00FE5653">
        <w:rPr>
          <w:rFonts w:ascii="Times New Roman" w:hAnsi="Times New Roman"/>
          <w:sz w:val="24"/>
          <w:szCs w:val="24"/>
        </w:rPr>
        <w:t>S</w:t>
      </w:r>
      <w:r w:rsidR="00AE41F9" w:rsidRPr="00FE5653">
        <w:rPr>
          <w:rFonts w:ascii="Times New Roman" w:hAnsi="Times New Roman"/>
          <w:sz w:val="24"/>
          <w:szCs w:val="24"/>
        </w:rPr>
        <w:t>.</w:t>
      </w:r>
      <w:r w:rsidR="00AE41F9" w:rsidRPr="00326ADE">
        <w:rPr>
          <w:rFonts w:ascii="Times New Roman" w:hAnsi="Times New Roman"/>
          <w:sz w:val="24"/>
          <w:szCs w:val="24"/>
        </w:rPr>
        <w:t xml:space="preserve">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AE41F9" w:rsidRPr="00326ADE">
        <w:rPr>
          <w:rFonts w:ascii="Times New Roman" w:hAnsi="Times New Roman"/>
          <w:sz w:val="24"/>
          <w:szCs w:val="24"/>
        </w:rPr>
        <w:t xml:space="preserve">The information collected is then entered in the L&amp;I database by FMCSA staff.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003557" w:rsidRPr="00326ADE">
        <w:rPr>
          <w:rFonts w:ascii="Times New Roman" w:hAnsi="Times New Roman"/>
          <w:sz w:val="24"/>
          <w:szCs w:val="24"/>
        </w:rPr>
        <w:t>This</w:t>
      </w:r>
      <w:r w:rsidR="00AE41F9" w:rsidRPr="00326ADE">
        <w:rPr>
          <w:rFonts w:ascii="Times New Roman" w:hAnsi="Times New Roman"/>
          <w:sz w:val="24"/>
          <w:szCs w:val="24"/>
        </w:rPr>
        <w:t xml:space="preserve"> multi-purpose form </w:t>
      </w:r>
      <w:r w:rsidR="0028541F">
        <w:rPr>
          <w:rFonts w:ascii="Times New Roman" w:hAnsi="Times New Roman"/>
          <w:sz w:val="24"/>
          <w:szCs w:val="24"/>
        </w:rPr>
        <w:t>is</w:t>
      </w:r>
      <w:r w:rsidR="00DF2482">
        <w:rPr>
          <w:rFonts w:ascii="Times New Roman" w:hAnsi="Times New Roman"/>
          <w:sz w:val="24"/>
          <w:szCs w:val="24"/>
        </w:rPr>
        <w:t xml:space="preserve"> on</w:t>
      </w:r>
      <w:r w:rsidR="00AE41F9" w:rsidRPr="00326ADE">
        <w:rPr>
          <w:rFonts w:ascii="Times New Roman" w:hAnsi="Times New Roman"/>
          <w:sz w:val="24"/>
          <w:szCs w:val="24"/>
        </w:rPr>
        <w:t xml:space="preserve"> the FMCSA web site so entities c</w:t>
      </w:r>
      <w:r w:rsidR="0028541F">
        <w:rPr>
          <w:rFonts w:ascii="Times New Roman" w:hAnsi="Times New Roman"/>
          <w:sz w:val="24"/>
          <w:szCs w:val="24"/>
        </w:rPr>
        <w:t>an</w:t>
      </w:r>
      <w:r w:rsidR="00AE41F9" w:rsidRPr="00326ADE">
        <w:rPr>
          <w:rFonts w:ascii="Times New Roman" w:hAnsi="Times New Roman"/>
          <w:sz w:val="24"/>
          <w:szCs w:val="24"/>
        </w:rPr>
        <w:t xml:space="preserve"> access and print/fax/e-mail the form to MC-R</w:t>
      </w:r>
      <w:r w:rsidR="005605FE" w:rsidRPr="00326ADE">
        <w:rPr>
          <w:rFonts w:ascii="Times New Roman" w:hAnsi="Times New Roman"/>
          <w:sz w:val="24"/>
          <w:szCs w:val="24"/>
        </w:rPr>
        <w:t>S</w:t>
      </w:r>
      <w:r w:rsidR="00AE41F9" w:rsidRPr="00326ADE">
        <w:rPr>
          <w:rFonts w:ascii="Times New Roman" w:hAnsi="Times New Roman"/>
          <w:sz w:val="24"/>
          <w:szCs w:val="24"/>
        </w:rPr>
        <w:t>.</w:t>
      </w:r>
    </w:p>
    <w:p w14:paraId="78B10278" w14:textId="77777777" w:rsidR="00715513" w:rsidRPr="00326ADE" w:rsidRDefault="00715513">
      <w:pPr>
        <w:ind w:left="360"/>
        <w:rPr>
          <w:rFonts w:ascii="Times New Roman" w:hAnsi="Times New Roman"/>
          <w:sz w:val="24"/>
          <w:szCs w:val="24"/>
        </w:rPr>
      </w:pPr>
    </w:p>
    <w:p w14:paraId="78391B3F" w14:textId="77777777" w:rsidR="003D550F" w:rsidRPr="00326ADE" w:rsidRDefault="00C149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Times New Roman" w:hAnsi="Times New Roman"/>
          <w:i/>
          <w:szCs w:val="20"/>
        </w:rPr>
      </w:pPr>
      <w:r w:rsidRPr="00326ADE">
        <w:rPr>
          <w:rFonts w:ascii="Times New Roman" w:hAnsi="Times New Roman" w:cs="Times New Roman"/>
          <w:b/>
          <w:bCs/>
          <w:szCs w:val="20"/>
        </w:rPr>
        <w:t>EFFORTS TO IDENTIFY DUPLICATION</w:t>
      </w:r>
    </w:p>
    <w:p w14:paraId="41D73B98" w14:textId="77777777" w:rsidR="0004749E" w:rsidRPr="00326ADE" w:rsidRDefault="00AE41F9">
      <w:pPr>
        <w:pStyle w:val="NormalWeb"/>
        <w:spacing w:before="0" w:beforeAutospacing="0" w:after="0" w:afterAutospacing="0"/>
        <w:ind w:left="360"/>
        <w:rPr>
          <w:rFonts w:ascii="Times New Roman" w:hAnsi="Times New Roman"/>
        </w:rPr>
      </w:pPr>
      <w:r w:rsidRPr="00326ADE">
        <w:rPr>
          <w:rFonts w:ascii="Times New Roman" w:hAnsi="Times New Roman" w:cs="Times New Roman"/>
        </w:rPr>
        <w:t xml:space="preserve">There are no similar filings made with any other Federal agency or within the Department of Transportation which would result in duplication of this information. </w:t>
      </w:r>
    </w:p>
    <w:p w14:paraId="5DD1E85D" w14:textId="77777777" w:rsidR="00E73C87" w:rsidRPr="00326ADE" w:rsidRDefault="00E73C87">
      <w:pPr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8CC11C6" w14:textId="1808A7AC" w:rsidR="0004749E" w:rsidRPr="00326ADE" w:rsidRDefault="00C1492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t>EFFORTS TO MINIMIZE THE BURDEN ON SMALL BUSINESSES</w:t>
      </w:r>
      <w:r w:rsidR="00A613EE" w:rsidRPr="00326ADE">
        <w:rPr>
          <w:rFonts w:ascii="Times New Roman" w:hAnsi="Times New Roman"/>
          <w:b/>
          <w:bCs/>
        </w:rPr>
        <w:br/>
      </w:r>
      <w:r w:rsidR="00AE41F9" w:rsidRPr="00326ADE">
        <w:rPr>
          <w:rFonts w:ascii="Times New Roman" w:hAnsi="Times New Roman"/>
          <w:sz w:val="24"/>
          <w:szCs w:val="24"/>
        </w:rPr>
        <w:t xml:space="preserve">Paperwork burdens have been minimized for small businesses.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AE41F9" w:rsidRPr="00326ADE">
        <w:rPr>
          <w:rFonts w:ascii="Times New Roman" w:hAnsi="Times New Roman"/>
          <w:sz w:val="24"/>
          <w:szCs w:val="24"/>
        </w:rPr>
        <w:t xml:space="preserve">This form </w:t>
      </w:r>
      <w:r w:rsidR="0028541F">
        <w:rPr>
          <w:rFonts w:ascii="Times New Roman" w:hAnsi="Times New Roman"/>
          <w:sz w:val="24"/>
          <w:szCs w:val="24"/>
        </w:rPr>
        <w:t xml:space="preserve">is </w:t>
      </w:r>
      <w:r w:rsidR="00AE41F9" w:rsidRPr="00326ADE">
        <w:rPr>
          <w:rFonts w:ascii="Times New Roman" w:hAnsi="Times New Roman"/>
          <w:sz w:val="24"/>
          <w:szCs w:val="24"/>
        </w:rPr>
        <w:t xml:space="preserve">completed by filling in blank spaces with limited information </w:t>
      </w:r>
      <w:r w:rsidR="00184758" w:rsidRPr="00326ADE">
        <w:rPr>
          <w:rFonts w:ascii="Times New Roman" w:hAnsi="Times New Roman"/>
          <w:sz w:val="24"/>
          <w:szCs w:val="24"/>
        </w:rPr>
        <w:t xml:space="preserve">to </w:t>
      </w:r>
      <w:r w:rsidR="00AE41F9" w:rsidRPr="00326ADE">
        <w:rPr>
          <w:rFonts w:ascii="Times New Roman" w:hAnsi="Times New Roman"/>
          <w:sz w:val="24"/>
          <w:szCs w:val="24"/>
        </w:rPr>
        <w:t>identify the registrant and its operations, and in the case of the name changes and reinstatements, provid</w:t>
      </w:r>
      <w:r w:rsidR="00184758" w:rsidRPr="00326ADE">
        <w:rPr>
          <w:rFonts w:ascii="Times New Roman" w:hAnsi="Times New Roman"/>
          <w:sz w:val="24"/>
          <w:szCs w:val="24"/>
        </w:rPr>
        <w:t>e</w:t>
      </w:r>
      <w:r w:rsidR="00AE41F9" w:rsidRPr="00326ADE">
        <w:rPr>
          <w:rFonts w:ascii="Times New Roman" w:hAnsi="Times New Roman"/>
          <w:sz w:val="24"/>
          <w:szCs w:val="24"/>
        </w:rPr>
        <w:t xml:space="preserve"> credit card information for payment of the required fees.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AE41F9" w:rsidRPr="00326ADE">
        <w:rPr>
          <w:rFonts w:ascii="Times New Roman" w:hAnsi="Times New Roman"/>
          <w:sz w:val="24"/>
          <w:szCs w:val="24"/>
        </w:rPr>
        <w:t>The information collected is the minimum necessary to accomplish the purpose of the filing, and simplif</w:t>
      </w:r>
      <w:r w:rsidR="00EE3E79">
        <w:rPr>
          <w:rFonts w:ascii="Times New Roman" w:hAnsi="Times New Roman"/>
          <w:sz w:val="24"/>
          <w:szCs w:val="24"/>
        </w:rPr>
        <w:t>ies</w:t>
      </w:r>
      <w:r w:rsidR="00AE41F9" w:rsidRPr="00326ADE">
        <w:rPr>
          <w:rFonts w:ascii="Times New Roman" w:hAnsi="Times New Roman"/>
          <w:sz w:val="24"/>
          <w:szCs w:val="24"/>
        </w:rPr>
        <w:t xml:space="preserve"> the process and</w:t>
      </w:r>
      <w:r w:rsidR="00850B5E" w:rsidRPr="00326ADE">
        <w:rPr>
          <w:rFonts w:ascii="Times New Roman" w:hAnsi="Times New Roman"/>
          <w:sz w:val="24"/>
          <w:szCs w:val="24"/>
        </w:rPr>
        <w:t xml:space="preserve"> reduce</w:t>
      </w:r>
      <w:r w:rsidR="00AE41F9" w:rsidRPr="00326ADE">
        <w:rPr>
          <w:rFonts w:ascii="Times New Roman" w:hAnsi="Times New Roman"/>
          <w:sz w:val="24"/>
          <w:szCs w:val="24"/>
        </w:rPr>
        <w:t xml:space="preserve"> the labor required of the small business.</w:t>
      </w:r>
    </w:p>
    <w:p w14:paraId="59FE5747" w14:textId="77777777" w:rsidR="00A613EE" w:rsidRPr="00326ADE" w:rsidRDefault="00A613EE">
      <w:pPr>
        <w:rPr>
          <w:rFonts w:ascii="Times New Roman" w:hAnsi="Times New Roman"/>
          <w:sz w:val="24"/>
        </w:rPr>
      </w:pPr>
    </w:p>
    <w:p w14:paraId="4B47C10F" w14:textId="6237364B" w:rsidR="00C14920" w:rsidRPr="00326ADE" w:rsidRDefault="00C14920">
      <w:pPr>
        <w:numPr>
          <w:ilvl w:val="0"/>
          <w:numId w:val="18"/>
        </w:numPr>
        <w:rPr>
          <w:rFonts w:ascii="Times New Roman" w:hAnsi="Times New Roman"/>
          <w:b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t>IMPACT OF LESS FREQUENT COLLECTION OF INFORMATION</w:t>
      </w:r>
      <w:r w:rsidR="00A613EE" w:rsidRPr="00326ADE">
        <w:rPr>
          <w:rFonts w:ascii="Times New Roman" w:hAnsi="Times New Roman"/>
          <w:b/>
          <w:sz w:val="24"/>
          <w:szCs w:val="24"/>
        </w:rPr>
        <w:br/>
      </w:r>
      <w:r w:rsidR="00AE41F9" w:rsidRPr="00326ADE">
        <w:rPr>
          <w:rFonts w:ascii="Times New Roman" w:hAnsi="Times New Roman"/>
          <w:sz w:val="24"/>
          <w:szCs w:val="24"/>
        </w:rPr>
        <w:t>Th</w:t>
      </w:r>
      <w:r w:rsidR="004F0682" w:rsidRPr="00326ADE">
        <w:rPr>
          <w:rFonts w:ascii="Times New Roman" w:hAnsi="Times New Roman"/>
          <w:sz w:val="24"/>
          <w:szCs w:val="24"/>
        </w:rPr>
        <w:t xml:space="preserve">e Form MCSA-5889 </w:t>
      </w:r>
      <w:r w:rsidR="00AE41F9" w:rsidRPr="00326ADE">
        <w:rPr>
          <w:rFonts w:ascii="Times New Roman" w:hAnsi="Times New Roman"/>
          <w:sz w:val="24"/>
          <w:szCs w:val="24"/>
        </w:rPr>
        <w:t>is submitted to FMCSA on an “as-needed” basis</w:t>
      </w:r>
      <w:r w:rsidR="00850B5E" w:rsidRPr="00326ADE">
        <w:rPr>
          <w:rFonts w:ascii="Times New Roman" w:hAnsi="Times New Roman"/>
          <w:sz w:val="24"/>
          <w:szCs w:val="24"/>
        </w:rPr>
        <w:t xml:space="preserve">. </w:t>
      </w:r>
      <w:r w:rsidR="00F41C0A" w:rsidRPr="00326ADE">
        <w:rPr>
          <w:rFonts w:ascii="Times New Roman" w:hAnsi="Times New Roman"/>
          <w:sz w:val="24"/>
          <w:szCs w:val="24"/>
        </w:rPr>
        <w:t xml:space="preserve"> </w:t>
      </w:r>
      <w:r w:rsidR="00850B5E" w:rsidRPr="00326ADE">
        <w:rPr>
          <w:rFonts w:ascii="Times New Roman" w:hAnsi="Times New Roman"/>
          <w:sz w:val="24"/>
          <w:szCs w:val="24"/>
        </w:rPr>
        <w:t xml:space="preserve">Based on the registration requirements described </w:t>
      </w:r>
      <w:r w:rsidR="00F41C0A" w:rsidRPr="00326ADE">
        <w:rPr>
          <w:rFonts w:ascii="Times New Roman" w:hAnsi="Times New Roman"/>
          <w:sz w:val="24"/>
          <w:szCs w:val="24"/>
        </w:rPr>
        <w:t>Part</w:t>
      </w:r>
      <w:r w:rsidR="00850B5E" w:rsidRPr="00326ADE">
        <w:rPr>
          <w:rFonts w:ascii="Times New Roman" w:hAnsi="Times New Roman"/>
          <w:sz w:val="24"/>
          <w:szCs w:val="24"/>
        </w:rPr>
        <w:t xml:space="preserve"> A</w:t>
      </w:r>
      <w:r w:rsidR="00F41C0A" w:rsidRPr="00326ADE">
        <w:rPr>
          <w:rFonts w:ascii="Times New Roman" w:hAnsi="Times New Roman"/>
          <w:sz w:val="24"/>
          <w:szCs w:val="24"/>
        </w:rPr>
        <w:t xml:space="preserve">, Question </w:t>
      </w:r>
      <w:r w:rsidR="00850B5E" w:rsidRPr="00326ADE">
        <w:rPr>
          <w:rFonts w:ascii="Times New Roman" w:hAnsi="Times New Roman"/>
          <w:sz w:val="24"/>
          <w:szCs w:val="24"/>
        </w:rPr>
        <w:t>1, above, it</w:t>
      </w:r>
      <w:r w:rsidR="004F0682" w:rsidRPr="00326ADE">
        <w:rPr>
          <w:rFonts w:ascii="Times New Roman" w:hAnsi="Times New Roman"/>
          <w:sz w:val="24"/>
          <w:szCs w:val="24"/>
        </w:rPr>
        <w:t xml:space="preserve"> cannot be done </w:t>
      </w:r>
      <w:r w:rsidR="00AE41F9" w:rsidRPr="00326ADE">
        <w:rPr>
          <w:rFonts w:ascii="Times New Roman" w:hAnsi="Times New Roman"/>
          <w:sz w:val="24"/>
          <w:szCs w:val="24"/>
        </w:rPr>
        <w:t>less frequently.</w:t>
      </w:r>
    </w:p>
    <w:p w14:paraId="1AC64BF2" w14:textId="77777777" w:rsidR="004F0682" w:rsidRPr="00326ADE" w:rsidRDefault="004F0682">
      <w:pPr>
        <w:rPr>
          <w:rFonts w:ascii="Times New Roman" w:hAnsi="Times New Roman"/>
          <w:sz w:val="24"/>
          <w:szCs w:val="24"/>
        </w:rPr>
      </w:pPr>
    </w:p>
    <w:p w14:paraId="445C412E" w14:textId="77777777" w:rsidR="001C2B34" w:rsidRPr="00326ADE" w:rsidRDefault="00F358A1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26ADE">
        <w:rPr>
          <w:rFonts w:ascii="Times New Roman" w:hAnsi="Times New Roman"/>
          <w:b/>
          <w:bCs/>
          <w:sz w:val="24"/>
          <w:szCs w:val="24"/>
        </w:rPr>
        <w:t>SPECIAL CIRCUMSTANCES</w:t>
      </w:r>
      <w:r w:rsidR="00A613EE" w:rsidRPr="00326ADE">
        <w:rPr>
          <w:rFonts w:ascii="Times New Roman" w:hAnsi="Times New Roman"/>
          <w:b/>
          <w:bCs/>
        </w:rPr>
        <w:br/>
      </w:r>
      <w:r w:rsidR="0027137A" w:rsidRPr="00326ADE">
        <w:rPr>
          <w:rFonts w:ascii="Times New Roman" w:hAnsi="Times New Roman"/>
          <w:sz w:val="24"/>
          <w:szCs w:val="24"/>
        </w:rPr>
        <w:t>There are no special circumstances related to this information collection.</w:t>
      </w:r>
    </w:p>
    <w:p w14:paraId="7BC2E64D" w14:textId="77777777" w:rsidR="000D0A2A" w:rsidRPr="00326ADE" w:rsidRDefault="000D0A2A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8407146" w14:textId="01EA6FED" w:rsidR="00215BDE" w:rsidRPr="005F76A4" w:rsidRDefault="00F358A1" w:rsidP="00CC5A07">
      <w:pPr>
        <w:pStyle w:val="ListParagraph"/>
        <w:numPr>
          <w:ilvl w:val="0"/>
          <w:numId w:val="18"/>
        </w:numPr>
        <w:rPr>
          <w:rFonts w:ascii="Times New Roman" w:hAnsi="Times New Roman"/>
          <w:b/>
        </w:rPr>
      </w:pPr>
      <w:r w:rsidRPr="005F76A4">
        <w:rPr>
          <w:rFonts w:ascii="Times New Roman" w:hAnsi="Times New Roman"/>
          <w:b/>
          <w:bCs/>
          <w:sz w:val="24"/>
          <w:szCs w:val="24"/>
        </w:rPr>
        <w:t>COMPLIANCE WITH 5 CFR 1320.8</w:t>
      </w:r>
      <w:r w:rsidR="0004749E" w:rsidRPr="005F76A4">
        <w:rPr>
          <w:rFonts w:ascii="Times New Roman" w:hAnsi="Times New Roman"/>
          <w:bCs/>
          <w:sz w:val="24"/>
          <w:szCs w:val="24"/>
        </w:rPr>
        <w:t>:</w:t>
      </w:r>
      <w:r w:rsidR="00470720" w:rsidRPr="005F76A4">
        <w:rPr>
          <w:rFonts w:ascii="Times New Roman" w:hAnsi="Times New Roman"/>
          <w:b/>
          <w:bCs/>
        </w:rPr>
        <w:t xml:space="preserve">  </w:t>
      </w:r>
      <w:r w:rsidR="00A613EE" w:rsidRPr="005F76A4">
        <w:rPr>
          <w:rFonts w:ascii="Times New Roman" w:hAnsi="Times New Roman"/>
          <w:b/>
          <w:bCs/>
        </w:rPr>
        <w:br/>
      </w:r>
      <w:r w:rsidR="00CC5A07" w:rsidRPr="00CC5A07">
        <w:rPr>
          <w:rFonts w:ascii="Times New Roman" w:hAnsi="Times New Roman"/>
          <w:sz w:val="24"/>
          <w:szCs w:val="24"/>
        </w:rPr>
        <w:t>FMCSA published a notice in the Federal Register with a 60-day public comment period to announce this ICR on October 31, 2017 (see Attachment E).  The Agency received three comments on the 60-day notice (82 FR 50481).  The comments were not directly relate</w:t>
      </w:r>
      <w:r w:rsidR="003E061C">
        <w:rPr>
          <w:rFonts w:ascii="Times New Roman" w:hAnsi="Times New Roman"/>
          <w:sz w:val="24"/>
          <w:szCs w:val="24"/>
        </w:rPr>
        <w:t xml:space="preserve">d to the </w:t>
      </w:r>
      <w:r w:rsidR="00B0693F">
        <w:rPr>
          <w:rFonts w:ascii="Times New Roman" w:hAnsi="Times New Roman"/>
          <w:sz w:val="24"/>
          <w:szCs w:val="24"/>
        </w:rPr>
        <w:t>information collection.</w:t>
      </w:r>
      <w:r w:rsidR="003E061C">
        <w:rPr>
          <w:rFonts w:ascii="Times New Roman" w:hAnsi="Times New Roman"/>
          <w:sz w:val="24"/>
          <w:szCs w:val="24"/>
        </w:rPr>
        <w:t xml:space="preserve"> Therefore, </w:t>
      </w:r>
      <w:r w:rsidR="00CC5A07" w:rsidRPr="00CC5A07">
        <w:rPr>
          <w:rFonts w:ascii="Times New Roman" w:hAnsi="Times New Roman"/>
          <w:sz w:val="24"/>
          <w:szCs w:val="24"/>
        </w:rPr>
        <w:t xml:space="preserve">no changes to the information collection were made. </w:t>
      </w:r>
      <w:r w:rsidR="00B25391" w:rsidRPr="005F76A4">
        <w:rPr>
          <w:rFonts w:ascii="Times New Roman" w:hAnsi="Times New Roman"/>
          <w:sz w:val="24"/>
          <w:szCs w:val="24"/>
        </w:rPr>
        <w:t xml:space="preserve">FMCSA </w:t>
      </w:r>
      <w:r w:rsidR="005F76A4" w:rsidRPr="005F76A4">
        <w:rPr>
          <w:rFonts w:ascii="Times New Roman" w:hAnsi="Times New Roman"/>
          <w:sz w:val="24"/>
          <w:szCs w:val="24"/>
        </w:rPr>
        <w:t>plans to publish</w:t>
      </w:r>
      <w:r w:rsidR="00B25391" w:rsidRPr="005F76A4">
        <w:rPr>
          <w:rFonts w:ascii="Times New Roman" w:hAnsi="Times New Roman"/>
          <w:sz w:val="24"/>
          <w:szCs w:val="24"/>
        </w:rPr>
        <w:t xml:space="preserve"> a notice in the Federal Register </w:t>
      </w:r>
      <w:r w:rsidR="00CC5A07">
        <w:rPr>
          <w:rFonts w:ascii="Times New Roman" w:hAnsi="Times New Roman"/>
          <w:sz w:val="24"/>
          <w:szCs w:val="24"/>
        </w:rPr>
        <w:t xml:space="preserve">on [MONTH DAY, 2018] </w:t>
      </w:r>
      <w:r w:rsidR="00B25391" w:rsidRPr="005F76A4">
        <w:rPr>
          <w:rFonts w:ascii="Times New Roman" w:hAnsi="Times New Roman"/>
          <w:sz w:val="24"/>
          <w:szCs w:val="24"/>
        </w:rPr>
        <w:t xml:space="preserve">with </w:t>
      </w:r>
      <w:r w:rsidR="00A82894" w:rsidRPr="00A82894">
        <w:rPr>
          <w:rFonts w:ascii="Times New Roman" w:hAnsi="Times New Roman"/>
          <w:sz w:val="24"/>
          <w:szCs w:val="24"/>
        </w:rPr>
        <w:t>a 30-day public comment period that announces this information will be sent to OMB for approval.</w:t>
      </w:r>
    </w:p>
    <w:p w14:paraId="1055897A" w14:textId="77777777" w:rsidR="009F5F1D" w:rsidRPr="00837B64" w:rsidRDefault="009F5F1D" w:rsidP="00052888">
      <w:pPr>
        <w:rPr>
          <w:rFonts w:ascii="Times New Roman" w:hAnsi="Times New Roman"/>
          <w:bCs/>
          <w:sz w:val="24"/>
          <w:szCs w:val="24"/>
        </w:rPr>
      </w:pPr>
    </w:p>
    <w:p w14:paraId="591AC49C" w14:textId="77777777" w:rsidR="00F358A1" w:rsidRPr="00837B64" w:rsidRDefault="00F358A1">
      <w:pPr>
        <w:numPr>
          <w:ilvl w:val="0"/>
          <w:numId w:val="18"/>
        </w:numPr>
        <w:rPr>
          <w:rFonts w:ascii="Times New Roman" w:hAnsi="Times New Roman"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t>PAYMENTS OR GIFTS TO RESPONDENTS</w:t>
      </w:r>
      <w:r w:rsidR="00A613EE" w:rsidRPr="00837B64">
        <w:rPr>
          <w:rFonts w:ascii="Times New Roman" w:hAnsi="Times New Roman"/>
          <w:b/>
          <w:bCs/>
        </w:rPr>
        <w:br/>
      </w:r>
      <w:r w:rsidR="0027137A" w:rsidRPr="00837B64">
        <w:rPr>
          <w:rFonts w:ascii="Times New Roman" w:hAnsi="Times New Roman"/>
          <w:sz w:val="24"/>
          <w:szCs w:val="24"/>
        </w:rPr>
        <w:t>Respondents are not provided with any payments or gifts for this information collection.</w:t>
      </w:r>
      <w:r w:rsidR="008F2CDB" w:rsidRPr="00837B64">
        <w:rPr>
          <w:rFonts w:ascii="Times New Roman" w:hAnsi="Times New Roman"/>
          <w:sz w:val="24"/>
          <w:szCs w:val="24"/>
        </w:rPr>
        <w:br/>
      </w:r>
    </w:p>
    <w:p w14:paraId="4EA891B9" w14:textId="77777777" w:rsidR="00470720" w:rsidRPr="00837B64" w:rsidRDefault="00F358A1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t>ASSURANCE OF CONFIDENTIALITY</w:t>
      </w:r>
      <w:r w:rsidR="00A613EE" w:rsidRPr="00837B64">
        <w:rPr>
          <w:rFonts w:ascii="Times New Roman" w:hAnsi="Times New Roman"/>
        </w:rPr>
        <w:br/>
      </w:r>
      <w:r w:rsidR="0027137A" w:rsidRPr="00837B64">
        <w:rPr>
          <w:rFonts w:ascii="Times New Roman" w:hAnsi="Times New Roman"/>
          <w:sz w:val="24"/>
          <w:szCs w:val="24"/>
        </w:rPr>
        <w:t>Th</w:t>
      </w:r>
      <w:r w:rsidR="00176C0D" w:rsidRPr="00837B64">
        <w:rPr>
          <w:rFonts w:ascii="Times New Roman" w:hAnsi="Times New Roman"/>
          <w:sz w:val="24"/>
          <w:szCs w:val="24"/>
        </w:rPr>
        <w:t xml:space="preserve">is collection of information will be kept </w:t>
      </w:r>
      <w:r w:rsidR="00850B5E" w:rsidRPr="00837B64">
        <w:rPr>
          <w:rFonts w:ascii="Times New Roman" w:hAnsi="Times New Roman"/>
          <w:sz w:val="24"/>
          <w:szCs w:val="24"/>
        </w:rPr>
        <w:t xml:space="preserve">confidential </w:t>
      </w:r>
      <w:r w:rsidR="00176C0D" w:rsidRPr="00837B64">
        <w:rPr>
          <w:rFonts w:ascii="Times New Roman" w:hAnsi="Times New Roman"/>
          <w:sz w:val="24"/>
          <w:szCs w:val="24"/>
        </w:rPr>
        <w:t>to the extent allowed by law.</w:t>
      </w:r>
      <w:r w:rsidR="0027137A" w:rsidRPr="00837B64">
        <w:rPr>
          <w:rFonts w:ascii="Times New Roman" w:hAnsi="Times New Roman"/>
          <w:sz w:val="24"/>
          <w:szCs w:val="24"/>
        </w:rPr>
        <w:t xml:space="preserve"> </w:t>
      </w:r>
    </w:p>
    <w:p w14:paraId="6588C10F" w14:textId="77777777" w:rsidR="001D4111" w:rsidRPr="00837B64" w:rsidRDefault="001D4111">
      <w:pPr>
        <w:rPr>
          <w:rFonts w:ascii="Times New Roman" w:hAnsi="Times New Roman"/>
          <w:bCs/>
          <w:sz w:val="24"/>
          <w:szCs w:val="24"/>
        </w:rPr>
      </w:pPr>
    </w:p>
    <w:p w14:paraId="4A6359CE" w14:textId="77777777" w:rsidR="0027137A" w:rsidRPr="00837B64" w:rsidRDefault="00F358A1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t>JUSTIFICATION FOR COLLECTION OF SENSITIVE INFORMATION</w:t>
      </w:r>
      <w:r w:rsidR="00470720" w:rsidRPr="00837B64">
        <w:rPr>
          <w:rFonts w:ascii="Times New Roman" w:hAnsi="Times New Roman"/>
        </w:rPr>
        <w:t xml:space="preserve"> </w:t>
      </w:r>
      <w:r w:rsidR="00A613EE" w:rsidRPr="00837B64">
        <w:rPr>
          <w:rFonts w:ascii="Times New Roman" w:hAnsi="Times New Roman"/>
        </w:rPr>
        <w:br/>
      </w:r>
      <w:r w:rsidR="0027137A" w:rsidRPr="00837B64">
        <w:rPr>
          <w:rFonts w:ascii="Times New Roman" w:hAnsi="Times New Roman"/>
          <w:sz w:val="24"/>
          <w:szCs w:val="24"/>
        </w:rPr>
        <w:t>The information requested and collected is not of a sensitive nature.</w:t>
      </w:r>
    </w:p>
    <w:p w14:paraId="1E64DF27" w14:textId="77777777" w:rsidR="00E73C87" w:rsidRPr="00837B64" w:rsidRDefault="00E73C87">
      <w:pPr>
        <w:rPr>
          <w:rFonts w:ascii="Times New Roman" w:hAnsi="Times New Roman"/>
          <w:sz w:val="24"/>
          <w:szCs w:val="24"/>
        </w:rPr>
      </w:pPr>
    </w:p>
    <w:p w14:paraId="46E22141" w14:textId="3D446E97" w:rsidR="00C45F48" w:rsidRPr="00837B64" w:rsidRDefault="009E0597">
      <w:pPr>
        <w:pStyle w:val="ListParagraph"/>
        <w:numPr>
          <w:ilvl w:val="0"/>
          <w:numId w:val="18"/>
        </w:numPr>
        <w:tabs>
          <w:tab w:val="left" w:pos="-1440"/>
          <w:tab w:val="left" w:pos="-720"/>
        </w:tabs>
        <w:rPr>
          <w:rFonts w:ascii="Times New Roman" w:hAnsi="Times New Roman"/>
          <w:bCs/>
          <w:sz w:val="24"/>
          <w:szCs w:val="24"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lastRenderedPageBreak/>
        <w:t>ESTIMATE OF BURDEN HOURS FOR INFORMATION REQUESTED</w:t>
      </w:r>
      <w:r w:rsidR="00A613EE" w:rsidRPr="00837B64">
        <w:rPr>
          <w:rFonts w:ascii="Times New Roman" w:hAnsi="Times New Roman"/>
        </w:rPr>
        <w:br/>
      </w:r>
      <w:r w:rsidR="0027137A" w:rsidRPr="00FE5653">
        <w:rPr>
          <w:rFonts w:ascii="Times New Roman" w:hAnsi="Times New Roman"/>
          <w:sz w:val="24"/>
          <w:szCs w:val="24"/>
        </w:rPr>
        <w:t xml:space="preserve">FMCSA estimates that approximately </w:t>
      </w:r>
      <w:r w:rsidR="00AE45D0" w:rsidRPr="00FE5653">
        <w:rPr>
          <w:rFonts w:ascii="Times New Roman" w:hAnsi="Times New Roman"/>
          <w:sz w:val="24"/>
          <w:szCs w:val="24"/>
        </w:rPr>
        <w:t>44,9</w:t>
      </w:r>
      <w:r w:rsidR="00AD6278" w:rsidRPr="00FE5653">
        <w:rPr>
          <w:rFonts w:ascii="Times New Roman" w:hAnsi="Times New Roman"/>
          <w:sz w:val="24"/>
          <w:szCs w:val="24"/>
        </w:rPr>
        <w:t xml:space="preserve">00 name changes, address changes, and reinstatements could be filed each year using this form. </w:t>
      </w:r>
      <w:r w:rsidR="002A7B37" w:rsidRPr="00FE5653">
        <w:rPr>
          <w:rFonts w:ascii="Times New Roman" w:hAnsi="Times New Roman"/>
          <w:sz w:val="24"/>
          <w:szCs w:val="24"/>
        </w:rPr>
        <w:t xml:space="preserve">This estimate is based on the numbers of registrants filing by </w:t>
      </w:r>
      <w:r w:rsidR="001C201D" w:rsidRPr="00FE5653">
        <w:rPr>
          <w:rFonts w:ascii="Times New Roman" w:hAnsi="Times New Roman"/>
          <w:sz w:val="24"/>
          <w:szCs w:val="24"/>
        </w:rPr>
        <w:t xml:space="preserve">mail, Website, or </w:t>
      </w:r>
      <w:r w:rsidR="002A7B37" w:rsidRPr="00FE5653">
        <w:rPr>
          <w:rFonts w:ascii="Times New Roman" w:hAnsi="Times New Roman"/>
          <w:sz w:val="24"/>
          <w:szCs w:val="24"/>
        </w:rPr>
        <w:t xml:space="preserve">fax during the </w:t>
      </w:r>
      <w:r w:rsidR="001C201D" w:rsidRPr="00FE5653">
        <w:rPr>
          <w:rFonts w:ascii="Times New Roman" w:hAnsi="Times New Roman"/>
          <w:sz w:val="24"/>
          <w:szCs w:val="24"/>
        </w:rPr>
        <w:t>2016 calendar year</w:t>
      </w:r>
      <w:r w:rsidR="00AD6278" w:rsidRPr="00FE5653">
        <w:rPr>
          <w:rFonts w:ascii="Times New Roman" w:hAnsi="Times New Roman"/>
          <w:sz w:val="24"/>
          <w:szCs w:val="24"/>
        </w:rPr>
        <w:t xml:space="preserve"> (14,000 name changes + 15,400 address changes + 15,500 reinstatements</w:t>
      </w:r>
      <w:r w:rsidR="00AE45D0" w:rsidRPr="00FE5653">
        <w:rPr>
          <w:rFonts w:ascii="Times New Roman" w:hAnsi="Times New Roman"/>
          <w:sz w:val="24"/>
          <w:szCs w:val="24"/>
        </w:rPr>
        <w:t xml:space="preserve"> = 44,9</w:t>
      </w:r>
      <w:r w:rsidR="00AD6278" w:rsidRPr="00FE5653">
        <w:rPr>
          <w:rFonts w:ascii="Times New Roman" w:hAnsi="Times New Roman"/>
          <w:sz w:val="24"/>
          <w:szCs w:val="24"/>
        </w:rPr>
        <w:t>00 filings)</w:t>
      </w:r>
      <w:r w:rsidR="002A7B37" w:rsidRPr="00FE5653">
        <w:rPr>
          <w:rFonts w:ascii="Times New Roman" w:hAnsi="Times New Roman"/>
          <w:sz w:val="24"/>
          <w:szCs w:val="24"/>
        </w:rPr>
        <w:t>.</w:t>
      </w:r>
      <w:r w:rsidR="002A7B37" w:rsidRPr="00837B64">
        <w:rPr>
          <w:rFonts w:ascii="Times New Roman" w:hAnsi="Times New Roman"/>
          <w:sz w:val="24"/>
          <w:szCs w:val="24"/>
        </w:rPr>
        <w:t xml:space="preserve"> </w:t>
      </w:r>
      <w:r w:rsidR="00C45F48" w:rsidRPr="00837B64">
        <w:rPr>
          <w:rFonts w:ascii="Times New Roman" w:hAnsi="Times New Roman"/>
          <w:sz w:val="24"/>
          <w:szCs w:val="24"/>
        </w:rPr>
        <w:t xml:space="preserve"> This form will be needed </w:t>
      </w:r>
      <w:r w:rsidR="00C6031D">
        <w:rPr>
          <w:rFonts w:ascii="Times New Roman" w:hAnsi="Times New Roman"/>
          <w:sz w:val="24"/>
          <w:szCs w:val="24"/>
        </w:rPr>
        <w:t xml:space="preserve">until the </w:t>
      </w:r>
      <w:r w:rsidR="00037043" w:rsidRPr="00837B64">
        <w:rPr>
          <w:rFonts w:ascii="Times New Roman" w:hAnsi="Times New Roman"/>
          <w:sz w:val="24"/>
          <w:szCs w:val="24"/>
        </w:rPr>
        <w:t xml:space="preserve">motor carriers will be required to make these updates </w:t>
      </w:r>
      <w:r w:rsidR="00983093">
        <w:rPr>
          <w:rFonts w:ascii="Times New Roman" w:hAnsi="Times New Roman"/>
          <w:sz w:val="24"/>
          <w:szCs w:val="24"/>
        </w:rPr>
        <w:t>u</w:t>
      </w:r>
      <w:r w:rsidR="00037043" w:rsidRPr="00837B64">
        <w:rPr>
          <w:rFonts w:ascii="Times New Roman" w:hAnsi="Times New Roman"/>
          <w:sz w:val="24"/>
          <w:szCs w:val="24"/>
        </w:rPr>
        <w:t xml:space="preserve">sing the Form MCSA-1 in </w:t>
      </w:r>
      <w:r w:rsidR="00C45F48" w:rsidRPr="00837B64">
        <w:rPr>
          <w:rFonts w:ascii="Times New Roman" w:hAnsi="Times New Roman"/>
          <w:sz w:val="24"/>
          <w:szCs w:val="24"/>
        </w:rPr>
        <w:t>the OMB Control Number 2126-0051, “FMCSA Registration/Update(s),” ICR associated with the Unified Registration System; Final Rule (78 FR 526078), August 28, 2013.</w:t>
      </w:r>
      <w:r w:rsidR="00C45F48" w:rsidRPr="00837B64">
        <w:rPr>
          <w:rFonts w:ascii="Calibri" w:hAnsi="Calibri"/>
          <w:sz w:val="22"/>
          <w:szCs w:val="22"/>
        </w:rPr>
        <w:t> </w:t>
      </w:r>
    </w:p>
    <w:p w14:paraId="6A3A2C03" w14:textId="77777777" w:rsidR="002A7B37" w:rsidRPr="00837B64" w:rsidRDefault="002A7B37">
      <w:pPr>
        <w:pStyle w:val="ListParagraph"/>
        <w:rPr>
          <w:rFonts w:ascii="Times New Roman" w:hAnsi="Times New Roman"/>
          <w:sz w:val="24"/>
          <w:szCs w:val="24"/>
        </w:rPr>
      </w:pPr>
    </w:p>
    <w:p w14:paraId="2DDFCDF1" w14:textId="683E1B73" w:rsidR="00296AF9" w:rsidRDefault="002A7B37" w:rsidP="00296AF9">
      <w:pPr>
        <w:ind w:left="360"/>
        <w:rPr>
          <w:rFonts w:ascii="Times New Roman" w:hAnsi="Times New Roman"/>
          <w:sz w:val="24"/>
          <w:szCs w:val="24"/>
        </w:rPr>
      </w:pPr>
      <w:r w:rsidRPr="00837B64">
        <w:rPr>
          <w:rFonts w:ascii="Times New Roman" w:hAnsi="Times New Roman"/>
          <w:sz w:val="24"/>
          <w:szCs w:val="24"/>
        </w:rPr>
        <w:t xml:space="preserve">The form asks very limited information which is readily available to the filer. FMCSA </w:t>
      </w:r>
      <w:r w:rsidR="00296AF9">
        <w:rPr>
          <w:rFonts w:ascii="Times New Roman" w:hAnsi="Times New Roman"/>
          <w:sz w:val="24"/>
          <w:szCs w:val="24"/>
        </w:rPr>
        <w:t xml:space="preserve">assumes it would take a </w:t>
      </w:r>
      <w:r w:rsidR="00296AF9" w:rsidRPr="00296AF9">
        <w:rPr>
          <w:rFonts w:ascii="Times New Roman" w:hAnsi="Times New Roman"/>
          <w:sz w:val="24"/>
          <w:szCs w:val="24"/>
        </w:rPr>
        <w:t>General Operations Managers</w:t>
      </w:r>
      <w:r w:rsidR="00070F8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96AF9">
        <w:rPr>
          <w:rFonts w:ascii="Times New Roman" w:hAnsi="Times New Roman"/>
          <w:sz w:val="24"/>
          <w:szCs w:val="24"/>
        </w:rPr>
        <w:t xml:space="preserve">an </w:t>
      </w:r>
      <w:r w:rsidRPr="00837B64">
        <w:rPr>
          <w:rFonts w:ascii="Times New Roman" w:hAnsi="Times New Roman"/>
          <w:sz w:val="24"/>
          <w:szCs w:val="24"/>
        </w:rPr>
        <w:t>estimate</w:t>
      </w:r>
      <w:r w:rsidR="00296AF9">
        <w:rPr>
          <w:rFonts w:ascii="Times New Roman" w:hAnsi="Times New Roman"/>
          <w:sz w:val="24"/>
          <w:szCs w:val="24"/>
        </w:rPr>
        <w:t>d</w:t>
      </w:r>
      <w:r w:rsidRPr="00837B64">
        <w:rPr>
          <w:rFonts w:ascii="Times New Roman" w:hAnsi="Times New Roman"/>
          <w:sz w:val="24"/>
          <w:szCs w:val="24"/>
        </w:rPr>
        <w:t xml:space="preserve"> 15 minute</w:t>
      </w:r>
      <w:r w:rsidR="00EE3E79">
        <w:rPr>
          <w:rFonts w:ascii="Times New Roman" w:hAnsi="Times New Roman"/>
          <w:sz w:val="24"/>
          <w:szCs w:val="24"/>
        </w:rPr>
        <w:t>s</w:t>
      </w:r>
      <w:r w:rsidRPr="00837B64">
        <w:rPr>
          <w:rFonts w:ascii="Times New Roman" w:hAnsi="Times New Roman"/>
          <w:sz w:val="24"/>
          <w:szCs w:val="24"/>
        </w:rPr>
        <w:t xml:space="preserve"> to complete the </w:t>
      </w:r>
      <w:r w:rsidR="008940D8" w:rsidRPr="00837B64">
        <w:rPr>
          <w:rFonts w:ascii="Times New Roman" w:hAnsi="Times New Roman"/>
          <w:sz w:val="24"/>
          <w:szCs w:val="24"/>
        </w:rPr>
        <w:t xml:space="preserve">Form </w:t>
      </w:r>
      <w:r w:rsidR="001F243E">
        <w:rPr>
          <w:rFonts w:ascii="Times New Roman" w:hAnsi="Times New Roman"/>
          <w:sz w:val="24"/>
          <w:szCs w:val="24"/>
        </w:rPr>
        <w:t>MCSA-</w:t>
      </w:r>
      <w:r w:rsidR="008940D8" w:rsidRPr="00837B64">
        <w:rPr>
          <w:rFonts w:ascii="Times New Roman" w:hAnsi="Times New Roman"/>
          <w:sz w:val="24"/>
          <w:szCs w:val="24"/>
        </w:rPr>
        <w:t>5889</w:t>
      </w:r>
      <w:r w:rsidRPr="00837B64">
        <w:rPr>
          <w:rFonts w:ascii="Times New Roman" w:hAnsi="Times New Roman"/>
          <w:sz w:val="24"/>
          <w:szCs w:val="24"/>
        </w:rPr>
        <w:t>.</w:t>
      </w:r>
      <w:r w:rsidR="00296AF9">
        <w:rPr>
          <w:rFonts w:ascii="Times New Roman" w:hAnsi="Times New Roman"/>
          <w:sz w:val="24"/>
          <w:szCs w:val="24"/>
        </w:rPr>
        <w:t xml:space="preserve"> </w:t>
      </w:r>
      <w:r w:rsidR="00296AF9" w:rsidRPr="00296AF9">
        <w:rPr>
          <w:rFonts w:ascii="Times New Roman" w:hAnsi="Times New Roman"/>
          <w:sz w:val="24"/>
          <w:szCs w:val="24"/>
        </w:rPr>
        <w:t>The mean hourly wage of General and Operations Managers of the Truck Transportation industry (North American Industry Classification System [NAICS] code 484000) is $</w:t>
      </w:r>
      <w:r w:rsidR="00070F87" w:rsidRPr="00070F87">
        <w:rPr>
          <w:rFonts w:ascii="Times New Roman" w:hAnsi="Times New Roman"/>
          <w:sz w:val="24"/>
          <w:szCs w:val="24"/>
        </w:rPr>
        <w:t>41.12</w:t>
      </w:r>
      <w:r w:rsidR="00070F87">
        <w:rPr>
          <w:rFonts w:ascii="Times New Roman" w:hAnsi="Times New Roman"/>
          <w:sz w:val="24"/>
          <w:szCs w:val="24"/>
        </w:rPr>
        <w:t>.</w:t>
      </w:r>
      <w:r w:rsidR="00070F87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14:paraId="7D2A219B" w14:textId="77777777" w:rsidR="00296AF9" w:rsidRPr="00296AF9" w:rsidRDefault="00296AF9" w:rsidP="00296AF9">
      <w:pPr>
        <w:ind w:left="360"/>
        <w:rPr>
          <w:rFonts w:ascii="Times New Roman" w:hAnsi="Times New Roman"/>
          <w:sz w:val="24"/>
          <w:szCs w:val="24"/>
        </w:rPr>
      </w:pPr>
    </w:p>
    <w:p w14:paraId="7DEC51F7" w14:textId="709B3DC7" w:rsidR="00296AF9" w:rsidRDefault="00296AF9" w:rsidP="00296AF9">
      <w:pPr>
        <w:ind w:left="360"/>
        <w:rPr>
          <w:rFonts w:ascii="Times New Roman" w:hAnsi="Times New Roman"/>
          <w:sz w:val="24"/>
          <w:szCs w:val="24"/>
        </w:rPr>
      </w:pPr>
      <w:r w:rsidRPr="00296AF9">
        <w:rPr>
          <w:rFonts w:ascii="Times New Roman" w:hAnsi="Times New Roman"/>
          <w:sz w:val="24"/>
          <w:szCs w:val="24"/>
        </w:rPr>
        <w:t xml:space="preserve">To arrive at a loaded wage, </w:t>
      </w:r>
      <w:r>
        <w:rPr>
          <w:rFonts w:ascii="Times New Roman" w:hAnsi="Times New Roman"/>
          <w:sz w:val="24"/>
          <w:szCs w:val="24"/>
        </w:rPr>
        <w:t>FMCSA</w:t>
      </w:r>
      <w:r w:rsidRPr="00296AF9">
        <w:rPr>
          <w:rFonts w:ascii="Times New Roman" w:hAnsi="Times New Roman"/>
          <w:sz w:val="24"/>
          <w:szCs w:val="24"/>
        </w:rPr>
        <w:t xml:space="preserve"> first estimated a load factor of 1.421 by dividing the total cost of compensation for private industry workers of the trade, transportation, and utilities industry ($27.44) by the average cost of hourly wages and salaries ($19.31) as reported by the Bureau of Labor Statistics in its Employer Costs for Employee Compensation for March 2017</w:t>
      </w:r>
      <w:r w:rsidR="00070F87">
        <w:rPr>
          <w:rFonts w:ascii="Times New Roman" w:hAnsi="Times New Roman"/>
          <w:sz w:val="24"/>
          <w:szCs w:val="24"/>
        </w:rPr>
        <w:t>.</w:t>
      </w:r>
      <w:r w:rsidR="00070F8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070F87">
        <w:rPr>
          <w:rFonts w:ascii="Times New Roman" w:hAnsi="Times New Roman"/>
          <w:sz w:val="24"/>
          <w:szCs w:val="24"/>
        </w:rPr>
        <w:t xml:space="preserve"> </w:t>
      </w:r>
      <w:r w:rsidR="00070F87" w:rsidRPr="00296AF9">
        <w:rPr>
          <w:rFonts w:ascii="Times New Roman" w:hAnsi="Times New Roman"/>
          <w:sz w:val="24"/>
          <w:szCs w:val="24"/>
        </w:rPr>
        <w:t xml:space="preserve"> </w:t>
      </w:r>
      <w:r w:rsidRPr="00296AF9">
        <w:rPr>
          <w:rFonts w:ascii="Times New Roman" w:hAnsi="Times New Roman"/>
          <w:sz w:val="24"/>
          <w:szCs w:val="24"/>
        </w:rPr>
        <w:t>Multiplying mean hourly wages by the load factor results i</w:t>
      </w:r>
      <w:r w:rsidR="00070F87">
        <w:rPr>
          <w:rFonts w:ascii="Times New Roman" w:hAnsi="Times New Roman"/>
          <w:sz w:val="24"/>
          <w:szCs w:val="24"/>
        </w:rPr>
        <w:t>n a loaded hourly wage of $58.34</w:t>
      </w:r>
      <w:r w:rsidRPr="00296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C201D">
        <w:rPr>
          <w:rFonts w:ascii="Times New Roman" w:hAnsi="Times New Roman"/>
          <w:sz w:val="24"/>
          <w:szCs w:val="24"/>
        </w:rPr>
        <w:t>$</w:t>
      </w:r>
      <w:r w:rsidR="00070F87">
        <w:rPr>
          <w:rFonts w:ascii="Times New Roman" w:hAnsi="Times New Roman"/>
          <w:sz w:val="24"/>
          <w:szCs w:val="24"/>
        </w:rPr>
        <w:t>41.12</w:t>
      </w:r>
      <w:r w:rsidR="001C201D">
        <w:rPr>
          <w:rFonts w:ascii="Times New Roman" w:hAnsi="Times New Roman"/>
          <w:sz w:val="24"/>
          <w:szCs w:val="24"/>
        </w:rPr>
        <w:t xml:space="preserve"> × 1.421 = $</w:t>
      </w:r>
      <w:r w:rsidR="00AE45D0">
        <w:rPr>
          <w:rFonts w:ascii="Times New Roman" w:hAnsi="Times New Roman"/>
          <w:sz w:val="24"/>
          <w:szCs w:val="24"/>
        </w:rPr>
        <w:t>58.34</w:t>
      </w:r>
      <w:r w:rsidR="001C201D">
        <w:rPr>
          <w:rFonts w:ascii="Times New Roman" w:hAnsi="Times New Roman"/>
          <w:sz w:val="24"/>
          <w:szCs w:val="24"/>
        </w:rPr>
        <w:t>).</w:t>
      </w:r>
    </w:p>
    <w:p w14:paraId="33602DC2" w14:textId="77777777" w:rsidR="003E1CB5" w:rsidRDefault="003E1CB5" w:rsidP="00296AF9">
      <w:pPr>
        <w:ind w:left="360"/>
        <w:rPr>
          <w:rFonts w:ascii="Times New Roman" w:hAnsi="Times New Roman"/>
          <w:sz w:val="24"/>
          <w:szCs w:val="24"/>
        </w:rPr>
      </w:pPr>
    </w:p>
    <w:p w14:paraId="0BC83EE0" w14:textId="3D165DB9" w:rsidR="003E1CB5" w:rsidRPr="00296AF9" w:rsidRDefault="003E1CB5" w:rsidP="00296AF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shown in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_Ref492540083 \h  \* MERGEFORMAT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DF2482">
        <w:rPr>
          <w:rFonts w:ascii="Times New Roman" w:hAnsi="Times New Roman"/>
          <w:sz w:val="24"/>
          <w:szCs w:val="24"/>
        </w:rPr>
        <w:t>Table 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 the total annual labor cost for this ICR is approximately $</w:t>
      </w:r>
      <w:r w:rsidR="006B231B" w:rsidRPr="006B231B">
        <w:rPr>
          <w:rFonts w:ascii="Times New Roman" w:hAnsi="Times New Roman"/>
          <w:sz w:val="24"/>
          <w:szCs w:val="24"/>
        </w:rPr>
        <w:t>654,867</w:t>
      </w:r>
      <w:r>
        <w:rPr>
          <w:rFonts w:ascii="Times New Roman" w:hAnsi="Times New Roman"/>
          <w:sz w:val="24"/>
          <w:szCs w:val="24"/>
        </w:rPr>
        <w:t>.</w:t>
      </w:r>
      <w:r w:rsidR="006B231B">
        <w:rPr>
          <w:rFonts w:ascii="Times New Roman" w:hAnsi="Times New Roman"/>
          <w:sz w:val="24"/>
          <w:szCs w:val="24"/>
        </w:rPr>
        <w:t xml:space="preserve">  The estimated labor cost per respondent is $14.59 (15 minutes × $58.34 per hour = $14.59).</w:t>
      </w:r>
    </w:p>
    <w:p w14:paraId="740FD521" w14:textId="5280D45F" w:rsidR="00AE45D0" w:rsidRPr="00DF2482" w:rsidRDefault="003E1CB5" w:rsidP="00DF2482">
      <w:pPr>
        <w:pStyle w:val="FMCSACaption-Table"/>
        <w:spacing w:after="0"/>
      </w:pPr>
      <w:bookmarkStart w:id="1" w:name="_Ref492540083"/>
      <w:bookmarkStart w:id="2" w:name="_Ref492540078"/>
      <w:r w:rsidRPr="006C315B">
        <w:t xml:space="preserve">Table </w:t>
      </w:r>
      <w:r w:rsidR="00B90812">
        <w:fldChar w:fldCharType="begin"/>
      </w:r>
      <w:r w:rsidR="00B90812">
        <w:instrText xml:space="preserve"> SEQ Table \* ARABIC </w:instrText>
      </w:r>
      <w:r w:rsidR="00B90812">
        <w:fldChar w:fldCharType="separate"/>
      </w:r>
      <w:r>
        <w:rPr>
          <w:noProof/>
        </w:rPr>
        <w:t>1</w:t>
      </w:r>
      <w:r w:rsidR="00B90812">
        <w:rPr>
          <w:noProof/>
        </w:rPr>
        <w:fldChar w:fldCharType="end"/>
      </w:r>
      <w:bookmarkEnd w:id="1"/>
      <w:r>
        <w:rPr>
          <w:i/>
        </w:rPr>
        <w:t>.</w:t>
      </w:r>
      <w:r w:rsidRPr="006C315B">
        <w:t xml:space="preserve"> </w:t>
      </w:r>
      <w:r>
        <w:t>Respondents and burden hour estimates</w:t>
      </w:r>
      <w:bookmarkEnd w:id="2"/>
    </w:p>
    <w:tbl>
      <w:tblPr>
        <w:tblStyle w:val="FMCSATable1Style"/>
        <w:tblpPr w:leftFromText="180" w:rightFromText="180" w:vertAnchor="text" w:horzAnchor="margin" w:tblpX="468" w:tblpY="22"/>
        <w:tblW w:w="8640" w:type="dxa"/>
        <w:jc w:val="left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3E1CB5" w:rsidRPr="00BB74E6" w14:paraId="498ECFB9" w14:textId="77777777" w:rsidTr="00DF2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440" w:type="dxa"/>
            <w:vAlign w:val="bottom"/>
          </w:tcPr>
          <w:p w14:paraId="0EFE620F" w14:textId="77777777" w:rsidR="003E1CB5" w:rsidRPr="00BB74E6" w:rsidRDefault="003E1CB5" w:rsidP="008573AE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Number of Respondents</w:t>
            </w:r>
          </w:p>
        </w:tc>
        <w:tc>
          <w:tcPr>
            <w:tcW w:w="1440" w:type="dxa"/>
            <w:vAlign w:val="bottom"/>
          </w:tcPr>
          <w:p w14:paraId="50048BE0" w14:textId="77777777" w:rsidR="003E1CB5" w:rsidRPr="00BB74E6" w:rsidRDefault="003E1CB5" w:rsidP="00BA160F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Number of Responses per Respondent</w:t>
            </w:r>
          </w:p>
        </w:tc>
        <w:tc>
          <w:tcPr>
            <w:tcW w:w="1440" w:type="dxa"/>
            <w:vAlign w:val="bottom"/>
          </w:tcPr>
          <w:p w14:paraId="5976F394" w14:textId="77777777" w:rsidR="003E1CB5" w:rsidRPr="00BB74E6" w:rsidRDefault="003E1CB5" w:rsidP="00DF2482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Average Burden per Response</w:t>
            </w:r>
          </w:p>
        </w:tc>
        <w:tc>
          <w:tcPr>
            <w:tcW w:w="1440" w:type="dxa"/>
            <w:vAlign w:val="bottom"/>
          </w:tcPr>
          <w:p w14:paraId="436B617D" w14:textId="3C943E68" w:rsidR="003E1CB5" w:rsidRPr="00BB74E6" w:rsidDel="004A60A6" w:rsidRDefault="003E1CB5" w:rsidP="00DF2482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Total Burden</w:t>
            </w:r>
            <w:r w:rsidR="006B231B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440" w:type="dxa"/>
            <w:vAlign w:val="bottom"/>
          </w:tcPr>
          <w:p w14:paraId="0987C165" w14:textId="77777777" w:rsidR="003E1CB5" w:rsidRPr="00BB74E6" w:rsidRDefault="003E1CB5" w:rsidP="00DF2482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Hourly Loaded Wage</w:t>
            </w:r>
          </w:p>
        </w:tc>
        <w:tc>
          <w:tcPr>
            <w:tcW w:w="1440" w:type="dxa"/>
            <w:vAlign w:val="bottom"/>
          </w:tcPr>
          <w:p w14:paraId="3812F005" w14:textId="77777777" w:rsidR="003E1CB5" w:rsidRPr="00BB74E6" w:rsidRDefault="003E1CB5" w:rsidP="00DF2482">
            <w:pPr>
              <w:pStyle w:val="FMCSATableBody1"/>
              <w:rPr>
                <w:b/>
              </w:rPr>
            </w:pPr>
            <w:r w:rsidRPr="00BB74E6">
              <w:rPr>
                <w:b/>
              </w:rPr>
              <w:t>Total Labor Cost</w:t>
            </w:r>
          </w:p>
        </w:tc>
      </w:tr>
      <w:tr w:rsidR="003E1CB5" w:rsidRPr="00BB74E6" w14:paraId="5739A534" w14:textId="77777777" w:rsidTr="00DF2482">
        <w:trPr>
          <w:jc w:val="left"/>
        </w:trPr>
        <w:tc>
          <w:tcPr>
            <w:tcW w:w="1440" w:type="dxa"/>
            <w:vAlign w:val="bottom"/>
          </w:tcPr>
          <w:p w14:paraId="22716AED" w14:textId="1F2095C8" w:rsidR="003E1CB5" w:rsidRPr="00BB74E6" w:rsidRDefault="003E1CB5" w:rsidP="00DF2482">
            <w:pPr>
              <w:pStyle w:val="FMCSATableBody1"/>
              <w:jc w:val="right"/>
            </w:pPr>
            <w:r>
              <w:t>4</w:t>
            </w:r>
            <w:r w:rsidR="006B231B">
              <w:t>4,900</w:t>
            </w:r>
          </w:p>
        </w:tc>
        <w:tc>
          <w:tcPr>
            <w:tcW w:w="1440" w:type="dxa"/>
            <w:vAlign w:val="bottom"/>
          </w:tcPr>
          <w:p w14:paraId="741FCC4D" w14:textId="77777777" w:rsidR="003E1CB5" w:rsidRPr="00BB74E6" w:rsidRDefault="003E1CB5" w:rsidP="00DF2482">
            <w:pPr>
              <w:pStyle w:val="FMCSATableBody1"/>
              <w:jc w:val="right"/>
            </w:pPr>
            <w:r w:rsidRPr="00BB74E6">
              <w:t>1</w:t>
            </w:r>
          </w:p>
        </w:tc>
        <w:tc>
          <w:tcPr>
            <w:tcW w:w="1440" w:type="dxa"/>
            <w:vAlign w:val="bottom"/>
          </w:tcPr>
          <w:p w14:paraId="02EDADBF" w14:textId="1BD99C47" w:rsidR="003E1CB5" w:rsidRPr="00BB74E6" w:rsidRDefault="003E1CB5" w:rsidP="00DF2482">
            <w:pPr>
              <w:pStyle w:val="FMCSATableBody1"/>
              <w:jc w:val="right"/>
            </w:pPr>
            <w:r>
              <w:t>15</w:t>
            </w:r>
            <w:r w:rsidRPr="00BB74E6">
              <w:t xml:space="preserve"> minutes</w:t>
            </w:r>
          </w:p>
        </w:tc>
        <w:tc>
          <w:tcPr>
            <w:tcW w:w="1440" w:type="dxa"/>
            <w:vAlign w:val="bottom"/>
          </w:tcPr>
          <w:p w14:paraId="732F30F4" w14:textId="7C0683E6" w:rsidR="003E1CB5" w:rsidRPr="00BB74E6" w:rsidRDefault="003E1CB5" w:rsidP="00DF2482">
            <w:pPr>
              <w:pStyle w:val="FMCSATableBody1"/>
              <w:jc w:val="right"/>
            </w:pPr>
            <w:r>
              <w:t>11,2</w:t>
            </w:r>
            <w:r w:rsidR="006B231B">
              <w:t>25</w:t>
            </w:r>
          </w:p>
        </w:tc>
        <w:tc>
          <w:tcPr>
            <w:tcW w:w="1440" w:type="dxa"/>
            <w:vAlign w:val="bottom"/>
          </w:tcPr>
          <w:p w14:paraId="7476062A" w14:textId="643808F1" w:rsidR="003E1CB5" w:rsidRPr="00BB74E6" w:rsidRDefault="003E1CB5" w:rsidP="00DF2482">
            <w:pPr>
              <w:pStyle w:val="FMCSATableBody1"/>
              <w:jc w:val="right"/>
            </w:pPr>
            <w:r w:rsidRPr="00BB74E6">
              <w:t>$</w:t>
            </w:r>
            <w:r>
              <w:t>58.34</w:t>
            </w:r>
          </w:p>
        </w:tc>
        <w:tc>
          <w:tcPr>
            <w:tcW w:w="1440" w:type="dxa"/>
            <w:vAlign w:val="bottom"/>
          </w:tcPr>
          <w:p w14:paraId="6ED75DE2" w14:textId="335C6B9C" w:rsidR="003E1CB5" w:rsidRPr="00BB74E6" w:rsidRDefault="003E1CB5" w:rsidP="00DF2482">
            <w:pPr>
              <w:pStyle w:val="FMCSATableBody1"/>
              <w:jc w:val="right"/>
            </w:pPr>
            <w:r w:rsidRPr="00BB74E6">
              <w:t>$</w:t>
            </w:r>
            <w:r>
              <w:t>65</w:t>
            </w:r>
            <w:r w:rsidR="006B231B">
              <w:t>4,867</w:t>
            </w:r>
          </w:p>
        </w:tc>
      </w:tr>
    </w:tbl>
    <w:p w14:paraId="1C7D3EB0" w14:textId="77777777" w:rsidR="002A7B37" w:rsidRPr="00837B64" w:rsidRDefault="002A7B37" w:rsidP="00DF2482">
      <w:pPr>
        <w:rPr>
          <w:rFonts w:ascii="Times New Roman" w:hAnsi="Times New Roman"/>
          <w:sz w:val="24"/>
          <w:szCs w:val="24"/>
        </w:rPr>
      </w:pPr>
    </w:p>
    <w:p w14:paraId="0BDAA508" w14:textId="67273046" w:rsidR="002A7B37" w:rsidRPr="00052888" w:rsidRDefault="002A7B37">
      <w:pPr>
        <w:ind w:left="360"/>
        <w:rPr>
          <w:rFonts w:ascii="Times New Roman" w:hAnsi="Times New Roman"/>
          <w:sz w:val="24"/>
          <w:szCs w:val="24"/>
        </w:rPr>
      </w:pPr>
      <w:r w:rsidRPr="00FE5653">
        <w:rPr>
          <w:rFonts w:ascii="Times New Roman" w:hAnsi="Times New Roman"/>
          <w:b/>
          <w:sz w:val="24"/>
          <w:szCs w:val="24"/>
        </w:rPr>
        <w:t xml:space="preserve">Estimated </w:t>
      </w:r>
      <w:r w:rsidR="008940D8" w:rsidRPr="00FE5653">
        <w:rPr>
          <w:rFonts w:ascii="Times New Roman" w:hAnsi="Times New Roman"/>
          <w:b/>
          <w:sz w:val="24"/>
          <w:szCs w:val="24"/>
        </w:rPr>
        <w:t>Annual N</w:t>
      </w:r>
      <w:r w:rsidRPr="00FE5653">
        <w:rPr>
          <w:rFonts w:ascii="Times New Roman" w:hAnsi="Times New Roman"/>
          <w:b/>
          <w:sz w:val="24"/>
          <w:szCs w:val="24"/>
        </w:rPr>
        <w:t xml:space="preserve">umber of </w:t>
      </w:r>
      <w:r w:rsidR="008940D8" w:rsidRPr="00FE5653">
        <w:rPr>
          <w:rFonts w:ascii="Times New Roman" w:hAnsi="Times New Roman"/>
          <w:b/>
          <w:sz w:val="24"/>
          <w:szCs w:val="24"/>
        </w:rPr>
        <w:t>R</w:t>
      </w:r>
      <w:r w:rsidRPr="00FE5653">
        <w:rPr>
          <w:rFonts w:ascii="Times New Roman" w:hAnsi="Times New Roman"/>
          <w:b/>
          <w:sz w:val="24"/>
          <w:szCs w:val="24"/>
        </w:rPr>
        <w:t>esponses:</w:t>
      </w:r>
      <w:r w:rsidRPr="00FE5653">
        <w:rPr>
          <w:rFonts w:ascii="Times New Roman" w:hAnsi="Times New Roman"/>
          <w:sz w:val="24"/>
          <w:szCs w:val="24"/>
        </w:rPr>
        <w:t xml:space="preserve"> </w:t>
      </w:r>
      <w:r w:rsidR="00F41C0A" w:rsidRPr="00FE5653">
        <w:rPr>
          <w:rFonts w:ascii="Times New Roman" w:hAnsi="Times New Roman"/>
          <w:sz w:val="24"/>
          <w:szCs w:val="24"/>
        </w:rPr>
        <w:t xml:space="preserve"> </w:t>
      </w:r>
      <w:r w:rsidR="00AD6278" w:rsidRPr="00FE5653">
        <w:rPr>
          <w:rFonts w:ascii="Times New Roman" w:hAnsi="Times New Roman"/>
          <w:sz w:val="24"/>
          <w:szCs w:val="24"/>
        </w:rPr>
        <w:t>4</w:t>
      </w:r>
      <w:r w:rsidR="00AE45D0" w:rsidRPr="00FE5653">
        <w:rPr>
          <w:rFonts w:ascii="Times New Roman" w:hAnsi="Times New Roman"/>
          <w:sz w:val="24"/>
          <w:szCs w:val="24"/>
        </w:rPr>
        <w:t>4,9</w:t>
      </w:r>
      <w:r w:rsidR="00AD6278" w:rsidRPr="00FE5653">
        <w:rPr>
          <w:rFonts w:ascii="Times New Roman" w:hAnsi="Times New Roman"/>
          <w:sz w:val="24"/>
          <w:szCs w:val="24"/>
        </w:rPr>
        <w:t>00</w:t>
      </w:r>
      <w:r w:rsidR="008940D8" w:rsidRPr="00FE5653">
        <w:rPr>
          <w:rFonts w:ascii="Times New Roman" w:hAnsi="Times New Roman"/>
          <w:sz w:val="24"/>
          <w:szCs w:val="24"/>
        </w:rPr>
        <w:t xml:space="preserve"> [</w:t>
      </w:r>
      <w:r w:rsidR="00AD6278" w:rsidRPr="00FE5653">
        <w:rPr>
          <w:rFonts w:ascii="Times New Roman" w:hAnsi="Times New Roman"/>
          <w:sz w:val="24"/>
          <w:szCs w:val="24"/>
        </w:rPr>
        <w:t xml:space="preserve">14,000 name changes + 15,400 address </w:t>
      </w:r>
      <w:r w:rsidR="00AD6278" w:rsidRPr="00052888">
        <w:rPr>
          <w:rFonts w:ascii="Times New Roman" w:hAnsi="Times New Roman"/>
          <w:sz w:val="24"/>
          <w:szCs w:val="24"/>
        </w:rPr>
        <w:t>changes + 15,500 reinstatements</w:t>
      </w:r>
      <w:r w:rsidR="00AE45D0" w:rsidRPr="00052888">
        <w:rPr>
          <w:rFonts w:ascii="Times New Roman" w:hAnsi="Times New Roman"/>
          <w:sz w:val="24"/>
          <w:szCs w:val="24"/>
        </w:rPr>
        <w:t xml:space="preserve"> = 44,9</w:t>
      </w:r>
      <w:r w:rsidR="00AD6278" w:rsidRPr="00052888">
        <w:rPr>
          <w:rFonts w:ascii="Times New Roman" w:hAnsi="Times New Roman"/>
          <w:sz w:val="24"/>
          <w:szCs w:val="24"/>
        </w:rPr>
        <w:t>00</w:t>
      </w:r>
      <w:r w:rsidR="006B4452" w:rsidRPr="00052888">
        <w:rPr>
          <w:rFonts w:ascii="Times New Roman" w:hAnsi="Times New Roman"/>
          <w:sz w:val="24"/>
          <w:szCs w:val="24"/>
        </w:rPr>
        <w:t>]</w:t>
      </w:r>
      <w:r w:rsidR="00E8651D" w:rsidRPr="00052888">
        <w:rPr>
          <w:rFonts w:ascii="Times New Roman" w:hAnsi="Times New Roman"/>
          <w:sz w:val="24"/>
          <w:szCs w:val="24"/>
        </w:rPr>
        <w:t>.</w:t>
      </w:r>
    </w:p>
    <w:p w14:paraId="5DF9D522" w14:textId="6573D594" w:rsidR="008940D8" w:rsidRPr="00052888" w:rsidRDefault="008940D8">
      <w:pPr>
        <w:ind w:left="360"/>
        <w:rPr>
          <w:rFonts w:ascii="Times New Roman" w:hAnsi="Times New Roman"/>
          <w:sz w:val="24"/>
          <w:szCs w:val="24"/>
        </w:rPr>
      </w:pPr>
      <w:r w:rsidRPr="00052888">
        <w:rPr>
          <w:rFonts w:ascii="Times New Roman" w:hAnsi="Times New Roman"/>
          <w:b/>
          <w:sz w:val="24"/>
          <w:szCs w:val="24"/>
        </w:rPr>
        <w:t xml:space="preserve">Estimated Annual </w:t>
      </w:r>
      <w:r w:rsidR="00F55C3B" w:rsidRPr="00052888">
        <w:rPr>
          <w:rFonts w:ascii="Times New Roman" w:hAnsi="Times New Roman"/>
          <w:b/>
          <w:sz w:val="24"/>
          <w:szCs w:val="24"/>
        </w:rPr>
        <w:t>Number</w:t>
      </w:r>
      <w:r w:rsidRPr="00052888">
        <w:rPr>
          <w:rFonts w:ascii="Times New Roman" w:hAnsi="Times New Roman"/>
          <w:b/>
          <w:sz w:val="24"/>
          <w:szCs w:val="24"/>
        </w:rPr>
        <w:t xml:space="preserve"> of Respondents:</w:t>
      </w:r>
      <w:r w:rsidRPr="00052888">
        <w:rPr>
          <w:rFonts w:ascii="Times New Roman" w:hAnsi="Times New Roman"/>
          <w:sz w:val="24"/>
          <w:szCs w:val="24"/>
        </w:rPr>
        <w:t xml:space="preserve"> </w:t>
      </w:r>
      <w:r w:rsidR="00F41C0A" w:rsidRPr="00052888">
        <w:rPr>
          <w:rFonts w:ascii="Times New Roman" w:hAnsi="Times New Roman"/>
          <w:sz w:val="24"/>
          <w:szCs w:val="24"/>
        </w:rPr>
        <w:t xml:space="preserve"> </w:t>
      </w:r>
      <w:r w:rsidR="00122512" w:rsidRPr="00052888">
        <w:rPr>
          <w:rFonts w:ascii="Times New Roman" w:hAnsi="Times New Roman"/>
          <w:sz w:val="24"/>
          <w:szCs w:val="24"/>
        </w:rPr>
        <w:t>4</w:t>
      </w:r>
      <w:r w:rsidR="006B231B" w:rsidRPr="00052888">
        <w:rPr>
          <w:rFonts w:ascii="Times New Roman" w:hAnsi="Times New Roman"/>
          <w:sz w:val="24"/>
          <w:szCs w:val="24"/>
        </w:rPr>
        <w:t>4,900</w:t>
      </w:r>
      <w:r w:rsidR="00E8651D" w:rsidRPr="00052888">
        <w:rPr>
          <w:rFonts w:ascii="Times New Roman" w:hAnsi="Times New Roman"/>
          <w:sz w:val="24"/>
          <w:szCs w:val="24"/>
        </w:rPr>
        <w:t>.</w:t>
      </w:r>
    </w:p>
    <w:p w14:paraId="54726027" w14:textId="1722B541" w:rsidR="002A7B37" w:rsidRPr="00052888" w:rsidRDefault="002A7B37">
      <w:pPr>
        <w:ind w:left="360"/>
        <w:rPr>
          <w:rFonts w:ascii="Times New Roman" w:hAnsi="Times New Roman"/>
          <w:sz w:val="24"/>
          <w:szCs w:val="24"/>
        </w:rPr>
      </w:pPr>
      <w:r w:rsidRPr="00052888">
        <w:rPr>
          <w:rFonts w:ascii="Times New Roman" w:hAnsi="Times New Roman"/>
          <w:b/>
          <w:sz w:val="24"/>
          <w:szCs w:val="24"/>
        </w:rPr>
        <w:t>Estimated Total Annual Burden:</w:t>
      </w:r>
      <w:r w:rsidRPr="00052888">
        <w:rPr>
          <w:rFonts w:ascii="Times New Roman" w:hAnsi="Times New Roman"/>
          <w:sz w:val="24"/>
          <w:szCs w:val="24"/>
        </w:rPr>
        <w:t xml:space="preserve"> </w:t>
      </w:r>
      <w:r w:rsidR="00F41C0A" w:rsidRPr="00052888">
        <w:rPr>
          <w:rFonts w:ascii="Times New Roman" w:hAnsi="Times New Roman"/>
          <w:sz w:val="24"/>
          <w:szCs w:val="24"/>
        </w:rPr>
        <w:t xml:space="preserve"> </w:t>
      </w:r>
      <w:r w:rsidR="006B231B" w:rsidRPr="00052888">
        <w:rPr>
          <w:rFonts w:ascii="Times New Roman" w:hAnsi="Times New Roman"/>
          <w:sz w:val="24"/>
          <w:szCs w:val="24"/>
        </w:rPr>
        <w:t>11,225</w:t>
      </w:r>
      <w:r w:rsidRPr="00052888">
        <w:rPr>
          <w:rFonts w:ascii="Times New Roman" w:hAnsi="Times New Roman"/>
          <w:sz w:val="24"/>
          <w:szCs w:val="24"/>
        </w:rPr>
        <w:t xml:space="preserve"> hours [</w:t>
      </w:r>
      <w:r w:rsidR="006B231B" w:rsidRPr="00052888">
        <w:rPr>
          <w:rFonts w:ascii="Times New Roman" w:hAnsi="Times New Roman"/>
          <w:sz w:val="24"/>
          <w:szCs w:val="24"/>
        </w:rPr>
        <w:t>44,900</w:t>
      </w:r>
      <w:r w:rsidRPr="00052888">
        <w:rPr>
          <w:rFonts w:ascii="Times New Roman" w:hAnsi="Times New Roman"/>
          <w:sz w:val="24"/>
          <w:szCs w:val="24"/>
        </w:rPr>
        <w:t xml:space="preserve"> responses x </w:t>
      </w:r>
      <w:r w:rsidR="008940D8" w:rsidRPr="00052888">
        <w:rPr>
          <w:rFonts w:ascii="Times New Roman" w:hAnsi="Times New Roman"/>
          <w:sz w:val="24"/>
          <w:szCs w:val="24"/>
        </w:rPr>
        <w:t>15 minutes/60 minutes</w:t>
      </w:r>
      <w:r w:rsidR="006B4452" w:rsidRPr="00052888">
        <w:rPr>
          <w:rFonts w:ascii="Times New Roman" w:hAnsi="Times New Roman"/>
          <w:sz w:val="24"/>
          <w:szCs w:val="24"/>
        </w:rPr>
        <w:t xml:space="preserve"> = </w:t>
      </w:r>
      <w:r w:rsidR="006B231B" w:rsidRPr="00052888">
        <w:rPr>
          <w:rFonts w:ascii="Times New Roman" w:hAnsi="Times New Roman"/>
          <w:sz w:val="24"/>
          <w:szCs w:val="24"/>
        </w:rPr>
        <w:t>11,225</w:t>
      </w:r>
      <w:r w:rsidR="006B4452" w:rsidRPr="00052888">
        <w:rPr>
          <w:rFonts w:ascii="Times New Roman" w:hAnsi="Times New Roman"/>
          <w:sz w:val="24"/>
          <w:szCs w:val="24"/>
        </w:rPr>
        <w:t>]</w:t>
      </w:r>
      <w:r w:rsidR="00E8651D" w:rsidRPr="00052888">
        <w:rPr>
          <w:rFonts w:ascii="Times New Roman" w:hAnsi="Times New Roman"/>
          <w:sz w:val="24"/>
          <w:szCs w:val="24"/>
        </w:rPr>
        <w:t>.</w:t>
      </w:r>
    </w:p>
    <w:p w14:paraId="61EE5F9D" w14:textId="77777777" w:rsidR="00B409E0" w:rsidRDefault="00B409E0" w:rsidP="00B409E0">
      <w:pPr>
        <w:rPr>
          <w:rFonts w:ascii="Times New Roman" w:hAnsi="Times New Roman"/>
          <w:b/>
          <w:sz w:val="24"/>
        </w:rPr>
      </w:pPr>
    </w:p>
    <w:p w14:paraId="655C56A2" w14:textId="6F7B80F1" w:rsidR="002A7B37" w:rsidRPr="00B409E0" w:rsidRDefault="00B409E0" w:rsidP="00B409E0">
      <w:pPr>
        <w:pStyle w:val="ListParagraph"/>
        <w:ind w:left="360" w:hanging="36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13. </w:t>
      </w:r>
      <w:r w:rsidR="009E0597" w:rsidRPr="00B409E0">
        <w:rPr>
          <w:rFonts w:ascii="Times New Roman" w:hAnsi="Times New Roman"/>
          <w:b/>
          <w:bCs/>
          <w:sz w:val="24"/>
          <w:szCs w:val="24"/>
        </w:rPr>
        <w:t>ESTIMATE OF TOTAL ANNUAL COSTS TO RESPONDENTS</w:t>
      </w:r>
      <w:r w:rsidR="009E0597" w:rsidRPr="00B409E0">
        <w:rPr>
          <w:rFonts w:ascii="Times New Roman" w:hAnsi="Times New Roman"/>
          <w:b/>
          <w:bCs/>
          <w:sz w:val="24"/>
          <w:szCs w:val="24"/>
        </w:rPr>
        <w:br/>
      </w:r>
      <w:r w:rsidR="002A7B37" w:rsidRPr="00B409E0">
        <w:rPr>
          <w:rFonts w:ascii="Times New Roman" w:hAnsi="Times New Roman"/>
          <w:sz w:val="24"/>
          <w:szCs w:val="24"/>
        </w:rPr>
        <w:t xml:space="preserve">FMCSA estimates </w:t>
      </w:r>
      <w:r w:rsidR="0003038B" w:rsidRPr="00B409E0">
        <w:rPr>
          <w:rFonts w:ascii="Times New Roman" w:hAnsi="Times New Roman"/>
          <w:sz w:val="24"/>
          <w:szCs w:val="24"/>
        </w:rPr>
        <w:t>respondents will fil</w:t>
      </w:r>
      <w:r w:rsidR="00CC5A07" w:rsidRPr="00B409E0">
        <w:rPr>
          <w:rFonts w:ascii="Times New Roman" w:hAnsi="Times New Roman"/>
          <w:sz w:val="24"/>
          <w:szCs w:val="24"/>
        </w:rPr>
        <w:t>e</w:t>
      </w:r>
      <w:r w:rsidR="0003038B" w:rsidRPr="00B409E0">
        <w:rPr>
          <w:rFonts w:ascii="Times New Roman" w:hAnsi="Times New Roman"/>
          <w:sz w:val="24"/>
          <w:szCs w:val="24"/>
        </w:rPr>
        <w:t xml:space="preserve"> approximately 17,500 forms annually by mail. </w:t>
      </w:r>
      <w:r w:rsidR="008573AE" w:rsidRPr="00B409E0">
        <w:rPr>
          <w:rFonts w:ascii="Times New Roman" w:hAnsi="Times New Roman"/>
          <w:sz w:val="24"/>
          <w:szCs w:val="24"/>
        </w:rPr>
        <w:t xml:space="preserve">This estimate is based on the number of name change, address change, and reinstatement requests received by mail during calendar year 2016. </w:t>
      </w:r>
      <w:r w:rsidR="0003038B" w:rsidRPr="00B409E0">
        <w:rPr>
          <w:rFonts w:ascii="Times New Roman" w:hAnsi="Times New Roman"/>
          <w:sz w:val="24"/>
          <w:szCs w:val="24"/>
        </w:rPr>
        <w:t xml:space="preserve">FMCSA estimates a flat cost of $1.00 for an envelope and postage.  The total </w:t>
      </w:r>
      <w:r w:rsidR="008573AE" w:rsidRPr="00B409E0">
        <w:rPr>
          <w:rFonts w:ascii="Times New Roman" w:hAnsi="Times New Roman"/>
          <w:sz w:val="24"/>
          <w:szCs w:val="24"/>
        </w:rPr>
        <w:t xml:space="preserve">annual </w:t>
      </w:r>
      <w:r w:rsidR="0003038B" w:rsidRPr="00B409E0">
        <w:rPr>
          <w:rFonts w:ascii="Times New Roman" w:hAnsi="Times New Roman"/>
          <w:sz w:val="24"/>
          <w:szCs w:val="24"/>
        </w:rPr>
        <w:t xml:space="preserve">cost of envelopes and postage for respondents mailing the Motor Carrier Records Change Form to the FMCSA </w:t>
      </w:r>
      <w:r w:rsidR="008573AE" w:rsidRPr="00B409E0">
        <w:rPr>
          <w:rFonts w:ascii="Times New Roman" w:hAnsi="Times New Roman"/>
          <w:sz w:val="24"/>
          <w:szCs w:val="24"/>
        </w:rPr>
        <w:t>is approximately</w:t>
      </w:r>
      <w:r w:rsidR="0003038B" w:rsidRPr="00B409E0">
        <w:rPr>
          <w:rFonts w:ascii="Times New Roman" w:hAnsi="Times New Roman"/>
          <w:sz w:val="24"/>
          <w:szCs w:val="24"/>
        </w:rPr>
        <w:t xml:space="preserve"> $17,500 ($1.00 × 17,500 forms = $17,500).</w:t>
      </w:r>
      <w:r w:rsidR="002A7B37" w:rsidRPr="00B409E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0931C4E4" w14:textId="77777777" w:rsidR="0003038B" w:rsidRDefault="0003038B" w:rsidP="00DF2482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="Times New Roman" w:hAnsi="Times New Roman"/>
          <w:b/>
          <w:highlight w:val="yellow"/>
        </w:rPr>
      </w:pPr>
    </w:p>
    <w:p w14:paraId="69B42C2E" w14:textId="555B1B85" w:rsidR="00FE5895" w:rsidRPr="00FE5653" w:rsidRDefault="0003038B" w:rsidP="00DF2482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szCs w:val="20"/>
        </w:rPr>
      </w:pPr>
      <w:r w:rsidRPr="00FE5653">
        <w:rPr>
          <w:rFonts w:ascii="Times New Roman" w:hAnsi="Times New Roman"/>
          <w:b/>
        </w:rPr>
        <w:t xml:space="preserve">Estimated Annual Cost to Respondents: </w:t>
      </w:r>
      <w:r w:rsidRPr="00FE5653">
        <w:rPr>
          <w:rFonts w:ascii="Times New Roman" w:hAnsi="Times New Roman"/>
        </w:rPr>
        <w:t>$17,500</w:t>
      </w:r>
    </w:p>
    <w:p w14:paraId="5B884203" w14:textId="77777777" w:rsidR="006B231B" w:rsidRPr="00FE5653" w:rsidRDefault="006B231B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Cs w:val="20"/>
        </w:rPr>
      </w:pPr>
    </w:p>
    <w:p w14:paraId="112D5B65" w14:textId="19ACF8E7" w:rsidR="000D0A2A" w:rsidRPr="00E67E4E" w:rsidRDefault="00CB46D4" w:rsidP="00E67E4E">
      <w:pPr>
        <w:pStyle w:val="ListParagraph"/>
        <w:numPr>
          <w:ilvl w:val="0"/>
          <w:numId w:val="37"/>
        </w:numPr>
        <w:rPr>
          <w:rFonts w:ascii="Times New Roman" w:hAnsi="Times New Roman"/>
        </w:rPr>
      </w:pPr>
      <w:r w:rsidRPr="00E67E4E">
        <w:rPr>
          <w:rFonts w:ascii="Times New Roman" w:hAnsi="Times New Roman"/>
          <w:b/>
          <w:bCs/>
          <w:sz w:val="24"/>
          <w:szCs w:val="24"/>
        </w:rPr>
        <w:t>ESTIMATE OF COST TO THE FEDERAL GOVERNMENT</w:t>
      </w:r>
      <w:r w:rsidRPr="00E67E4E">
        <w:rPr>
          <w:rFonts w:ascii="Times New Roman" w:hAnsi="Times New Roman"/>
          <w:b/>
          <w:sz w:val="24"/>
          <w:szCs w:val="24"/>
        </w:rPr>
        <w:br/>
      </w:r>
      <w:r w:rsidR="001F243E" w:rsidRPr="00E67E4E">
        <w:rPr>
          <w:rFonts w:ascii="Times New Roman" w:hAnsi="Times New Roman"/>
          <w:sz w:val="24"/>
          <w:szCs w:val="24"/>
        </w:rPr>
        <w:t>The Motor Carrier Records Change Form will be processed by a Grade 7 Transportation Assistant or a data entry contractor.  The labor cost of this activity is estimated to be $29.71 per hour, comprising wages of $19.47 per hour,</w:t>
      </w:r>
      <w:r w:rsidR="001F243E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1F243E" w:rsidRPr="00E67E4E">
        <w:rPr>
          <w:rFonts w:ascii="Times New Roman" w:hAnsi="Times New Roman"/>
          <w:sz w:val="24"/>
          <w:szCs w:val="24"/>
        </w:rPr>
        <w:t xml:space="preserve"> employee benefits equal to 36.25 percent of wages, and overhead expenses equal to 12 percent of wages and benefits ($19.47 × 1.3625 × 1.12).</w:t>
      </w:r>
      <w:r w:rsidR="001F243E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1F243E" w:rsidRPr="00E67E4E">
        <w:rPr>
          <w:rFonts w:ascii="Times New Roman" w:hAnsi="Times New Roman"/>
          <w:sz w:val="24"/>
          <w:szCs w:val="24"/>
        </w:rPr>
        <w:t xml:space="preserve">  FMCSA estimates that processing each Motor Carrier Records Change Form takes approximately 15 minutes, or 0.25 hours.  The estimated total annual cost to Federal Government is $333,495 ($29.71 per hour × 44,900 forms × 0.25 hours per form).</w:t>
      </w:r>
      <w:r w:rsidR="000364D4" w:rsidRPr="00E67E4E">
        <w:rPr>
          <w:rFonts w:ascii="Times New Roman" w:hAnsi="Times New Roman"/>
          <w:sz w:val="24"/>
          <w:szCs w:val="24"/>
        </w:rPr>
        <w:br/>
        <w:t xml:space="preserve"> </w:t>
      </w:r>
    </w:p>
    <w:p w14:paraId="2AC7A052" w14:textId="0BB92562" w:rsidR="002D4BEF" w:rsidRPr="00FE5653" w:rsidRDefault="00E24314" w:rsidP="00E67E4E">
      <w:pPr>
        <w:numPr>
          <w:ilvl w:val="0"/>
          <w:numId w:val="37"/>
        </w:numPr>
        <w:rPr>
          <w:rFonts w:ascii="Times New Roman" w:hAnsi="Times New Roman"/>
          <w:i/>
        </w:rPr>
      </w:pPr>
      <w:r w:rsidRPr="00E67E4E">
        <w:rPr>
          <w:rFonts w:ascii="Times New Roman" w:hAnsi="Times New Roman"/>
          <w:b/>
          <w:bCs/>
          <w:sz w:val="24"/>
          <w:szCs w:val="24"/>
        </w:rPr>
        <w:t>EXPLANATION OF PROGRAM CHANGES OR ADJUSTMENTS</w:t>
      </w:r>
      <w:r w:rsidRPr="00FE5653">
        <w:rPr>
          <w:rFonts w:ascii="Times New Roman" w:hAnsi="Times New Roman"/>
          <w:bCs/>
          <w:sz w:val="24"/>
          <w:szCs w:val="24"/>
          <w:u w:val="single"/>
        </w:rPr>
        <w:br/>
      </w:r>
      <w:r w:rsidR="00CC5A07" w:rsidRPr="00CC5A07">
        <w:rPr>
          <w:rFonts w:ascii="Times New Roman" w:hAnsi="Times New Roman"/>
          <w:sz w:val="24"/>
          <w:szCs w:val="24"/>
        </w:rPr>
        <w:t>This program change increase of 5,650 estimated annual burden hours (11,225 proposed hours – 5,575 currently approved hours) is due to an increase in number of respondents. The additional $17,500 estimated annual cost to respondents accounts for the cost of filing by mail.</w:t>
      </w:r>
    </w:p>
    <w:p w14:paraId="475E41FB" w14:textId="77777777" w:rsidR="00407E96" w:rsidRPr="00837B64" w:rsidRDefault="00407E96">
      <w:pPr>
        <w:rPr>
          <w:rFonts w:ascii="Times New Roman" w:hAnsi="Times New Roman"/>
          <w:bCs/>
          <w:sz w:val="24"/>
          <w:szCs w:val="24"/>
        </w:rPr>
      </w:pPr>
    </w:p>
    <w:p w14:paraId="16D769B1" w14:textId="77777777" w:rsidR="002D4BEF" w:rsidRPr="00837B64" w:rsidRDefault="00E24314" w:rsidP="00E67E4E">
      <w:pPr>
        <w:numPr>
          <w:ilvl w:val="0"/>
          <w:numId w:val="37"/>
        </w:numPr>
        <w:rPr>
          <w:rFonts w:ascii="Times New Roman" w:hAnsi="Times New Roman"/>
          <w:b/>
          <w:sz w:val="24"/>
          <w:szCs w:val="24"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t>PUBLICATION OF RESULTS OF DATA COLLECTION</w:t>
      </w:r>
      <w:r w:rsidRPr="00837B64">
        <w:rPr>
          <w:rFonts w:ascii="Times New Roman" w:hAnsi="Times New Roman"/>
          <w:b/>
          <w:sz w:val="24"/>
          <w:szCs w:val="24"/>
        </w:rPr>
        <w:br/>
      </w:r>
      <w:r w:rsidR="003B0BB0" w:rsidRPr="00837B64">
        <w:rPr>
          <w:rFonts w:ascii="Times New Roman" w:hAnsi="Times New Roman"/>
          <w:sz w:val="24"/>
          <w:szCs w:val="24"/>
        </w:rPr>
        <w:t>The information collected is not intended for publication for statistical purposes.</w:t>
      </w:r>
    </w:p>
    <w:p w14:paraId="1C4CCA06" w14:textId="77777777" w:rsidR="009E2F2D" w:rsidRPr="00837B64" w:rsidRDefault="009E2F2D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  <w:color w:val="auto"/>
        </w:rPr>
      </w:pPr>
    </w:p>
    <w:p w14:paraId="48EF0D1D" w14:textId="77777777" w:rsidR="002D4BEF" w:rsidRPr="00837B64" w:rsidRDefault="00E24314" w:rsidP="00E67E4E">
      <w:pPr>
        <w:pStyle w:val="BodyText3"/>
        <w:numPr>
          <w:ilvl w:val="0"/>
          <w:numId w:val="37"/>
        </w:numPr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outlineLvl w:val="0"/>
        <w:rPr>
          <w:rFonts w:ascii="Times New Roman" w:hAnsi="Times New Roman"/>
          <w:color w:val="auto"/>
          <w:szCs w:val="20"/>
        </w:rPr>
      </w:pPr>
      <w:r w:rsidRPr="00837B64">
        <w:rPr>
          <w:rFonts w:ascii="Times New Roman" w:hAnsi="Times New Roman"/>
          <w:b/>
          <w:bCs/>
          <w:color w:val="auto"/>
          <w:szCs w:val="20"/>
        </w:rPr>
        <w:t>APPROVAL FOR NOT DISPLAYING THE EXPIRATION DATE OF OMB APPROVAL</w:t>
      </w:r>
      <w:r w:rsidRPr="00837B64">
        <w:rPr>
          <w:rFonts w:ascii="Times New Roman" w:hAnsi="Times New Roman"/>
          <w:bCs/>
          <w:color w:val="auto"/>
          <w:szCs w:val="20"/>
          <w:u w:val="single"/>
        </w:rPr>
        <w:br/>
      </w:r>
      <w:r w:rsidR="003B0BB0" w:rsidRPr="00837B64">
        <w:rPr>
          <w:rFonts w:ascii="Times New Roman" w:hAnsi="Times New Roman"/>
          <w:color w:val="auto"/>
        </w:rPr>
        <w:t xml:space="preserve">FMCSA is not seeking approval </w:t>
      </w:r>
      <w:r w:rsidR="008958BF" w:rsidRPr="00837B64">
        <w:rPr>
          <w:rFonts w:ascii="Times New Roman" w:hAnsi="Times New Roman"/>
          <w:color w:val="auto"/>
        </w:rPr>
        <w:t>to not display the expiration date of OMB’s approval of the information.</w:t>
      </w:r>
    </w:p>
    <w:p w14:paraId="15D6EF93" w14:textId="7333514D" w:rsidR="00E24314" w:rsidRPr="00837B64" w:rsidRDefault="00E24314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71B18C4D" w14:textId="77777777" w:rsidR="002D4BEF" w:rsidRPr="00837B64" w:rsidRDefault="00E24314" w:rsidP="00E67E4E">
      <w:pPr>
        <w:numPr>
          <w:ilvl w:val="0"/>
          <w:numId w:val="37"/>
        </w:numPr>
        <w:rPr>
          <w:rFonts w:ascii="Times New Roman" w:hAnsi="Times New Roman"/>
          <w:i/>
        </w:rPr>
      </w:pPr>
      <w:r w:rsidRPr="00837B64">
        <w:rPr>
          <w:rFonts w:ascii="Times New Roman" w:hAnsi="Times New Roman"/>
          <w:b/>
          <w:bCs/>
          <w:sz w:val="24"/>
          <w:szCs w:val="24"/>
        </w:rPr>
        <w:t>EXCEPTIONS TO CERTIFICATION STATEMENT</w:t>
      </w:r>
      <w:r w:rsidRPr="00837B64">
        <w:rPr>
          <w:rFonts w:ascii="Times New Roman" w:hAnsi="Times New Roman"/>
          <w:b/>
          <w:bCs/>
        </w:rPr>
        <w:br/>
      </w:r>
      <w:r w:rsidR="008958BF" w:rsidRPr="00837B64">
        <w:rPr>
          <w:rFonts w:ascii="Times New Roman" w:hAnsi="Times New Roman"/>
          <w:sz w:val="24"/>
          <w:szCs w:val="24"/>
        </w:rPr>
        <w:t>No exceptions to the certification statement are requested.</w:t>
      </w:r>
    </w:p>
    <w:p w14:paraId="43606520" w14:textId="77777777" w:rsidR="002D4BEF" w:rsidRPr="00837B64" w:rsidRDefault="002D4BEF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  <w:bCs/>
          <w:szCs w:val="20"/>
        </w:rPr>
      </w:pPr>
    </w:p>
    <w:p w14:paraId="64145FE7" w14:textId="77777777" w:rsidR="00FE5895" w:rsidRPr="00837B64" w:rsidRDefault="00FE5895">
      <w:pPr>
        <w:pStyle w:val="NormalWeb"/>
        <w:spacing w:before="0" w:beforeAutospacing="0" w:after="0" w:afterAutospacing="0"/>
        <w:ind w:left="360"/>
        <w:rPr>
          <w:rFonts w:ascii="Times New Roman" w:hAnsi="Times New Roman" w:cs="Times New Roman"/>
          <w:bCs/>
          <w:szCs w:val="20"/>
        </w:rPr>
      </w:pPr>
    </w:p>
    <w:p w14:paraId="707B74B7" w14:textId="6E17959B" w:rsidR="00CD7543" w:rsidRPr="00837B64" w:rsidRDefault="00B2051C" w:rsidP="00A72876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837B64">
        <w:rPr>
          <w:rFonts w:ascii="Times New Roman" w:hAnsi="Times New Roman"/>
        </w:rPr>
        <w:t xml:space="preserve"> </w:t>
      </w:r>
    </w:p>
    <w:sectPr w:rsidR="00CD7543" w:rsidRPr="00837B64" w:rsidSect="00194AAB">
      <w:footerReference w:type="default" r:id="rId12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48411" w14:textId="77777777" w:rsidR="008E75E6" w:rsidRDefault="008E75E6">
      <w:r>
        <w:separator/>
      </w:r>
    </w:p>
  </w:endnote>
  <w:endnote w:type="continuationSeparator" w:id="0">
    <w:p w14:paraId="465D0028" w14:textId="77777777" w:rsidR="008E75E6" w:rsidRDefault="008E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171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56FC8" w14:textId="0485B512" w:rsidR="00A72876" w:rsidRDefault="00A728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8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60E55" w14:textId="77777777" w:rsidR="00850B5E" w:rsidRDefault="00850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61B59" w14:textId="77777777" w:rsidR="008E75E6" w:rsidRDefault="008E75E6">
      <w:r>
        <w:separator/>
      </w:r>
    </w:p>
  </w:footnote>
  <w:footnote w:type="continuationSeparator" w:id="0">
    <w:p w14:paraId="5EF97034" w14:textId="77777777" w:rsidR="008E75E6" w:rsidRDefault="008E75E6">
      <w:r>
        <w:continuationSeparator/>
      </w:r>
    </w:p>
  </w:footnote>
  <w:footnote w:id="1">
    <w:p w14:paraId="33D273E9" w14:textId="4C47021E" w:rsidR="00070F87" w:rsidRDefault="00070F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0F87">
        <w:t xml:space="preserve">Bureau of Labor Statistics. Occupational Employment Statistics, May 2016 National Industry-Specific Occupational Employment and Wage Estimates: NAICS 484000 - Truck Transportation, </w:t>
      </w:r>
      <w:hyperlink r:id="rId1" w:anchor="11-0000" w:history="1">
        <w:r w:rsidRPr="00660D19">
          <w:rPr>
            <w:rStyle w:val="Hyperlink"/>
          </w:rPr>
          <w:t>https://www.bls.gov/oes/current/naics3_484000.htm#11-0000</w:t>
        </w:r>
      </w:hyperlink>
      <w:r>
        <w:t xml:space="preserve">. </w:t>
      </w:r>
      <w:r w:rsidRPr="00070F87">
        <w:t xml:space="preserve">Accessed </w:t>
      </w:r>
      <w:r>
        <w:t>September 7</w:t>
      </w:r>
      <w:r w:rsidRPr="00070F87">
        <w:t>, 2017.</w:t>
      </w:r>
    </w:p>
  </w:footnote>
  <w:footnote w:id="2">
    <w:p w14:paraId="52BC6A88" w14:textId="0E60882D" w:rsidR="00070F87" w:rsidRDefault="00070F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0F87">
        <w:t>Bureau of Labor Statistics. “</w:t>
      </w:r>
      <w:r>
        <w:t xml:space="preserve">Employer Costs for Employee Compensation – March 2017, </w:t>
      </w:r>
      <w:hyperlink r:id="rId2" w:history="1">
        <w:r w:rsidRPr="00660D19">
          <w:rPr>
            <w:rStyle w:val="Hyperlink"/>
          </w:rPr>
          <w:t>https://www.bls.gov/news.release/ecec.nr0.htm</w:t>
        </w:r>
      </w:hyperlink>
      <w:r>
        <w:t>.</w:t>
      </w:r>
      <w:r w:rsidRPr="00070F87">
        <w:t xml:space="preserve"> </w:t>
      </w:r>
      <w:r w:rsidR="0003038B">
        <w:t xml:space="preserve">Accessed </w:t>
      </w:r>
      <w:r>
        <w:t>September 7</w:t>
      </w:r>
      <w:r w:rsidRPr="00070F87">
        <w:t>, 2017.</w:t>
      </w:r>
    </w:p>
  </w:footnote>
  <w:footnote w:id="3">
    <w:p w14:paraId="263D5A55" w14:textId="77777777" w:rsidR="001F243E" w:rsidRDefault="001F243E" w:rsidP="001F243E">
      <w:pPr>
        <w:pStyle w:val="FootnoteText"/>
      </w:pPr>
      <w:r>
        <w:rPr>
          <w:rStyle w:val="FootnoteReference"/>
        </w:rPr>
        <w:footnoteRef/>
      </w:r>
      <w:r>
        <w:t xml:space="preserve"> Office of Personnel Management. Salary Table</w:t>
      </w:r>
      <w:r w:rsidRPr="00964E42">
        <w:t xml:space="preserve"> 2018-GS</w:t>
      </w:r>
      <w:r>
        <w:t xml:space="preserve">, </w:t>
      </w:r>
      <w:hyperlink r:id="rId3" w:history="1">
        <w:r w:rsidRPr="00372039">
          <w:rPr>
            <w:rStyle w:val="Hyperlink"/>
          </w:rPr>
          <w:t>www.opm.gov/policy-data-oversight/pay-leave/salaries-wages</w:t>
        </w:r>
      </w:hyperlink>
      <w:r>
        <w:t>. Accessed March 28, 2018.</w:t>
      </w:r>
    </w:p>
  </w:footnote>
  <w:footnote w:id="4">
    <w:p w14:paraId="1ABF39E2" w14:textId="77777777" w:rsidR="001F243E" w:rsidRDefault="001F243E" w:rsidP="001F243E">
      <w:pPr>
        <w:pStyle w:val="FootnoteText"/>
      </w:pPr>
      <w:r>
        <w:rPr>
          <w:rStyle w:val="FootnoteReference"/>
        </w:rPr>
        <w:footnoteRef/>
      </w:r>
      <w:r>
        <w:t xml:space="preserve"> Office of Management and Budget. </w:t>
      </w:r>
      <w:r w:rsidRPr="00F55C6F">
        <w:t>C</w:t>
      </w:r>
      <w:r>
        <w:t xml:space="preserve">ircular No. </w:t>
      </w:r>
      <w:r w:rsidRPr="00F55C6F">
        <w:t>A-76 (</w:t>
      </w:r>
      <w:r>
        <w:t>revised</w:t>
      </w:r>
      <w:r w:rsidRPr="00F55C6F">
        <w:t>)</w:t>
      </w:r>
      <w:r>
        <w:t xml:space="preserve">, </w:t>
      </w:r>
      <w:hyperlink r:id="rId4" w:history="1">
        <w:r w:rsidRPr="00372039">
          <w:rPr>
            <w:rStyle w:val="Hyperlink"/>
          </w:rPr>
          <w:t>www.whitehouse.gov/sites/whitehouse.gov/files/omb/circulars/A76/a76_incl_tech_correction.pdf</w:t>
        </w:r>
      </w:hyperlink>
      <w:r>
        <w:t>. Accessed March 28, 2018.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157"/>
    <w:multiLevelType w:val="hybridMultilevel"/>
    <w:tmpl w:val="F57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0D4F"/>
    <w:multiLevelType w:val="hybridMultilevel"/>
    <w:tmpl w:val="606C8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47289"/>
    <w:multiLevelType w:val="hybridMultilevel"/>
    <w:tmpl w:val="1CF64B70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726DC"/>
    <w:multiLevelType w:val="hybridMultilevel"/>
    <w:tmpl w:val="EAE62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D4007"/>
    <w:multiLevelType w:val="hybridMultilevel"/>
    <w:tmpl w:val="2D9AE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1770F"/>
    <w:multiLevelType w:val="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62B56"/>
    <w:multiLevelType w:val="hybridMultilevel"/>
    <w:tmpl w:val="88CA429E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25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etter Gothic 12cpi" w:eastAsia="Times New Roman" w:hAnsi="Letter Gothic 12cp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5666B"/>
    <w:multiLevelType w:val="hybridMultilevel"/>
    <w:tmpl w:val="8BF81AA8"/>
    <w:lvl w:ilvl="0" w:tplc="F0E4E27A">
      <w:start w:val="14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FD5469"/>
    <w:multiLevelType w:val="hybridMultilevel"/>
    <w:tmpl w:val="CEE60202"/>
    <w:lvl w:ilvl="0" w:tplc="BF46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1BE0AD8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E1962F0"/>
    <w:multiLevelType w:val="hybridMultilevel"/>
    <w:tmpl w:val="4A9A4354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DB4EB5"/>
    <w:multiLevelType w:val="hybridMultilevel"/>
    <w:tmpl w:val="F8602E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3C5446"/>
    <w:multiLevelType w:val="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72F7857"/>
    <w:multiLevelType w:val="hybridMultilevel"/>
    <w:tmpl w:val="04848C16"/>
    <w:lvl w:ilvl="0" w:tplc="B7501A3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9470C"/>
    <w:multiLevelType w:val="hybridMultilevel"/>
    <w:tmpl w:val="B19E7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D26517"/>
    <w:multiLevelType w:val="hybridMultilevel"/>
    <w:tmpl w:val="8D905FF2"/>
    <w:lvl w:ilvl="0" w:tplc="260AD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B75"/>
    <w:multiLevelType w:val="multilevel"/>
    <w:tmpl w:val="3476F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037486"/>
    <w:multiLevelType w:val="hybridMultilevel"/>
    <w:tmpl w:val="D422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D05CD"/>
    <w:multiLevelType w:val="hybridMultilevel"/>
    <w:tmpl w:val="AD787E6C"/>
    <w:lvl w:ilvl="0" w:tplc="679EA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32693A"/>
    <w:multiLevelType w:val="hybridMultilevel"/>
    <w:tmpl w:val="CCBCE9DC"/>
    <w:lvl w:ilvl="0" w:tplc="41C0D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8568A"/>
    <w:multiLevelType w:val="hybridMultilevel"/>
    <w:tmpl w:val="5E2E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0389B"/>
    <w:multiLevelType w:val="hybridMultilevel"/>
    <w:tmpl w:val="9FC0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815F2"/>
    <w:multiLevelType w:val="hybridMultilevel"/>
    <w:tmpl w:val="46106AC0"/>
    <w:lvl w:ilvl="0" w:tplc="D72EBA86">
      <w:start w:val="1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3D3819"/>
    <w:multiLevelType w:val="hybridMultilevel"/>
    <w:tmpl w:val="7DE2B4A0"/>
    <w:lvl w:ilvl="0" w:tplc="FF364A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F13135"/>
    <w:multiLevelType w:val="hybridMultilevel"/>
    <w:tmpl w:val="A16AF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33728"/>
    <w:multiLevelType w:val="hybridMultilevel"/>
    <w:tmpl w:val="4C8C0FF0"/>
    <w:lvl w:ilvl="0" w:tplc="40BA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3B0F5D"/>
    <w:multiLevelType w:val="hybridMultilevel"/>
    <w:tmpl w:val="48B6DE5E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E75076E"/>
    <w:multiLevelType w:val="multilevel"/>
    <w:tmpl w:val="A38A59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0A27CA0"/>
    <w:multiLevelType w:val="hybridMultilevel"/>
    <w:tmpl w:val="0A244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074B3"/>
    <w:multiLevelType w:val="hybridMultilevel"/>
    <w:tmpl w:val="AC26C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6318D6"/>
    <w:multiLevelType w:val="hybridMultilevel"/>
    <w:tmpl w:val="54826F0E"/>
    <w:lvl w:ilvl="0" w:tplc="5BC02BD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03FC3"/>
    <w:multiLevelType w:val="multilevel"/>
    <w:tmpl w:val="CECE51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EE7588"/>
    <w:multiLevelType w:val="hybridMultilevel"/>
    <w:tmpl w:val="8280F3EC"/>
    <w:lvl w:ilvl="0" w:tplc="40BA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4D2D6D"/>
    <w:multiLevelType w:val="hybridMultilevel"/>
    <w:tmpl w:val="C242F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3176"/>
    <w:multiLevelType w:val="hybridMultilevel"/>
    <w:tmpl w:val="DCDC6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060422"/>
    <w:multiLevelType w:val="hybridMultilevel"/>
    <w:tmpl w:val="2678147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AB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B10FB0"/>
    <w:multiLevelType w:val="hybridMultilevel"/>
    <w:tmpl w:val="47087150"/>
    <w:lvl w:ilvl="0" w:tplc="878A4EE4">
      <w:start w:val="1"/>
      <w:numFmt w:val="decimal"/>
      <w:lvlText w:val="%1."/>
      <w:lvlJc w:val="left"/>
      <w:pPr>
        <w:ind w:left="45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512ADA"/>
    <w:multiLevelType w:val="hybridMultilevel"/>
    <w:tmpl w:val="B5225052"/>
    <w:lvl w:ilvl="0" w:tplc="B79C5736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0"/>
  </w:num>
  <w:num w:numId="5">
    <w:abstractNumId w:val="26"/>
  </w:num>
  <w:num w:numId="6">
    <w:abstractNumId w:val="11"/>
  </w:num>
  <w:num w:numId="7">
    <w:abstractNumId w:val="25"/>
  </w:num>
  <w:num w:numId="8">
    <w:abstractNumId w:val="15"/>
  </w:num>
  <w:num w:numId="9">
    <w:abstractNumId w:val="5"/>
  </w:num>
  <w:num w:numId="10">
    <w:abstractNumId w:val="8"/>
  </w:num>
  <w:num w:numId="11">
    <w:abstractNumId w:val="18"/>
  </w:num>
  <w:num w:numId="12">
    <w:abstractNumId w:val="10"/>
  </w:num>
  <w:num w:numId="13">
    <w:abstractNumId w:val="34"/>
  </w:num>
  <w:num w:numId="14">
    <w:abstractNumId w:val="33"/>
  </w:num>
  <w:num w:numId="15">
    <w:abstractNumId w:val="21"/>
  </w:num>
  <w:num w:numId="16">
    <w:abstractNumId w:val="16"/>
  </w:num>
  <w:num w:numId="17">
    <w:abstractNumId w:val="17"/>
  </w:num>
  <w:num w:numId="18">
    <w:abstractNumId w:val="35"/>
  </w:num>
  <w:num w:numId="19">
    <w:abstractNumId w:val="13"/>
  </w:num>
  <w:num w:numId="20">
    <w:abstractNumId w:val="0"/>
  </w:num>
  <w:num w:numId="21">
    <w:abstractNumId w:val="3"/>
  </w:num>
  <w:num w:numId="22">
    <w:abstractNumId w:val="22"/>
  </w:num>
  <w:num w:numId="23">
    <w:abstractNumId w:val="24"/>
  </w:num>
  <w:num w:numId="24">
    <w:abstractNumId w:val="31"/>
  </w:num>
  <w:num w:numId="25">
    <w:abstractNumId w:val="1"/>
  </w:num>
  <w:num w:numId="26">
    <w:abstractNumId w:val="19"/>
  </w:num>
  <w:num w:numId="27">
    <w:abstractNumId w:val="4"/>
  </w:num>
  <w:num w:numId="28">
    <w:abstractNumId w:val="28"/>
  </w:num>
  <w:num w:numId="29">
    <w:abstractNumId w:val="32"/>
  </w:num>
  <w:num w:numId="30">
    <w:abstractNumId w:val="12"/>
  </w:num>
  <w:num w:numId="31">
    <w:abstractNumId w:val="36"/>
  </w:num>
  <w:num w:numId="32">
    <w:abstractNumId w:val="20"/>
  </w:num>
  <w:num w:numId="33">
    <w:abstractNumId w:val="14"/>
  </w:num>
  <w:num w:numId="34">
    <w:abstractNumId w:val="29"/>
  </w:num>
  <w:num w:numId="35">
    <w:abstractNumId w:val="23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5D"/>
    <w:rsid w:val="00003557"/>
    <w:rsid w:val="00010D1B"/>
    <w:rsid w:val="0001369F"/>
    <w:rsid w:val="00015745"/>
    <w:rsid w:val="00017BA0"/>
    <w:rsid w:val="00023821"/>
    <w:rsid w:val="00024AF3"/>
    <w:rsid w:val="0003038B"/>
    <w:rsid w:val="000364D4"/>
    <w:rsid w:val="00037043"/>
    <w:rsid w:val="00041797"/>
    <w:rsid w:val="0004749E"/>
    <w:rsid w:val="00052888"/>
    <w:rsid w:val="00070F87"/>
    <w:rsid w:val="00076259"/>
    <w:rsid w:val="0008270D"/>
    <w:rsid w:val="000B45BF"/>
    <w:rsid w:val="000C50E3"/>
    <w:rsid w:val="000D0A2A"/>
    <w:rsid w:val="000D1072"/>
    <w:rsid w:val="00103851"/>
    <w:rsid w:val="00105F8E"/>
    <w:rsid w:val="0011301C"/>
    <w:rsid w:val="00120101"/>
    <w:rsid w:val="00122512"/>
    <w:rsid w:val="00140D3B"/>
    <w:rsid w:val="00152C82"/>
    <w:rsid w:val="0016476C"/>
    <w:rsid w:val="00165690"/>
    <w:rsid w:val="00167DDF"/>
    <w:rsid w:val="0017628C"/>
    <w:rsid w:val="00176C0D"/>
    <w:rsid w:val="00184758"/>
    <w:rsid w:val="00194AAB"/>
    <w:rsid w:val="001B5984"/>
    <w:rsid w:val="001C201D"/>
    <w:rsid w:val="001C2B34"/>
    <w:rsid w:val="001D2B16"/>
    <w:rsid w:val="001D4111"/>
    <w:rsid w:val="001F06D3"/>
    <w:rsid w:val="001F243E"/>
    <w:rsid w:val="00206FAE"/>
    <w:rsid w:val="00215BDE"/>
    <w:rsid w:val="0022097E"/>
    <w:rsid w:val="00221C4A"/>
    <w:rsid w:val="002631F6"/>
    <w:rsid w:val="0027137A"/>
    <w:rsid w:val="00276C1F"/>
    <w:rsid w:val="0028541F"/>
    <w:rsid w:val="0029422F"/>
    <w:rsid w:val="00296AF9"/>
    <w:rsid w:val="002A7B37"/>
    <w:rsid w:val="002D4BEF"/>
    <w:rsid w:val="002F55E8"/>
    <w:rsid w:val="003104DA"/>
    <w:rsid w:val="00326ADE"/>
    <w:rsid w:val="00346352"/>
    <w:rsid w:val="00350790"/>
    <w:rsid w:val="00353C80"/>
    <w:rsid w:val="00365F0C"/>
    <w:rsid w:val="00384B86"/>
    <w:rsid w:val="00394625"/>
    <w:rsid w:val="003B0BB0"/>
    <w:rsid w:val="003C14DF"/>
    <w:rsid w:val="003C52E8"/>
    <w:rsid w:val="003D550F"/>
    <w:rsid w:val="003E061C"/>
    <w:rsid w:val="003E1CB5"/>
    <w:rsid w:val="00407E96"/>
    <w:rsid w:val="004171AC"/>
    <w:rsid w:val="00427F10"/>
    <w:rsid w:val="004510BE"/>
    <w:rsid w:val="00451E77"/>
    <w:rsid w:val="00454319"/>
    <w:rsid w:val="00470720"/>
    <w:rsid w:val="004716FE"/>
    <w:rsid w:val="004742C3"/>
    <w:rsid w:val="00480D9C"/>
    <w:rsid w:val="004839FD"/>
    <w:rsid w:val="0049118C"/>
    <w:rsid w:val="004A07F7"/>
    <w:rsid w:val="004B62EB"/>
    <w:rsid w:val="004C4BD0"/>
    <w:rsid w:val="004F0682"/>
    <w:rsid w:val="005114C1"/>
    <w:rsid w:val="00515365"/>
    <w:rsid w:val="005214E2"/>
    <w:rsid w:val="005335A3"/>
    <w:rsid w:val="00534C8F"/>
    <w:rsid w:val="00557018"/>
    <w:rsid w:val="005605FE"/>
    <w:rsid w:val="005612EB"/>
    <w:rsid w:val="00565D89"/>
    <w:rsid w:val="00581043"/>
    <w:rsid w:val="005A020F"/>
    <w:rsid w:val="005A28F8"/>
    <w:rsid w:val="005C1F0B"/>
    <w:rsid w:val="005D6588"/>
    <w:rsid w:val="005F76A4"/>
    <w:rsid w:val="006009C8"/>
    <w:rsid w:val="0060475B"/>
    <w:rsid w:val="00607010"/>
    <w:rsid w:val="00630F92"/>
    <w:rsid w:val="00656A88"/>
    <w:rsid w:val="00656E8B"/>
    <w:rsid w:val="006723D2"/>
    <w:rsid w:val="00675A2E"/>
    <w:rsid w:val="006838A1"/>
    <w:rsid w:val="00686EE0"/>
    <w:rsid w:val="00693174"/>
    <w:rsid w:val="006B231B"/>
    <w:rsid w:val="006B4452"/>
    <w:rsid w:val="006B5C1D"/>
    <w:rsid w:val="006B6C46"/>
    <w:rsid w:val="006C714E"/>
    <w:rsid w:val="006E0380"/>
    <w:rsid w:val="00704CEC"/>
    <w:rsid w:val="00706541"/>
    <w:rsid w:val="00715513"/>
    <w:rsid w:val="00720181"/>
    <w:rsid w:val="007446B3"/>
    <w:rsid w:val="007540F8"/>
    <w:rsid w:val="00754FAD"/>
    <w:rsid w:val="007939F7"/>
    <w:rsid w:val="007B3E21"/>
    <w:rsid w:val="007D4508"/>
    <w:rsid w:val="00801C4B"/>
    <w:rsid w:val="00805B22"/>
    <w:rsid w:val="008142A5"/>
    <w:rsid w:val="0081739B"/>
    <w:rsid w:val="00821168"/>
    <w:rsid w:val="00830F5D"/>
    <w:rsid w:val="00837B64"/>
    <w:rsid w:val="0084109F"/>
    <w:rsid w:val="00843717"/>
    <w:rsid w:val="00850B5E"/>
    <w:rsid w:val="008573AE"/>
    <w:rsid w:val="00857EB7"/>
    <w:rsid w:val="00873B8E"/>
    <w:rsid w:val="00887233"/>
    <w:rsid w:val="008940D8"/>
    <w:rsid w:val="008958BF"/>
    <w:rsid w:val="008A19AB"/>
    <w:rsid w:val="008A264F"/>
    <w:rsid w:val="008A59B1"/>
    <w:rsid w:val="008A7F4F"/>
    <w:rsid w:val="008B5870"/>
    <w:rsid w:val="008D34A3"/>
    <w:rsid w:val="008E4E78"/>
    <w:rsid w:val="008E75E6"/>
    <w:rsid w:val="008F2CDB"/>
    <w:rsid w:val="009018E1"/>
    <w:rsid w:val="00902DFA"/>
    <w:rsid w:val="009135E4"/>
    <w:rsid w:val="00915544"/>
    <w:rsid w:val="0091655D"/>
    <w:rsid w:val="00932B5D"/>
    <w:rsid w:val="00952789"/>
    <w:rsid w:val="00953CFD"/>
    <w:rsid w:val="0096077E"/>
    <w:rsid w:val="009676B5"/>
    <w:rsid w:val="00983093"/>
    <w:rsid w:val="009B74DA"/>
    <w:rsid w:val="009D406D"/>
    <w:rsid w:val="009D4F72"/>
    <w:rsid w:val="009E0597"/>
    <w:rsid w:val="009E2F2D"/>
    <w:rsid w:val="009E43F8"/>
    <w:rsid w:val="009E78A2"/>
    <w:rsid w:val="009F142D"/>
    <w:rsid w:val="009F2324"/>
    <w:rsid w:val="009F5F1D"/>
    <w:rsid w:val="00A01187"/>
    <w:rsid w:val="00A016AB"/>
    <w:rsid w:val="00A27DB4"/>
    <w:rsid w:val="00A319AF"/>
    <w:rsid w:val="00A420FD"/>
    <w:rsid w:val="00A4656E"/>
    <w:rsid w:val="00A47427"/>
    <w:rsid w:val="00A57D8D"/>
    <w:rsid w:val="00A60888"/>
    <w:rsid w:val="00A613EE"/>
    <w:rsid w:val="00A72876"/>
    <w:rsid w:val="00A72E59"/>
    <w:rsid w:val="00A82894"/>
    <w:rsid w:val="00AA2982"/>
    <w:rsid w:val="00AC7F26"/>
    <w:rsid w:val="00AD0961"/>
    <w:rsid w:val="00AD4CE3"/>
    <w:rsid w:val="00AD6278"/>
    <w:rsid w:val="00AE41F9"/>
    <w:rsid w:val="00AE45D0"/>
    <w:rsid w:val="00AE63E3"/>
    <w:rsid w:val="00AF3050"/>
    <w:rsid w:val="00AF3475"/>
    <w:rsid w:val="00B003EB"/>
    <w:rsid w:val="00B0693F"/>
    <w:rsid w:val="00B2051C"/>
    <w:rsid w:val="00B22478"/>
    <w:rsid w:val="00B25391"/>
    <w:rsid w:val="00B409E0"/>
    <w:rsid w:val="00B44DBE"/>
    <w:rsid w:val="00B4655A"/>
    <w:rsid w:val="00B5702F"/>
    <w:rsid w:val="00B8451C"/>
    <w:rsid w:val="00B90812"/>
    <w:rsid w:val="00B97360"/>
    <w:rsid w:val="00BA09BD"/>
    <w:rsid w:val="00BA160F"/>
    <w:rsid w:val="00BC7B3C"/>
    <w:rsid w:val="00BD2659"/>
    <w:rsid w:val="00BE6F02"/>
    <w:rsid w:val="00BE7DC7"/>
    <w:rsid w:val="00C02F4D"/>
    <w:rsid w:val="00C0718D"/>
    <w:rsid w:val="00C14920"/>
    <w:rsid w:val="00C234EF"/>
    <w:rsid w:val="00C45F48"/>
    <w:rsid w:val="00C53644"/>
    <w:rsid w:val="00C6031D"/>
    <w:rsid w:val="00C63CF5"/>
    <w:rsid w:val="00C67287"/>
    <w:rsid w:val="00C703E8"/>
    <w:rsid w:val="00C848D5"/>
    <w:rsid w:val="00C872DE"/>
    <w:rsid w:val="00CA5962"/>
    <w:rsid w:val="00CB46D4"/>
    <w:rsid w:val="00CC59BC"/>
    <w:rsid w:val="00CC5A07"/>
    <w:rsid w:val="00CD4CC4"/>
    <w:rsid w:val="00CD69A8"/>
    <w:rsid w:val="00CD7543"/>
    <w:rsid w:val="00CE5423"/>
    <w:rsid w:val="00D52811"/>
    <w:rsid w:val="00D569DC"/>
    <w:rsid w:val="00D661C6"/>
    <w:rsid w:val="00D66968"/>
    <w:rsid w:val="00D826FB"/>
    <w:rsid w:val="00DA4716"/>
    <w:rsid w:val="00DA7BC5"/>
    <w:rsid w:val="00DB1F32"/>
    <w:rsid w:val="00DD5548"/>
    <w:rsid w:val="00DF2482"/>
    <w:rsid w:val="00DF5679"/>
    <w:rsid w:val="00E204D5"/>
    <w:rsid w:val="00E22939"/>
    <w:rsid w:val="00E24314"/>
    <w:rsid w:val="00E674CF"/>
    <w:rsid w:val="00E67E4E"/>
    <w:rsid w:val="00E73C87"/>
    <w:rsid w:val="00E8651D"/>
    <w:rsid w:val="00EB198F"/>
    <w:rsid w:val="00EC5166"/>
    <w:rsid w:val="00ED2703"/>
    <w:rsid w:val="00EE3E79"/>
    <w:rsid w:val="00EF25A9"/>
    <w:rsid w:val="00EF52E4"/>
    <w:rsid w:val="00F358A1"/>
    <w:rsid w:val="00F41C0A"/>
    <w:rsid w:val="00F528EE"/>
    <w:rsid w:val="00F53FB7"/>
    <w:rsid w:val="00F54F6E"/>
    <w:rsid w:val="00F55638"/>
    <w:rsid w:val="00F55C3B"/>
    <w:rsid w:val="00F63897"/>
    <w:rsid w:val="00F7406B"/>
    <w:rsid w:val="00F77AAC"/>
    <w:rsid w:val="00F92057"/>
    <w:rsid w:val="00FA153C"/>
    <w:rsid w:val="00FC24BF"/>
    <w:rsid w:val="00FC7BBF"/>
    <w:rsid w:val="00FE5653"/>
    <w:rsid w:val="00FE5895"/>
    <w:rsid w:val="00FE7FAC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8A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9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73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07E9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C2B34"/>
    <w:pPr>
      <w:ind w:left="720"/>
    </w:pPr>
  </w:style>
  <w:style w:type="character" w:customStyle="1" w:styleId="Heading3Char">
    <w:name w:val="Heading 3 Char"/>
    <w:link w:val="Heading3"/>
    <w:semiHidden/>
    <w:rsid w:val="00A319A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841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1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C1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F0B"/>
  </w:style>
  <w:style w:type="character" w:customStyle="1" w:styleId="CommentTextChar">
    <w:name w:val="Comment Text Char"/>
    <w:basedOn w:val="DefaultParagraphFont"/>
    <w:link w:val="CommentText"/>
    <w:rsid w:val="005C1F0B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5C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F0B"/>
    <w:rPr>
      <w:rFonts w:ascii="Letter Gothic 12cpi" w:hAnsi="Letter Gothic 12cp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72876"/>
    <w:rPr>
      <w:rFonts w:ascii="Letter Gothic 12cpi" w:hAnsi="Letter Gothic 12cpi"/>
    </w:rPr>
  </w:style>
  <w:style w:type="paragraph" w:styleId="FootnoteText">
    <w:name w:val="footnote text"/>
    <w:basedOn w:val="Normal"/>
    <w:link w:val="FootnoteTextChar"/>
    <w:uiPriority w:val="99"/>
    <w:unhideWhenUsed/>
    <w:rsid w:val="00D661C6"/>
  </w:style>
  <w:style w:type="character" w:customStyle="1" w:styleId="FootnoteTextChar">
    <w:name w:val="Footnote Text Char"/>
    <w:basedOn w:val="DefaultParagraphFont"/>
    <w:link w:val="FootnoteText"/>
    <w:uiPriority w:val="99"/>
    <w:rsid w:val="00D661C6"/>
    <w:rPr>
      <w:rFonts w:ascii="Letter Gothic 12cpi" w:hAnsi="Letter Gothic 12cpi"/>
    </w:rPr>
  </w:style>
  <w:style w:type="character" w:styleId="FootnoteReference">
    <w:name w:val="footnote reference"/>
    <w:basedOn w:val="DefaultParagraphFont"/>
    <w:uiPriority w:val="99"/>
    <w:semiHidden/>
    <w:unhideWhenUsed/>
    <w:rsid w:val="00D661C6"/>
    <w:rPr>
      <w:vertAlign w:val="superscript"/>
    </w:rPr>
  </w:style>
  <w:style w:type="paragraph" w:customStyle="1" w:styleId="FMCSATableBody1">
    <w:name w:val="FMCSA Table Body 1"/>
    <w:uiPriority w:val="99"/>
    <w:rsid w:val="008A264F"/>
    <w:pPr>
      <w:spacing w:before="20" w:after="20"/>
    </w:pPr>
    <w:rPr>
      <w:szCs w:val="24"/>
    </w:rPr>
  </w:style>
  <w:style w:type="paragraph" w:customStyle="1" w:styleId="FMCSACaption-Table">
    <w:name w:val="FMCSA Caption-Table"/>
    <w:next w:val="Normal"/>
    <w:uiPriority w:val="99"/>
    <w:rsid w:val="008A264F"/>
    <w:pPr>
      <w:keepNext/>
      <w:keepLines/>
      <w:spacing w:before="240" w:after="120"/>
      <w:jc w:val="center"/>
    </w:pPr>
    <w:rPr>
      <w:b/>
      <w:szCs w:val="24"/>
    </w:rPr>
  </w:style>
  <w:style w:type="table" w:customStyle="1" w:styleId="FMCSATable1Style">
    <w:name w:val="FMCSA Table 1 Style"/>
    <w:basedOn w:val="TableNormal"/>
    <w:uiPriority w:val="99"/>
    <w:rsid w:val="008A264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pPr>
        <w:jc w:val="center"/>
      </w:pPr>
      <w:tblPr/>
      <w:trPr>
        <w:tblHeader/>
      </w:trPr>
      <w:tcPr>
        <w:tcBorders>
          <w:bottom w:val="single" w:sz="12" w:space="0" w:color="auto"/>
        </w:tcBorders>
        <w:shd w:val="clear" w:color="auto" w:fill="E0E0E0"/>
      </w:tcPr>
    </w:tblStylePr>
  </w:style>
  <w:style w:type="paragraph" w:customStyle="1" w:styleId="FMCSATableHead">
    <w:name w:val="FMCSA Table Head"/>
    <w:uiPriority w:val="99"/>
    <w:rsid w:val="008A264F"/>
    <w:pPr>
      <w:keepLines/>
      <w:widowControl w:val="0"/>
      <w:spacing w:before="60" w:after="60"/>
      <w:jc w:val="center"/>
    </w:pPr>
    <w:rPr>
      <w:b/>
      <w:szCs w:val="24"/>
    </w:rPr>
  </w:style>
  <w:style w:type="paragraph" w:styleId="Caption">
    <w:name w:val="caption"/>
    <w:basedOn w:val="Normal"/>
    <w:next w:val="Normal"/>
    <w:unhideWhenUsed/>
    <w:qFormat/>
    <w:rsid w:val="008A264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8A264F"/>
    <w:rPr>
      <w:color w:val="800080" w:themeColor="followedHyperlink"/>
      <w:u w:val="single"/>
    </w:rPr>
  </w:style>
  <w:style w:type="paragraph" w:customStyle="1" w:styleId="FMCSAText1">
    <w:name w:val="FMCSA Text 1"/>
    <w:link w:val="FMCSAText1Char"/>
    <w:uiPriority w:val="99"/>
    <w:qFormat/>
    <w:rsid w:val="008A59B1"/>
    <w:pPr>
      <w:spacing w:after="240"/>
    </w:pPr>
    <w:rPr>
      <w:sz w:val="24"/>
      <w:szCs w:val="24"/>
    </w:rPr>
  </w:style>
  <w:style w:type="character" w:customStyle="1" w:styleId="FMCSAText1Char">
    <w:name w:val="FMCSA Text 1 Char"/>
    <w:link w:val="FMCSAText1"/>
    <w:uiPriority w:val="99"/>
    <w:locked/>
    <w:rsid w:val="008A59B1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59B1"/>
    <w:pPr>
      <w:widowControl/>
      <w:autoSpaceDE/>
      <w:autoSpaceDN/>
      <w:adjustRightInd/>
    </w:pPr>
    <w:rPr>
      <w:rFonts w:ascii="Times New Roman" w:eastAsia="SimSu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9B1"/>
    <w:rPr>
      <w:rFonts w:eastAsia="SimSun"/>
    </w:rPr>
  </w:style>
  <w:style w:type="character" w:styleId="EndnoteReference">
    <w:name w:val="endnote reference"/>
    <w:uiPriority w:val="99"/>
    <w:semiHidden/>
    <w:unhideWhenUsed/>
    <w:rsid w:val="008A59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9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73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07E96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C2B34"/>
    <w:pPr>
      <w:ind w:left="720"/>
    </w:pPr>
  </w:style>
  <w:style w:type="character" w:customStyle="1" w:styleId="Heading3Char">
    <w:name w:val="Heading 3 Char"/>
    <w:link w:val="Heading3"/>
    <w:semiHidden/>
    <w:rsid w:val="00A319A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841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10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C1F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F0B"/>
  </w:style>
  <w:style w:type="character" w:customStyle="1" w:styleId="CommentTextChar">
    <w:name w:val="Comment Text Char"/>
    <w:basedOn w:val="DefaultParagraphFont"/>
    <w:link w:val="CommentText"/>
    <w:rsid w:val="005C1F0B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5C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1F0B"/>
    <w:rPr>
      <w:rFonts w:ascii="Letter Gothic 12cpi" w:hAnsi="Letter Gothic 12cpi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72876"/>
    <w:rPr>
      <w:rFonts w:ascii="Letter Gothic 12cpi" w:hAnsi="Letter Gothic 12cpi"/>
    </w:rPr>
  </w:style>
  <w:style w:type="paragraph" w:styleId="FootnoteText">
    <w:name w:val="footnote text"/>
    <w:basedOn w:val="Normal"/>
    <w:link w:val="FootnoteTextChar"/>
    <w:uiPriority w:val="99"/>
    <w:unhideWhenUsed/>
    <w:rsid w:val="00D661C6"/>
  </w:style>
  <w:style w:type="character" w:customStyle="1" w:styleId="FootnoteTextChar">
    <w:name w:val="Footnote Text Char"/>
    <w:basedOn w:val="DefaultParagraphFont"/>
    <w:link w:val="FootnoteText"/>
    <w:uiPriority w:val="99"/>
    <w:rsid w:val="00D661C6"/>
    <w:rPr>
      <w:rFonts w:ascii="Letter Gothic 12cpi" w:hAnsi="Letter Gothic 12cpi"/>
    </w:rPr>
  </w:style>
  <w:style w:type="character" w:styleId="FootnoteReference">
    <w:name w:val="footnote reference"/>
    <w:basedOn w:val="DefaultParagraphFont"/>
    <w:uiPriority w:val="99"/>
    <w:semiHidden/>
    <w:unhideWhenUsed/>
    <w:rsid w:val="00D661C6"/>
    <w:rPr>
      <w:vertAlign w:val="superscript"/>
    </w:rPr>
  </w:style>
  <w:style w:type="paragraph" w:customStyle="1" w:styleId="FMCSATableBody1">
    <w:name w:val="FMCSA Table Body 1"/>
    <w:uiPriority w:val="99"/>
    <w:rsid w:val="008A264F"/>
    <w:pPr>
      <w:spacing w:before="20" w:after="20"/>
    </w:pPr>
    <w:rPr>
      <w:szCs w:val="24"/>
    </w:rPr>
  </w:style>
  <w:style w:type="paragraph" w:customStyle="1" w:styleId="FMCSACaption-Table">
    <w:name w:val="FMCSA Caption-Table"/>
    <w:next w:val="Normal"/>
    <w:uiPriority w:val="99"/>
    <w:rsid w:val="008A264F"/>
    <w:pPr>
      <w:keepNext/>
      <w:keepLines/>
      <w:spacing w:before="240" w:after="120"/>
      <w:jc w:val="center"/>
    </w:pPr>
    <w:rPr>
      <w:b/>
      <w:szCs w:val="24"/>
    </w:rPr>
  </w:style>
  <w:style w:type="table" w:customStyle="1" w:styleId="FMCSATable1Style">
    <w:name w:val="FMCSA Table 1 Style"/>
    <w:basedOn w:val="TableNormal"/>
    <w:uiPriority w:val="99"/>
    <w:rsid w:val="008A264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pPr>
        <w:jc w:val="center"/>
      </w:pPr>
      <w:tblPr/>
      <w:trPr>
        <w:tblHeader/>
      </w:trPr>
      <w:tcPr>
        <w:tcBorders>
          <w:bottom w:val="single" w:sz="12" w:space="0" w:color="auto"/>
        </w:tcBorders>
        <w:shd w:val="clear" w:color="auto" w:fill="E0E0E0"/>
      </w:tcPr>
    </w:tblStylePr>
  </w:style>
  <w:style w:type="paragraph" w:customStyle="1" w:styleId="FMCSATableHead">
    <w:name w:val="FMCSA Table Head"/>
    <w:uiPriority w:val="99"/>
    <w:rsid w:val="008A264F"/>
    <w:pPr>
      <w:keepLines/>
      <w:widowControl w:val="0"/>
      <w:spacing w:before="60" w:after="60"/>
      <w:jc w:val="center"/>
    </w:pPr>
    <w:rPr>
      <w:b/>
      <w:szCs w:val="24"/>
    </w:rPr>
  </w:style>
  <w:style w:type="paragraph" w:styleId="Caption">
    <w:name w:val="caption"/>
    <w:basedOn w:val="Normal"/>
    <w:next w:val="Normal"/>
    <w:unhideWhenUsed/>
    <w:qFormat/>
    <w:rsid w:val="008A264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8A264F"/>
    <w:rPr>
      <w:color w:val="800080" w:themeColor="followedHyperlink"/>
      <w:u w:val="single"/>
    </w:rPr>
  </w:style>
  <w:style w:type="paragraph" w:customStyle="1" w:styleId="FMCSAText1">
    <w:name w:val="FMCSA Text 1"/>
    <w:link w:val="FMCSAText1Char"/>
    <w:uiPriority w:val="99"/>
    <w:qFormat/>
    <w:rsid w:val="008A59B1"/>
    <w:pPr>
      <w:spacing w:after="240"/>
    </w:pPr>
    <w:rPr>
      <w:sz w:val="24"/>
      <w:szCs w:val="24"/>
    </w:rPr>
  </w:style>
  <w:style w:type="character" w:customStyle="1" w:styleId="FMCSAText1Char">
    <w:name w:val="FMCSA Text 1 Char"/>
    <w:link w:val="FMCSAText1"/>
    <w:uiPriority w:val="99"/>
    <w:locked/>
    <w:rsid w:val="008A59B1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59B1"/>
    <w:pPr>
      <w:widowControl/>
      <w:autoSpaceDE/>
      <w:autoSpaceDN/>
      <w:adjustRightInd/>
    </w:pPr>
    <w:rPr>
      <w:rFonts w:ascii="Times New Roman" w:eastAsia="SimSu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9B1"/>
    <w:rPr>
      <w:rFonts w:eastAsia="SimSun"/>
    </w:rPr>
  </w:style>
  <w:style w:type="character" w:styleId="EndnoteReference">
    <w:name w:val="endnote reference"/>
    <w:uiPriority w:val="99"/>
    <w:semiHidden/>
    <w:unhideWhenUsed/>
    <w:rsid w:val="008A5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3876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8942">
                                  <w:marLeft w:val="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m.gov/policy-data-oversight/pay-leave/salaries-wages" TargetMode="External"/><Relationship Id="rId2" Type="http://schemas.openxmlformats.org/officeDocument/2006/relationships/hyperlink" Target="https://www.bls.gov/news.release/ecec.nr0.htm" TargetMode="External"/><Relationship Id="rId1" Type="http://schemas.openxmlformats.org/officeDocument/2006/relationships/hyperlink" Target="https://www.bls.gov/oes/current/naics3_484000.htm" TargetMode="External"/><Relationship Id="rId4" Type="http://schemas.openxmlformats.org/officeDocument/2006/relationships/hyperlink" Target="http://www.whitehouse.gov/sites/whitehouse.gov/files/omb/circulars/A76/a76_incl_tech_corre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12DC39FF9064D8AB430C793257929" ma:contentTypeVersion="0" ma:contentTypeDescription="Create a new document." ma:contentTypeScope="" ma:versionID="221b066ceaa14a1c9859ed13e924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A659-5E74-42A3-8D7A-CA5721DB5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7D7-6FB3-459F-BFB7-0967F8F5DCDD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D81515A-7A18-4368-ACA0-701B2CEAE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D474E9-E063-40A8-8D1F-BFFFC5DC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AKENNEDY</dc:creator>
  <cp:lastModifiedBy>SYSTEM</cp:lastModifiedBy>
  <cp:revision>2</cp:revision>
  <cp:lastPrinted>2014-09-17T18:44:00Z</cp:lastPrinted>
  <dcterms:created xsi:type="dcterms:W3CDTF">2018-03-29T20:24:00Z</dcterms:created>
  <dcterms:modified xsi:type="dcterms:W3CDTF">2018-03-29T20:24:00Z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0x01010080F12DC39FF9064D8AB430C793257929</vt:lpwstr>
  </property>
</Properties>
</file>