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2C1E09" w:rsidRDefault="002C1E09" w:rsidP="002C1E09">
      <w:r>
        <w:t>RI 38-107 – Verification of Who Is Getting Payments</w:t>
      </w:r>
    </w:p>
    <w:p w:rsidR="002C1E09" w:rsidRDefault="002C1E09" w:rsidP="002C1E09">
      <w:r>
        <w:t>RI 38-147 – Verification of Who Is Getting Payments</w:t>
      </w:r>
    </w:p>
    <w:p w:rsidR="002C1E09" w:rsidRDefault="002C1E09" w:rsidP="002C1E09"/>
    <w:p w:rsidR="00933321" w:rsidRDefault="00933321">
      <w:pPr>
        <w:numPr>
          <w:ilvl w:val="0"/>
          <w:numId w:val="1"/>
        </w:numPr>
      </w:pPr>
      <w:r>
        <w:t>Justification</w:t>
      </w:r>
    </w:p>
    <w:p w:rsidR="00933321" w:rsidRDefault="00933321"/>
    <w:p w:rsidR="00EB14B8" w:rsidRDefault="00EB14B8" w:rsidP="00A46489">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24694" w:rsidRPr="005D641E">
        <w:t>The Federal Employees Retirement System</w:t>
      </w:r>
      <w:r w:rsidR="00D24694">
        <w:t>, the Civil Service Retirement law, the Federal Employees Group Life Insurance Program, and the Federal Employees Health Benefits Program (Chapters 83, 84, 87, and 89 of title 5, U.S. Code) provides for solicitation of the information. The form is used to determine that the proper payment(s) are made to the correct person and to verify that official correspondence is sent to the correct address.</w:t>
      </w:r>
    </w:p>
    <w:p w:rsidR="00933321" w:rsidRDefault="00933321">
      <w:pPr>
        <w:ind w:left="360"/>
      </w:pPr>
    </w:p>
    <w:p w:rsidR="00D24694" w:rsidRDefault="00EB14B8" w:rsidP="00F74509">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24694">
        <w:t xml:space="preserve">Form RI 38-107 is designed for use by the Retirement Inspection Branch when OPM, for any reason, must verify that the entitled person is indeed receiving the monies payable.  RI 38-147 collects the same </w:t>
      </w:r>
      <w:r w:rsidR="00D24694" w:rsidRPr="008007BD">
        <w:t xml:space="preserve">information </w:t>
      </w:r>
      <w:r w:rsidR="00D24694">
        <w:t xml:space="preserve">and is </w:t>
      </w:r>
      <w:r w:rsidR="00D24694" w:rsidRPr="008007BD">
        <w:t xml:space="preserve">used by </w:t>
      </w:r>
      <w:r w:rsidR="00D24694">
        <w:t>o</w:t>
      </w:r>
      <w:r w:rsidR="00D24694" w:rsidRPr="008007BD">
        <w:t>the</w:t>
      </w:r>
      <w:r w:rsidR="00D24694">
        <w:t xml:space="preserve">r groups within </w:t>
      </w:r>
      <w:r w:rsidR="00D24694" w:rsidRPr="008007BD">
        <w:t xml:space="preserve">Retirement </w:t>
      </w:r>
      <w:r w:rsidR="00D24694">
        <w:t>Op</w:t>
      </w:r>
      <w:r w:rsidR="00D24694" w:rsidRPr="008007BD">
        <w:t>e</w:t>
      </w:r>
      <w:r w:rsidR="00D24694">
        <w:t xml:space="preserve">rations for </w:t>
      </w:r>
      <w:r w:rsidR="00D24694" w:rsidRPr="008007BD">
        <w:t xml:space="preserve">determining the proper payee </w:t>
      </w:r>
      <w:r w:rsidR="00D24694">
        <w:t>of the annuity benefit and/or death benefit. Failure to collect this information would cause OPM to pay monies absent the assurance of a correct payee.</w:t>
      </w:r>
    </w:p>
    <w:p w:rsidR="00D24694" w:rsidRDefault="00D24694" w:rsidP="00D24694">
      <w:pPr>
        <w:ind w:left="720"/>
      </w:pPr>
    </w:p>
    <w:p w:rsidR="00D24694" w:rsidRDefault="00D24694" w:rsidP="00D24694">
      <w:pPr>
        <w:ind w:left="720"/>
      </w:pPr>
      <w:r>
        <w:t xml:space="preserve">There are editorial changes to </w:t>
      </w:r>
      <w:r w:rsidR="00E662FB">
        <w:t xml:space="preserve">the </w:t>
      </w:r>
      <w:r w:rsidR="00BC48EC">
        <w:t>form</w:t>
      </w:r>
      <w:r w:rsidR="00E662FB">
        <w:t>s</w:t>
      </w:r>
      <w:r w:rsidR="00BC48EC">
        <w:t xml:space="preserve"> and Public Burden Statement</w:t>
      </w:r>
      <w:r w:rsidR="00E662FB">
        <w:t>s</w:t>
      </w:r>
      <w:r w:rsidR="00BC48EC">
        <w:t xml:space="preserve"> which include the updating of the ZIP code. The Privacy Act Statement has been revised due to a general systematic review by our Chief Privacy Officer</w:t>
      </w:r>
      <w:r>
        <w:t>.</w:t>
      </w:r>
    </w:p>
    <w:p w:rsidR="007D1502" w:rsidRDefault="007D1502" w:rsidP="007D1502">
      <w:pPr>
        <w:ind w:left="360"/>
      </w:pPr>
    </w:p>
    <w:p w:rsidR="00D24694" w:rsidRDefault="00EB14B8" w:rsidP="005C31D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24694" w:rsidRPr="00B5402B">
        <w:t xml:space="preserve">Use of improved information technology to reduce the burden is not practical.  </w:t>
      </w:r>
      <w:r w:rsidR="00D17134">
        <w:br/>
      </w:r>
      <w:r w:rsidR="00D24694" w:rsidRPr="00B5402B">
        <w:t>The information collection is voluntary and must be made in writing.</w:t>
      </w:r>
      <w:r w:rsidR="00D24694">
        <w:t xml:space="preserve">  However, this form is available in a PDF fillable format on our website and meets our GPEA requirements.</w:t>
      </w:r>
    </w:p>
    <w:p w:rsidR="00D24694" w:rsidRDefault="00D24694" w:rsidP="00EB14B8">
      <w:pPr>
        <w:ind w:left="720"/>
      </w:pPr>
    </w:p>
    <w:p w:rsidR="00933321" w:rsidRDefault="00EB14B8" w:rsidP="0021309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24694">
        <w:t>There is no duplication of this information through the use of any other form or process.</w:t>
      </w:r>
    </w:p>
    <w:p w:rsidR="0021309B" w:rsidRDefault="0021309B" w:rsidP="002C1E09">
      <w:pPr>
        <w:ind w:firstLine="720"/>
      </w:pPr>
    </w:p>
    <w:p w:rsidR="00D24694" w:rsidRDefault="009B7453" w:rsidP="0021309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21309B">
        <w:t xml:space="preserve"> </w:t>
      </w:r>
      <w:r w:rsidR="00D24694">
        <w:t>This information collection request has no impact on small businesses and organizations.</w:t>
      </w:r>
    </w:p>
    <w:p w:rsidR="00933321" w:rsidRDefault="00933321"/>
    <w:p w:rsidR="00D24694" w:rsidRDefault="00D24694" w:rsidP="0021309B">
      <w:pPr>
        <w:pStyle w:val="ListParagraph"/>
        <w:numPr>
          <w:ilvl w:val="0"/>
          <w:numId w:val="2"/>
        </w:numPr>
        <w:tabs>
          <w:tab w:val="left" w:pos="-720"/>
        </w:tabs>
        <w:suppressAutoHyphens/>
      </w:pPr>
      <w:r w:rsidRPr="00337437">
        <w:t xml:space="preserve">This information collection </w:t>
      </w:r>
      <w:r>
        <w:t xml:space="preserve">is made when there is a concern that the proper person is not receiving annuity, death benefits or official correspondence. </w:t>
      </w:r>
      <w:r w:rsidRPr="002C1F76">
        <w:t>This information collection is consistent with the guidelines in 5 CFR 1320.6.</w:t>
      </w:r>
    </w:p>
    <w:p w:rsidR="00BF0007" w:rsidRDefault="00BF0007" w:rsidP="009B7453">
      <w:pPr>
        <w:ind w:left="720"/>
      </w:pPr>
    </w:p>
    <w:p w:rsidR="00933321" w:rsidRDefault="00D24694">
      <w:r>
        <w:t xml:space="preserve">  </w:t>
      </w:r>
      <w:r>
        <w:tab/>
      </w:r>
    </w:p>
    <w:p w:rsidR="00BF0007" w:rsidRDefault="002C1E09" w:rsidP="00154D8F">
      <w:pPr>
        <w:pStyle w:val="ListParagraph"/>
        <w:numPr>
          <w:ilvl w:val="0"/>
          <w:numId w:val="2"/>
        </w:numPr>
        <w:tabs>
          <w:tab w:val="left" w:pos="-720"/>
        </w:tabs>
        <w:suppressAutoHyphens/>
      </w:pPr>
      <w:r>
        <w:t>This collection is consistent with the guidelines in 5 CFR 1320.6, except that a response is required within 30 days.  This is necessary to assure that payments go only to the person who is entitled; otherwise, the payment is not authorized by law.</w:t>
      </w:r>
    </w:p>
    <w:p w:rsidR="002C1E09" w:rsidRDefault="002C1E09" w:rsidP="002C1E09">
      <w:pPr>
        <w:ind w:left="720"/>
      </w:pPr>
    </w:p>
    <w:p w:rsidR="00155D6C" w:rsidRDefault="00155D6C" w:rsidP="00832C54">
      <w:pPr>
        <w:pStyle w:val="ListParagraph"/>
        <w:numPr>
          <w:ilvl w:val="0"/>
          <w:numId w:val="2"/>
        </w:numPr>
        <w:tabs>
          <w:tab w:val="left" w:pos="-720"/>
        </w:tabs>
        <w:suppressAutoHyphens/>
      </w:pPr>
      <w:r>
        <w:t>On November 8, 2017, a 60 Day Federal Register Notice was published at 82 FR 51883 requesting comment. No comments were received.</w:t>
      </w:r>
    </w:p>
    <w:p w:rsidR="0009094C" w:rsidRDefault="0009094C" w:rsidP="00155D6C">
      <w:pPr>
        <w:ind w:left="720"/>
      </w:pPr>
    </w:p>
    <w:p w:rsidR="0009094C" w:rsidRDefault="0009094C" w:rsidP="00155D6C">
      <w:pPr>
        <w:ind w:left="720"/>
      </w:pPr>
    </w:p>
    <w:p w:rsidR="0009094C" w:rsidRDefault="0009094C" w:rsidP="00155D6C">
      <w:pPr>
        <w:ind w:left="720"/>
      </w:pPr>
    </w:p>
    <w:p w:rsidR="0009094C" w:rsidRDefault="0009094C" w:rsidP="00155D6C">
      <w:pPr>
        <w:ind w:left="720"/>
      </w:pPr>
    </w:p>
    <w:p w:rsidR="00E54E94" w:rsidRDefault="00E54E94" w:rsidP="00155D6C"/>
    <w:p w:rsidR="00E54E94" w:rsidRPr="00741061" w:rsidRDefault="00BF0007" w:rsidP="00D31B89">
      <w:pPr>
        <w:pStyle w:val="ListParagraph"/>
        <w:numPr>
          <w:ilvl w:val="0"/>
          <w:numId w:val="2"/>
        </w:numPr>
        <w:tabs>
          <w:tab w:val="left" w:pos="-720"/>
        </w:tabs>
        <w:suppressAutoHyphens/>
        <w:ind w:right="-288"/>
      </w:pPr>
      <w:r w:rsidRPr="00741061">
        <w:t>No gifts or payments of any kind have been provided to any individuals who are connected</w:t>
      </w:r>
      <w:r w:rsidR="00D31B89">
        <w:t xml:space="preserve"> </w:t>
      </w:r>
      <w:r w:rsidRPr="00741061">
        <w:t xml:space="preserve"> </w:t>
      </w:r>
      <w:r>
        <w:t xml:space="preserve"> </w:t>
      </w:r>
      <w:r w:rsidRPr="00741061">
        <w:t>to this collection</w:t>
      </w:r>
      <w:r>
        <w:t>.</w:t>
      </w:r>
    </w:p>
    <w:p w:rsidR="00E54E94" w:rsidRDefault="00E54E94" w:rsidP="00E54E94">
      <w:pPr>
        <w:ind w:left="720" w:right="-288"/>
      </w:pPr>
    </w:p>
    <w:p w:rsidR="00BF0007" w:rsidRDefault="00A42C97" w:rsidP="00A42C97">
      <w:pPr>
        <w:pStyle w:val="ListParagraph"/>
        <w:numPr>
          <w:ilvl w:val="0"/>
          <w:numId w:val="2"/>
        </w:numPr>
        <w:tabs>
          <w:tab w:val="left" w:pos="-720"/>
        </w:tabs>
        <w:suppressAutoHyphens/>
        <w:ind w:right="-288"/>
      </w:pPr>
      <w:r>
        <w:t xml:space="preserve"> </w:t>
      </w:r>
      <w:r w:rsidR="00BF0007">
        <w:t xml:space="preserve">This information collection is protected by the Privacy Act of 1974 and OPM regulations (5 CFR 831.106).  The routine uses of disclosure appear in the </w:t>
      </w:r>
      <w:r w:rsidR="00BF0007" w:rsidRPr="00A42C97">
        <w:rPr>
          <w:i/>
        </w:rPr>
        <w:t>Federal Register</w:t>
      </w:r>
      <w:r w:rsidR="00BF0007">
        <w:t xml:space="preserve"> for OPM/Central-1 (73 FR 15013, </w:t>
      </w:r>
      <w:r w:rsidR="00BF0007" w:rsidRPr="00A42C97">
        <w:rPr>
          <w:i/>
        </w:rPr>
        <w:t>et seq</w:t>
      </w:r>
      <w:r w:rsidR="00BF0007">
        <w:t>., March 20, 2008, effective April 21, 2008).</w:t>
      </w:r>
    </w:p>
    <w:p w:rsidR="00933321" w:rsidRDefault="00933321" w:rsidP="00BF0007">
      <w:pPr>
        <w:ind w:left="720"/>
      </w:pPr>
    </w:p>
    <w:p w:rsidR="00E54E94" w:rsidRDefault="00E54E94" w:rsidP="00E54E94"/>
    <w:p w:rsidR="00A10BE7" w:rsidRDefault="00BF0007" w:rsidP="0016135F">
      <w:pPr>
        <w:pStyle w:val="ListParagraph"/>
        <w:numPr>
          <w:ilvl w:val="0"/>
          <w:numId w:val="2"/>
        </w:numPr>
        <w:tabs>
          <w:tab w:val="left" w:pos="-720"/>
        </w:tabs>
        <w:suppressAutoHyphens/>
      </w:pPr>
      <w:r>
        <w:t>This information collection includes questions about the annuitant’s medical condition; this information is considered private and is protected by OPM as described in item 10 above.  The information must be collected, if there is no court-appointed guardian, in order for OPM to determine whether the annuitant is incompetent.  The submission of this information is voluntary.  However, if it is not submitted, OPM cannot determine whether the annuitant needs a representative payee.</w:t>
      </w:r>
    </w:p>
    <w:p w:rsidR="00BF0007" w:rsidRDefault="00BF0007" w:rsidP="00BF0007">
      <w:pPr>
        <w:spacing w:before="240"/>
        <w:ind w:left="720"/>
      </w:pPr>
    </w:p>
    <w:p w:rsidR="00BF0007" w:rsidRDefault="0009094C" w:rsidP="00A968E9">
      <w:pPr>
        <w:pStyle w:val="ListParagraph"/>
        <w:numPr>
          <w:ilvl w:val="0"/>
          <w:numId w:val="2"/>
        </w:numPr>
        <w:tabs>
          <w:tab w:val="left" w:pos="-720"/>
        </w:tabs>
        <w:suppressAutoHyphens/>
      </w:pPr>
      <w:r>
        <w:t xml:space="preserve">The number of respondents to RI 38-107 is 25,000; the number of respondents to </w:t>
      </w:r>
      <w:r w:rsidR="00A968E9">
        <w:br/>
      </w:r>
      <w:r>
        <w:t xml:space="preserve">RI 38-147 is 400.  We estimate it takes 10 minutes to fill out the forms.  The annual burden for RI 38-107 is 4,167 hours; the annual burden for RI 38-147 is 67 hours.  </w:t>
      </w:r>
      <w:r w:rsidR="00A968E9">
        <w:br/>
      </w:r>
      <w:r w:rsidR="004B3601">
        <w:t>The total burden is 4,234 hours.</w:t>
      </w:r>
    </w:p>
    <w:p w:rsidR="004B3601" w:rsidRDefault="004B3601" w:rsidP="006C31CA">
      <w:pPr>
        <w:spacing w:before="240" w:line="80" w:lineRule="exact"/>
        <w:ind w:left="720"/>
      </w:pPr>
    </w:p>
    <w:tbl>
      <w:tblPr>
        <w:tblStyle w:val="TableGrid"/>
        <w:tblW w:w="0" w:type="auto"/>
        <w:tblInd w:w="828" w:type="dxa"/>
        <w:tblLook w:val="04A0" w:firstRow="1" w:lastRow="0" w:firstColumn="1" w:lastColumn="0" w:noHBand="0" w:noVBand="1"/>
      </w:tblPr>
      <w:tblGrid>
        <w:gridCol w:w="1086"/>
        <w:gridCol w:w="995"/>
        <w:gridCol w:w="1244"/>
        <w:gridCol w:w="1178"/>
        <w:gridCol w:w="1087"/>
        <w:gridCol w:w="969"/>
        <w:gridCol w:w="1010"/>
        <w:gridCol w:w="1179"/>
      </w:tblGrid>
      <w:tr w:rsidR="008869F8" w:rsidTr="006C31CA">
        <w:trPr>
          <w:trHeight w:val="938"/>
        </w:trPr>
        <w:tc>
          <w:tcPr>
            <w:tcW w:w="652"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049"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49"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20"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29"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6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BF0007" w:rsidTr="006C31CA">
        <w:trPr>
          <w:trHeight w:val="1024"/>
        </w:trPr>
        <w:tc>
          <w:tcPr>
            <w:tcW w:w="652" w:type="dxa"/>
          </w:tcPr>
          <w:p w:rsidR="00461BF2" w:rsidRPr="008869F8" w:rsidRDefault="00BF0007" w:rsidP="00CD2D6B">
            <w:pPr>
              <w:spacing w:before="240"/>
              <w:rPr>
                <w:sz w:val="18"/>
                <w:szCs w:val="18"/>
              </w:rPr>
            </w:pPr>
            <w:r>
              <w:rPr>
                <w:sz w:val="18"/>
                <w:szCs w:val="18"/>
              </w:rPr>
              <w:t>Verification of Who Is Getting Payments</w:t>
            </w:r>
          </w:p>
        </w:tc>
        <w:tc>
          <w:tcPr>
            <w:tcW w:w="1049" w:type="dxa"/>
          </w:tcPr>
          <w:p w:rsidR="00BF0007" w:rsidRDefault="00BF0007" w:rsidP="00CD2D6B">
            <w:pPr>
              <w:spacing w:before="240"/>
              <w:rPr>
                <w:sz w:val="18"/>
                <w:szCs w:val="18"/>
              </w:rPr>
            </w:pPr>
            <w:r>
              <w:rPr>
                <w:sz w:val="18"/>
                <w:szCs w:val="18"/>
              </w:rPr>
              <w:t xml:space="preserve">RI 38-107 </w:t>
            </w:r>
          </w:p>
          <w:p w:rsidR="00BF0007" w:rsidRPr="008869F8" w:rsidRDefault="00BF0007" w:rsidP="00CD2D6B">
            <w:pPr>
              <w:spacing w:before="240"/>
              <w:rPr>
                <w:sz w:val="18"/>
                <w:szCs w:val="18"/>
              </w:rPr>
            </w:pPr>
          </w:p>
        </w:tc>
        <w:tc>
          <w:tcPr>
            <w:tcW w:w="1249" w:type="dxa"/>
          </w:tcPr>
          <w:p w:rsidR="00F6672F" w:rsidRDefault="00BF0007" w:rsidP="00F6672F">
            <w:pPr>
              <w:spacing w:before="240"/>
              <w:jc w:val="right"/>
              <w:rPr>
                <w:sz w:val="18"/>
                <w:szCs w:val="18"/>
              </w:rPr>
            </w:pPr>
            <w:r>
              <w:rPr>
                <w:sz w:val="18"/>
                <w:szCs w:val="18"/>
              </w:rPr>
              <w:t>25,</w:t>
            </w:r>
            <w:r w:rsidR="00F6672F">
              <w:rPr>
                <w:sz w:val="18"/>
                <w:szCs w:val="18"/>
              </w:rPr>
              <w:t>0</w:t>
            </w:r>
            <w:r>
              <w:rPr>
                <w:sz w:val="18"/>
                <w:szCs w:val="18"/>
              </w:rPr>
              <w:t>00</w:t>
            </w:r>
          </w:p>
          <w:p w:rsidR="00F6672F" w:rsidRPr="008869F8" w:rsidRDefault="00F6672F" w:rsidP="00F6672F">
            <w:pPr>
              <w:jc w:val="right"/>
              <w:rPr>
                <w:sz w:val="18"/>
                <w:szCs w:val="18"/>
              </w:rPr>
            </w:pPr>
          </w:p>
        </w:tc>
        <w:tc>
          <w:tcPr>
            <w:tcW w:w="1190" w:type="dxa"/>
          </w:tcPr>
          <w:p w:rsidR="00BF0007" w:rsidRDefault="00BF0007" w:rsidP="00CD2D6B">
            <w:pPr>
              <w:spacing w:before="240"/>
              <w:jc w:val="right"/>
              <w:rPr>
                <w:sz w:val="18"/>
                <w:szCs w:val="18"/>
              </w:rPr>
            </w:pPr>
            <w:r>
              <w:rPr>
                <w:sz w:val="18"/>
                <w:szCs w:val="18"/>
              </w:rPr>
              <w:t>1</w:t>
            </w:r>
          </w:p>
          <w:p w:rsidR="00F6672F" w:rsidRPr="008869F8" w:rsidRDefault="00F6672F" w:rsidP="00F6672F">
            <w:pPr>
              <w:jc w:val="right"/>
              <w:rPr>
                <w:sz w:val="18"/>
                <w:szCs w:val="18"/>
              </w:rPr>
            </w:pPr>
          </w:p>
        </w:tc>
        <w:tc>
          <w:tcPr>
            <w:tcW w:w="1120" w:type="dxa"/>
          </w:tcPr>
          <w:p w:rsidR="00BF0007" w:rsidRPr="008869F8" w:rsidRDefault="00BF0007" w:rsidP="00461BF2">
            <w:pPr>
              <w:spacing w:before="240"/>
              <w:jc w:val="right"/>
              <w:rPr>
                <w:sz w:val="18"/>
                <w:szCs w:val="18"/>
              </w:rPr>
            </w:pPr>
            <w:r>
              <w:rPr>
                <w:sz w:val="18"/>
                <w:szCs w:val="18"/>
              </w:rPr>
              <w:t>10 minutes</w:t>
            </w:r>
            <w:r w:rsidR="0009094C">
              <w:rPr>
                <w:sz w:val="18"/>
                <w:szCs w:val="18"/>
              </w:rPr>
              <w:br/>
            </w:r>
          </w:p>
        </w:tc>
        <w:tc>
          <w:tcPr>
            <w:tcW w:w="1029" w:type="dxa"/>
          </w:tcPr>
          <w:p w:rsidR="00BF0007" w:rsidRDefault="00BF0007" w:rsidP="00F6672F">
            <w:pPr>
              <w:spacing w:before="240"/>
              <w:jc w:val="right"/>
              <w:rPr>
                <w:sz w:val="18"/>
                <w:szCs w:val="18"/>
              </w:rPr>
            </w:pPr>
            <w:r>
              <w:rPr>
                <w:sz w:val="18"/>
                <w:szCs w:val="18"/>
              </w:rPr>
              <w:t>4,</w:t>
            </w:r>
            <w:r w:rsidR="00F6672F">
              <w:rPr>
                <w:sz w:val="18"/>
                <w:szCs w:val="18"/>
              </w:rPr>
              <w:t>167</w:t>
            </w:r>
          </w:p>
          <w:p w:rsidR="00F6672F" w:rsidRPr="008869F8" w:rsidRDefault="00F6672F" w:rsidP="00F6672F">
            <w:pPr>
              <w:jc w:val="right"/>
              <w:rPr>
                <w:sz w:val="18"/>
                <w:szCs w:val="18"/>
              </w:rPr>
            </w:pPr>
          </w:p>
        </w:tc>
        <w:tc>
          <w:tcPr>
            <w:tcW w:w="1061" w:type="dxa"/>
          </w:tcPr>
          <w:p w:rsidR="00BF0007" w:rsidRDefault="00BF0007" w:rsidP="00CD2D6B">
            <w:pPr>
              <w:spacing w:before="240"/>
              <w:jc w:val="center"/>
              <w:rPr>
                <w:sz w:val="18"/>
                <w:szCs w:val="18"/>
              </w:rPr>
            </w:pPr>
            <w:r>
              <w:rPr>
                <w:sz w:val="18"/>
                <w:szCs w:val="18"/>
              </w:rPr>
              <w:t>$0</w:t>
            </w:r>
          </w:p>
          <w:p w:rsidR="00F6672F" w:rsidRPr="008869F8" w:rsidRDefault="00F6672F" w:rsidP="00F6672F">
            <w:pPr>
              <w:jc w:val="center"/>
              <w:rPr>
                <w:sz w:val="18"/>
                <w:szCs w:val="18"/>
              </w:rPr>
            </w:pPr>
          </w:p>
        </w:tc>
        <w:tc>
          <w:tcPr>
            <w:tcW w:w="1191" w:type="dxa"/>
          </w:tcPr>
          <w:p w:rsidR="00BF0007" w:rsidRDefault="00BF0007" w:rsidP="0009094C">
            <w:pPr>
              <w:spacing w:before="240"/>
              <w:jc w:val="center"/>
              <w:rPr>
                <w:sz w:val="18"/>
                <w:szCs w:val="18"/>
              </w:rPr>
            </w:pPr>
            <w:r>
              <w:rPr>
                <w:sz w:val="18"/>
                <w:szCs w:val="18"/>
              </w:rPr>
              <w:t>$</w:t>
            </w:r>
            <w:r w:rsidR="004C0659">
              <w:rPr>
                <w:sz w:val="18"/>
                <w:szCs w:val="18"/>
              </w:rPr>
              <w:t>0</w:t>
            </w:r>
          </w:p>
          <w:p w:rsidR="00F6672F" w:rsidRDefault="00F6672F" w:rsidP="00F6672F">
            <w:pPr>
              <w:jc w:val="center"/>
              <w:rPr>
                <w:sz w:val="18"/>
                <w:szCs w:val="18"/>
              </w:rPr>
            </w:pPr>
          </w:p>
          <w:p w:rsidR="00461BF2" w:rsidRDefault="00461BF2" w:rsidP="00F6672F">
            <w:pPr>
              <w:jc w:val="center"/>
              <w:rPr>
                <w:sz w:val="18"/>
                <w:szCs w:val="18"/>
              </w:rPr>
            </w:pPr>
          </w:p>
          <w:p w:rsidR="00461BF2" w:rsidRPr="008869F8" w:rsidRDefault="00461BF2" w:rsidP="00461BF2">
            <w:pPr>
              <w:rPr>
                <w:sz w:val="18"/>
                <w:szCs w:val="18"/>
              </w:rPr>
            </w:pPr>
          </w:p>
        </w:tc>
      </w:tr>
      <w:tr w:rsidR="00461BF2" w:rsidTr="006C31CA">
        <w:trPr>
          <w:trHeight w:val="1039"/>
        </w:trPr>
        <w:tc>
          <w:tcPr>
            <w:tcW w:w="652" w:type="dxa"/>
          </w:tcPr>
          <w:p w:rsidR="00461BF2" w:rsidRDefault="00461BF2" w:rsidP="00CD2D6B">
            <w:pPr>
              <w:spacing w:before="240"/>
              <w:rPr>
                <w:sz w:val="18"/>
                <w:szCs w:val="18"/>
              </w:rPr>
            </w:pPr>
            <w:r>
              <w:rPr>
                <w:sz w:val="18"/>
                <w:szCs w:val="18"/>
              </w:rPr>
              <w:t>Verification of Who Is Getting Payments</w:t>
            </w:r>
          </w:p>
        </w:tc>
        <w:tc>
          <w:tcPr>
            <w:tcW w:w="1049" w:type="dxa"/>
          </w:tcPr>
          <w:p w:rsidR="00461BF2" w:rsidRDefault="00461BF2" w:rsidP="00CD2D6B">
            <w:pPr>
              <w:spacing w:before="240"/>
              <w:rPr>
                <w:sz w:val="18"/>
                <w:szCs w:val="18"/>
              </w:rPr>
            </w:pPr>
            <w:r>
              <w:rPr>
                <w:sz w:val="18"/>
                <w:szCs w:val="18"/>
              </w:rPr>
              <w:t>RI 38-147</w:t>
            </w:r>
          </w:p>
        </w:tc>
        <w:tc>
          <w:tcPr>
            <w:tcW w:w="1249" w:type="dxa"/>
          </w:tcPr>
          <w:p w:rsidR="00461BF2" w:rsidRDefault="00461BF2" w:rsidP="00F6672F">
            <w:pPr>
              <w:spacing w:before="240"/>
              <w:jc w:val="right"/>
              <w:rPr>
                <w:sz w:val="18"/>
                <w:szCs w:val="18"/>
              </w:rPr>
            </w:pPr>
            <w:r>
              <w:rPr>
                <w:sz w:val="18"/>
                <w:szCs w:val="18"/>
              </w:rPr>
              <w:t>400</w:t>
            </w:r>
          </w:p>
        </w:tc>
        <w:tc>
          <w:tcPr>
            <w:tcW w:w="1190" w:type="dxa"/>
          </w:tcPr>
          <w:p w:rsidR="00461BF2" w:rsidRDefault="00461BF2" w:rsidP="00CD2D6B">
            <w:pPr>
              <w:spacing w:before="240"/>
              <w:jc w:val="right"/>
              <w:rPr>
                <w:sz w:val="18"/>
                <w:szCs w:val="18"/>
              </w:rPr>
            </w:pPr>
            <w:r>
              <w:rPr>
                <w:sz w:val="18"/>
                <w:szCs w:val="18"/>
              </w:rPr>
              <w:t>1</w:t>
            </w:r>
          </w:p>
        </w:tc>
        <w:tc>
          <w:tcPr>
            <w:tcW w:w="1120" w:type="dxa"/>
          </w:tcPr>
          <w:p w:rsidR="00461BF2" w:rsidRDefault="00461BF2" w:rsidP="00CD2D6B">
            <w:pPr>
              <w:spacing w:before="240"/>
              <w:jc w:val="right"/>
              <w:rPr>
                <w:sz w:val="18"/>
                <w:szCs w:val="18"/>
              </w:rPr>
            </w:pPr>
            <w:r>
              <w:rPr>
                <w:sz w:val="18"/>
                <w:szCs w:val="18"/>
              </w:rPr>
              <w:t>10 minutes</w:t>
            </w:r>
          </w:p>
        </w:tc>
        <w:tc>
          <w:tcPr>
            <w:tcW w:w="1029" w:type="dxa"/>
          </w:tcPr>
          <w:p w:rsidR="00461BF2" w:rsidRDefault="00461BF2" w:rsidP="00F6672F">
            <w:pPr>
              <w:spacing w:before="240"/>
              <w:jc w:val="right"/>
              <w:rPr>
                <w:sz w:val="18"/>
                <w:szCs w:val="18"/>
              </w:rPr>
            </w:pPr>
            <w:r>
              <w:rPr>
                <w:sz w:val="18"/>
                <w:szCs w:val="18"/>
              </w:rPr>
              <w:t>67</w:t>
            </w:r>
          </w:p>
        </w:tc>
        <w:tc>
          <w:tcPr>
            <w:tcW w:w="1061" w:type="dxa"/>
          </w:tcPr>
          <w:p w:rsidR="00461BF2" w:rsidRDefault="00461BF2" w:rsidP="00461BF2">
            <w:pPr>
              <w:spacing w:before="240"/>
              <w:jc w:val="center"/>
              <w:rPr>
                <w:sz w:val="18"/>
                <w:szCs w:val="18"/>
              </w:rPr>
            </w:pPr>
            <w:r>
              <w:rPr>
                <w:sz w:val="18"/>
                <w:szCs w:val="18"/>
              </w:rPr>
              <w:t>$0</w:t>
            </w:r>
          </w:p>
          <w:p w:rsidR="00461BF2" w:rsidRDefault="00461BF2" w:rsidP="00CD2D6B">
            <w:pPr>
              <w:spacing w:before="240"/>
              <w:jc w:val="center"/>
              <w:rPr>
                <w:sz w:val="18"/>
                <w:szCs w:val="18"/>
              </w:rPr>
            </w:pPr>
          </w:p>
        </w:tc>
        <w:tc>
          <w:tcPr>
            <w:tcW w:w="1191" w:type="dxa"/>
          </w:tcPr>
          <w:p w:rsidR="00461BF2" w:rsidRDefault="006D449D" w:rsidP="004C0659">
            <w:pPr>
              <w:spacing w:before="240"/>
              <w:jc w:val="center"/>
              <w:rPr>
                <w:sz w:val="18"/>
                <w:szCs w:val="18"/>
              </w:rPr>
            </w:pPr>
            <w:r>
              <w:rPr>
                <w:sz w:val="18"/>
                <w:szCs w:val="18"/>
              </w:rPr>
              <w:t>$</w:t>
            </w:r>
            <w:r w:rsidR="004C0659">
              <w:rPr>
                <w:sz w:val="18"/>
                <w:szCs w:val="18"/>
              </w:rPr>
              <w:t>0</w:t>
            </w:r>
          </w:p>
          <w:p w:rsidR="004B3601" w:rsidRDefault="004B3601" w:rsidP="004B3601">
            <w:pPr>
              <w:spacing w:before="240"/>
              <w:rPr>
                <w:sz w:val="18"/>
                <w:szCs w:val="18"/>
              </w:rPr>
            </w:pPr>
          </w:p>
        </w:tc>
      </w:tr>
    </w:tbl>
    <w:p w:rsidR="00A10BE7" w:rsidRDefault="004B3601" w:rsidP="006C7DD4">
      <w:pPr>
        <w:pStyle w:val="ListParagraph"/>
        <w:tabs>
          <w:tab w:val="left" w:pos="-720"/>
        </w:tabs>
        <w:suppressAutoHyphens/>
        <w:spacing w:before="960" w:after="240"/>
        <w:ind w:left="0"/>
      </w:pPr>
      <w:r w:rsidRPr="004B3601">
        <w:rPr>
          <w:noProof/>
          <w:sz w:val="18"/>
          <w:szCs w:val="18"/>
        </w:rPr>
        <mc:AlternateContent>
          <mc:Choice Requires="wps">
            <w:drawing>
              <wp:anchor distT="0" distB="0" distL="114300" distR="114300" simplePos="0" relativeHeight="251659264" behindDoc="0" locked="0" layoutInCell="1" allowOverlap="1" wp14:anchorId="6A054367" wp14:editId="66F7B66F">
                <wp:simplePos x="0" y="0"/>
                <wp:positionH relativeFrom="column">
                  <wp:posOffset>371475</wp:posOffset>
                </wp:positionH>
                <wp:positionV relativeFrom="paragraph">
                  <wp:posOffset>108585</wp:posOffset>
                </wp:positionV>
                <wp:extent cx="3781425" cy="390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90525"/>
                        </a:xfrm>
                        <a:prstGeom prst="rect">
                          <a:avLst/>
                        </a:prstGeom>
                        <a:solidFill>
                          <a:srgbClr val="FFFFFF"/>
                        </a:solidFill>
                        <a:ln w="9525">
                          <a:noFill/>
                          <a:miter lim="800000"/>
                          <a:headEnd/>
                          <a:tailEnd/>
                        </a:ln>
                      </wps:spPr>
                      <wps:txbx>
                        <w:txbxContent>
                          <w:p w:rsidR="004B3601" w:rsidRPr="004B3601" w:rsidRDefault="004B3601">
                            <w:r w:rsidRPr="004B3601">
                              <w:t>There is no cost to the respondent.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8.55pt;width:297.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" stroked="f">
                <v:textbox>
                  <w:txbxContent>
                    <w:p w:rsidR="004B3601" w:rsidRPr="004B3601" w:rsidRDefault="004B3601">
                      <w:r w:rsidRPr="004B3601">
                        <w:t>There is no cost to the respondent.</w:t>
                      </w:r>
                    </w:p>
                  </w:txbxContent>
                </v:textbox>
              </v:shape>
            </w:pict>
          </mc:Fallback>
        </mc:AlternateContent>
      </w:r>
      <w:r w:rsidR="006C7DD4">
        <w:t xml:space="preserve">13.   </w:t>
      </w:r>
      <w:r w:rsidR="00BF0007">
        <w:t>There is no change in the respondent burden.</w:t>
      </w:r>
    </w:p>
    <w:p w:rsidR="0009094C" w:rsidRDefault="0009094C" w:rsidP="00106364">
      <w:pPr>
        <w:spacing w:before="240"/>
      </w:pPr>
    </w:p>
    <w:p w:rsidR="00595688" w:rsidRDefault="006C7DD4" w:rsidP="00DC5703">
      <w:pPr>
        <w:tabs>
          <w:tab w:val="left" w:pos="-720"/>
        </w:tabs>
        <w:suppressAutoHyphens/>
      </w:pPr>
      <w:r>
        <w:t xml:space="preserve">14.   </w:t>
      </w:r>
      <w:r w:rsidR="00595688" w:rsidRPr="001A20F3">
        <w:t>Annualized cost to the Federal Government is approximately $15</w:t>
      </w:r>
      <w:r w:rsidR="00595688">
        <w:t>2,600</w:t>
      </w:r>
      <w:r w:rsidR="00595688" w:rsidRPr="001A20F3">
        <w:t>.</w:t>
      </w:r>
      <w:r w:rsidR="00595688">
        <w:t xml:space="preserve"> </w:t>
      </w:r>
      <w:r w:rsidR="00595688" w:rsidRPr="001A20F3">
        <w:t>This cost is derived</w:t>
      </w:r>
      <w:r>
        <w:br/>
        <w:t xml:space="preserve">       </w:t>
      </w:r>
      <w:r w:rsidR="00595688" w:rsidRPr="001A20F3">
        <w:t xml:space="preserve"> from employee salaries, staff hours required to process the forms and the cost of printing,</w:t>
      </w:r>
      <w:r>
        <w:br/>
        <w:t xml:space="preserve">       </w:t>
      </w:r>
      <w:r w:rsidR="00595688" w:rsidRPr="001A20F3">
        <w:t xml:space="preserve"> storing and shipping forms.  </w:t>
      </w:r>
    </w:p>
    <w:p w:rsidR="001743BC" w:rsidRDefault="00155D6C" w:rsidP="00DD7278">
      <w:pPr>
        <w:spacing w:before="240"/>
      </w:pPr>
      <w:r>
        <w:tab/>
      </w:r>
    </w:p>
    <w:p w:rsidR="00602987" w:rsidRDefault="00AB68D3" w:rsidP="00AB68D3">
      <w:pPr>
        <w:pStyle w:val="ListParagraph"/>
        <w:tabs>
          <w:tab w:val="left" w:pos="-720"/>
        </w:tabs>
        <w:suppressAutoHyphens/>
        <w:ind w:left="0"/>
      </w:pPr>
      <w:r>
        <w:t xml:space="preserve">15.  </w:t>
      </w:r>
      <w:r w:rsidR="00602987">
        <w:t>N/A</w:t>
      </w:r>
    </w:p>
    <w:p w:rsidR="00A10BE7" w:rsidRPr="00741061" w:rsidRDefault="00A10BE7" w:rsidP="00DD7278">
      <w:pPr>
        <w:pStyle w:val="ListParagraph"/>
        <w:tabs>
          <w:tab w:val="left" w:pos="-720"/>
        </w:tabs>
        <w:suppressAutoHyphens/>
        <w:ind w:left="0"/>
      </w:pPr>
    </w:p>
    <w:p w:rsidR="00602987" w:rsidRDefault="00AB68D3" w:rsidP="00AB68D3">
      <w:pPr>
        <w:pStyle w:val="ListParagraph"/>
        <w:tabs>
          <w:tab w:val="left" w:pos="-720"/>
        </w:tabs>
        <w:suppressAutoHyphens/>
        <w:ind w:left="0"/>
      </w:pPr>
      <w:r>
        <w:t xml:space="preserve">16.  </w:t>
      </w:r>
      <w:r w:rsidR="00602987" w:rsidRPr="00741061">
        <w:t>No information collected from the form will be published.</w:t>
      </w:r>
    </w:p>
    <w:p w:rsidR="00A10BE7" w:rsidRPr="00741061" w:rsidRDefault="00A10BE7" w:rsidP="00DD7278">
      <w:pPr>
        <w:pStyle w:val="ListParagraph"/>
        <w:ind w:left="0"/>
      </w:pPr>
    </w:p>
    <w:p w:rsidR="00F10BF4" w:rsidRDefault="00711A9B" w:rsidP="00711A9B">
      <w:pPr>
        <w:pStyle w:val="ListParagraph"/>
        <w:tabs>
          <w:tab w:val="left" w:pos="-720"/>
        </w:tabs>
        <w:suppressAutoHyphens/>
        <w:ind w:left="0"/>
      </w:pPr>
      <w:r>
        <w:lastRenderedPageBreak/>
        <w:t xml:space="preserve">17.  </w:t>
      </w:r>
      <w:r w:rsidR="00F10BF4"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F10BF4">
        <w:t xml:space="preserve">rsion. Last year, under current </w:t>
      </w:r>
      <w:r w:rsidR="00F10BF4" w:rsidRPr="0021279C">
        <w:t>practice, Retirement Services printed approximately 2 million documents subject to OMB clearance at a cost of approximately $85,000.  Our costs would rise substantially</w:t>
      </w:r>
      <w:r>
        <w:t xml:space="preserve"> </w:t>
      </w:r>
      <w:r w:rsidR="00F10BF4" w:rsidRPr="0021279C">
        <w:t>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rsidR="00F10BF4">
        <w:t xml:space="preserve">nce expiration date </w:t>
      </w:r>
      <w:r w:rsidR="00F10BF4" w:rsidRPr="0021279C">
        <w:t>on the forms and to communicate version changes to the public v</w:t>
      </w:r>
      <w:r w:rsidR="00F10BF4">
        <w:t>ia the revision date</w:t>
      </w:r>
      <w:r w:rsidR="00F10BF4" w:rsidRPr="0021279C">
        <w:t>.</w:t>
      </w:r>
    </w:p>
    <w:p w:rsidR="00F10BF4" w:rsidRDefault="00F10BF4" w:rsidP="00F10BF4">
      <w:pPr>
        <w:pStyle w:val="ListParagraph"/>
        <w:tabs>
          <w:tab w:val="left" w:pos="-720"/>
        </w:tabs>
        <w:suppressAutoHyphens/>
      </w:pPr>
    </w:p>
    <w:p w:rsidR="00602987" w:rsidRDefault="00711A9B" w:rsidP="00711A9B">
      <w:pPr>
        <w:pStyle w:val="ListParagraph"/>
        <w:tabs>
          <w:tab w:val="left" w:pos="-720"/>
        </w:tabs>
        <w:suppressAutoHyphens/>
        <w:ind w:left="0"/>
      </w:pPr>
      <w:r>
        <w:t xml:space="preserve">18.  </w:t>
      </w:r>
      <w:r w:rsidR="00602987">
        <w:t>There are no exceptions to the certification statement.</w:t>
      </w:r>
    </w:p>
    <w:p w:rsidR="00602987" w:rsidRPr="00741061" w:rsidRDefault="00602987" w:rsidP="00602987"/>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35D5F"/>
    <w:rsid w:val="0009094C"/>
    <w:rsid w:val="00106364"/>
    <w:rsid w:val="00154D8F"/>
    <w:rsid w:val="00155D6C"/>
    <w:rsid w:val="0016135F"/>
    <w:rsid w:val="001743BC"/>
    <w:rsid w:val="001C1788"/>
    <w:rsid w:val="001C66E9"/>
    <w:rsid w:val="0021309B"/>
    <w:rsid w:val="002A25A7"/>
    <w:rsid w:val="002C1E09"/>
    <w:rsid w:val="002C1F76"/>
    <w:rsid w:val="002C52D2"/>
    <w:rsid w:val="003016AB"/>
    <w:rsid w:val="00332AC9"/>
    <w:rsid w:val="0038054F"/>
    <w:rsid w:val="003A2CF7"/>
    <w:rsid w:val="003F0958"/>
    <w:rsid w:val="00433131"/>
    <w:rsid w:val="00461BF2"/>
    <w:rsid w:val="00461DF9"/>
    <w:rsid w:val="004B3601"/>
    <w:rsid w:val="004C0659"/>
    <w:rsid w:val="00513374"/>
    <w:rsid w:val="00561C44"/>
    <w:rsid w:val="00562F7D"/>
    <w:rsid w:val="00595688"/>
    <w:rsid w:val="005C31D5"/>
    <w:rsid w:val="005E031C"/>
    <w:rsid w:val="00602987"/>
    <w:rsid w:val="00665692"/>
    <w:rsid w:val="006C31CA"/>
    <w:rsid w:val="006C7DD4"/>
    <w:rsid w:val="006D449D"/>
    <w:rsid w:val="00711A9B"/>
    <w:rsid w:val="00723DAF"/>
    <w:rsid w:val="007323C2"/>
    <w:rsid w:val="007678A9"/>
    <w:rsid w:val="00785DBB"/>
    <w:rsid w:val="007D1502"/>
    <w:rsid w:val="007E0CA7"/>
    <w:rsid w:val="00806BD1"/>
    <w:rsid w:val="00832C54"/>
    <w:rsid w:val="00836DA1"/>
    <w:rsid w:val="00873583"/>
    <w:rsid w:val="008869F8"/>
    <w:rsid w:val="00933321"/>
    <w:rsid w:val="00993A7C"/>
    <w:rsid w:val="009B7453"/>
    <w:rsid w:val="00A10BE7"/>
    <w:rsid w:val="00A42C97"/>
    <w:rsid w:val="00A46489"/>
    <w:rsid w:val="00A968E9"/>
    <w:rsid w:val="00AB68D3"/>
    <w:rsid w:val="00AE7531"/>
    <w:rsid w:val="00BA1768"/>
    <w:rsid w:val="00BC48EC"/>
    <w:rsid w:val="00BD1CFA"/>
    <w:rsid w:val="00BE181D"/>
    <w:rsid w:val="00BE2F13"/>
    <w:rsid w:val="00BF0007"/>
    <w:rsid w:val="00C34D5B"/>
    <w:rsid w:val="00D17134"/>
    <w:rsid w:val="00D24694"/>
    <w:rsid w:val="00D31B89"/>
    <w:rsid w:val="00DC5703"/>
    <w:rsid w:val="00DD7278"/>
    <w:rsid w:val="00E54E94"/>
    <w:rsid w:val="00E662FB"/>
    <w:rsid w:val="00E7728A"/>
    <w:rsid w:val="00EB14B8"/>
    <w:rsid w:val="00EE35E7"/>
    <w:rsid w:val="00EF5963"/>
    <w:rsid w:val="00F03B3A"/>
    <w:rsid w:val="00F10BF4"/>
    <w:rsid w:val="00F30321"/>
    <w:rsid w:val="00F60B26"/>
    <w:rsid w:val="00F6672F"/>
    <w:rsid w:val="00F74509"/>
    <w:rsid w:val="00F9149F"/>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1C66E9"/>
    <w:rPr>
      <w:rFonts w:ascii="Tahoma" w:hAnsi="Tahoma" w:cs="Tahoma"/>
      <w:sz w:val="16"/>
      <w:szCs w:val="16"/>
    </w:rPr>
  </w:style>
  <w:style w:type="character" w:customStyle="1" w:styleId="BalloonTextChar">
    <w:name w:val="Balloon Text Char"/>
    <w:basedOn w:val="DefaultParagraphFont"/>
    <w:link w:val="BalloonText"/>
    <w:uiPriority w:val="99"/>
    <w:semiHidden/>
    <w:rsid w:val="001C6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1C66E9"/>
    <w:rPr>
      <w:rFonts w:ascii="Tahoma" w:hAnsi="Tahoma" w:cs="Tahoma"/>
      <w:sz w:val="16"/>
      <w:szCs w:val="16"/>
    </w:rPr>
  </w:style>
  <w:style w:type="character" w:customStyle="1" w:styleId="BalloonTextChar">
    <w:name w:val="Balloon Text Char"/>
    <w:basedOn w:val="DefaultParagraphFont"/>
    <w:link w:val="BalloonText"/>
    <w:uiPriority w:val="99"/>
    <w:semiHidden/>
    <w:rsid w:val="001C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2018-02-09T16:08:00Z</cp:lastPrinted>
  <dcterms:created xsi:type="dcterms:W3CDTF">2018-05-31T18:14:00Z</dcterms:created>
  <dcterms:modified xsi:type="dcterms:W3CDTF">2018-05-31T18:14:00Z</dcterms:modified>
</cp:coreProperties>
</file>