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210011" w:rsidRDefault="00334143">
      <w:r>
        <w:t>RI 3</w:t>
      </w:r>
      <w:r w:rsidR="00424681">
        <w:t>4-1</w:t>
      </w:r>
      <w:r w:rsidR="00103FCD">
        <w:t xml:space="preserve"> Financial Resources Questionnaire</w:t>
      </w:r>
    </w:p>
    <w:p w:rsidR="00210011" w:rsidRDefault="00210011">
      <w:r>
        <w:t>RI 34-3 Notice of Amount Due Because of Annuity Overpayment</w:t>
      </w:r>
    </w:p>
    <w:p w:rsidR="00404144" w:rsidRDefault="00424681">
      <w:r>
        <w:t>RI 34-17</w:t>
      </w:r>
      <w:r w:rsidR="00103FCD">
        <w:t xml:space="preserve"> Financial Resources Questionnaire (FEGLI Premiums Underpaid)</w:t>
      </w:r>
    </w:p>
    <w:p w:rsidR="00FB299E" w:rsidRDefault="00FB299E">
      <w:r>
        <w:t>RI 34-18 Financial Resources Questionnaire (FEHB Premiums Underpaid)</w:t>
      </w:r>
    </w:p>
    <w:p w:rsidR="00210011" w:rsidRDefault="00424681">
      <w:r>
        <w:t>RI 34-1</w:t>
      </w:r>
      <w:r w:rsidR="00210011">
        <w:t xml:space="preserve">9 Notice of Amount Due Because of FEGLI Premium Underpayment </w:t>
      </w:r>
    </w:p>
    <w:p w:rsidR="00424681" w:rsidRDefault="00210011">
      <w:r>
        <w:t>RI 34-20 Notice of Amount D</w:t>
      </w:r>
      <w:r w:rsidR="00424681">
        <w:t>ue</w:t>
      </w:r>
      <w:r>
        <w:t xml:space="preserve"> Becau</w:t>
      </w:r>
      <w:r w:rsidR="00424681">
        <w:t>s</w:t>
      </w:r>
      <w:r>
        <w:t xml:space="preserve">e of </w:t>
      </w:r>
      <w:r w:rsidR="00404144">
        <w:t>FEHB Premium Underpa</w:t>
      </w:r>
      <w:r>
        <w:t>yment</w:t>
      </w:r>
    </w:p>
    <w:p w:rsidR="00933321" w:rsidRDefault="00933321"/>
    <w:p w:rsidR="00933321" w:rsidRDefault="00933321">
      <w:pPr>
        <w:numPr>
          <w:ilvl w:val="0"/>
          <w:numId w:val="1"/>
        </w:numPr>
      </w:pPr>
      <w:r>
        <w:t>Justification</w:t>
      </w:r>
    </w:p>
    <w:p w:rsidR="00933321" w:rsidRDefault="00933321"/>
    <w:p w:rsidR="00794BD0" w:rsidRDefault="00EB14B8" w:rsidP="00740EA3">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DB3A4B">
        <w:t xml:space="preserve"> </w:t>
      </w:r>
      <w:r w:rsidR="00BD4294">
        <w:t xml:space="preserve">Title 31, Section 3716, requires aggressive agency action to collect all claims of the United States for money or property arising out of the agency’s internal activity or referred to the agency for action under the Uniform Federal Claims Collection Standards (FCCS) [4 </w:t>
      </w:r>
      <w:smartTag w:uri="urn:schemas-microsoft-com:office:smarttags" w:element="stockticker">
        <w:r w:rsidR="00BD4294">
          <w:t>CFR</w:t>
        </w:r>
      </w:smartTag>
      <w:r w:rsidR="00BD4294">
        <w:t xml:space="preserve"> Parts 101 through 105].  </w:t>
      </w:r>
      <w:r w:rsidR="001C6F6F">
        <w:br/>
      </w:r>
      <w:r w:rsidR="00BD4294">
        <w:t xml:space="preserve">Under FCCS, the Office of Personnel Management (OPM) is required to pursue overpayments through every available mechanism, after providing due process, in order to satisfy the Government’s interest in collecting money owed the Civil Service Retirement and Disability Fund.  In making decisions regarding these collections, OPM is governed by 5 </w:t>
      </w:r>
      <w:smartTag w:uri="urn:schemas-microsoft-com:office:smarttags" w:element="stockticker">
        <w:r w:rsidR="00BD4294">
          <w:t>CFR</w:t>
        </w:r>
      </w:smartTag>
      <w:r w:rsidR="00BD4294">
        <w:t xml:space="preserve">, Part 831, Subparts M and N, Part 845, </w:t>
      </w:r>
      <w:r w:rsidR="001C6F6F">
        <w:br/>
      </w:r>
      <w:r w:rsidR="00E0510C">
        <w:t>Part 870</w:t>
      </w:r>
      <w:r w:rsidR="007707D2">
        <w:t>,</w:t>
      </w:r>
      <w:r w:rsidR="00E0510C">
        <w:t xml:space="preserve"> Subpart D, and Part 890, </w:t>
      </w:r>
      <w:r w:rsidR="00BD4294">
        <w:t>which discuss recovery of overpayments and standards for waiver.  Prior to commencement of collection activity, OPM must inform the annuitant of the overpayment or failure to pay premiums and establish that the money is owed and that the amount owed is mathematically correct.   OPM must give the annuitant the opportunity to request waiver, compromise, termination, or suspension of collection, etc.  The annuitant may want to pay the sum rather than have it collected.  OPM must decide how to handle the transaction based on the annuitant’s response and the personal financial information provided by the annuitant.  In order to make a final decision in these matters and to meet the requirement of the current law and regulation, OPM must request and review information about the person’s current financial circumstances.  This information is necessary so that OPM can make a rational decision regarding the appropriate course of action.</w:t>
      </w:r>
    </w:p>
    <w:p w:rsidR="00BD4294" w:rsidRDefault="00BD4294" w:rsidP="00740EA3">
      <w:pPr>
        <w:ind w:left="720"/>
      </w:pPr>
    </w:p>
    <w:p w:rsidR="00EB5BF5" w:rsidRDefault="00EB14B8" w:rsidP="00740EA3">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EB5BF5">
        <w:t xml:space="preserve">The </w:t>
      </w:r>
      <w:r w:rsidR="00CF5A3E">
        <w:t xml:space="preserve">Notice of Amount Due Because of Annuity Overpayment (RI 34-3); the Notice of Amount Due Because of FEGLI Premium Underpayment (RI 34-19); and the Notice of Amount Due Because of FEHB Premium Underpayment (RI 34-20) </w:t>
      </w:r>
      <w:r w:rsidR="00EB5BF5">
        <w:t xml:space="preserve">are used to notify individuals about overpaid benefits and the intent of OPM to collect the overpayment.  The Financial Resources Questionnaire forms </w:t>
      </w:r>
      <w:r w:rsidR="00CF5A3E">
        <w:t>(RI 34-1</w:t>
      </w:r>
      <w:r w:rsidR="00BD27B4">
        <w:t xml:space="preserve">, </w:t>
      </w:r>
      <w:r w:rsidR="001C6F6F">
        <w:br/>
      </w:r>
      <w:r w:rsidR="00CF5A3E">
        <w:t xml:space="preserve">RI 34-17, and RI 34-18) </w:t>
      </w:r>
      <w:r w:rsidR="00EB5BF5">
        <w:t xml:space="preserve">are used to collect financial data </w:t>
      </w:r>
      <w:r w:rsidR="00CF5A3E">
        <w:t xml:space="preserve">from overpaid individuals.  The information collected is used by OPM </w:t>
      </w:r>
      <w:r w:rsidR="00EB5BF5">
        <w:t>to determine their ability to repay the debt owed to the Civil Service Retirement and Disability Fund</w:t>
      </w:r>
      <w:r w:rsidR="00BA630C">
        <w:t>, the</w:t>
      </w:r>
      <w:r w:rsidR="001769CC" w:rsidRPr="001769CC">
        <w:t xml:space="preserve"> Federal Employees’ Group Life Insurance </w:t>
      </w:r>
      <w:r w:rsidR="001769CC">
        <w:t xml:space="preserve">Trust </w:t>
      </w:r>
      <w:r w:rsidR="001769CC" w:rsidRPr="001769CC">
        <w:t>Fund</w:t>
      </w:r>
      <w:r w:rsidR="001769CC">
        <w:t xml:space="preserve">, and the </w:t>
      </w:r>
      <w:r w:rsidR="00BA630C">
        <w:t>Federal Emp</w:t>
      </w:r>
      <w:r w:rsidR="001769CC">
        <w:t>loyees Health Benefits Trust Fund,</w:t>
      </w:r>
      <w:r w:rsidR="007707D2">
        <w:t xml:space="preserve"> respectively</w:t>
      </w:r>
      <w:r w:rsidR="00EB5BF5">
        <w:t xml:space="preserve">.  </w:t>
      </w:r>
      <w:r w:rsidR="00BA7137">
        <w:t xml:space="preserve">Based on this information and other </w:t>
      </w:r>
      <w:r w:rsidR="007707D2">
        <w:t>material information</w:t>
      </w:r>
      <w:r w:rsidR="00BA7137">
        <w:t xml:space="preserve">, </w:t>
      </w:r>
      <w:r w:rsidR="00CF5A3E">
        <w:t xml:space="preserve">OPM </w:t>
      </w:r>
      <w:r w:rsidR="00794BD0">
        <w:t>m</w:t>
      </w:r>
      <w:r w:rsidR="00BA7137">
        <w:t>ay agree to a waiver, compromise, or adjustment of the collection schedule.</w:t>
      </w:r>
    </w:p>
    <w:p w:rsidR="00773D11" w:rsidRDefault="00773D11" w:rsidP="00740EA3">
      <w:pPr>
        <w:ind w:left="720"/>
      </w:pPr>
    </w:p>
    <w:p w:rsidR="00416F2B" w:rsidRDefault="00773D11" w:rsidP="00740EA3">
      <w:pPr>
        <w:ind w:left="720"/>
      </w:pPr>
      <w:r>
        <w:t>The information requested on RI 34-1 is collected by OPM from persons who owe the United States because of erroneous payments from the Civil Service Retirement and Disability Fund. After discovery of the erroneous payment, OPM uses RI 34-3 to notify the person who received the payment that the overpayment exists</w:t>
      </w:r>
      <w:r w:rsidR="00416F2B">
        <w:t>.  The form provides</w:t>
      </w:r>
      <w:r>
        <w:t xml:space="preserve"> the amount and cause of the overpayment, give</w:t>
      </w:r>
      <w:r w:rsidR="00416F2B">
        <w:t>s</w:t>
      </w:r>
      <w:r>
        <w:t xml:space="preserve"> information about the right to request </w:t>
      </w:r>
      <w:r w:rsidR="00416F2B">
        <w:t xml:space="preserve">reconsideration, waiver, and/or compromise, as well as to request an adjustment in the collection schedule if (1) the person cannot repay in a lump sum and/or (2) the proposed installment collection schedule would cause financial hardship.  RI 34-1 is an enclosure to </w:t>
      </w:r>
      <w:r w:rsidR="001C6F6F">
        <w:br/>
      </w:r>
      <w:r w:rsidR="00416F2B">
        <w:t xml:space="preserve">RI 34-3.  The person uses part 2 of RI 34-3 to inform OPM of his or her request for disposition of the overpayment.  RI 34-1 is used by those wanting to be considered for waiver or compromise, write-off of the overpayment because of an inability to repay the debt because of financial hardship, or an </w:t>
      </w:r>
      <w:r w:rsidR="00416F2B">
        <w:lastRenderedPageBreak/>
        <w:t>adjustment in the proposed collection schedule. OPM needs the detailed information from the RI 34-</w:t>
      </w:r>
      <w:r w:rsidR="003F029C">
        <w:t>1</w:t>
      </w:r>
      <w:r w:rsidR="00740EA3">
        <w:t xml:space="preserve"> to </w:t>
      </w:r>
      <w:r w:rsidR="00416F2B">
        <w:t xml:space="preserve">make an informed decision to waive, accept a compromise, write-off or adjust the collection schedule.  </w:t>
      </w:r>
    </w:p>
    <w:p w:rsidR="00856DAF" w:rsidRDefault="00416F2B" w:rsidP="00740EA3">
      <w:pPr>
        <w:ind w:left="720"/>
      </w:pPr>
      <w:r>
        <w:t xml:space="preserve">RI 34-17 performs the same function as the RI 34-1 and is used for underpayment of life insurance premiums.  Similarly, </w:t>
      </w:r>
      <w:r w:rsidR="00FB299E">
        <w:t>RI 34-18 performs the same function as RI 34-1 and is used for the underpayment of health benefit premiums</w:t>
      </w:r>
      <w:r w:rsidR="00856DAF">
        <w:t xml:space="preserve">. </w:t>
      </w:r>
    </w:p>
    <w:p w:rsidR="00856DAF" w:rsidRDefault="00856DAF" w:rsidP="00740EA3">
      <w:pPr>
        <w:ind w:left="720"/>
      </w:pPr>
    </w:p>
    <w:p w:rsidR="00416F2B" w:rsidRDefault="00416F2B" w:rsidP="00740EA3">
      <w:pPr>
        <w:ind w:left="720"/>
      </w:pPr>
      <w:r>
        <w:t>RI 34-19 performs the same function as RI</w:t>
      </w:r>
      <w:r w:rsidR="00056FE8">
        <w:t xml:space="preserve"> 34-</w:t>
      </w:r>
      <w:r w:rsidR="00856DAF">
        <w:t>3</w:t>
      </w:r>
      <w:r w:rsidR="00056FE8">
        <w:t xml:space="preserve"> and is used for </w:t>
      </w:r>
      <w:r w:rsidR="00FB299E">
        <w:t xml:space="preserve">the </w:t>
      </w:r>
      <w:r w:rsidR="00056FE8">
        <w:t>underpayment of life</w:t>
      </w:r>
      <w:r w:rsidR="00FB299E">
        <w:t xml:space="preserve"> insurance premiums</w:t>
      </w:r>
      <w:r w:rsidR="00056FE8">
        <w:t xml:space="preserve">. RI 34-20 </w:t>
      </w:r>
      <w:r w:rsidR="00856DAF">
        <w:t xml:space="preserve">performs the same function as RI 34-3 and is used </w:t>
      </w:r>
      <w:r w:rsidR="00056FE8">
        <w:t xml:space="preserve">for the underpayment of health insurance premiums.  </w:t>
      </w:r>
    </w:p>
    <w:p w:rsidR="00856DAF" w:rsidRDefault="00856DAF" w:rsidP="00740EA3">
      <w:pPr>
        <w:ind w:left="720"/>
      </w:pPr>
    </w:p>
    <w:p w:rsidR="00856DAF" w:rsidRDefault="00856DAF" w:rsidP="00740EA3">
      <w:pPr>
        <w:ind w:left="720"/>
      </w:pPr>
      <w:r>
        <w:t>Additionally, a minor textual c</w:t>
      </w:r>
      <w:r w:rsidR="00F67B6F">
        <w:t>hange</w:t>
      </w:r>
      <w:r>
        <w:t xml:space="preserve"> </w:t>
      </w:r>
      <w:r w:rsidR="00767C8C">
        <w:t xml:space="preserve">to RI 34-20 </w:t>
      </w:r>
      <w:r>
        <w:t>was made to Section E of “Your Rights Concerning This Underpayment of Premiums</w:t>
      </w:r>
      <w:r w:rsidR="00767C8C">
        <w:t>”</w:t>
      </w:r>
      <w:r>
        <w:t>. Section E</w:t>
      </w:r>
      <w:r w:rsidR="00767C8C">
        <w:t>-FINAL DECISION</w:t>
      </w:r>
      <w:r w:rsidR="007707D2">
        <w:t xml:space="preserve"> </w:t>
      </w:r>
      <w:r>
        <w:t xml:space="preserve">was </w:t>
      </w:r>
      <w:r w:rsidR="00BA630C">
        <w:t>revised</w:t>
      </w:r>
      <w:r>
        <w:t xml:space="preserve"> </w:t>
      </w:r>
      <w:r w:rsidR="00767C8C">
        <w:t xml:space="preserve">to </w:t>
      </w:r>
      <w:r w:rsidR="00BA630C">
        <w:t>comport</w:t>
      </w:r>
      <w:r w:rsidR="00767C8C">
        <w:t xml:space="preserve"> </w:t>
      </w:r>
      <w:r w:rsidR="00BA630C">
        <w:t xml:space="preserve">with </w:t>
      </w:r>
      <w:r w:rsidR="00767C8C">
        <w:t>existing due process language in forms RI 34-3 and 34-19.</w:t>
      </w:r>
      <w:r w:rsidR="00BA630C">
        <w:t xml:space="preserve">  </w:t>
      </w:r>
    </w:p>
    <w:p w:rsidR="00056FE8" w:rsidRDefault="00056FE8" w:rsidP="00740EA3">
      <w:pPr>
        <w:ind w:left="720"/>
      </w:pPr>
    </w:p>
    <w:p w:rsidR="00933321" w:rsidRDefault="007C25B9" w:rsidP="00740EA3">
      <w:pPr>
        <w:ind w:left="720"/>
      </w:pPr>
      <w:r>
        <w:t>There are editorial changes to the Privacy Act Statement (PAS) and the Public Burden Statement (PBS).</w:t>
      </w:r>
    </w:p>
    <w:p w:rsidR="00121BF1" w:rsidRDefault="009233ED" w:rsidP="00740EA3">
      <w:pPr>
        <w:ind w:left="720"/>
      </w:pPr>
      <w:r>
        <w:t>The PAS has been revised due to a generic systematic overview by our Chief Privacy Officer.</w:t>
      </w:r>
    </w:p>
    <w:p w:rsidR="007D1502" w:rsidRDefault="007D1502" w:rsidP="00740EA3">
      <w:pPr>
        <w:ind w:left="360"/>
      </w:pPr>
    </w:p>
    <w:p w:rsidR="00933321" w:rsidRDefault="00EB14B8" w:rsidP="00740EA3">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2A0DE7">
        <w:t>Th</w:t>
      </w:r>
      <w:r w:rsidR="00B5402B" w:rsidRPr="00B5402B">
        <w:t xml:space="preserve">e information </w:t>
      </w:r>
      <w:r w:rsidR="002A0DE7">
        <w:t>collec</w:t>
      </w:r>
      <w:r w:rsidR="00B5402B" w:rsidRPr="00B5402B">
        <w:t>t</w:t>
      </w:r>
      <w:r w:rsidR="002A0DE7">
        <w:t>io</w:t>
      </w:r>
      <w:r w:rsidR="00B5402B" w:rsidRPr="00B5402B">
        <w:t>n</w:t>
      </w:r>
      <w:r w:rsidR="002A0DE7">
        <w:t xml:space="preserve"> is detailed and can only be obtained from the respondents.  New meth</w:t>
      </w:r>
      <w:r w:rsidR="00B5402B" w:rsidRPr="00B5402B">
        <w:t>o</w:t>
      </w:r>
      <w:r w:rsidR="002A0DE7">
        <w:t>ds of information collection technology would do little t</w:t>
      </w:r>
      <w:r w:rsidR="00B5402B" w:rsidRPr="00B5402B">
        <w:t>o</w:t>
      </w:r>
      <w:r w:rsidR="002A0DE7">
        <w:t xml:space="preserve"> </w:t>
      </w:r>
      <w:r w:rsidR="00B5402B" w:rsidRPr="00B5402B">
        <w:t>reduce the burden</w:t>
      </w:r>
      <w:r w:rsidR="002A0DE7">
        <w:t xml:space="preserve"> on the respondents. Under penalty of law, respondents must </w:t>
      </w:r>
      <w:r w:rsidR="00B5402B" w:rsidRPr="00B5402B">
        <w:t>s</w:t>
      </w:r>
      <w:r w:rsidR="002A0DE7">
        <w:t>ign the questionnaire attesting to its truthfulness</w:t>
      </w:r>
      <w:r w:rsidR="00B5402B" w:rsidRPr="00B5402B">
        <w:t xml:space="preserve">.  </w:t>
      </w:r>
      <w:r w:rsidR="00EF5963">
        <w:t xml:space="preserve">However, </w:t>
      </w:r>
      <w:r w:rsidR="00BA7137">
        <w:t xml:space="preserve">RI 34-1 and RI 34-17 are </w:t>
      </w:r>
      <w:r w:rsidR="00EF5963">
        <w:t>available in a PDF fillable format on our website and meet our GPEA requirements.</w:t>
      </w:r>
    </w:p>
    <w:p w:rsidR="00933321" w:rsidRDefault="00933321" w:rsidP="00740EA3">
      <w:pPr>
        <w:ind w:left="360"/>
      </w:pPr>
    </w:p>
    <w:p w:rsidR="00933321" w:rsidRDefault="00EB14B8" w:rsidP="00740EA3">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BA7137">
        <w:t>D</w:t>
      </w:r>
      <w:r w:rsidR="00646B8B">
        <w:t xml:space="preserve">uplication of this information </w:t>
      </w:r>
      <w:r w:rsidR="00BA7137">
        <w:t xml:space="preserve">is minimized. However, up-to-date, similar information certified by the applicant is not available elsewhere. </w:t>
      </w:r>
      <w:r w:rsidR="00646B8B">
        <w:t xml:space="preserve"> </w:t>
      </w:r>
    </w:p>
    <w:p w:rsidR="000A6726" w:rsidRDefault="000A6726" w:rsidP="00740EA3">
      <w:pPr>
        <w:ind w:left="720"/>
      </w:pPr>
    </w:p>
    <w:p w:rsidR="00933321" w:rsidRDefault="009B7453" w:rsidP="00740EA3">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933321" w:rsidRDefault="00933321" w:rsidP="00740EA3"/>
    <w:p w:rsidR="00BA7137" w:rsidRDefault="00BA7137" w:rsidP="00740EA3">
      <w:pPr>
        <w:pStyle w:val="ListParagraph"/>
        <w:numPr>
          <w:ilvl w:val="0"/>
          <w:numId w:val="2"/>
        </w:numPr>
        <w:tabs>
          <w:tab w:val="left" w:pos="-720"/>
        </w:tabs>
        <w:suppressAutoHyphens/>
      </w:pPr>
      <w:r>
        <w:t>If OPM could not collect t</w:t>
      </w:r>
      <w:r w:rsidR="00337437" w:rsidRPr="00337437">
        <w:t>his information</w:t>
      </w:r>
      <w:r>
        <w:t xml:space="preserve">, it would </w:t>
      </w:r>
      <w:r w:rsidR="00FD1AF9">
        <w:t>prevent OPM from carrying out the intent of the Federal Claims Collection Act.</w:t>
      </w:r>
    </w:p>
    <w:p w:rsidR="00BA7137" w:rsidRDefault="00BA7137" w:rsidP="00740EA3">
      <w:pPr>
        <w:ind w:left="720"/>
      </w:pPr>
    </w:p>
    <w:p w:rsidR="00FD1AF9" w:rsidRDefault="00F60B26" w:rsidP="00740EA3">
      <w:pPr>
        <w:pStyle w:val="ListParagraph"/>
        <w:numPr>
          <w:ilvl w:val="0"/>
          <w:numId w:val="2"/>
        </w:numPr>
        <w:tabs>
          <w:tab w:val="left" w:pos="-720"/>
        </w:tabs>
        <w:suppressAutoHyphens/>
      </w:pPr>
      <w:r>
        <w:t xml:space="preserve">There </w:t>
      </w:r>
      <w:r w:rsidR="00507B02">
        <w:t xml:space="preserve">are </w:t>
      </w:r>
      <w:r>
        <w:t>n</w:t>
      </w:r>
      <w:r w:rsidR="00933321">
        <w:t xml:space="preserve">o </w:t>
      </w:r>
      <w:r w:rsidR="00507B02">
        <w:t xml:space="preserve">special </w:t>
      </w:r>
      <w:r w:rsidR="00933321">
        <w:t>c</w:t>
      </w:r>
      <w:r w:rsidR="00507B02">
        <w:t xml:space="preserve">ircumstances that would cause an information collection to be collected in the aforementioned manner. </w:t>
      </w:r>
      <w:r w:rsidR="00FD1AF9">
        <w:t>This information collection is consistent with the guidelines in 5 CFR 1320.6, except that a response is requested within 30 days in order to prevent the continuation of payments to which the respondent may not be entitled.</w:t>
      </w:r>
    </w:p>
    <w:p w:rsidR="00933321" w:rsidRDefault="00933321" w:rsidP="00740EA3">
      <w:pPr>
        <w:ind w:left="720"/>
      </w:pPr>
    </w:p>
    <w:p w:rsidR="00E54E94" w:rsidRDefault="006A1AE6" w:rsidP="00740EA3">
      <w:pPr>
        <w:pStyle w:val="ListParagraph"/>
        <w:numPr>
          <w:ilvl w:val="0"/>
          <w:numId w:val="2"/>
        </w:numPr>
        <w:tabs>
          <w:tab w:val="left" w:pos="-720"/>
        </w:tabs>
        <w:suppressAutoHyphens/>
      </w:pPr>
      <w:r>
        <w:t xml:space="preserve">The information collection was published in the </w:t>
      </w:r>
      <w:r w:rsidR="00E54E94" w:rsidRPr="00741061">
        <w:t xml:space="preserve">Federal Register </w:t>
      </w:r>
      <w:r>
        <w:t xml:space="preserve">on </w:t>
      </w:r>
      <w:r w:rsidR="00574478">
        <w:t>May 4, 2018</w:t>
      </w:r>
      <w:r>
        <w:t xml:space="preserve">.  </w:t>
      </w:r>
      <w:r w:rsidR="00E54E94" w:rsidRPr="00741061">
        <w:t>No</w:t>
      </w:r>
      <w:r>
        <w:t xml:space="preserve"> commen</w:t>
      </w:r>
      <w:r w:rsidR="00E54E94" w:rsidRPr="00741061">
        <w:t>t</w:t>
      </w:r>
      <w:r>
        <w:t>s were re</w:t>
      </w:r>
      <w:r w:rsidR="00E54E94" w:rsidRPr="00741061">
        <w:t>cei</w:t>
      </w:r>
      <w:r>
        <w:t>ve</w:t>
      </w:r>
      <w:r w:rsidR="00E54E94" w:rsidRPr="00741061">
        <w:t>d</w:t>
      </w:r>
      <w:r>
        <w:t xml:space="preserve">. </w:t>
      </w:r>
      <w:r w:rsidR="00E54E94" w:rsidRPr="00741061">
        <w:t xml:space="preserve">  </w:t>
      </w:r>
    </w:p>
    <w:p w:rsidR="006A1AE6" w:rsidRDefault="006A1AE6" w:rsidP="00740EA3">
      <w:pPr>
        <w:ind w:left="720"/>
      </w:pPr>
    </w:p>
    <w:p w:rsidR="00E54E94" w:rsidRPr="00741061" w:rsidRDefault="00E54E94" w:rsidP="00740EA3">
      <w:pPr>
        <w:pStyle w:val="ListParagraph"/>
        <w:numPr>
          <w:ilvl w:val="0"/>
          <w:numId w:val="2"/>
        </w:numPr>
        <w:tabs>
          <w:tab w:val="left" w:pos="-720"/>
        </w:tabs>
        <w:suppressAutoHyphens/>
        <w:ind w:right="-288"/>
      </w:pPr>
      <w:r w:rsidRPr="00741061">
        <w:t>No gift or payment</w:t>
      </w:r>
      <w:r w:rsidR="00734593">
        <w:t xml:space="preserve"> is awarded respondents based on return of this form</w:t>
      </w:r>
      <w:r w:rsidRPr="00741061">
        <w:t>.</w:t>
      </w:r>
    </w:p>
    <w:p w:rsidR="00E54E94" w:rsidRDefault="00E54E94" w:rsidP="00740EA3">
      <w:pPr>
        <w:ind w:left="720" w:right="-288"/>
      </w:pPr>
    </w:p>
    <w:p w:rsidR="00E54E94" w:rsidRDefault="00DB3A4B" w:rsidP="00740EA3">
      <w:pPr>
        <w:pStyle w:val="ListParagraph"/>
        <w:numPr>
          <w:ilvl w:val="0"/>
          <w:numId w:val="2"/>
        </w:numPr>
        <w:tabs>
          <w:tab w:val="left" w:pos="-720"/>
        </w:tabs>
        <w:suppressAutoHyphens/>
        <w:ind w:right="-288"/>
      </w:pPr>
      <w:r>
        <w:t xml:space="preserve"> </w:t>
      </w:r>
      <w:r w:rsidR="00E54E94">
        <w:t xml:space="preserve">This information collection is protected by the Privacy Act of 1974 and OPM regulations (5 CFR 831.106).  The routine uses of disclosure appear in the </w:t>
      </w:r>
      <w:r w:rsidR="00E54E94" w:rsidRPr="00740EA3">
        <w:rPr>
          <w:i/>
        </w:rPr>
        <w:t>Federal Register</w:t>
      </w:r>
      <w:r w:rsidR="00E54E94">
        <w:t xml:space="preserve"> for OPM/Central-1 (73 FR 15013, </w:t>
      </w:r>
      <w:r w:rsidR="00E54E94" w:rsidRPr="00740EA3">
        <w:rPr>
          <w:i/>
        </w:rPr>
        <w:t>et seq</w:t>
      </w:r>
      <w:r w:rsidR="00E54E94">
        <w:t>., March 20, 2008, effective April 21, 2008).</w:t>
      </w:r>
    </w:p>
    <w:p w:rsidR="00E54E94" w:rsidRDefault="00E54E94" w:rsidP="00740EA3"/>
    <w:p w:rsidR="00F2619F" w:rsidRDefault="001C1009" w:rsidP="00740EA3">
      <w:pPr>
        <w:pStyle w:val="ListParagraph"/>
        <w:numPr>
          <w:ilvl w:val="0"/>
          <w:numId w:val="2"/>
        </w:numPr>
        <w:tabs>
          <w:tab w:val="left" w:pos="-720"/>
        </w:tabs>
        <w:suppressAutoHyphens/>
      </w:pPr>
      <w:r>
        <w:t>This information collection does not include questions of a sensitive nature, such as sexual behavior and attitudes, religious beliefs, and other matters that are commonly considered private.  However, detailed financial information is collected so that OPM can make a reasonable decision about the debtor’s ability to repay.</w:t>
      </w:r>
    </w:p>
    <w:p w:rsidR="00F2619F" w:rsidRDefault="00F2619F" w:rsidP="00F2619F">
      <w:pPr>
        <w:pStyle w:val="ListParagraph"/>
        <w:tabs>
          <w:tab w:val="left" w:pos="-720"/>
        </w:tabs>
        <w:suppressAutoHyphens/>
      </w:pPr>
    </w:p>
    <w:p w:rsidR="00740EA3" w:rsidRDefault="00A10BE7" w:rsidP="00740EA3">
      <w:pPr>
        <w:pStyle w:val="ListParagraph"/>
        <w:numPr>
          <w:ilvl w:val="0"/>
          <w:numId w:val="2"/>
        </w:numPr>
        <w:tabs>
          <w:tab w:val="left" w:pos="-720"/>
        </w:tabs>
        <w:suppressAutoHyphens/>
      </w:pPr>
      <w:r>
        <w:t xml:space="preserve">Approximately </w:t>
      </w:r>
      <w:r w:rsidR="0006222E">
        <w:t>45</w:t>
      </w:r>
      <w:r w:rsidR="00257B32">
        <w:t>0</w:t>
      </w:r>
      <w:r>
        <w:t xml:space="preserve"> </w:t>
      </w:r>
      <w:r w:rsidR="00AC0D30">
        <w:t xml:space="preserve">RI 34-1 </w:t>
      </w:r>
      <w:r>
        <w:t xml:space="preserve">forms </w:t>
      </w:r>
      <w:r w:rsidR="00AC0D30">
        <w:t xml:space="preserve">are completed each </w:t>
      </w:r>
      <w:r w:rsidR="006A1AE6">
        <w:t xml:space="preserve">year; approximately 70 forms </w:t>
      </w:r>
      <w:r w:rsidR="00580F7B">
        <w:t xml:space="preserve">each of </w:t>
      </w:r>
      <w:r w:rsidR="006A1AE6">
        <w:t>RI 34-</w:t>
      </w:r>
    </w:p>
    <w:p w:rsidR="00740EA3" w:rsidRDefault="00740EA3" w:rsidP="00740EA3">
      <w:pPr>
        <w:tabs>
          <w:tab w:val="left" w:pos="-720"/>
        </w:tabs>
        <w:suppressAutoHyphens/>
      </w:pPr>
      <w:r>
        <w:t xml:space="preserve">           </w:t>
      </w:r>
      <w:r w:rsidR="006A1AE6">
        <w:t xml:space="preserve">17 </w:t>
      </w:r>
      <w:r w:rsidR="00580F7B">
        <w:t xml:space="preserve">and RI 34-18 </w:t>
      </w:r>
      <w:r w:rsidR="006A1AE6">
        <w:t>are completed each year.  Approximately 1,351 form</w:t>
      </w:r>
      <w:r w:rsidR="00DA2E58">
        <w:t>s of</w:t>
      </w:r>
      <w:r w:rsidR="006A1AE6">
        <w:t xml:space="preserve"> RI 34-3 are completed </w:t>
      </w:r>
    </w:p>
    <w:p w:rsidR="00740EA3" w:rsidRDefault="00740EA3" w:rsidP="00740EA3">
      <w:pPr>
        <w:tabs>
          <w:tab w:val="left" w:pos="-720"/>
        </w:tabs>
        <w:suppressAutoHyphens/>
      </w:pPr>
      <w:r>
        <w:lastRenderedPageBreak/>
        <w:t xml:space="preserve">           </w:t>
      </w:r>
      <w:r w:rsidR="006A1AE6">
        <w:t>annually; approximately 210 form</w:t>
      </w:r>
      <w:r w:rsidR="00821CB3">
        <w:t>s of</w:t>
      </w:r>
      <w:r w:rsidR="00FB299E">
        <w:t xml:space="preserve"> RI 34-1</w:t>
      </w:r>
      <w:r w:rsidR="00580F7B">
        <w:t>9</w:t>
      </w:r>
      <w:r w:rsidR="00FB299E">
        <w:t xml:space="preserve"> and </w:t>
      </w:r>
      <w:r w:rsidR="006A1AE6">
        <w:t>RI 34-</w:t>
      </w:r>
      <w:r w:rsidR="00580F7B">
        <w:t xml:space="preserve">20 </w:t>
      </w:r>
      <w:r w:rsidR="006A1AE6">
        <w:t xml:space="preserve">are completed </w:t>
      </w:r>
      <w:r w:rsidR="00A10BE7">
        <w:t xml:space="preserve">annually.  </w:t>
      </w:r>
      <w:r w:rsidR="006A1AE6">
        <w:t xml:space="preserve">A response time </w:t>
      </w:r>
      <w:r>
        <w:t xml:space="preserve"> </w:t>
      </w:r>
    </w:p>
    <w:p w:rsidR="00740EA3" w:rsidRDefault="00740EA3" w:rsidP="00740EA3">
      <w:pPr>
        <w:tabs>
          <w:tab w:val="left" w:pos="-720"/>
        </w:tabs>
        <w:suppressAutoHyphens/>
      </w:pPr>
      <w:r>
        <w:t xml:space="preserve">           </w:t>
      </w:r>
      <w:r w:rsidR="006A1AE6">
        <w:t xml:space="preserve">of one hour is estimated for each </w:t>
      </w:r>
      <w:r w:rsidR="00933321">
        <w:t>form</w:t>
      </w:r>
      <w:r w:rsidR="006A1AE6">
        <w:t>. Burden of 450 hours for RI 34-1</w:t>
      </w:r>
      <w:r w:rsidR="006E585C">
        <w:t>;</w:t>
      </w:r>
      <w:r w:rsidR="006A1AE6">
        <w:t xml:space="preserve"> 70 hours </w:t>
      </w:r>
      <w:r w:rsidR="00D301A0">
        <w:t xml:space="preserve">each </w:t>
      </w:r>
      <w:r w:rsidR="006A1AE6">
        <w:t>for RI 34-17</w:t>
      </w:r>
      <w:r w:rsidR="00D301A0">
        <w:t xml:space="preserve"> and </w:t>
      </w:r>
      <w:r>
        <w:t xml:space="preserve">   </w:t>
      </w:r>
    </w:p>
    <w:p w:rsidR="00740EA3" w:rsidRDefault="00740EA3" w:rsidP="00740EA3">
      <w:pPr>
        <w:tabs>
          <w:tab w:val="left" w:pos="-720"/>
        </w:tabs>
        <w:suppressAutoHyphens/>
      </w:pPr>
      <w:r>
        <w:t xml:space="preserve">           </w:t>
      </w:r>
      <w:r w:rsidR="00D301A0">
        <w:t xml:space="preserve">RI 34-18; </w:t>
      </w:r>
      <w:r w:rsidR="006A1AE6">
        <w:t>1,351 hours for RI 34-3; and 210 hours for RI 34-19</w:t>
      </w:r>
      <w:r w:rsidR="00821CB3">
        <w:t xml:space="preserve"> and RI 34-20</w:t>
      </w:r>
      <w:r w:rsidR="006A1AE6">
        <w:t xml:space="preserve"> equals 2,</w:t>
      </w:r>
      <w:r w:rsidR="00580F7B">
        <w:t>36</w:t>
      </w:r>
      <w:r w:rsidR="006A1AE6">
        <w:t xml:space="preserve">1 hours and is </w:t>
      </w:r>
    </w:p>
    <w:p w:rsidR="00EE35E7" w:rsidRDefault="00740EA3" w:rsidP="00740EA3">
      <w:pPr>
        <w:tabs>
          <w:tab w:val="left" w:pos="-720"/>
        </w:tabs>
        <w:suppressAutoHyphens/>
      </w:pPr>
      <w:r>
        <w:t xml:space="preserve">           </w:t>
      </w:r>
      <w:r w:rsidR="006A1AE6">
        <w:t xml:space="preserve">not expected </w:t>
      </w:r>
      <w:r>
        <w:t xml:space="preserve"> </w:t>
      </w:r>
      <w:r w:rsidR="006A1AE6">
        <w:t>to vary substantially.</w:t>
      </w:r>
      <w:r w:rsidR="00A10BE7" w:rsidRPr="00A10BE7">
        <w:t xml:space="preserve"> </w:t>
      </w:r>
      <w:r w:rsidR="00EE35E7">
        <w:br/>
      </w:r>
    </w:p>
    <w:tbl>
      <w:tblPr>
        <w:tblStyle w:val="TableGrid"/>
        <w:tblW w:w="0" w:type="auto"/>
        <w:tblInd w:w="720" w:type="dxa"/>
        <w:tblLook w:val="04A0" w:firstRow="1" w:lastRow="0" w:firstColumn="1" w:lastColumn="0" w:noHBand="0" w:noVBand="1"/>
      </w:tblPr>
      <w:tblGrid>
        <w:gridCol w:w="1277"/>
        <w:gridCol w:w="985"/>
        <w:gridCol w:w="1230"/>
        <w:gridCol w:w="1165"/>
        <w:gridCol w:w="959"/>
        <w:gridCol w:w="1000"/>
        <w:gridCol w:w="1165"/>
      </w:tblGrid>
      <w:tr w:rsidR="00CC29AA" w:rsidTr="00CC29AA">
        <w:tc>
          <w:tcPr>
            <w:tcW w:w="1277"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Form Name</w:t>
            </w:r>
          </w:p>
        </w:tc>
        <w:tc>
          <w:tcPr>
            <w:tcW w:w="985"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No. of Respondents</w:t>
            </w:r>
          </w:p>
        </w:tc>
        <w:tc>
          <w:tcPr>
            <w:tcW w:w="1165"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959"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000"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65" w:type="dxa"/>
            <w:shd w:val="clear" w:color="auto" w:fill="D9D9D9" w:themeFill="background1" w:themeFillShade="D9"/>
          </w:tcPr>
          <w:p w:rsidR="00CC29AA" w:rsidRPr="008869F8" w:rsidRDefault="00CC29AA" w:rsidP="00EE35E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CC29AA" w:rsidTr="00CC29AA">
        <w:tc>
          <w:tcPr>
            <w:tcW w:w="1277" w:type="dxa"/>
          </w:tcPr>
          <w:p w:rsidR="00CC29AA" w:rsidRDefault="00CC29AA" w:rsidP="006E585C">
            <w:pPr>
              <w:rPr>
                <w:sz w:val="18"/>
                <w:szCs w:val="18"/>
              </w:rPr>
            </w:pPr>
            <w:r>
              <w:rPr>
                <w:sz w:val="18"/>
                <w:szCs w:val="18"/>
              </w:rPr>
              <w:t>Financial Resources Questionnaire;</w:t>
            </w:r>
          </w:p>
          <w:p w:rsidR="00CC29AA" w:rsidRDefault="00CC29AA" w:rsidP="006E585C">
            <w:pPr>
              <w:rPr>
                <w:sz w:val="18"/>
                <w:szCs w:val="18"/>
              </w:rPr>
            </w:pPr>
          </w:p>
          <w:p w:rsidR="00CC29AA" w:rsidRPr="008869F8" w:rsidRDefault="00CC29AA" w:rsidP="00CC29AA">
            <w:pPr>
              <w:rPr>
                <w:sz w:val="18"/>
                <w:szCs w:val="18"/>
              </w:rPr>
            </w:pPr>
            <w:r>
              <w:rPr>
                <w:sz w:val="18"/>
                <w:szCs w:val="18"/>
              </w:rPr>
              <w:t>Notice of Amount Due Because…</w:t>
            </w:r>
          </w:p>
        </w:tc>
        <w:tc>
          <w:tcPr>
            <w:tcW w:w="985" w:type="dxa"/>
          </w:tcPr>
          <w:p w:rsidR="00CC29AA" w:rsidRDefault="00CC29AA" w:rsidP="007D643E">
            <w:pPr>
              <w:rPr>
                <w:sz w:val="18"/>
                <w:szCs w:val="18"/>
              </w:rPr>
            </w:pPr>
            <w:r>
              <w:rPr>
                <w:sz w:val="18"/>
                <w:szCs w:val="18"/>
              </w:rPr>
              <w:t>RI 34-1</w:t>
            </w:r>
          </w:p>
          <w:p w:rsidR="00D301A0" w:rsidRDefault="00CC29AA" w:rsidP="007D643E">
            <w:pPr>
              <w:rPr>
                <w:sz w:val="18"/>
                <w:szCs w:val="18"/>
              </w:rPr>
            </w:pPr>
            <w:r>
              <w:rPr>
                <w:sz w:val="18"/>
                <w:szCs w:val="18"/>
              </w:rPr>
              <w:t>RI 34-17</w:t>
            </w:r>
          </w:p>
          <w:p w:rsidR="00D301A0" w:rsidRDefault="00D301A0" w:rsidP="007D643E">
            <w:pPr>
              <w:rPr>
                <w:sz w:val="18"/>
                <w:szCs w:val="18"/>
              </w:rPr>
            </w:pPr>
            <w:r>
              <w:rPr>
                <w:sz w:val="18"/>
                <w:szCs w:val="18"/>
              </w:rPr>
              <w:t>RI 34-18</w:t>
            </w:r>
          </w:p>
          <w:p w:rsidR="00CC29AA" w:rsidRDefault="00CC29AA" w:rsidP="007D643E">
            <w:pPr>
              <w:rPr>
                <w:sz w:val="18"/>
                <w:szCs w:val="18"/>
              </w:rPr>
            </w:pPr>
          </w:p>
          <w:p w:rsidR="00CC29AA" w:rsidRDefault="00CC29AA" w:rsidP="007D643E">
            <w:pPr>
              <w:rPr>
                <w:sz w:val="18"/>
                <w:szCs w:val="18"/>
              </w:rPr>
            </w:pPr>
            <w:r>
              <w:rPr>
                <w:sz w:val="18"/>
                <w:szCs w:val="18"/>
              </w:rPr>
              <w:t>RI 34-3</w:t>
            </w:r>
          </w:p>
          <w:p w:rsidR="00CC29AA" w:rsidRDefault="00CC29AA" w:rsidP="007D643E">
            <w:pPr>
              <w:rPr>
                <w:sz w:val="18"/>
                <w:szCs w:val="18"/>
              </w:rPr>
            </w:pPr>
            <w:r>
              <w:rPr>
                <w:sz w:val="18"/>
                <w:szCs w:val="18"/>
              </w:rPr>
              <w:t>RI 34-19</w:t>
            </w:r>
          </w:p>
          <w:p w:rsidR="00CC29AA" w:rsidRPr="006A1AE6" w:rsidRDefault="00CC29AA" w:rsidP="006A1AE6">
            <w:pPr>
              <w:rPr>
                <w:sz w:val="18"/>
                <w:szCs w:val="18"/>
              </w:rPr>
            </w:pPr>
            <w:r>
              <w:rPr>
                <w:sz w:val="18"/>
                <w:szCs w:val="18"/>
              </w:rPr>
              <w:t>RI 34-20</w:t>
            </w:r>
          </w:p>
        </w:tc>
        <w:tc>
          <w:tcPr>
            <w:tcW w:w="1230" w:type="dxa"/>
          </w:tcPr>
          <w:p w:rsidR="00CC29AA" w:rsidRDefault="00CC29AA" w:rsidP="007D643E">
            <w:pPr>
              <w:jc w:val="right"/>
              <w:rPr>
                <w:sz w:val="18"/>
                <w:szCs w:val="18"/>
              </w:rPr>
            </w:pPr>
            <w:r>
              <w:rPr>
                <w:sz w:val="18"/>
                <w:szCs w:val="18"/>
              </w:rPr>
              <w:t>450</w:t>
            </w:r>
          </w:p>
          <w:p w:rsidR="00CC29AA" w:rsidRDefault="00CC29AA" w:rsidP="007D643E">
            <w:pPr>
              <w:jc w:val="right"/>
              <w:rPr>
                <w:sz w:val="18"/>
                <w:szCs w:val="18"/>
              </w:rPr>
            </w:pPr>
            <w:r>
              <w:rPr>
                <w:sz w:val="18"/>
                <w:szCs w:val="18"/>
              </w:rPr>
              <w:t>70</w:t>
            </w:r>
          </w:p>
          <w:p w:rsidR="00CC29AA" w:rsidRDefault="00BD27B4" w:rsidP="007D643E">
            <w:pPr>
              <w:jc w:val="right"/>
              <w:rPr>
                <w:sz w:val="18"/>
                <w:szCs w:val="18"/>
              </w:rPr>
            </w:pPr>
            <w:r>
              <w:rPr>
                <w:sz w:val="18"/>
                <w:szCs w:val="18"/>
              </w:rPr>
              <w:t>70</w:t>
            </w:r>
          </w:p>
          <w:p w:rsidR="00FE10EA" w:rsidRDefault="00FE10EA" w:rsidP="006E585C">
            <w:pPr>
              <w:jc w:val="right"/>
              <w:rPr>
                <w:sz w:val="18"/>
                <w:szCs w:val="18"/>
              </w:rPr>
            </w:pPr>
          </w:p>
          <w:p w:rsidR="00CC29AA" w:rsidRDefault="00F74DBC" w:rsidP="006E585C">
            <w:pPr>
              <w:jc w:val="right"/>
              <w:rPr>
                <w:sz w:val="18"/>
                <w:szCs w:val="18"/>
              </w:rPr>
            </w:pPr>
            <w:r>
              <w:rPr>
                <w:sz w:val="18"/>
                <w:szCs w:val="18"/>
              </w:rPr>
              <w:t>1,3</w:t>
            </w:r>
            <w:r w:rsidR="00821CB3">
              <w:rPr>
                <w:sz w:val="18"/>
                <w:szCs w:val="18"/>
              </w:rPr>
              <w:t>51</w:t>
            </w:r>
          </w:p>
          <w:p w:rsidR="00CC29AA" w:rsidRDefault="00CC29AA" w:rsidP="006E585C">
            <w:pPr>
              <w:jc w:val="right"/>
              <w:rPr>
                <w:sz w:val="18"/>
                <w:szCs w:val="18"/>
              </w:rPr>
            </w:pPr>
            <w:r>
              <w:rPr>
                <w:sz w:val="18"/>
                <w:szCs w:val="18"/>
              </w:rPr>
              <w:t>210</w:t>
            </w:r>
          </w:p>
          <w:p w:rsidR="00CC29AA" w:rsidRPr="008869F8" w:rsidRDefault="00CC29AA" w:rsidP="006E585C">
            <w:pPr>
              <w:jc w:val="right"/>
              <w:rPr>
                <w:sz w:val="18"/>
                <w:szCs w:val="18"/>
              </w:rPr>
            </w:pPr>
            <w:r>
              <w:rPr>
                <w:sz w:val="18"/>
                <w:szCs w:val="18"/>
              </w:rPr>
              <w:t>210</w:t>
            </w:r>
          </w:p>
        </w:tc>
        <w:tc>
          <w:tcPr>
            <w:tcW w:w="1165" w:type="dxa"/>
          </w:tcPr>
          <w:p w:rsidR="00CC29AA" w:rsidRDefault="00CC29AA" w:rsidP="006E585C">
            <w:pPr>
              <w:jc w:val="right"/>
              <w:rPr>
                <w:sz w:val="18"/>
                <w:szCs w:val="18"/>
              </w:rPr>
            </w:pPr>
            <w:r>
              <w:rPr>
                <w:sz w:val="18"/>
                <w:szCs w:val="18"/>
              </w:rPr>
              <w:t>1</w:t>
            </w:r>
          </w:p>
          <w:p w:rsidR="00DA2E58" w:rsidRDefault="00CC29AA" w:rsidP="00DA2E58">
            <w:pPr>
              <w:jc w:val="right"/>
              <w:rPr>
                <w:sz w:val="18"/>
                <w:szCs w:val="18"/>
              </w:rPr>
            </w:pPr>
            <w:r>
              <w:rPr>
                <w:sz w:val="18"/>
                <w:szCs w:val="18"/>
              </w:rPr>
              <w:t>1</w:t>
            </w:r>
          </w:p>
          <w:p w:rsidR="00DA2E58" w:rsidRDefault="00CC29AA" w:rsidP="00DA2E58">
            <w:pPr>
              <w:jc w:val="right"/>
              <w:rPr>
                <w:sz w:val="18"/>
                <w:szCs w:val="18"/>
              </w:rPr>
            </w:pPr>
            <w:r>
              <w:rPr>
                <w:sz w:val="18"/>
                <w:szCs w:val="18"/>
              </w:rPr>
              <w:t>1</w:t>
            </w:r>
          </w:p>
          <w:p w:rsidR="00DA2E58" w:rsidRDefault="00FE10EA" w:rsidP="00FE10EA">
            <w:pPr>
              <w:rPr>
                <w:sz w:val="18"/>
                <w:szCs w:val="18"/>
              </w:rPr>
            </w:pPr>
            <w:r>
              <w:rPr>
                <w:sz w:val="18"/>
                <w:szCs w:val="18"/>
              </w:rPr>
              <w:tab/>
            </w:r>
            <w:r>
              <w:rPr>
                <w:sz w:val="18"/>
                <w:szCs w:val="18"/>
              </w:rPr>
              <w:tab/>
              <w:t xml:space="preserve">   </w:t>
            </w:r>
            <w:r w:rsidR="00DA2E58">
              <w:rPr>
                <w:sz w:val="18"/>
                <w:szCs w:val="18"/>
              </w:rPr>
              <w:t>1</w:t>
            </w:r>
            <w:r>
              <w:rPr>
                <w:sz w:val="18"/>
                <w:szCs w:val="18"/>
              </w:rPr>
              <w:t xml:space="preserve">   </w:t>
            </w:r>
          </w:p>
          <w:p w:rsidR="00DA2E58" w:rsidRDefault="00DA2E58" w:rsidP="00DA2E58">
            <w:pPr>
              <w:jc w:val="right"/>
              <w:rPr>
                <w:sz w:val="18"/>
                <w:szCs w:val="18"/>
              </w:rPr>
            </w:pPr>
            <w:r>
              <w:rPr>
                <w:sz w:val="18"/>
                <w:szCs w:val="18"/>
              </w:rPr>
              <w:t>1</w:t>
            </w:r>
          </w:p>
          <w:p w:rsidR="00DA2E58" w:rsidRDefault="00DA2E58" w:rsidP="00DA2E58">
            <w:pPr>
              <w:jc w:val="right"/>
              <w:rPr>
                <w:sz w:val="18"/>
                <w:szCs w:val="18"/>
              </w:rPr>
            </w:pPr>
            <w:r>
              <w:rPr>
                <w:sz w:val="18"/>
                <w:szCs w:val="18"/>
              </w:rPr>
              <w:t>1</w:t>
            </w:r>
          </w:p>
          <w:p w:rsidR="00CC29AA" w:rsidRPr="008869F8" w:rsidRDefault="00D301A0" w:rsidP="00FE10EA">
            <w:pPr>
              <w:jc w:val="center"/>
              <w:rPr>
                <w:sz w:val="18"/>
                <w:szCs w:val="18"/>
              </w:rPr>
            </w:pPr>
            <w:r>
              <w:rPr>
                <w:sz w:val="18"/>
                <w:szCs w:val="18"/>
              </w:rPr>
              <w:t xml:space="preserve">    </w:t>
            </w:r>
          </w:p>
        </w:tc>
        <w:tc>
          <w:tcPr>
            <w:tcW w:w="959" w:type="dxa"/>
          </w:tcPr>
          <w:p w:rsidR="00CC29AA" w:rsidRDefault="00CC29AA" w:rsidP="00841173">
            <w:pPr>
              <w:jc w:val="right"/>
              <w:rPr>
                <w:sz w:val="18"/>
                <w:szCs w:val="18"/>
              </w:rPr>
            </w:pPr>
            <w:r>
              <w:rPr>
                <w:sz w:val="18"/>
                <w:szCs w:val="18"/>
              </w:rPr>
              <w:t>450</w:t>
            </w:r>
          </w:p>
          <w:p w:rsidR="00CC29AA" w:rsidRDefault="00CC29AA" w:rsidP="00841173">
            <w:pPr>
              <w:jc w:val="right"/>
              <w:rPr>
                <w:sz w:val="18"/>
                <w:szCs w:val="18"/>
              </w:rPr>
            </w:pPr>
            <w:r>
              <w:rPr>
                <w:sz w:val="18"/>
                <w:szCs w:val="18"/>
              </w:rPr>
              <w:t>70</w:t>
            </w:r>
          </w:p>
          <w:p w:rsidR="00CC29AA" w:rsidRDefault="00F71244" w:rsidP="00841173">
            <w:pPr>
              <w:jc w:val="right"/>
              <w:rPr>
                <w:sz w:val="18"/>
                <w:szCs w:val="18"/>
              </w:rPr>
            </w:pPr>
            <w:r>
              <w:rPr>
                <w:sz w:val="18"/>
                <w:szCs w:val="18"/>
              </w:rPr>
              <w:t>70</w:t>
            </w:r>
          </w:p>
          <w:p w:rsidR="00CC29AA" w:rsidRDefault="00CC29AA" w:rsidP="00841173">
            <w:pPr>
              <w:jc w:val="right"/>
              <w:rPr>
                <w:sz w:val="18"/>
                <w:szCs w:val="18"/>
              </w:rPr>
            </w:pPr>
          </w:p>
          <w:p w:rsidR="00FF0F6D" w:rsidRDefault="00FE10EA" w:rsidP="00FF0F6D">
            <w:pPr>
              <w:tabs>
                <w:tab w:val="center" w:pos="371"/>
                <w:tab w:val="right" w:pos="743"/>
              </w:tabs>
              <w:rPr>
                <w:sz w:val="18"/>
                <w:szCs w:val="18"/>
              </w:rPr>
            </w:pPr>
            <w:r>
              <w:rPr>
                <w:sz w:val="18"/>
                <w:szCs w:val="18"/>
              </w:rPr>
              <w:tab/>
            </w:r>
            <w:r w:rsidR="00FF0F6D">
              <w:rPr>
                <w:sz w:val="18"/>
                <w:szCs w:val="18"/>
              </w:rPr>
              <w:t xml:space="preserve">       1,3</w:t>
            </w:r>
            <w:r w:rsidR="00821CB3">
              <w:rPr>
                <w:sz w:val="18"/>
                <w:szCs w:val="18"/>
              </w:rPr>
              <w:t>51</w:t>
            </w:r>
          </w:p>
          <w:p w:rsidR="00CC29AA" w:rsidRDefault="00FE10EA" w:rsidP="00FF0F6D">
            <w:pPr>
              <w:tabs>
                <w:tab w:val="center" w:pos="371"/>
                <w:tab w:val="right" w:pos="743"/>
              </w:tabs>
              <w:rPr>
                <w:sz w:val="18"/>
                <w:szCs w:val="18"/>
              </w:rPr>
            </w:pPr>
            <w:r>
              <w:rPr>
                <w:sz w:val="18"/>
                <w:szCs w:val="18"/>
              </w:rPr>
              <w:t xml:space="preserve">          </w:t>
            </w:r>
            <w:r w:rsidR="00FF0F6D">
              <w:rPr>
                <w:sz w:val="18"/>
                <w:szCs w:val="18"/>
              </w:rPr>
              <w:t>21</w:t>
            </w:r>
            <w:r w:rsidR="00CC29AA">
              <w:rPr>
                <w:sz w:val="18"/>
                <w:szCs w:val="18"/>
              </w:rPr>
              <w:t>0</w:t>
            </w:r>
          </w:p>
          <w:p w:rsidR="00CC29AA" w:rsidRPr="008869F8" w:rsidRDefault="00CC29AA" w:rsidP="00841173">
            <w:pPr>
              <w:jc w:val="right"/>
              <w:rPr>
                <w:sz w:val="18"/>
                <w:szCs w:val="18"/>
              </w:rPr>
            </w:pPr>
            <w:r>
              <w:rPr>
                <w:sz w:val="18"/>
                <w:szCs w:val="18"/>
              </w:rPr>
              <w:t>210</w:t>
            </w:r>
          </w:p>
        </w:tc>
        <w:tc>
          <w:tcPr>
            <w:tcW w:w="1000" w:type="dxa"/>
          </w:tcPr>
          <w:p w:rsidR="00CC29AA" w:rsidRPr="008869F8" w:rsidRDefault="00CC29AA" w:rsidP="002A25A7">
            <w:pPr>
              <w:spacing w:before="240"/>
              <w:jc w:val="center"/>
              <w:rPr>
                <w:sz w:val="18"/>
                <w:szCs w:val="18"/>
              </w:rPr>
            </w:pPr>
            <w:r>
              <w:rPr>
                <w:sz w:val="18"/>
                <w:szCs w:val="18"/>
              </w:rPr>
              <w:t>$0</w:t>
            </w:r>
          </w:p>
        </w:tc>
        <w:tc>
          <w:tcPr>
            <w:tcW w:w="1165" w:type="dxa"/>
          </w:tcPr>
          <w:p w:rsidR="00CC29AA" w:rsidRPr="008869F8" w:rsidRDefault="00821CB3" w:rsidP="00FE400C">
            <w:pPr>
              <w:spacing w:before="240"/>
              <w:jc w:val="center"/>
              <w:rPr>
                <w:sz w:val="18"/>
                <w:szCs w:val="18"/>
              </w:rPr>
            </w:pPr>
            <w:r>
              <w:rPr>
                <w:sz w:val="18"/>
                <w:szCs w:val="18"/>
              </w:rPr>
              <w:t>$0</w:t>
            </w:r>
          </w:p>
        </w:tc>
      </w:tr>
    </w:tbl>
    <w:p w:rsidR="00DC4FA9" w:rsidRDefault="00DC4FA9" w:rsidP="00F2619F">
      <w:pPr>
        <w:tabs>
          <w:tab w:val="left" w:pos="-720"/>
          <w:tab w:val="left" w:pos="6015"/>
        </w:tabs>
        <w:suppressAutoHyphens/>
      </w:pPr>
    </w:p>
    <w:p w:rsidR="00BD4294" w:rsidRDefault="00F2619F" w:rsidP="00F2619F">
      <w:pPr>
        <w:tabs>
          <w:tab w:val="left" w:pos="-720"/>
          <w:tab w:val="left" w:pos="6015"/>
        </w:tabs>
        <w:suppressAutoHyphens/>
      </w:pPr>
      <w:r>
        <w:t xml:space="preserve">      </w:t>
      </w:r>
      <w:r w:rsidR="00DB3A4B">
        <w:t xml:space="preserve">13.  </w:t>
      </w:r>
      <w:r w:rsidR="00FD1AF9">
        <w:t>There is no c</w:t>
      </w:r>
      <w:r w:rsidR="009233ED">
        <w:t>ost to the respondents</w:t>
      </w:r>
      <w:r w:rsidR="00FD1AF9">
        <w:t>.</w:t>
      </w:r>
      <w:r w:rsidR="008E766A">
        <w:tab/>
      </w:r>
    </w:p>
    <w:p w:rsidR="00F2619F" w:rsidRDefault="00F2619F" w:rsidP="00F2619F">
      <w:pPr>
        <w:tabs>
          <w:tab w:val="left" w:pos="-720"/>
        </w:tabs>
        <w:suppressAutoHyphens/>
      </w:pPr>
    </w:p>
    <w:p w:rsidR="00F2619F" w:rsidRDefault="00F2619F" w:rsidP="00F2619F">
      <w:pPr>
        <w:tabs>
          <w:tab w:val="left" w:pos="-720"/>
        </w:tabs>
        <w:suppressAutoHyphens/>
      </w:pPr>
      <w:r>
        <w:t xml:space="preserve">      </w:t>
      </w:r>
      <w:r w:rsidR="00BD4294" w:rsidRPr="00741061">
        <w:t>1</w:t>
      </w:r>
      <w:r w:rsidR="00BD4294">
        <w:t>4</w:t>
      </w:r>
      <w:r w:rsidR="00BD4294" w:rsidRPr="00741061">
        <w:t xml:space="preserve">. </w:t>
      </w:r>
      <w:r w:rsidR="00CC29AA" w:rsidRPr="001A20F3">
        <w:t>Annualized cost to the Federal Government is approximately $</w:t>
      </w:r>
      <w:r w:rsidR="00CC29AA" w:rsidRPr="00FE400C">
        <w:t>1</w:t>
      </w:r>
      <w:r w:rsidR="00CC29AA">
        <w:t>26,000.</w:t>
      </w:r>
      <w:r w:rsidR="00CC29AA" w:rsidRPr="00F2619F">
        <w:rPr>
          <w:color w:val="FF0000"/>
        </w:rPr>
        <w:t xml:space="preserve"> </w:t>
      </w:r>
      <w:r w:rsidR="00CC29AA" w:rsidRPr="001A20F3">
        <w:t xml:space="preserve">This cost is derived from </w:t>
      </w:r>
    </w:p>
    <w:p w:rsidR="00F2619F" w:rsidRDefault="00F2619F" w:rsidP="00F2619F">
      <w:pPr>
        <w:tabs>
          <w:tab w:val="left" w:pos="-720"/>
        </w:tabs>
        <w:suppressAutoHyphens/>
      </w:pPr>
      <w:r>
        <w:t xml:space="preserve">            </w:t>
      </w:r>
      <w:r w:rsidR="00CC29AA" w:rsidRPr="001A20F3">
        <w:t>employee salaries, staff</w:t>
      </w:r>
      <w:r w:rsidR="00FD1AF9">
        <w:t xml:space="preserve"> </w:t>
      </w:r>
      <w:r w:rsidR="00CC29AA" w:rsidRPr="001A20F3">
        <w:t xml:space="preserve"> hours required to process the forms and the cost of printing, storing and </w:t>
      </w:r>
    </w:p>
    <w:p w:rsidR="00CC29AA" w:rsidRDefault="00F2619F" w:rsidP="00F2619F">
      <w:pPr>
        <w:tabs>
          <w:tab w:val="left" w:pos="-720"/>
        </w:tabs>
        <w:suppressAutoHyphens/>
      </w:pPr>
      <w:r>
        <w:t xml:space="preserve">            </w:t>
      </w:r>
      <w:r w:rsidR="00CC29AA" w:rsidRPr="001A20F3">
        <w:t>shipping forms.</w:t>
      </w:r>
    </w:p>
    <w:p w:rsidR="00F2619F" w:rsidRDefault="00F2619F" w:rsidP="00F2619F">
      <w:pPr>
        <w:tabs>
          <w:tab w:val="left" w:pos="-720"/>
        </w:tabs>
        <w:suppressAutoHyphens/>
      </w:pPr>
    </w:p>
    <w:p w:rsidR="00F2619F" w:rsidRDefault="00F2619F" w:rsidP="00F2619F">
      <w:pPr>
        <w:tabs>
          <w:tab w:val="left" w:pos="-720"/>
        </w:tabs>
        <w:suppressAutoHyphens/>
      </w:pPr>
      <w:r>
        <w:t xml:space="preserve">      </w:t>
      </w:r>
      <w:r w:rsidR="00DB3A4B">
        <w:t xml:space="preserve">15.  </w:t>
      </w:r>
      <w:r w:rsidR="00CC29AA">
        <w:t xml:space="preserve">There </w:t>
      </w:r>
      <w:r w:rsidR="00580F7B">
        <w:t>is a</w:t>
      </w:r>
      <w:r w:rsidR="00CC29AA">
        <w:t xml:space="preserve"> change to the respon</w:t>
      </w:r>
      <w:r w:rsidR="00580F7B">
        <w:t xml:space="preserve">dent burden, due to a program change. </w:t>
      </w:r>
      <w:r w:rsidR="00F71244">
        <w:t xml:space="preserve">Forms RI 34-18 and RI 34-20 </w:t>
      </w:r>
    </w:p>
    <w:p w:rsidR="00A10BE7" w:rsidRDefault="00F2619F" w:rsidP="00F2619F">
      <w:pPr>
        <w:tabs>
          <w:tab w:val="left" w:pos="-720"/>
        </w:tabs>
        <w:suppressAutoHyphens/>
      </w:pPr>
      <w:r>
        <w:t xml:space="preserve">             </w:t>
      </w:r>
      <w:r w:rsidR="00F71244">
        <w:t>have been added.</w:t>
      </w:r>
    </w:p>
    <w:p w:rsidR="00A10BE7" w:rsidRPr="00741061" w:rsidRDefault="00A10BE7" w:rsidP="008E766A">
      <w:pPr>
        <w:pStyle w:val="ListParagraph"/>
        <w:tabs>
          <w:tab w:val="left" w:pos="-720"/>
        </w:tabs>
        <w:suppressAutoHyphens/>
      </w:pPr>
    </w:p>
    <w:p w:rsidR="00A10BE7" w:rsidRDefault="00F2619F" w:rsidP="00F2619F">
      <w:pPr>
        <w:tabs>
          <w:tab w:val="left" w:pos="-720"/>
        </w:tabs>
        <w:suppressAutoHyphens/>
      </w:pPr>
      <w:r>
        <w:t xml:space="preserve">      </w:t>
      </w:r>
      <w:r w:rsidR="00DB3A4B">
        <w:t xml:space="preserve">16.  </w:t>
      </w:r>
      <w:r w:rsidR="00A10BE7" w:rsidRPr="00741061">
        <w:t xml:space="preserve"> </w:t>
      </w:r>
      <w:r w:rsidR="000531A1">
        <w:t xml:space="preserve">The results of this </w:t>
      </w:r>
      <w:r w:rsidR="00A10BE7" w:rsidRPr="00741061">
        <w:t>information collect</w:t>
      </w:r>
      <w:r w:rsidR="000531A1">
        <w:t xml:space="preserve">ion are not </w:t>
      </w:r>
      <w:r w:rsidR="00A10BE7" w:rsidRPr="00741061">
        <w:t>published.</w:t>
      </w:r>
    </w:p>
    <w:p w:rsidR="004275C9" w:rsidRPr="00741061" w:rsidRDefault="004275C9" w:rsidP="00A10BE7">
      <w:pPr>
        <w:pStyle w:val="ListParagraph"/>
      </w:pPr>
    </w:p>
    <w:p w:rsidR="00DC4FA9" w:rsidRDefault="00DC4FA9" w:rsidP="00DC4FA9">
      <w:pPr>
        <w:tabs>
          <w:tab w:val="left" w:pos="-720"/>
        </w:tabs>
        <w:suppressAutoHyphens/>
      </w:pPr>
      <w:r>
        <w:t xml:space="preserve">      </w:t>
      </w:r>
      <w:r w:rsidR="00DB3A4B">
        <w:t>17</w:t>
      </w:r>
      <w:r>
        <w:t xml:space="preserve">. </w:t>
      </w:r>
      <w:r w:rsidRPr="00DC4FA9">
        <w:t xml:space="preserve"> </w:t>
      </w:r>
      <w:r w:rsidRPr="0021279C">
        <w:t xml:space="preserve">The Retirement Services program office is the lone processor of the data collected on these ICRs from </w:t>
      </w:r>
    </w:p>
    <w:p w:rsidR="00DC4FA9" w:rsidRDefault="00DC4FA9" w:rsidP="00DC4FA9">
      <w:pPr>
        <w:tabs>
          <w:tab w:val="left" w:pos="-720"/>
        </w:tabs>
        <w:suppressAutoHyphens/>
      </w:pPr>
      <w:r>
        <w:t xml:space="preserve">             </w:t>
      </w:r>
      <w:r w:rsidRPr="0021279C">
        <w:t>approximately 2.8 million</w:t>
      </w:r>
      <w:r w:rsidR="005F507E">
        <w:t xml:space="preserve"> </w:t>
      </w:r>
      <w:r w:rsidRPr="0021279C">
        <w:t xml:space="preserve">customers. The substance of each information collection does not </w:t>
      </w:r>
    </w:p>
    <w:p w:rsidR="00DC4FA9" w:rsidRDefault="00DC4FA9" w:rsidP="00DC4FA9">
      <w:pPr>
        <w:tabs>
          <w:tab w:val="left" w:pos="-720"/>
        </w:tabs>
        <w:suppressAutoHyphens/>
        <w:ind w:left="720"/>
      </w:pPr>
      <w:r>
        <w:t xml:space="preserve"> </w:t>
      </w:r>
      <w:r w:rsidRPr="0021279C">
        <w:t xml:space="preserve">substantively change at each OMB renewal cycle, but according to changes in law and regulation. </w:t>
      </w:r>
      <w:r>
        <w:t xml:space="preserve"> </w:t>
      </w:r>
    </w:p>
    <w:p w:rsidR="00DC4FA9" w:rsidRDefault="00DC4FA9" w:rsidP="00DC4FA9">
      <w:pPr>
        <w:tabs>
          <w:tab w:val="left" w:pos="-720"/>
        </w:tabs>
        <w:suppressAutoHyphens/>
        <w:ind w:left="720"/>
      </w:pPr>
      <w:r>
        <w:t xml:space="preserve"> These </w:t>
      </w:r>
      <w:r w:rsidRPr="0021279C">
        <w:t xml:space="preserve">forms are printed and published (internet, intranet and on-board systems) through various </w:t>
      </w:r>
      <w:r>
        <w:t xml:space="preserve"> </w:t>
      </w:r>
    </w:p>
    <w:p w:rsidR="00DC4FA9" w:rsidRDefault="00DC4FA9" w:rsidP="00DC4FA9">
      <w:pPr>
        <w:tabs>
          <w:tab w:val="left" w:pos="-720"/>
        </w:tabs>
        <w:suppressAutoHyphens/>
        <w:ind w:left="720"/>
      </w:pPr>
      <w:r>
        <w:t xml:space="preserve"> agencies for </w:t>
      </w:r>
      <w:r w:rsidRPr="0021279C">
        <w:t xml:space="preserve">distribution to and implementation by Government customers. Pursuant to title 5 CFR </w:t>
      </w:r>
      <w:r>
        <w:t xml:space="preserve"> </w:t>
      </w:r>
    </w:p>
    <w:p w:rsidR="00DC4FA9" w:rsidRDefault="00DC4FA9" w:rsidP="00DC4FA9">
      <w:pPr>
        <w:tabs>
          <w:tab w:val="left" w:pos="-720"/>
        </w:tabs>
        <w:suppressAutoHyphens/>
        <w:ind w:left="720"/>
      </w:pPr>
      <w:r>
        <w:t xml:space="preserve"> </w:t>
      </w:r>
      <w:r w:rsidRPr="0021279C">
        <w:t xml:space="preserve">1320.8(b)(1), it would not be appropriate to display the OMB clearance expiration date where the form </w:t>
      </w:r>
    </w:p>
    <w:p w:rsidR="00DC4FA9" w:rsidRDefault="00DC4FA9" w:rsidP="00DC4FA9">
      <w:pPr>
        <w:tabs>
          <w:tab w:val="left" w:pos="-720"/>
        </w:tabs>
        <w:suppressAutoHyphens/>
        <w:ind w:left="720"/>
      </w:pPr>
      <w:r>
        <w:t xml:space="preserve"> </w:t>
      </w:r>
      <w:r w:rsidRPr="0021279C">
        <w:t xml:space="preserve">will not be revised for the foreseeable future (e.g., because it is used to collect applicant, annuitant, or </w:t>
      </w:r>
      <w:r>
        <w:t xml:space="preserve"> </w:t>
      </w:r>
    </w:p>
    <w:p w:rsidR="00DC4FA9" w:rsidRDefault="00DC4FA9" w:rsidP="00DC4FA9">
      <w:pPr>
        <w:tabs>
          <w:tab w:val="left" w:pos="-720"/>
        </w:tabs>
        <w:suppressAutoHyphens/>
        <w:ind w:left="720"/>
      </w:pPr>
      <w:r>
        <w:t xml:space="preserve"> </w:t>
      </w:r>
      <w:r w:rsidRPr="0021279C">
        <w:t xml:space="preserve">beneficiary information required by long-standing statutory provisions), where use of the paper form is </w:t>
      </w:r>
      <w:r>
        <w:t xml:space="preserve"> </w:t>
      </w:r>
    </w:p>
    <w:p w:rsidR="005F507E" w:rsidRDefault="00DC4FA9" w:rsidP="00DC4FA9">
      <w:pPr>
        <w:tabs>
          <w:tab w:val="left" w:pos="-720"/>
        </w:tabs>
        <w:suppressAutoHyphens/>
        <w:ind w:left="720"/>
      </w:pPr>
      <w:r>
        <w:t xml:space="preserve"> </w:t>
      </w:r>
      <w:r w:rsidRPr="0021279C">
        <w:t xml:space="preserve">prevalent, and where, accordingly, it will be expensive and burdensome to restock the paper forms </w:t>
      </w:r>
    </w:p>
    <w:p w:rsidR="005F507E" w:rsidRDefault="005F507E" w:rsidP="00DC4FA9">
      <w:pPr>
        <w:tabs>
          <w:tab w:val="left" w:pos="-720"/>
        </w:tabs>
        <w:suppressAutoHyphens/>
        <w:ind w:left="720"/>
      </w:pPr>
      <w:r>
        <w:t xml:space="preserve"> </w:t>
      </w:r>
      <w:r w:rsidR="00DC4FA9" w:rsidRPr="0021279C">
        <w:t>inventory with a new ve</w:t>
      </w:r>
      <w:r w:rsidR="00DC4FA9">
        <w:t xml:space="preserve">rsion. Last year, under current </w:t>
      </w:r>
      <w:r w:rsidR="00DC4FA9" w:rsidRPr="0021279C">
        <w:t xml:space="preserve">practice, Retirement Services printed </w:t>
      </w:r>
    </w:p>
    <w:p w:rsidR="005F507E" w:rsidRDefault="005F507E" w:rsidP="00DC4FA9">
      <w:pPr>
        <w:tabs>
          <w:tab w:val="left" w:pos="-720"/>
        </w:tabs>
        <w:suppressAutoHyphens/>
        <w:ind w:left="720"/>
      </w:pPr>
      <w:r>
        <w:t xml:space="preserve"> </w:t>
      </w:r>
      <w:r w:rsidR="00DC4FA9" w:rsidRPr="0021279C">
        <w:t xml:space="preserve">approximately 2 million documents subject to OMB clearance at a cost of approximately $85,000.  Our </w:t>
      </w:r>
    </w:p>
    <w:p w:rsidR="005F507E" w:rsidRDefault="005F507E" w:rsidP="00DC4FA9">
      <w:pPr>
        <w:tabs>
          <w:tab w:val="left" w:pos="-720"/>
        </w:tabs>
        <w:suppressAutoHyphens/>
        <w:ind w:left="720"/>
      </w:pPr>
      <w:r>
        <w:t xml:space="preserve"> </w:t>
      </w:r>
      <w:r w:rsidR="00DC4FA9" w:rsidRPr="0021279C">
        <w:t>costs would rise substantially</w:t>
      </w:r>
      <w:r w:rsidR="00DC4FA9">
        <w:t xml:space="preserve"> </w:t>
      </w:r>
      <w:r w:rsidR="00DC4FA9" w:rsidRPr="0021279C">
        <w:t xml:space="preserve">if additional revision cycles are added.  Lastly, by adding the OMB </w:t>
      </w:r>
    </w:p>
    <w:p w:rsidR="005F507E" w:rsidRDefault="005F507E" w:rsidP="00DC4FA9">
      <w:pPr>
        <w:tabs>
          <w:tab w:val="left" w:pos="-720"/>
        </w:tabs>
        <w:suppressAutoHyphens/>
        <w:ind w:left="720"/>
      </w:pPr>
      <w:r>
        <w:t xml:space="preserve"> </w:t>
      </w:r>
      <w:r w:rsidR="00DC4FA9" w:rsidRPr="0021279C">
        <w:t xml:space="preserve">clearance expiration date to the existing format, the end users of OPM’s ICRs may erroneously assume </w:t>
      </w:r>
      <w:r>
        <w:t xml:space="preserve"> </w:t>
      </w:r>
    </w:p>
    <w:p w:rsidR="005F507E" w:rsidRDefault="005F507E" w:rsidP="00DC4FA9">
      <w:pPr>
        <w:tabs>
          <w:tab w:val="left" w:pos="-720"/>
        </w:tabs>
        <w:suppressAutoHyphens/>
        <w:ind w:left="720"/>
      </w:pPr>
      <w:r>
        <w:t xml:space="preserve"> </w:t>
      </w:r>
      <w:r w:rsidR="00DC4FA9" w:rsidRPr="0021279C">
        <w:t xml:space="preserve">that the expiration date affects the validity of the information collection when it is the OMB clearance </w:t>
      </w:r>
      <w:r>
        <w:t xml:space="preserve"> </w:t>
      </w:r>
    </w:p>
    <w:p w:rsidR="005F507E" w:rsidRDefault="005F507E" w:rsidP="00DC4FA9">
      <w:pPr>
        <w:tabs>
          <w:tab w:val="left" w:pos="-720"/>
        </w:tabs>
        <w:suppressAutoHyphens/>
        <w:ind w:left="720"/>
      </w:pPr>
      <w:r>
        <w:t xml:space="preserve"> </w:t>
      </w:r>
      <w:r w:rsidR="00DC4FA9" w:rsidRPr="0021279C">
        <w:t xml:space="preserve">expiration date and not reflective of the substance. This may lead to additional submissions by </w:t>
      </w:r>
      <w:r>
        <w:t xml:space="preserve"> </w:t>
      </w:r>
    </w:p>
    <w:p w:rsidR="005F507E" w:rsidRDefault="005F507E" w:rsidP="00DC4FA9">
      <w:pPr>
        <w:tabs>
          <w:tab w:val="left" w:pos="-720"/>
        </w:tabs>
        <w:suppressAutoHyphens/>
        <w:ind w:left="720"/>
      </w:pPr>
      <w:r>
        <w:t xml:space="preserve"> </w:t>
      </w:r>
      <w:r w:rsidR="00DC4FA9" w:rsidRPr="0021279C">
        <w:t xml:space="preserve">customers, possible litigation and increasing pressures on our Operations workloads.  Therefore, we </w:t>
      </w:r>
    </w:p>
    <w:p w:rsidR="005F507E" w:rsidRDefault="005F507E" w:rsidP="00DC4FA9">
      <w:pPr>
        <w:tabs>
          <w:tab w:val="left" w:pos="-720"/>
        </w:tabs>
        <w:suppressAutoHyphens/>
        <w:ind w:left="720"/>
      </w:pPr>
      <w:r>
        <w:t xml:space="preserve"> </w:t>
      </w:r>
      <w:r w:rsidR="00DC4FA9" w:rsidRPr="0021279C">
        <w:t>seek approval to not display the OMB cleara</w:t>
      </w:r>
      <w:r w:rsidR="00DC4FA9">
        <w:t xml:space="preserve">nce expiration date </w:t>
      </w:r>
      <w:r w:rsidR="00DC4FA9" w:rsidRPr="0021279C">
        <w:t xml:space="preserve">on the forms and to communicate </w:t>
      </w:r>
      <w:r>
        <w:t xml:space="preserve"> </w:t>
      </w:r>
    </w:p>
    <w:p w:rsidR="00DC4FA9" w:rsidRDefault="005F507E" w:rsidP="00DC4FA9">
      <w:pPr>
        <w:tabs>
          <w:tab w:val="left" w:pos="-720"/>
        </w:tabs>
        <w:suppressAutoHyphens/>
        <w:ind w:left="720"/>
      </w:pPr>
      <w:r>
        <w:t xml:space="preserve"> </w:t>
      </w:r>
      <w:r w:rsidR="00DC4FA9" w:rsidRPr="0021279C">
        <w:t>version changes to the public v</w:t>
      </w:r>
      <w:r w:rsidR="00DC4FA9">
        <w:t>ia the revision date</w:t>
      </w:r>
      <w:r w:rsidR="00DC4FA9" w:rsidRPr="0021279C">
        <w:t>.</w:t>
      </w:r>
    </w:p>
    <w:p w:rsidR="00DC4FA9" w:rsidRDefault="00DC4FA9" w:rsidP="00DC4FA9">
      <w:pPr>
        <w:tabs>
          <w:tab w:val="left" w:pos="-720"/>
        </w:tabs>
        <w:suppressAutoHyphens/>
        <w:ind w:left="720"/>
      </w:pPr>
    </w:p>
    <w:p w:rsidR="00A10BE7" w:rsidRDefault="00F2619F" w:rsidP="00DC4FA9">
      <w:pPr>
        <w:tabs>
          <w:tab w:val="left" w:pos="-720"/>
        </w:tabs>
        <w:suppressAutoHyphens/>
      </w:pPr>
      <w:r>
        <w:t xml:space="preserve">      </w:t>
      </w:r>
      <w:r w:rsidR="00A10BE7" w:rsidRPr="00741061">
        <w:t xml:space="preserve">18.  </w:t>
      </w:r>
      <w:r w:rsidR="00A10BE7">
        <w:t>There are no exceptions to the certification statement.</w:t>
      </w:r>
    </w:p>
    <w:p w:rsidR="00A10BE7" w:rsidRDefault="00A10BE7" w:rsidP="00A10BE7">
      <w:pPr>
        <w:spacing w:before="240"/>
        <w:ind w:left="720"/>
      </w:pPr>
    </w:p>
    <w:sectPr w:rsidR="00A10BE7" w:rsidSect="00D301A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803"/>
    <w:multiLevelType w:val="hybridMultilevel"/>
    <w:tmpl w:val="99B2E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6F2044"/>
    <w:multiLevelType w:val="hybridMultilevel"/>
    <w:tmpl w:val="24088B1C"/>
    <w:lvl w:ilvl="0" w:tplc="1C4E513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4DB55117"/>
    <w:multiLevelType w:val="singleLevel"/>
    <w:tmpl w:val="63843528"/>
    <w:lvl w:ilvl="0">
      <w:start w:val="1"/>
      <w:numFmt w:val="decimal"/>
      <w:lvlText w:val="%1."/>
      <w:lvlJc w:val="left"/>
      <w:pPr>
        <w:tabs>
          <w:tab w:val="num" w:pos="720"/>
        </w:tabs>
        <w:ind w:left="720" w:hanging="360"/>
      </w:pPr>
      <w:rPr>
        <w:rFonts w:hint="default"/>
      </w:rPr>
    </w:lvl>
  </w:abstractNum>
  <w:abstractNum w:abstractNumId="4">
    <w:nsid w:val="6A884008"/>
    <w:multiLevelType w:val="hybridMultilevel"/>
    <w:tmpl w:val="474CA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6">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422C7"/>
    <w:rsid w:val="000531A1"/>
    <w:rsid w:val="00056FE8"/>
    <w:rsid w:val="0006222E"/>
    <w:rsid w:val="000A6726"/>
    <w:rsid w:val="00100259"/>
    <w:rsid w:val="00103FCD"/>
    <w:rsid w:val="001129EA"/>
    <w:rsid w:val="00121BF1"/>
    <w:rsid w:val="001769CC"/>
    <w:rsid w:val="001A20F3"/>
    <w:rsid w:val="001B6C07"/>
    <w:rsid w:val="001C1009"/>
    <w:rsid w:val="001C6F6F"/>
    <w:rsid w:val="00210011"/>
    <w:rsid w:val="00257B32"/>
    <w:rsid w:val="002A0DE7"/>
    <w:rsid w:val="002A25A7"/>
    <w:rsid w:val="002B33A4"/>
    <w:rsid w:val="002C1F76"/>
    <w:rsid w:val="002C52D2"/>
    <w:rsid w:val="003016AB"/>
    <w:rsid w:val="00332AC9"/>
    <w:rsid w:val="00334143"/>
    <w:rsid w:val="00337437"/>
    <w:rsid w:val="00367A12"/>
    <w:rsid w:val="003B777E"/>
    <w:rsid w:val="003D4DD7"/>
    <w:rsid w:val="003F029C"/>
    <w:rsid w:val="003F0958"/>
    <w:rsid w:val="003F15B7"/>
    <w:rsid w:val="003F78E9"/>
    <w:rsid w:val="00401216"/>
    <w:rsid w:val="00401313"/>
    <w:rsid w:val="00404144"/>
    <w:rsid w:val="00410F0C"/>
    <w:rsid w:val="00416F2B"/>
    <w:rsid w:val="00424681"/>
    <w:rsid w:val="004275C9"/>
    <w:rsid w:val="00433131"/>
    <w:rsid w:val="00461DF9"/>
    <w:rsid w:val="00507B02"/>
    <w:rsid w:val="00513374"/>
    <w:rsid w:val="00574478"/>
    <w:rsid w:val="00580F7B"/>
    <w:rsid w:val="005D4993"/>
    <w:rsid w:val="005D641E"/>
    <w:rsid w:val="005F507E"/>
    <w:rsid w:val="0060466D"/>
    <w:rsid w:val="0061067B"/>
    <w:rsid w:val="0061262A"/>
    <w:rsid w:val="006252C5"/>
    <w:rsid w:val="00646B8B"/>
    <w:rsid w:val="00663E8D"/>
    <w:rsid w:val="00665692"/>
    <w:rsid w:val="006A13AA"/>
    <w:rsid w:val="006A1AE6"/>
    <w:rsid w:val="006E585C"/>
    <w:rsid w:val="00723DAF"/>
    <w:rsid w:val="007323C2"/>
    <w:rsid w:val="00734593"/>
    <w:rsid w:val="00740EA3"/>
    <w:rsid w:val="007678A9"/>
    <w:rsid w:val="00767C8C"/>
    <w:rsid w:val="007707D2"/>
    <w:rsid w:val="00773D11"/>
    <w:rsid w:val="00776B99"/>
    <w:rsid w:val="00785DBB"/>
    <w:rsid w:val="00794BD0"/>
    <w:rsid w:val="007B5BF4"/>
    <w:rsid w:val="007C25B9"/>
    <w:rsid w:val="007D1502"/>
    <w:rsid w:val="007D3B6C"/>
    <w:rsid w:val="007D643E"/>
    <w:rsid w:val="007E0CA7"/>
    <w:rsid w:val="008007BD"/>
    <w:rsid w:val="00821CB3"/>
    <w:rsid w:val="0083370E"/>
    <w:rsid w:val="00841173"/>
    <w:rsid w:val="00856DAF"/>
    <w:rsid w:val="008869F8"/>
    <w:rsid w:val="008E766A"/>
    <w:rsid w:val="009233ED"/>
    <w:rsid w:val="00933321"/>
    <w:rsid w:val="00992933"/>
    <w:rsid w:val="0099353F"/>
    <w:rsid w:val="00993A7C"/>
    <w:rsid w:val="009B7453"/>
    <w:rsid w:val="00A10BE7"/>
    <w:rsid w:val="00A16B43"/>
    <w:rsid w:val="00A66813"/>
    <w:rsid w:val="00AC0D30"/>
    <w:rsid w:val="00B35555"/>
    <w:rsid w:val="00B5402B"/>
    <w:rsid w:val="00B971B9"/>
    <w:rsid w:val="00BA1768"/>
    <w:rsid w:val="00BA630C"/>
    <w:rsid w:val="00BA7137"/>
    <w:rsid w:val="00BD27B4"/>
    <w:rsid w:val="00BD4294"/>
    <w:rsid w:val="00BE2F13"/>
    <w:rsid w:val="00BF5AEB"/>
    <w:rsid w:val="00C010FF"/>
    <w:rsid w:val="00C34D5B"/>
    <w:rsid w:val="00C434C0"/>
    <w:rsid w:val="00C44FDD"/>
    <w:rsid w:val="00C8150D"/>
    <w:rsid w:val="00C87C64"/>
    <w:rsid w:val="00CC29AA"/>
    <w:rsid w:val="00CF5A3E"/>
    <w:rsid w:val="00D301A0"/>
    <w:rsid w:val="00D42D90"/>
    <w:rsid w:val="00D64610"/>
    <w:rsid w:val="00DA2E58"/>
    <w:rsid w:val="00DB3A4B"/>
    <w:rsid w:val="00DC4FA9"/>
    <w:rsid w:val="00E0510C"/>
    <w:rsid w:val="00E52C7A"/>
    <w:rsid w:val="00E54E94"/>
    <w:rsid w:val="00EB14B8"/>
    <w:rsid w:val="00EB5BF5"/>
    <w:rsid w:val="00EE35E7"/>
    <w:rsid w:val="00EF5963"/>
    <w:rsid w:val="00F03B3A"/>
    <w:rsid w:val="00F245FA"/>
    <w:rsid w:val="00F2619F"/>
    <w:rsid w:val="00F30321"/>
    <w:rsid w:val="00F60B26"/>
    <w:rsid w:val="00F67B6F"/>
    <w:rsid w:val="00F71244"/>
    <w:rsid w:val="00F74DBC"/>
    <w:rsid w:val="00F9149F"/>
    <w:rsid w:val="00FA102C"/>
    <w:rsid w:val="00FB299E"/>
    <w:rsid w:val="00FC7E12"/>
    <w:rsid w:val="00FD1AF9"/>
    <w:rsid w:val="00FE10EA"/>
    <w:rsid w:val="00FE400C"/>
    <w:rsid w:val="00FF0F6D"/>
    <w:rsid w:val="00FF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7D3B6C"/>
    <w:rPr>
      <w:rFonts w:ascii="Tahoma" w:hAnsi="Tahoma" w:cs="Tahoma"/>
      <w:sz w:val="16"/>
      <w:szCs w:val="16"/>
    </w:rPr>
  </w:style>
  <w:style w:type="character" w:customStyle="1" w:styleId="BalloonTextChar">
    <w:name w:val="Balloon Text Char"/>
    <w:basedOn w:val="DefaultParagraphFont"/>
    <w:link w:val="BalloonText"/>
    <w:uiPriority w:val="99"/>
    <w:semiHidden/>
    <w:rsid w:val="007D3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7D3B6C"/>
    <w:rPr>
      <w:rFonts w:ascii="Tahoma" w:hAnsi="Tahoma" w:cs="Tahoma"/>
      <w:sz w:val="16"/>
      <w:szCs w:val="16"/>
    </w:rPr>
  </w:style>
  <w:style w:type="character" w:customStyle="1" w:styleId="BalloonTextChar">
    <w:name w:val="Balloon Text Char"/>
    <w:basedOn w:val="DefaultParagraphFont"/>
    <w:link w:val="BalloonText"/>
    <w:uiPriority w:val="99"/>
    <w:semiHidden/>
    <w:rsid w:val="007D3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D82A5-8182-437F-B082-621CFDEC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2018-02-15T20:37:00Z</cp:lastPrinted>
  <dcterms:created xsi:type="dcterms:W3CDTF">2018-06-27T19:15:00Z</dcterms:created>
  <dcterms:modified xsi:type="dcterms:W3CDTF">2018-06-27T19:15:00Z</dcterms:modified>
</cp:coreProperties>
</file>