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b/>
          <w:spacing w:val="-5"/>
          <w:kern w:val="20"/>
          <w:sz w:val="24"/>
          <w:szCs w:val="24"/>
        </w:rPr>
      </w:pPr>
      <w:bookmarkStart w:id="0" w:name="_GoBack"/>
      <w:bookmarkEnd w:id="0"/>
      <w:r w:rsidRPr="00C645A0">
        <w:rPr>
          <w:rFonts w:ascii="Century Schoolbook" w:eastAsia="Times New Roman" w:hAnsi="Century Schoolbook" w:cs="Courier New"/>
          <w:b/>
          <w:spacing w:val="-5"/>
          <w:kern w:val="20"/>
          <w:sz w:val="24"/>
          <w:szCs w:val="24"/>
        </w:rPr>
        <w:t>252.234-7002  Earned Value Management System.</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 xml:space="preserve">As prescribed in </w:t>
      </w:r>
      <w:hyperlink r:id="rId7" w:anchor="234.203" w:history="1">
        <w:r w:rsidRPr="00C645A0">
          <w:rPr>
            <w:rFonts w:ascii="Century Schoolbook" w:eastAsia="Times New Roman" w:hAnsi="Century Schoolbook" w:cs="Courier New"/>
            <w:color w:val="0000FF"/>
            <w:spacing w:val="-5"/>
            <w:kern w:val="20"/>
            <w:sz w:val="24"/>
            <w:szCs w:val="24"/>
            <w:u w:val="single"/>
          </w:rPr>
          <w:t>234.203</w:t>
        </w:r>
      </w:hyperlink>
      <w:r w:rsidRPr="00C645A0">
        <w:rPr>
          <w:rFonts w:ascii="Century Schoolbook" w:eastAsia="Times New Roman" w:hAnsi="Century Schoolbook" w:cs="Courier New"/>
          <w:spacing w:val="-5"/>
          <w:kern w:val="20"/>
          <w:sz w:val="24"/>
          <w:szCs w:val="24"/>
        </w:rPr>
        <w:t>(2), use the following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EARNED VALUE MANAGEMENT SYSTEM (MAY 2011)</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(a)  </w:t>
      </w:r>
      <w:r w:rsidRPr="00C645A0">
        <w:rPr>
          <w:rFonts w:ascii="Century Schoolbook" w:eastAsia="Times New Roman" w:hAnsi="Century Schoolbook" w:cs="Courier New"/>
          <w:i/>
          <w:spacing w:val="-5"/>
          <w:kern w:val="20"/>
          <w:sz w:val="24"/>
          <w:szCs w:val="24"/>
        </w:rPr>
        <w:t>Definitions.</w:t>
      </w:r>
      <w:r w:rsidRPr="00C645A0">
        <w:rPr>
          <w:rFonts w:ascii="Century Schoolbook" w:eastAsia="Times New Roman" w:hAnsi="Century Schoolbook" w:cs="Courier New"/>
          <w:spacing w:val="-5"/>
          <w:kern w:val="20"/>
          <w:sz w:val="24"/>
          <w:szCs w:val="24"/>
        </w:rPr>
        <w:t xml:space="preserve">  As used in this clause</w:t>
      </w:r>
      <w:r w:rsidR="0023123B">
        <w:rPr>
          <w:rFonts w:ascii="Century Schoolbook" w:eastAsia="Times New Roman" w:hAnsi="Century Schoolbook" w:cs="Courier New"/>
          <w:spacing w:val="-5"/>
          <w:kern w:val="20"/>
          <w:sz w:val="24"/>
          <w:szCs w:val="24"/>
        </w:rPr>
        <w:t>—</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“Acceptable earned value management system” means an earned value management system that generally complies with system criteria in paragraph (b)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“Earned value management system” means an earned value management system that complies with the earned value management system guidelines in the ANSI/EIA-748.</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“Significant deficiency” means a shortcoming in the system that materially affects the ability of officials of the Department of Defense to rely upon information produced by the system that is needed for management purposes.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(b)  </w:t>
      </w:r>
      <w:r w:rsidRPr="00C645A0">
        <w:rPr>
          <w:rFonts w:ascii="Century Schoolbook" w:eastAsia="Times New Roman" w:hAnsi="Century Schoolbook" w:cs="Courier New"/>
          <w:i/>
          <w:spacing w:val="-5"/>
          <w:kern w:val="20"/>
          <w:sz w:val="24"/>
          <w:szCs w:val="24"/>
        </w:rPr>
        <w:t>System criteria</w:t>
      </w:r>
      <w:r w:rsidRPr="00C645A0">
        <w:rPr>
          <w:rFonts w:ascii="Century Schoolbook" w:eastAsia="Times New Roman" w:hAnsi="Century Schoolbook" w:cs="Courier New"/>
          <w:spacing w:val="-5"/>
          <w:kern w:val="20"/>
          <w:sz w:val="24"/>
          <w:szCs w:val="24"/>
        </w:rPr>
        <w:t>.  In the performance of this contract, the Contractor shall 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(1)  An Earned Value Management System (EVMS) that complies with the EVMS guidelines in the American National Standards Institute/Electronic Industries Alliance Standard 748, Earned Value Management Systems (ANSI/EIA-748); and</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(2)  Management procedures that provide for generation of timely, reliable, and verifiable information for the Contract Performance Report (CPR) and the Integrated Master Schedule (IMS) required by the CPR and IMS data items of this contract.</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(d)  If this contract has a value of less than $50 million, the Government will not</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(e)  The Contractor shall submit notification of any proposed substantive changes to</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the EVMS procedures and the impact of those changes to the CFA.  If this contract has a value of $50 million or more, unless a waiver is granted by the CFA, any EVMS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rsid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E225FF" w:rsidRPr="00C645A0" w:rsidRDefault="00E225FF"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(f)  The Government will schedule integrated baseline reviews as early as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practicable, and the review process will be conducted not later than 180 calendar days after—</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 (1)  Contract award;</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(2)  The exercise of significant contract options; and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(3)  The incorporation of major modifications.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(g)  The Contractor shall provide access to all pertinent records and data requested</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 xml:space="preserve">by the Contracting Officer or duly authorized representative as necessary to permit Government surveillance to ensure that the EVMS complies, and continues to comply,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with the performance criteria referenced in paragraph (b)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(h)  When indicated by contract performance, the Contractor shall submit a request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(i)  </w:t>
      </w:r>
      <w:r w:rsidRPr="00C645A0">
        <w:rPr>
          <w:rFonts w:ascii="Century Schoolbook" w:eastAsia="Times New Roman" w:hAnsi="Century Schoolbook" w:cs="Courier New"/>
          <w:i/>
          <w:spacing w:val="-5"/>
          <w:kern w:val="20"/>
          <w:sz w:val="24"/>
          <w:szCs w:val="24"/>
        </w:rPr>
        <w:t>Significant deficiencies</w:t>
      </w:r>
      <w:r w:rsidRPr="00C645A0">
        <w:rPr>
          <w:rFonts w:ascii="Century Schoolbook" w:eastAsia="Times New Roman" w:hAnsi="Century Schoolbook" w:cs="Courier New"/>
          <w:spacing w:val="-5"/>
          <w:kern w:val="20"/>
          <w:sz w:val="24"/>
          <w:szCs w:val="24"/>
        </w:rPr>
        <w:t>.  (1)  The Contracting Officer will provide an initial determination to the Contractor, in writing, of any significant deficiencies.  The initial determination will describe the deficiency in sufficient detail to allow the Contractor to understand the deficiency.</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(3)  The Contracting Officer will evaluate the Contractor's response and notify the Contractor, in writing, of the Contracting Officer’s final determination concerning—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(i)  Remaining significant deficiencies;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(ii)  The adequacy of any proposed or completed corrective action;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(iii)  System noncompliance, when the Contractor’s existing EVMS fails to comply with the earned value management system guidelines in the ANSI/EIA-748; and</w:t>
      </w:r>
    </w:p>
    <w:p w:rsid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E225FF" w:rsidRDefault="00E225FF"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E225FF" w:rsidRDefault="00E225FF"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E225FF" w:rsidRDefault="00E225FF"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E225FF" w:rsidRPr="00C645A0" w:rsidRDefault="00E225FF"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 xml:space="preserve">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(j)  </w:t>
      </w:r>
      <w:r w:rsidRPr="00C645A0">
        <w:rPr>
          <w:rFonts w:ascii="Century Schoolbook" w:eastAsia="Times New Roman" w:hAnsi="Century Schoolbook" w:cs="Courier New"/>
          <w:i/>
          <w:spacing w:val="-5"/>
          <w:kern w:val="20"/>
          <w:sz w:val="24"/>
          <w:szCs w:val="24"/>
        </w:rPr>
        <w:t>Withholding payments</w:t>
      </w:r>
      <w:r w:rsidRPr="00C645A0">
        <w:rPr>
          <w:rFonts w:ascii="Century Schoolbook" w:eastAsia="Times New Roman" w:hAnsi="Century Schoolbook" w:cs="Courier New"/>
          <w:spacing w:val="-5"/>
          <w:kern w:val="20"/>
          <w:sz w:val="24"/>
          <w:szCs w:val="24"/>
        </w:rPr>
        <w:t xml:space="preserve">.  If the Contracting Officer makes a final determination to disapprove the Contractor’s EVMS, and the contract includes the clause at </w:t>
      </w:r>
      <w:hyperlink r:id="rId8" w:anchor="252.242-7005" w:history="1">
        <w:r w:rsidRPr="00C645A0">
          <w:rPr>
            <w:rFonts w:ascii="Century Schoolbook" w:eastAsia="Times New Roman" w:hAnsi="Century Schoolbook" w:cs="Courier New"/>
            <w:color w:val="0000FF"/>
            <w:spacing w:val="-5"/>
            <w:kern w:val="20"/>
            <w:sz w:val="24"/>
            <w:szCs w:val="24"/>
            <w:u w:val="single"/>
          </w:rPr>
          <w:t>252.242-7005</w:t>
        </w:r>
      </w:hyperlink>
      <w:r w:rsidRPr="00C645A0">
        <w:rPr>
          <w:rFonts w:ascii="Century Schoolbook" w:eastAsia="Times New Roman" w:hAnsi="Century Schoolbook" w:cs="Courier New"/>
          <w:spacing w:val="-5"/>
          <w:kern w:val="20"/>
          <w:sz w:val="24"/>
          <w:szCs w:val="24"/>
        </w:rPr>
        <w:t>, Contractor Business Systems, the Contracting Officer will withhold payments in accordance with that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(k)  With the exception of paragraphs (i) and (j) of this clause, the Contractor shall require its subcontractors to comply with EVMS requirements as follows: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(1)  For subcontracts valued at $50 million</w:t>
      </w:r>
      <w:r w:rsidRPr="00C645A0">
        <w:rPr>
          <w:rFonts w:ascii="Century Schoolbook" w:eastAsia="Times New Roman" w:hAnsi="Century Schoolbook" w:cs="Courier New"/>
          <w:strike/>
          <w:spacing w:val="-5"/>
          <w:kern w:val="20"/>
          <w:sz w:val="24"/>
          <w:szCs w:val="24"/>
        </w:rPr>
        <w:t xml:space="preserve"> </w:t>
      </w:r>
      <w:r w:rsidRPr="00C645A0">
        <w:rPr>
          <w:rFonts w:ascii="Century Schoolbook" w:eastAsia="Times New Roman" w:hAnsi="Century Schoolbook" w:cs="Courier New"/>
          <w:spacing w:val="-5"/>
          <w:kern w:val="20"/>
          <w:sz w:val="24"/>
          <w:szCs w:val="24"/>
        </w:rPr>
        <w:t>or more, the following subcontractors shall comply with the requirements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pacing w:val="-5"/>
          <w:kern w:val="20"/>
          <w:sz w:val="24"/>
          <w:szCs w:val="24"/>
        </w:rPr>
      </w:pP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t>[Contracting Officer to insert names of subcontractors (or subcontracted effort if subcontractors have not been selected) designated for application of the EVMS requirements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bl>
      <w:tblPr>
        <w:tblW w:w="0" w:type="auto"/>
        <w:tblInd w:w="918" w:type="dxa"/>
        <w:tblLayout w:type="fixed"/>
        <w:tblLook w:val="0000" w:firstRow="0" w:lastRow="0" w:firstColumn="0" w:lastColumn="0" w:noHBand="0" w:noVBand="0"/>
      </w:tblPr>
      <w:tblGrid>
        <w:gridCol w:w="8190"/>
      </w:tblGrid>
      <w:tr w:rsidR="00C645A0" w:rsidRPr="00C645A0" w:rsidTr="00E96781">
        <w:tc>
          <w:tcPr>
            <w:tcW w:w="8190" w:type="dxa"/>
            <w:tcBorders>
              <w:top w:val="nil"/>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single" w:sz="6" w:space="0" w:color="auto"/>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bl>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(2)  For subcontracts valued at less than $50 million, the following subcontractors shall comply with the requirements of this clause, excluding the requirements of paragraph (c)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pacing w:val="-5"/>
          <w:kern w:val="20"/>
          <w:sz w:val="24"/>
          <w:szCs w:val="24"/>
        </w:rPr>
      </w:pP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t>[Contracting Officer to insert names of subcontractors (or subcontracted effort if subcontractors have not been selected) designated for application of the EVMS requirements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bl>
      <w:tblPr>
        <w:tblW w:w="0" w:type="auto"/>
        <w:tblInd w:w="918" w:type="dxa"/>
        <w:tblLayout w:type="fixed"/>
        <w:tblLook w:val="0000" w:firstRow="0" w:lastRow="0" w:firstColumn="0" w:lastColumn="0" w:noHBand="0" w:noVBand="0"/>
      </w:tblPr>
      <w:tblGrid>
        <w:gridCol w:w="8190"/>
      </w:tblGrid>
      <w:tr w:rsidR="00C645A0" w:rsidRPr="00C645A0" w:rsidTr="00E96781">
        <w:tc>
          <w:tcPr>
            <w:tcW w:w="8190" w:type="dxa"/>
            <w:tcBorders>
              <w:top w:val="nil"/>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single" w:sz="6" w:space="0" w:color="auto"/>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bl>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overflowPunct w:val="0"/>
        <w:autoSpaceDE w:val="0"/>
        <w:autoSpaceDN w:val="0"/>
        <w:adjustRightInd w:val="0"/>
        <w:spacing w:after="0" w:line="240" w:lineRule="exact"/>
        <w:jc w:val="center"/>
        <w:textAlignment w:val="baseline"/>
        <w:rPr>
          <w:rFonts w:ascii="Century Schoolbook" w:eastAsia="Calibri" w:hAnsi="Century Schoolbook" w:cs="Courier New"/>
          <w:sz w:val="24"/>
          <w:szCs w:val="24"/>
        </w:rPr>
      </w:pPr>
      <w:r w:rsidRPr="00C645A0">
        <w:rPr>
          <w:rFonts w:ascii="Century Schoolbook" w:eastAsia="Calibri" w:hAnsi="Century Schoolbook" w:cs="Courier New"/>
          <w:sz w:val="24"/>
          <w:szCs w:val="24"/>
        </w:rPr>
        <w:t>(End of clause)</w:t>
      </w:r>
    </w:p>
    <w:p w:rsidR="00C278BD" w:rsidRDefault="000F4CC2"/>
    <w:sectPr w:rsidR="00C278BD" w:rsidSect="00F419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5FF" w:rsidRDefault="00E225FF" w:rsidP="00E225FF">
      <w:pPr>
        <w:spacing w:after="0" w:line="240" w:lineRule="auto"/>
      </w:pPr>
      <w:r>
        <w:separator/>
      </w:r>
    </w:p>
  </w:endnote>
  <w:endnote w:type="continuationSeparator" w:id="0">
    <w:p w:rsidR="00E225FF" w:rsidRDefault="00E225FF" w:rsidP="00E2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70333"/>
      <w:docPartObj>
        <w:docPartGallery w:val="Page Numbers (Bottom of Page)"/>
        <w:docPartUnique/>
      </w:docPartObj>
    </w:sdtPr>
    <w:sdtEndPr/>
    <w:sdtContent>
      <w:sdt>
        <w:sdtPr>
          <w:id w:val="1728636285"/>
          <w:docPartObj>
            <w:docPartGallery w:val="Page Numbers (Top of Page)"/>
            <w:docPartUnique/>
          </w:docPartObj>
        </w:sdtPr>
        <w:sdtEndPr/>
        <w:sdtContent>
          <w:p w:rsidR="00E225FF" w:rsidRDefault="00E225FF">
            <w:pPr>
              <w:pStyle w:val="Footer"/>
              <w:jc w:val="center"/>
            </w:pPr>
          </w:p>
          <w:p w:rsidR="00E225FF" w:rsidRDefault="00E225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4C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4CC2">
              <w:rPr>
                <w:b/>
                <w:bCs/>
                <w:noProof/>
              </w:rPr>
              <w:t>1</w:t>
            </w:r>
            <w:r>
              <w:rPr>
                <w:b/>
                <w:bCs/>
                <w:sz w:val="24"/>
                <w:szCs w:val="24"/>
              </w:rPr>
              <w:fldChar w:fldCharType="end"/>
            </w:r>
          </w:p>
        </w:sdtContent>
      </w:sdt>
    </w:sdtContent>
  </w:sdt>
  <w:p w:rsidR="00E225FF" w:rsidRDefault="00E22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5FF" w:rsidRDefault="00E225FF" w:rsidP="00E225FF">
      <w:pPr>
        <w:spacing w:after="0" w:line="240" w:lineRule="auto"/>
      </w:pPr>
      <w:r>
        <w:separator/>
      </w:r>
    </w:p>
  </w:footnote>
  <w:footnote w:type="continuationSeparator" w:id="0">
    <w:p w:rsidR="00E225FF" w:rsidRDefault="00E225FF" w:rsidP="00E22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A0"/>
    <w:rsid w:val="00020673"/>
    <w:rsid w:val="00094F4D"/>
    <w:rsid w:val="000E0D19"/>
    <w:rsid w:val="000F4CC2"/>
    <w:rsid w:val="0023123B"/>
    <w:rsid w:val="002B5F17"/>
    <w:rsid w:val="0050595B"/>
    <w:rsid w:val="005D25A8"/>
    <w:rsid w:val="00740079"/>
    <w:rsid w:val="007B3777"/>
    <w:rsid w:val="007C2E72"/>
    <w:rsid w:val="00853D8A"/>
    <w:rsid w:val="00861EF5"/>
    <w:rsid w:val="008C0E3D"/>
    <w:rsid w:val="008D0DE4"/>
    <w:rsid w:val="00B331CC"/>
    <w:rsid w:val="00B50FAE"/>
    <w:rsid w:val="00BE654A"/>
    <w:rsid w:val="00C645A0"/>
    <w:rsid w:val="00D8782F"/>
    <w:rsid w:val="00DC7077"/>
    <w:rsid w:val="00E225FF"/>
    <w:rsid w:val="00E52513"/>
    <w:rsid w:val="00E7495C"/>
    <w:rsid w:val="00F4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FF"/>
  </w:style>
  <w:style w:type="paragraph" w:styleId="Footer">
    <w:name w:val="footer"/>
    <w:basedOn w:val="Normal"/>
    <w:link w:val="FooterChar"/>
    <w:uiPriority w:val="99"/>
    <w:unhideWhenUsed/>
    <w:rsid w:val="00E22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FF"/>
  </w:style>
  <w:style w:type="paragraph" w:styleId="Footer">
    <w:name w:val="footer"/>
    <w:basedOn w:val="Normal"/>
    <w:link w:val="FooterChar"/>
    <w:uiPriority w:val="99"/>
    <w:unhideWhenUsed/>
    <w:rsid w:val="00E22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42.htm" TargetMode="External"/><Relationship Id="rId3" Type="http://schemas.openxmlformats.org/officeDocument/2006/relationships/settings" Target="settings.xml"/><Relationship Id="rId7" Type="http://schemas.openxmlformats.org/officeDocument/2006/relationships/hyperlink" Target="http://www.acq.osd.mil/dpap/dars/dfars/html/current/234_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Quinones</dc:creator>
  <cp:lastModifiedBy>SYSTEM</cp:lastModifiedBy>
  <cp:revision>2</cp:revision>
  <dcterms:created xsi:type="dcterms:W3CDTF">2018-04-26T15:43:00Z</dcterms:created>
  <dcterms:modified xsi:type="dcterms:W3CDTF">2018-04-26T15:43:00Z</dcterms:modified>
</cp:coreProperties>
</file>