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0F" w:rsidRPr="005062AE" w:rsidRDefault="00227CC7" w:rsidP="00B4309C">
      <w:pPr>
        <w:jc w:val="center"/>
        <w:rPr>
          <w:color w:val="0066FF"/>
          <w:sz w:val="32"/>
          <w:szCs w:val="32"/>
          <w:u w:val="single"/>
        </w:rPr>
      </w:pPr>
      <w:bookmarkStart w:id="0" w:name="_GoBack"/>
      <w:bookmarkEnd w:id="0"/>
      <w:r w:rsidRPr="005062AE">
        <w:rPr>
          <w:b/>
          <w:color w:val="0066FF"/>
          <w:sz w:val="32"/>
          <w:szCs w:val="32"/>
          <w:u w:val="single"/>
        </w:rPr>
        <w:t xml:space="preserve">Agenda for </w:t>
      </w:r>
      <w:r w:rsidR="001B472C" w:rsidRPr="005062AE">
        <w:rPr>
          <w:b/>
          <w:color w:val="0066FF"/>
          <w:sz w:val="32"/>
          <w:szCs w:val="32"/>
          <w:u w:val="single"/>
        </w:rPr>
        <w:t>NSFG Workshop on the A</w:t>
      </w:r>
      <w:r w:rsidR="00FD73EB" w:rsidRPr="005062AE">
        <w:rPr>
          <w:b/>
          <w:color w:val="0066FF"/>
          <w:sz w:val="32"/>
          <w:szCs w:val="32"/>
          <w:u w:val="single"/>
        </w:rPr>
        <w:t>ffordable Care Act</w:t>
      </w:r>
      <w:r w:rsidR="008248EE" w:rsidRPr="005062AE">
        <w:rPr>
          <w:color w:val="0066FF"/>
          <w:sz w:val="32"/>
          <w:szCs w:val="32"/>
          <w:u w:val="single"/>
        </w:rPr>
        <w:t xml:space="preserve"> </w:t>
      </w:r>
    </w:p>
    <w:p w:rsidR="00155F6D" w:rsidRPr="00601377" w:rsidRDefault="00155F6D" w:rsidP="00B4309C">
      <w:pPr>
        <w:jc w:val="center"/>
        <w:rPr>
          <w:sz w:val="32"/>
          <w:szCs w:val="32"/>
          <w:u w:val="single"/>
        </w:rPr>
      </w:pPr>
      <w:r w:rsidRPr="00601377">
        <w:rPr>
          <w:b/>
          <w:sz w:val="28"/>
          <w:szCs w:val="28"/>
        </w:rPr>
        <w:t>November 21-22, 2013</w:t>
      </w:r>
    </w:p>
    <w:p w:rsidR="00A64887" w:rsidRDefault="00A64887" w:rsidP="00B4309C">
      <w:pPr>
        <w:jc w:val="center"/>
        <w:rPr>
          <w:sz w:val="24"/>
          <w:szCs w:val="24"/>
        </w:rPr>
      </w:pPr>
      <w:r w:rsidRPr="00A4013A">
        <w:rPr>
          <w:sz w:val="24"/>
          <w:szCs w:val="24"/>
        </w:rPr>
        <w:t>National Center for Health Statistics</w:t>
      </w:r>
      <w:r w:rsidR="00155F6D">
        <w:rPr>
          <w:sz w:val="24"/>
          <w:szCs w:val="24"/>
        </w:rPr>
        <w:t>, Hyattsville, MD</w:t>
      </w:r>
    </w:p>
    <w:p w:rsidR="00A25C6F" w:rsidRPr="00A25C6F" w:rsidRDefault="00A25C6F" w:rsidP="00B4309C">
      <w:pPr>
        <w:jc w:val="center"/>
        <w:rPr>
          <w:b/>
          <w:sz w:val="28"/>
          <w:szCs w:val="24"/>
        </w:rPr>
      </w:pPr>
      <w:r w:rsidRPr="00A25C6F">
        <w:rPr>
          <w:b/>
          <w:sz w:val="28"/>
          <w:szCs w:val="24"/>
        </w:rPr>
        <w:t>R</w:t>
      </w:r>
      <w:r>
        <w:rPr>
          <w:b/>
          <w:sz w:val="28"/>
          <w:szCs w:val="24"/>
        </w:rPr>
        <w:t>oom</w:t>
      </w:r>
      <w:r w:rsidRPr="00A25C6F">
        <w:rPr>
          <w:b/>
          <w:sz w:val="28"/>
          <w:szCs w:val="24"/>
        </w:rPr>
        <w:t xml:space="preserve"> 7407</w:t>
      </w:r>
    </w:p>
    <w:p w:rsidR="001B472C" w:rsidRPr="00601377" w:rsidRDefault="00F30CE1" w:rsidP="00B4309C">
      <w:pPr>
        <w:jc w:val="center"/>
        <w:rPr>
          <w:b/>
          <w:sz w:val="28"/>
          <w:szCs w:val="28"/>
        </w:rPr>
      </w:pPr>
      <w:r w:rsidRPr="00A4013A">
        <w:rPr>
          <w:sz w:val="24"/>
          <w:szCs w:val="24"/>
        </w:rPr>
        <w:t xml:space="preserve"> </w:t>
      </w:r>
    </w:p>
    <w:p w:rsidR="00C03922" w:rsidRPr="00DD6EB1" w:rsidRDefault="000610F1">
      <w:pPr>
        <w:rPr>
          <w:sz w:val="28"/>
          <w:szCs w:val="28"/>
        </w:rPr>
      </w:pPr>
      <w:r w:rsidRPr="00DD6EB1">
        <w:rPr>
          <w:b/>
          <w:sz w:val="28"/>
          <w:szCs w:val="28"/>
        </w:rPr>
        <w:t>NSFG Telec</w:t>
      </w:r>
      <w:r w:rsidR="00C73ECA" w:rsidRPr="00DD6EB1">
        <w:rPr>
          <w:b/>
          <w:sz w:val="28"/>
          <w:szCs w:val="28"/>
        </w:rPr>
        <w:t>onference Line:</w:t>
      </w:r>
      <w:r w:rsidR="000517D8" w:rsidRPr="00DD6EB1">
        <w:rPr>
          <w:b/>
          <w:sz w:val="28"/>
          <w:szCs w:val="28"/>
        </w:rPr>
        <w:t xml:space="preserve">  </w:t>
      </w:r>
      <w:r w:rsidR="00C73ECA" w:rsidRPr="00DD6EB1">
        <w:rPr>
          <w:sz w:val="28"/>
          <w:szCs w:val="28"/>
        </w:rPr>
        <w:t>1-877-327-1531, password</w:t>
      </w:r>
      <w:r w:rsidR="000517D8" w:rsidRPr="00DD6EB1">
        <w:rPr>
          <w:sz w:val="28"/>
          <w:szCs w:val="28"/>
        </w:rPr>
        <w:t xml:space="preserve"> </w:t>
      </w:r>
      <w:r w:rsidR="007325B9" w:rsidRPr="00DD6EB1">
        <w:rPr>
          <w:sz w:val="28"/>
          <w:szCs w:val="28"/>
        </w:rPr>
        <w:t>89677</w:t>
      </w:r>
      <w:r w:rsidR="0064309E" w:rsidRPr="00DD6EB1">
        <w:rPr>
          <w:sz w:val="28"/>
          <w:szCs w:val="28"/>
        </w:rPr>
        <w:t>13</w:t>
      </w:r>
    </w:p>
    <w:p w:rsidR="00C73ECA" w:rsidRDefault="00C73ECA">
      <w:pPr>
        <w:rPr>
          <w:sz w:val="24"/>
          <w:szCs w:val="24"/>
        </w:rPr>
      </w:pPr>
    </w:p>
    <w:p w:rsidR="001B472C" w:rsidRPr="00505206" w:rsidRDefault="00A64887">
      <w:pPr>
        <w:rPr>
          <w:b/>
          <w:color w:val="0066FF"/>
          <w:sz w:val="28"/>
          <w:szCs w:val="28"/>
          <w:u w:val="single"/>
        </w:rPr>
      </w:pPr>
      <w:r w:rsidRPr="00505206">
        <w:rPr>
          <w:b/>
          <w:color w:val="0066FF"/>
          <w:sz w:val="28"/>
          <w:szCs w:val="28"/>
          <w:u w:val="single"/>
        </w:rPr>
        <w:t xml:space="preserve">Thursday, </w:t>
      </w:r>
      <w:r w:rsidR="000E26E0" w:rsidRPr="00505206">
        <w:rPr>
          <w:b/>
          <w:color w:val="0066FF"/>
          <w:sz w:val="28"/>
          <w:szCs w:val="28"/>
          <w:u w:val="single"/>
        </w:rPr>
        <w:t>November 21</w:t>
      </w:r>
      <w:r w:rsidRPr="00505206">
        <w:rPr>
          <w:b/>
          <w:color w:val="0066FF"/>
          <w:sz w:val="28"/>
          <w:szCs w:val="28"/>
          <w:u w:val="single"/>
        </w:rPr>
        <w:t>, 2013</w:t>
      </w:r>
    </w:p>
    <w:p w:rsidR="00A64887" w:rsidRDefault="00A64887">
      <w:pPr>
        <w:rPr>
          <w:b/>
          <w:sz w:val="24"/>
          <w:szCs w:val="24"/>
        </w:rPr>
      </w:pPr>
    </w:p>
    <w:p w:rsidR="003D3CF3" w:rsidRDefault="003D3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8:30</w:t>
      </w:r>
      <w:r>
        <w:rPr>
          <w:b/>
          <w:sz w:val="24"/>
          <w:szCs w:val="24"/>
        </w:rPr>
        <w:tab/>
        <w:t>Coffee &amp; light refreshments</w:t>
      </w:r>
    </w:p>
    <w:p w:rsidR="003D3CF3" w:rsidRDefault="003D3CF3">
      <w:pPr>
        <w:rPr>
          <w:b/>
          <w:sz w:val="24"/>
          <w:szCs w:val="24"/>
        </w:rPr>
      </w:pPr>
    </w:p>
    <w:p w:rsidR="007610DF" w:rsidRPr="001312B1" w:rsidRDefault="007610DF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 xml:space="preserve">9:00 </w:t>
      </w:r>
      <w:r w:rsidR="00BC6163" w:rsidRPr="001312B1">
        <w:rPr>
          <w:b/>
          <w:sz w:val="24"/>
          <w:szCs w:val="24"/>
        </w:rPr>
        <w:tab/>
      </w:r>
      <w:r w:rsidR="005237F0">
        <w:rPr>
          <w:b/>
          <w:sz w:val="24"/>
          <w:szCs w:val="24"/>
        </w:rPr>
        <w:t>Call to order, and brief introductions to NSFG team</w:t>
      </w:r>
    </w:p>
    <w:p w:rsidR="007610DF" w:rsidRPr="001312B1" w:rsidRDefault="007610DF">
      <w:pPr>
        <w:rPr>
          <w:b/>
          <w:sz w:val="24"/>
          <w:szCs w:val="24"/>
        </w:rPr>
      </w:pPr>
    </w:p>
    <w:p w:rsidR="002F7BA8" w:rsidRPr="001312B1" w:rsidRDefault="007610DF" w:rsidP="002F7BA8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 xml:space="preserve">9:15 </w:t>
      </w:r>
      <w:r w:rsidR="00BC6163" w:rsidRPr="001312B1">
        <w:rPr>
          <w:b/>
          <w:sz w:val="24"/>
          <w:szCs w:val="24"/>
        </w:rPr>
        <w:tab/>
      </w:r>
      <w:r w:rsidR="002F7BA8" w:rsidRPr="001312B1">
        <w:rPr>
          <w:b/>
          <w:sz w:val="24"/>
          <w:szCs w:val="24"/>
        </w:rPr>
        <w:t xml:space="preserve">Around the table </w:t>
      </w:r>
      <w:r w:rsidR="009A1F7D">
        <w:rPr>
          <w:b/>
          <w:sz w:val="24"/>
          <w:szCs w:val="24"/>
        </w:rPr>
        <w:t>and on the phone</w:t>
      </w:r>
    </w:p>
    <w:p w:rsidR="002F7BA8" w:rsidRDefault="002F7BA8" w:rsidP="002F7BA8">
      <w:pPr>
        <w:ind w:left="720"/>
        <w:rPr>
          <w:sz w:val="24"/>
          <w:szCs w:val="24"/>
        </w:rPr>
      </w:pPr>
      <w:r>
        <w:rPr>
          <w:sz w:val="24"/>
          <w:szCs w:val="24"/>
        </w:rPr>
        <w:t>Invited experts</w:t>
      </w:r>
      <w:r w:rsidR="000E26E0">
        <w:rPr>
          <w:sz w:val="24"/>
          <w:szCs w:val="24"/>
        </w:rPr>
        <w:t xml:space="preserve"> </w:t>
      </w:r>
      <w:r>
        <w:rPr>
          <w:sz w:val="24"/>
          <w:szCs w:val="24"/>
        </w:rPr>
        <w:t>and funding agency representatives introduce</w:t>
      </w:r>
      <w:r w:rsidRPr="001312B1">
        <w:rPr>
          <w:sz w:val="24"/>
          <w:szCs w:val="24"/>
        </w:rPr>
        <w:t xml:space="preserve"> themselves </w:t>
      </w:r>
      <w:r>
        <w:rPr>
          <w:sz w:val="24"/>
          <w:szCs w:val="24"/>
        </w:rPr>
        <w:t>and their interests in the NSFG and this ACA meeting</w:t>
      </w:r>
      <w:r w:rsidR="009A1F7D">
        <w:rPr>
          <w:sz w:val="24"/>
          <w:szCs w:val="24"/>
        </w:rPr>
        <w:t>.</w:t>
      </w:r>
    </w:p>
    <w:p w:rsidR="002F7BA8" w:rsidRDefault="002F7BA8">
      <w:pPr>
        <w:rPr>
          <w:b/>
          <w:sz w:val="24"/>
          <w:szCs w:val="24"/>
        </w:rPr>
      </w:pPr>
    </w:p>
    <w:p w:rsidR="000E26E0" w:rsidRDefault="002F7BA8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</w:t>
      </w:r>
      <w:r w:rsidR="00B4779F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  </w:t>
      </w:r>
      <w:r w:rsidR="000E26E0">
        <w:rPr>
          <w:b/>
          <w:sz w:val="24"/>
          <w:szCs w:val="24"/>
        </w:rPr>
        <w:t>Presentation by Bill Mosher</w:t>
      </w:r>
    </w:p>
    <w:p w:rsidR="00C03922" w:rsidRPr="00B4779F" w:rsidRDefault="007610DF" w:rsidP="00C03922">
      <w:pPr>
        <w:ind w:firstLine="720"/>
        <w:rPr>
          <w:sz w:val="24"/>
          <w:szCs w:val="24"/>
        </w:rPr>
      </w:pPr>
      <w:r w:rsidRPr="00B4779F">
        <w:rPr>
          <w:sz w:val="24"/>
          <w:szCs w:val="24"/>
        </w:rPr>
        <w:t>Update on the st</w:t>
      </w:r>
      <w:r w:rsidR="00BC6163" w:rsidRPr="00B4779F">
        <w:rPr>
          <w:sz w:val="24"/>
          <w:szCs w:val="24"/>
        </w:rPr>
        <w:t xml:space="preserve">atus of the </w:t>
      </w:r>
      <w:r w:rsidR="007E1D5A">
        <w:rPr>
          <w:sz w:val="24"/>
          <w:szCs w:val="24"/>
        </w:rPr>
        <w:t>NSFG</w:t>
      </w:r>
    </w:p>
    <w:p w:rsidR="00F565B2" w:rsidRPr="00B4779F" w:rsidRDefault="00C03922" w:rsidP="00C03922">
      <w:pPr>
        <w:ind w:firstLine="720"/>
        <w:rPr>
          <w:sz w:val="24"/>
          <w:szCs w:val="24"/>
        </w:rPr>
      </w:pPr>
      <w:r w:rsidRPr="00B4779F">
        <w:rPr>
          <w:sz w:val="24"/>
          <w:szCs w:val="24"/>
        </w:rPr>
        <w:t>Goals of the meeting</w:t>
      </w:r>
      <w:r w:rsidR="00FE421B">
        <w:rPr>
          <w:sz w:val="24"/>
          <w:szCs w:val="24"/>
        </w:rPr>
        <w:t>, including rough timeline for 2015+ NSFG revision process</w:t>
      </w:r>
    </w:p>
    <w:p w:rsidR="007610DF" w:rsidRPr="00C03922" w:rsidRDefault="00F565B2">
      <w:pPr>
        <w:rPr>
          <w:sz w:val="24"/>
          <w:szCs w:val="24"/>
        </w:rPr>
      </w:pPr>
      <w:r w:rsidRPr="001312B1">
        <w:rPr>
          <w:b/>
          <w:sz w:val="24"/>
          <w:szCs w:val="24"/>
        </w:rPr>
        <w:tab/>
      </w:r>
    </w:p>
    <w:p w:rsidR="00F565B2" w:rsidRPr="001312B1" w:rsidRDefault="00F565B2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>10:</w:t>
      </w:r>
      <w:r w:rsidR="00B4779F">
        <w:rPr>
          <w:b/>
          <w:sz w:val="24"/>
          <w:szCs w:val="24"/>
        </w:rPr>
        <w:t>30</w:t>
      </w:r>
      <w:r w:rsidRPr="001312B1">
        <w:rPr>
          <w:b/>
          <w:sz w:val="24"/>
          <w:szCs w:val="24"/>
        </w:rPr>
        <w:tab/>
        <w:t>BREAK</w:t>
      </w:r>
      <w:r w:rsidRPr="001312B1">
        <w:rPr>
          <w:b/>
          <w:sz w:val="24"/>
          <w:szCs w:val="24"/>
        </w:rPr>
        <w:tab/>
      </w:r>
      <w:r w:rsidRPr="001312B1">
        <w:rPr>
          <w:b/>
          <w:sz w:val="24"/>
          <w:szCs w:val="24"/>
        </w:rPr>
        <w:tab/>
      </w:r>
    </w:p>
    <w:p w:rsidR="00F565B2" w:rsidRPr="001312B1" w:rsidRDefault="00F565B2">
      <w:pPr>
        <w:rPr>
          <w:b/>
          <w:sz w:val="24"/>
          <w:szCs w:val="24"/>
        </w:rPr>
      </w:pPr>
    </w:p>
    <w:p w:rsidR="003E18B4" w:rsidRDefault="00B4779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10:45</w:t>
      </w:r>
      <w:r w:rsidR="00F565B2" w:rsidRPr="001312B1">
        <w:rPr>
          <w:b/>
          <w:sz w:val="24"/>
          <w:szCs w:val="24"/>
        </w:rPr>
        <w:tab/>
      </w:r>
      <w:r w:rsidR="003E18B4">
        <w:rPr>
          <w:b/>
          <w:sz w:val="24"/>
          <w:szCs w:val="24"/>
        </w:rPr>
        <w:t>Presentation</w:t>
      </w:r>
      <w:r w:rsidR="000E26E0">
        <w:rPr>
          <w:b/>
          <w:sz w:val="24"/>
          <w:szCs w:val="24"/>
        </w:rPr>
        <w:t xml:space="preserve"> by Anjani Chandra</w:t>
      </w:r>
    </w:p>
    <w:p w:rsidR="00C71270" w:rsidRDefault="00EB3F22" w:rsidP="003E18B4">
      <w:pPr>
        <w:ind w:firstLine="720"/>
        <w:rPr>
          <w:sz w:val="24"/>
          <w:szCs w:val="24"/>
        </w:rPr>
      </w:pPr>
      <w:r w:rsidRPr="003E18B4">
        <w:rPr>
          <w:sz w:val="24"/>
          <w:szCs w:val="24"/>
        </w:rPr>
        <w:t xml:space="preserve">Health </w:t>
      </w:r>
      <w:r w:rsidR="00AF0265">
        <w:rPr>
          <w:sz w:val="24"/>
          <w:szCs w:val="24"/>
        </w:rPr>
        <w:t>c</w:t>
      </w:r>
      <w:r w:rsidRPr="003E18B4">
        <w:rPr>
          <w:sz w:val="24"/>
          <w:szCs w:val="24"/>
        </w:rPr>
        <w:t xml:space="preserve">are </w:t>
      </w:r>
      <w:r w:rsidR="00AF0265">
        <w:rPr>
          <w:sz w:val="24"/>
          <w:szCs w:val="24"/>
        </w:rPr>
        <w:t>and ACA-r</w:t>
      </w:r>
      <w:r w:rsidR="000E26E0">
        <w:rPr>
          <w:sz w:val="24"/>
          <w:szCs w:val="24"/>
        </w:rPr>
        <w:t xml:space="preserve">elevant </w:t>
      </w:r>
      <w:r w:rsidR="00AF0265">
        <w:rPr>
          <w:sz w:val="24"/>
          <w:szCs w:val="24"/>
        </w:rPr>
        <w:t>c</w:t>
      </w:r>
      <w:r w:rsidRPr="003E18B4">
        <w:rPr>
          <w:sz w:val="24"/>
          <w:szCs w:val="24"/>
        </w:rPr>
        <w:t xml:space="preserve">ontent </w:t>
      </w:r>
      <w:r w:rsidR="00AF0265">
        <w:rPr>
          <w:sz w:val="24"/>
          <w:szCs w:val="24"/>
        </w:rPr>
        <w:t>in</w:t>
      </w:r>
      <w:r w:rsidRPr="003E18B4">
        <w:rPr>
          <w:sz w:val="24"/>
          <w:szCs w:val="24"/>
        </w:rPr>
        <w:t xml:space="preserve"> the NSFG </w:t>
      </w:r>
    </w:p>
    <w:p w:rsidR="00EB3F22" w:rsidRDefault="00C71270" w:rsidP="003E18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</w:t>
      </w:r>
      <w:r w:rsidR="00B4779F">
        <w:rPr>
          <w:sz w:val="24"/>
          <w:szCs w:val="24"/>
        </w:rPr>
        <w:t>mmary of</w:t>
      </w:r>
      <w:r w:rsidR="00FE2671" w:rsidRPr="003E18B4">
        <w:rPr>
          <w:sz w:val="24"/>
          <w:szCs w:val="24"/>
        </w:rPr>
        <w:t xml:space="preserve"> </w:t>
      </w:r>
      <w:r w:rsidR="00E86494">
        <w:rPr>
          <w:sz w:val="24"/>
          <w:szCs w:val="24"/>
        </w:rPr>
        <w:t>questions to address for the selected topics listed below</w:t>
      </w:r>
    </w:p>
    <w:p w:rsidR="00B4779F" w:rsidRDefault="00B4779F" w:rsidP="00F90611">
      <w:pPr>
        <w:rPr>
          <w:sz w:val="24"/>
          <w:szCs w:val="24"/>
        </w:rPr>
      </w:pPr>
    </w:p>
    <w:p w:rsidR="007610DF" w:rsidRDefault="00B4779F">
      <w:pPr>
        <w:rPr>
          <w:b/>
          <w:sz w:val="24"/>
          <w:szCs w:val="24"/>
        </w:rPr>
      </w:pPr>
      <w:r w:rsidRPr="001312B1">
        <w:rPr>
          <w:b/>
          <w:sz w:val="24"/>
          <w:szCs w:val="24"/>
        </w:rPr>
        <w:t>11:</w:t>
      </w:r>
      <w:r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ab/>
        <w:t>SELECTED TOPICS</w:t>
      </w:r>
      <w:r w:rsidR="00C322A5">
        <w:rPr>
          <w:b/>
          <w:sz w:val="24"/>
          <w:szCs w:val="24"/>
        </w:rPr>
        <w:t xml:space="preserve"> FOR GROUP DISCUSSION</w:t>
      </w:r>
      <w:r>
        <w:rPr>
          <w:b/>
          <w:sz w:val="24"/>
          <w:szCs w:val="24"/>
        </w:rPr>
        <w:t xml:space="preserve"> </w:t>
      </w:r>
      <w:r w:rsidRPr="002D3072">
        <w:rPr>
          <w:i/>
          <w:sz w:val="24"/>
          <w:szCs w:val="24"/>
        </w:rPr>
        <w:t>(</w:t>
      </w:r>
      <w:r w:rsidR="00C322A5" w:rsidRPr="002D3072">
        <w:rPr>
          <w:i/>
          <w:sz w:val="24"/>
          <w:szCs w:val="24"/>
        </w:rPr>
        <w:t>facilitator noted in parentheses</w:t>
      </w:r>
      <w:r w:rsidRPr="002D3072">
        <w:rPr>
          <w:i/>
          <w:sz w:val="24"/>
          <w:szCs w:val="24"/>
        </w:rPr>
        <w:t>)</w:t>
      </w:r>
      <w:r w:rsidR="00EB3F22">
        <w:rPr>
          <w:b/>
          <w:sz w:val="24"/>
          <w:szCs w:val="24"/>
        </w:rPr>
        <w:tab/>
      </w:r>
    </w:p>
    <w:p w:rsidR="002A305A" w:rsidRDefault="002A305A">
      <w:pPr>
        <w:rPr>
          <w:b/>
          <w:sz w:val="24"/>
          <w:szCs w:val="24"/>
        </w:rPr>
      </w:pPr>
    </w:p>
    <w:p w:rsidR="00B4779F" w:rsidRPr="00E11F36" w:rsidRDefault="00B4779F" w:rsidP="00B4779F">
      <w:pPr>
        <w:ind w:firstLine="720"/>
        <w:rPr>
          <w:i/>
          <w:sz w:val="24"/>
          <w:szCs w:val="24"/>
        </w:rPr>
      </w:pPr>
      <w:r w:rsidRPr="00223F2F">
        <w:rPr>
          <w:sz w:val="24"/>
          <w:szCs w:val="24"/>
          <w:u w:val="single"/>
        </w:rPr>
        <w:t>Health Insurance Coverage</w:t>
      </w:r>
      <w:r>
        <w:rPr>
          <w:sz w:val="24"/>
          <w:szCs w:val="24"/>
        </w:rPr>
        <w:t>, including young adult coverage</w:t>
      </w:r>
      <w:r w:rsidRPr="00C03922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(Jo</w:t>
      </w:r>
      <w:r w:rsidR="007E1D5A">
        <w:rPr>
          <w:i/>
          <w:sz w:val="24"/>
          <w:szCs w:val="24"/>
        </w:rPr>
        <w:t xml:space="preserve"> Jones</w:t>
      </w:r>
      <w:r>
        <w:rPr>
          <w:i/>
          <w:sz w:val="24"/>
          <w:szCs w:val="24"/>
        </w:rPr>
        <w:t>)</w:t>
      </w:r>
    </w:p>
    <w:p w:rsidR="00B4779F" w:rsidRPr="00FE2671" w:rsidRDefault="00B4779F">
      <w:pPr>
        <w:rPr>
          <w:sz w:val="24"/>
          <w:szCs w:val="24"/>
        </w:rPr>
      </w:pPr>
    </w:p>
    <w:p w:rsidR="007610DF" w:rsidRPr="0019395E" w:rsidRDefault="00081CB6">
      <w:pPr>
        <w:rPr>
          <w:sz w:val="24"/>
          <w:szCs w:val="24"/>
        </w:rPr>
      </w:pPr>
      <w:r w:rsidRPr="001312B1">
        <w:rPr>
          <w:b/>
          <w:sz w:val="24"/>
          <w:szCs w:val="24"/>
        </w:rPr>
        <w:t>1</w:t>
      </w:r>
      <w:r w:rsidR="00F565B2" w:rsidRPr="001312B1">
        <w:rPr>
          <w:b/>
          <w:sz w:val="24"/>
          <w:szCs w:val="24"/>
        </w:rPr>
        <w:t>1</w:t>
      </w:r>
      <w:r w:rsidRPr="001312B1">
        <w:rPr>
          <w:b/>
          <w:sz w:val="24"/>
          <w:szCs w:val="24"/>
        </w:rPr>
        <w:t>:</w:t>
      </w:r>
      <w:r w:rsidR="00F565B2" w:rsidRPr="001312B1">
        <w:rPr>
          <w:b/>
          <w:sz w:val="24"/>
          <w:szCs w:val="24"/>
        </w:rPr>
        <w:t>45</w:t>
      </w:r>
      <w:r w:rsidRPr="001312B1">
        <w:rPr>
          <w:b/>
          <w:sz w:val="24"/>
          <w:szCs w:val="24"/>
        </w:rPr>
        <w:t xml:space="preserve">   </w:t>
      </w:r>
      <w:r w:rsidR="00F565B2" w:rsidRPr="001312B1">
        <w:rPr>
          <w:b/>
          <w:sz w:val="24"/>
          <w:szCs w:val="24"/>
        </w:rPr>
        <w:t xml:space="preserve">LUNCH </w:t>
      </w:r>
      <w:r w:rsidR="0019395E" w:rsidRPr="0019395E">
        <w:rPr>
          <w:i/>
          <w:sz w:val="20"/>
          <w:szCs w:val="20"/>
        </w:rPr>
        <w:t>(guide to nearby options will be provided in conference folder)</w:t>
      </w:r>
    </w:p>
    <w:p w:rsidR="00081CB6" w:rsidRPr="001312B1" w:rsidRDefault="00081CB6">
      <w:pPr>
        <w:rPr>
          <w:b/>
          <w:sz w:val="24"/>
          <w:szCs w:val="24"/>
        </w:rPr>
      </w:pPr>
    </w:p>
    <w:p w:rsidR="00A64887" w:rsidRDefault="00FE2671">
      <w:pPr>
        <w:rPr>
          <w:b/>
          <w:sz w:val="24"/>
          <w:szCs w:val="24"/>
        </w:rPr>
      </w:pPr>
      <w:r>
        <w:rPr>
          <w:b/>
          <w:sz w:val="24"/>
          <w:szCs w:val="24"/>
        </w:rPr>
        <w:t>12:45</w:t>
      </w:r>
      <w:r>
        <w:rPr>
          <w:b/>
          <w:sz w:val="24"/>
          <w:szCs w:val="24"/>
        </w:rPr>
        <w:tab/>
        <w:t xml:space="preserve">SELECTED TOPICS </w:t>
      </w:r>
      <w:r w:rsidRPr="003E18B4">
        <w:rPr>
          <w:sz w:val="24"/>
          <w:szCs w:val="24"/>
        </w:rPr>
        <w:t>(</w:t>
      </w:r>
      <w:r w:rsidR="00B4779F">
        <w:rPr>
          <w:sz w:val="24"/>
          <w:szCs w:val="24"/>
        </w:rPr>
        <w:t>continued</w:t>
      </w:r>
      <w:r w:rsidRPr="003E18B4">
        <w:rPr>
          <w:sz w:val="24"/>
          <w:szCs w:val="24"/>
        </w:rPr>
        <w:t>)</w:t>
      </w:r>
      <w:r w:rsidR="00F565B2" w:rsidRPr="001312B1">
        <w:rPr>
          <w:b/>
          <w:sz w:val="24"/>
          <w:szCs w:val="24"/>
        </w:rPr>
        <w:t xml:space="preserve"> </w:t>
      </w:r>
    </w:p>
    <w:p w:rsidR="00C03922" w:rsidRDefault="00C03922" w:rsidP="00C03922">
      <w:pPr>
        <w:ind w:left="720"/>
        <w:rPr>
          <w:b/>
          <w:sz w:val="24"/>
          <w:szCs w:val="24"/>
        </w:rPr>
      </w:pPr>
    </w:p>
    <w:p w:rsidR="00904377" w:rsidRDefault="00904377" w:rsidP="00C03922">
      <w:pPr>
        <w:ind w:left="720"/>
        <w:rPr>
          <w:i/>
          <w:sz w:val="24"/>
          <w:szCs w:val="24"/>
        </w:rPr>
      </w:pPr>
      <w:r w:rsidRPr="00904377">
        <w:rPr>
          <w:sz w:val="24"/>
          <w:szCs w:val="24"/>
          <w:u w:val="single"/>
        </w:rPr>
        <w:t>Provider Types and Payment for Services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(Gladys</w:t>
      </w:r>
      <w:r w:rsidR="00937D5F">
        <w:rPr>
          <w:i/>
          <w:sz w:val="24"/>
          <w:szCs w:val="24"/>
        </w:rPr>
        <w:t xml:space="preserve"> Martinez</w:t>
      </w:r>
      <w:r>
        <w:rPr>
          <w:i/>
          <w:sz w:val="24"/>
          <w:szCs w:val="24"/>
        </w:rPr>
        <w:t>)</w:t>
      </w:r>
    </w:p>
    <w:p w:rsidR="00904377" w:rsidRPr="001312B1" w:rsidRDefault="00904377" w:rsidP="00C03922">
      <w:pPr>
        <w:ind w:left="720"/>
        <w:rPr>
          <w:b/>
          <w:sz w:val="24"/>
          <w:szCs w:val="24"/>
        </w:rPr>
      </w:pPr>
    </w:p>
    <w:p w:rsidR="00081CB6" w:rsidRPr="00770325" w:rsidRDefault="00F565B2" w:rsidP="003E25B4">
      <w:pPr>
        <w:rPr>
          <w:sz w:val="24"/>
          <w:szCs w:val="24"/>
          <w:u w:val="single"/>
        </w:rPr>
      </w:pPr>
      <w:r w:rsidRPr="001312B1">
        <w:rPr>
          <w:b/>
          <w:sz w:val="24"/>
          <w:szCs w:val="24"/>
        </w:rPr>
        <w:tab/>
      </w:r>
      <w:r w:rsidR="00081BCF">
        <w:rPr>
          <w:sz w:val="24"/>
          <w:szCs w:val="24"/>
          <w:u w:val="single"/>
        </w:rPr>
        <w:t>Women’s P</w:t>
      </w:r>
      <w:r w:rsidR="00770325" w:rsidRPr="00770325">
        <w:rPr>
          <w:sz w:val="24"/>
          <w:szCs w:val="24"/>
          <w:u w:val="single"/>
        </w:rPr>
        <w:t xml:space="preserve">reventive </w:t>
      </w:r>
      <w:r w:rsidR="00081BCF">
        <w:rPr>
          <w:sz w:val="24"/>
          <w:szCs w:val="24"/>
          <w:u w:val="single"/>
        </w:rPr>
        <w:t>C</w:t>
      </w:r>
      <w:r w:rsidR="00770325" w:rsidRPr="00770325">
        <w:rPr>
          <w:sz w:val="24"/>
          <w:szCs w:val="24"/>
          <w:u w:val="single"/>
        </w:rPr>
        <w:t>are</w:t>
      </w:r>
    </w:p>
    <w:p w:rsidR="00770325" w:rsidRPr="00E11F36" w:rsidRDefault="00770325" w:rsidP="00E11F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Contraceptive, family planning, and related medical services</w:t>
      </w:r>
      <w:r w:rsidR="00E11F36">
        <w:rPr>
          <w:sz w:val="24"/>
          <w:szCs w:val="24"/>
        </w:rPr>
        <w:t xml:space="preserve"> </w:t>
      </w:r>
      <w:r w:rsidR="00E11F36">
        <w:rPr>
          <w:i/>
          <w:sz w:val="24"/>
          <w:szCs w:val="24"/>
        </w:rPr>
        <w:t>(Gladys</w:t>
      </w:r>
      <w:r w:rsidR="00937D5F">
        <w:rPr>
          <w:i/>
          <w:sz w:val="24"/>
          <w:szCs w:val="24"/>
        </w:rPr>
        <w:t xml:space="preserve"> Martinez</w:t>
      </w:r>
      <w:r w:rsidR="00E11F36">
        <w:rPr>
          <w:i/>
          <w:sz w:val="24"/>
          <w:szCs w:val="24"/>
        </w:rPr>
        <w:t>)</w:t>
      </w:r>
    </w:p>
    <w:p w:rsidR="00E11F36" w:rsidRPr="00E11F36" w:rsidRDefault="00E11F36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Contraceptive use and method choice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Breast cancer screening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Cervical cancer screening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Chlamydia and gonorrhea screening</w:t>
      </w:r>
    </w:p>
    <w:p w:rsidR="00DD6EB1" w:rsidRDefault="00770325" w:rsidP="007E2ED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E2ED4">
        <w:rPr>
          <w:sz w:val="24"/>
          <w:szCs w:val="24"/>
        </w:rPr>
        <w:t>Intimate partner violence screening</w:t>
      </w:r>
    </w:p>
    <w:p w:rsidR="00E8762F" w:rsidRPr="00E8762F" w:rsidRDefault="00E8762F" w:rsidP="00E8762F">
      <w:pPr>
        <w:rPr>
          <w:b/>
          <w:sz w:val="24"/>
          <w:szCs w:val="24"/>
        </w:rPr>
      </w:pPr>
      <w:r w:rsidRPr="00E8762F">
        <w:rPr>
          <w:b/>
          <w:sz w:val="24"/>
          <w:szCs w:val="24"/>
        </w:rPr>
        <w:lastRenderedPageBreak/>
        <w:t>2:30</w:t>
      </w:r>
      <w:r w:rsidRPr="00E8762F">
        <w:rPr>
          <w:b/>
          <w:sz w:val="24"/>
          <w:szCs w:val="24"/>
        </w:rPr>
        <w:tab/>
        <w:t xml:space="preserve">BREAK </w:t>
      </w:r>
      <w:r w:rsidRPr="00E8762F">
        <w:rPr>
          <w:sz w:val="24"/>
          <w:szCs w:val="24"/>
        </w:rPr>
        <w:t>(or whenever appropriate)</w:t>
      </w:r>
    </w:p>
    <w:p w:rsidR="00E8762F" w:rsidRDefault="00E8762F" w:rsidP="00E8762F">
      <w:pPr>
        <w:pStyle w:val="ListParagraph"/>
        <w:ind w:left="1080"/>
        <w:rPr>
          <w:sz w:val="24"/>
          <w:szCs w:val="24"/>
        </w:rPr>
      </w:pPr>
    </w:p>
    <w:p w:rsidR="00E8762F" w:rsidRPr="00E8762F" w:rsidRDefault="00774FF5" w:rsidP="00774FF5">
      <w:pPr>
        <w:rPr>
          <w:sz w:val="24"/>
          <w:szCs w:val="24"/>
        </w:rPr>
      </w:pPr>
      <w:r w:rsidRPr="0031093D">
        <w:rPr>
          <w:b/>
          <w:sz w:val="24"/>
          <w:szCs w:val="24"/>
        </w:rPr>
        <w:t>2:45</w:t>
      </w:r>
      <w:r>
        <w:rPr>
          <w:b/>
          <w:sz w:val="24"/>
          <w:szCs w:val="24"/>
        </w:rPr>
        <w:tab/>
      </w:r>
      <w:r w:rsidR="00E8762F" w:rsidRPr="00E8762F">
        <w:rPr>
          <w:sz w:val="24"/>
          <w:szCs w:val="24"/>
          <w:u w:val="single"/>
        </w:rPr>
        <w:t xml:space="preserve">Women’s </w:t>
      </w:r>
      <w:r w:rsidR="00081BCF">
        <w:rPr>
          <w:sz w:val="24"/>
          <w:szCs w:val="24"/>
          <w:u w:val="single"/>
        </w:rPr>
        <w:t>P</w:t>
      </w:r>
      <w:r w:rsidR="00E8762F" w:rsidRPr="00E8762F">
        <w:rPr>
          <w:sz w:val="24"/>
          <w:szCs w:val="24"/>
          <w:u w:val="single"/>
        </w:rPr>
        <w:t xml:space="preserve">reventive </w:t>
      </w:r>
      <w:r w:rsidR="00081BCF">
        <w:rPr>
          <w:sz w:val="24"/>
          <w:szCs w:val="24"/>
          <w:u w:val="single"/>
        </w:rPr>
        <w:t>C</w:t>
      </w:r>
      <w:r w:rsidR="00E8762F" w:rsidRPr="00E8762F">
        <w:rPr>
          <w:sz w:val="24"/>
          <w:szCs w:val="24"/>
          <w:u w:val="single"/>
        </w:rPr>
        <w:t>are</w:t>
      </w:r>
      <w:r w:rsidR="00E8762F" w:rsidRPr="00774FF5">
        <w:rPr>
          <w:sz w:val="24"/>
          <w:szCs w:val="24"/>
        </w:rPr>
        <w:t xml:space="preserve"> </w:t>
      </w:r>
      <w:r w:rsidR="00E8762F">
        <w:rPr>
          <w:sz w:val="24"/>
          <w:szCs w:val="24"/>
        </w:rPr>
        <w:t>(continued)</w:t>
      </w:r>
    </w:p>
    <w:p w:rsidR="00770325" w:rsidRPr="00E11F36" w:rsidRDefault="00770325" w:rsidP="00E11F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Pregnancy and postpartum care</w:t>
      </w:r>
      <w:r w:rsidR="00E11F36">
        <w:rPr>
          <w:sz w:val="24"/>
          <w:szCs w:val="24"/>
        </w:rPr>
        <w:t xml:space="preserve"> </w:t>
      </w:r>
      <w:r w:rsidR="00E11F36">
        <w:rPr>
          <w:i/>
          <w:sz w:val="24"/>
          <w:szCs w:val="24"/>
        </w:rPr>
        <w:t>(Anjani</w:t>
      </w:r>
      <w:r w:rsidR="00937D5F">
        <w:rPr>
          <w:i/>
          <w:sz w:val="24"/>
          <w:szCs w:val="24"/>
        </w:rPr>
        <w:t xml:space="preserve"> Chandra</w:t>
      </w:r>
      <w:r w:rsidR="00E11F36">
        <w:rPr>
          <w:i/>
          <w:sz w:val="24"/>
          <w:szCs w:val="24"/>
        </w:rPr>
        <w:t>)</w:t>
      </w:r>
    </w:p>
    <w:p w:rsidR="00770325" w:rsidRPr="00E11F36" w:rsidRDefault="00341637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Preconception care</w:t>
      </w:r>
      <w:r w:rsidR="00770325" w:rsidRPr="00E11F36">
        <w:rPr>
          <w:sz w:val="24"/>
          <w:szCs w:val="24"/>
        </w:rPr>
        <w:t xml:space="preserve"> </w:t>
      </w:r>
      <w:r>
        <w:rPr>
          <w:sz w:val="24"/>
          <w:szCs w:val="24"/>
        </w:rPr>
        <w:t>(e.g.,</w:t>
      </w:r>
      <w:r w:rsidR="00770325" w:rsidRPr="00E11F36">
        <w:rPr>
          <w:sz w:val="24"/>
          <w:szCs w:val="24"/>
        </w:rPr>
        <w:t xml:space="preserve"> folic acid supplementation</w:t>
      </w:r>
      <w:r>
        <w:rPr>
          <w:sz w:val="24"/>
          <w:szCs w:val="24"/>
        </w:rPr>
        <w:t>)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Screening for pregnant women</w:t>
      </w:r>
    </w:p>
    <w:p w:rsidR="00770325" w:rsidRPr="00E11F36" w:rsidRDefault="00770325" w:rsidP="00E11F3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11F36">
        <w:rPr>
          <w:sz w:val="24"/>
          <w:szCs w:val="24"/>
        </w:rPr>
        <w:t>Breastfeeding counseling</w:t>
      </w:r>
    </w:p>
    <w:p w:rsidR="00F565B2" w:rsidRPr="00C03922" w:rsidRDefault="00F565B2">
      <w:pPr>
        <w:rPr>
          <w:sz w:val="24"/>
          <w:szCs w:val="24"/>
        </w:rPr>
      </w:pPr>
      <w:r w:rsidRPr="00C03922">
        <w:rPr>
          <w:sz w:val="24"/>
          <w:szCs w:val="24"/>
        </w:rPr>
        <w:tab/>
      </w:r>
    </w:p>
    <w:p w:rsidR="00770325" w:rsidRPr="00E11F36" w:rsidRDefault="00F565B2">
      <w:pPr>
        <w:rPr>
          <w:i/>
          <w:sz w:val="24"/>
          <w:szCs w:val="24"/>
        </w:rPr>
      </w:pPr>
      <w:r w:rsidRPr="00C03922">
        <w:rPr>
          <w:sz w:val="24"/>
          <w:szCs w:val="24"/>
        </w:rPr>
        <w:tab/>
      </w:r>
      <w:r w:rsidR="00770325" w:rsidRPr="00223F2F">
        <w:rPr>
          <w:sz w:val="24"/>
          <w:szCs w:val="24"/>
          <w:u w:val="single"/>
        </w:rPr>
        <w:t xml:space="preserve">Adults’ (men’s &amp; women’s) </w:t>
      </w:r>
      <w:r w:rsidR="00081BCF">
        <w:rPr>
          <w:sz w:val="24"/>
          <w:szCs w:val="24"/>
          <w:u w:val="single"/>
        </w:rPr>
        <w:t>P</w:t>
      </w:r>
      <w:r w:rsidR="00770325" w:rsidRPr="00223F2F">
        <w:rPr>
          <w:sz w:val="24"/>
          <w:szCs w:val="24"/>
          <w:u w:val="single"/>
        </w:rPr>
        <w:t xml:space="preserve">reventive </w:t>
      </w:r>
      <w:r w:rsidR="00081BCF">
        <w:rPr>
          <w:sz w:val="24"/>
          <w:szCs w:val="24"/>
          <w:u w:val="single"/>
        </w:rPr>
        <w:t>C</w:t>
      </w:r>
      <w:r w:rsidR="00770325" w:rsidRPr="00223F2F">
        <w:rPr>
          <w:sz w:val="24"/>
          <w:szCs w:val="24"/>
          <w:u w:val="single"/>
        </w:rPr>
        <w:t>are</w:t>
      </w:r>
      <w:r w:rsidR="00E11F36">
        <w:rPr>
          <w:sz w:val="24"/>
          <w:szCs w:val="24"/>
        </w:rPr>
        <w:t xml:space="preserve"> </w:t>
      </w:r>
      <w:r w:rsidR="00E11F36">
        <w:rPr>
          <w:i/>
          <w:sz w:val="24"/>
          <w:szCs w:val="24"/>
        </w:rPr>
        <w:t>(Casey</w:t>
      </w:r>
      <w:r w:rsidR="005C7790">
        <w:rPr>
          <w:i/>
          <w:sz w:val="24"/>
          <w:szCs w:val="24"/>
        </w:rPr>
        <w:t xml:space="preserve"> Copen</w:t>
      </w:r>
      <w:r w:rsidR="00E11F36">
        <w:rPr>
          <w:i/>
          <w:sz w:val="24"/>
          <w:szCs w:val="24"/>
        </w:rPr>
        <w:t>)</w:t>
      </w:r>
    </w:p>
    <w:p w:rsidR="00F565B2" w:rsidRPr="001E25ED" w:rsidRDefault="00770325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HIV testing</w:t>
      </w:r>
    </w:p>
    <w:p w:rsidR="00770325" w:rsidRPr="001E25ED" w:rsidRDefault="00770325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Testing for other STDs</w:t>
      </w:r>
    </w:p>
    <w:p w:rsidR="00770325" w:rsidRPr="001E25ED" w:rsidRDefault="00770325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STD counseling</w:t>
      </w:r>
    </w:p>
    <w:p w:rsidR="00763903" w:rsidRPr="001E25ED" w:rsidRDefault="00763903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Tobacco use and alcohol abuse counseling</w:t>
      </w:r>
    </w:p>
    <w:p w:rsidR="00462760" w:rsidRPr="001E25ED" w:rsidRDefault="00462760" w:rsidP="001E25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25ED">
        <w:rPr>
          <w:sz w:val="24"/>
          <w:szCs w:val="24"/>
        </w:rPr>
        <w:t>High cholesterol and high blood pressure screening</w:t>
      </w:r>
    </w:p>
    <w:p w:rsidR="00F565B2" w:rsidRPr="001312B1" w:rsidRDefault="00F565B2">
      <w:pPr>
        <w:rPr>
          <w:b/>
          <w:sz w:val="24"/>
          <w:szCs w:val="24"/>
        </w:rPr>
      </w:pPr>
      <w:r w:rsidRPr="00C03922">
        <w:rPr>
          <w:sz w:val="24"/>
          <w:szCs w:val="24"/>
        </w:rPr>
        <w:tab/>
      </w:r>
      <w:r w:rsidR="00770325">
        <w:rPr>
          <w:sz w:val="24"/>
          <w:szCs w:val="24"/>
        </w:rPr>
        <w:tab/>
      </w:r>
      <w:r w:rsidR="00770325">
        <w:rPr>
          <w:sz w:val="24"/>
          <w:szCs w:val="24"/>
        </w:rPr>
        <w:tab/>
      </w:r>
    </w:p>
    <w:p w:rsidR="007610DF" w:rsidRPr="001312B1" w:rsidRDefault="001312B1">
      <w:pPr>
        <w:rPr>
          <w:b/>
          <w:sz w:val="24"/>
          <w:szCs w:val="24"/>
        </w:rPr>
      </w:pPr>
      <w:r>
        <w:rPr>
          <w:b/>
          <w:sz w:val="24"/>
          <w:szCs w:val="24"/>
        </w:rPr>
        <w:t>4:45</w:t>
      </w:r>
      <w:r w:rsidR="00963FB1">
        <w:rPr>
          <w:b/>
          <w:sz w:val="24"/>
          <w:szCs w:val="24"/>
        </w:rPr>
        <w:tab/>
      </w:r>
      <w:r w:rsidRPr="001312B1">
        <w:rPr>
          <w:b/>
          <w:sz w:val="24"/>
          <w:szCs w:val="24"/>
        </w:rPr>
        <w:t>Adjourn</w:t>
      </w:r>
      <w:r w:rsidR="00E05990">
        <w:rPr>
          <w:b/>
          <w:sz w:val="24"/>
          <w:szCs w:val="24"/>
        </w:rPr>
        <w:t xml:space="preserve"> for the day</w:t>
      </w:r>
    </w:p>
    <w:p w:rsidR="007610DF" w:rsidRDefault="007610DF"/>
    <w:p w:rsidR="00C03922" w:rsidRDefault="00C03922">
      <w:pPr>
        <w:rPr>
          <w:sz w:val="28"/>
          <w:szCs w:val="28"/>
          <w:u w:val="single"/>
        </w:rPr>
      </w:pPr>
    </w:p>
    <w:p w:rsidR="0074017D" w:rsidRDefault="0074017D">
      <w:pPr>
        <w:rPr>
          <w:sz w:val="28"/>
          <w:szCs w:val="28"/>
          <w:u w:val="single"/>
        </w:rPr>
      </w:pPr>
    </w:p>
    <w:p w:rsidR="001312B1" w:rsidRPr="00505206" w:rsidRDefault="00A64887">
      <w:pPr>
        <w:rPr>
          <w:b/>
          <w:color w:val="0066FF"/>
          <w:sz w:val="28"/>
          <w:szCs w:val="28"/>
          <w:u w:val="single"/>
        </w:rPr>
      </w:pPr>
      <w:r w:rsidRPr="00505206">
        <w:rPr>
          <w:b/>
          <w:color w:val="0066FF"/>
          <w:sz w:val="28"/>
          <w:szCs w:val="28"/>
          <w:u w:val="single"/>
        </w:rPr>
        <w:t xml:space="preserve">Friday, </w:t>
      </w:r>
      <w:r w:rsidR="003E25B4" w:rsidRPr="00505206">
        <w:rPr>
          <w:b/>
          <w:color w:val="0066FF"/>
          <w:sz w:val="28"/>
          <w:szCs w:val="28"/>
          <w:u w:val="single"/>
        </w:rPr>
        <w:t>November 2</w:t>
      </w:r>
      <w:r w:rsidR="00E337FA" w:rsidRPr="00505206">
        <w:rPr>
          <w:b/>
          <w:color w:val="0066FF"/>
          <w:sz w:val="28"/>
          <w:szCs w:val="28"/>
          <w:u w:val="single"/>
        </w:rPr>
        <w:t>2</w:t>
      </w:r>
      <w:r w:rsidRPr="00505206">
        <w:rPr>
          <w:b/>
          <w:color w:val="0066FF"/>
          <w:sz w:val="28"/>
          <w:szCs w:val="28"/>
          <w:u w:val="single"/>
        </w:rPr>
        <w:t>, 2013</w:t>
      </w:r>
    </w:p>
    <w:p w:rsidR="00EF6D90" w:rsidRDefault="00EF6D90"/>
    <w:p w:rsidR="007144BF" w:rsidRDefault="007144BF" w:rsidP="007144BF">
      <w:pPr>
        <w:rPr>
          <w:b/>
          <w:sz w:val="24"/>
          <w:szCs w:val="24"/>
        </w:rPr>
      </w:pPr>
      <w:r>
        <w:rPr>
          <w:b/>
          <w:sz w:val="24"/>
          <w:szCs w:val="24"/>
        </w:rPr>
        <w:t>8:30</w:t>
      </w:r>
      <w:r>
        <w:rPr>
          <w:b/>
          <w:sz w:val="24"/>
          <w:szCs w:val="24"/>
        </w:rPr>
        <w:tab/>
        <w:t>Coffee &amp; light refreshments</w:t>
      </w:r>
    </w:p>
    <w:p w:rsidR="007144BF" w:rsidRDefault="007144BF"/>
    <w:p w:rsidR="007A4D1A" w:rsidRPr="00754D09" w:rsidRDefault="00403A93" w:rsidP="0018596E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F4774">
        <w:rPr>
          <w:b/>
          <w:sz w:val="24"/>
          <w:szCs w:val="24"/>
        </w:rPr>
        <w:t xml:space="preserve">:00   </w:t>
      </w:r>
      <w:r w:rsidR="00ED58A3">
        <w:rPr>
          <w:b/>
          <w:sz w:val="24"/>
          <w:szCs w:val="24"/>
        </w:rPr>
        <w:tab/>
      </w:r>
      <w:r w:rsidR="003E18B4" w:rsidRPr="00754D09">
        <w:rPr>
          <w:b/>
          <w:sz w:val="24"/>
          <w:szCs w:val="24"/>
        </w:rPr>
        <w:t xml:space="preserve">Further discussion </w:t>
      </w:r>
      <w:r w:rsidR="00F90611" w:rsidRPr="00754D09">
        <w:rPr>
          <w:b/>
          <w:sz w:val="24"/>
          <w:szCs w:val="24"/>
        </w:rPr>
        <w:t>of</w:t>
      </w:r>
      <w:r w:rsidR="00ED58A3" w:rsidRPr="00754D09">
        <w:rPr>
          <w:b/>
          <w:sz w:val="24"/>
          <w:szCs w:val="24"/>
        </w:rPr>
        <w:t xml:space="preserve"> topics covered on day 1</w:t>
      </w:r>
    </w:p>
    <w:p w:rsidR="007A4D1A" w:rsidRPr="00754D09" w:rsidRDefault="007A4D1A" w:rsidP="0018596E">
      <w:pPr>
        <w:ind w:left="720" w:hanging="720"/>
        <w:rPr>
          <w:b/>
          <w:sz w:val="24"/>
          <w:szCs w:val="24"/>
        </w:rPr>
      </w:pPr>
      <w:r w:rsidRPr="00754D09">
        <w:rPr>
          <w:b/>
          <w:sz w:val="24"/>
          <w:szCs w:val="24"/>
        </w:rPr>
        <w:tab/>
        <w:t>A</w:t>
      </w:r>
      <w:r w:rsidR="006F4774" w:rsidRPr="00754D09">
        <w:rPr>
          <w:b/>
          <w:sz w:val="24"/>
          <w:szCs w:val="24"/>
        </w:rPr>
        <w:t>ny additional</w:t>
      </w:r>
      <w:r w:rsidR="001F753C" w:rsidRPr="00754D09">
        <w:rPr>
          <w:b/>
          <w:sz w:val="24"/>
          <w:szCs w:val="24"/>
        </w:rPr>
        <w:t xml:space="preserve"> </w:t>
      </w:r>
      <w:r w:rsidR="00341637" w:rsidRPr="00754D09">
        <w:rPr>
          <w:b/>
          <w:sz w:val="24"/>
          <w:szCs w:val="24"/>
        </w:rPr>
        <w:t>ACA-</w:t>
      </w:r>
      <w:r w:rsidR="001F753C" w:rsidRPr="00754D09">
        <w:rPr>
          <w:b/>
          <w:sz w:val="24"/>
          <w:szCs w:val="24"/>
        </w:rPr>
        <w:t>related</w:t>
      </w:r>
      <w:r w:rsidR="006F4774" w:rsidRPr="00754D09">
        <w:rPr>
          <w:b/>
          <w:sz w:val="24"/>
          <w:szCs w:val="24"/>
        </w:rPr>
        <w:t xml:space="preserve"> topics</w:t>
      </w:r>
      <w:r w:rsidR="00C609AA" w:rsidRPr="00754D09">
        <w:rPr>
          <w:b/>
          <w:sz w:val="24"/>
          <w:szCs w:val="24"/>
        </w:rPr>
        <w:t xml:space="preserve"> the group wishes to raise.</w:t>
      </w:r>
      <w:r w:rsidR="00C71270" w:rsidRPr="00754D09">
        <w:rPr>
          <w:b/>
          <w:sz w:val="24"/>
          <w:szCs w:val="24"/>
        </w:rPr>
        <w:t xml:space="preserve">  </w:t>
      </w:r>
    </w:p>
    <w:p w:rsidR="007A4D1A" w:rsidRDefault="007A4D1A" w:rsidP="0018596E">
      <w:pPr>
        <w:ind w:left="720" w:hanging="720"/>
        <w:rPr>
          <w:sz w:val="24"/>
          <w:szCs w:val="24"/>
        </w:rPr>
      </w:pPr>
    </w:p>
    <w:p w:rsidR="00C24E36" w:rsidRDefault="00754D09" w:rsidP="007A4D1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Possible q</w:t>
      </w:r>
      <w:r w:rsidR="00C71270" w:rsidRPr="00C71270">
        <w:rPr>
          <w:sz w:val="24"/>
          <w:szCs w:val="24"/>
          <w:u w:val="single"/>
        </w:rPr>
        <w:t>uestions to consider</w:t>
      </w:r>
      <w:r w:rsidR="00C71270">
        <w:rPr>
          <w:sz w:val="24"/>
          <w:szCs w:val="24"/>
        </w:rPr>
        <w:t>:</w:t>
      </w:r>
    </w:p>
    <w:p w:rsidR="00403A93" w:rsidRPr="00C71270" w:rsidRDefault="00403A93" w:rsidP="00ED58A3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C71270">
        <w:rPr>
          <w:sz w:val="24"/>
          <w:szCs w:val="24"/>
        </w:rPr>
        <w:t>What other provisions of the ACA do you see NSFG providing information on?</w:t>
      </w:r>
    </w:p>
    <w:p w:rsidR="00686857" w:rsidRPr="00C71270" w:rsidRDefault="00FE421B" w:rsidP="00C71270">
      <w:pPr>
        <w:pStyle w:val="ListParagraph"/>
        <w:numPr>
          <w:ilvl w:val="1"/>
          <w:numId w:val="6"/>
        </w:numPr>
        <w:rPr>
          <w:i/>
          <w:sz w:val="24"/>
          <w:szCs w:val="24"/>
        </w:rPr>
      </w:pPr>
      <w:r w:rsidRPr="00C71270">
        <w:rPr>
          <w:sz w:val="24"/>
          <w:szCs w:val="24"/>
        </w:rPr>
        <w:t xml:space="preserve">What other descriptive statistics </w:t>
      </w:r>
      <w:r w:rsidR="00F90611">
        <w:rPr>
          <w:sz w:val="24"/>
          <w:szCs w:val="24"/>
        </w:rPr>
        <w:t xml:space="preserve">and analytic questions </w:t>
      </w:r>
      <w:r w:rsidRPr="00C71270">
        <w:rPr>
          <w:sz w:val="24"/>
          <w:szCs w:val="24"/>
        </w:rPr>
        <w:t xml:space="preserve">related to the ACA do you think the NSFG is </w:t>
      </w:r>
      <w:r w:rsidR="00341637" w:rsidRPr="00C71270">
        <w:rPr>
          <w:sz w:val="24"/>
          <w:szCs w:val="24"/>
        </w:rPr>
        <w:t xml:space="preserve">best </w:t>
      </w:r>
      <w:r w:rsidRPr="00C71270">
        <w:rPr>
          <w:sz w:val="24"/>
          <w:szCs w:val="24"/>
        </w:rPr>
        <w:t xml:space="preserve">equipped </w:t>
      </w:r>
      <w:r w:rsidR="00341637" w:rsidRPr="00C71270">
        <w:rPr>
          <w:sz w:val="24"/>
          <w:szCs w:val="24"/>
        </w:rPr>
        <w:t>to produce (as compared with other surveys such as NHIS</w:t>
      </w:r>
      <w:r w:rsidR="00F90611">
        <w:rPr>
          <w:sz w:val="24"/>
          <w:szCs w:val="24"/>
        </w:rPr>
        <w:t xml:space="preserve">, </w:t>
      </w:r>
      <w:r w:rsidR="00341637" w:rsidRPr="00C71270">
        <w:rPr>
          <w:sz w:val="24"/>
          <w:szCs w:val="24"/>
        </w:rPr>
        <w:t>NHANES</w:t>
      </w:r>
      <w:r w:rsidR="00F90611">
        <w:rPr>
          <w:sz w:val="24"/>
          <w:szCs w:val="24"/>
        </w:rPr>
        <w:t>, and MEPS</w:t>
      </w:r>
      <w:r w:rsidR="00341637" w:rsidRPr="00C71270">
        <w:rPr>
          <w:sz w:val="24"/>
          <w:szCs w:val="24"/>
        </w:rPr>
        <w:t xml:space="preserve">)?  </w:t>
      </w:r>
      <w:r w:rsidR="00C71270" w:rsidRPr="00C71270">
        <w:rPr>
          <w:sz w:val="24"/>
          <w:szCs w:val="24"/>
        </w:rPr>
        <w:t>What do you see as NSFG’s unique contribution</w:t>
      </w:r>
      <w:r w:rsidR="00517E31">
        <w:rPr>
          <w:sz w:val="24"/>
          <w:szCs w:val="24"/>
        </w:rPr>
        <w:t xml:space="preserve"> or niche</w:t>
      </w:r>
      <w:r w:rsidR="00C71270" w:rsidRPr="00C71270">
        <w:rPr>
          <w:sz w:val="24"/>
          <w:szCs w:val="24"/>
        </w:rPr>
        <w:t xml:space="preserve">, given </w:t>
      </w:r>
      <w:r w:rsidR="00F90611">
        <w:rPr>
          <w:sz w:val="24"/>
          <w:szCs w:val="24"/>
        </w:rPr>
        <w:t xml:space="preserve">our </w:t>
      </w:r>
      <w:r w:rsidR="00C71270" w:rsidRPr="00C71270">
        <w:rPr>
          <w:sz w:val="24"/>
          <w:szCs w:val="24"/>
        </w:rPr>
        <w:t>existing survey content and context?</w:t>
      </w:r>
    </w:p>
    <w:p w:rsidR="00403A93" w:rsidRDefault="00F90611" w:rsidP="00ED58A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At what f</w:t>
      </w:r>
      <w:r w:rsidR="00B37BA7">
        <w:rPr>
          <w:sz w:val="24"/>
          <w:szCs w:val="24"/>
        </w:rPr>
        <w:t>requency would you need the data to be able to address some of these descriptive and analytic questions related to ACA?</w:t>
      </w:r>
    </w:p>
    <w:p w:rsidR="009E3AB0" w:rsidRPr="00C71270" w:rsidRDefault="009E3AB0" w:rsidP="00ED58A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Are there specific subpopulations the NSFG should target?</w:t>
      </w:r>
    </w:p>
    <w:p w:rsidR="00403A93" w:rsidRPr="00FE421B" w:rsidRDefault="00403A93" w:rsidP="0018596E">
      <w:pPr>
        <w:ind w:left="720" w:hanging="720"/>
        <w:rPr>
          <w:i/>
          <w:sz w:val="24"/>
          <w:szCs w:val="24"/>
        </w:rPr>
      </w:pPr>
      <w:r w:rsidRPr="00FE421B">
        <w:rPr>
          <w:b/>
          <w:i/>
          <w:sz w:val="24"/>
          <w:szCs w:val="24"/>
        </w:rPr>
        <w:tab/>
      </w:r>
      <w:r w:rsidRPr="00FE421B">
        <w:rPr>
          <w:i/>
          <w:sz w:val="24"/>
          <w:szCs w:val="24"/>
        </w:rPr>
        <w:t>For any potential topics</w:t>
      </w:r>
      <w:r w:rsidR="00FE421B" w:rsidRPr="00FE421B">
        <w:rPr>
          <w:i/>
          <w:sz w:val="24"/>
          <w:szCs w:val="24"/>
        </w:rPr>
        <w:t xml:space="preserve"> you raise</w:t>
      </w:r>
      <w:r w:rsidRPr="00FE421B">
        <w:rPr>
          <w:i/>
          <w:sz w:val="24"/>
          <w:szCs w:val="24"/>
        </w:rPr>
        <w:t xml:space="preserve">, </w:t>
      </w:r>
      <w:r w:rsidR="00FE421B" w:rsidRPr="00FE421B">
        <w:rPr>
          <w:i/>
          <w:sz w:val="24"/>
          <w:szCs w:val="24"/>
        </w:rPr>
        <w:t xml:space="preserve">do you know of questions </w:t>
      </w:r>
      <w:r w:rsidR="00FE421B">
        <w:rPr>
          <w:i/>
          <w:sz w:val="24"/>
          <w:szCs w:val="24"/>
        </w:rPr>
        <w:t xml:space="preserve">or findings </w:t>
      </w:r>
      <w:r w:rsidRPr="00FE421B">
        <w:rPr>
          <w:i/>
          <w:sz w:val="24"/>
          <w:szCs w:val="24"/>
        </w:rPr>
        <w:t xml:space="preserve">from other surveys </w:t>
      </w:r>
      <w:r w:rsidR="00FE421B" w:rsidRPr="00FE421B">
        <w:rPr>
          <w:i/>
          <w:sz w:val="24"/>
          <w:szCs w:val="24"/>
        </w:rPr>
        <w:t>that could be u</w:t>
      </w:r>
      <w:r w:rsidRPr="00FE421B">
        <w:rPr>
          <w:i/>
          <w:sz w:val="24"/>
          <w:szCs w:val="24"/>
        </w:rPr>
        <w:t xml:space="preserve">sed to guide </w:t>
      </w:r>
      <w:r w:rsidR="00FE421B">
        <w:rPr>
          <w:i/>
          <w:sz w:val="24"/>
          <w:szCs w:val="24"/>
        </w:rPr>
        <w:t xml:space="preserve">the </w:t>
      </w:r>
      <w:r w:rsidRPr="00FE421B">
        <w:rPr>
          <w:i/>
          <w:sz w:val="24"/>
          <w:szCs w:val="24"/>
        </w:rPr>
        <w:t>NSFG</w:t>
      </w:r>
      <w:r w:rsidR="00FE421B">
        <w:rPr>
          <w:i/>
          <w:sz w:val="24"/>
          <w:szCs w:val="24"/>
        </w:rPr>
        <w:t>’s questionnaire decisions</w:t>
      </w:r>
      <w:r w:rsidRPr="00FE421B">
        <w:rPr>
          <w:i/>
          <w:sz w:val="24"/>
          <w:szCs w:val="24"/>
        </w:rPr>
        <w:t>?</w:t>
      </w:r>
    </w:p>
    <w:p w:rsidR="00C03922" w:rsidRPr="00FE421B" w:rsidRDefault="00C03922">
      <w:pPr>
        <w:rPr>
          <w:b/>
          <w:i/>
          <w:sz w:val="24"/>
          <w:szCs w:val="24"/>
        </w:rPr>
      </w:pPr>
    </w:p>
    <w:p w:rsidR="007A4D1A" w:rsidRDefault="00C24E36">
      <w:pPr>
        <w:rPr>
          <w:b/>
          <w:sz w:val="24"/>
          <w:szCs w:val="24"/>
        </w:rPr>
      </w:pPr>
      <w:r w:rsidRPr="00C411CD">
        <w:rPr>
          <w:b/>
          <w:sz w:val="24"/>
          <w:szCs w:val="24"/>
        </w:rPr>
        <w:t>11:</w:t>
      </w:r>
      <w:r w:rsidR="007A4D1A">
        <w:rPr>
          <w:b/>
          <w:sz w:val="24"/>
          <w:szCs w:val="24"/>
        </w:rPr>
        <w:t>00</w:t>
      </w:r>
      <w:r w:rsidR="00ED58A3">
        <w:rPr>
          <w:b/>
          <w:sz w:val="24"/>
          <w:szCs w:val="24"/>
        </w:rPr>
        <w:tab/>
      </w:r>
      <w:r w:rsidR="00B37BA7">
        <w:rPr>
          <w:b/>
          <w:sz w:val="24"/>
          <w:szCs w:val="24"/>
        </w:rPr>
        <w:t>Summary</w:t>
      </w:r>
      <w:r w:rsidR="00B74CF8">
        <w:rPr>
          <w:b/>
          <w:sz w:val="24"/>
          <w:szCs w:val="24"/>
        </w:rPr>
        <w:t xml:space="preserve"> </w:t>
      </w:r>
      <w:r w:rsidR="007A4D1A">
        <w:rPr>
          <w:b/>
          <w:sz w:val="24"/>
          <w:szCs w:val="24"/>
        </w:rPr>
        <w:t xml:space="preserve">and discussion </w:t>
      </w:r>
      <w:r w:rsidR="00B74CF8">
        <w:rPr>
          <w:b/>
          <w:sz w:val="24"/>
          <w:szCs w:val="24"/>
        </w:rPr>
        <w:t>of action items</w:t>
      </w:r>
      <w:r w:rsidR="00B37BA7">
        <w:rPr>
          <w:b/>
          <w:sz w:val="24"/>
          <w:szCs w:val="24"/>
        </w:rPr>
        <w:t xml:space="preserve"> </w:t>
      </w:r>
    </w:p>
    <w:p w:rsidR="007A4D1A" w:rsidRDefault="007A4D1A">
      <w:pPr>
        <w:rPr>
          <w:b/>
          <w:sz w:val="24"/>
          <w:szCs w:val="24"/>
        </w:rPr>
      </w:pPr>
    </w:p>
    <w:p w:rsidR="00C24E36" w:rsidRPr="00C411CD" w:rsidRDefault="007A4D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12:00 </w:t>
      </w:r>
      <w:r>
        <w:rPr>
          <w:b/>
          <w:sz w:val="24"/>
          <w:szCs w:val="24"/>
        </w:rPr>
        <w:tab/>
        <w:t>F</w:t>
      </w:r>
      <w:r w:rsidR="00B37BA7">
        <w:rPr>
          <w:b/>
          <w:sz w:val="24"/>
          <w:szCs w:val="24"/>
        </w:rPr>
        <w:t>inal remarks</w:t>
      </w:r>
      <w:r>
        <w:rPr>
          <w:b/>
          <w:sz w:val="24"/>
          <w:szCs w:val="24"/>
        </w:rPr>
        <w:t xml:space="preserve"> around the table </w:t>
      </w:r>
      <w:r w:rsidR="00754D09">
        <w:rPr>
          <w:b/>
          <w:sz w:val="24"/>
          <w:szCs w:val="24"/>
        </w:rPr>
        <w:t>and on the phone</w:t>
      </w:r>
    </w:p>
    <w:p w:rsidR="00C03922" w:rsidRDefault="00C03922">
      <w:pPr>
        <w:rPr>
          <w:b/>
          <w:sz w:val="24"/>
          <w:szCs w:val="24"/>
        </w:rPr>
      </w:pPr>
    </w:p>
    <w:p w:rsidR="00C24E36" w:rsidRPr="00C411CD" w:rsidRDefault="00C24E36">
      <w:pPr>
        <w:rPr>
          <w:b/>
          <w:sz w:val="24"/>
          <w:szCs w:val="24"/>
        </w:rPr>
      </w:pPr>
      <w:r w:rsidRPr="00C411CD">
        <w:rPr>
          <w:b/>
          <w:sz w:val="24"/>
          <w:szCs w:val="24"/>
        </w:rPr>
        <w:t>12:</w:t>
      </w:r>
      <w:r w:rsidR="00E94AD4" w:rsidRPr="00C411CD">
        <w:rPr>
          <w:b/>
          <w:sz w:val="24"/>
          <w:szCs w:val="24"/>
        </w:rPr>
        <w:t>30</w:t>
      </w:r>
      <w:r w:rsidRPr="00C411CD">
        <w:rPr>
          <w:b/>
          <w:sz w:val="24"/>
          <w:szCs w:val="24"/>
        </w:rPr>
        <w:tab/>
        <w:t>Adjourn</w:t>
      </w:r>
    </w:p>
    <w:p w:rsidR="00F220AB" w:rsidRDefault="00F220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0AB" w:rsidRPr="00176719" w:rsidRDefault="00F220AB" w:rsidP="00F220AB">
      <w:pPr>
        <w:rPr>
          <w:b/>
          <w:sz w:val="28"/>
          <w:szCs w:val="28"/>
        </w:rPr>
      </w:pPr>
      <w:r w:rsidRPr="00176719">
        <w:rPr>
          <w:b/>
          <w:sz w:val="28"/>
          <w:szCs w:val="28"/>
        </w:rPr>
        <w:t xml:space="preserve">NSFG ACA Workshop, Day 2 </w:t>
      </w:r>
      <w:r>
        <w:rPr>
          <w:b/>
          <w:sz w:val="28"/>
          <w:szCs w:val="28"/>
        </w:rPr>
        <w:t xml:space="preserve">Revised </w:t>
      </w:r>
      <w:r w:rsidRPr="00176719">
        <w:rPr>
          <w:b/>
          <w:sz w:val="28"/>
          <w:szCs w:val="28"/>
        </w:rPr>
        <w:t>(Fri Nov 22)</w:t>
      </w:r>
    </w:p>
    <w:p w:rsidR="00F220AB" w:rsidRDefault="00F220AB" w:rsidP="00F220AB">
      <w:pPr>
        <w:rPr>
          <w:b/>
        </w:rPr>
      </w:pPr>
    </w:p>
    <w:p w:rsidR="00F220AB" w:rsidRPr="00176719" w:rsidRDefault="00F220AB" w:rsidP="00F220AB">
      <w:pPr>
        <w:rPr>
          <w:b/>
          <w:sz w:val="24"/>
          <w:szCs w:val="24"/>
        </w:rPr>
      </w:pPr>
      <w:r w:rsidRPr="00176719">
        <w:rPr>
          <w:b/>
          <w:sz w:val="24"/>
          <w:szCs w:val="24"/>
        </w:rPr>
        <w:t>GENERAL TOPICS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8"/>
        </w:numPr>
        <w:ind w:right="0"/>
      </w:pPr>
      <w:r>
        <w:t>Inclusion of 1 or more state-based ACA indicators on the public use files; balancing against disclosure risk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State has own exchanges or uses federal exchanges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Medicaid Family Planning waiver or not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Medicaid expansion or not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8"/>
        </w:numPr>
        <w:ind w:right="0"/>
      </w:pPr>
      <w:r>
        <w:t>Further detail on barriers to getting care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Distinguishing between financial versus logistical barriers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Timeframe and context for assessing barriers -- Any visit, specific services, reproductive health services</w:t>
      </w:r>
    </w:p>
    <w:p w:rsidR="00F220AB" w:rsidRDefault="00F220AB" w:rsidP="00F220AB">
      <w:pPr>
        <w:pStyle w:val="ListParagraph"/>
        <w:numPr>
          <w:ilvl w:val="1"/>
          <w:numId w:val="8"/>
        </w:numPr>
        <w:ind w:right="0"/>
      </w:pPr>
      <w:r>
        <w:t>Confidentiality concerns for all ages, not just younger people</w:t>
      </w:r>
    </w:p>
    <w:p w:rsidR="00F220AB" w:rsidRDefault="00F220AB" w:rsidP="00F220AB">
      <w:pPr>
        <w:ind w:left="720"/>
      </w:pPr>
    </w:p>
    <w:p w:rsidR="00F220AB" w:rsidRDefault="00F220AB" w:rsidP="00F220AB"/>
    <w:p w:rsidR="00F220AB" w:rsidRPr="00176719" w:rsidRDefault="00F220AB" w:rsidP="00F220AB">
      <w:pPr>
        <w:rPr>
          <w:b/>
          <w:sz w:val="24"/>
          <w:szCs w:val="24"/>
        </w:rPr>
      </w:pPr>
      <w:r w:rsidRPr="00176719">
        <w:rPr>
          <w:b/>
          <w:sz w:val="24"/>
          <w:szCs w:val="24"/>
        </w:rPr>
        <w:t xml:space="preserve">SERVICE-SPECIFIC ISSUES 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9"/>
        </w:numPr>
        <w:ind w:right="0"/>
      </w:pPr>
      <w:r>
        <w:t>Type of provider for specific services</w:t>
      </w:r>
    </w:p>
    <w:p w:rsidR="00F220AB" w:rsidRDefault="00F220AB" w:rsidP="00F220AB">
      <w:pPr>
        <w:pStyle w:val="ListParagraph"/>
        <w:numPr>
          <w:ilvl w:val="1"/>
          <w:numId w:val="9"/>
        </w:numPr>
        <w:ind w:right="0"/>
      </w:pPr>
      <w:r>
        <w:t>Beyond public/private distinction, what are the key details to capture?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9"/>
        </w:numPr>
        <w:ind w:right="0"/>
      </w:pPr>
      <w:r>
        <w:t>Forms of payment for specific services</w:t>
      </w:r>
    </w:p>
    <w:p w:rsidR="00F220AB" w:rsidRDefault="00F220AB" w:rsidP="00F220AB">
      <w:pPr>
        <w:pStyle w:val="ListParagraph"/>
        <w:numPr>
          <w:ilvl w:val="1"/>
          <w:numId w:val="9"/>
        </w:numPr>
        <w:ind w:right="0"/>
      </w:pPr>
      <w:r>
        <w:t>How to capture “cost-sharing” (co-pays, co-insurance, deductibles, “out-of-pocket”)</w:t>
      </w:r>
    </w:p>
    <w:p w:rsidR="00F220AB" w:rsidRDefault="00F220AB" w:rsidP="00F220AB"/>
    <w:p w:rsidR="00F220AB" w:rsidRDefault="00F220AB" w:rsidP="00F220AB">
      <w:pPr>
        <w:pStyle w:val="ListParagraph"/>
        <w:numPr>
          <w:ilvl w:val="0"/>
          <w:numId w:val="10"/>
        </w:numPr>
        <w:ind w:right="0"/>
      </w:pPr>
      <w:r>
        <w:t>Followup questions for specific services (or single visits) in the last year:</w:t>
      </w:r>
    </w:p>
    <w:p w:rsidR="00F220AB" w:rsidRDefault="00F220AB" w:rsidP="00F220AB">
      <w:pPr>
        <w:ind w:firstLine="720"/>
      </w:pPr>
      <w:r>
        <w:t>Did a doctor or other medical care provider talk to you about: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IPV screening or counseling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alcohol screening or counseling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smoking cessation counseling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other health concerns that may impact contraceptive method choice (e.g, blood pressure)</w:t>
      </w:r>
    </w:p>
    <w:p w:rsidR="00F220AB" w:rsidRDefault="00F220AB" w:rsidP="00F220AB">
      <w:pPr>
        <w:pStyle w:val="ListParagraph"/>
        <w:numPr>
          <w:ilvl w:val="1"/>
          <w:numId w:val="10"/>
        </w:numPr>
        <w:ind w:right="0"/>
      </w:pPr>
      <w:r>
        <w:t>other topics?</w:t>
      </w:r>
    </w:p>
    <w:p w:rsidR="00F220AB" w:rsidRDefault="00F220AB" w:rsidP="00F220AB"/>
    <w:p w:rsidR="00F220AB" w:rsidRDefault="00F220AB" w:rsidP="00F220AB"/>
    <w:p w:rsidR="00F220AB" w:rsidRPr="00176719" w:rsidRDefault="00F220AB" w:rsidP="00F220AB">
      <w:pPr>
        <w:rPr>
          <w:b/>
          <w:sz w:val="24"/>
          <w:szCs w:val="24"/>
        </w:rPr>
      </w:pPr>
      <w:r w:rsidRPr="00176719">
        <w:rPr>
          <w:b/>
          <w:sz w:val="24"/>
          <w:szCs w:val="24"/>
        </w:rPr>
        <w:t>CONTRACEPTIVE METHOD-SPECIFIC</w:t>
      </w:r>
    </w:p>
    <w:p w:rsidR="00F220AB" w:rsidRPr="002B42DD" w:rsidRDefault="00F220AB" w:rsidP="00F220AB">
      <w:pPr>
        <w:rPr>
          <w:b/>
        </w:rPr>
      </w:pPr>
    </w:p>
    <w:p w:rsidR="00F220AB" w:rsidRDefault="00F220AB" w:rsidP="00F220AB">
      <w:pPr>
        <w:pStyle w:val="ListParagraph"/>
        <w:numPr>
          <w:ilvl w:val="0"/>
          <w:numId w:val="7"/>
        </w:numPr>
        <w:ind w:right="0"/>
      </w:pPr>
      <w:r>
        <w:t>Follow-up on where they went to get their contraceptive drug or device, and what they paid for it</w:t>
      </w:r>
    </w:p>
    <w:p w:rsidR="00F220AB" w:rsidRDefault="00F220AB" w:rsidP="00F220AB">
      <w:pPr>
        <w:pStyle w:val="ListParagraph"/>
        <w:numPr>
          <w:ilvl w:val="0"/>
          <w:numId w:val="7"/>
        </w:numPr>
        <w:ind w:right="0"/>
      </w:pPr>
      <w:r>
        <w:t>Barriers to getting specific contraceptive methods:  “If cost were not a barrier, would you change your method?”  Other barriers?</w:t>
      </w:r>
    </w:p>
    <w:p w:rsidR="00F220AB" w:rsidRDefault="00F220AB" w:rsidP="00F220AB"/>
    <w:p w:rsidR="00F220AB" w:rsidRDefault="00F220AB" w:rsidP="00F220AB"/>
    <w:p w:rsidR="00F220AB" w:rsidRPr="00176719" w:rsidRDefault="00F220AB" w:rsidP="00F220AB">
      <w:pPr>
        <w:rPr>
          <w:sz w:val="24"/>
          <w:szCs w:val="24"/>
        </w:rPr>
      </w:pPr>
      <w:r w:rsidRPr="00176719">
        <w:rPr>
          <w:b/>
          <w:sz w:val="24"/>
          <w:szCs w:val="24"/>
        </w:rPr>
        <w:t>PREGNANCY-SPECIFIC</w:t>
      </w:r>
      <w:r>
        <w:rPr>
          <w:b/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(what is most needed?)</w:t>
      </w:r>
    </w:p>
    <w:p w:rsidR="00F220AB" w:rsidRPr="00E4662A" w:rsidRDefault="00F220AB" w:rsidP="00F220AB">
      <w:pPr>
        <w:rPr>
          <w:b/>
        </w:rPr>
      </w:pPr>
    </w:p>
    <w:p w:rsidR="00F220AB" w:rsidRDefault="00F220AB" w:rsidP="00F220AB">
      <w:pPr>
        <w:pStyle w:val="ListParagraph"/>
        <w:numPr>
          <w:ilvl w:val="0"/>
          <w:numId w:val="7"/>
        </w:numPr>
        <w:ind w:right="0"/>
      </w:pPr>
      <w:r>
        <w:t>Gestational diabetes screening (versus actual diagnosis?)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Gestational weight gain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Smoking cessation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Breastfeeding counseling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Breast pump coverage (since 2012) – for each birth since 2012?</w:t>
      </w:r>
    </w:p>
    <w:p w:rsidR="00F220AB" w:rsidRDefault="00F220AB" w:rsidP="00F220AB">
      <w:pPr>
        <w:pStyle w:val="ListParagraph"/>
        <w:numPr>
          <w:ilvl w:val="0"/>
          <w:numId w:val="11"/>
        </w:numPr>
        <w:ind w:right="0"/>
      </w:pPr>
      <w:r>
        <w:t>Other topics?</w:t>
      </w:r>
    </w:p>
    <w:p w:rsidR="00F220AB" w:rsidRDefault="00F220AB">
      <w:r>
        <w:t xml:space="preserve"> Participant list</w:t>
      </w:r>
    </w:p>
    <w:p w:rsidR="00F220AB" w:rsidRDefault="00F220AB"/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560"/>
        <w:gridCol w:w="2020"/>
        <w:gridCol w:w="2020"/>
      </w:tblGrid>
      <w:tr w:rsidR="00F220AB" w:rsidRPr="00F220AB" w:rsidTr="00F220AB">
        <w:trPr>
          <w:trHeight w:val="375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Thurs Nov 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Fri Nov 22</w:t>
            </w:r>
          </w:p>
        </w:tc>
      </w:tr>
      <w:tr w:rsidR="00F220AB" w:rsidRPr="00F220AB" w:rsidTr="00F220AB">
        <w:trPr>
          <w:trHeight w:val="37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  <w:t>Invited Experts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Clare Coleman/Dana Thomas of NFPRHA (alternating)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Robin Cohen, NCHS/NHIS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Jennifer Frost, Guttmacher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Rachel Gold, Guttmacher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Leighton Ku, GWU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 until 2pm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Susan Queen, ASPE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7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  <w:t>Funder Representatives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Roz King/Susan Newcomer of NICHD (alternating)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Roz in 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Susan 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Tasmeen Weik, OPA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Patricia Green. CDC/BDDD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Jami Leichliter, CDC/DSTDP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sz w:val="24"/>
                <w:szCs w:val="24"/>
              </w:rPr>
              <w:t>Liz DiNenno, CDC/DHAP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sz w:val="24"/>
                <w:szCs w:val="24"/>
              </w:rPr>
              <w:t>Wanda Barfield,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Shanna Cox,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Lorrie Gavin,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Karen Pazol,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Lee Warner, CDC/DRH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Analia Stormo, CDC/DCPC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Mona Saraiya, CDC/DCPC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Katrina Trivers, CDC/DCPC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Adelle Simmons, ASPE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Lisa Trivits, ASPE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sz w:val="24"/>
                <w:szCs w:val="24"/>
              </w:rPr>
              <w:t>Seth Chamberlain, ACF/OPRE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Sharon Newburg-Rinn, ACF/CB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inperson</w:t>
            </w:r>
          </w:p>
        </w:tc>
      </w:tr>
      <w:tr w:rsidR="00F220AB" w:rsidRPr="00F220AB" w:rsidTr="00F220AB">
        <w:trPr>
          <w:trHeight w:val="31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Brett Brown, ACF/CB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0AB" w:rsidRPr="00F220AB" w:rsidRDefault="00F220AB" w:rsidP="00F220AB">
            <w:pPr>
              <w:ind w:right="0"/>
              <w:rPr>
                <w:rFonts w:ascii="Calibri" w:eastAsia="Times New Roman" w:hAnsi="Calibri" w:cs="Times New Roman"/>
                <w:color w:val="000000"/>
              </w:rPr>
            </w:pPr>
            <w:r w:rsidRPr="00F220AB">
              <w:rPr>
                <w:rFonts w:ascii="Calibri" w:eastAsia="Times New Roman" w:hAnsi="Calibri" w:cs="Times New Roman"/>
                <w:color w:val="000000"/>
              </w:rPr>
              <w:t>teleconference</w:t>
            </w:r>
          </w:p>
        </w:tc>
      </w:tr>
    </w:tbl>
    <w:p w:rsidR="00F220AB" w:rsidRDefault="00F220AB"/>
    <w:p w:rsidR="00F220AB" w:rsidRDefault="00F220AB" w:rsidP="0014050D">
      <w:pPr>
        <w:pStyle w:val="ListParagraph"/>
        <w:ind w:left="360" w:right="0"/>
      </w:pPr>
    </w:p>
    <w:sectPr w:rsidR="00F220AB" w:rsidSect="00490AE3">
      <w:headerReference w:type="default" r:id="rId8"/>
      <w:footerReference w:type="default" r:id="rId9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C7" w:rsidRDefault="00227CC7" w:rsidP="007610DF">
      <w:r>
        <w:separator/>
      </w:r>
    </w:p>
  </w:endnote>
  <w:endnote w:type="continuationSeparator" w:id="0">
    <w:p w:rsidR="00227CC7" w:rsidRDefault="00227CC7" w:rsidP="0076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968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50D" w:rsidRDefault="001405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7CC7" w:rsidRDefault="00227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C7" w:rsidRDefault="00227CC7" w:rsidP="007610DF">
      <w:r>
        <w:separator/>
      </w:r>
    </w:p>
  </w:footnote>
  <w:footnote w:type="continuationSeparator" w:id="0">
    <w:p w:rsidR="00227CC7" w:rsidRDefault="00227CC7" w:rsidP="0076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0AB" w:rsidRPr="0014050D" w:rsidRDefault="00F220AB" w:rsidP="00F220AB">
    <w:pPr>
      <w:tabs>
        <w:tab w:val="center" w:pos="4320"/>
        <w:tab w:val="right" w:pos="8640"/>
      </w:tabs>
      <w:rPr>
        <w:rFonts w:ascii="Calibri" w:hAnsi="Calibri" w:cs="Calibri"/>
        <w:i/>
        <w:i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 xml:space="preserve">OMB Attachment </w:t>
    </w:r>
    <w:r w:rsidR="00B65A84">
      <w:rPr>
        <w:rFonts w:ascii="Calibri" w:hAnsi="Calibri" w:cs="Calibri"/>
        <w:i/>
        <w:iCs/>
        <w:sz w:val="20"/>
        <w:szCs w:val="20"/>
      </w:rPr>
      <w:t>G1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  <w:p w:rsidR="00F220AB" w:rsidRDefault="00F220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EF3"/>
    <w:multiLevelType w:val="hybridMultilevel"/>
    <w:tmpl w:val="0DD8885E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B3409"/>
    <w:multiLevelType w:val="hybridMultilevel"/>
    <w:tmpl w:val="FCD40B4E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B5CC4"/>
    <w:multiLevelType w:val="hybridMultilevel"/>
    <w:tmpl w:val="117E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01213"/>
    <w:multiLevelType w:val="hybridMultilevel"/>
    <w:tmpl w:val="4D34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032"/>
    <w:multiLevelType w:val="hybridMultilevel"/>
    <w:tmpl w:val="D6CE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A3FF2"/>
    <w:multiLevelType w:val="hybridMultilevel"/>
    <w:tmpl w:val="F69457C6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985A83"/>
    <w:multiLevelType w:val="hybridMultilevel"/>
    <w:tmpl w:val="4BC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05C29"/>
    <w:multiLevelType w:val="hybridMultilevel"/>
    <w:tmpl w:val="5B14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59183F"/>
    <w:multiLevelType w:val="hybridMultilevel"/>
    <w:tmpl w:val="D8B07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A74F0"/>
    <w:multiLevelType w:val="hybridMultilevel"/>
    <w:tmpl w:val="FF6092C6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027839"/>
    <w:multiLevelType w:val="hybridMultilevel"/>
    <w:tmpl w:val="EE2CA6E4"/>
    <w:lvl w:ilvl="0" w:tplc="D604DE80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2C"/>
    <w:rsid w:val="00023F21"/>
    <w:rsid w:val="000517D8"/>
    <w:rsid w:val="000610F1"/>
    <w:rsid w:val="00072BA6"/>
    <w:rsid w:val="00081BCF"/>
    <w:rsid w:val="00081CB6"/>
    <w:rsid w:val="00091AE5"/>
    <w:rsid w:val="000E26E0"/>
    <w:rsid w:val="000F4569"/>
    <w:rsid w:val="00124D72"/>
    <w:rsid w:val="001312B1"/>
    <w:rsid w:val="0014050D"/>
    <w:rsid w:val="00155F6D"/>
    <w:rsid w:val="0018596E"/>
    <w:rsid w:val="0019395E"/>
    <w:rsid w:val="001B472C"/>
    <w:rsid w:val="001E25ED"/>
    <w:rsid w:val="001F753C"/>
    <w:rsid w:val="00210DFF"/>
    <w:rsid w:val="00223F2F"/>
    <w:rsid w:val="00227CC7"/>
    <w:rsid w:val="00240178"/>
    <w:rsid w:val="002A305A"/>
    <w:rsid w:val="002D3072"/>
    <w:rsid w:val="002F7BA8"/>
    <w:rsid w:val="0031093D"/>
    <w:rsid w:val="00341637"/>
    <w:rsid w:val="00342214"/>
    <w:rsid w:val="003428E4"/>
    <w:rsid w:val="00391423"/>
    <w:rsid w:val="003D3CF3"/>
    <w:rsid w:val="003D59A8"/>
    <w:rsid w:val="003E18B4"/>
    <w:rsid w:val="003E25B4"/>
    <w:rsid w:val="003F0AAE"/>
    <w:rsid w:val="00403A93"/>
    <w:rsid w:val="00407B90"/>
    <w:rsid w:val="00444C32"/>
    <w:rsid w:val="00454127"/>
    <w:rsid w:val="00462760"/>
    <w:rsid w:val="00490AE3"/>
    <w:rsid w:val="00494E70"/>
    <w:rsid w:val="004A010F"/>
    <w:rsid w:val="004B54F4"/>
    <w:rsid w:val="004C50C8"/>
    <w:rsid w:val="00505206"/>
    <w:rsid w:val="005062AE"/>
    <w:rsid w:val="00517E31"/>
    <w:rsid w:val="005237F0"/>
    <w:rsid w:val="005A0C5C"/>
    <w:rsid w:val="005B089A"/>
    <w:rsid w:val="005C7790"/>
    <w:rsid w:val="005E7BDC"/>
    <w:rsid w:val="00601377"/>
    <w:rsid w:val="0064309E"/>
    <w:rsid w:val="00686857"/>
    <w:rsid w:val="006B4283"/>
    <w:rsid w:val="006D6BBB"/>
    <w:rsid w:val="006F1D55"/>
    <w:rsid w:val="006F4774"/>
    <w:rsid w:val="0070532E"/>
    <w:rsid w:val="007144BF"/>
    <w:rsid w:val="00723495"/>
    <w:rsid w:val="007325B9"/>
    <w:rsid w:val="0074017D"/>
    <w:rsid w:val="00743637"/>
    <w:rsid w:val="00754D09"/>
    <w:rsid w:val="007566F5"/>
    <w:rsid w:val="007610DF"/>
    <w:rsid w:val="00763903"/>
    <w:rsid w:val="00770325"/>
    <w:rsid w:val="00774FF5"/>
    <w:rsid w:val="00780868"/>
    <w:rsid w:val="007A4D1A"/>
    <w:rsid w:val="007C1C41"/>
    <w:rsid w:val="007D560A"/>
    <w:rsid w:val="007E1D5A"/>
    <w:rsid w:val="007E2ED4"/>
    <w:rsid w:val="007E56AA"/>
    <w:rsid w:val="008248EE"/>
    <w:rsid w:val="0087000E"/>
    <w:rsid w:val="008B13CC"/>
    <w:rsid w:val="008D02DF"/>
    <w:rsid w:val="00904377"/>
    <w:rsid w:val="00937D5F"/>
    <w:rsid w:val="00946730"/>
    <w:rsid w:val="00963FB1"/>
    <w:rsid w:val="009674A7"/>
    <w:rsid w:val="009A1F7D"/>
    <w:rsid w:val="009B7E2A"/>
    <w:rsid w:val="009E3AB0"/>
    <w:rsid w:val="00A25C6F"/>
    <w:rsid w:val="00A25F1E"/>
    <w:rsid w:val="00A33EA2"/>
    <w:rsid w:val="00A4013A"/>
    <w:rsid w:val="00A64887"/>
    <w:rsid w:val="00A81F6D"/>
    <w:rsid w:val="00A9174C"/>
    <w:rsid w:val="00AF0265"/>
    <w:rsid w:val="00B07FC9"/>
    <w:rsid w:val="00B37BA7"/>
    <w:rsid w:val="00B4309C"/>
    <w:rsid w:val="00B4779F"/>
    <w:rsid w:val="00B65A84"/>
    <w:rsid w:val="00B74CF8"/>
    <w:rsid w:val="00B76FAC"/>
    <w:rsid w:val="00BC6163"/>
    <w:rsid w:val="00BF691C"/>
    <w:rsid w:val="00C03922"/>
    <w:rsid w:val="00C24E36"/>
    <w:rsid w:val="00C322A5"/>
    <w:rsid w:val="00C411CD"/>
    <w:rsid w:val="00C609AA"/>
    <w:rsid w:val="00C643BB"/>
    <w:rsid w:val="00C70F99"/>
    <w:rsid w:val="00C71270"/>
    <w:rsid w:val="00C73ECA"/>
    <w:rsid w:val="00C835E8"/>
    <w:rsid w:val="00C90F8E"/>
    <w:rsid w:val="00C9665F"/>
    <w:rsid w:val="00CE3FC2"/>
    <w:rsid w:val="00D026FD"/>
    <w:rsid w:val="00D52EF8"/>
    <w:rsid w:val="00D755E6"/>
    <w:rsid w:val="00DD6EB1"/>
    <w:rsid w:val="00DE3850"/>
    <w:rsid w:val="00DF7F4D"/>
    <w:rsid w:val="00E05990"/>
    <w:rsid w:val="00E10EEC"/>
    <w:rsid w:val="00E11F36"/>
    <w:rsid w:val="00E24E56"/>
    <w:rsid w:val="00E337FA"/>
    <w:rsid w:val="00E50BC1"/>
    <w:rsid w:val="00E83F5C"/>
    <w:rsid w:val="00E86494"/>
    <w:rsid w:val="00E8762F"/>
    <w:rsid w:val="00E94AD4"/>
    <w:rsid w:val="00EB3F22"/>
    <w:rsid w:val="00ED58A3"/>
    <w:rsid w:val="00ED7C84"/>
    <w:rsid w:val="00EF6D90"/>
    <w:rsid w:val="00F01EB5"/>
    <w:rsid w:val="00F220AB"/>
    <w:rsid w:val="00F30CE1"/>
    <w:rsid w:val="00F408B6"/>
    <w:rsid w:val="00F565B2"/>
    <w:rsid w:val="00F6132B"/>
    <w:rsid w:val="00F64748"/>
    <w:rsid w:val="00F661E6"/>
    <w:rsid w:val="00F90611"/>
    <w:rsid w:val="00FD73EB"/>
    <w:rsid w:val="00FE2671"/>
    <w:rsid w:val="00FE421B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0DF"/>
  </w:style>
  <w:style w:type="paragraph" w:styleId="Footer">
    <w:name w:val="footer"/>
    <w:basedOn w:val="Normal"/>
    <w:link w:val="Foot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0DF"/>
  </w:style>
  <w:style w:type="paragraph" w:styleId="ListParagraph">
    <w:name w:val="List Paragraph"/>
    <w:basedOn w:val="Normal"/>
    <w:uiPriority w:val="34"/>
    <w:qFormat/>
    <w:rsid w:val="00EB3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0DF"/>
  </w:style>
  <w:style w:type="paragraph" w:styleId="Footer">
    <w:name w:val="footer"/>
    <w:basedOn w:val="Normal"/>
    <w:link w:val="FooterChar"/>
    <w:uiPriority w:val="99"/>
    <w:unhideWhenUsed/>
    <w:rsid w:val="0076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0DF"/>
  </w:style>
  <w:style w:type="paragraph" w:styleId="ListParagraph">
    <w:name w:val="List Paragraph"/>
    <w:basedOn w:val="Normal"/>
    <w:uiPriority w:val="34"/>
    <w:qFormat/>
    <w:rsid w:val="00EB3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Mosher, William D. (CDC/OSELS/NCHS)</dc:creator>
  <cp:lastModifiedBy>SYSTEM</cp:lastModifiedBy>
  <cp:revision>2</cp:revision>
  <cp:lastPrinted>2013-11-18T16:31:00Z</cp:lastPrinted>
  <dcterms:created xsi:type="dcterms:W3CDTF">2018-04-25T19:25:00Z</dcterms:created>
  <dcterms:modified xsi:type="dcterms:W3CDTF">2018-04-25T19:25:00Z</dcterms:modified>
</cp:coreProperties>
</file>