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930" w:rsidRPr="00C01AC2" w:rsidRDefault="002F4930">
      <w:pPr>
        <w:tabs>
          <w:tab w:val="center" w:pos="4680"/>
        </w:tabs>
        <w:rPr>
          <w:rFonts w:ascii="Times New Roman" w:hAnsi="Times New Roman"/>
          <w:b/>
          <w:bCs/>
          <w:color w:val="000000"/>
        </w:rPr>
      </w:pPr>
      <w:bookmarkStart w:id="0" w:name="_GoBack"/>
      <w:bookmarkEnd w:id="0"/>
    </w:p>
    <w:p w:rsidR="003A1691" w:rsidRPr="00883440" w:rsidRDefault="003A1691" w:rsidP="003A1691">
      <w:pPr>
        <w:jc w:val="center"/>
        <w:rPr>
          <w:rFonts w:ascii="Times New Roman" w:hAnsi="Times New Roman"/>
          <w:b/>
          <w:bCs/>
          <w:color w:val="000000"/>
          <w:sz w:val="28"/>
          <w:szCs w:val="28"/>
        </w:rPr>
      </w:pPr>
      <w:r w:rsidRPr="00883440">
        <w:rPr>
          <w:rFonts w:ascii="Times New Roman" w:hAnsi="Times New Roman"/>
          <w:b/>
          <w:bCs/>
          <w:color w:val="000000"/>
          <w:sz w:val="28"/>
          <w:szCs w:val="28"/>
        </w:rPr>
        <w:t>Non</w:t>
      </w:r>
      <w:r w:rsidR="008C1177" w:rsidRPr="00883440">
        <w:rPr>
          <w:rFonts w:ascii="Times New Roman" w:hAnsi="Times New Roman"/>
          <w:b/>
          <w:bCs/>
          <w:color w:val="000000"/>
          <w:sz w:val="28"/>
          <w:szCs w:val="28"/>
        </w:rPr>
        <w:t>r</w:t>
      </w:r>
      <w:r w:rsidRPr="00883440">
        <w:rPr>
          <w:rFonts w:ascii="Times New Roman" w:hAnsi="Times New Roman"/>
          <w:b/>
          <w:bCs/>
          <w:color w:val="000000"/>
          <w:sz w:val="28"/>
          <w:szCs w:val="28"/>
        </w:rPr>
        <w:t>esponse Bias Analyses for the Continuous N</w:t>
      </w:r>
      <w:r w:rsidR="006C47E8" w:rsidRPr="00883440">
        <w:rPr>
          <w:rFonts w:ascii="Times New Roman" w:hAnsi="Times New Roman"/>
          <w:b/>
          <w:bCs/>
          <w:color w:val="000000"/>
          <w:sz w:val="28"/>
          <w:szCs w:val="28"/>
        </w:rPr>
        <w:t>SF</w:t>
      </w:r>
      <w:r w:rsidRPr="00883440">
        <w:rPr>
          <w:rFonts w:ascii="Times New Roman" w:hAnsi="Times New Roman"/>
          <w:b/>
          <w:bCs/>
          <w:color w:val="000000"/>
          <w:sz w:val="28"/>
          <w:szCs w:val="28"/>
        </w:rPr>
        <w:t>G</w:t>
      </w:r>
      <w:r w:rsidR="006C47E8" w:rsidRPr="00883440">
        <w:rPr>
          <w:rFonts w:ascii="Times New Roman" w:hAnsi="Times New Roman"/>
          <w:b/>
          <w:bCs/>
          <w:color w:val="000000"/>
          <w:sz w:val="28"/>
          <w:szCs w:val="28"/>
        </w:rPr>
        <w:t>,</w:t>
      </w:r>
      <w:r w:rsidRPr="00883440">
        <w:rPr>
          <w:rFonts w:ascii="Times New Roman" w:hAnsi="Times New Roman"/>
          <w:b/>
          <w:bCs/>
          <w:color w:val="000000"/>
          <w:sz w:val="28"/>
          <w:szCs w:val="28"/>
        </w:rPr>
        <w:t xml:space="preserve"> 20</w:t>
      </w:r>
      <w:r w:rsidR="0053764F" w:rsidRPr="00883440">
        <w:rPr>
          <w:rFonts w:ascii="Times New Roman" w:hAnsi="Times New Roman"/>
          <w:b/>
          <w:bCs/>
          <w:color w:val="000000"/>
          <w:sz w:val="28"/>
          <w:szCs w:val="28"/>
        </w:rPr>
        <w:t>11</w:t>
      </w:r>
      <w:r w:rsidRPr="00883440">
        <w:rPr>
          <w:rFonts w:ascii="Times New Roman" w:hAnsi="Times New Roman"/>
          <w:b/>
          <w:bCs/>
          <w:color w:val="000000"/>
          <w:sz w:val="28"/>
          <w:szCs w:val="28"/>
        </w:rPr>
        <w:t>-</w:t>
      </w:r>
      <w:r w:rsidR="001428E4" w:rsidRPr="00883440">
        <w:rPr>
          <w:rFonts w:ascii="Times New Roman" w:hAnsi="Times New Roman"/>
          <w:b/>
          <w:bCs/>
          <w:color w:val="000000"/>
          <w:sz w:val="28"/>
          <w:szCs w:val="28"/>
        </w:rPr>
        <w:t>2017</w:t>
      </w:r>
    </w:p>
    <w:p w:rsidR="00313B86" w:rsidRDefault="003F664B" w:rsidP="003A1691">
      <w:pPr>
        <w:jc w:val="center"/>
        <w:rPr>
          <w:rFonts w:ascii="Times New Roman" w:hAnsi="Times New Roman"/>
          <w:bCs/>
          <w:color w:val="000000"/>
          <w:sz w:val="28"/>
          <w:szCs w:val="28"/>
        </w:rPr>
      </w:pPr>
      <w:r>
        <w:rPr>
          <w:rFonts w:ascii="Times New Roman" w:hAnsi="Times New Roman"/>
          <w:bCs/>
          <w:color w:val="000000"/>
          <w:sz w:val="28"/>
          <w:szCs w:val="28"/>
        </w:rPr>
        <w:t>Prepared for NCHS/NSFG OMB Renewal Package b</w:t>
      </w:r>
      <w:r w:rsidR="00380A78">
        <w:rPr>
          <w:rFonts w:ascii="Times New Roman" w:hAnsi="Times New Roman"/>
          <w:bCs/>
          <w:color w:val="000000"/>
          <w:sz w:val="28"/>
          <w:szCs w:val="28"/>
        </w:rPr>
        <w:t xml:space="preserve">y </w:t>
      </w:r>
    </w:p>
    <w:p w:rsidR="00313B86" w:rsidRDefault="00313B86" w:rsidP="003A1691">
      <w:pPr>
        <w:jc w:val="center"/>
        <w:rPr>
          <w:rFonts w:ascii="Times New Roman" w:hAnsi="Times New Roman"/>
          <w:bCs/>
          <w:color w:val="000000"/>
          <w:sz w:val="28"/>
          <w:szCs w:val="28"/>
        </w:rPr>
      </w:pPr>
      <w:r>
        <w:rPr>
          <w:rFonts w:ascii="Times New Roman" w:hAnsi="Times New Roman"/>
          <w:bCs/>
          <w:color w:val="000000"/>
          <w:sz w:val="28"/>
          <w:szCs w:val="28"/>
        </w:rPr>
        <w:t xml:space="preserve">James Wagner, Ph.D. NSFG </w:t>
      </w:r>
      <w:r w:rsidR="00034C09">
        <w:rPr>
          <w:rFonts w:ascii="Times New Roman" w:hAnsi="Times New Roman"/>
          <w:bCs/>
          <w:color w:val="000000"/>
          <w:sz w:val="28"/>
          <w:szCs w:val="28"/>
        </w:rPr>
        <w:t xml:space="preserve">Chief </w:t>
      </w:r>
      <w:r>
        <w:rPr>
          <w:rFonts w:ascii="Times New Roman" w:hAnsi="Times New Roman"/>
          <w:bCs/>
          <w:color w:val="000000"/>
          <w:sz w:val="28"/>
          <w:szCs w:val="28"/>
        </w:rPr>
        <w:t>Mathematical Statistician,</w:t>
      </w:r>
    </w:p>
    <w:p w:rsidR="00380A78" w:rsidRDefault="00F37ADB" w:rsidP="003A1691">
      <w:pPr>
        <w:jc w:val="center"/>
        <w:rPr>
          <w:rFonts w:ascii="Times New Roman" w:hAnsi="Times New Roman"/>
          <w:bCs/>
          <w:color w:val="000000"/>
          <w:sz w:val="28"/>
          <w:szCs w:val="28"/>
        </w:rPr>
      </w:pPr>
      <w:r>
        <w:rPr>
          <w:rFonts w:ascii="Times New Roman" w:hAnsi="Times New Roman"/>
          <w:bCs/>
          <w:color w:val="000000"/>
          <w:sz w:val="28"/>
          <w:szCs w:val="28"/>
        </w:rPr>
        <w:t>and</w:t>
      </w:r>
      <w:r w:rsidR="00313B86">
        <w:rPr>
          <w:rFonts w:ascii="Times New Roman" w:hAnsi="Times New Roman"/>
          <w:bCs/>
          <w:color w:val="000000"/>
          <w:sz w:val="28"/>
          <w:szCs w:val="28"/>
        </w:rPr>
        <w:t xml:space="preserve"> </w:t>
      </w:r>
      <w:r>
        <w:rPr>
          <w:rFonts w:ascii="Times New Roman" w:hAnsi="Times New Roman"/>
          <w:bCs/>
          <w:color w:val="000000"/>
          <w:sz w:val="28"/>
          <w:szCs w:val="28"/>
        </w:rPr>
        <w:t>Mick P. Couper, Ph.D., NSFG Project Director,</w:t>
      </w:r>
    </w:p>
    <w:p w:rsidR="005749BA" w:rsidRDefault="005749BA" w:rsidP="005749BA">
      <w:pPr>
        <w:jc w:val="center"/>
        <w:rPr>
          <w:rFonts w:ascii="Times New Roman" w:hAnsi="Times New Roman"/>
          <w:bCs/>
          <w:color w:val="000000"/>
          <w:sz w:val="28"/>
          <w:szCs w:val="28"/>
        </w:rPr>
      </w:pPr>
      <w:r>
        <w:rPr>
          <w:rFonts w:ascii="Times New Roman" w:hAnsi="Times New Roman"/>
          <w:bCs/>
          <w:color w:val="000000"/>
          <w:sz w:val="28"/>
          <w:szCs w:val="28"/>
        </w:rPr>
        <w:t>University of Michigan</w:t>
      </w:r>
    </w:p>
    <w:p w:rsidR="00883440" w:rsidRDefault="00883440" w:rsidP="00883440">
      <w:pPr>
        <w:rPr>
          <w:rFonts w:ascii="Times New Roman" w:hAnsi="Times New Roman"/>
          <w:bCs/>
          <w:color w:val="000000"/>
          <w:sz w:val="28"/>
          <w:szCs w:val="28"/>
        </w:rPr>
      </w:pPr>
    </w:p>
    <w:p w:rsidR="00883440" w:rsidRPr="00883440" w:rsidRDefault="00883440" w:rsidP="00883440">
      <w:pPr>
        <w:rPr>
          <w:rFonts w:ascii="Times New Roman" w:hAnsi="Times New Roman"/>
          <w:bCs/>
          <w:i/>
          <w:color w:val="000000"/>
          <w:sz w:val="22"/>
          <w:szCs w:val="22"/>
        </w:rPr>
      </w:pPr>
      <w:r w:rsidRPr="00883440">
        <w:rPr>
          <w:rFonts w:ascii="Times New Roman" w:hAnsi="Times New Roman"/>
          <w:bCs/>
          <w:i/>
          <w:color w:val="000000"/>
          <w:sz w:val="22"/>
          <w:szCs w:val="22"/>
        </w:rPr>
        <w:t>(note: References for this attachment are included at the end of the document.)</w:t>
      </w:r>
    </w:p>
    <w:p w:rsidR="00552C28" w:rsidRDefault="00C604B2" w:rsidP="00883440">
      <w:pPr>
        <w:rPr>
          <w:rFonts w:ascii="Times New Roman" w:hAnsi="Times New Roman"/>
          <w:bCs/>
          <w:color w:val="000000"/>
          <w:sz w:val="32"/>
          <w:szCs w:val="32"/>
          <w:u w:val="single"/>
        </w:rPr>
      </w:pPr>
      <w:r w:rsidRPr="00C01AC2" w:rsidDel="00C604B2">
        <w:rPr>
          <w:rFonts w:ascii="Times New Roman" w:hAnsi="Times New Roman"/>
          <w:bCs/>
          <w:color w:val="000000"/>
          <w:sz w:val="32"/>
          <w:szCs w:val="32"/>
          <w:u w:val="single"/>
        </w:rPr>
        <w:t xml:space="preserve"> </w:t>
      </w:r>
    </w:p>
    <w:p w:rsidR="00883440" w:rsidRDefault="00883440" w:rsidP="00883440">
      <w:pPr>
        <w:rPr>
          <w:rFonts w:ascii="Times New Roman" w:hAnsi="Times New Roman"/>
          <w:bCs/>
          <w:color w:val="000000"/>
        </w:rPr>
      </w:pPr>
      <w:r w:rsidRPr="00883440">
        <w:rPr>
          <w:rFonts w:ascii="Times New Roman" w:hAnsi="Times New Roman"/>
          <w:bCs/>
          <w:color w:val="000000"/>
          <w:u w:val="single"/>
        </w:rPr>
        <w:t>Outline</w:t>
      </w:r>
      <w:r>
        <w:rPr>
          <w:rFonts w:ascii="Times New Roman" w:hAnsi="Times New Roman"/>
          <w:bCs/>
          <w:color w:val="000000"/>
          <w:u w:val="single"/>
        </w:rPr>
        <w:t xml:space="preserve"> of Attachment O:</w:t>
      </w:r>
    </w:p>
    <w:p w:rsidR="00883440" w:rsidRDefault="00883440" w:rsidP="00883440">
      <w:pPr>
        <w:rPr>
          <w:rFonts w:ascii="Times New Roman" w:hAnsi="Times New Roman"/>
          <w:bCs/>
          <w:color w:val="000000"/>
        </w:rPr>
      </w:pPr>
      <w:r>
        <w:rPr>
          <w:rFonts w:ascii="Times New Roman" w:hAnsi="Times New Roman"/>
          <w:bCs/>
          <w:color w:val="000000"/>
        </w:rPr>
        <w:t>Executive Summary</w:t>
      </w:r>
    </w:p>
    <w:p w:rsidR="00883440" w:rsidRDefault="00883440" w:rsidP="00883440">
      <w:pPr>
        <w:rPr>
          <w:rFonts w:ascii="Times New Roman" w:hAnsi="Times New Roman"/>
          <w:bCs/>
          <w:color w:val="000000"/>
        </w:rPr>
      </w:pPr>
      <w:r>
        <w:rPr>
          <w:rFonts w:ascii="Times New Roman" w:hAnsi="Times New Roman"/>
          <w:bCs/>
          <w:color w:val="000000"/>
        </w:rPr>
        <w:t>Introduction</w:t>
      </w:r>
    </w:p>
    <w:p w:rsidR="00883440" w:rsidRDefault="003F664B" w:rsidP="00883440">
      <w:pPr>
        <w:numPr>
          <w:ilvl w:val="0"/>
          <w:numId w:val="40"/>
        </w:numPr>
        <w:rPr>
          <w:rFonts w:ascii="Times New Roman" w:hAnsi="Times New Roman"/>
          <w:bCs/>
          <w:color w:val="000000"/>
        </w:rPr>
      </w:pPr>
      <w:r>
        <w:rPr>
          <w:rFonts w:ascii="Times New Roman" w:hAnsi="Times New Roman"/>
          <w:bCs/>
          <w:color w:val="000000"/>
        </w:rPr>
        <w:t xml:space="preserve">2011-2017 </w:t>
      </w:r>
      <w:r w:rsidR="00883440" w:rsidRPr="00883440">
        <w:rPr>
          <w:rFonts w:ascii="Times New Roman" w:hAnsi="Times New Roman"/>
          <w:bCs/>
          <w:color w:val="000000"/>
        </w:rPr>
        <w:t xml:space="preserve">Response Rates from </w:t>
      </w:r>
      <w:r>
        <w:rPr>
          <w:rFonts w:ascii="Times New Roman" w:hAnsi="Times New Roman"/>
          <w:bCs/>
          <w:color w:val="000000"/>
        </w:rPr>
        <w:t xml:space="preserve">the </w:t>
      </w:r>
      <w:r w:rsidR="00883440" w:rsidRPr="00883440">
        <w:rPr>
          <w:rFonts w:ascii="Times New Roman" w:hAnsi="Times New Roman"/>
          <w:bCs/>
          <w:color w:val="000000"/>
        </w:rPr>
        <w:t>Continuous NSFG</w:t>
      </w:r>
      <w:r>
        <w:rPr>
          <w:rFonts w:ascii="Times New Roman" w:hAnsi="Times New Roman"/>
          <w:bCs/>
          <w:color w:val="000000"/>
        </w:rPr>
        <w:t xml:space="preserve"> (Q1-Q24; Years 1-6)</w:t>
      </w:r>
    </w:p>
    <w:p w:rsidR="00883440" w:rsidRDefault="00883440" w:rsidP="00883440">
      <w:pPr>
        <w:numPr>
          <w:ilvl w:val="0"/>
          <w:numId w:val="40"/>
        </w:numPr>
        <w:rPr>
          <w:rFonts w:ascii="Times New Roman" w:hAnsi="Times New Roman"/>
          <w:bCs/>
          <w:color w:val="000000"/>
        </w:rPr>
      </w:pPr>
      <w:r w:rsidRPr="00883440">
        <w:rPr>
          <w:rFonts w:ascii="Times New Roman" w:hAnsi="Times New Roman"/>
          <w:bCs/>
          <w:color w:val="000000"/>
        </w:rPr>
        <w:t xml:space="preserve">Quarterly Measures of Effort and Response Rates </w:t>
      </w:r>
      <w:r w:rsidR="003F664B">
        <w:rPr>
          <w:rFonts w:ascii="Times New Roman" w:hAnsi="Times New Roman"/>
          <w:bCs/>
          <w:color w:val="000000"/>
        </w:rPr>
        <w:t xml:space="preserve">for </w:t>
      </w:r>
      <w:r w:rsidRPr="00883440">
        <w:rPr>
          <w:rFonts w:ascii="Times New Roman" w:hAnsi="Times New Roman"/>
          <w:bCs/>
          <w:color w:val="000000"/>
        </w:rPr>
        <w:t xml:space="preserve">Q1 to </w:t>
      </w:r>
      <w:r w:rsidR="00DC4429" w:rsidRPr="00883440">
        <w:rPr>
          <w:rFonts w:ascii="Times New Roman" w:hAnsi="Times New Roman"/>
          <w:bCs/>
          <w:color w:val="000000"/>
        </w:rPr>
        <w:t>Q2</w:t>
      </w:r>
      <w:r w:rsidR="00DC4429">
        <w:rPr>
          <w:rFonts w:ascii="Times New Roman" w:hAnsi="Times New Roman"/>
          <w:bCs/>
          <w:color w:val="000000"/>
        </w:rPr>
        <w:t>4</w:t>
      </w:r>
    </w:p>
    <w:p w:rsidR="00883440" w:rsidRPr="00883440" w:rsidRDefault="00883440" w:rsidP="00883440">
      <w:pPr>
        <w:numPr>
          <w:ilvl w:val="0"/>
          <w:numId w:val="40"/>
        </w:numPr>
        <w:rPr>
          <w:rFonts w:ascii="Times New Roman" w:hAnsi="Times New Roman"/>
          <w:bCs/>
          <w:color w:val="000000"/>
        </w:rPr>
      </w:pPr>
      <w:r w:rsidRPr="00883440">
        <w:rPr>
          <w:rFonts w:ascii="Times New Roman" w:hAnsi="Times New Roman"/>
          <w:bCs/>
          <w:color w:val="000000"/>
        </w:rPr>
        <w:t>Paradata Structure</w:t>
      </w:r>
    </w:p>
    <w:p w:rsidR="00883440" w:rsidRPr="00883440" w:rsidRDefault="00883440" w:rsidP="00883440">
      <w:pPr>
        <w:numPr>
          <w:ilvl w:val="0"/>
          <w:numId w:val="40"/>
        </w:numPr>
        <w:rPr>
          <w:rFonts w:ascii="Times New Roman" w:hAnsi="Times New Roman"/>
          <w:bCs/>
          <w:color w:val="000000"/>
        </w:rPr>
      </w:pPr>
      <w:r w:rsidRPr="00883440">
        <w:rPr>
          <w:rFonts w:ascii="Times New Roman" w:hAnsi="Times New Roman"/>
          <w:bCs/>
          <w:color w:val="000000"/>
        </w:rPr>
        <w:t xml:space="preserve">Sensitivity of Key Estimates to Calling Effort </w:t>
      </w:r>
    </w:p>
    <w:p w:rsidR="00883440" w:rsidRPr="00883440" w:rsidRDefault="00883440" w:rsidP="00883440">
      <w:pPr>
        <w:numPr>
          <w:ilvl w:val="0"/>
          <w:numId w:val="40"/>
        </w:numPr>
        <w:rPr>
          <w:rFonts w:ascii="Times New Roman" w:hAnsi="Times New Roman"/>
          <w:bCs/>
          <w:color w:val="000000"/>
        </w:rPr>
      </w:pPr>
      <w:r w:rsidRPr="00883440">
        <w:rPr>
          <w:rFonts w:ascii="Times New Roman" w:hAnsi="Times New Roman"/>
          <w:bCs/>
          <w:color w:val="000000"/>
        </w:rPr>
        <w:t xml:space="preserve">Daily Monitoring of Response Rates for Main Interviews across 12 Socio-Demographic </w:t>
      </w:r>
      <w:r>
        <w:rPr>
          <w:rFonts w:ascii="Times New Roman" w:hAnsi="Times New Roman"/>
          <w:bCs/>
          <w:color w:val="000000"/>
        </w:rPr>
        <w:t>G</w:t>
      </w:r>
      <w:r w:rsidRPr="00883440">
        <w:rPr>
          <w:rFonts w:ascii="Times New Roman" w:hAnsi="Times New Roman"/>
          <w:bCs/>
          <w:color w:val="000000"/>
        </w:rPr>
        <w:t>roups</w:t>
      </w:r>
    </w:p>
    <w:p w:rsidR="00883440" w:rsidRPr="00883440" w:rsidRDefault="00883440" w:rsidP="00883440">
      <w:pPr>
        <w:numPr>
          <w:ilvl w:val="0"/>
          <w:numId w:val="40"/>
        </w:numPr>
        <w:rPr>
          <w:rFonts w:ascii="Times New Roman" w:hAnsi="Times New Roman"/>
          <w:bCs/>
          <w:color w:val="000000"/>
        </w:rPr>
      </w:pPr>
      <w:r w:rsidRPr="00883440">
        <w:rPr>
          <w:rFonts w:ascii="Times New Roman" w:hAnsi="Times New Roman"/>
          <w:bCs/>
          <w:color w:val="000000"/>
        </w:rPr>
        <w:t>Responsive Design Interventions on Key Auxiliary Variables during Data Collection</w:t>
      </w:r>
    </w:p>
    <w:p w:rsidR="00883440" w:rsidRDefault="00883440" w:rsidP="00883440">
      <w:pPr>
        <w:numPr>
          <w:ilvl w:val="0"/>
          <w:numId w:val="40"/>
        </w:numPr>
        <w:rPr>
          <w:rFonts w:ascii="Times New Roman" w:hAnsi="Times New Roman"/>
          <w:bCs/>
          <w:color w:val="000000"/>
        </w:rPr>
      </w:pPr>
      <w:r w:rsidRPr="00883440">
        <w:rPr>
          <w:rFonts w:ascii="Times New Roman" w:hAnsi="Times New Roman"/>
          <w:bCs/>
          <w:color w:val="000000"/>
        </w:rPr>
        <w:t>A Two-Phase Sampling Scheme, Selecting a Probability Sample of Nonrespondents at the End of Week 10 of Each Quarter</w:t>
      </w:r>
    </w:p>
    <w:p w:rsidR="009E4264" w:rsidRPr="009E4264" w:rsidRDefault="009E4264" w:rsidP="009E4264">
      <w:pPr>
        <w:numPr>
          <w:ilvl w:val="0"/>
          <w:numId w:val="40"/>
        </w:numPr>
        <w:rPr>
          <w:rFonts w:ascii="Times New Roman" w:hAnsi="Times New Roman"/>
          <w:bCs/>
          <w:color w:val="000000"/>
        </w:rPr>
      </w:pPr>
      <w:r w:rsidRPr="009E4264">
        <w:rPr>
          <w:rFonts w:ascii="Times New Roman" w:hAnsi="Times New Roman"/>
          <w:bCs/>
          <w:color w:val="000000"/>
        </w:rPr>
        <w:t>Results from Models Developed in the Context of Postsurvey Adjustments for Nonresponse</w:t>
      </w:r>
    </w:p>
    <w:p w:rsidR="00883440" w:rsidRDefault="00883440" w:rsidP="00883440">
      <w:pPr>
        <w:rPr>
          <w:rFonts w:ascii="Times New Roman" w:hAnsi="Times New Roman"/>
          <w:bCs/>
          <w:color w:val="000000"/>
        </w:rPr>
      </w:pPr>
      <w:r>
        <w:rPr>
          <w:rFonts w:ascii="Times New Roman" w:hAnsi="Times New Roman"/>
          <w:bCs/>
          <w:color w:val="000000"/>
        </w:rPr>
        <w:t>Summary</w:t>
      </w:r>
    </w:p>
    <w:p w:rsidR="00883440" w:rsidRDefault="00883440" w:rsidP="00883440">
      <w:pPr>
        <w:rPr>
          <w:rFonts w:ascii="Times New Roman" w:hAnsi="Times New Roman"/>
          <w:bCs/>
          <w:color w:val="000000"/>
        </w:rPr>
      </w:pPr>
      <w:r>
        <w:rPr>
          <w:rFonts w:ascii="Times New Roman" w:hAnsi="Times New Roman"/>
          <w:bCs/>
          <w:color w:val="000000"/>
        </w:rPr>
        <w:t>References</w:t>
      </w:r>
    </w:p>
    <w:p w:rsidR="00883440" w:rsidRDefault="00883440" w:rsidP="00883440">
      <w:pPr>
        <w:rPr>
          <w:rFonts w:ascii="Calibri" w:hAnsi="Calibri" w:cs="Calibri"/>
          <w:b/>
          <w:bCs/>
          <w:color w:val="0000FF"/>
        </w:rPr>
      </w:pPr>
    </w:p>
    <w:p w:rsidR="00883440" w:rsidRPr="00883440" w:rsidRDefault="00883440" w:rsidP="00883440">
      <w:pPr>
        <w:rPr>
          <w:rFonts w:ascii="Calibri" w:hAnsi="Calibri" w:cs="Calibri"/>
          <w:b/>
          <w:bCs/>
          <w:color w:val="0000FF"/>
        </w:rPr>
      </w:pPr>
    </w:p>
    <w:p w:rsidR="00E766B9" w:rsidRPr="009B39D6" w:rsidRDefault="00552C28" w:rsidP="00176C70">
      <w:pPr>
        <w:rPr>
          <w:rFonts w:ascii="Times New Roman" w:hAnsi="Times New Roman"/>
          <w:b/>
          <w:bCs/>
        </w:rPr>
      </w:pPr>
      <w:r w:rsidRPr="009B39D6">
        <w:rPr>
          <w:rFonts w:ascii="Times New Roman" w:hAnsi="Times New Roman"/>
          <w:b/>
          <w:bCs/>
        </w:rPr>
        <w:t>Executive Summary</w:t>
      </w:r>
      <w:r w:rsidR="00E766B9" w:rsidRPr="009B39D6">
        <w:rPr>
          <w:rFonts w:ascii="Times New Roman" w:hAnsi="Times New Roman"/>
          <w:b/>
          <w:bCs/>
        </w:rPr>
        <w:t xml:space="preserve">  </w:t>
      </w:r>
    </w:p>
    <w:p w:rsidR="00552C28" w:rsidRPr="009B39D6" w:rsidRDefault="00552C28" w:rsidP="00176C70">
      <w:pPr>
        <w:rPr>
          <w:rFonts w:ascii="Times New Roman" w:hAnsi="Times New Roman"/>
          <w:b/>
          <w:bCs/>
        </w:rPr>
      </w:pPr>
    </w:p>
    <w:p w:rsidR="00AE30CB" w:rsidRPr="009B39D6" w:rsidRDefault="00552C28" w:rsidP="004E37EF">
      <w:pPr>
        <w:spacing w:line="360" w:lineRule="auto"/>
        <w:rPr>
          <w:rFonts w:ascii="Times New Roman" w:hAnsi="Times New Roman"/>
          <w:bCs/>
        </w:rPr>
      </w:pPr>
      <w:r w:rsidRPr="009B39D6">
        <w:rPr>
          <w:rFonts w:ascii="Times New Roman" w:hAnsi="Times New Roman"/>
          <w:bCs/>
        </w:rPr>
        <w:t>Th</w:t>
      </w:r>
      <w:r w:rsidR="00F848FA" w:rsidRPr="009B39D6">
        <w:rPr>
          <w:rFonts w:ascii="Times New Roman" w:hAnsi="Times New Roman"/>
          <w:bCs/>
        </w:rPr>
        <w:t>is brief appendix describes our approach to nonresponse bias analysis and</w:t>
      </w:r>
      <w:r w:rsidR="00525DBB">
        <w:rPr>
          <w:rFonts w:ascii="Times New Roman" w:hAnsi="Times New Roman"/>
          <w:bCs/>
        </w:rPr>
        <w:t xml:space="preserve"> fieldwork</w:t>
      </w:r>
      <w:r w:rsidR="00F848FA" w:rsidRPr="009B39D6">
        <w:rPr>
          <w:rFonts w:ascii="Times New Roman" w:hAnsi="Times New Roman"/>
          <w:bCs/>
        </w:rPr>
        <w:t xml:space="preserve"> management on the NSFG.  </w:t>
      </w:r>
      <w:r w:rsidR="00854BC7">
        <w:rPr>
          <w:rFonts w:ascii="Times New Roman" w:hAnsi="Times New Roman"/>
          <w:bCs/>
        </w:rPr>
        <w:t xml:space="preserve">Further details on the design and conduct of the NSFG are available in NCHS reports (Groves, et al. 2009; Lepkowski, et al. 2013) and in other publications (Wagner, et al. 2012). </w:t>
      </w:r>
      <w:r w:rsidR="00F848FA" w:rsidRPr="009B39D6">
        <w:rPr>
          <w:rFonts w:ascii="Times New Roman" w:hAnsi="Times New Roman"/>
          <w:bCs/>
        </w:rPr>
        <w:t>Th</w:t>
      </w:r>
      <w:r w:rsidR="00883440">
        <w:rPr>
          <w:rFonts w:ascii="Times New Roman" w:hAnsi="Times New Roman"/>
          <w:bCs/>
        </w:rPr>
        <w:t xml:space="preserve">e NSFG is </w:t>
      </w:r>
      <w:r w:rsidR="008C1177" w:rsidRPr="009B39D6">
        <w:rPr>
          <w:rFonts w:ascii="Times New Roman" w:hAnsi="Times New Roman"/>
          <w:bCs/>
        </w:rPr>
        <w:t xml:space="preserve">conducted using continuous interviewing, with </w:t>
      </w:r>
      <w:r w:rsidRPr="009B39D6">
        <w:rPr>
          <w:rFonts w:ascii="Times New Roman" w:hAnsi="Times New Roman"/>
          <w:bCs/>
        </w:rPr>
        <w:t>four 12-week quarters per year.  For the first 10 weeks of each quarter, we use real-time paradata to manage the survey fieldwork—to direct interviewer effort to where it is needed (e.g., screeners, if not enough screeners are being done; or to Hispanic adult males, if their response rates are lagging).  We also use paradata to select cases and structure effort in the last 2 weeks of each 12-week quarter</w:t>
      </w:r>
      <w:r w:rsidR="008C1177" w:rsidRPr="009B39D6">
        <w:rPr>
          <w:rFonts w:ascii="Times New Roman" w:hAnsi="Times New Roman"/>
          <w:bCs/>
        </w:rPr>
        <w:t>, where we subsample unresolved cases for additional effort.</w:t>
      </w:r>
      <w:r w:rsidR="00E766B9" w:rsidRPr="009B39D6">
        <w:rPr>
          <w:rFonts w:ascii="Times New Roman" w:hAnsi="Times New Roman"/>
          <w:bCs/>
        </w:rPr>
        <w:t xml:space="preserve">  Our goals include equalizing response rates within sub-groups by age, gender, and race, and monitoring the estimates for some key variables from the survey (e.g., percent who have never been married).  </w:t>
      </w:r>
      <w:r w:rsidR="00E766B9" w:rsidRPr="009B39D6">
        <w:rPr>
          <w:rFonts w:ascii="Times New Roman" w:hAnsi="Times New Roman"/>
          <w:bCs/>
        </w:rPr>
        <w:lastRenderedPageBreak/>
        <w:t xml:space="preserve">Paradata </w:t>
      </w:r>
      <w:r w:rsidR="008C1177" w:rsidRPr="009B39D6">
        <w:rPr>
          <w:rFonts w:ascii="Times New Roman" w:hAnsi="Times New Roman"/>
          <w:bCs/>
        </w:rPr>
        <w:t xml:space="preserve">are </w:t>
      </w:r>
      <w:r w:rsidR="00E766B9" w:rsidRPr="009B39D6">
        <w:rPr>
          <w:rFonts w:ascii="Times New Roman" w:hAnsi="Times New Roman"/>
          <w:bCs/>
        </w:rPr>
        <w:t xml:space="preserve">also used to adjust the sampling weights for nonresponse.  </w:t>
      </w:r>
      <w:r w:rsidR="008C1177" w:rsidRPr="009B39D6">
        <w:rPr>
          <w:rFonts w:ascii="Times New Roman" w:hAnsi="Times New Roman"/>
          <w:bCs/>
        </w:rPr>
        <w:t xml:space="preserve">The overall goal of this design is to manage fieldwork effort on an ongoing basis with the aim of measuring and minimizing nonresponse error for a given level of effort. </w:t>
      </w:r>
    </w:p>
    <w:p w:rsidR="008C1177" w:rsidRPr="009B39D6" w:rsidRDefault="008C1177" w:rsidP="004E37EF">
      <w:pPr>
        <w:spacing w:line="360" w:lineRule="auto"/>
        <w:rPr>
          <w:rFonts w:ascii="Times New Roman" w:hAnsi="Times New Roman"/>
          <w:bCs/>
        </w:rPr>
      </w:pPr>
    </w:p>
    <w:p w:rsidR="004E37EF" w:rsidRPr="009B39D6" w:rsidRDefault="008C1177" w:rsidP="004E37EF">
      <w:pPr>
        <w:spacing w:line="360" w:lineRule="auto"/>
        <w:rPr>
          <w:rFonts w:ascii="Times New Roman" w:hAnsi="Times New Roman"/>
          <w:bCs/>
        </w:rPr>
      </w:pPr>
      <w:r w:rsidRPr="009B39D6">
        <w:rPr>
          <w:rFonts w:ascii="Times New Roman" w:hAnsi="Times New Roman"/>
          <w:bCs/>
        </w:rPr>
        <w:t xml:space="preserve">The </w:t>
      </w:r>
      <w:r w:rsidR="00854BC7">
        <w:rPr>
          <w:rFonts w:ascii="Times New Roman" w:hAnsi="Times New Roman"/>
          <w:bCs/>
        </w:rPr>
        <w:t>document describes our activities in the</w:t>
      </w:r>
      <w:r w:rsidR="003F664B">
        <w:rPr>
          <w:rFonts w:ascii="Times New Roman" w:hAnsi="Times New Roman"/>
          <w:bCs/>
        </w:rPr>
        <w:t xml:space="preserve"> 2011-2017 period </w:t>
      </w:r>
      <w:r w:rsidR="00A31831">
        <w:rPr>
          <w:rFonts w:ascii="Times New Roman" w:hAnsi="Times New Roman"/>
          <w:bCs/>
        </w:rPr>
        <w:t xml:space="preserve">of </w:t>
      </w:r>
      <w:r w:rsidR="003F664B">
        <w:rPr>
          <w:rFonts w:ascii="Times New Roman" w:hAnsi="Times New Roman"/>
          <w:bCs/>
        </w:rPr>
        <w:t xml:space="preserve">the </w:t>
      </w:r>
      <w:r w:rsidRPr="009B39D6">
        <w:rPr>
          <w:rFonts w:ascii="Times New Roman" w:hAnsi="Times New Roman"/>
          <w:bCs/>
        </w:rPr>
        <w:t>Continuous NFSG</w:t>
      </w:r>
      <w:r w:rsidR="003F664B">
        <w:rPr>
          <w:rFonts w:ascii="Times New Roman" w:hAnsi="Times New Roman"/>
          <w:bCs/>
        </w:rPr>
        <w:t>, that is, the first 6 years of the 8 years of fieldwork (2011-2019) covered under the current NSFG contract</w:t>
      </w:r>
      <w:r w:rsidR="00854BC7">
        <w:rPr>
          <w:rFonts w:ascii="Times New Roman" w:hAnsi="Times New Roman"/>
          <w:bCs/>
        </w:rPr>
        <w:t xml:space="preserve">. </w:t>
      </w:r>
      <w:r w:rsidR="005749BA">
        <w:rPr>
          <w:rFonts w:ascii="Times New Roman" w:hAnsi="Times New Roman"/>
          <w:bCs/>
        </w:rPr>
        <w:t xml:space="preserve"> </w:t>
      </w:r>
      <w:r w:rsidR="00854BC7">
        <w:rPr>
          <w:rFonts w:ascii="Times New Roman" w:hAnsi="Times New Roman"/>
          <w:bCs/>
        </w:rPr>
        <w:t>These activities have built upon the success of the 2006-2010 NSFG,</w:t>
      </w:r>
      <w:r w:rsidRPr="009B39D6">
        <w:rPr>
          <w:rFonts w:ascii="Times New Roman" w:hAnsi="Times New Roman"/>
          <w:bCs/>
        </w:rPr>
        <w:t xml:space="preserve"> </w:t>
      </w:r>
      <w:r w:rsidR="003F664B">
        <w:rPr>
          <w:rFonts w:ascii="Times New Roman" w:hAnsi="Times New Roman"/>
          <w:bCs/>
        </w:rPr>
        <w:t xml:space="preserve">the first </w:t>
      </w:r>
      <w:r w:rsidR="00525DBB">
        <w:rPr>
          <w:rFonts w:ascii="Times New Roman" w:hAnsi="Times New Roman"/>
          <w:bCs/>
        </w:rPr>
        <w:t>survey period in which NSFG used a continuous design, and have made use of further improvements</w:t>
      </w:r>
      <w:r w:rsidR="004E37EF" w:rsidRPr="009B39D6">
        <w:rPr>
          <w:rFonts w:ascii="Times New Roman" w:hAnsi="Times New Roman"/>
          <w:bCs/>
        </w:rPr>
        <w:t xml:space="preserve"> as more is learned.  We continue to improve on the monitoring of daily paradata with a view to further minimizing nonresponse error.</w:t>
      </w:r>
    </w:p>
    <w:p w:rsidR="00E766B9" w:rsidRPr="00CF3546" w:rsidRDefault="00E766B9" w:rsidP="00E766B9">
      <w:pPr>
        <w:rPr>
          <w:rFonts w:ascii="Calibri" w:hAnsi="Calibri" w:cs="Calibri"/>
          <w:b/>
          <w:bCs/>
          <w:color w:val="0000FF"/>
        </w:rPr>
      </w:pPr>
    </w:p>
    <w:p w:rsidR="00E766B9" w:rsidRPr="009B39D6" w:rsidRDefault="00E766B9" w:rsidP="00A31831">
      <w:pPr>
        <w:rPr>
          <w:rFonts w:ascii="Times New Roman" w:hAnsi="Times New Roman"/>
          <w:b/>
          <w:bCs/>
        </w:rPr>
      </w:pPr>
      <w:r w:rsidRPr="009B39D6">
        <w:rPr>
          <w:rFonts w:ascii="Times New Roman" w:hAnsi="Times New Roman"/>
          <w:b/>
          <w:bCs/>
        </w:rPr>
        <w:t>Introduction</w:t>
      </w:r>
    </w:p>
    <w:p w:rsidR="004E37EF" w:rsidRDefault="004E37EF" w:rsidP="00E766B9">
      <w:pPr>
        <w:rPr>
          <w:rFonts w:ascii="Times New Roman" w:hAnsi="Times New Roman"/>
          <w:b/>
        </w:rPr>
      </w:pPr>
    </w:p>
    <w:p w:rsidR="0053764F" w:rsidRDefault="0053764F" w:rsidP="00AE30CB">
      <w:pPr>
        <w:spacing w:line="360" w:lineRule="auto"/>
        <w:rPr>
          <w:rFonts w:ascii="Times New Roman" w:hAnsi="Times New Roman"/>
        </w:rPr>
      </w:pPr>
      <w:r>
        <w:rPr>
          <w:rFonts w:ascii="Times New Roman" w:hAnsi="Times New Roman"/>
        </w:rPr>
        <w:t xml:space="preserve">As with most large complex surveys in the U.S., the NSFG anticipates a response rate below the 80% target set by OMB.  </w:t>
      </w:r>
      <w:r w:rsidR="00854BC7">
        <w:rPr>
          <w:rFonts w:ascii="Times New Roman" w:hAnsi="Times New Roman"/>
        </w:rPr>
        <w:t xml:space="preserve">As of this writing, we are in the </w:t>
      </w:r>
      <w:r w:rsidR="00525DBB">
        <w:rPr>
          <w:rFonts w:ascii="Times New Roman" w:hAnsi="Times New Roman"/>
        </w:rPr>
        <w:t>7th</w:t>
      </w:r>
      <w:r w:rsidR="001428E4">
        <w:rPr>
          <w:rFonts w:ascii="Times New Roman" w:hAnsi="Times New Roman"/>
        </w:rPr>
        <w:t xml:space="preserve"> </w:t>
      </w:r>
      <w:r w:rsidR="00854BC7">
        <w:rPr>
          <w:rFonts w:ascii="Times New Roman" w:hAnsi="Times New Roman"/>
        </w:rPr>
        <w:t xml:space="preserve">year of </w:t>
      </w:r>
      <w:r w:rsidR="00525DBB">
        <w:rPr>
          <w:rFonts w:ascii="Times New Roman" w:hAnsi="Times New Roman"/>
        </w:rPr>
        <w:t xml:space="preserve">fieldwork </w:t>
      </w:r>
      <w:r w:rsidR="00854BC7">
        <w:rPr>
          <w:rFonts w:ascii="Times New Roman" w:hAnsi="Times New Roman"/>
        </w:rPr>
        <w:t>for the Continuous NSFG</w:t>
      </w:r>
      <w:r w:rsidR="00525DBB">
        <w:rPr>
          <w:rFonts w:ascii="Times New Roman" w:hAnsi="Times New Roman"/>
        </w:rPr>
        <w:t xml:space="preserve"> under the current contract</w:t>
      </w:r>
      <w:r w:rsidR="00854BC7">
        <w:rPr>
          <w:rFonts w:ascii="Times New Roman" w:hAnsi="Times New Roman"/>
        </w:rPr>
        <w:t xml:space="preserve">. We have released </w:t>
      </w:r>
      <w:r w:rsidR="00525DBB">
        <w:rPr>
          <w:rFonts w:ascii="Times New Roman" w:hAnsi="Times New Roman"/>
        </w:rPr>
        <w:t xml:space="preserve">2 sets of </w:t>
      </w:r>
      <w:r w:rsidR="00854BC7">
        <w:rPr>
          <w:rFonts w:ascii="Times New Roman" w:hAnsi="Times New Roman"/>
        </w:rPr>
        <w:t>public-use data file</w:t>
      </w:r>
      <w:r w:rsidR="001428E4">
        <w:rPr>
          <w:rFonts w:ascii="Times New Roman" w:hAnsi="Times New Roman"/>
        </w:rPr>
        <w:t>s</w:t>
      </w:r>
      <w:r w:rsidR="00525DBB">
        <w:rPr>
          <w:rFonts w:ascii="Times New Roman" w:hAnsi="Times New Roman"/>
        </w:rPr>
        <w:t xml:space="preserve"> based on </w:t>
      </w:r>
      <w:r w:rsidR="00854BC7">
        <w:rPr>
          <w:rFonts w:ascii="Times New Roman" w:hAnsi="Times New Roman"/>
        </w:rPr>
        <w:t>data collected from 2011-2013</w:t>
      </w:r>
      <w:r w:rsidR="001428E4">
        <w:rPr>
          <w:rFonts w:ascii="Times New Roman" w:hAnsi="Times New Roman"/>
        </w:rPr>
        <w:t xml:space="preserve"> and 2013-2015</w:t>
      </w:r>
      <w:r w:rsidR="00854BC7">
        <w:rPr>
          <w:rFonts w:ascii="Times New Roman" w:hAnsi="Times New Roman"/>
        </w:rPr>
        <w:t>. In this report, we will review results from 2011-</w:t>
      </w:r>
      <w:r w:rsidR="001428E4">
        <w:rPr>
          <w:rFonts w:ascii="Times New Roman" w:hAnsi="Times New Roman"/>
        </w:rPr>
        <w:t>2015</w:t>
      </w:r>
      <w:r w:rsidR="0037490F">
        <w:rPr>
          <w:rFonts w:ascii="Times New Roman" w:hAnsi="Times New Roman"/>
        </w:rPr>
        <w:t xml:space="preserve"> (i.e. the period corresponding to the two currently released public use files)</w:t>
      </w:r>
      <w:r w:rsidR="001428E4">
        <w:rPr>
          <w:rFonts w:ascii="Times New Roman" w:hAnsi="Times New Roman"/>
        </w:rPr>
        <w:t xml:space="preserve"> </w:t>
      </w:r>
      <w:r w:rsidR="00854BC7">
        <w:rPr>
          <w:rFonts w:ascii="Times New Roman" w:hAnsi="Times New Roman"/>
        </w:rPr>
        <w:t>as well as ongoing efforts to monitor and control nonresponse bias in the NSFG</w:t>
      </w:r>
      <w:r w:rsidR="0037490F">
        <w:rPr>
          <w:rFonts w:ascii="Times New Roman" w:hAnsi="Times New Roman"/>
        </w:rPr>
        <w:t xml:space="preserve"> continuing up </w:t>
      </w:r>
      <w:r w:rsidR="00387802">
        <w:rPr>
          <w:rFonts w:ascii="Times New Roman" w:hAnsi="Times New Roman"/>
        </w:rPr>
        <w:t>to August 2017</w:t>
      </w:r>
      <w:r w:rsidR="00E640F6">
        <w:rPr>
          <w:rFonts w:ascii="Times New Roman" w:hAnsi="Times New Roman"/>
        </w:rPr>
        <w:t xml:space="preserve"> (Quarter 24</w:t>
      </w:r>
      <w:r w:rsidR="00525DBB">
        <w:rPr>
          <w:rFonts w:ascii="Times New Roman" w:hAnsi="Times New Roman"/>
        </w:rPr>
        <w:t>, end of Year 6</w:t>
      </w:r>
      <w:r w:rsidR="00E640F6">
        <w:rPr>
          <w:rFonts w:ascii="Times New Roman" w:hAnsi="Times New Roman"/>
        </w:rPr>
        <w:t>)</w:t>
      </w:r>
      <w:r w:rsidR="00854BC7">
        <w:rPr>
          <w:rFonts w:ascii="Times New Roman" w:hAnsi="Times New Roman"/>
        </w:rPr>
        <w:t>.</w:t>
      </w:r>
    </w:p>
    <w:p w:rsidR="00EC1745" w:rsidRDefault="00EC1745" w:rsidP="00AE30CB">
      <w:pPr>
        <w:spacing w:line="360" w:lineRule="auto"/>
        <w:rPr>
          <w:rFonts w:ascii="Times New Roman" w:hAnsi="Times New Roman"/>
        </w:rPr>
      </w:pPr>
    </w:p>
    <w:p w:rsidR="00030BB6" w:rsidRDefault="0053764F" w:rsidP="00AE30CB">
      <w:pPr>
        <w:spacing w:line="360" w:lineRule="auto"/>
        <w:rPr>
          <w:rFonts w:ascii="Times New Roman" w:hAnsi="Times New Roman"/>
        </w:rPr>
      </w:pPr>
      <w:r>
        <w:rPr>
          <w:rFonts w:ascii="Times New Roman" w:hAnsi="Times New Roman"/>
        </w:rPr>
        <w:t xml:space="preserve">Given that NSFG is based on an area probability sample, only limited frame information (other than aggregated census data for blocks or block groups) </w:t>
      </w:r>
      <w:r w:rsidR="00EC1745">
        <w:rPr>
          <w:rFonts w:ascii="Times New Roman" w:hAnsi="Times New Roman"/>
        </w:rPr>
        <w:t xml:space="preserve">is available </w:t>
      </w:r>
      <w:r>
        <w:rPr>
          <w:rFonts w:ascii="Times New Roman" w:hAnsi="Times New Roman"/>
        </w:rPr>
        <w:t xml:space="preserve">to explore nonresponse bias.  Further, given the topic of NSFG (fertility, contraceptive use, sexual activity, and the like), little external data exists to evaluate nonresponse bias </w:t>
      </w:r>
      <w:r w:rsidR="00EC1745">
        <w:rPr>
          <w:rFonts w:ascii="Times New Roman" w:hAnsi="Times New Roman"/>
        </w:rPr>
        <w:t>for key</w:t>
      </w:r>
      <w:r>
        <w:rPr>
          <w:rFonts w:ascii="Times New Roman" w:hAnsi="Times New Roman"/>
        </w:rPr>
        <w:t xml:space="preserve"> NSFG</w:t>
      </w:r>
      <w:r w:rsidR="00EC1745">
        <w:rPr>
          <w:rFonts w:ascii="Times New Roman" w:hAnsi="Times New Roman"/>
        </w:rPr>
        <w:t xml:space="preserve"> estimates</w:t>
      </w:r>
      <w:r>
        <w:rPr>
          <w:rFonts w:ascii="Times New Roman" w:hAnsi="Times New Roman"/>
        </w:rPr>
        <w:t>.</w:t>
      </w:r>
      <w:r w:rsidR="00030BB6">
        <w:rPr>
          <w:rFonts w:ascii="Times New Roman" w:hAnsi="Times New Roman"/>
        </w:rPr>
        <w:t xml:space="preserve">  However, managing the data collection effort to minimize nonresponse error and costs is a key element of the NSFG design, and relies on paradata collected during the data collection process to monitor indicators of potential nonresponse bias.</w:t>
      </w:r>
    </w:p>
    <w:p w:rsidR="00EC1745" w:rsidRDefault="00EC1745" w:rsidP="00EC1745">
      <w:pPr>
        <w:rPr>
          <w:rFonts w:ascii="Times New Roman" w:hAnsi="Times New Roman"/>
        </w:rPr>
      </w:pPr>
    </w:p>
    <w:p w:rsidR="008B1E40" w:rsidRPr="00045B78" w:rsidRDefault="00552C28" w:rsidP="00AE30CB">
      <w:pPr>
        <w:spacing w:line="360" w:lineRule="auto"/>
        <w:rPr>
          <w:rFonts w:ascii="Times New Roman" w:hAnsi="Times New Roman"/>
        </w:rPr>
      </w:pPr>
      <w:r w:rsidRPr="009B39D6">
        <w:rPr>
          <w:rFonts w:ascii="Times New Roman" w:hAnsi="Times New Roman"/>
        </w:rPr>
        <w:t>We have</w:t>
      </w:r>
      <w:r>
        <w:rPr>
          <w:rFonts w:ascii="Times New Roman" w:hAnsi="Times New Roman"/>
        </w:rPr>
        <w:t xml:space="preserve"> </w:t>
      </w:r>
      <w:r w:rsidR="008B1E40" w:rsidRPr="00451340">
        <w:rPr>
          <w:rFonts w:ascii="Times New Roman" w:hAnsi="Times New Roman"/>
        </w:rPr>
        <w:t xml:space="preserve">the following </w:t>
      </w:r>
      <w:r w:rsidRPr="009B39D6">
        <w:rPr>
          <w:rFonts w:ascii="Times New Roman" w:hAnsi="Times New Roman"/>
        </w:rPr>
        <w:t>types of data</w:t>
      </w:r>
      <w:r>
        <w:rPr>
          <w:rFonts w:ascii="Times New Roman" w:hAnsi="Times New Roman"/>
        </w:rPr>
        <w:t xml:space="preserve"> </w:t>
      </w:r>
      <w:r w:rsidR="003B0175">
        <w:rPr>
          <w:rFonts w:ascii="Times New Roman" w:hAnsi="Times New Roman"/>
        </w:rPr>
        <w:t>to assess nonresponse bias</w:t>
      </w:r>
      <w:r w:rsidR="00367C37">
        <w:rPr>
          <w:rFonts w:ascii="Times New Roman" w:hAnsi="Times New Roman"/>
        </w:rPr>
        <w:t xml:space="preserve"> in </w:t>
      </w:r>
      <w:r w:rsidR="00367C37" w:rsidRPr="00451340">
        <w:rPr>
          <w:rFonts w:ascii="Times New Roman" w:hAnsi="Times New Roman"/>
        </w:rPr>
        <w:t>NSFG</w:t>
      </w:r>
      <w:r w:rsidR="00BE0879">
        <w:rPr>
          <w:rFonts w:ascii="Times New Roman" w:hAnsi="Times New Roman"/>
        </w:rPr>
        <w:t xml:space="preserve">, </w:t>
      </w:r>
      <w:r w:rsidR="00BE0879" w:rsidRPr="00045B78">
        <w:rPr>
          <w:rFonts w:ascii="Times New Roman" w:hAnsi="Times New Roman"/>
        </w:rPr>
        <w:t>which we will discuss in turn, below</w:t>
      </w:r>
      <w:r w:rsidR="008B1E40" w:rsidRPr="00045B78">
        <w:rPr>
          <w:rFonts w:ascii="Times New Roman" w:hAnsi="Times New Roman"/>
        </w:rPr>
        <w:t>:</w:t>
      </w:r>
    </w:p>
    <w:p w:rsidR="00A31831" w:rsidRDefault="00A31831" w:rsidP="00AE30CB">
      <w:pPr>
        <w:numPr>
          <w:ilvl w:val="0"/>
          <w:numId w:val="35"/>
        </w:numPr>
        <w:spacing w:line="360" w:lineRule="auto"/>
        <w:rPr>
          <w:rFonts w:ascii="Times New Roman" w:hAnsi="Times New Roman"/>
        </w:rPr>
      </w:pPr>
      <w:r>
        <w:rPr>
          <w:rFonts w:ascii="Times New Roman" w:hAnsi="Times New Roman"/>
        </w:rPr>
        <w:t>Response rates for the 2011-</w:t>
      </w:r>
      <w:r w:rsidR="001661FE">
        <w:rPr>
          <w:rFonts w:ascii="Times New Roman" w:hAnsi="Times New Roman"/>
        </w:rPr>
        <w:t xml:space="preserve">2017 </w:t>
      </w:r>
      <w:r>
        <w:rPr>
          <w:rFonts w:ascii="Times New Roman" w:hAnsi="Times New Roman"/>
        </w:rPr>
        <w:t xml:space="preserve">period corresponding to the first </w:t>
      </w:r>
      <w:r w:rsidR="001661FE">
        <w:rPr>
          <w:rFonts w:ascii="Times New Roman" w:hAnsi="Times New Roman"/>
        </w:rPr>
        <w:t>three</w:t>
      </w:r>
      <w:r>
        <w:rPr>
          <w:rFonts w:ascii="Times New Roman" w:hAnsi="Times New Roman"/>
        </w:rPr>
        <w:t xml:space="preserve"> public use files</w:t>
      </w:r>
      <w:r w:rsidR="001661FE">
        <w:rPr>
          <w:rFonts w:ascii="Times New Roman" w:hAnsi="Times New Roman"/>
        </w:rPr>
        <w:t xml:space="preserve"> </w:t>
      </w:r>
      <w:r w:rsidR="001661FE">
        <w:rPr>
          <w:rFonts w:ascii="Times New Roman" w:hAnsi="Times New Roman"/>
        </w:rPr>
        <w:lastRenderedPageBreak/>
        <w:t xml:space="preserve">(the third </w:t>
      </w:r>
      <w:r w:rsidR="00525DBB">
        <w:rPr>
          <w:rFonts w:ascii="Times New Roman" w:hAnsi="Times New Roman"/>
        </w:rPr>
        <w:t xml:space="preserve">set of </w:t>
      </w:r>
      <w:r w:rsidR="001661FE">
        <w:rPr>
          <w:rFonts w:ascii="Times New Roman" w:hAnsi="Times New Roman"/>
        </w:rPr>
        <w:t>public use file</w:t>
      </w:r>
      <w:r w:rsidR="00525DBB">
        <w:rPr>
          <w:rFonts w:ascii="Times New Roman" w:hAnsi="Times New Roman"/>
        </w:rPr>
        <w:t>s for 2015-2017</w:t>
      </w:r>
      <w:r w:rsidR="001661FE">
        <w:rPr>
          <w:rFonts w:ascii="Times New Roman" w:hAnsi="Times New Roman"/>
        </w:rPr>
        <w:t xml:space="preserve"> is still </w:t>
      </w:r>
      <w:r w:rsidR="0064193A">
        <w:rPr>
          <w:rFonts w:ascii="Times New Roman" w:hAnsi="Times New Roman"/>
        </w:rPr>
        <w:t>being prepared)</w:t>
      </w:r>
      <w:r>
        <w:rPr>
          <w:rFonts w:ascii="Times New Roman" w:hAnsi="Times New Roman"/>
        </w:rPr>
        <w:t>;</w:t>
      </w:r>
    </w:p>
    <w:p w:rsidR="00A31831" w:rsidRDefault="00A31831" w:rsidP="00AE30CB">
      <w:pPr>
        <w:numPr>
          <w:ilvl w:val="0"/>
          <w:numId w:val="35"/>
        </w:numPr>
        <w:spacing w:line="360" w:lineRule="auto"/>
        <w:rPr>
          <w:rFonts w:ascii="Times New Roman" w:hAnsi="Times New Roman"/>
        </w:rPr>
      </w:pPr>
      <w:r>
        <w:rPr>
          <w:rFonts w:ascii="Times New Roman" w:hAnsi="Times New Roman"/>
        </w:rPr>
        <w:t xml:space="preserve">quarterly measures of effort (e.g. mean calls per completed interview) and response rate for </w:t>
      </w:r>
      <w:r w:rsidR="00E86AF0">
        <w:rPr>
          <w:rFonts w:ascii="Times New Roman" w:hAnsi="Times New Roman"/>
        </w:rPr>
        <w:t>Quarter 1 to Quarter 24 (</w:t>
      </w:r>
      <w:r>
        <w:rPr>
          <w:rFonts w:ascii="Times New Roman" w:hAnsi="Times New Roman"/>
        </w:rPr>
        <w:t xml:space="preserve">Q1 to </w:t>
      </w:r>
      <w:r w:rsidR="00661A10">
        <w:rPr>
          <w:rFonts w:ascii="Times New Roman" w:hAnsi="Times New Roman"/>
        </w:rPr>
        <w:t>Q24</w:t>
      </w:r>
      <w:r w:rsidR="00E86AF0">
        <w:rPr>
          <w:rFonts w:ascii="Times New Roman" w:hAnsi="Times New Roman"/>
        </w:rPr>
        <w:t>)</w:t>
      </w:r>
      <w:r>
        <w:rPr>
          <w:rFonts w:ascii="Times New Roman" w:hAnsi="Times New Roman"/>
        </w:rPr>
        <w:t>;</w:t>
      </w:r>
    </w:p>
    <w:p w:rsidR="008B1E40" w:rsidRPr="003B0175" w:rsidRDefault="008B1E40" w:rsidP="00AE30CB">
      <w:pPr>
        <w:numPr>
          <w:ilvl w:val="0"/>
          <w:numId w:val="35"/>
        </w:numPr>
        <w:spacing w:line="360" w:lineRule="auto"/>
        <w:rPr>
          <w:rFonts w:ascii="Times New Roman" w:hAnsi="Times New Roman"/>
        </w:rPr>
      </w:pPr>
      <w:r w:rsidRPr="003B0175">
        <w:rPr>
          <w:rFonts w:ascii="Times New Roman" w:hAnsi="Times New Roman"/>
        </w:rPr>
        <w:t xml:space="preserve">a paradata structure that uses lister and interviewer observations of </w:t>
      </w:r>
      <w:r w:rsidR="00355F9A" w:rsidRPr="003B0175">
        <w:rPr>
          <w:rFonts w:ascii="Times New Roman" w:hAnsi="Times New Roman"/>
        </w:rPr>
        <w:t>attributes</w:t>
      </w:r>
      <w:r w:rsidRPr="003B0175">
        <w:rPr>
          <w:rFonts w:ascii="Times New Roman" w:hAnsi="Times New Roman"/>
        </w:rPr>
        <w:t xml:space="preserve"> related to response propensity and some key survey variables;</w:t>
      </w:r>
    </w:p>
    <w:p w:rsidR="008B1E40" w:rsidRPr="003B0175" w:rsidRDefault="003B0175" w:rsidP="00AE30CB">
      <w:pPr>
        <w:pStyle w:val="ListParagraph"/>
        <w:numPr>
          <w:ilvl w:val="0"/>
          <w:numId w:val="35"/>
        </w:numPr>
        <w:spacing w:line="360" w:lineRule="auto"/>
        <w:rPr>
          <w:rFonts w:ascii="Times New Roman" w:hAnsi="Times New Roman"/>
          <w:sz w:val="24"/>
        </w:rPr>
      </w:pPr>
      <w:r>
        <w:rPr>
          <w:rFonts w:ascii="Times New Roman" w:hAnsi="Times New Roman"/>
          <w:sz w:val="24"/>
        </w:rPr>
        <w:t xml:space="preserve">data on the </w:t>
      </w:r>
      <w:r w:rsidR="008B1E40" w:rsidRPr="003B0175">
        <w:rPr>
          <w:rFonts w:ascii="Times New Roman" w:hAnsi="Times New Roman"/>
          <w:sz w:val="24"/>
        </w:rPr>
        <w:t>sensitivity of key statistics to calling effort;</w:t>
      </w:r>
    </w:p>
    <w:p w:rsidR="008B1E40" w:rsidRPr="003B0175" w:rsidRDefault="008B1E40" w:rsidP="00AE30CB">
      <w:pPr>
        <w:pStyle w:val="ListParagraph"/>
        <w:numPr>
          <w:ilvl w:val="0"/>
          <w:numId w:val="35"/>
        </w:numPr>
        <w:spacing w:line="360" w:lineRule="auto"/>
        <w:rPr>
          <w:rFonts w:ascii="Times New Roman" w:hAnsi="Times New Roman"/>
          <w:sz w:val="24"/>
        </w:rPr>
      </w:pPr>
      <w:r w:rsidRPr="003B0175">
        <w:rPr>
          <w:rFonts w:ascii="Times New Roman" w:hAnsi="Times New Roman"/>
          <w:sz w:val="24"/>
        </w:rPr>
        <w:t xml:space="preserve">daily </w:t>
      </w:r>
      <w:r w:rsidR="003B0175">
        <w:rPr>
          <w:rFonts w:ascii="Times New Roman" w:hAnsi="Times New Roman"/>
          <w:sz w:val="24"/>
        </w:rPr>
        <w:t xml:space="preserve">data on 12 domains (2 gender groups, 2 age groups, and 3 race/ethnicity groups) </w:t>
      </w:r>
      <w:r w:rsidR="00C5036D">
        <w:rPr>
          <w:rFonts w:ascii="Times New Roman" w:hAnsi="Times New Roman"/>
          <w:sz w:val="24"/>
        </w:rPr>
        <w:t>t</w:t>
      </w:r>
      <w:r w:rsidR="003B0175">
        <w:rPr>
          <w:rFonts w:ascii="Times New Roman" w:hAnsi="Times New Roman"/>
          <w:sz w:val="24"/>
        </w:rPr>
        <w:t>hat</w:t>
      </w:r>
      <w:r w:rsidR="00C5036D">
        <w:rPr>
          <w:rFonts w:ascii="Times New Roman" w:hAnsi="Times New Roman"/>
          <w:sz w:val="24"/>
        </w:rPr>
        <w:t xml:space="preserve"> </w:t>
      </w:r>
      <w:r w:rsidR="003B0175">
        <w:rPr>
          <w:rFonts w:ascii="Times New Roman" w:hAnsi="Times New Roman"/>
          <w:sz w:val="24"/>
        </w:rPr>
        <w:t xml:space="preserve">are correlated with </w:t>
      </w:r>
      <w:r w:rsidRPr="003B0175">
        <w:rPr>
          <w:rFonts w:ascii="Times New Roman" w:hAnsi="Times New Roman"/>
          <w:sz w:val="24"/>
        </w:rPr>
        <w:t>NSFG estimates</w:t>
      </w:r>
      <w:r w:rsidR="005749BA">
        <w:rPr>
          <w:rFonts w:ascii="Times New Roman" w:hAnsi="Times New Roman"/>
          <w:sz w:val="24"/>
        </w:rPr>
        <w:t xml:space="preserve"> and key domains of interest</w:t>
      </w:r>
      <w:r w:rsidRPr="003B0175">
        <w:rPr>
          <w:rFonts w:ascii="Times New Roman" w:hAnsi="Times New Roman"/>
          <w:sz w:val="24"/>
        </w:rPr>
        <w:t>;</w:t>
      </w:r>
    </w:p>
    <w:p w:rsidR="008B1E40" w:rsidRPr="003B0175" w:rsidRDefault="00E766B9" w:rsidP="00AE30CB">
      <w:pPr>
        <w:pStyle w:val="ListParagraph"/>
        <w:numPr>
          <w:ilvl w:val="0"/>
          <w:numId w:val="35"/>
        </w:numPr>
        <w:spacing w:line="360" w:lineRule="auto"/>
        <w:rPr>
          <w:rFonts w:ascii="Times New Roman" w:hAnsi="Times New Roman"/>
          <w:sz w:val="24"/>
        </w:rPr>
      </w:pPr>
      <w:r w:rsidRPr="009B39D6">
        <w:rPr>
          <w:rFonts w:ascii="Times New Roman" w:hAnsi="Times New Roman"/>
          <w:sz w:val="24"/>
        </w:rPr>
        <w:t>data from</w:t>
      </w:r>
      <w:r>
        <w:rPr>
          <w:rFonts w:ascii="Times New Roman" w:hAnsi="Times New Roman"/>
          <w:sz w:val="24"/>
        </w:rPr>
        <w:t xml:space="preserve"> </w:t>
      </w:r>
      <w:r w:rsidR="008B1E40" w:rsidRPr="003B0175">
        <w:rPr>
          <w:rFonts w:ascii="Times New Roman" w:hAnsi="Times New Roman"/>
          <w:sz w:val="24"/>
        </w:rPr>
        <w:t>responsive design interventions on key auxiliary variables during data</w:t>
      </w:r>
      <w:r w:rsidR="00C5036D">
        <w:rPr>
          <w:rFonts w:ascii="Times New Roman" w:hAnsi="Times New Roman"/>
          <w:sz w:val="24"/>
        </w:rPr>
        <w:t xml:space="preserve"> </w:t>
      </w:r>
      <w:r w:rsidR="008B1E40" w:rsidRPr="003B0175">
        <w:rPr>
          <w:rFonts w:ascii="Times New Roman" w:hAnsi="Times New Roman"/>
          <w:sz w:val="24"/>
        </w:rPr>
        <w:t xml:space="preserve">collection in order to improve the balance on those variables among respondents and </w:t>
      </w:r>
      <w:r w:rsidR="00355F9A" w:rsidRPr="003B0175">
        <w:rPr>
          <w:rFonts w:ascii="Times New Roman" w:hAnsi="Times New Roman"/>
          <w:sz w:val="24"/>
        </w:rPr>
        <w:t>nonrespondents</w:t>
      </w:r>
      <w:r w:rsidR="008B1E40" w:rsidRPr="003B0175">
        <w:rPr>
          <w:rFonts w:ascii="Times New Roman" w:hAnsi="Times New Roman"/>
          <w:sz w:val="24"/>
        </w:rPr>
        <w:t>;</w:t>
      </w:r>
    </w:p>
    <w:p w:rsidR="008B1E40" w:rsidRPr="003B0175" w:rsidRDefault="008B1E40" w:rsidP="00AE30CB">
      <w:pPr>
        <w:pStyle w:val="ListParagraph"/>
        <w:numPr>
          <w:ilvl w:val="0"/>
          <w:numId w:val="35"/>
        </w:numPr>
        <w:spacing w:line="360" w:lineRule="auto"/>
        <w:rPr>
          <w:rFonts w:ascii="Times New Roman" w:hAnsi="Times New Roman"/>
          <w:sz w:val="24"/>
        </w:rPr>
      </w:pPr>
      <w:r w:rsidRPr="003B0175">
        <w:rPr>
          <w:rFonts w:ascii="Times New Roman" w:hAnsi="Times New Roman"/>
          <w:sz w:val="24"/>
        </w:rPr>
        <w:t xml:space="preserve">a two-phase sampling </w:t>
      </w:r>
      <w:r w:rsidR="003B0175">
        <w:rPr>
          <w:rFonts w:ascii="Times New Roman" w:hAnsi="Times New Roman"/>
          <w:sz w:val="24"/>
        </w:rPr>
        <w:t xml:space="preserve">plan, </w:t>
      </w:r>
      <w:r w:rsidRPr="003B0175">
        <w:rPr>
          <w:rFonts w:ascii="Times New Roman" w:hAnsi="Times New Roman"/>
          <w:sz w:val="24"/>
        </w:rPr>
        <w:t xml:space="preserve">selecting a probability sample of nonrespondents at the end of week 10 of each </w:t>
      </w:r>
      <w:r w:rsidR="003B0175">
        <w:rPr>
          <w:rFonts w:ascii="Times New Roman" w:hAnsi="Times New Roman"/>
          <w:sz w:val="24"/>
        </w:rPr>
        <w:t xml:space="preserve">12-week </w:t>
      </w:r>
      <w:r w:rsidRPr="003B0175">
        <w:rPr>
          <w:rFonts w:ascii="Times New Roman" w:hAnsi="Times New Roman"/>
          <w:sz w:val="24"/>
        </w:rPr>
        <w:t>quarter</w:t>
      </w:r>
      <w:r w:rsidR="00616CFF">
        <w:rPr>
          <w:rFonts w:ascii="Times New Roman" w:hAnsi="Times New Roman"/>
          <w:sz w:val="24"/>
        </w:rPr>
        <w:t xml:space="preserve">; </w:t>
      </w:r>
      <w:r w:rsidR="0064193A">
        <w:rPr>
          <w:rFonts w:ascii="Times New Roman" w:hAnsi="Times New Roman"/>
          <w:sz w:val="24"/>
        </w:rPr>
        <w:t>and</w:t>
      </w:r>
    </w:p>
    <w:p w:rsidR="008B1E40" w:rsidRDefault="00A31831" w:rsidP="00AE30CB">
      <w:pPr>
        <w:pStyle w:val="ListParagraph"/>
        <w:numPr>
          <w:ilvl w:val="0"/>
          <w:numId w:val="35"/>
        </w:numPr>
        <w:spacing w:line="360" w:lineRule="auto"/>
        <w:rPr>
          <w:rFonts w:ascii="Times New Roman" w:hAnsi="Times New Roman"/>
          <w:sz w:val="24"/>
        </w:rPr>
      </w:pPr>
      <w:r>
        <w:rPr>
          <w:rFonts w:ascii="Times New Roman" w:hAnsi="Times New Roman"/>
          <w:sz w:val="24"/>
        </w:rPr>
        <w:t xml:space="preserve">results from models developed in the context of </w:t>
      </w:r>
      <w:r w:rsidR="008B1E40" w:rsidRPr="003B0175">
        <w:rPr>
          <w:rFonts w:ascii="Times New Roman" w:hAnsi="Times New Roman"/>
          <w:sz w:val="24"/>
        </w:rPr>
        <w:t>postsurvey adjustments for nonresponse</w:t>
      </w:r>
      <w:r>
        <w:rPr>
          <w:rFonts w:ascii="Times New Roman" w:hAnsi="Times New Roman"/>
          <w:sz w:val="24"/>
        </w:rPr>
        <w:t>.</w:t>
      </w:r>
    </w:p>
    <w:p w:rsidR="003B0175" w:rsidRDefault="003B0175" w:rsidP="008B1E40">
      <w:pPr>
        <w:pStyle w:val="ListParagraph"/>
        <w:ind w:left="0"/>
        <w:rPr>
          <w:rFonts w:ascii="Times New Roman" w:hAnsi="Times New Roman"/>
          <w:sz w:val="24"/>
        </w:rPr>
      </w:pPr>
    </w:p>
    <w:p w:rsidR="00C5036D" w:rsidRPr="00BE0879" w:rsidRDefault="008B1E40" w:rsidP="00AE30CB">
      <w:pPr>
        <w:pStyle w:val="ListParagraph"/>
        <w:spacing w:line="360" w:lineRule="auto"/>
        <w:ind w:left="0" w:right="-187"/>
        <w:rPr>
          <w:rFonts w:ascii="Times New Roman" w:hAnsi="Times New Roman"/>
          <w:sz w:val="24"/>
        </w:rPr>
      </w:pPr>
      <w:r w:rsidRPr="003B0175">
        <w:rPr>
          <w:rFonts w:ascii="Times New Roman" w:hAnsi="Times New Roman"/>
          <w:sz w:val="24"/>
        </w:rPr>
        <w:t xml:space="preserve">Nonresponse bias analysis </w:t>
      </w:r>
      <w:r w:rsidR="00C5036D">
        <w:rPr>
          <w:rFonts w:ascii="Times New Roman" w:hAnsi="Times New Roman"/>
          <w:sz w:val="24"/>
        </w:rPr>
        <w:t xml:space="preserve">is an integral part of the design </w:t>
      </w:r>
      <w:r w:rsidRPr="003B0175">
        <w:rPr>
          <w:rFonts w:ascii="Times New Roman" w:hAnsi="Times New Roman"/>
          <w:sz w:val="24"/>
        </w:rPr>
        <w:t xml:space="preserve">of </w:t>
      </w:r>
      <w:r w:rsidR="00B37339">
        <w:rPr>
          <w:rFonts w:ascii="Times New Roman" w:hAnsi="Times New Roman"/>
          <w:sz w:val="24"/>
        </w:rPr>
        <w:t xml:space="preserve">the </w:t>
      </w:r>
      <w:r w:rsidRPr="003B0175">
        <w:rPr>
          <w:rFonts w:ascii="Times New Roman" w:hAnsi="Times New Roman"/>
          <w:sz w:val="24"/>
        </w:rPr>
        <w:t xml:space="preserve">continuous </w:t>
      </w:r>
      <w:r w:rsidR="00B37339">
        <w:rPr>
          <w:rFonts w:ascii="Times New Roman" w:hAnsi="Times New Roman"/>
          <w:sz w:val="24"/>
        </w:rPr>
        <w:t>NSFG</w:t>
      </w:r>
      <w:r w:rsidRPr="003B0175">
        <w:rPr>
          <w:rFonts w:ascii="Times New Roman" w:hAnsi="Times New Roman"/>
          <w:sz w:val="24"/>
        </w:rPr>
        <w:t xml:space="preserve">.  </w:t>
      </w:r>
      <w:r w:rsidR="003D717F">
        <w:rPr>
          <w:rFonts w:ascii="Times New Roman" w:hAnsi="Times New Roman"/>
          <w:sz w:val="24"/>
        </w:rPr>
        <w:t>In addition to ongoing monitoring, we frequently conduct more detailed, specialized analyses to understand any changes in patterns of nonresponse</w:t>
      </w:r>
      <w:r w:rsidR="00C5036D">
        <w:rPr>
          <w:rFonts w:ascii="Times New Roman" w:hAnsi="Times New Roman"/>
          <w:sz w:val="24"/>
        </w:rPr>
        <w:t xml:space="preserve">.  </w:t>
      </w:r>
      <w:r w:rsidR="00C5036D" w:rsidRPr="009B39D6">
        <w:rPr>
          <w:rFonts w:ascii="Times New Roman" w:hAnsi="Times New Roman"/>
          <w:sz w:val="24"/>
        </w:rPr>
        <w:t>A detailed analysis of response rates and</w:t>
      </w:r>
      <w:r w:rsidR="00C5036D" w:rsidRPr="00F848FA">
        <w:rPr>
          <w:rFonts w:ascii="Times New Roman" w:hAnsi="Times New Roman"/>
          <w:color w:val="0000FF"/>
          <w:sz w:val="24"/>
        </w:rPr>
        <w:t xml:space="preserve"> </w:t>
      </w:r>
      <w:r w:rsidR="00367C37" w:rsidRPr="00BE0879">
        <w:rPr>
          <w:rFonts w:ascii="Times New Roman" w:hAnsi="Times New Roman"/>
          <w:sz w:val="24"/>
        </w:rPr>
        <w:t xml:space="preserve">description of the data collection process </w:t>
      </w:r>
      <w:r w:rsidR="00F103F9">
        <w:rPr>
          <w:rFonts w:ascii="Times New Roman" w:hAnsi="Times New Roman"/>
          <w:sz w:val="24"/>
        </w:rPr>
        <w:t>the</w:t>
      </w:r>
      <w:r w:rsidR="003D717F">
        <w:rPr>
          <w:rFonts w:ascii="Times New Roman" w:hAnsi="Times New Roman"/>
          <w:sz w:val="24"/>
        </w:rPr>
        <w:t xml:space="preserve"> 2006-2010 </w:t>
      </w:r>
      <w:r w:rsidR="00F103F9">
        <w:rPr>
          <w:rFonts w:ascii="Times New Roman" w:hAnsi="Times New Roman"/>
          <w:sz w:val="24"/>
        </w:rPr>
        <w:t xml:space="preserve">NSFG, with a continuous fieldwork design, </w:t>
      </w:r>
      <w:r w:rsidR="003D717F">
        <w:rPr>
          <w:rFonts w:ascii="Times New Roman" w:hAnsi="Times New Roman"/>
          <w:sz w:val="24"/>
        </w:rPr>
        <w:t xml:space="preserve">have previously </w:t>
      </w:r>
      <w:r w:rsidR="00367C37" w:rsidRPr="00BE0879">
        <w:rPr>
          <w:rFonts w:ascii="Times New Roman" w:hAnsi="Times New Roman"/>
          <w:sz w:val="24"/>
        </w:rPr>
        <w:t>appear</w:t>
      </w:r>
      <w:r w:rsidR="003D717F">
        <w:rPr>
          <w:rFonts w:ascii="Times New Roman" w:hAnsi="Times New Roman"/>
          <w:sz w:val="24"/>
        </w:rPr>
        <w:t>ed</w:t>
      </w:r>
      <w:r w:rsidR="00367C37" w:rsidRPr="00BE0879">
        <w:rPr>
          <w:rFonts w:ascii="Times New Roman" w:hAnsi="Times New Roman"/>
          <w:sz w:val="24"/>
        </w:rPr>
        <w:t xml:space="preserve">  (</w:t>
      </w:r>
      <w:r w:rsidR="003D717F">
        <w:rPr>
          <w:rFonts w:ascii="Times New Roman" w:hAnsi="Times New Roman"/>
          <w:sz w:val="24"/>
        </w:rPr>
        <w:t xml:space="preserve">Wagner et al., 2012; </w:t>
      </w:r>
      <w:r w:rsidR="00367C37" w:rsidRPr="00BE0879">
        <w:rPr>
          <w:rFonts w:ascii="Times New Roman" w:hAnsi="Times New Roman"/>
          <w:sz w:val="24"/>
        </w:rPr>
        <w:t>Lepkowski et al., 201</w:t>
      </w:r>
      <w:r w:rsidR="003D717F">
        <w:rPr>
          <w:rFonts w:ascii="Times New Roman" w:hAnsi="Times New Roman"/>
          <w:sz w:val="24"/>
        </w:rPr>
        <w:t>3)</w:t>
      </w:r>
      <w:r w:rsidR="00367C37" w:rsidRPr="00BE0879">
        <w:rPr>
          <w:rFonts w:ascii="Times New Roman" w:hAnsi="Times New Roman"/>
          <w:sz w:val="24"/>
        </w:rPr>
        <w:t>.</w:t>
      </w:r>
      <w:r w:rsidR="00F848FA" w:rsidRPr="00BE0879">
        <w:rPr>
          <w:rFonts w:ascii="Times New Roman" w:hAnsi="Times New Roman"/>
          <w:sz w:val="24"/>
        </w:rPr>
        <w:t xml:space="preserve"> </w:t>
      </w:r>
      <w:r w:rsidR="00DB7527" w:rsidRPr="00BE0879">
        <w:rPr>
          <w:rFonts w:ascii="Times New Roman" w:hAnsi="Times New Roman"/>
          <w:sz w:val="24"/>
        </w:rPr>
        <w:t xml:space="preserve"> Below we describe in more detail the procedures used to monitor and manage data collection.</w:t>
      </w:r>
    </w:p>
    <w:p w:rsidR="008B1E40" w:rsidRDefault="008B1E40" w:rsidP="008B1E40">
      <w:pPr>
        <w:pStyle w:val="ListParagraph"/>
        <w:rPr>
          <w:rFonts w:ascii="Times New Roman" w:hAnsi="Times New Roman"/>
          <w:sz w:val="24"/>
        </w:rPr>
      </w:pPr>
    </w:p>
    <w:p w:rsidR="00C5036D" w:rsidRPr="00C5036D" w:rsidRDefault="003F664B" w:rsidP="00B225B3">
      <w:pPr>
        <w:pStyle w:val="ListParagraph"/>
        <w:numPr>
          <w:ilvl w:val="0"/>
          <w:numId w:val="37"/>
        </w:numPr>
        <w:spacing w:line="360" w:lineRule="auto"/>
        <w:rPr>
          <w:rFonts w:ascii="Times New Roman" w:hAnsi="Times New Roman"/>
          <w:b/>
          <w:sz w:val="24"/>
        </w:rPr>
      </w:pPr>
      <w:r>
        <w:rPr>
          <w:rFonts w:ascii="Times New Roman" w:hAnsi="Times New Roman"/>
          <w:b/>
          <w:sz w:val="24"/>
        </w:rPr>
        <w:t>2011-2017 R</w:t>
      </w:r>
      <w:r w:rsidR="00880341">
        <w:rPr>
          <w:rFonts w:ascii="Times New Roman" w:hAnsi="Times New Roman"/>
          <w:b/>
          <w:sz w:val="24"/>
        </w:rPr>
        <w:t>esponse Rates</w:t>
      </w:r>
      <w:r w:rsidR="00C5036D" w:rsidRPr="00C5036D">
        <w:rPr>
          <w:rFonts w:ascii="Times New Roman" w:hAnsi="Times New Roman"/>
          <w:b/>
          <w:sz w:val="24"/>
        </w:rPr>
        <w:t xml:space="preserve"> from </w:t>
      </w:r>
      <w:r>
        <w:rPr>
          <w:rFonts w:ascii="Times New Roman" w:hAnsi="Times New Roman"/>
          <w:b/>
          <w:sz w:val="24"/>
        </w:rPr>
        <w:t>the Continuous</w:t>
      </w:r>
      <w:r w:rsidR="00C5036D" w:rsidRPr="00C5036D">
        <w:rPr>
          <w:rFonts w:ascii="Times New Roman" w:hAnsi="Times New Roman"/>
          <w:b/>
          <w:sz w:val="24"/>
        </w:rPr>
        <w:t xml:space="preserve"> NSFG</w:t>
      </w:r>
      <w:r>
        <w:rPr>
          <w:rFonts w:ascii="Times New Roman" w:hAnsi="Times New Roman"/>
          <w:b/>
          <w:sz w:val="24"/>
        </w:rPr>
        <w:t xml:space="preserve"> (Q1-Q24; Years 1-6)</w:t>
      </w:r>
    </w:p>
    <w:p w:rsidR="00387802" w:rsidRDefault="00F103F9" w:rsidP="00AE30CB">
      <w:pPr>
        <w:pStyle w:val="FirstParagraph"/>
        <w:spacing w:line="360" w:lineRule="auto"/>
        <w:rPr>
          <w:color w:val="000000"/>
          <w:lang w:val="en-US"/>
        </w:rPr>
      </w:pPr>
      <w:r>
        <w:rPr>
          <w:color w:val="000000"/>
          <w:lang w:val="en-US"/>
        </w:rPr>
        <w:t xml:space="preserve">NSFG fieldwork in </w:t>
      </w:r>
      <w:r w:rsidR="00034C09">
        <w:rPr>
          <w:color w:val="000000"/>
          <w:lang w:val="en-US"/>
        </w:rPr>
        <w:t>2011-</w:t>
      </w:r>
      <w:r w:rsidR="001661FE">
        <w:rPr>
          <w:color w:val="000000"/>
          <w:lang w:val="en-US"/>
        </w:rPr>
        <w:t xml:space="preserve">2017 </w:t>
      </w:r>
      <w:r w:rsidR="00C5036D" w:rsidRPr="00C5036D">
        <w:rPr>
          <w:color w:val="000000"/>
        </w:rPr>
        <w:t xml:space="preserve">used a two-phase sample design to reduce the effects of nonresponse bias, and responsive design procedures to reduce the cost of data collection.  </w:t>
      </w:r>
      <w:r w:rsidR="00C5036D" w:rsidRPr="00387802">
        <w:rPr>
          <w:color w:val="000000"/>
        </w:rPr>
        <w:t xml:space="preserve">Weighted response rates overall </w:t>
      </w:r>
      <w:r>
        <w:rPr>
          <w:color w:val="000000"/>
          <w:lang w:val="en-US"/>
        </w:rPr>
        <w:t xml:space="preserve">for this 6-year span from September 2011 to September 2017 </w:t>
      </w:r>
      <w:r w:rsidR="00C5036D" w:rsidRPr="00387802">
        <w:rPr>
          <w:color w:val="000000"/>
        </w:rPr>
        <w:t xml:space="preserve">were </w:t>
      </w:r>
      <w:r w:rsidR="001661FE">
        <w:rPr>
          <w:color w:val="000000"/>
          <w:lang w:val="en-US"/>
        </w:rPr>
        <w:t>70</w:t>
      </w:r>
      <w:r w:rsidR="001661FE" w:rsidRPr="00387802">
        <w:rPr>
          <w:color w:val="000000"/>
          <w:lang w:val="en-US"/>
        </w:rPr>
        <w:t xml:space="preserve"> </w:t>
      </w:r>
      <w:r w:rsidR="00C5036D" w:rsidRPr="00387802">
        <w:rPr>
          <w:color w:val="000000"/>
        </w:rPr>
        <w:t>percent among females</w:t>
      </w:r>
      <w:r w:rsidR="00C5036D" w:rsidRPr="00387802">
        <w:rPr>
          <w:color w:val="000000"/>
          <w:lang w:val="en-US"/>
        </w:rPr>
        <w:t xml:space="preserve">, </w:t>
      </w:r>
      <w:r w:rsidR="001661FE">
        <w:rPr>
          <w:color w:val="000000"/>
          <w:lang w:val="en-US"/>
        </w:rPr>
        <w:t>68</w:t>
      </w:r>
      <w:r w:rsidR="001661FE" w:rsidRPr="00387802">
        <w:rPr>
          <w:color w:val="000000"/>
        </w:rPr>
        <w:t xml:space="preserve"> </w:t>
      </w:r>
      <w:r w:rsidR="00C5036D" w:rsidRPr="00387802">
        <w:rPr>
          <w:color w:val="000000"/>
        </w:rPr>
        <w:t>percent among males</w:t>
      </w:r>
      <w:r w:rsidR="00C5036D" w:rsidRPr="00387802">
        <w:rPr>
          <w:color w:val="000000"/>
          <w:lang w:val="en-US"/>
        </w:rPr>
        <w:t xml:space="preserve">, and </w:t>
      </w:r>
      <w:r w:rsidR="001661FE">
        <w:rPr>
          <w:color w:val="000000"/>
          <w:lang w:val="en-US"/>
        </w:rPr>
        <w:t>69</w:t>
      </w:r>
      <w:r w:rsidR="001661FE" w:rsidRPr="00387802">
        <w:rPr>
          <w:color w:val="000000"/>
          <w:lang w:val="en-US"/>
        </w:rPr>
        <w:t xml:space="preserve"> </w:t>
      </w:r>
      <w:r w:rsidR="00C5036D" w:rsidRPr="00387802">
        <w:rPr>
          <w:color w:val="000000"/>
          <w:lang w:val="en-US"/>
        </w:rPr>
        <w:t>percent overall</w:t>
      </w:r>
      <w:r w:rsidR="00C5036D" w:rsidRPr="0046618F">
        <w:rPr>
          <w:color w:val="000000"/>
          <w:lang w:val="en-US"/>
        </w:rPr>
        <w:t>.</w:t>
      </w:r>
      <w:r w:rsidR="005814EE" w:rsidRPr="00034C09">
        <w:rPr>
          <w:color w:val="000000"/>
          <w:lang w:val="en-US"/>
        </w:rPr>
        <w:t xml:space="preserve">  </w:t>
      </w:r>
      <w:r w:rsidR="00A93B05" w:rsidRPr="0056414C">
        <w:rPr>
          <w:color w:val="000000"/>
          <w:lang w:val="en-US"/>
        </w:rPr>
        <w:t xml:space="preserve">These response rates are somewhat lower than those achieved in </w:t>
      </w:r>
      <w:r>
        <w:rPr>
          <w:color w:val="000000"/>
          <w:lang w:val="en-US"/>
        </w:rPr>
        <w:t xml:space="preserve">the </w:t>
      </w:r>
      <w:r w:rsidR="00A93B05" w:rsidRPr="0056414C">
        <w:rPr>
          <w:color w:val="000000"/>
          <w:lang w:val="en-US"/>
        </w:rPr>
        <w:t>2006-2010 NSFG, which had an over</w:t>
      </w:r>
      <w:r w:rsidR="00A93B05" w:rsidRPr="00F37ADB">
        <w:rPr>
          <w:color w:val="000000"/>
          <w:lang w:val="en-US"/>
        </w:rPr>
        <w:t>all response rate of 7</w:t>
      </w:r>
      <w:r w:rsidR="00034C09">
        <w:rPr>
          <w:color w:val="000000"/>
          <w:lang w:val="en-US"/>
        </w:rPr>
        <w:t>7</w:t>
      </w:r>
      <w:r w:rsidR="00A93B05" w:rsidRPr="00034C09">
        <w:rPr>
          <w:color w:val="000000"/>
          <w:lang w:val="en-US"/>
        </w:rPr>
        <w:t>%.</w:t>
      </w:r>
      <w:r w:rsidR="0088528E">
        <w:rPr>
          <w:color w:val="000000"/>
          <w:lang w:val="en-US"/>
        </w:rPr>
        <w:t xml:space="preserve"> This decline is consistent with the trend facing all major surveys in the U.S.</w:t>
      </w:r>
      <w:r w:rsidR="00A93B05" w:rsidRPr="00034C09">
        <w:rPr>
          <w:color w:val="000000"/>
          <w:lang w:val="en-US"/>
        </w:rPr>
        <w:t xml:space="preserve"> </w:t>
      </w:r>
      <w:r w:rsidR="005749BA">
        <w:rPr>
          <w:color w:val="000000"/>
          <w:lang w:val="en-US"/>
        </w:rPr>
        <w:t xml:space="preserve"> </w:t>
      </w:r>
      <w:r w:rsidR="005814EE" w:rsidRPr="00034C09">
        <w:rPr>
          <w:color w:val="000000"/>
          <w:lang w:val="en-US"/>
        </w:rPr>
        <w:t>Weighted response rates</w:t>
      </w:r>
      <w:r w:rsidR="00A93B05" w:rsidRPr="0056414C">
        <w:rPr>
          <w:color w:val="000000"/>
          <w:lang w:val="en-US"/>
        </w:rPr>
        <w:t xml:space="preserve"> for </w:t>
      </w:r>
      <w:r>
        <w:rPr>
          <w:color w:val="000000"/>
          <w:lang w:val="en-US"/>
        </w:rPr>
        <w:t xml:space="preserve">teens 15-19 in </w:t>
      </w:r>
      <w:r w:rsidR="00A93B05" w:rsidRPr="00387802">
        <w:rPr>
          <w:color w:val="000000"/>
          <w:lang w:val="en-US"/>
        </w:rPr>
        <w:t>2011-</w:t>
      </w:r>
      <w:r w:rsidR="001661FE" w:rsidRPr="00387802">
        <w:rPr>
          <w:color w:val="000000"/>
          <w:lang w:val="en-US"/>
        </w:rPr>
        <w:t>201</w:t>
      </w:r>
      <w:r w:rsidR="001661FE">
        <w:rPr>
          <w:color w:val="000000"/>
          <w:lang w:val="en-US"/>
        </w:rPr>
        <w:t>7</w:t>
      </w:r>
      <w:r w:rsidR="001661FE" w:rsidRPr="00387802">
        <w:rPr>
          <w:color w:val="000000"/>
          <w:lang w:val="en-US"/>
        </w:rPr>
        <w:t xml:space="preserve"> </w:t>
      </w:r>
      <w:r w:rsidR="00387802">
        <w:rPr>
          <w:color w:val="000000"/>
          <w:lang w:val="en-US"/>
        </w:rPr>
        <w:t>were</w:t>
      </w:r>
      <w:r w:rsidR="005814EE" w:rsidRPr="00387802">
        <w:rPr>
          <w:color w:val="000000"/>
          <w:lang w:val="en-US"/>
        </w:rPr>
        <w:t xml:space="preserve"> </w:t>
      </w:r>
      <w:r w:rsidR="001661FE">
        <w:rPr>
          <w:color w:val="000000"/>
          <w:lang w:val="en-US"/>
        </w:rPr>
        <w:t>71</w:t>
      </w:r>
      <w:r w:rsidR="00C4677C" w:rsidRPr="00387802">
        <w:rPr>
          <w:color w:val="000000"/>
          <w:lang w:val="en-US"/>
        </w:rPr>
        <w:t xml:space="preserve">% for </w:t>
      </w:r>
      <w:r w:rsidR="005814EE" w:rsidRPr="00387802">
        <w:rPr>
          <w:color w:val="000000"/>
          <w:lang w:val="en-US"/>
        </w:rPr>
        <w:t xml:space="preserve">females and </w:t>
      </w:r>
      <w:r w:rsidR="001661FE">
        <w:rPr>
          <w:color w:val="000000"/>
          <w:lang w:val="en-US"/>
        </w:rPr>
        <w:t>70</w:t>
      </w:r>
      <w:r w:rsidR="00C4677C" w:rsidRPr="00387802">
        <w:rPr>
          <w:color w:val="000000"/>
          <w:lang w:val="en-US"/>
        </w:rPr>
        <w:t xml:space="preserve">% for </w:t>
      </w:r>
      <w:r w:rsidR="005814EE" w:rsidRPr="00387802">
        <w:rPr>
          <w:color w:val="000000"/>
          <w:lang w:val="en-US"/>
        </w:rPr>
        <w:t>males</w:t>
      </w:r>
      <w:r w:rsidR="005814EE" w:rsidRPr="0046618F">
        <w:rPr>
          <w:color w:val="000000"/>
          <w:lang w:val="en-US"/>
        </w:rPr>
        <w:t xml:space="preserve">.  </w:t>
      </w:r>
      <w:r w:rsidR="005814EE" w:rsidRPr="00034C09">
        <w:rPr>
          <w:lang w:val="en-US"/>
        </w:rPr>
        <w:t>Th</w:t>
      </w:r>
      <w:r w:rsidR="005749BA">
        <w:rPr>
          <w:lang w:val="en-US"/>
        </w:rPr>
        <w:t>e</w:t>
      </w:r>
      <w:r w:rsidR="005814EE" w:rsidRPr="00034C09">
        <w:rPr>
          <w:lang w:val="en-US"/>
        </w:rPr>
        <w:t>s</w:t>
      </w:r>
      <w:r w:rsidR="005749BA">
        <w:rPr>
          <w:lang w:val="en-US"/>
        </w:rPr>
        <w:t>e</w:t>
      </w:r>
      <w:r w:rsidR="005814EE" w:rsidRPr="00034C09">
        <w:rPr>
          <w:lang w:val="en-US"/>
        </w:rPr>
        <w:t xml:space="preserve"> weighted response rate</w:t>
      </w:r>
      <w:r w:rsidR="005749BA">
        <w:rPr>
          <w:lang w:val="en-US"/>
        </w:rPr>
        <w:t>s</w:t>
      </w:r>
      <w:r w:rsidR="005814EE" w:rsidRPr="00034C09">
        <w:rPr>
          <w:lang w:val="en-US"/>
        </w:rPr>
        <w:t xml:space="preserve"> account for nonresponse </w:t>
      </w:r>
      <w:r w:rsidR="00F61C51" w:rsidRPr="00034C09">
        <w:rPr>
          <w:lang w:val="en-US"/>
        </w:rPr>
        <w:t xml:space="preserve">to the </w:t>
      </w:r>
      <w:r w:rsidR="005814EE" w:rsidRPr="00034C09">
        <w:rPr>
          <w:lang w:val="en-US"/>
        </w:rPr>
        <w:t>screener</w:t>
      </w:r>
      <w:r w:rsidR="00F61C51" w:rsidRPr="00034C09">
        <w:rPr>
          <w:lang w:val="en-US"/>
        </w:rPr>
        <w:t xml:space="preserve"> and the </w:t>
      </w:r>
      <w:r w:rsidR="005814EE" w:rsidRPr="00034C09">
        <w:rPr>
          <w:lang w:val="en-US"/>
        </w:rPr>
        <w:t xml:space="preserve">main interview, </w:t>
      </w:r>
      <w:r w:rsidR="00DB7527" w:rsidRPr="0056414C">
        <w:rPr>
          <w:lang w:val="en-US"/>
        </w:rPr>
        <w:t xml:space="preserve">and </w:t>
      </w:r>
      <w:r w:rsidR="005814EE" w:rsidRPr="00F37ADB">
        <w:rPr>
          <w:lang w:val="en-US"/>
        </w:rPr>
        <w:t>Phase 1 and Phase 2 nonresponse.</w:t>
      </w:r>
      <w:r w:rsidR="00B6472A" w:rsidRPr="005749BA">
        <w:rPr>
          <w:lang w:val="en-US"/>
        </w:rPr>
        <w:t xml:space="preserve"> </w:t>
      </w:r>
      <w:r w:rsidR="00B6472A" w:rsidRPr="00FD0630">
        <w:rPr>
          <w:color w:val="000000"/>
          <w:lang w:val="en-US"/>
        </w:rPr>
        <w:t xml:space="preserve">The </w:t>
      </w:r>
      <w:r w:rsidR="00FA5B89">
        <w:rPr>
          <w:color w:val="000000"/>
          <w:lang w:val="en-US"/>
        </w:rPr>
        <w:t>2011-</w:t>
      </w:r>
      <w:r w:rsidR="001661FE">
        <w:rPr>
          <w:color w:val="000000"/>
          <w:lang w:val="en-US"/>
        </w:rPr>
        <w:t>2017</w:t>
      </w:r>
      <w:r w:rsidR="001661FE" w:rsidRPr="00FD0630">
        <w:rPr>
          <w:color w:val="000000"/>
          <w:lang w:val="en-US"/>
        </w:rPr>
        <w:t xml:space="preserve"> </w:t>
      </w:r>
      <w:r w:rsidR="00B6472A" w:rsidRPr="00387802">
        <w:rPr>
          <w:color w:val="000000"/>
          <w:lang w:val="en-US"/>
        </w:rPr>
        <w:t>screener response rate (to identify eligible persons age 15-44 for the main interview)</w:t>
      </w:r>
      <w:r w:rsidR="005814EE" w:rsidRPr="00387802">
        <w:rPr>
          <w:color w:val="000000"/>
          <w:lang w:val="en-US"/>
        </w:rPr>
        <w:t xml:space="preserve"> </w:t>
      </w:r>
      <w:r w:rsidR="00B6472A" w:rsidRPr="00387802">
        <w:rPr>
          <w:color w:val="000000"/>
          <w:lang w:val="en-US"/>
        </w:rPr>
        <w:t xml:space="preserve">was </w:t>
      </w:r>
      <w:r w:rsidR="001661FE">
        <w:rPr>
          <w:color w:val="000000"/>
          <w:lang w:val="en-US"/>
        </w:rPr>
        <w:t>91</w:t>
      </w:r>
      <w:r w:rsidR="00B6472A" w:rsidRPr="00387802">
        <w:rPr>
          <w:color w:val="000000"/>
          <w:lang w:val="en-US"/>
        </w:rPr>
        <w:t>% while the main interview response rate (conditional on a completed screener) was</w:t>
      </w:r>
      <w:r w:rsidR="005814EE" w:rsidRPr="00387802">
        <w:rPr>
          <w:color w:val="000000"/>
          <w:lang w:val="en-US"/>
        </w:rPr>
        <w:t xml:space="preserve"> </w:t>
      </w:r>
      <w:r w:rsidR="001661FE">
        <w:rPr>
          <w:color w:val="000000"/>
          <w:lang w:val="en-US"/>
        </w:rPr>
        <w:t>76</w:t>
      </w:r>
      <w:r w:rsidR="00B6472A" w:rsidRPr="00387802">
        <w:rPr>
          <w:color w:val="000000"/>
          <w:lang w:val="en-US"/>
        </w:rPr>
        <w:t>%.</w:t>
      </w:r>
    </w:p>
    <w:p w:rsidR="00387802" w:rsidRDefault="00387802" w:rsidP="00AE30CB">
      <w:pPr>
        <w:pStyle w:val="FirstParagraph"/>
        <w:spacing w:line="360" w:lineRule="auto"/>
        <w:rPr>
          <w:color w:val="000000"/>
          <w:lang w:val="en-US"/>
        </w:rPr>
      </w:pPr>
    </w:p>
    <w:p w:rsidR="00C5036D" w:rsidRPr="0047184F" w:rsidRDefault="00EC1745" w:rsidP="0047184F">
      <w:pPr>
        <w:pStyle w:val="ListParagraph"/>
        <w:spacing w:line="360" w:lineRule="auto"/>
        <w:ind w:left="0"/>
        <w:rPr>
          <w:rFonts w:ascii="Times New Roman" w:hAnsi="Times New Roman"/>
          <w:sz w:val="24"/>
        </w:rPr>
      </w:pPr>
      <w:r>
        <w:rPr>
          <w:rFonts w:ascii="Times New Roman" w:hAnsi="Times New Roman"/>
          <w:sz w:val="24"/>
          <w:lang w:val="x-none"/>
        </w:rPr>
        <w:t>The balance of this report describes the key elements of the responsive design approach used</w:t>
      </w:r>
      <w:r w:rsidR="003D717F">
        <w:rPr>
          <w:rFonts w:ascii="Times New Roman" w:hAnsi="Times New Roman"/>
          <w:sz w:val="24"/>
        </w:rPr>
        <w:t xml:space="preserve"> </w:t>
      </w:r>
      <w:r w:rsidR="00275DC9">
        <w:rPr>
          <w:rFonts w:ascii="Times New Roman" w:hAnsi="Times New Roman"/>
          <w:sz w:val="24"/>
        </w:rPr>
        <w:t xml:space="preserve">in 2011-2017 for the Continuous </w:t>
      </w:r>
      <w:r>
        <w:rPr>
          <w:rFonts w:ascii="Times New Roman" w:hAnsi="Times New Roman"/>
          <w:sz w:val="24"/>
          <w:lang w:val="x-none"/>
        </w:rPr>
        <w:t xml:space="preserve">NSFG to manage data collection and </w:t>
      </w:r>
      <w:r w:rsidR="000338F9" w:rsidRPr="00DB7527">
        <w:rPr>
          <w:rFonts w:ascii="Times New Roman" w:hAnsi="Times New Roman"/>
          <w:sz w:val="24"/>
        </w:rPr>
        <w:t>to</w:t>
      </w:r>
      <w:r w:rsidR="000338F9">
        <w:rPr>
          <w:rFonts w:ascii="Times New Roman" w:hAnsi="Times New Roman"/>
          <w:sz w:val="24"/>
        </w:rPr>
        <w:t xml:space="preserve"> </w:t>
      </w:r>
      <w:r>
        <w:rPr>
          <w:rFonts w:ascii="Times New Roman" w:hAnsi="Times New Roman"/>
          <w:sz w:val="24"/>
          <w:lang w:val="x-none"/>
        </w:rPr>
        <w:t>attempt to measure and reduce nonresponse bias</w:t>
      </w:r>
      <w:r w:rsidR="00275DC9">
        <w:rPr>
          <w:rFonts w:ascii="Times New Roman" w:hAnsi="Times New Roman"/>
          <w:sz w:val="24"/>
        </w:rPr>
        <w:t xml:space="preserve"> across those 24 quarters</w:t>
      </w:r>
      <w:r>
        <w:rPr>
          <w:rFonts w:ascii="Times New Roman" w:hAnsi="Times New Roman"/>
          <w:sz w:val="24"/>
          <w:lang w:val="x-none"/>
        </w:rPr>
        <w:t xml:space="preserve">. </w:t>
      </w:r>
    </w:p>
    <w:p w:rsidR="00EC1745" w:rsidRDefault="00EC1745" w:rsidP="008B1E40">
      <w:pPr>
        <w:pStyle w:val="ListParagraph"/>
        <w:ind w:left="0"/>
        <w:rPr>
          <w:rFonts w:ascii="Times New Roman" w:hAnsi="Times New Roman"/>
          <w:b/>
          <w:sz w:val="24"/>
        </w:rPr>
      </w:pPr>
    </w:p>
    <w:p w:rsidR="00880341" w:rsidRDefault="00880341" w:rsidP="00B225B3">
      <w:pPr>
        <w:pStyle w:val="ListParagraph"/>
        <w:numPr>
          <w:ilvl w:val="0"/>
          <w:numId w:val="37"/>
        </w:numPr>
        <w:rPr>
          <w:rFonts w:ascii="Times New Roman" w:hAnsi="Times New Roman"/>
          <w:b/>
          <w:sz w:val="24"/>
        </w:rPr>
      </w:pPr>
      <w:r>
        <w:rPr>
          <w:rFonts w:ascii="Times New Roman" w:hAnsi="Times New Roman"/>
          <w:b/>
          <w:sz w:val="24"/>
        </w:rPr>
        <w:t xml:space="preserve">Quarterly Measures of Effort and Response Rates </w:t>
      </w:r>
      <w:r w:rsidR="003F664B">
        <w:rPr>
          <w:rFonts w:ascii="Times New Roman" w:hAnsi="Times New Roman"/>
          <w:b/>
          <w:sz w:val="24"/>
        </w:rPr>
        <w:t xml:space="preserve">for </w:t>
      </w:r>
      <w:r w:rsidR="00976388">
        <w:rPr>
          <w:rFonts w:ascii="Times New Roman" w:hAnsi="Times New Roman"/>
          <w:b/>
          <w:sz w:val="24"/>
        </w:rPr>
        <w:t xml:space="preserve">Q1 to </w:t>
      </w:r>
      <w:r w:rsidR="00857E85">
        <w:rPr>
          <w:rFonts w:ascii="Times New Roman" w:hAnsi="Times New Roman"/>
          <w:b/>
          <w:sz w:val="24"/>
        </w:rPr>
        <w:t>Q24</w:t>
      </w:r>
    </w:p>
    <w:p w:rsidR="00880341" w:rsidRDefault="00880341" w:rsidP="00BE0879">
      <w:pPr>
        <w:pStyle w:val="ListParagraph"/>
        <w:ind w:left="0"/>
        <w:rPr>
          <w:rFonts w:ascii="Times New Roman" w:hAnsi="Times New Roman"/>
          <w:b/>
          <w:sz w:val="24"/>
        </w:rPr>
      </w:pPr>
    </w:p>
    <w:p w:rsidR="00880341" w:rsidRDefault="00880341" w:rsidP="00A31831">
      <w:pPr>
        <w:pStyle w:val="ListParagraph"/>
        <w:spacing w:line="360" w:lineRule="auto"/>
        <w:ind w:left="0"/>
        <w:rPr>
          <w:rFonts w:ascii="Times New Roman" w:hAnsi="Times New Roman"/>
          <w:sz w:val="24"/>
        </w:rPr>
      </w:pPr>
      <w:r>
        <w:rPr>
          <w:rFonts w:ascii="Times New Roman" w:hAnsi="Times New Roman"/>
          <w:sz w:val="24"/>
        </w:rPr>
        <w:t>We see consistent trends over the time period</w:t>
      </w:r>
      <w:r w:rsidR="00976388">
        <w:rPr>
          <w:rFonts w:ascii="Times New Roman" w:hAnsi="Times New Roman"/>
          <w:sz w:val="24"/>
        </w:rPr>
        <w:t xml:space="preserve"> including</w:t>
      </w:r>
      <w:r>
        <w:rPr>
          <w:rFonts w:ascii="Times New Roman" w:hAnsi="Times New Roman"/>
          <w:sz w:val="24"/>
        </w:rPr>
        <w:t xml:space="preserve"> Q1 through </w:t>
      </w:r>
      <w:r w:rsidR="00857E85">
        <w:rPr>
          <w:rFonts w:ascii="Times New Roman" w:hAnsi="Times New Roman"/>
          <w:sz w:val="24"/>
        </w:rPr>
        <w:t>Q24</w:t>
      </w:r>
      <w:r>
        <w:rPr>
          <w:rFonts w:ascii="Times New Roman" w:hAnsi="Times New Roman"/>
          <w:sz w:val="24"/>
        </w:rPr>
        <w:t>. Figure 1 shows the Phase 1 and Phase 2 response rates by quarter. The Phase 1 protocol has a diminishing effectiveness over this time period. Phase 2, on the other hand, remains fairly consistent over time in its impact, but is unable to make up for the diminishing impact of Phase 1.</w:t>
      </w:r>
    </w:p>
    <w:p w:rsidR="00883440" w:rsidRDefault="00883440" w:rsidP="00880341">
      <w:pPr>
        <w:pStyle w:val="ListParagraph"/>
        <w:spacing w:after="0"/>
        <w:ind w:left="0"/>
        <w:rPr>
          <w:rFonts w:ascii="Times New Roman" w:hAnsi="Times New Roman"/>
          <w:sz w:val="24"/>
        </w:rPr>
      </w:pPr>
    </w:p>
    <w:p w:rsidR="00880341" w:rsidRPr="00880341" w:rsidRDefault="00880341" w:rsidP="00880341">
      <w:pPr>
        <w:pStyle w:val="ListParagraph"/>
        <w:spacing w:after="0"/>
        <w:ind w:left="0"/>
        <w:rPr>
          <w:rFonts w:ascii="Times New Roman" w:hAnsi="Times New Roman"/>
          <w:sz w:val="24"/>
        </w:rPr>
      </w:pPr>
      <w:r>
        <w:rPr>
          <w:rFonts w:ascii="Times New Roman" w:hAnsi="Times New Roman"/>
          <w:sz w:val="24"/>
        </w:rPr>
        <w:t>Figure 1. Phase 1 and Final Response Rates by Quarter (Q1-</w:t>
      </w:r>
      <w:r w:rsidR="00857E85">
        <w:rPr>
          <w:rFonts w:ascii="Times New Roman" w:hAnsi="Times New Roman"/>
          <w:sz w:val="24"/>
        </w:rPr>
        <w:t>Q24</w:t>
      </w:r>
      <w:r>
        <w:rPr>
          <w:rFonts w:ascii="Times New Roman" w:hAnsi="Times New Roman"/>
          <w:sz w:val="24"/>
        </w:rPr>
        <w:t>)</w:t>
      </w:r>
    </w:p>
    <w:p w:rsidR="00880341" w:rsidRDefault="000C4EC8" w:rsidP="00880341">
      <w:pPr>
        <w:pStyle w:val="FirstParagraph"/>
        <w:spacing w:line="360" w:lineRule="auto"/>
        <w:rPr>
          <w:color w:val="000000"/>
          <w:lang w:val="en-US"/>
        </w:rPr>
      </w:pPr>
      <w:r>
        <w:rPr>
          <w:noProof/>
          <w:color w:val="000000"/>
          <w:lang w:val="en-US" w:eastAsia="en-US"/>
        </w:rPr>
        <w:drawing>
          <wp:inline distT="0" distB="0" distL="0" distR="0" wp14:anchorId="3427D155" wp14:editId="769689C9">
            <wp:extent cx="6108700" cy="40601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8700" cy="4060190"/>
                    </a:xfrm>
                    <a:prstGeom prst="rect">
                      <a:avLst/>
                    </a:prstGeom>
                    <a:noFill/>
                  </pic:spPr>
                </pic:pic>
              </a:graphicData>
            </a:graphic>
          </wp:inline>
        </w:drawing>
      </w:r>
    </w:p>
    <w:p w:rsidR="00D57928" w:rsidRDefault="00880341" w:rsidP="00880341">
      <w:pPr>
        <w:pStyle w:val="FirstParagraph"/>
        <w:spacing w:line="360" w:lineRule="auto"/>
        <w:rPr>
          <w:color w:val="000000"/>
          <w:lang w:val="en-US"/>
        </w:rPr>
      </w:pPr>
      <w:r>
        <w:rPr>
          <w:color w:val="000000"/>
          <w:lang w:val="en-US"/>
        </w:rPr>
        <w:t>Over this time period, we have observed that completing interviews requires more effort. Contact rates are lower (see Figure2), and the number of calls required to complete an interview are increasing (see Figure 3).</w:t>
      </w:r>
    </w:p>
    <w:p w:rsidR="00D57928" w:rsidRDefault="00D57928" w:rsidP="00880341">
      <w:pPr>
        <w:pStyle w:val="FirstParagraph"/>
        <w:spacing w:line="360" w:lineRule="auto"/>
        <w:rPr>
          <w:color w:val="000000"/>
          <w:lang w:val="en-US"/>
        </w:rPr>
      </w:pPr>
    </w:p>
    <w:p w:rsidR="00880341" w:rsidRDefault="00880341" w:rsidP="00880341">
      <w:pPr>
        <w:pStyle w:val="FirstParagraph"/>
        <w:spacing w:line="360" w:lineRule="auto"/>
        <w:rPr>
          <w:color w:val="000000"/>
          <w:lang w:val="en-US"/>
        </w:rPr>
      </w:pPr>
      <w:r>
        <w:rPr>
          <w:color w:val="000000"/>
          <w:lang w:val="en-US"/>
        </w:rPr>
        <w:t xml:space="preserve">Figure 2. Call-Level Contact Rates for Screener and Main Interviewing </w:t>
      </w:r>
      <w:r w:rsidR="00474076">
        <w:rPr>
          <w:color w:val="000000"/>
          <w:lang w:val="en-US"/>
        </w:rPr>
        <w:t>by Quarter (Q1-</w:t>
      </w:r>
      <w:r w:rsidR="00D57928">
        <w:rPr>
          <w:color w:val="000000"/>
          <w:lang w:val="en-US"/>
        </w:rPr>
        <w:t>Q24</w:t>
      </w:r>
      <w:r w:rsidR="00474076">
        <w:rPr>
          <w:color w:val="000000"/>
          <w:lang w:val="en-US"/>
        </w:rPr>
        <w:t>)</w:t>
      </w:r>
    </w:p>
    <w:p w:rsidR="00880341" w:rsidRDefault="000C4EC8" w:rsidP="00880341">
      <w:pPr>
        <w:pStyle w:val="FirstParagraph"/>
        <w:spacing w:line="360" w:lineRule="auto"/>
        <w:rPr>
          <w:color w:val="000000"/>
          <w:lang w:val="en-US"/>
        </w:rPr>
      </w:pPr>
      <w:r>
        <w:rPr>
          <w:noProof/>
          <w:color w:val="000000"/>
          <w:lang w:val="en-US" w:eastAsia="en-US"/>
        </w:rPr>
        <w:drawing>
          <wp:inline distT="0" distB="0" distL="0" distR="0" wp14:anchorId="0830D10B" wp14:editId="53D0518F">
            <wp:extent cx="5284470" cy="3235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4470" cy="3235960"/>
                    </a:xfrm>
                    <a:prstGeom prst="rect">
                      <a:avLst/>
                    </a:prstGeom>
                    <a:noFill/>
                  </pic:spPr>
                </pic:pic>
              </a:graphicData>
            </a:graphic>
          </wp:inline>
        </w:drawing>
      </w:r>
    </w:p>
    <w:p w:rsidR="00D57928" w:rsidRDefault="00D57928" w:rsidP="00880341">
      <w:pPr>
        <w:pStyle w:val="FirstParagraph"/>
        <w:spacing w:line="360" w:lineRule="auto"/>
        <w:rPr>
          <w:color w:val="000000"/>
          <w:lang w:val="en-US"/>
        </w:rPr>
      </w:pPr>
    </w:p>
    <w:p w:rsidR="00880341" w:rsidRDefault="00880341" w:rsidP="00880341">
      <w:pPr>
        <w:pStyle w:val="FirstParagraph"/>
        <w:spacing w:line="360" w:lineRule="auto"/>
        <w:rPr>
          <w:color w:val="000000"/>
          <w:lang w:val="en-US"/>
        </w:rPr>
      </w:pPr>
      <w:r>
        <w:rPr>
          <w:color w:val="000000"/>
          <w:lang w:val="en-US"/>
        </w:rPr>
        <w:t>Figure 3. Mean Calls Per Interview for Screener and Main Interviewing</w:t>
      </w:r>
      <w:r w:rsidR="00474076">
        <w:rPr>
          <w:color w:val="000000"/>
          <w:lang w:val="en-US"/>
        </w:rPr>
        <w:t xml:space="preserve"> by Quarter</w:t>
      </w:r>
      <w:r>
        <w:rPr>
          <w:color w:val="000000"/>
          <w:lang w:val="en-US"/>
        </w:rPr>
        <w:t xml:space="preserve"> (Q1-Q2</w:t>
      </w:r>
      <w:r w:rsidR="00D57928">
        <w:rPr>
          <w:color w:val="000000"/>
          <w:lang w:val="en-US"/>
        </w:rPr>
        <w:t>4</w:t>
      </w:r>
      <w:r>
        <w:rPr>
          <w:color w:val="000000"/>
          <w:lang w:val="en-US"/>
        </w:rPr>
        <w:t>)</w:t>
      </w:r>
    </w:p>
    <w:p w:rsidR="00880341" w:rsidRDefault="000C4EC8" w:rsidP="00D57928">
      <w:pPr>
        <w:pStyle w:val="FirstParagraph"/>
        <w:spacing w:line="360" w:lineRule="auto"/>
        <w:rPr>
          <w:b/>
        </w:rPr>
      </w:pPr>
      <w:r>
        <w:rPr>
          <w:noProof/>
          <w:color w:val="000000"/>
          <w:lang w:val="en-US" w:eastAsia="en-US"/>
        </w:rPr>
        <w:drawing>
          <wp:inline distT="0" distB="0" distL="0" distR="0" wp14:anchorId="79D5CE7C" wp14:editId="1A5F6EB3">
            <wp:extent cx="5230495" cy="320484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0495" cy="3204845"/>
                    </a:xfrm>
                    <a:prstGeom prst="rect">
                      <a:avLst/>
                    </a:prstGeom>
                    <a:noFill/>
                  </pic:spPr>
                </pic:pic>
              </a:graphicData>
            </a:graphic>
          </wp:inline>
        </w:drawing>
      </w:r>
    </w:p>
    <w:p w:rsidR="008B1E40" w:rsidRPr="003B0175" w:rsidRDefault="008B1E40" w:rsidP="00660842">
      <w:pPr>
        <w:pStyle w:val="ListParagraph"/>
        <w:numPr>
          <w:ilvl w:val="0"/>
          <w:numId w:val="37"/>
        </w:numPr>
        <w:rPr>
          <w:rFonts w:ascii="Times New Roman" w:hAnsi="Times New Roman"/>
          <w:b/>
          <w:sz w:val="24"/>
        </w:rPr>
      </w:pPr>
      <w:r w:rsidRPr="003B0175">
        <w:rPr>
          <w:rFonts w:ascii="Times New Roman" w:hAnsi="Times New Roman"/>
          <w:b/>
          <w:sz w:val="24"/>
        </w:rPr>
        <w:t>Paradata Structure</w:t>
      </w:r>
    </w:p>
    <w:p w:rsidR="008B1E40" w:rsidRPr="003B0175" w:rsidRDefault="008B1E40" w:rsidP="008B1E40">
      <w:pPr>
        <w:pStyle w:val="ListParagraph"/>
        <w:ind w:left="0"/>
        <w:rPr>
          <w:rFonts w:ascii="Times New Roman" w:hAnsi="Times New Roman"/>
          <w:sz w:val="24"/>
        </w:rPr>
      </w:pPr>
    </w:p>
    <w:p w:rsidR="008B1E40" w:rsidRDefault="008B1E40" w:rsidP="00AE30CB">
      <w:pPr>
        <w:pStyle w:val="ListParagraph"/>
        <w:spacing w:line="360" w:lineRule="auto"/>
        <w:ind w:left="0"/>
        <w:rPr>
          <w:rFonts w:ascii="Times New Roman" w:hAnsi="Times New Roman"/>
          <w:sz w:val="24"/>
        </w:rPr>
      </w:pPr>
      <w:r w:rsidRPr="003B0175">
        <w:rPr>
          <w:rFonts w:ascii="Times New Roman" w:hAnsi="Times New Roman"/>
          <w:sz w:val="24"/>
        </w:rPr>
        <w:t>The paradata for NSFG consist of observations made by listers of sample addresses when they visit segments for the first time, observations by interviewers upon first visit and each contact with the household, call record data that accumulate over the course of the data collection, and screener data about household composition.</w:t>
      </w:r>
      <w:r w:rsidR="000B7F7E">
        <w:rPr>
          <w:rFonts w:ascii="Times New Roman" w:hAnsi="Times New Roman"/>
          <w:sz w:val="24"/>
        </w:rPr>
        <w:t xml:space="preserve">  </w:t>
      </w:r>
    </w:p>
    <w:p w:rsidR="00880341" w:rsidRPr="003B0175" w:rsidRDefault="00880341" w:rsidP="00AE30CB">
      <w:pPr>
        <w:pStyle w:val="ListParagraph"/>
        <w:spacing w:line="360" w:lineRule="auto"/>
        <w:ind w:left="0"/>
        <w:rPr>
          <w:rFonts w:ascii="Times New Roman" w:hAnsi="Times New Roman"/>
          <w:sz w:val="24"/>
        </w:rPr>
      </w:pPr>
    </w:p>
    <w:p w:rsidR="008B1E40" w:rsidRDefault="008B1E40" w:rsidP="00AE30CB">
      <w:pPr>
        <w:pStyle w:val="ListParagraph"/>
        <w:spacing w:line="360" w:lineRule="auto"/>
        <w:ind w:left="0"/>
        <w:rPr>
          <w:rFonts w:ascii="Times New Roman" w:hAnsi="Times New Roman"/>
          <w:sz w:val="24"/>
        </w:rPr>
      </w:pPr>
      <w:r w:rsidRPr="003B0175">
        <w:rPr>
          <w:rFonts w:ascii="Times New Roman" w:hAnsi="Times New Roman"/>
          <w:sz w:val="24"/>
        </w:rPr>
        <w:t xml:space="preserve">These data can be informative about nonresponse bias to the extent that they are correlated </w:t>
      </w:r>
      <w:r w:rsidR="000338F9" w:rsidRPr="00DB7527">
        <w:rPr>
          <w:rFonts w:ascii="Times New Roman" w:hAnsi="Times New Roman"/>
          <w:sz w:val="24"/>
        </w:rPr>
        <w:t>with</w:t>
      </w:r>
      <w:r w:rsidRPr="00DB7527">
        <w:rPr>
          <w:rFonts w:ascii="Times New Roman" w:hAnsi="Times New Roman"/>
          <w:sz w:val="24"/>
        </w:rPr>
        <w:t xml:space="preserve"> </w:t>
      </w:r>
      <w:r w:rsidRPr="003B0175">
        <w:rPr>
          <w:rFonts w:ascii="Times New Roman" w:hAnsi="Times New Roman"/>
          <w:sz w:val="24"/>
        </w:rPr>
        <w:t xml:space="preserve">both </w:t>
      </w:r>
      <w:r w:rsidRPr="000338F9">
        <w:rPr>
          <w:rFonts w:ascii="Times New Roman" w:hAnsi="Times New Roman"/>
          <w:sz w:val="24"/>
          <w:u w:val="single"/>
        </w:rPr>
        <w:t>response propensities</w:t>
      </w:r>
      <w:r w:rsidRPr="003B0175">
        <w:rPr>
          <w:rFonts w:ascii="Times New Roman" w:hAnsi="Times New Roman"/>
          <w:sz w:val="24"/>
        </w:rPr>
        <w:t xml:space="preserve"> and </w:t>
      </w:r>
      <w:r w:rsidRPr="000338F9">
        <w:rPr>
          <w:rFonts w:ascii="Times New Roman" w:hAnsi="Times New Roman"/>
          <w:sz w:val="24"/>
          <w:u w:val="single"/>
        </w:rPr>
        <w:t xml:space="preserve">key </w:t>
      </w:r>
      <w:r w:rsidR="000338F9" w:rsidRPr="00DB7527">
        <w:rPr>
          <w:rFonts w:ascii="Times New Roman" w:hAnsi="Times New Roman"/>
          <w:sz w:val="24"/>
          <w:u w:val="single"/>
        </w:rPr>
        <w:t>NSFG</w:t>
      </w:r>
      <w:r w:rsidRPr="00DB7527">
        <w:rPr>
          <w:rFonts w:ascii="Times New Roman" w:hAnsi="Times New Roman"/>
          <w:sz w:val="24"/>
          <w:u w:val="single"/>
        </w:rPr>
        <w:t xml:space="preserve"> variables</w:t>
      </w:r>
      <w:r w:rsidRPr="003B0175">
        <w:rPr>
          <w:rFonts w:ascii="Times New Roman" w:hAnsi="Times New Roman"/>
          <w:sz w:val="24"/>
        </w:rPr>
        <w:t xml:space="preserve">.  The </w:t>
      </w:r>
      <w:r w:rsidR="00355F9A" w:rsidRPr="003B0175">
        <w:rPr>
          <w:rFonts w:ascii="Times New Roman" w:hAnsi="Times New Roman"/>
          <w:sz w:val="24"/>
        </w:rPr>
        <w:t xml:space="preserve">structure of the </w:t>
      </w:r>
      <w:r w:rsidR="00355F9A" w:rsidRPr="00DB7527">
        <w:rPr>
          <w:rFonts w:ascii="Times New Roman" w:hAnsi="Times New Roman"/>
          <w:sz w:val="24"/>
        </w:rPr>
        <w:t xml:space="preserve">paradata </w:t>
      </w:r>
      <w:r w:rsidR="000338F9" w:rsidRPr="00DB7527">
        <w:rPr>
          <w:rFonts w:ascii="Times New Roman" w:hAnsi="Times New Roman"/>
          <w:sz w:val="24"/>
        </w:rPr>
        <w:t>is shown</w:t>
      </w:r>
      <w:r w:rsidR="000338F9">
        <w:rPr>
          <w:rFonts w:ascii="Times New Roman" w:hAnsi="Times New Roman"/>
          <w:sz w:val="24"/>
        </w:rPr>
        <w:t xml:space="preserve"> </w:t>
      </w:r>
      <w:r w:rsidRPr="003B0175">
        <w:rPr>
          <w:rFonts w:ascii="Times New Roman" w:hAnsi="Times New Roman"/>
          <w:sz w:val="24"/>
        </w:rPr>
        <w:t>below</w:t>
      </w:r>
      <w:r w:rsidR="00880341">
        <w:rPr>
          <w:rFonts w:ascii="Times New Roman" w:hAnsi="Times New Roman"/>
          <w:sz w:val="24"/>
        </w:rPr>
        <w:t xml:space="preserve"> in Figure 4</w:t>
      </w:r>
      <w:r w:rsidRPr="003B0175">
        <w:rPr>
          <w:rFonts w:ascii="Times New Roman" w:hAnsi="Times New Roman"/>
          <w:sz w:val="24"/>
        </w:rPr>
        <w:t>:</w:t>
      </w:r>
    </w:p>
    <w:p w:rsidR="00460E99" w:rsidRPr="003B0175" w:rsidRDefault="00460E99" w:rsidP="00AE30CB">
      <w:pPr>
        <w:pStyle w:val="ListParagraph"/>
        <w:spacing w:line="360" w:lineRule="auto"/>
        <w:ind w:left="0"/>
        <w:rPr>
          <w:rFonts w:ascii="Times New Roman" w:hAnsi="Times New Roman"/>
          <w:sz w:val="24"/>
        </w:rPr>
      </w:pPr>
    </w:p>
    <w:p w:rsidR="008B1E40" w:rsidRPr="003B0175" w:rsidRDefault="00880341" w:rsidP="008B1E40">
      <w:pPr>
        <w:pStyle w:val="ListParagraph"/>
        <w:ind w:left="0"/>
        <w:rPr>
          <w:rFonts w:ascii="Times New Roman" w:hAnsi="Times New Roman"/>
          <w:sz w:val="24"/>
        </w:rPr>
      </w:pPr>
      <w:r>
        <w:rPr>
          <w:rFonts w:ascii="Times New Roman" w:hAnsi="Times New Roman"/>
          <w:sz w:val="24"/>
        </w:rPr>
        <w:t>Figure 4. NSFG Paradata Structure</w:t>
      </w:r>
    </w:p>
    <w:p w:rsidR="008B1E40" w:rsidRPr="00451340" w:rsidRDefault="000C4EC8" w:rsidP="008B1E40">
      <w:pPr>
        <w:pStyle w:val="ListParagraph"/>
        <w:rPr>
          <w:rFonts w:ascii="Times New Roman" w:hAnsi="Times New Roman"/>
          <w:sz w:val="24"/>
        </w:rPr>
      </w:pPr>
      <w:r w:rsidRPr="00451340">
        <w:rPr>
          <w:rFonts w:ascii="Times New Roman" w:hAnsi="Times New Roman"/>
          <w:noProof/>
          <w:sz w:val="24"/>
        </w:rPr>
        <w:drawing>
          <wp:inline distT="0" distB="0" distL="0" distR="0" wp14:anchorId="5A26820C" wp14:editId="1257E8F8">
            <wp:extent cx="4600575" cy="3343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0575" cy="3343275"/>
                    </a:xfrm>
                    <a:prstGeom prst="rect">
                      <a:avLst/>
                    </a:prstGeom>
                    <a:noFill/>
                  </pic:spPr>
                </pic:pic>
              </a:graphicData>
            </a:graphic>
          </wp:inline>
        </w:drawing>
      </w:r>
    </w:p>
    <w:p w:rsidR="008B1E40" w:rsidRPr="00451340" w:rsidRDefault="008B1E40" w:rsidP="008B1E40">
      <w:pPr>
        <w:pStyle w:val="ListParagraph"/>
        <w:ind w:left="0"/>
        <w:rPr>
          <w:rFonts w:ascii="Times New Roman" w:hAnsi="Times New Roman"/>
          <w:sz w:val="24"/>
        </w:rPr>
      </w:pPr>
    </w:p>
    <w:p w:rsidR="00783A74" w:rsidRDefault="006C47E8" w:rsidP="00AE30CB">
      <w:pPr>
        <w:pStyle w:val="ListParagraph"/>
        <w:spacing w:line="360" w:lineRule="auto"/>
        <w:ind w:left="0"/>
        <w:rPr>
          <w:rFonts w:ascii="Times New Roman" w:hAnsi="Times New Roman"/>
          <w:sz w:val="24"/>
        </w:rPr>
      </w:pPr>
      <w:r>
        <w:rPr>
          <w:rFonts w:ascii="Times New Roman" w:hAnsi="Times New Roman"/>
          <w:sz w:val="24"/>
        </w:rPr>
        <w:t xml:space="preserve">Thus, we have data on </w:t>
      </w:r>
    </w:p>
    <w:p w:rsidR="00783A74" w:rsidRDefault="006C47E8" w:rsidP="00AE30CB">
      <w:pPr>
        <w:pStyle w:val="ListParagraph"/>
        <w:spacing w:line="360" w:lineRule="auto"/>
        <w:rPr>
          <w:rFonts w:ascii="Times New Roman" w:hAnsi="Times New Roman"/>
          <w:sz w:val="24"/>
        </w:rPr>
      </w:pPr>
      <w:r>
        <w:rPr>
          <w:rFonts w:ascii="Times New Roman" w:hAnsi="Times New Roman"/>
          <w:sz w:val="24"/>
        </w:rPr>
        <w:t xml:space="preserve">(a) </w:t>
      </w:r>
      <w:r w:rsidR="000B7F7E">
        <w:rPr>
          <w:rFonts w:ascii="Times New Roman" w:hAnsi="Times New Roman"/>
          <w:sz w:val="24"/>
        </w:rPr>
        <w:t xml:space="preserve">the </w:t>
      </w:r>
      <w:r>
        <w:rPr>
          <w:rFonts w:ascii="Times New Roman" w:hAnsi="Times New Roman"/>
          <w:sz w:val="24"/>
        </w:rPr>
        <w:t xml:space="preserve">interviewers, </w:t>
      </w:r>
    </w:p>
    <w:p w:rsidR="000B7F7E" w:rsidRDefault="006C47E8" w:rsidP="00AE30CB">
      <w:pPr>
        <w:pStyle w:val="ListParagraph"/>
        <w:spacing w:line="360" w:lineRule="auto"/>
        <w:rPr>
          <w:rFonts w:ascii="Times New Roman" w:hAnsi="Times New Roman"/>
          <w:sz w:val="24"/>
        </w:rPr>
      </w:pPr>
      <w:r>
        <w:rPr>
          <w:rFonts w:ascii="Times New Roman" w:hAnsi="Times New Roman"/>
          <w:sz w:val="24"/>
        </w:rPr>
        <w:t xml:space="preserve">(b) </w:t>
      </w:r>
      <w:r w:rsidR="000B7F7E">
        <w:rPr>
          <w:rFonts w:ascii="Times New Roman" w:hAnsi="Times New Roman"/>
          <w:sz w:val="24"/>
        </w:rPr>
        <w:t xml:space="preserve">the </w:t>
      </w:r>
      <w:r>
        <w:rPr>
          <w:rFonts w:ascii="Times New Roman" w:hAnsi="Times New Roman"/>
          <w:sz w:val="24"/>
        </w:rPr>
        <w:t xml:space="preserve">sampled segments (including </w:t>
      </w:r>
      <w:r w:rsidR="000B7F7E">
        <w:rPr>
          <w:rFonts w:ascii="Times New Roman" w:hAnsi="Times New Roman"/>
          <w:sz w:val="24"/>
        </w:rPr>
        <w:t>2010</w:t>
      </w:r>
      <w:r w:rsidR="00E86AF0">
        <w:rPr>
          <w:rFonts w:ascii="Times New Roman" w:hAnsi="Times New Roman"/>
          <w:sz w:val="24"/>
        </w:rPr>
        <w:t xml:space="preserve"> Decennial</w:t>
      </w:r>
      <w:r w:rsidR="000B7F7E">
        <w:rPr>
          <w:rFonts w:ascii="Times New Roman" w:hAnsi="Times New Roman"/>
          <w:sz w:val="24"/>
        </w:rPr>
        <w:t xml:space="preserve"> </w:t>
      </w:r>
      <w:r w:rsidR="00E86AF0">
        <w:rPr>
          <w:rFonts w:ascii="Times New Roman" w:hAnsi="Times New Roman"/>
          <w:sz w:val="24"/>
        </w:rPr>
        <w:t>C</w:t>
      </w:r>
      <w:r w:rsidR="000B7F7E">
        <w:rPr>
          <w:rFonts w:ascii="Times New Roman" w:hAnsi="Times New Roman"/>
          <w:sz w:val="24"/>
        </w:rPr>
        <w:t>ensus data</w:t>
      </w:r>
      <w:r w:rsidR="00E86AF0">
        <w:rPr>
          <w:rFonts w:ascii="Times New Roman" w:hAnsi="Times New Roman"/>
          <w:sz w:val="24"/>
        </w:rPr>
        <w:t>, data from the continuous American Community Survey,</w:t>
      </w:r>
      <w:r w:rsidR="000B7F7E">
        <w:rPr>
          <w:rFonts w:ascii="Times New Roman" w:hAnsi="Times New Roman"/>
          <w:sz w:val="24"/>
        </w:rPr>
        <w:t xml:space="preserve"> and </w:t>
      </w:r>
      <w:r>
        <w:rPr>
          <w:rFonts w:ascii="Times New Roman" w:hAnsi="Times New Roman"/>
          <w:sz w:val="24"/>
        </w:rPr>
        <w:t xml:space="preserve">segment observations by listers </w:t>
      </w:r>
      <w:r w:rsidR="000B7F7E">
        <w:rPr>
          <w:rFonts w:ascii="Times New Roman" w:hAnsi="Times New Roman"/>
          <w:sz w:val="24"/>
        </w:rPr>
        <w:t>and</w:t>
      </w:r>
      <w:r>
        <w:rPr>
          <w:rFonts w:ascii="Times New Roman" w:hAnsi="Times New Roman"/>
          <w:sz w:val="24"/>
        </w:rPr>
        <w:t xml:space="preserve"> interviewers), </w:t>
      </w:r>
    </w:p>
    <w:p w:rsidR="00783A74" w:rsidRDefault="006C47E8" w:rsidP="00AE30CB">
      <w:pPr>
        <w:pStyle w:val="ListParagraph"/>
        <w:spacing w:line="360" w:lineRule="auto"/>
        <w:rPr>
          <w:rFonts w:ascii="Times New Roman" w:hAnsi="Times New Roman"/>
          <w:sz w:val="24"/>
        </w:rPr>
      </w:pPr>
      <w:r>
        <w:rPr>
          <w:rFonts w:ascii="Times New Roman" w:hAnsi="Times New Roman"/>
          <w:sz w:val="24"/>
        </w:rPr>
        <w:t xml:space="preserve">(c) the selected address,  </w:t>
      </w:r>
    </w:p>
    <w:p w:rsidR="00783A74" w:rsidRDefault="006C47E8" w:rsidP="00AE30CB">
      <w:pPr>
        <w:pStyle w:val="ListParagraph"/>
        <w:spacing w:line="360" w:lineRule="auto"/>
        <w:rPr>
          <w:rFonts w:ascii="Times New Roman" w:hAnsi="Times New Roman"/>
          <w:sz w:val="24"/>
        </w:rPr>
      </w:pPr>
      <w:r>
        <w:rPr>
          <w:rFonts w:ascii="Times New Roman" w:hAnsi="Times New Roman"/>
          <w:sz w:val="24"/>
        </w:rPr>
        <w:t xml:space="preserve">(d) </w:t>
      </w:r>
      <w:r w:rsidR="000B7F7E">
        <w:rPr>
          <w:rFonts w:ascii="Times New Roman" w:hAnsi="Times New Roman"/>
          <w:sz w:val="24"/>
        </w:rPr>
        <w:t>t</w:t>
      </w:r>
      <w:r>
        <w:rPr>
          <w:rFonts w:ascii="Times New Roman" w:hAnsi="Times New Roman"/>
          <w:sz w:val="24"/>
        </w:rPr>
        <w:t xml:space="preserve">he date and time of visits (“calls”) for screeners and main interviews, </w:t>
      </w:r>
      <w:r w:rsidR="000B7F7E">
        <w:rPr>
          <w:rFonts w:ascii="Times New Roman" w:hAnsi="Times New Roman"/>
          <w:sz w:val="24"/>
        </w:rPr>
        <w:t xml:space="preserve">and the outcomes of those visits, </w:t>
      </w:r>
    </w:p>
    <w:p w:rsidR="000B7F7E" w:rsidRDefault="006C47E8" w:rsidP="00AE30CB">
      <w:pPr>
        <w:pStyle w:val="ListParagraph"/>
        <w:spacing w:line="360" w:lineRule="auto"/>
        <w:rPr>
          <w:rFonts w:ascii="Times New Roman" w:hAnsi="Times New Roman"/>
          <w:sz w:val="24"/>
        </w:rPr>
      </w:pPr>
      <w:r>
        <w:rPr>
          <w:rFonts w:ascii="Times New Roman" w:hAnsi="Times New Roman"/>
          <w:sz w:val="24"/>
        </w:rPr>
        <w:t xml:space="preserve">(e) the </w:t>
      </w:r>
      <w:r w:rsidR="000B7F7E">
        <w:rPr>
          <w:rFonts w:ascii="Times New Roman" w:hAnsi="Times New Roman"/>
          <w:sz w:val="24"/>
        </w:rPr>
        <w:t xml:space="preserve">sampled </w:t>
      </w:r>
      <w:r>
        <w:rPr>
          <w:rFonts w:ascii="Times New Roman" w:hAnsi="Times New Roman"/>
          <w:sz w:val="24"/>
        </w:rPr>
        <w:t>household</w:t>
      </w:r>
      <w:r w:rsidR="000B7F7E">
        <w:rPr>
          <w:rFonts w:ascii="Times New Roman" w:hAnsi="Times New Roman"/>
          <w:sz w:val="24"/>
        </w:rPr>
        <w:t>, and</w:t>
      </w:r>
    </w:p>
    <w:p w:rsidR="00783A74" w:rsidRDefault="000B7F7E" w:rsidP="00AE30CB">
      <w:pPr>
        <w:pStyle w:val="ListParagraph"/>
        <w:spacing w:line="360" w:lineRule="auto"/>
        <w:rPr>
          <w:rFonts w:ascii="Times New Roman" w:hAnsi="Times New Roman"/>
          <w:sz w:val="24"/>
        </w:rPr>
      </w:pPr>
      <w:r>
        <w:rPr>
          <w:rFonts w:ascii="Times New Roman" w:hAnsi="Times New Roman"/>
          <w:sz w:val="24"/>
        </w:rPr>
        <w:t>(f) for completed screeners, the selected respondent</w:t>
      </w:r>
      <w:r w:rsidR="006C47E8">
        <w:rPr>
          <w:rFonts w:ascii="Times New Roman" w:hAnsi="Times New Roman"/>
          <w:sz w:val="24"/>
        </w:rPr>
        <w:t xml:space="preserve">.  </w:t>
      </w:r>
    </w:p>
    <w:p w:rsidR="006C47E8" w:rsidRDefault="006C47E8" w:rsidP="00AE30CB">
      <w:pPr>
        <w:pStyle w:val="ListParagraph"/>
        <w:spacing w:line="360" w:lineRule="auto"/>
        <w:ind w:left="0"/>
        <w:rPr>
          <w:rFonts w:ascii="Times New Roman" w:hAnsi="Times New Roman"/>
          <w:sz w:val="24"/>
        </w:rPr>
      </w:pPr>
      <w:r>
        <w:rPr>
          <w:rFonts w:ascii="Times New Roman" w:hAnsi="Times New Roman"/>
          <w:sz w:val="24"/>
        </w:rPr>
        <w:t xml:space="preserve">These data include comments or remarks made by screener informants and by persons selected to be interviewed. </w:t>
      </w:r>
    </w:p>
    <w:p w:rsidR="006C47E8" w:rsidRDefault="006C47E8" w:rsidP="00AE30CB">
      <w:pPr>
        <w:pStyle w:val="ListParagraph"/>
        <w:spacing w:line="360" w:lineRule="auto"/>
        <w:ind w:left="0"/>
        <w:rPr>
          <w:rFonts w:ascii="Times New Roman" w:hAnsi="Times New Roman"/>
          <w:sz w:val="24"/>
        </w:rPr>
      </w:pPr>
    </w:p>
    <w:p w:rsidR="00783A74" w:rsidRDefault="008B1E40" w:rsidP="00AE30CB">
      <w:pPr>
        <w:pStyle w:val="ListParagraph"/>
        <w:spacing w:line="360" w:lineRule="auto"/>
        <w:ind w:left="0"/>
        <w:rPr>
          <w:rFonts w:ascii="Times New Roman" w:hAnsi="Times New Roman"/>
          <w:sz w:val="24"/>
        </w:rPr>
      </w:pPr>
      <w:r w:rsidRPr="00451340">
        <w:rPr>
          <w:rFonts w:ascii="Times New Roman" w:hAnsi="Times New Roman"/>
          <w:sz w:val="24"/>
        </w:rPr>
        <w:t xml:space="preserve">From these data we build daily </w:t>
      </w:r>
      <w:r w:rsidR="009B39D6" w:rsidRPr="009B39D6">
        <w:rPr>
          <w:rFonts w:ascii="Times New Roman" w:hAnsi="Times New Roman"/>
          <w:sz w:val="24"/>
        </w:rPr>
        <w:t xml:space="preserve">propensity models </w:t>
      </w:r>
      <w:r w:rsidR="009B39D6">
        <w:rPr>
          <w:rFonts w:ascii="Times New Roman" w:hAnsi="Times New Roman"/>
          <w:sz w:val="24"/>
        </w:rPr>
        <w:t xml:space="preserve">(using logistic regression) </w:t>
      </w:r>
      <w:r w:rsidR="009B39D6" w:rsidRPr="009B39D6">
        <w:rPr>
          <w:rFonts w:ascii="Times New Roman" w:hAnsi="Times New Roman"/>
          <w:sz w:val="24"/>
        </w:rPr>
        <w:t>predicting the probability of completing an interview on the next call</w:t>
      </w:r>
      <w:r w:rsidR="006C47E8">
        <w:rPr>
          <w:rFonts w:ascii="Times New Roman" w:hAnsi="Times New Roman"/>
          <w:sz w:val="24"/>
        </w:rPr>
        <w:t xml:space="preserve">.  These models estimate </w:t>
      </w:r>
      <w:r w:rsidRPr="00451340">
        <w:rPr>
          <w:rFonts w:ascii="Times New Roman" w:hAnsi="Times New Roman"/>
          <w:sz w:val="24"/>
        </w:rPr>
        <w:t xml:space="preserve">the likelihood for each active screener and main case that the next call will generate a successful interview.  We monitor the mean probability of this event over the course of the 10-week </w:t>
      </w:r>
      <w:r w:rsidR="000B7F7E">
        <w:rPr>
          <w:rFonts w:ascii="Times New Roman" w:hAnsi="Times New Roman"/>
          <w:sz w:val="24"/>
        </w:rPr>
        <w:t>P</w:t>
      </w:r>
      <w:r w:rsidRPr="00451340">
        <w:rPr>
          <w:rFonts w:ascii="Times New Roman" w:hAnsi="Times New Roman"/>
          <w:sz w:val="24"/>
        </w:rPr>
        <w:t xml:space="preserve">hase 1 data collection period.  These </w:t>
      </w:r>
      <w:r w:rsidR="00783A74">
        <w:rPr>
          <w:rFonts w:ascii="Times New Roman" w:hAnsi="Times New Roman"/>
          <w:sz w:val="24"/>
        </w:rPr>
        <w:t xml:space="preserve">data </w:t>
      </w:r>
      <w:r w:rsidRPr="00451340">
        <w:rPr>
          <w:rFonts w:ascii="Times New Roman" w:hAnsi="Times New Roman"/>
          <w:sz w:val="24"/>
        </w:rPr>
        <w:t xml:space="preserve">allow us to </w:t>
      </w:r>
      <w:r w:rsidR="00601C8D">
        <w:rPr>
          <w:rFonts w:ascii="Times New Roman" w:hAnsi="Times New Roman"/>
          <w:sz w:val="24"/>
        </w:rPr>
        <w:t xml:space="preserve">identify areas or subgroups where more effort may be needed to </w:t>
      </w:r>
      <w:r w:rsidR="00601C8D" w:rsidRPr="00451340">
        <w:rPr>
          <w:rFonts w:ascii="Times New Roman" w:hAnsi="Times New Roman"/>
          <w:sz w:val="24"/>
        </w:rPr>
        <w:t>achieve desirable balance in the respondent data set</w:t>
      </w:r>
      <w:r w:rsidR="00601C8D">
        <w:rPr>
          <w:rFonts w:ascii="Times New Roman" w:hAnsi="Times New Roman"/>
          <w:sz w:val="24"/>
        </w:rPr>
        <w:t xml:space="preserve">, and intervene as necessary.  </w:t>
      </w:r>
      <w:r w:rsidR="003D717F">
        <w:rPr>
          <w:rFonts w:ascii="Times New Roman" w:hAnsi="Times New Roman"/>
          <w:sz w:val="24"/>
        </w:rPr>
        <w:t>These propensity models were refit before data collection began in 2011 and cross-validated using quarterly data from</w:t>
      </w:r>
      <w:r w:rsidR="00275DC9">
        <w:rPr>
          <w:rFonts w:ascii="Times New Roman" w:hAnsi="Times New Roman"/>
          <w:sz w:val="24"/>
        </w:rPr>
        <w:t xml:space="preserve"> the</w:t>
      </w:r>
      <w:r w:rsidR="003D717F">
        <w:rPr>
          <w:rFonts w:ascii="Times New Roman" w:hAnsi="Times New Roman"/>
          <w:sz w:val="24"/>
        </w:rPr>
        <w:t xml:space="preserve"> 2006-2010 NSFG</w:t>
      </w:r>
      <w:r w:rsidR="00275DC9">
        <w:rPr>
          <w:rFonts w:ascii="Times New Roman" w:hAnsi="Times New Roman"/>
          <w:sz w:val="24"/>
        </w:rPr>
        <w:t xml:space="preserve">. </w:t>
      </w:r>
      <w:r w:rsidR="003D717F">
        <w:rPr>
          <w:rFonts w:ascii="Times New Roman" w:hAnsi="Times New Roman"/>
          <w:sz w:val="24"/>
        </w:rPr>
        <w:t>Further, we considered the impact of the use of data from prior quarters in these models (Wagner and Hubbard, 2014).</w:t>
      </w:r>
      <w:r w:rsidR="00603217">
        <w:rPr>
          <w:rFonts w:ascii="Times New Roman" w:hAnsi="Times New Roman"/>
          <w:sz w:val="24"/>
        </w:rPr>
        <w:t xml:space="preserve"> We have also been developing Bayesian approaches to the estimation of these models where data from previous quarters is used as prior information (Wagner, 2016; Wagner 2017).</w:t>
      </w:r>
    </w:p>
    <w:p w:rsidR="00783A74" w:rsidRDefault="00783A74" w:rsidP="00AE30CB">
      <w:pPr>
        <w:pStyle w:val="ListParagraph"/>
        <w:spacing w:line="360" w:lineRule="auto"/>
        <w:ind w:left="0"/>
        <w:rPr>
          <w:rFonts w:ascii="Times New Roman" w:hAnsi="Times New Roman"/>
          <w:sz w:val="24"/>
        </w:rPr>
      </w:pPr>
    </w:p>
    <w:p w:rsidR="008B1E40" w:rsidRPr="00451340" w:rsidRDefault="008B1E40" w:rsidP="00AE30CB">
      <w:pPr>
        <w:pStyle w:val="ListParagraph"/>
        <w:spacing w:line="360" w:lineRule="auto"/>
        <w:ind w:left="0"/>
        <w:rPr>
          <w:rFonts w:ascii="Times New Roman" w:hAnsi="Times New Roman"/>
          <w:sz w:val="24"/>
        </w:rPr>
      </w:pPr>
      <w:r w:rsidRPr="00451340">
        <w:rPr>
          <w:rFonts w:ascii="Times New Roman" w:hAnsi="Times New Roman"/>
          <w:sz w:val="24"/>
        </w:rPr>
        <w:t xml:space="preserve">We track the mean probability of an active case responding daily throughout the data collection period, using graphs like that below.  </w:t>
      </w:r>
      <w:r w:rsidRPr="009A5835">
        <w:rPr>
          <w:rFonts w:ascii="Times New Roman" w:hAnsi="Times New Roman"/>
          <w:sz w:val="24"/>
        </w:rPr>
        <w:t xml:space="preserve">The graph </w:t>
      </w:r>
      <w:r w:rsidR="000338F9" w:rsidRPr="009A5835">
        <w:rPr>
          <w:rFonts w:ascii="Times New Roman" w:hAnsi="Times New Roman"/>
          <w:sz w:val="24"/>
        </w:rPr>
        <w:t xml:space="preserve">below shows data for one </w:t>
      </w:r>
      <w:r w:rsidR="00FD0630">
        <w:rPr>
          <w:rFonts w:ascii="Times New Roman" w:hAnsi="Times New Roman"/>
          <w:sz w:val="24"/>
        </w:rPr>
        <w:t xml:space="preserve">recent </w:t>
      </w:r>
      <w:r w:rsidR="000338F9" w:rsidRPr="009A5835">
        <w:rPr>
          <w:rFonts w:ascii="Times New Roman" w:hAnsi="Times New Roman"/>
          <w:sz w:val="24"/>
        </w:rPr>
        <w:t>12-week (84-day) data collection period</w:t>
      </w:r>
      <w:r w:rsidR="00C909A7" w:rsidRPr="009A5835">
        <w:rPr>
          <w:rFonts w:ascii="Times New Roman" w:hAnsi="Times New Roman"/>
          <w:sz w:val="24"/>
        </w:rPr>
        <w:t xml:space="preserve">.  It </w:t>
      </w:r>
      <w:r w:rsidRPr="00451340">
        <w:rPr>
          <w:rFonts w:ascii="Times New Roman" w:hAnsi="Times New Roman"/>
          <w:sz w:val="24"/>
        </w:rPr>
        <w:t>shows a gradual decline in the likelihood of completing an interview as the data collection period proceeds, reflecting the fact that easily accessible and highly interested persons are interviewed most easily and quickly.</w:t>
      </w:r>
    </w:p>
    <w:p w:rsidR="008B1E40" w:rsidRPr="00451340" w:rsidRDefault="008B1E40" w:rsidP="008B1E40">
      <w:pPr>
        <w:pStyle w:val="ListParagraph"/>
        <w:ind w:left="0"/>
        <w:rPr>
          <w:rFonts w:ascii="Times New Roman" w:hAnsi="Times New Roman"/>
          <w:sz w:val="24"/>
        </w:rPr>
      </w:pPr>
    </w:p>
    <w:p w:rsidR="008B1E40" w:rsidRDefault="00883440" w:rsidP="00D57928">
      <w:pPr>
        <w:pStyle w:val="ListParagraph"/>
        <w:ind w:left="-90"/>
        <w:rPr>
          <w:rFonts w:ascii="Times New Roman" w:hAnsi="Times New Roman"/>
          <w:sz w:val="24"/>
        </w:rPr>
      </w:pPr>
      <w:r>
        <w:rPr>
          <w:rFonts w:ascii="Times New Roman" w:hAnsi="Times New Roman"/>
          <w:sz w:val="24"/>
        </w:rPr>
        <w:br w:type="page"/>
      </w:r>
      <w:r w:rsidR="0063568A">
        <w:rPr>
          <w:rFonts w:ascii="Times New Roman" w:hAnsi="Times New Roman"/>
          <w:sz w:val="24"/>
        </w:rPr>
        <w:t xml:space="preserve">Figure </w:t>
      </w:r>
      <w:r w:rsidR="00460E99">
        <w:rPr>
          <w:rFonts w:ascii="Times New Roman" w:hAnsi="Times New Roman"/>
          <w:sz w:val="24"/>
        </w:rPr>
        <w:t>5. Mean Propensity a</w:t>
      </w:r>
      <w:r w:rsidR="0063568A">
        <w:rPr>
          <w:rFonts w:ascii="Times New Roman" w:hAnsi="Times New Roman"/>
          <w:sz w:val="24"/>
        </w:rPr>
        <w:t>mong Active Cases</w:t>
      </w:r>
    </w:p>
    <w:p w:rsidR="00275DC9" w:rsidRPr="00275DC9" w:rsidRDefault="000C4EC8" w:rsidP="00275DC9">
      <w:pPr>
        <w:ind w:left="360"/>
        <w:rPr>
          <w:rFonts w:ascii="Times New Roman" w:hAnsi="Times New Roman"/>
          <w:b/>
        </w:rPr>
      </w:pPr>
      <w:r>
        <w:rPr>
          <w:noProof/>
        </w:rPr>
        <w:drawing>
          <wp:inline distT="0" distB="0" distL="0" distR="0" wp14:anchorId="51912711" wp14:editId="4894A120">
            <wp:extent cx="6022975" cy="40982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2975" cy="4098290"/>
                    </a:xfrm>
                    <a:prstGeom prst="rect">
                      <a:avLst/>
                    </a:prstGeom>
                    <a:noFill/>
                  </pic:spPr>
                </pic:pic>
              </a:graphicData>
            </a:graphic>
          </wp:inline>
        </w:drawing>
      </w:r>
    </w:p>
    <w:p w:rsidR="00275DC9" w:rsidRDefault="00275DC9" w:rsidP="00275DC9">
      <w:pPr>
        <w:pStyle w:val="ListParagraph"/>
        <w:rPr>
          <w:rFonts w:ascii="Times New Roman" w:hAnsi="Times New Roman"/>
          <w:b/>
          <w:sz w:val="24"/>
        </w:rPr>
      </w:pPr>
    </w:p>
    <w:p w:rsidR="00275DC9" w:rsidRDefault="00275DC9" w:rsidP="00275DC9">
      <w:pPr>
        <w:pStyle w:val="ListParagraph"/>
        <w:rPr>
          <w:rFonts w:ascii="Times New Roman" w:hAnsi="Times New Roman"/>
          <w:b/>
          <w:sz w:val="24"/>
        </w:rPr>
      </w:pPr>
    </w:p>
    <w:p w:rsidR="008B1E40" w:rsidRPr="00451340" w:rsidRDefault="008B1E40" w:rsidP="00660842">
      <w:pPr>
        <w:pStyle w:val="ListParagraph"/>
        <w:numPr>
          <w:ilvl w:val="0"/>
          <w:numId w:val="37"/>
        </w:numPr>
        <w:rPr>
          <w:rFonts w:ascii="Times New Roman" w:hAnsi="Times New Roman"/>
          <w:b/>
          <w:sz w:val="24"/>
        </w:rPr>
      </w:pPr>
      <w:r w:rsidRPr="00451340">
        <w:rPr>
          <w:rFonts w:ascii="Times New Roman" w:hAnsi="Times New Roman"/>
          <w:b/>
          <w:sz w:val="24"/>
        </w:rPr>
        <w:t xml:space="preserve">Sensitivity of Key Estimates to Calling Effort </w:t>
      </w:r>
    </w:p>
    <w:p w:rsidR="008B1E40" w:rsidRPr="00451340" w:rsidRDefault="008B1E40" w:rsidP="008B1E40">
      <w:pPr>
        <w:pStyle w:val="ListParagraph"/>
        <w:ind w:left="0"/>
        <w:rPr>
          <w:rFonts w:ascii="Times New Roman" w:hAnsi="Times New Roman"/>
          <w:sz w:val="24"/>
        </w:rPr>
      </w:pPr>
    </w:p>
    <w:p w:rsidR="00783A74" w:rsidRDefault="008B1E40" w:rsidP="00AE30CB">
      <w:pPr>
        <w:pStyle w:val="ListParagraph"/>
        <w:spacing w:line="360" w:lineRule="auto"/>
        <w:ind w:left="0"/>
        <w:rPr>
          <w:rFonts w:ascii="Times New Roman" w:hAnsi="Times New Roman"/>
          <w:sz w:val="24"/>
        </w:rPr>
      </w:pPr>
      <w:r w:rsidRPr="00451340">
        <w:rPr>
          <w:rFonts w:ascii="Times New Roman" w:hAnsi="Times New Roman"/>
          <w:sz w:val="24"/>
        </w:rPr>
        <w:t xml:space="preserve">We estimate daily (unadjusted) respondent-based estimates of key NSFG variables.  We plot these estimates as a function of the call number on which the interview was conducted, yielding graphs like that below.  For example, the chart below provides the unadjusted respondent estimate of the </w:t>
      </w:r>
      <w:r w:rsidR="002B108D" w:rsidRPr="0063568A">
        <w:rPr>
          <w:rFonts w:ascii="Times New Roman" w:hAnsi="Times New Roman"/>
          <w:sz w:val="24"/>
        </w:rPr>
        <w:t>mean number of live births among females</w:t>
      </w:r>
      <w:r w:rsidRPr="0063568A">
        <w:rPr>
          <w:rFonts w:ascii="Times New Roman" w:hAnsi="Times New Roman"/>
          <w:sz w:val="24"/>
        </w:rPr>
        <w:t xml:space="preserve">, which stabilizes </w:t>
      </w:r>
      <w:r w:rsidR="004F400D" w:rsidRPr="0063568A">
        <w:rPr>
          <w:rFonts w:ascii="Times New Roman" w:hAnsi="Times New Roman"/>
          <w:sz w:val="24"/>
        </w:rPr>
        <w:t xml:space="preserve">at around </w:t>
      </w:r>
      <w:r w:rsidR="002B108D" w:rsidRPr="0063568A">
        <w:rPr>
          <w:rFonts w:ascii="Times New Roman" w:hAnsi="Times New Roman"/>
          <w:sz w:val="24"/>
        </w:rPr>
        <w:t>1.2</w:t>
      </w:r>
      <w:r w:rsidR="004F400D" w:rsidRPr="0063568A">
        <w:rPr>
          <w:rFonts w:ascii="Times New Roman" w:hAnsi="Times New Roman"/>
          <w:sz w:val="24"/>
        </w:rPr>
        <w:t xml:space="preserve"> </w:t>
      </w:r>
      <w:r w:rsidRPr="0063568A">
        <w:rPr>
          <w:rFonts w:ascii="Times New Roman" w:hAnsi="Times New Roman"/>
          <w:sz w:val="24"/>
        </w:rPr>
        <w:t xml:space="preserve">within the first </w:t>
      </w:r>
      <w:r w:rsidR="002B108D" w:rsidRPr="0063568A">
        <w:rPr>
          <w:rFonts w:ascii="Times New Roman" w:hAnsi="Times New Roman"/>
          <w:sz w:val="24"/>
        </w:rPr>
        <w:t xml:space="preserve">9 </w:t>
      </w:r>
      <w:r w:rsidRPr="0063568A">
        <w:rPr>
          <w:rFonts w:ascii="Times New Roman" w:hAnsi="Times New Roman"/>
          <w:sz w:val="24"/>
        </w:rPr>
        <w:t>calls</w:t>
      </w:r>
      <w:r w:rsidR="0091116B">
        <w:rPr>
          <w:rFonts w:ascii="Times New Roman" w:hAnsi="Times New Roman"/>
          <w:sz w:val="24"/>
        </w:rPr>
        <w:t xml:space="preserve"> (compare values to scale on the left)</w:t>
      </w:r>
      <w:r w:rsidRPr="00451340">
        <w:rPr>
          <w:rFonts w:ascii="Times New Roman" w:hAnsi="Times New Roman"/>
          <w:sz w:val="24"/>
        </w:rPr>
        <w:t xml:space="preserve">.  That is, the combined impact of the number of interviews brought into the data set after </w:t>
      </w:r>
      <w:r w:rsidR="002B108D">
        <w:rPr>
          <w:rFonts w:ascii="Times New Roman" w:hAnsi="Times New Roman"/>
          <w:sz w:val="24"/>
        </w:rPr>
        <w:t>9</w:t>
      </w:r>
      <w:r w:rsidR="002B108D" w:rsidRPr="00451340">
        <w:rPr>
          <w:rFonts w:ascii="Times New Roman" w:hAnsi="Times New Roman"/>
          <w:sz w:val="24"/>
        </w:rPr>
        <w:t xml:space="preserve"> </w:t>
      </w:r>
      <w:r w:rsidRPr="00451340">
        <w:rPr>
          <w:rFonts w:ascii="Times New Roman" w:hAnsi="Times New Roman"/>
          <w:sz w:val="24"/>
        </w:rPr>
        <w:t>calls and the characteristics of those cases on the “</w:t>
      </w:r>
      <w:r w:rsidR="002B108D">
        <w:rPr>
          <w:rFonts w:ascii="Times New Roman" w:hAnsi="Times New Roman"/>
          <w:sz w:val="24"/>
        </w:rPr>
        <w:t>mean number of live births</w:t>
      </w:r>
      <w:r w:rsidRPr="00451340">
        <w:rPr>
          <w:rFonts w:ascii="Times New Roman" w:hAnsi="Times New Roman"/>
          <w:sz w:val="24"/>
        </w:rPr>
        <w:t>” variable produces no change in the unadjusted respondent estimate.  For this specific measure, therefore, further calls with the phase 1 protocol have little effect.</w:t>
      </w:r>
      <w:r w:rsidR="00783A74">
        <w:rPr>
          <w:rFonts w:ascii="Times New Roman" w:hAnsi="Times New Roman"/>
          <w:sz w:val="24"/>
        </w:rPr>
        <w:t xml:space="preserve">  </w:t>
      </w:r>
      <w:r w:rsidR="0091116B">
        <w:rPr>
          <w:rFonts w:ascii="Times New Roman" w:hAnsi="Times New Roman"/>
          <w:sz w:val="24"/>
        </w:rPr>
        <w:t>A second variable, number of sexual partners in the last 12 months, is also presented. This key statistic stabilizes at 1.2, also around call number 10.</w:t>
      </w:r>
    </w:p>
    <w:p w:rsidR="00783A74" w:rsidRDefault="00783A74" w:rsidP="00AE30CB">
      <w:pPr>
        <w:pStyle w:val="ListParagraph"/>
        <w:spacing w:line="360" w:lineRule="auto"/>
        <w:ind w:left="0"/>
        <w:rPr>
          <w:rFonts w:ascii="Times New Roman" w:hAnsi="Times New Roman"/>
          <w:sz w:val="24"/>
        </w:rPr>
      </w:pPr>
    </w:p>
    <w:p w:rsidR="008B1E40" w:rsidRDefault="00783A74" w:rsidP="00AE30CB">
      <w:pPr>
        <w:pStyle w:val="ListParagraph"/>
        <w:spacing w:line="360" w:lineRule="auto"/>
        <w:ind w:left="0"/>
        <w:rPr>
          <w:rFonts w:ascii="Times New Roman" w:hAnsi="Times New Roman"/>
          <w:sz w:val="24"/>
        </w:rPr>
      </w:pPr>
      <w:r>
        <w:rPr>
          <w:rFonts w:ascii="Times New Roman" w:hAnsi="Times New Roman"/>
          <w:sz w:val="24"/>
        </w:rPr>
        <w:t xml:space="preserve">Monitoring several of these indicators </w:t>
      </w:r>
      <w:r w:rsidRPr="00451340">
        <w:rPr>
          <w:rFonts w:ascii="Times New Roman" w:hAnsi="Times New Roman"/>
          <w:sz w:val="24"/>
        </w:rPr>
        <w:t>allows us guidance on minimum levels of effort that are required to yield stable results within the first phase of data collection.</w:t>
      </w:r>
    </w:p>
    <w:p w:rsidR="008B1E40" w:rsidRPr="00451340" w:rsidRDefault="008B1E40" w:rsidP="00AE30CB">
      <w:pPr>
        <w:pStyle w:val="ListParagraph"/>
        <w:spacing w:line="360" w:lineRule="auto"/>
        <w:ind w:left="0"/>
        <w:rPr>
          <w:rFonts w:ascii="Times New Roman" w:hAnsi="Times New Roman"/>
          <w:sz w:val="24"/>
        </w:rPr>
      </w:pPr>
    </w:p>
    <w:p w:rsidR="008B1E40" w:rsidRPr="00451340" w:rsidRDefault="00460E99" w:rsidP="008B1E40">
      <w:pPr>
        <w:pStyle w:val="ListParagraph"/>
        <w:ind w:left="0"/>
        <w:rPr>
          <w:rFonts w:ascii="Times New Roman" w:hAnsi="Times New Roman"/>
          <w:sz w:val="24"/>
        </w:rPr>
      </w:pPr>
      <w:r>
        <w:rPr>
          <w:rFonts w:ascii="Times New Roman" w:hAnsi="Times New Roman"/>
          <w:sz w:val="24"/>
        </w:rPr>
        <w:t>Figure 6. Two Key Statistics b</w:t>
      </w:r>
      <w:r w:rsidR="005C4A30">
        <w:rPr>
          <w:rFonts w:ascii="Times New Roman" w:hAnsi="Times New Roman"/>
          <w:sz w:val="24"/>
        </w:rPr>
        <w:t>y</w:t>
      </w:r>
      <w:r>
        <w:rPr>
          <w:rFonts w:ascii="Times New Roman" w:hAnsi="Times New Roman"/>
          <w:sz w:val="24"/>
        </w:rPr>
        <w:t xml:space="preserve"> Call Number (Q1-</w:t>
      </w:r>
      <w:r w:rsidR="00F560AA">
        <w:rPr>
          <w:rFonts w:ascii="Times New Roman" w:hAnsi="Times New Roman"/>
          <w:sz w:val="24"/>
        </w:rPr>
        <w:t>Q24</w:t>
      </w:r>
      <w:r>
        <w:rPr>
          <w:rFonts w:ascii="Times New Roman" w:hAnsi="Times New Roman"/>
          <w:sz w:val="24"/>
        </w:rPr>
        <w:t>)</w:t>
      </w:r>
    </w:p>
    <w:p w:rsidR="004F400D" w:rsidRDefault="000C4EC8" w:rsidP="008B1E40">
      <w:pPr>
        <w:pStyle w:val="ListParagraph"/>
        <w:ind w:left="0"/>
        <w:rPr>
          <w:rFonts w:ascii="Times New Roman" w:hAnsi="Times New Roman"/>
          <w:b/>
          <w:sz w:val="24"/>
        </w:rPr>
      </w:pPr>
      <w:r>
        <w:rPr>
          <w:rFonts w:ascii="Times New Roman" w:hAnsi="Times New Roman"/>
          <w:b/>
          <w:noProof/>
          <w:sz w:val="24"/>
        </w:rPr>
        <w:drawing>
          <wp:inline distT="0" distB="0" distL="0" distR="0" wp14:anchorId="08F61C53" wp14:editId="64A94B81">
            <wp:extent cx="6068060" cy="44056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8060" cy="4405630"/>
                    </a:xfrm>
                    <a:prstGeom prst="rect">
                      <a:avLst/>
                    </a:prstGeom>
                    <a:noFill/>
                  </pic:spPr>
                </pic:pic>
              </a:graphicData>
            </a:graphic>
          </wp:inline>
        </w:drawing>
      </w:r>
    </w:p>
    <w:p w:rsidR="004F400D" w:rsidRDefault="004F400D" w:rsidP="008B1E40">
      <w:pPr>
        <w:pStyle w:val="ListParagraph"/>
        <w:ind w:left="0"/>
        <w:rPr>
          <w:rFonts w:ascii="Times New Roman" w:hAnsi="Times New Roman"/>
          <w:b/>
          <w:sz w:val="24"/>
        </w:rPr>
      </w:pPr>
    </w:p>
    <w:p w:rsidR="004F400D" w:rsidRDefault="004F400D" w:rsidP="008B1E40">
      <w:pPr>
        <w:pStyle w:val="ListParagraph"/>
        <w:ind w:left="0"/>
        <w:rPr>
          <w:rFonts w:ascii="Times New Roman" w:hAnsi="Times New Roman"/>
          <w:b/>
          <w:sz w:val="24"/>
        </w:rPr>
      </w:pPr>
    </w:p>
    <w:p w:rsidR="008B1E40" w:rsidRPr="00451340" w:rsidRDefault="008B1E40" w:rsidP="00660842">
      <w:pPr>
        <w:pStyle w:val="ListParagraph"/>
        <w:numPr>
          <w:ilvl w:val="0"/>
          <w:numId w:val="37"/>
        </w:numPr>
        <w:rPr>
          <w:rFonts w:ascii="Times New Roman" w:hAnsi="Times New Roman"/>
          <w:b/>
          <w:sz w:val="24"/>
        </w:rPr>
      </w:pPr>
      <w:r w:rsidRPr="00451340">
        <w:rPr>
          <w:rFonts w:ascii="Times New Roman" w:hAnsi="Times New Roman"/>
          <w:b/>
          <w:sz w:val="24"/>
        </w:rPr>
        <w:t xml:space="preserve">Daily Monitoring of Response Rates for Main Interviews </w:t>
      </w:r>
      <w:r w:rsidR="00176C70">
        <w:rPr>
          <w:rFonts w:ascii="Times New Roman" w:hAnsi="Times New Roman"/>
          <w:b/>
          <w:sz w:val="24"/>
        </w:rPr>
        <w:t>a</w:t>
      </w:r>
      <w:r w:rsidRPr="00451340">
        <w:rPr>
          <w:rFonts w:ascii="Times New Roman" w:hAnsi="Times New Roman"/>
          <w:b/>
          <w:sz w:val="24"/>
        </w:rPr>
        <w:t>cross 12 Socio-Demographic Groups</w:t>
      </w:r>
    </w:p>
    <w:p w:rsidR="008B1E40" w:rsidRPr="00451340" w:rsidRDefault="008B1E40" w:rsidP="008B1E40">
      <w:pPr>
        <w:pStyle w:val="ListParagraph"/>
        <w:rPr>
          <w:rFonts w:ascii="Times New Roman" w:hAnsi="Times New Roman"/>
          <w:sz w:val="24"/>
        </w:rPr>
      </w:pPr>
    </w:p>
    <w:p w:rsidR="008B1E40" w:rsidRDefault="008B1E40" w:rsidP="00AE30CB">
      <w:pPr>
        <w:pStyle w:val="ListParagraph"/>
        <w:spacing w:line="360" w:lineRule="auto"/>
        <w:ind w:left="0"/>
        <w:rPr>
          <w:rFonts w:ascii="Times New Roman" w:hAnsi="Times New Roman"/>
          <w:sz w:val="24"/>
        </w:rPr>
      </w:pPr>
      <w:r w:rsidRPr="00451340">
        <w:rPr>
          <w:rFonts w:ascii="Times New Roman" w:hAnsi="Times New Roman"/>
          <w:sz w:val="24"/>
        </w:rPr>
        <w:t xml:space="preserve">We compute response rates of main interviews (conditional on obtaining a screener interview) daily for 12 socio-demographic subgroups that are domains of the sample design and important subclasses in much of family demography (i.e., 12 age by gender by race/ethnicity groups).  We estimate the coefficient of variation of these response rates daily, in an attempt to reduce </w:t>
      </w:r>
      <w:r w:rsidRPr="009B39D6">
        <w:rPr>
          <w:rFonts w:ascii="Times New Roman" w:hAnsi="Times New Roman"/>
          <w:sz w:val="24"/>
        </w:rPr>
        <w:t xml:space="preserve">that </w:t>
      </w:r>
      <w:r w:rsidR="002E0FAF" w:rsidRPr="009B39D6">
        <w:rPr>
          <w:rFonts w:ascii="Times New Roman" w:hAnsi="Times New Roman"/>
          <w:sz w:val="24"/>
        </w:rPr>
        <w:t>variation in response rates</w:t>
      </w:r>
      <w:r w:rsidR="002E0FAF">
        <w:rPr>
          <w:rFonts w:ascii="Times New Roman" w:hAnsi="Times New Roman"/>
          <w:sz w:val="24"/>
        </w:rPr>
        <w:t xml:space="preserve"> </w:t>
      </w:r>
      <w:r w:rsidRPr="00451340">
        <w:rPr>
          <w:rFonts w:ascii="Times New Roman" w:hAnsi="Times New Roman"/>
          <w:sz w:val="24"/>
        </w:rPr>
        <w:t>as much as possible.  When the response rates are constant across these subgroups, then we have controlled one source of nonresponse bias on many NSFG national full population estimates (that bias due to true differences across the subgroups).</w:t>
      </w:r>
    </w:p>
    <w:p w:rsidR="009A6585" w:rsidRPr="00451340" w:rsidRDefault="009A6585" w:rsidP="00AE30CB">
      <w:pPr>
        <w:pStyle w:val="ListParagraph"/>
        <w:spacing w:line="360" w:lineRule="auto"/>
        <w:ind w:left="0"/>
        <w:rPr>
          <w:rFonts w:ascii="Times New Roman" w:hAnsi="Times New Roman"/>
          <w:sz w:val="24"/>
        </w:rPr>
      </w:pPr>
      <w:r>
        <w:rPr>
          <w:rFonts w:ascii="Times New Roman" w:hAnsi="Times New Roman"/>
          <w:sz w:val="24"/>
        </w:rPr>
        <w:t>In addition to monitoring these demographic subgroups, we also monitor differences in response rates based upon information obtained during the screening interview. We monitor differences in response rates between those sampled persons in households with children and without children. Further, our interviews estimate whether the sampled person is in an active sexual relationship with a person of the opposite sex. We monitor response rates for those judged to be in such a relationship and those judged not to be in such a relationship.</w:t>
      </w:r>
      <w:r w:rsidR="008227CB">
        <w:rPr>
          <w:rFonts w:ascii="Times New Roman" w:hAnsi="Times New Roman"/>
          <w:sz w:val="24"/>
        </w:rPr>
        <w:t xml:space="preserve">  We intervene if we see imbalances in the response rates across key subgroups or other indicators.  These interventions are described in more detail below.</w:t>
      </w:r>
      <w:r w:rsidR="007A3C2F">
        <w:rPr>
          <w:rFonts w:ascii="Times New Roman" w:hAnsi="Times New Roman"/>
          <w:sz w:val="24"/>
        </w:rPr>
        <w:t xml:space="preserve"> We recently published a paper demonstrating that correcting these imbalances on observed variables tends to reduce the nonresponse bias of adjusted estimates from the survey data (Schouten, et al., 2016).</w:t>
      </w:r>
    </w:p>
    <w:p w:rsidR="002E7017" w:rsidRDefault="002E7017" w:rsidP="00AE30CB">
      <w:pPr>
        <w:pStyle w:val="ListParagraph"/>
        <w:spacing w:line="360" w:lineRule="auto"/>
        <w:ind w:left="0"/>
        <w:rPr>
          <w:rFonts w:ascii="Times New Roman" w:hAnsi="Times New Roman"/>
          <w:sz w:val="24"/>
        </w:rPr>
      </w:pPr>
    </w:p>
    <w:p w:rsidR="002E7017" w:rsidRPr="00451340" w:rsidRDefault="002E7017" w:rsidP="00660842">
      <w:pPr>
        <w:pStyle w:val="ListParagraph"/>
        <w:numPr>
          <w:ilvl w:val="0"/>
          <w:numId w:val="37"/>
        </w:numPr>
        <w:spacing w:line="360" w:lineRule="auto"/>
        <w:rPr>
          <w:rFonts w:ascii="Times New Roman" w:hAnsi="Times New Roman"/>
          <w:b/>
          <w:sz w:val="24"/>
        </w:rPr>
      </w:pPr>
      <w:r w:rsidRPr="00451340">
        <w:rPr>
          <w:rFonts w:ascii="Times New Roman" w:hAnsi="Times New Roman"/>
          <w:b/>
          <w:sz w:val="24"/>
        </w:rPr>
        <w:t xml:space="preserve">Responsive Design Interventions on Key Auxiliary Variables </w:t>
      </w:r>
      <w:r w:rsidR="008C1177">
        <w:rPr>
          <w:rFonts w:ascii="Times New Roman" w:hAnsi="Times New Roman"/>
          <w:b/>
          <w:sz w:val="24"/>
        </w:rPr>
        <w:t>d</w:t>
      </w:r>
      <w:r w:rsidRPr="00451340">
        <w:rPr>
          <w:rFonts w:ascii="Times New Roman" w:hAnsi="Times New Roman"/>
          <w:b/>
          <w:sz w:val="24"/>
        </w:rPr>
        <w:t>uring Data Collection</w:t>
      </w:r>
    </w:p>
    <w:p w:rsidR="002E7017" w:rsidRDefault="002E7017" w:rsidP="00AE30CB">
      <w:pPr>
        <w:pStyle w:val="ListParagraph"/>
        <w:spacing w:line="360" w:lineRule="auto"/>
        <w:ind w:left="0"/>
        <w:rPr>
          <w:rFonts w:ascii="Times New Roman" w:hAnsi="Times New Roman"/>
          <w:sz w:val="24"/>
        </w:rPr>
      </w:pPr>
    </w:p>
    <w:p w:rsidR="002E7017" w:rsidRDefault="002E7017" w:rsidP="00AE30CB">
      <w:pPr>
        <w:pStyle w:val="ListParagraph"/>
        <w:spacing w:line="360" w:lineRule="auto"/>
        <w:ind w:left="0"/>
        <w:rPr>
          <w:rFonts w:ascii="Times New Roman" w:hAnsi="Times New Roman"/>
          <w:sz w:val="24"/>
        </w:rPr>
      </w:pPr>
      <w:r w:rsidRPr="00451340">
        <w:rPr>
          <w:rFonts w:ascii="Times New Roman" w:hAnsi="Times New Roman"/>
          <w:sz w:val="24"/>
        </w:rPr>
        <w:t xml:space="preserve">We have conducted a variety of interventions </w:t>
      </w:r>
      <w:r w:rsidR="00551919">
        <w:rPr>
          <w:rFonts w:ascii="Times New Roman" w:hAnsi="Times New Roman"/>
          <w:sz w:val="24"/>
        </w:rPr>
        <w:t>aimed at correcting</w:t>
      </w:r>
      <w:r w:rsidRPr="00451340">
        <w:rPr>
          <w:rFonts w:ascii="Times New Roman" w:hAnsi="Times New Roman"/>
          <w:sz w:val="24"/>
        </w:rPr>
        <w:t xml:space="preserve"> imbalances in the current respondent pool on key auxiliary variables. </w:t>
      </w:r>
      <w:r>
        <w:rPr>
          <w:rFonts w:ascii="Times New Roman" w:hAnsi="Times New Roman"/>
          <w:sz w:val="24"/>
        </w:rPr>
        <w:t xml:space="preserve"> One example intervention</w:t>
      </w:r>
      <w:r w:rsidR="00FD0630">
        <w:rPr>
          <w:rFonts w:ascii="Times New Roman" w:hAnsi="Times New Roman"/>
          <w:sz w:val="24"/>
        </w:rPr>
        <w:t xml:space="preserve"> from </w:t>
      </w:r>
      <w:r w:rsidR="00FF6ABC">
        <w:rPr>
          <w:rFonts w:ascii="Times New Roman" w:hAnsi="Times New Roman"/>
          <w:sz w:val="24"/>
        </w:rPr>
        <w:t>Q20</w:t>
      </w:r>
      <w:r w:rsidR="00FD0630">
        <w:rPr>
          <w:rFonts w:ascii="Times New Roman" w:hAnsi="Times New Roman"/>
          <w:sz w:val="24"/>
        </w:rPr>
        <w:t xml:space="preserve"> of </w:t>
      </w:r>
      <w:r w:rsidR="00275DC9">
        <w:rPr>
          <w:rFonts w:ascii="Times New Roman" w:hAnsi="Times New Roman"/>
          <w:sz w:val="24"/>
        </w:rPr>
        <w:t xml:space="preserve">the Continuous </w:t>
      </w:r>
      <w:r w:rsidR="00FF6ABC">
        <w:rPr>
          <w:rFonts w:ascii="Times New Roman" w:hAnsi="Times New Roman"/>
          <w:sz w:val="24"/>
        </w:rPr>
        <w:t>N</w:t>
      </w:r>
      <w:r w:rsidR="00FD0630">
        <w:rPr>
          <w:rFonts w:ascii="Times New Roman" w:hAnsi="Times New Roman"/>
          <w:sz w:val="24"/>
        </w:rPr>
        <w:t xml:space="preserve">SFG </w:t>
      </w:r>
      <w:r>
        <w:rPr>
          <w:rFonts w:ascii="Times New Roman" w:hAnsi="Times New Roman"/>
          <w:sz w:val="24"/>
        </w:rPr>
        <w:t>is shown in the graph below.  Here Hispanic male adults 20-44 (based on screener data</w:t>
      </w:r>
      <w:r w:rsidR="002E0FAF">
        <w:rPr>
          <w:rFonts w:ascii="Times New Roman" w:hAnsi="Times New Roman"/>
          <w:sz w:val="24"/>
        </w:rPr>
        <w:t xml:space="preserve">; </w:t>
      </w:r>
      <w:r w:rsidR="002E0FAF" w:rsidRPr="00C80CE6">
        <w:rPr>
          <w:rFonts w:ascii="Times New Roman" w:hAnsi="Times New Roman"/>
          <w:sz w:val="24"/>
        </w:rPr>
        <w:t xml:space="preserve">see the lowest </w:t>
      </w:r>
      <w:r w:rsidR="00C80CE6" w:rsidRPr="00C80CE6">
        <w:rPr>
          <w:rFonts w:ascii="Times New Roman" w:hAnsi="Times New Roman"/>
          <w:sz w:val="24"/>
        </w:rPr>
        <w:t xml:space="preserve">yellow </w:t>
      </w:r>
      <w:r w:rsidR="002E0FAF" w:rsidRPr="00C80CE6">
        <w:rPr>
          <w:rFonts w:ascii="Times New Roman" w:hAnsi="Times New Roman"/>
          <w:sz w:val="24"/>
        </w:rPr>
        <w:t>line</w:t>
      </w:r>
      <w:r>
        <w:rPr>
          <w:rFonts w:ascii="Times New Roman" w:hAnsi="Times New Roman"/>
          <w:sz w:val="24"/>
        </w:rPr>
        <w:t xml:space="preserve">) were judged to have lower response rates than the other groups at the time of the intervention (day 43 of the quarter).  The intervention (shown in the red box) targeted this group for extra effort, bringing the response rate more in line with the other key demographic groups of importance to NSFG. </w:t>
      </w:r>
    </w:p>
    <w:p w:rsidR="00FF6ABC" w:rsidRDefault="00FF6ABC" w:rsidP="00AE30CB">
      <w:pPr>
        <w:pStyle w:val="ListParagraph"/>
        <w:spacing w:line="360" w:lineRule="auto"/>
        <w:ind w:left="0"/>
        <w:rPr>
          <w:rFonts w:ascii="Times New Roman" w:hAnsi="Times New Roman"/>
          <w:sz w:val="24"/>
        </w:rPr>
      </w:pPr>
    </w:p>
    <w:p w:rsidR="002E0FAF" w:rsidRDefault="000B013A" w:rsidP="00FF6ABC">
      <w:pPr>
        <w:pStyle w:val="ListParagraph"/>
        <w:spacing w:after="0" w:line="240" w:lineRule="auto"/>
        <w:ind w:left="0"/>
        <w:rPr>
          <w:rFonts w:ascii="Times New Roman" w:hAnsi="Times New Roman"/>
          <w:sz w:val="24"/>
        </w:rPr>
      </w:pPr>
      <w:r>
        <w:rPr>
          <w:rFonts w:ascii="Times New Roman" w:hAnsi="Times New Roman"/>
          <w:sz w:val="24"/>
        </w:rPr>
        <w:br w:type="page"/>
      </w:r>
      <w:r w:rsidR="00FF6ABC">
        <w:rPr>
          <w:rFonts w:ascii="Times New Roman" w:hAnsi="Times New Roman"/>
          <w:sz w:val="24"/>
        </w:rPr>
        <w:t>Figure 7. Daily Subgroup Response Rates with Intervention Period Highlighted</w:t>
      </w:r>
    </w:p>
    <w:p w:rsidR="00FF6ABC" w:rsidRDefault="000C4EC8" w:rsidP="00AE30CB">
      <w:pPr>
        <w:pStyle w:val="ListParagraph"/>
        <w:spacing w:line="360" w:lineRule="auto"/>
        <w:ind w:left="0"/>
        <w:rPr>
          <w:rFonts w:ascii="Times New Roman" w:hAnsi="Times New Roman"/>
          <w:sz w:val="24"/>
        </w:rPr>
      </w:pPr>
      <w:r>
        <w:rPr>
          <w:rFonts w:ascii="Times New Roman" w:hAnsi="Times New Roman"/>
          <w:noProof/>
          <w:sz w:val="24"/>
        </w:rPr>
        <w:drawing>
          <wp:inline distT="0" distB="0" distL="0" distR="0" wp14:anchorId="4DC28C46" wp14:editId="3B8C2F4C">
            <wp:extent cx="5581650" cy="3800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b="11702"/>
                    <a:stretch>
                      <a:fillRect/>
                    </a:stretch>
                  </pic:blipFill>
                  <pic:spPr bwMode="auto">
                    <a:xfrm>
                      <a:off x="0" y="0"/>
                      <a:ext cx="5581650" cy="3800475"/>
                    </a:xfrm>
                    <a:prstGeom prst="rect">
                      <a:avLst/>
                    </a:prstGeom>
                    <a:noFill/>
                    <a:ln>
                      <a:noFill/>
                    </a:ln>
                  </pic:spPr>
                </pic:pic>
              </a:graphicData>
            </a:graphic>
          </wp:inline>
        </w:drawing>
      </w:r>
    </w:p>
    <w:p w:rsidR="006A0FE8" w:rsidRDefault="006A0FE8" w:rsidP="00AE30CB">
      <w:pPr>
        <w:pStyle w:val="ListParagraph"/>
        <w:spacing w:line="360" w:lineRule="auto"/>
        <w:ind w:left="0"/>
        <w:rPr>
          <w:rFonts w:ascii="Times New Roman" w:hAnsi="Times New Roman"/>
          <w:sz w:val="24"/>
        </w:rPr>
      </w:pPr>
      <w:r>
        <w:rPr>
          <w:rFonts w:ascii="Times New Roman" w:hAnsi="Times New Roman"/>
          <w:sz w:val="24"/>
        </w:rPr>
        <w:t xml:space="preserve">These interventions have been based on a variety of indicators available to us and monitored during the field period.  Some examples of intervention targets include </w:t>
      </w:r>
      <w:r w:rsidRPr="009B39D6">
        <w:rPr>
          <w:rFonts w:ascii="Times New Roman" w:hAnsi="Times New Roman"/>
          <w:sz w:val="24"/>
        </w:rPr>
        <w:t xml:space="preserve">cases </w:t>
      </w:r>
      <w:r w:rsidR="00C80CE6" w:rsidRPr="009B39D6">
        <w:rPr>
          <w:rFonts w:ascii="Times New Roman" w:hAnsi="Times New Roman"/>
          <w:sz w:val="24"/>
        </w:rPr>
        <w:t xml:space="preserve">with addresses </w:t>
      </w:r>
      <w:r w:rsidRPr="009B39D6">
        <w:rPr>
          <w:rFonts w:ascii="Times New Roman" w:hAnsi="Times New Roman"/>
          <w:sz w:val="24"/>
        </w:rPr>
        <w:t>matched</w:t>
      </w:r>
      <w:r w:rsidR="002E0FAF">
        <w:rPr>
          <w:rFonts w:ascii="Times New Roman" w:hAnsi="Times New Roman"/>
          <w:sz w:val="24"/>
        </w:rPr>
        <w:t xml:space="preserve"> </w:t>
      </w:r>
      <w:r>
        <w:rPr>
          <w:rFonts w:ascii="Times New Roman" w:hAnsi="Times New Roman"/>
          <w:sz w:val="24"/>
        </w:rPr>
        <w:t xml:space="preserve">to an external database to identify households containing potentially eligible (or ineligible) persons; </w:t>
      </w:r>
      <w:r w:rsidR="002E0FAF" w:rsidRPr="009B39D6">
        <w:rPr>
          <w:rFonts w:ascii="Times New Roman" w:hAnsi="Times New Roman"/>
          <w:sz w:val="24"/>
        </w:rPr>
        <w:t xml:space="preserve">screener </w:t>
      </w:r>
      <w:r>
        <w:rPr>
          <w:rFonts w:ascii="Times New Roman" w:hAnsi="Times New Roman"/>
          <w:sz w:val="24"/>
        </w:rPr>
        <w:t xml:space="preserve">cases with high predicted probability of eligibility, based on paradata; cases with high base weights; cases with high (or low) predicted probability of response; </w:t>
      </w:r>
      <w:r w:rsidR="00C80CE6">
        <w:rPr>
          <w:rFonts w:ascii="Times New Roman" w:hAnsi="Times New Roman"/>
          <w:sz w:val="24"/>
        </w:rPr>
        <w:t xml:space="preserve">and </w:t>
      </w:r>
      <w:r>
        <w:rPr>
          <w:rFonts w:ascii="Times New Roman" w:hAnsi="Times New Roman"/>
          <w:sz w:val="24"/>
        </w:rPr>
        <w:t>households with (or without) children, based on screener data</w:t>
      </w:r>
      <w:r w:rsidR="00C80CE6">
        <w:rPr>
          <w:rFonts w:ascii="Times New Roman" w:hAnsi="Times New Roman"/>
          <w:sz w:val="24"/>
        </w:rPr>
        <w:t>.</w:t>
      </w:r>
      <w:r w:rsidR="008940B1">
        <w:rPr>
          <w:rFonts w:ascii="Times New Roman" w:hAnsi="Times New Roman"/>
          <w:sz w:val="24"/>
        </w:rPr>
        <w:t xml:space="preserve"> </w:t>
      </w:r>
      <w:r w:rsidR="00277676">
        <w:rPr>
          <w:rFonts w:ascii="Times New Roman" w:hAnsi="Times New Roman"/>
          <w:sz w:val="24"/>
        </w:rPr>
        <w:t xml:space="preserve"> </w:t>
      </w:r>
      <w:r w:rsidR="008940B1">
        <w:rPr>
          <w:rFonts w:ascii="Times New Roman" w:hAnsi="Times New Roman"/>
          <w:sz w:val="24"/>
        </w:rPr>
        <w:t>Finally, we have experimented with prioritizing cases that are predicted to be influential on key estimates (Wagner, 2014).</w:t>
      </w:r>
      <w:r w:rsidR="00277676">
        <w:rPr>
          <w:rFonts w:ascii="Times New Roman" w:hAnsi="Times New Roman"/>
          <w:sz w:val="24"/>
        </w:rPr>
        <w:t xml:space="preserve"> </w:t>
      </w:r>
      <w:r w:rsidR="008940B1">
        <w:rPr>
          <w:rFonts w:ascii="Times New Roman" w:hAnsi="Times New Roman"/>
          <w:sz w:val="24"/>
        </w:rPr>
        <w:t xml:space="preserve"> </w:t>
      </w:r>
      <w:r w:rsidR="00E90891">
        <w:rPr>
          <w:rFonts w:ascii="Times New Roman" w:hAnsi="Times New Roman"/>
          <w:sz w:val="24"/>
        </w:rPr>
        <w:t xml:space="preserve">For all these interventions, our work in </w:t>
      </w:r>
      <w:r w:rsidR="00275DC9">
        <w:rPr>
          <w:rFonts w:ascii="Times New Roman" w:hAnsi="Times New Roman"/>
          <w:sz w:val="24"/>
        </w:rPr>
        <w:t xml:space="preserve">the </w:t>
      </w:r>
      <w:r w:rsidR="00E90891">
        <w:rPr>
          <w:rFonts w:ascii="Times New Roman" w:hAnsi="Times New Roman"/>
          <w:sz w:val="24"/>
        </w:rPr>
        <w:t>2006-2010 NSFG demonstrated with</w:t>
      </w:r>
      <w:r w:rsidR="008940B1">
        <w:rPr>
          <w:rFonts w:ascii="Times New Roman" w:hAnsi="Times New Roman"/>
          <w:sz w:val="24"/>
        </w:rPr>
        <w:t xml:space="preserve"> experimental evidence that these types of interventions will lead to increased interviewer effort on the prioritized cases, and this increased effort will frequently lead to increases in response rates</w:t>
      </w:r>
      <w:r w:rsidR="00277676">
        <w:rPr>
          <w:rFonts w:ascii="Times New Roman" w:hAnsi="Times New Roman"/>
          <w:sz w:val="24"/>
        </w:rPr>
        <w:t xml:space="preserve"> </w:t>
      </w:r>
      <w:r w:rsidR="00FD0630">
        <w:rPr>
          <w:rFonts w:ascii="Times New Roman" w:hAnsi="Times New Roman"/>
          <w:sz w:val="24"/>
        </w:rPr>
        <w:t>for the targeted groups</w:t>
      </w:r>
      <w:r w:rsidR="00065509">
        <w:rPr>
          <w:rFonts w:ascii="Times New Roman" w:hAnsi="Times New Roman"/>
          <w:sz w:val="24"/>
        </w:rPr>
        <w:t xml:space="preserve"> </w:t>
      </w:r>
      <w:r w:rsidR="008940B1">
        <w:rPr>
          <w:rFonts w:ascii="Times New Roman" w:hAnsi="Times New Roman"/>
          <w:sz w:val="24"/>
        </w:rPr>
        <w:t>(Wagner, et al., 2012).</w:t>
      </w:r>
      <w:r w:rsidR="00603217">
        <w:rPr>
          <w:rFonts w:ascii="Times New Roman" w:hAnsi="Times New Roman"/>
          <w:sz w:val="24"/>
        </w:rPr>
        <w:t xml:space="preserve"> The following table shows the subgroup response rates for various demographic subgroups from the first </w:t>
      </w:r>
      <w:r w:rsidR="002D263B">
        <w:rPr>
          <w:rFonts w:ascii="Times New Roman" w:hAnsi="Times New Roman"/>
          <w:sz w:val="24"/>
        </w:rPr>
        <w:t xml:space="preserve">24 </w:t>
      </w:r>
      <w:r w:rsidR="00603217">
        <w:rPr>
          <w:rFonts w:ascii="Times New Roman" w:hAnsi="Times New Roman"/>
          <w:sz w:val="24"/>
        </w:rPr>
        <w:t>quarters of data collection.</w:t>
      </w:r>
    </w:p>
    <w:p w:rsidR="005C4A30" w:rsidRDefault="005C4A30" w:rsidP="00AE30CB">
      <w:pPr>
        <w:pStyle w:val="ListParagraph"/>
        <w:spacing w:line="360" w:lineRule="auto"/>
        <w:ind w:left="0"/>
        <w:rPr>
          <w:rFonts w:ascii="Times New Roman" w:hAnsi="Times New Roman"/>
          <w:sz w:val="24"/>
        </w:rPr>
      </w:pPr>
    </w:p>
    <w:p w:rsidR="00603217" w:rsidRDefault="000B013A" w:rsidP="00AE30CB">
      <w:pPr>
        <w:pStyle w:val="ListParagraph"/>
        <w:spacing w:line="360" w:lineRule="auto"/>
        <w:ind w:left="0"/>
        <w:rPr>
          <w:rFonts w:ascii="Times New Roman" w:hAnsi="Times New Roman"/>
          <w:sz w:val="24"/>
        </w:rPr>
      </w:pPr>
      <w:r>
        <w:rPr>
          <w:rFonts w:ascii="Times New Roman" w:hAnsi="Times New Roman"/>
          <w:sz w:val="24"/>
        </w:rPr>
        <w:br w:type="page"/>
      </w:r>
      <w:r w:rsidR="00603217">
        <w:rPr>
          <w:rFonts w:ascii="Times New Roman" w:hAnsi="Times New Roman"/>
          <w:sz w:val="24"/>
        </w:rPr>
        <w:t xml:space="preserve">Table </w:t>
      </w:r>
      <w:r w:rsidR="00F11067">
        <w:rPr>
          <w:rFonts w:ascii="Times New Roman" w:hAnsi="Times New Roman"/>
          <w:sz w:val="24"/>
        </w:rPr>
        <w:t>1</w:t>
      </w:r>
      <w:r w:rsidR="00603217">
        <w:rPr>
          <w:rFonts w:ascii="Times New Roman" w:hAnsi="Times New Roman"/>
          <w:sz w:val="24"/>
        </w:rPr>
        <w:t>. Subgroup Response Rates for Q1-</w:t>
      </w:r>
      <w:r w:rsidR="002D263B">
        <w:rPr>
          <w:rFonts w:ascii="Times New Roman" w:hAnsi="Times New Roman"/>
          <w:sz w:val="24"/>
        </w:rPr>
        <w:t>Q24</w:t>
      </w:r>
    </w:p>
    <w:tbl>
      <w:tblPr>
        <w:tblW w:w="7338" w:type="dxa"/>
        <w:tblBorders>
          <w:top w:val="single" w:sz="12" w:space="0" w:color="000000"/>
          <w:bottom w:val="single" w:sz="12" w:space="0" w:color="000000"/>
        </w:tblBorders>
        <w:tblLayout w:type="fixed"/>
        <w:tblLook w:val="0620" w:firstRow="1" w:lastRow="0" w:firstColumn="0" w:lastColumn="0" w:noHBand="1" w:noVBand="1"/>
      </w:tblPr>
      <w:tblGrid>
        <w:gridCol w:w="1951"/>
        <w:gridCol w:w="2126"/>
        <w:gridCol w:w="3261"/>
      </w:tblGrid>
      <w:tr w:rsidR="00603217" w:rsidRPr="00BC301C" w:rsidTr="00F11067">
        <w:trPr>
          <w:trHeight w:val="57"/>
        </w:trPr>
        <w:tc>
          <w:tcPr>
            <w:tcW w:w="1951" w:type="dxa"/>
            <w:tcBorders>
              <w:bottom w:val="single" w:sz="6" w:space="0" w:color="000000"/>
            </w:tcBorders>
            <w:shd w:val="clear" w:color="auto" w:fill="auto"/>
            <w:hideMark/>
          </w:tcPr>
          <w:p w:rsidR="00D71FD6" w:rsidRPr="00BC301C" w:rsidRDefault="00603217" w:rsidP="00BC301C">
            <w:pPr>
              <w:pStyle w:val="ListParagraph"/>
              <w:spacing w:after="0" w:line="240" w:lineRule="auto"/>
              <w:contextualSpacing w:val="0"/>
              <w:rPr>
                <w:rFonts w:ascii="Times New Roman" w:hAnsi="Times New Roman"/>
                <w:i/>
                <w:iCs/>
              </w:rPr>
            </w:pPr>
            <w:r w:rsidRPr="00BC301C">
              <w:rPr>
                <w:rFonts w:ascii="Times New Roman" w:hAnsi="Times New Roman"/>
                <w:i/>
                <w:iCs/>
              </w:rPr>
              <w:t> </w:t>
            </w:r>
          </w:p>
        </w:tc>
        <w:tc>
          <w:tcPr>
            <w:tcW w:w="2126" w:type="dxa"/>
            <w:tcBorders>
              <w:bottom w:val="single" w:sz="6" w:space="0" w:color="000000"/>
            </w:tcBorders>
            <w:shd w:val="clear" w:color="auto" w:fill="auto"/>
            <w:vAlign w:val="bottom"/>
            <w:hideMark/>
          </w:tcPr>
          <w:p w:rsidR="00D71FD6" w:rsidRPr="00F11067" w:rsidRDefault="00603217" w:rsidP="00F11067">
            <w:pPr>
              <w:pStyle w:val="ListParagraph"/>
              <w:spacing w:after="0" w:line="240" w:lineRule="auto"/>
              <w:contextualSpacing w:val="0"/>
              <w:rPr>
                <w:rFonts w:ascii="Times New Roman" w:hAnsi="Times New Roman"/>
                <w:iCs/>
              </w:rPr>
            </w:pPr>
            <w:r w:rsidRPr="00F11067">
              <w:rPr>
                <w:rFonts w:ascii="Times New Roman" w:hAnsi="Times New Roman"/>
                <w:b/>
                <w:bCs/>
                <w:iCs/>
              </w:rPr>
              <w:t>Interviews</w:t>
            </w:r>
          </w:p>
        </w:tc>
        <w:tc>
          <w:tcPr>
            <w:tcW w:w="3261" w:type="dxa"/>
            <w:tcBorders>
              <w:bottom w:val="single" w:sz="6" w:space="0" w:color="000000"/>
            </w:tcBorders>
            <w:shd w:val="clear" w:color="auto" w:fill="auto"/>
            <w:hideMark/>
          </w:tcPr>
          <w:p w:rsidR="00D71FD6" w:rsidRPr="00F11067" w:rsidRDefault="00603217" w:rsidP="00BC301C">
            <w:pPr>
              <w:pStyle w:val="ListParagraph"/>
              <w:spacing w:after="0" w:line="240" w:lineRule="auto"/>
              <w:contextualSpacing w:val="0"/>
              <w:rPr>
                <w:rFonts w:ascii="Times New Roman" w:hAnsi="Times New Roman"/>
                <w:iCs/>
              </w:rPr>
            </w:pPr>
            <w:r w:rsidRPr="00F11067">
              <w:rPr>
                <w:rFonts w:ascii="Times New Roman" w:hAnsi="Times New Roman"/>
                <w:b/>
                <w:bCs/>
                <w:iCs/>
              </w:rPr>
              <w:t>Weighted Response Rates (.95 Conf Interval)</w:t>
            </w:r>
          </w:p>
        </w:tc>
      </w:tr>
      <w:tr w:rsidR="00603217" w:rsidRPr="00BC301C" w:rsidTr="00BC301C">
        <w:trPr>
          <w:trHeight w:val="57"/>
        </w:trPr>
        <w:tc>
          <w:tcPr>
            <w:tcW w:w="1951" w:type="dxa"/>
            <w:shd w:val="clear" w:color="auto" w:fill="auto"/>
            <w:hideMark/>
          </w:tcPr>
          <w:p w:rsidR="00D71FD6" w:rsidRPr="00BC301C" w:rsidRDefault="00603217" w:rsidP="00BC301C">
            <w:pPr>
              <w:pStyle w:val="ListParagraph"/>
              <w:spacing w:after="0" w:line="240" w:lineRule="auto"/>
              <w:ind w:left="142"/>
              <w:contextualSpacing w:val="0"/>
              <w:rPr>
                <w:rFonts w:ascii="Times New Roman" w:hAnsi="Times New Roman"/>
              </w:rPr>
            </w:pPr>
            <w:r w:rsidRPr="00BC301C">
              <w:rPr>
                <w:rFonts w:ascii="Times New Roman" w:hAnsi="Times New Roman"/>
                <w:b/>
                <w:bCs/>
              </w:rPr>
              <w:t>Male</w:t>
            </w:r>
          </w:p>
        </w:tc>
        <w:tc>
          <w:tcPr>
            <w:tcW w:w="2126" w:type="dxa"/>
            <w:shd w:val="clear" w:color="auto" w:fill="auto"/>
            <w:hideMark/>
          </w:tcPr>
          <w:p w:rsidR="00D71FD6" w:rsidRPr="00BC301C" w:rsidRDefault="00603217" w:rsidP="002D263B">
            <w:pPr>
              <w:pStyle w:val="ListParagraph"/>
              <w:spacing w:after="0" w:line="240" w:lineRule="auto"/>
              <w:contextualSpacing w:val="0"/>
              <w:rPr>
                <w:rFonts w:ascii="Times New Roman" w:hAnsi="Times New Roman"/>
              </w:rPr>
            </w:pPr>
            <w:r w:rsidRPr="00BC301C">
              <w:rPr>
                <w:rFonts w:ascii="Times New Roman" w:hAnsi="Times New Roman"/>
                <w:b/>
                <w:bCs/>
              </w:rPr>
              <w:t>13</w:t>
            </w:r>
            <w:r w:rsidR="002D263B">
              <w:rPr>
                <w:rFonts w:ascii="Times New Roman" w:hAnsi="Times New Roman"/>
                <w:b/>
                <w:bCs/>
              </w:rPr>
              <w:t>861</w:t>
            </w:r>
          </w:p>
        </w:tc>
        <w:tc>
          <w:tcPr>
            <w:tcW w:w="3261" w:type="dxa"/>
            <w:shd w:val="clear" w:color="auto" w:fill="auto"/>
            <w:hideMark/>
          </w:tcPr>
          <w:p w:rsidR="00D71FD6" w:rsidRPr="000B013A" w:rsidRDefault="00603217" w:rsidP="002D263B">
            <w:pPr>
              <w:pStyle w:val="ListParagraph"/>
              <w:spacing w:after="0" w:line="240" w:lineRule="auto"/>
              <w:contextualSpacing w:val="0"/>
              <w:rPr>
                <w:rFonts w:ascii="Times New Roman" w:hAnsi="Times New Roman"/>
              </w:rPr>
            </w:pPr>
            <w:r w:rsidRPr="000B013A">
              <w:rPr>
                <w:rFonts w:ascii="Times New Roman" w:hAnsi="Times New Roman"/>
                <w:b/>
                <w:bCs/>
              </w:rPr>
              <w:t>68%</w:t>
            </w:r>
            <w:r w:rsidR="00460E99" w:rsidRPr="000B013A">
              <w:rPr>
                <w:rFonts w:ascii="Times New Roman" w:hAnsi="Times New Roman"/>
                <w:b/>
                <w:bCs/>
              </w:rPr>
              <w:t xml:space="preserve"> </w:t>
            </w:r>
            <w:r w:rsidRPr="000B013A">
              <w:rPr>
                <w:rFonts w:ascii="Times New Roman" w:hAnsi="Times New Roman"/>
                <w:b/>
                <w:bCs/>
                <w:sz w:val="18"/>
                <w:szCs w:val="18"/>
              </w:rPr>
              <w:t>(67%-6</w:t>
            </w:r>
            <w:r w:rsidR="002D263B">
              <w:rPr>
                <w:rFonts w:ascii="Times New Roman" w:hAnsi="Times New Roman"/>
                <w:b/>
                <w:bCs/>
                <w:sz w:val="18"/>
                <w:szCs w:val="18"/>
              </w:rPr>
              <w:t>8</w:t>
            </w:r>
            <w:r w:rsidRPr="000B013A">
              <w:rPr>
                <w:rFonts w:ascii="Times New Roman" w:hAnsi="Times New Roman"/>
                <w:b/>
                <w:bCs/>
                <w:sz w:val="18"/>
                <w:szCs w:val="18"/>
              </w:rPr>
              <w:t>%)</w:t>
            </w:r>
          </w:p>
        </w:tc>
      </w:tr>
      <w:tr w:rsidR="00603217" w:rsidRPr="00BC301C" w:rsidTr="00BC301C">
        <w:trPr>
          <w:trHeight w:val="57"/>
        </w:trPr>
        <w:tc>
          <w:tcPr>
            <w:tcW w:w="1951" w:type="dxa"/>
            <w:shd w:val="clear" w:color="auto" w:fill="auto"/>
            <w:hideMark/>
          </w:tcPr>
          <w:p w:rsidR="00D71FD6" w:rsidRPr="00BC301C" w:rsidRDefault="00603217" w:rsidP="00BC301C">
            <w:pPr>
              <w:pStyle w:val="ListParagraph"/>
              <w:spacing w:after="0" w:line="240" w:lineRule="auto"/>
              <w:ind w:left="426"/>
              <w:contextualSpacing w:val="0"/>
              <w:rPr>
                <w:rFonts w:ascii="Times New Roman" w:hAnsi="Times New Roman"/>
              </w:rPr>
            </w:pPr>
            <w:r w:rsidRPr="00BC301C">
              <w:rPr>
                <w:rFonts w:ascii="Times New Roman" w:hAnsi="Times New Roman"/>
              </w:rPr>
              <w:t>15-19</w:t>
            </w:r>
          </w:p>
        </w:tc>
        <w:tc>
          <w:tcPr>
            <w:tcW w:w="2126" w:type="dxa"/>
            <w:shd w:val="clear" w:color="auto" w:fill="auto"/>
            <w:hideMark/>
          </w:tcPr>
          <w:p w:rsidR="00D71FD6" w:rsidRPr="00BC301C" w:rsidRDefault="00603217" w:rsidP="002D263B">
            <w:pPr>
              <w:pStyle w:val="ListParagraph"/>
              <w:spacing w:after="0" w:line="240" w:lineRule="auto"/>
              <w:contextualSpacing w:val="0"/>
              <w:rPr>
                <w:rFonts w:ascii="Times New Roman" w:hAnsi="Times New Roman"/>
              </w:rPr>
            </w:pPr>
            <w:r w:rsidRPr="00BC301C">
              <w:rPr>
                <w:rFonts w:ascii="Times New Roman" w:hAnsi="Times New Roman"/>
              </w:rPr>
              <w:t>2</w:t>
            </w:r>
            <w:r w:rsidR="002D263B">
              <w:rPr>
                <w:rFonts w:ascii="Times New Roman" w:hAnsi="Times New Roman"/>
              </w:rPr>
              <w:t>993</w:t>
            </w:r>
          </w:p>
        </w:tc>
        <w:tc>
          <w:tcPr>
            <w:tcW w:w="3261" w:type="dxa"/>
            <w:shd w:val="clear" w:color="auto" w:fill="auto"/>
            <w:hideMark/>
          </w:tcPr>
          <w:p w:rsidR="00D71FD6" w:rsidRPr="000B013A" w:rsidRDefault="00603217" w:rsidP="002D263B">
            <w:pPr>
              <w:pStyle w:val="ListParagraph"/>
              <w:spacing w:after="0" w:line="240" w:lineRule="auto"/>
              <w:contextualSpacing w:val="0"/>
              <w:rPr>
                <w:rFonts w:ascii="Times New Roman" w:hAnsi="Times New Roman"/>
              </w:rPr>
            </w:pPr>
            <w:r w:rsidRPr="000B013A">
              <w:rPr>
                <w:rFonts w:ascii="Times New Roman" w:hAnsi="Times New Roman"/>
              </w:rPr>
              <w:t>7</w:t>
            </w:r>
            <w:r w:rsidR="002D263B">
              <w:rPr>
                <w:rFonts w:ascii="Times New Roman" w:hAnsi="Times New Roman"/>
              </w:rPr>
              <w:t>0</w:t>
            </w:r>
            <w:r w:rsidRPr="000B013A">
              <w:rPr>
                <w:rFonts w:ascii="Times New Roman" w:hAnsi="Times New Roman"/>
              </w:rPr>
              <w:t>%</w:t>
            </w:r>
            <w:r w:rsidR="00460E99" w:rsidRPr="000B013A">
              <w:rPr>
                <w:rFonts w:ascii="Times New Roman" w:hAnsi="Times New Roman"/>
              </w:rPr>
              <w:t xml:space="preserve"> </w:t>
            </w:r>
            <w:r w:rsidRPr="000B013A">
              <w:rPr>
                <w:rFonts w:ascii="Times New Roman" w:hAnsi="Times New Roman"/>
                <w:sz w:val="18"/>
                <w:szCs w:val="18"/>
              </w:rPr>
              <w:t>(69%-72%)</w:t>
            </w:r>
          </w:p>
        </w:tc>
      </w:tr>
      <w:tr w:rsidR="00603217" w:rsidRPr="00BC301C" w:rsidTr="00BC301C">
        <w:trPr>
          <w:trHeight w:val="57"/>
        </w:trPr>
        <w:tc>
          <w:tcPr>
            <w:tcW w:w="1951" w:type="dxa"/>
            <w:shd w:val="clear" w:color="auto" w:fill="auto"/>
            <w:hideMark/>
          </w:tcPr>
          <w:p w:rsidR="00D71FD6" w:rsidRPr="00BC301C" w:rsidRDefault="00603217" w:rsidP="00BC301C">
            <w:pPr>
              <w:pStyle w:val="ListParagraph"/>
              <w:spacing w:after="0" w:line="240" w:lineRule="auto"/>
              <w:ind w:left="426"/>
              <w:contextualSpacing w:val="0"/>
              <w:rPr>
                <w:rFonts w:ascii="Times New Roman" w:hAnsi="Times New Roman"/>
              </w:rPr>
            </w:pPr>
            <w:r w:rsidRPr="00BC301C">
              <w:rPr>
                <w:rFonts w:ascii="Times New Roman" w:hAnsi="Times New Roman"/>
              </w:rPr>
              <w:t>20-49</w:t>
            </w:r>
          </w:p>
        </w:tc>
        <w:tc>
          <w:tcPr>
            <w:tcW w:w="2126" w:type="dxa"/>
            <w:shd w:val="clear" w:color="auto" w:fill="auto"/>
            <w:hideMark/>
          </w:tcPr>
          <w:p w:rsidR="00D71FD6" w:rsidRPr="00BC301C" w:rsidRDefault="002D263B" w:rsidP="00BC301C">
            <w:pPr>
              <w:pStyle w:val="ListParagraph"/>
              <w:spacing w:after="0" w:line="240" w:lineRule="auto"/>
              <w:contextualSpacing w:val="0"/>
              <w:rPr>
                <w:rFonts w:ascii="Times New Roman" w:hAnsi="Times New Roman"/>
              </w:rPr>
            </w:pPr>
            <w:r>
              <w:rPr>
                <w:rFonts w:ascii="Times New Roman" w:hAnsi="Times New Roman"/>
              </w:rPr>
              <w:t>10868</w:t>
            </w:r>
          </w:p>
        </w:tc>
        <w:tc>
          <w:tcPr>
            <w:tcW w:w="3261" w:type="dxa"/>
            <w:shd w:val="clear" w:color="auto" w:fill="auto"/>
            <w:hideMark/>
          </w:tcPr>
          <w:p w:rsidR="00D71FD6" w:rsidRPr="000B013A" w:rsidRDefault="00603217" w:rsidP="002D263B">
            <w:pPr>
              <w:pStyle w:val="ListParagraph"/>
              <w:spacing w:after="0" w:line="240" w:lineRule="auto"/>
              <w:contextualSpacing w:val="0"/>
              <w:rPr>
                <w:rFonts w:ascii="Times New Roman" w:hAnsi="Times New Roman"/>
              </w:rPr>
            </w:pPr>
            <w:r w:rsidRPr="000B013A">
              <w:rPr>
                <w:rFonts w:ascii="Times New Roman" w:hAnsi="Times New Roman"/>
              </w:rPr>
              <w:t>67%</w:t>
            </w:r>
            <w:r w:rsidR="00460E99" w:rsidRPr="000B013A">
              <w:rPr>
                <w:rFonts w:ascii="Times New Roman" w:hAnsi="Times New Roman"/>
              </w:rPr>
              <w:t xml:space="preserve"> </w:t>
            </w:r>
            <w:r w:rsidRPr="000B013A">
              <w:rPr>
                <w:rFonts w:ascii="Times New Roman" w:hAnsi="Times New Roman"/>
                <w:sz w:val="18"/>
                <w:szCs w:val="18"/>
              </w:rPr>
              <w:t>(6</w:t>
            </w:r>
            <w:r w:rsidR="002D263B">
              <w:rPr>
                <w:rFonts w:ascii="Times New Roman" w:hAnsi="Times New Roman"/>
                <w:sz w:val="18"/>
                <w:szCs w:val="18"/>
              </w:rPr>
              <w:t>6</w:t>
            </w:r>
            <w:r w:rsidRPr="000B013A">
              <w:rPr>
                <w:rFonts w:ascii="Times New Roman" w:hAnsi="Times New Roman"/>
                <w:sz w:val="18"/>
                <w:szCs w:val="18"/>
              </w:rPr>
              <w:t>%-68%)</w:t>
            </w:r>
          </w:p>
        </w:tc>
      </w:tr>
      <w:tr w:rsidR="00603217" w:rsidRPr="00BC301C" w:rsidTr="00BC301C">
        <w:trPr>
          <w:trHeight w:val="57"/>
        </w:trPr>
        <w:tc>
          <w:tcPr>
            <w:tcW w:w="1951" w:type="dxa"/>
            <w:shd w:val="clear" w:color="auto" w:fill="auto"/>
            <w:hideMark/>
          </w:tcPr>
          <w:p w:rsidR="00D71FD6" w:rsidRPr="00BC301C" w:rsidRDefault="00603217" w:rsidP="00BC301C">
            <w:pPr>
              <w:pStyle w:val="ListParagraph"/>
              <w:spacing w:after="0" w:line="240" w:lineRule="auto"/>
              <w:ind w:left="426"/>
              <w:contextualSpacing w:val="0"/>
              <w:rPr>
                <w:rFonts w:ascii="Times New Roman" w:hAnsi="Times New Roman"/>
              </w:rPr>
            </w:pPr>
            <w:r w:rsidRPr="00BC301C">
              <w:rPr>
                <w:rFonts w:ascii="Times New Roman" w:hAnsi="Times New Roman"/>
              </w:rPr>
              <w:t>Black</w:t>
            </w:r>
          </w:p>
        </w:tc>
        <w:tc>
          <w:tcPr>
            <w:tcW w:w="2126" w:type="dxa"/>
            <w:shd w:val="clear" w:color="auto" w:fill="auto"/>
            <w:hideMark/>
          </w:tcPr>
          <w:p w:rsidR="00D71FD6" w:rsidRPr="00BC301C" w:rsidRDefault="00603217" w:rsidP="002D263B">
            <w:pPr>
              <w:pStyle w:val="ListParagraph"/>
              <w:spacing w:after="0" w:line="240" w:lineRule="auto"/>
              <w:contextualSpacing w:val="0"/>
              <w:rPr>
                <w:rFonts w:ascii="Times New Roman" w:hAnsi="Times New Roman"/>
              </w:rPr>
            </w:pPr>
            <w:r w:rsidRPr="00BC301C">
              <w:rPr>
                <w:rFonts w:ascii="Times New Roman" w:hAnsi="Times New Roman"/>
              </w:rPr>
              <w:t>2</w:t>
            </w:r>
            <w:r w:rsidR="002D263B">
              <w:rPr>
                <w:rFonts w:ascii="Times New Roman" w:hAnsi="Times New Roman"/>
              </w:rPr>
              <w:t>715</w:t>
            </w:r>
          </w:p>
        </w:tc>
        <w:tc>
          <w:tcPr>
            <w:tcW w:w="3261" w:type="dxa"/>
            <w:shd w:val="clear" w:color="auto" w:fill="auto"/>
            <w:hideMark/>
          </w:tcPr>
          <w:p w:rsidR="00D71FD6" w:rsidRPr="000B013A" w:rsidRDefault="00603217" w:rsidP="00BC301C">
            <w:pPr>
              <w:pStyle w:val="ListParagraph"/>
              <w:spacing w:after="0" w:line="240" w:lineRule="auto"/>
              <w:contextualSpacing w:val="0"/>
              <w:rPr>
                <w:rFonts w:ascii="Times New Roman" w:hAnsi="Times New Roman"/>
              </w:rPr>
            </w:pPr>
            <w:r w:rsidRPr="000B013A">
              <w:rPr>
                <w:rFonts w:ascii="Times New Roman" w:hAnsi="Times New Roman"/>
              </w:rPr>
              <w:t>74%</w:t>
            </w:r>
            <w:r w:rsidR="00460E99" w:rsidRPr="000B013A">
              <w:rPr>
                <w:rFonts w:ascii="Times New Roman" w:hAnsi="Times New Roman"/>
                <w:sz w:val="18"/>
                <w:szCs w:val="18"/>
              </w:rPr>
              <w:t xml:space="preserve"> </w:t>
            </w:r>
            <w:r w:rsidRPr="000B013A">
              <w:rPr>
                <w:rFonts w:ascii="Times New Roman" w:hAnsi="Times New Roman"/>
                <w:sz w:val="18"/>
                <w:szCs w:val="18"/>
              </w:rPr>
              <w:t>(72%-75%)</w:t>
            </w:r>
          </w:p>
        </w:tc>
      </w:tr>
      <w:tr w:rsidR="00603217" w:rsidRPr="00BC301C" w:rsidTr="00BC301C">
        <w:trPr>
          <w:trHeight w:val="57"/>
        </w:trPr>
        <w:tc>
          <w:tcPr>
            <w:tcW w:w="1951" w:type="dxa"/>
            <w:shd w:val="clear" w:color="auto" w:fill="auto"/>
            <w:hideMark/>
          </w:tcPr>
          <w:p w:rsidR="00D71FD6" w:rsidRPr="00BC301C" w:rsidRDefault="00603217" w:rsidP="00BC301C">
            <w:pPr>
              <w:pStyle w:val="ListParagraph"/>
              <w:spacing w:after="0" w:line="240" w:lineRule="auto"/>
              <w:ind w:left="426"/>
              <w:contextualSpacing w:val="0"/>
              <w:rPr>
                <w:rFonts w:ascii="Times New Roman" w:hAnsi="Times New Roman"/>
              </w:rPr>
            </w:pPr>
            <w:r w:rsidRPr="00BC301C">
              <w:rPr>
                <w:rFonts w:ascii="Times New Roman" w:hAnsi="Times New Roman"/>
              </w:rPr>
              <w:t>Hispanic</w:t>
            </w:r>
          </w:p>
        </w:tc>
        <w:tc>
          <w:tcPr>
            <w:tcW w:w="2126" w:type="dxa"/>
            <w:shd w:val="clear" w:color="auto" w:fill="auto"/>
            <w:hideMark/>
          </w:tcPr>
          <w:p w:rsidR="00D71FD6" w:rsidRPr="00BC301C" w:rsidRDefault="00603217" w:rsidP="002D263B">
            <w:pPr>
              <w:pStyle w:val="ListParagraph"/>
              <w:spacing w:after="0" w:line="240" w:lineRule="auto"/>
              <w:contextualSpacing w:val="0"/>
              <w:rPr>
                <w:rFonts w:ascii="Times New Roman" w:hAnsi="Times New Roman"/>
              </w:rPr>
            </w:pPr>
            <w:r w:rsidRPr="00BC301C">
              <w:rPr>
                <w:rFonts w:ascii="Times New Roman" w:hAnsi="Times New Roman"/>
              </w:rPr>
              <w:t>29</w:t>
            </w:r>
            <w:r w:rsidR="002D263B">
              <w:rPr>
                <w:rFonts w:ascii="Times New Roman" w:hAnsi="Times New Roman"/>
              </w:rPr>
              <w:t>88</w:t>
            </w:r>
          </w:p>
        </w:tc>
        <w:tc>
          <w:tcPr>
            <w:tcW w:w="3261" w:type="dxa"/>
            <w:shd w:val="clear" w:color="auto" w:fill="auto"/>
            <w:hideMark/>
          </w:tcPr>
          <w:p w:rsidR="00D71FD6" w:rsidRPr="000B013A" w:rsidRDefault="00603217" w:rsidP="002D263B">
            <w:pPr>
              <w:pStyle w:val="ListParagraph"/>
              <w:spacing w:after="0" w:line="240" w:lineRule="auto"/>
              <w:contextualSpacing w:val="0"/>
              <w:rPr>
                <w:rFonts w:ascii="Times New Roman" w:hAnsi="Times New Roman"/>
              </w:rPr>
            </w:pPr>
            <w:r w:rsidRPr="000B013A">
              <w:rPr>
                <w:rFonts w:ascii="Times New Roman" w:hAnsi="Times New Roman"/>
              </w:rPr>
              <w:t>67%</w:t>
            </w:r>
            <w:r w:rsidR="00460E99" w:rsidRPr="000B013A">
              <w:rPr>
                <w:rFonts w:ascii="Times New Roman" w:hAnsi="Times New Roman"/>
              </w:rPr>
              <w:t xml:space="preserve"> </w:t>
            </w:r>
            <w:r w:rsidRPr="000B013A">
              <w:rPr>
                <w:rFonts w:ascii="Times New Roman" w:hAnsi="Times New Roman"/>
                <w:sz w:val="18"/>
                <w:szCs w:val="18"/>
              </w:rPr>
              <w:t>(66%-6</w:t>
            </w:r>
            <w:r w:rsidR="002D263B">
              <w:rPr>
                <w:rFonts w:ascii="Times New Roman" w:hAnsi="Times New Roman"/>
                <w:sz w:val="18"/>
                <w:szCs w:val="18"/>
              </w:rPr>
              <w:t>8</w:t>
            </w:r>
            <w:r w:rsidRPr="000B013A">
              <w:rPr>
                <w:rFonts w:ascii="Times New Roman" w:hAnsi="Times New Roman"/>
                <w:sz w:val="18"/>
                <w:szCs w:val="18"/>
              </w:rPr>
              <w:t>%)</w:t>
            </w:r>
          </w:p>
        </w:tc>
      </w:tr>
      <w:tr w:rsidR="00603217" w:rsidRPr="00BC301C" w:rsidTr="00BC301C">
        <w:trPr>
          <w:trHeight w:val="57"/>
        </w:trPr>
        <w:tc>
          <w:tcPr>
            <w:tcW w:w="1951" w:type="dxa"/>
            <w:shd w:val="clear" w:color="auto" w:fill="auto"/>
            <w:hideMark/>
          </w:tcPr>
          <w:p w:rsidR="00D71FD6" w:rsidRPr="00BC301C" w:rsidRDefault="00603217" w:rsidP="00BC301C">
            <w:pPr>
              <w:pStyle w:val="ListParagraph"/>
              <w:spacing w:after="0" w:line="240" w:lineRule="auto"/>
              <w:ind w:left="426"/>
              <w:contextualSpacing w:val="0"/>
              <w:rPr>
                <w:rFonts w:ascii="Times New Roman" w:hAnsi="Times New Roman"/>
              </w:rPr>
            </w:pPr>
            <w:r w:rsidRPr="00BC301C">
              <w:rPr>
                <w:rFonts w:ascii="Times New Roman" w:hAnsi="Times New Roman"/>
              </w:rPr>
              <w:t>White/Other</w:t>
            </w:r>
          </w:p>
        </w:tc>
        <w:tc>
          <w:tcPr>
            <w:tcW w:w="2126" w:type="dxa"/>
            <w:shd w:val="clear" w:color="auto" w:fill="auto"/>
            <w:hideMark/>
          </w:tcPr>
          <w:p w:rsidR="00D71FD6" w:rsidRPr="00BC301C" w:rsidRDefault="002D263B" w:rsidP="00BC301C">
            <w:pPr>
              <w:pStyle w:val="ListParagraph"/>
              <w:spacing w:after="0" w:line="240" w:lineRule="auto"/>
              <w:contextualSpacing w:val="0"/>
              <w:rPr>
                <w:rFonts w:ascii="Times New Roman" w:hAnsi="Times New Roman"/>
              </w:rPr>
            </w:pPr>
            <w:r>
              <w:rPr>
                <w:rFonts w:ascii="Times New Roman" w:hAnsi="Times New Roman"/>
              </w:rPr>
              <w:t>8158</w:t>
            </w:r>
          </w:p>
        </w:tc>
        <w:tc>
          <w:tcPr>
            <w:tcW w:w="3261" w:type="dxa"/>
            <w:shd w:val="clear" w:color="auto" w:fill="auto"/>
            <w:hideMark/>
          </w:tcPr>
          <w:p w:rsidR="00D71FD6" w:rsidRPr="000B013A" w:rsidRDefault="00603217" w:rsidP="002D263B">
            <w:pPr>
              <w:pStyle w:val="ListParagraph"/>
              <w:spacing w:after="0" w:line="240" w:lineRule="auto"/>
              <w:contextualSpacing w:val="0"/>
              <w:rPr>
                <w:rFonts w:ascii="Times New Roman" w:hAnsi="Times New Roman"/>
              </w:rPr>
            </w:pPr>
            <w:r w:rsidRPr="000B013A">
              <w:rPr>
                <w:rFonts w:ascii="Times New Roman" w:hAnsi="Times New Roman"/>
              </w:rPr>
              <w:t>66%</w:t>
            </w:r>
            <w:r w:rsidR="00460E99" w:rsidRPr="000B013A">
              <w:rPr>
                <w:rFonts w:ascii="Times New Roman" w:hAnsi="Times New Roman"/>
              </w:rPr>
              <w:t xml:space="preserve"> </w:t>
            </w:r>
            <w:r w:rsidRPr="000B013A">
              <w:rPr>
                <w:rFonts w:ascii="Times New Roman" w:hAnsi="Times New Roman"/>
                <w:sz w:val="18"/>
                <w:szCs w:val="18"/>
              </w:rPr>
              <w:t>(6</w:t>
            </w:r>
            <w:r w:rsidR="002D263B">
              <w:rPr>
                <w:rFonts w:ascii="Times New Roman" w:hAnsi="Times New Roman"/>
                <w:sz w:val="18"/>
                <w:szCs w:val="18"/>
              </w:rPr>
              <w:t>5</w:t>
            </w:r>
            <w:r w:rsidRPr="000B013A">
              <w:rPr>
                <w:rFonts w:ascii="Times New Roman" w:hAnsi="Times New Roman"/>
                <w:sz w:val="18"/>
                <w:szCs w:val="18"/>
              </w:rPr>
              <w:t>%-67%)</w:t>
            </w:r>
          </w:p>
        </w:tc>
      </w:tr>
      <w:tr w:rsidR="00603217" w:rsidRPr="00BC301C" w:rsidTr="00BC301C">
        <w:trPr>
          <w:trHeight w:val="57"/>
        </w:trPr>
        <w:tc>
          <w:tcPr>
            <w:tcW w:w="1951" w:type="dxa"/>
            <w:shd w:val="clear" w:color="auto" w:fill="auto"/>
            <w:hideMark/>
          </w:tcPr>
          <w:p w:rsidR="00D71FD6" w:rsidRPr="00BC301C" w:rsidRDefault="00603217" w:rsidP="00BC301C">
            <w:pPr>
              <w:pStyle w:val="ListParagraph"/>
              <w:spacing w:after="0" w:line="240" w:lineRule="auto"/>
              <w:ind w:left="142"/>
              <w:contextualSpacing w:val="0"/>
              <w:rPr>
                <w:rFonts w:ascii="Times New Roman" w:hAnsi="Times New Roman"/>
              </w:rPr>
            </w:pPr>
            <w:r w:rsidRPr="00BC301C">
              <w:rPr>
                <w:rFonts w:ascii="Times New Roman" w:hAnsi="Times New Roman"/>
                <w:b/>
                <w:bCs/>
              </w:rPr>
              <w:t>Female</w:t>
            </w:r>
          </w:p>
        </w:tc>
        <w:tc>
          <w:tcPr>
            <w:tcW w:w="2126" w:type="dxa"/>
            <w:shd w:val="clear" w:color="auto" w:fill="auto"/>
            <w:hideMark/>
          </w:tcPr>
          <w:p w:rsidR="00D71FD6" w:rsidRPr="00BC301C" w:rsidRDefault="00603217" w:rsidP="002D263B">
            <w:pPr>
              <w:pStyle w:val="ListParagraph"/>
              <w:spacing w:after="0" w:line="240" w:lineRule="auto"/>
              <w:contextualSpacing w:val="0"/>
              <w:rPr>
                <w:rFonts w:ascii="Times New Roman" w:hAnsi="Times New Roman"/>
              </w:rPr>
            </w:pPr>
            <w:r w:rsidRPr="00BC301C">
              <w:rPr>
                <w:rFonts w:ascii="Times New Roman" w:hAnsi="Times New Roman"/>
                <w:b/>
                <w:bCs/>
              </w:rPr>
              <w:t>1</w:t>
            </w:r>
            <w:r w:rsidR="002D263B">
              <w:rPr>
                <w:rFonts w:ascii="Times New Roman" w:hAnsi="Times New Roman"/>
                <w:b/>
                <w:bCs/>
              </w:rPr>
              <w:t>6855</w:t>
            </w:r>
          </w:p>
        </w:tc>
        <w:tc>
          <w:tcPr>
            <w:tcW w:w="3261" w:type="dxa"/>
            <w:shd w:val="clear" w:color="auto" w:fill="auto"/>
            <w:hideMark/>
          </w:tcPr>
          <w:p w:rsidR="00D71FD6" w:rsidRPr="000B013A" w:rsidRDefault="00603217" w:rsidP="002D263B">
            <w:pPr>
              <w:pStyle w:val="ListParagraph"/>
              <w:spacing w:after="0" w:line="240" w:lineRule="auto"/>
              <w:contextualSpacing w:val="0"/>
              <w:rPr>
                <w:rFonts w:ascii="Times New Roman" w:hAnsi="Times New Roman"/>
              </w:rPr>
            </w:pPr>
            <w:r w:rsidRPr="000B013A">
              <w:rPr>
                <w:rFonts w:ascii="Times New Roman" w:hAnsi="Times New Roman"/>
                <w:b/>
                <w:bCs/>
              </w:rPr>
              <w:t>7</w:t>
            </w:r>
            <w:r w:rsidR="002D263B">
              <w:rPr>
                <w:rFonts w:ascii="Times New Roman" w:hAnsi="Times New Roman"/>
                <w:b/>
                <w:bCs/>
              </w:rPr>
              <w:t>0</w:t>
            </w:r>
            <w:r w:rsidRPr="000B013A">
              <w:rPr>
                <w:rFonts w:ascii="Times New Roman" w:hAnsi="Times New Roman"/>
                <w:b/>
                <w:bCs/>
              </w:rPr>
              <w:t>%</w:t>
            </w:r>
            <w:r w:rsidR="00460E99" w:rsidRPr="000B013A">
              <w:rPr>
                <w:rFonts w:ascii="Times New Roman" w:hAnsi="Times New Roman"/>
                <w:b/>
                <w:bCs/>
              </w:rPr>
              <w:t xml:space="preserve"> </w:t>
            </w:r>
            <w:r w:rsidRPr="000B013A">
              <w:rPr>
                <w:rFonts w:ascii="Times New Roman" w:hAnsi="Times New Roman"/>
                <w:b/>
                <w:bCs/>
                <w:sz w:val="18"/>
                <w:szCs w:val="18"/>
              </w:rPr>
              <w:t>(70%-71%)</w:t>
            </w:r>
          </w:p>
        </w:tc>
      </w:tr>
      <w:tr w:rsidR="00603217" w:rsidRPr="00BC301C" w:rsidTr="00BC301C">
        <w:trPr>
          <w:trHeight w:val="57"/>
        </w:trPr>
        <w:tc>
          <w:tcPr>
            <w:tcW w:w="1951" w:type="dxa"/>
            <w:shd w:val="clear" w:color="auto" w:fill="auto"/>
            <w:hideMark/>
          </w:tcPr>
          <w:p w:rsidR="00D71FD6" w:rsidRPr="00BC301C" w:rsidRDefault="00603217" w:rsidP="00BC301C">
            <w:pPr>
              <w:pStyle w:val="ListParagraph"/>
              <w:spacing w:after="0" w:line="240" w:lineRule="auto"/>
              <w:ind w:left="426"/>
              <w:contextualSpacing w:val="0"/>
              <w:rPr>
                <w:rFonts w:ascii="Times New Roman" w:hAnsi="Times New Roman"/>
              </w:rPr>
            </w:pPr>
            <w:r w:rsidRPr="00BC301C">
              <w:rPr>
                <w:rFonts w:ascii="Times New Roman" w:hAnsi="Times New Roman"/>
              </w:rPr>
              <w:t>15-19</w:t>
            </w:r>
          </w:p>
        </w:tc>
        <w:tc>
          <w:tcPr>
            <w:tcW w:w="2126" w:type="dxa"/>
            <w:shd w:val="clear" w:color="auto" w:fill="auto"/>
            <w:hideMark/>
          </w:tcPr>
          <w:p w:rsidR="00D71FD6" w:rsidRPr="00BC301C" w:rsidRDefault="002D263B" w:rsidP="00BC301C">
            <w:pPr>
              <w:pStyle w:val="ListParagraph"/>
              <w:spacing w:after="0" w:line="240" w:lineRule="auto"/>
              <w:contextualSpacing w:val="0"/>
              <w:rPr>
                <w:rFonts w:ascii="Times New Roman" w:hAnsi="Times New Roman"/>
              </w:rPr>
            </w:pPr>
            <w:r>
              <w:rPr>
                <w:rFonts w:ascii="Times New Roman" w:hAnsi="Times New Roman"/>
              </w:rPr>
              <w:t>2986</w:t>
            </w:r>
          </w:p>
        </w:tc>
        <w:tc>
          <w:tcPr>
            <w:tcW w:w="3261" w:type="dxa"/>
            <w:shd w:val="clear" w:color="auto" w:fill="auto"/>
            <w:hideMark/>
          </w:tcPr>
          <w:p w:rsidR="00D71FD6" w:rsidRPr="000B013A" w:rsidRDefault="00603217" w:rsidP="002D263B">
            <w:pPr>
              <w:pStyle w:val="ListParagraph"/>
              <w:spacing w:after="0" w:line="240" w:lineRule="auto"/>
              <w:contextualSpacing w:val="0"/>
              <w:rPr>
                <w:rFonts w:ascii="Times New Roman" w:hAnsi="Times New Roman"/>
              </w:rPr>
            </w:pPr>
            <w:r w:rsidRPr="000B013A">
              <w:rPr>
                <w:rFonts w:ascii="Times New Roman" w:hAnsi="Times New Roman"/>
              </w:rPr>
              <w:t>7</w:t>
            </w:r>
            <w:r w:rsidR="002D263B">
              <w:rPr>
                <w:rFonts w:ascii="Times New Roman" w:hAnsi="Times New Roman"/>
              </w:rPr>
              <w:t>1</w:t>
            </w:r>
            <w:r w:rsidRPr="000B013A">
              <w:rPr>
                <w:rFonts w:ascii="Times New Roman" w:hAnsi="Times New Roman"/>
              </w:rPr>
              <w:t>%</w:t>
            </w:r>
            <w:r w:rsidR="00460E99" w:rsidRPr="000B013A">
              <w:rPr>
                <w:rFonts w:ascii="Times New Roman" w:hAnsi="Times New Roman"/>
              </w:rPr>
              <w:t xml:space="preserve"> </w:t>
            </w:r>
            <w:r w:rsidRPr="000B013A">
              <w:rPr>
                <w:rFonts w:ascii="Times New Roman" w:hAnsi="Times New Roman"/>
                <w:sz w:val="18"/>
                <w:szCs w:val="18"/>
              </w:rPr>
              <w:t>(70%-73%)</w:t>
            </w:r>
          </w:p>
        </w:tc>
      </w:tr>
      <w:tr w:rsidR="00603217" w:rsidRPr="00BC301C" w:rsidTr="00BC301C">
        <w:trPr>
          <w:trHeight w:val="57"/>
        </w:trPr>
        <w:tc>
          <w:tcPr>
            <w:tcW w:w="1951" w:type="dxa"/>
            <w:shd w:val="clear" w:color="auto" w:fill="auto"/>
            <w:hideMark/>
          </w:tcPr>
          <w:p w:rsidR="00D71FD6" w:rsidRPr="00BC301C" w:rsidRDefault="00603217" w:rsidP="00BC301C">
            <w:pPr>
              <w:pStyle w:val="ListParagraph"/>
              <w:spacing w:after="0" w:line="240" w:lineRule="auto"/>
              <w:ind w:left="426"/>
              <w:contextualSpacing w:val="0"/>
              <w:rPr>
                <w:rFonts w:ascii="Times New Roman" w:hAnsi="Times New Roman"/>
              </w:rPr>
            </w:pPr>
            <w:r w:rsidRPr="00BC301C">
              <w:rPr>
                <w:rFonts w:ascii="Times New Roman" w:hAnsi="Times New Roman"/>
              </w:rPr>
              <w:t>20-49</w:t>
            </w:r>
          </w:p>
        </w:tc>
        <w:tc>
          <w:tcPr>
            <w:tcW w:w="2126" w:type="dxa"/>
            <w:shd w:val="clear" w:color="auto" w:fill="auto"/>
            <w:hideMark/>
          </w:tcPr>
          <w:p w:rsidR="00D71FD6" w:rsidRPr="00BC301C" w:rsidRDefault="002D263B" w:rsidP="00BC301C">
            <w:pPr>
              <w:pStyle w:val="ListParagraph"/>
              <w:spacing w:after="0" w:line="240" w:lineRule="auto"/>
              <w:contextualSpacing w:val="0"/>
              <w:rPr>
                <w:rFonts w:ascii="Times New Roman" w:hAnsi="Times New Roman"/>
              </w:rPr>
            </w:pPr>
            <w:r>
              <w:rPr>
                <w:rFonts w:ascii="Times New Roman" w:hAnsi="Times New Roman"/>
              </w:rPr>
              <w:t>13869</w:t>
            </w:r>
          </w:p>
        </w:tc>
        <w:tc>
          <w:tcPr>
            <w:tcW w:w="3261" w:type="dxa"/>
            <w:shd w:val="clear" w:color="auto" w:fill="auto"/>
            <w:hideMark/>
          </w:tcPr>
          <w:p w:rsidR="00D71FD6" w:rsidRPr="000B013A" w:rsidRDefault="00603217" w:rsidP="002D263B">
            <w:pPr>
              <w:pStyle w:val="ListParagraph"/>
              <w:spacing w:after="0" w:line="240" w:lineRule="auto"/>
              <w:contextualSpacing w:val="0"/>
              <w:rPr>
                <w:rFonts w:ascii="Times New Roman" w:hAnsi="Times New Roman"/>
              </w:rPr>
            </w:pPr>
            <w:r w:rsidRPr="000B013A">
              <w:rPr>
                <w:rFonts w:ascii="Times New Roman" w:hAnsi="Times New Roman"/>
              </w:rPr>
              <w:t>7</w:t>
            </w:r>
            <w:r w:rsidR="002D263B">
              <w:rPr>
                <w:rFonts w:ascii="Times New Roman" w:hAnsi="Times New Roman"/>
              </w:rPr>
              <w:t>0</w:t>
            </w:r>
            <w:r w:rsidRPr="000B013A">
              <w:rPr>
                <w:rFonts w:ascii="Times New Roman" w:hAnsi="Times New Roman"/>
              </w:rPr>
              <w:t>%</w:t>
            </w:r>
            <w:r w:rsidR="00460E99" w:rsidRPr="000B013A">
              <w:rPr>
                <w:rFonts w:ascii="Times New Roman" w:hAnsi="Times New Roman"/>
              </w:rPr>
              <w:t xml:space="preserve"> </w:t>
            </w:r>
            <w:r w:rsidRPr="000B013A">
              <w:rPr>
                <w:rFonts w:ascii="Times New Roman" w:hAnsi="Times New Roman"/>
                <w:sz w:val="18"/>
                <w:szCs w:val="18"/>
              </w:rPr>
              <w:t>(70%-71%)</w:t>
            </w:r>
          </w:p>
        </w:tc>
      </w:tr>
      <w:tr w:rsidR="00603217" w:rsidRPr="00BC301C" w:rsidTr="00BC301C">
        <w:trPr>
          <w:trHeight w:val="57"/>
        </w:trPr>
        <w:tc>
          <w:tcPr>
            <w:tcW w:w="1951" w:type="dxa"/>
            <w:shd w:val="clear" w:color="auto" w:fill="auto"/>
            <w:hideMark/>
          </w:tcPr>
          <w:p w:rsidR="00D71FD6" w:rsidRPr="00BC301C" w:rsidRDefault="00603217" w:rsidP="00BC301C">
            <w:pPr>
              <w:pStyle w:val="ListParagraph"/>
              <w:spacing w:after="0" w:line="240" w:lineRule="auto"/>
              <w:ind w:left="426"/>
              <w:contextualSpacing w:val="0"/>
              <w:rPr>
                <w:rFonts w:ascii="Times New Roman" w:hAnsi="Times New Roman"/>
              </w:rPr>
            </w:pPr>
            <w:r w:rsidRPr="00BC301C">
              <w:rPr>
                <w:rFonts w:ascii="Times New Roman" w:hAnsi="Times New Roman"/>
              </w:rPr>
              <w:t>Black</w:t>
            </w:r>
          </w:p>
        </w:tc>
        <w:tc>
          <w:tcPr>
            <w:tcW w:w="2126" w:type="dxa"/>
            <w:shd w:val="clear" w:color="auto" w:fill="auto"/>
            <w:hideMark/>
          </w:tcPr>
          <w:p w:rsidR="00D71FD6" w:rsidRPr="00BC301C" w:rsidRDefault="00603217" w:rsidP="002D263B">
            <w:pPr>
              <w:pStyle w:val="ListParagraph"/>
              <w:spacing w:after="0" w:line="240" w:lineRule="auto"/>
              <w:contextualSpacing w:val="0"/>
              <w:rPr>
                <w:rFonts w:ascii="Times New Roman" w:hAnsi="Times New Roman"/>
              </w:rPr>
            </w:pPr>
            <w:r w:rsidRPr="00BC301C">
              <w:rPr>
                <w:rFonts w:ascii="Times New Roman" w:hAnsi="Times New Roman"/>
              </w:rPr>
              <w:t>3</w:t>
            </w:r>
            <w:r w:rsidR="002D263B">
              <w:rPr>
                <w:rFonts w:ascii="Times New Roman" w:hAnsi="Times New Roman"/>
              </w:rPr>
              <w:t>837</w:t>
            </w:r>
          </w:p>
        </w:tc>
        <w:tc>
          <w:tcPr>
            <w:tcW w:w="3261" w:type="dxa"/>
            <w:shd w:val="clear" w:color="auto" w:fill="auto"/>
            <w:hideMark/>
          </w:tcPr>
          <w:p w:rsidR="00D71FD6" w:rsidRPr="000B013A" w:rsidRDefault="00603217" w:rsidP="002D263B">
            <w:pPr>
              <w:pStyle w:val="ListParagraph"/>
              <w:spacing w:after="0" w:line="240" w:lineRule="auto"/>
              <w:contextualSpacing w:val="0"/>
              <w:rPr>
                <w:rFonts w:ascii="Times New Roman" w:hAnsi="Times New Roman"/>
              </w:rPr>
            </w:pPr>
            <w:r w:rsidRPr="000B013A">
              <w:rPr>
                <w:rFonts w:ascii="Times New Roman" w:hAnsi="Times New Roman"/>
              </w:rPr>
              <w:t>75%</w:t>
            </w:r>
            <w:r w:rsidR="00F11067" w:rsidRPr="000B013A">
              <w:rPr>
                <w:rFonts w:ascii="Times New Roman" w:hAnsi="Times New Roman"/>
              </w:rPr>
              <w:t xml:space="preserve"> </w:t>
            </w:r>
            <w:r w:rsidRPr="000B013A">
              <w:rPr>
                <w:rFonts w:ascii="Times New Roman" w:hAnsi="Times New Roman"/>
                <w:sz w:val="18"/>
                <w:szCs w:val="18"/>
              </w:rPr>
              <w:t>(74%-7</w:t>
            </w:r>
            <w:r w:rsidR="002D263B">
              <w:rPr>
                <w:rFonts w:ascii="Times New Roman" w:hAnsi="Times New Roman"/>
                <w:sz w:val="18"/>
                <w:szCs w:val="18"/>
              </w:rPr>
              <w:t>6</w:t>
            </w:r>
            <w:r w:rsidRPr="000B013A">
              <w:rPr>
                <w:rFonts w:ascii="Times New Roman" w:hAnsi="Times New Roman"/>
                <w:sz w:val="18"/>
                <w:szCs w:val="18"/>
              </w:rPr>
              <w:t>%)</w:t>
            </w:r>
          </w:p>
        </w:tc>
      </w:tr>
      <w:tr w:rsidR="00603217" w:rsidRPr="00BC301C" w:rsidTr="00BC301C">
        <w:trPr>
          <w:trHeight w:val="57"/>
        </w:trPr>
        <w:tc>
          <w:tcPr>
            <w:tcW w:w="1951" w:type="dxa"/>
            <w:shd w:val="clear" w:color="auto" w:fill="auto"/>
            <w:hideMark/>
          </w:tcPr>
          <w:p w:rsidR="00D71FD6" w:rsidRPr="00BC301C" w:rsidRDefault="00603217" w:rsidP="00BC301C">
            <w:pPr>
              <w:pStyle w:val="ListParagraph"/>
              <w:spacing w:after="0" w:line="240" w:lineRule="auto"/>
              <w:ind w:left="426"/>
              <w:contextualSpacing w:val="0"/>
              <w:rPr>
                <w:rFonts w:ascii="Times New Roman" w:hAnsi="Times New Roman"/>
              </w:rPr>
            </w:pPr>
            <w:r w:rsidRPr="00BC301C">
              <w:rPr>
                <w:rFonts w:ascii="Times New Roman" w:hAnsi="Times New Roman"/>
              </w:rPr>
              <w:t>Hispanic</w:t>
            </w:r>
          </w:p>
        </w:tc>
        <w:tc>
          <w:tcPr>
            <w:tcW w:w="2126" w:type="dxa"/>
            <w:shd w:val="clear" w:color="auto" w:fill="auto"/>
            <w:hideMark/>
          </w:tcPr>
          <w:p w:rsidR="00D71FD6" w:rsidRPr="00BC301C" w:rsidRDefault="00603217" w:rsidP="002D263B">
            <w:pPr>
              <w:pStyle w:val="ListParagraph"/>
              <w:spacing w:after="0" w:line="240" w:lineRule="auto"/>
              <w:contextualSpacing w:val="0"/>
              <w:rPr>
                <w:rFonts w:ascii="Times New Roman" w:hAnsi="Times New Roman"/>
              </w:rPr>
            </w:pPr>
            <w:r w:rsidRPr="00BC301C">
              <w:rPr>
                <w:rFonts w:ascii="Times New Roman" w:hAnsi="Times New Roman"/>
              </w:rPr>
              <w:t>3</w:t>
            </w:r>
            <w:r w:rsidR="002D263B">
              <w:rPr>
                <w:rFonts w:ascii="Times New Roman" w:hAnsi="Times New Roman"/>
              </w:rPr>
              <w:t>829</w:t>
            </w:r>
          </w:p>
        </w:tc>
        <w:tc>
          <w:tcPr>
            <w:tcW w:w="3261" w:type="dxa"/>
            <w:shd w:val="clear" w:color="auto" w:fill="auto"/>
            <w:hideMark/>
          </w:tcPr>
          <w:p w:rsidR="00D71FD6" w:rsidRPr="000B013A" w:rsidRDefault="00603217" w:rsidP="002D263B">
            <w:pPr>
              <w:pStyle w:val="ListParagraph"/>
              <w:spacing w:after="0" w:line="240" w:lineRule="auto"/>
              <w:contextualSpacing w:val="0"/>
              <w:rPr>
                <w:rFonts w:ascii="Times New Roman" w:hAnsi="Times New Roman"/>
              </w:rPr>
            </w:pPr>
            <w:r w:rsidRPr="000B013A">
              <w:rPr>
                <w:rFonts w:ascii="Times New Roman" w:hAnsi="Times New Roman"/>
              </w:rPr>
              <w:t>7</w:t>
            </w:r>
            <w:r w:rsidR="002D263B">
              <w:rPr>
                <w:rFonts w:ascii="Times New Roman" w:hAnsi="Times New Roman"/>
              </w:rPr>
              <w:t>2</w:t>
            </w:r>
            <w:r w:rsidRPr="000B013A">
              <w:rPr>
                <w:rFonts w:ascii="Times New Roman" w:hAnsi="Times New Roman"/>
              </w:rPr>
              <w:t>%</w:t>
            </w:r>
            <w:r w:rsidR="00F11067" w:rsidRPr="000B013A">
              <w:rPr>
                <w:rFonts w:ascii="Times New Roman" w:hAnsi="Times New Roman"/>
              </w:rPr>
              <w:t xml:space="preserve"> </w:t>
            </w:r>
            <w:r w:rsidRPr="000B013A">
              <w:rPr>
                <w:rFonts w:ascii="Times New Roman" w:hAnsi="Times New Roman"/>
                <w:sz w:val="18"/>
                <w:szCs w:val="18"/>
              </w:rPr>
              <w:t>(71%-7</w:t>
            </w:r>
            <w:r w:rsidR="002D263B">
              <w:rPr>
                <w:rFonts w:ascii="Times New Roman" w:hAnsi="Times New Roman"/>
                <w:sz w:val="18"/>
                <w:szCs w:val="18"/>
              </w:rPr>
              <w:t>3</w:t>
            </w:r>
            <w:r w:rsidRPr="000B013A">
              <w:rPr>
                <w:rFonts w:ascii="Times New Roman" w:hAnsi="Times New Roman"/>
                <w:sz w:val="18"/>
                <w:szCs w:val="18"/>
              </w:rPr>
              <w:t>%)</w:t>
            </w:r>
          </w:p>
        </w:tc>
      </w:tr>
      <w:tr w:rsidR="00603217" w:rsidRPr="00BC301C" w:rsidTr="00BC301C">
        <w:trPr>
          <w:trHeight w:val="57"/>
        </w:trPr>
        <w:tc>
          <w:tcPr>
            <w:tcW w:w="1951" w:type="dxa"/>
            <w:shd w:val="clear" w:color="auto" w:fill="auto"/>
            <w:hideMark/>
          </w:tcPr>
          <w:p w:rsidR="00D71FD6" w:rsidRPr="00BC301C" w:rsidRDefault="00603217" w:rsidP="00BC301C">
            <w:pPr>
              <w:pStyle w:val="ListParagraph"/>
              <w:spacing w:after="0" w:line="240" w:lineRule="auto"/>
              <w:ind w:left="426"/>
              <w:contextualSpacing w:val="0"/>
              <w:rPr>
                <w:rFonts w:ascii="Times New Roman" w:hAnsi="Times New Roman"/>
              </w:rPr>
            </w:pPr>
            <w:r w:rsidRPr="00BC301C">
              <w:rPr>
                <w:rFonts w:ascii="Times New Roman" w:hAnsi="Times New Roman"/>
              </w:rPr>
              <w:t>White/Other</w:t>
            </w:r>
          </w:p>
        </w:tc>
        <w:tc>
          <w:tcPr>
            <w:tcW w:w="2126" w:type="dxa"/>
            <w:shd w:val="clear" w:color="auto" w:fill="auto"/>
            <w:hideMark/>
          </w:tcPr>
          <w:p w:rsidR="00D71FD6" w:rsidRPr="00BC301C" w:rsidRDefault="002D263B" w:rsidP="00BC301C">
            <w:pPr>
              <w:pStyle w:val="ListParagraph"/>
              <w:spacing w:after="0" w:line="240" w:lineRule="auto"/>
              <w:contextualSpacing w:val="0"/>
              <w:rPr>
                <w:rFonts w:ascii="Times New Roman" w:hAnsi="Times New Roman"/>
              </w:rPr>
            </w:pPr>
            <w:r>
              <w:rPr>
                <w:rFonts w:ascii="Times New Roman" w:hAnsi="Times New Roman"/>
              </w:rPr>
              <w:t>9189</w:t>
            </w:r>
          </w:p>
        </w:tc>
        <w:tc>
          <w:tcPr>
            <w:tcW w:w="3261" w:type="dxa"/>
            <w:shd w:val="clear" w:color="auto" w:fill="auto"/>
            <w:hideMark/>
          </w:tcPr>
          <w:p w:rsidR="00D71FD6" w:rsidRPr="000B013A" w:rsidRDefault="00603217" w:rsidP="00BC301C">
            <w:pPr>
              <w:pStyle w:val="ListParagraph"/>
              <w:spacing w:after="0" w:line="240" w:lineRule="auto"/>
              <w:contextualSpacing w:val="0"/>
              <w:rPr>
                <w:rFonts w:ascii="Times New Roman" w:hAnsi="Times New Roman"/>
              </w:rPr>
            </w:pPr>
            <w:r w:rsidRPr="000B013A">
              <w:rPr>
                <w:rFonts w:ascii="Times New Roman" w:hAnsi="Times New Roman"/>
              </w:rPr>
              <w:t>68%</w:t>
            </w:r>
            <w:r w:rsidR="00F11067" w:rsidRPr="000B013A">
              <w:rPr>
                <w:rFonts w:ascii="Times New Roman" w:hAnsi="Times New Roman"/>
              </w:rPr>
              <w:t xml:space="preserve"> </w:t>
            </w:r>
            <w:r w:rsidRPr="000B013A">
              <w:rPr>
                <w:rFonts w:ascii="Times New Roman" w:hAnsi="Times New Roman"/>
                <w:sz w:val="18"/>
                <w:szCs w:val="18"/>
              </w:rPr>
              <w:t>(67%-69%)</w:t>
            </w:r>
          </w:p>
        </w:tc>
      </w:tr>
      <w:tr w:rsidR="00603217" w:rsidRPr="00BC301C" w:rsidTr="00BC301C">
        <w:trPr>
          <w:trHeight w:val="57"/>
        </w:trPr>
        <w:tc>
          <w:tcPr>
            <w:tcW w:w="1951" w:type="dxa"/>
            <w:shd w:val="clear" w:color="auto" w:fill="auto"/>
            <w:hideMark/>
          </w:tcPr>
          <w:p w:rsidR="00D71FD6" w:rsidRPr="00BC301C" w:rsidRDefault="00603217" w:rsidP="00BC301C">
            <w:pPr>
              <w:pStyle w:val="ListParagraph"/>
              <w:spacing w:after="0" w:line="240" w:lineRule="auto"/>
              <w:ind w:left="142"/>
              <w:contextualSpacing w:val="0"/>
              <w:rPr>
                <w:rFonts w:ascii="Times New Roman" w:hAnsi="Times New Roman"/>
              </w:rPr>
            </w:pPr>
            <w:r w:rsidRPr="00BC301C">
              <w:rPr>
                <w:rFonts w:ascii="Times New Roman" w:hAnsi="Times New Roman"/>
                <w:b/>
                <w:bCs/>
              </w:rPr>
              <w:t>TOTAL*</w:t>
            </w:r>
          </w:p>
        </w:tc>
        <w:tc>
          <w:tcPr>
            <w:tcW w:w="2126" w:type="dxa"/>
            <w:shd w:val="clear" w:color="auto" w:fill="auto"/>
            <w:hideMark/>
          </w:tcPr>
          <w:p w:rsidR="00D71FD6" w:rsidRPr="00BC301C" w:rsidRDefault="002D263B" w:rsidP="00BC301C">
            <w:pPr>
              <w:pStyle w:val="ListParagraph"/>
              <w:spacing w:after="0" w:line="240" w:lineRule="auto"/>
              <w:contextualSpacing w:val="0"/>
              <w:rPr>
                <w:rFonts w:ascii="Times New Roman" w:hAnsi="Times New Roman"/>
              </w:rPr>
            </w:pPr>
            <w:r>
              <w:rPr>
                <w:rFonts w:ascii="Times New Roman" w:hAnsi="Times New Roman"/>
                <w:b/>
                <w:bCs/>
              </w:rPr>
              <w:t>30716</w:t>
            </w:r>
          </w:p>
        </w:tc>
        <w:tc>
          <w:tcPr>
            <w:tcW w:w="3261" w:type="dxa"/>
            <w:shd w:val="clear" w:color="auto" w:fill="auto"/>
            <w:hideMark/>
          </w:tcPr>
          <w:p w:rsidR="00D71FD6" w:rsidRPr="000B013A" w:rsidRDefault="00603217" w:rsidP="002D263B">
            <w:pPr>
              <w:pStyle w:val="ListParagraph"/>
              <w:spacing w:after="0" w:line="240" w:lineRule="auto"/>
              <w:contextualSpacing w:val="0"/>
              <w:rPr>
                <w:rFonts w:ascii="Times New Roman" w:hAnsi="Times New Roman"/>
              </w:rPr>
            </w:pPr>
            <w:r w:rsidRPr="000B013A">
              <w:rPr>
                <w:rFonts w:ascii="Times New Roman" w:hAnsi="Times New Roman"/>
                <w:b/>
                <w:bCs/>
              </w:rPr>
              <w:t>69%</w:t>
            </w:r>
            <w:r w:rsidR="00F11067" w:rsidRPr="000B013A">
              <w:rPr>
                <w:rFonts w:ascii="Times New Roman" w:hAnsi="Times New Roman"/>
                <w:b/>
                <w:bCs/>
              </w:rPr>
              <w:t xml:space="preserve"> </w:t>
            </w:r>
            <w:r w:rsidRPr="000B013A">
              <w:rPr>
                <w:rFonts w:ascii="Times New Roman" w:hAnsi="Times New Roman"/>
                <w:b/>
                <w:bCs/>
                <w:sz w:val="18"/>
                <w:szCs w:val="18"/>
              </w:rPr>
              <w:t>(69%-</w:t>
            </w:r>
            <w:r w:rsidR="002D263B">
              <w:rPr>
                <w:rFonts w:ascii="Times New Roman" w:hAnsi="Times New Roman"/>
                <w:b/>
                <w:bCs/>
                <w:sz w:val="18"/>
                <w:szCs w:val="18"/>
              </w:rPr>
              <w:t>69</w:t>
            </w:r>
            <w:r w:rsidRPr="000B013A">
              <w:rPr>
                <w:rFonts w:ascii="Times New Roman" w:hAnsi="Times New Roman"/>
                <w:b/>
                <w:bCs/>
                <w:sz w:val="18"/>
                <w:szCs w:val="18"/>
              </w:rPr>
              <w:t>%)</w:t>
            </w:r>
          </w:p>
        </w:tc>
      </w:tr>
    </w:tbl>
    <w:p w:rsidR="00603217" w:rsidRPr="002E7017" w:rsidRDefault="00603217" w:rsidP="00AE30CB">
      <w:pPr>
        <w:pStyle w:val="ListParagraph"/>
        <w:spacing w:line="360" w:lineRule="auto"/>
        <w:ind w:left="0"/>
        <w:rPr>
          <w:rFonts w:ascii="Times New Roman" w:hAnsi="Times New Roman"/>
          <w:sz w:val="24"/>
        </w:rPr>
      </w:pPr>
    </w:p>
    <w:p w:rsidR="006A0FE8" w:rsidRDefault="006A0FE8" w:rsidP="00AE30CB">
      <w:pPr>
        <w:spacing w:line="360" w:lineRule="auto"/>
        <w:rPr>
          <w:rFonts w:ascii="Times New Roman" w:hAnsi="Times New Roman"/>
        </w:rPr>
      </w:pPr>
      <w:r w:rsidRPr="00451340">
        <w:rPr>
          <w:rFonts w:ascii="Times New Roman" w:hAnsi="Times New Roman"/>
        </w:rPr>
        <w:t xml:space="preserve">We </w:t>
      </w:r>
      <w:r>
        <w:rPr>
          <w:rFonts w:ascii="Times New Roman" w:hAnsi="Times New Roman"/>
        </w:rPr>
        <w:t xml:space="preserve">have </w:t>
      </w:r>
      <w:r w:rsidRPr="00451340">
        <w:rPr>
          <w:rFonts w:ascii="Times New Roman" w:hAnsi="Times New Roman"/>
        </w:rPr>
        <w:t>continue</w:t>
      </w:r>
      <w:r>
        <w:rPr>
          <w:rFonts w:ascii="Times New Roman" w:hAnsi="Times New Roman"/>
        </w:rPr>
        <w:t>d</w:t>
      </w:r>
      <w:r w:rsidRPr="00451340">
        <w:rPr>
          <w:rFonts w:ascii="Times New Roman" w:hAnsi="Times New Roman"/>
        </w:rPr>
        <w:t xml:space="preserve"> to refine the intervention strategies (mostly by increasing the visibility and feedback on progress for the cases sampled for the intervention)</w:t>
      </w:r>
      <w:r>
        <w:rPr>
          <w:rFonts w:ascii="Times New Roman" w:hAnsi="Times New Roman"/>
        </w:rPr>
        <w:t>, and to evaluate which types of interventions are more successful than others</w:t>
      </w:r>
      <w:r w:rsidRPr="00451340">
        <w:rPr>
          <w:rFonts w:ascii="Times New Roman" w:hAnsi="Times New Roman"/>
        </w:rPr>
        <w:t xml:space="preserve">.  </w:t>
      </w:r>
    </w:p>
    <w:p w:rsidR="00E3037A" w:rsidRDefault="00E3037A" w:rsidP="00AE30CB">
      <w:pPr>
        <w:pStyle w:val="ListParagraph"/>
        <w:spacing w:line="360" w:lineRule="auto"/>
        <w:ind w:left="0"/>
        <w:rPr>
          <w:rFonts w:ascii="Times New Roman" w:hAnsi="Times New Roman"/>
          <w:b/>
          <w:sz w:val="24"/>
        </w:rPr>
      </w:pPr>
    </w:p>
    <w:p w:rsidR="008B1E40" w:rsidRPr="00451340" w:rsidRDefault="008B1E40" w:rsidP="00660842">
      <w:pPr>
        <w:pStyle w:val="ListParagraph"/>
        <w:numPr>
          <w:ilvl w:val="0"/>
          <w:numId w:val="37"/>
        </w:numPr>
        <w:spacing w:line="360" w:lineRule="auto"/>
        <w:rPr>
          <w:rFonts w:ascii="Times New Roman" w:hAnsi="Times New Roman"/>
          <w:b/>
          <w:sz w:val="24"/>
        </w:rPr>
      </w:pPr>
      <w:r w:rsidRPr="00451340">
        <w:rPr>
          <w:rFonts w:ascii="Times New Roman" w:hAnsi="Times New Roman"/>
          <w:b/>
          <w:sz w:val="24"/>
        </w:rPr>
        <w:t xml:space="preserve">A Two-Phase Sampling Scheme, Selecting a Probability Sample </w:t>
      </w:r>
      <w:r w:rsidR="00E775C0">
        <w:rPr>
          <w:rFonts w:ascii="Times New Roman" w:hAnsi="Times New Roman"/>
          <w:b/>
          <w:sz w:val="24"/>
        </w:rPr>
        <w:t>o</w:t>
      </w:r>
      <w:r w:rsidRPr="00451340">
        <w:rPr>
          <w:rFonts w:ascii="Times New Roman" w:hAnsi="Times New Roman"/>
          <w:b/>
          <w:sz w:val="24"/>
        </w:rPr>
        <w:t xml:space="preserve">f Nonrespondents </w:t>
      </w:r>
      <w:r w:rsidR="00176C70">
        <w:rPr>
          <w:rFonts w:ascii="Times New Roman" w:hAnsi="Times New Roman"/>
          <w:b/>
          <w:sz w:val="24"/>
        </w:rPr>
        <w:t>a</w:t>
      </w:r>
      <w:r w:rsidRPr="00451340">
        <w:rPr>
          <w:rFonts w:ascii="Times New Roman" w:hAnsi="Times New Roman"/>
          <w:b/>
          <w:sz w:val="24"/>
        </w:rPr>
        <w:t xml:space="preserve">t </w:t>
      </w:r>
      <w:r w:rsidR="00176C70">
        <w:rPr>
          <w:rFonts w:ascii="Times New Roman" w:hAnsi="Times New Roman"/>
          <w:b/>
          <w:sz w:val="24"/>
        </w:rPr>
        <w:t>t</w:t>
      </w:r>
      <w:r w:rsidRPr="00451340">
        <w:rPr>
          <w:rFonts w:ascii="Times New Roman" w:hAnsi="Times New Roman"/>
          <w:b/>
          <w:sz w:val="24"/>
        </w:rPr>
        <w:t xml:space="preserve">he End </w:t>
      </w:r>
      <w:r w:rsidR="00176C70">
        <w:rPr>
          <w:rFonts w:ascii="Times New Roman" w:hAnsi="Times New Roman"/>
          <w:b/>
          <w:sz w:val="24"/>
        </w:rPr>
        <w:t>o</w:t>
      </w:r>
      <w:r w:rsidRPr="00451340">
        <w:rPr>
          <w:rFonts w:ascii="Times New Roman" w:hAnsi="Times New Roman"/>
          <w:b/>
          <w:sz w:val="24"/>
        </w:rPr>
        <w:t xml:space="preserve">f Week 10 </w:t>
      </w:r>
      <w:r w:rsidR="00176C70">
        <w:rPr>
          <w:rFonts w:ascii="Times New Roman" w:hAnsi="Times New Roman"/>
          <w:b/>
          <w:sz w:val="24"/>
        </w:rPr>
        <w:t>o</w:t>
      </w:r>
      <w:r w:rsidRPr="00451340">
        <w:rPr>
          <w:rFonts w:ascii="Times New Roman" w:hAnsi="Times New Roman"/>
          <w:b/>
          <w:sz w:val="24"/>
        </w:rPr>
        <w:t>f Each Quarter</w:t>
      </w:r>
    </w:p>
    <w:p w:rsidR="008B1E40" w:rsidRPr="00451340" w:rsidRDefault="008B1E40" w:rsidP="00AE30CB">
      <w:pPr>
        <w:pStyle w:val="ListParagraph"/>
        <w:spacing w:line="360" w:lineRule="auto"/>
        <w:ind w:left="0"/>
        <w:rPr>
          <w:rFonts w:ascii="Times New Roman" w:hAnsi="Times New Roman"/>
          <w:sz w:val="24"/>
        </w:rPr>
      </w:pPr>
    </w:p>
    <w:p w:rsidR="008B1E40" w:rsidRPr="00451340" w:rsidRDefault="008B1E40" w:rsidP="00AE30CB">
      <w:pPr>
        <w:pStyle w:val="ListParagraph"/>
        <w:spacing w:line="360" w:lineRule="auto"/>
        <w:ind w:left="0"/>
        <w:rPr>
          <w:rFonts w:ascii="Times New Roman" w:hAnsi="Times New Roman"/>
          <w:sz w:val="24"/>
        </w:rPr>
      </w:pPr>
      <w:r w:rsidRPr="00451340">
        <w:rPr>
          <w:rFonts w:ascii="Times New Roman" w:hAnsi="Times New Roman"/>
          <w:sz w:val="24"/>
        </w:rPr>
        <w:t>At the end of week 10 of each quarter, a probability subsample of remaining nonrespondent cases is selected.  The sample is stratified by interviewer, screener</w:t>
      </w:r>
      <w:r w:rsidR="00BE0879">
        <w:rPr>
          <w:rFonts w:ascii="Times New Roman" w:hAnsi="Times New Roman"/>
          <w:sz w:val="24"/>
        </w:rPr>
        <w:t xml:space="preserve"> </w:t>
      </w:r>
      <w:r w:rsidR="00BE0879" w:rsidRPr="00045B78">
        <w:rPr>
          <w:rFonts w:ascii="Times New Roman" w:hAnsi="Times New Roman"/>
          <w:sz w:val="24"/>
        </w:rPr>
        <w:t xml:space="preserve">vs. </w:t>
      </w:r>
      <w:r w:rsidRPr="00045B78">
        <w:rPr>
          <w:rFonts w:ascii="Times New Roman" w:hAnsi="Times New Roman"/>
          <w:sz w:val="24"/>
        </w:rPr>
        <w:t xml:space="preserve">main </w:t>
      </w:r>
      <w:r w:rsidR="00BE0879" w:rsidRPr="00045B78">
        <w:rPr>
          <w:rFonts w:ascii="Times New Roman" w:hAnsi="Times New Roman"/>
          <w:sz w:val="24"/>
        </w:rPr>
        <w:t>interview</w:t>
      </w:r>
      <w:r w:rsidR="00BE0879">
        <w:rPr>
          <w:rFonts w:ascii="Times New Roman" w:hAnsi="Times New Roman"/>
          <w:sz w:val="24"/>
        </w:rPr>
        <w:t xml:space="preserve"> </w:t>
      </w:r>
      <w:r w:rsidRPr="00451340">
        <w:rPr>
          <w:rFonts w:ascii="Times New Roman" w:hAnsi="Times New Roman"/>
          <w:sz w:val="24"/>
        </w:rPr>
        <w:t xml:space="preserve">status, and expected propensity to provide an interview.  </w:t>
      </w:r>
      <w:r w:rsidR="006A63D0">
        <w:rPr>
          <w:rFonts w:ascii="Times New Roman" w:hAnsi="Times New Roman"/>
          <w:sz w:val="24"/>
        </w:rPr>
        <w:t xml:space="preserve">A different incentive protocol is applied to these cases, and greater interviewer effort is applied to the subselected cases. Early analysis of the </w:t>
      </w:r>
      <w:r w:rsidRPr="00451340">
        <w:rPr>
          <w:rFonts w:ascii="Times New Roman" w:hAnsi="Times New Roman"/>
          <w:sz w:val="24"/>
        </w:rPr>
        <w:t xml:space="preserve">performance of the second phase noted that outcomes for </w:t>
      </w:r>
      <w:r w:rsidR="00355F9A" w:rsidRPr="00451340">
        <w:rPr>
          <w:rFonts w:ascii="Times New Roman" w:hAnsi="Times New Roman"/>
          <w:sz w:val="24"/>
        </w:rPr>
        <w:t>active</w:t>
      </w:r>
      <w:r w:rsidRPr="00451340">
        <w:rPr>
          <w:rFonts w:ascii="Times New Roman" w:hAnsi="Times New Roman"/>
          <w:sz w:val="24"/>
        </w:rPr>
        <w:t xml:space="preserve"> main cases sampled into the second phase sample were better than those for screener cases; hence, the </w:t>
      </w:r>
      <w:r w:rsidR="00647CB5">
        <w:rPr>
          <w:rFonts w:ascii="Times New Roman" w:hAnsi="Times New Roman"/>
          <w:sz w:val="24"/>
        </w:rPr>
        <w:t xml:space="preserve">active main cases are oversampled, resulting in a second phase sample that </w:t>
      </w:r>
      <w:r w:rsidR="000B013A">
        <w:rPr>
          <w:rFonts w:ascii="Times New Roman" w:hAnsi="Times New Roman"/>
          <w:sz w:val="24"/>
        </w:rPr>
        <w:t>has a higher proportion of main lines than the sample that is active at the end of Phase 1</w:t>
      </w:r>
      <w:r w:rsidRPr="00451340">
        <w:rPr>
          <w:rFonts w:ascii="Times New Roman" w:hAnsi="Times New Roman"/>
          <w:sz w:val="24"/>
        </w:rPr>
        <w:t xml:space="preserve">.  The revised incentive </w:t>
      </w:r>
      <w:r w:rsidR="00783A74">
        <w:rPr>
          <w:rFonts w:ascii="Times New Roman" w:hAnsi="Times New Roman"/>
          <w:sz w:val="24"/>
        </w:rPr>
        <w:t xml:space="preserve">used in </w:t>
      </w:r>
      <w:r w:rsidR="00277676">
        <w:rPr>
          <w:rFonts w:ascii="Times New Roman" w:hAnsi="Times New Roman"/>
          <w:sz w:val="24"/>
        </w:rPr>
        <w:t xml:space="preserve">Phase </w:t>
      </w:r>
      <w:r w:rsidR="00783A74">
        <w:rPr>
          <w:rFonts w:ascii="Times New Roman" w:hAnsi="Times New Roman"/>
          <w:sz w:val="24"/>
        </w:rPr>
        <w:t xml:space="preserve">2 (weeks 11 and 12 of each 12-week quarter) </w:t>
      </w:r>
      <w:r w:rsidRPr="00451340">
        <w:rPr>
          <w:rFonts w:ascii="Times New Roman" w:hAnsi="Times New Roman"/>
          <w:sz w:val="24"/>
        </w:rPr>
        <w:t>appears to be effective in raising the propensities of the remaining cases, bringing into the respondent pool persons who would have remained nonrespondent without the second phase.</w:t>
      </w:r>
    </w:p>
    <w:p w:rsidR="008B1E40" w:rsidRPr="00451340" w:rsidRDefault="008B1E40" w:rsidP="00AE30CB">
      <w:pPr>
        <w:pStyle w:val="ListParagraph"/>
        <w:spacing w:line="360" w:lineRule="auto"/>
        <w:ind w:left="0"/>
        <w:rPr>
          <w:rFonts w:ascii="Times New Roman" w:hAnsi="Times New Roman"/>
          <w:sz w:val="24"/>
        </w:rPr>
      </w:pPr>
    </w:p>
    <w:p w:rsidR="006A63D0" w:rsidRPr="00451340" w:rsidRDefault="006A63D0" w:rsidP="00AE30CB">
      <w:pPr>
        <w:pStyle w:val="ListParagraph"/>
        <w:spacing w:line="360" w:lineRule="auto"/>
        <w:ind w:left="0"/>
        <w:rPr>
          <w:rFonts w:ascii="Times New Roman" w:hAnsi="Times New Roman"/>
          <w:sz w:val="24"/>
        </w:rPr>
      </w:pPr>
    </w:p>
    <w:p w:rsidR="008B1E40" w:rsidRPr="00451340" w:rsidRDefault="000B013A" w:rsidP="00660842">
      <w:pPr>
        <w:pStyle w:val="ListParagraph"/>
        <w:numPr>
          <w:ilvl w:val="0"/>
          <w:numId w:val="37"/>
        </w:numPr>
        <w:spacing w:line="360" w:lineRule="auto"/>
        <w:rPr>
          <w:rFonts w:ascii="Times New Roman" w:hAnsi="Times New Roman"/>
          <w:b/>
          <w:sz w:val="24"/>
        </w:rPr>
      </w:pPr>
      <w:r>
        <w:rPr>
          <w:rFonts w:ascii="Times New Roman" w:hAnsi="Times New Roman"/>
          <w:b/>
          <w:sz w:val="24"/>
        </w:rPr>
        <w:t>Results from Models Developed in the Context of</w:t>
      </w:r>
      <w:r w:rsidR="008B1E40" w:rsidRPr="00451340">
        <w:rPr>
          <w:rFonts w:ascii="Times New Roman" w:hAnsi="Times New Roman"/>
          <w:b/>
          <w:sz w:val="24"/>
        </w:rPr>
        <w:t xml:space="preserve"> </w:t>
      </w:r>
      <w:r w:rsidR="00176C70">
        <w:rPr>
          <w:rFonts w:ascii="Times New Roman" w:hAnsi="Times New Roman"/>
          <w:b/>
          <w:sz w:val="24"/>
        </w:rPr>
        <w:t>P</w:t>
      </w:r>
      <w:r w:rsidR="008B1E40" w:rsidRPr="00451340">
        <w:rPr>
          <w:rFonts w:ascii="Times New Roman" w:hAnsi="Times New Roman"/>
          <w:b/>
          <w:sz w:val="24"/>
        </w:rPr>
        <w:t xml:space="preserve">ostsurvey </w:t>
      </w:r>
      <w:r w:rsidR="00176C70">
        <w:rPr>
          <w:rFonts w:ascii="Times New Roman" w:hAnsi="Times New Roman"/>
          <w:b/>
          <w:sz w:val="24"/>
        </w:rPr>
        <w:t>A</w:t>
      </w:r>
      <w:r w:rsidR="008B1E40" w:rsidRPr="00451340">
        <w:rPr>
          <w:rFonts w:ascii="Times New Roman" w:hAnsi="Times New Roman"/>
          <w:b/>
          <w:sz w:val="24"/>
        </w:rPr>
        <w:t xml:space="preserve">djustments for </w:t>
      </w:r>
      <w:r w:rsidR="00176C70">
        <w:rPr>
          <w:rFonts w:ascii="Times New Roman" w:hAnsi="Times New Roman"/>
          <w:b/>
          <w:sz w:val="24"/>
        </w:rPr>
        <w:t>N</w:t>
      </w:r>
      <w:r w:rsidR="008B1E40" w:rsidRPr="00451340">
        <w:rPr>
          <w:rFonts w:ascii="Times New Roman" w:hAnsi="Times New Roman"/>
          <w:b/>
          <w:sz w:val="24"/>
        </w:rPr>
        <w:t>onresponse</w:t>
      </w:r>
    </w:p>
    <w:p w:rsidR="008B1E40" w:rsidRDefault="00B55448" w:rsidP="00AE30CB">
      <w:pPr>
        <w:spacing w:line="360" w:lineRule="auto"/>
        <w:rPr>
          <w:rFonts w:ascii="Times New Roman" w:hAnsi="Times New Roman"/>
        </w:rPr>
      </w:pPr>
      <w:r>
        <w:rPr>
          <w:rFonts w:ascii="Times New Roman" w:hAnsi="Times New Roman"/>
        </w:rPr>
        <w:t xml:space="preserve">As part of the preparation of the public-use data file that includes data collected from </w:t>
      </w:r>
      <w:r w:rsidR="00877A42">
        <w:rPr>
          <w:rFonts w:ascii="Times New Roman" w:hAnsi="Times New Roman"/>
        </w:rPr>
        <w:t xml:space="preserve">September </w:t>
      </w:r>
      <w:r w:rsidR="0060227F">
        <w:rPr>
          <w:rFonts w:ascii="Times New Roman" w:hAnsi="Times New Roman"/>
        </w:rPr>
        <w:t>201</w:t>
      </w:r>
      <w:r w:rsidR="00E86AF0">
        <w:rPr>
          <w:rFonts w:ascii="Times New Roman" w:hAnsi="Times New Roman"/>
        </w:rPr>
        <w:t>5</w:t>
      </w:r>
      <w:r w:rsidR="0060227F">
        <w:rPr>
          <w:rFonts w:ascii="Times New Roman" w:hAnsi="Times New Roman"/>
        </w:rPr>
        <w:t xml:space="preserve"> </w:t>
      </w:r>
      <w:r>
        <w:rPr>
          <w:rFonts w:ascii="Times New Roman" w:hAnsi="Times New Roman"/>
        </w:rPr>
        <w:t xml:space="preserve">to </w:t>
      </w:r>
      <w:r w:rsidR="00877A42">
        <w:rPr>
          <w:rFonts w:ascii="Times New Roman" w:hAnsi="Times New Roman"/>
        </w:rPr>
        <w:t xml:space="preserve">September </w:t>
      </w:r>
      <w:r w:rsidR="0060227F">
        <w:rPr>
          <w:rFonts w:ascii="Times New Roman" w:hAnsi="Times New Roman"/>
        </w:rPr>
        <w:t>201</w:t>
      </w:r>
      <w:r w:rsidR="00E86AF0">
        <w:rPr>
          <w:rFonts w:ascii="Times New Roman" w:hAnsi="Times New Roman"/>
        </w:rPr>
        <w:t>7</w:t>
      </w:r>
      <w:r>
        <w:rPr>
          <w:rFonts w:ascii="Times New Roman" w:hAnsi="Times New Roman"/>
        </w:rPr>
        <w:t xml:space="preserve">, we developed nonresponse adjustment models. </w:t>
      </w:r>
      <w:r w:rsidR="00CE29B2">
        <w:rPr>
          <w:rFonts w:ascii="Times New Roman" w:hAnsi="Times New Roman"/>
        </w:rPr>
        <w:t xml:space="preserve"> </w:t>
      </w:r>
      <w:r>
        <w:rPr>
          <w:rFonts w:ascii="Times New Roman" w:hAnsi="Times New Roman"/>
        </w:rPr>
        <w:t xml:space="preserve">These models included variables that predicted both response and key estimates produced by the NSFG. </w:t>
      </w:r>
      <w:r w:rsidR="00CE29B2">
        <w:rPr>
          <w:rFonts w:ascii="Times New Roman" w:hAnsi="Times New Roman"/>
        </w:rPr>
        <w:t xml:space="preserve"> </w:t>
      </w:r>
      <w:r>
        <w:rPr>
          <w:rFonts w:ascii="Times New Roman" w:hAnsi="Times New Roman"/>
        </w:rPr>
        <w:t xml:space="preserve">Variables that meet these criteria are best suited for adjusting for nonresponse bias (Little and Vartivarian, 2005). </w:t>
      </w:r>
      <w:r w:rsidR="00CE29B2">
        <w:rPr>
          <w:rFonts w:ascii="Times New Roman" w:hAnsi="Times New Roman"/>
        </w:rPr>
        <w:t xml:space="preserve"> </w:t>
      </w:r>
      <w:r>
        <w:rPr>
          <w:rFonts w:ascii="Times New Roman" w:hAnsi="Times New Roman"/>
        </w:rPr>
        <w:t xml:space="preserve">Models were selected predicting both response to the screener interview and the main interview. </w:t>
      </w:r>
      <w:r w:rsidR="00CE29B2">
        <w:rPr>
          <w:rFonts w:ascii="Times New Roman" w:hAnsi="Times New Roman"/>
        </w:rPr>
        <w:t xml:space="preserve"> </w:t>
      </w:r>
      <w:r w:rsidR="00F11067">
        <w:rPr>
          <w:rFonts w:ascii="Times New Roman" w:hAnsi="Times New Roman"/>
        </w:rPr>
        <w:t>Tables 2</w:t>
      </w:r>
      <w:r>
        <w:rPr>
          <w:rFonts w:ascii="Times New Roman" w:hAnsi="Times New Roman"/>
        </w:rPr>
        <w:t xml:space="preserve"> and </w:t>
      </w:r>
      <w:r w:rsidR="00F11067">
        <w:rPr>
          <w:rFonts w:ascii="Times New Roman" w:hAnsi="Times New Roman"/>
        </w:rPr>
        <w:t>3</w:t>
      </w:r>
      <w:r>
        <w:rPr>
          <w:rFonts w:ascii="Times New Roman" w:hAnsi="Times New Roman"/>
        </w:rPr>
        <w:t xml:space="preserve"> below show the variables used in these models (screener and main). </w:t>
      </w:r>
    </w:p>
    <w:p w:rsidR="007E7D93" w:rsidRDefault="007E7D93" w:rsidP="00AE30CB">
      <w:pPr>
        <w:spacing w:line="360" w:lineRule="auto"/>
        <w:rPr>
          <w:rFonts w:ascii="Times New Roman" w:hAnsi="Times New Roman"/>
        </w:rPr>
      </w:pPr>
    </w:p>
    <w:tbl>
      <w:tblPr>
        <w:tblW w:w="10467" w:type="dxa"/>
        <w:tblInd w:w="93" w:type="dxa"/>
        <w:tblLook w:val="04A0" w:firstRow="1" w:lastRow="0" w:firstColumn="1" w:lastColumn="0" w:noHBand="0" w:noVBand="1"/>
      </w:tblPr>
      <w:tblGrid>
        <w:gridCol w:w="3843"/>
        <w:gridCol w:w="127"/>
        <w:gridCol w:w="6353"/>
        <w:gridCol w:w="144"/>
      </w:tblGrid>
      <w:tr w:rsidR="007E7D93" w:rsidRPr="00937B2D" w:rsidTr="007E7D93">
        <w:trPr>
          <w:trHeight w:val="300"/>
        </w:trPr>
        <w:tc>
          <w:tcPr>
            <w:tcW w:w="10467" w:type="dxa"/>
            <w:gridSpan w:val="4"/>
            <w:tcBorders>
              <w:top w:val="nil"/>
              <w:left w:val="nil"/>
              <w:bottom w:val="nil"/>
              <w:right w:val="nil"/>
            </w:tcBorders>
            <w:shd w:val="clear" w:color="auto" w:fill="auto"/>
            <w:noWrap/>
            <w:vAlign w:val="bottom"/>
            <w:hideMark/>
          </w:tcPr>
          <w:p w:rsidR="007E7D93" w:rsidRPr="00937B2D" w:rsidRDefault="007E7D93" w:rsidP="005571D8">
            <w:pPr>
              <w:tabs>
                <w:tab w:val="left" w:pos="810"/>
                <w:tab w:val="left" w:pos="1170"/>
              </w:tabs>
              <w:rPr>
                <w:rFonts w:ascii="Calibri" w:hAnsi="Calibri"/>
                <w:b/>
                <w:bCs/>
              </w:rPr>
            </w:pPr>
            <w:r w:rsidRPr="00937B2D">
              <w:rPr>
                <w:rFonts w:ascii="Calibri" w:hAnsi="Calibri"/>
                <w:b/>
                <w:bCs/>
              </w:rPr>
              <w:t xml:space="preserve">Table </w:t>
            </w:r>
            <w:r w:rsidR="00F11067" w:rsidRPr="00937B2D">
              <w:rPr>
                <w:rFonts w:ascii="Calibri" w:hAnsi="Calibri"/>
                <w:b/>
                <w:bCs/>
              </w:rPr>
              <w:t>2</w:t>
            </w:r>
            <w:r w:rsidRPr="00937B2D">
              <w:rPr>
                <w:rFonts w:ascii="Calibri" w:hAnsi="Calibri"/>
                <w:b/>
                <w:bCs/>
              </w:rPr>
              <w:t>. Screener response propensity predictors for nonresponse adjustment models: National Survey of Family Growth 201</w:t>
            </w:r>
            <w:r w:rsidR="005571D8">
              <w:rPr>
                <w:rFonts w:ascii="Calibri" w:hAnsi="Calibri"/>
                <w:b/>
                <w:bCs/>
              </w:rPr>
              <w:t>5</w:t>
            </w:r>
            <w:r w:rsidRPr="00937B2D">
              <w:rPr>
                <w:rFonts w:ascii="Calibri" w:hAnsi="Calibri"/>
                <w:b/>
                <w:bCs/>
              </w:rPr>
              <w:t>-201</w:t>
            </w:r>
            <w:r w:rsidR="005571D8">
              <w:rPr>
                <w:rFonts w:ascii="Calibri" w:hAnsi="Calibri"/>
                <w:b/>
                <w:bCs/>
              </w:rPr>
              <w:t>7</w:t>
            </w:r>
          </w:p>
        </w:tc>
      </w:tr>
      <w:tr w:rsidR="007E7D93" w:rsidRPr="00937B2D" w:rsidTr="007E7D93">
        <w:trPr>
          <w:trHeight w:val="300"/>
        </w:trPr>
        <w:tc>
          <w:tcPr>
            <w:tcW w:w="3970" w:type="dxa"/>
            <w:gridSpan w:val="2"/>
            <w:tcBorders>
              <w:top w:val="single" w:sz="4" w:space="0" w:color="auto"/>
              <w:left w:val="nil"/>
              <w:bottom w:val="single" w:sz="4" w:space="0" w:color="auto"/>
              <w:right w:val="nil"/>
            </w:tcBorders>
            <w:shd w:val="clear" w:color="auto" w:fill="auto"/>
            <w:noWrap/>
            <w:vAlign w:val="bottom"/>
            <w:hideMark/>
          </w:tcPr>
          <w:p w:rsidR="007E7D93" w:rsidRPr="00937B2D" w:rsidRDefault="007E7D93" w:rsidP="00937B2D">
            <w:pPr>
              <w:tabs>
                <w:tab w:val="left" w:pos="810"/>
                <w:tab w:val="left" w:pos="1170"/>
              </w:tabs>
              <w:rPr>
                <w:rFonts w:ascii="Calibri" w:hAnsi="Calibri"/>
              </w:rPr>
            </w:pPr>
            <w:r w:rsidRPr="00937B2D">
              <w:rPr>
                <w:rFonts w:ascii="Calibri" w:hAnsi="Calibri"/>
              </w:rPr>
              <w:t>Predictor Name</w:t>
            </w:r>
          </w:p>
        </w:tc>
        <w:tc>
          <w:tcPr>
            <w:tcW w:w="6497" w:type="dxa"/>
            <w:gridSpan w:val="2"/>
            <w:tcBorders>
              <w:top w:val="single" w:sz="4" w:space="0" w:color="auto"/>
              <w:left w:val="nil"/>
              <w:bottom w:val="single" w:sz="4" w:space="0" w:color="auto"/>
              <w:right w:val="nil"/>
            </w:tcBorders>
            <w:shd w:val="clear" w:color="auto" w:fill="auto"/>
            <w:noWrap/>
            <w:vAlign w:val="bottom"/>
            <w:hideMark/>
          </w:tcPr>
          <w:p w:rsidR="007E7D93" w:rsidRPr="00937B2D" w:rsidRDefault="007E7D93" w:rsidP="00937B2D">
            <w:pPr>
              <w:tabs>
                <w:tab w:val="left" w:pos="810"/>
                <w:tab w:val="left" w:pos="1170"/>
              </w:tabs>
              <w:rPr>
                <w:rFonts w:ascii="Calibri" w:hAnsi="Calibri"/>
              </w:rPr>
            </w:pPr>
            <w:r w:rsidRPr="00937B2D">
              <w:rPr>
                <w:rFonts w:ascii="Calibri" w:hAnsi="Calibri"/>
              </w:rPr>
              <w:t>Description</w:t>
            </w:r>
          </w:p>
        </w:tc>
      </w:tr>
      <w:tr w:rsidR="007E7D93" w:rsidRPr="00937B2D" w:rsidTr="007E7D93">
        <w:trPr>
          <w:trHeight w:val="300"/>
        </w:trPr>
        <w:tc>
          <w:tcPr>
            <w:tcW w:w="3970" w:type="dxa"/>
            <w:gridSpan w:val="2"/>
            <w:tcBorders>
              <w:top w:val="nil"/>
              <w:left w:val="nil"/>
              <w:bottom w:val="nil"/>
              <w:right w:val="nil"/>
            </w:tcBorders>
            <w:shd w:val="clear" w:color="auto" w:fill="auto"/>
            <w:noWrap/>
            <w:hideMark/>
          </w:tcPr>
          <w:p w:rsidR="007E7D93" w:rsidRPr="00937B2D" w:rsidRDefault="007E7D93" w:rsidP="00937B2D">
            <w:pPr>
              <w:tabs>
                <w:tab w:val="left" w:pos="810"/>
                <w:tab w:val="left" w:pos="1170"/>
              </w:tabs>
              <w:rPr>
                <w:rFonts w:ascii="Calibri" w:hAnsi="Calibri"/>
                <w:caps/>
              </w:rPr>
            </w:pPr>
            <w:r w:rsidRPr="00937B2D">
              <w:rPr>
                <w:rFonts w:ascii="Calibri" w:hAnsi="Calibri"/>
                <w:caps/>
              </w:rPr>
              <w:t>urban</w:t>
            </w:r>
          </w:p>
        </w:tc>
        <w:tc>
          <w:tcPr>
            <w:tcW w:w="6497" w:type="dxa"/>
            <w:gridSpan w:val="2"/>
            <w:tcBorders>
              <w:top w:val="nil"/>
              <w:left w:val="nil"/>
              <w:bottom w:val="nil"/>
              <w:right w:val="nil"/>
            </w:tcBorders>
            <w:shd w:val="clear" w:color="auto" w:fill="auto"/>
            <w:noWrap/>
            <w:hideMark/>
          </w:tcPr>
          <w:p w:rsidR="007E7D93" w:rsidRPr="00937B2D" w:rsidRDefault="007E7D93" w:rsidP="00937B2D">
            <w:pPr>
              <w:tabs>
                <w:tab w:val="left" w:pos="810"/>
                <w:tab w:val="left" w:pos="1170"/>
              </w:tabs>
              <w:spacing w:after="60"/>
              <w:rPr>
                <w:rFonts w:ascii="Calibri" w:hAnsi="Calibri"/>
              </w:rPr>
            </w:pPr>
            <w:r w:rsidRPr="00937B2D">
              <w:rPr>
                <w:rFonts w:ascii="Calibri" w:hAnsi="Calibri"/>
              </w:rPr>
              <w:t>Address in an  urban location (yes/no)</w:t>
            </w:r>
          </w:p>
        </w:tc>
      </w:tr>
      <w:tr w:rsidR="007E7D93" w:rsidRPr="00937B2D" w:rsidTr="007E7D93">
        <w:trPr>
          <w:trHeight w:val="300"/>
        </w:trPr>
        <w:tc>
          <w:tcPr>
            <w:tcW w:w="3970" w:type="dxa"/>
            <w:gridSpan w:val="2"/>
            <w:tcBorders>
              <w:top w:val="nil"/>
              <w:left w:val="nil"/>
              <w:bottom w:val="nil"/>
              <w:right w:val="nil"/>
            </w:tcBorders>
            <w:shd w:val="clear" w:color="auto" w:fill="auto"/>
            <w:noWrap/>
            <w:hideMark/>
          </w:tcPr>
          <w:p w:rsidR="007E7D93" w:rsidRPr="00937B2D" w:rsidRDefault="007E7D93" w:rsidP="00937B2D">
            <w:pPr>
              <w:tabs>
                <w:tab w:val="left" w:pos="810"/>
                <w:tab w:val="left" w:pos="1170"/>
              </w:tabs>
              <w:rPr>
                <w:rFonts w:ascii="Calibri" w:hAnsi="Calibri"/>
                <w:caps/>
              </w:rPr>
            </w:pPr>
            <w:r w:rsidRPr="00937B2D">
              <w:rPr>
                <w:rFonts w:ascii="Calibri" w:hAnsi="Calibri"/>
                <w:caps/>
              </w:rPr>
              <w:t>calls_cat</w:t>
            </w:r>
          </w:p>
        </w:tc>
        <w:tc>
          <w:tcPr>
            <w:tcW w:w="6497" w:type="dxa"/>
            <w:gridSpan w:val="2"/>
            <w:tcBorders>
              <w:top w:val="nil"/>
              <w:left w:val="nil"/>
              <w:bottom w:val="nil"/>
              <w:right w:val="nil"/>
            </w:tcBorders>
            <w:shd w:val="clear" w:color="auto" w:fill="auto"/>
            <w:noWrap/>
            <w:hideMark/>
          </w:tcPr>
          <w:p w:rsidR="007E7D93" w:rsidRPr="00937B2D" w:rsidRDefault="007E7D93" w:rsidP="00937B2D">
            <w:pPr>
              <w:tabs>
                <w:tab w:val="left" w:pos="810"/>
                <w:tab w:val="left" w:pos="1170"/>
              </w:tabs>
              <w:spacing w:after="60"/>
              <w:rPr>
                <w:rFonts w:ascii="Calibri" w:hAnsi="Calibri"/>
              </w:rPr>
            </w:pPr>
            <w:r w:rsidRPr="00937B2D">
              <w:rPr>
                <w:rFonts w:ascii="Calibri" w:hAnsi="Calibri"/>
              </w:rPr>
              <w:t>Category for number of Screener Call Attempts (1=1-5; 2=6-8; 3=9+)</w:t>
            </w:r>
          </w:p>
        </w:tc>
      </w:tr>
      <w:tr w:rsidR="007E7D93" w:rsidRPr="00937B2D" w:rsidTr="007E7D93">
        <w:trPr>
          <w:gridAfter w:val="1"/>
          <w:wAfter w:w="144" w:type="dxa"/>
          <w:trHeight w:val="600"/>
        </w:trPr>
        <w:tc>
          <w:tcPr>
            <w:tcW w:w="3843" w:type="dxa"/>
            <w:tcBorders>
              <w:top w:val="nil"/>
              <w:left w:val="nil"/>
              <w:bottom w:val="nil"/>
              <w:right w:val="nil"/>
            </w:tcBorders>
            <w:shd w:val="clear" w:color="auto" w:fill="auto"/>
            <w:hideMark/>
          </w:tcPr>
          <w:p w:rsidR="007E7D93" w:rsidRPr="00937B2D" w:rsidRDefault="007E7D93" w:rsidP="005571D8">
            <w:pPr>
              <w:tabs>
                <w:tab w:val="left" w:pos="810"/>
                <w:tab w:val="left" w:pos="1170"/>
              </w:tabs>
              <w:rPr>
                <w:rFonts w:ascii="Calibri" w:hAnsi="Calibri"/>
                <w:caps/>
              </w:rPr>
            </w:pPr>
            <w:r w:rsidRPr="00937B2D">
              <w:rPr>
                <w:rFonts w:ascii="Calibri" w:hAnsi="Calibri"/>
                <w:caps/>
              </w:rPr>
              <w:t>Med_house_val_tr_ACS_</w:t>
            </w:r>
            <w:r w:rsidR="005571D8">
              <w:rPr>
                <w:rFonts w:ascii="Calibri" w:hAnsi="Calibri"/>
                <w:caps/>
              </w:rPr>
              <w:t>10</w:t>
            </w:r>
            <w:r w:rsidRPr="00937B2D">
              <w:rPr>
                <w:rFonts w:ascii="Calibri" w:hAnsi="Calibri"/>
                <w:caps/>
              </w:rPr>
              <w:t>_1</w:t>
            </w:r>
            <w:r w:rsidR="005571D8">
              <w:rPr>
                <w:rFonts w:ascii="Calibri" w:hAnsi="Calibri"/>
                <w:caps/>
              </w:rPr>
              <w:t>4</w:t>
            </w:r>
          </w:p>
        </w:tc>
        <w:tc>
          <w:tcPr>
            <w:tcW w:w="6480" w:type="dxa"/>
            <w:gridSpan w:val="2"/>
            <w:tcBorders>
              <w:top w:val="nil"/>
              <w:left w:val="nil"/>
              <w:bottom w:val="nil"/>
              <w:right w:val="nil"/>
            </w:tcBorders>
            <w:shd w:val="clear" w:color="auto" w:fill="auto"/>
            <w:hideMark/>
          </w:tcPr>
          <w:p w:rsidR="007E7D93" w:rsidRPr="00937B2D" w:rsidRDefault="007E7D93" w:rsidP="005571D8">
            <w:pPr>
              <w:tabs>
                <w:tab w:val="left" w:pos="810"/>
                <w:tab w:val="left" w:pos="1170"/>
              </w:tabs>
              <w:spacing w:after="60"/>
              <w:ind w:left="114"/>
              <w:rPr>
                <w:rFonts w:ascii="Calibri" w:hAnsi="Calibri"/>
              </w:rPr>
            </w:pPr>
            <w:r w:rsidRPr="00937B2D">
              <w:rPr>
                <w:rFonts w:ascii="Calibri" w:hAnsi="Calibri"/>
              </w:rPr>
              <w:t>Median House Value for the Census Tract Estimated from ACS 20</w:t>
            </w:r>
            <w:r w:rsidR="005571D8">
              <w:rPr>
                <w:rFonts w:ascii="Calibri" w:hAnsi="Calibri"/>
              </w:rPr>
              <w:t>10</w:t>
            </w:r>
            <w:r w:rsidRPr="00937B2D">
              <w:rPr>
                <w:rFonts w:ascii="Calibri" w:hAnsi="Calibri"/>
              </w:rPr>
              <w:t>-201</w:t>
            </w:r>
            <w:r w:rsidR="005571D8">
              <w:rPr>
                <w:rFonts w:ascii="Calibri" w:hAnsi="Calibri"/>
              </w:rPr>
              <w:t>4</w:t>
            </w:r>
          </w:p>
        </w:tc>
      </w:tr>
      <w:tr w:rsidR="005571D8" w:rsidRPr="00937B2D" w:rsidTr="007E7D93">
        <w:trPr>
          <w:gridAfter w:val="1"/>
          <w:wAfter w:w="144" w:type="dxa"/>
          <w:trHeight w:val="600"/>
        </w:trPr>
        <w:tc>
          <w:tcPr>
            <w:tcW w:w="3843" w:type="dxa"/>
            <w:tcBorders>
              <w:top w:val="nil"/>
              <w:left w:val="nil"/>
              <w:bottom w:val="nil"/>
              <w:right w:val="nil"/>
            </w:tcBorders>
            <w:shd w:val="clear" w:color="auto" w:fill="auto"/>
          </w:tcPr>
          <w:p w:rsidR="005571D8" w:rsidRPr="00937B2D" w:rsidRDefault="005571D8" w:rsidP="005571D8">
            <w:pPr>
              <w:tabs>
                <w:tab w:val="left" w:pos="810"/>
                <w:tab w:val="left" w:pos="1170"/>
              </w:tabs>
              <w:rPr>
                <w:rFonts w:ascii="Calibri" w:hAnsi="Calibri"/>
                <w:caps/>
              </w:rPr>
            </w:pPr>
            <w:r>
              <w:rPr>
                <w:rFonts w:ascii="Calibri" w:hAnsi="Calibri"/>
                <w:caps/>
              </w:rPr>
              <w:t>AGGREGATE_HH_INC_ACS_10_14</w:t>
            </w:r>
          </w:p>
        </w:tc>
        <w:tc>
          <w:tcPr>
            <w:tcW w:w="6480" w:type="dxa"/>
            <w:gridSpan w:val="2"/>
            <w:tcBorders>
              <w:top w:val="nil"/>
              <w:left w:val="nil"/>
              <w:bottom w:val="nil"/>
              <w:right w:val="nil"/>
            </w:tcBorders>
            <w:shd w:val="clear" w:color="auto" w:fill="auto"/>
          </w:tcPr>
          <w:p w:rsidR="005571D8" w:rsidRPr="00937B2D" w:rsidRDefault="005571D8" w:rsidP="005571D8">
            <w:pPr>
              <w:tabs>
                <w:tab w:val="left" w:pos="810"/>
                <w:tab w:val="left" w:pos="1170"/>
              </w:tabs>
              <w:spacing w:after="60"/>
              <w:ind w:left="114"/>
              <w:rPr>
                <w:rFonts w:ascii="Calibri" w:hAnsi="Calibri"/>
              </w:rPr>
            </w:pPr>
            <w:r>
              <w:rPr>
                <w:rFonts w:ascii="Calibri" w:hAnsi="Calibri"/>
              </w:rPr>
              <w:t>Aggregate Household Income</w:t>
            </w:r>
            <w:r w:rsidRPr="00937B2D">
              <w:rPr>
                <w:rFonts w:ascii="Calibri" w:hAnsi="Calibri"/>
              </w:rPr>
              <w:t xml:space="preserve"> for the Census Tract Estimated from ACS 20</w:t>
            </w:r>
            <w:r>
              <w:rPr>
                <w:rFonts w:ascii="Calibri" w:hAnsi="Calibri"/>
              </w:rPr>
              <w:t>10</w:t>
            </w:r>
            <w:r w:rsidRPr="00937B2D">
              <w:rPr>
                <w:rFonts w:ascii="Calibri" w:hAnsi="Calibri"/>
              </w:rPr>
              <w:t>-201</w:t>
            </w:r>
            <w:r>
              <w:rPr>
                <w:rFonts w:ascii="Calibri" w:hAnsi="Calibri"/>
              </w:rPr>
              <w:t>4</w:t>
            </w:r>
          </w:p>
        </w:tc>
      </w:tr>
      <w:tr w:rsidR="00714AED" w:rsidRPr="00937B2D" w:rsidTr="007E7D93">
        <w:trPr>
          <w:gridAfter w:val="1"/>
          <w:wAfter w:w="144" w:type="dxa"/>
          <w:trHeight w:val="600"/>
        </w:trPr>
        <w:tc>
          <w:tcPr>
            <w:tcW w:w="3843" w:type="dxa"/>
            <w:tcBorders>
              <w:top w:val="nil"/>
              <w:left w:val="nil"/>
              <w:bottom w:val="nil"/>
              <w:right w:val="nil"/>
            </w:tcBorders>
            <w:shd w:val="clear" w:color="auto" w:fill="auto"/>
          </w:tcPr>
          <w:p w:rsidR="00714AED" w:rsidRDefault="00714AED" w:rsidP="005571D8">
            <w:pPr>
              <w:tabs>
                <w:tab w:val="left" w:pos="810"/>
                <w:tab w:val="left" w:pos="1170"/>
              </w:tabs>
              <w:rPr>
                <w:rFonts w:ascii="Calibri" w:hAnsi="Calibri"/>
                <w:caps/>
              </w:rPr>
            </w:pPr>
            <w:r>
              <w:rPr>
                <w:rFonts w:ascii="Calibri" w:hAnsi="Calibri"/>
                <w:caps/>
              </w:rPr>
              <w:t>RENTER_OCCP_HU_CEN_2010</w:t>
            </w:r>
          </w:p>
        </w:tc>
        <w:tc>
          <w:tcPr>
            <w:tcW w:w="6480" w:type="dxa"/>
            <w:gridSpan w:val="2"/>
            <w:tcBorders>
              <w:top w:val="nil"/>
              <w:left w:val="nil"/>
              <w:bottom w:val="nil"/>
              <w:right w:val="nil"/>
            </w:tcBorders>
            <w:shd w:val="clear" w:color="auto" w:fill="auto"/>
          </w:tcPr>
          <w:p w:rsidR="00714AED" w:rsidRDefault="00407932" w:rsidP="005571D8">
            <w:pPr>
              <w:tabs>
                <w:tab w:val="left" w:pos="810"/>
                <w:tab w:val="left" w:pos="1170"/>
              </w:tabs>
              <w:spacing w:after="60"/>
              <w:ind w:left="114"/>
              <w:rPr>
                <w:rFonts w:ascii="Calibri" w:hAnsi="Calibri"/>
              </w:rPr>
            </w:pPr>
            <w:r>
              <w:rPr>
                <w:rFonts w:ascii="Calibri" w:hAnsi="Calibri"/>
              </w:rPr>
              <w:t>Proportion of Occupied Housing Units that are Rented from Decennial Census 2010.</w:t>
            </w:r>
          </w:p>
        </w:tc>
      </w:tr>
      <w:tr w:rsidR="007E7D93" w:rsidRPr="00937B2D" w:rsidTr="007E7D93">
        <w:trPr>
          <w:trHeight w:val="300"/>
        </w:trPr>
        <w:tc>
          <w:tcPr>
            <w:tcW w:w="3970" w:type="dxa"/>
            <w:gridSpan w:val="2"/>
            <w:tcBorders>
              <w:top w:val="nil"/>
              <w:left w:val="nil"/>
              <w:bottom w:val="nil"/>
              <w:right w:val="nil"/>
            </w:tcBorders>
            <w:shd w:val="clear" w:color="auto" w:fill="auto"/>
            <w:noWrap/>
          </w:tcPr>
          <w:p w:rsidR="007E7D93" w:rsidRPr="00937B2D" w:rsidRDefault="007E7D93" w:rsidP="00937B2D">
            <w:pPr>
              <w:tabs>
                <w:tab w:val="left" w:pos="810"/>
                <w:tab w:val="left" w:pos="1170"/>
              </w:tabs>
              <w:rPr>
                <w:rFonts w:ascii="Calibri" w:hAnsi="Calibri"/>
                <w:caps/>
              </w:rPr>
            </w:pPr>
            <w:r w:rsidRPr="00937B2D">
              <w:rPr>
                <w:rFonts w:ascii="Calibri" w:hAnsi="Calibri"/>
                <w:caps/>
              </w:rPr>
              <w:t>BL_HISP_PERC</w:t>
            </w:r>
          </w:p>
        </w:tc>
        <w:tc>
          <w:tcPr>
            <w:tcW w:w="6497" w:type="dxa"/>
            <w:gridSpan w:val="2"/>
            <w:tcBorders>
              <w:top w:val="nil"/>
              <w:left w:val="nil"/>
              <w:bottom w:val="nil"/>
              <w:right w:val="nil"/>
            </w:tcBorders>
            <w:shd w:val="clear" w:color="auto" w:fill="auto"/>
            <w:noWrap/>
          </w:tcPr>
          <w:p w:rsidR="007E7D93" w:rsidRPr="00937B2D" w:rsidRDefault="007E7D93" w:rsidP="00937B2D">
            <w:pPr>
              <w:tabs>
                <w:tab w:val="left" w:pos="810"/>
                <w:tab w:val="left" w:pos="1170"/>
              </w:tabs>
              <w:spacing w:after="60"/>
              <w:rPr>
                <w:rFonts w:ascii="Calibri" w:hAnsi="Calibri"/>
              </w:rPr>
            </w:pPr>
            <w:r w:rsidRPr="00937B2D">
              <w:rPr>
                <w:rFonts w:ascii="Calibri" w:hAnsi="Calibri"/>
              </w:rPr>
              <w:t>Percent of population in Census Block Group that is Non-Hispanic Black or Hispanic from Decennial Census 2010.</w:t>
            </w:r>
          </w:p>
        </w:tc>
      </w:tr>
      <w:tr w:rsidR="007E7D93" w:rsidRPr="00937B2D" w:rsidTr="007E7D93">
        <w:trPr>
          <w:trHeight w:val="300"/>
        </w:trPr>
        <w:tc>
          <w:tcPr>
            <w:tcW w:w="3970" w:type="dxa"/>
            <w:gridSpan w:val="2"/>
            <w:tcBorders>
              <w:top w:val="nil"/>
              <w:left w:val="nil"/>
              <w:bottom w:val="nil"/>
              <w:right w:val="nil"/>
            </w:tcBorders>
            <w:shd w:val="clear" w:color="auto" w:fill="auto"/>
            <w:noWrap/>
            <w:hideMark/>
          </w:tcPr>
          <w:p w:rsidR="007E7D93" w:rsidRPr="00937B2D" w:rsidRDefault="00714AED" w:rsidP="00937B2D">
            <w:pPr>
              <w:tabs>
                <w:tab w:val="left" w:pos="810"/>
                <w:tab w:val="left" w:pos="1170"/>
              </w:tabs>
              <w:rPr>
                <w:rFonts w:ascii="Calibri" w:hAnsi="Calibri"/>
                <w:caps/>
              </w:rPr>
            </w:pPr>
            <w:r>
              <w:rPr>
                <w:rFonts w:ascii="Calibri" w:hAnsi="Calibri"/>
                <w:caps/>
              </w:rPr>
              <w:t>CHILDRENUNDER15</w:t>
            </w:r>
          </w:p>
        </w:tc>
        <w:tc>
          <w:tcPr>
            <w:tcW w:w="6497" w:type="dxa"/>
            <w:gridSpan w:val="2"/>
            <w:tcBorders>
              <w:top w:val="nil"/>
              <w:left w:val="nil"/>
              <w:bottom w:val="nil"/>
              <w:right w:val="nil"/>
            </w:tcBorders>
            <w:shd w:val="clear" w:color="auto" w:fill="auto"/>
            <w:noWrap/>
            <w:hideMark/>
          </w:tcPr>
          <w:p w:rsidR="007E7D93" w:rsidRPr="00937B2D" w:rsidRDefault="007E7D93" w:rsidP="00937B2D">
            <w:pPr>
              <w:tabs>
                <w:tab w:val="left" w:pos="810"/>
                <w:tab w:val="left" w:pos="1170"/>
              </w:tabs>
              <w:spacing w:after="60"/>
              <w:rPr>
                <w:rFonts w:ascii="Calibri" w:hAnsi="Calibri"/>
              </w:rPr>
            </w:pPr>
            <w:r w:rsidRPr="00937B2D">
              <w:rPr>
                <w:rFonts w:ascii="Calibri" w:hAnsi="Calibri"/>
              </w:rPr>
              <w:t>Interviewer Observation about Presence of Children in Housing Unit (yes/no)</w:t>
            </w:r>
          </w:p>
        </w:tc>
      </w:tr>
      <w:tr w:rsidR="007E7D93" w:rsidRPr="00937B2D" w:rsidTr="007E7D93">
        <w:trPr>
          <w:trHeight w:val="600"/>
        </w:trPr>
        <w:tc>
          <w:tcPr>
            <w:tcW w:w="3970" w:type="dxa"/>
            <w:gridSpan w:val="2"/>
            <w:tcBorders>
              <w:top w:val="nil"/>
              <w:left w:val="nil"/>
              <w:bottom w:val="nil"/>
              <w:right w:val="nil"/>
            </w:tcBorders>
            <w:shd w:val="clear" w:color="auto" w:fill="auto"/>
            <w:noWrap/>
            <w:hideMark/>
          </w:tcPr>
          <w:p w:rsidR="007E7D93" w:rsidRPr="00937B2D" w:rsidRDefault="00714AED" w:rsidP="00937B2D">
            <w:pPr>
              <w:tabs>
                <w:tab w:val="left" w:pos="810"/>
                <w:tab w:val="left" w:pos="1170"/>
              </w:tabs>
              <w:rPr>
                <w:rFonts w:ascii="Calibri" w:hAnsi="Calibri"/>
                <w:caps/>
              </w:rPr>
            </w:pPr>
            <w:r>
              <w:rPr>
                <w:rFonts w:ascii="Calibri" w:hAnsi="Calibri"/>
                <w:caps/>
              </w:rPr>
              <w:t>MANYUNITS</w:t>
            </w:r>
          </w:p>
        </w:tc>
        <w:tc>
          <w:tcPr>
            <w:tcW w:w="6497" w:type="dxa"/>
            <w:gridSpan w:val="2"/>
            <w:tcBorders>
              <w:top w:val="nil"/>
              <w:left w:val="nil"/>
              <w:bottom w:val="nil"/>
              <w:right w:val="nil"/>
            </w:tcBorders>
            <w:shd w:val="clear" w:color="auto" w:fill="auto"/>
            <w:hideMark/>
          </w:tcPr>
          <w:p w:rsidR="007E7D93" w:rsidRPr="00937B2D" w:rsidRDefault="00407932" w:rsidP="00407932">
            <w:pPr>
              <w:tabs>
                <w:tab w:val="left" w:pos="810"/>
                <w:tab w:val="left" w:pos="1170"/>
              </w:tabs>
              <w:spacing w:after="60"/>
              <w:rPr>
                <w:rFonts w:ascii="Calibri" w:hAnsi="Calibri"/>
              </w:rPr>
            </w:pPr>
            <w:r w:rsidRPr="00937B2D">
              <w:rPr>
                <w:rFonts w:ascii="Calibri" w:hAnsi="Calibri"/>
              </w:rPr>
              <w:t xml:space="preserve">Interviewer Observation about </w:t>
            </w:r>
            <w:r>
              <w:rPr>
                <w:rFonts w:ascii="Calibri" w:hAnsi="Calibri"/>
              </w:rPr>
              <w:t>whether the sampled housing unit is in a multi-unit structure (yes/no).</w:t>
            </w:r>
          </w:p>
        </w:tc>
      </w:tr>
      <w:tr w:rsidR="007E7D93" w:rsidRPr="00937B2D" w:rsidTr="007E7D93">
        <w:trPr>
          <w:trHeight w:val="600"/>
        </w:trPr>
        <w:tc>
          <w:tcPr>
            <w:tcW w:w="3970" w:type="dxa"/>
            <w:gridSpan w:val="2"/>
            <w:tcBorders>
              <w:top w:val="nil"/>
              <w:left w:val="nil"/>
              <w:bottom w:val="nil"/>
              <w:right w:val="nil"/>
            </w:tcBorders>
            <w:shd w:val="clear" w:color="auto" w:fill="auto"/>
            <w:noWrap/>
          </w:tcPr>
          <w:p w:rsidR="007E7D93" w:rsidRPr="00937B2D" w:rsidRDefault="007E7D93" w:rsidP="00937B2D">
            <w:pPr>
              <w:tabs>
                <w:tab w:val="left" w:pos="810"/>
                <w:tab w:val="left" w:pos="1170"/>
              </w:tabs>
              <w:rPr>
                <w:rFonts w:ascii="Calibri" w:hAnsi="Calibri"/>
                <w:caps/>
              </w:rPr>
            </w:pPr>
            <w:r w:rsidRPr="00937B2D">
              <w:rPr>
                <w:rFonts w:ascii="Calibri" w:hAnsi="Calibri"/>
                <w:caps/>
              </w:rPr>
              <w:t>MSG_Numberofchildren</w:t>
            </w:r>
          </w:p>
        </w:tc>
        <w:tc>
          <w:tcPr>
            <w:tcW w:w="6497" w:type="dxa"/>
            <w:gridSpan w:val="2"/>
            <w:tcBorders>
              <w:top w:val="nil"/>
              <w:left w:val="nil"/>
              <w:bottom w:val="nil"/>
              <w:right w:val="nil"/>
            </w:tcBorders>
            <w:shd w:val="clear" w:color="auto" w:fill="auto"/>
          </w:tcPr>
          <w:p w:rsidR="007E7D93" w:rsidRPr="00937B2D" w:rsidRDefault="007E7D93" w:rsidP="00937B2D">
            <w:pPr>
              <w:tabs>
                <w:tab w:val="left" w:pos="810"/>
                <w:tab w:val="left" w:pos="1170"/>
              </w:tabs>
              <w:spacing w:after="60"/>
              <w:rPr>
                <w:rFonts w:ascii="Calibri" w:hAnsi="Calibri"/>
              </w:rPr>
            </w:pPr>
            <w:r w:rsidRPr="00937B2D">
              <w:rPr>
                <w:rFonts w:ascii="Calibri" w:hAnsi="Calibri"/>
              </w:rPr>
              <w:t>An estimated count of the number of children in the household. Based upon commercial data. Treated as categorical data with a category for missing.</w:t>
            </w:r>
          </w:p>
        </w:tc>
      </w:tr>
      <w:tr w:rsidR="00714AED" w:rsidRPr="00937B2D" w:rsidTr="00714AED">
        <w:trPr>
          <w:trHeight w:val="600"/>
        </w:trPr>
        <w:tc>
          <w:tcPr>
            <w:tcW w:w="3970" w:type="dxa"/>
            <w:gridSpan w:val="2"/>
            <w:tcBorders>
              <w:top w:val="nil"/>
              <w:left w:val="nil"/>
              <w:bottom w:val="nil"/>
              <w:right w:val="nil"/>
            </w:tcBorders>
            <w:shd w:val="clear" w:color="auto" w:fill="auto"/>
            <w:noWrap/>
          </w:tcPr>
          <w:p w:rsidR="00714AED" w:rsidRPr="00937B2D" w:rsidRDefault="00714AED" w:rsidP="006340A5">
            <w:pPr>
              <w:tabs>
                <w:tab w:val="left" w:pos="810"/>
                <w:tab w:val="left" w:pos="1170"/>
              </w:tabs>
              <w:rPr>
                <w:rFonts w:ascii="Calibri" w:hAnsi="Calibri"/>
                <w:caps/>
              </w:rPr>
            </w:pPr>
            <w:r w:rsidRPr="00937B2D">
              <w:rPr>
                <w:rFonts w:ascii="Calibri" w:hAnsi="Calibri"/>
                <w:caps/>
              </w:rPr>
              <w:t>MSG_AGE</w:t>
            </w:r>
          </w:p>
        </w:tc>
        <w:tc>
          <w:tcPr>
            <w:tcW w:w="6497" w:type="dxa"/>
            <w:gridSpan w:val="2"/>
            <w:tcBorders>
              <w:top w:val="nil"/>
              <w:left w:val="nil"/>
              <w:bottom w:val="nil"/>
              <w:right w:val="nil"/>
            </w:tcBorders>
            <w:shd w:val="clear" w:color="auto" w:fill="auto"/>
          </w:tcPr>
          <w:p w:rsidR="00714AED" w:rsidRPr="00937B2D" w:rsidRDefault="00714AED" w:rsidP="006340A5">
            <w:pPr>
              <w:tabs>
                <w:tab w:val="left" w:pos="810"/>
                <w:tab w:val="left" w:pos="1170"/>
              </w:tabs>
              <w:spacing w:after="60"/>
              <w:rPr>
                <w:rFonts w:ascii="Calibri" w:hAnsi="Calibri"/>
              </w:rPr>
            </w:pPr>
            <w:r w:rsidRPr="00937B2D">
              <w:rPr>
                <w:rFonts w:ascii="Calibri" w:hAnsi="Calibri"/>
              </w:rPr>
              <w:t>Estimated age of the householder. Based upon commercial data. Treated as categorical data with a category for missing.</w:t>
            </w:r>
          </w:p>
        </w:tc>
      </w:tr>
      <w:tr w:rsidR="007E7D93" w:rsidRPr="00937B2D" w:rsidTr="007E7D93">
        <w:trPr>
          <w:trHeight w:val="600"/>
        </w:trPr>
        <w:tc>
          <w:tcPr>
            <w:tcW w:w="3970" w:type="dxa"/>
            <w:gridSpan w:val="2"/>
            <w:tcBorders>
              <w:top w:val="nil"/>
              <w:left w:val="nil"/>
              <w:bottom w:val="nil"/>
              <w:right w:val="nil"/>
            </w:tcBorders>
            <w:shd w:val="clear" w:color="auto" w:fill="auto"/>
            <w:noWrap/>
          </w:tcPr>
          <w:p w:rsidR="007E7D93" w:rsidRPr="00937B2D" w:rsidRDefault="007E7D93" w:rsidP="00937B2D">
            <w:pPr>
              <w:tabs>
                <w:tab w:val="left" w:pos="810"/>
                <w:tab w:val="left" w:pos="1170"/>
              </w:tabs>
              <w:rPr>
                <w:rFonts w:ascii="Calibri" w:hAnsi="Calibri"/>
                <w:caps/>
              </w:rPr>
            </w:pPr>
            <w:r w:rsidRPr="00937B2D">
              <w:rPr>
                <w:rFonts w:ascii="Calibri" w:hAnsi="Calibri"/>
                <w:caps/>
              </w:rPr>
              <w:t>MSG_</w:t>
            </w:r>
            <w:r w:rsidR="00714AED">
              <w:rPr>
                <w:rFonts w:ascii="Calibri" w:hAnsi="Calibri"/>
                <w:caps/>
              </w:rPr>
              <w:t>P2_</w:t>
            </w:r>
            <w:r w:rsidRPr="00937B2D">
              <w:rPr>
                <w:rFonts w:ascii="Calibri" w:hAnsi="Calibri"/>
                <w:caps/>
              </w:rPr>
              <w:t>AGE</w:t>
            </w:r>
          </w:p>
        </w:tc>
        <w:tc>
          <w:tcPr>
            <w:tcW w:w="6497" w:type="dxa"/>
            <w:gridSpan w:val="2"/>
            <w:tcBorders>
              <w:top w:val="nil"/>
              <w:left w:val="nil"/>
              <w:bottom w:val="nil"/>
              <w:right w:val="nil"/>
            </w:tcBorders>
            <w:shd w:val="clear" w:color="auto" w:fill="auto"/>
          </w:tcPr>
          <w:p w:rsidR="007E7D93" w:rsidRPr="00937B2D" w:rsidRDefault="00714AED" w:rsidP="00714AED">
            <w:pPr>
              <w:tabs>
                <w:tab w:val="left" w:pos="810"/>
                <w:tab w:val="left" w:pos="1170"/>
              </w:tabs>
              <w:spacing w:after="60"/>
              <w:rPr>
                <w:rFonts w:ascii="Calibri" w:hAnsi="Calibri"/>
              </w:rPr>
            </w:pPr>
            <w:r>
              <w:rPr>
                <w:rFonts w:ascii="Calibri" w:hAnsi="Calibri"/>
              </w:rPr>
              <w:t>Estimated age of a second adult in the household</w:t>
            </w:r>
            <w:r w:rsidR="007E7D93" w:rsidRPr="00937B2D">
              <w:rPr>
                <w:rFonts w:ascii="Calibri" w:hAnsi="Calibri"/>
              </w:rPr>
              <w:t>. Based upon commercial data. Treated as categorical data with a category for missing</w:t>
            </w:r>
            <w:r>
              <w:rPr>
                <w:rFonts w:ascii="Calibri" w:hAnsi="Calibri"/>
              </w:rPr>
              <w:t xml:space="preserve"> (including no second person)</w:t>
            </w:r>
            <w:r w:rsidR="007E7D93" w:rsidRPr="00937B2D">
              <w:rPr>
                <w:rFonts w:ascii="Calibri" w:hAnsi="Calibri"/>
              </w:rPr>
              <w:t>.</w:t>
            </w:r>
          </w:p>
        </w:tc>
      </w:tr>
      <w:tr w:rsidR="007E7D93" w:rsidRPr="00937B2D" w:rsidTr="00714AED">
        <w:trPr>
          <w:trHeight w:val="600"/>
        </w:trPr>
        <w:tc>
          <w:tcPr>
            <w:tcW w:w="3970" w:type="dxa"/>
            <w:gridSpan w:val="2"/>
            <w:tcBorders>
              <w:top w:val="nil"/>
              <w:left w:val="nil"/>
              <w:bottom w:val="nil"/>
              <w:right w:val="nil"/>
            </w:tcBorders>
            <w:shd w:val="clear" w:color="auto" w:fill="auto"/>
            <w:noWrap/>
          </w:tcPr>
          <w:p w:rsidR="007E7D93" w:rsidRPr="00937B2D" w:rsidRDefault="007E7D93" w:rsidP="00714AED">
            <w:pPr>
              <w:tabs>
                <w:tab w:val="left" w:pos="810"/>
                <w:tab w:val="left" w:pos="1170"/>
              </w:tabs>
              <w:rPr>
                <w:rFonts w:ascii="Calibri" w:hAnsi="Calibri"/>
                <w:caps/>
              </w:rPr>
            </w:pPr>
            <w:r w:rsidRPr="00937B2D">
              <w:rPr>
                <w:rFonts w:ascii="Calibri" w:hAnsi="Calibri"/>
                <w:caps/>
              </w:rPr>
              <w:t>MSG_</w:t>
            </w:r>
            <w:r w:rsidR="00714AED">
              <w:rPr>
                <w:rFonts w:ascii="Calibri" w:hAnsi="Calibri"/>
                <w:caps/>
              </w:rPr>
              <w:t>INCOME</w:t>
            </w:r>
          </w:p>
        </w:tc>
        <w:tc>
          <w:tcPr>
            <w:tcW w:w="6497" w:type="dxa"/>
            <w:gridSpan w:val="2"/>
            <w:tcBorders>
              <w:top w:val="nil"/>
              <w:left w:val="nil"/>
              <w:bottom w:val="nil"/>
              <w:right w:val="nil"/>
            </w:tcBorders>
            <w:shd w:val="clear" w:color="auto" w:fill="auto"/>
          </w:tcPr>
          <w:p w:rsidR="007E7D93" w:rsidRPr="00937B2D" w:rsidRDefault="007E7D93" w:rsidP="00714AED">
            <w:pPr>
              <w:tabs>
                <w:tab w:val="left" w:pos="810"/>
                <w:tab w:val="left" w:pos="1170"/>
              </w:tabs>
              <w:spacing w:after="60"/>
              <w:rPr>
                <w:rFonts w:ascii="Calibri" w:hAnsi="Calibri"/>
              </w:rPr>
            </w:pPr>
            <w:r w:rsidRPr="00937B2D">
              <w:rPr>
                <w:rFonts w:ascii="Calibri" w:hAnsi="Calibri"/>
              </w:rPr>
              <w:t xml:space="preserve">Estimated </w:t>
            </w:r>
            <w:r w:rsidR="00714AED">
              <w:rPr>
                <w:rFonts w:ascii="Calibri" w:hAnsi="Calibri"/>
              </w:rPr>
              <w:t>household income</w:t>
            </w:r>
            <w:r w:rsidRPr="00937B2D">
              <w:rPr>
                <w:rFonts w:ascii="Calibri" w:hAnsi="Calibri"/>
              </w:rPr>
              <w:t>. Based upon commercial data. Treated as categorical data with a category for missing.</w:t>
            </w:r>
          </w:p>
        </w:tc>
      </w:tr>
      <w:tr w:rsidR="00714AED" w:rsidRPr="00937B2D" w:rsidTr="007E7D93">
        <w:trPr>
          <w:trHeight w:val="600"/>
        </w:trPr>
        <w:tc>
          <w:tcPr>
            <w:tcW w:w="3970" w:type="dxa"/>
            <w:gridSpan w:val="2"/>
            <w:tcBorders>
              <w:top w:val="nil"/>
              <w:left w:val="nil"/>
              <w:bottom w:val="single" w:sz="4" w:space="0" w:color="auto"/>
              <w:right w:val="nil"/>
            </w:tcBorders>
            <w:shd w:val="clear" w:color="auto" w:fill="auto"/>
            <w:noWrap/>
          </w:tcPr>
          <w:p w:rsidR="00714AED" w:rsidRPr="00937B2D" w:rsidRDefault="00714AED" w:rsidP="00714AED">
            <w:pPr>
              <w:tabs>
                <w:tab w:val="left" w:pos="810"/>
                <w:tab w:val="left" w:pos="1170"/>
              </w:tabs>
              <w:rPr>
                <w:rFonts w:ascii="Calibri" w:hAnsi="Calibri"/>
                <w:caps/>
              </w:rPr>
            </w:pPr>
            <w:r>
              <w:rPr>
                <w:rFonts w:ascii="Calibri" w:hAnsi="Calibri"/>
                <w:caps/>
              </w:rPr>
              <w:t>MSG_BESTMATCH</w:t>
            </w:r>
          </w:p>
        </w:tc>
        <w:tc>
          <w:tcPr>
            <w:tcW w:w="6497" w:type="dxa"/>
            <w:gridSpan w:val="2"/>
            <w:tcBorders>
              <w:top w:val="nil"/>
              <w:left w:val="nil"/>
              <w:bottom w:val="single" w:sz="4" w:space="0" w:color="auto"/>
              <w:right w:val="nil"/>
            </w:tcBorders>
            <w:shd w:val="clear" w:color="auto" w:fill="auto"/>
          </w:tcPr>
          <w:p w:rsidR="00714AED" w:rsidRPr="00937B2D" w:rsidRDefault="00714AED" w:rsidP="00714AED">
            <w:pPr>
              <w:tabs>
                <w:tab w:val="left" w:pos="810"/>
                <w:tab w:val="left" w:pos="1170"/>
              </w:tabs>
              <w:spacing w:after="60"/>
              <w:rPr>
                <w:rFonts w:ascii="Calibri" w:hAnsi="Calibri"/>
              </w:rPr>
            </w:pPr>
            <w:r>
              <w:rPr>
                <w:rFonts w:ascii="Calibri" w:hAnsi="Calibri"/>
              </w:rPr>
              <w:t>Indicator variable based upon commercial data assessing the quality of the match used to append the data to the address.</w:t>
            </w:r>
          </w:p>
        </w:tc>
      </w:tr>
    </w:tbl>
    <w:p w:rsidR="00B55448" w:rsidRPr="00451340" w:rsidRDefault="00B55448" w:rsidP="00AE30CB">
      <w:pPr>
        <w:spacing w:line="360" w:lineRule="auto"/>
        <w:rPr>
          <w:rFonts w:ascii="Times New Roman" w:hAnsi="Times New Roman"/>
        </w:rPr>
      </w:pPr>
    </w:p>
    <w:tbl>
      <w:tblPr>
        <w:tblW w:w="10365" w:type="dxa"/>
        <w:tblInd w:w="93" w:type="dxa"/>
        <w:tblLayout w:type="fixed"/>
        <w:tblLook w:val="04A0" w:firstRow="1" w:lastRow="0" w:firstColumn="1" w:lastColumn="0" w:noHBand="0" w:noVBand="1"/>
      </w:tblPr>
      <w:tblGrid>
        <w:gridCol w:w="3885"/>
        <w:gridCol w:w="6480"/>
      </w:tblGrid>
      <w:tr w:rsidR="007E7D93" w:rsidRPr="00937B2D" w:rsidTr="007E7D93">
        <w:trPr>
          <w:trHeight w:val="585"/>
        </w:trPr>
        <w:tc>
          <w:tcPr>
            <w:tcW w:w="10365" w:type="dxa"/>
            <w:gridSpan w:val="2"/>
            <w:tcBorders>
              <w:top w:val="nil"/>
              <w:left w:val="nil"/>
              <w:bottom w:val="nil"/>
              <w:right w:val="nil"/>
            </w:tcBorders>
            <w:shd w:val="clear" w:color="auto" w:fill="auto"/>
            <w:vAlign w:val="bottom"/>
            <w:hideMark/>
          </w:tcPr>
          <w:p w:rsidR="007E7D93" w:rsidRPr="00937B2D" w:rsidRDefault="007E7D93" w:rsidP="006553BE">
            <w:pPr>
              <w:tabs>
                <w:tab w:val="left" w:pos="810"/>
                <w:tab w:val="left" w:pos="1170"/>
              </w:tabs>
              <w:rPr>
                <w:rFonts w:ascii="Calibri" w:hAnsi="Calibri"/>
                <w:b/>
                <w:bCs/>
              </w:rPr>
            </w:pPr>
            <w:r w:rsidRPr="00937B2D">
              <w:rPr>
                <w:rFonts w:ascii="Calibri" w:hAnsi="Calibri"/>
                <w:b/>
                <w:bCs/>
              </w:rPr>
              <w:t xml:space="preserve">Table </w:t>
            </w:r>
            <w:r w:rsidR="00F11067" w:rsidRPr="00937B2D">
              <w:rPr>
                <w:rFonts w:ascii="Calibri" w:hAnsi="Calibri"/>
                <w:b/>
                <w:bCs/>
              </w:rPr>
              <w:t>3</w:t>
            </w:r>
            <w:r w:rsidRPr="00937B2D">
              <w:rPr>
                <w:rFonts w:ascii="Calibri" w:hAnsi="Calibri"/>
                <w:b/>
                <w:bCs/>
              </w:rPr>
              <w:t>. Main-interview, nonresponse-propensity model predictors: National Survey of Family Growth 201</w:t>
            </w:r>
            <w:r w:rsidR="006553BE">
              <w:rPr>
                <w:rFonts w:ascii="Calibri" w:hAnsi="Calibri"/>
                <w:b/>
                <w:bCs/>
              </w:rPr>
              <w:t>5</w:t>
            </w:r>
            <w:r w:rsidRPr="00937B2D">
              <w:rPr>
                <w:rFonts w:ascii="Calibri" w:hAnsi="Calibri"/>
                <w:b/>
                <w:bCs/>
              </w:rPr>
              <w:t>-201</w:t>
            </w:r>
            <w:r w:rsidR="006553BE">
              <w:rPr>
                <w:rFonts w:ascii="Calibri" w:hAnsi="Calibri"/>
                <w:b/>
                <w:bCs/>
              </w:rPr>
              <w:t>7</w:t>
            </w:r>
          </w:p>
        </w:tc>
      </w:tr>
      <w:tr w:rsidR="007E7D93" w:rsidRPr="00937B2D" w:rsidTr="007E7D93">
        <w:trPr>
          <w:trHeight w:val="300"/>
        </w:trPr>
        <w:tc>
          <w:tcPr>
            <w:tcW w:w="3885" w:type="dxa"/>
            <w:tcBorders>
              <w:top w:val="single" w:sz="4" w:space="0" w:color="auto"/>
              <w:left w:val="nil"/>
              <w:bottom w:val="single" w:sz="4" w:space="0" w:color="auto"/>
              <w:right w:val="nil"/>
            </w:tcBorders>
            <w:shd w:val="clear" w:color="auto" w:fill="auto"/>
            <w:vAlign w:val="bottom"/>
            <w:hideMark/>
          </w:tcPr>
          <w:p w:rsidR="007E7D93" w:rsidRPr="00937B2D" w:rsidRDefault="007E7D93" w:rsidP="00937B2D">
            <w:pPr>
              <w:tabs>
                <w:tab w:val="left" w:pos="810"/>
                <w:tab w:val="left" w:pos="1170"/>
              </w:tabs>
              <w:rPr>
                <w:rFonts w:ascii="Calibri" w:hAnsi="Calibri"/>
              </w:rPr>
            </w:pPr>
            <w:r w:rsidRPr="00937B2D">
              <w:rPr>
                <w:rFonts w:ascii="Calibri" w:hAnsi="Calibri"/>
              </w:rPr>
              <w:t>Predictor name</w:t>
            </w:r>
          </w:p>
        </w:tc>
        <w:tc>
          <w:tcPr>
            <w:tcW w:w="6480" w:type="dxa"/>
            <w:tcBorders>
              <w:top w:val="single" w:sz="4" w:space="0" w:color="auto"/>
              <w:left w:val="nil"/>
              <w:bottom w:val="single" w:sz="4" w:space="0" w:color="auto"/>
              <w:right w:val="nil"/>
            </w:tcBorders>
            <w:shd w:val="clear" w:color="auto" w:fill="auto"/>
            <w:vAlign w:val="bottom"/>
            <w:hideMark/>
          </w:tcPr>
          <w:p w:rsidR="007E7D93" w:rsidRPr="00937B2D" w:rsidRDefault="007E7D93" w:rsidP="00937B2D">
            <w:pPr>
              <w:tabs>
                <w:tab w:val="left" w:pos="810"/>
                <w:tab w:val="left" w:pos="1170"/>
              </w:tabs>
              <w:rPr>
                <w:rFonts w:ascii="Calibri" w:hAnsi="Calibri"/>
              </w:rPr>
            </w:pPr>
            <w:r w:rsidRPr="00937B2D">
              <w:rPr>
                <w:rFonts w:ascii="Calibri" w:hAnsi="Calibri"/>
              </w:rPr>
              <w:t>Predictor description</w:t>
            </w:r>
          </w:p>
        </w:tc>
      </w:tr>
      <w:tr w:rsidR="007E7D93" w:rsidRPr="00937B2D" w:rsidTr="007E7D93">
        <w:trPr>
          <w:trHeight w:val="600"/>
        </w:trPr>
        <w:tc>
          <w:tcPr>
            <w:tcW w:w="3885" w:type="dxa"/>
            <w:tcBorders>
              <w:top w:val="nil"/>
              <w:left w:val="nil"/>
              <w:bottom w:val="nil"/>
              <w:right w:val="nil"/>
            </w:tcBorders>
            <w:shd w:val="clear" w:color="auto" w:fill="auto"/>
          </w:tcPr>
          <w:p w:rsidR="007E7D93" w:rsidRPr="00937B2D" w:rsidRDefault="006553BE" w:rsidP="00937B2D">
            <w:pPr>
              <w:tabs>
                <w:tab w:val="left" w:pos="810"/>
                <w:tab w:val="left" w:pos="1170"/>
              </w:tabs>
              <w:spacing w:after="60"/>
              <w:rPr>
                <w:rFonts w:ascii="Calibri" w:hAnsi="Calibri"/>
                <w:caps/>
              </w:rPr>
            </w:pPr>
            <w:r>
              <w:rPr>
                <w:rFonts w:ascii="Calibri" w:hAnsi="Calibri"/>
                <w:caps/>
              </w:rPr>
              <w:t>BL_HISP_PERC</w:t>
            </w:r>
          </w:p>
        </w:tc>
        <w:tc>
          <w:tcPr>
            <w:tcW w:w="6480" w:type="dxa"/>
            <w:tcBorders>
              <w:top w:val="nil"/>
              <w:left w:val="nil"/>
              <w:bottom w:val="nil"/>
              <w:right w:val="nil"/>
            </w:tcBorders>
            <w:shd w:val="clear" w:color="auto" w:fill="auto"/>
          </w:tcPr>
          <w:p w:rsidR="007E7D93" w:rsidRPr="00937B2D" w:rsidRDefault="00714AED" w:rsidP="00937B2D">
            <w:pPr>
              <w:tabs>
                <w:tab w:val="left" w:pos="810"/>
                <w:tab w:val="left" w:pos="1170"/>
              </w:tabs>
              <w:spacing w:after="60"/>
              <w:rPr>
                <w:rFonts w:ascii="Calibri" w:hAnsi="Calibri"/>
              </w:rPr>
            </w:pPr>
            <w:r w:rsidRPr="00937B2D">
              <w:rPr>
                <w:rFonts w:ascii="Calibri" w:hAnsi="Calibri"/>
              </w:rPr>
              <w:t>Percent of population in Census Block Group that is Non-Hispanic Black or Hispanic from Decennial Census 2010.</w:t>
            </w:r>
          </w:p>
        </w:tc>
      </w:tr>
      <w:tr w:rsidR="007E7D93" w:rsidRPr="00937B2D" w:rsidTr="006553BE">
        <w:trPr>
          <w:trHeight w:val="600"/>
        </w:trPr>
        <w:tc>
          <w:tcPr>
            <w:tcW w:w="3885" w:type="dxa"/>
            <w:tcBorders>
              <w:top w:val="nil"/>
              <w:left w:val="nil"/>
              <w:bottom w:val="nil"/>
              <w:right w:val="nil"/>
            </w:tcBorders>
            <w:shd w:val="clear" w:color="auto" w:fill="auto"/>
            <w:hideMark/>
          </w:tcPr>
          <w:p w:rsidR="007E7D93" w:rsidRPr="00937B2D" w:rsidRDefault="006553BE" w:rsidP="00937B2D">
            <w:pPr>
              <w:tabs>
                <w:tab w:val="left" w:pos="810"/>
                <w:tab w:val="left" w:pos="1170"/>
              </w:tabs>
              <w:spacing w:after="60"/>
              <w:rPr>
                <w:rFonts w:ascii="Calibri" w:hAnsi="Calibri"/>
                <w:caps/>
              </w:rPr>
            </w:pPr>
            <w:r>
              <w:rPr>
                <w:rFonts w:ascii="Calibri" w:hAnsi="Calibri"/>
                <w:caps/>
              </w:rPr>
              <w:t>MED_HOUSE_VALUE_TR_ACS_10_14</w:t>
            </w:r>
          </w:p>
        </w:tc>
        <w:tc>
          <w:tcPr>
            <w:tcW w:w="6480" w:type="dxa"/>
            <w:tcBorders>
              <w:top w:val="nil"/>
              <w:left w:val="nil"/>
              <w:bottom w:val="nil"/>
              <w:right w:val="nil"/>
            </w:tcBorders>
            <w:shd w:val="clear" w:color="auto" w:fill="auto"/>
          </w:tcPr>
          <w:p w:rsidR="007E7D93" w:rsidRPr="00937B2D" w:rsidRDefault="00714AED" w:rsidP="00937B2D">
            <w:pPr>
              <w:tabs>
                <w:tab w:val="left" w:pos="810"/>
                <w:tab w:val="left" w:pos="1170"/>
              </w:tabs>
              <w:spacing w:after="60"/>
              <w:rPr>
                <w:rFonts w:ascii="Calibri" w:hAnsi="Calibri"/>
              </w:rPr>
            </w:pPr>
            <w:r w:rsidRPr="00937B2D">
              <w:rPr>
                <w:rFonts w:ascii="Calibri" w:hAnsi="Calibri"/>
              </w:rPr>
              <w:t>Median House Value for the Census Tract Estimated from ACS 20</w:t>
            </w:r>
            <w:r>
              <w:rPr>
                <w:rFonts w:ascii="Calibri" w:hAnsi="Calibri"/>
              </w:rPr>
              <w:t>10</w:t>
            </w:r>
            <w:r w:rsidRPr="00937B2D">
              <w:rPr>
                <w:rFonts w:ascii="Calibri" w:hAnsi="Calibri"/>
              </w:rPr>
              <w:t>-201</w:t>
            </w:r>
            <w:r>
              <w:rPr>
                <w:rFonts w:ascii="Calibri" w:hAnsi="Calibri"/>
              </w:rPr>
              <w:t>4</w:t>
            </w:r>
          </w:p>
        </w:tc>
      </w:tr>
      <w:tr w:rsidR="007E7D93" w:rsidRPr="00937B2D" w:rsidTr="007E7D93">
        <w:trPr>
          <w:trHeight w:val="405"/>
        </w:trPr>
        <w:tc>
          <w:tcPr>
            <w:tcW w:w="3885" w:type="dxa"/>
            <w:tcBorders>
              <w:top w:val="nil"/>
              <w:left w:val="nil"/>
              <w:bottom w:val="nil"/>
              <w:right w:val="nil"/>
            </w:tcBorders>
            <w:shd w:val="clear" w:color="auto" w:fill="auto"/>
            <w:hideMark/>
          </w:tcPr>
          <w:p w:rsidR="007E7D93" w:rsidRPr="00937B2D" w:rsidRDefault="007E7D93" w:rsidP="00937B2D">
            <w:pPr>
              <w:tabs>
                <w:tab w:val="left" w:pos="810"/>
                <w:tab w:val="left" w:pos="1170"/>
              </w:tabs>
              <w:spacing w:after="60"/>
              <w:rPr>
                <w:rFonts w:ascii="Calibri" w:hAnsi="Calibri"/>
                <w:caps/>
              </w:rPr>
            </w:pPr>
            <w:r w:rsidRPr="00937B2D">
              <w:rPr>
                <w:rFonts w:ascii="Calibri" w:hAnsi="Calibri"/>
                <w:caps/>
              </w:rPr>
              <w:t>SexActive</w:t>
            </w:r>
          </w:p>
        </w:tc>
        <w:tc>
          <w:tcPr>
            <w:tcW w:w="6480" w:type="dxa"/>
            <w:tcBorders>
              <w:top w:val="nil"/>
              <w:left w:val="nil"/>
              <w:bottom w:val="nil"/>
              <w:right w:val="nil"/>
            </w:tcBorders>
            <w:shd w:val="clear" w:color="auto" w:fill="auto"/>
            <w:hideMark/>
          </w:tcPr>
          <w:p w:rsidR="007E7D93" w:rsidRPr="00937B2D" w:rsidRDefault="007E7D93" w:rsidP="00937B2D">
            <w:pPr>
              <w:tabs>
                <w:tab w:val="left" w:pos="810"/>
                <w:tab w:val="left" w:pos="1170"/>
              </w:tabs>
              <w:spacing w:after="60"/>
              <w:rPr>
                <w:rFonts w:ascii="Calibri" w:hAnsi="Calibri"/>
              </w:rPr>
            </w:pPr>
            <w:r w:rsidRPr="00937B2D">
              <w:rPr>
                <w:rFonts w:ascii="Calibri" w:hAnsi="Calibri"/>
              </w:rPr>
              <w:t>Contact Obs: Respondent Sex Active (yes/no)</w:t>
            </w:r>
          </w:p>
        </w:tc>
      </w:tr>
      <w:tr w:rsidR="00407932" w:rsidRPr="00937B2D" w:rsidTr="007E7D93">
        <w:trPr>
          <w:trHeight w:val="600"/>
        </w:trPr>
        <w:tc>
          <w:tcPr>
            <w:tcW w:w="3885" w:type="dxa"/>
            <w:tcBorders>
              <w:top w:val="nil"/>
              <w:left w:val="nil"/>
              <w:bottom w:val="nil"/>
              <w:right w:val="nil"/>
            </w:tcBorders>
            <w:shd w:val="clear" w:color="auto" w:fill="auto"/>
          </w:tcPr>
          <w:p w:rsidR="00407932" w:rsidRDefault="00407932" w:rsidP="00937B2D">
            <w:pPr>
              <w:tabs>
                <w:tab w:val="left" w:pos="810"/>
                <w:tab w:val="left" w:pos="1170"/>
              </w:tabs>
              <w:spacing w:after="60"/>
              <w:rPr>
                <w:rFonts w:ascii="Calibri" w:hAnsi="Calibri"/>
                <w:caps/>
              </w:rPr>
            </w:pPr>
            <w:r>
              <w:rPr>
                <w:rFonts w:ascii="Calibri" w:hAnsi="Calibri"/>
                <w:caps/>
              </w:rPr>
              <w:t>ChILDRENUNDER15</w:t>
            </w:r>
          </w:p>
        </w:tc>
        <w:tc>
          <w:tcPr>
            <w:tcW w:w="6480" w:type="dxa"/>
            <w:tcBorders>
              <w:top w:val="nil"/>
              <w:left w:val="nil"/>
              <w:bottom w:val="nil"/>
              <w:right w:val="nil"/>
            </w:tcBorders>
            <w:shd w:val="clear" w:color="auto" w:fill="auto"/>
          </w:tcPr>
          <w:p w:rsidR="00407932" w:rsidRPr="00937B2D" w:rsidRDefault="00407932" w:rsidP="006340A5">
            <w:pPr>
              <w:tabs>
                <w:tab w:val="left" w:pos="810"/>
                <w:tab w:val="left" w:pos="1170"/>
              </w:tabs>
              <w:spacing w:after="60"/>
              <w:rPr>
                <w:rFonts w:ascii="Calibri" w:hAnsi="Calibri"/>
              </w:rPr>
            </w:pPr>
            <w:r w:rsidRPr="00937B2D">
              <w:rPr>
                <w:rFonts w:ascii="Calibri" w:hAnsi="Calibri"/>
              </w:rPr>
              <w:t>Interviewer Observation about Presence of Children in Housing Unit (yes/no)</w:t>
            </w:r>
          </w:p>
        </w:tc>
      </w:tr>
      <w:tr w:rsidR="00407932" w:rsidRPr="00937B2D" w:rsidTr="007E7D93">
        <w:trPr>
          <w:trHeight w:val="600"/>
        </w:trPr>
        <w:tc>
          <w:tcPr>
            <w:tcW w:w="3885" w:type="dxa"/>
            <w:tcBorders>
              <w:top w:val="nil"/>
              <w:left w:val="nil"/>
              <w:bottom w:val="nil"/>
              <w:right w:val="nil"/>
            </w:tcBorders>
            <w:shd w:val="clear" w:color="auto" w:fill="auto"/>
          </w:tcPr>
          <w:p w:rsidR="00407932" w:rsidRPr="00937B2D" w:rsidRDefault="00407932" w:rsidP="00937B2D">
            <w:pPr>
              <w:tabs>
                <w:tab w:val="left" w:pos="810"/>
                <w:tab w:val="left" w:pos="1170"/>
              </w:tabs>
              <w:spacing w:after="60"/>
              <w:rPr>
                <w:rFonts w:ascii="Calibri" w:hAnsi="Calibri"/>
                <w:caps/>
              </w:rPr>
            </w:pPr>
            <w:r>
              <w:rPr>
                <w:rFonts w:ascii="Calibri" w:hAnsi="Calibri"/>
                <w:caps/>
              </w:rPr>
              <w:t>MANYUNITS</w:t>
            </w:r>
          </w:p>
        </w:tc>
        <w:tc>
          <w:tcPr>
            <w:tcW w:w="6480" w:type="dxa"/>
            <w:tcBorders>
              <w:top w:val="nil"/>
              <w:left w:val="nil"/>
              <w:bottom w:val="nil"/>
              <w:right w:val="nil"/>
            </w:tcBorders>
            <w:shd w:val="clear" w:color="auto" w:fill="auto"/>
          </w:tcPr>
          <w:p w:rsidR="00407932" w:rsidRPr="00937B2D" w:rsidRDefault="00407932" w:rsidP="006340A5">
            <w:pPr>
              <w:tabs>
                <w:tab w:val="left" w:pos="810"/>
                <w:tab w:val="left" w:pos="1170"/>
              </w:tabs>
              <w:spacing w:after="60"/>
              <w:rPr>
                <w:rFonts w:ascii="Calibri" w:hAnsi="Calibri"/>
              </w:rPr>
            </w:pPr>
            <w:r w:rsidRPr="00937B2D">
              <w:rPr>
                <w:rFonts w:ascii="Calibri" w:hAnsi="Calibri"/>
              </w:rPr>
              <w:t xml:space="preserve">Interviewer Observation about </w:t>
            </w:r>
            <w:r>
              <w:rPr>
                <w:rFonts w:ascii="Calibri" w:hAnsi="Calibri"/>
              </w:rPr>
              <w:t>whether the sampled housing unit is in a multi-unit structure (yes/no).</w:t>
            </w:r>
          </w:p>
        </w:tc>
      </w:tr>
      <w:tr w:rsidR="00407932" w:rsidRPr="00937B2D" w:rsidTr="007E7D93">
        <w:trPr>
          <w:trHeight w:val="600"/>
        </w:trPr>
        <w:tc>
          <w:tcPr>
            <w:tcW w:w="3885" w:type="dxa"/>
            <w:tcBorders>
              <w:top w:val="nil"/>
              <w:left w:val="nil"/>
              <w:bottom w:val="nil"/>
              <w:right w:val="nil"/>
            </w:tcBorders>
            <w:shd w:val="clear" w:color="auto" w:fill="auto"/>
            <w:hideMark/>
          </w:tcPr>
          <w:p w:rsidR="00407932" w:rsidRPr="00937B2D" w:rsidRDefault="00407932" w:rsidP="00937B2D">
            <w:pPr>
              <w:tabs>
                <w:tab w:val="left" w:pos="810"/>
                <w:tab w:val="left" w:pos="1170"/>
              </w:tabs>
              <w:spacing w:after="60"/>
              <w:rPr>
                <w:rFonts w:ascii="Calibri" w:hAnsi="Calibri"/>
                <w:caps/>
              </w:rPr>
            </w:pPr>
            <w:r w:rsidRPr="00937B2D">
              <w:rPr>
                <w:rFonts w:ascii="Calibri" w:hAnsi="Calibri"/>
                <w:caps/>
              </w:rPr>
              <w:t>SCR_HISP</w:t>
            </w:r>
          </w:p>
        </w:tc>
        <w:tc>
          <w:tcPr>
            <w:tcW w:w="6480" w:type="dxa"/>
            <w:tcBorders>
              <w:top w:val="nil"/>
              <w:left w:val="nil"/>
              <w:bottom w:val="nil"/>
              <w:right w:val="nil"/>
            </w:tcBorders>
            <w:shd w:val="clear" w:color="auto" w:fill="auto"/>
            <w:hideMark/>
          </w:tcPr>
          <w:p w:rsidR="00407932" w:rsidRPr="00937B2D" w:rsidRDefault="00407932" w:rsidP="00937B2D">
            <w:pPr>
              <w:tabs>
                <w:tab w:val="left" w:pos="810"/>
                <w:tab w:val="left" w:pos="1170"/>
              </w:tabs>
              <w:spacing w:after="60"/>
              <w:rPr>
                <w:rFonts w:ascii="Calibri" w:hAnsi="Calibri"/>
              </w:rPr>
            </w:pPr>
            <w:r w:rsidRPr="00937B2D">
              <w:rPr>
                <w:rFonts w:ascii="Calibri" w:hAnsi="Calibri"/>
              </w:rPr>
              <w:t>Screener interview data indicate selected response is Hispanic (yes/no)</w:t>
            </w:r>
          </w:p>
        </w:tc>
      </w:tr>
      <w:tr w:rsidR="00407932" w:rsidRPr="00937B2D" w:rsidTr="007E7D93">
        <w:trPr>
          <w:trHeight w:val="600"/>
        </w:trPr>
        <w:tc>
          <w:tcPr>
            <w:tcW w:w="3885" w:type="dxa"/>
            <w:tcBorders>
              <w:top w:val="nil"/>
              <w:left w:val="nil"/>
              <w:bottom w:val="nil"/>
              <w:right w:val="nil"/>
            </w:tcBorders>
            <w:shd w:val="clear" w:color="auto" w:fill="auto"/>
          </w:tcPr>
          <w:p w:rsidR="00407932" w:rsidRPr="00937B2D" w:rsidRDefault="00407932" w:rsidP="00937B2D">
            <w:pPr>
              <w:tabs>
                <w:tab w:val="left" w:pos="810"/>
                <w:tab w:val="left" w:pos="1170"/>
              </w:tabs>
              <w:spacing w:after="60"/>
              <w:rPr>
                <w:rFonts w:ascii="Calibri" w:hAnsi="Calibri"/>
                <w:caps/>
              </w:rPr>
            </w:pPr>
            <w:r w:rsidRPr="00937B2D">
              <w:rPr>
                <w:rFonts w:ascii="Calibri" w:hAnsi="Calibri"/>
                <w:caps/>
              </w:rPr>
              <w:t>SCR_RACE</w:t>
            </w:r>
          </w:p>
        </w:tc>
        <w:tc>
          <w:tcPr>
            <w:tcW w:w="6480" w:type="dxa"/>
            <w:tcBorders>
              <w:top w:val="nil"/>
              <w:left w:val="nil"/>
              <w:bottom w:val="nil"/>
              <w:right w:val="nil"/>
            </w:tcBorders>
            <w:shd w:val="clear" w:color="auto" w:fill="auto"/>
          </w:tcPr>
          <w:p w:rsidR="00407932" w:rsidRPr="00937B2D" w:rsidRDefault="00407932" w:rsidP="00937B2D">
            <w:pPr>
              <w:tabs>
                <w:tab w:val="left" w:pos="810"/>
                <w:tab w:val="left" w:pos="1170"/>
              </w:tabs>
              <w:spacing w:after="60"/>
              <w:rPr>
                <w:rFonts w:ascii="Calibri" w:hAnsi="Calibri"/>
              </w:rPr>
            </w:pPr>
            <w:r w:rsidRPr="00937B2D">
              <w:rPr>
                <w:rFonts w:ascii="Calibri" w:hAnsi="Calibri"/>
              </w:rPr>
              <w:t>Screener interview data indicate selected respondent is Black (yes/no)</w:t>
            </w:r>
          </w:p>
        </w:tc>
      </w:tr>
      <w:tr w:rsidR="00407932" w:rsidRPr="00937B2D" w:rsidTr="007E7D93">
        <w:trPr>
          <w:trHeight w:val="600"/>
        </w:trPr>
        <w:tc>
          <w:tcPr>
            <w:tcW w:w="3885" w:type="dxa"/>
            <w:tcBorders>
              <w:top w:val="nil"/>
              <w:left w:val="nil"/>
              <w:bottom w:val="nil"/>
              <w:right w:val="nil"/>
            </w:tcBorders>
            <w:shd w:val="clear" w:color="auto" w:fill="auto"/>
          </w:tcPr>
          <w:p w:rsidR="00407932" w:rsidRPr="00937B2D" w:rsidRDefault="00407932" w:rsidP="00937B2D">
            <w:pPr>
              <w:tabs>
                <w:tab w:val="left" w:pos="810"/>
                <w:tab w:val="left" w:pos="1170"/>
              </w:tabs>
              <w:spacing w:after="60"/>
              <w:rPr>
                <w:rFonts w:ascii="Calibri" w:hAnsi="Calibri"/>
                <w:caps/>
              </w:rPr>
            </w:pPr>
            <w:r w:rsidRPr="00937B2D">
              <w:rPr>
                <w:rFonts w:ascii="Calibri" w:hAnsi="Calibri"/>
                <w:caps/>
              </w:rPr>
              <w:t>SCR_SEX</w:t>
            </w:r>
          </w:p>
        </w:tc>
        <w:tc>
          <w:tcPr>
            <w:tcW w:w="6480" w:type="dxa"/>
            <w:tcBorders>
              <w:top w:val="nil"/>
              <w:left w:val="nil"/>
              <w:bottom w:val="nil"/>
              <w:right w:val="nil"/>
            </w:tcBorders>
            <w:shd w:val="clear" w:color="auto" w:fill="auto"/>
          </w:tcPr>
          <w:p w:rsidR="00407932" w:rsidRPr="00937B2D" w:rsidRDefault="00407932" w:rsidP="00937B2D">
            <w:pPr>
              <w:tabs>
                <w:tab w:val="left" w:pos="810"/>
                <w:tab w:val="left" w:pos="1170"/>
              </w:tabs>
              <w:spacing w:after="60"/>
              <w:rPr>
                <w:rFonts w:ascii="Calibri" w:hAnsi="Calibri"/>
              </w:rPr>
            </w:pPr>
            <w:r w:rsidRPr="00937B2D">
              <w:rPr>
                <w:rFonts w:ascii="Calibri" w:hAnsi="Calibri"/>
              </w:rPr>
              <w:t>Screener interviewer data indicated selected respondent is female (yes/no).</w:t>
            </w:r>
          </w:p>
        </w:tc>
      </w:tr>
      <w:tr w:rsidR="00407932" w:rsidRPr="00937B2D" w:rsidTr="007E7D93">
        <w:trPr>
          <w:trHeight w:val="576"/>
        </w:trPr>
        <w:tc>
          <w:tcPr>
            <w:tcW w:w="3885" w:type="dxa"/>
            <w:tcBorders>
              <w:top w:val="nil"/>
              <w:left w:val="nil"/>
              <w:right w:val="nil"/>
            </w:tcBorders>
            <w:shd w:val="clear" w:color="auto" w:fill="auto"/>
            <w:hideMark/>
          </w:tcPr>
          <w:p w:rsidR="00407932" w:rsidRPr="00937B2D" w:rsidRDefault="00407932" w:rsidP="00937B2D">
            <w:pPr>
              <w:tabs>
                <w:tab w:val="left" w:pos="810"/>
                <w:tab w:val="left" w:pos="1170"/>
              </w:tabs>
              <w:spacing w:after="60"/>
              <w:rPr>
                <w:rFonts w:ascii="Calibri" w:hAnsi="Calibri"/>
                <w:caps/>
              </w:rPr>
            </w:pPr>
            <w:r>
              <w:rPr>
                <w:rFonts w:ascii="Calibri" w:hAnsi="Calibri"/>
                <w:caps/>
              </w:rPr>
              <w:t>SCR_AGE</w:t>
            </w:r>
          </w:p>
        </w:tc>
        <w:tc>
          <w:tcPr>
            <w:tcW w:w="6480" w:type="dxa"/>
            <w:tcBorders>
              <w:top w:val="nil"/>
              <w:left w:val="nil"/>
              <w:right w:val="nil"/>
            </w:tcBorders>
            <w:shd w:val="clear" w:color="auto" w:fill="auto"/>
            <w:hideMark/>
          </w:tcPr>
          <w:p w:rsidR="00407932" w:rsidRPr="00937B2D" w:rsidRDefault="00407932" w:rsidP="00937B2D">
            <w:pPr>
              <w:tabs>
                <w:tab w:val="left" w:pos="810"/>
                <w:tab w:val="left" w:pos="1170"/>
              </w:tabs>
              <w:spacing w:after="60"/>
              <w:rPr>
                <w:rFonts w:ascii="Calibri" w:hAnsi="Calibri"/>
              </w:rPr>
            </w:pPr>
            <w:r>
              <w:rPr>
                <w:rFonts w:ascii="Calibri" w:hAnsi="Calibri"/>
              </w:rPr>
              <w:t>Categorical version of the age of the selected respondent from the screener interview.</w:t>
            </w:r>
          </w:p>
        </w:tc>
      </w:tr>
      <w:tr w:rsidR="00407932" w:rsidRPr="00937B2D" w:rsidTr="006553BE">
        <w:trPr>
          <w:trHeight w:val="576"/>
        </w:trPr>
        <w:tc>
          <w:tcPr>
            <w:tcW w:w="3885" w:type="dxa"/>
            <w:tcBorders>
              <w:top w:val="nil"/>
              <w:left w:val="nil"/>
              <w:right w:val="nil"/>
            </w:tcBorders>
            <w:shd w:val="clear" w:color="auto" w:fill="auto"/>
          </w:tcPr>
          <w:p w:rsidR="00407932" w:rsidRDefault="00407932" w:rsidP="006553BE">
            <w:pPr>
              <w:tabs>
                <w:tab w:val="left" w:pos="810"/>
                <w:tab w:val="left" w:pos="1170"/>
              </w:tabs>
              <w:spacing w:after="60"/>
              <w:rPr>
                <w:rFonts w:ascii="Calibri" w:hAnsi="Calibri"/>
                <w:caps/>
              </w:rPr>
            </w:pPr>
            <w:r>
              <w:rPr>
                <w:rFonts w:ascii="Calibri" w:hAnsi="Calibri"/>
                <w:caps/>
              </w:rPr>
              <w:t>SCR_SINGLEHH</w:t>
            </w:r>
          </w:p>
        </w:tc>
        <w:tc>
          <w:tcPr>
            <w:tcW w:w="6480" w:type="dxa"/>
            <w:tcBorders>
              <w:top w:val="nil"/>
              <w:left w:val="nil"/>
              <w:right w:val="nil"/>
            </w:tcBorders>
            <w:shd w:val="clear" w:color="auto" w:fill="auto"/>
          </w:tcPr>
          <w:p w:rsidR="00407932" w:rsidRDefault="00407932" w:rsidP="0064193A">
            <w:pPr>
              <w:tabs>
                <w:tab w:val="left" w:pos="810"/>
                <w:tab w:val="left" w:pos="1170"/>
              </w:tabs>
              <w:spacing w:after="60"/>
              <w:rPr>
                <w:rFonts w:ascii="Calibri" w:hAnsi="Calibri"/>
              </w:rPr>
            </w:pPr>
            <w:r w:rsidRPr="00937B2D">
              <w:rPr>
                <w:rFonts w:ascii="Calibri" w:hAnsi="Calibri"/>
              </w:rPr>
              <w:t xml:space="preserve">Screener interviewer data indicated selected respondent </w:t>
            </w:r>
            <w:r>
              <w:rPr>
                <w:rFonts w:ascii="Calibri" w:hAnsi="Calibri"/>
              </w:rPr>
              <w:t>is the only person in the household</w:t>
            </w:r>
            <w:r w:rsidRPr="00937B2D">
              <w:rPr>
                <w:rFonts w:ascii="Calibri" w:hAnsi="Calibri"/>
              </w:rPr>
              <w:t xml:space="preserve"> (yes/no).</w:t>
            </w:r>
          </w:p>
        </w:tc>
      </w:tr>
      <w:tr w:rsidR="00407932" w:rsidRPr="00937B2D" w:rsidTr="006553BE">
        <w:trPr>
          <w:trHeight w:val="576"/>
        </w:trPr>
        <w:tc>
          <w:tcPr>
            <w:tcW w:w="3885" w:type="dxa"/>
            <w:tcBorders>
              <w:top w:val="nil"/>
              <w:left w:val="nil"/>
              <w:right w:val="nil"/>
            </w:tcBorders>
            <w:shd w:val="clear" w:color="auto" w:fill="auto"/>
          </w:tcPr>
          <w:p w:rsidR="00407932" w:rsidRPr="00937B2D" w:rsidRDefault="00407932" w:rsidP="006553BE">
            <w:pPr>
              <w:tabs>
                <w:tab w:val="left" w:pos="810"/>
                <w:tab w:val="left" w:pos="1170"/>
              </w:tabs>
              <w:spacing w:after="60"/>
              <w:rPr>
                <w:rFonts w:ascii="Calibri" w:hAnsi="Calibri"/>
                <w:caps/>
              </w:rPr>
            </w:pPr>
            <w:r>
              <w:rPr>
                <w:rFonts w:ascii="Calibri" w:hAnsi="Calibri"/>
                <w:caps/>
              </w:rPr>
              <w:t>WITHIN_HHPROB</w:t>
            </w:r>
          </w:p>
        </w:tc>
        <w:tc>
          <w:tcPr>
            <w:tcW w:w="6480" w:type="dxa"/>
            <w:tcBorders>
              <w:top w:val="nil"/>
              <w:left w:val="nil"/>
              <w:right w:val="nil"/>
            </w:tcBorders>
            <w:shd w:val="clear" w:color="auto" w:fill="auto"/>
          </w:tcPr>
          <w:p w:rsidR="00407932" w:rsidRPr="00937B2D" w:rsidRDefault="00407932" w:rsidP="00937B2D">
            <w:pPr>
              <w:tabs>
                <w:tab w:val="left" w:pos="810"/>
                <w:tab w:val="left" w:pos="1170"/>
              </w:tabs>
              <w:spacing w:after="60"/>
              <w:rPr>
                <w:rFonts w:ascii="Calibri" w:hAnsi="Calibri"/>
              </w:rPr>
            </w:pPr>
            <w:r>
              <w:rPr>
                <w:rFonts w:ascii="Calibri" w:hAnsi="Calibri"/>
              </w:rPr>
              <w:t>Within-household selection probability of the selected respondent.</w:t>
            </w:r>
          </w:p>
        </w:tc>
      </w:tr>
      <w:tr w:rsidR="00407932" w:rsidRPr="00937B2D" w:rsidTr="007E7D93">
        <w:trPr>
          <w:trHeight w:val="576"/>
        </w:trPr>
        <w:tc>
          <w:tcPr>
            <w:tcW w:w="3885" w:type="dxa"/>
            <w:tcBorders>
              <w:top w:val="nil"/>
              <w:left w:val="nil"/>
              <w:bottom w:val="single" w:sz="4" w:space="0" w:color="auto"/>
              <w:right w:val="nil"/>
            </w:tcBorders>
            <w:shd w:val="clear" w:color="auto" w:fill="auto"/>
          </w:tcPr>
          <w:p w:rsidR="00407932" w:rsidRPr="00937B2D" w:rsidRDefault="00407932" w:rsidP="006553BE">
            <w:pPr>
              <w:tabs>
                <w:tab w:val="left" w:pos="810"/>
                <w:tab w:val="left" w:pos="1170"/>
              </w:tabs>
              <w:spacing w:after="60"/>
              <w:rPr>
                <w:rFonts w:ascii="Calibri" w:hAnsi="Calibri"/>
                <w:caps/>
              </w:rPr>
            </w:pPr>
            <w:r w:rsidRPr="00937B2D">
              <w:rPr>
                <w:rFonts w:ascii="Calibri" w:hAnsi="Calibri"/>
                <w:caps/>
              </w:rPr>
              <w:t>MSG_</w:t>
            </w:r>
            <w:r>
              <w:rPr>
                <w:rFonts w:ascii="Calibri" w:hAnsi="Calibri"/>
                <w:caps/>
              </w:rPr>
              <w:t>DATA_AVAILABLE</w:t>
            </w:r>
          </w:p>
        </w:tc>
        <w:tc>
          <w:tcPr>
            <w:tcW w:w="6480" w:type="dxa"/>
            <w:tcBorders>
              <w:top w:val="nil"/>
              <w:left w:val="nil"/>
              <w:bottom w:val="single" w:sz="4" w:space="0" w:color="auto"/>
              <w:right w:val="nil"/>
            </w:tcBorders>
            <w:shd w:val="clear" w:color="auto" w:fill="auto"/>
          </w:tcPr>
          <w:p w:rsidR="00407932" w:rsidRPr="00937B2D" w:rsidRDefault="00407932" w:rsidP="00937B2D">
            <w:pPr>
              <w:tabs>
                <w:tab w:val="left" w:pos="810"/>
                <w:tab w:val="left" w:pos="1170"/>
              </w:tabs>
              <w:spacing w:after="60"/>
              <w:rPr>
                <w:rFonts w:ascii="Calibri" w:hAnsi="Calibri"/>
              </w:rPr>
            </w:pPr>
            <w:r>
              <w:rPr>
                <w:rFonts w:ascii="Calibri" w:hAnsi="Calibri"/>
              </w:rPr>
              <w:t>Commercial data are available for the household (yes/no).</w:t>
            </w:r>
          </w:p>
        </w:tc>
      </w:tr>
    </w:tbl>
    <w:p w:rsidR="008B1E40" w:rsidRDefault="008B1E40" w:rsidP="00AE30CB">
      <w:pPr>
        <w:spacing w:line="360" w:lineRule="auto"/>
        <w:rPr>
          <w:rFonts w:ascii="Times New Roman" w:hAnsi="Times New Roman"/>
        </w:rPr>
      </w:pPr>
    </w:p>
    <w:p w:rsidR="00EE39E2" w:rsidRDefault="00EE39E2" w:rsidP="00AE30CB">
      <w:pPr>
        <w:spacing w:line="360" w:lineRule="auto"/>
        <w:rPr>
          <w:rFonts w:ascii="Times New Roman" w:hAnsi="Times New Roman"/>
        </w:rPr>
      </w:pPr>
      <w:r>
        <w:rPr>
          <w:rFonts w:ascii="Times New Roman" w:hAnsi="Times New Roman"/>
        </w:rPr>
        <w:t xml:space="preserve">Nonresponse adjustments were </w:t>
      </w:r>
      <w:r w:rsidR="0046618F">
        <w:rPr>
          <w:rFonts w:ascii="Times New Roman" w:hAnsi="Times New Roman"/>
        </w:rPr>
        <w:t>created</w:t>
      </w:r>
      <w:r>
        <w:rPr>
          <w:rFonts w:ascii="Times New Roman" w:hAnsi="Times New Roman"/>
        </w:rPr>
        <w:t xml:space="preserve"> by forming deciles of estimated propensities </w:t>
      </w:r>
      <w:r w:rsidR="0046618F">
        <w:rPr>
          <w:rFonts w:ascii="Times New Roman" w:hAnsi="Times New Roman"/>
        </w:rPr>
        <w:t>from</w:t>
      </w:r>
      <w:r>
        <w:rPr>
          <w:rFonts w:ascii="Times New Roman" w:hAnsi="Times New Roman"/>
        </w:rPr>
        <w:t xml:space="preserve"> each model </w:t>
      </w:r>
      <w:r w:rsidR="00BD2D23">
        <w:rPr>
          <w:rFonts w:ascii="Times New Roman" w:hAnsi="Times New Roman"/>
        </w:rPr>
        <w:t xml:space="preserve">(screener and main) </w:t>
      </w:r>
      <w:r>
        <w:rPr>
          <w:rFonts w:ascii="Times New Roman" w:hAnsi="Times New Roman"/>
        </w:rPr>
        <w:t xml:space="preserve">separately, and then using the inverse of the response rate within each decile as an adjustment weight. </w:t>
      </w:r>
      <w:r w:rsidR="00BD2D23">
        <w:rPr>
          <w:rFonts w:ascii="Times New Roman" w:hAnsi="Times New Roman"/>
        </w:rPr>
        <w:t xml:space="preserve"> </w:t>
      </w:r>
      <w:r w:rsidR="0046618F">
        <w:rPr>
          <w:rFonts w:ascii="Times New Roman" w:hAnsi="Times New Roman"/>
        </w:rPr>
        <w:t>The product of the screener and main nonresponse adjustments was then multiplied by the probability of selection weight</w:t>
      </w:r>
      <w:r w:rsidR="00BD2D23">
        <w:rPr>
          <w:rFonts w:ascii="Times New Roman" w:hAnsi="Times New Roman"/>
        </w:rPr>
        <w:t xml:space="preserve"> to obtain the final weight</w:t>
      </w:r>
      <w:r w:rsidR="0046618F">
        <w:rPr>
          <w:rFonts w:ascii="Times New Roman" w:hAnsi="Times New Roman"/>
        </w:rPr>
        <w:t xml:space="preserve">. </w:t>
      </w:r>
    </w:p>
    <w:p w:rsidR="00EE39E2" w:rsidRDefault="00EE39E2" w:rsidP="00AE30CB">
      <w:pPr>
        <w:spacing w:line="360" w:lineRule="auto"/>
        <w:rPr>
          <w:rFonts w:ascii="Times New Roman" w:hAnsi="Times New Roman"/>
        </w:rPr>
      </w:pPr>
    </w:p>
    <w:p w:rsidR="00534D05" w:rsidRDefault="00431B6F" w:rsidP="00AE30CB">
      <w:pPr>
        <w:spacing w:line="360" w:lineRule="auto"/>
        <w:rPr>
          <w:rFonts w:ascii="Times New Roman" w:hAnsi="Times New Roman"/>
        </w:rPr>
      </w:pPr>
      <w:r>
        <w:rPr>
          <w:rFonts w:ascii="Times New Roman" w:hAnsi="Times New Roman"/>
        </w:rPr>
        <w:t xml:space="preserve">One of the positive impacts of </w:t>
      </w:r>
      <w:r w:rsidR="000D08A8">
        <w:rPr>
          <w:rFonts w:ascii="Times New Roman" w:hAnsi="Times New Roman"/>
        </w:rPr>
        <w:t>the</w:t>
      </w:r>
      <w:r>
        <w:rPr>
          <w:rFonts w:ascii="Times New Roman" w:hAnsi="Times New Roman"/>
        </w:rPr>
        <w:t xml:space="preserve"> interventions</w:t>
      </w:r>
      <w:r w:rsidR="000D08A8">
        <w:rPr>
          <w:rFonts w:ascii="Times New Roman" w:hAnsi="Times New Roman"/>
        </w:rPr>
        <w:t xml:space="preserve"> </w:t>
      </w:r>
      <w:r w:rsidR="00506A53">
        <w:rPr>
          <w:rFonts w:ascii="Times New Roman" w:hAnsi="Times New Roman"/>
        </w:rPr>
        <w:t xml:space="preserve">during </w:t>
      </w:r>
      <w:r w:rsidR="00877A42">
        <w:rPr>
          <w:rFonts w:ascii="Times New Roman" w:hAnsi="Times New Roman"/>
        </w:rPr>
        <w:t xml:space="preserve">the </w:t>
      </w:r>
      <w:r w:rsidR="00506A53">
        <w:rPr>
          <w:rFonts w:ascii="Times New Roman" w:hAnsi="Times New Roman"/>
        </w:rPr>
        <w:t xml:space="preserve">2006-2010 NSFG </w:t>
      </w:r>
      <w:r>
        <w:rPr>
          <w:rFonts w:ascii="Times New Roman" w:hAnsi="Times New Roman"/>
        </w:rPr>
        <w:t xml:space="preserve">was a reduction in the variation of response rates for important subgroups. </w:t>
      </w:r>
      <w:r w:rsidR="00BD2D23">
        <w:rPr>
          <w:rFonts w:ascii="Times New Roman" w:hAnsi="Times New Roman"/>
        </w:rPr>
        <w:t xml:space="preserve"> </w:t>
      </w:r>
      <w:r w:rsidR="00506A53">
        <w:rPr>
          <w:rFonts w:ascii="Times New Roman" w:hAnsi="Times New Roman"/>
        </w:rPr>
        <w:t xml:space="preserve">These relatively low rates of variation have </w:t>
      </w:r>
      <w:r w:rsidR="000B013A">
        <w:rPr>
          <w:rFonts w:ascii="Times New Roman" w:hAnsi="Times New Roman"/>
        </w:rPr>
        <w:t>been – despite our efforts – increasing slightly over time</w:t>
      </w:r>
      <w:r w:rsidR="00506A53">
        <w:rPr>
          <w:rFonts w:ascii="Times New Roman" w:hAnsi="Times New Roman"/>
        </w:rPr>
        <w:t xml:space="preserve">. </w:t>
      </w:r>
      <w:r w:rsidR="00BD2D23">
        <w:rPr>
          <w:rFonts w:ascii="Times New Roman" w:hAnsi="Times New Roman"/>
        </w:rPr>
        <w:t xml:space="preserve"> </w:t>
      </w:r>
      <w:r w:rsidR="000B013A">
        <w:rPr>
          <w:rFonts w:ascii="Times New Roman" w:hAnsi="Times New Roman"/>
        </w:rPr>
        <w:t xml:space="preserve">Figure 8 </w:t>
      </w:r>
      <w:r w:rsidRPr="00F11067">
        <w:rPr>
          <w:rFonts w:ascii="Times New Roman" w:hAnsi="Times New Roman"/>
        </w:rPr>
        <w:t xml:space="preserve">shows </w:t>
      </w:r>
      <w:r w:rsidR="00506A53" w:rsidRPr="00F11067">
        <w:rPr>
          <w:rFonts w:ascii="Times New Roman" w:hAnsi="Times New Roman"/>
        </w:rPr>
        <w:t xml:space="preserve">the coefficient of </w:t>
      </w:r>
      <w:r w:rsidRPr="00F11067">
        <w:rPr>
          <w:rFonts w:ascii="Times New Roman" w:hAnsi="Times New Roman"/>
        </w:rPr>
        <w:t xml:space="preserve">variation </w:t>
      </w:r>
      <w:r w:rsidR="000B013A">
        <w:rPr>
          <w:rFonts w:ascii="Times New Roman" w:hAnsi="Times New Roman"/>
        </w:rPr>
        <w:t xml:space="preserve">from Q1 to </w:t>
      </w:r>
      <w:r w:rsidR="00E93F5D">
        <w:rPr>
          <w:rFonts w:ascii="Times New Roman" w:hAnsi="Times New Roman"/>
        </w:rPr>
        <w:t>Q24</w:t>
      </w:r>
      <w:r>
        <w:rPr>
          <w:rFonts w:ascii="Times New Roman" w:hAnsi="Times New Roman"/>
        </w:rPr>
        <w:t xml:space="preserve">. </w:t>
      </w:r>
      <w:r w:rsidR="00BD2D23">
        <w:rPr>
          <w:rFonts w:ascii="Times New Roman" w:hAnsi="Times New Roman"/>
        </w:rPr>
        <w:t xml:space="preserve"> </w:t>
      </w:r>
      <w:r>
        <w:rPr>
          <w:rFonts w:ascii="Times New Roman" w:hAnsi="Times New Roman"/>
        </w:rPr>
        <w:t xml:space="preserve">The subgroup response rates are for the 12 cells defined by the cross-classification of 2 genders, 2 age groups (15-19 and 20-44), and 3 race/ethnicity groups (Black, Hispanic, White/Other). </w:t>
      </w:r>
      <w:r w:rsidR="00F11067">
        <w:rPr>
          <w:rFonts w:ascii="Times New Roman" w:hAnsi="Times New Roman"/>
        </w:rPr>
        <w:t xml:space="preserve">In Q17, the age eligibility was extended to 49. For Q17 to </w:t>
      </w:r>
      <w:r w:rsidR="00E93F5D">
        <w:rPr>
          <w:rFonts w:ascii="Times New Roman" w:hAnsi="Times New Roman"/>
        </w:rPr>
        <w:t>Q24</w:t>
      </w:r>
      <w:r w:rsidR="00F11067">
        <w:rPr>
          <w:rFonts w:ascii="Times New Roman" w:hAnsi="Times New Roman"/>
        </w:rPr>
        <w:t>, the age groups are 15-19 and 20-</w:t>
      </w:r>
      <w:r w:rsidR="00E93F5D">
        <w:rPr>
          <w:rFonts w:ascii="Times New Roman" w:hAnsi="Times New Roman"/>
        </w:rPr>
        <w:t>49</w:t>
      </w:r>
      <w:r w:rsidR="00F11067">
        <w:rPr>
          <w:rFonts w:ascii="Times New Roman" w:hAnsi="Times New Roman"/>
        </w:rPr>
        <w:t>.</w:t>
      </w:r>
      <w:r w:rsidR="00BD2D23">
        <w:rPr>
          <w:rFonts w:ascii="Times New Roman" w:hAnsi="Times New Roman"/>
        </w:rPr>
        <w:t xml:space="preserve"> </w:t>
      </w:r>
      <w:r>
        <w:rPr>
          <w:rFonts w:ascii="Times New Roman" w:hAnsi="Times New Roman"/>
        </w:rPr>
        <w:t>To the extent that these factors relate to survey outcomes, reducing the variation of subgroup response rates should reduce the nonresponse bias of unadjusted means estimated from the survey data.</w:t>
      </w:r>
      <w:r w:rsidR="00BD2D23">
        <w:rPr>
          <w:rFonts w:ascii="Times New Roman" w:hAnsi="Times New Roman"/>
        </w:rPr>
        <w:t xml:space="preserve"> </w:t>
      </w:r>
      <w:r>
        <w:rPr>
          <w:rFonts w:ascii="Times New Roman" w:hAnsi="Times New Roman"/>
        </w:rPr>
        <w:t xml:space="preserve"> </w:t>
      </w:r>
      <w:r w:rsidR="000D08A8">
        <w:rPr>
          <w:rFonts w:ascii="Times New Roman" w:hAnsi="Times New Roman"/>
        </w:rPr>
        <w:t xml:space="preserve">Improving response for groups with relatively lower response rates is also an empirical test of the assumption that within subgroups, responders are a random sample of the sample. </w:t>
      </w:r>
    </w:p>
    <w:p w:rsidR="007B3C6D" w:rsidRDefault="007B3C6D" w:rsidP="00AE30CB">
      <w:pPr>
        <w:spacing w:line="360" w:lineRule="auto"/>
        <w:rPr>
          <w:rFonts w:ascii="Times New Roman" w:hAnsi="Times New Roman"/>
        </w:rPr>
      </w:pPr>
    </w:p>
    <w:p w:rsidR="00534D05" w:rsidRDefault="00F11067" w:rsidP="008B1E40">
      <w:pPr>
        <w:rPr>
          <w:rFonts w:ascii="Times New Roman" w:hAnsi="Times New Roman"/>
        </w:rPr>
      </w:pPr>
      <w:r>
        <w:rPr>
          <w:rFonts w:ascii="Times New Roman" w:hAnsi="Times New Roman"/>
        </w:rPr>
        <w:t xml:space="preserve">Figure </w:t>
      </w:r>
      <w:r w:rsidR="009F4138">
        <w:rPr>
          <w:rFonts w:ascii="Times New Roman" w:hAnsi="Times New Roman"/>
        </w:rPr>
        <w:t>8</w:t>
      </w:r>
      <w:r>
        <w:rPr>
          <w:rFonts w:ascii="Times New Roman" w:hAnsi="Times New Roman"/>
        </w:rPr>
        <w:t>. Coefficient of Variation of 12 Subgroup Response Rates by Quarter Q1-</w:t>
      </w:r>
      <w:r w:rsidR="00E93F5D">
        <w:rPr>
          <w:rFonts w:ascii="Times New Roman" w:hAnsi="Times New Roman"/>
        </w:rPr>
        <w:t>Q24</w:t>
      </w:r>
    </w:p>
    <w:p w:rsidR="00534D05" w:rsidRDefault="000C4EC8" w:rsidP="008B1E40">
      <w:pPr>
        <w:rPr>
          <w:rFonts w:ascii="Times New Roman" w:hAnsi="Times New Roman"/>
        </w:rPr>
      </w:pPr>
      <w:r>
        <w:rPr>
          <w:rFonts w:ascii="Times New Roman" w:hAnsi="Times New Roman"/>
          <w:noProof/>
        </w:rPr>
        <w:drawing>
          <wp:inline distT="0" distB="0" distL="0" distR="0" wp14:anchorId="0BFF5699" wp14:editId="5DA9D2D8">
            <wp:extent cx="5886450" cy="4273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86450" cy="4273550"/>
                    </a:xfrm>
                    <a:prstGeom prst="rect">
                      <a:avLst/>
                    </a:prstGeom>
                    <a:noFill/>
                  </pic:spPr>
                </pic:pic>
              </a:graphicData>
            </a:graphic>
          </wp:inline>
        </w:drawing>
      </w:r>
    </w:p>
    <w:p w:rsidR="00534D05" w:rsidRDefault="00534D05" w:rsidP="008B1E40">
      <w:pPr>
        <w:rPr>
          <w:rFonts w:ascii="Times New Roman" w:hAnsi="Times New Roman"/>
        </w:rPr>
      </w:pPr>
    </w:p>
    <w:p w:rsidR="00A93B05" w:rsidRDefault="00A93B05" w:rsidP="008B1E40">
      <w:pPr>
        <w:rPr>
          <w:rFonts w:ascii="Times New Roman" w:hAnsi="Times New Roman"/>
        </w:rPr>
      </w:pPr>
    </w:p>
    <w:p w:rsidR="00A93B05" w:rsidRDefault="00A93B05" w:rsidP="008B1E40">
      <w:pPr>
        <w:rPr>
          <w:rFonts w:ascii="Times New Roman" w:hAnsi="Times New Roman"/>
        </w:rPr>
      </w:pPr>
    </w:p>
    <w:p w:rsidR="005A1E3F" w:rsidRPr="00AE30CB" w:rsidRDefault="0064193A" w:rsidP="00AE30CB">
      <w:pPr>
        <w:spacing w:line="360" w:lineRule="auto"/>
        <w:rPr>
          <w:rFonts w:ascii="Times New Roman" w:hAnsi="Times New Roman"/>
          <w:b/>
        </w:rPr>
      </w:pPr>
      <w:r>
        <w:rPr>
          <w:rFonts w:ascii="Times New Roman" w:hAnsi="Times New Roman"/>
          <w:b/>
        </w:rPr>
        <w:br w:type="page"/>
      </w:r>
      <w:r w:rsidR="005A1E3F" w:rsidRPr="00AE30CB">
        <w:rPr>
          <w:rFonts w:ascii="Times New Roman" w:hAnsi="Times New Roman"/>
          <w:b/>
        </w:rPr>
        <w:t>Summary</w:t>
      </w:r>
    </w:p>
    <w:p w:rsidR="005E71A6" w:rsidRDefault="005A1E3F" w:rsidP="00AE30CB">
      <w:pPr>
        <w:spacing w:line="360" w:lineRule="auto"/>
        <w:rPr>
          <w:rFonts w:ascii="Times New Roman" w:hAnsi="Times New Roman"/>
        </w:rPr>
      </w:pPr>
      <w:r>
        <w:rPr>
          <w:rFonts w:ascii="Times New Roman" w:hAnsi="Times New Roman"/>
        </w:rPr>
        <w:t xml:space="preserve">In summary, the </w:t>
      </w:r>
      <w:r w:rsidR="00877A42">
        <w:rPr>
          <w:rFonts w:ascii="Times New Roman" w:hAnsi="Times New Roman"/>
        </w:rPr>
        <w:t xml:space="preserve">first 6 years of the </w:t>
      </w:r>
      <w:r>
        <w:rPr>
          <w:rFonts w:ascii="Times New Roman" w:hAnsi="Times New Roman"/>
        </w:rPr>
        <w:t xml:space="preserve">Continuous NSFG </w:t>
      </w:r>
      <w:r w:rsidR="00877A42">
        <w:rPr>
          <w:rFonts w:ascii="Times New Roman" w:hAnsi="Times New Roman"/>
        </w:rPr>
        <w:t xml:space="preserve">conducted in 2011-2017 </w:t>
      </w:r>
      <w:r>
        <w:rPr>
          <w:rFonts w:ascii="Times New Roman" w:hAnsi="Times New Roman"/>
        </w:rPr>
        <w:t xml:space="preserve">builds on the design and implementation of the 2006-2010 NSFG.  A key element of that </w:t>
      </w:r>
      <w:r w:rsidR="00877A42">
        <w:rPr>
          <w:rFonts w:ascii="Times New Roman" w:hAnsi="Times New Roman"/>
        </w:rPr>
        <w:t xml:space="preserve">continuous </w:t>
      </w:r>
      <w:r>
        <w:rPr>
          <w:rFonts w:ascii="Times New Roman" w:hAnsi="Times New Roman"/>
        </w:rPr>
        <w:t xml:space="preserve">design is a responsive design approach that monitors paradata and key statistics, with a view to minimizing nonresponse bias and maximizing field efficiency.  </w:t>
      </w:r>
      <w:r w:rsidR="004C5A02">
        <w:rPr>
          <w:rFonts w:ascii="Times New Roman" w:hAnsi="Times New Roman"/>
        </w:rPr>
        <w:t>The NSFG team continues to explore new design options aimed at improving response rates, the composition of response, and efficiency.</w:t>
      </w:r>
    </w:p>
    <w:p w:rsidR="005E71A6" w:rsidRDefault="005E71A6" w:rsidP="00AE30CB">
      <w:pPr>
        <w:spacing w:line="360" w:lineRule="auto"/>
        <w:rPr>
          <w:rFonts w:ascii="Times New Roman" w:hAnsi="Times New Roman"/>
        </w:rPr>
      </w:pPr>
    </w:p>
    <w:p w:rsidR="008B1E40" w:rsidRPr="005E71A6" w:rsidRDefault="008B1E40" w:rsidP="00AE30CB">
      <w:pPr>
        <w:spacing w:line="360" w:lineRule="auto"/>
        <w:rPr>
          <w:rFonts w:ascii="Times New Roman" w:hAnsi="Times New Roman"/>
          <w:b/>
          <w:sz w:val="20"/>
          <w:szCs w:val="20"/>
        </w:rPr>
      </w:pPr>
      <w:r w:rsidRPr="005E71A6">
        <w:rPr>
          <w:rFonts w:ascii="Times New Roman" w:hAnsi="Times New Roman"/>
          <w:b/>
          <w:sz w:val="20"/>
          <w:szCs w:val="20"/>
        </w:rPr>
        <w:t>References</w:t>
      </w:r>
      <w:r w:rsidR="00E3037A" w:rsidRPr="005E71A6">
        <w:rPr>
          <w:rFonts w:ascii="Times New Roman" w:hAnsi="Times New Roman"/>
          <w:b/>
          <w:sz w:val="20"/>
          <w:szCs w:val="20"/>
        </w:rPr>
        <w:t xml:space="preserve"> for Attachment </w:t>
      </w:r>
      <w:r w:rsidR="00883440" w:rsidRPr="005E71A6">
        <w:rPr>
          <w:rFonts w:ascii="Times New Roman" w:hAnsi="Times New Roman"/>
          <w:b/>
          <w:sz w:val="20"/>
          <w:szCs w:val="20"/>
        </w:rPr>
        <w:t>O</w:t>
      </w:r>
    </w:p>
    <w:p w:rsidR="0046618F" w:rsidRPr="005E71A6" w:rsidRDefault="0046618F" w:rsidP="0046618F">
      <w:pPr>
        <w:spacing w:line="360" w:lineRule="auto"/>
        <w:ind w:left="720" w:hanging="720"/>
        <w:rPr>
          <w:rFonts w:ascii="Times New Roman" w:hAnsi="Times New Roman"/>
          <w:sz w:val="20"/>
          <w:szCs w:val="20"/>
        </w:rPr>
      </w:pPr>
      <w:r w:rsidRPr="005E71A6">
        <w:rPr>
          <w:rFonts w:ascii="Times New Roman" w:hAnsi="Times New Roman"/>
          <w:sz w:val="20"/>
          <w:szCs w:val="20"/>
        </w:rPr>
        <w:t xml:space="preserve">Groves, R. M., W. D. Mosher, J. M. Lepkowski and N. G. Kirgis (2009). "Planning and Development of the Continuous National Survey of Family Growth." </w:t>
      </w:r>
      <w:r w:rsidRPr="005E71A6">
        <w:rPr>
          <w:rFonts w:ascii="Times New Roman" w:hAnsi="Times New Roman"/>
          <w:sz w:val="20"/>
          <w:szCs w:val="20"/>
          <w:u w:val="single"/>
        </w:rPr>
        <w:t>Vital Health Stat 1</w:t>
      </w:r>
      <w:r w:rsidRPr="005E71A6">
        <w:rPr>
          <w:rFonts w:ascii="Times New Roman" w:hAnsi="Times New Roman"/>
          <w:sz w:val="20"/>
          <w:szCs w:val="20"/>
        </w:rPr>
        <w:t>(48): 1-64.</w:t>
      </w:r>
    </w:p>
    <w:p w:rsidR="0046618F" w:rsidRPr="005E71A6" w:rsidRDefault="0046618F" w:rsidP="0046618F">
      <w:pPr>
        <w:spacing w:line="360" w:lineRule="auto"/>
        <w:ind w:left="720" w:hanging="720"/>
        <w:rPr>
          <w:rFonts w:ascii="Times New Roman" w:hAnsi="Times New Roman"/>
          <w:color w:val="000000"/>
          <w:sz w:val="20"/>
          <w:szCs w:val="20"/>
        </w:rPr>
      </w:pPr>
      <w:r w:rsidRPr="005E71A6">
        <w:rPr>
          <w:rFonts w:ascii="Times New Roman" w:hAnsi="Times New Roman"/>
          <w:color w:val="000000"/>
          <w:sz w:val="20"/>
          <w:szCs w:val="20"/>
        </w:rPr>
        <w:t xml:space="preserve">Lepkowski, J. M., W. D. Mosher, R. M. Groves, B. T. West, J. Wagner and H. Gu (2013). Responsive Design, Weighting, and Variance Estimation in the 2006-2010 National Survey of Family Growth, National Center for Health Statistics. Series </w:t>
      </w:r>
      <w:r w:rsidRPr="005E71A6">
        <w:rPr>
          <w:rFonts w:ascii="Times New Roman" w:hAnsi="Times New Roman"/>
          <w:bCs/>
          <w:color w:val="000000"/>
          <w:sz w:val="20"/>
          <w:szCs w:val="20"/>
        </w:rPr>
        <w:t>2</w:t>
      </w:r>
      <w:r w:rsidRPr="005E71A6">
        <w:rPr>
          <w:rFonts w:ascii="Times New Roman" w:hAnsi="Times New Roman"/>
          <w:color w:val="000000"/>
          <w:sz w:val="20"/>
          <w:szCs w:val="20"/>
        </w:rPr>
        <w:t>.</w:t>
      </w:r>
      <w:r w:rsidRPr="005E71A6">
        <w:rPr>
          <w:rFonts w:ascii="Times New Roman" w:hAnsi="Times New Roman" w:cs="NimbusSanL-Regu"/>
          <w:sz w:val="20"/>
          <w:szCs w:val="20"/>
        </w:rPr>
        <w:t xml:space="preserve"> Hyattsville, MD: National Center for Health Statistics.</w:t>
      </w:r>
    </w:p>
    <w:p w:rsidR="00E90891" w:rsidRPr="005E71A6" w:rsidRDefault="00E90891" w:rsidP="00E90891">
      <w:pPr>
        <w:spacing w:line="360" w:lineRule="auto"/>
        <w:ind w:left="720" w:hanging="720"/>
        <w:rPr>
          <w:rFonts w:ascii="Times New Roman" w:hAnsi="Times New Roman" w:cs="NimbusSanL-Regu"/>
          <w:sz w:val="20"/>
          <w:szCs w:val="20"/>
        </w:rPr>
      </w:pPr>
      <w:r w:rsidRPr="005E71A6">
        <w:rPr>
          <w:rFonts w:ascii="Times New Roman" w:hAnsi="Times New Roman" w:cs="NimbusSanL-Regu"/>
          <w:sz w:val="20"/>
          <w:szCs w:val="20"/>
        </w:rPr>
        <w:t xml:space="preserve">Little, R. J. A. and S. Vartivarian (2005). "Does Weighting for Nonresponse Increase the Variance of Survey Means?" </w:t>
      </w:r>
      <w:r w:rsidRPr="005E71A6">
        <w:rPr>
          <w:rFonts w:ascii="Times New Roman" w:hAnsi="Times New Roman" w:cs="NimbusSanL-Regu"/>
          <w:sz w:val="20"/>
          <w:szCs w:val="20"/>
          <w:u w:val="single"/>
        </w:rPr>
        <w:t>Survey Methodology</w:t>
      </w:r>
      <w:r w:rsidRPr="005E71A6">
        <w:rPr>
          <w:rFonts w:ascii="Times New Roman" w:hAnsi="Times New Roman" w:cs="NimbusSanL-Regu"/>
          <w:sz w:val="20"/>
          <w:szCs w:val="20"/>
        </w:rPr>
        <w:t xml:space="preserve"> </w:t>
      </w:r>
      <w:r w:rsidRPr="005E71A6">
        <w:rPr>
          <w:rFonts w:ascii="Times New Roman" w:hAnsi="Times New Roman" w:cs="NimbusSanL-Regu"/>
          <w:b/>
          <w:bCs/>
          <w:sz w:val="20"/>
          <w:szCs w:val="20"/>
        </w:rPr>
        <w:t>31</w:t>
      </w:r>
      <w:r w:rsidRPr="005E71A6">
        <w:rPr>
          <w:rFonts w:ascii="Times New Roman" w:hAnsi="Times New Roman" w:cs="NimbusSanL-Regu"/>
          <w:sz w:val="20"/>
          <w:szCs w:val="20"/>
        </w:rPr>
        <w:t>(2): 161-168.</w:t>
      </w:r>
    </w:p>
    <w:p w:rsidR="007A3C2F" w:rsidRPr="005E71A6" w:rsidRDefault="007A3C2F" w:rsidP="007A3C2F">
      <w:pPr>
        <w:spacing w:line="360" w:lineRule="auto"/>
        <w:ind w:left="720" w:hanging="720"/>
        <w:rPr>
          <w:rFonts w:ascii="Times New Roman" w:hAnsi="Times New Roman" w:cs="NimbusSanL-Regu"/>
          <w:sz w:val="20"/>
          <w:szCs w:val="20"/>
        </w:rPr>
      </w:pPr>
      <w:r w:rsidRPr="005E71A6">
        <w:rPr>
          <w:rFonts w:ascii="Times New Roman" w:hAnsi="Times New Roman" w:cs="NimbusSanL-Regu"/>
          <w:sz w:val="20"/>
          <w:szCs w:val="20"/>
        </w:rPr>
        <w:t xml:space="preserve">Schouten, B., F. Cobben, P. Lundquist and J. Wagner (2016). "Does more balanced survey response imply less non-response bias?" </w:t>
      </w:r>
      <w:r w:rsidRPr="005E71A6">
        <w:rPr>
          <w:rFonts w:ascii="Times New Roman" w:hAnsi="Times New Roman" w:cs="NimbusSanL-Regu"/>
          <w:sz w:val="20"/>
          <w:szCs w:val="20"/>
          <w:u w:val="single"/>
        </w:rPr>
        <w:t>Journal of the Royal Statistical Society: Series A (Statistics in Society)</w:t>
      </w:r>
      <w:r w:rsidRPr="005E71A6">
        <w:rPr>
          <w:rFonts w:ascii="Times New Roman" w:hAnsi="Times New Roman" w:cs="NimbusSanL-Regu"/>
          <w:sz w:val="20"/>
          <w:szCs w:val="20"/>
        </w:rPr>
        <w:t xml:space="preserve"> </w:t>
      </w:r>
      <w:r w:rsidRPr="005E71A6">
        <w:rPr>
          <w:rFonts w:ascii="Times New Roman" w:hAnsi="Times New Roman" w:cs="NimbusSanL-Regu"/>
          <w:b/>
          <w:bCs/>
          <w:sz w:val="20"/>
          <w:szCs w:val="20"/>
        </w:rPr>
        <w:t>179</w:t>
      </w:r>
      <w:r w:rsidRPr="005E71A6">
        <w:rPr>
          <w:rFonts w:ascii="Times New Roman" w:hAnsi="Times New Roman" w:cs="NimbusSanL-Regu"/>
          <w:sz w:val="20"/>
          <w:szCs w:val="20"/>
        </w:rPr>
        <w:t>(3): 727-748.</w:t>
      </w:r>
    </w:p>
    <w:p w:rsidR="0046618F" w:rsidRPr="005E71A6" w:rsidRDefault="0046618F" w:rsidP="0046618F">
      <w:pPr>
        <w:spacing w:line="360" w:lineRule="auto"/>
        <w:ind w:left="720" w:hanging="720"/>
        <w:rPr>
          <w:rFonts w:ascii="Times New Roman" w:hAnsi="Times New Roman" w:cs="NimbusSanL-Regu"/>
          <w:sz w:val="20"/>
          <w:szCs w:val="20"/>
        </w:rPr>
      </w:pPr>
      <w:r w:rsidRPr="005E71A6">
        <w:rPr>
          <w:rFonts w:ascii="Times New Roman" w:hAnsi="Times New Roman" w:cs="NimbusSanL-Regu"/>
          <w:sz w:val="20"/>
          <w:szCs w:val="20"/>
        </w:rPr>
        <w:t xml:space="preserve">Wagner, J. (2014). </w:t>
      </w:r>
      <w:r w:rsidRPr="005E71A6">
        <w:rPr>
          <w:rFonts w:ascii="Times New Roman" w:hAnsi="Times New Roman" w:cs="NimbusSanL-Regu"/>
          <w:sz w:val="20"/>
          <w:szCs w:val="20"/>
          <w:u w:val="single"/>
        </w:rPr>
        <w:t>Limiting the Risk of Nonresponse Bias by Using Regression Diagnostics as a Guide to Data Collection</w:t>
      </w:r>
      <w:r w:rsidRPr="005E71A6">
        <w:rPr>
          <w:rFonts w:ascii="Times New Roman" w:hAnsi="Times New Roman" w:cs="NimbusSanL-Regu"/>
          <w:sz w:val="20"/>
          <w:szCs w:val="20"/>
        </w:rPr>
        <w:t>. Proceeding of the Joint Statistical Meetings, Boston.</w:t>
      </w:r>
    </w:p>
    <w:p w:rsidR="00117262" w:rsidRPr="005E71A6" w:rsidRDefault="00117262" w:rsidP="0046618F">
      <w:pPr>
        <w:spacing w:line="360" w:lineRule="auto"/>
        <w:ind w:left="720" w:hanging="720"/>
        <w:rPr>
          <w:rFonts w:ascii="Times New Roman" w:hAnsi="Times New Roman" w:cs="NimbusSanL-Regu"/>
          <w:sz w:val="20"/>
          <w:szCs w:val="20"/>
        </w:rPr>
      </w:pPr>
      <w:r w:rsidRPr="005E71A6">
        <w:rPr>
          <w:rFonts w:ascii="Times New Roman" w:hAnsi="Times New Roman" w:cs="NimbusSanL-Regu"/>
          <w:sz w:val="20"/>
          <w:szCs w:val="20"/>
        </w:rPr>
        <w:t>Wagner, J. (2016). Using Bayesian Methods to Estimate Response Propensity Models During Data Collection. Paper presented at the Annual Conference of the American Association for Public Opinion Research.</w:t>
      </w:r>
    </w:p>
    <w:p w:rsidR="00117262" w:rsidRPr="005E71A6" w:rsidRDefault="00117262" w:rsidP="00117262">
      <w:pPr>
        <w:spacing w:line="360" w:lineRule="auto"/>
        <w:ind w:left="720" w:hanging="720"/>
        <w:rPr>
          <w:rFonts w:ascii="Times New Roman" w:hAnsi="Times New Roman" w:cs="NimbusSanL-Regu"/>
          <w:sz w:val="20"/>
          <w:szCs w:val="20"/>
        </w:rPr>
      </w:pPr>
      <w:r w:rsidRPr="005E71A6">
        <w:rPr>
          <w:rFonts w:ascii="Times New Roman" w:hAnsi="Times New Roman" w:cs="NimbusSanL-Regu"/>
          <w:sz w:val="20"/>
          <w:szCs w:val="20"/>
        </w:rPr>
        <w:t>Wagner, J. (2017). Using Bayesian Methods to Rank Cases Based on Response Propensity During Data Collection. Paper presented at the Survey Research Methods Section of Joint Statistical Meetings.</w:t>
      </w:r>
    </w:p>
    <w:p w:rsidR="0046618F" w:rsidRPr="005E71A6" w:rsidRDefault="0046618F" w:rsidP="00117262">
      <w:pPr>
        <w:spacing w:line="360" w:lineRule="auto"/>
        <w:ind w:left="720" w:hanging="720"/>
        <w:rPr>
          <w:rFonts w:ascii="Times New Roman" w:hAnsi="Times New Roman" w:cs="NimbusSanL-Regu"/>
          <w:sz w:val="20"/>
          <w:szCs w:val="20"/>
        </w:rPr>
      </w:pPr>
      <w:r w:rsidRPr="005E71A6">
        <w:rPr>
          <w:rFonts w:ascii="Times New Roman" w:hAnsi="Times New Roman" w:cs="NimbusSanL-Regu"/>
          <w:sz w:val="20"/>
          <w:szCs w:val="20"/>
        </w:rPr>
        <w:t xml:space="preserve">Wagner, J. and F. Hubbard (2014). "Producing Unbiased Estimates of Propensity Models During Data Collection." </w:t>
      </w:r>
      <w:r w:rsidRPr="005E71A6">
        <w:rPr>
          <w:rFonts w:ascii="Times New Roman" w:hAnsi="Times New Roman" w:cs="NimbusSanL-Regu"/>
          <w:sz w:val="20"/>
          <w:szCs w:val="20"/>
          <w:u w:val="single"/>
        </w:rPr>
        <w:t>Journal of Survey Statistics and Methodology</w:t>
      </w:r>
      <w:r w:rsidRPr="005E71A6">
        <w:rPr>
          <w:rFonts w:ascii="Times New Roman" w:hAnsi="Times New Roman" w:cs="NimbusSanL-Regu"/>
          <w:sz w:val="20"/>
          <w:szCs w:val="20"/>
        </w:rPr>
        <w:t xml:space="preserve"> </w:t>
      </w:r>
      <w:r w:rsidRPr="005E71A6">
        <w:rPr>
          <w:rFonts w:ascii="Times New Roman" w:hAnsi="Times New Roman" w:cs="NimbusSanL-Regu"/>
          <w:b/>
          <w:bCs/>
          <w:sz w:val="20"/>
          <w:szCs w:val="20"/>
        </w:rPr>
        <w:t>2</w:t>
      </w:r>
      <w:r w:rsidRPr="005E71A6">
        <w:rPr>
          <w:rFonts w:ascii="Times New Roman" w:hAnsi="Times New Roman" w:cs="NimbusSanL-Regu"/>
          <w:sz w:val="20"/>
          <w:szCs w:val="20"/>
        </w:rPr>
        <w:t>(3): 323-342.</w:t>
      </w:r>
    </w:p>
    <w:p w:rsidR="00714A5A" w:rsidRPr="005E71A6" w:rsidRDefault="0046618F" w:rsidP="0064193A">
      <w:pPr>
        <w:spacing w:line="360" w:lineRule="auto"/>
        <w:ind w:left="720" w:hanging="720"/>
        <w:rPr>
          <w:rFonts w:ascii="Times New Roman" w:hAnsi="Times New Roman"/>
          <w:color w:val="000000"/>
          <w:sz w:val="20"/>
          <w:szCs w:val="20"/>
        </w:rPr>
      </w:pPr>
      <w:r w:rsidRPr="005E71A6">
        <w:rPr>
          <w:rFonts w:ascii="Times New Roman" w:hAnsi="Times New Roman" w:cs="NimbusSanL-Regu"/>
          <w:sz w:val="20"/>
          <w:szCs w:val="20"/>
        </w:rPr>
        <w:t xml:space="preserve">Wagner, J., B. T. West, N. Kirgis, J. M. Lepkowski, W. G. Axinn and S. K. Ndiaye (2012). "Use of Paradata in a Responsive Design Framework to Manage a Field Data Collection." </w:t>
      </w:r>
      <w:r w:rsidRPr="005E71A6">
        <w:rPr>
          <w:rFonts w:ascii="Times New Roman" w:hAnsi="Times New Roman" w:cs="NimbusSanL-Regu"/>
          <w:sz w:val="20"/>
          <w:szCs w:val="20"/>
          <w:u w:val="single"/>
        </w:rPr>
        <w:t>Journal of Official Statistics</w:t>
      </w:r>
      <w:r w:rsidRPr="005E71A6">
        <w:rPr>
          <w:rFonts w:ascii="Times New Roman" w:hAnsi="Times New Roman" w:cs="NimbusSanL-Regu"/>
          <w:sz w:val="20"/>
          <w:szCs w:val="20"/>
        </w:rPr>
        <w:t xml:space="preserve"> </w:t>
      </w:r>
      <w:r w:rsidRPr="005E71A6">
        <w:rPr>
          <w:rFonts w:ascii="Times New Roman" w:hAnsi="Times New Roman" w:cs="NimbusSanL-Regu"/>
          <w:b/>
          <w:bCs/>
          <w:sz w:val="20"/>
          <w:szCs w:val="20"/>
        </w:rPr>
        <w:t>28</w:t>
      </w:r>
      <w:r w:rsidRPr="005E71A6">
        <w:rPr>
          <w:rFonts w:ascii="Times New Roman" w:hAnsi="Times New Roman" w:cs="NimbusSanL-Regu"/>
          <w:sz w:val="20"/>
          <w:szCs w:val="20"/>
        </w:rPr>
        <w:t>(4): 477-499.</w:t>
      </w:r>
    </w:p>
    <w:sectPr w:rsidR="00714A5A" w:rsidRPr="005E71A6" w:rsidSect="00E775C0">
      <w:headerReference w:type="default" r:id="rId17"/>
      <w:footerReference w:type="even" r:id="rId18"/>
      <w:footerReference w:type="default" r:id="rId19"/>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775" w:rsidRDefault="00150775">
      <w:r>
        <w:separator/>
      </w:r>
    </w:p>
  </w:endnote>
  <w:endnote w:type="continuationSeparator" w:id="0">
    <w:p w:rsidR="00150775" w:rsidRDefault="0015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imbusSanL-Regu">
    <w:panose1 w:val="00000000000000000000"/>
    <w:charset w:val="00"/>
    <w:family w:val="auto"/>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79" w:rsidRDefault="00BE0879" w:rsidP="00256D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0879" w:rsidRDefault="00BE08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79" w:rsidRDefault="00BE0879" w:rsidP="00256D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3388">
      <w:rPr>
        <w:rStyle w:val="PageNumber"/>
        <w:noProof/>
      </w:rPr>
      <w:t>1</w:t>
    </w:r>
    <w:r>
      <w:rPr>
        <w:rStyle w:val="PageNumber"/>
      </w:rPr>
      <w:fldChar w:fldCharType="end"/>
    </w:r>
  </w:p>
  <w:p w:rsidR="00BE0879" w:rsidRDefault="00BE0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775" w:rsidRDefault="00150775">
      <w:r>
        <w:separator/>
      </w:r>
    </w:p>
  </w:footnote>
  <w:footnote w:type="continuationSeparator" w:id="0">
    <w:p w:rsidR="00150775" w:rsidRDefault="00150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90" w:rsidRPr="00590DB8" w:rsidRDefault="00AB7790" w:rsidP="00AB7790">
    <w:pPr>
      <w:tabs>
        <w:tab w:val="center" w:pos="4320"/>
        <w:tab w:val="right" w:pos="8640"/>
      </w:tabs>
      <w:rPr>
        <w:rFonts w:ascii="Calibri" w:hAnsi="Calibri" w:cs="Calibri"/>
        <w:b/>
        <w:bCs/>
        <w:sz w:val="20"/>
        <w:szCs w:val="20"/>
      </w:rPr>
    </w:pPr>
    <w:r w:rsidRPr="001E3341">
      <w:rPr>
        <w:rFonts w:ascii="Calibri" w:hAnsi="Calibri" w:cs="Calibri"/>
        <w:i/>
        <w:iCs/>
        <w:sz w:val="20"/>
        <w:szCs w:val="20"/>
      </w:rPr>
      <w:t>NSFG</w:t>
    </w:r>
    <w:r>
      <w:rPr>
        <w:rFonts w:ascii="Calibri" w:hAnsi="Calibri" w:cs="Calibri"/>
        <w:i/>
        <w:iCs/>
        <w:sz w:val="20"/>
        <w:szCs w:val="20"/>
      </w:rPr>
      <w:tab/>
      <w:t xml:space="preserve">OMB Attachment </w:t>
    </w:r>
    <w:r w:rsidR="003E0573">
      <w:rPr>
        <w:rFonts w:ascii="Calibri" w:hAnsi="Calibri" w:cs="Calibri"/>
        <w:i/>
        <w:iCs/>
        <w:sz w:val="20"/>
        <w:szCs w:val="20"/>
      </w:rPr>
      <w:t>O</w:t>
    </w:r>
    <w:r>
      <w:rPr>
        <w:rFonts w:ascii="Calibri" w:hAnsi="Calibri" w:cs="Calibri"/>
        <w:i/>
        <w:iCs/>
        <w:sz w:val="20"/>
        <w:szCs w:val="20"/>
      </w:rPr>
      <w:tab/>
      <w:t xml:space="preserve">OMB No. </w:t>
    </w:r>
    <w:r w:rsidRPr="00EF2435">
      <w:rPr>
        <w:rFonts w:ascii="Calibri" w:hAnsi="Calibri" w:cs="Calibri"/>
        <w:bCs/>
        <w:i/>
        <w:sz w:val="20"/>
        <w:szCs w:val="20"/>
      </w:rPr>
      <w:t>0920-0314</w:t>
    </w:r>
    <w:r w:rsidRPr="001E3341">
      <w:rPr>
        <w:rFonts w:ascii="Calibri" w:hAnsi="Calibri" w:cs="Calibri"/>
        <w:b/>
        <w:bCs/>
        <w:sz w:val="20"/>
        <w:szCs w:val="20"/>
      </w:rPr>
      <w:t xml:space="preserve"> </w:t>
    </w:r>
  </w:p>
  <w:p w:rsidR="00AB7790" w:rsidRPr="002C2F2D" w:rsidRDefault="00AB7790" w:rsidP="00AB7790">
    <w:pPr>
      <w:tabs>
        <w:tab w:val="left" w:pos="-1440"/>
      </w:tabs>
      <w:ind w:left="7200" w:hanging="7200"/>
      <w:jc w:val="right"/>
      <w:rPr>
        <w:rFonts w:ascii="Univers" w:hAnsi="Univers" w:cs="Univers"/>
        <w:i/>
        <w:iCs/>
        <w:noProo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F6E74CC"/>
    <w:lvl w:ilvl="0">
      <w:numFmt w:val="decimal"/>
      <w:lvlText w:val="*"/>
      <w:lvlJc w:val="left"/>
    </w:lvl>
  </w:abstractNum>
  <w:abstractNum w:abstractNumId="1">
    <w:nsid w:val="00000001"/>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singleLevel"/>
    <w:tmpl w:val="00000000"/>
    <w:lvl w:ilvl="0">
      <w:start w:val="1"/>
      <w:numFmt w:val="decimal"/>
      <w:pStyle w:val="Quick1"/>
      <w:lvlText w:val="%1."/>
      <w:lvlJc w:val="left"/>
      <w:pPr>
        <w:tabs>
          <w:tab w:val="num" w:pos="720"/>
        </w:tabs>
      </w:pPr>
      <w:rPr>
        <w:rFonts w:ascii="Times New Roman" w:hAnsi="Times New Roman" w:cs="Times New Roman"/>
        <w:b/>
        <w:bCs/>
        <w:sz w:val="24"/>
        <w:szCs w:val="24"/>
      </w:rPr>
    </w:lvl>
  </w:abstractNum>
  <w:abstractNum w:abstractNumId="3">
    <w:nsid w:val="00000003"/>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4"/>
    <w:lvl w:ilvl="0">
      <w:start w:val="1"/>
      <w:numFmt w:val="lowerLetter"/>
      <w:lvlText w:val="%1."/>
      <w:lvlJc w:val="left"/>
    </w:lvl>
    <w:lvl w:ilvl="1">
      <w:start w:val="1"/>
      <w:numFmt w:val="upp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AutoList5"/>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name w:val="AutoList2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
    <w:nsid w:val="00000009"/>
    <w:multiLevelType w:val="multilevel"/>
    <w:tmpl w:val="00000000"/>
    <w:name w:val="AutoList14"/>
    <w:lvl w:ilvl="0">
      <w:start w:val="1"/>
      <w:numFmt w:val="decimal"/>
      <w:lvlText w:val="4."/>
      <w:lvlJc w:val="left"/>
    </w:lvl>
    <w:lvl w:ilvl="1">
      <w:start w:val="1"/>
      <w:numFmt w:val="decimal"/>
      <w:lvlText w:val="4."/>
      <w:lvlJc w:val="left"/>
    </w:lvl>
    <w:lvl w:ilvl="2">
      <w:start w:val="1"/>
      <w:numFmt w:val="decimal"/>
      <w:lvlText w:val="4."/>
      <w:lvlJc w:val="left"/>
    </w:lvl>
    <w:lvl w:ilvl="3">
      <w:start w:val="1"/>
      <w:numFmt w:val="decimal"/>
      <w:lvlText w:val="4."/>
      <w:lvlJc w:val="left"/>
    </w:lvl>
    <w:lvl w:ilvl="4">
      <w:start w:val="1"/>
      <w:numFmt w:val="decimal"/>
      <w:lvlText w:val="4."/>
      <w:lvlJc w:val="left"/>
    </w:lvl>
    <w:lvl w:ilvl="5">
      <w:start w:val="1"/>
      <w:numFmt w:val="decimal"/>
      <w:lvlText w:val="4."/>
      <w:lvlJc w:val="left"/>
    </w:lvl>
    <w:lvl w:ilvl="6">
      <w:start w:val="1"/>
      <w:numFmt w:val="decimal"/>
      <w:lvlText w:val="4."/>
      <w:lvlJc w:val="left"/>
    </w:lvl>
    <w:lvl w:ilvl="7">
      <w:start w:val="1"/>
      <w:numFmt w:val="decimal"/>
      <w:lvlText w:val="4."/>
      <w:lvlJc w:val="left"/>
    </w:lvl>
    <w:lvl w:ilvl="8">
      <w:numFmt w:val="decimal"/>
      <w:lvlText w:val=""/>
      <w:lvlJc w:val="left"/>
    </w:lvl>
  </w:abstractNum>
  <w:abstractNum w:abstractNumId="10">
    <w:nsid w:val="0000000A"/>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name w:val="AutoList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nsid w:val="0000000D"/>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name w:val="AutoList1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5">
    <w:nsid w:val="0000000F"/>
    <w:multiLevelType w:val="singleLevel"/>
    <w:tmpl w:val="00000000"/>
    <w:lvl w:ilvl="0">
      <w:start w:val="1"/>
      <w:numFmt w:val="lowerLetter"/>
      <w:pStyle w:val="Quicka"/>
      <w:lvlText w:val="%1)"/>
      <w:lvlJc w:val="left"/>
      <w:pPr>
        <w:tabs>
          <w:tab w:val="num" w:pos="1440"/>
        </w:tabs>
      </w:pPr>
    </w:lvl>
  </w:abstractNum>
  <w:abstractNum w:abstractNumId="16">
    <w:nsid w:val="00000010"/>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000011"/>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nsid w:val="00000012"/>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9">
    <w:nsid w:val="00000013"/>
    <w:multiLevelType w:val="singleLevel"/>
    <w:tmpl w:val="00000000"/>
    <w:lvl w:ilvl="0">
      <w:start w:val="1"/>
      <w:numFmt w:val="upperLetter"/>
      <w:pStyle w:val="QuickA0"/>
      <w:lvlText w:val="%1."/>
      <w:lvlJc w:val="left"/>
      <w:pPr>
        <w:tabs>
          <w:tab w:val="num" w:pos="720"/>
        </w:tabs>
      </w:pPr>
      <w:rPr>
        <w:b/>
        <w:bCs/>
      </w:rPr>
    </w:lvl>
  </w:abstractNum>
  <w:abstractNum w:abstractNumId="20">
    <w:nsid w:val="02BA35EC"/>
    <w:multiLevelType w:val="hybridMultilevel"/>
    <w:tmpl w:val="CDDAD3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11923469"/>
    <w:multiLevelType w:val="hybridMultilevel"/>
    <w:tmpl w:val="A0FA3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3D22645"/>
    <w:multiLevelType w:val="hybridMultilevel"/>
    <w:tmpl w:val="A726D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9F32832"/>
    <w:multiLevelType w:val="hybridMultilevel"/>
    <w:tmpl w:val="637855A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CD36F44"/>
    <w:multiLevelType w:val="hybridMultilevel"/>
    <w:tmpl w:val="EE086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787029"/>
    <w:multiLevelType w:val="hybridMultilevel"/>
    <w:tmpl w:val="C0587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BEF1C46"/>
    <w:multiLevelType w:val="hybridMultilevel"/>
    <w:tmpl w:val="B55299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F643DC7"/>
    <w:multiLevelType w:val="hybridMultilevel"/>
    <w:tmpl w:val="609CB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0DC1BF7"/>
    <w:multiLevelType w:val="hybridMultilevel"/>
    <w:tmpl w:val="150A8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B3C2BC0"/>
    <w:multiLevelType w:val="hybridMultilevel"/>
    <w:tmpl w:val="64AC8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E1270BC"/>
    <w:multiLevelType w:val="hybridMultilevel"/>
    <w:tmpl w:val="D5F8375A"/>
    <w:lvl w:ilvl="0" w:tplc="04090001">
      <w:start w:val="1"/>
      <w:numFmt w:val="bullet"/>
      <w:lvlText w:val=""/>
      <w:lvlJc w:val="left"/>
      <w:pPr>
        <w:tabs>
          <w:tab w:val="num" w:pos="720"/>
        </w:tabs>
        <w:ind w:left="720" w:hanging="360"/>
      </w:pPr>
      <w:rPr>
        <w:rFonts w:ascii="Symbol" w:hAnsi="Symbol" w:hint="default"/>
      </w:rPr>
    </w:lvl>
    <w:lvl w:ilvl="1" w:tplc="F2C63DCC">
      <w:start w:val="1"/>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DC25FB9"/>
    <w:multiLevelType w:val="hybridMultilevel"/>
    <w:tmpl w:val="30BAA524"/>
    <w:lvl w:ilvl="0" w:tplc="45460D84">
      <w:start w:val="1"/>
      <w:numFmt w:val="lowerLetter"/>
      <w:lvlText w:val="%1."/>
      <w:lvlJc w:val="left"/>
      <w:pPr>
        <w:tabs>
          <w:tab w:val="num" w:pos="432"/>
        </w:tabs>
        <w:ind w:left="720" w:hanging="360"/>
      </w:pPr>
      <w:rPr>
        <w:rFonts w:ascii="Times New Roman" w:hAnsi="Times New Roman" w:cs="Times New Roman" w:hint="default"/>
        <w:b w:val="0"/>
        <w:i w:val="0"/>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FFF298F"/>
    <w:multiLevelType w:val="hybridMultilevel"/>
    <w:tmpl w:val="088C612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E7914B9"/>
    <w:multiLevelType w:val="hybridMultilevel"/>
    <w:tmpl w:val="7968F8EE"/>
    <w:lvl w:ilvl="0" w:tplc="2B5CAF4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01711F0"/>
    <w:multiLevelType w:val="hybridMultilevel"/>
    <w:tmpl w:val="92B0D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3B4F2B"/>
    <w:multiLevelType w:val="hybridMultilevel"/>
    <w:tmpl w:val="BF90B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1D3FBD"/>
    <w:multiLevelType w:val="hybridMultilevel"/>
    <w:tmpl w:val="F1108A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4846252"/>
    <w:multiLevelType w:val="hybridMultilevel"/>
    <w:tmpl w:val="F39C3E36"/>
    <w:lvl w:ilvl="0" w:tplc="94DADBEE">
      <w:start w:val="6"/>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EDF237D"/>
    <w:multiLevelType w:val="hybridMultilevel"/>
    <w:tmpl w:val="15E8E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FF42738"/>
    <w:multiLevelType w:val="hybridMultilevel"/>
    <w:tmpl w:val="804EA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25733B3"/>
    <w:multiLevelType w:val="hybridMultilevel"/>
    <w:tmpl w:val="D7349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880DE5"/>
    <w:multiLevelType w:val="hybridMultilevel"/>
    <w:tmpl w:val="C4EC38A6"/>
    <w:lvl w:ilvl="0" w:tplc="AF9A2938">
      <w:start w:val="1"/>
      <w:numFmt w:val="upperLetter"/>
      <w:lvlText w:val="%1."/>
      <w:lvlJc w:val="left"/>
      <w:pPr>
        <w:tabs>
          <w:tab w:val="num" w:pos="1785"/>
        </w:tabs>
        <w:ind w:left="1785" w:hanging="106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9557D1D"/>
    <w:multiLevelType w:val="hybridMultilevel"/>
    <w:tmpl w:val="3F3EA2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B861A2C"/>
    <w:multiLevelType w:val="hybridMultilevel"/>
    <w:tmpl w:val="5C92D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667374"/>
    <w:multiLevelType w:val="hybridMultilevel"/>
    <w:tmpl w:val="F19C72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lvlOverride w:ilvl="0">
      <w:startOverride w:val="5"/>
      <w:lvl w:ilvl="0">
        <w:start w:val="5"/>
        <w:numFmt w:val="decimal"/>
        <w:pStyle w:val="Quick1"/>
        <w:lvlText w:val="%1."/>
        <w:lvlJc w:val="left"/>
      </w:lvl>
    </w:lvlOverride>
  </w:num>
  <w:num w:numId="2">
    <w:abstractNumId w:val="2"/>
    <w:lvlOverride w:ilvl="0">
      <w:startOverride w:val="7"/>
      <w:lvl w:ilvl="0">
        <w:start w:val="7"/>
        <w:numFmt w:val="decimal"/>
        <w:pStyle w:val="Quick1"/>
        <w:lvlText w:val="%1."/>
        <w:lvlJc w:val="left"/>
      </w:lvl>
    </w:lvlOverride>
  </w:num>
  <w:num w:numId="3">
    <w:abstractNumId w:val="2"/>
    <w:lvlOverride w:ilvl="0">
      <w:startOverride w:val="12"/>
      <w:lvl w:ilvl="0">
        <w:start w:val="12"/>
        <w:numFmt w:val="decimal"/>
        <w:pStyle w:val="Quick1"/>
        <w:lvlText w:val="%1."/>
        <w:lvlJc w:val="left"/>
      </w:lvl>
    </w:lvlOverride>
  </w:num>
  <w:num w:numId="4">
    <w:abstractNumId w:val="2"/>
    <w:lvlOverride w:ilvl="0">
      <w:startOverride w:val="2"/>
      <w:lvl w:ilvl="0">
        <w:start w:val="2"/>
        <w:numFmt w:val="decimal"/>
        <w:pStyle w:val="Quick1"/>
        <w:lvlText w:val="%1."/>
        <w:lvlJc w:val="left"/>
      </w:lvl>
    </w:lvlOverride>
  </w:num>
  <w:num w:numId="5">
    <w:abstractNumId w:val="2"/>
    <w:lvlOverride w:ilvl="0">
      <w:startOverride w:val="5"/>
      <w:lvl w:ilvl="0">
        <w:start w:val="5"/>
        <w:numFmt w:val="decimal"/>
        <w:pStyle w:val="Quick1"/>
        <w:lvlText w:val="%1."/>
        <w:lvlJc w:val="left"/>
      </w:lvl>
    </w:lvlOverride>
  </w:num>
  <w:num w:numId="6">
    <w:abstractNumId w:val="2"/>
    <w:lvlOverride w:ilvl="0">
      <w:startOverride w:val="2"/>
      <w:lvl w:ilvl="0">
        <w:start w:val="2"/>
        <w:numFmt w:val="decimal"/>
        <w:pStyle w:val="Quick1"/>
        <w:lvlText w:val="%1."/>
        <w:lvlJc w:val="left"/>
      </w:lvl>
    </w:lvlOverride>
  </w:num>
  <w:num w:numId="7">
    <w:abstractNumId w:val="2"/>
    <w:lvlOverride w:ilvl="0">
      <w:startOverride w:val="1"/>
      <w:lvl w:ilvl="0">
        <w:start w:val="1"/>
        <w:numFmt w:val="decimal"/>
        <w:pStyle w:val="Quick1"/>
        <w:lvlText w:val="%1."/>
        <w:lvlJc w:val="left"/>
      </w:lvl>
    </w:lvlOverride>
  </w:num>
  <w:num w:numId="8">
    <w:abstractNumId w:val="15"/>
    <w:lvlOverride w:ilvl="0">
      <w:startOverride w:val="1"/>
      <w:lvl w:ilvl="0">
        <w:start w:val="1"/>
        <w:numFmt w:val="lowerLetter"/>
        <w:pStyle w:val="Quicka"/>
        <w:lvlText w:val="%1)"/>
        <w:lvlJc w:val="left"/>
      </w:lvl>
    </w:lvlOverride>
  </w:num>
  <w:num w:numId="9">
    <w:abstractNumId w:val="19"/>
    <w:lvlOverride w:ilvl="0">
      <w:startOverride w:val="3"/>
      <w:lvl w:ilvl="0">
        <w:start w:val="3"/>
        <w:numFmt w:val="upperLetter"/>
        <w:pStyle w:val="QuickA0"/>
        <w:lvlText w:val="%1."/>
        <w:lvlJc w:val="left"/>
      </w:lvl>
    </w:lvlOverride>
  </w:num>
  <w:num w:numId="10">
    <w:abstractNumId w:val="19"/>
    <w:lvlOverride w:ilvl="0">
      <w:startOverride w:val="5"/>
      <w:lvl w:ilvl="0">
        <w:start w:val="5"/>
        <w:numFmt w:val="upperLetter"/>
        <w:pStyle w:val="QuickA0"/>
        <w:lvlText w:val="%1."/>
        <w:lvlJc w:val="left"/>
      </w:lvl>
    </w:lvlOverride>
  </w:num>
  <w:num w:numId="11">
    <w:abstractNumId w:val="19"/>
    <w:lvlOverride w:ilvl="0">
      <w:startOverride w:val="7"/>
      <w:lvl w:ilvl="0">
        <w:start w:val="7"/>
        <w:numFmt w:val="upperLetter"/>
        <w:pStyle w:val="QuickA0"/>
        <w:lvlText w:val="%1."/>
        <w:lvlJc w:val="left"/>
      </w:lvl>
    </w:lvlOverride>
  </w:num>
  <w:num w:numId="12">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13">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14">
    <w:abstractNumId w:val="0"/>
    <w:lvlOverride w:ilvl="0">
      <w:lvl w:ilvl="0">
        <w:numFmt w:val="bullet"/>
        <w:lvlText w:val="·"/>
        <w:legacy w:legacy="1" w:legacySpace="0" w:legacyIndent="720"/>
        <w:lvlJc w:val="left"/>
        <w:pPr>
          <w:ind w:left="720" w:hanging="720"/>
        </w:pPr>
        <w:rPr>
          <w:rFonts w:ascii="Courier" w:hAnsi="Courier" w:hint="default"/>
        </w:rPr>
      </w:lvl>
    </w:lvlOverride>
  </w:num>
  <w:num w:numId="15">
    <w:abstractNumId w:val="20"/>
  </w:num>
  <w:num w:numId="16">
    <w:abstractNumId w:val="35"/>
  </w:num>
  <w:num w:numId="17">
    <w:abstractNumId w:val="26"/>
  </w:num>
  <w:num w:numId="18">
    <w:abstractNumId w:val="44"/>
  </w:num>
  <w:num w:numId="19">
    <w:abstractNumId w:val="42"/>
  </w:num>
  <w:num w:numId="20">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9"/>
  </w:num>
  <w:num w:numId="25">
    <w:abstractNumId w:val="39"/>
  </w:num>
  <w:num w:numId="26">
    <w:abstractNumId w:val="30"/>
  </w:num>
  <w:num w:numId="27">
    <w:abstractNumId w:val="21"/>
  </w:num>
  <w:num w:numId="28">
    <w:abstractNumId w:val="28"/>
  </w:num>
  <w:num w:numId="29">
    <w:abstractNumId w:val="22"/>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32"/>
  </w:num>
  <w:num w:numId="35">
    <w:abstractNumId w:val="23"/>
  </w:num>
  <w:num w:numId="36">
    <w:abstractNumId w:val="24"/>
  </w:num>
  <w:num w:numId="37">
    <w:abstractNumId w:val="40"/>
  </w:num>
  <w:num w:numId="38">
    <w:abstractNumId w:val="38"/>
  </w:num>
  <w:num w:numId="39">
    <w:abstractNumId w:val="36"/>
  </w:num>
  <w:num w:numId="4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5A"/>
    <w:rsid w:val="000035F1"/>
    <w:rsid w:val="0000487F"/>
    <w:rsid w:val="00007520"/>
    <w:rsid w:val="00011A00"/>
    <w:rsid w:val="00016CB6"/>
    <w:rsid w:val="00023A2F"/>
    <w:rsid w:val="00023D61"/>
    <w:rsid w:val="000240CA"/>
    <w:rsid w:val="000243D6"/>
    <w:rsid w:val="00026837"/>
    <w:rsid w:val="00027CE6"/>
    <w:rsid w:val="0003082F"/>
    <w:rsid w:val="00030BB6"/>
    <w:rsid w:val="00030DEC"/>
    <w:rsid w:val="000338F9"/>
    <w:rsid w:val="00034C09"/>
    <w:rsid w:val="00041552"/>
    <w:rsid w:val="00044BEF"/>
    <w:rsid w:val="00045A6F"/>
    <w:rsid w:val="00045B78"/>
    <w:rsid w:val="00055643"/>
    <w:rsid w:val="0005750C"/>
    <w:rsid w:val="00064E32"/>
    <w:rsid w:val="00065509"/>
    <w:rsid w:val="0007062C"/>
    <w:rsid w:val="000751FD"/>
    <w:rsid w:val="0007653A"/>
    <w:rsid w:val="00080A1D"/>
    <w:rsid w:val="000840AD"/>
    <w:rsid w:val="00084AF1"/>
    <w:rsid w:val="000853DF"/>
    <w:rsid w:val="000864E4"/>
    <w:rsid w:val="000A2960"/>
    <w:rsid w:val="000A6766"/>
    <w:rsid w:val="000B013A"/>
    <w:rsid w:val="000B0A49"/>
    <w:rsid w:val="000B5087"/>
    <w:rsid w:val="000B54DB"/>
    <w:rsid w:val="000B7F7E"/>
    <w:rsid w:val="000C025C"/>
    <w:rsid w:val="000C19BE"/>
    <w:rsid w:val="000C4EC8"/>
    <w:rsid w:val="000C549E"/>
    <w:rsid w:val="000C5AFD"/>
    <w:rsid w:val="000D08A8"/>
    <w:rsid w:val="000D2670"/>
    <w:rsid w:val="000D4140"/>
    <w:rsid w:val="000E0F1E"/>
    <w:rsid w:val="000E6A91"/>
    <w:rsid w:val="000E7550"/>
    <w:rsid w:val="000E7786"/>
    <w:rsid w:val="000F17F8"/>
    <w:rsid w:val="00101D39"/>
    <w:rsid w:val="001027DB"/>
    <w:rsid w:val="00102C9C"/>
    <w:rsid w:val="00103481"/>
    <w:rsid w:val="00106927"/>
    <w:rsid w:val="00111529"/>
    <w:rsid w:val="0011216C"/>
    <w:rsid w:val="001126DB"/>
    <w:rsid w:val="00117262"/>
    <w:rsid w:val="001175AC"/>
    <w:rsid w:val="00121D7F"/>
    <w:rsid w:val="00131F05"/>
    <w:rsid w:val="00132E78"/>
    <w:rsid w:val="00137B31"/>
    <w:rsid w:val="00137BE4"/>
    <w:rsid w:val="001428E4"/>
    <w:rsid w:val="001435D7"/>
    <w:rsid w:val="0014439E"/>
    <w:rsid w:val="00145D9F"/>
    <w:rsid w:val="00146F61"/>
    <w:rsid w:val="0015003F"/>
    <w:rsid w:val="00150775"/>
    <w:rsid w:val="001532E0"/>
    <w:rsid w:val="00154EB1"/>
    <w:rsid w:val="001563B0"/>
    <w:rsid w:val="00156BF1"/>
    <w:rsid w:val="00161F9B"/>
    <w:rsid w:val="00162149"/>
    <w:rsid w:val="001661FE"/>
    <w:rsid w:val="00167533"/>
    <w:rsid w:val="00167E0D"/>
    <w:rsid w:val="00171B08"/>
    <w:rsid w:val="00175251"/>
    <w:rsid w:val="00176C70"/>
    <w:rsid w:val="00180A24"/>
    <w:rsid w:val="001821DE"/>
    <w:rsid w:val="001826B9"/>
    <w:rsid w:val="00195837"/>
    <w:rsid w:val="00196C74"/>
    <w:rsid w:val="00196EBF"/>
    <w:rsid w:val="00197573"/>
    <w:rsid w:val="001A551A"/>
    <w:rsid w:val="001A7E92"/>
    <w:rsid w:val="001B10E3"/>
    <w:rsid w:val="001B14AE"/>
    <w:rsid w:val="001B1515"/>
    <w:rsid w:val="001B15EF"/>
    <w:rsid w:val="001B29B4"/>
    <w:rsid w:val="001B4797"/>
    <w:rsid w:val="001B5821"/>
    <w:rsid w:val="001B672D"/>
    <w:rsid w:val="001C1DF6"/>
    <w:rsid w:val="001C2213"/>
    <w:rsid w:val="001C2DAE"/>
    <w:rsid w:val="001C4789"/>
    <w:rsid w:val="001C69D0"/>
    <w:rsid w:val="001C7766"/>
    <w:rsid w:val="001D42AF"/>
    <w:rsid w:val="001E27D5"/>
    <w:rsid w:val="001E51E0"/>
    <w:rsid w:val="001E5AE6"/>
    <w:rsid w:val="001E6523"/>
    <w:rsid w:val="001F387B"/>
    <w:rsid w:val="001F717C"/>
    <w:rsid w:val="00201C5B"/>
    <w:rsid w:val="00202438"/>
    <w:rsid w:val="00203FC8"/>
    <w:rsid w:val="00213388"/>
    <w:rsid w:val="00214668"/>
    <w:rsid w:val="002148AB"/>
    <w:rsid w:val="00215CAD"/>
    <w:rsid w:val="0021616C"/>
    <w:rsid w:val="002210E4"/>
    <w:rsid w:val="00232BF9"/>
    <w:rsid w:val="00234B4D"/>
    <w:rsid w:val="00234FF6"/>
    <w:rsid w:val="00236A06"/>
    <w:rsid w:val="0024095F"/>
    <w:rsid w:val="00244E40"/>
    <w:rsid w:val="00250EFE"/>
    <w:rsid w:val="002521E1"/>
    <w:rsid w:val="002528BD"/>
    <w:rsid w:val="002556E8"/>
    <w:rsid w:val="00256BDF"/>
    <w:rsid w:val="00256DFA"/>
    <w:rsid w:val="002576B8"/>
    <w:rsid w:val="00260536"/>
    <w:rsid w:val="00261AB6"/>
    <w:rsid w:val="00262A3D"/>
    <w:rsid w:val="00271C4E"/>
    <w:rsid w:val="00275DC9"/>
    <w:rsid w:val="00277065"/>
    <w:rsid w:val="00277676"/>
    <w:rsid w:val="00280BD6"/>
    <w:rsid w:val="00281212"/>
    <w:rsid w:val="002821A4"/>
    <w:rsid w:val="00282437"/>
    <w:rsid w:val="00283BDE"/>
    <w:rsid w:val="00284966"/>
    <w:rsid w:val="00286C36"/>
    <w:rsid w:val="002878DF"/>
    <w:rsid w:val="00295438"/>
    <w:rsid w:val="002966FF"/>
    <w:rsid w:val="002A1B25"/>
    <w:rsid w:val="002A2158"/>
    <w:rsid w:val="002A5AA9"/>
    <w:rsid w:val="002B108D"/>
    <w:rsid w:val="002B482F"/>
    <w:rsid w:val="002B4CF6"/>
    <w:rsid w:val="002B618B"/>
    <w:rsid w:val="002C2369"/>
    <w:rsid w:val="002D0120"/>
    <w:rsid w:val="002D1AEF"/>
    <w:rsid w:val="002D263B"/>
    <w:rsid w:val="002D3A00"/>
    <w:rsid w:val="002D3B94"/>
    <w:rsid w:val="002D5F7D"/>
    <w:rsid w:val="002D64F6"/>
    <w:rsid w:val="002E0FAF"/>
    <w:rsid w:val="002E1200"/>
    <w:rsid w:val="002E1476"/>
    <w:rsid w:val="002E1B29"/>
    <w:rsid w:val="002E1FD3"/>
    <w:rsid w:val="002E4512"/>
    <w:rsid w:val="002E47A9"/>
    <w:rsid w:val="002E7017"/>
    <w:rsid w:val="002F0931"/>
    <w:rsid w:val="002F21C4"/>
    <w:rsid w:val="002F4930"/>
    <w:rsid w:val="002F6401"/>
    <w:rsid w:val="002F6E02"/>
    <w:rsid w:val="0030303F"/>
    <w:rsid w:val="00303561"/>
    <w:rsid w:val="00304A51"/>
    <w:rsid w:val="0030598F"/>
    <w:rsid w:val="00312B13"/>
    <w:rsid w:val="00313B86"/>
    <w:rsid w:val="003157C6"/>
    <w:rsid w:val="00324054"/>
    <w:rsid w:val="0032439F"/>
    <w:rsid w:val="00327FDB"/>
    <w:rsid w:val="00331FC9"/>
    <w:rsid w:val="00333B23"/>
    <w:rsid w:val="00335425"/>
    <w:rsid w:val="0033554C"/>
    <w:rsid w:val="00335D79"/>
    <w:rsid w:val="003366EA"/>
    <w:rsid w:val="003368DD"/>
    <w:rsid w:val="0034173E"/>
    <w:rsid w:val="00342E2D"/>
    <w:rsid w:val="00342F01"/>
    <w:rsid w:val="00343654"/>
    <w:rsid w:val="00343991"/>
    <w:rsid w:val="00350AC6"/>
    <w:rsid w:val="0035253B"/>
    <w:rsid w:val="00354AFA"/>
    <w:rsid w:val="00355F9A"/>
    <w:rsid w:val="0035656F"/>
    <w:rsid w:val="003569ED"/>
    <w:rsid w:val="003606BC"/>
    <w:rsid w:val="00360FAF"/>
    <w:rsid w:val="00364B65"/>
    <w:rsid w:val="00365B64"/>
    <w:rsid w:val="00367C37"/>
    <w:rsid w:val="00373F3A"/>
    <w:rsid w:val="0037490F"/>
    <w:rsid w:val="00374B15"/>
    <w:rsid w:val="00375836"/>
    <w:rsid w:val="00380A78"/>
    <w:rsid w:val="00387802"/>
    <w:rsid w:val="00387AAF"/>
    <w:rsid w:val="0039331A"/>
    <w:rsid w:val="00394DDB"/>
    <w:rsid w:val="003A1691"/>
    <w:rsid w:val="003A1C1F"/>
    <w:rsid w:val="003A2FE9"/>
    <w:rsid w:val="003A44E9"/>
    <w:rsid w:val="003A5552"/>
    <w:rsid w:val="003A7E58"/>
    <w:rsid w:val="003B0175"/>
    <w:rsid w:val="003B0D07"/>
    <w:rsid w:val="003B2B15"/>
    <w:rsid w:val="003B2FC0"/>
    <w:rsid w:val="003B3EB1"/>
    <w:rsid w:val="003C2DC1"/>
    <w:rsid w:val="003C396F"/>
    <w:rsid w:val="003C4558"/>
    <w:rsid w:val="003C727D"/>
    <w:rsid w:val="003D0202"/>
    <w:rsid w:val="003D46CB"/>
    <w:rsid w:val="003D58F9"/>
    <w:rsid w:val="003D717F"/>
    <w:rsid w:val="003E0573"/>
    <w:rsid w:val="003E0B4B"/>
    <w:rsid w:val="003E5B1A"/>
    <w:rsid w:val="003E7449"/>
    <w:rsid w:val="003F1213"/>
    <w:rsid w:val="003F1788"/>
    <w:rsid w:val="003F351D"/>
    <w:rsid w:val="003F4106"/>
    <w:rsid w:val="003F5435"/>
    <w:rsid w:val="003F664B"/>
    <w:rsid w:val="00401BFD"/>
    <w:rsid w:val="00403F07"/>
    <w:rsid w:val="00405DB8"/>
    <w:rsid w:val="00407932"/>
    <w:rsid w:val="00407E3B"/>
    <w:rsid w:val="004134AC"/>
    <w:rsid w:val="0041411B"/>
    <w:rsid w:val="004218A9"/>
    <w:rsid w:val="00423A8F"/>
    <w:rsid w:val="00423D84"/>
    <w:rsid w:val="0042668A"/>
    <w:rsid w:val="004267F9"/>
    <w:rsid w:val="00426978"/>
    <w:rsid w:val="004302B2"/>
    <w:rsid w:val="00431B6F"/>
    <w:rsid w:val="00431FDF"/>
    <w:rsid w:val="004334B9"/>
    <w:rsid w:val="00435804"/>
    <w:rsid w:val="00441ECD"/>
    <w:rsid w:val="004461D8"/>
    <w:rsid w:val="004468E6"/>
    <w:rsid w:val="004515AA"/>
    <w:rsid w:val="00451630"/>
    <w:rsid w:val="00455A6C"/>
    <w:rsid w:val="004562F4"/>
    <w:rsid w:val="00457894"/>
    <w:rsid w:val="00457EE4"/>
    <w:rsid w:val="00460CC6"/>
    <w:rsid w:val="00460E99"/>
    <w:rsid w:val="00461472"/>
    <w:rsid w:val="00463F3F"/>
    <w:rsid w:val="0046618F"/>
    <w:rsid w:val="00467E64"/>
    <w:rsid w:val="00470540"/>
    <w:rsid w:val="0047184F"/>
    <w:rsid w:val="00474076"/>
    <w:rsid w:val="00474A90"/>
    <w:rsid w:val="00477BEA"/>
    <w:rsid w:val="00477C93"/>
    <w:rsid w:val="0048385C"/>
    <w:rsid w:val="00483B2D"/>
    <w:rsid w:val="004875AA"/>
    <w:rsid w:val="004879C2"/>
    <w:rsid w:val="00493F45"/>
    <w:rsid w:val="004957F0"/>
    <w:rsid w:val="004A00B9"/>
    <w:rsid w:val="004A4D45"/>
    <w:rsid w:val="004A5BE1"/>
    <w:rsid w:val="004B0058"/>
    <w:rsid w:val="004B4316"/>
    <w:rsid w:val="004B7016"/>
    <w:rsid w:val="004C0206"/>
    <w:rsid w:val="004C3895"/>
    <w:rsid w:val="004C39E8"/>
    <w:rsid w:val="004C423E"/>
    <w:rsid w:val="004C5A02"/>
    <w:rsid w:val="004C75A1"/>
    <w:rsid w:val="004D13C5"/>
    <w:rsid w:val="004D2E70"/>
    <w:rsid w:val="004D39CD"/>
    <w:rsid w:val="004D4148"/>
    <w:rsid w:val="004D7085"/>
    <w:rsid w:val="004D78E0"/>
    <w:rsid w:val="004E20C7"/>
    <w:rsid w:val="004E2F90"/>
    <w:rsid w:val="004E37EF"/>
    <w:rsid w:val="004E3DA4"/>
    <w:rsid w:val="004E4FEA"/>
    <w:rsid w:val="004E6561"/>
    <w:rsid w:val="004F0B16"/>
    <w:rsid w:val="004F0B40"/>
    <w:rsid w:val="004F0B52"/>
    <w:rsid w:val="004F350E"/>
    <w:rsid w:val="004F400D"/>
    <w:rsid w:val="004F742C"/>
    <w:rsid w:val="0050158B"/>
    <w:rsid w:val="00503198"/>
    <w:rsid w:val="00504699"/>
    <w:rsid w:val="00505269"/>
    <w:rsid w:val="00506A53"/>
    <w:rsid w:val="00510A49"/>
    <w:rsid w:val="00513537"/>
    <w:rsid w:val="00513721"/>
    <w:rsid w:val="0051558F"/>
    <w:rsid w:val="00516309"/>
    <w:rsid w:val="00516A69"/>
    <w:rsid w:val="00516C60"/>
    <w:rsid w:val="00517E28"/>
    <w:rsid w:val="00520261"/>
    <w:rsid w:val="0052170A"/>
    <w:rsid w:val="00521901"/>
    <w:rsid w:val="005246B1"/>
    <w:rsid w:val="005254BB"/>
    <w:rsid w:val="00525DBB"/>
    <w:rsid w:val="00526CFF"/>
    <w:rsid w:val="0053118A"/>
    <w:rsid w:val="00532560"/>
    <w:rsid w:val="0053355E"/>
    <w:rsid w:val="00534D05"/>
    <w:rsid w:val="00535C4F"/>
    <w:rsid w:val="0053764F"/>
    <w:rsid w:val="00542EEC"/>
    <w:rsid w:val="0055083F"/>
    <w:rsid w:val="00550BE6"/>
    <w:rsid w:val="00551919"/>
    <w:rsid w:val="00552C28"/>
    <w:rsid w:val="00554EF7"/>
    <w:rsid w:val="005571D8"/>
    <w:rsid w:val="00562550"/>
    <w:rsid w:val="00562D6A"/>
    <w:rsid w:val="0056302A"/>
    <w:rsid w:val="005633A8"/>
    <w:rsid w:val="0056414C"/>
    <w:rsid w:val="00572E25"/>
    <w:rsid w:val="005749BA"/>
    <w:rsid w:val="00580235"/>
    <w:rsid w:val="00580586"/>
    <w:rsid w:val="005814EE"/>
    <w:rsid w:val="005836D6"/>
    <w:rsid w:val="005873C0"/>
    <w:rsid w:val="00587606"/>
    <w:rsid w:val="0059062F"/>
    <w:rsid w:val="005948F9"/>
    <w:rsid w:val="005950FE"/>
    <w:rsid w:val="00597FC7"/>
    <w:rsid w:val="005A0191"/>
    <w:rsid w:val="005A0A53"/>
    <w:rsid w:val="005A0AF7"/>
    <w:rsid w:val="005A11CD"/>
    <w:rsid w:val="005A1E3F"/>
    <w:rsid w:val="005C14EC"/>
    <w:rsid w:val="005C29F9"/>
    <w:rsid w:val="005C4A30"/>
    <w:rsid w:val="005D0164"/>
    <w:rsid w:val="005D7912"/>
    <w:rsid w:val="005E0CA7"/>
    <w:rsid w:val="005E0CCA"/>
    <w:rsid w:val="005E285F"/>
    <w:rsid w:val="005E353C"/>
    <w:rsid w:val="005E3F6A"/>
    <w:rsid w:val="005E44D5"/>
    <w:rsid w:val="005E500A"/>
    <w:rsid w:val="005E5E13"/>
    <w:rsid w:val="005E71A6"/>
    <w:rsid w:val="005E7FFA"/>
    <w:rsid w:val="005F0B31"/>
    <w:rsid w:val="005F0C9D"/>
    <w:rsid w:val="005F34D2"/>
    <w:rsid w:val="005F481F"/>
    <w:rsid w:val="005F5F33"/>
    <w:rsid w:val="00600B80"/>
    <w:rsid w:val="006013B9"/>
    <w:rsid w:val="00601C8D"/>
    <w:rsid w:val="00601F8C"/>
    <w:rsid w:val="006020AC"/>
    <w:rsid w:val="0060227F"/>
    <w:rsid w:val="0060315E"/>
    <w:rsid w:val="00603217"/>
    <w:rsid w:val="006079B6"/>
    <w:rsid w:val="00607D2A"/>
    <w:rsid w:val="006104FF"/>
    <w:rsid w:val="00610C72"/>
    <w:rsid w:val="00615F56"/>
    <w:rsid w:val="00616CFF"/>
    <w:rsid w:val="00617772"/>
    <w:rsid w:val="00620D43"/>
    <w:rsid w:val="00622CB7"/>
    <w:rsid w:val="00625F12"/>
    <w:rsid w:val="00633F2E"/>
    <w:rsid w:val="006340A5"/>
    <w:rsid w:val="0063568A"/>
    <w:rsid w:val="006373A2"/>
    <w:rsid w:val="00640D2D"/>
    <w:rsid w:val="0064193A"/>
    <w:rsid w:val="00641E53"/>
    <w:rsid w:val="00642EAD"/>
    <w:rsid w:val="006436D1"/>
    <w:rsid w:val="0064787C"/>
    <w:rsid w:val="00647CB5"/>
    <w:rsid w:val="00647D47"/>
    <w:rsid w:val="00653C0E"/>
    <w:rsid w:val="006553BE"/>
    <w:rsid w:val="006567B7"/>
    <w:rsid w:val="006570C4"/>
    <w:rsid w:val="0065746C"/>
    <w:rsid w:val="00660842"/>
    <w:rsid w:val="00661A10"/>
    <w:rsid w:val="00661E87"/>
    <w:rsid w:val="00665015"/>
    <w:rsid w:val="006666A5"/>
    <w:rsid w:val="006704AC"/>
    <w:rsid w:val="006706D2"/>
    <w:rsid w:val="006751FF"/>
    <w:rsid w:val="006763BC"/>
    <w:rsid w:val="00685B72"/>
    <w:rsid w:val="00690C35"/>
    <w:rsid w:val="00692CA0"/>
    <w:rsid w:val="006932EE"/>
    <w:rsid w:val="006936B3"/>
    <w:rsid w:val="00694876"/>
    <w:rsid w:val="006A0DE3"/>
    <w:rsid w:val="006A0FE8"/>
    <w:rsid w:val="006A2F82"/>
    <w:rsid w:val="006A63D0"/>
    <w:rsid w:val="006B2290"/>
    <w:rsid w:val="006B54DD"/>
    <w:rsid w:val="006B5EE7"/>
    <w:rsid w:val="006B7ED0"/>
    <w:rsid w:val="006C1558"/>
    <w:rsid w:val="006C47E8"/>
    <w:rsid w:val="006D33A7"/>
    <w:rsid w:val="006D4708"/>
    <w:rsid w:val="006E6600"/>
    <w:rsid w:val="006E74D6"/>
    <w:rsid w:val="006E78F6"/>
    <w:rsid w:val="006E7C81"/>
    <w:rsid w:val="006F03BC"/>
    <w:rsid w:val="006F2027"/>
    <w:rsid w:val="006F48BA"/>
    <w:rsid w:val="00700BB6"/>
    <w:rsid w:val="007035CB"/>
    <w:rsid w:val="00705BFD"/>
    <w:rsid w:val="007071D3"/>
    <w:rsid w:val="00712613"/>
    <w:rsid w:val="00714A5A"/>
    <w:rsid w:val="00714AED"/>
    <w:rsid w:val="00714D6B"/>
    <w:rsid w:val="00716409"/>
    <w:rsid w:val="007203AF"/>
    <w:rsid w:val="00734584"/>
    <w:rsid w:val="00735732"/>
    <w:rsid w:val="007365BA"/>
    <w:rsid w:val="007371D3"/>
    <w:rsid w:val="00737843"/>
    <w:rsid w:val="007424DB"/>
    <w:rsid w:val="00743341"/>
    <w:rsid w:val="00743A91"/>
    <w:rsid w:val="00743E0F"/>
    <w:rsid w:val="00745E12"/>
    <w:rsid w:val="007503F9"/>
    <w:rsid w:val="00751372"/>
    <w:rsid w:val="00751D89"/>
    <w:rsid w:val="0075351F"/>
    <w:rsid w:val="00757FD3"/>
    <w:rsid w:val="007614DD"/>
    <w:rsid w:val="00764499"/>
    <w:rsid w:val="00781F7A"/>
    <w:rsid w:val="00782D5F"/>
    <w:rsid w:val="00783249"/>
    <w:rsid w:val="00783A74"/>
    <w:rsid w:val="00783C69"/>
    <w:rsid w:val="00784190"/>
    <w:rsid w:val="007860B0"/>
    <w:rsid w:val="00786592"/>
    <w:rsid w:val="00792EC6"/>
    <w:rsid w:val="00793D4B"/>
    <w:rsid w:val="0079637D"/>
    <w:rsid w:val="007A0973"/>
    <w:rsid w:val="007A1DF0"/>
    <w:rsid w:val="007A32C1"/>
    <w:rsid w:val="007A3C2F"/>
    <w:rsid w:val="007B3C6D"/>
    <w:rsid w:val="007B47E9"/>
    <w:rsid w:val="007B4AB7"/>
    <w:rsid w:val="007B5B94"/>
    <w:rsid w:val="007C0144"/>
    <w:rsid w:val="007C0A31"/>
    <w:rsid w:val="007C1ADB"/>
    <w:rsid w:val="007C605C"/>
    <w:rsid w:val="007C61EB"/>
    <w:rsid w:val="007D0A62"/>
    <w:rsid w:val="007D1AAD"/>
    <w:rsid w:val="007D288C"/>
    <w:rsid w:val="007D2E20"/>
    <w:rsid w:val="007D4D95"/>
    <w:rsid w:val="007D57F0"/>
    <w:rsid w:val="007D73B1"/>
    <w:rsid w:val="007E7D93"/>
    <w:rsid w:val="007F14E5"/>
    <w:rsid w:val="007F2933"/>
    <w:rsid w:val="007F54AF"/>
    <w:rsid w:val="00802781"/>
    <w:rsid w:val="0080440E"/>
    <w:rsid w:val="00814490"/>
    <w:rsid w:val="00815499"/>
    <w:rsid w:val="0081605C"/>
    <w:rsid w:val="008203D5"/>
    <w:rsid w:val="00820797"/>
    <w:rsid w:val="00821509"/>
    <w:rsid w:val="00821D27"/>
    <w:rsid w:val="008227CB"/>
    <w:rsid w:val="00825B08"/>
    <w:rsid w:val="00832DD1"/>
    <w:rsid w:val="008372FE"/>
    <w:rsid w:val="0084312E"/>
    <w:rsid w:val="00853852"/>
    <w:rsid w:val="00854BC7"/>
    <w:rsid w:val="008552E9"/>
    <w:rsid w:val="0085721D"/>
    <w:rsid w:val="0085793D"/>
    <w:rsid w:val="00857E85"/>
    <w:rsid w:val="008626D1"/>
    <w:rsid w:val="00867B10"/>
    <w:rsid w:val="00870F6D"/>
    <w:rsid w:val="00877A42"/>
    <w:rsid w:val="00880341"/>
    <w:rsid w:val="00883440"/>
    <w:rsid w:val="008835A9"/>
    <w:rsid w:val="0088528E"/>
    <w:rsid w:val="008935EB"/>
    <w:rsid w:val="008940B1"/>
    <w:rsid w:val="00897A47"/>
    <w:rsid w:val="008A0951"/>
    <w:rsid w:val="008A16C6"/>
    <w:rsid w:val="008A1E33"/>
    <w:rsid w:val="008A316B"/>
    <w:rsid w:val="008A67F1"/>
    <w:rsid w:val="008A77AF"/>
    <w:rsid w:val="008B1E40"/>
    <w:rsid w:val="008B4DCB"/>
    <w:rsid w:val="008C1177"/>
    <w:rsid w:val="008C17E0"/>
    <w:rsid w:val="008C2F9C"/>
    <w:rsid w:val="008C74BE"/>
    <w:rsid w:val="008D2AF5"/>
    <w:rsid w:val="008D39F6"/>
    <w:rsid w:val="008D45DC"/>
    <w:rsid w:val="008D6E6F"/>
    <w:rsid w:val="008D7032"/>
    <w:rsid w:val="008E12D7"/>
    <w:rsid w:val="008E2C37"/>
    <w:rsid w:val="008E3005"/>
    <w:rsid w:val="008E51F7"/>
    <w:rsid w:val="008E5FE9"/>
    <w:rsid w:val="008E6897"/>
    <w:rsid w:val="008F78C0"/>
    <w:rsid w:val="00905837"/>
    <w:rsid w:val="00906604"/>
    <w:rsid w:val="00910093"/>
    <w:rsid w:val="0091116B"/>
    <w:rsid w:val="00911A4C"/>
    <w:rsid w:val="0092353B"/>
    <w:rsid w:val="009238C1"/>
    <w:rsid w:val="0092663B"/>
    <w:rsid w:val="00930B88"/>
    <w:rsid w:val="00932A36"/>
    <w:rsid w:val="009353FE"/>
    <w:rsid w:val="00937B2D"/>
    <w:rsid w:val="00937BDA"/>
    <w:rsid w:val="0094194A"/>
    <w:rsid w:val="00942657"/>
    <w:rsid w:val="00943C68"/>
    <w:rsid w:val="00944AAF"/>
    <w:rsid w:val="00946FA2"/>
    <w:rsid w:val="00947A93"/>
    <w:rsid w:val="00950415"/>
    <w:rsid w:val="00951FF6"/>
    <w:rsid w:val="00953B31"/>
    <w:rsid w:val="00953DC0"/>
    <w:rsid w:val="00954D65"/>
    <w:rsid w:val="00965F74"/>
    <w:rsid w:val="00966EBB"/>
    <w:rsid w:val="00970C35"/>
    <w:rsid w:val="00971551"/>
    <w:rsid w:val="00972DD9"/>
    <w:rsid w:val="009744C7"/>
    <w:rsid w:val="00976388"/>
    <w:rsid w:val="00976CCE"/>
    <w:rsid w:val="00982BFC"/>
    <w:rsid w:val="0099338B"/>
    <w:rsid w:val="00994C61"/>
    <w:rsid w:val="00997E7C"/>
    <w:rsid w:val="009A0AC3"/>
    <w:rsid w:val="009A5835"/>
    <w:rsid w:val="009A656D"/>
    <w:rsid w:val="009A6585"/>
    <w:rsid w:val="009A7182"/>
    <w:rsid w:val="009B025C"/>
    <w:rsid w:val="009B2A1F"/>
    <w:rsid w:val="009B39D6"/>
    <w:rsid w:val="009B3D1A"/>
    <w:rsid w:val="009C124C"/>
    <w:rsid w:val="009C2669"/>
    <w:rsid w:val="009C4129"/>
    <w:rsid w:val="009C4E30"/>
    <w:rsid w:val="009D515F"/>
    <w:rsid w:val="009D5602"/>
    <w:rsid w:val="009D792C"/>
    <w:rsid w:val="009D7B0D"/>
    <w:rsid w:val="009D7E5F"/>
    <w:rsid w:val="009E4264"/>
    <w:rsid w:val="009E49BC"/>
    <w:rsid w:val="009E53EE"/>
    <w:rsid w:val="009F25E6"/>
    <w:rsid w:val="009F4138"/>
    <w:rsid w:val="00A03C59"/>
    <w:rsid w:val="00A040DE"/>
    <w:rsid w:val="00A10677"/>
    <w:rsid w:val="00A10EE3"/>
    <w:rsid w:val="00A111CD"/>
    <w:rsid w:val="00A11F22"/>
    <w:rsid w:val="00A21572"/>
    <w:rsid w:val="00A23BBB"/>
    <w:rsid w:val="00A25081"/>
    <w:rsid w:val="00A30F7E"/>
    <w:rsid w:val="00A3178C"/>
    <w:rsid w:val="00A31831"/>
    <w:rsid w:val="00A366D9"/>
    <w:rsid w:val="00A37D4F"/>
    <w:rsid w:val="00A419A0"/>
    <w:rsid w:val="00A4201E"/>
    <w:rsid w:val="00A425B0"/>
    <w:rsid w:val="00A439FF"/>
    <w:rsid w:val="00A44EF1"/>
    <w:rsid w:val="00A46FE1"/>
    <w:rsid w:val="00A51D0F"/>
    <w:rsid w:val="00A55763"/>
    <w:rsid w:val="00A57178"/>
    <w:rsid w:val="00A57C56"/>
    <w:rsid w:val="00A64B75"/>
    <w:rsid w:val="00A667EB"/>
    <w:rsid w:val="00A66FEF"/>
    <w:rsid w:val="00A75968"/>
    <w:rsid w:val="00A80061"/>
    <w:rsid w:val="00A80681"/>
    <w:rsid w:val="00A8076B"/>
    <w:rsid w:val="00A81A03"/>
    <w:rsid w:val="00A820A0"/>
    <w:rsid w:val="00A82A32"/>
    <w:rsid w:val="00A82EDD"/>
    <w:rsid w:val="00A842D0"/>
    <w:rsid w:val="00A846E8"/>
    <w:rsid w:val="00A84F42"/>
    <w:rsid w:val="00A85CF9"/>
    <w:rsid w:val="00A93B05"/>
    <w:rsid w:val="00A96317"/>
    <w:rsid w:val="00AA2306"/>
    <w:rsid w:val="00AA2FD2"/>
    <w:rsid w:val="00AB0170"/>
    <w:rsid w:val="00AB21ED"/>
    <w:rsid w:val="00AB3C7B"/>
    <w:rsid w:val="00AB49A5"/>
    <w:rsid w:val="00AB7790"/>
    <w:rsid w:val="00AC2B90"/>
    <w:rsid w:val="00AC2CF4"/>
    <w:rsid w:val="00AC35FA"/>
    <w:rsid w:val="00AC484F"/>
    <w:rsid w:val="00AC5C8D"/>
    <w:rsid w:val="00AC7004"/>
    <w:rsid w:val="00AD2194"/>
    <w:rsid w:val="00AD228A"/>
    <w:rsid w:val="00AD2717"/>
    <w:rsid w:val="00AD4B8D"/>
    <w:rsid w:val="00AD6854"/>
    <w:rsid w:val="00AE1774"/>
    <w:rsid w:val="00AE30CB"/>
    <w:rsid w:val="00AE448E"/>
    <w:rsid w:val="00AE5F65"/>
    <w:rsid w:val="00AF169C"/>
    <w:rsid w:val="00AF47AA"/>
    <w:rsid w:val="00AF7816"/>
    <w:rsid w:val="00B02814"/>
    <w:rsid w:val="00B03613"/>
    <w:rsid w:val="00B061C1"/>
    <w:rsid w:val="00B1038F"/>
    <w:rsid w:val="00B10709"/>
    <w:rsid w:val="00B14328"/>
    <w:rsid w:val="00B17CCF"/>
    <w:rsid w:val="00B20924"/>
    <w:rsid w:val="00B21F0A"/>
    <w:rsid w:val="00B225B3"/>
    <w:rsid w:val="00B23173"/>
    <w:rsid w:val="00B23B19"/>
    <w:rsid w:val="00B31F3F"/>
    <w:rsid w:val="00B351CF"/>
    <w:rsid w:val="00B37339"/>
    <w:rsid w:val="00B442E3"/>
    <w:rsid w:val="00B452D8"/>
    <w:rsid w:val="00B51413"/>
    <w:rsid w:val="00B53891"/>
    <w:rsid w:val="00B54F82"/>
    <w:rsid w:val="00B55448"/>
    <w:rsid w:val="00B604EF"/>
    <w:rsid w:val="00B63B85"/>
    <w:rsid w:val="00B6472A"/>
    <w:rsid w:val="00B64F71"/>
    <w:rsid w:val="00B66E41"/>
    <w:rsid w:val="00B70BD4"/>
    <w:rsid w:val="00B70C58"/>
    <w:rsid w:val="00B722BA"/>
    <w:rsid w:val="00B73984"/>
    <w:rsid w:val="00B73D54"/>
    <w:rsid w:val="00B76404"/>
    <w:rsid w:val="00B77F1F"/>
    <w:rsid w:val="00B81403"/>
    <w:rsid w:val="00B8163E"/>
    <w:rsid w:val="00B84A2C"/>
    <w:rsid w:val="00B85E11"/>
    <w:rsid w:val="00B870E0"/>
    <w:rsid w:val="00B90645"/>
    <w:rsid w:val="00B91255"/>
    <w:rsid w:val="00B915CD"/>
    <w:rsid w:val="00B923B2"/>
    <w:rsid w:val="00B94F47"/>
    <w:rsid w:val="00BA312F"/>
    <w:rsid w:val="00BA64F3"/>
    <w:rsid w:val="00BA6552"/>
    <w:rsid w:val="00BA7004"/>
    <w:rsid w:val="00BA730E"/>
    <w:rsid w:val="00BB2C82"/>
    <w:rsid w:val="00BB30E0"/>
    <w:rsid w:val="00BC301C"/>
    <w:rsid w:val="00BC51DC"/>
    <w:rsid w:val="00BD2D23"/>
    <w:rsid w:val="00BD7A8F"/>
    <w:rsid w:val="00BD7B89"/>
    <w:rsid w:val="00BE02F0"/>
    <w:rsid w:val="00BE0879"/>
    <w:rsid w:val="00BE1F2F"/>
    <w:rsid w:val="00BE24BF"/>
    <w:rsid w:val="00BE419D"/>
    <w:rsid w:val="00BE6867"/>
    <w:rsid w:val="00BF1239"/>
    <w:rsid w:val="00BF1654"/>
    <w:rsid w:val="00BF6E25"/>
    <w:rsid w:val="00C008D3"/>
    <w:rsid w:val="00C01AC2"/>
    <w:rsid w:val="00C03C23"/>
    <w:rsid w:val="00C04AA5"/>
    <w:rsid w:val="00C06780"/>
    <w:rsid w:val="00C07F63"/>
    <w:rsid w:val="00C1010A"/>
    <w:rsid w:val="00C1092E"/>
    <w:rsid w:val="00C10DCF"/>
    <w:rsid w:val="00C1276F"/>
    <w:rsid w:val="00C13011"/>
    <w:rsid w:val="00C15DE4"/>
    <w:rsid w:val="00C20069"/>
    <w:rsid w:val="00C213AD"/>
    <w:rsid w:val="00C24959"/>
    <w:rsid w:val="00C270B5"/>
    <w:rsid w:val="00C304DB"/>
    <w:rsid w:val="00C314D5"/>
    <w:rsid w:val="00C346D1"/>
    <w:rsid w:val="00C37523"/>
    <w:rsid w:val="00C37EB0"/>
    <w:rsid w:val="00C400A8"/>
    <w:rsid w:val="00C4172D"/>
    <w:rsid w:val="00C4338C"/>
    <w:rsid w:val="00C44DF9"/>
    <w:rsid w:val="00C450B6"/>
    <w:rsid w:val="00C4677C"/>
    <w:rsid w:val="00C5036D"/>
    <w:rsid w:val="00C53F3B"/>
    <w:rsid w:val="00C54EBB"/>
    <w:rsid w:val="00C56417"/>
    <w:rsid w:val="00C60118"/>
    <w:rsid w:val="00C604B2"/>
    <w:rsid w:val="00C66D6A"/>
    <w:rsid w:val="00C7010F"/>
    <w:rsid w:val="00C727AB"/>
    <w:rsid w:val="00C72D63"/>
    <w:rsid w:val="00C73E3F"/>
    <w:rsid w:val="00C74F7E"/>
    <w:rsid w:val="00C76C0B"/>
    <w:rsid w:val="00C76F93"/>
    <w:rsid w:val="00C80CE6"/>
    <w:rsid w:val="00C81557"/>
    <w:rsid w:val="00C843F3"/>
    <w:rsid w:val="00C860A1"/>
    <w:rsid w:val="00C909A7"/>
    <w:rsid w:val="00C91006"/>
    <w:rsid w:val="00C91A0F"/>
    <w:rsid w:val="00C92932"/>
    <w:rsid w:val="00C95C3F"/>
    <w:rsid w:val="00C96029"/>
    <w:rsid w:val="00CA0F79"/>
    <w:rsid w:val="00CA32AC"/>
    <w:rsid w:val="00CA485E"/>
    <w:rsid w:val="00CB68AD"/>
    <w:rsid w:val="00CC4223"/>
    <w:rsid w:val="00CC73C6"/>
    <w:rsid w:val="00CD1E1B"/>
    <w:rsid w:val="00CD35C3"/>
    <w:rsid w:val="00CE29B2"/>
    <w:rsid w:val="00CE3EAC"/>
    <w:rsid w:val="00CE5989"/>
    <w:rsid w:val="00CF0614"/>
    <w:rsid w:val="00CF19CC"/>
    <w:rsid w:val="00CF3546"/>
    <w:rsid w:val="00CF47AC"/>
    <w:rsid w:val="00CF490C"/>
    <w:rsid w:val="00CF49D5"/>
    <w:rsid w:val="00CF61ED"/>
    <w:rsid w:val="00CF657B"/>
    <w:rsid w:val="00CF7E8F"/>
    <w:rsid w:val="00D0267A"/>
    <w:rsid w:val="00D02877"/>
    <w:rsid w:val="00D03313"/>
    <w:rsid w:val="00D03AB6"/>
    <w:rsid w:val="00D03C2C"/>
    <w:rsid w:val="00D06EE8"/>
    <w:rsid w:val="00D10322"/>
    <w:rsid w:val="00D11A25"/>
    <w:rsid w:val="00D13A77"/>
    <w:rsid w:val="00D17E9F"/>
    <w:rsid w:val="00D20A7A"/>
    <w:rsid w:val="00D20BAA"/>
    <w:rsid w:val="00D22DBF"/>
    <w:rsid w:val="00D22F6A"/>
    <w:rsid w:val="00D243A7"/>
    <w:rsid w:val="00D25050"/>
    <w:rsid w:val="00D30637"/>
    <w:rsid w:val="00D40F2F"/>
    <w:rsid w:val="00D42118"/>
    <w:rsid w:val="00D424D9"/>
    <w:rsid w:val="00D42968"/>
    <w:rsid w:val="00D4310F"/>
    <w:rsid w:val="00D44B00"/>
    <w:rsid w:val="00D4714A"/>
    <w:rsid w:val="00D572B2"/>
    <w:rsid w:val="00D572EC"/>
    <w:rsid w:val="00D57622"/>
    <w:rsid w:val="00D57928"/>
    <w:rsid w:val="00D600E4"/>
    <w:rsid w:val="00D60312"/>
    <w:rsid w:val="00D60816"/>
    <w:rsid w:val="00D65FFD"/>
    <w:rsid w:val="00D66A05"/>
    <w:rsid w:val="00D67EE1"/>
    <w:rsid w:val="00D71FD6"/>
    <w:rsid w:val="00D7342D"/>
    <w:rsid w:val="00D73F71"/>
    <w:rsid w:val="00D749BE"/>
    <w:rsid w:val="00D7553E"/>
    <w:rsid w:val="00D75897"/>
    <w:rsid w:val="00D76233"/>
    <w:rsid w:val="00D76C88"/>
    <w:rsid w:val="00D80479"/>
    <w:rsid w:val="00D84E0A"/>
    <w:rsid w:val="00D86D73"/>
    <w:rsid w:val="00D877F4"/>
    <w:rsid w:val="00D91AF2"/>
    <w:rsid w:val="00D93BBC"/>
    <w:rsid w:val="00D95936"/>
    <w:rsid w:val="00D96B0F"/>
    <w:rsid w:val="00DA1884"/>
    <w:rsid w:val="00DA4135"/>
    <w:rsid w:val="00DA6512"/>
    <w:rsid w:val="00DA6F66"/>
    <w:rsid w:val="00DA7717"/>
    <w:rsid w:val="00DB084F"/>
    <w:rsid w:val="00DB1854"/>
    <w:rsid w:val="00DB197F"/>
    <w:rsid w:val="00DB7527"/>
    <w:rsid w:val="00DC0E86"/>
    <w:rsid w:val="00DC2D31"/>
    <w:rsid w:val="00DC41DA"/>
    <w:rsid w:val="00DC4429"/>
    <w:rsid w:val="00DC702C"/>
    <w:rsid w:val="00DC7CA5"/>
    <w:rsid w:val="00DD0B71"/>
    <w:rsid w:val="00DE0694"/>
    <w:rsid w:val="00DE1678"/>
    <w:rsid w:val="00DE33F4"/>
    <w:rsid w:val="00DF074E"/>
    <w:rsid w:val="00DF218F"/>
    <w:rsid w:val="00DF3D12"/>
    <w:rsid w:val="00DF6C74"/>
    <w:rsid w:val="00E00C92"/>
    <w:rsid w:val="00E02202"/>
    <w:rsid w:val="00E022B4"/>
    <w:rsid w:val="00E059FE"/>
    <w:rsid w:val="00E10028"/>
    <w:rsid w:val="00E1602D"/>
    <w:rsid w:val="00E22105"/>
    <w:rsid w:val="00E22D5B"/>
    <w:rsid w:val="00E26F94"/>
    <w:rsid w:val="00E3037A"/>
    <w:rsid w:val="00E306DB"/>
    <w:rsid w:val="00E31EC5"/>
    <w:rsid w:val="00E33242"/>
    <w:rsid w:val="00E33815"/>
    <w:rsid w:val="00E41E48"/>
    <w:rsid w:val="00E42CF8"/>
    <w:rsid w:val="00E44170"/>
    <w:rsid w:val="00E50A2E"/>
    <w:rsid w:val="00E5307F"/>
    <w:rsid w:val="00E537C5"/>
    <w:rsid w:val="00E54D1B"/>
    <w:rsid w:val="00E61DC2"/>
    <w:rsid w:val="00E640F6"/>
    <w:rsid w:val="00E6561A"/>
    <w:rsid w:val="00E66545"/>
    <w:rsid w:val="00E67777"/>
    <w:rsid w:val="00E71CA0"/>
    <w:rsid w:val="00E7535C"/>
    <w:rsid w:val="00E761A4"/>
    <w:rsid w:val="00E766B9"/>
    <w:rsid w:val="00E76B6D"/>
    <w:rsid w:val="00E775C0"/>
    <w:rsid w:val="00E8243E"/>
    <w:rsid w:val="00E858D2"/>
    <w:rsid w:val="00E86AF0"/>
    <w:rsid w:val="00E870B1"/>
    <w:rsid w:val="00E90891"/>
    <w:rsid w:val="00E9202D"/>
    <w:rsid w:val="00E92474"/>
    <w:rsid w:val="00E9372F"/>
    <w:rsid w:val="00E93F5D"/>
    <w:rsid w:val="00E96E3A"/>
    <w:rsid w:val="00EA0884"/>
    <w:rsid w:val="00EA0D80"/>
    <w:rsid w:val="00EA534C"/>
    <w:rsid w:val="00EB6451"/>
    <w:rsid w:val="00EB6E00"/>
    <w:rsid w:val="00EB7050"/>
    <w:rsid w:val="00EC1745"/>
    <w:rsid w:val="00EC3BC6"/>
    <w:rsid w:val="00EC49F1"/>
    <w:rsid w:val="00EC5400"/>
    <w:rsid w:val="00EC700C"/>
    <w:rsid w:val="00ED07E2"/>
    <w:rsid w:val="00ED2B92"/>
    <w:rsid w:val="00ED56D8"/>
    <w:rsid w:val="00EE39E2"/>
    <w:rsid w:val="00EF0ACA"/>
    <w:rsid w:val="00EF16FA"/>
    <w:rsid w:val="00EF41BD"/>
    <w:rsid w:val="00EF475F"/>
    <w:rsid w:val="00EF59FB"/>
    <w:rsid w:val="00EF7F4B"/>
    <w:rsid w:val="00F001A8"/>
    <w:rsid w:val="00F00788"/>
    <w:rsid w:val="00F075E2"/>
    <w:rsid w:val="00F077F6"/>
    <w:rsid w:val="00F103F9"/>
    <w:rsid w:val="00F10461"/>
    <w:rsid w:val="00F11067"/>
    <w:rsid w:val="00F12982"/>
    <w:rsid w:val="00F12EE2"/>
    <w:rsid w:val="00F13C1F"/>
    <w:rsid w:val="00F21351"/>
    <w:rsid w:val="00F21BAB"/>
    <w:rsid w:val="00F23143"/>
    <w:rsid w:val="00F25D5C"/>
    <w:rsid w:val="00F26159"/>
    <w:rsid w:val="00F2735A"/>
    <w:rsid w:val="00F3225D"/>
    <w:rsid w:val="00F3358C"/>
    <w:rsid w:val="00F33862"/>
    <w:rsid w:val="00F35261"/>
    <w:rsid w:val="00F37ADB"/>
    <w:rsid w:val="00F418B9"/>
    <w:rsid w:val="00F42F7B"/>
    <w:rsid w:val="00F44C9D"/>
    <w:rsid w:val="00F450E3"/>
    <w:rsid w:val="00F451D9"/>
    <w:rsid w:val="00F554B2"/>
    <w:rsid w:val="00F5574A"/>
    <w:rsid w:val="00F55B3F"/>
    <w:rsid w:val="00F560AA"/>
    <w:rsid w:val="00F61C51"/>
    <w:rsid w:val="00F631A8"/>
    <w:rsid w:val="00F64C83"/>
    <w:rsid w:val="00F67FFC"/>
    <w:rsid w:val="00F7207A"/>
    <w:rsid w:val="00F73121"/>
    <w:rsid w:val="00F73966"/>
    <w:rsid w:val="00F77AC0"/>
    <w:rsid w:val="00F83EEA"/>
    <w:rsid w:val="00F848FA"/>
    <w:rsid w:val="00F92E9E"/>
    <w:rsid w:val="00F94738"/>
    <w:rsid w:val="00FA5B89"/>
    <w:rsid w:val="00FA7D55"/>
    <w:rsid w:val="00FB1C03"/>
    <w:rsid w:val="00FB67FC"/>
    <w:rsid w:val="00FB6A39"/>
    <w:rsid w:val="00FC0F7A"/>
    <w:rsid w:val="00FC1056"/>
    <w:rsid w:val="00FC499A"/>
    <w:rsid w:val="00FC7F89"/>
    <w:rsid w:val="00FD0630"/>
    <w:rsid w:val="00FD0869"/>
    <w:rsid w:val="00FD2A43"/>
    <w:rsid w:val="00FD5FBD"/>
    <w:rsid w:val="00FF569D"/>
    <w:rsid w:val="00FF6ABC"/>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customStyle="1" w:styleId="Style">
    <w:name w:val="Style"/>
    <w:basedOn w:val="Normal"/>
    <w:pPr>
      <w:ind w:left="720" w:hanging="720"/>
    </w:pPr>
  </w:style>
  <w:style w:type="paragraph" w:customStyle="1" w:styleId="a">
    <w:name w:val="_"/>
    <w:basedOn w:val="Normal"/>
    <w:pPr>
      <w:ind w:left="720" w:hanging="720"/>
    </w:pPr>
  </w:style>
  <w:style w:type="paragraph" w:customStyle="1" w:styleId="Quick1">
    <w:name w:val="Quick 1."/>
    <w:basedOn w:val="Normal"/>
    <w:pPr>
      <w:numPr>
        <w:numId w:val="7"/>
      </w:numPr>
      <w:ind w:left="720" w:hanging="720"/>
    </w:pPr>
  </w:style>
  <w:style w:type="paragraph" w:customStyle="1" w:styleId="Quicka">
    <w:name w:val="Quick a)"/>
    <w:basedOn w:val="Normal"/>
    <w:pPr>
      <w:numPr>
        <w:numId w:val="8"/>
      </w:numPr>
      <w:ind w:left="1440" w:hanging="720"/>
    </w:pPr>
  </w:style>
  <w:style w:type="paragraph" w:customStyle="1" w:styleId="QuickA0">
    <w:name w:val="Quick A."/>
    <w:basedOn w:val="Normal"/>
    <w:pPr>
      <w:numPr>
        <w:numId w:val="11"/>
      </w:numPr>
      <w:ind w:left="720" w:hanging="720"/>
    </w:pPr>
  </w:style>
  <w:style w:type="paragraph" w:styleId="Header">
    <w:name w:val="header"/>
    <w:basedOn w:val="Normal"/>
    <w:rsid w:val="00455A6C"/>
    <w:pPr>
      <w:tabs>
        <w:tab w:val="center" w:pos="4320"/>
        <w:tab w:val="right" w:pos="8640"/>
      </w:tabs>
    </w:pPr>
  </w:style>
  <w:style w:type="paragraph" w:styleId="Footer">
    <w:name w:val="footer"/>
    <w:basedOn w:val="Normal"/>
    <w:rsid w:val="00455A6C"/>
    <w:pPr>
      <w:tabs>
        <w:tab w:val="center" w:pos="4320"/>
        <w:tab w:val="right" w:pos="8640"/>
      </w:tabs>
    </w:pPr>
  </w:style>
  <w:style w:type="character" w:styleId="PageNumber">
    <w:name w:val="page number"/>
    <w:basedOn w:val="DefaultParagraphFont"/>
    <w:rsid w:val="00DB197F"/>
  </w:style>
  <w:style w:type="character" w:styleId="Hyperlink">
    <w:name w:val="Hyperlink"/>
    <w:rsid w:val="00A80061"/>
    <w:rPr>
      <w:color w:val="0000FF"/>
      <w:u w:val="single"/>
    </w:rPr>
  </w:style>
  <w:style w:type="paragraph" w:styleId="BodyTextIndent">
    <w:name w:val="Body Text Indent"/>
    <w:basedOn w:val="Normal"/>
    <w:rsid w:val="005F481F"/>
    <w:pPr>
      <w:widowControl/>
      <w:tabs>
        <w:tab w:val="left" w:pos="-720"/>
        <w:tab w:val="left" w:pos="720"/>
      </w:tabs>
      <w:suppressAutoHyphens/>
      <w:autoSpaceDE/>
      <w:autoSpaceDN/>
      <w:adjustRightInd/>
      <w:spacing w:line="240" w:lineRule="atLeast"/>
      <w:ind w:left="720" w:hanging="720"/>
    </w:pPr>
    <w:rPr>
      <w:rFonts w:ascii="Times New Roman" w:hAnsi="Times New Roman" w:cs="Courier New"/>
    </w:rPr>
  </w:style>
  <w:style w:type="paragraph" w:styleId="Title">
    <w:name w:val="Title"/>
    <w:basedOn w:val="Normal"/>
    <w:qFormat/>
    <w:rsid w:val="007C0A31"/>
    <w:pPr>
      <w:widowControl/>
      <w:autoSpaceDE/>
      <w:autoSpaceDN/>
      <w:adjustRightInd/>
      <w:jc w:val="center"/>
    </w:pPr>
    <w:rPr>
      <w:rFonts w:ascii="Times New Roman" w:hAnsi="Times New Roman"/>
      <w:b/>
      <w:bCs/>
    </w:rPr>
  </w:style>
  <w:style w:type="table" w:styleId="TableGrid">
    <w:name w:val="Table Grid"/>
    <w:basedOn w:val="TableNormal"/>
    <w:rsid w:val="00FB6A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B1E40"/>
    <w:pPr>
      <w:widowControl/>
      <w:autoSpaceDE/>
      <w:autoSpaceDN/>
      <w:adjustRightInd/>
      <w:spacing w:after="200" w:line="276" w:lineRule="auto"/>
      <w:ind w:left="720"/>
      <w:contextualSpacing/>
    </w:pPr>
    <w:rPr>
      <w:rFonts w:ascii="Calibri" w:eastAsia="Calibri" w:hAnsi="Calibri"/>
      <w:sz w:val="22"/>
      <w:szCs w:val="22"/>
    </w:rPr>
  </w:style>
  <w:style w:type="character" w:styleId="Strong">
    <w:name w:val="Strong"/>
    <w:qFormat/>
    <w:rsid w:val="000A6766"/>
    <w:rPr>
      <w:b/>
      <w:bCs/>
    </w:rPr>
  </w:style>
  <w:style w:type="paragraph" w:styleId="BalloonText">
    <w:name w:val="Balloon Text"/>
    <w:basedOn w:val="Normal"/>
    <w:semiHidden/>
    <w:rsid w:val="00EC5400"/>
    <w:rPr>
      <w:rFonts w:ascii="Tahoma" w:hAnsi="Tahoma" w:cs="Tahoma"/>
      <w:sz w:val="16"/>
      <w:szCs w:val="16"/>
    </w:rPr>
  </w:style>
  <w:style w:type="paragraph" w:customStyle="1" w:styleId="FirstParagraph">
    <w:name w:val="First Paragraph"/>
    <w:basedOn w:val="Normal"/>
    <w:link w:val="FirstParagraphChar"/>
    <w:rsid w:val="00C5036D"/>
    <w:rPr>
      <w:rFonts w:ascii="Times New Roman" w:hAnsi="Times New Roman"/>
      <w:lang w:val="x-none" w:eastAsia="x-none"/>
    </w:rPr>
  </w:style>
  <w:style w:type="character" w:customStyle="1" w:styleId="FirstParagraphChar">
    <w:name w:val="First Paragraph Char"/>
    <w:link w:val="FirstParagraph"/>
    <w:locked/>
    <w:rsid w:val="00C5036D"/>
    <w:rPr>
      <w:sz w:val="24"/>
      <w:szCs w:val="24"/>
      <w:lang w:val="x-none" w:eastAsia="x-none" w:bidi="ar-SA"/>
    </w:rPr>
  </w:style>
  <w:style w:type="character" w:styleId="CommentReference">
    <w:name w:val="annotation reference"/>
    <w:semiHidden/>
    <w:rsid w:val="000B7F7E"/>
    <w:rPr>
      <w:sz w:val="16"/>
      <w:szCs w:val="16"/>
    </w:rPr>
  </w:style>
  <w:style w:type="paragraph" w:styleId="CommentText">
    <w:name w:val="annotation text"/>
    <w:basedOn w:val="Normal"/>
    <w:semiHidden/>
    <w:rsid w:val="000B7F7E"/>
    <w:rPr>
      <w:sz w:val="20"/>
      <w:szCs w:val="20"/>
    </w:rPr>
  </w:style>
  <w:style w:type="paragraph" w:styleId="CommentSubject">
    <w:name w:val="annotation subject"/>
    <w:basedOn w:val="CommentText"/>
    <w:next w:val="CommentText"/>
    <w:semiHidden/>
    <w:rsid w:val="000B7F7E"/>
    <w:rPr>
      <w:b/>
      <w:bCs/>
    </w:rPr>
  </w:style>
  <w:style w:type="table" w:styleId="TableClassic1">
    <w:name w:val="Table Classic 1"/>
    <w:basedOn w:val="TableNormal"/>
    <w:rsid w:val="00603217"/>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customStyle="1" w:styleId="Style">
    <w:name w:val="Style"/>
    <w:basedOn w:val="Normal"/>
    <w:pPr>
      <w:ind w:left="720" w:hanging="720"/>
    </w:pPr>
  </w:style>
  <w:style w:type="paragraph" w:customStyle="1" w:styleId="a">
    <w:name w:val="_"/>
    <w:basedOn w:val="Normal"/>
    <w:pPr>
      <w:ind w:left="720" w:hanging="720"/>
    </w:pPr>
  </w:style>
  <w:style w:type="paragraph" w:customStyle="1" w:styleId="Quick1">
    <w:name w:val="Quick 1."/>
    <w:basedOn w:val="Normal"/>
    <w:pPr>
      <w:numPr>
        <w:numId w:val="7"/>
      </w:numPr>
      <w:ind w:left="720" w:hanging="720"/>
    </w:pPr>
  </w:style>
  <w:style w:type="paragraph" w:customStyle="1" w:styleId="Quicka">
    <w:name w:val="Quick a)"/>
    <w:basedOn w:val="Normal"/>
    <w:pPr>
      <w:numPr>
        <w:numId w:val="8"/>
      </w:numPr>
      <w:ind w:left="1440" w:hanging="720"/>
    </w:pPr>
  </w:style>
  <w:style w:type="paragraph" w:customStyle="1" w:styleId="QuickA0">
    <w:name w:val="Quick A."/>
    <w:basedOn w:val="Normal"/>
    <w:pPr>
      <w:numPr>
        <w:numId w:val="11"/>
      </w:numPr>
      <w:ind w:left="720" w:hanging="720"/>
    </w:pPr>
  </w:style>
  <w:style w:type="paragraph" w:styleId="Header">
    <w:name w:val="header"/>
    <w:basedOn w:val="Normal"/>
    <w:rsid w:val="00455A6C"/>
    <w:pPr>
      <w:tabs>
        <w:tab w:val="center" w:pos="4320"/>
        <w:tab w:val="right" w:pos="8640"/>
      </w:tabs>
    </w:pPr>
  </w:style>
  <w:style w:type="paragraph" w:styleId="Footer">
    <w:name w:val="footer"/>
    <w:basedOn w:val="Normal"/>
    <w:rsid w:val="00455A6C"/>
    <w:pPr>
      <w:tabs>
        <w:tab w:val="center" w:pos="4320"/>
        <w:tab w:val="right" w:pos="8640"/>
      </w:tabs>
    </w:pPr>
  </w:style>
  <w:style w:type="character" w:styleId="PageNumber">
    <w:name w:val="page number"/>
    <w:basedOn w:val="DefaultParagraphFont"/>
    <w:rsid w:val="00DB197F"/>
  </w:style>
  <w:style w:type="character" w:styleId="Hyperlink">
    <w:name w:val="Hyperlink"/>
    <w:rsid w:val="00A80061"/>
    <w:rPr>
      <w:color w:val="0000FF"/>
      <w:u w:val="single"/>
    </w:rPr>
  </w:style>
  <w:style w:type="paragraph" w:styleId="BodyTextIndent">
    <w:name w:val="Body Text Indent"/>
    <w:basedOn w:val="Normal"/>
    <w:rsid w:val="005F481F"/>
    <w:pPr>
      <w:widowControl/>
      <w:tabs>
        <w:tab w:val="left" w:pos="-720"/>
        <w:tab w:val="left" w:pos="720"/>
      </w:tabs>
      <w:suppressAutoHyphens/>
      <w:autoSpaceDE/>
      <w:autoSpaceDN/>
      <w:adjustRightInd/>
      <w:spacing w:line="240" w:lineRule="atLeast"/>
      <w:ind w:left="720" w:hanging="720"/>
    </w:pPr>
    <w:rPr>
      <w:rFonts w:ascii="Times New Roman" w:hAnsi="Times New Roman" w:cs="Courier New"/>
    </w:rPr>
  </w:style>
  <w:style w:type="paragraph" w:styleId="Title">
    <w:name w:val="Title"/>
    <w:basedOn w:val="Normal"/>
    <w:qFormat/>
    <w:rsid w:val="007C0A31"/>
    <w:pPr>
      <w:widowControl/>
      <w:autoSpaceDE/>
      <w:autoSpaceDN/>
      <w:adjustRightInd/>
      <w:jc w:val="center"/>
    </w:pPr>
    <w:rPr>
      <w:rFonts w:ascii="Times New Roman" w:hAnsi="Times New Roman"/>
      <w:b/>
      <w:bCs/>
    </w:rPr>
  </w:style>
  <w:style w:type="table" w:styleId="TableGrid">
    <w:name w:val="Table Grid"/>
    <w:basedOn w:val="TableNormal"/>
    <w:rsid w:val="00FB6A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B1E40"/>
    <w:pPr>
      <w:widowControl/>
      <w:autoSpaceDE/>
      <w:autoSpaceDN/>
      <w:adjustRightInd/>
      <w:spacing w:after="200" w:line="276" w:lineRule="auto"/>
      <w:ind w:left="720"/>
      <w:contextualSpacing/>
    </w:pPr>
    <w:rPr>
      <w:rFonts w:ascii="Calibri" w:eastAsia="Calibri" w:hAnsi="Calibri"/>
      <w:sz w:val="22"/>
      <w:szCs w:val="22"/>
    </w:rPr>
  </w:style>
  <w:style w:type="character" w:styleId="Strong">
    <w:name w:val="Strong"/>
    <w:qFormat/>
    <w:rsid w:val="000A6766"/>
    <w:rPr>
      <w:b/>
      <w:bCs/>
    </w:rPr>
  </w:style>
  <w:style w:type="paragraph" w:styleId="BalloonText">
    <w:name w:val="Balloon Text"/>
    <w:basedOn w:val="Normal"/>
    <w:semiHidden/>
    <w:rsid w:val="00EC5400"/>
    <w:rPr>
      <w:rFonts w:ascii="Tahoma" w:hAnsi="Tahoma" w:cs="Tahoma"/>
      <w:sz w:val="16"/>
      <w:szCs w:val="16"/>
    </w:rPr>
  </w:style>
  <w:style w:type="paragraph" w:customStyle="1" w:styleId="FirstParagraph">
    <w:name w:val="First Paragraph"/>
    <w:basedOn w:val="Normal"/>
    <w:link w:val="FirstParagraphChar"/>
    <w:rsid w:val="00C5036D"/>
    <w:rPr>
      <w:rFonts w:ascii="Times New Roman" w:hAnsi="Times New Roman"/>
      <w:lang w:val="x-none" w:eastAsia="x-none"/>
    </w:rPr>
  </w:style>
  <w:style w:type="character" w:customStyle="1" w:styleId="FirstParagraphChar">
    <w:name w:val="First Paragraph Char"/>
    <w:link w:val="FirstParagraph"/>
    <w:locked/>
    <w:rsid w:val="00C5036D"/>
    <w:rPr>
      <w:sz w:val="24"/>
      <w:szCs w:val="24"/>
      <w:lang w:val="x-none" w:eastAsia="x-none" w:bidi="ar-SA"/>
    </w:rPr>
  </w:style>
  <w:style w:type="character" w:styleId="CommentReference">
    <w:name w:val="annotation reference"/>
    <w:semiHidden/>
    <w:rsid w:val="000B7F7E"/>
    <w:rPr>
      <w:sz w:val="16"/>
      <w:szCs w:val="16"/>
    </w:rPr>
  </w:style>
  <w:style w:type="paragraph" w:styleId="CommentText">
    <w:name w:val="annotation text"/>
    <w:basedOn w:val="Normal"/>
    <w:semiHidden/>
    <w:rsid w:val="000B7F7E"/>
    <w:rPr>
      <w:sz w:val="20"/>
      <w:szCs w:val="20"/>
    </w:rPr>
  </w:style>
  <w:style w:type="paragraph" w:styleId="CommentSubject">
    <w:name w:val="annotation subject"/>
    <w:basedOn w:val="CommentText"/>
    <w:next w:val="CommentText"/>
    <w:semiHidden/>
    <w:rsid w:val="000B7F7E"/>
    <w:rPr>
      <w:b/>
      <w:bCs/>
    </w:rPr>
  </w:style>
  <w:style w:type="table" w:styleId="TableClassic1">
    <w:name w:val="Table Classic 1"/>
    <w:basedOn w:val="TableNormal"/>
    <w:rsid w:val="00603217"/>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27528">
      <w:bodyDiv w:val="1"/>
      <w:marLeft w:val="0"/>
      <w:marRight w:val="0"/>
      <w:marTop w:val="0"/>
      <w:marBottom w:val="0"/>
      <w:divBdr>
        <w:top w:val="none" w:sz="0" w:space="0" w:color="auto"/>
        <w:left w:val="none" w:sz="0" w:space="0" w:color="auto"/>
        <w:bottom w:val="none" w:sz="0" w:space="0" w:color="auto"/>
        <w:right w:val="none" w:sz="0" w:space="0" w:color="auto"/>
      </w:divBdr>
    </w:div>
    <w:div w:id="408190289">
      <w:bodyDiv w:val="1"/>
      <w:marLeft w:val="0"/>
      <w:marRight w:val="0"/>
      <w:marTop w:val="0"/>
      <w:marBottom w:val="0"/>
      <w:divBdr>
        <w:top w:val="none" w:sz="0" w:space="0" w:color="auto"/>
        <w:left w:val="none" w:sz="0" w:space="0" w:color="auto"/>
        <w:bottom w:val="none" w:sz="0" w:space="0" w:color="auto"/>
        <w:right w:val="none" w:sz="0" w:space="0" w:color="auto"/>
      </w:divBdr>
    </w:div>
    <w:div w:id="672419062">
      <w:bodyDiv w:val="1"/>
      <w:marLeft w:val="0"/>
      <w:marRight w:val="0"/>
      <w:marTop w:val="0"/>
      <w:marBottom w:val="0"/>
      <w:divBdr>
        <w:top w:val="none" w:sz="0" w:space="0" w:color="auto"/>
        <w:left w:val="none" w:sz="0" w:space="0" w:color="auto"/>
        <w:bottom w:val="none" w:sz="0" w:space="0" w:color="auto"/>
        <w:right w:val="none" w:sz="0" w:space="0" w:color="auto"/>
      </w:divBdr>
    </w:div>
    <w:div w:id="734014310">
      <w:bodyDiv w:val="1"/>
      <w:marLeft w:val="0"/>
      <w:marRight w:val="0"/>
      <w:marTop w:val="0"/>
      <w:marBottom w:val="0"/>
      <w:divBdr>
        <w:top w:val="none" w:sz="0" w:space="0" w:color="auto"/>
        <w:left w:val="none" w:sz="0" w:space="0" w:color="auto"/>
        <w:bottom w:val="none" w:sz="0" w:space="0" w:color="auto"/>
        <w:right w:val="none" w:sz="0" w:space="0" w:color="auto"/>
      </w:divBdr>
    </w:div>
    <w:div w:id="825324135">
      <w:bodyDiv w:val="1"/>
      <w:marLeft w:val="0"/>
      <w:marRight w:val="0"/>
      <w:marTop w:val="0"/>
      <w:marBottom w:val="0"/>
      <w:divBdr>
        <w:top w:val="none" w:sz="0" w:space="0" w:color="auto"/>
        <w:left w:val="none" w:sz="0" w:space="0" w:color="auto"/>
        <w:bottom w:val="none" w:sz="0" w:space="0" w:color="auto"/>
        <w:right w:val="none" w:sz="0" w:space="0" w:color="auto"/>
      </w:divBdr>
    </w:div>
    <w:div w:id="847058758">
      <w:bodyDiv w:val="1"/>
      <w:marLeft w:val="0"/>
      <w:marRight w:val="0"/>
      <w:marTop w:val="0"/>
      <w:marBottom w:val="0"/>
      <w:divBdr>
        <w:top w:val="none" w:sz="0" w:space="0" w:color="auto"/>
        <w:left w:val="none" w:sz="0" w:space="0" w:color="auto"/>
        <w:bottom w:val="none" w:sz="0" w:space="0" w:color="auto"/>
        <w:right w:val="none" w:sz="0" w:space="0" w:color="auto"/>
      </w:divBdr>
    </w:div>
    <w:div w:id="955065506">
      <w:bodyDiv w:val="1"/>
      <w:marLeft w:val="0"/>
      <w:marRight w:val="0"/>
      <w:marTop w:val="0"/>
      <w:marBottom w:val="0"/>
      <w:divBdr>
        <w:top w:val="none" w:sz="0" w:space="0" w:color="auto"/>
        <w:left w:val="none" w:sz="0" w:space="0" w:color="auto"/>
        <w:bottom w:val="none" w:sz="0" w:space="0" w:color="auto"/>
        <w:right w:val="none" w:sz="0" w:space="0" w:color="auto"/>
      </w:divBdr>
    </w:div>
    <w:div w:id="1302463842">
      <w:bodyDiv w:val="1"/>
      <w:marLeft w:val="0"/>
      <w:marRight w:val="0"/>
      <w:marTop w:val="0"/>
      <w:marBottom w:val="0"/>
      <w:divBdr>
        <w:top w:val="none" w:sz="0" w:space="0" w:color="auto"/>
        <w:left w:val="none" w:sz="0" w:space="0" w:color="auto"/>
        <w:bottom w:val="none" w:sz="0" w:space="0" w:color="auto"/>
        <w:right w:val="none" w:sz="0" w:space="0" w:color="auto"/>
      </w:divBdr>
    </w:div>
    <w:div w:id="1537504461">
      <w:bodyDiv w:val="1"/>
      <w:marLeft w:val="0"/>
      <w:marRight w:val="0"/>
      <w:marTop w:val="0"/>
      <w:marBottom w:val="0"/>
      <w:divBdr>
        <w:top w:val="none" w:sz="0" w:space="0" w:color="auto"/>
        <w:left w:val="none" w:sz="0" w:space="0" w:color="auto"/>
        <w:bottom w:val="none" w:sz="0" w:space="0" w:color="auto"/>
        <w:right w:val="none" w:sz="0" w:space="0" w:color="auto"/>
      </w:divBdr>
    </w:div>
    <w:div w:id="1612055182">
      <w:bodyDiv w:val="1"/>
      <w:marLeft w:val="0"/>
      <w:marRight w:val="0"/>
      <w:marTop w:val="0"/>
      <w:marBottom w:val="0"/>
      <w:divBdr>
        <w:top w:val="none" w:sz="0" w:space="0" w:color="auto"/>
        <w:left w:val="none" w:sz="0" w:space="0" w:color="auto"/>
        <w:bottom w:val="none" w:sz="0" w:space="0" w:color="auto"/>
        <w:right w:val="none" w:sz="0" w:space="0" w:color="auto"/>
      </w:divBdr>
    </w:div>
    <w:div w:id="1763254017">
      <w:bodyDiv w:val="1"/>
      <w:marLeft w:val="0"/>
      <w:marRight w:val="0"/>
      <w:marTop w:val="0"/>
      <w:marBottom w:val="0"/>
      <w:divBdr>
        <w:top w:val="none" w:sz="0" w:space="0" w:color="auto"/>
        <w:left w:val="none" w:sz="0" w:space="0" w:color="auto"/>
        <w:bottom w:val="none" w:sz="0" w:space="0" w:color="auto"/>
        <w:right w:val="none" w:sz="0" w:space="0" w:color="auto"/>
      </w:divBdr>
    </w:div>
    <w:div w:id="202338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A6091-93AD-43E5-A8DF-1971E9B8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3640</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Attachment X:</vt:lpstr>
    </vt:vector>
  </TitlesOfParts>
  <Company>NCHS</Company>
  <LinksUpToDate>false</LinksUpToDate>
  <CharactersWithSpaces>24344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X:</dc:title>
  <dc:subject/>
  <dc:creator>wdm1</dc:creator>
  <cp:keywords/>
  <cp:lastModifiedBy>SYSTEM</cp:lastModifiedBy>
  <cp:revision>2</cp:revision>
  <cp:lastPrinted>2015-01-27T14:54:00Z</cp:lastPrinted>
  <dcterms:created xsi:type="dcterms:W3CDTF">2018-04-25T19:57:00Z</dcterms:created>
  <dcterms:modified xsi:type="dcterms:W3CDTF">2018-04-25T19:57:00Z</dcterms:modified>
</cp:coreProperties>
</file>