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95498" w14:textId="77777777" w:rsidR="00DF5DC5" w:rsidRPr="00A92122" w:rsidRDefault="008466B6" w:rsidP="00A92122">
      <w:pPr>
        <w:pStyle w:val="H2Chapter"/>
        <w:rPr>
          <w:rFonts w:eastAsiaTheme="minorHAnsi" w:cstheme="minorBidi"/>
          <w:szCs w:val="22"/>
        </w:rPr>
      </w:pPr>
      <w:bookmarkStart w:id="0" w:name="_Toc428365572"/>
      <w:bookmarkStart w:id="1" w:name="_Toc428366618"/>
      <w:bookmarkStart w:id="2" w:name="_Toc428366632"/>
      <w:bookmarkStart w:id="3" w:name="_Toc374100104"/>
      <w:bookmarkStart w:id="4" w:name="_Toc374099819"/>
      <w:bookmarkStart w:id="5" w:name="_GoBack"/>
      <w:bookmarkEnd w:id="5"/>
      <w:r w:rsidRPr="00A92122">
        <w:rPr>
          <w:rFonts w:eastAsiaTheme="minorHAnsi" w:cstheme="minorBidi"/>
          <w:szCs w:val="22"/>
        </w:rPr>
        <w:t>T</w:t>
      </w:r>
      <w:r w:rsidR="00DF5DC5" w:rsidRPr="00A92122">
        <w:rPr>
          <w:rFonts w:eastAsiaTheme="minorHAnsi" w:cstheme="minorBidi"/>
          <w:szCs w:val="22"/>
        </w:rPr>
        <w:t>he National Guard Youth ChalleNGe Job ChalleNGe Evaluation</w:t>
      </w:r>
      <w:bookmarkEnd w:id="0"/>
      <w:bookmarkEnd w:id="1"/>
      <w:bookmarkEnd w:id="2"/>
    </w:p>
    <w:p w14:paraId="570F268E" w14:textId="77777777" w:rsidR="00DF5DC5" w:rsidRPr="00A92122" w:rsidRDefault="00C5176C" w:rsidP="00A92122">
      <w:pPr>
        <w:pStyle w:val="H2Chapter"/>
        <w:rPr>
          <w:rFonts w:eastAsiaTheme="minorHAnsi" w:cstheme="minorBidi"/>
          <w:szCs w:val="22"/>
        </w:rPr>
      </w:pPr>
      <w:bookmarkStart w:id="6" w:name="_Toc428365573"/>
      <w:bookmarkStart w:id="7" w:name="_Toc428366619"/>
      <w:bookmarkStart w:id="8" w:name="_Toc428366633"/>
      <w:r w:rsidRPr="00A92122">
        <w:rPr>
          <w:rFonts w:eastAsiaTheme="minorHAnsi" w:cstheme="minorBidi"/>
          <w:szCs w:val="22"/>
        </w:rPr>
        <w:t>O</w:t>
      </w:r>
      <w:r w:rsidR="008466B6" w:rsidRPr="00A92122">
        <w:rPr>
          <w:rFonts w:eastAsiaTheme="minorHAnsi" w:cstheme="minorBidi"/>
          <w:szCs w:val="22"/>
        </w:rPr>
        <w:t xml:space="preserve">ffice of </w:t>
      </w:r>
      <w:r w:rsidRPr="00A92122">
        <w:rPr>
          <w:rFonts w:eastAsiaTheme="minorHAnsi" w:cstheme="minorBidi"/>
          <w:szCs w:val="22"/>
        </w:rPr>
        <w:t>M</w:t>
      </w:r>
      <w:r w:rsidR="008466B6" w:rsidRPr="00A92122">
        <w:rPr>
          <w:rFonts w:eastAsiaTheme="minorHAnsi" w:cstheme="minorBidi"/>
          <w:szCs w:val="22"/>
        </w:rPr>
        <w:t xml:space="preserve">anagement and </w:t>
      </w:r>
      <w:r w:rsidRPr="00A92122">
        <w:rPr>
          <w:rFonts w:eastAsiaTheme="minorHAnsi" w:cstheme="minorBidi"/>
          <w:szCs w:val="22"/>
        </w:rPr>
        <w:t>b</w:t>
      </w:r>
      <w:r w:rsidR="008466B6" w:rsidRPr="00A92122">
        <w:rPr>
          <w:rFonts w:eastAsiaTheme="minorHAnsi" w:cstheme="minorBidi"/>
          <w:szCs w:val="22"/>
        </w:rPr>
        <w:t>udget</w:t>
      </w:r>
      <w:r w:rsidR="00DF5DC5" w:rsidRPr="00A92122">
        <w:rPr>
          <w:rFonts w:eastAsiaTheme="minorHAnsi" w:cstheme="minorBidi"/>
          <w:szCs w:val="22"/>
        </w:rPr>
        <w:t xml:space="preserve"> SUPPORTING STATEMENT PART B</w:t>
      </w:r>
      <w:bookmarkEnd w:id="6"/>
      <w:bookmarkEnd w:id="7"/>
      <w:bookmarkEnd w:id="8"/>
    </w:p>
    <w:p w14:paraId="0C1734F0" w14:textId="221531A7" w:rsidR="00B724ED" w:rsidRPr="00AA213B" w:rsidRDefault="00B724ED" w:rsidP="00B724ED">
      <w:pPr>
        <w:pStyle w:val="NormalSS"/>
      </w:pPr>
      <w:bookmarkStart w:id="9" w:name="_Toc374099820"/>
      <w:bookmarkStart w:id="10" w:name="_Toc428361275"/>
      <w:bookmarkStart w:id="11" w:name="_Toc428361442"/>
      <w:bookmarkStart w:id="12" w:name="_Toc276716411"/>
      <w:bookmarkStart w:id="13" w:name="_Toc299537544"/>
      <w:bookmarkStart w:id="14" w:name="_Toc428365574"/>
      <w:bookmarkStart w:id="15" w:name="_Toc428366620"/>
      <w:bookmarkStart w:id="16" w:name="_Toc428366634"/>
      <w:bookmarkStart w:id="17" w:name="_Toc298415680"/>
      <w:bookmarkStart w:id="18" w:name="_Toc298418561"/>
      <w:bookmarkEnd w:id="3"/>
      <w:bookmarkEnd w:id="4"/>
      <w:r w:rsidRPr="00AA213B">
        <w:t xml:space="preserve">The Employment and Training Administration (ETA) of the U.S. Department of Labor (DOL) is funding three National Guard Youth ChalleNGe programs to expand the target population to include court-involved youth and add a five-month residential occupational training component called Job ChalleNGe. The goal of Youth ChalleNGe, a program that was established in the 1990s, is to build confidence and maturity, teach practical life skills, and help youth obtain a high school diploma or GED. The program has a quasi-military aspect in which, for about 20 weeks, participants live in a disciplined environment and participate in numerous activities to strengthen their skills in a wide range of areas. </w:t>
      </w:r>
    </w:p>
    <w:p w14:paraId="71569E65" w14:textId="2642EE9F" w:rsidR="00B724ED" w:rsidRPr="00AA213B" w:rsidRDefault="00B724ED" w:rsidP="00B724ED">
      <w:pPr>
        <w:pStyle w:val="NormalSS"/>
      </w:pPr>
      <w:r w:rsidRPr="00AA213B">
        <w:t xml:space="preserve">The addition of the Job ChalleNGe component to the existing Youth ChalleNGe model has the potential to bolster the program’s effectiveness by </w:t>
      </w:r>
      <w:r w:rsidR="00196A70">
        <w:t>adding intensive</w:t>
      </w:r>
      <w:r w:rsidR="00196A70" w:rsidRPr="00AA213B">
        <w:t xml:space="preserve"> </w:t>
      </w:r>
      <w:r w:rsidRPr="00AA213B">
        <w:t xml:space="preserve">occupational training. Job ChalleNGe expands the residential time by five months for </w:t>
      </w:r>
      <w:r w:rsidR="00FD2217">
        <w:t>c</w:t>
      </w:r>
      <w:r w:rsidRPr="00AA213B">
        <w:t xml:space="preserve">adets who are interested in staying and are identified by staff </w:t>
      </w:r>
      <w:r w:rsidR="00760FA2">
        <w:t>as having</w:t>
      </w:r>
      <w:r w:rsidRPr="00AA213B">
        <w:t xml:space="preserve"> the potential to benefit from the program.</w:t>
      </w:r>
      <w:r w:rsidR="008A0F1B">
        <w:t xml:space="preserve"> </w:t>
      </w:r>
      <w:r w:rsidRPr="00AA213B">
        <w:t xml:space="preserve">It offers the following activities: (1) occupational skills training, (2) individualized career and academic counseling, (3) work-based learning opportunities, and (4) leadership development activities. In addition, the program is engaging employers to ensure participants’ skills address employers’ needs. </w:t>
      </w:r>
    </w:p>
    <w:p w14:paraId="23078646" w14:textId="6DB6C09B" w:rsidR="00B724ED" w:rsidRPr="00AA213B" w:rsidRDefault="00B724ED" w:rsidP="00B724ED">
      <w:pPr>
        <w:pStyle w:val="NormalSS"/>
      </w:pPr>
      <w:r w:rsidRPr="00AA213B">
        <w:t>The National Guard Youth ChalleNGe Job ChalleNGe Evaluation, sponsored by DOL’s Chief Evaluation Office (CEO), is designed to gain an understanding of the implementation of the DOL Job ChalleNGe grant and the experiences and outcomes of participants in the three grantee sites that were award</w:t>
      </w:r>
      <w:r w:rsidR="00D04307">
        <w:t>ed Job ChalleNGe grants in 2015.</w:t>
      </w:r>
      <w:r w:rsidRPr="00AA213B">
        <w:rPr>
          <w:vertAlign w:val="superscript"/>
        </w:rPr>
        <w:t xml:space="preserve"> </w:t>
      </w:r>
      <w:r w:rsidRPr="00AA213B">
        <w:t>The CEO has contracted with Mathematica Policy Research, in conjunction with its subcontractors MDRC and Social Policy Research Associates (SPR), to conduct this evaluation. OMB clearance (control number 1291-0008) was received on March 31, 2016, for four data collection instruments used as part of the evaluation: (1) baseline information form (BIF) for youth, (2) site visit master staff protocol, (3) site visit employer protocol, and (4) site visit youth focus group protocol.</w:t>
      </w:r>
    </w:p>
    <w:p w14:paraId="4A3A2C74" w14:textId="3DCA1C2E" w:rsidR="00D04307" w:rsidRDefault="00B724ED" w:rsidP="00B724ED">
      <w:pPr>
        <w:pStyle w:val="NormalSS"/>
      </w:pPr>
      <w:r w:rsidRPr="00AA213B">
        <w:t xml:space="preserve">This request </w:t>
      </w:r>
      <w:r w:rsidR="00D04307">
        <w:t>seeks</w:t>
      </w:r>
      <w:r w:rsidRPr="00AA213B">
        <w:t xml:space="preserve"> clearance for two types of follow-up data collection from study sample members who participated in the Job ChalleNGe program. </w:t>
      </w:r>
    </w:p>
    <w:bookmarkEnd w:id="9"/>
    <w:bookmarkEnd w:id="10"/>
    <w:bookmarkEnd w:id="11"/>
    <w:p w14:paraId="7F38932F" w14:textId="77777777" w:rsidR="00DF5DC5" w:rsidRPr="008466B6" w:rsidRDefault="00DF5DC5" w:rsidP="008466B6">
      <w:pPr>
        <w:pStyle w:val="H4Number"/>
        <w:spacing w:after="240"/>
        <w:rPr>
          <w:color w:val="00B050"/>
        </w:rPr>
      </w:pPr>
      <w:r w:rsidRPr="008466B6">
        <w:t>1.</w:t>
      </w:r>
      <w:r w:rsidRPr="008466B6">
        <w:tab/>
        <w:t>Respondent universe and sampling methods</w:t>
      </w:r>
      <w:bookmarkEnd w:id="12"/>
      <w:bookmarkEnd w:id="13"/>
      <w:bookmarkEnd w:id="14"/>
      <w:bookmarkEnd w:id="15"/>
      <w:bookmarkEnd w:id="16"/>
      <w:r w:rsidRPr="008466B6">
        <w:t xml:space="preserve"> </w:t>
      </w:r>
    </w:p>
    <w:p w14:paraId="3873762C" w14:textId="758E28C8" w:rsidR="0090659E" w:rsidRPr="00E77CDE" w:rsidRDefault="005B2153" w:rsidP="003947A2">
      <w:pPr>
        <w:pStyle w:val="NormalSS"/>
        <w:rPr>
          <w:i/>
        </w:rPr>
      </w:pPr>
      <w:r>
        <w:rPr>
          <w:i/>
        </w:rPr>
        <w:t>Follow up data collection</w:t>
      </w:r>
    </w:p>
    <w:p w14:paraId="7012191D" w14:textId="7E35B3E0" w:rsidR="00CA1962" w:rsidRDefault="00DF5DC5" w:rsidP="00DF5DC5">
      <w:pPr>
        <w:pStyle w:val="NormalSS"/>
      </w:pPr>
      <w:r>
        <w:t xml:space="preserve">The evaluation design </w:t>
      </w:r>
      <w:r w:rsidR="004624ED">
        <w:t xml:space="preserve">for the data collection request specified in this clearance package </w:t>
      </w:r>
      <w:r>
        <w:t>is a</w:t>
      </w:r>
      <w:r w:rsidR="00936174">
        <w:t>n</w:t>
      </w:r>
      <w:r>
        <w:t xml:space="preserve"> </w:t>
      </w:r>
      <w:r w:rsidR="005104A0">
        <w:t xml:space="preserve">implementation study and an </w:t>
      </w:r>
      <w:r w:rsidR="005B2153">
        <w:t>outcomes study of</w:t>
      </w:r>
      <w:r>
        <w:t xml:space="preserve"> Job ChalleNGe</w:t>
      </w:r>
      <w:r w:rsidR="005B2153">
        <w:t xml:space="preserve"> participants</w:t>
      </w:r>
      <w:r>
        <w:t>.</w:t>
      </w:r>
      <w:r w:rsidR="00936174">
        <w:t xml:space="preserve"> </w:t>
      </w:r>
      <w:r w:rsidR="00C00E45">
        <w:t>The</w:t>
      </w:r>
      <w:r w:rsidRPr="000974C5">
        <w:t xml:space="preserve"> universe and sample of </w:t>
      </w:r>
      <w:r w:rsidR="004E606A">
        <w:t>Job ChalleNGe participants</w:t>
      </w:r>
      <w:r w:rsidRPr="000974C5">
        <w:t xml:space="preserve"> </w:t>
      </w:r>
      <w:r w:rsidR="00CA1962">
        <w:t xml:space="preserve">to be included in </w:t>
      </w:r>
      <w:r w:rsidR="004624ED">
        <w:t xml:space="preserve">the data </w:t>
      </w:r>
      <w:r w:rsidR="00CA1962">
        <w:t xml:space="preserve">collection are </w:t>
      </w:r>
      <w:r w:rsidRPr="000974C5">
        <w:t xml:space="preserve">youth in the three </w:t>
      </w:r>
      <w:r w:rsidR="00CA1962">
        <w:t xml:space="preserve">National Guard Youth ChalleNGe Job ChalleNGe </w:t>
      </w:r>
      <w:r w:rsidRPr="000974C5">
        <w:t xml:space="preserve">grantee sites who </w:t>
      </w:r>
      <w:r w:rsidR="00C908B6">
        <w:t xml:space="preserve">(1) have consented to </w:t>
      </w:r>
      <w:r w:rsidR="00C908B6">
        <w:lastRenderedPageBreak/>
        <w:t xml:space="preserve">be in the study, (2) </w:t>
      </w:r>
      <w:r w:rsidR="00325530">
        <w:t>start</w:t>
      </w:r>
      <w:r w:rsidR="00936174">
        <w:t xml:space="preserve"> </w:t>
      </w:r>
      <w:r w:rsidRPr="000974C5">
        <w:t>Job ChalleNGe</w:t>
      </w:r>
      <w:r w:rsidR="00760FA2">
        <w:t>,</w:t>
      </w:r>
      <w:r w:rsidR="00EA4764">
        <w:t xml:space="preserve"> and </w:t>
      </w:r>
      <w:r w:rsidR="00C908B6">
        <w:t xml:space="preserve">(3) </w:t>
      </w:r>
      <w:r w:rsidR="00EA4764">
        <w:t xml:space="preserve">are </w:t>
      </w:r>
      <w:r w:rsidR="00EA4764" w:rsidRPr="00EA4764">
        <w:t xml:space="preserve">in cohorts </w:t>
      </w:r>
      <w:r w:rsidR="00760FA2">
        <w:t>4</w:t>
      </w:r>
      <w:r w:rsidR="000D3DAF">
        <w:t xml:space="preserve">, 5, and </w:t>
      </w:r>
      <w:r w:rsidR="00760FA2">
        <w:t xml:space="preserve">6 </w:t>
      </w:r>
      <w:r w:rsidR="00EA4764" w:rsidRPr="00EA4764">
        <w:t>of grant enrollment</w:t>
      </w:r>
      <w:r w:rsidRPr="000974C5">
        <w:t>.</w:t>
      </w:r>
      <w:r w:rsidR="00C908B6">
        <w:rPr>
          <w:rStyle w:val="FootnoteReference"/>
        </w:rPr>
        <w:footnoteReference w:id="2"/>
      </w:r>
      <w:r>
        <w:t xml:space="preserve"> </w:t>
      </w:r>
      <w:r w:rsidRPr="000974C5">
        <w:t>Job ChalleNGe enroll</w:t>
      </w:r>
      <w:r w:rsidR="00CA1962">
        <w:t>s</w:t>
      </w:r>
      <w:r w:rsidRPr="000974C5">
        <w:t xml:space="preserve"> youth in cohorts</w:t>
      </w:r>
      <w:r w:rsidR="00CA1962">
        <w:t xml:space="preserve"> shortly after they complete the Youth ChalleNGe program, which also works on a cohort-based model.</w:t>
      </w:r>
      <w:r w:rsidR="008A0F1B">
        <w:t xml:space="preserve"> </w:t>
      </w:r>
    </w:p>
    <w:p w14:paraId="7F8EE5A6" w14:textId="6EB19F36" w:rsidR="00EA4764" w:rsidRDefault="000A267A" w:rsidP="00DF5DC5">
      <w:pPr>
        <w:pStyle w:val="NormalSS"/>
      </w:pPr>
      <w:r>
        <w:t xml:space="preserve">Based on OMB clearance provided for the evaluation’s baseline data collection (OMB control number </w:t>
      </w:r>
      <w:r w:rsidRPr="00BE6B2C">
        <w:rPr>
          <w:color w:val="000000" w:themeColor="text1"/>
        </w:rPr>
        <w:t>1291-0008)</w:t>
      </w:r>
      <w:r>
        <w:rPr>
          <w:color w:val="000000" w:themeColor="text1"/>
        </w:rPr>
        <w:t xml:space="preserve">, </w:t>
      </w:r>
      <w:r w:rsidR="00912213">
        <w:rPr>
          <w:color w:val="000000" w:themeColor="text1"/>
        </w:rPr>
        <w:t xml:space="preserve">most </w:t>
      </w:r>
      <w:r w:rsidR="004E606A">
        <w:rPr>
          <w:color w:val="000000" w:themeColor="text1"/>
        </w:rPr>
        <w:t>Job ChalleNGe participants</w:t>
      </w:r>
      <w:r>
        <w:rPr>
          <w:color w:val="000000" w:themeColor="text1"/>
        </w:rPr>
        <w:t xml:space="preserve"> to be included in the follow-up data collection efforts will have already provided consent </w:t>
      </w:r>
      <w:r w:rsidR="004E606A">
        <w:rPr>
          <w:color w:val="000000" w:themeColor="text1"/>
        </w:rPr>
        <w:t xml:space="preserve">to </w:t>
      </w:r>
      <w:r w:rsidR="00912213">
        <w:rPr>
          <w:color w:val="000000" w:themeColor="text1"/>
        </w:rPr>
        <w:t>participate in the</w:t>
      </w:r>
      <w:r>
        <w:rPr>
          <w:color w:val="000000" w:themeColor="text1"/>
        </w:rPr>
        <w:t xml:space="preserve"> evaluation.</w:t>
      </w:r>
      <w:r w:rsidR="001E3DD1">
        <w:rPr>
          <w:color w:val="000000" w:themeColor="text1"/>
        </w:rPr>
        <w:t xml:space="preserve"> </w:t>
      </w:r>
      <w:r w:rsidR="00D1794B">
        <w:t xml:space="preserve">During </w:t>
      </w:r>
      <w:r w:rsidR="005428E4">
        <w:t xml:space="preserve">enrollment of </w:t>
      </w:r>
      <w:r w:rsidR="00DF5DC5" w:rsidRPr="000974C5">
        <w:t>each cohort</w:t>
      </w:r>
      <w:r w:rsidR="001E3DD1">
        <w:t xml:space="preserve"> of Youth ChalleNGe</w:t>
      </w:r>
      <w:r w:rsidR="00DF5DC5" w:rsidRPr="000974C5">
        <w:t>, the evalu</w:t>
      </w:r>
      <w:r w:rsidR="00DF5DC5">
        <w:t>a</w:t>
      </w:r>
      <w:r w:rsidR="00DF5DC5" w:rsidRPr="000974C5">
        <w:t xml:space="preserve">tion team will </w:t>
      </w:r>
      <w:r w:rsidR="00912213">
        <w:t>request parental</w:t>
      </w:r>
      <w:r w:rsidR="00936174">
        <w:t xml:space="preserve"> consent </w:t>
      </w:r>
      <w:r w:rsidR="00912213">
        <w:t>for the study</w:t>
      </w:r>
      <w:r w:rsidR="00936174">
        <w:t xml:space="preserve"> (as </w:t>
      </w:r>
      <w:r w:rsidR="00917A5E">
        <w:t>described</w:t>
      </w:r>
      <w:r w:rsidR="00936174">
        <w:t xml:space="preserve"> in the</w:t>
      </w:r>
      <w:r w:rsidR="00C908B6">
        <w:t xml:space="preserve"> </w:t>
      </w:r>
      <w:r w:rsidR="00862CC0">
        <w:t>evaluation’s</w:t>
      </w:r>
      <w:r w:rsidR="00936174">
        <w:t xml:space="preserve"> original OMB package)</w:t>
      </w:r>
      <w:r w:rsidR="00DF5DC5" w:rsidRPr="000974C5">
        <w:t>.</w:t>
      </w:r>
      <w:r w:rsidR="00936174">
        <w:t xml:space="preserve"> </w:t>
      </w:r>
      <w:r w:rsidR="006B4BB4">
        <w:t>The evaluation team</w:t>
      </w:r>
      <w:r w:rsidR="00D1794B">
        <w:t xml:space="preserve"> will check the participant list at the start of Job ChalleNGe and confirm that all youth and parents have been given an opportunity to consent to participate in the study</w:t>
      </w:r>
      <w:r w:rsidR="00F50F75">
        <w:t>;</w:t>
      </w:r>
      <w:r w:rsidR="00D1794B">
        <w:t xml:space="preserve"> the consent process </w:t>
      </w:r>
      <w:r w:rsidR="006B4BB4">
        <w:t xml:space="preserve">will be repeated </w:t>
      </w:r>
      <w:r w:rsidR="00D1794B">
        <w:t xml:space="preserve">for any youth and/or parents missed during Youth ChalleNGe. </w:t>
      </w:r>
      <w:r w:rsidR="008E5484" w:rsidRPr="008E5484">
        <w:t xml:space="preserve">It is expected that about 90 percent of youth </w:t>
      </w:r>
      <w:r w:rsidR="001E3DD1">
        <w:t xml:space="preserve">who begin Job ChalleNGe </w:t>
      </w:r>
      <w:r w:rsidR="008E5484" w:rsidRPr="008E5484">
        <w:t xml:space="preserve">will </w:t>
      </w:r>
      <w:r w:rsidR="001E3DD1">
        <w:t xml:space="preserve">have </w:t>
      </w:r>
      <w:r w:rsidR="008E5484" w:rsidRPr="008E5484">
        <w:t>consent</w:t>
      </w:r>
      <w:r w:rsidR="001E3DD1">
        <w:t>ed</w:t>
      </w:r>
      <w:r w:rsidR="008E5484" w:rsidRPr="008E5484">
        <w:t xml:space="preserve"> to participate in the study (Table B.1). </w:t>
      </w:r>
    </w:p>
    <w:p w14:paraId="0BE83AB4" w14:textId="3C108A64" w:rsidR="00EA4764" w:rsidRDefault="00917A5E" w:rsidP="00DF5DC5">
      <w:pPr>
        <w:pStyle w:val="NormalSS"/>
      </w:pPr>
      <w:r>
        <w:t xml:space="preserve">The follow-up </w:t>
      </w:r>
      <w:r w:rsidR="00532464">
        <w:t xml:space="preserve">data collection activities </w:t>
      </w:r>
      <w:r>
        <w:t xml:space="preserve">will be administered to consenting youth in cohorts 4, 5, and 6. </w:t>
      </w:r>
      <w:r w:rsidR="00E07FAD">
        <w:t>These</w:t>
      </w:r>
      <w:r w:rsidR="00EA4764" w:rsidRPr="00EA4764">
        <w:t xml:space="preserve"> cohorts of grant enrollment for the Job ChalleNGe program </w:t>
      </w:r>
      <w:r w:rsidR="00D838DC">
        <w:t>are expected to start around July 2017, January 2018, and July 2018, respectively</w:t>
      </w:r>
      <w:r w:rsidR="00EA4764" w:rsidRPr="00EA4764">
        <w:t>.</w:t>
      </w:r>
      <w:r w:rsidR="00876222">
        <w:t xml:space="preserve"> Including cohorts 4</w:t>
      </w:r>
      <w:r w:rsidR="00E07FAD">
        <w:t xml:space="preserve">, 5, and </w:t>
      </w:r>
      <w:r w:rsidR="00876222">
        <w:t>6 allows the evaluation team to collect both text and follow-up survey data for a consistent sample of J</w:t>
      </w:r>
      <w:r w:rsidR="005C580A">
        <w:t xml:space="preserve">ob </w:t>
      </w:r>
      <w:r w:rsidR="00876222">
        <w:t>C</w:t>
      </w:r>
      <w:r w:rsidR="005C580A">
        <w:t>halleNGe</w:t>
      </w:r>
      <w:r w:rsidR="00876222">
        <w:t xml:space="preserve"> participants.</w:t>
      </w:r>
    </w:p>
    <w:p w14:paraId="5BBCA696" w14:textId="78850F34" w:rsidR="00DF5DC5" w:rsidRDefault="00EA4764" w:rsidP="00DF5DC5">
      <w:pPr>
        <w:pStyle w:val="NormalSS"/>
      </w:pPr>
      <w:r w:rsidRPr="00EA4764">
        <w:t>Of the youth who consent</w:t>
      </w:r>
      <w:r w:rsidR="00D838DC">
        <w:t xml:space="preserve"> to </w:t>
      </w:r>
      <w:r w:rsidR="005C580A">
        <w:t xml:space="preserve">participate </w:t>
      </w:r>
      <w:r w:rsidR="00D838DC">
        <w:t>in the study</w:t>
      </w:r>
      <w:r w:rsidRPr="00EA4764">
        <w:t xml:space="preserve">, </w:t>
      </w:r>
      <w:r w:rsidR="0065592C">
        <w:t>the evaluation team</w:t>
      </w:r>
      <w:r w:rsidR="0065592C" w:rsidRPr="00EA4764">
        <w:t xml:space="preserve"> </w:t>
      </w:r>
      <w:r w:rsidRPr="00EA4764">
        <w:t>expect</w:t>
      </w:r>
      <w:r w:rsidR="0065592C">
        <w:t>s</w:t>
      </w:r>
      <w:r w:rsidRPr="00EA4764">
        <w:t xml:space="preserve"> to achieve an 85 percent response rate on the two data collection efforts for which OMB approval is requested in this package: the </w:t>
      </w:r>
      <w:r w:rsidR="00D04307">
        <w:t xml:space="preserve">monthly </w:t>
      </w:r>
      <w:r w:rsidR="00B7082F">
        <w:t>text message survey</w:t>
      </w:r>
      <w:r w:rsidRPr="00EA4764">
        <w:t xml:space="preserve"> and the follow up</w:t>
      </w:r>
      <w:r w:rsidR="00D838DC">
        <w:t>-</w:t>
      </w:r>
      <w:r w:rsidRPr="00EA4764">
        <w:t xml:space="preserve">survey. </w:t>
      </w:r>
      <w:r w:rsidR="00917A5E">
        <w:t xml:space="preserve">The </w:t>
      </w:r>
      <w:r w:rsidR="00D04307">
        <w:t xml:space="preserve">monthly </w:t>
      </w:r>
      <w:r w:rsidR="00917A5E">
        <w:t xml:space="preserve">text </w:t>
      </w:r>
      <w:r w:rsidR="00B7082F">
        <w:t xml:space="preserve">message </w:t>
      </w:r>
      <w:r w:rsidR="00917A5E">
        <w:t>survey will be administered to consenting youth in cohorts 4, 5, and 6</w:t>
      </w:r>
      <w:r w:rsidR="008E5484">
        <w:t xml:space="preserve"> each month for </w:t>
      </w:r>
      <w:r w:rsidR="006B4BB4">
        <w:t>eight</w:t>
      </w:r>
      <w:r w:rsidR="008E5484">
        <w:t xml:space="preserve"> months</w:t>
      </w:r>
      <w:r w:rsidR="00917A5E">
        <w:t xml:space="preserve">. </w:t>
      </w:r>
      <w:r w:rsidR="008E5484">
        <w:t>For these three cohorts, a</w:t>
      </w:r>
      <w:r w:rsidR="00D838DC">
        <w:t>bout</w:t>
      </w:r>
      <w:r w:rsidR="008E5484">
        <w:t xml:space="preserve"> </w:t>
      </w:r>
      <w:r w:rsidR="004C25FF">
        <w:t xml:space="preserve">351 </w:t>
      </w:r>
      <w:r w:rsidR="008E5484">
        <w:t xml:space="preserve">youth </w:t>
      </w:r>
      <w:r w:rsidR="0065592C">
        <w:t xml:space="preserve">are expected </w:t>
      </w:r>
      <w:r w:rsidR="008E5484">
        <w:t xml:space="preserve">to complete </w:t>
      </w:r>
      <w:r w:rsidR="00D838DC">
        <w:t xml:space="preserve">each </w:t>
      </w:r>
      <w:r w:rsidR="00787703">
        <w:t xml:space="preserve">round </w:t>
      </w:r>
      <w:r w:rsidR="00D838DC">
        <w:t xml:space="preserve">of </w:t>
      </w:r>
      <w:r w:rsidR="008E5484">
        <w:t xml:space="preserve">the monthly text </w:t>
      </w:r>
      <w:r w:rsidR="00D04307">
        <w:t xml:space="preserve">message </w:t>
      </w:r>
      <w:r w:rsidR="008E5484">
        <w:t>survey</w:t>
      </w:r>
      <w:r w:rsidR="00F50F75">
        <w:t>;</w:t>
      </w:r>
      <w:r w:rsidR="00D838DC">
        <w:t xml:space="preserve"> </w:t>
      </w:r>
      <w:r w:rsidR="00D838DC" w:rsidRPr="00D838DC">
        <w:t xml:space="preserve">the expected sample </w:t>
      </w:r>
      <w:r w:rsidR="00787703">
        <w:t xml:space="preserve">for each round </w:t>
      </w:r>
      <w:r w:rsidR="00D838DC" w:rsidRPr="00D838DC">
        <w:t xml:space="preserve">would </w:t>
      </w:r>
      <w:r w:rsidR="00E07FAD">
        <w:t>include</w:t>
      </w:r>
      <w:r w:rsidR="00D838DC" w:rsidRPr="00D838DC">
        <w:t xml:space="preserve"> </w:t>
      </w:r>
      <w:r w:rsidR="00365068">
        <w:t>174</w:t>
      </w:r>
      <w:r w:rsidR="00365068" w:rsidRPr="00D838DC">
        <w:t xml:space="preserve"> </w:t>
      </w:r>
      <w:r w:rsidR="00D838DC" w:rsidRPr="00D838DC">
        <w:t xml:space="preserve">court-involved youth and </w:t>
      </w:r>
      <w:r w:rsidR="003E4EC1">
        <w:t xml:space="preserve">177 </w:t>
      </w:r>
      <w:r w:rsidR="00D838DC" w:rsidRPr="00D838DC">
        <w:t>non-court-involved youth.</w:t>
      </w:r>
      <w:r w:rsidR="00D838DC">
        <w:t xml:space="preserve"> Because the monthly text message survey will be administered in </w:t>
      </w:r>
      <w:r w:rsidR="00760FA2">
        <w:t>eight</w:t>
      </w:r>
      <w:r w:rsidR="00D838DC">
        <w:t xml:space="preserve"> rounds, </w:t>
      </w:r>
      <w:r w:rsidR="000D3DAF">
        <w:t>the evaluation team</w:t>
      </w:r>
      <w:r w:rsidR="00D838DC">
        <w:t xml:space="preserve"> expect</w:t>
      </w:r>
      <w:r w:rsidR="000D3DAF">
        <w:t>s</w:t>
      </w:r>
      <w:r w:rsidR="00D838DC">
        <w:t xml:space="preserve"> about </w:t>
      </w:r>
      <w:r w:rsidR="004C25FF">
        <w:t>2</w:t>
      </w:r>
      <w:r w:rsidR="00D838DC" w:rsidRPr="00D838DC">
        <w:t>,</w:t>
      </w:r>
      <w:r w:rsidR="004C25FF">
        <w:t>808</w:t>
      </w:r>
      <w:r w:rsidR="004C25FF" w:rsidRPr="00D838DC">
        <w:t xml:space="preserve"> </w:t>
      </w:r>
      <w:r w:rsidR="00D838DC" w:rsidRPr="00D838DC">
        <w:t xml:space="preserve">survey responses over </w:t>
      </w:r>
      <w:r w:rsidR="00D838DC">
        <w:t xml:space="preserve">the </w:t>
      </w:r>
      <w:r w:rsidR="00760FA2">
        <w:t>eight</w:t>
      </w:r>
      <w:r w:rsidR="00D838DC">
        <w:t>-</w:t>
      </w:r>
      <w:r w:rsidR="00D838DC" w:rsidRPr="00D838DC">
        <w:t>month</w:t>
      </w:r>
      <w:r w:rsidR="00D838DC">
        <w:t xml:space="preserve"> period</w:t>
      </w:r>
      <w:r w:rsidR="00D838DC" w:rsidRPr="00D838DC">
        <w:t xml:space="preserve">. </w:t>
      </w:r>
      <w:r w:rsidR="00787703">
        <w:t xml:space="preserve">In a similar way, </w:t>
      </w:r>
      <w:r w:rsidR="00D838DC" w:rsidRPr="00D838DC">
        <w:t xml:space="preserve">a total of </w:t>
      </w:r>
      <w:r w:rsidR="007256CD" w:rsidRPr="00D838DC">
        <w:t>41</w:t>
      </w:r>
      <w:r w:rsidR="007256CD">
        <w:t>4</w:t>
      </w:r>
      <w:r w:rsidR="007256CD" w:rsidRPr="00D838DC">
        <w:t xml:space="preserve"> </w:t>
      </w:r>
      <w:r w:rsidR="00D838DC" w:rsidRPr="00D838DC">
        <w:t>youth</w:t>
      </w:r>
      <w:r w:rsidR="000D3DAF">
        <w:t>—207</w:t>
      </w:r>
      <w:r w:rsidR="000D3DAF" w:rsidRPr="000974C5">
        <w:t xml:space="preserve"> court-involved youth and </w:t>
      </w:r>
      <w:r w:rsidR="000D3DAF">
        <w:t>207</w:t>
      </w:r>
      <w:r w:rsidR="000D3DAF" w:rsidRPr="000974C5">
        <w:t xml:space="preserve"> non-court-involved youth</w:t>
      </w:r>
      <w:r w:rsidR="000D3DAF">
        <w:t>—</w:t>
      </w:r>
      <w:r w:rsidR="00D838DC" w:rsidRPr="00D838DC">
        <w:t>are expected to complete the follow-up survey</w:t>
      </w:r>
      <w:r w:rsidR="00787703">
        <w:t>, which will be administered only</w:t>
      </w:r>
      <w:r w:rsidR="00941EF8">
        <w:t xml:space="preserve"> once</w:t>
      </w:r>
      <w:r w:rsidR="00DF5DC5" w:rsidRPr="000974C5">
        <w:t>.</w:t>
      </w:r>
      <w:r w:rsidR="002D7013">
        <w:t xml:space="preserve"> </w:t>
      </w:r>
    </w:p>
    <w:p w14:paraId="029F55C0" w14:textId="2CA2505C" w:rsidR="001D4763" w:rsidRPr="00D77D3E" w:rsidRDefault="00D77D3E" w:rsidP="00C930D1">
      <w:pPr>
        <w:pStyle w:val="MarkforTableTitle"/>
        <w:rPr>
          <w:sz w:val="18"/>
          <w:szCs w:val="18"/>
        </w:rPr>
      </w:pPr>
      <w:r w:rsidRPr="00C930D1">
        <w:rPr>
          <w:sz w:val="18"/>
          <w:szCs w:val="18"/>
        </w:rPr>
        <w:t xml:space="preserve">Table B.1. Estimated sample sizes </w:t>
      </w:r>
    </w:p>
    <w:tbl>
      <w:tblPr>
        <w:tblW w:w="9137" w:type="dxa"/>
        <w:tblLook w:val="04A0" w:firstRow="1" w:lastRow="0" w:firstColumn="1" w:lastColumn="0" w:noHBand="0" w:noVBand="1"/>
      </w:tblPr>
      <w:tblGrid>
        <w:gridCol w:w="2797"/>
        <w:gridCol w:w="1476"/>
        <w:gridCol w:w="1266"/>
        <w:gridCol w:w="1799"/>
        <w:gridCol w:w="1799"/>
      </w:tblGrid>
      <w:tr w:rsidR="00D77D3E" w:rsidRPr="006E1A32" w14:paraId="055A8E3B" w14:textId="77777777" w:rsidTr="006E1A32">
        <w:trPr>
          <w:trHeight w:val="20"/>
        </w:trPr>
        <w:tc>
          <w:tcPr>
            <w:tcW w:w="2797" w:type="dxa"/>
            <w:tcBorders>
              <w:top w:val="single" w:sz="8" w:space="0" w:color="auto"/>
              <w:left w:val="nil"/>
              <w:bottom w:val="single" w:sz="8" w:space="0" w:color="000000"/>
              <w:right w:val="nil"/>
            </w:tcBorders>
            <w:shd w:val="clear" w:color="auto" w:fill="1F497D" w:themeFill="text2"/>
            <w:vAlign w:val="center"/>
            <w:hideMark/>
          </w:tcPr>
          <w:p w14:paraId="7A191ED4" w14:textId="77777777" w:rsidR="00D77D3E" w:rsidRPr="006E1A32" w:rsidRDefault="00D77D3E" w:rsidP="006E1A32">
            <w:pPr>
              <w:pStyle w:val="TableHeaderLeft"/>
            </w:pPr>
            <w:r w:rsidRPr="006E1A32">
              <w:t>Cohort</w:t>
            </w:r>
          </w:p>
        </w:tc>
        <w:tc>
          <w:tcPr>
            <w:tcW w:w="1476" w:type="dxa"/>
            <w:tcBorders>
              <w:top w:val="single" w:sz="8" w:space="0" w:color="auto"/>
              <w:left w:val="nil"/>
              <w:bottom w:val="single" w:sz="8" w:space="0" w:color="000000"/>
              <w:right w:val="nil"/>
            </w:tcBorders>
            <w:shd w:val="clear" w:color="auto" w:fill="1F497D" w:themeFill="text2"/>
            <w:vAlign w:val="center"/>
            <w:hideMark/>
          </w:tcPr>
          <w:p w14:paraId="30C09950" w14:textId="31DAB136" w:rsidR="00D77D3E" w:rsidRPr="006E1A32" w:rsidRDefault="00C2768A" w:rsidP="006E1A32">
            <w:pPr>
              <w:pStyle w:val="TableHeaderCenter"/>
            </w:pPr>
            <w:r w:rsidRPr="006E1A32">
              <w:t xml:space="preserve">Expected </w:t>
            </w:r>
            <w:r w:rsidR="00941EF8">
              <w:t>t</w:t>
            </w:r>
            <w:r w:rsidR="00D77D3E" w:rsidRPr="006E1A32">
              <w:t xml:space="preserve">otal </w:t>
            </w:r>
            <w:r w:rsidR="00941EF8">
              <w:t>e</w:t>
            </w:r>
            <w:r w:rsidRPr="006E1A32">
              <w:t>nrollment</w:t>
            </w:r>
          </w:p>
        </w:tc>
        <w:tc>
          <w:tcPr>
            <w:tcW w:w="1266" w:type="dxa"/>
            <w:tcBorders>
              <w:top w:val="single" w:sz="8" w:space="0" w:color="auto"/>
              <w:left w:val="nil"/>
              <w:bottom w:val="single" w:sz="8" w:space="0" w:color="000000"/>
              <w:right w:val="nil"/>
            </w:tcBorders>
            <w:shd w:val="clear" w:color="auto" w:fill="1F497D" w:themeFill="text2"/>
            <w:vAlign w:val="center"/>
            <w:hideMark/>
          </w:tcPr>
          <w:p w14:paraId="67C653EC" w14:textId="056E7859" w:rsidR="00D77D3E" w:rsidRPr="006E1A32" w:rsidRDefault="00D77D3E" w:rsidP="006E1A32">
            <w:pPr>
              <w:pStyle w:val="TableHeaderCenter"/>
            </w:pPr>
            <w:r w:rsidRPr="006E1A32">
              <w:t>Consent </w:t>
            </w:r>
            <w:r w:rsidR="00B33E02" w:rsidRPr="006E1A32">
              <w:t>to the evaluation</w:t>
            </w:r>
          </w:p>
        </w:tc>
        <w:tc>
          <w:tcPr>
            <w:tcW w:w="1799" w:type="dxa"/>
            <w:tcBorders>
              <w:top w:val="single" w:sz="8" w:space="0" w:color="auto"/>
              <w:left w:val="nil"/>
              <w:bottom w:val="single" w:sz="8" w:space="0" w:color="000000"/>
              <w:right w:val="nil"/>
            </w:tcBorders>
            <w:shd w:val="clear" w:color="auto" w:fill="1F497D" w:themeFill="text2"/>
            <w:vAlign w:val="center"/>
            <w:hideMark/>
          </w:tcPr>
          <w:p w14:paraId="3E8E77F9" w14:textId="263BDAF0" w:rsidR="00D77D3E" w:rsidRPr="006E1A32" w:rsidRDefault="00D77D3E" w:rsidP="006E1A32">
            <w:pPr>
              <w:pStyle w:val="TableHeaderCenter"/>
            </w:pPr>
            <w:r w:rsidRPr="006E1A32">
              <w:t>C</w:t>
            </w:r>
            <w:r w:rsidR="00B33E02" w:rsidRPr="006E1A32">
              <w:t xml:space="preserve">onsent to </w:t>
            </w:r>
            <w:r w:rsidR="005428E4" w:rsidRPr="006E1A32">
              <w:t xml:space="preserve">receive study </w:t>
            </w:r>
            <w:r w:rsidR="00B33E02" w:rsidRPr="006E1A32">
              <w:t>text</w:t>
            </w:r>
            <w:r w:rsidR="005428E4" w:rsidRPr="006E1A32">
              <w:t>s</w:t>
            </w:r>
            <w:r w:rsidR="00B33E02" w:rsidRPr="006E1A32">
              <w:t xml:space="preserve"> and</w:t>
            </w:r>
            <w:r w:rsidR="005428E4" w:rsidRPr="006E1A32">
              <w:t xml:space="preserve"> </w:t>
            </w:r>
            <w:r w:rsidR="00B33E02" w:rsidRPr="006E1A32">
              <w:t>c</w:t>
            </w:r>
            <w:r w:rsidRPr="006E1A32">
              <w:t xml:space="preserve">omplete </w:t>
            </w:r>
            <w:r w:rsidR="00D04307">
              <w:t xml:space="preserve">monthly </w:t>
            </w:r>
            <w:r w:rsidRPr="006E1A32">
              <w:t>text message survey each month</w:t>
            </w:r>
            <w:r w:rsidR="00402442" w:rsidRPr="00365068">
              <w:rPr>
                <w:vertAlign w:val="superscript"/>
              </w:rPr>
              <w:t xml:space="preserve"> </w:t>
            </w:r>
            <w:r w:rsidRPr="006E1A32">
              <w:rPr>
                <w:vertAlign w:val="superscript"/>
              </w:rPr>
              <w:t>a</w:t>
            </w:r>
          </w:p>
        </w:tc>
        <w:tc>
          <w:tcPr>
            <w:tcW w:w="1799" w:type="dxa"/>
            <w:tcBorders>
              <w:top w:val="single" w:sz="8" w:space="0" w:color="auto"/>
              <w:left w:val="nil"/>
              <w:bottom w:val="single" w:sz="8" w:space="0" w:color="000000"/>
              <w:right w:val="nil"/>
            </w:tcBorders>
            <w:shd w:val="clear" w:color="auto" w:fill="1F497D" w:themeFill="text2"/>
            <w:vAlign w:val="center"/>
            <w:hideMark/>
          </w:tcPr>
          <w:p w14:paraId="7A9D733B" w14:textId="2EF16684" w:rsidR="00D77D3E" w:rsidRPr="006E1A32" w:rsidRDefault="00D77D3E" w:rsidP="006E1A32">
            <w:pPr>
              <w:pStyle w:val="TableHeaderCenter"/>
            </w:pPr>
            <w:r w:rsidRPr="006E1A32">
              <w:t>Complete follow-up survey</w:t>
            </w:r>
          </w:p>
        </w:tc>
      </w:tr>
      <w:tr w:rsidR="00D77D3E" w:rsidRPr="006E1A32" w14:paraId="5D1834BE" w14:textId="77777777" w:rsidTr="00B33E02">
        <w:trPr>
          <w:trHeight w:val="20"/>
        </w:trPr>
        <w:tc>
          <w:tcPr>
            <w:tcW w:w="2797" w:type="dxa"/>
            <w:tcBorders>
              <w:top w:val="single" w:sz="8" w:space="0" w:color="auto"/>
              <w:left w:val="nil"/>
              <w:bottom w:val="single" w:sz="8" w:space="0" w:color="000000"/>
              <w:right w:val="nil"/>
            </w:tcBorders>
            <w:shd w:val="clear" w:color="000000" w:fill="A6A6A6"/>
            <w:vAlign w:val="center"/>
            <w:hideMark/>
          </w:tcPr>
          <w:p w14:paraId="7E0F2135" w14:textId="77777777" w:rsidR="00D77D3E" w:rsidRPr="006E1A32" w:rsidRDefault="00D77D3E" w:rsidP="008450C0">
            <w:pPr>
              <w:rPr>
                <w:rFonts w:ascii="Arial" w:hAnsi="Arial" w:cs="Arial"/>
                <w:b/>
                <w:bCs/>
                <w:color w:val="FFFFFF"/>
                <w:sz w:val="18"/>
                <w:szCs w:val="18"/>
              </w:rPr>
            </w:pPr>
            <w:r w:rsidRPr="006E1A32">
              <w:rPr>
                <w:rFonts w:ascii="Arial" w:hAnsi="Arial" w:cs="Arial"/>
                <w:b/>
                <w:bCs/>
                <w:color w:val="FFFFFF"/>
                <w:sz w:val="18"/>
                <w:szCs w:val="18"/>
              </w:rPr>
              <w:t>Cohort 4</w:t>
            </w:r>
          </w:p>
        </w:tc>
        <w:tc>
          <w:tcPr>
            <w:tcW w:w="1476" w:type="dxa"/>
            <w:tcBorders>
              <w:top w:val="single" w:sz="8" w:space="0" w:color="auto"/>
              <w:left w:val="nil"/>
              <w:bottom w:val="single" w:sz="8" w:space="0" w:color="000000"/>
              <w:right w:val="nil"/>
            </w:tcBorders>
            <w:shd w:val="clear" w:color="000000" w:fill="A6A6A6"/>
            <w:vAlign w:val="center"/>
            <w:hideMark/>
          </w:tcPr>
          <w:p w14:paraId="2579DBCD" w14:textId="77777777" w:rsidR="00D77D3E" w:rsidRPr="006E1A32" w:rsidRDefault="00D77D3E" w:rsidP="008450C0">
            <w:pPr>
              <w:rPr>
                <w:rFonts w:ascii="Arial" w:hAnsi="Arial" w:cs="Arial"/>
                <w:b/>
                <w:bCs/>
                <w:color w:val="FFFFFF"/>
                <w:sz w:val="18"/>
                <w:szCs w:val="18"/>
              </w:rPr>
            </w:pPr>
            <w:r w:rsidRPr="006E1A32">
              <w:rPr>
                <w:rFonts w:ascii="Arial" w:hAnsi="Arial" w:cs="Arial"/>
                <w:b/>
                <w:bCs/>
                <w:color w:val="FFFFFF"/>
                <w:sz w:val="18"/>
                <w:szCs w:val="18"/>
              </w:rPr>
              <w:t> </w:t>
            </w:r>
          </w:p>
        </w:tc>
        <w:tc>
          <w:tcPr>
            <w:tcW w:w="1266" w:type="dxa"/>
            <w:tcBorders>
              <w:top w:val="single" w:sz="8" w:space="0" w:color="auto"/>
              <w:left w:val="nil"/>
              <w:bottom w:val="single" w:sz="8" w:space="0" w:color="000000"/>
              <w:right w:val="nil"/>
            </w:tcBorders>
            <w:shd w:val="clear" w:color="000000" w:fill="A6A6A6"/>
            <w:vAlign w:val="center"/>
            <w:hideMark/>
          </w:tcPr>
          <w:p w14:paraId="4EF21087" w14:textId="77777777" w:rsidR="00D77D3E" w:rsidRPr="006E1A32" w:rsidRDefault="00D77D3E" w:rsidP="008450C0">
            <w:pPr>
              <w:rPr>
                <w:rFonts w:ascii="Arial" w:hAnsi="Arial" w:cs="Arial"/>
                <w:b/>
                <w:bCs/>
                <w:color w:val="FFFFFF"/>
                <w:sz w:val="18"/>
                <w:szCs w:val="18"/>
              </w:rPr>
            </w:pPr>
            <w:r w:rsidRPr="006E1A32">
              <w:rPr>
                <w:rFonts w:ascii="Arial" w:hAnsi="Arial" w:cs="Arial"/>
                <w:b/>
                <w:bCs/>
                <w:color w:val="FFFFFF"/>
                <w:sz w:val="18"/>
                <w:szCs w:val="18"/>
              </w:rPr>
              <w:t> </w:t>
            </w:r>
          </w:p>
        </w:tc>
        <w:tc>
          <w:tcPr>
            <w:tcW w:w="1799" w:type="dxa"/>
            <w:tcBorders>
              <w:top w:val="single" w:sz="8" w:space="0" w:color="auto"/>
              <w:left w:val="nil"/>
              <w:bottom w:val="single" w:sz="8" w:space="0" w:color="000000"/>
              <w:right w:val="nil"/>
            </w:tcBorders>
            <w:shd w:val="clear" w:color="000000" w:fill="A6A6A6"/>
            <w:vAlign w:val="center"/>
            <w:hideMark/>
          </w:tcPr>
          <w:p w14:paraId="3770E8B4" w14:textId="77777777" w:rsidR="00D77D3E" w:rsidRPr="006E1A32" w:rsidRDefault="00D77D3E" w:rsidP="008450C0">
            <w:pPr>
              <w:rPr>
                <w:rFonts w:ascii="Arial" w:hAnsi="Arial" w:cs="Arial"/>
                <w:b/>
                <w:bCs/>
                <w:color w:val="FFFFFF"/>
                <w:sz w:val="18"/>
                <w:szCs w:val="18"/>
              </w:rPr>
            </w:pPr>
            <w:r w:rsidRPr="006E1A32">
              <w:rPr>
                <w:rFonts w:ascii="Arial" w:hAnsi="Arial" w:cs="Arial"/>
                <w:b/>
                <w:bCs/>
                <w:color w:val="FFFFFF"/>
                <w:sz w:val="18"/>
                <w:szCs w:val="18"/>
              </w:rPr>
              <w:t> </w:t>
            </w:r>
          </w:p>
        </w:tc>
        <w:tc>
          <w:tcPr>
            <w:tcW w:w="1799" w:type="dxa"/>
            <w:tcBorders>
              <w:top w:val="single" w:sz="8" w:space="0" w:color="auto"/>
              <w:left w:val="nil"/>
              <w:bottom w:val="single" w:sz="8" w:space="0" w:color="000000"/>
              <w:right w:val="nil"/>
            </w:tcBorders>
            <w:shd w:val="clear" w:color="000000" w:fill="A6A6A6"/>
            <w:vAlign w:val="center"/>
            <w:hideMark/>
          </w:tcPr>
          <w:p w14:paraId="019C1D2F" w14:textId="77777777" w:rsidR="00D77D3E" w:rsidRPr="006E1A32" w:rsidRDefault="00D77D3E" w:rsidP="008450C0">
            <w:pPr>
              <w:rPr>
                <w:rFonts w:ascii="Arial" w:hAnsi="Arial" w:cs="Arial"/>
                <w:b/>
                <w:bCs/>
                <w:color w:val="FFFFFF"/>
                <w:sz w:val="18"/>
                <w:szCs w:val="18"/>
              </w:rPr>
            </w:pPr>
            <w:r w:rsidRPr="006E1A32">
              <w:rPr>
                <w:rFonts w:ascii="Arial" w:hAnsi="Arial" w:cs="Arial"/>
                <w:b/>
                <w:bCs/>
                <w:color w:val="FFFFFF"/>
                <w:sz w:val="18"/>
                <w:szCs w:val="18"/>
              </w:rPr>
              <w:t> </w:t>
            </w:r>
          </w:p>
        </w:tc>
      </w:tr>
      <w:tr w:rsidR="00D77D3E" w:rsidRPr="006E1A32" w14:paraId="4E60C593" w14:textId="77777777" w:rsidTr="00B33E02">
        <w:trPr>
          <w:trHeight w:val="20"/>
        </w:trPr>
        <w:tc>
          <w:tcPr>
            <w:tcW w:w="2797" w:type="dxa"/>
            <w:tcBorders>
              <w:top w:val="nil"/>
              <w:left w:val="nil"/>
              <w:bottom w:val="nil"/>
              <w:right w:val="nil"/>
            </w:tcBorders>
            <w:shd w:val="clear" w:color="auto" w:fill="auto"/>
            <w:vAlign w:val="center"/>
            <w:hideMark/>
          </w:tcPr>
          <w:p w14:paraId="04AC3E5C" w14:textId="7DF69903" w:rsidR="00D77D3E" w:rsidRPr="0096095C" w:rsidRDefault="00D77D3E" w:rsidP="0096095C">
            <w:pPr>
              <w:jc w:val="both"/>
              <w:rPr>
                <w:rFonts w:ascii="Arial" w:hAnsi="Arial" w:cs="Arial"/>
                <w:b/>
                <w:color w:val="000000"/>
                <w:sz w:val="18"/>
                <w:szCs w:val="18"/>
              </w:rPr>
            </w:pPr>
            <w:r w:rsidRPr="0096095C">
              <w:rPr>
                <w:rFonts w:ascii="Arial" w:hAnsi="Arial" w:cs="Arial"/>
                <w:b/>
                <w:color w:val="000000"/>
                <w:sz w:val="18"/>
                <w:szCs w:val="18"/>
              </w:rPr>
              <w:t>Total start</w:t>
            </w:r>
            <w:r w:rsidR="00C2768A" w:rsidRPr="0096095C">
              <w:rPr>
                <w:rFonts w:ascii="Arial" w:hAnsi="Arial" w:cs="Arial"/>
                <w:b/>
                <w:color w:val="000000"/>
                <w:sz w:val="18"/>
                <w:szCs w:val="18"/>
              </w:rPr>
              <w:t>ing</w:t>
            </w:r>
            <w:r w:rsidRPr="0096095C">
              <w:rPr>
                <w:rFonts w:ascii="Arial" w:hAnsi="Arial" w:cs="Arial"/>
                <w:b/>
                <w:color w:val="000000"/>
                <w:sz w:val="18"/>
                <w:szCs w:val="18"/>
              </w:rPr>
              <w:t xml:space="preserve"> Job ChalleNGe</w:t>
            </w:r>
          </w:p>
        </w:tc>
        <w:tc>
          <w:tcPr>
            <w:tcW w:w="1476" w:type="dxa"/>
            <w:tcBorders>
              <w:top w:val="nil"/>
              <w:left w:val="nil"/>
              <w:bottom w:val="nil"/>
              <w:right w:val="nil"/>
            </w:tcBorders>
            <w:shd w:val="clear" w:color="auto" w:fill="auto"/>
            <w:vAlign w:val="center"/>
            <w:hideMark/>
          </w:tcPr>
          <w:p w14:paraId="5EE10C7D" w14:textId="77777777" w:rsidR="00D77D3E" w:rsidRPr="0096095C" w:rsidRDefault="00D77D3E" w:rsidP="0096095C">
            <w:pPr>
              <w:jc w:val="center"/>
              <w:rPr>
                <w:rFonts w:ascii="Arial" w:hAnsi="Arial" w:cs="Arial"/>
                <w:b/>
                <w:color w:val="000000"/>
                <w:sz w:val="18"/>
                <w:szCs w:val="18"/>
              </w:rPr>
            </w:pPr>
            <w:r w:rsidRPr="0096095C">
              <w:rPr>
                <w:rFonts w:ascii="Arial" w:hAnsi="Arial" w:cs="Arial"/>
                <w:b/>
                <w:color w:val="000000"/>
                <w:sz w:val="18"/>
                <w:szCs w:val="18"/>
              </w:rPr>
              <w:t>180</w:t>
            </w:r>
          </w:p>
        </w:tc>
        <w:tc>
          <w:tcPr>
            <w:tcW w:w="1266" w:type="dxa"/>
            <w:tcBorders>
              <w:top w:val="nil"/>
              <w:left w:val="nil"/>
              <w:bottom w:val="nil"/>
              <w:right w:val="nil"/>
            </w:tcBorders>
            <w:shd w:val="clear" w:color="auto" w:fill="auto"/>
            <w:vAlign w:val="center"/>
            <w:hideMark/>
          </w:tcPr>
          <w:p w14:paraId="7AA8F2AB" w14:textId="77777777" w:rsidR="00D77D3E" w:rsidRPr="0096095C" w:rsidRDefault="00D77D3E" w:rsidP="0096095C">
            <w:pPr>
              <w:jc w:val="center"/>
              <w:rPr>
                <w:rFonts w:ascii="Arial" w:hAnsi="Arial" w:cs="Arial"/>
                <w:b/>
                <w:color w:val="000000"/>
                <w:sz w:val="18"/>
                <w:szCs w:val="18"/>
              </w:rPr>
            </w:pPr>
            <w:r w:rsidRPr="0096095C">
              <w:rPr>
                <w:rFonts w:ascii="Arial" w:hAnsi="Arial" w:cs="Arial"/>
                <w:b/>
                <w:color w:val="000000"/>
                <w:sz w:val="18"/>
                <w:szCs w:val="18"/>
              </w:rPr>
              <w:t>162</w:t>
            </w:r>
          </w:p>
        </w:tc>
        <w:tc>
          <w:tcPr>
            <w:tcW w:w="1799" w:type="dxa"/>
            <w:tcBorders>
              <w:top w:val="nil"/>
              <w:left w:val="nil"/>
              <w:bottom w:val="nil"/>
              <w:right w:val="nil"/>
            </w:tcBorders>
            <w:shd w:val="clear" w:color="auto" w:fill="auto"/>
            <w:vAlign w:val="center"/>
            <w:hideMark/>
          </w:tcPr>
          <w:p w14:paraId="3E729377" w14:textId="1C854086" w:rsidR="00D77D3E" w:rsidRPr="0096095C" w:rsidRDefault="00B33E02" w:rsidP="0096095C">
            <w:pPr>
              <w:jc w:val="center"/>
              <w:rPr>
                <w:rFonts w:ascii="Arial" w:hAnsi="Arial" w:cs="Arial"/>
                <w:b/>
                <w:color w:val="000000"/>
                <w:sz w:val="18"/>
                <w:szCs w:val="18"/>
              </w:rPr>
            </w:pPr>
            <w:r w:rsidRPr="0096095C">
              <w:rPr>
                <w:rFonts w:ascii="Arial" w:hAnsi="Arial" w:cs="Arial"/>
                <w:b/>
                <w:color w:val="000000"/>
                <w:sz w:val="18"/>
                <w:szCs w:val="18"/>
              </w:rPr>
              <w:t>117</w:t>
            </w:r>
          </w:p>
        </w:tc>
        <w:tc>
          <w:tcPr>
            <w:tcW w:w="1799" w:type="dxa"/>
            <w:tcBorders>
              <w:top w:val="nil"/>
              <w:left w:val="nil"/>
              <w:bottom w:val="nil"/>
              <w:right w:val="nil"/>
            </w:tcBorders>
            <w:shd w:val="clear" w:color="auto" w:fill="auto"/>
            <w:vAlign w:val="center"/>
            <w:hideMark/>
          </w:tcPr>
          <w:p w14:paraId="4C90141F" w14:textId="77777777" w:rsidR="00D77D3E" w:rsidRPr="0096095C" w:rsidRDefault="00D77D3E" w:rsidP="0096095C">
            <w:pPr>
              <w:jc w:val="center"/>
              <w:rPr>
                <w:rFonts w:ascii="Arial" w:hAnsi="Arial" w:cs="Arial"/>
                <w:b/>
                <w:color w:val="000000"/>
                <w:sz w:val="18"/>
                <w:szCs w:val="18"/>
              </w:rPr>
            </w:pPr>
            <w:r w:rsidRPr="0096095C">
              <w:rPr>
                <w:rFonts w:ascii="Arial" w:hAnsi="Arial" w:cs="Arial"/>
                <w:b/>
                <w:color w:val="000000"/>
                <w:sz w:val="18"/>
                <w:szCs w:val="18"/>
              </w:rPr>
              <w:t>138</w:t>
            </w:r>
          </w:p>
        </w:tc>
      </w:tr>
      <w:tr w:rsidR="00D77D3E" w:rsidRPr="006E1A32" w14:paraId="6A929B49" w14:textId="77777777" w:rsidTr="00B33E02">
        <w:trPr>
          <w:trHeight w:val="20"/>
        </w:trPr>
        <w:tc>
          <w:tcPr>
            <w:tcW w:w="2797" w:type="dxa"/>
            <w:tcBorders>
              <w:top w:val="nil"/>
              <w:left w:val="nil"/>
              <w:bottom w:val="nil"/>
              <w:right w:val="nil"/>
            </w:tcBorders>
            <w:shd w:val="clear" w:color="auto" w:fill="auto"/>
            <w:vAlign w:val="center"/>
            <w:hideMark/>
          </w:tcPr>
          <w:p w14:paraId="718869D9" w14:textId="2DCD3624" w:rsidR="00D77D3E" w:rsidRPr="006E1A32" w:rsidRDefault="00D77D3E" w:rsidP="0096095C">
            <w:pPr>
              <w:jc w:val="both"/>
              <w:rPr>
                <w:rFonts w:ascii="Arial" w:hAnsi="Arial" w:cs="Arial"/>
                <w:color w:val="000000"/>
                <w:sz w:val="18"/>
                <w:szCs w:val="18"/>
              </w:rPr>
            </w:pPr>
            <w:r w:rsidRPr="006E1A32">
              <w:rPr>
                <w:rFonts w:ascii="Arial" w:hAnsi="Arial" w:cs="Arial"/>
                <w:color w:val="000000"/>
                <w:sz w:val="18"/>
                <w:szCs w:val="18"/>
              </w:rPr>
              <w:t>Court</w:t>
            </w:r>
            <w:r w:rsidR="008A0F1B">
              <w:rPr>
                <w:rFonts w:ascii="Arial" w:hAnsi="Arial" w:cs="Arial"/>
                <w:color w:val="000000"/>
                <w:sz w:val="18"/>
                <w:szCs w:val="18"/>
              </w:rPr>
              <w:t>-</w:t>
            </w:r>
            <w:r w:rsidRPr="006E1A32">
              <w:rPr>
                <w:rFonts w:ascii="Arial" w:hAnsi="Arial" w:cs="Arial"/>
                <w:color w:val="000000"/>
                <w:sz w:val="18"/>
                <w:szCs w:val="18"/>
              </w:rPr>
              <w:t>involved</w:t>
            </w:r>
          </w:p>
        </w:tc>
        <w:tc>
          <w:tcPr>
            <w:tcW w:w="1476" w:type="dxa"/>
            <w:tcBorders>
              <w:top w:val="nil"/>
              <w:left w:val="nil"/>
              <w:bottom w:val="nil"/>
              <w:right w:val="nil"/>
            </w:tcBorders>
            <w:shd w:val="clear" w:color="auto" w:fill="auto"/>
            <w:vAlign w:val="center"/>
            <w:hideMark/>
          </w:tcPr>
          <w:p w14:paraId="195194AF" w14:textId="5198C2E5"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90</w:t>
            </w:r>
          </w:p>
        </w:tc>
        <w:tc>
          <w:tcPr>
            <w:tcW w:w="1266" w:type="dxa"/>
            <w:tcBorders>
              <w:top w:val="nil"/>
              <w:left w:val="nil"/>
              <w:bottom w:val="nil"/>
              <w:right w:val="nil"/>
            </w:tcBorders>
            <w:shd w:val="clear" w:color="auto" w:fill="auto"/>
            <w:vAlign w:val="center"/>
            <w:hideMark/>
          </w:tcPr>
          <w:p w14:paraId="69C1B1F2" w14:textId="1089636B"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81</w:t>
            </w:r>
          </w:p>
        </w:tc>
        <w:tc>
          <w:tcPr>
            <w:tcW w:w="1799" w:type="dxa"/>
            <w:tcBorders>
              <w:top w:val="nil"/>
              <w:left w:val="nil"/>
              <w:bottom w:val="nil"/>
              <w:right w:val="nil"/>
            </w:tcBorders>
            <w:shd w:val="clear" w:color="auto" w:fill="auto"/>
            <w:vAlign w:val="center"/>
            <w:hideMark/>
          </w:tcPr>
          <w:p w14:paraId="46D48FD8" w14:textId="34A2CE88" w:rsidR="00D77D3E" w:rsidRPr="006E1A32" w:rsidRDefault="003E4EC1" w:rsidP="0096095C">
            <w:pPr>
              <w:jc w:val="center"/>
              <w:rPr>
                <w:rFonts w:ascii="Arial" w:hAnsi="Arial" w:cs="Arial"/>
                <w:color w:val="000000"/>
                <w:sz w:val="18"/>
                <w:szCs w:val="18"/>
              </w:rPr>
            </w:pPr>
            <w:r w:rsidRPr="006E1A32">
              <w:rPr>
                <w:rFonts w:ascii="Arial" w:hAnsi="Arial" w:cs="Arial"/>
                <w:color w:val="000000"/>
                <w:sz w:val="18"/>
                <w:szCs w:val="18"/>
              </w:rPr>
              <w:t>5</w:t>
            </w:r>
            <w:r>
              <w:rPr>
                <w:rFonts w:ascii="Arial" w:hAnsi="Arial" w:cs="Arial"/>
                <w:color w:val="000000"/>
                <w:sz w:val="18"/>
                <w:szCs w:val="18"/>
              </w:rPr>
              <w:t>8</w:t>
            </w:r>
          </w:p>
        </w:tc>
        <w:tc>
          <w:tcPr>
            <w:tcW w:w="1799" w:type="dxa"/>
            <w:tcBorders>
              <w:top w:val="nil"/>
              <w:left w:val="nil"/>
              <w:bottom w:val="nil"/>
              <w:right w:val="nil"/>
            </w:tcBorders>
            <w:shd w:val="clear" w:color="auto" w:fill="auto"/>
            <w:vAlign w:val="center"/>
            <w:hideMark/>
          </w:tcPr>
          <w:p w14:paraId="639F1FC4" w14:textId="132A0DA0"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69</w:t>
            </w:r>
          </w:p>
        </w:tc>
      </w:tr>
      <w:tr w:rsidR="00D77D3E" w:rsidRPr="006E1A32" w14:paraId="4B6E15CE" w14:textId="77777777" w:rsidTr="00B33E02">
        <w:trPr>
          <w:trHeight w:val="20"/>
        </w:trPr>
        <w:tc>
          <w:tcPr>
            <w:tcW w:w="2797" w:type="dxa"/>
            <w:tcBorders>
              <w:top w:val="nil"/>
              <w:left w:val="nil"/>
              <w:bottom w:val="nil"/>
              <w:right w:val="nil"/>
            </w:tcBorders>
            <w:shd w:val="clear" w:color="auto" w:fill="auto"/>
            <w:vAlign w:val="center"/>
            <w:hideMark/>
          </w:tcPr>
          <w:p w14:paraId="155C2DBE" w14:textId="77777777" w:rsidR="00D77D3E" w:rsidRPr="006E1A32" w:rsidRDefault="00D77D3E" w:rsidP="0096095C">
            <w:pPr>
              <w:jc w:val="both"/>
              <w:rPr>
                <w:rFonts w:ascii="Arial" w:hAnsi="Arial" w:cs="Arial"/>
                <w:color w:val="000000"/>
                <w:sz w:val="18"/>
                <w:szCs w:val="18"/>
              </w:rPr>
            </w:pPr>
            <w:r w:rsidRPr="006E1A32">
              <w:rPr>
                <w:rFonts w:ascii="Arial" w:hAnsi="Arial" w:cs="Arial"/>
                <w:color w:val="000000"/>
                <w:sz w:val="18"/>
                <w:szCs w:val="18"/>
              </w:rPr>
              <w:t>Non-court-involved</w:t>
            </w:r>
          </w:p>
        </w:tc>
        <w:tc>
          <w:tcPr>
            <w:tcW w:w="1476" w:type="dxa"/>
            <w:tcBorders>
              <w:top w:val="nil"/>
              <w:left w:val="nil"/>
              <w:bottom w:val="nil"/>
              <w:right w:val="nil"/>
            </w:tcBorders>
            <w:shd w:val="clear" w:color="auto" w:fill="auto"/>
            <w:vAlign w:val="center"/>
            <w:hideMark/>
          </w:tcPr>
          <w:p w14:paraId="0C538CEC" w14:textId="363D3709"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90</w:t>
            </w:r>
          </w:p>
        </w:tc>
        <w:tc>
          <w:tcPr>
            <w:tcW w:w="1266" w:type="dxa"/>
            <w:tcBorders>
              <w:top w:val="nil"/>
              <w:left w:val="nil"/>
              <w:bottom w:val="nil"/>
              <w:right w:val="nil"/>
            </w:tcBorders>
            <w:shd w:val="clear" w:color="auto" w:fill="auto"/>
            <w:vAlign w:val="center"/>
            <w:hideMark/>
          </w:tcPr>
          <w:p w14:paraId="7C51E45D" w14:textId="5CE3C96B"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81</w:t>
            </w:r>
          </w:p>
        </w:tc>
        <w:tc>
          <w:tcPr>
            <w:tcW w:w="1799" w:type="dxa"/>
            <w:tcBorders>
              <w:top w:val="nil"/>
              <w:left w:val="nil"/>
              <w:bottom w:val="nil"/>
              <w:right w:val="nil"/>
            </w:tcBorders>
            <w:shd w:val="clear" w:color="auto" w:fill="auto"/>
            <w:vAlign w:val="center"/>
            <w:hideMark/>
          </w:tcPr>
          <w:p w14:paraId="6CB2D18C" w14:textId="258BA63A" w:rsidR="00D77D3E"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59</w:t>
            </w:r>
          </w:p>
        </w:tc>
        <w:tc>
          <w:tcPr>
            <w:tcW w:w="1799" w:type="dxa"/>
            <w:tcBorders>
              <w:top w:val="nil"/>
              <w:left w:val="nil"/>
              <w:bottom w:val="nil"/>
              <w:right w:val="nil"/>
            </w:tcBorders>
            <w:shd w:val="clear" w:color="auto" w:fill="auto"/>
            <w:vAlign w:val="center"/>
            <w:hideMark/>
          </w:tcPr>
          <w:p w14:paraId="231DDB2D" w14:textId="3677660C"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69</w:t>
            </w:r>
          </w:p>
        </w:tc>
      </w:tr>
      <w:tr w:rsidR="00D77D3E" w:rsidRPr="006E1A32" w14:paraId="1A9097FA" w14:textId="77777777" w:rsidTr="00B33E02">
        <w:trPr>
          <w:trHeight w:val="20"/>
        </w:trPr>
        <w:tc>
          <w:tcPr>
            <w:tcW w:w="2797" w:type="dxa"/>
            <w:tcBorders>
              <w:top w:val="single" w:sz="8" w:space="0" w:color="auto"/>
              <w:left w:val="nil"/>
              <w:bottom w:val="single" w:sz="8" w:space="0" w:color="000000"/>
              <w:right w:val="nil"/>
            </w:tcBorders>
            <w:shd w:val="clear" w:color="000000" w:fill="A6A6A6"/>
            <w:vAlign w:val="center"/>
            <w:hideMark/>
          </w:tcPr>
          <w:p w14:paraId="59474C1D" w14:textId="77777777" w:rsidR="00D77D3E" w:rsidRPr="006E1A32" w:rsidRDefault="00D77D3E" w:rsidP="0096095C">
            <w:pPr>
              <w:jc w:val="both"/>
              <w:rPr>
                <w:rFonts w:ascii="Arial" w:hAnsi="Arial" w:cs="Arial"/>
                <w:b/>
                <w:bCs/>
                <w:color w:val="FFFFFF"/>
                <w:sz w:val="18"/>
                <w:szCs w:val="18"/>
              </w:rPr>
            </w:pPr>
            <w:r w:rsidRPr="006E1A32">
              <w:rPr>
                <w:rFonts w:ascii="Arial" w:hAnsi="Arial" w:cs="Arial"/>
                <w:b/>
                <w:bCs/>
                <w:color w:val="FFFFFF"/>
                <w:sz w:val="18"/>
                <w:szCs w:val="18"/>
              </w:rPr>
              <w:lastRenderedPageBreak/>
              <w:t>Cohort 5</w:t>
            </w:r>
          </w:p>
        </w:tc>
        <w:tc>
          <w:tcPr>
            <w:tcW w:w="1476" w:type="dxa"/>
            <w:tcBorders>
              <w:top w:val="single" w:sz="8" w:space="0" w:color="auto"/>
              <w:left w:val="nil"/>
              <w:bottom w:val="single" w:sz="8" w:space="0" w:color="000000"/>
              <w:right w:val="nil"/>
            </w:tcBorders>
            <w:shd w:val="clear" w:color="000000" w:fill="A6A6A6"/>
            <w:vAlign w:val="center"/>
            <w:hideMark/>
          </w:tcPr>
          <w:p w14:paraId="1F3FCAEE" w14:textId="0114D593" w:rsidR="00D77D3E" w:rsidRPr="006E1A32" w:rsidRDefault="00D77D3E" w:rsidP="0096095C">
            <w:pPr>
              <w:jc w:val="center"/>
              <w:rPr>
                <w:rFonts w:ascii="Arial" w:hAnsi="Arial" w:cs="Arial"/>
                <w:b/>
                <w:bCs/>
                <w:color w:val="FFFFFF"/>
                <w:sz w:val="18"/>
                <w:szCs w:val="18"/>
              </w:rPr>
            </w:pPr>
          </w:p>
        </w:tc>
        <w:tc>
          <w:tcPr>
            <w:tcW w:w="1266" w:type="dxa"/>
            <w:tcBorders>
              <w:top w:val="single" w:sz="8" w:space="0" w:color="auto"/>
              <w:left w:val="nil"/>
              <w:bottom w:val="single" w:sz="8" w:space="0" w:color="000000"/>
              <w:right w:val="nil"/>
            </w:tcBorders>
            <w:shd w:val="clear" w:color="000000" w:fill="A6A6A6"/>
            <w:vAlign w:val="center"/>
            <w:hideMark/>
          </w:tcPr>
          <w:p w14:paraId="6D58D07E" w14:textId="17522074" w:rsidR="00D77D3E" w:rsidRPr="006E1A32" w:rsidRDefault="00D77D3E" w:rsidP="0096095C">
            <w:pPr>
              <w:jc w:val="center"/>
              <w:rPr>
                <w:rFonts w:ascii="Arial" w:hAnsi="Arial" w:cs="Arial"/>
                <w:b/>
                <w:bCs/>
                <w:color w:val="FFFFFF"/>
                <w:sz w:val="18"/>
                <w:szCs w:val="18"/>
              </w:rPr>
            </w:pPr>
          </w:p>
        </w:tc>
        <w:tc>
          <w:tcPr>
            <w:tcW w:w="1799" w:type="dxa"/>
            <w:tcBorders>
              <w:top w:val="single" w:sz="8" w:space="0" w:color="auto"/>
              <w:left w:val="nil"/>
              <w:bottom w:val="single" w:sz="8" w:space="0" w:color="000000"/>
              <w:right w:val="nil"/>
            </w:tcBorders>
            <w:shd w:val="clear" w:color="000000" w:fill="A6A6A6"/>
            <w:vAlign w:val="center"/>
            <w:hideMark/>
          </w:tcPr>
          <w:p w14:paraId="03436F48" w14:textId="44B3B086" w:rsidR="00D77D3E" w:rsidRPr="006E1A32" w:rsidRDefault="00D77D3E" w:rsidP="0096095C">
            <w:pPr>
              <w:jc w:val="center"/>
              <w:rPr>
                <w:rFonts w:ascii="Arial" w:hAnsi="Arial" w:cs="Arial"/>
                <w:b/>
                <w:bCs/>
                <w:color w:val="FFFFFF"/>
                <w:sz w:val="18"/>
                <w:szCs w:val="18"/>
              </w:rPr>
            </w:pPr>
          </w:p>
        </w:tc>
        <w:tc>
          <w:tcPr>
            <w:tcW w:w="1799" w:type="dxa"/>
            <w:tcBorders>
              <w:top w:val="single" w:sz="8" w:space="0" w:color="auto"/>
              <w:left w:val="nil"/>
              <w:bottom w:val="single" w:sz="8" w:space="0" w:color="000000"/>
              <w:right w:val="nil"/>
            </w:tcBorders>
            <w:shd w:val="clear" w:color="000000" w:fill="A6A6A6"/>
            <w:vAlign w:val="center"/>
            <w:hideMark/>
          </w:tcPr>
          <w:p w14:paraId="4D10DA39" w14:textId="3C87D45E" w:rsidR="00D77D3E" w:rsidRPr="006E1A32" w:rsidRDefault="00D77D3E" w:rsidP="0096095C">
            <w:pPr>
              <w:jc w:val="center"/>
              <w:rPr>
                <w:rFonts w:ascii="Arial" w:hAnsi="Arial" w:cs="Arial"/>
                <w:b/>
                <w:bCs/>
                <w:color w:val="FFFFFF"/>
                <w:sz w:val="18"/>
                <w:szCs w:val="18"/>
              </w:rPr>
            </w:pPr>
          </w:p>
        </w:tc>
      </w:tr>
      <w:tr w:rsidR="00B33E02" w:rsidRPr="006E1A32" w14:paraId="7A2EDAFF" w14:textId="77777777" w:rsidTr="00B33E02">
        <w:trPr>
          <w:trHeight w:val="20"/>
        </w:trPr>
        <w:tc>
          <w:tcPr>
            <w:tcW w:w="2797" w:type="dxa"/>
            <w:tcBorders>
              <w:top w:val="nil"/>
              <w:left w:val="nil"/>
              <w:bottom w:val="nil"/>
              <w:right w:val="nil"/>
            </w:tcBorders>
            <w:shd w:val="clear" w:color="auto" w:fill="auto"/>
            <w:vAlign w:val="center"/>
            <w:hideMark/>
          </w:tcPr>
          <w:p w14:paraId="3822FF14" w14:textId="7858F7BB" w:rsidR="00B33E02" w:rsidRPr="0096095C" w:rsidRDefault="00B33E02" w:rsidP="0096095C">
            <w:pPr>
              <w:jc w:val="both"/>
              <w:rPr>
                <w:rFonts w:ascii="Arial" w:hAnsi="Arial" w:cs="Arial"/>
                <w:b/>
                <w:color w:val="000000"/>
                <w:sz w:val="18"/>
                <w:szCs w:val="18"/>
              </w:rPr>
            </w:pPr>
            <w:r w:rsidRPr="0096095C">
              <w:rPr>
                <w:rFonts w:ascii="Arial" w:hAnsi="Arial" w:cs="Arial"/>
                <w:b/>
                <w:color w:val="000000"/>
                <w:sz w:val="18"/>
                <w:szCs w:val="18"/>
              </w:rPr>
              <w:t>Total start</w:t>
            </w:r>
            <w:r w:rsidR="00C2768A" w:rsidRPr="0096095C">
              <w:rPr>
                <w:rFonts w:ascii="Arial" w:hAnsi="Arial" w:cs="Arial"/>
                <w:b/>
                <w:color w:val="000000"/>
                <w:sz w:val="18"/>
                <w:szCs w:val="18"/>
              </w:rPr>
              <w:t>ing</w:t>
            </w:r>
            <w:r w:rsidRPr="0096095C">
              <w:rPr>
                <w:rFonts w:ascii="Arial" w:hAnsi="Arial" w:cs="Arial"/>
                <w:b/>
                <w:color w:val="000000"/>
                <w:sz w:val="18"/>
                <w:szCs w:val="18"/>
              </w:rPr>
              <w:t xml:space="preserve"> Job ChalleNGe</w:t>
            </w:r>
          </w:p>
        </w:tc>
        <w:tc>
          <w:tcPr>
            <w:tcW w:w="1476" w:type="dxa"/>
            <w:tcBorders>
              <w:top w:val="nil"/>
              <w:left w:val="nil"/>
              <w:bottom w:val="nil"/>
              <w:right w:val="nil"/>
            </w:tcBorders>
            <w:shd w:val="clear" w:color="auto" w:fill="auto"/>
            <w:vAlign w:val="center"/>
            <w:hideMark/>
          </w:tcPr>
          <w:p w14:paraId="31A07104" w14:textId="77777777" w:rsidR="00B33E02" w:rsidRPr="0096095C" w:rsidRDefault="00B33E02" w:rsidP="0096095C">
            <w:pPr>
              <w:jc w:val="center"/>
              <w:rPr>
                <w:rFonts w:ascii="Arial" w:hAnsi="Arial" w:cs="Arial"/>
                <w:b/>
                <w:color w:val="000000"/>
                <w:sz w:val="18"/>
                <w:szCs w:val="18"/>
              </w:rPr>
            </w:pPr>
            <w:r w:rsidRPr="0096095C">
              <w:rPr>
                <w:rFonts w:ascii="Arial" w:hAnsi="Arial" w:cs="Arial"/>
                <w:b/>
                <w:color w:val="000000"/>
                <w:sz w:val="18"/>
                <w:szCs w:val="18"/>
              </w:rPr>
              <w:t>180</w:t>
            </w:r>
          </w:p>
        </w:tc>
        <w:tc>
          <w:tcPr>
            <w:tcW w:w="1266" w:type="dxa"/>
            <w:tcBorders>
              <w:top w:val="nil"/>
              <w:left w:val="nil"/>
              <w:bottom w:val="nil"/>
              <w:right w:val="nil"/>
            </w:tcBorders>
            <w:shd w:val="clear" w:color="auto" w:fill="auto"/>
            <w:vAlign w:val="center"/>
            <w:hideMark/>
          </w:tcPr>
          <w:p w14:paraId="731C7C9E" w14:textId="77777777" w:rsidR="00B33E02" w:rsidRPr="0096095C" w:rsidRDefault="00B33E02" w:rsidP="0096095C">
            <w:pPr>
              <w:jc w:val="center"/>
              <w:rPr>
                <w:rFonts w:ascii="Arial" w:hAnsi="Arial" w:cs="Arial"/>
                <w:b/>
                <w:color w:val="000000"/>
                <w:sz w:val="18"/>
                <w:szCs w:val="18"/>
              </w:rPr>
            </w:pPr>
            <w:r w:rsidRPr="0096095C">
              <w:rPr>
                <w:rFonts w:ascii="Arial" w:hAnsi="Arial" w:cs="Arial"/>
                <w:b/>
                <w:color w:val="000000"/>
                <w:sz w:val="18"/>
                <w:szCs w:val="18"/>
              </w:rPr>
              <w:t>162</w:t>
            </w:r>
          </w:p>
        </w:tc>
        <w:tc>
          <w:tcPr>
            <w:tcW w:w="1799" w:type="dxa"/>
            <w:tcBorders>
              <w:top w:val="nil"/>
              <w:left w:val="nil"/>
              <w:bottom w:val="nil"/>
              <w:right w:val="nil"/>
            </w:tcBorders>
            <w:shd w:val="clear" w:color="auto" w:fill="auto"/>
            <w:vAlign w:val="center"/>
            <w:hideMark/>
          </w:tcPr>
          <w:p w14:paraId="26E5B542" w14:textId="3F091FE8" w:rsidR="00B33E02" w:rsidRPr="0096095C" w:rsidRDefault="00B33E02" w:rsidP="0096095C">
            <w:pPr>
              <w:jc w:val="center"/>
              <w:rPr>
                <w:rFonts w:ascii="Arial" w:hAnsi="Arial" w:cs="Arial"/>
                <w:b/>
                <w:color w:val="000000"/>
                <w:sz w:val="18"/>
                <w:szCs w:val="18"/>
              </w:rPr>
            </w:pPr>
            <w:r w:rsidRPr="0096095C">
              <w:rPr>
                <w:rFonts w:ascii="Arial" w:hAnsi="Arial" w:cs="Arial"/>
                <w:b/>
                <w:color w:val="000000"/>
                <w:sz w:val="18"/>
                <w:szCs w:val="18"/>
              </w:rPr>
              <w:t>117</w:t>
            </w:r>
          </w:p>
        </w:tc>
        <w:tc>
          <w:tcPr>
            <w:tcW w:w="1799" w:type="dxa"/>
            <w:tcBorders>
              <w:top w:val="nil"/>
              <w:left w:val="nil"/>
              <w:bottom w:val="nil"/>
              <w:right w:val="nil"/>
            </w:tcBorders>
            <w:shd w:val="clear" w:color="auto" w:fill="auto"/>
            <w:vAlign w:val="center"/>
            <w:hideMark/>
          </w:tcPr>
          <w:p w14:paraId="55676231" w14:textId="77777777" w:rsidR="00B33E02" w:rsidRPr="0096095C" w:rsidRDefault="00B33E02" w:rsidP="0096095C">
            <w:pPr>
              <w:jc w:val="center"/>
              <w:rPr>
                <w:rFonts w:ascii="Arial" w:hAnsi="Arial" w:cs="Arial"/>
                <w:b/>
                <w:color w:val="000000"/>
                <w:sz w:val="18"/>
                <w:szCs w:val="18"/>
              </w:rPr>
            </w:pPr>
            <w:r w:rsidRPr="0096095C">
              <w:rPr>
                <w:rFonts w:ascii="Arial" w:hAnsi="Arial" w:cs="Arial"/>
                <w:b/>
                <w:color w:val="000000"/>
                <w:sz w:val="18"/>
                <w:szCs w:val="18"/>
              </w:rPr>
              <w:t>138</w:t>
            </w:r>
          </w:p>
        </w:tc>
      </w:tr>
      <w:tr w:rsidR="00B33E02" w:rsidRPr="006E1A32" w14:paraId="359EF23D" w14:textId="77777777" w:rsidTr="00B33E02">
        <w:trPr>
          <w:trHeight w:val="20"/>
        </w:trPr>
        <w:tc>
          <w:tcPr>
            <w:tcW w:w="2797" w:type="dxa"/>
            <w:tcBorders>
              <w:top w:val="nil"/>
              <w:left w:val="nil"/>
              <w:bottom w:val="nil"/>
              <w:right w:val="nil"/>
            </w:tcBorders>
            <w:shd w:val="clear" w:color="auto" w:fill="auto"/>
            <w:vAlign w:val="center"/>
            <w:hideMark/>
          </w:tcPr>
          <w:p w14:paraId="729469BC" w14:textId="64DA0DDF" w:rsidR="00B33E02" w:rsidRPr="006E1A32" w:rsidRDefault="00B33E02" w:rsidP="0096095C">
            <w:pPr>
              <w:jc w:val="both"/>
              <w:rPr>
                <w:rFonts w:ascii="Arial" w:hAnsi="Arial" w:cs="Arial"/>
                <w:color w:val="000000"/>
                <w:sz w:val="18"/>
                <w:szCs w:val="18"/>
              </w:rPr>
            </w:pPr>
            <w:r w:rsidRPr="006E1A32">
              <w:rPr>
                <w:rFonts w:ascii="Arial" w:hAnsi="Arial" w:cs="Arial"/>
                <w:color w:val="000000"/>
                <w:sz w:val="18"/>
                <w:szCs w:val="18"/>
              </w:rPr>
              <w:t>Court</w:t>
            </w:r>
            <w:r w:rsidR="00941EF8">
              <w:rPr>
                <w:rFonts w:ascii="Arial" w:hAnsi="Arial" w:cs="Arial"/>
                <w:color w:val="000000"/>
                <w:sz w:val="18"/>
                <w:szCs w:val="18"/>
              </w:rPr>
              <w:t>-</w:t>
            </w:r>
            <w:r w:rsidRPr="006E1A32">
              <w:rPr>
                <w:rFonts w:ascii="Arial" w:hAnsi="Arial" w:cs="Arial"/>
                <w:color w:val="000000"/>
                <w:sz w:val="18"/>
                <w:szCs w:val="18"/>
              </w:rPr>
              <w:t>involved</w:t>
            </w:r>
          </w:p>
        </w:tc>
        <w:tc>
          <w:tcPr>
            <w:tcW w:w="1476" w:type="dxa"/>
            <w:tcBorders>
              <w:top w:val="nil"/>
              <w:left w:val="nil"/>
              <w:bottom w:val="nil"/>
              <w:right w:val="nil"/>
            </w:tcBorders>
            <w:shd w:val="clear" w:color="auto" w:fill="auto"/>
            <w:vAlign w:val="center"/>
            <w:hideMark/>
          </w:tcPr>
          <w:p w14:paraId="42A9504D" w14:textId="01ED7A6C"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90</w:t>
            </w:r>
          </w:p>
        </w:tc>
        <w:tc>
          <w:tcPr>
            <w:tcW w:w="1266" w:type="dxa"/>
            <w:tcBorders>
              <w:top w:val="nil"/>
              <w:left w:val="nil"/>
              <w:bottom w:val="nil"/>
              <w:right w:val="nil"/>
            </w:tcBorders>
            <w:shd w:val="clear" w:color="auto" w:fill="auto"/>
            <w:vAlign w:val="center"/>
            <w:hideMark/>
          </w:tcPr>
          <w:p w14:paraId="747A6F50" w14:textId="18071AD5"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81</w:t>
            </w:r>
          </w:p>
        </w:tc>
        <w:tc>
          <w:tcPr>
            <w:tcW w:w="1799" w:type="dxa"/>
            <w:tcBorders>
              <w:top w:val="nil"/>
              <w:left w:val="nil"/>
              <w:bottom w:val="nil"/>
              <w:right w:val="nil"/>
            </w:tcBorders>
            <w:shd w:val="clear" w:color="auto" w:fill="auto"/>
            <w:vAlign w:val="center"/>
            <w:hideMark/>
          </w:tcPr>
          <w:p w14:paraId="180D4BFF" w14:textId="1C531561" w:rsidR="00B33E02" w:rsidRPr="006E1A32" w:rsidRDefault="003E4EC1" w:rsidP="0096095C">
            <w:pPr>
              <w:jc w:val="center"/>
              <w:rPr>
                <w:rFonts w:ascii="Arial" w:hAnsi="Arial" w:cs="Arial"/>
                <w:color w:val="000000"/>
                <w:sz w:val="18"/>
                <w:szCs w:val="18"/>
              </w:rPr>
            </w:pPr>
            <w:r w:rsidRPr="006E1A32">
              <w:rPr>
                <w:rFonts w:ascii="Arial" w:hAnsi="Arial" w:cs="Arial"/>
                <w:color w:val="000000"/>
                <w:sz w:val="18"/>
                <w:szCs w:val="18"/>
              </w:rPr>
              <w:t>5</w:t>
            </w:r>
            <w:r>
              <w:rPr>
                <w:rFonts w:ascii="Arial" w:hAnsi="Arial" w:cs="Arial"/>
                <w:color w:val="000000"/>
                <w:sz w:val="18"/>
                <w:szCs w:val="18"/>
              </w:rPr>
              <w:t>8</w:t>
            </w:r>
          </w:p>
        </w:tc>
        <w:tc>
          <w:tcPr>
            <w:tcW w:w="1799" w:type="dxa"/>
            <w:tcBorders>
              <w:top w:val="nil"/>
              <w:left w:val="nil"/>
              <w:bottom w:val="nil"/>
              <w:right w:val="nil"/>
            </w:tcBorders>
            <w:shd w:val="clear" w:color="auto" w:fill="auto"/>
            <w:vAlign w:val="center"/>
            <w:hideMark/>
          </w:tcPr>
          <w:p w14:paraId="512939E5" w14:textId="1541DE34"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69</w:t>
            </w:r>
          </w:p>
        </w:tc>
      </w:tr>
      <w:tr w:rsidR="00B33E02" w:rsidRPr="006E1A32" w14:paraId="1737CE90" w14:textId="77777777" w:rsidTr="00B33E02">
        <w:trPr>
          <w:trHeight w:val="20"/>
        </w:trPr>
        <w:tc>
          <w:tcPr>
            <w:tcW w:w="2797" w:type="dxa"/>
            <w:tcBorders>
              <w:top w:val="nil"/>
              <w:left w:val="nil"/>
              <w:bottom w:val="nil"/>
              <w:right w:val="nil"/>
            </w:tcBorders>
            <w:shd w:val="clear" w:color="auto" w:fill="auto"/>
            <w:vAlign w:val="center"/>
            <w:hideMark/>
          </w:tcPr>
          <w:p w14:paraId="2DBFE527" w14:textId="77777777" w:rsidR="00B33E02" w:rsidRPr="006E1A32" w:rsidRDefault="00B33E02" w:rsidP="0096095C">
            <w:pPr>
              <w:jc w:val="both"/>
              <w:rPr>
                <w:rFonts w:ascii="Arial" w:hAnsi="Arial" w:cs="Arial"/>
                <w:color w:val="000000"/>
                <w:sz w:val="18"/>
                <w:szCs w:val="18"/>
              </w:rPr>
            </w:pPr>
            <w:r w:rsidRPr="006E1A32">
              <w:rPr>
                <w:rFonts w:ascii="Arial" w:hAnsi="Arial" w:cs="Arial"/>
                <w:color w:val="000000"/>
                <w:sz w:val="18"/>
                <w:szCs w:val="18"/>
              </w:rPr>
              <w:t>Non-court-involved</w:t>
            </w:r>
          </w:p>
        </w:tc>
        <w:tc>
          <w:tcPr>
            <w:tcW w:w="1476" w:type="dxa"/>
            <w:tcBorders>
              <w:top w:val="nil"/>
              <w:left w:val="nil"/>
              <w:bottom w:val="nil"/>
              <w:right w:val="nil"/>
            </w:tcBorders>
            <w:shd w:val="clear" w:color="auto" w:fill="auto"/>
            <w:vAlign w:val="center"/>
            <w:hideMark/>
          </w:tcPr>
          <w:p w14:paraId="35C6DE96" w14:textId="717EC911"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90</w:t>
            </w:r>
          </w:p>
        </w:tc>
        <w:tc>
          <w:tcPr>
            <w:tcW w:w="1266" w:type="dxa"/>
            <w:tcBorders>
              <w:top w:val="nil"/>
              <w:left w:val="nil"/>
              <w:bottom w:val="nil"/>
              <w:right w:val="nil"/>
            </w:tcBorders>
            <w:shd w:val="clear" w:color="auto" w:fill="auto"/>
            <w:vAlign w:val="center"/>
            <w:hideMark/>
          </w:tcPr>
          <w:p w14:paraId="2955FD08" w14:textId="6918CEFC"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81</w:t>
            </w:r>
          </w:p>
        </w:tc>
        <w:tc>
          <w:tcPr>
            <w:tcW w:w="1799" w:type="dxa"/>
            <w:tcBorders>
              <w:top w:val="nil"/>
              <w:left w:val="nil"/>
              <w:bottom w:val="nil"/>
              <w:right w:val="nil"/>
            </w:tcBorders>
            <w:shd w:val="clear" w:color="auto" w:fill="auto"/>
            <w:vAlign w:val="center"/>
            <w:hideMark/>
          </w:tcPr>
          <w:p w14:paraId="62D8DBE5" w14:textId="563C8D44"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59</w:t>
            </w:r>
          </w:p>
        </w:tc>
        <w:tc>
          <w:tcPr>
            <w:tcW w:w="1799" w:type="dxa"/>
            <w:tcBorders>
              <w:top w:val="nil"/>
              <w:left w:val="nil"/>
              <w:bottom w:val="nil"/>
              <w:right w:val="nil"/>
            </w:tcBorders>
            <w:shd w:val="clear" w:color="auto" w:fill="auto"/>
            <w:vAlign w:val="center"/>
            <w:hideMark/>
          </w:tcPr>
          <w:p w14:paraId="3478BEAD" w14:textId="537FAB93"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69</w:t>
            </w:r>
          </w:p>
        </w:tc>
      </w:tr>
      <w:tr w:rsidR="00D77D3E" w:rsidRPr="006E1A32" w14:paraId="630BC94B" w14:textId="77777777" w:rsidTr="00B33E02">
        <w:trPr>
          <w:trHeight w:val="20"/>
        </w:trPr>
        <w:tc>
          <w:tcPr>
            <w:tcW w:w="2797" w:type="dxa"/>
            <w:tcBorders>
              <w:top w:val="single" w:sz="8" w:space="0" w:color="auto"/>
              <w:left w:val="nil"/>
              <w:bottom w:val="single" w:sz="8" w:space="0" w:color="000000"/>
              <w:right w:val="nil"/>
            </w:tcBorders>
            <w:shd w:val="clear" w:color="000000" w:fill="A6A6A6"/>
            <w:vAlign w:val="center"/>
            <w:hideMark/>
          </w:tcPr>
          <w:p w14:paraId="52FC2A60" w14:textId="77777777" w:rsidR="00D77D3E" w:rsidRPr="006E1A32" w:rsidRDefault="00D77D3E" w:rsidP="0096095C">
            <w:pPr>
              <w:jc w:val="both"/>
              <w:rPr>
                <w:rFonts w:ascii="Arial" w:hAnsi="Arial" w:cs="Arial"/>
                <w:b/>
                <w:bCs/>
                <w:color w:val="FFFFFF"/>
                <w:sz w:val="18"/>
                <w:szCs w:val="18"/>
              </w:rPr>
            </w:pPr>
            <w:r w:rsidRPr="006E1A32">
              <w:rPr>
                <w:rFonts w:ascii="Arial" w:hAnsi="Arial" w:cs="Arial"/>
                <w:b/>
                <w:bCs/>
                <w:color w:val="FFFFFF"/>
                <w:sz w:val="18"/>
                <w:szCs w:val="18"/>
              </w:rPr>
              <w:t>Cohort 6</w:t>
            </w:r>
          </w:p>
        </w:tc>
        <w:tc>
          <w:tcPr>
            <w:tcW w:w="1476" w:type="dxa"/>
            <w:tcBorders>
              <w:top w:val="single" w:sz="8" w:space="0" w:color="auto"/>
              <w:left w:val="nil"/>
              <w:bottom w:val="single" w:sz="8" w:space="0" w:color="000000"/>
              <w:right w:val="nil"/>
            </w:tcBorders>
            <w:shd w:val="clear" w:color="000000" w:fill="A6A6A6"/>
            <w:vAlign w:val="center"/>
            <w:hideMark/>
          </w:tcPr>
          <w:p w14:paraId="2EF28A54" w14:textId="41EAE77A" w:rsidR="00D77D3E" w:rsidRPr="006E1A32" w:rsidRDefault="00D77D3E" w:rsidP="0096095C">
            <w:pPr>
              <w:jc w:val="center"/>
              <w:rPr>
                <w:rFonts w:ascii="Arial" w:hAnsi="Arial" w:cs="Arial"/>
                <w:b/>
                <w:bCs/>
                <w:color w:val="FFFFFF"/>
                <w:sz w:val="18"/>
                <w:szCs w:val="18"/>
              </w:rPr>
            </w:pPr>
          </w:p>
        </w:tc>
        <w:tc>
          <w:tcPr>
            <w:tcW w:w="1266" w:type="dxa"/>
            <w:tcBorders>
              <w:top w:val="single" w:sz="8" w:space="0" w:color="auto"/>
              <w:left w:val="nil"/>
              <w:bottom w:val="single" w:sz="8" w:space="0" w:color="000000"/>
              <w:right w:val="nil"/>
            </w:tcBorders>
            <w:shd w:val="clear" w:color="000000" w:fill="A6A6A6"/>
            <w:vAlign w:val="center"/>
            <w:hideMark/>
          </w:tcPr>
          <w:p w14:paraId="29B1901C" w14:textId="6BBEF82D" w:rsidR="00D77D3E" w:rsidRPr="006E1A32" w:rsidRDefault="00D77D3E" w:rsidP="0096095C">
            <w:pPr>
              <w:jc w:val="center"/>
              <w:rPr>
                <w:rFonts w:ascii="Arial" w:hAnsi="Arial" w:cs="Arial"/>
                <w:b/>
                <w:bCs/>
                <w:color w:val="FFFFFF"/>
                <w:sz w:val="18"/>
                <w:szCs w:val="18"/>
              </w:rPr>
            </w:pPr>
          </w:p>
        </w:tc>
        <w:tc>
          <w:tcPr>
            <w:tcW w:w="1799" w:type="dxa"/>
            <w:tcBorders>
              <w:top w:val="single" w:sz="8" w:space="0" w:color="auto"/>
              <w:left w:val="nil"/>
              <w:bottom w:val="single" w:sz="8" w:space="0" w:color="000000"/>
              <w:right w:val="nil"/>
            </w:tcBorders>
            <w:shd w:val="clear" w:color="000000" w:fill="A6A6A6"/>
            <w:vAlign w:val="center"/>
            <w:hideMark/>
          </w:tcPr>
          <w:p w14:paraId="1BF2429D" w14:textId="1843D3C8" w:rsidR="00D77D3E" w:rsidRPr="006E1A32" w:rsidRDefault="00D77D3E" w:rsidP="0096095C">
            <w:pPr>
              <w:jc w:val="center"/>
              <w:rPr>
                <w:rFonts w:ascii="Arial" w:hAnsi="Arial" w:cs="Arial"/>
                <w:b/>
                <w:bCs/>
                <w:color w:val="FFFFFF"/>
                <w:sz w:val="18"/>
                <w:szCs w:val="18"/>
              </w:rPr>
            </w:pPr>
          </w:p>
        </w:tc>
        <w:tc>
          <w:tcPr>
            <w:tcW w:w="1799" w:type="dxa"/>
            <w:tcBorders>
              <w:top w:val="single" w:sz="8" w:space="0" w:color="auto"/>
              <w:left w:val="nil"/>
              <w:bottom w:val="single" w:sz="8" w:space="0" w:color="000000"/>
              <w:right w:val="nil"/>
            </w:tcBorders>
            <w:shd w:val="clear" w:color="000000" w:fill="A6A6A6"/>
            <w:vAlign w:val="center"/>
            <w:hideMark/>
          </w:tcPr>
          <w:p w14:paraId="37F23C9B" w14:textId="7D2055D3" w:rsidR="00D77D3E" w:rsidRPr="006E1A32" w:rsidRDefault="00D77D3E" w:rsidP="0096095C">
            <w:pPr>
              <w:jc w:val="center"/>
              <w:rPr>
                <w:rFonts w:ascii="Arial" w:hAnsi="Arial" w:cs="Arial"/>
                <w:b/>
                <w:bCs/>
                <w:color w:val="FFFFFF"/>
                <w:sz w:val="18"/>
                <w:szCs w:val="18"/>
              </w:rPr>
            </w:pPr>
          </w:p>
        </w:tc>
      </w:tr>
      <w:tr w:rsidR="00B33E02" w:rsidRPr="006E1A32" w14:paraId="046646BE" w14:textId="77777777" w:rsidTr="00B33E02">
        <w:trPr>
          <w:trHeight w:val="20"/>
        </w:trPr>
        <w:tc>
          <w:tcPr>
            <w:tcW w:w="2797" w:type="dxa"/>
            <w:tcBorders>
              <w:top w:val="nil"/>
              <w:left w:val="nil"/>
              <w:bottom w:val="nil"/>
              <w:right w:val="nil"/>
            </w:tcBorders>
            <w:shd w:val="clear" w:color="auto" w:fill="auto"/>
            <w:vAlign w:val="center"/>
            <w:hideMark/>
          </w:tcPr>
          <w:p w14:paraId="56362AEB" w14:textId="0824B3A7" w:rsidR="00B33E02" w:rsidRPr="0096095C" w:rsidRDefault="00B33E02" w:rsidP="0096095C">
            <w:pPr>
              <w:jc w:val="both"/>
              <w:rPr>
                <w:rFonts w:ascii="Arial" w:hAnsi="Arial" w:cs="Arial"/>
                <w:b/>
                <w:color w:val="000000"/>
                <w:sz w:val="18"/>
                <w:szCs w:val="18"/>
              </w:rPr>
            </w:pPr>
            <w:r w:rsidRPr="0096095C">
              <w:rPr>
                <w:rFonts w:ascii="Arial" w:hAnsi="Arial" w:cs="Arial"/>
                <w:b/>
                <w:color w:val="000000"/>
                <w:sz w:val="18"/>
                <w:szCs w:val="18"/>
              </w:rPr>
              <w:t>Total start</w:t>
            </w:r>
            <w:r w:rsidR="00C2768A" w:rsidRPr="0096095C">
              <w:rPr>
                <w:rFonts w:ascii="Arial" w:hAnsi="Arial" w:cs="Arial"/>
                <w:b/>
                <w:color w:val="000000"/>
                <w:sz w:val="18"/>
                <w:szCs w:val="18"/>
              </w:rPr>
              <w:t>ing</w:t>
            </w:r>
            <w:r w:rsidRPr="0096095C">
              <w:rPr>
                <w:rFonts w:ascii="Arial" w:hAnsi="Arial" w:cs="Arial"/>
                <w:b/>
                <w:color w:val="000000"/>
                <w:sz w:val="18"/>
                <w:szCs w:val="18"/>
              </w:rPr>
              <w:t xml:space="preserve"> Job ChalleNGe</w:t>
            </w:r>
          </w:p>
        </w:tc>
        <w:tc>
          <w:tcPr>
            <w:tcW w:w="1476" w:type="dxa"/>
            <w:tcBorders>
              <w:top w:val="nil"/>
              <w:left w:val="nil"/>
              <w:bottom w:val="nil"/>
              <w:right w:val="nil"/>
            </w:tcBorders>
            <w:shd w:val="clear" w:color="auto" w:fill="auto"/>
            <w:vAlign w:val="center"/>
            <w:hideMark/>
          </w:tcPr>
          <w:p w14:paraId="7719700E" w14:textId="77777777" w:rsidR="00B33E02" w:rsidRPr="0096095C" w:rsidRDefault="00B33E02" w:rsidP="0096095C">
            <w:pPr>
              <w:jc w:val="center"/>
              <w:rPr>
                <w:rFonts w:ascii="Arial" w:hAnsi="Arial" w:cs="Arial"/>
                <w:b/>
                <w:color w:val="000000"/>
                <w:sz w:val="18"/>
                <w:szCs w:val="18"/>
              </w:rPr>
            </w:pPr>
            <w:r w:rsidRPr="0096095C">
              <w:rPr>
                <w:rFonts w:ascii="Arial" w:hAnsi="Arial" w:cs="Arial"/>
                <w:b/>
                <w:color w:val="000000"/>
                <w:sz w:val="18"/>
                <w:szCs w:val="18"/>
              </w:rPr>
              <w:t>180</w:t>
            </w:r>
          </w:p>
        </w:tc>
        <w:tc>
          <w:tcPr>
            <w:tcW w:w="1266" w:type="dxa"/>
            <w:tcBorders>
              <w:top w:val="nil"/>
              <w:left w:val="nil"/>
              <w:bottom w:val="nil"/>
              <w:right w:val="nil"/>
            </w:tcBorders>
            <w:shd w:val="clear" w:color="auto" w:fill="auto"/>
            <w:vAlign w:val="center"/>
            <w:hideMark/>
          </w:tcPr>
          <w:p w14:paraId="25ECBE80" w14:textId="77777777" w:rsidR="00B33E02" w:rsidRPr="0096095C" w:rsidRDefault="00B33E02" w:rsidP="0096095C">
            <w:pPr>
              <w:jc w:val="center"/>
              <w:rPr>
                <w:rFonts w:ascii="Arial" w:hAnsi="Arial" w:cs="Arial"/>
                <w:b/>
                <w:color w:val="000000"/>
                <w:sz w:val="18"/>
                <w:szCs w:val="18"/>
              </w:rPr>
            </w:pPr>
            <w:r w:rsidRPr="0096095C">
              <w:rPr>
                <w:rFonts w:ascii="Arial" w:hAnsi="Arial" w:cs="Arial"/>
                <w:b/>
                <w:color w:val="000000"/>
                <w:sz w:val="18"/>
                <w:szCs w:val="18"/>
              </w:rPr>
              <w:t>162</w:t>
            </w:r>
          </w:p>
        </w:tc>
        <w:tc>
          <w:tcPr>
            <w:tcW w:w="1799" w:type="dxa"/>
            <w:tcBorders>
              <w:top w:val="nil"/>
              <w:left w:val="nil"/>
              <w:bottom w:val="nil"/>
              <w:right w:val="nil"/>
            </w:tcBorders>
            <w:shd w:val="clear" w:color="auto" w:fill="auto"/>
            <w:vAlign w:val="center"/>
            <w:hideMark/>
          </w:tcPr>
          <w:p w14:paraId="06550042" w14:textId="5C19EF35" w:rsidR="00B33E02" w:rsidRPr="0096095C" w:rsidRDefault="00B33E02" w:rsidP="0096095C">
            <w:pPr>
              <w:jc w:val="center"/>
              <w:rPr>
                <w:rFonts w:ascii="Arial" w:hAnsi="Arial" w:cs="Arial"/>
                <w:b/>
                <w:color w:val="000000"/>
                <w:sz w:val="18"/>
                <w:szCs w:val="18"/>
              </w:rPr>
            </w:pPr>
            <w:r w:rsidRPr="0096095C">
              <w:rPr>
                <w:rFonts w:ascii="Arial" w:hAnsi="Arial" w:cs="Arial"/>
                <w:b/>
                <w:color w:val="000000"/>
                <w:sz w:val="18"/>
                <w:szCs w:val="18"/>
              </w:rPr>
              <w:t>117</w:t>
            </w:r>
          </w:p>
        </w:tc>
        <w:tc>
          <w:tcPr>
            <w:tcW w:w="1799" w:type="dxa"/>
            <w:tcBorders>
              <w:top w:val="nil"/>
              <w:left w:val="nil"/>
              <w:bottom w:val="nil"/>
              <w:right w:val="nil"/>
            </w:tcBorders>
            <w:shd w:val="clear" w:color="auto" w:fill="auto"/>
            <w:vAlign w:val="center"/>
            <w:hideMark/>
          </w:tcPr>
          <w:p w14:paraId="05F78998" w14:textId="77777777" w:rsidR="00B33E02" w:rsidRPr="0096095C" w:rsidRDefault="00B33E02" w:rsidP="0096095C">
            <w:pPr>
              <w:jc w:val="center"/>
              <w:rPr>
                <w:rFonts w:ascii="Arial" w:hAnsi="Arial" w:cs="Arial"/>
                <w:b/>
                <w:color w:val="000000"/>
                <w:sz w:val="18"/>
                <w:szCs w:val="18"/>
              </w:rPr>
            </w:pPr>
            <w:r w:rsidRPr="0096095C">
              <w:rPr>
                <w:rFonts w:ascii="Arial" w:hAnsi="Arial" w:cs="Arial"/>
                <w:b/>
                <w:color w:val="000000"/>
                <w:sz w:val="18"/>
                <w:szCs w:val="18"/>
              </w:rPr>
              <w:t>138</w:t>
            </w:r>
          </w:p>
        </w:tc>
      </w:tr>
      <w:tr w:rsidR="00B33E02" w:rsidRPr="006E1A32" w14:paraId="4EA86F26" w14:textId="77777777" w:rsidTr="00B33E02">
        <w:trPr>
          <w:trHeight w:val="20"/>
        </w:trPr>
        <w:tc>
          <w:tcPr>
            <w:tcW w:w="2797" w:type="dxa"/>
            <w:tcBorders>
              <w:top w:val="nil"/>
              <w:left w:val="nil"/>
              <w:bottom w:val="nil"/>
              <w:right w:val="nil"/>
            </w:tcBorders>
            <w:shd w:val="clear" w:color="auto" w:fill="auto"/>
            <w:vAlign w:val="center"/>
            <w:hideMark/>
          </w:tcPr>
          <w:p w14:paraId="62B4952D" w14:textId="3A67FD42" w:rsidR="00B33E02" w:rsidRPr="006E1A32" w:rsidRDefault="00B33E02" w:rsidP="0096095C">
            <w:pPr>
              <w:jc w:val="both"/>
              <w:rPr>
                <w:rFonts w:ascii="Arial" w:hAnsi="Arial" w:cs="Arial"/>
                <w:color w:val="000000"/>
                <w:sz w:val="18"/>
                <w:szCs w:val="18"/>
              </w:rPr>
            </w:pPr>
            <w:r w:rsidRPr="006E1A32">
              <w:rPr>
                <w:rFonts w:ascii="Arial" w:hAnsi="Arial" w:cs="Arial"/>
                <w:color w:val="000000"/>
                <w:sz w:val="18"/>
                <w:szCs w:val="18"/>
              </w:rPr>
              <w:t>Court</w:t>
            </w:r>
            <w:r w:rsidR="008A0F1B">
              <w:rPr>
                <w:rFonts w:ascii="Arial" w:hAnsi="Arial" w:cs="Arial"/>
                <w:color w:val="000000"/>
                <w:sz w:val="18"/>
                <w:szCs w:val="18"/>
              </w:rPr>
              <w:t>-</w:t>
            </w:r>
            <w:r w:rsidRPr="006E1A32">
              <w:rPr>
                <w:rFonts w:ascii="Arial" w:hAnsi="Arial" w:cs="Arial"/>
                <w:color w:val="000000"/>
                <w:sz w:val="18"/>
                <w:szCs w:val="18"/>
              </w:rPr>
              <w:t>involved</w:t>
            </w:r>
          </w:p>
        </w:tc>
        <w:tc>
          <w:tcPr>
            <w:tcW w:w="1476" w:type="dxa"/>
            <w:tcBorders>
              <w:top w:val="nil"/>
              <w:left w:val="nil"/>
              <w:bottom w:val="nil"/>
              <w:right w:val="nil"/>
            </w:tcBorders>
            <w:shd w:val="clear" w:color="auto" w:fill="auto"/>
            <w:vAlign w:val="center"/>
            <w:hideMark/>
          </w:tcPr>
          <w:p w14:paraId="44CBDB5B" w14:textId="47EC7BCF"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90</w:t>
            </w:r>
          </w:p>
        </w:tc>
        <w:tc>
          <w:tcPr>
            <w:tcW w:w="1266" w:type="dxa"/>
            <w:tcBorders>
              <w:top w:val="nil"/>
              <w:left w:val="nil"/>
              <w:bottom w:val="nil"/>
              <w:right w:val="nil"/>
            </w:tcBorders>
            <w:shd w:val="clear" w:color="auto" w:fill="auto"/>
            <w:vAlign w:val="center"/>
            <w:hideMark/>
          </w:tcPr>
          <w:p w14:paraId="5BAAFD23" w14:textId="506EB47F"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81</w:t>
            </w:r>
          </w:p>
        </w:tc>
        <w:tc>
          <w:tcPr>
            <w:tcW w:w="1799" w:type="dxa"/>
            <w:tcBorders>
              <w:top w:val="nil"/>
              <w:left w:val="nil"/>
              <w:bottom w:val="nil"/>
              <w:right w:val="nil"/>
            </w:tcBorders>
            <w:shd w:val="clear" w:color="auto" w:fill="auto"/>
            <w:vAlign w:val="center"/>
            <w:hideMark/>
          </w:tcPr>
          <w:p w14:paraId="49BE01B4" w14:textId="426BB0B5" w:rsidR="00B33E02" w:rsidRPr="006E1A32" w:rsidRDefault="003E4EC1" w:rsidP="0096095C">
            <w:pPr>
              <w:jc w:val="center"/>
              <w:rPr>
                <w:rFonts w:ascii="Arial" w:hAnsi="Arial" w:cs="Arial"/>
                <w:color w:val="000000"/>
                <w:sz w:val="18"/>
                <w:szCs w:val="18"/>
              </w:rPr>
            </w:pPr>
            <w:r w:rsidRPr="006E1A32">
              <w:rPr>
                <w:rFonts w:ascii="Arial" w:hAnsi="Arial" w:cs="Arial"/>
                <w:color w:val="000000"/>
                <w:sz w:val="18"/>
                <w:szCs w:val="18"/>
              </w:rPr>
              <w:t>5</w:t>
            </w:r>
            <w:r>
              <w:rPr>
                <w:rFonts w:ascii="Arial" w:hAnsi="Arial" w:cs="Arial"/>
                <w:color w:val="000000"/>
                <w:sz w:val="18"/>
                <w:szCs w:val="18"/>
              </w:rPr>
              <w:t>8</w:t>
            </w:r>
          </w:p>
        </w:tc>
        <w:tc>
          <w:tcPr>
            <w:tcW w:w="1799" w:type="dxa"/>
            <w:tcBorders>
              <w:top w:val="nil"/>
              <w:left w:val="nil"/>
              <w:bottom w:val="nil"/>
              <w:right w:val="nil"/>
            </w:tcBorders>
            <w:shd w:val="clear" w:color="auto" w:fill="auto"/>
            <w:vAlign w:val="center"/>
            <w:hideMark/>
          </w:tcPr>
          <w:p w14:paraId="19543600" w14:textId="17DA23CF"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69</w:t>
            </w:r>
          </w:p>
        </w:tc>
      </w:tr>
      <w:tr w:rsidR="00B33E02" w:rsidRPr="006E1A32" w14:paraId="0CF15A54" w14:textId="77777777" w:rsidTr="00B33E02">
        <w:trPr>
          <w:trHeight w:val="20"/>
        </w:trPr>
        <w:tc>
          <w:tcPr>
            <w:tcW w:w="2797" w:type="dxa"/>
            <w:tcBorders>
              <w:top w:val="nil"/>
              <w:left w:val="nil"/>
              <w:bottom w:val="single" w:sz="4" w:space="0" w:color="auto"/>
              <w:right w:val="nil"/>
            </w:tcBorders>
            <w:shd w:val="clear" w:color="auto" w:fill="auto"/>
            <w:vAlign w:val="center"/>
            <w:hideMark/>
          </w:tcPr>
          <w:p w14:paraId="2EBCD3C8" w14:textId="77777777" w:rsidR="00B33E02" w:rsidRPr="006E1A32" w:rsidRDefault="00B33E02" w:rsidP="0096095C">
            <w:pPr>
              <w:jc w:val="both"/>
              <w:rPr>
                <w:rFonts w:ascii="Arial" w:hAnsi="Arial" w:cs="Arial"/>
                <w:color w:val="000000"/>
                <w:sz w:val="18"/>
                <w:szCs w:val="18"/>
              </w:rPr>
            </w:pPr>
            <w:r w:rsidRPr="006E1A32">
              <w:rPr>
                <w:rFonts w:ascii="Arial" w:hAnsi="Arial" w:cs="Arial"/>
                <w:color w:val="000000"/>
                <w:sz w:val="18"/>
                <w:szCs w:val="18"/>
              </w:rPr>
              <w:t>Non-court-involved</w:t>
            </w:r>
          </w:p>
        </w:tc>
        <w:tc>
          <w:tcPr>
            <w:tcW w:w="1476" w:type="dxa"/>
            <w:tcBorders>
              <w:top w:val="nil"/>
              <w:left w:val="nil"/>
              <w:bottom w:val="single" w:sz="4" w:space="0" w:color="auto"/>
              <w:right w:val="nil"/>
            </w:tcBorders>
            <w:shd w:val="clear" w:color="auto" w:fill="auto"/>
            <w:vAlign w:val="center"/>
            <w:hideMark/>
          </w:tcPr>
          <w:p w14:paraId="1D15645E" w14:textId="5BA01B12"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90</w:t>
            </w:r>
          </w:p>
        </w:tc>
        <w:tc>
          <w:tcPr>
            <w:tcW w:w="1266" w:type="dxa"/>
            <w:tcBorders>
              <w:top w:val="nil"/>
              <w:left w:val="nil"/>
              <w:bottom w:val="single" w:sz="4" w:space="0" w:color="auto"/>
              <w:right w:val="nil"/>
            </w:tcBorders>
            <w:shd w:val="clear" w:color="auto" w:fill="auto"/>
            <w:vAlign w:val="center"/>
            <w:hideMark/>
          </w:tcPr>
          <w:p w14:paraId="58B83347" w14:textId="0B832381"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81</w:t>
            </w:r>
          </w:p>
        </w:tc>
        <w:tc>
          <w:tcPr>
            <w:tcW w:w="1799" w:type="dxa"/>
            <w:tcBorders>
              <w:top w:val="nil"/>
              <w:left w:val="nil"/>
              <w:bottom w:val="single" w:sz="4" w:space="0" w:color="auto"/>
              <w:right w:val="nil"/>
            </w:tcBorders>
            <w:shd w:val="clear" w:color="auto" w:fill="auto"/>
            <w:vAlign w:val="center"/>
            <w:hideMark/>
          </w:tcPr>
          <w:p w14:paraId="2D940F6C" w14:textId="572BBC41"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59</w:t>
            </w:r>
          </w:p>
        </w:tc>
        <w:tc>
          <w:tcPr>
            <w:tcW w:w="1799" w:type="dxa"/>
            <w:tcBorders>
              <w:top w:val="nil"/>
              <w:left w:val="nil"/>
              <w:bottom w:val="single" w:sz="4" w:space="0" w:color="auto"/>
              <w:right w:val="nil"/>
            </w:tcBorders>
            <w:shd w:val="clear" w:color="auto" w:fill="auto"/>
            <w:vAlign w:val="center"/>
            <w:hideMark/>
          </w:tcPr>
          <w:p w14:paraId="242079E7" w14:textId="6EFC6904" w:rsidR="00B33E02" w:rsidRPr="006E1A32" w:rsidRDefault="00B33E02" w:rsidP="0096095C">
            <w:pPr>
              <w:jc w:val="center"/>
              <w:rPr>
                <w:rFonts w:ascii="Arial" w:hAnsi="Arial" w:cs="Arial"/>
                <w:color w:val="000000"/>
                <w:sz w:val="18"/>
                <w:szCs w:val="18"/>
              </w:rPr>
            </w:pPr>
            <w:r w:rsidRPr="006E1A32">
              <w:rPr>
                <w:rFonts w:ascii="Arial" w:hAnsi="Arial" w:cs="Arial"/>
                <w:color w:val="000000"/>
                <w:sz w:val="18"/>
                <w:szCs w:val="18"/>
              </w:rPr>
              <w:t>69</w:t>
            </w:r>
          </w:p>
        </w:tc>
      </w:tr>
      <w:tr w:rsidR="00D77D3E" w:rsidRPr="006E1A32" w14:paraId="6A9DA131" w14:textId="77777777" w:rsidTr="00B33E02">
        <w:trPr>
          <w:trHeight w:val="20"/>
        </w:trPr>
        <w:tc>
          <w:tcPr>
            <w:tcW w:w="2797" w:type="dxa"/>
            <w:tcBorders>
              <w:top w:val="nil"/>
              <w:left w:val="nil"/>
              <w:bottom w:val="nil"/>
              <w:right w:val="nil"/>
            </w:tcBorders>
            <w:shd w:val="clear" w:color="auto" w:fill="auto"/>
            <w:vAlign w:val="center"/>
            <w:hideMark/>
          </w:tcPr>
          <w:p w14:paraId="2222FFF7" w14:textId="5DC06D8A" w:rsidR="00D77D3E" w:rsidRPr="006E1A32" w:rsidRDefault="00D77D3E" w:rsidP="0096095C">
            <w:pPr>
              <w:jc w:val="both"/>
              <w:rPr>
                <w:rFonts w:ascii="Arial" w:hAnsi="Arial" w:cs="Arial"/>
                <w:b/>
                <w:bCs/>
                <w:sz w:val="18"/>
                <w:szCs w:val="18"/>
              </w:rPr>
            </w:pPr>
            <w:r w:rsidRPr="006E1A32">
              <w:rPr>
                <w:rFonts w:ascii="Arial" w:hAnsi="Arial" w:cs="Arial"/>
                <w:b/>
                <w:bCs/>
                <w:sz w:val="18"/>
                <w:szCs w:val="18"/>
              </w:rPr>
              <w:t xml:space="preserve">Totals for </w:t>
            </w:r>
            <w:r w:rsidR="00941EF8">
              <w:rPr>
                <w:rFonts w:ascii="Arial" w:hAnsi="Arial" w:cs="Arial"/>
                <w:b/>
                <w:bCs/>
                <w:sz w:val="18"/>
                <w:szCs w:val="18"/>
              </w:rPr>
              <w:t>c</w:t>
            </w:r>
            <w:r w:rsidRPr="006E1A32">
              <w:rPr>
                <w:rFonts w:ascii="Arial" w:hAnsi="Arial" w:cs="Arial"/>
                <w:b/>
                <w:bCs/>
                <w:sz w:val="18"/>
                <w:szCs w:val="18"/>
              </w:rPr>
              <w:t>ohorts 4</w:t>
            </w:r>
            <w:r w:rsidR="00941EF8">
              <w:rPr>
                <w:rFonts w:ascii="Arial" w:hAnsi="Arial" w:cs="Arial"/>
                <w:b/>
                <w:bCs/>
                <w:sz w:val="18"/>
                <w:szCs w:val="18"/>
              </w:rPr>
              <w:t>–</w:t>
            </w:r>
            <w:r w:rsidRPr="006E1A32">
              <w:rPr>
                <w:rFonts w:ascii="Arial" w:hAnsi="Arial" w:cs="Arial"/>
                <w:b/>
                <w:bCs/>
                <w:sz w:val="18"/>
                <w:szCs w:val="18"/>
              </w:rPr>
              <w:t>6</w:t>
            </w:r>
          </w:p>
        </w:tc>
        <w:tc>
          <w:tcPr>
            <w:tcW w:w="1476" w:type="dxa"/>
            <w:tcBorders>
              <w:top w:val="nil"/>
              <w:left w:val="nil"/>
              <w:bottom w:val="nil"/>
              <w:right w:val="nil"/>
            </w:tcBorders>
            <w:shd w:val="clear" w:color="auto" w:fill="auto"/>
            <w:vAlign w:val="center"/>
          </w:tcPr>
          <w:p w14:paraId="33C26A18" w14:textId="77777777" w:rsidR="00D77D3E" w:rsidRPr="006E1A32" w:rsidRDefault="00D77D3E" w:rsidP="0096095C">
            <w:pPr>
              <w:jc w:val="center"/>
              <w:rPr>
                <w:rFonts w:ascii="Arial" w:hAnsi="Arial" w:cs="Arial"/>
                <w:sz w:val="18"/>
                <w:szCs w:val="18"/>
              </w:rPr>
            </w:pPr>
          </w:p>
        </w:tc>
        <w:tc>
          <w:tcPr>
            <w:tcW w:w="1266" w:type="dxa"/>
            <w:tcBorders>
              <w:top w:val="nil"/>
              <w:left w:val="nil"/>
              <w:bottom w:val="nil"/>
              <w:right w:val="nil"/>
            </w:tcBorders>
            <w:shd w:val="clear" w:color="auto" w:fill="auto"/>
            <w:vAlign w:val="center"/>
          </w:tcPr>
          <w:p w14:paraId="446CD982" w14:textId="77777777" w:rsidR="00D77D3E" w:rsidRPr="006E1A32" w:rsidRDefault="00D77D3E" w:rsidP="0096095C">
            <w:pPr>
              <w:jc w:val="center"/>
              <w:rPr>
                <w:rFonts w:ascii="Arial" w:hAnsi="Arial" w:cs="Arial"/>
                <w:sz w:val="18"/>
                <w:szCs w:val="18"/>
              </w:rPr>
            </w:pPr>
          </w:p>
        </w:tc>
        <w:tc>
          <w:tcPr>
            <w:tcW w:w="1799" w:type="dxa"/>
            <w:tcBorders>
              <w:top w:val="nil"/>
              <w:left w:val="nil"/>
              <w:bottom w:val="nil"/>
              <w:right w:val="nil"/>
            </w:tcBorders>
            <w:shd w:val="clear" w:color="auto" w:fill="auto"/>
            <w:vAlign w:val="center"/>
          </w:tcPr>
          <w:p w14:paraId="1EE1324F" w14:textId="77777777" w:rsidR="00D77D3E" w:rsidRPr="006E1A32" w:rsidRDefault="00D77D3E" w:rsidP="0096095C">
            <w:pPr>
              <w:jc w:val="center"/>
              <w:rPr>
                <w:rFonts w:ascii="Arial" w:hAnsi="Arial" w:cs="Arial"/>
                <w:sz w:val="18"/>
                <w:szCs w:val="18"/>
              </w:rPr>
            </w:pPr>
          </w:p>
        </w:tc>
        <w:tc>
          <w:tcPr>
            <w:tcW w:w="1799" w:type="dxa"/>
            <w:tcBorders>
              <w:top w:val="nil"/>
              <w:left w:val="nil"/>
              <w:bottom w:val="nil"/>
              <w:right w:val="nil"/>
            </w:tcBorders>
            <w:shd w:val="clear" w:color="auto" w:fill="auto"/>
            <w:vAlign w:val="center"/>
          </w:tcPr>
          <w:p w14:paraId="4053D19F" w14:textId="77777777" w:rsidR="00D77D3E" w:rsidRPr="006E1A32" w:rsidRDefault="00D77D3E" w:rsidP="0096095C">
            <w:pPr>
              <w:jc w:val="center"/>
              <w:rPr>
                <w:rFonts w:ascii="Arial" w:hAnsi="Arial" w:cs="Arial"/>
                <w:sz w:val="18"/>
                <w:szCs w:val="18"/>
              </w:rPr>
            </w:pPr>
          </w:p>
        </w:tc>
      </w:tr>
      <w:tr w:rsidR="00D77D3E" w:rsidRPr="006E1A32" w14:paraId="7BF84F06" w14:textId="77777777" w:rsidTr="00B33E02">
        <w:trPr>
          <w:trHeight w:val="20"/>
        </w:trPr>
        <w:tc>
          <w:tcPr>
            <w:tcW w:w="2797" w:type="dxa"/>
            <w:tcBorders>
              <w:top w:val="nil"/>
              <w:left w:val="nil"/>
              <w:right w:val="nil"/>
            </w:tcBorders>
            <w:shd w:val="clear" w:color="auto" w:fill="auto"/>
            <w:vAlign w:val="center"/>
          </w:tcPr>
          <w:p w14:paraId="3C3DCC3D" w14:textId="030CC4BF" w:rsidR="00D77D3E" w:rsidRPr="0096095C" w:rsidRDefault="00D77D3E" w:rsidP="0096095C">
            <w:pPr>
              <w:jc w:val="both"/>
              <w:rPr>
                <w:rFonts w:ascii="Arial" w:hAnsi="Arial" w:cs="Arial"/>
                <w:b/>
                <w:bCs/>
                <w:sz w:val="18"/>
                <w:szCs w:val="18"/>
              </w:rPr>
            </w:pPr>
            <w:r w:rsidRPr="0096095C">
              <w:rPr>
                <w:rFonts w:ascii="Arial" w:hAnsi="Arial" w:cs="Arial"/>
                <w:b/>
                <w:bCs/>
                <w:sz w:val="18"/>
                <w:szCs w:val="18"/>
              </w:rPr>
              <w:t>Total start</w:t>
            </w:r>
            <w:r w:rsidR="0032739A" w:rsidRPr="0096095C">
              <w:rPr>
                <w:rFonts w:ascii="Arial" w:hAnsi="Arial" w:cs="Arial"/>
                <w:b/>
                <w:bCs/>
                <w:sz w:val="18"/>
                <w:szCs w:val="18"/>
              </w:rPr>
              <w:t>ing</w:t>
            </w:r>
            <w:r w:rsidRPr="0096095C">
              <w:rPr>
                <w:rFonts w:ascii="Arial" w:hAnsi="Arial" w:cs="Arial"/>
                <w:b/>
                <w:bCs/>
                <w:sz w:val="18"/>
                <w:szCs w:val="18"/>
              </w:rPr>
              <w:t xml:space="preserve"> Job ChalleNGe</w:t>
            </w:r>
          </w:p>
        </w:tc>
        <w:tc>
          <w:tcPr>
            <w:tcW w:w="1476" w:type="dxa"/>
            <w:tcBorders>
              <w:top w:val="nil"/>
              <w:left w:val="nil"/>
              <w:right w:val="nil"/>
            </w:tcBorders>
            <w:shd w:val="clear" w:color="auto" w:fill="auto"/>
            <w:vAlign w:val="center"/>
          </w:tcPr>
          <w:p w14:paraId="29D1082B" w14:textId="4CD00956" w:rsidR="00D77D3E" w:rsidRPr="0096095C" w:rsidRDefault="00D77D3E" w:rsidP="0096095C">
            <w:pPr>
              <w:jc w:val="center"/>
              <w:rPr>
                <w:rFonts w:ascii="Arial" w:hAnsi="Arial" w:cs="Arial"/>
                <w:b/>
                <w:sz w:val="18"/>
                <w:szCs w:val="18"/>
              </w:rPr>
            </w:pPr>
            <w:r w:rsidRPr="0096095C">
              <w:rPr>
                <w:rFonts w:ascii="Arial" w:hAnsi="Arial" w:cs="Arial"/>
                <w:b/>
                <w:color w:val="000000"/>
                <w:sz w:val="18"/>
                <w:szCs w:val="18"/>
              </w:rPr>
              <w:t>540</w:t>
            </w:r>
          </w:p>
        </w:tc>
        <w:tc>
          <w:tcPr>
            <w:tcW w:w="1266" w:type="dxa"/>
            <w:tcBorders>
              <w:top w:val="nil"/>
              <w:left w:val="nil"/>
              <w:right w:val="nil"/>
            </w:tcBorders>
            <w:shd w:val="clear" w:color="auto" w:fill="auto"/>
            <w:vAlign w:val="center"/>
          </w:tcPr>
          <w:p w14:paraId="53332273" w14:textId="65A40C92" w:rsidR="00D77D3E" w:rsidRPr="0096095C" w:rsidRDefault="00D77D3E" w:rsidP="0096095C">
            <w:pPr>
              <w:jc w:val="center"/>
              <w:rPr>
                <w:rFonts w:ascii="Arial" w:hAnsi="Arial" w:cs="Arial"/>
                <w:b/>
                <w:sz w:val="18"/>
                <w:szCs w:val="18"/>
              </w:rPr>
            </w:pPr>
            <w:r w:rsidRPr="0096095C">
              <w:rPr>
                <w:rFonts w:ascii="Arial" w:hAnsi="Arial" w:cs="Arial"/>
                <w:b/>
                <w:color w:val="000000"/>
                <w:sz w:val="18"/>
                <w:szCs w:val="18"/>
              </w:rPr>
              <w:t>486</w:t>
            </w:r>
          </w:p>
        </w:tc>
        <w:tc>
          <w:tcPr>
            <w:tcW w:w="1799" w:type="dxa"/>
            <w:tcBorders>
              <w:top w:val="nil"/>
              <w:left w:val="nil"/>
              <w:right w:val="nil"/>
            </w:tcBorders>
            <w:shd w:val="clear" w:color="auto" w:fill="auto"/>
            <w:vAlign w:val="center"/>
          </w:tcPr>
          <w:p w14:paraId="6BBD84E5" w14:textId="69FA9B9E" w:rsidR="00D77D3E" w:rsidRPr="0096095C" w:rsidRDefault="00B33E02" w:rsidP="0096095C">
            <w:pPr>
              <w:jc w:val="center"/>
              <w:rPr>
                <w:rFonts w:ascii="Arial" w:hAnsi="Arial" w:cs="Arial"/>
                <w:b/>
                <w:sz w:val="18"/>
                <w:szCs w:val="18"/>
              </w:rPr>
            </w:pPr>
            <w:r w:rsidRPr="0096095C">
              <w:rPr>
                <w:rFonts w:ascii="Arial" w:hAnsi="Arial" w:cs="Arial"/>
                <w:b/>
                <w:color w:val="000000"/>
                <w:sz w:val="18"/>
                <w:szCs w:val="18"/>
              </w:rPr>
              <w:t>351</w:t>
            </w:r>
          </w:p>
        </w:tc>
        <w:tc>
          <w:tcPr>
            <w:tcW w:w="1799" w:type="dxa"/>
            <w:tcBorders>
              <w:top w:val="nil"/>
              <w:left w:val="nil"/>
              <w:right w:val="nil"/>
            </w:tcBorders>
            <w:shd w:val="clear" w:color="auto" w:fill="auto"/>
            <w:vAlign w:val="center"/>
          </w:tcPr>
          <w:p w14:paraId="60A02D57" w14:textId="3A6487F3" w:rsidR="00D77D3E" w:rsidRPr="0096095C" w:rsidRDefault="00D77D3E" w:rsidP="0096095C">
            <w:pPr>
              <w:jc w:val="center"/>
              <w:rPr>
                <w:rFonts w:ascii="Arial" w:hAnsi="Arial" w:cs="Arial"/>
                <w:b/>
                <w:sz w:val="18"/>
                <w:szCs w:val="18"/>
              </w:rPr>
            </w:pPr>
            <w:r w:rsidRPr="0096095C">
              <w:rPr>
                <w:rFonts w:ascii="Arial" w:hAnsi="Arial" w:cs="Arial"/>
                <w:b/>
                <w:color w:val="000000"/>
                <w:sz w:val="18"/>
                <w:szCs w:val="18"/>
              </w:rPr>
              <w:t>414</w:t>
            </w:r>
          </w:p>
        </w:tc>
      </w:tr>
      <w:tr w:rsidR="00D77D3E" w:rsidRPr="006E1A32" w14:paraId="040FB4B4" w14:textId="77777777" w:rsidTr="00332373">
        <w:trPr>
          <w:trHeight w:val="20"/>
        </w:trPr>
        <w:tc>
          <w:tcPr>
            <w:tcW w:w="2797" w:type="dxa"/>
            <w:tcBorders>
              <w:top w:val="nil"/>
              <w:left w:val="nil"/>
              <w:right w:val="nil"/>
            </w:tcBorders>
            <w:shd w:val="clear" w:color="auto" w:fill="auto"/>
            <w:vAlign w:val="center"/>
          </w:tcPr>
          <w:p w14:paraId="7FFC9302" w14:textId="6FE4A308" w:rsidR="00D77D3E" w:rsidRPr="006E1A32" w:rsidRDefault="00D77D3E" w:rsidP="0096095C">
            <w:pPr>
              <w:jc w:val="both"/>
              <w:rPr>
                <w:rFonts w:ascii="Arial" w:hAnsi="Arial" w:cs="Arial"/>
                <w:b/>
                <w:bCs/>
                <w:sz w:val="18"/>
                <w:szCs w:val="18"/>
              </w:rPr>
            </w:pPr>
            <w:r w:rsidRPr="006E1A32">
              <w:rPr>
                <w:rFonts w:ascii="Arial" w:hAnsi="Arial" w:cs="Arial"/>
                <w:color w:val="000000"/>
                <w:sz w:val="18"/>
                <w:szCs w:val="18"/>
              </w:rPr>
              <w:t xml:space="preserve">Total </w:t>
            </w:r>
            <w:r w:rsidR="008A0F1B">
              <w:rPr>
                <w:rFonts w:ascii="Arial" w:hAnsi="Arial" w:cs="Arial"/>
                <w:color w:val="000000"/>
                <w:sz w:val="18"/>
                <w:szCs w:val="18"/>
              </w:rPr>
              <w:t>c</w:t>
            </w:r>
            <w:r w:rsidRPr="006E1A32">
              <w:rPr>
                <w:rFonts w:ascii="Arial" w:hAnsi="Arial" w:cs="Arial"/>
                <w:color w:val="000000"/>
                <w:sz w:val="18"/>
                <w:szCs w:val="18"/>
              </w:rPr>
              <w:t>ourt</w:t>
            </w:r>
            <w:r w:rsidR="008A0F1B">
              <w:rPr>
                <w:rFonts w:ascii="Arial" w:hAnsi="Arial" w:cs="Arial"/>
                <w:color w:val="000000"/>
                <w:sz w:val="18"/>
                <w:szCs w:val="18"/>
              </w:rPr>
              <w:t>-</w:t>
            </w:r>
            <w:r w:rsidRPr="006E1A32">
              <w:rPr>
                <w:rFonts w:ascii="Arial" w:hAnsi="Arial" w:cs="Arial"/>
                <w:color w:val="000000"/>
                <w:sz w:val="18"/>
                <w:szCs w:val="18"/>
              </w:rPr>
              <w:t>involved</w:t>
            </w:r>
          </w:p>
        </w:tc>
        <w:tc>
          <w:tcPr>
            <w:tcW w:w="1476" w:type="dxa"/>
            <w:tcBorders>
              <w:top w:val="nil"/>
              <w:left w:val="nil"/>
              <w:right w:val="nil"/>
            </w:tcBorders>
            <w:shd w:val="clear" w:color="auto" w:fill="auto"/>
            <w:vAlign w:val="center"/>
          </w:tcPr>
          <w:p w14:paraId="17A0C16B" w14:textId="16FE142F"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270</w:t>
            </w:r>
          </w:p>
        </w:tc>
        <w:tc>
          <w:tcPr>
            <w:tcW w:w="1266" w:type="dxa"/>
            <w:tcBorders>
              <w:top w:val="nil"/>
              <w:left w:val="nil"/>
              <w:right w:val="nil"/>
            </w:tcBorders>
            <w:shd w:val="clear" w:color="auto" w:fill="auto"/>
            <w:vAlign w:val="center"/>
          </w:tcPr>
          <w:p w14:paraId="0D28EBEF" w14:textId="6EF17F50"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243</w:t>
            </w:r>
          </w:p>
        </w:tc>
        <w:tc>
          <w:tcPr>
            <w:tcW w:w="1799" w:type="dxa"/>
            <w:tcBorders>
              <w:top w:val="nil"/>
              <w:left w:val="nil"/>
              <w:right w:val="nil"/>
            </w:tcBorders>
            <w:shd w:val="clear" w:color="auto" w:fill="auto"/>
            <w:vAlign w:val="center"/>
          </w:tcPr>
          <w:p w14:paraId="75EFDCEE" w14:textId="4D283732" w:rsidR="00D77D3E" w:rsidRPr="006E1A32" w:rsidRDefault="003E4EC1" w:rsidP="0096095C">
            <w:pPr>
              <w:jc w:val="center"/>
              <w:rPr>
                <w:rFonts w:ascii="Arial" w:hAnsi="Arial" w:cs="Arial"/>
                <w:color w:val="000000"/>
                <w:sz w:val="18"/>
                <w:szCs w:val="18"/>
              </w:rPr>
            </w:pPr>
            <w:r w:rsidRPr="006E1A32">
              <w:rPr>
                <w:rFonts w:ascii="Arial" w:hAnsi="Arial" w:cs="Arial"/>
                <w:color w:val="000000"/>
                <w:sz w:val="18"/>
                <w:szCs w:val="18"/>
              </w:rPr>
              <w:t>17</w:t>
            </w:r>
            <w:r>
              <w:rPr>
                <w:rFonts w:ascii="Arial" w:hAnsi="Arial" w:cs="Arial"/>
                <w:color w:val="000000"/>
                <w:sz w:val="18"/>
                <w:szCs w:val="18"/>
              </w:rPr>
              <w:t>4</w:t>
            </w:r>
          </w:p>
        </w:tc>
        <w:tc>
          <w:tcPr>
            <w:tcW w:w="1799" w:type="dxa"/>
            <w:tcBorders>
              <w:top w:val="nil"/>
              <w:left w:val="nil"/>
              <w:right w:val="nil"/>
            </w:tcBorders>
            <w:shd w:val="clear" w:color="auto" w:fill="auto"/>
            <w:vAlign w:val="center"/>
          </w:tcPr>
          <w:p w14:paraId="0DFB7DA4" w14:textId="60F7227F"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207</w:t>
            </w:r>
          </w:p>
        </w:tc>
      </w:tr>
      <w:tr w:rsidR="00D77D3E" w:rsidRPr="006E1A32" w14:paraId="1B3FF6F9" w14:textId="77777777" w:rsidTr="00332373">
        <w:trPr>
          <w:trHeight w:val="20"/>
        </w:trPr>
        <w:tc>
          <w:tcPr>
            <w:tcW w:w="2797" w:type="dxa"/>
            <w:tcBorders>
              <w:left w:val="nil"/>
              <w:bottom w:val="single" w:sz="8" w:space="0" w:color="000000"/>
              <w:right w:val="nil"/>
            </w:tcBorders>
            <w:shd w:val="clear" w:color="auto" w:fill="auto"/>
            <w:vAlign w:val="center"/>
          </w:tcPr>
          <w:p w14:paraId="699412BD" w14:textId="1ADA4525" w:rsidR="00D77D3E" w:rsidRPr="006E1A32" w:rsidRDefault="00D77D3E" w:rsidP="0096095C">
            <w:pPr>
              <w:jc w:val="both"/>
              <w:rPr>
                <w:rFonts w:ascii="Arial" w:hAnsi="Arial" w:cs="Arial"/>
                <w:b/>
                <w:bCs/>
                <w:sz w:val="18"/>
                <w:szCs w:val="18"/>
              </w:rPr>
            </w:pPr>
            <w:r w:rsidRPr="006E1A32">
              <w:rPr>
                <w:rFonts w:ascii="Arial" w:hAnsi="Arial" w:cs="Arial"/>
                <w:color w:val="000000"/>
                <w:sz w:val="18"/>
                <w:szCs w:val="18"/>
              </w:rPr>
              <w:t xml:space="preserve">Total </w:t>
            </w:r>
            <w:r w:rsidR="008A0F1B">
              <w:rPr>
                <w:rFonts w:ascii="Arial" w:hAnsi="Arial" w:cs="Arial"/>
                <w:color w:val="000000"/>
                <w:sz w:val="18"/>
                <w:szCs w:val="18"/>
              </w:rPr>
              <w:t>n</w:t>
            </w:r>
            <w:r w:rsidRPr="006E1A32">
              <w:rPr>
                <w:rFonts w:ascii="Arial" w:hAnsi="Arial" w:cs="Arial"/>
                <w:color w:val="000000"/>
                <w:sz w:val="18"/>
                <w:szCs w:val="18"/>
              </w:rPr>
              <w:t>on-court-involved</w:t>
            </w:r>
          </w:p>
        </w:tc>
        <w:tc>
          <w:tcPr>
            <w:tcW w:w="1476" w:type="dxa"/>
            <w:tcBorders>
              <w:left w:val="nil"/>
              <w:bottom w:val="single" w:sz="8" w:space="0" w:color="000000"/>
              <w:right w:val="nil"/>
            </w:tcBorders>
            <w:shd w:val="clear" w:color="auto" w:fill="auto"/>
            <w:vAlign w:val="center"/>
          </w:tcPr>
          <w:p w14:paraId="709FC316" w14:textId="273681A3"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270</w:t>
            </w:r>
          </w:p>
        </w:tc>
        <w:tc>
          <w:tcPr>
            <w:tcW w:w="1266" w:type="dxa"/>
            <w:tcBorders>
              <w:left w:val="nil"/>
              <w:bottom w:val="single" w:sz="8" w:space="0" w:color="000000"/>
              <w:right w:val="nil"/>
            </w:tcBorders>
            <w:shd w:val="clear" w:color="auto" w:fill="auto"/>
            <w:vAlign w:val="center"/>
          </w:tcPr>
          <w:p w14:paraId="3C0C0872" w14:textId="4537A9C0"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243</w:t>
            </w:r>
          </w:p>
        </w:tc>
        <w:tc>
          <w:tcPr>
            <w:tcW w:w="1799" w:type="dxa"/>
            <w:tcBorders>
              <w:left w:val="nil"/>
              <w:bottom w:val="single" w:sz="8" w:space="0" w:color="000000"/>
              <w:right w:val="nil"/>
            </w:tcBorders>
            <w:shd w:val="clear" w:color="auto" w:fill="auto"/>
            <w:vAlign w:val="center"/>
          </w:tcPr>
          <w:p w14:paraId="34ACD528" w14:textId="429B56F6" w:rsidR="00D77D3E" w:rsidRPr="006E1A32" w:rsidRDefault="003E4EC1" w:rsidP="0096095C">
            <w:pPr>
              <w:jc w:val="center"/>
              <w:rPr>
                <w:rFonts w:ascii="Arial" w:hAnsi="Arial" w:cs="Arial"/>
                <w:color w:val="000000"/>
                <w:sz w:val="18"/>
                <w:szCs w:val="18"/>
              </w:rPr>
            </w:pPr>
            <w:r w:rsidRPr="006E1A32">
              <w:rPr>
                <w:rFonts w:ascii="Arial" w:hAnsi="Arial" w:cs="Arial"/>
                <w:color w:val="000000"/>
                <w:sz w:val="18"/>
                <w:szCs w:val="18"/>
              </w:rPr>
              <w:t>17</w:t>
            </w:r>
            <w:r>
              <w:rPr>
                <w:rFonts w:ascii="Arial" w:hAnsi="Arial" w:cs="Arial"/>
                <w:color w:val="000000"/>
                <w:sz w:val="18"/>
                <w:szCs w:val="18"/>
              </w:rPr>
              <w:t>7</w:t>
            </w:r>
          </w:p>
        </w:tc>
        <w:tc>
          <w:tcPr>
            <w:tcW w:w="1799" w:type="dxa"/>
            <w:tcBorders>
              <w:left w:val="nil"/>
              <w:bottom w:val="single" w:sz="8" w:space="0" w:color="000000"/>
              <w:right w:val="nil"/>
            </w:tcBorders>
            <w:shd w:val="clear" w:color="auto" w:fill="auto"/>
            <w:vAlign w:val="center"/>
          </w:tcPr>
          <w:p w14:paraId="657A2DE7" w14:textId="540BB71F" w:rsidR="00D77D3E" w:rsidRPr="006E1A32" w:rsidRDefault="00D77D3E" w:rsidP="0096095C">
            <w:pPr>
              <w:jc w:val="center"/>
              <w:rPr>
                <w:rFonts w:ascii="Arial" w:hAnsi="Arial" w:cs="Arial"/>
                <w:color w:val="000000"/>
                <w:sz w:val="18"/>
                <w:szCs w:val="18"/>
              </w:rPr>
            </w:pPr>
            <w:r w:rsidRPr="006E1A32">
              <w:rPr>
                <w:rFonts w:ascii="Arial" w:hAnsi="Arial" w:cs="Arial"/>
                <w:color w:val="000000"/>
                <w:sz w:val="18"/>
                <w:szCs w:val="18"/>
              </w:rPr>
              <w:t>207</w:t>
            </w:r>
          </w:p>
        </w:tc>
      </w:tr>
    </w:tbl>
    <w:p w14:paraId="66EC3916" w14:textId="749729C1" w:rsidR="00D77D3E" w:rsidRDefault="00D77D3E" w:rsidP="00D77D3E">
      <w:pPr>
        <w:pStyle w:val="TableFootnoteCaption"/>
      </w:pPr>
      <w:r>
        <w:t xml:space="preserve">Notes: The cohort numbering refers to the progression of Job ChalleNGe cohorts of youth for whom services are funded through the Youth ChalleNGe Job ChalleNGe grants awarded to three Youth ChalleNGe sites. The first </w:t>
      </w:r>
      <w:r w:rsidR="000D3DAF">
        <w:t>three</w:t>
      </w:r>
      <w:r>
        <w:t xml:space="preserve"> cohorts, which began receiving services between January 2016 and January 2017</w:t>
      </w:r>
      <w:r w:rsidR="005A609C">
        <w:t>,</w:t>
      </w:r>
      <w:r>
        <w:t xml:space="preserve"> will not be included in the data collection efforts for which clearance is being requested. </w:t>
      </w:r>
      <w:r w:rsidR="00941EF8">
        <w:t>Cohorts 4–6</w:t>
      </w:r>
      <w:r>
        <w:t xml:space="preserve"> will be included; they are expected to begin receiving Job ChalleNGe services between approximately July 2017 and July 2018. </w:t>
      </w:r>
    </w:p>
    <w:p w14:paraId="154C0A11" w14:textId="69EBC93A" w:rsidR="00D77D3E" w:rsidRDefault="00D77D3E" w:rsidP="00D77D3E">
      <w:pPr>
        <w:pStyle w:val="TableFootnoteCaption"/>
      </w:pPr>
      <w:r>
        <w:t>The numbers in the table are based on the following assumptions: (1) a consent rate of 90 percent</w:t>
      </w:r>
      <w:r w:rsidR="00B33E02">
        <w:t xml:space="preserve"> to the study and a consent rate of 85 percent to be contacted via text</w:t>
      </w:r>
      <w:r>
        <w:t>, (2) an 85 percent response rates for the monthly text message survey and the follow-up survey, and (3) a court</w:t>
      </w:r>
      <w:r w:rsidR="00B025F5">
        <w:t xml:space="preserve"> </w:t>
      </w:r>
      <w:r>
        <w:t xml:space="preserve">involvement rate of 50 percent. </w:t>
      </w:r>
    </w:p>
    <w:p w14:paraId="212AEBD8" w14:textId="5321903C" w:rsidR="00D77D3E" w:rsidRPr="003E4EC1" w:rsidRDefault="00D77D3E" w:rsidP="006E1A32">
      <w:pPr>
        <w:pStyle w:val="TableFootnoteCaption"/>
      </w:pPr>
      <w:r w:rsidRPr="00AF69A5">
        <w:rPr>
          <w:vertAlign w:val="superscript"/>
        </w:rPr>
        <w:t>a</w:t>
      </w:r>
      <w:r w:rsidR="005A609C">
        <w:rPr>
          <w:vertAlign w:val="superscript"/>
        </w:rPr>
        <w:t xml:space="preserve"> </w:t>
      </w:r>
      <w:r w:rsidRPr="006E1A32">
        <w:t>The</w:t>
      </w:r>
      <w:r w:rsidR="00D04307">
        <w:t xml:space="preserve"> monthly</w:t>
      </w:r>
      <w:r w:rsidRPr="006E1A32">
        <w:t xml:space="preserve"> text message survey will involve </w:t>
      </w:r>
      <w:r w:rsidR="00B025F5">
        <w:t>eight</w:t>
      </w:r>
      <w:r w:rsidR="00356257" w:rsidRPr="006E1A32">
        <w:t xml:space="preserve"> </w:t>
      </w:r>
      <w:r w:rsidRPr="006E1A32">
        <w:t xml:space="preserve">rounds of data collection: once monthly for each of </w:t>
      </w:r>
      <w:r w:rsidR="00B025F5">
        <w:t>eight</w:t>
      </w:r>
      <w:r w:rsidR="00356257" w:rsidRPr="006E1A32">
        <w:t xml:space="preserve"> </w:t>
      </w:r>
      <w:r w:rsidRPr="006E1A32">
        <w:t xml:space="preserve">months. Thus, in total, </w:t>
      </w:r>
      <w:r w:rsidR="00B025F5">
        <w:t xml:space="preserve">the evaluation team </w:t>
      </w:r>
      <w:r w:rsidRPr="006E1A32">
        <w:t>expect</w:t>
      </w:r>
      <w:r w:rsidR="00B025F5">
        <w:t>s</w:t>
      </w:r>
      <w:r w:rsidRPr="006E1A32">
        <w:t xml:space="preserve"> about </w:t>
      </w:r>
      <w:r w:rsidR="00B33E02" w:rsidRPr="006E1A32">
        <w:t>2,808</w:t>
      </w:r>
      <w:r w:rsidR="00356257" w:rsidRPr="006E1A32">
        <w:t xml:space="preserve"> </w:t>
      </w:r>
      <w:r w:rsidRPr="006E1A32">
        <w:t xml:space="preserve">survey responses (about </w:t>
      </w:r>
      <w:r w:rsidR="00B33E02" w:rsidRPr="003E4EC1">
        <w:t>351</w:t>
      </w:r>
      <w:r w:rsidR="00B33E02" w:rsidRPr="006E1A32">
        <w:t xml:space="preserve"> </w:t>
      </w:r>
      <w:r w:rsidRPr="006E1A32">
        <w:t xml:space="preserve">respondents per round times </w:t>
      </w:r>
      <w:r w:rsidR="00B025F5">
        <w:t>eight</w:t>
      </w:r>
      <w:r w:rsidR="00356257" w:rsidRPr="006E1A32">
        <w:t xml:space="preserve"> </w:t>
      </w:r>
      <w:r w:rsidRPr="006E1A32">
        <w:t>rounds).</w:t>
      </w:r>
      <w:r w:rsidR="00A339BE" w:rsidRPr="006E1A32">
        <w:t xml:space="preserve"> To address missing data, </w:t>
      </w:r>
      <w:r w:rsidR="006B4BB4" w:rsidRPr="00C36B6D">
        <w:t>the evaluation team</w:t>
      </w:r>
      <w:r w:rsidR="00A339BE" w:rsidRPr="00C36B6D">
        <w:t xml:space="preserve"> will limit the sample for the analysis of the </w:t>
      </w:r>
      <w:r w:rsidR="00D04307">
        <w:t xml:space="preserve">monthly </w:t>
      </w:r>
      <w:r w:rsidR="00A339BE" w:rsidRPr="00C36B6D">
        <w:t xml:space="preserve">text survey data to </w:t>
      </w:r>
      <w:r w:rsidR="00A339BE" w:rsidRPr="004C25FF">
        <w:t xml:space="preserve">respondents who filled out the </w:t>
      </w:r>
      <w:r w:rsidR="00D04307">
        <w:t xml:space="preserve">monthly </w:t>
      </w:r>
      <w:r w:rsidR="00A339BE" w:rsidRPr="004C25FF">
        <w:t xml:space="preserve">text survey in </w:t>
      </w:r>
      <w:r w:rsidR="006B4BB4" w:rsidRPr="004C25FF">
        <w:t xml:space="preserve">at least </w:t>
      </w:r>
      <w:r w:rsidR="00B025F5">
        <w:t>five</w:t>
      </w:r>
      <w:r w:rsidR="00A339BE" w:rsidRPr="004C25FF">
        <w:t xml:space="preserve"> of the </w:t>
      </w:r>
      <w:r w:rsidR="00B025F5">
        <w:t>eight</w:t>
      </w:r>
      <w:r w:rsidR="00A339BE" w:rsidRPr="004C25FF">
        <w:t xml:space="preserve"> months of survey administration. </w:t>
      </w:r>
      <w:r w:rsidR="006B4BB4" w:rsidRPr="004C25FF">
        <w:t xml:space="preserve">It is </w:t>
      </w:r>
      <w:r w:rsidR="0087759A" w:rsidRPr="004C25FF">
        <w:t>assume</w:t>
      </w:r>
      <w:r w:rsidR="006B4BB4" w:rsidRPr="004C25FF">
        <w:t>d</w:t>
      </w:r>
      <w:r w:rsidR="00A339BE" w:rsidRPr="004C25FF">
        <w:t xml:space="preserve"> the number of respondents who respond to the survey fewer than </w:t>
      </w:r>
      <w:r w:rsidR="00B025F5">
        <w:t>five</w:t>
      </w:r>
      <w:r w:rsidR="00A339BE" w:rsidRPr="004C25FF">
        <w:t xml:space="preserve"> time</w:t>
      </w:r>
      <w:r w:rsidR="0087759A" w:rsidRPr="003E4EC1">
        <w:t xml:space="preserve">s will be quite small but will result in a smaller analysis sample for the </w:t>
      </w:r>
      <w:r w:rsidR="00D04307">
        <w:t xml:space="preserve">monthly </w:t>
      </w:r>
      <w:r w:rsidR="0087759A" w:rsidRPr="003E4EC1">
        <w:t>text survey than estimated above.</w:t>
      </w:r>
      <w:r w:rsidR="00D905C8" w:rsidRPr="003E4EC1">
        <w:t xml:space="preserve"> In longitudinal surveys, respondent</w:t>
      </w:r>
      <w:r w:rsidR="005A0A00" w:rsidRPr="003E4EC1">
        <w:t xml:space="preserve"> </w:t>
      </w:r>
      <w:r w:rsidR="00D905C8" w:rsidRPr="003E4EC1">
        <w:t>s</w:t>
      </w:r>
      <w:r w:rsidR="005A0A00" w:rsidRPr="003E4EC1">
        <w:t>amples</w:t>
      </w:r>
      <w:r w:rsidR="00D905C8" w:rsidRPr="003E4EC1">
        <w:t xml:space="preserve"> can become increasingly </w:t>
      </w:r>
      <w:r w:rsidR="005A609C" w:rsidRPr="003E4EC1">
        <w:t>comp</w:t>
      </w:r>
      <w:r w:rsidR="005A609C">
        <w:t>os</w:t>
      </w:r>
      <w:r w:rsidR="005A609C" w:rsidRPr="003E4EC1">
        <w:t xml:space="preserve">ed </w:t>
      </w:r>
      <w:r w:rsidR="00D905C8" w:rsidRPr="003E4EC1">
        <w:t>of those who are most willing to participate</w:t>
      </w:r>
      <w:r w:rsidR="005A0A00" w:rsidRPr="003E4EC1">
        <w:t xml:space="preserve"> in each subsequent survey, though re</w:t>
      </w:r>
      <w:r w:rsidR="008A0F1B">
        <w:t>-</w:t>
      </w:r>
      <w:r w:rsidR="005A0A00" w:rsidRPr="003E4EC1">
        <w:t>interview response rates for many longitudinal studies show little evidence of selective attrition over time</w:t>
      </w:r>
      <w:r w:rsidR="00D905C8" w:rsidRPr="003E4EC1">
        <w:t>.</w:t>
      </w:r>
      <w:r w:rsidR="00850473">
        <w:rPr>
          <w:rStyle w:val="FootnoteReference"/>
        </w:rPr>
        <w:footnoteReference w:id="3"/>
      </w:r>
      <w:r w:rsidR="00D905C8" w:rsidRPr="003E4EC1">
        <w:t xml:space="preserve"> However</w:t>
      </w:r>
      <w:r w:rsidR="00760FA2">
        <w:t>,</w:t>
      </w:r>
      <w:r w:rsidR="00D905C8" w:rsidRPr="003E4EC1">
        <w:t xml:space="preserve"> most information about declines in response rates over time </w:t>
      </w:r>
      <w:r w:rsidR="00A73E12">
        <w:t>is</w:t>
      </w:r>
      <w:r w:rsidR="00A73E12" w:rsidRPr="003E4EC1">
        <w:t xml:space="preserve"> </w:t>
      </w:r>
      <w:r w:rsidR="00D905C8" w:rsidRPr="003E4EC1">
        <w:t>based on longitudinal studies with annual interviews</w:t>
      </w:r>
      <w:r w:rsidR="00B025F5">
        <w:t>,</w:t>
      </w:r>
      <w:r w:rsidR="00D905C8" w:rsidRPr="003E4EC1">
        <w:t xml:space="preserve"> where the length of time between interviews contributed to lower re</w:t>
      </w:r>
      <w:r w:rsidR="005A609C">
        <w:t>-</w:t>
      </w:r>
      <w:r w:rsidR="00D905C8" w:rsidRPr="003E4EC1">
        <w:t>interview response rates</w:t>
      </w:r>
      <w:r w:rsidR="005A609C">
        <w:t>;</w:t>
      </w:r>
      <w:r w:rsidR="005A0A00" w:rsidRPr="003E4EC1">
        <w:t xml:space="preserve"> strategies such as incentive payments and communication with respondents between waves contribute to maintaining response rates</w:t>
      </w:r>
      <w:r w:rsidR="00D905C8" w:rsidRPr="003E4EC1">
        <w:t xml:space="preserve">. </w:t>
      </w:r>
    </w:p>
    <w:p w14:paraId="303EF3BB" w14:textId="77777777" w:rsidR="00D77D3E" w:rsidRDefault="00D77D3E" w:rsidP="00D4696F">
      <w:pPr>
        <w:pStyle w:val="NormalSS"/>
        <w:spacing w:after="120"/>
      </w:pPr>
    </w:p>
    <w:p w14:paraId="0695FCB5" w14:textId="2440FEA7" w:rsidR="00DF5DC5" w:rsidRDefault="008E5484" w:rsidP="00DF5DC5">
      <w:pPr>
        <w:pStyle w:val="NormalSS"/>
      </w:pPr>
      <w:r>
        <w:t>The expected</w:t>
      </w:r>
      <w:r w:rsidR="00DF5DC5">
        <w:t xml:space="preserve"> response rates (</w:t>
      </w:r>
      <w:r w:rsidR="004F05AF" w:rsidRPr="00EF7C8B">
        <w:t>approximately</w:t>
      </w:r>
      <w:r w:rsidR="00DF5DC5" w:rsidRPr="00EF7C8B">
        <w:t xml:space="preserve"> </w:t>
      </w:r>
      <w:r w:rsidR="004F05AF" w:rsidRPr="00EF7C8B">
        <w:t>8</w:t>
      </w:r>
      <w:r w:rsidR="00EF7C8B" w:rsidRPr="00EF7C8B">
        <w:t>5</w:t>
      </w:r>
      <w:r w:rsidR="00DF5DC5" w:rsidRPr="00EF7C8B">
        <w:t xml:space="preserve"> percent</w:t>
      </w:r>
      <w:r w:rsidR="00DF5DC5">
        <w:t xml:space="preserve">) for both the </w:t>
      </w:r>
      <w:r w:rsidR="00B7082F">
        <w:t xml:space="preserve">brief </w:t>
      </w:r>
      <w:r w:rsidR="00D04307">
        <w:t xml:space="preserve">monthly </w:t>
      </w:r>
      <w:r w:rsidR="00B7082F">
        <w:t>text message survey</w:t>
      </w:r>
      <w:r w:rsidR="004F05AF">
        <w:t xml:space="preserve"> and the follow</w:t>
      </w:r>
      <w:r w:rsidR="00DB5320">
        <w:t>-</w:t>
      </w:r>
      <w:r w:rsidR="004F05AF">
        <w:t>up survey</w:t>
      </w:r>
      <w:r>
        <w:t xml:space="preserve"> are </w:t>
      </w:r>
      <w:r w:rsidR="00DF5DC5">
        <w:t xml:space="preserve">based on </w:t>
      </w:r>
      <w:r w:rsidR="00D12531">
        <w:t xml:space="preserve">the evaluator’s </w:t>
      </w:r>
      <w:r w:rsidR="00DF5DC5" w:rsidRPr="00917A5E">
        <w:t xml:space="preserve">prior experience conducting </w:t>
      </w:r>
      <w:r w:rsidR="00DF0633" w:rsidRPr="00917A5E">
        <w:t xml:space="preserve">an </w:t>
      </w:r>
      <w:r w:rsidR="00DF5DC5" w:rsidRPr="00917A5E">
        <w:t xml:space="preserve">evaluation of </w:t>
      </w:r>
      <w:r w:rsidR="00F42E86" w:rsidRPr="00917A5E">
        <w:t>YouthBuild,</w:t>
      </w:r>
      <w:r w:rsidR="00F42E86">
        <w:t xml:space="preserve"> a </w:t>
      </w:r>
      <w:r w:rsidR="00DF5DC5">
        <w:t>program</w:t>
      </w:r>
      <w:r w:rsidR="00EF5606">
        <w:t xml:space="preserve"> serving a similar youth population</w:t>
      </w:r>
      <w:r w:rsidR="00F42E86">
        <w:t xml:space="preserve">, which </w:t>
      </w:r>
      <w:r w:rsidR="00B025F5">
        <w:t xml:space="preserve">obtained </w:t>
      </w:r>
      <w:r w:rsidR="00FF79DB">
        <w:t xml:space="preserve">comparable </w:t>
      </w:r>
      <w:r w:rsidR="00F42E86">
        <w:t>response rate</w:t>
      </w:r>
      <w:r w:rsidR="004F05AF">
        <w:t>s</w:t>
      </w:r>
      <w:r w:rsidR="0065592C">
        <w:t xml:space="preserve"> for a 12</w:t>
      </w:r>
      <w:r w:rsidR="008A0F1B">
        <w:t>-</w:t>
      </w:r>
      <w:r w:rsidR="0065592C">
        <w:t>month follow-up period</w:t>
      </w:r>
      <w:r w:rsidR="00F42E86">
        <w:t>.</w:t>
      </w:r>
      <w:r w:rsidR="00F42E86" w:rsidDel="00F42E86">
        <w:t xml:space="preserve"> </w:t>
      </w:r>
    </w:p>
    <w:p w14:paraId="42F31337" w14:textId="77777777" w:rsidR="00DF5DC5" w:rsidRPr="000144C2" w:rsidRDefault="00DF5DC5" w:rsidP="008F446A">
      <w:pPr>
        <w:pStyle w:val="H4Number"/>
      </w:pPr>
      <w:bookmarkStart w:id="19" w:name="_Toc299537547"/>
      <w:bookmarkStart w:id="20" w:name="_Toc428365575"/>
      <w:bookmarkStart w:id="21" w:name="_Toc428366621"/>
      <w:bookmarkStart w:id="22" w:name="_Toc428366635"/>
      <w:r>
        <w:t>2.</w:t>
      </w:r>
      <w:r>
        <w:tab/>
        <w:t>Procedures for the collection of information</w:t>
      </w:r>
      <w:bookmarkEnd w:id="19"/>
      <w:bookmarkEnd w:id="20"/>
      <w:bookmarkEnd w:id="21"/>
      <w:bookmarkEnd w:id="22"/>
    </w:p>
    <w:p w14:paraId="42457970" w14:textId="4330B3B5" w:rsidR="005B4E16" w:rsidRDefault="00123F0B" w:rsidP="003E0E47">
      <w:pPr>
        <w:pStyle w:val="NormalSS"/>
      </w:pPr>
      <w:r>
        <w:t xml:space="preserve">The study will include all youth enrolled in Job ChalleNGe cohorts 4, 5, and 6 </w:t>
      </w:r>
      <w:r w:rsidR="00D57158">
        <w:t>who consent</w:t>
      </w:r>
      <w:r w:rsidR="007563B4">
        <w:t>ed</w:t>
      </w:r>
      <w:r w:rsidR="00D57158">
        <w:t xml:space="preserve"> to </w:t>
      </w:r>
      <w:r w:rsidR="007563B4">
        <w:t>participate in the evaluation (approximately 486 youth).</w:t>
      </w:r>
      <w:r w:rsidR="008A0F1B">
        <w:t xml:space="preserve"> </w:t>
      </w:r>
      <w:r>
        <w:t>As mentioned a</w:t>
      </w:r>
      <w:r w:rsidR="007563B4">
        <w:t>bove, this is a</w:t>
      </w:r>
      <w:r>
        <w:t xml:space="preserve"> follow-up </w:t>
      </w:r>
      <w:r w:rsidR="007563B4">
        <w:t xml:space="preserve">data collection </w:t>
      </w:r>
      <w:r>
        <w:t xml:space="preserve">of a sample previously enrolled in the study. </w:t>
      </w:r>
      <w:r w:rsidR="00EA2D06">
        <w:t xml:space="preserve">Prior to the collection of baseline data </w:t>
      </w:r>
      <w:r w:rsidR="002B2209">
        <w:t>sample members</w:t>
      </w:r>
      <w:r w:rsidR="00EA2D06">
        <w:t>, y</w:t>
      </w:r>
      <w:r w:rsidR="00DF5DC5" w:rsidRPr="00AC142E">
        <w:t xml:space="preserve">outh (and their parents/guardians, when needed) </w:t>
      </w:r>
      <w:r w:rsidR="005B4E16">
        <w:t>were</w:t>
      </w:r>
      <w:r w:rsidR="00DF5DC5" w:rsidRPr="00AC142E">
        <w:t xml:space="preserve"> asked to provide consent </w:t>
      </w:r>
      <w:r>
        <w:t>to participate</w:t>
      </w:r>
      <w:r w:rsidR="00DF5DC5" w:rsidRPr="00AC142E">
        <w:t xml:space="preserve"> in the </w:t>
      </w:r>
      <w:r w:rsidR="00EA2D06">
        <w:t>evaluation</w:t>
      </w:r>
      <w:r w:rsidR="008970DE">
        <w:t>.</w:t>
      </w:r>
      <w:r w:rsidR="00EA2D06">
        <w:t xml:space="preserve"> (</w:t>
      </w:r>
      <w:r w:rsidR="00EA2D06" w:rsidRPr="00EA2D06">
        <w:t xml:space="preserve">OMB </w:t>
      </w:r>
      <w:r w:rsidR="00EA2D06">
        <w:t xml:space="preserve">already provided </w:t>
      </w:r>
      <w:r w:rsidR="00EA2D06" w:rsidRPr="00EA2D06">
        <w:t>clearance for the evaluation’s baseline data collection</w:t>
      </w:r>
      <w:r w:rsidR="00EA2D06">
        <w:t xml:space="preserve">, as per </w:t>
      </w:r>
      <w:r w:rsidR="00EA2D06" w:rsidRPr="00EA2D06">
        <w:t>OMB control number 1291-0008</w:t>
      </w:r>
      <w:r w:rsidR="008970DE">
        <w:t>.</w:t>
      </w:r>
      <w:r w:rsidR="00EA2D06" w:rsidRPr="00EA2D06">
        <w:t>)</w:t>
      </w:r>
      <w:r w:rsidR="00DF5DC5">
        <w:t xml:space="preserve"> </w:t>
      </w:r>
      <w:r w:rsidR="005B4E16">
        <w:t xml:space="preserve">The </w:t>
      </w:r>
      <w:r w:rsidR="00D57158">
        <w:t xml:space="preserve">initial </w:t>
      </w:r>
      <w:r w:rsidR="005B4E16">
        <w:t xml:space="preserve">consent form </w:t>
      </w:r>
      <w:r w:rsidR="00DF5DC5" w:rsidRPr="00AC142E">
        <w:t>secure</w:t>
      </w:r>
      <w:r w:rsidR="005B4E16">
        <w:t>d</w:t>
      </w:r>
      <w:r w:rsidR="00DF5DC5" w:rsidRPr="00AC142E">
        <w:t xml:space="preserve"> </w:t>
      </w:r>
      <w:r w:rsidR="003E4EC1">
        <w:t>asse</w:t>
      </w:r>
      <w:r w:rsidR="005A609C">
        <w:t>n</w:t>
      </w:r>
      <w:r w:rsidR="003E4EC1">
        <w:t>t</w:t>
      </w:r>
      <w:r w:rsidR="003E4EC1" w:rsidRPr="00AC142E">
        <w:t xml:space="preserve"> </w:t>
      </w:r>
      <w:r w:rsidR="00DF5DC5" w:rsidRPr="00AC142E">
        <w:t xml:space="preserve">from the youth (and </w:t>
      </w:r>
      <w:r w:rsidR="003E4EC1">
        <w:t xml:space="preserve">consent from </w:t>
      </w:r>
      <w:r w:rsidR="00DF5DC5" w:rsidRPr="00AC142E">
        <w:t>their parents</w:t>
      </w:r>
      <w:r w:rsidR="00DF5DC5">
        <w:t xml:space="preserve"> or </w:t>
      </w:r>
      <w:r w:rsidR="00DF5DC5" w:rsidRPr="00AC142E">
        <w:t xml:space="preserve">guardians, when needed) for the Job ChalleNGe </w:t>
      </w:r>
      <w:r w:rsidR="005B4E16">
        <w:t>study, including follow</w:t>
      </w:r>
      <w:r w:rsidR="002B2209">
        <w:t>-</w:t>
      </w:r>
      <w:r w:rsidR="005B4E16">
        <w:t xml:space="preserve">up data collection. At each point of contact for the </w:t>
      </w:r>
      <w:r w:rsidR="00D04307">
        <w:t>monthly</w:t>
      </w:r>
      <w:r w:rsidR="00105A74">
        <w:t xml:space="preserve"> </w:t>
      </w:r>
      <w:r w:rsidR="00B7082F">
        <w:t xml:space="preserve">text </w:t>
      </w:r>
      <w:r w:rsidR="002B2209">
        <w:t xml:space="preserve">message </w:t>
      </w:r>
      <w:r w:rsidR="00B7082F">
        <w:t>survey</w:t>
      </w:r>
      <w:r w:rsidR="005B4E16">
        <w:t xml:space="preserve"> and at the follow</w:t>
      </w:r>
      <w:r w:rsidR="002B2209">
        <w:t>-</w:t>
      </w:r>
      <w:r w:rsidR="005B4E16">
        <w:t xml:space="preserve">up survey, </w:t>
      </w:r>
      <w:r w:rsidR="002B2209">
        <w:t>sample members</w:t>
      </w:r>
      <w:r w:rsidR="005B4E16">
        <w:t xml:space="preserve"> will be given the option to </w:t>
      </w:r>
      <w:r w:rsidR="00105A74">
        <w:t xml:space="preserve">agree </w:t>
      </w:r>
      <w:r w:rsidR="005B4E16">
        <w:t xml:space="preserve">or decline </w:t>
      </w:r>
      <w:r w:rsidR="00105A74">
        <w:t xml:space="preserve">to </w:t>
      </w:r>
      <w:r w:rsidR="005B4E16">
        <w:t>participat</w:t>
      </w:r>
      <w:r w:rsidR="00105A74">
        <w:t xml:space="preserve">e </w:t>
      </w:r>
      <w:r w:rsidR="00D4719A">
        <w:t xml:space="preserve">in the </w:t>
      </w:r>
      <w:r w:rsidR="00105A74">
        <w:t>data collection effort</w:t>
      </w:r>
      <w:r w:rsidR="005B4E16">
        <w:t xml:space="preserve">. </w:t>
      </w:r>
    </w:p>
    <w:p w14:paraId="5BFA2749" w14:textId="01DE5CD7" w:rsidR="00DF5DC5" w:rsidRDefault="00DF5DC5" w:rsidP="008F446A">
      <w:pPr>
        <w:pStyle w:val="H4NumberNoTOC"/>
      </w:pPr>
      <w:bookmarkStart w:id="23" w:name="_Toc299537548"/>
      <w:r>
        <w:t>a.</w:t>
      </w:r>
      <w:r>
        <w:tab/>
        <w:t xml:space="preserve">Analysis methods for </w:t>
      </w:r>
      <w:r w:rsidR="00305DE5">
        <w:t>outcomes study</w:t>
      </w:r>
    </w:p>
    <w:p w14:paraId="26C1F9EE" w14:textId="3BE6F49D" w:rsidR="00DF5DC5" w:rsidRDefault="00FA55FB" w:rsidP="003947A2">
      <w:pPr>
        <w:pStyle w:val="NormalSS"/>
      </w:pPr>
      <w:r>
        <w:t xml:space="preserve">The analysis will summarize outcomes for Job ChalleNGe participants </w:t>
      </w:r>
      <w:r w:rsidR="00741FB3">
        <w:t>up to 19 months</w:t>
      </w:r>
      <w:r w:rsidR="0079646A">
        <w:t xml:space="preserve"> </w:t>
      </w:r>
      <w:r w:rsidR="00CB611A">
        <w:t>after the start of the program</w:t>
      </w:r>
      <w:r w:rsidRPr="0065592C">
        <w:t xml:space="preserve">. </w:t>
      </w:r>
      <w:r w:rsidR="00CB611A" w:rsidRPr="0065592C">
        <w:t>Descriptive and s</w:t>
      </w:r>
      <w:r w:rsidR="00DF5DC5" w:rsidRPr="0065592C">
        <w:t xml:space="preserve">tatistical methods will be used to </w:t>
      </w:r>
      <w:r w:rsidRPr="0065592C">
        <w:t>estimate</w:t>
      </w:r>
      <w:r w:rsidR="00DF5DC5" w:rsidRPr="0065592C">
        <w:t xml:space="preserve"> mean outcomes of the </w:t>
      </w:r>
      <w:r w:rsidRPr="0065592C">
        <w:t>program participants</w:t>
      </w:r>
      <w:r w:rsidR="00DF5DC5" w:rsidRPr="0065592C">
        <w:t xml:space="preserve"> over time</w:t>
      </w:r>
      <w:r w:rsidR="00A73E12">
        <w:t>.</w:t>
      </w:r>
      <w:r w:rsidR="00DF5DC5" w:rsidRPr="0065592C">
        <w:t xml:space="preserve"> </w:t>
      </w:r>
      <w:r w:rsidR="00DF5DC5" w:rsidRPr="004227CA">
        <w:t>(</w:t>
      </w:r>
      <w:r w:rsidR="00A73E12">
        <w:t>S</w:t>
      </w:r>
      <w:r w:rsidR="00DF5DC5" w:rsidRPr="004227CA">
        <w:t xml:space="preserve">ee the section below on “Estimating </w:t>
      </w:r>
      <w:r w:rsidR="0065592C" w:rsidRPr="004227CA">
        <w:t xml:space="preserve">outcomes </w:t>
      </w:r>
      <w:r w:rsidR="00DF5DC5" w:rsidRPr="004227CA">
        <w:t>for the full sample” for a fuller discussion</w:t>
      </w:r>
      <w:r w:rsidR="00A73E12">
        <w:t>.</w:t>
      </w:r>
      <w:r w:rsidR="00DF5DC5" w:rsidRPr="004227CA">
        <w:t>)</w:t>
      </w:r>
      <w:r w:rsidR="00DF5DC5" w:rsidRPr="0065592C">
        <w:t xml:space="preserve"> Outcomes</w:t>
      </w:r>
      <w:r w:rsidR="00DF5DC5">
        <w:t xml:space="preserve"> will be measured as either binary (0/1) variables (for example, whether or not the youth received a high school diploma) or continuous variables (for example, earnings). </w:t>
      </w:r>
      <w:r>
        <w:t>Outcomes</w:t>
      </w:r>
      <w:r w:rsidR="00DF5DC5">
        <w:t xml:space="preserve"> will be estimated not only for the full sample, but also for policy-relevant subgroups, such as court-involved youth. The analysis will be conducted using the SAS and </w:t>
      </w:r>
      <w:r w:rsidR="00DC51B0">
        <w:t xml:space="preserve">Stata </w:t>
      </w:r>
      <w:r w:rsidR="00DF5DC5">
        <w:t>software programs.</w:t>
      </w:r>
    </w:p>
    <w:p w14:paraId="7A9DF434" w14:textId="668698D8" w:rsidR="00DF5DC5" w:rsidRDefault="00DF5DC5" w:rsidP="00DF5DC5">
      <w:pPr>
        <w:pStyle w:val="NormalSS"/>
      </w:pPr>
      <w:r w:rsidRPr="00495EB8">
        <w:rPr>
          <w:b/>
        </w:rPr>
        <w:t xml:space="preserve">Assessing baseline </w:t>
      </w:r>
      <w:r w:rsidR="00FA55FB">
        <w:rPr>
          <w:b/>
        </w:rPr>
        <w:t>characteristics</w:t>
      </w:r>
      <w:r w:rsidRPr="00495EB8">
        <w:rPr>
          <w:b/>
        </w:rPr>
        <w:t>.</w:t>
      </w:r>
      <w:r w:rsidRPr="00495EB8">
        <w:t xml:space="preserve"> </w:t>
      </w:r>
      <w:r w:rsidR="00FA55FB">
        <w:t xml:space="preserve">To describe the characteristics of the Job ChalleNGe participants prior to participation in the program, mean </w:t>
      </w:r>
      <w:r w:rsidRPr="00495EB8">
        <w:t xml:space="preserve">baseline measures of </w:t>
      </w:r>
      <w:r w:rsidR="00FA55FB">
        <w:t>the participants will be calculated</w:t>
      </w:r>
      <w:r w:rsidRPr="00495EB8">
        <w:t xml:space="preserve"> using data from the BIFs. </w:t>
      </w:r>
      <w:r w:rsidR="008967AF">
        <w:t>(The BIF data collection effort has already been approved by OMB; see control number 1291-0008</w:t>
      </w:r>
      <w:r w:rsidR="004E4CA7">
        <w:t>.</w:t>
      </w:r>
      <w:r w:rsidR="008967AF">
        <w:t>)</w:t>
      </w:r>
    </w:p>
    <w:p w14:paraId="73AA02EA" w14:textId="13936957" w:rsidR="00DF5DC5" w:rsidRDefault="00DF5DC5" w:rsidP="003947A2">
      <w:pPr>
        <w:pStyle w:val="NormalSS"/>
      </w:pPr>
      <w:r w:rsidRPr="00495EB8">
        <w:rPr>
          <w:b/>
        </w:rPr>
        <w:t xml:space="preserve">Estimating </w:t>
      </w:r>
      <w:r w:rsidR="00FA55FB">
        <w:rPr>
          <w:b/>
        </w:rPr>
        <w:t xml:space="preserve">outcomes for the full sample. </w:t>
      </w:r>
      <w:r w:rsidR="008450C0">
        <w:t>A</w:t>
      </w:r>
      <w:r w:rsidR="00FA55FB">
        <w:t>n outcomes study</w:t>
      </w:r>
      <w:r w:rsidRPr="00495EB8">
        <w:t xml:space="preserve"> design</w:t>
      </w:r>
      <w:r w:rsidR="008450C0">
        <w:t xml:space="preserve"> </w:t>
      </w:r>
      <w:r w:rsidR="00811EEE">
        <w:t>focuses solely on the outcomes of participants in the program under study</w:t>
      </w:r>
      <w:r w:rsidR="008450C0">
        <w:t>.</w:t>
      </w:r>
      <w:r w:rsidRPr="00495EB8">
        <w:t xml:space="preserve"> </w:t>
      </w:r>
      <w:r w:rsidR="00140FDF">
        <w:t>The</w:t>
      </w:r>
      <w:r w:rsidR="00140FDF" w:rsidRPr="00CB2AB2">
        <w:t xml:space="preserve"> </w:t>
      </w:r>
      <w:r w:rsidRPr="00CB2AB2">
        <w:t>p</w:t>
      </w:r>
      <w:r w:rsidR="00811EEE">
        <w:t>lann</w:t>
      </w:r>
      <w:r w:rsidRPr="00CB2AB2">
        <w:t xml:space="preserve">ed approach for </w:t>
      </w:r>
      <w:r w:rsidR="00AA219A">
        <w:t xml:space="preserve">the </w:t>
      </w:r>
      <w:r w:rsidRPr="00CB2AB2">
        <w:t xml:space="preserve">Job ChalleNGe </w:t>
      </w:r>
      <w:r w:rsidR="006065F8">
        <w:t xml:space="preserve">outcomes </w:t>
      </w:r>
      <w:r w:rsidR="008967AF">
        <w:t>study</w:t>
      </w:r>
      <w:r w:rsidRPr="00CB2AB2">
        <w:t xml:space="preserve"> </w:t>
      </w:r>
      <w:r w:rsidR="00AC3ACB">
        <w:t>uses</w:t>
      </w:r>
      <w:r w:rsidRPr="00CB2AB2">
        <w:t xml:space="preserve"> </w:t>
      </w:r>
      <w:r w:rsidR="00AC3ACB">
        <w:t>data collection</w:t>
      </w:r>
      <w:r w:rsidRPr="00CB2AB2">
        <w:t xml:space="preserve"> </w:t>
      </w:r>
      <w:r w:rsidR="00B7082F">
        <w:t xml:space="preserve">from the </w:t>
      </w:r>
      <w:r w:rsidR="00D04307">
        <w:t>monthly</w:t>
      </w:r>
      <w:r w:rsidR="00B7082F">
        <w:t xml:space="preserve"> text message survey</w:t>
      </w:r>
      <w:r w:rsidR="00811EEE">
        <w:t xml:space="preserve"> and the follow-up survey</w:t>
      </w:r>
      <w:r w:rsidR="008450C0">
        <w:t xml:space="preserve"> </w:t>
      </w:r>
      <w:r w:rsidR="00AC3ACB">
        <w:t xml:space="preserve">to generate </w:t>
      </w:r>
      <w:r w:rsidR="007256CD">
        <w:t xml:space="preserve">descriptive </w:t>
      </w:r>
      <w:r w:rsidR="00AC3ACB">
        <w:t>means of the outcome measures</w:t>
      </w:r>
      <w:r w:rsidR="00811EEE">
        <w:t xml:space="preserve"> for Job ChalleNGe participants</w:t>
      </w:r>
      <w:r w:rsidRPr="00CB2AB2">
        <w:t>.</w:t>
      </w:r>
    </w:p>
    <w:p w14:paraId="4B955AE9" w14:textId="018D9FD0" w:rsidR="00DF5DC5" w:rsidRDefault="00092F0E" w:rsidP="00DF5DC5">
      <w:pPr>
        <w:pStyle w:val="NormalSS"/>
      </w:pPr>
      <w:r>
        <w:rPr>
          <w:i/>
        </w:rPr>
        <w:t xml:space="preserve">Outcomes study </w:t>
      </w:r>
      <w:r w:rsidR="00A339BE">
        <w:rPr>
          <w:i/>
        </w:rPr>
        <w:t>analysis approach</w:t>
      </w:r>
      <w:r w:rsidR="00CB611A">
        <w:t xml:space="preserve">. The </w:t>
      </w:r>
      <w:r w:rsidR="00CA020D" w:rsidRPr="00CA020D">
        <w:t xml:space="preserve">analysis </w:t>
      </w:r>
      <w:r w:rsidR="00CB611A">
        <w:t xml:space="preserve">sample includes youth who </w:t>
      </w:r>
      <w:r w:rsidR="00CA020D" w:rsidRPr="00CA020D">
        <w:t>responded to the survey</w:t>
      </w:r>
      <w:r>
        <w:t>s</w:t>
      </w:r>
      <w:r w:rsidR="00CA020D" w:rsidRPr="00CA020D">
        <w:t xml:space="preserve">. </w:t>
      </w:r>
      <w:r w:rsidR="00A73E12">
        <w:t>I</w:t>
      </w:r>
      <w:r w:rsidR="00A73E12" w:rsidRPr="004227CA">
        <w:t>mputation</w:t>
      </w:r>
      <w:r w:rsidR="00A73E12">
        <w:t xml:space="preserve"> will be used t</w:t>
      </w:r>
      <w:r w:rsidR="00DC2BC7">
        <w:t>o address item nonresponse</w:t>
      </w:r>
      <w:r w:rsidR="00746A9D">
        <w:t xml:space="preserve"> among the covariates</w:t>
      </w:r>
      <w:r w:rsidR="00DC2BC7" w:rsidRPr="004227CA">
        <w:t>.</w:t>
      </w:r>
      <w:r w:rsidR="0065592C">
        <w:rPr>
          <w:rStyle w:val="FootnoteReference"/>
        </w:rPr>
        <w:footnoteReference w:id="4"/>
      </w:r>
      <w:r w:rsidR="00DC2BC7">
        <w:t xml:space="preserve"> </w:t>
      </w:r>
      <w:r w:rsidR="00DF5DC5" w:rsidRPr="00CB2AB2">
        <w:t xml:space="preserve">The primary analytical method will </w:t>
      </w:r>
      <w:r w:rsidR="00AC3ACB">
        <w:t>estimate</w:t>
      </w:r>
      <w:r w:rsidR="00DF5DC5" w:rsidRPr="00CB2AB2">
        <w:t xml:space="preserve"> average outcomes for </w:t>
      </w:r>
      <w:r w:rsidR="00AC3ACB">
        <w:t xml:space="preserve">Job ChalleNGe participants </w:t>
      </w:r>
      <w:r w:rsidR="00AC3ACB" w:rsidRPr="00DC2BC7">
        <w:t>pooled across</w:t>
      </w:r>
      <w:r w:rsidR="00DF5DC5" w:rsidRPr="00DC2BC7">
        <w:t xml:space="preserve"> </w:t>
      </w:r>
      <w:r w:rsidR="00280366">
        <w:t xml:space="preserve">the three grantee </w:t>
      </w:r>
      <w:r w:rsidR="00DF5DC5" w:rsidRPr="00DC2BC7">
        <w:t xml:space="preserve">sites. </w:t>
      </w:r>
      <w:r w:rsidR="00DF5DC5" w:rsidRPr="00F26D8B">
        <w:t xml:space="preserve">The outcomes will be constructed from both survey and administrative data for the Job ChalleNGe </w:t>
      </w:r>
      <w:r w:rsidR="00AC3ACB">
        <w:t>outcomes study</w:t>
      </w:r>
      <w:r w:rsidR="00DF5DC5" w:rsidRPr="00F26D8B">
        <w:t>.</w:t>
      </w:r>
      <w:r w:rsidR="00DF5DC5">
        <w:t xml:space="preserve"> </w:t>
      </w:r>
      <w:r w:rsidR="00C802BB">
        <w:t>O</w:t>
      </w:r>
      <w:r w:rsidR="00DF5DC5" w:rsidRPr="00F26D8B">
        <w:t xml:space="preserve">utcomes </w:t>
      </w:r>
      <w:r w:rsidR="00DF5DC5">
        <w:t xml:space="preserve">from the survey </w:t>
      </w:r>
      <w:r w:rsidR="00DF5DC5" w:rsidRPr="00F26D8B">
        <w:t xml:space="preserve">will include measures of (1) education success (such </w:t>
      </w:r>
      <w:r w:rsidR="00B025F5">
        <w:t xml:space="preserve">as </w:t>
      </w:r>
      <w:r w:rsidR="00027294">
        <w:t xml:space="preserve">receipt of any </w:t>
      </w:r>
      <w:r w:rsidR="00DF5DC5" w:rsidRPr="00F26D8B">
        <w:t>vocational certificates or credentials)</w:t>
      </w:r>
      <w:r w:rsidR="00DF5DC5">
        <w:t>,</w:t>
      </w:r>
      <w:r w:rsidR="00DF5DC5" w:rsidRPr="00F26D8B">
        <w:t xml:space="preserve"> (2) employment success (such as </w:t>
      </w:r>
      <w:r w:rsidR="004108E3">
        <w:t>employment status</w:t>
      </w:r>
      <w:r w:rsidR="00AA219A">
        <w:t xml:space="preserve">, military enlistment, and </w:t>
      </w:r>
      <w:r w:rsidR="00027294">
        <w:t xml:space="preserve">having any </w:t>
      </w:r>
      <w:r w:rsidR="00DF5DC5">
        <w:t>fringe benefits</w:t>
      </w:r>
      <w:r w:rsidR="00DF5DC5" w:rsidRPr="00F26D8B">
        <w:t>)</w:t>
      </w:r>
      <w:r w:rsidR="00DF5DC5">
        <w:t>,</w:t>
      </w:r>
      <w:r w:rsidR="00DF5DC5" w:rsidRPr="00F26D8B">
        <w:t xml:space="preserve"> and (3) delinquency and criminal justice involvement (such as </w:t>
      </w:r>
      <w:r w:rsidR="00AA219A">
        <w:t>new arrests and convictions</w:t>
      </w:r>
      <w:r w:rsidR="00DF5DC5" w:rsidRPr="00F26D8B">
        <w:t>)</w:t>
      </w:r>
      <w:r w:rsidR="00AA219A">
        <w:t xml:space="preserve"> (Table B.2)</w:t>
      </w:r>
      <w:r w:rsidR="00DF5DC5" w:rsidRPr="00F26D8B">
        <w:t>.</w:t>
      </w:r>
    </w:p>
    <w:p w14:paraId="2FB728C6" w14:textId="1BA83308" w:rsidR="00874C5F" w:rsidRPr="008466B6" w:rsidRDefault="00874C5F" w:rsidP="00874C5F">
      <w:pPr>
        <w:pStyle w:val="MarkforTableTitle"/>
        <w:rPr>
          <w:sz w:val="18"/>
          <w:szCs w:val="18"/>
        </w:rPr>
      </w:pPr>
      <w:r w:rsidRPr="008466B6">
        <w:rPr>
          <w:sz w:val="18"/>
          <w:szCs w:val="18"/>
        </w:rPr>
        <w:t>Table B.</w:t>
      </w:r>
      <w:r>
        <w:rPr>
          <w:sz w:val="18"/>
          <w:szCs w:val="18"/>
        </w:rPr>
        <w:t>2</w:t>
      </w:r>
      <w:r w:rsidRPr="008466B6">
        <w:rPr>
          <w:sz w:val="18"/>
          <w:szCs w:val="18"/>
        </w:rPr>
        <w:t xml:space="preserve">. </w:t>
      </w:r>
      <w:r>
        <w:rPr>
          <w:sz w:val="18"/>
          <w:szCs w:val="18"/>
        </w:rPr>
        <w:t>Outcome measures from survey data collection</w:t>
      </w:r>
    </w:p>
    <w:tbl>
      <w:tblPr>
        <w:tblStyle w:val="LightList"/>
        <w:tblW w:w="4657"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472"/>
        <w:gridCol w:w="4035"/>
        <w:gridCol w:w="3412"/>
      </w:tblGrid>
      <w:tr w:rsidR="001F2047" w:rsidRPr="003E4EC1" w14:paraId="000E1756" w14:textId="2AB28760" w:rsidTr="003E4EC1">
        <w:trPr>
          <w:cnfStyle w:val="100000000000" w:firstRow="1" w:lastRow="0" w:firstColumn="0" w:lastColumn="0" w:oddVBand="0" w:evenVBand="0" w:oddHBand="0" w:evenHBand="0" w:firstRowFirstColumn="0" w:firstRowLastColumn="0" w:lastRowFirstColumn="0" w:lastRowLastColumn="0"/>
          <w:trHeight w:val="432"/>
          <w:tblHeader/>
        </w:trPr>
        <w:tc>
          <w:tcPr>
            <w:tcW w:w="825" w:type="pct"/>
            <w:tcBorders>
              <w:top w:val="single" w:sz="4" w:space="0" w:color="auto"/>
              <w:bottom w:val="single" w:sz="8" w:space="0" w:color="000000" w:themeColor="text1"/>
            </w:tcBorders>
            <w:shd w:val="clear" w:color="auto" w:fill="1F497D" w:themeFill="text2"/>
          </w:tcPr>
          <w:p w14:paraId="20A3F425" w14:textId="751B0A39" w:rsidR="001F2047" w:rsidRPr="003E4EC1" w:rsidRDefault="001F2047" w:rsidP="00927187">
            <w:pPr>
              <w:pStyle w:val="TableHeaderLeft"/>
              <w:rPr>
                <w:rFonts w:eastAsiaTheme="minorEastAsia"/>
                <w:b/>
              </w:rPr>
            </w:pPr>
            <w:r w:rsidRPr="003E4EC1">
              <w:rPr>
                <w:rFonts w:eastAsiaTheme="minorEastAsia"/>
                <w:b/>
              </w:rPr>
              <w:t>Category</w:t>
            </w:r>
          </w:p>
        </w:tc>
        <w:tc>
          <w:tcPr>
            <w:tcW w:w="2262" w:type="pct"/>
            <w:tcBorders>
              <w:top w:val="single" w:sz="4" w:space="0" w:color="auto"/>
              <w:bottom w:val="single" w:sz="8" w:space="0" w:color="000000" w:themeColor="text1"/>
            </w:tcBorders>
            <w:shd w:val="clear" w:color="auto" w:fill="1F497D" w:themeFill="text2"/>
          </w:tcPr>
          <w:p w14:paraId="4CD9FC78" w14:textId="12CB96E6" w:rsidR="001F2047" w:rsidRPr="003E4EC1" w:rsidRDefault="001F2047" w:rsidP="003E4EC1">
            <w:pPr>
              <w:pStyle w:val="TableHeaderLeft"/>
              <w:rPr>
                <w:rFonts w:eastAsiaTheme="minorEastAsia"/>
                <w:b/>
              </w:rPr>
            </w:pPr>
            <w:r w:rsidRPr="003E4EC1">
              <w:rPr>
                <w:rFonts w:eastAsiaTheme="minorEastAsia"/>
                <w:b/>
              </w:rPr>
              <w:t>Measure</w:t>
            </w:r>
          </w:p>
        </w:tc>
        <w:tc>
          <w:tcPr>
            <w:tcW w:w="1913" w:type="pct"/>
            <w:tcBorders>
              <w:top w:val="single" w:sz="4" w:space="0" w:color="auto"/>
              <w:bottom w:val="single" w:sz="8" w:space="0" w:color="000000" w:themeColor="text1"/>
            </w:tcBorders>
            <w:shd w:val="clear" w:color="auto" w:fill="1F497D" w:themeFill="text2"/>
          </w:tcPr>
          <w:p w14:paraId="1E004312" w14:textId="3F17E57C" w:rsidR="001F2047" w:rsidRPr="003E4EC1" w:rsidRDefault="001F2047" w:rsidP="003E4EC1">
            <w:pPr>
              <w:pStyle w:val="TableHeaderLeft"/>
              <w:rPr>
                <w:rFonts w:eastAsiaTheme="minorEastAsia"/>
                <w:b/>
              </w:rPr>
            </w:pPr>
            <w:r w:rsidRPr="003E4EC1">
              <w:rPr>
                <w:rFonts w:eastAsiaTheme="minorEastAsia"/>
                <w:b/>
              </w:rPr>
              <w:t>Mode</w:t>
            </w:r>
          </w:p>
        </w:tc>
      </w:tr>
      <w:tr w:rsidR="001F2047" w:rsidRPr="00874C5F" w14:paraId="4D092361" w14:textId="0B19D12D" w:rsidTr="00306117">
        <w:trPr>
          <w:trHeight w:val="288"/>
        </w:trPr>
        <w:tc>
          <w:tcPr>
            <w:tcW w:w="825" w:type="pct"/>
          </w:tcPr>
          <w:p w14:paraId="37A1FE62" w14:textId="0B0DB5CE" w:rsidR="001F2047" w:rsidRPr="00B76830" w:rsidRDefault="001F2047" w:rsidP="00306117">
            <w:pPr>
              <w:spacing w:before="120"/>
              <w:rPr>
                <w:rFonts w:ascii="Arial" w:eastAsiaTheme="minorEastAsia" w:hAnsi="Arial" w:cstheme="minorBidi"/>
                <w:b/>
                <w:sz w:val="18"/>
                <w:szCs w:val="20"/>
              </w:rPr>
            </w:pPr>
            <w:r w:rsidRPr="00B76830">
              <w:rPr>
                <w:rFonts w:ascii="Arial" w:eastAsiaTheme="minorEastAsia" w:hAnsi="Arial" w:cstheme="minorBidi"/>
                <w:b/>
                <w:sz w:val="18"/>
                <w:szCs w:val="20"/>
              </w:rPr>
              <w:t>Employment</w:t>
            </w:r>
          </w:p>
        </w:tc>
        <w:tc>
          <w:tcPr>
            <w:tcW w:w="2262" w:type="pct"/>
            <w:vAlign w:val="bottom"/>
          </w:tcPr>
          <w:p w14:paraId="5CA8BBA9" w14:textId="6EBEF752" w:rsidR="001F2047" w:rsidRPr="00874C5F" w:rsidRDefault="001F2047" w:rsidP="00306117">
            <w:pPr>
              <w:rPr>
                <w:rFonts w:ascii="Arial" w:eastAsiaTheme="minorEastAsia" w:hAnsi="Arial" w:cstheme="minorBidi"/>
                <w:sz w:val="18"/>
                <w:szCs w:val="20"/>
              </w:rPr>
            </w:pPr>
            <w:r>
              <w:rPr>
                <w:rFonts w:ascii="Arial" w:eastAsiaTheme="minorEastAsia" w:hAnsi="Arial" w:cstheme="minorBidi"/>
                <w:sz w:val="18"/>
                <w:szCs w:val="20"/>
              </w:rPr>
              <w:t>E</w:t>
            </w:r>
            <w:r w:rsidR="00027294">
              <w:rPr>
                <w:rFonts w:ascii="Arial" w:eastAsiaTheme="minorEastAsia" w:hAnsi="Arial" w:cstheme="minorBidi"/>
                <w:sz w:val="18"/>
                <w:szCs w:val="20"/>
              </w:rPr>
              <w:t>ver e</w:t>
            </w:r>
            <w:r>
              <w:rPr>
                <w:rFonts w:ascii="Arial" w:eastAsiaTheme="minorEastAsia" w:hAnsi="Arial" w:cstheme="minorBidi"/>
                <w:sz w:val="18"/>
                <w:szCs w:val="20"/>
              </w:rPr>
              <w:t>mployed since the end of Job ChalleNGe</w:t>
            </w:r>
          </w:p>
        </w:tc>
        <w:tc>
          <w:tcPr>
            <w:tcW w:w="1913" w:type="pct"/>
            <w:vAlign w:val="bottom"/>
          </w:tcPr>
          <w:p w14:paraId="787A5155" w14:textId="53714D06" w:rsidR="001F2047" w:rsidRPr="00874C5F" w:rsidRDefault="001F2047" w:rsidP="00306117">
            <w:pPr>
              <w:rPr>
                <w:rFonts w:ascii="Arial" w:eastAsiaTheme="minorEastAsia" w:hAnsi="Arial" w:cstheme="minorBidi"/>
                <w:sz w:val="18"/>
                <w:szCs w:val="20"/>
              </w:rPr>
            </w:pPr>
            <w:r>
              <w:rPr>
                <w:rFonts w:ascii="Arial" w:eastAsiaTheme="minorEastAsia" w:hAnsi="Arial" w:cstheme="minorBidi"/>
                <w:sz w:val="18"/>
                <w:szCs w:val="20"/>
              </w:rPr>
              <w:t>Text survey, Follow-up survey</w:t>
            </w:r>
          </w:p>
        </w:tc>
      </w:tr>
      <w:tr w:rsidR="001F2047" w:rsidRPr="00874C5F" w14:paraId="002B89D8" w14:textId="77777777" w:rsidTr="00306117">
        <w:trPr>
          <w:trHeight w:val="288"/>
        </w:trPr>
        <w:tc>
          <w:tcPr>
            <w:tcW w:w="825" w:type="pct"/>
          </w:tcPr>
          <w:p w14:paraId="51F0B4BB" w14:textId="77777777" w:rsidR="001F2047" w:rsidRPr="00B76830" w:rsidRDefault="001F2047" w:rsidP="00306117">
            <w:pPr>
              <w:spacing w:before="120"/>
              <w:rPr>
                <w:rFonts w:ascii="Arial" w:eastAsiaTheme="minorEastAsia" w:hAnsi="Arial" w:cstheme="minorBidi"/>
                <w:b/>
                <w:sz w:val="18"/>
                <w:szCs w:val="20"/>
              </w:rPr>
            </w:pPr>
          </w:p>
        </w:tc>
        <w:tc>
          <w:tcPr>
            <w:tcW w:w="2262" w:type="pct"/>
            <w:vAlign w:val="bottom"/>
          </w:tcPr>
          <w:p w14:paraId="1A524DE4" w14:textId="6935E8AA"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Average hours worked</w:t>
            </w:r>
            <w:r w:rsidR="00D4696F">
              <w:rPr>
                <w:rFonts w:ascii="Arial" w:eastAsiaTheme="minorEastAsia" w:hAnsi="Arial" w:cstheme="minorBidi"/>
                <w:sz w:val="18"/>
                <w:szCs w:val="20"/>
              </w:rPr>
              <w:t xml:space="preserve"> per week</w:t>
            </w:r>
          </w:p>
        </w:tc>
        <w:tc>
          <w:tcPr>
            <w:tcW w:w="1913" w:type="pct"/>
            <w:vAlign w:val="bottom"/>
          </w:tcPr>
          <w:p w14:paraId="5250C893" w14:textId="5BF970C2"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Text survey</w:t>
            </w:r>
            <w:r w:rsidR="00861216">
              <w:rPr>
                <w:rFonts w:ascii="Arial" w:eastAsiaTheme="minorEastAsia" w:hAnsi="Arial" w:cstheme="minorBidi"/>
                <w:sz w:val="18"/>
                <w:szCs w:val="20"/>
              </w:rPr>
              <w:t>, Follow-up survey</w:t>
            </w:r>
          </w:p>
        </w:tc>
      </w:tr>
      <w:tr w:rsidR="001F2047" w:rsidRPr="00874C5F" w14:paraId="67F24FF4" w14:textId="77777777" w:rsidTr="00306117">
        <w:trPr>
          <w:trHeight w:val="288"/>
        </w:trPr>
        <w:tc>
          <w:tcPr>
            <w:tcW w:w="825" w:type="pct"/>
          </w:tcPr>
          <w:p w14:paraId="69015DF6" w14:textId="77777777" w:rsidR="001F2047" w:rsidRPr="00B76830" w:rsidRDefault="001F2047" w:rsidP="00306117">
            <w:pPr>
              <w:spacing w:before="120"/>
              <w:rPr>
                <w:rFonts w:ascii="Arial" w:eastAsiaTheme="minorEastAsia" w:hAnsi="Arial" w:cstheme="minorBidi"/>
                <w:b/>
                <w:sz w:val="18"/>
                <w:szCs w:val="20"/>
              </w:rPr>
            </w:pPr>
          </w:p>
        </w:tc>
        <w:tc>
          <w:tcPr>
            <w:tcW w:w="2262" w:type="pct"/>
            <w:vAlign w:val="bottom"/>
          </w:tcPr>
          <w:p w14:paraId="747EA1FF" w14:textId="1C82ED79"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Enlisted in military</w:t>
            </w:r>
          </w:p>
        </w:tc>
        <w:tc>
          <w:tcPr>
            <w:tcW w:w="1913" w:type="pct"/>
            <w:vAlign w:val="bottom"/>
          </w:tcPr>
          <w:p w14:paraId="2865E441" w14:textId="79F7B9DD" w:rsidR="001F2047" w:rsidRDefault="009411F7" w:rsidP="00306117">
            <w:pPr>
              <w:rPr>
                <w:rFonts w:ascii="Arial" w:eastAsiaTheme="minorEastAsia" w:hAnsi="Arial" w:cstheme="minorBidi"/>
                <w:sz w:val="18"/>
                <w:szCs w:val="20"/>
              </w:rPr>
            </w:pPr>
            <w:r w:rsidRPr="009411F7">
              <w:rPr>
                <w:rFonts w:ascii="Arial" w:eastAsiaTheme="minorEastAsia" w:hAnsi="Arial" w:cstheme="minorBidi"/>
                <w:sz w:val="18"/>
                <w:szCs w:val="20"/>
              </w:rPr>
              <w:t>Text survey, Follow-up survey</w:t>
            </w:r>
          </w:p>
        </w:tc>
      </w:tr>
      <w:tr w:rsidR="001F2047" w:rsidRPr="00874C5F" w14:paraId="7827F297" w14:textId="77777777" w:rsidTr="00306117">
        <w:trPr>
          <w:trHeight w:val="288"/>
        </w:trPr>
        <w:tc>
          <w:tcPr>
            <w:tcW w:w="825" w:type="pct"/>
          </w:tcPr>
          <w:p w14:paraId="456C0BA5" w14:textId="77777777" w:rsidR="001F2047" w:rsidRPr="00B76830" w:rsidRDefault="001F2047" w:rsidP="00306117">
            <w:pPr>
              <w:spacing w:before="120"/>
              <w:rPr>
                <w:rFonts w:ascii="Arial" w:eastAsiaTheme="minorEastAsia" w:hAnsi="Arial" w:cstheme="minorBidi"/>
                <w:b/>
                <w:sz w:val="18"/>
                <w:szCs w:val="20"/>
              </w:rPr>
            </w:pPr>
          </w:p>
        </w:tc>
        <w:tc>
          <w:tcPr>
            <w:tcW w:w="2262" w:type="pct"/>
            <w:vAlign w:val="bottom"/>
          </w:tcPr>
          <w:p w14:paraId="5D078A50" w14:textId="0F52179F" w:rsidR="001F2047" w:rsidRDefault="00862CC0" w:rsidP="00862CC0">
            <w:pPr>
              <w:rPr>
                <w:rFonts w:ascii="Arial" w:eastAsiaTheme="minorEastAsia" w:hAnsi="Arial" w:cstheme="minorBidi"/>
                <w:sz w:val="18"/>
                <w:szCs w:val="20"/>
              </w:rPr>
            </w:pPr>
            <w:r>
              <w:rPr>
                <w:rFonts w:ascii="Arial" w:eastAsiaTheme="minorEastAsia" w:hAnsi="Arial" w:cstheme="minorBidi"/>
                <w:sz w:val="18"/>
                <w:szCs w:val="20"/>
              </w:rPr>
              <w:t>Currently have more than one job</w:t>
            </w:r>
          </w:p>
        </w:tc>
        <w:tc>
          <w:tcPr>
            <w:tcW w:w="1913" w:type="pct"/>
            <w:vAlign w:val="bottom"/>
          </w:tcPr>
          <w:p w14:paraId="3647B643" w14:textId="58C60575"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Follow-up survey</w:t>
            </w:r>
          </w:p>
        </w:tc>
      </w:tr>
      <w:tr w:rsidR="001F2047" w:rsidRPr="00874C5F" w14:paraId="3D598A72" w14:textId="77777777" w:rsidTr="00306117">
        <w:trPr>
          <w:trHeight w:val="288"/>
        </w:trPr>
        <w:tc>
          <w:tcPr>
            <w:tcW w:w="825" w:type="pct"/>
          </w:tcPr>
          <w:p w14:paraId="236F5406" w14:textId="77777777" w:rsidR="001F2047" w:rsidRPr="00B76830" w:rsidRDefault="001F2047" w:rsidP="00306117">
            <w:pPr>
              <w:spacing w:before="120"/>
              <w:rPr>
                <w:rFonts w:ascii="Arial" w:eastAsiaTheme="minorEastAsia" w:hAnsi="Arial" w:cstheme="minorBidi"/>
                <w:b/>
                <w:sz w:val="18"/>
                <w:szCs w:val="20"/>
              </w:rPr>
            </w:pPr>
          </w:p>
        </w:tc>
        <w:tc>
          <w:tcPr>
            <w:tcW w:w="2262" w:type="pct"/>
            <w:vAlign w:val="bottom"/>
          </w:tcPr>
          <w:p w14:paraId="00F734F6" w14:textId="222E0EC5" w:rsidR="001F2047" w:rsidRDefault="00861216" w:rsidP="00306117">
            <w:pPr>
              <w:rPr>
                <w:rFonts w:ascii="Arial" w:eastAsiaTheme="minorEastAsia" w:hAnsi="Arial" w:cstheme="minorBidi"/>
                <w:sz w:val="18"/>
                <w:szCs w:val="20"/>
              </w:rPr>
            </w:pPr>
            <w:r>
              <w:rPr>
                <w:rFonts w:ascii="Arial" w:eastAsiaTheme="minorEastAsia" w:hAnsi="Arial" w:cstheme="minorBidi"/>
                <w:sz w:val="18"/>
                <w:szCs w:val="20"/>
              </w:rPr>
              <w:t>Time to first job after Job ChalleNGe</w:t>
            </w:r>
          </w:p>
        </w:tc>
        <w:tc>
          <w:tcPr>
            <w:tcW w:w="1913" w:type="pct"/>
            <w:vAlign w:val="bottom"/>
          </w:tcPr>
          <w:p w14:paraId="68A281C6" w14:textId="4BF029C2"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Follow-up survey</w:t>
            </w:r>
          </w:p>
        </w:tc>
      </w:tr>
      <w:tr w:rsidR="009411F7" w:rsidRPr="00874C5F" w14:paraId="78262E59" w14:textId="77777777" w:rsidTr="00C930D1">
        <w:trPr>
          <w:trHeight w:val="288"/>
        </w:trPr>
        <w:tc>
          <w:tcPr>
            <w:tcW w:w="825" w:type="pct"/>
          </w:tcPr>
          <w:p w14:paraId="5F8E64BA" w14:textId="77777777" w:rsidR="009411F7" w:rsidRPr="00B76830" w:rsidRDefault="009411F7" w:rsidP="00306117">
            <w:pPr>
              <w:spacing w:before="120"/>
              <w:rPr>
                <w:rFonts w:ascii="Arial" w:eastAsiaTheme="minorEastAsia" w:hAnsi="Arial" w:cstheme="minorBidi"/>
                <w:b/>
                <w:sz w:val="18"/>
                <w:szCs w:val="20"/>
              </w:rPr>
            </w:pPr>
          </w:p>
        </w:tc>
        <w:tc>
          <w:tcPr>
            <w:tcW w:w="2262" w:type="pct"/>
            <w:vAlign w:val="bottom"/>
          </w:tcPr>
          <w:p w14:paraId="74BB1FFD" w14:textId="3C6DAC3B" w:rsidR="009411F7" w:rsidRDefault="009411F7" w:rsidP="00306117">
            <w:pPr>
              <w:rPr>
                <w:rFonts w:ascii="Arial" w:eastAsiaTheme="minorEastAsia" w:hAnsi="Arial" w:cstheme="minorBidi"/>
                <w:sz w:val="18"/>
                <w:szCs w:val="20"/>
              </w:rPr>
            </w:pPr>
            <w:r>
              <w:rPr>
                <w:rFonts w:ascii="Arial" w:eastAsiaTheme="minorEastAsia" w:hAnsi="Arial" w:cstheme="minorBidi"/>
                <w:sz w:val="18"/>
                <w:szCs w:val="20"/>
              </w:rPr>
              <w:t>Length of time in current job</w:t>
            </w:r>
          </w:p>
        </w:tc>
        <w:tc>
          <w:tcPr>
            <w:tcW w:w="1913" w:type="pct"/>
            <w:vAlign w:val="bottom"/>
          </w:tcPr>
          <w:p w14:paraId="49C726BE" w14:textId="196C4F91" w:rsidR="009411F7" w:rsidRDefault="009411F7" w:rsidP="00306117">
            <w:pPr>
              <w:rPr>
                <w:rFonts w:ascii="Arial" w:eastAsiaTheme="minorEastAsia" w:hAnsi="Arial" w:cstheme="minorBidi"/>
                <w:sz w:val="18"/>
                <w:szCs w:val="20"/>
              </w:rPr>
            </w:pPr>
            <w:r w:rsidRPr="009411F7">
              <w:rPr>
                <w:rFonts w:ascii="Arial" w:eastAsiaTheme="minorEastAsia" w:hAnsi="Arial" w:cstheme="minorBidi"/>
                <w:sz w:val="18"/>
                <w:szCs w:val="20"/>
              </w:rPr>
              <w:t>Follow-up survey</w:t>
            </w:r>
          </w:p>
        </w:tc>
      </w:tr>
      <w:tr w:rsidR="00092F0E" w:rsidRPr="00092F0E" w14:paraId="69ACED04" w14:textId="77777777" w:rsidTr="00306117">
        <w:trPr>
          <w:trHeight w:val="288"/>
        </w:trPr>
        <w:tc>
          <w:tcPr>
            <w:tcW w:w="825" w:type="pct"/>
            <w:tcBorders>
              <w:bottom w:val="single" w:sz="4" w:space="0" w:color="auto"/>
            </w:tcBorders>
          </w:tcPr>
          <w:p w14:paraId="4D3759DD" w14:textId="77777777" w:rsidR="00092F0E" w:rsidRPr="00C930D1" w:rsidRDefault="00092F0E" w:rsidP="00306117">
            <w:pPr>
              <w:spacing w:before="120"/>
              <w:rPr>
                <w:rFonts w:ascii="Arial" w:eastAsiaTheme="minorEastAsia" w:hAnsi="Arial" w:cstheme="minorBidi"/>
                <w:sz w:val="18"/>
                <w:szCs w:val="20"/>
              </w:rPr>
            </w:pPr>
          </w:p>
        </w:tc>
        <w:tc>
          <w:tcPr>
            <w:tcW w:w="2262" w:type="pct"/>
            <w:tcBorders>
              <w:bottom w:val="single" w:sz="4" w:space="0" w:color="auto"/>
            </w:tcBorders>
            <w:vAlign w:val="bottom"/>
          </w:tcPr>
          <w:p w14:paraId="5F7F5298" w14:textId="7E7BF3B1" w:rsidR="00092F0E" w:rsidRPr="00092F0E" w:rsidRDefault="00092F0E" w:rsidP="00C930D1">
            <w:pPr>
              <w:spacing w:before="120"/>
              <w:rPr>
                <w:rFonts w:ascii="Arial" w:eastAsiaTheme="minorEastAsia" w:hAnsi="Arial" w:cstheme="minorBidi"/>
                <w:sz w:val="18"/>
                <w:szCs w:val="20"/>
              </w:rPr>
            </w:pPr>
            <w:r w:rsidRPr="00092F0E">
              <w:rPr>
                <w:rFonts w:ascii="Arial" w:eastAsiaTheme="minorEastAsia" w:hAnsi="Arial" w:cstheme="minorBidi"/>
                <w:sz w:val="18"/>
                <w:szCs w:val="20"/>
              </w:rPr>
              <w:t>Employed in training field</w:t>
            </w:r>
          </w:p>
        </w:tc>
        <w:tc>
          <w:tcPr>
            <w:tcW w:w="1913" w:type="pct"/>
            <w:tcBorders>
              <w:bottom w:val="single" w:sz="4" w:space="0" w:color="auto"/>
            </w:tcBorders>
            <w:vAlign w:val="bottom"/>
          </w:tcPr>
          <w:p w14:paraId="32906CDB" w14:textId="295A04D5" w:rsidR="00092F0E" w:rsidRPr="00092F0E" w:rsidRDefault="00092F0E" w:rsidP="00C930D1">
            <w:pPr>
              <w:spacing w:before="120"/>
              <w:rPr>
                <w:rFonts w:ascii="Arial" w:eastAsiaTheme="minorEastAsia" w:hAnsi="Arial" w:cstheme="minorBidi"/>
                <w:sz w:val="18"/>
                <w:szCs w:val="20"/>
              </w:rPr>
            </w:pPr>
            <w:r w:rsidRPr="00092F0E">
              <w:rPr>
                <w:rFonts w:ascii="Arial" w:eastAsiaTheme="minorEastAsia" w:hAnsi="Arial" w:cstheme="minorBidi"/>
                <w:sz w:val="18"/>
                <w:szCs w:val="20"/>
              </w:rPr>
              <w:t>Follow-up survey</w:t>
            </w:r>
          </w:p>
        </w:tc>
      </w:tr>
      <w:tr w:rsidR="001F2047" w:rsidRPr="00874C5F" w14:paraId="44A8B5DC" w14:textId="77777777" w:rsidTr="00306117">
        <w:trPr>
          <w:trHeight w:val="288"/>
        </w:trPr>
        <w:tc>
          <w:tcPr>
            <w:tcW w:w="825" w:type="pct"/>
            <w:tcBorders>
              <w:top w:val="single" w:sz="4" w:space="0" w:color="auto"/>
            </w:tcBorders>
          </w:tcPr>
          <w:p w14:paraId="0BECD7DD" w14:textId="17559D8E" w:rsidR="001F2047" w:rsidRPr="00B76830" w:rsidRDefault="001F2047" w:rsidP="00306117">
            <w:pPr>
              <w:spacing w:before="120"/>
              <w:rPr>
                <w:rFonts w:ascii="Arial" w:eastAsiaTheme="minorEastAsia" w:hAnsi="Arial" w:cstheme="minorBidi"/>
                <w:b/>
                <w:sz w:val="18"/>
                <w:szCs w:val="20"/>
              </w:rPr>
            </w:pPr>
            <w:r w:rsidRPr="00B76830">
              <w:rPr>
                <w:rFonts w:ascii="Arial" w:eastAsiaTheme="minorEastAsia" w:hAnsi="Arial" w:cstheme="minorBidi"/>
                <w:b/>
                <w:sz w:val="18"/>
                <w:szCs w:val="20"/>
              </w:rPr>
              <w:t>Earnings</w:t>
            </w:r>
          </w:p>
        </w:tc>
        <w:tc>
          <w:tcPr>
            <w:tcW w:w="2262" w:type="pct"/>
            <w:tcBorders>
              <w:top w:val="single" w:sz="4" w:space="0" w:color="auto"/>
            </w:tcBorders>
            <w:vAlign w:val="bottom"/>
          </w:tcPr>
          <w:p w14:paraId="1821F395" w14:textId="3712AA8E" w:rsidR="001F2047" w:rsidRDefault="00D4696F" w:rsidP="00306117">
            <w:pPr>
              <w:rPr>
                <w:rFonts w:ascii="Arial" w:eastAsiaTheme="minorEastAsia" w:hAnsi="Arial" w:cstheme="minorBidi"/>
                <w:sz w:val="18"/>
                <w:szCs w:val="20"/>
              </w:rPr>
            </w:pPr>
            <w:r>
              <w:rPr>
                <w:rFonts w:ascii="Arial" w:eastAsiaTheme="minorEastAsia" w:hAnsi="Arial" w:cstheme="minorBidi"/>
                <w:sz w:val="18"/>
                <w:szCs w:val="20"/>
              </w:rPr>
              <w:t>Weekly earnings</w:t>
            </w:r>
          </w:p>
        </w:tc>
        <w:tc>
          <w:tcPr>
            <w:tcW w:w="1913" w:type="pct"/>
            <w:tcBorders>
              <w:top w:val="single" w:sz="4" w:space="0" w:color="auto"/>
            </w:tcBorders>
            <w:vAlign w:val="bottom"/>
          </w:tcPr>
          <w:p w14:paraId="7BC80D07" w14:textId="001AA847"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Text survey</w:t>
            </w:r>
            <w:r w:rsidR="009411F7">
              <w:rPr>
                <w:rFonts w:ascii="Arial" w:eastAsiaTheme="minorEastAsia" w:hAnsi="Arial" w:cstheme="minorBidi"/>
                <w:sz w:val="18"/>
                <w:szCs w:val="20"/>
              </w:rPr>
              <w:t xml:space="preserve">, </w:t>
            </w:r>
            <w:r w:rsidR="009411F7" w:rsidRPr="009411F7">
              <w:rPr>
                <w:rFonts w:ascii="Arial" w:eastAsiaTheme="minorEastAsia" w:hAnsi="Arial" w:cstheme="minorBidi"/>
                <w:sz w:val="18"/>
                <w:szCs w:val="20"/>
              </w:rPr>
              <w:t>Follow-up survey</w:t>
            </w:r>
          </w:p>
        </w:tc>
      </w:tr>
      <w:tr w:rsidR="001F2047" w:rsidRPr="00874C5F" w14:paraId="42A77807" w14:textId="77777777" w:rsidTr="00306117">
        <w:trPr>
          <w:trHeight w:val="288"/>
        </w:trPr>
        <w:tc>
          <w:tcPr>
            <w:tcW w:w="825" w:type="pct"/>
            <w:tcBorders>
              <w:bottom w:val="single" w:sz="4" w:space="0" w:color="auto"/>
            </w:tcBorders>
          </w:tcPr>
          <w:p w14:paraId="3DA84BA1" w14:textId="77777777" w:rsidR="001F2047" w:rsidRPr="00B76830" w:rsidRDefault="001F2047" w:rsidP="00306117">
            <w:pPr>
              <w:spacing w:before="120"/>
              <w:rPr>
                <w:rFonts w:ascii="Arial" w:eastAsiaTheme="minorEastAsia" w:hAnsi="Arial" w:cstheme="minorBidi"/>
                <w:b/>
                <w:sz w:val="18"/>
                <w:szCs w:val="20"/>
              </w:rPr>
            </w:pPr>
          </w:p>
        </w:tc>
        <w:tc>
          <w:tcPr>
            <w:tcW w:w="2262" w:type="pct"/>
            <w:tcBorders>
              <w:bottom w:val="single" w:sz="4" w:space="0" w:color="auto"/>
            </w:tcBorders>
            <w:vAlign w:val="bottom"/>
          </w:tcPr>
          <w:p w14:paraId="7C6A26D1" w14:textId="2DB4862D"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Receive benefits through job</w:t>
            </w:r>
          </w:p>
        </w:tc>
        <w:tc>
          <w:tcPr>
            <w:tcW w:w="1913" w:type="pct"/>
            <w:tcBorders>
              <w:bottom w:val="single" w:sz="4" w:space="0" w:color="auto"/>
            </w:tcBorders>
            <w:vAlign w:val="bottom"/>
          </w:tcPr>
          <w:p w14:paraId="754A68E8" w14:textId="7B932672"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Follow-up survey</w:t>
            </w:r>
          </w:p>
        </w:tc>
      </w:tr>
      <w:tr w:rsidR="001F2047" w:rsidRPr="00306117" w14:paraId="17AC0A64" w14:textId="078F2D9B" w:rsidTr="00306117">
        <w:trPr>
          <w:trHeight w:val="288"/>
        </w:trPr>
        <w:tc>
          <w:tcPr>
            <w:tcW w:w="825" w:type="pct"/>
            <w:tcBorders>
              <w:top w:val="single" w:sz="4" w:space="0" w:color="auto"/>
            </w:tcBorders>
          </w:tcPr>
          <w:p w14:paraId="729F0C96" w14:textId="562A67BD" w:rsidR="001F2047" w:rsidRPr="00B76830" w:rsidRDefault="001F2047" w:rsidP="00306117">
            <w:pPr>
              <w:spacing w:before="120"/>
              <w:rPr>
                <w:rFonts w:ascii="Arial" w:eastAsiaTheme="minorEastAsia" w:hAnsi="Arial" w:cstheme="minorBidi"/>
                <w:b/>
                <w:sz w:val="18"/>
                <w:szCs w:val="20"/>
              </w:rPr>
            </w:pPr>
            <w:r w:rsidRPr="00B76830">
              <w:rPr>
                <w:rFonts w:ascii="Arial" w:eastAsiaTheme="minorEastAsia" w:hAnsi="Arial" w:cstheme="minorBidi"/>
                <w:b/>
                <w:sz w:val="18"/>
                <w:szCs w:val="20"/>
              </w:rPr>
              <w:t>Education</w:t>
            </w:r>
          </w:p>
        </w:tc>
        <w:tc>
          <w:tcPr>
            <w:tcW w:w="2262" w:type="pct"/>
            <w:tcBorders>
              <w:top w:val="single" w:sz="4" w:space="0" w:color="auto"/>
            </w:tcBorders>
            <w:vAlign w:val="bottom"/>
          </w:tcPr>
          <w:p w14:paraId="5AB2DA37" w14:textId="0CC1C362" w:rsidR="001F2047" w:rsidRPr="00306117" w:rsidRDefault="001F2047" w:rsidP="00306117">
            <w:pPr>
              <w:rPr>
                <w:rFonts w:ascii="Arial" w:eastAsiaTheme="minorEastAsia" w:hAnsi="Arial" w:cstheme="minorBidi"/>
                <w:sz w:val="18"/>
                <w:szCs w:val="20"/>
              </w:rPr>
            </w:pPr>
            <w:r w:rsidRPr="00306117">
              <w:rPr>
                <w:rFonts w:ascii="Arial" w:eastAsiaTheme="minorEastAsia" w:hAnsi="Arial" w:cstheme="minorBidi"/>
                <w:sz w:val="18"/>
                <w:szCs w:val="20"/>
              </w:rPr>
              <w:t>Current enrollment in classes</w:t>
            </w:r>
          </w:p>
        </w:tc>
        <w:tc>
          <w:tcPr>
            <w:tcW w:w="1913" w:type="pct"/>
            <w:tcBorders>
              <w:top w:val="single" w:sz="4" w:space="0" w:color="auto"/>
            </w:tcBorders>
            <w:vAlign w:val="bottom"/>
          </w:tcPr>
          <w:p w14:paraId="1AD55360" w14:textId="18D75894" w:rsidR="001F2047" w:rsidRPr="00306117" w:rsidRDefault="009411F7" w:rsidP="00306117">
            <w:pPr>
              <w:rPr>
                <w:rFonts w:ascii="Arial" w:eastAsiaTheme="minorEastAsia" w:hAnsi="Arial" w:cstheme="minorBidi"/>
                <w:sz w:val="18"/>
                <w:szCs w:val="20"/>
              </w:rPr>
            </w:pPr>
            <w:r w:rsidRPr="00306117">
              <w:rPr>
                <w:rFonts w:ascii="Arial" w:eastAsiaTheme="minorEastAsia" w:hAnsi="Arial" w:cstheme="minorBidi"/>
                <w:sz w:val="18"/>
                <w:szCs w:val="20"/>
              </w:rPr>
              <w:t>Text survey, Follow-up survey</w:t>
            </w:r>
          </w:p>
        </w:tc>
      </w:tr>
      <w:tr w:rsidR="001F2047" w:rsidRPr="004A2FEB" w14:paraId="4276EA59" w14:textId="77777777" w:rsidTr="00306117">
        <w:trPr>
          <w:trHeight w:val="288"/>
        </w:trPr>
        <w:tc>
          <w:tcPr>
            <w:tcW w:w="825" w:type="pct"/>
          </w:tcPr>
          <w:p w14:paraId="4727471C" w14:textId="77777777" w:rsidR="001F2047" w:rsidRPr="00B76830" w:rsidRDefault="001F2047" w:rsidP="00306117">
            <w:pPr>
              <w:rPr>
                <w:rFonts w:ascii="Arial" w:eastAsiaTheme="minorEastAsia" w:hAnsi="Arial" w:cstheme="minorBidi"/>
                <w:b/>
                <w:sz w:val="18"/>
                <w:szCs w:val="20"/>
              </w:rPr>
            </w:pPr>
          </w:p>
        </w:tc>
        <w:tc>
          <w:tcPr>
            <w:tcW w:w="2262" w:type="pct"/>
            <w:vAlign w:val="bottom"/>
          </w:tcPr>
          <w:p w14:paraId="48DFE433" w14:textId="67091E17"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Completed education during Job ChalleNGe</w:t>
            </w:r>
          </w:p>
        </w:tc>
        <w:tc>
          <w:tcPr>
            <w:tcW w:w="1913" w:type="pct"/>
            <w:vAlign w:val="bottom"/>
          </w:tcPr>
          <w:p w14:paraId="19F761FD" w14:textId="5F3492B9"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Follow-up survey</w:t>
            </w:r>
          </w:p>
        </w:tc>
      </w:tr>
      <w:tr w:rsidR="001F2047" w:rsidRPr="00306117" w14:paraId="7F71A163" w14:textId="77777777" w:rsidTr="00306117">
        <w:trPr>
          <w:trHeight w:val="288"/>
        </w:trPr>
        <w:tc>
          <w:tcPr>
            <w:tcW w:w="825" w:type="pct"/>
          </w:tcPr>
          <w:p w14:paraId="200D2176" w14:textId="77777777" w:rsidR="001F2047" w:rsidRPr="00B76830" w:rsidRDefault="001F2047" w:rsidP="00306117">
            <w:pPr>
              <w:spacing w:before="120"/>
              <w:rPr>
                <w:rFonts w:ascii="Arial" w:eastAsiaTheme="minorEastAsia" w:hAnsi="Arial" w:cstheme="minorBidi"/>
                <w:b/>
                <w:sz w:val="18"/>
                <w:szCs w:val="20"/>
              </w:rPr>
            </w:pPr>
          </w:p>
        </w:tc>
        <w:tc>
          <w:tcPr>
            <w:tcW w:w="2262" w:type="pct"/>
            <w:vAlign w:val="bottom"/>
          </w:tcPr>
          <w:p w14:paraId="32C97A51" w14:textId="45494A40" w:rsidR="001F2047" w:rsidRPr="00306117" w:rsidRDefault="001F2047" w:rsidP="00306117">
            <w:pPr>
              <w:rPr>
                <w:rFonts w:ascii="Arial" w:eastAsiaTheme="minorEastAsia" w:hAnsi="Arial" w:cstheme="minorBidi"/>
                <w:sz w:val="18"/>
                <w:szCs w:val="20"/>
              </w:rPr>
            </w:pPr>
            <w:r w:rsidRPr="00306117">
              <w:rPr>
                <w:rFonts w:ascii="Arial" w:eastAsiaTheme="minorEastAsia" w:hAnsi="Arial" w:cstheme="minorBidi"/>
                <w:sz w:val="18"/>
                <w:szCs w:val="20"/>
              </w:rPr>
              <w:t xml:space="preserve">Completed job training </w:t>
            </w:r>
          </w:p>
        </w:tc>
        <w:tc>
          <w:tcPr>
            <w:tcW w:w="1913" w:type="pct"/>
            <w:vAlign w:val="bottom"/>
          </w:tcPr>
          <w:p w14:paraId="4F01499B" w14:textId="00275FA7" w:rsidR="001F2047" w:rsidRPr="00306117" w:rsidRDefault="001F2047" w:rsidP="00306117">
            <w:pPr>
              <w:rPr>
                <w:rFonts w:ascii="Arial" w:eastAsiaTheme="minorEastAsia" w:hAnsi="Arial" w:cstheme="minorBidi"/>
                <w:sz w:val="18"/>
                <w:szCs w:val="20"/>
              </w:rPr>
            </w:pPr>
            <w:r w:rsidRPr="00306117">
              <w:rPr>
                <w:rFonts w:ascii="Arial" w:eastAsiaTheme="minorEastAsia" w:hAnsi="Arial" w:cstheme="minorBidi"/>
                <w:sz w:val="18"/>
                <w:szCs w:val="20"/>
              </w:rPr>
              <w:t>Follow-up survey</w:t>
            </w:r>
          </w:p>
        </w:tc>
      </w:tr>
      <w:tr w:rsidR="001F2047" w:rsidRPr="004A2FEB" w14:paraId="173BC066" w14:textId="77777777" w:rsidTr="00306117">
        <w:trPr>
          <w:trHeight w:val="288"/>
        </w:trPr>
        <w:tc>
          <w:tcPr>
            <w:tcW w:w="825" w:type="pct"/>
          </w:tcPr>
          <w:p w14:paraId="5FB02864" w14:textId="77777777" w:rsidR="001F2047" w:rsidRPr="00B76830" w:rsidRDefault="001F2047" w:rsidP="00306117">
            <w:pPr>
              <w:rPr>
                <w:rFonts w:ascii="Arial" w:eastAsiaTheme="minorEastAsia" w:hAnsi="Arial" w:cstheme="minorBidi"/>
                <w:b/>
                <w:sz w:val="18"/>
                <w:szCs w:val="20"/>
              </w:rPr>
            </w:pPr>
          </w:p>
        </w:tc>
        <w:tc>
          <w:tcPr>
            <w:tcW w:w="2262" w:type="pct"/>
            <w:vAlign w:val="bottom"/>
          </w:tcPr>
          <w:p w14:paraId="040A7805" w14:textId="616767B0"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Received credential</w:t>
            </w:r>
          </w:p>
        </w:tc>
        <w:tc>
          <w:tcPr>
            <w:tcW w:w="1913" w:type="pct"/>
            <w:vAlign w:val="bottom"/>
          </w:tcPr>
          <w:p w14:paraId="5F77EFEA" w14:textId="131FE2D8"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Follow-up survey</w:t>
            </w:r>
          </w:p>
        </w:tc>
      </w:tr>
      <w:tr w:rsidR="001F2047" w:rsidRPr="004A2FEB" w14:paraId="2526CA29" w14:textId="77777777" w:rsidTr="00306117">
        <w:trPr>
          <w:trHeight w:val="288"/>
        </w:trPr>
        <w:tc>
          <w:tcPr>
            <w:tcW w:w="825" w:type="pct"/>
            <w:tcBorders>
              <w:bottom w:val="single" w:sz="4" w:space="0" w:color="auto"/>
            </w:tcBorders>
          </w:tcPr>
          <w:p w14:paraId="1570226C" w14:textId="77777777" w:rsidR="001F2047" w:rsidRPr="00B76830" w:rsidRDefault="001F2047" w:rsidP="00306117">
            <w:pPr>
              <w:rPr>
                <w:rFonts w:ascii="Arial" w:eastAsiaTheme="minorEastAsia" w:hAnsi="Arial" w:cstheme="minorBidi"/>
                <w:b/>
                <w:sz w:val="18"/>
                <w:szCs w:val="20"/>
              </w:rPr>
            </w:pPr>
          </w:p>
        </w:tc>
        <w:tc>
          <w:tcPr>
            <w:tcW w:w="2262" w:type="pct"/>
            <w:tcBorders>
              <w:bottom w:val="single" w:sz="4" w:space="0" w:color="auto"/>
            </w:tcBorders>
            <w:vAlign w:val="bottom"/>
          </w:tcPr>
          <w:p w14:paraId="09E54242" w14:textId="5C265A97"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Current enrollment in job training</w:t>
            </w:r>
          </w:p>
        </w:tc>
        <w:tc>
          <w:tcPr>
            <w:tcW w:w="1913" w:type="pct"/>
            <w:tcBorders>
              <w:bottom w:val="single" w:sz="4" w:space="0" w:color="auto"/>
            </w:tcBorders>
            <w:vAlign w:val="bottom"/>
          </w:tcPr>
          <w:p w14:paraId="12C831AF" w14:textId="37EDBD39"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Follow-up survey</w:t>
            </w:r>
          </w:p>
        </w:tc>
      </w:tr>
      <w:tr w:rsidR="001F2047" w:rsidRPr="004A2FEB" w14:paraId="255A5C16" w14:textId="04EC48F8" w:rsidTr="00306117">
        <w:trPr>
          <w:trHeight w:val="288"/>
        </w:trPr>
        <w:tc>
          <w:tcPr>
            <w:tcW w:w="825" w:type="pct"/>
            <w:vMerge w:val="restart"/>
            <w:tcBorders>
              <w:top w:val="single" w:sz="4" w:space="0" w:color="auto"/>
            </w:tcBorders>
          </w:tcPr>
          <w:p w14:paraId="3E175ED8" w14:textId="41DBE7D3" w:rsidR="001F2047" w:rsidRPr="00B76830" w:rsidRDefault="001F2047" w:rsidP="00306117">
            <w:pPr>
              <w:rPr>
                <w:rFonts w:ascii="Arial" w:eastAsiaTheme="minorEastAsia" w:hAnsi="Arial" w:cstheme="minorBidi"/>
                <w:b/>
                <w:sz w:val="18"/>
                <w:szCs w:val="20"/>
              </w:rPr>
            </w:pPr>
            <w:r w:rsidRPr="00B76830">
              <w:rPr>
                <w:rFonts w:ascii="Arial" w:eastAsiaTheme="minorEastAsia" w:hAnsi="Arial" w:cstheme="minorBidi"/>
                <w:b/>
                <w:sz w:val="18"/>
                <w:szCs w:val="20"/>
              </w:rPr>
              <w:t>Justice system contact</w:t>
            </w:r>
          </w:p>
        </w:tc>
        <w:tc>
          <w:tcPr>
            <w:tcW w:w="2262" w:type="pct"/>
            <w:tcBorders>
              <w:top w:val="single" w:sz="4" w:space="0" w:color="auto"/>
            </w:tcBorders>
            <w:vAlign w:val="bottom"/>
          </w:tcPr>
          <w:p w14:paraId="219E4702" w14:textId="368116EA" w:rsidR="001F2047" w:rsidRPr="004A2FEB" w:rsidRDefault="001F2047" w:rsidP="00306117">
            <w:pPr>
              <w:rPr>
                <w:rFonts w:ascii="Arial" w:eastAsiaTheme="minorEastAsia" w:hAnsi="Arial" w:cstheme="minorBidi"/>
                <w:sz w:val="18"/>
                <w:szCs w:val="20"/>
              </w:rPr>
            </w:pPr>
            <w:r>
              <w:rPr>
                <w:rFonts w:ascii="Arial" w:eastAsiaTheme="minorEastAsia" w:hAnsi="Arial" w:cstheme="minorBidi"/>
                <w:sz w:val="18"/>
                <w:szCs w:val="20"/>
              </w:rPr>
              <w:t>New arrest</w:t>
            </w:r>
          </w:p>
        </w:tc>
        <w:tc>
          <w:tcPr>
            <w:tcW w:w="1913" w:type="pct"/>
            <w:tcBorders>
              <w:top w:val="single" w:sz="4" w:space="0" w:color="auto"/>
            </w:tcBorders>
            <w:vAlign w:val="bottom"/>
          </w:tcPr>
          <w:p w14:paraId="77B80352" w14:textId="17FE4022" w:rsidR="001F2047" w:rsidRPr="004A2FEB" w:rsidRDefault="001F2047" w:rsidP="00306117">
            <w:pPr>
              <w:rPr>
                <w:rFonts w:ascii="Arial" w:eastAsiaTheme="minorEastAsia" w:hAnsi="Arial" w:cstheme="minorBidi"/>
                <w:sz w:val="18"/>
                <w:szCs w:val="20"/>
              </w:rPr>
            </w:pPr>
            <w:r>
              <w:rPr>
                <w:rFonts w:ascii="Arial" w:eastAsiaTheme="minorEastAsia" w:hAnsi="Arial" w:cstheme="minorBidi"/>
                <w:sz w:val="18"/>
                <w:szCs w:val="20"/>
              </w:rPr>
              <w:t>Follow-up survey</w:t>
            </w:r>
          </w:p>
        </w:tc>
      </w:tr>
      <w:tr w:rsidR="001F2047" w:rsidRPr="004A2FEB" w14:paraId="73D850B9" w14:textId="69644797" w:rsidTr="00306117">
        <w:trPr>
          <w:trHeight w:val="288"/>
        </w:trPr>
        <w:tc>
          <w:tcPr>
            <w:tcW w:w="825" w:type="pct"/>
            <w:vMerge/>
          </w:tcPr>
          <w:p w14:paraId="168B7270" w14:textId="49143E9F" w:rsidR="001F2047" w:rsidRPr="00B76830" w:rsidRDefault="001F2047" w:rsidP="00306117">
            <w:pPr>
              <w:ind w:left="187"/>
              <w:rPr>
                <w:rFonts w:ascii="Arial" w:eastAsiaTheme="minorEastAsia" w:hAnsi="Arial" w:cstheme="minorBidi"/>
                <w:b/>
                <w:sz w:val="18"/>
                <w:szCs w:val="20"/>
              </w:rPr>
            </w:pPr>
          </w:p>
        </w:tc>
        <w:tc>
          <w:tcPr>
            <w:tcW w:w="2262" w:type="pct"/>
            <w:vAlign w:val="bottom"/>
          </w:tcPr>
          <w:p w14:paraId="7EB2003C" w14:textId="33DEFAEC" w:rsidR="001F2047" w:rsidRPr="004A2FEB" w:rsidRDefault="001F2047" w:rsidP="00306117">
            <w:pPr>
              <w:rPr>
                <w:rFonts w:ascii="Arial" w:eastAsiaTheme="minorEastAsia" w:hAnsi="Arial" w:cstheme="minorBidi"/>
                <w:sz w:val="18"/>
                <w:szCs w:val="20"/>
              </w:rPr>
            </w:pPr>
            <w:r>
              <w:rPr>
                <w:rFonts w:ascii="Arial" w:eastAsiaTheme="minorEastAsia" w:hAnsi="Arial" w:cstheme="minorBidi"/>
                <w:sz w:val="18"/>
                <w:szCs w:val="20"/>
              </w:rPr>
              <w:t>Arrest by type (drug, property, violent)</w:t>
            </w:r>
          </w:p>
        </w:tc>
        <w:tc>
          <w:tcPr>
            <w:tcW w:w="1913" w:type="pct"/>
            <w:vAlign w:val="bottom"/>
          </w:tcPr>
          <w:p w14:paraId="471B4DC9" w14:textId="112C7A06" w:rsidR="001F2047" w:rsidRPr="004A2FEB" w:rsidRDefault="001F2047" w:rsidP="00306117">
            <w:pPr>
              <w:rPr>
                <w:rFonts w:ascii="Arial" w:eastAsiaTheme="minorEastAsia" w:hAnsi="Arial" w:cstheme="minorBidi"/>
                <w:sz w:val="18"/>
                <w:szCs w:val="20"/>
              </w:rPr>
            </w:pPr>
            <w:r>
              <w:rPr>
                <w:rFonts w:ascii="Arial" w:eastAsiaTheme="minorEastAsia" w:hAnsi="Arial" w:cstheme="minorBidi"/>
                <w:sz w:val="18"/>
                <w:szCs w:val="20"/>
              </w:rPr>
              <w:t>Follow-up survey</w:t>
            </w:r>
          </w:p>
        </w:tc>
      </w:tr>
      <w:tr w:rsidR="001F2047" w:rsidRPr="004A2FEB" w14:paraId="1645F93B" w14:textId="77777777" w:rsidTr="00306117">
        <w:trPr>
          <w:trHeight w:val="288"/>
        </w:trPr>
        <w:tc>
          <w:tcPr>
            <w:tcW w:w="825" w:type="pct"/>
            <w:vMerge/>
            <w:tcBorders>
              <w:bottom w:val="single" w:sz="8" w:space="0" w:color="000000" w:themeColor="text1"/>
            </w:tcBorders>
          </w:tcPr>
          <w:p w14:paraId="514CA6D7" w14:textId="77777777" w:rsidR="001F2047" w:rsidRPr="004A2FEB" w:rsidRDefault="001F2047" w:rsidP="00306117">
            <w:pPr>
              <w:ind w:left="187"/>
              <w:rPr>
                <w:rFonts w:ascii="Arial" w:eastAsiaTheme="minorEastAsia" w:hAnsi="Arial" w:cstheme="minorBidi"/>
                <w:sz w:val="18"/>
                <w:szCs w:val="20"/>
              </w:rPr>
            </w:pPr>
          </w:p>
        </w:tc>
        <w:tc>
          <w:tcPr>
            <w:tcW w:w="2262" w:type="pct"/>
            <w:tcBorders>
              <w:bottom w:val="single" w:sz="8" w:space="0" w:color="000000" w:themeColor="text1"/>
            </w:tcBorders>
            <w:vAlign w:val="bottom"/>
          </w:tcPr>
          <w:p w14:paraId="04A970E2" w14:textId="76FA6921"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Convicted/found delinquent to a crime</w:t>
            </w:r>
          </w:p>
        </w:tc>
        <w:tc>
          <w:tcPr>
            <w:tcW w:w="1913" w:type="pct"/>
            <w:tcBorders>
              <w:bottom w:val="single" w:sz="8" w:space="0" w:color="000000" w:themeColor="text1"/>
            </w:tcBorders>
            <w:vAlign w:val="bottom"/>
          </w:tcPr>
          <w:p w14:paraId="345E072C" w14:textId="7CB9979D" w:rsidR="001F2047" w:rsidRDefault="001F2047" w:rsidP="00306117">
            <w:pPr>
              <w:rPr>
                <w:rFonts w:ascii="Arial" w:eastAsiaTheme="minorEastAsia" w:hAnsi="Arial" w:cstheme="minorBidi"/>
                <w:sz w:val="18"/>
                <w:szCs w:val="20"/>
              </w:rPr>
            </w:pPr>
            <w:r>
              <w:rPr>
                <w:rFonts w:ascii="Arial" w:eastAsiaTheme="minorEastAsia" w:hAnsi="Arial" w:cstheme="minorBidi"/>
                <w:sz w:val="18"/>
                <w:szCs w:val="20"/>
              </w:rPr>
              <w:t>Follow-up survey</w:t>
            </w:r>
          </w:p>
        </w:tc>
      </w:tr>
    </w:tbl>
    <w:p w14:paraId="3451F064" w14:textId="77777777" w:rsidR="00874C5F" w:rsidRDefault="00874C5F" w:rsidP="00DF5DC5">
      <w:pPr>
        <w:pStyle w:val="NormalSS"/>
      </w:pPr>
    </w:p>
    <w:p w14:paraId="68C71780" w14:textId="63A984EE" w:rsidR="005A1D69" w:rsidRPr="005A1D69" w:rsidRDefault="00092F0E" w:rsidP="005A1D69">
      <w:pPr>
        <w:pStyle w:val="NormalSS"/>
      </w:pPr>
      <w:r w:rsidRPr="00C930D1">
        <w:rPr>
          <w:i/>
        </w:rPr>
        <w:t>Analysis of patterns in outcomes over time</w:t>
      </w:r>
      <w:r w:rsidR="00DC2BC7">
        <w:t xml:space="preserve">. The monthly text survey data </w:t>
      </w:r>
      <w:r w:rsidR="00292348">
        <w:t xml:space="preserve">also </w:t>
      </w:r>
      <w:r w:rsidR="00DC2BC7">
        <w:t xml:space="preserve">will allow for the exploration of patterns of engagement in employment, education, and other prosocial activities following participation in Job ChalleNGe, using panel data methods. </w:t>
      </w:r>
      <w:r w:rsidR="00B75D73">
        <w:t>T</w:t>
      </w:r>
      <w:r w:rsidR="00B75D73" w:rsidRPr="005A1D69">
        <w:t>o enhance interpretation of estimates of changes in their activities and outcomes over time</w:t>
      </w:r>
      <w:r w:rsidR="00B75D73">
        <w:t>, t</w:t>
      </w:r>
      <w:r w:rsidR="005A1D69" w:rsidRPr="005A1D69">
        <w:t>he anal</w:t>
      </w:r>
      <w:r w:rsidR="00B7082F">
        <w:t>ysis of the text survey</w:t>
      </w:r>
      <w:r w:rsidR="00140FDF">
        <w:t xml:space="preserve"> </w:t>
      </w:r>
      <w:r w:rsidR="00B7082F">
        <w:t xml:space="preserve">data </w:t>
      </w:r>
      <w:r w:rsidR="00140FDF">
        <w:t xml:space="preserve">will </w:t>
      </w:r>
      <w:r w:rsidR="005A1D69" w:rsidRPr="005A1D69">
        <w:t xml:space="preserve">focus on </w:t>
      </w:r>
      <w:r w:rsidR="00292348">
        <w:t>Job ChalleNGe participants</w:t>
      </w:r>
      <w:r w:rsidR="005A1D69" w:rsidRPr="005A1D69">
        <w:t xml:space="preserve"> who responded to at least </w:t>
      </w:r>
      <w:r w:rsidR="00A73E12">
        <w:t>five</w:t>
      </w:r>
      <w:r w:rsidR="00356257" w:rsidRPr="005A1D69">
        <w:t xml:space="preserve"> </w:t>
      </w:r>
      <w:r w:rsidR="005A1D69" w:rsidRPr="005A1D69">
        <w:t xml:space="preserve">of the </w:t>
      </w:r>
      <w:r w:rsidR="00A73E12">
        <w:t>eight</w:t>
      </w:r>
      <w:r w:rsidR="00356257">
        <w:t xml:space="preserve"> </w:t>
      </w:r>
      <w:r w:rsidR="005A1D69" w:rsidRPr="005A1D69">
        <w:t xml:space="preserve">surveys. </w:t>
      </w:r>
      <w:r w:rsidR="00140FDF">
        <w:t xml:space="preserve">The evaluation team </w:t>
      </w:r>
      <w:r w:rsidR="00C02760">
        <w:t>will also explore imputing</w:t>
      </w:r>
      <w:r w:rsidR="00C02760" w:rsidRPr="00C02760">
        <w:t xml:space="preserve"> values for observations that are missing throughout the data collection period. </w:t>
      </w:r>
      <w:r w:rsidR="005A1D69">
        <w:t>The g</w:t>
      </w:r>
      <w:r w:rsidR="005A1D69" w:rsidRPr="005A1D69">
        <w:t xml:space="preserve">oal of </w:t>
      </w:r>
      <w:r w:rsidR="005A1D69">
        <w:t xml:space="preserve">limiting the analysis sample to </w:t>
      </w:r>
      <w:r w:rsidR="00292348">
        <w:t>Job ChalleNGe participants</w:t>
      </w:r>
      <w:r w:rsidR="005A1D69">
        <w:t xml:space="preserve"> who have responded at least </w:t>
      </w:r>
      <w:r w:rsidR="00A73E12">
        <w:t>five</w:t>
      </w:r>
      <w:r w:rsidR="00356257">
        <w:t xml:space="preserve"> </w:t>
      </w:r>
      <w:r w:rsidR="005A1D69">
        <w:t xml:space="preserve">times is to </w:t>
      </w:r>
      <w:r w:rsidR="005A1D69" w:rsidRPr="005A1D69">
        <w:t>preserv</w:t>
      </w:r>
      <w:r w:rsidR="005A1D69">
        <w:t>e</w:t>
      </w:r>
      <w:r w:rsidR="005A1D69" w:rsidRPr="005A1D69">
        <w:t xml:space="preserve"> </w:t>
      </w:r>
      <w:r w:rsidR="005A1D69">
        <w:t>a</w:t>
      </w:r>
      <w:r w:rsidR="00A73E12">
        <w:t>s</w:t>
      </w:r>
      <w:r w:rsidR="005A1D69">
        <w:t xml:space="preserve"> large </w:t>
      </w:r>
      <w:r w:rsidR="00A73E12">
        <w:t xml:space="preserve">a </w:t>
      </w:r>
      <w:r w:rsidR="005A1D69" w:rsidRPr="005A1D69">
        <w:t xml:space="preserve">sample as possible without risking unduly influencing the analysis through imputation of values for missing observations. </w:t>
      </w:r>
    </w:p>
    <w:p w14:paraId="413F8286" w14:textId="132D4484" w:rsidR="008856D4" w:rsidRDefault="00140FDF" w:rsidP="00DF5DC5">
      <w:pPr>
        <w:pStyle w:val="NormalSS"/>
      </w:pPr>
      <w:r>
        <w:t>D</w:t>
      </w:r>
      <w:r w:rsidR="005A1D69">
        <w:t>escriptive analyses</w:t>
      </w:r>
      <w:r>
        <w:t xml:space="preserve"> will be used</w:t>
      </w:r>
      <w:r w:rsidR="005A1D69">
        <w:t xml:space="preserve"> to understand how Job ChalleNGe participants fare in the months following the end of the program, including the stability or instability </w:t>
      </w:r>
      <w:r w:rsidR="00B025F5">
        <w:t xml:space="preserve">of </w:t>
      </w:r>
      <w:r w:rsidR="005A1D69">
        <w:t xml:space="preserve">their employment experiences. Using the panel data of observations over time, </w:t>
      </w:r>
      <w:r>
        <w:t xml:space="preserve">the evaluation team </w:t>
      </w:r>
      <w:r w:rsidR="005A1D69">
        <w:t>will present the percent</w:t>
      </w:r>
      <w:r w:rsidR="00B025F5">
        <w:t>age</w:t>
      </w:r>
      <w:r w:rsidR="005A1D69">
        <w:t xml:space="preserve"> of </w:t>
      </w:r>
      <w:r w:rsidR="00292348">
        <w:t>participants</w:t>
      </w:r>
      <w:r w:rsidR="005A1D69">
        <w:t xml:space="preserve"> who are employed at each point in time</w:t>
      </w:r>
      <w:r w:rsidR="00B025F5">
        <w:t>, and</w:t>
      </w:r>
      <w:r w:rsidR="005A1D69">
        <w:t xml:space="preserve"> describe the average time to the first job, persistence in employment, and the degree of churn in employment</w:t>
      </w:r>
      <w:r w:rsidR="00E535C9">
        <w:t xml:space="preserve"> status</w:t>
      </w:r>
      <w:r w:rsidR="005A1D69">
        <w:t xml:space="preserve"> over the period.</w:t>
      </w:r>
      <w:r w:rsidR="008A0F1B">
        <w:t xml:space="preserve"> </w:t>
      </w:r>
    </w:p>
    <w:p w14:paraId="3BCD7E6D" w14:textId="0E7A58C9" w:rsidR="00DF5DC5" w:rsidRDefault="00DF5DC5" w:rsidP="00DF5DC5">
      <w:pPr>
        <w:pStyle w:val="NormalSS"/>
      </w:pPr>
      <w:r w:rsidRPr="00E35CFD">
        <w:rPr>
          <w:b/>
        </w:rPr>
        <w:t xml:space="preserve">Estimating </w:t>
      </w:r>
      <w:r w:rsidR="004244A5">
        <w:rPr>
          <w:b/>
        </w:rPr>
        <w:t>outcomes</w:t>
      </w:r>
      <w:r w:rsidRPr="00E35CFD">
        <w:rPr>
          <w:b/>
        </w:rPr>
        <w:t xml:space="preserve"> for subgroups.</w:t>
      </w:r>
      <w:r>
        <w:t xml:space="preserve"> </w:t>
      </w:r>
      <w:r w:rsidRPr="00CB2AB2">
        <w:t xml:space="preserve">To understand how </w:t>
      </w:r>
      <w:r w:rsidR="005F572A">
        <w:t>outcomes for</w:t>
      </w:r>
      <w:r>
        <w:t xml:space="preserve"> Job ChalleNGe </w:t>
      </w:r>
      <w:r w:rsidR="005F572A">
        <w:t>participants</w:t>
      </w:r>
      <w:r w:rsidRPr="00CB2AB2">
        <w:t xml:space="preserve"> vary by youth characteristics, subgroup impacts will be</w:t>
      </w:r>
      <w:r>
        <w:t xml:space="preserve"> </w:t>
      </w:r>
      <w:r w:rsidRPr="00CB2AB2">
        <w:t>calculated using a “split-sample” approach in which the full sample is divided into two</w:t>
      </w:r>
      <w:r>
        <w:t xml:space="preserve"> </w:t>
      </w:r>
      <w:r w:rsidRPr="00CB2AB2">
        <w:t xml:space="preserve">subgroups. </w:t>
      </w:r>
      <w:r w:rsidR="005F572A">
        <w:t xml:space="preserve">Outcomes </w:t>
      </w:r>
      <w:r w:rsidRPr="00E35CFD">
        <w:t xml:space="preserve">for subgroups will be estimated using a straightforward modification to </w:t>
      </w:r>
      <w:r>
        <w:t>e</w:t>
      </w:r>
      <w:r w:rsidRPr="00E35CFD">
        <w:t xml:space="preserve">quation (1), where the model </w:t>
      </w:r>
      <w:r w:rsidR="005F572A">
        <w:t>is stratified by</w:t>
      </w:r>
      <w:r w:rsidRPr="00E35CFD">
        <w:t xml:space="preserve"> subgroup </w:t>
      </w:r>
      <w:r w:rsidR="005F572A">
        <w:t>status</w:t>
      </w:r>
      <w:r w:rsidR="00780B84">
        <w:t>,</w:t>
      </w:r>
      <w:r w:rsidRPr="00E35CFD">
        <w:t xml:space="preserve"> and using </w:t>
      </w:r>
      <w:r w:rsidRPr="00E35CFD">
        <w:rPr>
          <w:i/>
          <w:iCs/>
        </w:rPr>
        <w:t>F</w:t>
      </w:r>
      <w:r w:rsidRPr="00E35CFD">
        <w:t xml:space="preserve">-tests to assess whether differences in </w:t>
      </w:r>
      <w:r w:rsidR="005F572A">
        <w:t>outcomes</w:t>
      </w:r>
      <w:r w:rsidRPr="00E35CFD">
        <w:t xml:space="preserve"> across subgroup levels are statistically significant. </w:t>
      </w:r>
      <w:r w:rsidR="00A220C8">
        <w:t xml:space="preserve">Although </w:t>
      </w:r>
      <w:r>
        <w:t>the evaluation team</w:t>
      </w:r>
      <w:r w:rsidRPr="00CB2AB2">
        <w:t xml:space="preserve"> will work with CEO to determine </w:t>
      </w:r>
      <w:r w:rsidR="00A220C8">
        <w:t xml:space="preserve">the types of </w:t>
      </w:r>
      <w:r w:rsidRPr="00CB2AB2">
        <w:t xml:space="preserve">subgroups </w:t>
      </w:r>
      <w:r>
        <w:t xml:space="preserve">for which </w:t>
      </w:r>
      <w:r w:rsidRPr="00CB2AB2">
        <w:t>a subgroup analysis</w:t>
      </w:r>
      <w:r>
        <w:t xml:space="preserve"> should be conducted</w:t>
      </w:r>
      <w:r w:rsidR="00A220C8">
        <w:t xml:space="preserve">, potential subgroups to be analyzed include </w:t>
      </w:r>
      <w:r w:rsidRPr="00CB2AB2">
        <w:t>court-involved youth versus non-court-involved</w:t>
      </w:r>
      <w:r>
        <w:t xml:space="preserve"> </w:t>
      </w:r>
      <w:r w:rsidRPr="00CB2AB2">
        <w:t>youth</w:t>
      </w:r>
      <w:r>
        <w:t xml:space="preserve">, </w:t>
      </w:r>
      <w:r w:rsidR="00A220C8">
        <w:t>as well as sub</w:t>
      </w:r>
      <w:r w:rsidRPr="00CB2AB2">
        <w:t>groups defined by age and</w:t>
      </w:r>
      <w:r>
        <w:t xml:space="preserve"> </w:t>
      </w:r>
      <w:r w:rsidRPr="00CB2AB2">
        <w:t>race/ethnicity, given that the National Job Corps study found different impacts for subgroups</w:t>
      </w:r>
      <w:r>
        <w:t xml:space="preserve"> </w:t>
      </w:r>
      <w:r w:rsidRPr="00CB2AB2">
        <w:t xml:space="preserve">defined by these </w:t>
      </w:r>
      <w:r w:rsidR="00A220C8">
        <w:t xml:space="preserve">demographic </w:t>
      </w:r>
      <w:r w:rsidRPr="00CB2AB2">
        <w:t>characteristics.</w:t>
      </w:r>
      <w:r w:rsidR="00850473">
        <w:rPr>
          <w:rStyle w:val="FootnoteReference"/>
        </w:rPr>
        <w:footnoteReference w:id="5"/>
      </w:r>
      <w:r w:rsidRPr="00CB2AB2">
        <w:t xml:space="preserve"> Other potentially important subgroups</w:t>
      </w:r>
      <w:r>
        <w:t xml:space="preserve"> </w:t>
      </w:r>
      <w:r w:rsidRPr="00CB2AB2">
        <w:t>could be defined by the youth’s level of economic disadvantage and the youth’s program</w:t>
      </w:r>
      <w:r w:rsidR="00C02760">
        <w:t>, with the caveat that outcomes for small subgroups are likely to be imprecisely estimated</w:t>
      </w:r>
      <w:r w:rsidRPr="00CB2AB2">
        <w:t>.</w:t>
      </w:r>
      <w:r>
        <w:t xml:space="preserve"> </w:t>
      </w:r>
    </w:p>
    <w:p w14:paraId="764BF8A4" w14:textId="1035DF02" w:rsidR="00DF5DC5" w:rsidRDefault="009141F0" w:rsidP="008F446A">
      <w:pPr>
        <w:pStyle w:val="H4NumberNoTOC"/>
      </w:pPr>
      <w:r>
        <w:t>b</w:t>
      </w:r>
      <w:r w:rsidR="00DF5DC5">
        <w:t>.</w:t>
      </w:r>
      <w:r>
        <w:tab/>
      </w:r>
      <w:r w:rsidR="00DF5DC5">
        <w:t>Precision calcu</w:t>
      </w:r>
      <w:r w:rsidR="008F446A">
        <w:t xml:space="preserve">lations of the </w:t>
      </w:r>
      <w:r w:rsidR="00D83DA4">
        <w:t>outcome estimates</w:t>
      </w:r>
    </w:p>
    <w:p w14:paraId="2A49C168" w14:textId="4AAA3F9D" w:rsidR="009D4BB1" w:rsidRDefault="00EB0890" w:rsidP="00DF5DC5">
      <w:pPr>
        <w:pStyle w:val="NormalSS"/>
      </w:pPr>
      <w:r>
        <w:t>The study sample will include data from a subset of Job ChalleNGe cohorts. Therefore</w:t>
      </w:r>
      <w:r w:rsidR="00780B84">
        <w:t>,</w:t>
      </w:r>
      <w:r>
        <w:t xml:space="preserve"> </w:t>
      </w:r>
      <w:r w:rsidR="00140FDF">
        <w:t>the</w:t>
      </w:r>
      <w:r w:rsidR="009D4BB1">
        <w:t xml:space="preserve"> estimates will</w:t>
      </w:r>
      <w:r>
        <w:t xml:space="preserve"> not be</w:t>
      </w:r>
      <w:r w:rsidR="009D4BB1">
        <w:t xml:space="preserve"> generaliz</w:t>
      </w:r>
      <w:r>
        <w:t>able to other cohorts</w:t>
      </w:r>
      <w:r w:rsidR="00E535C9">
        <w:t xml:space="preserve"> of Job ChalleNGe participants</w:t>
      </w:r>
      <w:r>
        <w:t>.</w:t>
      </w:r>
      <w:r w:rsidR="00CA020D">
        <w:t xml:space="preserve"> </w:t>
      </w:r>
      <w:r w:rsidR="00091DFD">
        <w:t>However</w:t>
      </w:r>
      <w:r w:rsidR="00780B84">
        <w:t>,</w:t>
      </w:r>
      <w:r w:rsidR="00091DFD">
        <w:t xml:space="preserve"> the information</w:t>
      </w:r>
      <w:r w:rsidR="007E6B8C">
        <w:t xml:space="preserve"> </w:t>
      </w:r>
      <w:r w:rsidR="00780B84">
        <w:t xml:space="preserve">provided by the study </w:t>
      </w:r>
      <w:r w:rsidR="007E6B8C">
        <w:t>on the average outcomes for Job ChalleNGe participants, and in particular, the subsample of court-involved youth,</w:t>
      </w:r>
      <w:r w:rsidR="00091DFD">
        <w:t xml:space="preserve"> </w:t>
      </w:r>
      <w:r w:rsidR="00292348">
        <w:t>will</w:t>
      </w:r>
      <w:r w:rsidR="00091DFD">
        <w:t xml:space="preserve"> be informative to policymakers</w:t>
      </w:r>
      <w:r w:rsidR="007E6B8C">
        <w:t xml:space="preserve"> as they seek to describe the outcomes of the new program and consider expanding it to other Youth ChalleNGe locations</w:t>
      </w:r>
      <w:r w:rsidR="009B22DE">
        <w:t>.</w:t>
      </w:r>
      <w:r w:rsidR="00091DFD">
        <w:t xml:space="preserve"> </w:t>
      </w:r>
    </w:p>
    <w:p w14:paraId="4C5B49F0" w14:textId="6CAE785B" w:rsidR="00D42569" w:rsidRPr="00660448" w:rsidRDefault="00D42569" w:rsidP="00D42569">
      <w:pPr>
        <w:pStyle w:val="NormalSS"/>
        <w:ind w:firstLine="0"/>
        <w:rPr>
          <w:rFonts w:ascii="Arial Black" w:hAnsi="Arial Black"/>
          <w:b/>
          <w:bCs/>
          <w:sz w:val="22"/>
          <w:szCs w:val="22"/>
        </w:rPr>
      </w:pPr>
      <w:r w:rsidRPr="00660448">
        <w:rPr>
          <w:rFonts w:ascii="Arial Black" w:hAnsi="Arial Black"/>
          <w:b/>
          <w:bCs/>
          <w:sz w:val="22"/>
          <w:szCs w:val="22"/>
        </w:rPr>
        <w:t xml:space="preserve">Table </w:t>
      </w:r>
      <w:r w:rsidR="00EF50B5" w:rsidRPr="00660448">
        <w:rPr>
          <w:rFonts w:ascii="Arial Black" w:hAnsi="Arial Black"/>
          <w:b/>
          <w:bCs/>
          <w:sz w:val="22"/>
          <w:szCs w:val="22"/>
        </w:rPr>
        <w:t>B.3</w:t>
      </w:r>
      <w:r w:rsidRPr="00660448">
        <w:rPr>
          <w:rFonts w:ascii="Arial Black" w:hAnsi="Arial Black"/>
          <w:b/>
          <w:bCs/>
          <w:sz w:val="22"/>
          <w:szCs w:val="22"/>
        </w:rPr>
        <w:t>. Sample sizes and precision estimates</w:t>
      </w:r>
    </w:p>
    <w:tbl>
      <w:tblPr>
        <w:tblW w:w="8725" w:type="dxa"/>
        <w:tblLook w:val="04A0" w:firstRow="1" w:lastRow="0" w:firstColumn="1" w:lastColumn="0" w:noHBand="0" w:noVBand="1"/>
      </w:tblPr>
      <w:tblGrid>
        <w:gridCol w:w="4050"/>
        <w:gridCol w:w="911"/>
        <w:gridCol w:w="1604"/>
        <w:gridCol w:w="1080"/>
        <w:gridCol w:w="1080"/>
      </w:tblGrid>
      <w:tr w:rsidR="006E1A32" w:rsidRPr="00927187" w14:paraId="2EAC02D4" w14:textId="77777777" w:rsidTr="00927187">
        <w:trPr>
          <w:trHeight w:val="20"/>
        </w:trPr>
        <w:tc>
          <w:tcPr>
            <w:tcW w:w="4050" w:type="dxa"/>
            <w:tcBorders>
              <w:top w:val="single" w:sz="4" w:space="0" w:color="auto"/>
              <w:left w:val="nil"/>
              <w:right w:val="nil"/>
            </w:tcBorders>
            <w:shd w:val="clear" w:color="auto" w:fill="1F497D" w:themeFill="text2"/>
            <w:noWrap/>
            <w:vAlign w:val="bottom"/>
            <w:hideMark/>
          </w:tcPr>
          <w:p w14:paraId="55925419" w14:textId="77777777" w:rsidR="00D42569" w:rsidRPr="00927187" w:rsidRDefault="00D42569" w:rsidP="00927187">
            <w:pPr>
              <w:pStyle w:val="TableHeaderLeft"/>
            </w:pPr>
          </w:p>
        </w:tc>
        <w:tc>
          <w:tcPr>
            <w:tcW w:w="911" w:type="dxa"/>
            <w:tcBorders>
              <w:top w:val="single" w:sz="4" w:space="0" w:color="auto"/>
              <w:left w:val="nil"/>
              <w:right w:val="nil"/>
            </w:tcBorders>
            <w:shd w:val="clear" w:color="auto" w:fill="1F497D" w:themeFill="text2"/>
            <w:noWrap/>
            <w:vAlign w:val="bottom"/>
            <w:hideMark/>
          </w:tcPr>
          <w:p w14:paraId="69B11C78" w14:textId="77777777" w:rsidR="00D42569" w:rsidRPr="00927187" w:rsidRDefault="00D42569" w:rsidP="00927187">
            <w:pPr>
              <w:pStyle w:val="TableHeaderLeft"/>
              <w:jc w:val="center"/>
            </w:pPr>
          </w:p>
        </w:tc>
        <w:tc>
          <w:tcPr>
            <w:tcW w:w="3764" w:type="dxa"/>
            <w:gridSpan w:val="3"/>
            <w:tcBorders>
              <w:top w:val="single" w:sz="4" w:space="0" w:color="auto"/>
              <w:left w:val="nil"/>
              <w:bottom w:val="single" w:sz="4" w:space="0" w:color="FFFFFF" w:themeColor="background1"/>
              <w:right w:val="nil"/>
            </w:tcBorders>
            <w:shd w:val="clear" w:color="auto" w:fill="1F497D" w:themeFill="text2"/>
            <w:vAlign w:val="bottom"/>
            <w:hideMark/>
          </w:tcPr>
          <w:p w14:paraId="4A9E1C2F" w14:textId="404E9DD4" w:rsidR="00D42569" w:rsidRPr="00927187" w:rsidRDefault="00D42569" w:rsidP="00927187">
            <w:pPr>
              <w:pStyle w:val="TableHeaderLeft"/>
              <w:jc w:val="center"/>
            </w:pPr>
            <w:r w:rsidRPr="00927187">
              <w:t>Precision for an outcome measured as a percentage and with a mean of:</w:t>
            </w:r>
          </w:p>
        </w:tc>
      </w:tr>
      <w:tr w:rsidR="006E1A32" w:rsidRPr="00927187" w14:paraId="66B3B20F" w14:textId="77777777" w:rsidTr="00927187">
        <w:trPr>
          <w:trHeight w:val="585"/>
        </w:trPr>
        <w:tc>
          <w:tcPr>
            <w:tcW w:w="4050" w:type="dxa"/>
            <w:tcBorders>
              <w:top w:val="nil"/>
              <w:left w:val="nil"/>
              <w:bottom w:val="single" w:sz="4" w:space="0" w:color="auto"/>
              <w:right w:val="nil"/>
            </w:tcBorders>
            <w:shd w:val="clear" w:color="auto" w:fill="1F497D" w:themeFill="text2"/>
            <w:noWrap/>
            <w:vAlign w:val="bottom"/>
            <w:hideMark/>
          </w:tcPr>
          <w:p w14:paraId="17F54AFF" w14:textId="4411D2E3" w:rsidR="00D42569" w:rsidRPr="00927187" w:rsidRDefault="00D42569" w:rsidP="00927187">
            <w:pPr>
              <w:pStyle w:val="TableHeaderLeft"/>
            </w:pPr>
            <w:r w:rsidRPr="00927187">
              <w:t>Survey sample</w:t>
            </w:r>
          </w:p>
        </w:tc>
        <w:tc>
          <w:tcPr>
            <w:tcW w:w="911" w:type="dxa"/>
            <w:tcBorders>
              <w:top w:val="nil"/>
              <w:left w:val="nil"/>
              <w:bottom w:val="single" w:sz="4" w:space="0" w:color="auto"/>
              <w:right w:val="nil"/>
            </w:tcBorders>
            <w:shd w:val="clear" w:color="auto" w:fill="1F497D" w:themeFill="text2"/>
            <w:noWrap/>
            <w:vAlign w:val="bottom"/>
            <w:hideMark/>
          </w:tcPr>
          <w:p w14:paraId="384AD328" w14:textId="77777777" w:rsidR="00D42569" w:rsidRPr="00927187" w:rsidRDefault="00D42569" w:rsidP="00927187">
            <w:pPr>
              <w:pStyle w:val="TableHeaderLeft"/>
              <w:jc w:val="center"/>
            </w:pPr>
            <w:r w:rsidRPr="00927187">
              <w:t>Sample size</w:t>
            </w:r>
          </w:p>
        </w:tc>
        <w:tc>
          <w:tcPr>
            <w:tcW w:w="1604" w:type="dxa"/>
            <w:tcBorders>
              <w:top w:val="single" w:sz="4" w:space="0" w:color="FFFFFF" w:themeColor="background1"/>
              <w:left w:val="nil"/>
              <w:bottom w:val="single" w:sz="4" w:space="0" w:color="auto"/>
              <w:right w:val="nil"/>
            </w:tcBorders>
            <w:shd w:val="clear" w:color="auto" w:fill="1F497D" w:themeFill="text2"/>
            <w:vAlign w:val="bottom"/>
            <w:hideMark/>
          </w:tcPr>
          <w:p w14:paraId="29937A0D" w14:textId="77777777" w:rsidR="00D42569" w:rsidRPr="00927187" w:rsidRDefault="00D42569" w:rsidP="00927187">
            <w:pPr>
              <w:pStyle w:val="TableHeaderLeft"/>
              <w:jc w:val="center"/>
            </w:pPr>
            <w:r w:rsidRPr="00927187">
              <w:t>25 or 75 percent</w:t>
            </w:r>
          </w:p>
        </w:tc>
        <w:tc>
          <w:tcPr>
            <w:tcW w:w="1080" w:type="dxa"/>
            <w:tcBorders>
              <w:top w:val="single" w:sz="4" w:space="0" w:color="FFFFFF" w:themeColor="background1"/>
              <w:left w:val="nil"/>
              <w:bottom w:val="single" w:sz="4" w:space="0" w:color="auto"/>
              <w:right w:val="nil"/>
            </w:tcBorders>
            <w:shd w:val="clear" w:color="auto" w:fill="1F497D" w:themeFill="text2"/>
            <w:vAlign w:val="bottom"/>
            <w:hideMark/>
          </w:tcPr>
          <w:p w14:paraId="19BE1A5E" w14:textId="77777777" w:rsidR="00D42569" w:rsidRPr="00927187" w:rsidRDefault="00D42569" w:rsidP="00927187">
            <w:pPr>
              <w:pStyle w:val="TableHeaderLeft"/>
              <w:jc w:val="center"/>
            </w:pPr>
            <w:r w:rsidRPr="00927187">
              <w:t>33 or 67 percent</w:t>
            </w:r>
          </w:p>
        </w:tc>
        <w:tc>
          <w:tcPr>
            <w:tcW w:w="1080" w:type="dxa"/>
            <w:tcBorders>
              <w:top w:val="single" w:sz="4" w:space="0" w:color="FFFFFF" w:themeColor="background1"/>
              <w:left w:val="nil"/>
              <w:bottom w:val="single" w:sz="4" w:space="0" w:color="auto"/>
              <w:right w:val="nil"/>
            </w:tcBorders>
            <w:shd w:val="clear" w:color="auto" w:fill="1F497D" w:themeFill="text2"/>
            <w:vAlign w:val="bottom"/>
            <w:hideMark/>
          </w:tcPr>
          <w:p w14:paraId="2D06533A" w14:textId="77777777" w:rsidR="00D42569" w:rsidRPr="00927187" w:rsidRDefault="00D42569" w:rsidP="00927187">
            <w:pPr>
              <w:pStyle w:val="TableHeaderLeft"/>
              <w:jc w:val="center"/>
            </w:pPr>
            <w:r w:rsidRPr="00927187">
              <w:t>50 percent</w:t>
            </w:r>
          </w:p>
        </w:tc>
      </w:tr>
      <w:tr w:rsidR="00893C60" w:rsidRPr="00893C60" w14:paraId="5E39DB4B" w14:textId="77777777" w:rsidTr="00893C60">
        <w:trPr>
          <w:trHeight w:val="360"/>
        </w:trPr>
        <w:tc>
          <w:tcPr>
            <w:tcW w:w="4050" w:type="dxa"/>
            <w:tcBorders>
              <w:left w:val="nil"/>
              <w:bottom w:val="nil"/>
              <w:right w:val="nil"/>
            </w:tcBorders>
            <w:shd w:val="clear" w:color="auto" w:fill="auto"/>
            <w:noWrap/>
            <w:vAlign w:val="bottom"/>
            <w:hideMark/>
          </w:tcPr>
          <w:p w14:paraId="4CE1DB95" w14:textId="005744B4" w:rsidR="00893C60" w:rsidRPr="00927187" w:rsidRDefault="00893C60" w:rsidP="00927187">
            <w:pPr>
              <w:pStyle w:val="TableText"/>
              <w:rPr>
                <w:b/>
              </w:rPr>
            </w:pPr>
            <w:r w:rsidRPr="00927187">
              <w:rPr>
                <w:b/>
              </w:rPr>
              <w:t>Monthly text message survey (cohorts 4</w:t>
            </w:r>
            <w:r w:rsidR="00780B84">
              <w:rPr>
                <w:b/>
              </w:rPr>
              <w:t>–</w:t>
            </w:r>
            <w:r w:rsidRPr="00927187">
              <w:rPr>
                <w:b/>
              </w:rPr>
              <w:t>6)</w:t>
            </w:r>
          </w:p>
        </w:tc>
        <w:tc>
          <w:tcPr>
            <w:tcW w:w="911" w:type="dxa"/>
            <w:tcBorders>
              <w:left w:val="nil"/>
              <w:bottom w:val="nil"/>
              <w:right w:val="nil"/>
            </w:tcBorders>
            <w:shd w:val="clear" w:color="auto" w:fill="auto"/>
            <w:noWrap/>
            <w:vAlign w:val="bottom"/>
            <w:hideMark/>
          </w:tcPr>
          <w:p w14:paraId="0FB1C00B" w14:textId="77777777" w:rsidR="00893C60" w:rsidRPr="00893C60" w:rsidRDefault="00893C60" w:rsidP="00927187">
            <w:pPr>
              <w:pStyle w:val="TableText"/>
            </w:pPr>
          </w:p>
        </w:tc>
        <w:tc>
          <w:tcPr>
            <w:tcW w:w="1604" w:type="dxa"/>
            <w:tcBorders>
              <w:left w:val="nil"/>
              <w:bottom w:val="nil"/>
              <w:right w:val="nil"/>
            </w:tcBorders>
            <w:shd w:val="clear" w:color="auto" w:fill="auto"/>
            <w:vAlign w:val="bottom"/>
            <w:hideMark/>
          </w:tcPr>
          <w:p w14:paraId="31212277" w14:textId="77777777" w:rsidR="00893C60" w:rsidRPr="00893C60" w:rsidRDefault="00893C60" w:rsidP="00927187">
            <w:pPr>
              <w:pStyle w:val="TableText"/>
            </w:pPr>
          </w:p>
        </w:tc>
        <w:tc>
          <w:tcPr>
            <w:tcW w:w="1080" w:type="dxa"/>
            <w:tcBorders>
              <w:left w:val="nil"/>
              <w:bottom w:val="nil"/>
              <w:right w:val="nil"/>
            </w:tcBorders>
            <w:shd w:val="clear" w:color="auto" w:fill="auto"/>
            <w:vAlign w:val="bottom"/>
            <w:hideMark/>
          </w:tcPr>
          <w:p w14:paraId="5F33F91C" w14:textId="77777777" w:rsidR="00893C60" w:rsidRPr="00893C60" w:rsidRDefault="00893C60" w:rsidP="00927187">
            <w:pPr>
              <w:pStyle w:val="TableText"/>
            </w:pPr>
          </w:p>
        </w:tc>
        <w:tc>
          <w:tcPr>
            <w:tcW w:w="1080" w:type="dxa"/>
            <w:tcBorders>
              <w:left w:val="nil"/>
              <w:bottom w:val="nil"/>
              <w:right w:val="nil"/>
            </w:tcBorders>
            <w:shd w:val="clear" w:color="auto" w:fill="auto"/>
            <w:vAlign w:val="bottom"/>
            <w:hideMark/>
          </w:tcPr>
          <w:p w14:paraId="67E884C1" w14:textId="77777777" w:rsidR="00893C60" w:rsidRPr="00893C60" w:rsidRDefault="00893C60" w:rsidP="00927187">
            <w:pPr>
              <w:pStyle w:val="TableText"/>
            </w:pPr>
          </w:p>
        </w:tc>
      </w:tr>
      <w:tr w:rsidR="00893C60" w:rsidRPr="00893C60" w14:paraId="4BFB1636" w14:textId="77777777" w:rsidTr="00893C60">
        <w:trPr>
          <w:trHeight w:val="20"/>
        </w:trPr>
        <w:tc>
          <w:tcPr>
            <w:tcW w:w="4050" w:type="dxa"/>
            <w:tcBorders>
              <w:top w:val="nil"/>
              <w:left w:val="nil"/>
              <w:bottom w:val="nil"/>
              <w:right w:val="nil"/>
            </w:tcBorders>
            <w:shd w:val="clear" w:color="auto" w:fill="auto"/>
            <w:noWrap/>
            <w:vAlign w:val="bottom"/>
            <w:hideMark/>
          </w:tcPr>
          <w:p w14:paraId="6C9EBDC3" w14:textId="77777777" w:rsidR="00893C60" w:rsidRPr="00893C60" w:rsidRDefault="00893C60" w:rsidP="00927187">
            <w:pPr>
              <w:pStyle w:val="TableText"/>
            </w:pPr>
            <w:r w:rsidRPr="00893C60">
              <w:t>Responses to text message survey</w:t>
            </w:r>
          </w:p>
        </w:tc>
        <w:tc>
          <w:tcPr>
            <w:tcW w:w="911" w:type="dxa"/>
            <w:tcBorders>
              <w:top w:val="nil"/>
              <w:left w:val="nil"/>
              <w:bottom w:val="nil"/>
              <w:right w:val="nil"/>
            </w:tcBorders>
            <w:shd w:val="clear" w:color="auto" w:fill="auto"/>
            <w:noWrap/>
            <w:vAlign w:val="bottom"/>
            <w:hideMark/>
          </w:tcPr>
          <w:p w14:paraId="20E2C2CD" w14:textId="5DB8EA07" w:rsidR="00893C60" w:rsidRPr="00893C60" w:rsidRDefault="00474699" w:rsidP="00927187">
            <w:pPr>
              <w:pStyle w:val="TableText"/>
            </w:pPr>
            <w:r>
              <w:t>351</w:t>
            </w:r>
          </w:p>
        </w:tc>
        <w:tc>
          <w:tcPr>
            <w:tcW w:w="1604" w:type="dxa"/>
            <w:tcBorders>
              <w:top w:val="nil"/>
              <w:left w:val="nil"/>
              <w:bottom w:val="nil"/>
              <w:right w:val="nil"/>
            </w:tcBorders>
            <w:shd w:val="clear" w:color="auto" w:fill="auto"/>
            <w:noWrap/>
            <w:vAlign w:val="bottom"/>
            <w:hideMark/>
          </w:tcPr>
          <w:p w14:paraId="3657E7BF" w14:textId="19F6E53D" w:rsidR="00893C60" w:rsidRPr="00893C60" w:rsidRDefault="00893C60" w:rsidP="00927187">
            <w:pPr>
              <w:pStyle w:val="TableText"/>
            </w:pPr>
            <w:r w:rsidRPr="00893C60">
              <w:t>4.</w:t>
            </w:r>
            <w:r w:rsidR="00474699">
              <w:t>5</w:t>
            </w:r>
            <w:r w:rsidRPr="00893C60">
              <w:t>%</w:t>
            </w:r>
          </w:p>
        </w:tc>
        <w:tc>
          <w:tcPr>
            <w:tcW w:w="1080" w:type="dxa"/>
            <w:tcBorders>
              <w:top w:val="nil"/>
              <w:left w:val="nil"/>
              <w:bottom w:val="nil"/>
              <w:right w:val="nil"/>
            </w:tcBorders>
            <w:shd w:val="clear" w:color="auto" w:fill="auto"/>
            <w:noWrap/>
            <w:vAlign w:val="bottom"/>
            <w:hideMark/>
          </w:tcPr>
          <w:p w14:paraId="656269D8" w14:textId="2FC50EB5" w:rsidR="00893C60" w:rsidRPr="00893C60" w:rsidRDefault="00893C60" w:rsidP="00927187">
            <w:pPr>
              <w:pStyle w:val="TableText"/>
            </w:pPr>
            <w:r w:rsidRPr="00893C60">
              <w:t>4.</w:t>
            </w:r>
            <w:r w:rsidR="00474699">
              <w:t>9</w:t>
            </w:r>
            <w:r w:rsidRPr="00893C60">
              <w:t>%</w:t>
            </w:r>
          </w:p>
        </w:tc>
        <w:tc>
          <w:tcPr>
            <w:tcW w:w="1080" w:type="dxa"/>
            <w:tcBorders>
              <w:top w:val="nil"/>
              <w:left w:val="nil"/>
              <w:bottom w:val="nil"/>
              <w:right w:val="nil"/>
            </w:tcBorders>
            <w:shd w:val="clear" w:color="auto" w:fill="auto"/>
            <w:noWrap/>
            <w:vAlign w:val="bottom"/>
            <w:hideMark/>
          </w:tcPr>
          <w:p w14:paraId="0B836D0C" w14:textId="35D1FC6A" w:rsidR="00893C60" w:rsidRPr="00893C60" w:rsidRDefault="00474699" w:rsidP="00927187">
            <w:pPr>
              <w:pStyle w:val="TableText"/>
            </w:pPr>
            <w:r>
              <w:t>5.2</w:t>
            </w:r>
            <w:r w:rsidR="00893C60" w:rsidRPr="00893C60">
              <w:t>%</w:t>
            </w:r>
          </w:p>
        </w:tc>
      </w:tr>
      <w:tr w:rsidR="00893C60" w:rsidRPr="00893C60" w14:paraId="3F2FEC54" w14:textId="77777777" w:rsidTr="00893C60">
        <w:trPr>
          <w:trHeight w:val="20"/>
        </w:trPr>
        <w:tc>
          <w:tcPr>
            <w:tcW w:w="4050" w:type="dxa"/>
            <w:tcBorders>
              <w:top w:val="nil"/>
              <w:left w:val="nil"/>
              <w:bottom w:val="nil"/>
              <w:right w:val="nil"/>
            </w:tcBorders>
            <w:shd w:val="clear" w:color="auto" w:fill="auto"/>
            <w:noWrap/>
            <w:vAlign w:val="bottom"/>
            <w:hideMark/>
          </w:tcPr>
          <w:p w14:paraId="7A8FFFF0" w14:textId="77777777" w:rsidR="00893C60" w:rsidRPr="00893C60" w:rsidRDefault="00893C60" w:rsidP="00927187">
            <w:pPr>
              <w:pStyle w:val="TableText"/>
            </w:pPr>
            <w:r w:rsidRPr="00893C60">
              <w:t>Subpopulation of court-involved youth</w:t>
            </w:r>
          </w:p>
        </w:tc>
        <w:tc>
          <w:tcPr>
            <w:tcW w:w="911" w:type="dxa"/>
            <w:tcBorders>
              <w:top w:val="nil"/>
              <w:left w:val="nil"/>
              <w:bottom w:val="nil"/>
              <w:right w:val="nil"/>
            </w:tcBorders>
            <w:shd w:val="clear" w:color="auto" w:fill="auto"/>
            <w:noWrap/>
            <w:hideMark/>
          </w:tcPr>
          <w:p w14:paraId="015A90BA" w14:textId="2EF358A0" w:rsidR="00893C60" w:rsidRPr="00893C60" w:rsidRDefault="003E4EC1" w:rsidP="003E4EC1">
            <w:pPr>
              <w:pStyle w:val="TableText"/>
            </w:pPr>
            <w:r>
              <w:t>174</w:t>
            </w:r>
          </w:p>
        </w:tc>
        <w:tc>
          <w:tcPr>
            <w:tcW w:w="1604" w:type="dxa"/>
            <w:tcBorders>
              <w:top w:val="nil"/>
              <w:left w:val="nil"/>
              <w:bottom w:val="nil"/>
              <w:right w:val="nil"/>
            </w:tcBorders>
            <w:shd w:val="clear" w:color="auto" w:fill="auto"/>
            <w:noWrap/>
            <w:hideMark/>
          </w:tcPr>
          <w:p w14:paraId="0A6EF0D6" w14:textId="01441F36" w:rsidR="00893C60" w:rsidRPr="00893C60" w:rsidRDefault="00474699" w:rsidP="00927187">
            <w:pPr>
              <w:pStyle w:val="TableText"/>
            </w:pPr>
            <w:r>
              <w:t>7.4</w:t>
            </w:r>
            <w:r w:rsidR="00893C60" w:rsidRPr="00893C60">
              <w:t>%</w:t>
            </w:r>
          </w:p>
        </w:tc>
        <w:tc>
          <w:tcPr>
            <w:tcW w:w="1080" w:type="dxa"/>
            <w:tcBorders>
              <w:top w:val="nil"/>
              <w:left w:val="nil"/>
              <w:bottom w:val="nil"/>
              <w:right w:val="nil"/>
            </w:tcBorders>
            <w:shd w:val="clear" w:color="auto" w:fill="auto"/>
            <w:noWrap/>
            <w:hideMark/>
          </w:tcPr>
          <w:p w14:paraId="5D19FD3C" w14:textId="489BC48C" w:rsidR="00893C60" w:rsidRPr="00893C60" w:rsidRDefault="00474699" w:rsidP="003E4EC1">
            <w:pPr>
              <w:pStyle w:val="TableText"/>
            </w:pPr>
            <w:r>
              <w:t>8.</w:t>
            </w:r>
            <w:r w:rsidR="003E4EC1">
              <w:t>6</w:t>
            </w:r>
            <w:r w:rsidR="00893C60" w:rsidRPr="00893C60">
              <w:t>%</w:t>
            </w:r>
          </w:p>
        </w:tc>
        <w:tc>
          <w:tcPr>
            <w:tcW w:w="1080" w:type="dxa"/>
            <w:tcBorders>
              <w:top w:val="nil"/>
              <w:left w:val="nil"/>
              <w:bottom w:val="nil"/>
              <w:right w:val="nil"/>
            </w:tcBorders>
            <w:shd w:val="clear" w:color="auto" w:fill="auto"/>
            <w:noWrap/>
            <w:hideMark/>
          </w:tcPr>
          <w:p w14:paraId="4914D4AE" w14:textId="7341D354" w:rsidR="00893C60" w:rsidRPr="00893C60" w:rsidRDefault="00474699" w:rsidP="00927187">
            <w:pPr>
              <w:pStyle w:val="TableText"/>
            </w:pPr>
            <w:r>
              <w:t>10.5</w:t>
            </w:r>
            <w:r w:rsidR="00893C60" w:rsidRPr="00893C60">
              <w:t>%</w:t>
            </w:r>
          </w:p>
        </w:tc>
      </w:tr>
      <w:tr w:rsidR="00A850E9" w:rsidRPr="00D42569" w14:paraId="1C62CDDB" w14:textId="77777777" w:rsidTr="00893C60">
        <w:trPr>
          <w:trHeight w:val="333"/>
        </w:trPr>
        <w:tc>
          <w:tcPr>
            <w:tcW w:w="4050" w:type="dxa"/>
            <w:tcBorders>
              <w:top w:val="nil"/>
              <w:left w:val="nil"/>
              <w:bottom w:val="nil"/>
              <w:right w:val="nil"/>
            </w:tcBorders>
            <w:shd w:val="clear" w:color="auto" w:fill="auto"/>
            <w:noWrap/>
            <w:vAlign w:val="bottom"/>
            <w:hideMark/>
          </w:tcPr>
          <w:p w14:paraId="6B31DF2A" w14:textId="1AD00F98" w:rsidR="00A850E9" w:rsidRPr="00927187" w:rsidRDefault="00A850E9" w:rsidP="00927187">
            <w:pPr>
              <w:pStyle w:val="TableText"/>
              <w:rPr>
                <w:b/>
              </w:rPr>
            </w:pPr>
            <w:r w:rsidRPr="00927187">
              <w:rPr>
                <w:b/>
              </w:rPr>
              <w:t>Follow-up survey (cohorts 4</w:t>
            </w:r>
            <w:r w:rsidR="00780B84">
              <w:rPr>
                <w:b/>
              </w:rPr>
              <w:t>–</w:t>
            </w:r>
            <w:r w:rsidRPr="00927187">
              <w:rPr>
                <w:b/>
              </w:rPr>
              <w:t>6)</w:t>
            </w:r>
          </w:p>
        </w:tc>
        <w:tc>
          <w:tcPr>
            <w:tcW w:w="911" w:type="dxa"/>
            <w:tcBorders>
              <w:top w:val="nil"/>
              <w:left w:val="nil"/>
              <w:bottom w:val="nil"/>
              <w:right w:val="nil"/>
            </w:tcBorders>
            <w:shd w:val="clear" w:color="auto" w:fill="auto"/>
            <w:noWrap/>
            <w:vAlign w:val="bottom"/>
            <w:hideMark/>
          </w:tcPr>
          <w:p w14:paraId="734B4744" w14:textId="77777777" w:rsidR="00A850E9" w:rsidRPr="00D42569" w:rsidRDefault="00A850E9" w:rsidP="00927187">
            <w:pPr>
              <w:pStyle w:val="TableText"/>
            </w:pPr>
          </w:p>
        </w:tc>
        <w:tc>
          <w:tcPr>
            <w:tcW w:w="1604" w:type="dxa"/>
            <w:tcBorders>
              <w:top w:val="nil"/>
              <w:left w:val="nil"/>
              <w:bottom w:val="nil"/>
              <w:right w:val="nil"/>
            </w:tcBorders>
            <w:shd w:val="clear" w:color="auto" w:fill="auto"/>
            <w:noWrap/>
            <w:vAlign w:val="bottom"/>
            <w:hideMark/>
          </w:tcPr>
          <w:p w14:paraId="29F9E308" w14:textId="77777777" w:rsidR="00A850E9" w:rsidRPr="00A850E9" w:rsidRDefault="00A850E9" w:rsidP="00927187">
            <w:pPr>
              <w:pStyle w:val="TableText"/>
            </w:pPr>
          </w:p>
        </w:tc>
        <w:tc>
          <w:tcPr>
            <w:tcW w:w="1080" w:type="dxa"/>
            <w:tcBorders>
              <w:top w:val="nil"/>
              <w:left w:val="nil"/>
              <w:bottom w:val="nil"/>
              <w:right w:val="nil"/>
            </w:tcBorders>
            <w:shd w:val="clear" w:color="auto" w:fill="auto"/>
            <w:noWrap/>
            <w:vAlign w:val="bottom"/>
            <w:hideMark/>
          </w:tcPr>
          <w:p w14:paraId="72876FF6" w14:textId="77777777" w:rsidR="00A850E9" w:rsidRPr="00A850E9" w:rsidRDefault="00A850E9" w:rsidP="00927187">
            <w:pPr>
              <w:pStyle w:val="TableText"/>
            </w:pPr>
          </w:p>
        </w:tc>
        <w:tc>
          <w:tcPr>
            <w:tcW w:w="1080" w:type="dxa"/>
            <w:tcBorders>
              <w:top w:val="nil"/>
              <w:left w:val="nil"/>
              <w:bottom w:val="nil"/>
              <w:right w:val="nil"/>
            </w:tcBorders>
            <w:shd w:val="clear" w:color="auto" w:fill="auto"/>
            <w:noWrap/>
            <w:vAlign w:val="bottom"/>
            <w:hideMark/>
          </w:tcPr>
          <w:p w14:paraId="50DF2A33" w14:textId="77777777" w:rsidR="00A850E9" w:rsidRPr="00A850E9" w:rsidRDefault="00A850E9" w:rsidP="00927187">
            <w:pPr>
              <w:pStyle w:val="TableText"/>
            </w:pPr>
          </w:p>
        </w:tc>
      </w:tr>
      <w:tr w:rsidR="00A850E9" w:rsidRPr="00D42569" w14:paraId="11314D3B" w14:textId="77777777" w:rsidTr="00927187">
        <w:trPr>
          <w:trHeight w:val="20"/>
        </w:trPr>
        <w:tc>
          <w:tcPr>
            <w:tcW w:w="4050" w:type="dxa"/>
            <w:tcBorders>
              <w:top w:val="nil"/>
              <w:left w:val="nil"/>
              <w:right w:val="nil"/>
            </w:tcBorders>
            <w:shd w:val="clear" w:color="auto" w:fill="auto"/>
            <w:noWrap/>
            <w:vAlign w:val="bottom"/>
            <w:hideMark/>
          </w:tcPr>
          <w:p w14:paraId="1580108B" w14:textId="77777777" w:rsidR="00A850E9" w:rsidRPr="00D42569" w:rsidRDefault="00A850E9" w:rsidP="00927187">
            <w:pPr>
              <w:pStyle w:val="TableText"/>
            </w:pPr>
            <w:r w:rsidRPr="00D42569">
              <w:t xml:space="preserve">Responses to follow-up survey </w:t>
            </w:r>
          </w:p>
        </w:tc>
        <w:tc>
          <w:tcPr>
            <w:tcW w:w="911" w:type="dxa"/>
            <w:tcBorders>
              <w:top w:val="nil"/>
              <w:left w:val="nil"/>
              <w:right w:val="nil"/>
            </w:tcBorders>
            <w:shd w:val="clear" w:color="auto" w:fill="auto"/>
            <w:noWrap/>
            <w:vAlign w:val="bottom"/>
            <w:hideMark/>
          </w:tcPr>
          <w:p w14:paraId="6D0770FF" w14:textId="77777777" w:rsidR="00A850E9" w:rsidRPr="00D42569" w:rsidRDefault="00A850E9" w:rsidP="00927187">
            <w:pPr>
              <w:pStyle w:val="TableText"/>
            </w:pPr>
            <w:r w:rsidRPr="00D42569">
              <w:t>413</w:t>
            </w:r>
          </w:p>
        </w:tc>
        <w:tc>
          <w:tcPr>
            <w:tcW w:w="1604" w:type="dxa"/>
            <w:tcBorders>
              <w:top w:val="nil"/>
              <w:left w:val="nil"/>
              <w:right w:val="nil"/>
            </w:tcBorders>
            <w:shd w:val="clear" w:color="auto" w:fill="auto"/>
            <w:noWrap/>
            <w:vAlign w:val="bottom"/>
            <w:hideMark/>
          </w:tcPr>
          <w:p w14:paraId="5186D1EF" w14:textId="77777777" w:rsidR="00A850E9" w:rsidRPr="00A850E9" w:rsidRDefault="00A850E9" w:rsidP="00927187">
            <w:pPr>
              <w:pStyle w:val="TableText"/>
            </w:pPr>
            <w:r w:rsidRPr="00A850E9">
              <w:t>4.2%</w:t>
            </w:r>
          </w:p>
        </w:tc>
        <w:tc>
          <w:tcPr>
            <w:tcW w:w="1080" w:type="dxa"/>
            <w:tcBorders>
              <w:top w:val="nil"/>
              <w:left w:val="nil"/>
              <w:right w:val="nil"/>
            </w:tcBorders>
            <w:shd w:val="clear" w:color="auto" w:fill="auto"/>
            <w:noWrap/>
            <w:vAlign w:val="bottom"/>
            <w:hideMark/>
          </w:tcPr>
          <w:p w14:paraId="3C309BDC" w14:textId="77777777" w:rsidR="00A850E9" w:rsidRPr="00A850E9" w:rsidRDefault="00A850E9" w:rsidP="00927187">
            <w:pPr>
              <w:pStyle w:val="TableText"/>
            </w:pPr>
            <w:r w:rsidRPr="00A850E9">
              <w:t>4.5%</w:t>
            </w:r>
          </w:p>
        </w:tc>
        <w:tc>
          <w:tcPr>
            <w:tcW w:w="1080" w:type="dxa"/>
            <w:tcBorders>
              <w:top w:val="nil"/>
              <w:left w:val="nil"/>
              <w:right w:val="nil"/>
            </w:tcBorders>
            <w:shd w:val="clear" w:color="auto" w:fill="auto"/>
            <w:noWrap/>
            <w:vAlign w:val="bottom"/>
            <w:hideMark/>
          </w:tcPr>
          <w:p w14:paraId="2FD81F30" w14:textId="77777777" w:rsidR="00A850E9" w:rsidRPr="00A850E9" w:rsidRDefault="00A850E9" w:rsidP="00927187">
            <w:pPr>
              <w:pStyle w:val="TableText"/>
            </w:pPr>
            <w:r w:rsidRPr="00A850E9">
              <w:t>4.8%</w:t>
            </w:r>
          </w:p>
        </w:tc>
      </w:tr>
      <w:tr w:rsidR="004108E3" w:rsidRPr="00D42569" w14:paraId="498AAECC" w14:textId="77777777" w:rsidTr="00927187">
        <w:trPr>
          <w:trHeight w:val="144"/>
        </w:trPr>
        <w:tc>
          <w:tcPr>
            <w:tcW w:w="4050" w:type="dxa"/>
            <w:tcBorders>
              <w:top w:val="nil"/>
              <w:left w:val="nil"/>
              <w:bottom w:val="single" w:sz="4" w:space="0" w:color="auto"/>
              <w:right w:val="nil"/>
            </w:tcBorders>
            <w:shd w:val="clear" w:color="auto" w:fill="auto"/>
            <w:noWrap/>
            <w:vAlign w:val="bottom"/>
            <w:hideMark/>
          </w:tcPr>
          <w:p w14:paraId="2B6C8D47" w14:textId="77777777" w:rsidR="004108E3" w:rsidRPr="00D42569" w:rsidRDefault="004108E3" w:rsidP="00927187">
            <w:pPr>
              <w:pStyle w:val="TableText"/>
            </w:pPr>
            <w:r w:rsidRPr="00D42569">
              <w:t>Subpopulation of court-involved youth</w:t>
            </w:r>
          </w:p>
        </w:tc>
        <w:tc>
          <w:tcPr>
            <w:tcW w:w="911" w:type="dxa"/>
            <w:tcBorders>
              <w:top w:val="nil"/>
              <w:left w:val="nil"/>
              <w:bottom w:val="single" w:sz="4" w:space="0" w:color="auto"/>
              <w:right w:val="nil"/>
            </w:tcBorders>
            <w:shd w:val="clear" w:color="auto" w:fill="auto"/>
            <w:noWrap/>
            <w:hideMark/>
          </w:tcPr>
          <w:p w14:paraId="7E74A326" w14:textId="0C5CB377" w:rsidR="004108E3" w:rsidRPr="00D42569" w:rsidRDefault="004108E3" w:rsidP="00927187">
            <w:pPr>
              <w:pStyle w:val="TableText"/>
            </w:pPr>
            <w:r w:rsidRPr="004108E3">
              <w:t>207</w:t>
            </w:r>
          </w:p>
        </w:tc>
        <w:tc>
          <w:tcPr>
            <w:tcW w:w="1604" w:type="dxa"/>
            <w:tcBorders>
              <w:top w:val="nil"/>
              <w:left w:val="nil"/>
              <w:bottom w:val="single" w:sz="4" w:space="0" w:color="auto"/>
              <w:right w:val="nil"/>
            </w:tcBorders>
            <w:shd w:val="clear" w:color="auto" w:fill="auto"/>
            <w:noWrap/>
            <w:hideMark/>
          </w:tcPr>
          <w:p w14:paraId="5BA3D826" w14:textId="31EB6712" w:rsidR="004108E3" w:rsidRPr="00A850E9" w:rsidRDefault="004108E3" w:rsidP="00927187">
            <w:pPr>
              <w:pStyle w:val="TableText"/>
            </w:pPr>
            <w:r w:rsidRPr="004108E3">
              <w:t>5.9%</w:t>
            </w:r>
          </w:p>
        </w:tc>
        <w:tc>
          <w:tcPr>
            <w:tcW w:w="1080" w:type="dxa"/>
            <w:tcBorders>
              <w:top w:val="nil"/>
              <w:left w:val="nil"/>
              <w:bottom w:val="single" w:sz="4" w:space="0" w:color="auto"/>
              <w:right w:val="nil"/>
            </w:tcBorders>
            <w:shd w:val="clear" w:color="auto" w:fill="auto"/>
            <w:noWrap/>
            <w:hideMark/>
          </w:tcPr>
          <w:p w14:paraId="37A800A6" w14:textId="1220902B" w:rsidR="004108E3" w:rsidRPr="00A850E9" w:rsidRDefault="004108E3" w:rsidP="00927187">
            <w:pPr>
              <w:pStyle w:val="TableText"/>
            </w:pPr>
            <w:r w:rsidRPr="004108E3">
              <w:t>6.4%</w:t>
            </w:r>
          </w:p>
        </w:tc>
        <w:tc>
          <w:tcPr>
            <w:tcW w:w="1080" w:type="dxa"/>
            <w:tcBorders>
              <w:top w:val="nil"/>
              <w:left w:val="nil"/>
              <w:bottom w:val="single" w:sz="4" w:space="0" w:color="auto"/>
              <w:right w:val="nil"/>
            </w:tcBorders>
            <w:shd w:val="clear" w:color="auto" w:fill="auto"/>
            <w:noWrap/>
            <w:hideMark/>
          </w:tcPr>
          <w:p w14:paraId="432DA7C9" w14:textId="7D363F54" w:rsidR="004108E3" w:rsidRPr="00A850E9" w:rsidRDefault="004108E3" w:rsidP="00927187">
            <w:pPr>
              <w:pStyle w:val="TableText"/>
            </w:pPr>
            <w:r w:rsidRPr="004108E3">
              <w:t>6.8%</w:t>
            </w:r>
          </w:p>
        </w:tc>
      </w:tr>
    </w:tbl>
    <w:p w14:paraId="287F54D7" w14:textId="1772965C" w:rsidR="008450C0" w:rsidRDefault="00D42569" w:rsidP="00D42569">
      <w:pPr>
        <w:pStyle w:val="TableFootnoteCaption"/>
      </w:pPr>
      <w:r>
        <w:t xml:space="preserve">Notes. </w:t>
      </w:r>
      <w:r w:rsidR="008450C0" w:rsidRPr="008450C0">
        <w:t xml:space="preserve">The cohort numbering refers to the progression of Job ChalleNGe cohorts of youth for whom services are funded through the Youth ChalleNGe Job ChalleNGe grants awarded to three Youth ChalleNGe sites. The first </w:t>
      </w:r>
      <w:r w:rsidR="00780B84">
        <w:t>three</w:t>
      </w:r>
      <w:r w:rsidR="008450C0" w:rsidRPr="008450C0">
        <w:t xml:space="preserve"> cohorts, which began receiving services between January 2016 and January 2017</w:t>
      </w:r>
      <w:r w:rsidR="00780B84">
        <w:t>,</w:t>
      </w:r>
      <w:r w:rsidR="008450C0" w:rsidRPr="008450C0">
        <w:t xml:space="preserve"> will not be included in the data collection efforts for which clearance is being requested. </w:t>
      </w:r>
      <w:r w:rsidR="00780B84">
        <w:t>Cohorts 4–6</w:t>
      </w:r>
      <w:r w:rsidR="008450C0" w:rsidRPr="008450C0">
        <w:t xml:space="preserve"> will be included; they are expected to begin receiving Job ChalleNGe services between approximately July 2017 and July 2018. </w:t>
      </w:r>
    </w:p>
    <w:p w14:paraId="148EF617" w14:textId="35A95FF0" w:rsidR="00D42569" w:rsidRDefault="00D42569" w:rsidP="00D42569">
      <w:pPr>
        <w:pStyle w:val="TableFootnoteCaption"/>
      </w:pPr>
      <w:r>
        <w:t>The sample sizes are based on the following assumptions: (1) consent rate of 90 percent</w:t>
      </w:r>
      <w:r w:rsidR="00474699">
        <w:t xml:space="preserve"> to the evaluation and </w:t>
      </w:r>
      <w:r w:rsidR="00B33E02">
        <w:t xml:space="preserve">consent rate of </w:t>
      </w:r>
      <w:r w:rsidR="00474699">
        <w:t>85 percent to be contacted via text</w:t>
      </w:r>
      <w:r>
        <w:t xml:space="preserve">, (2) </w:t>
      </w:r>
      <w:r w:rsidR="004A2B31">
        <w:t xml:space="preserve">85 percent </w:t>
      </w:r>
      <w:r>
        <w:t>response rate</w:t>
      </w:r>
      <w:r w:rsidR="004A2B31">
        <w:t>s</w:t>
      </w:r>
      <w:r>
        <w:t xml:space="preserve"> </w:t>
      </w:r>
      <w:r w:rsidR="00B7082F">
        <w:t>for the monthly text survey</w:t>
      </w:r>
      <w:r w:rsidR="004A2B31">
        <w:t xml:space="preserve"> and the follow-up survey</w:t>
      </w:r>
      <w:r>
        <w:t xml:space="preserve">, and (3) </w:t>
      </w:r>
      <w:r w:rsidR="004A2B31">
        <w:t xml:space="preserve">a </w:t>
      </w:r>
      <w:r>
        <w:t xml:space="preserve">court-involvement rate of </w:t>
      </w:r>
      <w:r w:rsidR="004108E3">
        <w:t>5</w:t>
      </w:r>
      <w:r>
        <w:t xml:space="preserve">0 percent. </w:t>
      </w:r>
      <w:r w:rsidR="00862CC0">
        <w:t xml:space="preserve">For the monthly text survey, we will restrict the sample to respondents who answer the survey for at least </w:t>
      </w:r>
      <w:r w:rsidR="00780B84">
        <w:t>five</w:t>
      </w:r>
      <w:r w:rsidR="00356257">
        <w:t xml:space="preserve"> </w:t>
      </w:r>
      <w:r w:rsidR="00862CC0">
        <w:t xml:space="preserve">of the </w:t>
      </w:r>
      <w:r w:rsidR="00780B84">
        <w:t>eight</w:t>
      </w:r>
      <w:r w:rsidR="00862CC0">
        <w:t xml:space="preserve"> months</w:t>
      </w:r>
      <w:r w:rsidR="00780B84">
        <w:t>;</w:t>
      </w:r>
      <w:r w:rsidR="00862CC0">
        <w:t xml:space="preserve"> therefore</w:t>
      </w:r>
      <w:r w:rsidR="00780B84">
        <w:t>,</w:t>
      </w:r>
      <w:r w:rsidR="00862CC0">
        <w:t xml:space="preserve"> the actual response rate may differ from the 85 percent used in the calculations.</w:t>
      </w:r>
    </w:p>
    <w:p w14:paraId="38F40927" w14:textId="06488D2E" w:rsidR="008450C0" w:rsidRDefault="008450C0" w:rsidP="00D42569">
      <w:pPr>
        <w:pStyle w:val="TableFootnoteCaption"/>
      </w:pPr>
    </w:p>
    <w:p w14:paraId="33E5AB15" w14:textId="5B4103F1" w:rsidR="003758C9" w:rsidRPr="00660448" w:rsidRDefault="00CA020D" w:rsidP="004A2B31">
      <w:pPr>
        <w:pStyle w:val="NormalSS"/>
        <w:tabs>
          <w:tab w:val="left" w:pos="2520"/>
        </w:tabs>
      </w:pPr>
      <w:r w:rsidRPr="00660448">
        <w:t xml:space="preserve">As shown in Table </w:t>
      </w:r>
      <w:r w:rsidR="00EF50B5" w:rsidRPr="00660448">
        <w:t>B.3</w:t>
      </w:r>
      <w:r w:rsidRPr="00660448">
        <w:t xml:space="preserve">, </w:t>
      </w:r>
      <w:r w:rsidR="00A850E9" w:rsidRPr="00660448">
        <w:t xml:space="preserve">precision will vary slightly by the survey mode and the number of cohorts included in the analysis. For instance, for a </w:t>
      </w:r>
      <w:r w:rsidR="00893C60" w:rsidRPr="00660448">
        <w:t>monthly text</w:t>
      </w:r>
      <w:r w:rsidR="00A850E9" w:rsidRPr="00660448">
        <w:t xml:space="preserve"> survey including </w:t>
      </w:r>
      <w:r w:rsidR="00893C60" w:rsidRPr="00660448">
        <w:t xml:space="preserve">three </w:t>
      </w:r>
      <w:r w:rsidR="00A850E9" w:rsidRPr="00660448">
        <w:t xml:space="preserve">cohorts, </w:t>
      </w:r>
      <w:r w:rsidRPr="00660448">
        <w:t xml:space="preserve">a binary outcome that has a prevalence of 50 percent (that is, each of its two possible values is true for 50 percent of the population) has a precision of plus or minus </w:t>
      </w:r>
      <w:r w:rsidR="00B33E02" w:rsidRPr="00660448">
        <w:t>5.2</w:t>
      </w:r>
      <w:r w:rsidR="002F5D20" w:rsidRPr="00660448">
        <w:t xml:space="preserve"> </w:t>
      </w:r>
      <w:r w:rsidRPr="00660448">
        <w:t xml:space="preserve">percentage points. The estimates are somewhat more precise as the prevalence of the outcome approaches 100 percent or zero percent (for example, a 25 or 75 percent prevalence). The estimates for the </w:t>
      </w:r>
      <w:r w:rsidR="00A850E9" w:rsidRPr="00660448">
        <w:t xml:space="preserve">subpopulation of court-involved youth </w:t>
      </w:r>
      <w:r w:rsidRPr="00660448">
        <w:t xml:space="preserve">are less precise than those for </w:t>
      </w:r>
      <w:r w:rsidR="00A850E9" w:rsidRPr="00660448">
        <w:t>the full sample</w:t>
      </w:r>
      <w:r w:rsidRPr="00660448">
        <w:t xml:space="preserve"> due to the smaller sample size. For example, a binary outcome that has a prevalence of 50 percent has a precision of plus or minus </w:t>
      </w:r>
      <w:r w:rsidR="00B33E02" w:rsidRPr="00660448">
        <w:t>10.5</w:t>
      </w:r>
      <w:r w:rsidR="00A850E9" w:rsidRPr="00660448">
        <w:t xml:space="preserve"> percentage points for the subpopulation of court-involved youth in the </w:t>
      </w:r>
      <w:r w:rsidR="007F6D6D">
        <w:t xml:space="preserve">monthly </w:t>
      </w:r>
      <w:r w:rsidR="00B33E02" w:rsidRPr="00660448">
        <w:t>text survey</w:t>
      </w:r>
      <w:r w:rsidRPr="00660448">
        <w:t>.</w:t>
      </w:r>
      <w:r w:rsidR="00A850E9" w:rsidRPr="00660448">
        <w:t xml:space="preserve"> The </w:t>
      </w:r>
      <w:r w:rsidR="00893C60" w:rsidRPr="00660448">
        <w:t>follow-up</w:t>
      </w:r>
      <w:r w:rsidR="00A850E9" w:rsidRPr="00660448">
        <w:t xml:space="preserve"> survey</w:t>
      </w:r>
      <w:r w:rsidR="002F5D20" w:rsidRPr="00660448">
        <w:t xml:space="preserve">, based on </w:t>
      </w:r>
      <w:r w:rsidR="00B33E02" w:rsidRPr="00660448">
        <w:t>a slightly larger</w:t>
      </w:r>
      <w:r w:rsidR="002F5D20" w:rsidRPr="00660448">
        <w:t xml:space="preserve"> sample size,</w:t>
      </w:r>
      <w:r w:rsidR="00A850E9" w:rsidRPr="00660448">
        <w:t xml:space="preserve"> offer</w:t>
      </w:r>
      <w:r w:rsidR="00B7082F" w:rsidRPr="00660448">
        <w:t>s</w:t>
      </w:r>
      <w:r w:rsidR="00A850E9" w:rsidRPr="00660448">
        <w:t xml:space="preserve"> </w:t>
      </w:r>
      <w:r w:rsidR="00B33E02" w:rsidRPr="00660448">
        <w:t xml:space="preserve">greater </w:t>
      </w:r>
      <w:r w:rsidR="00A850E9" w:rsidRPr="00660448">
        <w:t>precision</w:t>
      </w:r>
      <w:r w:rsidR="00091DFD" w:rsidRPr="00660448">
        <w:t xml:space="preserve">. For instance, a binary outcome with a prevalence of 50 percent has a precision of plus or minus </w:t>
      </w:r>
      <w:r w:rsidR="00EF50B5" w:rsidRPr="00660448">
        <w:t>4.8</w:t>
      </w:r>
      <w:r w:rsidR="00091DFD" w:rsidRPr="00660448">
        <w:t xml:space="preserve"> percentage points for the full sample and </w:t>
      </w:r>
      <w:r w:rsidR="00B646CC" w:rsidRPr="00660448">
        <w:t>6.8</w:t>
      </w:r>
      <w:r w:rsidR="00091DFD" w:rsidRPr="00660448">
        <w:t xml:space="preserve"> percentage points for the court-involved subsample.</w:t>
      </w:r>
    </w:p>
    <w:p w14:paraId="022083DE" w14:textId="77777777" w:rsidR="00ED72FA" w:rsidRDefault="00ED72FA" w:rsidP="00ED72FA">
      <w:pPr>
        <w:pStyle w:val="H4Number"/>
        <w:rPr>
          <w:color w:val="00B050"/>
        </w:rPr>
      </w:pPr>
      <w:bookmarkStart w:id="24" w:name="_Toc428365576"/>
      <w:bookmarkStart w:id="25" w:name="_Toc428366622"/>
      <w:bookmarkStart w:id="26" w:name="_Toc428366636"/>
      <w:bookmarkStart w:id="27" w:name="_Toc76458969"/>
      <w:bookmarkStart w:id="28" w:name="_Toc374100109"/>
      <w:bookmarkStart w:id="29" w:name="_Toc428365578"/>
      <w:bookmarkStart w:id="30" w:name="_Toc428366624"/>
      <w:bookmarkStart w:id="31" w:name="_Toc428366638"/>
      <w:bookmarkEnd w:id="17"/>
      <w:bookmarkEnd w:id="18"/>
      <w:bookmarkEnd w:id="23"/>
      <w:r>
        <w:t>3</w:t>
      </w:r>
      <w:r w:rsidRPr="009B5677">
        <w:t>.</w:t>
      </w:r>
      <w:r w:rsidRPr="009B5677">
        <w:tab/>
        <w:t>Methods to maximize response rates and deal with nonresponse</w:t>
      </w:r>
      <w:bookmarkEnd w:id="24"/>
      <w:bookmarkEnd w:id="25"/>
      <w:bookmarkEnd w:id="26"/>
      <w:r>
        <w:t xml:space="preserve"> </w:t>
      </w:r>
    </w:p>
    <w:p w14:paraId="346F7A38" w14:textId="1EB1BBA4" w:rsidR="00ED72FA" w:rsidRDefault="00ED72FA" w:rsidP="00ED72FA">
      <w:pPr>
        <w:pStyle w:val="NormalSS"/>
      </w:pPr>
      <w:r>
        <w:t>This clearance package request</w:t>
      </w:r>
      <w:r w:rsidR="00780B84">
        <w:t>s</w:t>
      </w:r>
      <w:r>
        <w:t xml:space="preserve"> approval for two types of data collection.</w:t>
      </w:r>
      <w:r w:rsidR="008A0F1B">
        <w:t xml:space="preserve"> </w:t>
      </w:r>
      <w:r>
        <w:t xml:space="preserve">The first is a </w:t>
      </w:r>
      <w:r w:rsidR="007F6D6D">
        <w:t xml:space="preserve">monthly </w:t>
      </w:r>
      <w:r>
        <w:t xml:space="preserve">text message survey, which will start </w:t>
      </w:r>
      <w:r w:rsidR="00660448">
        <w:t>8</w:t>
      </w:r>
      <w:r w:rsidR="00B94CA2">
        <w:t xml:space="preserve"> months</w:t>
      </w:r>
      <w:r w:rsidR="00660448">
        <w:t xml:space="preserve"> </w:t>
      </w:r>
      <w:r>
        <w:t>after Job ChalleNGe participants beg</w:t>
      </w:r>
      <w:r w:rsidR="00B75D73">
        <w:t>a</w:t>
      </w:r>
      <w:r>
        <w:t xml:space="preserve">n receiving services in the program and 2 months after they could complete </w:t>
      </w:r>
      <w:r w:rsidR="00B75D73">
        <w:t>the program</w:t>
      </w:r>
      <w:r>
        <w:t>).</w:t>
      </w:r>
      <w:r w:rsidR="008A0F1B">
        <w:t xml:space="preserve"> </w:t>
      </w:r>
      <w:r>
        <w:t xml:space="preserve">The second is a follow-up survey, which will be fielded </w:t>
      </w:r>
      <w:r w:rsidR="00660448">
        <w:t xml:space="preserve">16 </w:t>
      </w:r>
      <w:r>
        <w:t xml:space="preserve">months after the Job ChalleNGe participants began the program (and </w:t>
      </w:r>
      <w:r w:rsidR="00B94CA2">
        <w:t xml:space="preserve">11 </w:t>
      </w:r>
      <w:r>
        <w:t xml:space="preserve">months after they could complete </w:t>
      </w:r>
      <w:r w:rsidR="00B3342F">
        <w:t>the program</w:t>
      </w:r>
      <w:r>
        <w:t>). This section discusses t</w:t>
      </w:r>
      <w:r w:rsidRPr="001C0FB6">
        <w:t>he methods to maximize response rates and data reliability</w:t>
      </w:r>
      <w:r>
        <w:t>,</w:t>
      </w:r>
      <w:r w:rsidRPr="001C0FB6">
        <w:t xml:space="preserve"> first for the </w:t>
      </w:r>
      <w:r w:rsidR="007F6D6D">
        <w:t xml:space="preserve">monthly </w:t>
      </w:r>
      <w:r>
        <w:t xml:space="preserve">text message survey </w:t>
      </w:r>
      <w:r w:rsidRPr="001C0FB6">
        <w:t xml:space="preserve">and then for </w:t>
      </w:r>
      <w:r>
        <w:t xml:space="preserve">the follow-up survey. </w:t>
      </w:r>
    </w:p>
    <w:p w14:paraId="33B09462" w14:textId="64A327EA" w:rsidR="00ED72FA" w:rsidRDefault="00ED72FA" w:rsidP="00ED72FA">
      <w:pPr>
        <w:pStyle w:val="H4NumberNoTOC"/>
      </w:pPr>
      <w:r>
        <w:t>a.</w:t>
      </w:r>
      <w:r>
        <w:tab/>
      </w:r>
      <w:r w:rsidR="007F6D6D">
        <w:t>Monthly t</w:t>
      </w:r>
      <w:r>
        <w:t>ext message survey</w:t>
      </w:r>
    </w:p>
    <w:p w14:paraId="18393C82" w14:textId="643563F2" w:rsidR="00ED72FA" w:rsidRDefault="00ED72FA" w:rsidP="00ED72FA">
      <w:pPr>
        <w:pStyle w:val="NormalSS"/>
        <w:rPr>
          <w:bCs/>
          <w:iCs/>
        </w:rPr>
      </w:pPr>
      <w:r w:rsidRPr="001C0FB6">
        <w:rPr>
          <w:b/>
          <w:bCs/>
          <w:iCs/>
        </w:rPr>
        <w:t xml:space="preserve">Response rates. </w:t>
      </w:r>
      <w:r>
        <w:rPr>
          <w:bCs/>
          <w:iCs/>
        </w:rPr>
        <w:t xml:space="preserve">The evaluation team will use the following procedures to maximize response rates for the </w:t>
      </w:r>
      <w:r w:rsidR="007F6D6D">
        <w:rPr>
          <w:bCs/>
          <w:iCs/>
        </w:rPr>
        <w:t xml:space="preserve">monthly </w:t>
      </w:r>
      <w:r>
        <w:rPr>
          <w:bCs/>
          <w:iCs/>
        </w:rPr>
        <w:t>text message survey. Consent to participate in the study as well as willingness to be contacted via text is collected during the baseline data collection process as part of the consent form and BIF.</w:t>
      </w:r>
      <w:r>
        <w:t xml:space="preserve"> </w:t>
      </w:r>
      <w:r>
        <w:rPr>
          <w:bCs/>
          <w:iCs/>
        </w:rPr>
        <w:t xml:space="preserve">An advance letter will be sent to all Job ChalleNGe participants who provided study consent two weeks prior to the start of the text message survey. The advance letter will explain the process, describe the types of questions to be asked, and reinforce the understanding of the </w:t>
      </w:r>
      <w:r w:rsidR="00E9173F">
        <w:rPr>
          <w:bCs/>
          <w:iCs/>
        </w:rPr>
        <w:t xml:space="preserve">privacy </w:t>
      </w:r>
      <w:r>
        <w:rPr>
          <w:bCs/>
          <w:iCs/>
        </w:rPr>
        <w:t xml:space="preserve">of the respondents’ information. A series of questions will be administered, via text messaging, starting </w:t>
      </w:r>
      <w:r w:rsidR="00660448">
        <w:rPr>
          <w:bCs/>
          <w:iCs/>
        </w:rPr>
        <w:t>eight</w:t>
      </w:r>
      <w:r>
        <w:rPr>
          <w:bCs/>
          <w:iCs/>
        </w:rPr>
        <w:t xml:space="preserve"> months after the start of the Job ChalleNGe program (and two months after the end of it). Upon completion of each short series of texts, respondents will </w:t>
      </w:r>
      <w:r w:rsidRPr="00683298">
        <w:rPr>
          <w:bCs/>
          <w:iCs/>
        </w:rPr>
        <w:t>receive $3</w:t>
      </w:r>
      <w:r>
        <w:rPr>
          <w:bCs/>
          <w:iCs/>
        </w:rPr>
        <w:t xml:space="preserve"> via Amazon code.</w:t>
      </w:r>
    </w:p>
    <w:p w14:paraId="66D316F3" w14:textId="7BC5F0CC" w:rsidR="00ED72FA" w:rsidRPr="00D8764F" w:rsidRDefault="00ED72FA" w:rsidP="00ED72FA">
      <w:pPr>
        <w:pStyle w:val="NormalSS"/>
        <w:rPr>
          <w:b/>
        </w:rPr>
      </w:pPr>
      <w:r w:rsidRPr="001C0FB6">
        <w:rPr>
          <w:b/>
          <w:bCs/>
          <w:iCs/>
        </w:rPr>
        <w:t>Data reliability.</w:t>
      </w:r>
      <w:r w:rsidRPr="005D15AB">
        <w:t xml:space="preserve"> </w:t>
      </w:r>
      <w:r w:rsidRPr="001C0FB6">
        <w:t xml:space="preserve">All </w:t>
      </w:r>
      <w:r>
        <w:t>text message surveys ar</w:t>
      </w:r>
      <w:r w:rsidRPr="001C0FB6">
        <w:t xml:space="preserve">e unique to the current evaluation and will be used across all </w:t>
      </w:r>
      <w:r>
        <w:t>three Job ChalleNGe grantees on a monthly basis</w:t>
      </w:r>
      <w:r w:rsidRPr="001C0FB6">
        <w:t xml:space="preserve">, ensuring consistency in the collected data. The </w:t>
      </w:r>
      <w:r>
        <w:t>questions</w:t>
      </w:r>
      <w:r w:rsidRPr="001C0FB6">
        <w:t xml:space="preserve"> have been </w:t>
      </w:r>
      <w:r>
        <w:t xml:space="preserve">carefully developed by evaluation staff and </w:t>
      </w:r>
      <w:r w:rsidRPr="001C0FB6">
        <w:t xml:space="preserve">extensively reviewed by </w:t>
      </w:r>
      <w:r>
        <w:t xml:space="preserve">both evaluation </w:t>
      </w:r>
      <w:r w:rsidRPr="001C0FB6">
        <w:t>staff and staff at DOL</w:t>
      </w:r>
      <w:r>
        <w:t>.</w:t>
      </w:r>
      <w:r w:rsidR="008A0F1B">
        <w:t xml:space="preserve"> </w:t>
      </w:r>
      <w:r>
        <w:t>In addition, they</w:t>
      </w:r>
      <w:r w:rsidRPr="001C0FB6">
        <w:t xml:space="preserve"> </w:t>
      </w:r>
      <w:r>
        <w:t xml:space="preserve">will </w:t>
      </w:r>
      <w:r w:rsidRPr="001C0FB6">
        <w:t>be thoroughly tested in a pre</w:t>
      </w:r>
      <w:r>
        <w:t>-</w:t>
      </w:r>
      <w:r w:rsidRPr="001C0FB6">
        <w:t>test.</w:t>
      </w:r>
      <w:r>
        <w:t xml:space="preserve"> These efforts</w:t>
      </w:r>
      <w:r w:rsidR="001A186C">
        <w:t xml:space="preserve"> will allow us to document respondent burden time and</w:t>
      </w:r>
      <w:r>
        <w:t xml:space="preserve"> are intended to ensure that the questions are easily understood and interpreted by study participants in a way that will yield reliable information about the topics of interest for the study.</w:t>
      </w:r>
      <w:r w:rsidR="008A0F1B">
        <w:t xml:space="preserve"> </w:t>
      </w:r>
      <w:r>
        <w:t xml:space="preserve">The monthly text surveys will be administered by Signal Vine, </w:t>
      </w:r>
      <w:r w:rsidR="00400BF4">
        <w:t xml:space="preserve">an organization </w:t>
      </w:r>
      <w:r>
        <w:t xml:space="preserve">that specializes in text-based data collection. The evaluation team will determine the schedule for the text messages to ensure that the surveys are administered at regular intervals for all sample members. </w:t>
      </w:r>
    </w:p>
    <w:p w14:paraId="4B244C4E" w14:textId="77777777" w:rsidR="00ED72FA" w:rsidRDefault="00ED72FA" w:rsidP="00927187">
      <w:pPr>
        <w:pStyle w:val="NormalSS"/>
        <w:keepNext/>
        <w:numPr>
          <w:ilvl w:val="0"/>
          <w:numId w:val="29"/>
        </w:numPr>
        <w:rPr>
          <w:b/>
        </w:rPr>
      </w:pPr>
      <w:r w:rsidRPr="0011474E">
        <w:rPr>
          <w:b/>
        </w:rPr>
        <w:t>Follow-up survey</w:t>
      </w:r>
    </w:p>
    <w:p w14:paraId="4A9038FB" w14:textId="54F6D712" w:rsidR="00ED72FA" w:rsidRPr="0011474E" w:rsidRDefault="00ED72FA" w:rsidP="00ED72FA">
      <w:pPr>
        <w:pStyle w:val="NormalSS"/>
        <w:ind w:firstLine="360"/>
      </w:pPr>
      <w:r>
        <w:rPr>
          <w:b/>
        </w:rPr>
        <w:t xml:space="preserve">Response rates. </w:t>
      </w:r>
      <w:r>
        <w:t xml:space="preserve">The evaluation team will use the following procedures to maximize response rates on the follow-up survey. </w:t>
      </w:r>
      <w:r>
        <w:rPr>
          <w:bCs/>
          <w:iCs/>
        </w:rPr>
        <w:t xml:space="preserve">Consent to participate in the study is collected during the baseline data collection process as part of the </w:t>
      </w:r>
      <w:r w:rsidR="00400BF4">
        <w:rPr>
          <w:bCs/>
          <w:iCs/>
        </w:rPr>
        <w:t xml:space="preserve">initial </w:t>
      </w:r>
      <w:r>
        <w:rPr>
          <w:bCs/>
          <w:iCs/>
        </w:rPr>
        <w:t>consent form, which is completed by youth prior to the start of the Youth ChalleNGe program.</w:t>
      </w:r>
      <w:r>
        <w:t xml:space="preserve"> </w:t>
      </w:r>
      <w:r>
        <w:rPr>
          <w:bCs/>
          <w:iCs/>
        </w:rPr>
        <w:t xml:space="preserve">An advance letter will be sent to all Job ChalleNGe participants who agreed to be part of the study two weeks prior to the start of the follow-up survey data collection. Similar to the advance letter sent prior to the start of the </w:t>
      </w:r>
      <w:r w:rsidR="007F6D6D">
        <w:rPr>
          <w:bCs/>
          <w:iCs/>
        </w:rPr>
        <w:t xml:space="preserve">monthly </w:t>
      </w:r>
      <w:r>
        <w:rPr>
          <w:bCs/>
          <w:iCs/>
        </w:rPr>
        <w:t xml:space="preserve">text message survey, the advance letter for the follow-up survey will explain the process, describe the types of questions to be asked, and reinforce the understanding of the </w:t>
      </w:r>
      <w:r w:rsidR="00E9173F">
        <w:rPr>
          <w:bCs/>
          <w:iCs/>
        </w:rPr>
        <w:t>privacy</w:t>
      </w:r>
      <w:r>
        <w:rPr>
          <w:bCs/>
          <w:iCs/>
        </w:rPr>
        <w:t xml:space="preserve"> of the respondents’ information. </w:t>
      </w:r>
      <w:r>
        <w:t xml:space="preserve">Youth will receive a link to the web-based survey via text (if a cell phone number was provided on the BIF and permission to text was given) and email (if an email address was provided on the BIF). During the 16-week data collection period, Job ChalleNGe participants will receive email reminders and at least one mail reminder. Those who complete the survey in the first </w:t>
      </w:r>
      <w:r w:rsidR="00780B84">
        <w:t xml:space="preserve">6 </w:t>
      </w:r>
      <w:r>
        <w:t>weeks of data collection will receive $30</w:t>
      </w:r>
      <w:r w:rsidR="00B3342F">
        <w:t>;</w:t>
      </w:r>
      <w:r>
        <w:t xml:space="preserve"> those who complete in the remaining </w:t>
      </w:r>
      <w:r w:rsidR="00B3342F">
        <w:t xml:space="preserve">10 </w:t>
      </w:r>
      <w:r>
        <w:t>weeks will receive $20. Payment will be sent through an Amazon code.</w:t>
      </w:r>
    </w:p>
    <w:p w14:paraId="19E6DD90" w14:textId="0A2E409A" w:rsidR="00ED72FA" w:rsidRPr="00B95045" w:rsidRDefault="00ED72FA" w:rsidP="00ED72FA">
      <w:pPr>
        <w:pStyle w:val="NormalSS"/>
      </w:pPr>
      <w:r w:rsidRPr="001C0FB6">
        <w:rPr>
          <w:b/>
          <w:bCs/>
          <w:iCs/>
        </w:rPr>
        <w:t xml:space="preserve">Data reliability. </w:t>
      </w:r>
      <w:r>
        <w:rPr>
          <w:bCs/>
          <w:iCs/>
        </w:rPr>
        <w:t>The follow-up survey is</w:t>
      </w:r>
      <w:r w:rsidRPr="00B95045">
        <w:rPr>
          <w:bCs/>
          <w:iCs/>
        </w:rPr>
        <w:t xml:space="preserve"> unique to the current evaluation and will be used across all three </w:t>
      </w:r>
      <w:r w:rsidR="00C212D9">
        <w:rPr>
          <w:bCs/>
          <w:iCs/>
        </w:rPr>
        <w:t>Job</w:t>
      </w:r>
      <w:r w:rsidR="00C212D9" w:rsidRPr="00B95045">
        <w:rPr>
          <w:bCs/>
          <w:iCs/>
        </w:rPr>
        <w:t xml:space="preserve"> </w:t>
      </w:r>
      <w:r w:rsidRPr="00B95045">
        <w:rPr>
          <w:bCs/>
          <w:iCs/>
        </w:rPr>
        <w:t xml:space="preserve">ChalleNGe grantees </w:t>
      </w:r>
      <w:r w:rsidR="00660448">
        <w:rPr>
          <w:bCs/>
          <w:iCs/>
        </w:rPr>
        <w:t xml:space="preserve">16 </w:t>
      </w:r>
      <w:r>
        <w:rPr>
          <w:bCs/>
          <w:iCs/>
        </w:rPr>
        <w:t>months after the start of Job ChalleNGe</w:t>
      </w:r>
      <w:r w:rsidRPr="00B95045">
        <w:rPr>
          <w:bCs/>
          <w:iCs/>
        </w:rPr>
        <w:t xml:space="preserve">, ensuring consistency in the collected data. </w:t>
      </w:r>
      <w:r>
        <w:rPr>
          <w:bCs/>
          <w:iCs/>
        </w:rPr>
        <w:t xml:space="preserve">As with the </w:t>
      </w:r>
      <w:r w:rsidR="007F6D6D">
        <w:rPr>
          <w:bCs/>
          <w:iCs/>
        </w:rPr>
        <w:t xml:space="preserve">monthly </w:t>
      </w:r>
      <w:r>
        <w:rPr>
          <w:bCs/>
          <w:iCs/>
        </w:rPr>
        <w:t>text message survey questions, the follow-up survey</w:t>
      </w:r>
      <w:r w:rsidRPr="00B95045">
        <w:rPr>
          <w:bCs/>
          <w:iCs/>
        </w:rPr>
        <w:t xml:space="preserve"> questions </w:t>
      </w:r>
      <w:r>
        <w:rPr>
          <w:bCs/>
          <w:iCs/>
        </w:rPr>
        <w:t xml:space="preserve">were carefully developed by the evaluation team and then </w:t>
      </w:r>
      <w:r w:rsidRPr="00B95045">
        <w:rPr>
          <w:bCs/>
          <w:iCs/>
        </w:rPr>
        <w:t>extensively reviewed by evaluation staff and staff at DOL</w:t>
      </w:r>
      <w:r>
        <w:rPr>
          <w:bCs/>
          <w:iCs/>
        </w:rPr>
        <w:t>.</w:t>
      </w:r>
      <w:r w:rsidR="008A0F1B">
        <w:rPr>
          <w:bCs/>
          <w:iCs/>
        </w:rPr>
        <w:t xml:space="preserve"> </w:t>
      </w:r>
      <w:r>
        <w:rPr>
          <w:bCs/>
          <w:iCs/>
        </w:rPr>
        <w:t xml:space="preserve">They also </w:t>
      </w:r>
      <w:r w:rsidRPr="00B95045">
        <w:rPr>
          <w:bCs/>
          <w:iCs/>
        </w:rPr>
        <w:t xml:space="preserve">will be thoroughly tested in a pre-test. </w:t>
      </w:r>
      <w:r>
        <w:rPr>
          <w:bCs/>
          <w:iCs/>
        </w:rPr>
        <w:t xml:space="preserve">Several of the survey questions are based on questions with response scales that have been used in previous surveys of similar populations, such as the YouthBuild evaluation. </w:t>
      </w:r>
      <w:r w:rsidRPr="00B95045">
        <w:rPr>
          <w:bCs/>
          <w:iCs/>
        </w:rPr>
        <w:t xml:space="preserve">The </w:t>
      </w:r>
      <w:r>
        <w:rPr>
          <w:bCs/>
          <w:iCs/>
        </w:rPr>
        <w:t>web-based follow-up survey</w:t>
      </w:r>
      <w:r w:rsidRPr="00B95045">
        <w:rPr>
          <w:bCs/>
          <w:iCs/>
        </w:rPr>
        <w:t xml:space="preserve"> will be administered by </w:t>
      </w:r>
      <w:r>
        <w:rPr>
          <w:bCs/>
          <w:iCs/>
        </w:rPr>
        <w:t xml:space="preserve">the evaluation team using </w:t>
      </w:r>
      <w:r w:rsidRPr="00683298">
        <w:rPr>
          <w:bCs/>
          <w:iCs/>
        </w:rPr>
        <w:t>ConfirmIt data collection software.</w:t>
      </w:r>
      <w:r w:rsidRPr="00B95045">
        <w:rPr>
          <w:bCs/>
          <w:iCs/>
        </w:rPr>
        <w:t xml:space="preserve"> </w:t>
      </w:r>
    </w:p>
    <w:p w14:paraId="48CE91C3" w14:textId="77777777" w:rsidR="00ED72FA" w:rsidRDefault="00ED72FA" w:rsidP="00ED72FA">
      <w:pPr>
        <w:pStyle w:val="H4Number"/>
      </w:pPr>
      <w:bookmarkStart w:id="32" w:name="_Toc374100108"/>
      <w:bookmarkStart w:id="33" w:name="_Toc428365577"/>
      <w:bookmarkStart w:id="34" w:name="_Toc428366623"/>
      <w:bookmarkStart w:id="35" w:name="_Toc428366637"/>
      <w:r>
        <w:t>4.</w:t>
      </w:r>
      <w:r>
        <w:tab/>
      </w:r>
      <w:bookmarkStart w:id="36" w:name="_Toc256427937"/>
      <w:bookmarkStart w:id="37" w:name="_Toc260919983"/>
      <w:bookmarkStart w:id="38" w:name="_Toc260921566"/>
      <w:bookmarkStart w:id="39" w:name="_Toc261004995"/>
      <w:bookmarkStart w:id="40" w:name="_Toc262106073"/>
      <w:bookmarkStart w:id="41" w:name="_Toc262106516"/>
      <w:bookmarkStart w:id="42" w:name="_Toc262205792"/>
      <w:bookmarkStart w:id="43" w:name="_Toc289941865"/>
      <w:r w:rsidRPr="0093658C">
        <w:t xml:space="preserve">Tests of </w:t>
      </w:r>
      <w:r>
        <w:t>p</w:t>
      </w:r>
      <w:r w:rsidRPr="0093658C">
        <w:t xml:space="preserve">rocedures or </w:t>
      </w:r>
      <w:r>
        <w:t>m</w:t>
      </w:r>
      <w:r w:rsidRPr="0093658C">
        <w:t>ethods</w:t>
      </w:r>
      <w:bookmarkEnd w:id="32"/>
      <w:bookmarkEnd w:id="33"/>
      <w:bookmarkEnd w:id="34"/>
      <w:bookmarkEnd w:id="35"/>
      <w:bookmarkEnd w:id="36"/>
      <w:bookmarkEnd w:id="37"/>
      <w:bookmarkEnd w:id="38"/>
      <w:bookmarkEnd w:id="39"/>
      <w:bookmarkEnd w:id="40"/>
      <w:bookmarkEnd w:id="41"/>
      <w:bookmarkEnd w:id="42"/>
      <w:bookmarkEnd w:id="43"/>
    </w:p>
    <w:p w14:paraId="37BAC560" w14:textId="5D2898B5" w:rsidR="00ED72FA" w:rsidRDefault="00ED72FA" w:rsidP="00ED72FA">
      <w:pPr>
        <w:pStyle w:val="NormalSS"/>
      </w:pPr>
      <w:r>
        <w:t>The evaluation team will pre</w:t>
      </w:r>
      <w:r w:rsidR="00B3342F">
        <w:t>-</w:t>
      </w:r>
      <w:r>
        <w:t>test the brief</w:t>
      </w:r>
      <w:r w:rsidR="007F6D6D">
        <w:t xml:space="preserve"> monthly</w:t>
      </w:r>
      <w:r>
        <w:t xml:space="preserve"> text message survey and the follow-up survey with up to nine </w:t>
      </w:r>
      <w:r w:rsidRPr="00683298">
        <w:t xml:space="preserve">youth participants from the third </w:t>
      </w:r>
      <w:r>
        <w:t>cohort of the Job ChalleNGe program. (This cohort will not be included in the data collection efforts for which this package is seeking approval from OMB.)</w:t>
      </w:r>
      <w:r w:rsidR="008A0F1B">
        <w:t xml:space="preserve"> </w:t>
      </w:r>
      <w:r>
        <w:t>Using information provided on the previously collected BIFs</w:t>
      </w:r>
      <w:r w:rsidR="00283D3E">
        <w:t xml:space="preserve">, included in OMB clearance for the baseline data collection </w:t>
      </w:r>
      <w:r w:rsidR="00283D3E" w:rsidRPr="00283D3E">
        <w:t>(OMB control number 1291-0008)</w:t>
      </w:r>
      <w:r>
        <w:t xml:space="preserve">, the evaluation team will attempt to recruit </w:t>
      </w:r>
      <w:r w:rsidR="00B3342F">
        <w:t>pre-test</w:t>
      </w:r>
      <w:r>
        <w:t xml:space="preserve"> participants who cover a range of characteristics</w:t>
      </w:r>
      <w:r w:rsidR="00B3342F">
        <w:t>,</w:t>
      </w:r>
      <w:r>
        <w:t xml:space="preserve"> including level of court involvement, gender, and age. Efforts will be made to use the same </w:t>
      </w:r>
      <w:r w:rsidR="00B3342F">
        <w:t>pre-test</w:t>
      </w:r>
      <w:r>
        <w:t xml:space="preserve"> participants for both instruments. </w:t>
      </w:r>
    </w:p>
    <w:p w14:paraId="1332BE0F" w14:textId="0D93195C" w:rsidR="00ED72FA" w:rsidRPr="00683298" w:rsidRDefault="00ED72FA" w:rsidP="00ED72FA">
      <w:pPr>
        <w:pStyle w:val="NormalSS"/>
        <w:rPr>
          <w:sz w:val="20"/>
          <w:szCs w:val="20"/>
        </w:rPr>
      </w:pPr>
      <w:r>
        <w:t xml:space="preserve">The evaluation team will mail a </w:t>
      </w:r>
      <w:r w:rsidRPr="00683298">
        <w:t>hardcopy version of the follow-up survey</w:t>
      </w:r>
      <w:r w:rsidR="00F857FB">
        <w:t>,</w:t>
      </w:r>
      <w:r w:rsidRPr="00683298">
        <w:t xml:space="preserve"> along with debriefing forms for both the follow-up survey and the </w:t>
      </w:r>
      <w:r w:rsidR="007F6D6D">
        <w:t xml:space="preserve">monthly </w:t>
      </w:r>
      <w:r w:rsidRPr="00683298">
        <w:t xml:space="preserve">text message survey. Youth will be asked to send a text message to a member of the evaluation team on a project-specific phone upon receipt of the package. The texting survey will begin once the confirmation text is received. Once youth complete the </w:t>
      </w:r>
      <w:r w:rsidR="007F6D6D">
        <w:t xml:space="preserve">monthly </w:t>
      </w:r>
      <w:r w:rsidRPr="00683298">
        <w:t>text survey questions, they will be sent a thank you text with an Amazon code in the amount of $10 in appreciation for their participation in the text survey pre</w:t>
      </w:r>
      <w:r w:rsidR="00B3342F">
        <w:t>-</w:t>
      </w:r>
      <w:r w:rsidRPr="00683298">
        <w:t xml:space="preserve">test. The thank you text will be followed by a text reminding </w:t>
      </w:r>
      <w:r w:rsidR="00F857FB">
        <w:t>them</w:t>
      </w:r>
      <w:r w:rsidRPr="00683298">
        <w:t xml:space="preserve"> to complete and return the text debriefing form as well as the completed follow-up survey and corresponding debriefing form. Once the completed follow-up survey and debriefing forms are received, the youth will be sent an Amazon code, via text, in the amount of $</w:t>
      </w:r>
      <w:r>
        <w:t>5</w:t>
      </w:r>
      <w:r w:rsidRPr="00683298">
        <w:t>0.</w:t>
      </w:r>
    </w:p>
    <w:p w14:paraId="1CB1F22F" w14:textId="379EEF79" w:rsidR="00ED72FA" w:rsidRDefault="00ED72FA" w:rsidP="00ED72FA">
      <w:pPr>
        <w:pStyle w:val="NormalSS"/>
      </w:pPr>
      <w:r>
        <w:t>Upon receipt of the completed follow-up survey and both debriefing forms, a member of the evaluation team will conduct a phone debriefing with the participant using a standard debriefing protocol to determine whether any words or questions are difficult to understand or answer.</w:t>
      </w:r>
      <w:r w:rsidR="008A0F1B">
        <w:t xml:space="preserve"> </w:t>
      </w:r>
      <w:r>
        <w:t>The instruments will be revised to incorporate the lessons learned from the pre</w:t>
      </w:r>
      <w:r w:rsidR="00B3342F">
        <w:t>-</w:t>
      </w:r>
      <w:r>
        <w:t>tests.</w:t>
      </w:r>
    </w:p>
    <w:p w14:paraId="65D1E5AA" w14:textId="64AC226E" w:rsidR="00DF5DC5" w:rsidRPr="001652FD" w:rsidRDefault="00DF5DC5" w:rsidP="008F446A">
      <w:pPr>
        <w:pStyle w:val="H4Number"/>
      </w:pPr>
      <w:r w:rsidRPr="001652FD">
        <w:t>5.</w:t>
      </w:r>
      <w:r w:rsidRPr="001652FD">
        <w:tab/>
        <w:t>Individuals consulted on statistical methods</w:t>
      </w:r>
      <w:bookmarkEnd w:id="27"/>
      <w:bookmarkEnd w:id="28"/>
      <w:bookmarkEnd w:id="29"/>
      <w:bookmarkEnd w:id="30"/>
      <w:bookmarkEnd w:id="31"/>
      <w:r w:rsidR="00416EB4">
        <w:t xml:space="preserve"> </w:t>
      </w:r>
    </w:p>
    <w:p w14:paraId="4064A81D" w14:textId="54269776" w:rsidR="00DF5DC5" w:rsidRDefault="00DF5DC5" w:rsidP="00DF5DC5">
      <w:pPr>
        <w:pStyle w:val="NormalSS"/>
      </w:pPr>
      <w:r w:rsidRPr="00197370">
        <w:t>Consul</w:t>
      </w:r>
      <w:r>
        <w:t xml:space="preserve">tations on the statistical methods used in this study have been used to ensure the technical soundness of the study. The following individuals were consulted on statistical aspects of the design and will also be primarily responsible for actually </w:t>
      </w:r>
      <w:r w:rsidR="00416EB4">
        <w:t xml:space="preserve">collecting and </w:t>
      </w:r>
      <w:r>
        <w:t>analyzing the data for the agency:</w:t>
      </w:r>
    </w:p>
    <w:p w14:paraId="709235F3" w14:textId="77777777" w:rsidR="00DF5DC5" w:rsidRPr="00197370" w:rsidRDefault="00DF5DC5" w:rsidP="00D83DA4">
      <w:pPr>
        <w:pStyle w:val="NormalSS"/>
        <w:spacing w:after="120"/>
      </w:pPr>
      <w:r w:rsidRPr="00197370">
        <w:t>Mathematica Policy Research</w:t>
      </w:r>
    </w:p>
    <w:p w14:paraId="342CAE2E" w14:textId="77777777" w:rsidR="00DF5DC5" w:rsidRPr="00F41939" w:rsidRDefault="00DF5DC5" w:rsidP="00B646CC">
      <w:pPr>
        <w:pStyle w:val="Dash"/>
        <w:ind w:left="720" w:hanging="288"/>
      </w:pPr>
      <w:r w:rsidRPr="009B5556">
        <w:t>Ms. Jea</w:t>
      </w:r>
      <w:r w:rsidRPr="00F41939">
        <w:t xml:space="preserve">nne Bellotti </w:t>
      </w:r>
      <w:r w:rsidRPr="00F41939">
        <w:tab/>
        <w:t>(609) 275-2243</w:t>
      </w:r>
    </w:p>
    <w:p w14:paraId="38FD295C" w14:textId="62956B5E" w:rsidR="00A05495" w:rsidRPr="00F41939" w:rsidRDefault="00DF5DC5" w:rsidP="00B646CC">
      <w:pPr>
        <w:pStyle w:val="Dash"/>
        <w:ind w:left="720" w:hanging="288"/>
      </w:pPr>
      <w:r w:rsidRPr="00F41939">
        <w:t xml:space="preserve">Dr. Jillian Berk </w:t>
      </w:r>
      <w:r w:rsidRPr="00F41939">
        <w:tab/>
      </w:r>
      <w:r w:rsidRPr="00F41939">
        <w:tab/>
        <w:t>(202) 264-3449</w:t>
      </w:r>
    </w:p>
    <w:p w14:paraId="74EC9504" w14:textId="1944F0DC" w:rsidR="00A05495" w:rsidRDefault="00EF5606" w:rsidP="00A05495">
      <w:pPr>
        <w:pStyle w:val="Dash"/>
        <w:ind w:left="720" w:hanging="288"/>
      </w:pPr>
      <w:r>
        <w:t>Dr. Johanna Lacoe</w:t>
      </w:r>
      <w:r>
        <w:tab/>
      </w:r>
      <w:r w:rsidR="00A05495">
        <w:tab/>
      </w:r>
      <w:r>
        <w:t xml:space="preserve">(510) </w:t>
      </w:r>
      <w:r w:rsidRPr="00EF5606">
        <w:t>285-4618</w:t>
      </w:r>
    </w:p>
    <w:p w14:paraId="5C2B76FF" w14:textId="16E4CCE7" w:rsidR="00E51E98" w:rsidRPr="00E51E98" w:rsidRDefault="00E51E98" w:rsidP="00A05495">
      <w:pPr>
        <w:pStyle w:val="Dash"/>
        <w:ind w:left="720" w:hanging="288"/>
      </w:pPr>
      <w:r w:rsidRPr="00F41939">
        <w:t>Dr. Karen</w:t>
      </w:r>
      <w:r w:rsidRPr="009E50EB">
        <w:t xml:space="preserve"> Needels </w:t>
      </w:r>
      <w:r w:rsidRPr="009E50EB">
        <w:tab/>
      </w:r>
      <w:r w:rsidR="00A05495">
        <w:tab/>
      </w:r>
      <w:r w:rsidRPr="009E50EB">
        <w:t>(609) 750-4043</w:t>
      </w:r>
    </w:p>
    <w:p w14:paraId="29BB222B" w14:textId="77777777" w:rsidR="00126EB2" w:rsidRDefault="00126EB2" w:rsidP="00927187">
      <w:pPr>
        <w:pStyle w:val="NormalSS"/>
        <w:spacing w:after="120"/>
        <w:ind w:firstLine="0"/>
      </w:pPr>
      <w:r>
        <w:t>Inquiries regarding the statistical aspects of the study’s planned analysis should be directed to:</w:t>
      </w:r>
    </w:p>
    <w:p w14:paraId="1115844C" w14:textId="794373E4" w:rsidR="00F35E15" w:rsidRPr="001D415A" w:rsidRDefault="001451A5" w:rsidP="00B646CC">
      <w:pPr>
        <w:pStyle w:val="Dash"/>
        <w:ind w:left="720" w:hanging="288"/>
      </w:pPr>
      <w:r>
        <w:t>Dr</w:t>
      </w:r>
      <w:r w:rsidR="00F35E15">
        <w:t xml:space="preserve">. Jillian Berk </w:t>
      </w:r>
      <w:r w:rsidR="00F35E15">
        <w:tab/>
      </w:r>
      <w:r w:rsidR="00F35E15">
        <w:tab/>
        <w:t>(202) 264-3449</w:t>
      </w:r>
    </w:p>
    <w:p w14:paraId="476E9F2A" w14:textId="3752F93F" w:rsidR="005A0A00" w:rsidRPr="00850473" w:rsidRDefault="00810BE3" w:rsidP="00850473">
      <w:pPr>
        <w:pStyle w:val="Dash"/>
        <w:ind w:left="720" w:hanging="288"/>
      </w:pPr>
      <w:r>
        <w:t>Ms</w:t>
      </w:r>
      <w:r w:rsidR="00F35E15">
        <w:t xml:space="preserve">. </w:t>
      </w:r>
      <w:r w:rsidR="00067363">
        <w:t>Jessica Lohmann</w:t>
      </w:r>
      <w:r w:rsidR="00F35E15">
        <w:tab/>
        <w:t>(202) 693-50</w:t>
      </w:r>
      <w:r>
        <w:t>87</w:t>
      </w:r>
    </w:p>
    <w:sectPr w:rsidR="005A0A00" w:rsidRPr="00850473" w:rsidSect="0018724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576"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B3D50A" w16cid:durableId="1D342ACF"/>
  <w16cid:commentId w16cid:paraId="4E30F4A8" w16cid:durableId="1D3041F2"/>
  <w16cid:commentId w16cid:paraId="45E0E775" w16cid:durableId="1D3041F3"/>
  <w16cid:commentId w16cid:paraId="10628D68" w16cid:durableId="1D3041F4"/>
  <w16cid:commentId w16cid:paraId="7146EB5A" w16cid:durableId="1D3041F5"/>
  <w16cid:commentId w16cid:paraId="567267DA" w16cid:durableId="1D3041F6"/>
  <w16cid:commentId w16cid:paraId="131440F9" w16cid:durableId="1D3041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6C051" w14:textId="77777777" w:rsidR="00AA6CB0" w:rsidRDefault="00AA6CB0" w:rsidP="002E3E35">
      <w:r>
        <w:separator/>
      </w:r>
    </w:p>
  </w:endnote>
  <w:endnote w:type="continuationSeparator" w:id="0">
    <w:p w14:paraId="02437366" w14:textId="77777777" w:rsidR="00AA6CB0" w:rsidRDefault="00AA6CB0" w:rsidP="002E3E35">
      <w:r>
        <w:continuationSeparator/>
      </w:r>
    </w:p>
  </w:endnote>
  <w:endnote w:type="continuationNotice" w:id="1">
    <w:p w14:paraId="798AA15B" w14:textId="77777777" w:rsidR="00AA6CB0" w:rsidRDefault="00AA6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8CC2E" w14:textId="77777777" w:rsidR="000D3DAF" w:rsidRDefault="000D3D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9240C" w14:textId="77777777" w:rsidR="000D3DAF" w:rsidRDefault="000D3D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37E7" w14:textId="77777777" w:rsidR="000D3DAF" w:rsidRDefault="000D3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B10FC" w14:textId="77777777" w:rsidR="00AA6CB0" w:rsidRDefault="00AA6CB0" w:rsidP="00203E3B">
      <w:r>
        <w:separator/>
      </w:r>
    </w:p>
  </w:footnote>
  <w:footnote w:type="continuationSeparator" w:id="0">
    <w:p w14:paraId="5095F84A" w14:textId="77777777" w:rsidR="00AA6CB0" w:rsidRDefault="00AA6CB0" w:rsidP="00203E3B">
      <w:r>
        <w:separator/>
      </w:r>
    </w:p>
    <w:p w14:paraId="24630940" w14:textId="77777777" w:rsidR="00AA6CB0" w:rsidRPr="00157CA2" w:rsidRDefault="00AA6CB0" w:rsidP="00203E3B">
      <w:pPr>
        <w:spacing w:after="120"/>
        <w:rPr>
          <w:sz w:val="20"/>
        </w:rPr>
      </w:pPr>
      <w:r w:rsidRPr="00157CA2">
        <w:rPr>
          <w:i/>
          <w:sz w:val="20"/>
        </w:rPr>
        <w:t>(continued)</w:t>
      </w:r>
    </w:p>
  </w:footnote>
  <w:footnote w:type="continuationNotice" w:id="1">
    <w:p w14:paraId="27FAE05D" w14:textId="77777777" w:rsidR="00AA6CB0" w:rsidRDefault="00AA6CB0"/>
  </w:footnote>
  <w:footnote w:id="2">
    <w:p w14:paraId="379C1F93" w14:textId="19C1D21D" w:rsidR="000D3DAF" w:rsidRDefault="000D3DAF">
      <w:pPr>
        <w:pStyle w:val="FootnoteText"/>
      </w:pPr>
      <w:r>
        <w:rPr>
          <w:rStyle w:val="FootnoteReference"/>
        </w:rPr>
        <w:footnoteRef/>
      </w:r>
      <w:r>
        <w:t xml:space="preserve"> </w:t>
      </w:r>
      <w:r w:rsidRPr="001D4763">
        <w:t>As a condition of receiving the grant, grantees are required to participate in the evaluation.</w:t>
      </w:r>
    </w:p>
  </w:footnote>
  <w:footnote w:id="3">
    <w:p w14:paraId="49A7301A" w14:textId="6E4162E0" w:rsidR="00850473" w:rsidRPr="00850473" w:rsidRDefault="00850473" w:rsidP="00850473">
      <w:pPr>
        <w:pStyle w:val="References"/>
        <w:rPr>
          <w:sz w:val="20"/>
          <w:szCs w:val="20"/>
        </w:rPr>
      </w:pPr>
      <w:r w:rsidRPr="00850473">
        <w:rPr>
          <w:rStyle w:val="FootnoteReference"/>
          <w:sz w:val="20"/>
          <w:szCs w:val="20"/>
        </w:rPr>
        <w:footnoteRef/>
      </w:r>
      <w:r w:rsidRPr="00850473">
        <w:rPr>
          <w:sz w:val="20"/>
          <w:szCs w:val="20"/>
        </w:rPr>
        <w:t xml:space="preserve"> Schoeni, R.F., F. Stafford, K.A. McGonagle, and P. Andreski.  “Response Rates in National Panel Surveys.” </w:t>
      </w:r>
      <w:r w:rsidRPr="00850473">
        <w:rPr>
          <w:i/>
          <w:sz w:val="20"/>
          <w:szCs w:val="20"/>
        </w:rPr>
        <w:t xml:space="preserve">The ANNALS of the American Academy of Political and Social Science, </w:t>
      </w:r>
      <w:r w:rsidRPr="00850473">
        <w:rPr>
          <w:sz w:val="20"/>
          <w:szCs w:val="20"/>
        </w:rPr>
        <w:t>vol. 645, no. 1, 2013, pp. 60–87.</w:t>
      </w:r>
    </w:p>
  </w:footnote>
  <w:footnote w:id="4">
    <w:p w14:paraId="01DB849A" w14:textId="260E3D5A" w:rsidR="000D3DAF" w:rsidRDefault="000D3DAF">
      <w:pPr>
        <w:pStyle w:val="FootnoteText"/>
      </w:pPr>
      <w:r>
        <w:rPr>
          <w:rStyle w:val="FootnoteReference"/>
        </w:rPr>
        <w:footnoteRef/>
      </w:r>
      <w:r>
        <w:t xml:space="preserve"> </w:t>
      </w:r>
      <w:r w:rsidRPr="0065592C">
        <w:t>The evaluation team anticipates achieving an 85</w:t>
      </w:r>
      <w:r>
        <w:t xml:space="preserve"> percent</w:t>
      </w:r>
      <w:r w:rsidRPr="0065592C">
        <w:t xml:space="preserve"> response rate for the</w:t>
      </w:r>
      <w:r w:rsidR="007F6D6D">
        <w:t xml:space="preserve"> monthly</w:t>
      </w:r>
      <w:r w:rsidRPr="0065592C">
        <w:t xml:space="preserve"> text survey and follow-up survey data collection. Given this, the team does not anticipate the need for a nonresponse bias analysis or for the use of survey nonresponse weights.</w:t>
      </w:r>
      <w:r>
        <w:t xml:space="preserve"> </w:t>
      </w:r>
      <w:r w:rsidRPr="0065592C">
        <w:t>However, should the response rate be less than 80 percent, a nonresponse bias analysis will be conducted and weights that adjust for nonresponse will be used</w:t>
      </w:r>
      <w:r>
        <w:t>.</w:t>
      </w:r>
    </w:p>
  </w:footnote>
  <w:footnote w:id="5">
    <w:p w14:paraId="06ACD091" w14:textId="1E724235" w:rsidR="00850473" w:rsidRPr="00850473" w:rsidRDefault="00850473" w:rsidP="00850473">
      <w:pPr>
        <w:pStyle w:val="References"/>
        <w:rPr>
          <w:sz w:val="20"/>
          <w:szCs w:val="20"/>
        </w:rPr>
      </w:pPr>
      <w:r w:rsidRPr="00850473">
        <w:rPr>
          <w:rStyle w:val="FootnoteReference"/>
          <w:sz w:val="20"/>
          <w:szCs w:val="20"/>
        </w:rPr>
        <w:footnoteRef/>
      </w:r>
      <w:r w:rsidRPr="00850473">
        <w:rPr>
          <w:sz w:val="20"/>
          <w:szCs w:val="20"/>
        </w:rPr>
        <w:t xml:space="preserve"> Schochet, P., J. Burghardt, and S. McConnell. “Does Job Corps Work? Impact Findings from the National Job Corps Study.” </w:t>
      </w:r>
      <w:r w:rsidRPr="00850473">
        <w:rPr>
          <w:i/>
          <w:iCs/>
          <w:sz w:val="20"/>
          <w:szCs w:val="20"/>
        </w:rPr>
        <w:t>American Economic Review</w:t>
      </w:r>
      <w:r w:rsidRPr="00850473">
        <w:rPr>
          <w:sz w:val="20"/>
          <w:szCs w:val="20"/>
        </w:rPr>
        <w:t>, vol. 98, no. 5, 2008, pp. 1864–1886.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7E050" w14:textId="77777777" w:rsidR="000D3DAF" w:rsidRDefault="000D3D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17FA1F6C" w14:textId="43C1EB1D" w:rsidR="000D3DAF" w:rsidRDefault="000D3DAF" w:rsidP="008466B6">
        <w:pPr>
          <w:tabs>
            <w:tab w:val="left" w:pos="8010"/>
          </w:tabs>
        </w:pPr>
        <w:r>
          <w:t>NGYCJC OMB Part B</w:t>
        </w:r>
        <w:r>
          <w:tab/>
          <w:t xml:space="preserve">Page </w:t>
        </w:r>
        <w:r>
          <w:fldChar w:fldCharType="begin"/>
        </w:r>
        <w:r>
          <w:instrText xml:space="preserve"> PAGE </w:instrText>
        </w:r>
        <w:r>
          <w:fldChar w:fldCharType="separate"/>
        </w:r>
        <w:r w:rsidR="00A82189">
          <w:rPr>
            <w:noProof/>
          </w:rPr>
          <w:t>2</w:t>
        </w:r>
        <w:r>
          <w:fldChar w:fldCharType="end"/>
        </w:r>
        <w:r>
          <w:t xml:space="preserve"> of </w:t>
        </w:r>
        <w:r w:rsidR="00A82189">
          <w:fldChar w:fldCharType="begin"/>
        </w:r>
        <w:r w:rsidR="00A82189">
          <w:instrText xml:space="preserve"> NUMPAGES  </w:instrText>
        </w:r>
        <w:r w:rsidR="00A82189">
          <w:fldChar w:fldCharType="separate"/>
        </w:r>
        <w:r w:rsidR="00A82189">
          <w:rPr>
            <w:noProof/>
          </w:rPr>
          <w:t>2</w:t>
        </w:r>
        <w:r w:rsidR="00A82189">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545213"/>
      <w:docPartObj>
        <w:docPartGallery w:val="Page Numbers (Top of Page)"/>
        <w:docPartUnique/>
      </w:docPartObj>
    </w:sdtPr>
    <w:sdtEndPr/>
    <w:sdtContent>
      <w:p w14:paraId="134B127F" w14:textId="06990D7E" w:rsidR="000D3DAF" w:rsidRPr="0018724A" w:rsidRDefault="000D3DAF" w:rsidP="0018724A">
        <w:pPr>
          <w:tabs>
            <w:tab w:val="left" w:pos="7920"/>
          </w:tabs>
        </w:pPr>
        <w:r w:rsidRPr="0018724A">
          <w:t>OMB Part B</w:t>
        </w:r>
        <w:r w:rsidRPr="0018724A">
          <w:tab/>
          <w:t xml:space="preserve">Page </w:t>
        </w:r>
        <w:r w:rsidRPr="0018724A">
          <w:fldChar w:fldCharType="begin"/>
        </w:r>
        <w:r w:rsidRPr="0018724A">
          <w:instrText xml:space="preserve"> PAGE </w:instrText>
        </w:r>
        <w:r w:rsidRPr="0018724A">
          <w:fldChar w:fldCharType="separate"/>
        </w:r>
        <w:r w:rsidR="00A82189">
          <w:rPr>
            <w:noProof/>
          </w:rPr>
          <w:t>1</w:t>
        </w:r>
        <w:r w:rsidRPr="0018724A">
          <w:fldChar w:fldCharType="end"/>
        </w:r>
        <w:r w:rsidRPr="0018724A">
          <w:t xml:space="preserve"> of </w:t>
        </w:r>
        <w:r w:rsidR="00A82189">
          <w:fldChar w:fldCharType="begin"/>
        </w:r>
        <w:r w:rsidR="00A82189">
          <w:instrText xml:space="preserve"> NUMPAGES  </w:instrText>
        </w:r>
        <w:r w:rsidR="00A82189">
          <w:fldChar w:fldCharType="separate"/>
        </w:r>
        <w:r w:rsidR="00A82189">
          <w:rPr>
            <w:noProof/>
          </w:rPr>
          <w:t>1</w:t>
        </w:r>
        <w:r w:rsidR="00A82189">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1880"/>
    <w:multiLevelType w:val="multilevel"/>
    <w:tmpl w:val="62049FBA"/>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
    <w:nsid w:val="175F4639"/>
    <w:multiLevelType w:val="hybridMultilevel"/>
    <w:tmpl w:val="0F86CF26"/>
    <w:lvl w:ilvl="0" w:tplc="797E3AB6">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254FD8"/>
    <w:multiLevelType w:val="hybridMultilevel"/>
    <w:tmpl w:val="B6AC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E6E61"/>
    <w:multiLevelType w:val="hybridMultilevel"/>
    <w:tmpl w:val="AD72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141C0"/>
    <w:multiLevelType w:val="multilevel"/>
    <w:tmpl w:val="64629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647716D"/>
    <w:multiLevelType w:val="multilevel"/>
    <w:tmpl w:val="F8DA6276"/>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spacing w:val="0"/>
        <w:position w:val="8"/>
        <w:sz w:val="16"/>
        <w:szCs w:val="16"/>
        <w:vertAlign w:val="base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7">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8">
    <w:nsid w:val="3C0974B2"/>
    <w:multiLevelType w:val="multilevel"/>
    <w:tmpl w:val="5014A66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9">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10">
    <w:nsid w:val="49C6048B"/>
    <w:multiLevelType w:val="singleLevel"/>
    <w:tmpl w:val="08DE816E"/>
    <w:lvl w:ilvl="0">
      <w:start w:val="1"/>
      <w:numFmt w:val="decimal"/>
      <w:pStyle w:val="NumberedBullet"/>
      <w:lvlText w:val="%1."/>
      <w:lvlJc w:val="left"/>
      <w:pPr>
        <w:tabs>
          <w:tab w:val="num" w:pos="2880"/>
        </w:tabs>
        <w:ind w:left="2880" w:hanging="360"/>
      </w:pPr>
      <w:rPr>
        <w:rFont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D85D97"/>
    <w:multiLevelType w:val="hybridMultilevel"/>
    <w:tmpl w:val="60AA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C170EBE"/>
    <w:multiLevelType w:val="hybridMultilevel"/>
    <w:tmpl w:val="11E026A6"/>
    <w:lvl w:ilvl="0" w:tplc="D5D84E7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6CC929B3"/>
    <w:multiLevelType w:val="multilevel"/>
    <w:tmpl w:val="50506BC6"/>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16">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27425"/>
    <w:multiLevelType w:val="hybridMultilevel"/>
    <w:tmpl w:val="10D4D5DE"/>
    <w:lvl w:ilvl="0" w:tplc="39E68AF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5809B4"/>
    <w:multiLevelType w:val="hybridMultilevel"/>
    <w:tmpl w:val="E956444C"/>
    <w:lvl w:ilvl="0" w:tplc="8C44840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BB22E0D"/>
    <w:multiLevelType w:val="multilevel"/>
    <w:tmpl w:val="60A40036"/>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num w:numId="1">
    <w:abstractNumId w:val="16"/>
  </w:num>
  <w:num w:numId="2">
    <w:abstractNumId w:val="11"/>
  </w:num>
  <w:num w:numId="3">
    <w:abstractNumId w:val="18"/>
  </w:num>
  <w:num w:numId="4">
    <w:abstractNumId w:val="1"/>
  </w:num>
  <w:num w:numId="5">
    <w:abstractNumId w:val="17"/>
  </w:num>
  <w:num w:numId="6">
    <w:abstractNumId w:val="13"/>
  </w:num>
  <w:num w:numId="7">
    <w:abstractNumId w:val="10"/>
  </w:num>
  <w:num w:numId="8">
    <w:abstractNumId w:val="10"/>
    <w:lvlOverride w:ilvl="0">
      <w:startOverride w:val="1"/>
    </w:lvlOverride>
  </w:num>
  <w:num w:numId="9">
    <w:abstractNumId w:val="5"/>
  </w:num>
  <w:num w:numId="10">
    <w:abstractNumId w:val="12"/>
  </w:num>
  <w:num w:numId="11">
    <w:abstractNumId w:val="2"/>
  </w:num>
  <w:num w:numId="12">
    <w:abstractNumId w:val="9"/>
  </w:num>
  <w:num w:numId="13">
    <w:abstractNumId w:val="7"/>
  </w:num>
  <w:num w:numId="14">
    <w:abstractNumId w:val="0"/>
  </w:num>
  <w:num w:numId="15">
    <w:abstractNumId w:val="6"/>
  </w:num>
  <w:num w:numId="16">
    <w:abstractNumId w:val="15"/>
  </w:num>
  <w:num w:numId="17">
    <w:abstractNumId w:val="8"/>
  </w:num>
  <w:num w:numId="18">
    <w:abstractNumId w:val="20"/>
  </w:num>
  <w:num w:numId="19">
    <w:abstractNumId w:val="14"/>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num>
  <w:num w:numId="25">
    <w:abstractNumId w:val="1"/>
  </w:num>
  <w:num w:numId="26">
    <w:abstractNumId w:val="1"/>
  </w:num>
  <w:num w:numId="27">
    <w:abstractNumId w:val="1"/>
  </w:num>
  <w:num w:numId="28">
    <w:abstractNumId w:val="1"/>
  </w:num>
  <w:num w:numId="29">
    <w:abstractNumId w:val="19"/>
  </w:num>
  <w:num w:numId="3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0"/>
  <w:defaultTabStop w:val="432"/>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C5"/>
    <w:rsid w:val="000030B1"/>
    <w:rsid w:val="00003FD8"/>
    <w:rsid w:val="00007AAA"/>
    <w:rsid w:val="00010CEE"/>
    <w:rsid w:val="000144C2"/>
    <w:rsid w:val="0001587F"/>
    <w:rsid w:val="00016D34"/>
    <w:rsid w:val="000212FC"/>
    <w:rsid w:val="0002238C"/>
    <w:rsid w:val="00022A0A"/>
    <w:rsid w:val="0002322B"/>
    <w:rsid w:val="00027294"/>
    <w:rsid w:val="0002754E"/>
    <w:rsid w:val="0003265D"/>
    <w:rsid w:val="00032E4E"/>
    <w:rsid w:val="00034667"/>
    <w:rsid w:val="00034831"/>
    <w:rsid w:val="00036E7F"/>
    <w:rsid w:val="00040B2C"/>
    <w:rsid w:val="000423BE"/>
    <w:rsid w:val="00042419"/>
    <w:rsid w:val="00042FA8"/>
    <w:rsid w:val="00043329"/>
    <w:rsid w:val="000434B7"/>
    <w:rsid w:val="00043B27"/>
    <w:rsid w:val="00044069"/>
    <w:rsid w:val="00045C94"/>
    <w:rsid w:val="00047BDD"/>
    <w:rsid w:val="00051AA5"/>
    <w:rsid w:val="00056BC1"/>
    <w:rsid w:val="000575D5"/>
    <w:rsid w:val="000578BB"/>
    <w:rsid w:val="00060579"/>
    <w:rsid w:val="000633AA"/>
    <w:rsid w:val="00067363"/>
    <w:rsid w:val="0007041A"/>
    <w:rsid w:val="0007549F"/>
    <w:rsid w:val="000777DB"/>
    <w:rsid w:val="000855BD"/>
    <w:rsid w:val="00086066"/>
    <w:rsid w:val="0009143A"/>
    <w:rsid w:val="00091DFD"/>
    <w:rsid w:val="00092F0E"/>
    <w:rsid w:val="00095543"/>
    <w:rsid w:val="000972E1"/>
    <w:rsid w:val="000A2181"/>
    <w:rsid w:val="000A2330"/>
    <w:rsid w:val="000A267A"/>
    <w:rsid w:val="000A5A8D"/>
    <w:rsid w:val="000A6591"/>
    <w:rsid w:val="000A7604"/>
    <w:rsid w:val="000A7FB4"/>
    <w:rsid w:val="000B4355"/>
    <w:rsid w:val="000B4E47"/>
    <w:rsid w:val="000B51A8"/>
    <w:rsid w:val="000B521D"/>
    <w:rsid w:val="000B555A"/>
    <w:rsid w:val="000B764C"/>
    <w:rsid w:val="000C2E3B"/>
    <w:rsid w:val="000C413E"/>
    <w:rsid w:val="000C7D4D"/>
    <w:rsid w:val="000D132C"/>
    <w:rsid w:val="000D1C3C"/>
    <w:rsid w:val="000D2974"/>
    <w:rsid w:val="000D3DAF"/>
    <w:rsid w:val="000D4738"/>
    <w:rsid w:val="000D5B34"/>
    <w:rsid w:val="000D6D88"/>
    <w:rsid w:val="000D751A"/>
    <w:rsid w:val="000E0694"/>
    <w:rsid w:val="000E1C2B"/>
    <w:rsid w:val="000E2169"/>
    <w:rsid w:val="000E4C3F"/>
    <w:rsid w:val="000E6C72"/>
    <w:rsid w:val="000F30B9"/>
    <w:rsid w:val="000F677B"/>
    <w:rsid w:val="0010014A"/>
    <w:rsid w:val="001004A7"/>
    <w:rsid w:val="001004E0"/>
    <w:rsid w:val="001044C7"/>
    <w:rsid w:val="00105A74"/>
    <w:rsid w:val="0011148D"/>
    <w:rsid w:val="001119F8"/>
    <w:rsid w:val="00112A5E"/>
    <w:rsid w:val="00113CC8"/>
    <w:rsid w:val="001210EE"/>
    <w:rsid w:val="001228FD"/>
    <w:rsid w:val="00122C2C"/>
    <w:rsid w:val="00123F0B"/>
    <w:rsid w:val="00126EB2"/>
    <w:rsid w:val="001275D7"/>
    <w:rsid w:val="00130C03"/>
    <w:rsid w:val="001311F7"/>
    <w:rsid w:val="0013184F"/>
    <w:rsid w:val="00131D22"/>
    <w:rsid w:val="00131F00"/>
    <w:rsid w:val="0013346F"/>
    <w:rsid w:val="00135EB7"/>
    <w:rsid w:val="0013709C"/>
    <w:rsid w:val="0013750D"/>
    <w:rsid w:val="00137B70"/>
    <w:rsid w:val="00140FDF"/>
    <w:rsid w:val="00141095"/>
    <w:rsid w:val="00142E14"/>
    <w:rsid w:val="001451A5"/>
    <w:rsid w:val="00146CE3"/>
    <w:rsid w:val="00147515"/>
    <w:rsid w:val="001477C0"/>
    <w:rsid w:val="00147A74"/>
    <w:rsid w:val="00152C36"/>
    <w:rsid w:val="00154DF1"/>
    <w:rsid w:val="00155D06"/>
    <w:rsid w:val="001567B3"/>
    <w:rsid w:val="00157CA2"/>
    <w:rsid w:val="001649D5"/>
    <w:rsid w:val="00164BC2"/>
    <w:rsid w:val="001650DE"/>
    <w:rsid w:val="00170152"/>
    <w:rsid w:val="001739F1"/>
    <w:rsid w:val="00181AC8"/>
    <w:rsid w:val="00184421"/>
    <w:rsid w:val="0018444A"/>
    <w:rsid w:val="00185CEF"/>
    <w:rsid w:val="00186FB8"/>
    <w:rsid w:val="0018724A"/>
    <w:rsid w:val="001919A3"/>
    <w:rsid w:val="001921A4"/>
    <w:rsid w:val="00192C38"/>
    <w:rsid w:val="00194A0E"/>
    <w:rsid w:val="001969A3"/>
    <w:rsid w:val="001969F1"/>
    <w:rsid w:val="00196A70"/>
    <w:rsid w:val="00196E5A"/>
    <w:rsid w:val="00197503"/>
    <w:rsid w:val="001A178B"/>
    <w:rsid w:val="001A186C"/>
    <w:rsid w:val="001A370F"/>
    <w:rsid w:val="001A3781"/>
    <w:rsid w:val="001B107D"/>
    <w:rsid w:val="001B4842"/>
    <w:rsid w:val="001C5683"/>
    <w:rsid w:val="001C5AC1"/>
    <w:rsid w:val="001C5E14"/>
    <w:rsid w:val="001C5EB8"/>
    <w:rsid w:val="001C65BD"/>
    <w:rsid w:val="001C7FBE"/>
    <w:rsid w:val="001D3544"/>
    <w:rsid w:val="001D39AA"/>
    <w:rsid w:val="001D39EC"/>
    <w:rsid w:val="001D418D"/>
    <w:rsid w:val="001D4763"/>
    <w:rsid w:val="001D661F"/>
    <w:rsid w:val="001D7B65"/>
    <w:rsid w:val="001E3DD1"/>
    <w:rsid w:val="001E6A60"/>
    <w:rsid w:val="001E6E5A"/>
    <w:rsid w:val="001F2047"/>
    <w:rsid w:val="001F7111"/>
    <w:rsid w:val="00200C7F"/>
    <w:rsid w:val="00201E7E"/>
    <w:rsid w:val="00203E3B"/>
    <w:rsid w:val="00204AB9"/>
    <w:rsid w:val="00204B23"/>
    <w:rsid w:val="002050B7"/>
    <w:rsid w:val="002063ED"/>
    <w:rsid w:val="00211944"/>
    <w:rsid w:val="00211EBA"/>
    <w:rsid w:val="00214E0B"/>
    <w:rsid w:val="00215C5A"/>
    <w:rsid w:val="00215E4D"/>
    <w:rsid w:val="002166BC"/>
    <w:rsid w:val="00217270"/>
    <w:rsid w:val="00217FA0"/>
    <w:rsid w:val="00225954"/>
    <w:rsid w:val="0022714B"/>
    <w:rsid w:val="002272CB"/>
    <w:rsid w:val="00231607"/>
    <w:rsid w:val="0023638D"/>
    <w:rsid w:val="00247945"/>
    <w:rsid w:val="00252D95"/>
    <w:rsid w:val="00254C89"/>
    <w:rsid w:val="00254E2D"/>
    <w:rsid w:val="00256D04"/>
    <w:rsid w:val="0026025C"/>
    <w:rsid w:val="00260F3B"/>
    <w:rsid w:val="00264043"/>
    <w:rsid w:val="0026713B"/>
    <w:rsid w:val="00271C83"/>
    <w:rsid w:val="0027245E"/>
    <w:rsid w:val="00272B66"/>
    <w:rsid w:val="002733A4"/>
    <w:rsid w:val="00280366"/>
    <w:rsid w:val="00281531"/>
    <w:rsid w:val="002817A6"/>
    <w:rsid w:val="00283304"/>
    <w:rsid w:val="0028360E"/>
    <w:rsid w:val="00283D3E"/>
    <w:rsid w:val="00284882"/>
    <w:rsid w:val="002869EF"/>
    <w:rsid w:val="0029011D"/>
    <w:rsid w:val="0029042C"/>
    <w:rsid w:val="00292348"/>
    <w:rsid w:val="00292A7F"/>
    <w:rsid w:val="00294B21"/>
    <w:rsid w:val="00297266"/>
    <w:rsid w:val="002A00E4"/>
    <w:rsid w:val="002A2808"/>
    <w:rsid w:val="002A3D5D"/>
    <w:rsid w:val="002A4F27"/>
    <w:rsid w:val="002A64F9"/>
    <w:rsid w:val="002A6552"/>
    <w:rsid w:val="002B0E82"/>
    <w:rsid w:val="002B2209"/>
    <w:rsid w:val="002B25CD"/>
    <w:rsid w:val="002B4F02"/>
    <w:rsid w:val="002B71CD"/>
    <w:rsid w:val="002B72E0"/>
    <w:rsid w:val="002B76AB"/>
    <w:rsid w:val="002B7C37"/>
    <w:rsid w:val="002C1507"/>
    <w:rsid w:val="002C3CA5"/>
    <w:rsid w:val="002C40A9"/>
    <w:rsid w:val="002C598D"/>
    <w:rsid w:val="002C71CA"/>
    <w:rsid w:val="002D0A60"/>
    <w:rsid w:val="002D262A"/>
    <w:rsid w:val="002D5D77"/>
    <w:rsid w:val="002D6763"/>
    <w:rsid w:val="002D7013"/>
    <w:rsid w:val="002D7B94"/>
    <w:rsid w:val="002E06F1"/>
    <w:rsid w:val="002E226E"/>
    <w:rsid w:val="002E3E35"/>
    <w:rsid w:val="002F297B"/>
    <w:rsid w:val="002F5D20"/>
    <w:rsid w:val="002F6E35"/>
    <w:rsid w:val="0030242C"/>
    <w:rsid w:val="00302890"/>
    <w:rsid w:val="00305DE5"/>
    <w:rsid w:val="00306117"/>
    <w:rsid w:val="00306F1E"/>
    <w:rsid w:val="00310CBE"/>
    <w:rsid w:val="00315DEC"/>
    <w:rsid w:val="0031740A"/>
    <w:rsid w:val="00317969"/>
    <w:rsid w:val="00317FDB"/>
    <w:rsid w:val="003236B5"/>
    <w:rsid w:val="003250D8"/>
    <w:rsid w:val="00325530"/>
    <w:rsid w:val="00325FF2"/>
    <w:rsid w:val="00326958"/>
    <w:rsid w:val="0032739A"/>
    <w:rsid w:val="0033012A"/>
    <w:rsid w:val="003308C3"/>
    <w:rsid w:val="00331ADC"/>
    <w:rsid w:val="003320D7"/>
    <w:rsid w:val="00332373"/>
    <w:rsid w:val="00340C1E"/>
    <w:rsid w:val="00341682"/>
    <w:rsid w:val="003426BF"/>
    <w:rsid w:val="00343401"/>
    <w:rsid w:val="00345556"/>
    <w:rsid w:val="00346E5F"/>
    <w:rsid w:val="0035526C"/>
    <w:rsid w:val="00356257"/>
    <w:rsid w:val="00357B5C"/>
    <w:rsid w:val="00361350"/>
    <w:rsid w:val="00363410"/>
    <w:rsid w:val="00363A19"/>
    <w:rsid w:val="00365068"/>
    <w:rsid w:val="003656C4"/>
    <w:rsid w:val="00366F93"/>
    <w:rsid w:val="00370490"/>
    <w:rsid w:val="0037092A"/>
    <w:rsid w:val="00370BC5"/>
    <w:rsid w:val="00370D5B"/>
    <w:rsid w:val="003743AD"/>
    <w:rsid w:val="003758C9"/>
    <w:rsid w:val="00384A00"/>
    <w:rsid w:val="00384E5E"/>
    <w:rsid w:val="00385BE4"/>
    <w:rsid w:val="00387C3D"/>
    <w:rsid w:val="003921CA"/>
    <w:rsid w:val="00392614"/>
    <w:rsid w:val="00394544"/>
    <w:rsid w:val="003947A2"/>
    <w:rsid w:val="00394DAA"/>
    <w:rsid w:val="00395C23"/>
    <w:rsid w:val="003969F2"/>
    <w:rsid w:val="00396FD7"/>
    <w:rsid w:val="003A0C7A"/>
    <w:rsid w:val="003A16DA"/>
    <w:rsid w:val="003A3316"/>
    <w:rsid w:val="003A3ADA"/>
    <w:rsid w:val="003A501E"/>
    <w:rsid w:val="003A63C1"/>
    <w:rsid w:val="003B5F7E"/>
    <w:rsid w:val="003C3464"/>
    <w:rsid w:val="003C38EC"/>
    <w:rsid w:val="003C3D79"/>
    <w:rsid w:val="003D1E3E"/>
    <w:rsid w:val="003D3410"/>
    <w:rsid w:val="003D434C"/>
    <w:rsid w:val="003D7EA1"/>
    <w:rsid w:val="003E0E47"/>
    <w:rsid w:val="003E1520"/>
    <w:rsid w:val="003E21DB"/>
    <w:rsid w:val="003E3505"/>
    <w:rsid w:val="003E418E"/>
    <w:rsid w:val="003E4EC1"/>
    <w:rsid w:val="003E7688"/>
    <w:rsid w:val="003E7979"/>
    <w:rsid w:val="003E7E7B"/>
    <w:rsid w:val="003F07DE"/>
    <w:rsid w:val="003F4ADD"/>
    <w:rsid w:val="003F7027"/>
    <w:rsid w:val="003F7D6D"/>
    <w:rsid w:val="00400BF4"/>
    <w:rsid w:val="00402442"/>
    <w:rsid w:val="00406760"/>
    <w:rsid w:val="004108E3"/>
    <w:rsid w:val="00413779"/>
    <w:rsid w:val="00415746"/>
    <w:rsid w:val="00416EB4"/>
    <w:rsid w:val="004202FC"/>
    <w:rsid w:val="004227CA"/>
    <w:rsid w:val="004244A5"/>
    <w:rsid w:val="00426087"/>
    <w:rsid w:val="004268DA"/>
    <w:rsid w:val="00430A83"/>
    <w:rsid w:val="00431084"/>
    <w:rsid w:val="00435539"/>
    <w:rsid w:val="00436B58"/>
    <w:rsid w:val="00436BEA"/>
    <w:rsid w:val="00437868"/>
    <w:rsid w:val="004406E3"/>
    <w:rsid w:val="0044335E"/>
    <w:rsid w:val="00444087"/>
    <w:rsid w:val="0044529B"/>
    <w:rsid w:val="00446C1B"/>
    <w:rsid w:val="00451A4F"/>
    <w:rsid w:val="004533DB"/>
    <w:rsid w:val="004559CF"/>
    <w:rsid w:val="00455D47"/>
    <w:rsid w:val="004620FF"/>
    <w:rsid w:val="00462212"/>
    <w:rsid w:val="004624ED"/>
    <w:rsid w:val="00464B7F"/>
    <w:rsid w:val="004655C1"/>
    <w:rsid w:val="00465789"/>
    <w:rsid w:val="004662C5"/>
    <w:rsid w:val="00474699"/>
    <w:rsid w:val="00480779"/>
    <w:rsid w:val="004867C2"/>
    <w:rsid w:val="0049195D"/>
    <w:rsid w:val="00491AB9"/>
    <w:rsid w:val="004934BE"/>
    <w:rsid w:val="00495DE3"/>
    <w:rsid w:val="004A0375"/>
    <w:rsid w:val="004A2B31"/>
    <w:rsid w:val="004A2FEB"/>
    <w:rsid w:val="004A3992"/>
    <w:rsid w:val="004A4935"/>
    <w:rsid w:val="004A54A8"/>
    <w:rsid w:val="004A5B8B"/>
    <w:rsid w:val="004A6EA7"/>
    <w:rsid w:val="004A7AAE"/>
    <w:rsid w:val="004B213D"/>
    <w:rsid w:val="004B47D3"/>
    <w:rsid w:val="004C25FF"/>
    <w:rsid w:val="004C498B"/>
    <w:rsid w:val="004C67B1"/>
    <w:rsid w:val="004D1EAA"/>
    <w:rsid w:val="004D2C35"/>
    <w:rsid w:val="004D3CC4"/>
    <w:rsid w:val="004D5ACB"/>
    <w:rsid w:val="004D6B97"/>
    <w:rsid w:val="004E02A3"/>
    <w:rsid w:val="004E049B"/>
    <w:rsid w:val="004E1DD2"/>
    <w:rsid w:val="004E4CA7"/>
    <w:rsid w:val="004E606A"/>
    <w:rsid w:val="004E69F7"/>
    <w:rsid w:val="004E7409"/>
    <w:rsid w:val="004E74D1"/>
    <w:rsid w:val="004F05AF"/>
    <w:rsid w:val="004F0DFF"/>
    <w:rsid w:val="004F2BAC"/>
    <w:rsid w:val="004F36C4"/>
    <w:rsid w:val="004F491B"/>
    <w:rsid w:val="00500104"/>
    <w:rsid w:val="0050038C"/>
    <w:rsid w:val="0050458F"/>
    <w:rsid w:val="00505804"/>
    <w:rsid w:val="00506F79"/>
    <w:rsid w:val="005104A0"/>
    <w:rsid w:val="00511D22"/>
    <w:rsid w:val="005160ED"/>
    <w:rsid w:val="00524BC7"/>
    <w:rsid w:val="005257EC"/>
    <w:rsid w:val="00526576"/>
    <w:rsid w:val="00526D08"/>
    <w:rsid w:val="00532464"/>
    <w:rsid w:val="00532A3B"/>
    <w:rsid w:val="00535221"/>
    <w:rsid w:val="0053540D"/>
    <w:rsid w:val="00537E01"/>
    <w:rsid w:val="005400FC"/>
    <w:rsid w:val="00540352"/>
    <w:rsid w:val="005403E8"/>
    <w:rsid w:val="00542061"/>
    <w:rsid w:val="005428E4"/>
    <w:rsid w:val="00551D48"/>
    <w:rsid w:val="005547CA"/>
    <w:rsid w:val="00555F68"/>
    <w:rsid w:val="005576F8"/>
    <w:rsid w:val="00557AE8"/>
    <w:rsid w:val="00560D9D"/>
    <w:rsid w:val="00561604"/>
    <w:rsid w:val="00570819"/>
    <w:rsid w:val="005720EB"/>
    <w:rsid w:val="0057495C"/>
    <w:rsid w:val="0057783A"/>
    <w:rsid w:val="0057795C"/>
    <w:rsid w:val="00580A6C"/>
    <w:rsid w:val="005837E2"/>
    <w:rsid w:val="005843BB"/>
    <w:rsid w:val="00585F60"/>
    <w:rsid w:val="005860D2"/>
    <w:rsid w:val="005903AC"/>
    <w:rsid w:val="00596747"/>
    <w:rsid w:val="005975FE"/>
    <w:rsid w:val="005A0A00"/>
    <w:rsid w:val="005A151B"/>
    <w:rsid w:val="005A1D69"/>
    <w:rsid w:val="005A609C"/>
    <w:rsid w:val="005A7F69"/>
    <w:rsid w:val="005B2153"/>
    <w:rsid w:val="005B3BFB"/>
    <w:rsid w:val="005B4E16"/>
    <w:rsid w:val="005C2E96"/>
    <w:rsid w:val="005C40D5"/>
    <w:rsid w:val="005C40E0"/>
    <w:rsid w:val="005C463D"/>
    <w:rsid w:val="005C580A"/>
    <w:rsid w:val="005D1DEB"/>
    <w:rsid w:val="005D51C5"/>
    <w:rsid w:val="005D5D21"/>
    <w:rsid w:val="005D7406"/>
    <w:rsid w:val="005E2B24"/>
    <w:rsid w:val="005E454D"/>
    <w:rsid w:val="005F0872"/>
    <w:rsid w:val="005F28ED"/>
    <w:rsid w:val="005F572A"/>
    <w:rsid w:val="005F5DC1"/>
    <w:rsid w:val="005F64DC"/>
    <w:rsid w:val="005F6F8C"/>
    <w:rsid w:val="005F7ADD"/>
    <w:rsid w:val="005F7FEA"/>
    <w:rsid w:val="006065F8"/>
    <w:rsid w:val="006075CC"/>
    <w:rsid w:val="00615050"/>
    <w:rsid w:val="00616DE6"/>
    <w:rsid w:val="00622372"/>
    <w:rsid w:val="00623E13"/>
    <w:rsid w:val="0062545D"/>
    <w:rsid w:val="006312B8"/>
    <w:rsid w:val="00633E2C"/>
    <w:rsid w:val="00633E77"/>
    <w:rsid w:val="00634830"/>
    <w:rsid w:val="0063644E"/>
    <w:rsid w:val="00636D6D"/>
    <w:rsid w:val="006371A1"/>
    <w:rsid w:val="006371B0"/>
    <w:rsid w:val="006404FF"/>
    <w:rsid w:val="00642237"/>
    <w:rsid w:val="0065592C"/>
    <w:rsid w:val="00660448"/>
    <w:rsid w:val="0066062F"/>
    <w:rsid w:val="0066273C"/>
    <w:rsid w:val="0066705E"/>
    <w:rsid w:val="00671099"/>
    <w:rsid w:val="006716B2"/>
    <w:rsid w:val="00672682"/>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BB4"/>
    <w:rsid w:val="006B4E3F"/>
    <w:rsid w:val="006B6D4A"/>
    <w:rsid w:val="006C2620"/>
    <w:rsid w:val="006C3304"/>
    <w:rsid w:val="006C7956"/>
    <w:rsid w:val="006D03BB"/>
    <w:rsid w:val="006D21FF"/>
    <w:rsid w:val="006D680C"/>
    <w:rsid w:val="006D7472"/>
    <w:rsid w:val="006E1A32"/>
    <w:rsid w:val="006E3BD4"/>
    <w:rsid w:val="006E4164"/>
    <w:rsid w:val="006E5B0A"/>
    <w:rsid w:val="006E7979"/>
    <w:rsid w:val="006F0597"/>
    <w:rsid w:val="006F265F"/>
    <w:rsid w:val="006F3FEB"/>
    <w:rsid w:val="006F4AFC"/>
    <w:rsid w:val="006F730C"/>
    <w:rsid w:val="006F73F3"/>
    <w:rsid w:val="007003B4"/>
    <w:rsid w:val="00700DDD"/>
    <w:rsid w:val="00702EB1"/>
    <w:rsid w:val="00702F11"/>
    <w:rsid w:val="007031B1"/>
    <w:rsid w:val="007043FD"/>
    <w:rsid w:val="00707736"/>
    <w:rsid w:val="00711A3C"/>
    <w:rsid w:val="00711B96"/>
    <w:rsid w:val="00716DB7"/>
    <w:rsid w:val="007211C2"/>
    <w:rsid w:val="007222A0"/>
    <w:rsid w:val="007256CD"/>
    <w:rsid w:val="00731CC8"/>
    <w:rsid w:val="00733503"/>
    <w:rsid w:val="00733CEF"/>
    <w:rsid w:val="00734322"/>
    <w:rsid w:val="00735339"/>
    <w:rsid w:val="00741FB3"/>
    <w:rsid w:val="007447C7"/>
    <w:rsid w:val="00746A9D"/>
    <w:rsid w:val="0075488B"/>
    <w:rsid w:val="00756044"/>
    <w:rsid w:val="007563B4"/>
    <w:rsid w:val="00756E06"/>
    <w:rsid w:val="00760FA2"/>
    <w:rsid w:val="007614D4"/>
    <w:rsid w:val="00761C9D"/>
    <w:rsid w:val="00761DA6"/>
    <w:rsid w:val="00764A19"/>
    <w:rsid w:val="007700B1"/>
    <w:rsid w:val="00780B38"/>
    <w:rsid w:val="00780B84"/>
    <w:rsid w:val="00781F52"/>
    <w:rsid w:val="007825D9"/>
    <w:rsid w:val="00787703"/>
    <w:rsid w:val="00787CE7"/>
    <w:rsid w:val="00793F47"/>
    <w:rsid w:val="007963EB"/>
    <w:rsid w:val="0079646A"/>
    <w:rsid w:val="00796EB4"/>
    <w:rsid w:val="007A0F57"/>
    <w:rsid w:val="007A1493"/>
    <w:rsid w:val="007A2D95"/>
    <w:rsid w:val="007A2E39"/>
    <w:rsid w:val="007A4FD7"/>
    <w:rsid w:val="007B1192"/>
    <w:rsid w:val="007B1305"/>
    <w:rsid w:val="007B1E87"/>
    <w:rsid w:val="007C6B92"/>
    <w:rsid w:val="007C7719"/>
    <w:rsid w:val="007D131E"/>
    <w:rsid w:val="007D2AD5"/>
    <w:rsid w:val="007D6AE7"/>
    <w:rsid w:val="007D6CFB"/>
    <w:rsid w:val="007E12B6"/>
    <w:rsid w:val="007E1607"/>
    <w:rsid w:val="007E574B"/>
    <w:rsid w:val="007E5750"/>
    <w:rsid w:val="007E6923"/>
    <w:rsid w:val="007E6B8C"/>
    <w:rsid w:val="007F1577"/>
    <w:rsid w:val="007F2677"/>
    <w:rsid w:val="007F32F6"/>
    <w:rsid w:val="007F58CB"/>
    <w:rsid w:val="007F6D6D"/>
    <w:rsid w:val="0080264C"/>
    <w:rsid w:val="008058FE"/>
    <w:rsid w:val="008059AC"/>
    <w:rsid w:val="008065F4"/>
    <w:rsid w:val="008068D4"/>
    <w:rsid w:val="00806914"/>
    <w:rsid w:val="00810BE3"/>
    <w:rsid w:val="00811638"/>
    <w:rsid w:val="008116BB"/>
    <w:rsid w:val="00811EEE"/>
    <w:rsid w:val="00814AE7"/>
    <w:rsid w:val="00815382"/>
    <w:rsid w:val="008168A4"/>
    <w:rsid w:val="00821341"/>
    <w:rsid w:val="00830296"/>
    <w:rsid w:val="008321D0"/>
    <w:rsid w:val="00833B51"/>
    <w:rsid w:val="008403EE"/>
    <w:rsid w:val="008405D8"/>
    <w:rsid w:val="00841251"/>
    <w:rsid w:val="00841793"/>
    <w:rsid w:val="008446D6"/>
    <w:rsid w:val="008450C0"/>
    <w:rsid w:val="008453D2"/>
    <w:rsid w:val="008466B6"/>
    <w:rsid w:val="0085028F"/>
    <w:rsid w:val="00850473"/>
    <w:rsid w:val="00850F24"/>
    <w:rsid w:val="00851ABB"/>
    <w:rsid w:val="00851B02"/>
    <w:rsid w:val="00852D7A"/>
    <w:rsid w:val="008540D9"/>
    <w:rsid w:val="00854CC7"/>
    <w:rsid w:val="00854FD1"/>
    <w:rsid w:val="008604F3"/>
    <w:rsid w:val="00861216"/>
    <w:rsid w:val="00862CC0"/>
    <w:rsid w:val="00865AD4"/>
    <w:rsid w:val="00865E7D"/>
    <w:rsid w:val="00872A9C"/>
    <w:rsid w:val="00874C5F"/>
    <w:rsid w:val="00876222"/>
    <w:rsid w:val="0087759A"/>
    <w:rsid w:val="00877B02"/>
    <w:rsid w:val="008801A4"/>
    <w:rsid w:val="00880675"/>
    <w:rsid w:val="008813AB"/>
    <w:rsid w:val="0088174A"/>
    <w:rsid w:val="00882E5C"/>
    <w:rsid w:val="008856D4"/>
    <w:rsid w:val="00886AC3"/>
    <w:rsid w:val="00893C60"/>
    <w:rsid w:val="0089611E"/>
    <w:rsid w:val="008967AF"/>
    <w:rsid w:val="008970DE"/>
    <w:rsid w:val="00897391"/>
    <w:rsid w:val="008A0F1B"/>
    <w:rsid w:val="008A1353"/>
    <w:rsid w:val="008A180A"/>
    <w:rsid w:val="008A6A9A"/>
    <w:rsid w:val="008A705A"/>
    <w:rsid w:val="008A74CF"/>
    <w:rsid w:val="008B07B5"/>
    <w:rsid w:val="008B09D6"/>
    <w:rsid w:val="008B2BAC"/>
    <w:rsid w:val="008B4482"/>
    <w:rsid w:val="008B4E7B"/>
    <w:rsid w:val="008B5ADA"/>
    <w:rsid w:val="008C0044"/>
    <w:rsid w:val="008C16FA"/>
    <w:rsid w:val="008C39E1"/>
    <w:rsid w:val="008C42DA"/>
    <w:rsid w:val="008C439E"/>
    <w:rsid w:val="008C5D23"/>
    <w:rsid w:val="008C792F"/>
    <w:rsid w:val="008D19C5"/>
    <w:rsid w:val="008D680C"/>
    <w:rsid w:val="008D6AB9"/>
    <w:rsid w:val="008E0151"/>
    <w:rsid w:val="008E2336"/>
    <w:rsid w:val="008E5484"/>
    <w:rsid w:val="008E725C"/>
    <w:rsid w:val="008F2984"/>
    <w:rsid w:val="008F446A"/>
    <w:rsid w:val="008F6896"/>
    <w:rsid w:val="008F7DA8"/>
    <w:rsid w:val="008F7DB2"/>
    <w:rsid w:val="008F7F73"/>
    <w:rsid w:val="00900ECE"/>
    <w:rsid w:val="00901CA4"/>
    <w:rsid w:val="009059B9"/>
    <w:rsid w:val="0090659E"/>
    <w:rsid w:val="00910B00"/>
    <w:rsid w:val="00912213"/>
    <w:rsid w:val="0091313F"/>
    <w:rsid w:val="009141F0"/>
    <w:rsid w:val="00914549"/>
    <w:rsid w:val="009147A0"/>
    <w:rsid w:val="009157C5"/>
    <w:rsid w:val="00916365"/>
    <w:rsid w:val="0091711A"/>
    <w:rsid w:val="00917A5E"/>
    <w:rsid w:val="00917F77"/>
    <w:rsid w:val="0092292E"/>
    <w:rsid w:val="009250ED"/>
    <w:rsid w:val="009259C2"/>
    <w:rsid w:val="00927187"/>
    <w:rsid w:val="00931483"/>
    <w:rsid w:val="009315B2"/>
    <w:rsid w:val="0093204A"/>
    <w:rsid w:val="00932372"/>
    <w:rsid w:val="00932E4E"/>
    <w:rsid w:val="00935598"/>
    <w:rsid w:val="00936174"/>
    <w:rsid w:val="0093701C"/>
    <w:rsid w:val="00940BA2"/>
    <w:rsid w:val="009411F7"/>
    <w:rsid w:val="00941EF8"/>
    <w:rsid w:val="00944C5E"/>
    <w:rsid w:val="00946FAA"/>
    <w:rsid w:val="00954C95"/>
    <w:rsid w:val="009555B9"/>
    <w:rsid w:val="0095642D"/>
    <w:rsid w:val="0096095C"/>
    <w:rsid w:val="00962492"/>
    <w:rsid w:val="009625E7"/>
    <w:rsid w:val="00964824"/>
    <w:rsid w:val="00964B48"/>
    <w:rsid w:val="00970A65"/>
    <w:rsid w:val="00972167"/>
    <w:rsid w:val="00972C11"/>
    <w:rsid w:val="009766F4"/>
    <w:rsid w:val="00976BF5"/>
    <w:rsid w:val="00981FE2"/>
    <w:rsid w:val="00982052"/>
    <w:rsid w:val="00982410"/>
    <w:rsid w:val="00995011"/>
    <w:rsid w:val="00995D54"/>
    <w:rsid w:val="009A5344"/>
    <w:rsid w:val="009A5B76"/>
    <w:rsid w:val="009B11C3"/>
    <w:rsid w:val="009B22DE"/>
    <w:rsid w:val="009B69E2"/>
    <w:rsid w:val="009B6C9C"/>
    <w:rsid w:val="009B6CDF"/>
    <w:rsid w:val="009B6D8C"/>
    <w:rsid w:val="009B76DA"/>
    <w:rsid w:val="009C13E5"/>
    <w:rsid w:val="009C17F5"/>
    <w:rsid w:val="009C4062"/>
    <w:rsid w:val="009C40AE"/>
    <w:rsid w:val="009C73FF"/>
    <w:rsid w:val="009C7534"/>
    <w:rsid w:val="009D1D09"/>
    <w:rsid w:val="009D340A"/>
    <w:rsid w:val="009D4BB1"/>
    <w:rsid w:val="009D523A"/>
    <w:rsid w:val="009D58E7"/>
    <w:rsid w:val="009D65E6"/>
    <w:rsid w:val="009E2852"/>
    <w:rsid w:val="009E33FB"/>
    <w:rsid w:val="009E69BF"/>
    <w:rsid w:val="009E6C29"/>
    <w:rsid w:val="009E715C"/>
    <w:rsid w:val="009E756D"/>
    <w:rsid w:val="009E7C89"/>
    <w:rsid w:val="009F11EC"/>
    <w:rsid w:val="009F33C2"/>
    <w:rsid w:val="009F45A2"/>
    <w:rsid w:val="00A01047"/>
    <w:rsid w:val="00A05495"/>
    <w:rsid w:val="00A064A6"/>
    <w:rsid w:val="00A219A4"/>
    <w:rsid w:val="00A220C8"/>
    <w:rsid w:val="00A23043"/>
    <w:rsid w:val="00A25844"/>
    <w:rsid w:val="00A26E0C"/>
    <w:rsid w:val="00A270F8"/>
    <w:rsid w:val="00A30C7E"/>
    <w:rsid w:val="00A311C2"/>
    <w:rsid w:val="00A339BE"/>
    <w:rsid w:val="00A343A5"/>
    <w:rsid w:val="00A3715B"/>
    <w:rsid w:val="00A40FBE"/>
    <w:rsid w:val="00A469D3"/>
    <w:rsid w:val="00A55450"/>
    <w:rsid w:val="00A55E25"/>
    <w:rsid w:val="00A60379"/>
    <w:rsid w:val="00A606CF"/>
    <w:rsid w:val="00A64F58"/>
    <w:rsid w:val="00A65C7F"/>
    <w:rsid w:val="00A66515"/>
    <w:rsid w:val="00A66A4E"/>
    <w:rsid w:val="00A70EF5"/>
    <w:rsid w:val="00A73E12"/>
    <w:rsid w:val="00A74AFC"/>
    <w:rsid w:val="00A77B93"/>
    <w:rsid w:val="00A81E86"/>
    <w:rsid w:val="00A82189"/>
    <w:rsid w:val="00A84CE1"/>
    <w:rsid w:val="00A850E9"/>
    <w:rsid w:val="00A8684E"/>
    <w:rsid w:val="00A900BC"/>
    <w:rsid w:val="00A92089"/>
    <w:rsid w:val="00A92122"/>
    <w:rsid w:val="00A92B7D"/>
    <w:rsid w:val="00A960CD"/>
    <w:rsid w:val="00A96CD2"/>
    <w:rsid w:val="00AA0B8F"/>
    <w:rsid w:val="00AA1231"/>
    <w:rsid w:val="00AA15D5"/>
    <w:rsid w:val="00AA174B"/>
    <w:rsid w:val="00AA219A"/>
    <w:rsid w:val="00AA6CB0"/>
    <w:rsid w:val="00AA795E"/>
    <w:rsid w:val="00AB154C"/>
    <w:rsid w:val="00AB496C"/>
    <w:rsid w:val="00AB7AB9"/>
    <w:rsid w:val="00AB7DAD"/>
    <w:rsid w:val="00AC3ACB"/>
    <w:rsid w:val="00AC603E"/>
    <w:rsid w:val="00AD068D"/>
    <w:rsid w:val="00AD1D7C"/>
    <w:rsid w:val="00AD1F5D"/>
    <w:rsid w:val="00AD2206"/>
    <w:rsid w:val="00AD24F3"/>
    <w:rsid w:val="00AD2E6C"/>
    <w:rsid w:val="00AD31FF"/>
    <w:rsid w:val="00AE0FAE"/>
    <w:rsid w:val="00AE22C0"/>
    <w:rsid w:val="00AE3DBB"/>
    <w:rsid w:val="00AF0545"/>
    <w:rsid w:val="00AF1094"/>
    <w:rsid w:val="00B000BE"/>
    <w:rsid w:val="00B01117"/>
    <w:rsid w:val="00B01CB5"/>
    <w:rsid w:val="00B022A6"/>
    <w:rsid w:val="00B023D9"/>
    <w:rsid w:val="00B025F5"/>
    <w:rsid w:val="00B02C9E"/>
    <w:rsid w:val="00B03F7C"/>
    <w:rsid w:val="00B04DDB"/>
    <w:rsid w:val="00B11994"/>
    <w:rsid w:val="00B11C13"/>
    <w:rsid w:val="00B11F80"/>
    <w:rsid w:val="00B173FB"/>
    <w:rsid w:val="00B176FD"/>
    <w:rsid w:val="00B2370C"/>
    <w:rsid w:val="00B309E6"/>
    <w:rsid w:val="00B30F06"/>
    <w:rsid w:val="00B32EA1"/>
    <w:rsid w:val="00B331F4"/>
    <w:rsid w:val="00B3342F"/>
    <w:rsid w:val="00B33BD4"/>
    <w:rsid w:val="00B33E02"/>
    <w:rsid w:val="00B42423"/>
    <w:rsid w:val="00B43BAD"/>
    <w:rsid w:val="00B444C6"/>
    <w:rsid w:val="00B45465"/>
    <w:rsid w:val="00B45B86"/>
    <w:rsid w:val="00B462E0"/>
    <w:rsid w:val="00B47ABD"/>
    <w:rsid w:val="00B518EB"/>
    <w:rsid w:val="00B53611"/>
    <w:rsid w:val="00B57DCF"/>
    <w:rsid w:val="00B6037C"/>
    <w:rsid w:val="00B646CC"/>
    <w:rsid w:val="00B7082F"/>
    <w:rsid w:val="00B724ED"/>
    <w:rsid w:val="00B72C2C"/>
    <w:rsid w:val="00B73C0A"/>
    <w:rsid w:val="00B73D4C"/>
    <w:rsid w:val="00B75D73"/>
    <w:rsid w:val="00B76830"/>
    <w:rsid w:val="00B80400"/>
    <w:rsid w:val="00B83B64"/>
    <w:rsid w:val="00B86797"/>
    <w:rsid w:val="00B86E7E"/>
    <w:rsid w:val="00B9069A"/>
    <w:rsid w:val="00B90E1D"/>
    <w:rsid w:val="00B92B65"/>
    <w:rsid w:val="00B949A7"/>
    <w:rsid w:val="00B94CA2"/>
    <w:rsid w:val="00B96B70"/>
    <w:rsid w:val="00B96B7D"/>
    <w:rsid w:val="00B97274"/>
    <w:rsid w:val="00B973C9"/>
    <w:rsid w:val="00BA0343"/>
    <w:rsid w:val="00BA36B1"/>
    <w:rsid w:val="00BA79D9"/>
    <w:rsid w:val="00BB000E"/>
    <w:rsid w:val="00BB076D"/>
    <w:rsid w:val="00BB30A3"/>
    <w:rsid w:val="00BB4F8E"/>
    <w:rsid w:val="00BB5573"/>
    <w:rsid w:val="00BB5649"/>
    <w:rsid w:val="00BB639F"/>
    <w:rsid w:val="00BB74AC"/>
    <w:rsid w:val="00BC2562"/>
    <w:rsid w:val="00BC3468"/>
    <w:rsid w:val="00BD0296"/>
    <w:rsid w:val="00BD2038"/>
    <w:rsid w:val="00BE18A5"/>
    <w:rsid w:val="00BE266D"/>
    <w:rsid w:val="00BE33C8"/>
    <w:rsid w:val="00BE6894"/>
    <w:rsid w:val="00BF1CE7"/>
    <w:rsid w:val="00BF39D4"/>
    <w:rsid w:val="00BF3F82"/>
    <w:rsid w:val="00BF5B09"/>
    <w:rsid w:val="00BF7326"/>
    <w:rsid w:val="00C00E45"/>
    <w:rsid w:val="00C01B00"/>
    <w:rsid w:val="00C02760"/>
    <w:rsid w:val="00C0364D"/>
    <w:rsid w:val="00C03960"/>
    <w:rsid w:val="00C05D34"/>
    <w:rsid w:val="00C06DC8"/>
    <w:rsid w:val="00C12A79"/>
    <w:rsid w:val="00C138B9"/>
    <w:rsid w:val="00C14871"/>
    <w:rsid w:val="00C212D9"/>
    <w:rsid w:val="00C21B30"/>
    <w:rsid w:val="00C22C89"/>
    <w:rsid w:val="00C247F2"/>
    <w:rsid w:val="00C2768A"/>
    <w:rsid w:val="00C2798C"/>
    <w:rsid w:val="00C36B6D"/>
    <w:rsid w:val="00C4127B"/>
    <w:rsid w:val="00C4142C"/>
    <w:rsid w:val="00C415E3"/>
    <w:rsid w:val="00C44D41"/>
    <w:rsid w:val="00C45A45"/>
    <w:rsid w:val="00C45D90"/>
    <w:rsid w:val="00C46DC5"/>
    <w:rsid w:val="00C47A9D"/>
    <w:rsid w:val="00C50508"/>
    <w:rsid w:val="00C51094"/>
    <w:rsid w:val="00C51396"/>
    <w:rsid w:val="00C5176C"/>
    <w:rsid w:val="00C536C6"/>
    <w:rsid w:val="00C54BEE"/>
    <w:rsid w:val="00C5662D"/>
    <w:rsid w:val="00C622A4"/>
    <w:rsid w:val="00C62485"/>
    <w:rsid w:val="00C63A49"/>
    <w:rsid w:val="00C6450B"/>
    <w:rsid w:val="00C7422B"/>
    <w:rsid w:val="00C7488A"/>
    <w:rsid w:val="00C749D7"/>
    <w:rsid w:val="00C802BB"/>
    <w:rsid w:val="00C8180E"/>
    <w:rsid w:val="00C81C15"/>
    <w:rsid w:val="00C81CE4"/>
    <w:rsid w:val="00C83353"/>
    <w:rsid w:val="00C908B6"/>
    <w:rsid w:val="00C90FA2"/>
    <w:rsid w:val="00C930D1"/>
    <w:rsid w:val="00C94B60"/>
    <w:rsid w:val="00C95148"/>
    <w:rsid w:val="00C968CD"/>
    <w:rsid w:val="00C971DE"/>
    <w:rsid w:val="00CA020D"/>
    <w:rsid w:val="00CA1962"/>
    <w:rsid w:val="00CA1FFC"/>
    <w:rsid w:val="00CA2595"/>
    <w:rsid w:val="00CA3780"/>
    <w:rsid w:val="00CA6471"/>
    <w:rsid w:val="00CA6A5E"/>
    <w:rsid w:val="00CA73BC"/>
    <w:rsid w:val="00CA7F45"/>
    <w:rsid w:val="00CB1CB6"/>
    <w:rsid w:val="00CB3552"/>
    <w:rsid w:val="00CB4AFD"/>
    <w:rsid w:val="00CB5665"/>
    <w:rsid w:val="00CB611A"/>
    <w:rsid w:val="00CB77C1"/>
    <w:rsid w:val="00CC1B89"/>
    <w:rsid w:val="00CC2B56"/>
    <w:rsid w:val="00CC4B9D"/>
    <w:rsid w:val="00CD0D49"/>
    <w:rsid w:val="00CD148B"/>
    <w:rsid w:val="00CD30C4"/>
    <w:rsid w:val="00CD3139"/>
    <w:rsid w:val="00CE347E"/>
    <w:rsid w:val="00CE55BF"/>
    <w:rsid w:val="00CE614C"/>
    <w:rsid w:val="00CF0880"/>
    <w:rsid w:val="00CF429F"/>
    <w:rsid w:val="00CF6E72"/>
    <w:rsid w:val="00CF773F"/>
    <w:rsid w:val="00CF7C68"/>
    <w:rsid w:val="00D04307"/>
    <w:rsid w:val="00D04B5A"/>
    <w:rsid w:val="00D058F3"/>
    <w:rsid w:val="00D05BD4"/>
    <w:rsid w:val="00D07945"/>
    <w:rsid w:val="00D12531"/>
    <w:rsid w:val="00D13A18"/>
    <w:rsid w:val="00D154AE"/>
    <w:rsid w:val="00D15E8A"/>
    <w:rsid w:val="00D170E4"/>
    <w:rsid w:val="00D1794B"/>
    <w:rsid w:val="00D17BAD"/>
    <w:rsid w:val="00D20437"/>
    <w:rsid w:val="00D206F1"/>
    <w:rsid w:val="00D25E61"/>
    <w:rsid w:val="00D3011C"/>
    <w:rsid w:val="00D3206B"/>
    <w:rsid w:val="00D32C15"/>
    <w:rsid w:val="00D32D01"/>
    <w:rsid w:val="00D3411D"/>
    <w:rsid w:val="00D36A2A"/>
    <w:rsid w:val="00D40451"/>
    <w:rsid w:val="00D42569"/>
    <w:rsid w:val="00D426AD"/>
    <w:rsid w:val="00D44594"/>
    <w:rsid w:val="00D44A26"/>
    <w:rsid w:val="00D4696F"/>
    <w:rsid w:val="00D46CC5"/>
    <w:rsid w:val="00D4719A"/>
    <w:rsid w:val="00D50DC3"/>
    <w:rsid w:val="00D541E7"/>
    <w:rsid w:val="00D57158"/>
    <w:rsid w:val="00D6114D"/>
    <w:rsid w:val="00D63D8F"/>
    <w:rsid w:val="00D71B98"/>
    <w:rsid w:val="00D732AD"/>
    <w:rsid w:val="00D74AE9"/>
    <w:rsid w:val="00D74DEC"/>
    <w:rsid w:val="00D77D3E"/>
    <w:rsid w:val="00D838DC"/>
    <w:rsid w:val="00D83DA4"/>
    <w:rsid w:val="00D849EE"/>
    <w:rsid w:val="00D854D7"/>
    <w:rsid w:val="00D864BC"/>
    <w:rsid w:val="00D8659F"/>
    <w:rsid w:val="00D905C8"/>
    <w:rsid w:val="00D90D70"/>
    <w:rsid w:val="00D9439C"/>
    <w:rsid w:val="00DA37FA"/>
    <w:rsid w:val="00DA4E74"/>
    <w:rsid w:val="00DB0CFD"/>
    <w:rsid w:val="00DB0D00"/>
    <w:rsid w:val="00DB1DC7"/>
    <w:rsid w:val="00DB2324"/>
    <w:rsid w:val="00DB5320"/>
    <w:rsid w:val="00DC02C5"/>
    <w:rsid w:val="00DC0518"/>
    <w:rsid w:val="00DC1F96"/>
    <w:rsid w:val="00DC2044"/>
    <w:rsid w:val="00DC29F0"/>
    <w:rsid w:val="00DC2BC7"/>
    <w:rsid w:val="00DC51B0"/>
    <w:rsid w:val="00DC57DB"/>
    <w:rsid w:val="00DD0517"/>
    <w:rsid w:val="00DD2ADB"/>
    <w:rsid w:val="00DD30B4"/>
    <w:rsid w:val="00DE061D"/>
    <w:rsid w:val="00DE222B"/>
    <w:rsid w:val="00DE2859"/>
    <w:rsid w:val="00DE4BDB"/>
    <w:rsid w:val="00DE4FC5"/>
    <w:rsid w:val="00DE6FC9"/>
    <w:rsid w:val="00DF0633"/>
    <w:rsid w:val="00DF1D9D"/>
    <w:rsid w:val="00DF3111"/>
    <w:rsid w:val="00DF4330"/>
    <w:rsid w:val="00DF4F75"/>
    <w:rsid w:val="00DF5DC5"/>
    <w:rsid w:val="00DF683E"/>
    <w:rsid w:val="00DF7006"/>
    <w:rsid w:val="00E01129"/>
    <w:rsid w:val="00E011C4"/>
    <w:rsid w:val="00E03DB4"/>
    <w:rsid w:val="00E07FAD"/>
    <w:rsid w:val="00E11FB9"/>
    <w:rsid w:val="00E141D5"/>
    <w:rsid w:val="00E15AD4"/>
    <w:rsid w:val="00E16443"/>
    <w:rsid w:val="00E202FA"/>
    <w:rsid w:val="00E218CA"/>
    <w:rsid w:val="00E218D2"/>
    <w:rsid w:val="00E23370"/>
    <w:rsid w:val="00E2458E"/>
    <w:rsid w:val="00E253D5"/>
    <w:rsid w:val="00E25645"/>
    <w:rsid w:val="00E31237"/>
    <w:rsid w:val="00E4054A"/>
    <w:rsid w:val="00E4096D"/>
    <w:rsid w:val="00E41FF2"/>
    <w:rsid w:val="00E42570"/>
    <w:rsid w:val="00E4482D"/>
    <w:rsid w:val="00E463A9"/>
    <w:rsid w:val="00E50C9B"/>
    <w:rsid w:val="00E51E98"/>
    <w:rsid w:val="00E535C9"/>
    <w:rsid w:val="00E55240"/>
    <w:rsid w:val="00E56206"/>
    <w:rsid w:val="00E57389"/>
    <w:rsid w:val="00E57A14"/>
    <w:rsid w:val="00E6337E"/>
    <w:rsid w:val="00E64671"/>
    <w:rsid w:val="00E655FB"/>
    <w:rsid w:val="00E67AF9"/>
    <w:rsid w:val="00E71EDC"/>
    <w:rsid w:val="00E73272"/>
    <w:rsid w:val="00E742E4"/>
    <w:rsid w:val="00E77099"/>
    <w:rsid w:val="00E77CDE"/>
    <w:rsid w:val="00E77EEF"/>
    <w:rsid w:val="00E81DAA"/>
    <w:rsid w:val="00E85F06"/>
    <w:rsid w:val="00E8634D"/>
    <w:rsid w:val="00E877DB"/>
    <w:rsid w:val="00E9173F"/>
    <w:rsid w:val="00E97688"/>
    <w:rsid w:val="00EA0C32"/>
    <w:rsid w:val="00EA1F36"/>
    <w:rsid w:val="00EA2D06"/>
    <w:rsid w:val="00EA2F43"/>
    <w:rsid w:val="00EA3182"/>
    <w:rsid w:val="00EA4764"/>
    <w:rsid w:val="00EA7592"/>
    <w:rsid w:val="00EB0890"/>
    <w:rsid w:val="00EB175C"/>
    <w:rsid w:val="00EB1A43"/>
    <w:rsid w:val="00EB3108"/>
    <w:rsid w:val="00EB7A57"/>
    <w:rsid w:val="00EB7B14"/>
    <w:rsid w:val="00EC1999"/>
    <w:rsid w:val="00EC3910"/>
    <w:rsid w:val="00EC4A25"/>
    <w:rsid w:val="00ED332E"/>
    <w:rsid w:val="00ED72FA"/>
    <w:rsid w:val="00EE1133"/>
    <w:rsid w:val="00EE11F8"/>
    <w:rsid w:val="00EE3C1D"/>
    <w:rsid w:val="00EF0017"/>
    <w:rsid w:val="00EF14AC"/>
    <w:rsid w:val="00EF1668"/>
    <w:rsid w:val="00EF2082"/>
    <w:rsid w:val="00EF4794"/>
    <w:rsid w:val="00EF50B5"/>
    <w:rsid w:val="00EF5606"/>
    <w:rsid w:val="00EF5AE4"/>
    <w:rsid w:val="00EF6B9D"/>
    <w:rsid w:val="00EF7C8B"/>
    <w:rsid w:val="00F04524"/>
    <w:rsid w:val="00F0490D"/>
    <w:rsid w:val="00F07599"/>
    <w:rsid w:val="00F1029B"/>
    <w:rsid w:val="00F12333"/>
    <w:rsid w:val="00F13AC8"/>
    <w:rsid w:val="00F14FA1"/>
    <w:rsid w:val="00F14FDC"/>
    <w:rsid w:val="00F220AC"/>
    <w:rsid w:val="00F2315C"/>
    <w:rsid w:val="00F25EA2"/>
    <w:rsid w:val="00F318F6"/>
    <w:rsid w:val="00F326A0"/>
    <w:rsid w:val="00F35E15"/>
    <w:rsid w:val="00F367E2"/>
    <w:rsid w:val="00F41939"/>
    <w:rsid w:val="00F42E86"/>
    <w:rsid w:val="00F43593"/>
    <w:rsid w:val="00F43E31"/>
    <w:rsid w:val="00F44272"/>
    <w:rsid w:val="00F50F75"/>
    <w:rsid w:val="00F553C3"/>
    <w:rsid w:val="00F567E2"/>
    <w:rsid w:val="00F57DDD"/>
    <w:rsid w:val="00F6063A"/>
    <w:rsid w:val="00F60738"/>
    <w:rsid w:val="00F61242"/>
    <w:rsid w:val="00F6274E"/>
    <w:rsid w:val="00F67378"/>
    <w:rsid w:val="00F70118"/>
    <w:rsid w:val="00F745F4"/>
    <w:rsid w:val="00F756FE"/>
    <w:rsid w:val="00F76EB3"/>
    <w:rsid w:val="00F770B2"/>
    <w:rsid w:val="00F80A85"/>
    <w:rsid w:val="00F81C42"/>
    <w:rsid w:val="00F83D0A"/>
    <w:rsid w:val="00F85145"/>
    <w:rsid w:val="00F85583"/>
    <w:rsid w:val="00F857FB"/>
    <w:rsid w:val="00F878AA"/>
    <w:rsid w:val="00F92064"/>
    <w:rsid w:val="00F9218C"/>
    <w:rsid w:val="00F93A13"/>
    <w:rsid w:val="00F957AF"/>
    <w:rsid w:val="00F96595"/>
    <w:rsid w:val="00FA03B3"/>
    <w:rsid w:val="00FA05CD"/>
    <w:rsid w:val="00FA55FB"/>
    <w:rsid w:val="00FA720A"/>
    <w:rsid w:val="00FA73CD"/>
    <w:rsid w:val="00FB0194"/>
    <w:rsid w:val="00FB01B1"/>
    <w:rsid w:val="00FB0524"/>
    <w:rsid w:val="00FC50A5"/>
    <w:rsid w:val="00FC6324"/>
    <w:rsid w:val="00FC7F31"/>
    <w:rsid w:val="00FD2217"/>
    <w:rsid w:val="00FD327B"/>
    <w:rsid w:val="00FD70FD"/>
    <w:rsid w:val="00FE1900"/>
    <w:rsid w:val="00FE1AE9"/>
    <w:rsid w:val="00FE3270"/>
    <w:rsid w:val="00FE5257"/>
    <w:rsid w:val="00FE7DA9"/>
    <w:rsid w:val="00FF374D"/>
    <w:rsid w:val="00FF4446"/>
    <w:rsid w:val="00FF67EE"/>
    <w:rsid w:val="00FF6E3F"/>
    <w:rsid w:val="00FF79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2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0" w:qFormat="1"/>
    <w:lsdException w:name="table of figures" w:locked="1" w:uiPriority="0"/>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B6"/>
    <w:pPr>
      <w:spacing w:after="0"/>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qFormat/>
    <w:rsid w:val="00850F24"/>
    <w:pPr>
      <w:keepNext/>
      <w:framePr w:wrap="around" w:vAnchor="text" w:hAnchor="text" w:y="1"/>
      <w:numPr>
        <w:ilvl w:val="4"/>
        <w:numId w:val="9"/>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9"/>
      </w:numPr>
      <w:spacing w:after="120"/>
      <w:outlineLvl w:val="5"/>
    </w:pPr>
  </w:style>
  <w:style w:type="paragraph" w:styleId="Heading7">
    <w:name w:val="heading 7"/>
    <w:basedOn w:val="Normal"/>
    <w:next w:val="Normal"/>
    <w:link w:val="Heading7Char"/>
    <w:semiHidden/>
    <w:qFormat/>
    <w:rsid w:val="002B76AB"/>
    <w:pPr>
      <w:keepNext/>
      <w:numPr>
        <w:ilvl w:val="6"/>
        <w:numId w:val="9"/>
      </w:numPr>
      <w:spacing w:after="120"/>
      <w:outlineLvl w:val="6"/>
    </w:pPr>
  </w:style>
  <w:style w:type="paragraph" w:styleId="Heading8">
    <w:name w:val="heading 8"/>
    <w:basedOn w:val="Normal"/>
    <w:next w:val="Normal"/>
    <w:link w:val="Heading8Char"/>
    <w:semiHidden/>
    <w:qFormat/>
    <w:rsid w:val="002B76AB"/>
    <w:pPr>
      <w:keepNext/>
      <w:numPr>
        <w:ilvl w:val="7"/>
        <w:numId w:val="9"/>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9"/>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0">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0"/>
    <w:next w:val="NormalSS"/>
    <w:qFormat/>
    <w:rsid w:val="009A5B76"/>
    <w:pPr>
      <w:numPr>
        <w:numId w:val="2"/>
      </w:numPr>
      <w:spacing w:after="240"/>
      <w:ind w:left="432" w:hanging="432"/>
    </w:pPr>
  </w:style>
  <w:style w:type="paragraph" w:customStyle="1" w:styleId="BulletLastDS">
    <w:name w:val="Bullet (Last DS)"/>
    <w:basedOn w:val="Bullet0"/>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F41939"/>
    <w:pPr>
      <w:numPr>
        <w:numId w:val="4"/>
      </w:numPr>
      <w:tabs>
        <w:tab w:val="left" w:pos="288"/>
      </w:tabs>
      <w:spacing w:after="120"/>
    </w:pPr>
  </w:style>
  <w:style w:type="paragraph" w:customStyle="1" w:styleId="DashLASTSS">
    <w:name w:val="Dash (LAST SS)"/>
    <w:basedOn w:val="Dash"/>
    <w:next w:val="NormalSS"/>
    <w:qFormat/>
    <w:rsid w:val="00F41939"/>
    <w:pPr>
      <w:numPr>
        <w:numId w:val="5"/>
      </w:numPr>
      <w:spacing w:after="240"/>
    </w:pPr>
    <w:rPr>
      <w:rFonts w:cs="Arial"/>
      <w:color w:val="1A1818"/>
    </w:r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rsid w:val="00756E06"/>
    <w:rPr>
      <w:rFonts w:eastAsia="Times New Roman" w:cs="Times New Roman"/>
      <w:b/>
    </w:rPr>
  </w:style>
  <w:style w:type="character" w:customStyle="1" w:styleId="Heading6Char">
    <w:name w:val="Heading 6 Char"/>
    <w:basedOn w:val="DefaultParagraphFont"/>
    <w:link w:val="Heading6"/>
    <w:semiHidden/>
    <w:rsid w:val="002B76AB"/>
    <w:rPr>
      <w:rFonts w:eastAsia="Times New Roman" w:cs="Times New Roman"/>
    </w:rPr>
  </w:style>
  <w:style w:type="character" w:customStyle="1" w:styleId="Heading7Char">
    <w:name w:val="Heading 7 Char"/>
    <w:basedOn w:val="DefaultParagraphFont"/>
    <w:link w:val="Heading7"/>
    <w:semiHidden/>
    <w:rsid w:val="002B76AB"/>
    <w:rPr>
      <w:rFonts w:eastAsia="Times New Roman" w:cs="Times New Roman"/>
    </w:rPr>
  </w:style>
  <w:style w:type="character" w:customStyle="1" w:styleId="Heading8Char">
    <w:name w:val="Heading 8 Char"/>
    <w:basedOn w:val="DefaultParagraphFont"/>
    <w:link w:val="Heading8"/>
    <w:semiHidden/>
    <w:rsid w:val="002B76AB"/>
    <w:rPr>
      <w:rFonts w:eastAsia="Times New Roman" w:cs="Times New Roman"/>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DF5DC5"/>
    <w:pPr>
      <w:spacing w:after="240"/>
      <w:ind w:firstLine="432"/>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9141F0"/>
    <w:pPr>
      <w:spacing w:before="120" w:after="60"/>
    </w:pPr>
    <w:rPr>
      <w:b/>
      <w:bCs/>
      <w:color w:val="FFFFFF" w:themeColor="background1"/>
      <w:szCs w:val="22"/>
      <w:lang w:bidi="en-US"/>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42061"/>
    <w:pPr>
      <w:tabs>
        <w:tab w:val="right" w:leader="dot" w:pos="9360"/>
      </w:tabs>
      <w:spacing w:after="180" w:line="240" w:lineRule="exact"/>
      <w:ind w:left="630" w:right="720" w:hanging="63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locked/>
    <w:rsid w:val="00DF5DC5"/>
    <w:rPr>
      <w:rFonts w:eastAsia="Times New Roman" w:cs="Times New Roman"/>
    </w:rPr>
  </w:style>
  <w:style w:type="character" w:styleId="CommentReference">
    <w:name w:val="annotation reference"/>
    <w:basedOn w:val="DefaultParagraphFont"/>
    <w:rsid w:val="00DF5DC5"/>
    <w:rPr>
      <w:sz w:val="16"/>
      <w:szCs w:val="16"/>
    </w:rPr>
  </w:style>
  <w:style w:type="paragraph" w:styleId="CommentText">
    <w:name w:val="annotation text"/>
    <w:basedOn w:val="Normal"/>
    <w:link w:val="CommentTextChar"/>
    <w:rsid w:val="00DF5DC5"/>
    <w:rPr>
      <w:sz w:val="20"/>
      <w:szCs w:val="20"/>
    </w:rPr>
  </w:style>
  <w:style w:type="character" w:customStyle="1" w:styleId="CommentTextChar">
    <w:name w:val="Comment Text Char"/>
    <w:basedOn w:val="DefaultParagraphFont"/>
    <w:link w:val="CommentText"/>
    <w:rsid w:val="00DF5DC5"/>
    <w:rPr>
      <w:rFonts w:eastAsia="Times New Roman" w:cs="Times New Roman"/>
      <w:sz w:val="20"/>
      <w:szCs w:val="20"/>
    </w:rPr>
  </w:style>
  <w:style w:type="paragraph" w:styleId="NormalWeb">
    <w:name w:val="Normal (Web)"/>
    <w:basedOn w:val="Normal"/>
    <w:uiPriority w:val="99"/>
    <w:semiHidden/>
    <w:unhideWhenUsed/>
    <w:rsid w:val="00DF5DC5"/>
    <w:pPr>
      <w:spacing w:before="100" w:beforeAutospacing="1" w:after="100" w:afterAutospacing="1"/>
    </w:pPr>
    <w:rPr>
      <w:color w:val="000000"/>
    </w:rPr>
  </w:style>
  <w:style w:type="character" w:styleId="Emphasis">
    <w:name w:val="Emphasis"/>
    <w:basedOn w:val="DefaultParagraphFont"/>
    <w:uiPriority w:val="20"/>
    <w:qFormat/>
    <w:rsid w:val="00DF5DC5"/>
    <w:rPr>
      <w:i/>
      <w:iCs/>
    </w:rPr>
  </w:style>
  <w:style w:type="paragraph" w:customStyle="1" w:styleId="Heading1Black">
    <w:name w:val="Heading 1_Black"/>
    <w:basedOn w:val="Normal"/>
    <w:next w:val="Normal"/>
    <w:qFormat/>
    <w:rsid w:val="00DF5DC5"/>
    <w:pPr>
      <w:tabs>
        <w:tab w:val="left" w:pos="432"/>
      </w:tabs>
      <w:spacing w:before="240" w:after="240"/>
      <w:jc w:val="center"/>
    </w:pPr>
    <w:rPr>
      <w:rFonts w:ascii="Lucida Sans" w:hAnsi="Lucida Sans"/>
      <w:b/>
      <w:caps/>
    </w:rPr>
  </w:style>
  <w:style w:type="paragraph" w:styleId="CommentSubject">
    <w:name w:val="annotation subject"/>
    <w:basedOn w:val="CommentText"/>
    <w:next w:val="CommentText"/>
    <w:link w:val="CommentSubjectChar"/>
    <w:semiHidden/>
    <w:unhideWhenUsed/>
    <w:rsid w:val="00CA2595"/>
    <w:rPr>
      <w:b/>
      <w:bCs/>
    </w:rPr>
  </w:style>
  <w:style w:type="character" w:customStyle="1" w:styleId="CommentSubjectChar">
    <w:name w:val="Comment Subject Char"/>
    <w:basedOn w:val="CommentTextChar"/>
    <w:link w:val="CommentSubject"/>
    <w:semiHidden/>
    <w:rsid w:val="00CA2595"/>
    <w:rPr>
      <w:rFonts w:eastAsia="Times New Roman" w:cs="Times New Roman"/>
      <w:b/>
      <w:bCs/>
      <w:sz w:val="20"/>
      <w:szCs w:val="20"/>
    </w:rPr>
  </w:style>
  <w:style w:type="paragraph" w:customStyle="1" w:styleId="covertitle">
    <w:name w:val="cover title"/>
    <w:basedOn w:val="Normal"/>
    <w:qFormat/>
    <w:rsid w:val="001969A3"/>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1969A3"/>
    <w:pPr>
      <w:spacing w:line="560" w:lineRule="exact"/>
    </w:pPr>
    <w:rPr>
      <w:rFonts w:ascii="Arial" w:hAnsi="Arial"/>
      <w:caps/>
      <w:spacing w:val="28"/>
      <w:sz w:val="17"/>
      <w:szCs w:val="26"/>
    </w:rPr>
  </w:style>
  <w:style w:type="paragraph" w:customStyle="1" w:styleId="coverdate">
    <w:name w:val="cover date"/>
    <w:qFormat/>
    <w:rsid w:val="001969A3"/>
    <w:pPr>
      <w:spacing w:after="0" w:line="440" w:lineRule="exact"/>
    </w:pPr>
    <w:rPr>
      <w:rFonts w:ascii="Arial" w:eastAsia="Times New Roman" w:hAnsi="Arial" w:cs="Times New Roman"/>
      <w:sz w:val="34"/>
      <w:szCs w:val="26"/>
    </w:rPr>
  </w:style>
  <w:style w:type="paragraph" w:customStyle="1" w:styleId="covertext">
    <w:name w:val="cover text"/>
    <w:qFormat/>
    <w:rsid w:val="001969A3"/>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1969A3"/>
    <w:pPr>
      <w:pBdr>
        <w:bottom w:val="single" w:sz="2" w:space="1" w:color="auto"/>
      </w:pBdr>
      <w:spacing w:line="240" w:lineRule="auto"/>
    </w:pPr>
  </w:style>
  <w:style w:type="paragraph" w:customStyle="1" w:styleId="reportcovername">
    <w:name w:val="report cover name"/>
    <w:basedOn w:val="covertext"/>
    <w:qFormat/>
    <w:rsid w:val="001969A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1969A3"/>
    <w:rPr>
      <w:rFonts w:ascii="Arial Black" w:hAnsi="Arial Black"/>
      <w:noProof/>
      <w:sz w:val="16"/>
      <w:szCs w:val="19"/>
    </w:rPr>
  </w:style>
  <w:style w:type="paragraph" w:customStyle="1" w:styleId="backcovercities">
    <w:name w:val="back cover cities"/>
    <w:basedOn w:val="Normal"/>
    <w:qFormat/>
    <w:rsid w:val="00B97274"/>
    <w:rPr>
      <w:rFonts w:ascii="Arial Black" w:hAnsi="Arial Black"/>
      <w:caps/>
      <w:noProof/>
      <w:spacing w:val="-3"/>
      <w:sz w:val="14"/>
      <w:szCs w:val="19"/>
    </w:rPr>
  </w:style>
  <w:style w:type="paragraph" w:customStyle="1" w:styleId="backcovertitle">
    <w:name w:val="back cover title"/>
    <w:basedOn w:val="Normal"/>
    <w:qFormat/>
    <w:rsid w:val="00B97274"/>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Revision">
    <w:name w:val="Revision"/>
    <w:hidden/>
    <w:uiPriority w:val="99"/>
    <w:semiHidden/>
    <w:rsid w:val="00F14FA1"/>
    <w:pPr>
      <w:spacing w:after="0"/>
    </w:pPr>
    <w:rPr>
      <w:rFonts w:eastAsia="Times New Roman" w:cs="Times New Roman"/>
    </w:rPr>
  </w:style>
  <w:style w:type="character" w:styleId="Hyperlink">
    <w:name w:val="Hyperlink"/>
    <w:basedOn w:val="DefaultParagraphFont"/>
    <w:unhideWhenUsed/>
    <w:rsid w:val="00F14FA1"/>
    <w:rPr>
      <w:color w:val="0000FF" w:themeColor="hyperlink"/>
      <w:u w:val="single"/>
    </w:rPr>
  </w:style>
  <w:style w:type="paragraph" w:customStyle="1" w:styleId="bullet">
    <w:name w:val="bullet"/>
    <w:rsid w:val="000D132C"/>
    <w:pPr>
      <w:numPr>
        <w:numId w:val="12"/>
      </w:numPr>
      <w:spacing w:after="180"/>
      <w:ind w:left="720" w:right="360" w:hanging="288"/>
      <w:jc w:val="both"/>
    </w:pPr>
    <w:rPr>
      <w:rFonts w:eastAsia="Times New Roman" w:cs="Times New Roman"/>
      <w:szCs w:val="20"/>
    </w:rPr>
  </w:style>
  <w:style w:type="paragraph" w:customStyle="1" w:styleId="Tablesideheadings">
    <w:name w:val="Table side headings"/>
    <w:basedOn w:val="Normal"/>
    <w:link w:val="TablesideheadingsChar"/>
    <w:rsid w:val="000D132C"/>
    <w:pPr>
      <w:spacing w:before="60" w:after="60"/>
    </w:pPr>
    <w:rPr>
      <w:rFonts w:ascii="Arial" w:hAnsi="Arial"/>
      <w:sz w:val="20"/>
      <w:szCs w:val="20"/>
    </w:rPr>
  </w:style>
  <w:style w:type="paragraph" w:customStyle="1" w:styleId="Tabletopheadings">
    <w:name w:val="Table top headings"/>
    <w:basedOn w:val="Normal"/>
    <w:rsid w:val="000D132C"/>
    <w:pPr>
      <w:pBdr>
        <w:bottom w:val="single" w:sz="12" w:space="1" w:color="auto"/>
      </w:pBdr>
      <w:spacing w:before="120"/>
      <w:jc w:val="center"/>
    </w:pPr>
    <w:rPr>
      <w:rFonts w:ascii="Arial" w:hAnsi="Arial" w:cs="Arial"/>
      <w:b/>
      <w:sz w:val="20"/>
      <w:szCs w:val="20"/>
    </w:rPr>
  </w:style>
  <w:style w:type="character" w:customStyle="1" w:styleId="TablesideheadingsChar">
    <w:name w:val="Table side headings Char"/>
    <w:link w:val="Tablesideheadings"/>
    <w:rsid w:val="000D132C"/>
    <w:rPr>
      <w:rFonts w:ascii="Arial" w:eastAsia="Times New Roman" w:hAnsi="Arial" w:cs="Times New Roman"/>
      <w:sz w:val="20"/>
      <w:szCs w:val="20"/>
    </w:rPr>
  </w:style>
  <w:style w:type="paragraph" w:styleId="Caption">
    <w:name w:val="caption"/>
    <w:basedOn w:val="Normal"/>
    <w:next w:val="Normal"/>
    <w:qFormat/>
    <w:rsid w:val="000D132C"/>
    <w:pPr>
      <w:keepNext/>
      <w:keepLines/>
      <w:spacing w:before="180" w:after="120"/>
      <w:jc w:val="center"/>
    </w:pPr>
    <w:rPr>
      <w:rFonts w:ascii="Arial" w:hAnsi="Arial" w:cs="Arial"/>
      <w:b/>
      <w:sz w:val="22"/>
      <w:szCs w:val="22"/>
    </w:rPr>
  </w:style>
  <w:style w:type="paragraph" w:customStyle="1" w:styleId="Bullet3">
    <w:name w:val="Bullet 3"/>
    <w:basedOn w:val="Normal"/>
    <w:qFormat/>
    <w:rsid w:val="000D132C"/>
    <w:pPr>
      <w:numPr>
        <w:ilvl w:val="2"/>
        <w:numId w:val="13"/>
      </w:numPr>
      <w:spacing w:after="120"/>
      <w:ind w:right="1440"/>
    </w:pPr>
    <w:rPr>
      <w:position w:val="2"/>
    </w:rPr>
  </w:style>
  <w:style w:type="paragraph" w:customStyle="1" w:styleId="Bullet4">
    <w:name w:val="Bullet 4"/>
    <w:basedOn w:val="Normal"/>
    <w:rsid w:val="000D132C"/>
    <w:pPr>
      <w:numPr>
        <w:ilvl w:val="3"/>
        <w:numId w:val="13"/>
      </w:numPr>
      <w:spacing w:after="120"/>
      <w:ind w:right="1440"/>
    </w:pPr>
    <w:rPr>
      <w:position w:val="8"/>
    </w:rPr>
  </w:style>
  <w:style w:type="paragraph" w:customStyle="1" w:styleId="bulletnumbered1">
    <w:name w:val="bullet numbered 1"/>
    <w:basedOn w:val="bullet1"/>
    <w:rsid w:val="000D132C"/>
    <w:pPr>
      <w:numPr>
        <w:numId w:val="14"/>
      </w:numPr>
      <w:tabs>
        <w:tab w:val="clear" w:pos="720"/>
      </w:tabs>
      <w:spacing w:before="120"/>
      <w:ind w:hanging="360"/>
    </w:pPr>
  </w:style>
  <w:style w:type="paragraph" w:customStyle="1" w:styleId="bulletnumbered2">
    <w:name w:val="bullet numbered 2"/>
    <w:basedOn w:val="bullet1"/>
    <w:rsid w:val="000D132C"/>
    <w:pPr>
      <w:numPr>
        <w:ilvl w:val="1"/>
        <w:numId w:val="14"/>
      </w:numPr>
      <w:tabs>
        <w:tab w:val="clear" w:pos="1080"/>
      </w:tabs>
      <w:ind w:left="1440" w:right="1440" w:hanging="360"/>
    </w:pPr>
  </w:style>
  <w:style w:type="paragraph" w:customStyle="1" w:styleId="bullet2">
    <w:name w:val="bullet 2"/>
    <w:basedOn w:val="Normal"/>
    <w:qFormat/>
    <w:rsid w:val="000D132C"/>
    <w:pPr>
      <w:numPr>
        <w:ilvl w:val="1"/>
        <w:numId w:val="13"/>
      </w:numPr>
      <w:spacing w:after="120"/>
      <w:ind w:right="1440"/>
    </w:pPr>
    <w:rPr>
      <w:position w:val="6"/>
    </w:rPr>
  </w:style>
  <w:style w:type="paragraph" w:customStyle="1" w:styleId="bullet1">
    <w:name w:val="bullet 1"/>
    <w:link w:val="bullet1Char"/>
    <w:qFormat/>
    <w:rsid w:val="000D132C"/>
    <w:pPr>
      <w:numPr>
        <w:numId w:val="13"/>
      </w:numPr>
      <w:spacing w:after="120"/>
      <w:ind w:right="720"/>
    </w:pPr>
    <w:rPr>
      <w:rFonts w:eastAsia="Times New Roman" w:cs="Times New Roman"/>
      <w:szCs w:val="20"/>
    </w:rPr>
  </w:style>
  <w:style w:type="character" w:customStyle="1" w:styleId="bullet1Char">
    <w:name w:val="bullet 1 Char"/>
    <w:basedOn w:val="DefaultParagraphFont"/>
    <w:link w:val="bullet1"/>
    <w:rsid w:val="000D132C"/>
    <w:rPr>
      <w:rFonts w:eastAsia="Times New Roman" w:cs="Times New Roman"/>
      <w:szCs w:val="20"/>
    </w:rPr>
  </w:style>
  <w:style w:type="paragraph" w:customStyle="1" w:styleId="bulletnumbered3">
    <w:name w:val="bullet numbered 3"/>
    <w:basedOn w:val="bullet1"/>
    <w:rsid w:val="000D132C"/>
    <w:pPr>
      <w:numPr>
        <w:ilvl w:val="2"/>
        <w:numId w:val="14"/>
      </w:numPr>
      <w:tabs>
        <w:tab w:val="clear" w:pos="1570"/>
      </w:tabs>
      <w:ind w:left="2160" w:right="1440" w:hanging="360"/>
    </w:pPr>
    <w:rPr>
      <w:szCs w:val="24"/>
    </w:rPr>
  </w:style>
  <w:style w:type="paragraph" w:customStyle="1" w:styleId="bulletnumbered4">
    <w:name w:val="bullet numbered 4"/>
    <w:basedOn w:val="bullet1"/>
    <w:rsid w:val="000D132C"/>
    <w:pPr>
      <w:numPr>
        <w:ilvl w:val="3"/>
        <w:numId w:val="14"/>
      </w:numPr>
      <w:tabs>
        <w:tab w:val="clear" w:pos="2002"/>
      </w:tabs>
      <w:ind w:left="2880" w:right="1440" w:hanging="360"/>
    </w:pPr>
    <w:rPr>
      <w:szCs w:val="24"/>
    </w:rPr>
  </w:style>
  <w:style w:type="paragraph" w:customStyle="1" w:styleId="Tablebullet1">
    <w:name w:val="Table bullet 1"/>
    <w:basedOn w:val="Normal"/>
    <w:link w:val="Tablebullet1Char"/>
    <w:rsid w:val="000D132C"/>
    <w:pPr>
      <w:numPr>
        <w:numId w:val="15"/>
      </w:numPr>
      <w:spacing w:before="60" w:after="60"/>
      <w:ind w:left="201" w:hanging="259"/>
    </w:pPr>
    <w:rPr>
      <w:rFonts w:ascii="Arial" w:hAnsi="Arial" w:cs="Arial"/>
      <w:sz w:val="20"/>
      <w:szCs w:val="20"/>
    </w:rPr>
  </w:style>
  <w:style w:type="paragraph" w:customStyle="1" w:styleId="Tablebullet2">
    <w:name w:val="Table bullet 2"/>
    <w:basedOn w:val="Normal"/>
    <w:rsid w:val="000D132C"/>
    <w:pPr>
      <w:numPr>
        <w:ilvl w:val="1"/>
        <w:numId w:val="15"/>
      </w:numPr>
      <w:spacing w:before="40" w:after="30"/>
    </w:pPr>
    <w:rPr>
      <w:rFonts w:ascii="Arial" w:hAnsi="Arial" w:cs="Arial"/>
      <w:position w:val="6"/>
      <w:sz w:val="20"/>
      <w:szCs w:val="20"/>
    </w:rPr>
  </w:style>
  <w:style w:type="paragraph" w:customStyle="1" w:styleId="Tablebullet3">
    <w:name w:val="Table bullet 3"/>
    <w:basedOn w:val="Normal"/>
    <w:rsid w:val="000D132C"/>
    <w:pPr>
      <w:numPr>
        <w:ilvl w:val="2"/>
        <w:numId w:val="15"/>
      </w:numPr>
      <w:spacing w:before="60" w:after="60"/>
      <w:ind w:left="692" w:hanging="202"/>
    </w:pPr>
    <w:rPr>
      <w:rFonts w:ascii="Arial" w:hAnsi="Arial" w:cs="Arial"/>
      <w:position w:val="2"/>
      <w:sz w:val="20"/>
      <w:szCs w:val="20"/>
    </w:rPr>
  </w:style>
  <w:style w:type="paragraph" w:customStyle="1" w:styleId="Tablebullet4">
    <w:name w:val="Table bullet 4"/>
    <w:basedOn w:val="Normal"/>
    <w:rsid w:val="000D132C"/>
    <w:pPr>
      <w:numPr>
        <w:ilvl w:val="3"/>
        <w:numId w:val="15"/>
      </w:numPr>
      <w:spacing w:before="20" w:after="40"/>
    </w:pPr>
    <w:rPr>
      <w:rFonts w:ascii="Arial" w:hAnsi="Arial" w:cs="Arial"/>
      <w:position w:val="8"/>
      <w:sz w:val="20"/>
      <w:szCs w:val="20"/>
    </w:rPr>
  </w:style>
  <w:style w:type="table" w:styleId="TableGrid1">
    <w:name w:val="Table Grid 1"/>
    <w:basedOn w:val="TableNormal"/>
    <w:rsid w:val="000D132C"/>
    <w:pPr>
      <w:spacing w:before="120" w:after="120" w:line="300" w:lineRule="auto"/>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box-bodyChar">
    <w:name w:val="Text box - body Char"/>
    <w:basedOn w:val="DefaultParagraphFont"/>
    <w:link w:val="Textbox-body"/>
    <w:rsid w:val="000D132C"/>
    <w:rPr>
      <w:rFonts w:ascii="Arial" w:hAnsi="Arial" w:cs="Arial"/>
      <w:sz w:val="22"/>
      <w:szCs w:val="22"/>
    </w:rPr>
  </w:style>
  <w:style w:type="paragraph" w:customStyle="1" w:styleId="Header-oddpage">
    <w:name w:val="Header - odd page"/>
    <w:basedOn w:val="Normal"/>
    <w:rsid w:val="000D132C"/>
    <w:pPr>
      <w:pBdr>
        <w:bottom w:val="single" w:sz="4" w:space="1" w:color="auto"/>
      </w:pBdr>
      <w:spacing w:line="276" w:lineRule="auto"/>
      <w:jc w:val="right"/>
    </w:pPr>
    <w:rPr>
      <w:rFonts w:ascii="Arial" w:hAnsi="Arial" w:cs="Arial"/>
      <w:i/>
      <w:snapToGrid w:val="0"/>
      <w:sz w:val="18"/>
      <w:szCs w:val="18"/>
    </w:rPr>
  </w:style>
  <w:style w:type="paragraph" w:customStyle="1" w:styleId="Header-filepath">
    <w:name w:val="Header - filepath"/>
    <w:basedOn w:val="Normal"/>
    <w:rsid w:val="000D132C"/>
    <w:pPr>
      <w:tabs>
        <w:tab w:val="right" w:pos="9360"/>
      </w:tabs>
      <w:spacing w:line="276" w:lineRule="auto"/>
    </w:pPr>
    <w:rPr>
      <w:rFonts w:ascii="Arial" w:hAnsi="Arial" w:cs="Arial"/>
      <w:snapToGrid w:val="0"/>
      <w:sz w:val="18"/>
      <w:szCs w:val="18"/>
    </w:rPr>
  </w:style>
  <w:style w:type="paragraph" w:customStyle="1" w:styleId="Header-evenpage">
    <w:name w:val="Header - even page"/>
    <w:basedOn w:val="Normal"/>
    <w:rsid w:val="000D132C"/>
    <w:pPr>
      <w:pBdr>
        <w:bottom w:val="single" w:sz="4" w:space="1" w:color="auto"/>
      </w:pBdr>
      <w:spacing w:line="276" w:lineRule="auto"/>
    </w:pPr>
    <w:rPr>
      <w:rFonts w:ascii="Arial" w:hAnsi="Arial" w:cs="Arial"/>
      <w:i/>
      <w:snapToGrid w:val="0"/>
      <w:sz w:val="18"/>
      <w:szCs w:val="18"/>
    </w:rPr>
  </w:style>
  <w:style w:type="paragraph" w:customStyle="1" w:styleId="Textbox-body">
    <w:name w:val="Text box - body"/>
    <w:basedOn w:val="Normal"/>
    <w:link w:val="Textbox-bodyChar"/>
    <w:rsid w:val="000D132C"/>
    <w:pPr>
      <w:spacing w:before="120" w:after="60"/>
      <w:ind w:left="115" w:right="115"/>
    </w:pPr>
    <w:rPr>
      <w:rFonts w:ascii="Arial" w:eastAsiaTheme="minorEastAsia" w:hAnsi="Arial" w:cs="Arial"/>
      <w:sz w:val="22"/>
      <w:szCs w:val="22"/>
    </w:rPr>
  </w:style>
  <w:style w:type="paragraph" w:styleId="Quote">
    <w:name w:val="Quote"/>
    <w:basedOn w:val="Normal"/>
    <w:link w:val="QuoteChar"/>
    <w:qFormat/>
    <w:rsid w:val="000D132C"/>
    <w:pPr>
      <w:spacing w:after="60"/>
      <w:ind w:left="720" w:right="1440"/>
    </w:pPr>
    <w:rPr>
      <w:i/>
      <w:szCs w:val="20"/>
    </w:rPr>
  </w:style>
  <w:style w:type="character" w:customStyle="1" w:styleId="QuoteChar">
    <w:name w:val="Quote Char"/>
    <w:basedOn w:val="DefaultParagraphFont"/>
    <w:link w:val="Quote"/>
    <w:rsid w:val="000D132C"/>
    <w:rPr>
      <w:rFonts w:eastAsia="Times New Roman" w:cs="Times New Roman"/>
      <w:i/>
      <w:szCs w:val="20"/>
    </w:rPr>
  </w:style>
  <w:style w:type="paragraph" w:customStyle="1" w:styleId="Tablenumbers">
    <w:name w:val="Table numbers"/>
    <w:basedOn w:val="Normal"/>
    <w:rsid w:val="000D132C"/>
    <w:pPr>
      <w:tabs>
        <w:tab w:val="decimal" w:pos="855"/>
      </w:tabs>
      <w:spacing w:before="60" w:after="60"/>
    </w:pPr>
    <w:rPr>
      <w:rFonts w:ascii="Arial" w:hAnsi="Arial" w:cs="Arial"/>
      <w:sz w:val="20"/>
      <w:szCs w:val="20"/>
    </w:rPr>
  </w:style>
  <w:style w:type="paragraph" w:customStyle="1" w:styleId="FootnoteText-2ndparagraph">
    <w:name w:val="Footnote Text - 2nd paragraph"/>
    <w:basedOn w:val="FootnoteText"/>
    <w:rsid w:val="000D132C"/>
    <w:pPr>
      <w:spacing w:before="100" w:after="0"/>
      <w:ind w:leftChars="120" w:left="120"/>
    </w:pPr>
    <w:rPr>
      <w:szCs w:val="20"/>
    </w:rPr>
  </w:style>
  <w:style w:type="paragraph" w:customStyle="1" w:styleId="Textbox-caption">
    <w:name w:val="Text box - caption"/>
    <w:basedOn w:val="Normal"/>
    <w:next w:val="Textbox-body"/>
    <w:rsid w:val="000D132C"/>
    <w:pPr>
      <w:spacing w:before="120" w:after="120"/>
      <w:ind w:left="115" w:right="115"/>
      <w:jc w:val="center"/>
    </w:pPr>
    <w:rPr>
      <w:rFonts w:ascii="Arial" w:hAnsi="Arial" w:cs="Arial"/>
      <w:b/>
      <w:sz w:val="22"/>
      <w:szCs w:val="22"/>
    </w:rPr>
  </w:style>
  <w:style w:type="paragraph" w:customStyle="1" w:styleId="Contents">
    <w:name w:val="Contents"/>
    <w:basedOn w:val="Heading1"/>
    <w:next w:val="Normal"/>
    <w:rsid w:val="000D132C"/>
    <w:pPr>
      <w:keepLines/>
      <w:pageBreakBefore/>
      <w:pBdr>
        <w:bottom w:val="thickThinSmallGap" w:sz="18" w:space="6" w:color="auto"/>
      </w:pBdr>
      <w:tabs>
        <w:tab w:val="clear" w:pos="432"/>
        <w:tab w:val="left" w:pos="706"/>
      </w:tabs>
      <w:spacing w:before="0" w:after="600"/>
    </w:pPr>
    <w:rPr>
      <w:rFonts w:ascii="Arial" w:hAnsi="Arial" w:cs="Arial"/>
      <w:b/>
      <w:sz w:val="32"/>
      <w:szCs w:val="32"/>
    </w:rPr>
  </w:style>
  <w:style w:type="paragraph" w:customStyle="1" w:styleId="SidebarTextbox">
    <w:name w:val="Sidebar Text box"/>
    <w:basedOn w:val="Textbox-body"/>
    <w:semiHidden/>
    <w:rsid w:val="000D132C"/>
    <w:pPr>
      <w:framePr w:wrap="around" w:hAnchor="text" w:y="7057"/>
    </w:pPr>
    <w:rPr>
      <w:i/>
    </w:rPr>
  </w:style>
  <w:style w:type="paragraph" w:customStyle="1" w:styleId="tableindentsideheading">
    <w:name w:val="table indent side heading"/>
    <w:basedOn w:val="Tablesideheadings"/>
    <w:rsid w:val="000D132C"/>
    <w:pPr>
      <w:ind w:left="216"/>
    </w:pPr>
    <w:rPr>
      <w:rFonts w:cs="Arial"/>
    </w:rPr>
  </w:style>
  <w:style w:type="paragraph" w:customStyle="1" w:styleId="tabledoubleindentsideheading">
    <w:name w:val="table double indent side heading"/>
    <w:basedOn w:val="tableindentsideheading"/>
    <w:rsid w:val="000D132C"/>
    <w:pPr>
      <w:ind w:left="432"/>
    </w:pPr>
  </w:style>
  <w:style w:type="paragraph" w:customStyle="1" w:styleId="insertexhibitstyle">
    <w:name w:val="[insert exhibit style]"/>
    <w:basedOn w:val="Caption"/>
    <w:next w:val="Normal"/>
    <w:semiHidden/>
    <w:rsid w:val="000D132C"/>
    <w:pPr>
      <w:spacing w:after="240"/>
    </w:pPr>
    <w:rPr>
      <w:b w:val="0"/>
    </w:rPr>
  </w:style>
  <w:style w:type="paragraph" w:customStyle="1" w:styleId="Source">
    <w:name w:val="Source"/>
    <w:basedOn w:val="BodyText"/>
    <w:rsid w:val="000D132C"/>
    <w:pPr>
      <w:tabs>
        <w:tab w:val="left" w:pos="639"/>
      </w:tabs>
      <w:spacing w:before="60" w:after="60" w:line="240" w:lineRule="auto"/>
    </w:pPr>
    <w:rPr>
      <w:rFonts w:ascii="Arial" w:hAnsi="Arial" w:cs="Arial"/>
      <w:i/>
      <w:sz w:val="16"/>
      <w:szCs w:val="16"/>
    </w:rPr>
  </w:style>
  <w:style w:type="paragraph" w:styleId="BodyText">
    <w:name w:val="Body Text"/>
    <w:basedOn w:val="Normal"/>
    <w:link w:val="BodyTextChar"/>
    <w:rsid w:val="000D132C"/>
    <w:pPr>
      <w:spacing w:before="120" w:after="120" w:line="300" w:lineRule="auto"/>
    </w:pPr>
    <w:rPr>
      <w:szCs w:val="20"/>
    </w:rPr>
  </w:style>
  <w:style w:type="character" w:customStyle="1" w:styleId="BodyTextChar">
    <w:name w:val="Body Text Char"/>
    <w:basedOn w:val="DefaultParagraphFont"/>
    <w:link w:val="BodyText"/>
    <w:rsid w:val="000D132C"/>
    <w:rPr>
      <w:rFonts w:eastAsia="Times New Roman" w:cs="Times New Roman"/>
      <w:szCs w:val="20"/>
    </w:rPr>
  </w:style>
  <w:style w:type="paragraph" w:customStyle="1" w:styleId="TableList11">
    <w:name w:val="Table List 11"/>
    <w:basedOn w:val="Tablesideheadings"/>
    <w:rsid w:val="000D132C"/>
    <w:pPr>
      <w:numPr>
        <w:numId w:val="16"/>
      </w:numPr>
      <w:tabs>
        <w:tab w:val="clear" w:pos="346"/>
        <w:tab w:val="num" w:pos="360"/>
      </w:tabs>
    </w:pPr>
    <w:rPr>
      <w:rFonts w:cs="Arial"/>
    </w:rPr>
  </w:style>
  <w:style w:type="paragraph" w:customStyle="1" w:styleId="TableList21">
    <w:name w:val="Table List 21"/>
    <w:basedOn w:val="Tablesideheadings"/>
    <w:rsid w:val="000D132C"/>
    <w:pPr>
      <w:numPr>
        <w:ilvl w:val="1"/>
        <w:numId w:val="16"/>
      </w:numPr>
      <w:ind w:left="620" w:hanging="130"/>
    </w:pPr>
    <w:rPr>
      <w:rFonts w:cs="Arial"/>
    </w:rPr>
  </w:style>
  <w:style w:type="paragraph" w:customStyle="1" w:styleId="TableList31">
    <w:name w:val="Table List 31"/>
    <w:basedOn w:val="Tablesideheadings"/>
    <w:rsid w:val="000D132C"/>
    <w:pPr>
      <w:numPr>
        <w:ilvl w:val="2"/>
        <w:numId w:val="16"/>
      </w:numPr>
    </w:pPr>
    <w:rPr>
      <w:rFonts w:cs="Arial"/>
    </w:rPr>
  </w:style>
  <w:style w:type="paragraph" w:customStyle="1" w:styleId="TableList41">
    <w:name w:val="Table List 41"/>
    <w:basedOn w:val="Tablesideheadings"/>
    <w:rsid w:val="000D132C"/>
    <w:pPr>
      <w:numPr>
        <w:ilvl w:val="3"/>
        <w:numId w:val="16"/>
      </w:numPr>
      <w:ind w:left="1268" w:hanging="130"/>
    </w:pPr>
    <w:rPr>
      <w:rFonts w:cs="Arial"/>
    </w:rPr>
  </w:style>
  <w:style w:type="paragraph" w:customStyle="1" w:styleId="Textboxbullet1">
    <w:name w:val="Text box bullet 1"/>
    <w:basedOn w:val="Textbox-body"/>
    <w:rsid w:val="000D132C"/>
    <w:pPr>
      <w:numPr>
        <w:numId w:val="17"/>
      </w:numPr>
      <w:tabs>
        <w:tab w:val="clear" w:pos="374"/>
      </w:tabs>
      <w:spacing w:after="0"/>
      <w:ind w:left="792" w:hanging="360"/>
    </w:pPr>
  </w:style>
  <w:style w:type="paragraph" w:customStyle="1" w:styleId="Textboxbullet2">
    <w:name w:val="Text box bullet 2"/>
    <w:basedOn w:val="Textbox-body"/>
    <w:rsid w:val="000D132C"/>
    <w:pPr>
      <w:numPr>
        <w:ilvl w:val="1"/>
        <w:numId w:val="17"/>
      </w:numPr>
      <w:tabs>
        <w:tab w:val="clear" w:pos="706"/>
        <w:tab w:val="num" w:pos="360"/>
      </w:tabs>
      <w:spacing w:before="10" w:after="0"/>
      <w:ind w:left="705" w:hanging="331"/>
    </w:pPr>
  </w:style>
  <w:style w:type="paragraph" w:customStyle="1" w:styleId="Textboxbullet3">
    <w:name w:val="Text box bullet 3"/>
    <w:basedOn w:val="Textbox-body"/>
    <w:rsid w:val="000D132C"/>
    <w:pPr>
      <w:numPr>
        <w:ilvl w:val="2"/>
        <w:numId w:val="17"/>
      </w:numPr>
      <w:tabs>
        <w:tab w:val="clear" w:pos="965"/>
        <w:tab w:val="num" w:pos="360"/>
      </w:tabs>
      <w:spacing w:after="0"/>
      <w:ind w:left="2592" w:hanging="360"/>
    </w:pPr>
  </w:style>
  <w:style w:type="paragraph" w:customStyle="1" w:styleId="Textboxbullet4">
    <w:name w:val="Text box bullet 4"/>
    <w:basedOn w:val="Textbox-body"/>
    <w:rsid w:val="000D132C"/>
    <w:pPr>
      <w:numPr>
        <w:ilvl w:val="3"/>
        <w:numId w:val="17"/>
      </w:numPr>
      <w:tabs>
        <w:tab w:val="clear" w:pos="1195"/>
        <w:tab w:val="num" w:pos="360"/>
      </w:tabs>
      <w:spacing w:before="10" w:after="0"/>
      <w:ind w:left="3312" w:hanging="360"/>
    </w:pPr>
  </w:style>
  <w:style w:type="paragraph" w:customStyle="1" w:styleId="Textboxbulletnumbered1">
    <w:name w:val="Text box bullet numbered 1"/>
    <w:basedOn w:val="Textbox-body"/>
    <w:rsid w:val="000D132C"/>
    <w:pPr>
      <w:numPr>
        <w:numId w:val="18"/>
      </w:numPr>
      <w:tabs>
        <w:tab w:val="clear" w:pos="518"/>
        <w:tab w:val="num" w:pos="720"/>
      </w:tabs>
      <w:spacing w:after="0"/>
      <w:ind w:left="519" w:hanging="130"/>
    </w:pPr>
  </w:style>
  <w:style w:type="paragraph" w:customStyle="1" w:styleId="Textboxbulletnumbered2">
    <w:name w:val="Text box bullet numbered 2"/>
    <w:basedOn w:val="Textbox-body"/>
    <w:rsid w:val="000D132C"/>
    <w:pPr>
      <w:numPr>
        <w:ilvl w:val="1"/>
        <w:numId w:val="18"/>
      </w:numPr>
      <w:tabs>
        <w:tab w:val="clear" w:pos="806"/>
        <w:tab w:val="num" w:pos="346"/>
      </w:tabs>
      <w:spacing w:after="0"/>
      <w:ind w:left="807" w:hanging="130"/>
    </w:pPr>
  </w:style>
  <w:style w:type="paragraph" w:customStyle="1" w:styleId="Textboxbulletnumbered3">
    <w:name w:val="Text box bullet numbered 3"/>
    <w:basedOn w:val="Textbox-body"/>
    <w:rsid w:val="000D132C"/>
    <w:pPr>
      <w:numPr>
        <w:ilvl w:val="2"/>
        <w:numId w:val="18"/>
      </w:numPr>
      <w:tabs>
        <w:tab w:val="clear" w:pos="1181"/>
        <w:tab w:val="num" w:pos="346"/>
      </w:tabs>
      <w:spacing w:after="0"/>
      <w:ind w:left="1080" w:hanging="360"/>
    </w:pPr>
  </w:style>
  <w:style w:type="paragraph" w:customStyle="1" w:styleId="Textboxbulletnumbered4">
    <w:name w:val="Text box bullet numbered 4"/>
    <w:basedOn w:val="Textbox-body"/>
    <w:rsid w:val="000D132C"/>
    <w:pPr>
      <w:numPr>
        <w:ilvl w:val="3"/>
        <w:numId w:val="18"/>
      </w:numPr>
      <w:tabs>
        <w:tab w:val="clear" w:pos="1584"/>
        <w:tab w:val="num" w:pos="346"/>
      </w:tabs>
      <w:spacing w:after="0"/>
      <w:ind w:left="1440" w:hanging="360"/>
    </w:pPr>
  </w:style>
  <w:style w:type="character" w:customStyle="1" w:styleId="Tablebullet1Char">
    <w:name w:val="Table bullet 1 Char"/>
    <w:basedOn w:val="DefaultParagraphFont"/>
    <w:link w:val="Tablebullet1"/>
    <w:rsid w:val="000D132C"/>
    <w:rPr>
      <w:rFonts w:ascii="Arial" w:eastAsia="Times New Roman" w:hAnsi="Arial" w:cs="Arial"/>
      <w:sz w:val="20"/>
      <w:szCs w:val="20"/>
    </w:rPr>
  </w:style>
  <w:style w:type="table" w:customStyle="1" w:styleId="LightList1">
    <w:name w:val="Light List1"/>
    <w:basedOn w:val="TableNormal"/>
    <w:uiPriority w:val="61"/>
    <w:locked/>
    <w:rsid w:val="000D132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semiHidden/>
    <w:unhideWhenUsed/>
    <w:rsid w:val="000D132C"/>
    <w:rPr>
      <w:color w:val="800080" w:themeColor="followedHyperlink"/>
      <w:u w:val="single"/>
    </w:rPr>
  </w:style>
  <w:style w:type="paragraph" w:customStyle="1" w:styleId="NormalItalic">
    <w:name w:val="Normal Italic"/>
    <w:basedOn w:val="Normal"/>
    <w:qFormat/>
    <w:rsid w:val="000D132C"/>
    <w:pPr>
      <w:spacing w:before="120" w:after="120"/>
    </w:pPr>
    <w:rPr>
      <w:rFonts w:eastAsia="Calibri"/>
      <w:i/>
    </w:rPr>
  </w:style>
  <w:style w:type="paragraph" w:customStyle="1" w:styleId="NormalItalics">
    <w:name w:val="Normal Italics"/>
    <w:basedOn w:val="Normal"/>
    <w:qFormat/>
    <w:rsid w:val="000D132C"/>
    <w:pPr>
      <w:spacing w:before="120" w:after="120"/>
    </w:pPr>
    <w:rPr>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0" w:qFormat="1"/>
    <w:lsdException w:name="table of figures" w:locked="1" w:uiPriority="0"/>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B6"/>
    <w:pPr>
      <w:spacing w:after="0"/>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qFormat/>
    <w:rsid w:val="00850F24"/>
    <w:pPr>
      <w:keepNext/>
      <w:framePr w:wrap="around" w:vAnchor="text" w:hAnchor="text" w:y="1"/>
      <w:numPr>
        <w:ilvl w:val="4"/>
        <w:numId w:val="9"/>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9"/>
      </w:numPr>
      <w:spacing w:after="120"/>
      <w:outlineLvl w:val="5"/>
    </w:pPr>
  </w:style>
  <w:style w:type="paragraph" w:styleId="Heading7">
    <w:name w:val="heading 7"/>
    <w:basedOn w:val="Normal"/>
    <w:next w:val="Normal"/>
    <w:link w:val="Heading7Char"/>
    <w:semiHidden/>
    <w:qFormat/>
    <w:rsid w:val="002B76AB"/>
    <w:pPr>
      <w:keepNext/>
      <w:numPr>
        <w:ilvl w:val="6"/>
        <w:numId w:val="9"/>
      </w:numPr>
      <w:spacing w:after="120"/>
      <w:outlineLvl w:val="6"/>
    </w:pPr>
  </w:style>
  <w:style w:type="paragraph" w:styleId="Heading8">
    <w:name w:val="heading 8"/>
    <w:basedOn w:val="Normal"/>
    <w:next w:val="Normal"/>
    <w:link w:val="Heading8Char"/>
    <w:semiHidden/>
    <w:qFormat/>
    <w:rsid w:val="002B76AB"/>
    <w:pPr>
      <w:keepNext/>
      <w:numPr>
        <w:ilvl w:val="7"/>
        <w:numId w:val="9"/>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9"/>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0">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0"/>
    <w:next w:val="NormalSS"/>
    <w:qFormat/>
    <w:rsid w:val="009A5B76"/>
    <w:pPr>
      <w:numPr>
        <w:numId w:val="2"/>
      </w:numPr>
      <w:spacing w:after="240"/>
      <w:ind w:left="432" w:hanging="432"/>
    </w:pPr>
  </w:style>
  <w:style w:type="paragraph" w:customStyle="1" w:styleId="BulletLastDS">
    <w:name w:val="Bullet (Last DS)"/>
    <w:basedOn w:val="Bullet0"/>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F41939"/>
    <w:pPr>
      <w:numPr>
        <w:numId w:val="4"/>
      </w:numPr>
      <w:tabs>
        <w:tab w:val="left" w:pos="288"/>
      </w:tabs>
      <w:spacing w:after="120"/>
    </w:pPr>
  </w:style>
  <w:style w:type="paragraph" w:customStyle="1" w:styleId="DashLASTSS">
    <w:name w:val="Dash (LAST SS)"/>
    <w:basedOn w:val="Dash"/>
    <w:next w:val="NormalSS"/>
    <w:qFormat/>
    <w:rsid w:val="00F41939"/>
    <w:pPr>
      <w:numPr>
        <w:numId w:val="5"/>
      </w:numPr>
      <w:spacing w:after="240"/>
    </w:pPr>
    <w:rPr>
      <w:rFonts w:cs="Arial"/>
      <w:color w:val="1A1818"/>
    </w:r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rsid w:val="00756E06"/>
    <w:rPr>
      <w:rFonts w:eastAsia="Times New Roman" w:cs="Times New Roman"/>
      <w:b/>
    </w:rPr>
  </w:style>
  <w:style w:type="character" w:customStyle="1" w:styleId="Heading6Char">
    <w:name w:val="Heading 6 Char"/>
    <w:basedOn w:val="DefaultParagraphFont"/>
    <w:link w:val="Heading6"/>
    <w:semiHidden/>
    <w:rsid w:val="002B76AB"/>
    <w:rPr>
      <w:rFonts w:eastAsia="Times New Roman" w:cs="Times New Roman"/>
    </w:rPr>
  </w:style>
  <w:style w:type="character" w:customStyle="1" w:styleId="Heading7Char">
    <w:name w:val="Heading 7 Char"/>
    <w:basedOn w:val="DefaultParagraphFont"/>
    <w:link w:val="Heading7"/>
    <w:semiHidden/>
    <w:rsid w:val="002B76AB"/>
    <w:rPr>
      <w:rFonts w:eastAsia="Times New Roman" w:cs="Times New Roman"/>
    </w:rPr>
  </w:style>
  <w:style w:type="character" w:customStyle="1" w:styleId="Heading8Char">
    <w:name w:val="Heading 8 Char"/>
    <w:basedOn w:val="DefaultParagraphFont"/>
    <w:link w:val="Heading8"/>
    <w:semiHidden/>
    <w:rsid w:val="002B76AB"/>
    <w:rPr>
      <w:rFonts w:eastAsia="Times New Roman" w:cs="Times New Roman"/>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DF5DC5"/>
    <w:pPr>
      <w:spacing w:after="240"/>
      <w:ind w:firstLine="432"/>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9141F0"/>
    <w:pPr>
      <w:spacing w:before="120" w:after="60"/>
    </w:pPr>
    <w:rPr>
      <w:b/>
      <w:bCs/>
      <w:color w:val="FFFFFF" w:themeColor="background1"/>
      <w:szCs w:val="22"/>
      <w:lang w:bidi="en-US"/>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42061"/>
    <w:pPr>
      <w:tabs>
        <w:tab w:val="right" w:leader="dot" w:pos="9360"/>
      </w:tabs>
      <w:spacing w:after="180" w:line="240" w:lineRule="exact"/>
      <w:ind w:left="630" w:right="720" w:hanging="63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locked/>
    <w:rsid w:val="00DF5DC5"/>
    <w:rPr>
      <w:rFonts w:eastAsia="Times New Roman" w:cs="Times New Roman"/>
    </w:rPr>
  </w:style>
  <w:style w:type="character" w:styleId="CommentReference">
    <w:name w:val="annotation reference"/>
    <w:basedOn w:val="DefaultParagraphFont"/>
    <w:rsid w:val="00DF5DC5"/>
    <w:rPr>
      <w:sz w:val="16"/>
      <w:szCs w:val="16"/>
    </w:rPr>
  </w:style>
  <w:style w:type="paragraph" w:styleId="CommentText">
    <w:name w:val="annotation text"/>
    <w:basedOn w:val="Normal"/>
    <w:link w:val="CommentTextChar"/>
    <w:rsid w:val="00DF5DC5"/>
    <w:rPr>
      <w:sz w:val="20"/>
      <w:szCs w:val="20"/>
    </w:rPr>
  </w:style>
  <w:style w:type="character" w:customStyle="1" w:styleId="CommentTextChar">
    <w:name w:val="Comment Text Char"/>
    <w:basedOn w:val="DefaultParagraphFont"/>
    <w:link w:val="CommentText"/>
    <w:rsid w:val="00DF5DC5"/>
    <w:rPr>
      <w:rFonts w:eastAsia="Times New Roman" w:cs="Times New Roman"/>
      <w:sz w:val="20"/>
      <w:szCs w:val="20"/>
    </w:rPr>
  </w:style>
  <w:style w:type="paragraph" w:styleId="NormalWeb">
    <w:name w:val="Normal (Web)"/>
    <w:basedOn w:val="Normal"/>
    <w:uiPriority w:val="99"/>
    <w:semiHidden/>
    <w:unhideWhenUsed/>
    <w:rsid w:val="00DF5DC5"/>
    <w:pPr>
      <w:spacing w:before="100" w:beforeAutospacing="1" w:after="100" w:afterAutospacing="1"/>
    </w:pPr>
    <w:rPr>
      <w:color w:val="000000"/>
    </w:rPr>
  </w:style>
  <w:style w:type="character" w:styleId="Emphasis">
    <w:name w:val="Emphasis"/>
    <w:basedOn w:val="DefaultParagraphFont"/>
    <w:uiPriority w:val="20"/>
    <w:qFormat/>
    <w:rsid w:val="00DF5DC5"/>
    <w:rPr>
      <w:i/>
      <w:iCs/>
    </w:rPr>
  </w:style>
  <w:style w:type="paragraph" w:customStyle="1" w:styleId="Heading1Black">
    <w:name w:val="Heading 1_Black"/>
    <w:basedOn w:val="Normal"/>
    <w:next w:val="Normal"/>
    <w:qFormat/>
    <w:rsid w:val="00DF5DC5"/>
    <w:pPr>
      <w:tabs>
        <w:tab w:val="left" w:pos="432"/>
      </w:tabs>
      <w:spacing w:before="240" w:after="240"/>
      <w:jc w:val="center"/>
    </w:pPr>
    <w:rPr>
      <w:rFonts w:ascii="Lucida Sans" w:hAnsi="Lucida Sans"/>
      <w:b/>
      <w:caps/>
    </w:rPr>
  </w:style>
  <w:style w:type="paragraph" w:styleId="CommentSubject">
    <w:name w:val="annotation subject"/>
    <w:basedOn w:val="CommentText"/>
    <w:next w:val="CommentText"/>
    <w:link w:val="CommentSubjectChar"/>
    <w:semiHidden/>
    <w:unhideWhenUsed/>
    <w:rsid w:val="00CA2595"/>
    <w:rPr>
      <w:b/>
      <w:bCs/>
    </w:rPr>
  </w:style>
  <w:style w:type="character" w:customStyle="1" w:styleId="CommentSubjectChar">
    <w:name w:val="Comment Subject Char"/>
    <w:basedOn w:val="CommentTextChar"/>
    <w:link w:val="CommentSubject"/>
    <w:semiHidden/>
    <w:rsid w:val="00CA2595"/>
    <w:rPr>
      <w:rFonts w:eastAsia="Times New Roman" w:cs="Times New Roman"/>
      <w:b/>
      <w:bCs/>
      <w:sz w:val="20"/>
      <w:szCs w:val="20"/>
    </w:rPr>
  </w:style>
  <w:style w:type="paragraph" w:customStyle="1" w:styleId="covertitle">
    <w:name w:val="cover title"/>
    <w:basedOn w:val="Normal"/>
    <w:qFormat/>
    <w:rsid w:val="001969A3"/>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1969A3"/>
    <w:pPr>
      <w:spacing w:line="560" w:lineRule="exact"/>
    </w:pPr>
    <w:rPr>
      <w:rFonts w:ascii="Arial" w:hAnsi="Arial"/>
      <w:caps/>
      <w:spacing w:val="28"/>
      <w:sz w:val="17"/>
      <w:szCs w:val="26"/>
    </w:rPr>
  </w:style>
  <w:style w:type="paragraph" w:customStyle="1" w:styleId="coverdate">
    <w:name w:val="cover date"/>
    <w:qFormat/>
    <w:rsid w:val="001969A3"/>
    <w:pPr>
      <w:spacing w:after="0" w:line="440" w:lineRule="exact"/>
    </w:pPr>
    <w:rPr>
      <w:rFonts w:ascii="Arial" w:eastAsia="Times New Roman" w:hAnsi="Arial" w:cs="Times New Roman"/>
      <w:sz w:val="34"/>
      <w:szCs w:val="26"/>
    </w:rPr>
  </w:style>
  <w:style w:type="paragraph" w:customStyle="1" w:styleId="covertext">
    <w:name w:val="cover text"/>
    <w:qFormat/>
    <w:rsid w:val="001969A3"/>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1969A3"/>
    <w:pPr>
      <w:pBdr>
        <w:bottom w:val="single" w:sz="2" w:space="1" w:color="auto"/>
      </w:pBdr>
      <w:spacing w:line="240" w:lineRule="auto"/>
    </w:pPr>
  </w:style>
  <w:style w:type="paragraph" w:customStyle="1" w:styleId="reportcovername">
    <w:name w:val="report cover name"/>
    <w:basedOn w:val="covertext"/>
    <w:qFormat/>
    <w:rsid w:val="001969A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1969A3"/>
    <w:rPr>
      <w:rFonts w:ascii="Arial Black" w:hAnsi="Arial Black"/>
      <w:noProof/>
      <w:sz w:val="16"/>
      <w:szCs w:val="19"/>
    </w:rPr>
  </w:style>
  <w:style w:type="paragraph" w:customStyle="1" w:styleId="backcovercities">
    <w:name w:val="back cover cities"/>
    <w:basedOn w:val="Normal"/>
    <w:qFormat/>
    <w:rsid w:val="00B97274"/>
    <w:rPr>
      <w:rFonts w:ascii="Arial Black" w:hAnsi="Arial Black"/>
      <w:caps/>
      <w:noProof/>
      <w:spacing w:val="-3"/>
      <w:sz w:val="14"/>
      <w:szCs w:val="19"/>
    </w:rPr>
  </w:style>
  <w:style w:type="paragraph" w:customStyle="1" w:styleId="backcovertitle">
    <w:name w:val="back cover title"/>
    <w:basedOn w:val="Normal"/>
    <w:qFormat/>
    <w:rsid w:val="00B97274"/>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Revision">
    <w:name w:val="Revision"/>
    <w:hidden/>
    <w:uiPriority w:val="99"/>
    <w:semiHidden/>
    <w:rsid w:val="00F14FA1"/>
    <w:pPr>
      <w:spacing w:after="0"/>
    </w:pPr>
    <w:rPr>
      <w:rFonts w:eastAsia="Times New Roman" w:cs="Times New Roman"/>
    </w:rPr>
  </w:style>
  <w:style w:type="character" w:styleId="Hyperlink">
    <w:name w:val="Hyperlink"/>
    <w:basedOn w:val="DefaultParagraphFont"/>
    <w:unhideWhenUsed/>
    <w:rsid w:val="00F14FA1"/>
    <w:rPr>
      <w:color w:val="0000FF" w:themeColor="hyperlink"/>
      <w:u w:val="single"/>
    </w:rPr>
  </w:style>
  <w:style w:type="paragraph" w:customStyle="1" w:styleId="bullet">
    <w:name w:val="bullet"/>
    <w:rsid w:val="000D132C"/>
    <w:pPr>
      <w:numPr>
        <w:numId w:val="12"/>
      </w:numPr>
      <w:spacing w:after="180"/>
      <w:ind w:left="720" w:right="360" w:hanging="288"/>
      <w:jc w:val="both"/>
    </w:pPr>
    <w:rPr>
      <w:rFonts w:eastAsia="Times New Roman" w:cs="Times New Roman"/>
      <w:szCs w:val="20"/>
    </w:rPr>
  </w:style>
  <w:style w:type="paragraph" w:customStyle="1" w:styleId="Tablesideheadings">
    <w:name w:val="Table side headings"/>
    <w:basedOn w:val="Normal"/>
    <w:link w:val="TablesideheadingsChar"/>
    <w:rsid w:val="000D132C"/>
    <w:pPr>
      <w:spacing w:before="60" w:after="60"/>
    </w:pPr>
    <w:rPr>
      <w:rFonts w:ascii="Arial" w:hAnsi="Arial"/>
      <w:sz w:val="20"/>
      <w:szCs w:val="20"/>
    </w:rPr>
  </w:style>
  <w:style w:type="paragraph" w:customStyle="1" w:styleId="Tabletopheadings">
    <w:name w:val="Table top headings"/>
    <w:basedOn w:val="Normal"/>
    <w:rsid w:val="000D132C"/>
    <w:pPr>
      <w:pBdr>
        <w:bottom w:val="single" w:sz="12" w:space="1" w:color="auto"/>
      </w:pBdr>
      <w:spacing w:before="120"/>
      <w:jc w:val="center"/>
    </w:pPr>
    <w:rPr>
      <w:rFonts w:ascii="Arial" w:hAnsi="Arial" w:cs="Arial"/>
      <w:b/>
      <w:sz w:val="20"/>
      <w:szCs w:val="20"/>
    </w:rPr>
  </w:style>
  <w:style w:type="character" w:customStyle="1" w:styleId="TablesideheadingsChar">
    <w:name w:val="Table side headings Char"/>
    <w:link w:val="Tablesideheadings"/>
    <w:rsid w:val="000D132C"/>
    <w:rPr>
      <w:rFonts w:ascii="Arial" w:eastAsia="Times New Roman" w:hAnsi="Arial" w:cs="Times New Roman"/>
      <w:sz w:val="20"/>
      <w:szCs w:val="20"/>
    </w:rPr>
  </w:style>
  <w:style w:type="paragraph" w:styleId="Caption">
    <w:name w:val="caption"/>
    <w:basedOn w:val="Normal"/>
    <w:next w:val="Normal"/>
    <w:qFormat/>
    <w:rsid w:val="000D132C"/>
    <w:pPr>
      <w:keepNext/>
      <w:keepLines/>
      <w:spacing w:before="180" w:after="120"/>
      <w:jc w:val="center"/>
    </w:pPr>
    <w:rPr>
      <w:rFonts w:ascii="Arial" w:hAnsi="Arial" w:cs="Arial"/>
      <w:b/>
      <w:sz w:val="22"/>
      <w:szCs w:val="22"/>
    </w:rPr>
  </w:style>
  <w:style w:type="paragraph" w:customStyle="1" w:styleId="Bullet3">
    <w:name w:val="Bullet 3"/>
    <w:basedOn w:val="Normal"/>
    <w:qFormat/>
    <w:rsid w:val="000D132C"/>
    <w:pPr>
      <w:numPr>
        <w:ilvl w:val="2"/>
        <w:numId w:val="13"/>
      </w:numPr>
      <w:spacing w:after="120"/>
      <w:ind w:right="1440"/>
    </w:pPr>
    <w:rPr>
      <w:position w:val="2"/>
    </w:rPr>
  </w:style>
  <w:style w:type="paragraph" w:customStyle="1" w:styleId="Bullet4">
    <w:name w:val="Bullet 4"/>
    <w:basedOn w:val="Normal"/>
    <w:rsid w:val="000D132C"/>
    <w:pPr>
      <w:numPr>
        <w:ilvl w:val="3"/>
        <w:numId w:val="13"/>
      </w:numPr>
      <w:spacing w:after="120"/>
      <w:ind w:right="1440"/>
    </w:pPr>
    <w:rPr>
      <w:position w:val="8"/>
    </w:rPr>
  </w:style>
  <w:style w:type="paragraph" w:customStyle="1" w:styleId="bulletnumbered1">
    <w:name w:val="bullet numbered 1"/>
    <w:basedOn w:val="bullet1"/>
    <w:rsid w:val="000D132C"/>
    <w:pPr>
      <w:numPr>
        <w:numId w:val="14"/>
      </w:numPr>
      <w:tabs>
        <w:tab w:val="clear" w:pos="720"/>
      </w:tabs>
      <w:spacing w:before="120"/>
      <w:ind w:hanging="360"/>
    </w:pPr>
  </w:style>
  <w:style w:type="paragraph" w:customStyle="1" w:styleId="bulletnumbered2">
    <w:name w:val="bullet numbered 2"/>
    <w:basedOn w:val="bullet1"/>
    <w:rsid w:val="000D132C"/>
    <w:pPr>
      <w:numPr>
        <w:ilvl w:val="1"/>
        <w:numId w:val="14"/>
      </w:numPr>
      <w:tabs>
        <w:tab w:val="clear" w:pos="1080"/>
      </w:tabs>
      <w:ind w:left="1440" w:right="1440" w:hanging="360"/>
    </w:pPr>
  </w:style>
  <w:style w:type="paragraph" w:customStyle="1" w:styleId="bullet2">
    <w:name w:val="bullet 2"/>
    <w:basedOn w:val="Normal"/>
    <w:qFormat/>
    <w:rsid w:val="000D132C"/>
    <w:pPr>
      <w:numPr>
        <w:ilvl w:val="1"/>
        <w:numId w:val="13"/>
      </w:numPr>
      <w:spacing w:after="120"/>
      <w:ind w:right="1440"/>
    </w:pPr>
    <w:rPr>
      <w:position w:val="6"/>
    </w:rPr>
  </w:style>
  <w:style w:type="paragraph" w:customStyle="1" w:styleId="bullet1">
    <w:name w:val="bullet 1"/>
    <w:link w:val="bullet1Char"/>
    <w:qFormat/>
    <w:rsid w:val="000D132C"/>
    <w:pPr>
      <w:numPr>
        <w:numId w:val="13"/>
      </w:numPr>
      <w:spacing w:after="120"/>
      <w:ind w:right="720"/>
    </w:pPr>
    <w:rPr>
      <w:rFonts w:eastAsia="Times New Roman" w:cs="Times New Roman"/>
      <w:szCs w:val="20"/>
    </w:rPr>
  </w:style>
  <w:style w:type="character" w:customStyle="1" w:styleId="bullet1Char">
    <w:name w:val="bullet 1 Char"/>
    <w:basedOn w:val="DefaultParagraphFont"/>
    <w:link w:val="bullet1"/>
    <w:rsid w:val="000D132C"/>
    <w:rPr>
      <w:rFonts w:eastAsia="Times New Roman" w:cs="Times New Roman"/>
      <w:szCs w:val="20"/>
    </w:rPr>
  </w:style>
  <w:style w:type="paragraph" w:customStyle="1" w:styleId="bulletnumbered3">
    <w:name w:val="bullet numbered 3"/>
    <w:basedOn w:val="bullet1"/>
    <w:rsid w:val="000D132C"/>
    <w:pPr>
      <w:numPr>
        <w:ilvl w:val="2"/>
        <w:numId w:val="14"/>
      </w:numPr>
      <w:tabs>
        <w:tab w:val="clear" w:pos="1570"/>
      </w:tabs>
      <w:ind w:left="2160" w:right="1440" w:hanging="360"/>
    </w:pPr>
    <w:rPr>
      <w:szCs w:val="24"/>
    </w:rPr>
  </w:style>
  <w:style w:type="paragraph" w:customStyle="1" w:styleId="bulletnumbered4">
    <w:name w:val="bullet numbered 4"/>
    <w:basedOn w:val="bullet1"/>
    <w:rsid w:val="000D132C"/>
    <w:pPr>
      <w:numPr>
        <w:ilvl w:val="3"/>
        <w:numId w:val="14"/>
      </w:numPr>
      <w:tabs>
        <w:tab w:val="clear" w:pos="2002"/>
      </w:tabs>
      <w:ind w:left="2880" w:right="1440" w:hanging="360"/>
    </w:pPr>
    <w:rPr>
      <w:szCs w:val="24"/>
    </w:rPr>
  </w:style>
  <w:style w:type="paragraph" w:customStyle="1" w:styleId="Tablebullet1">
    <w:name w:val="Table bullet 1"/>
    <w:basedOn w:val="Normal"/>
    <w:link w:val="Tablebullet1Char"/>
    <w:rsid w:val="000D132C"/>
    <w:pPr>
      <w:numPr>
        <w:numId w:val="15"/>
      </w:numPr>
      <w:spacing w:before="60" w:after="60"/>
      <w:ind w:left="201" w:hanging="259"/>
    </w:pPr>
    <w:rPr>
      <w:rFonts w:ascii="Arial" w:hAnsi="Arial" w:cs="Arial"/>
      <w:sz w:val="20"/>
      <w:szCs w:val="20"/>
    </w:rPr>
  </w:style>
  <w:style w:type="paragraph" w:customStyle="1" w:styleId="Tablebullet2">
    <w:name w:val="Table bullet 2"/>
    <w:basedOn w:val="Normal"/>
    <w:rsid w:val="000D132C"/>
    <w:pPr>
      <w:numPr>
        <w:ilvl w:val="1"/>
        <w:numId w:val="15"/>
      </w:numPr>
      <w:spacing w:before="40" w:after="30"/>
    </w:pPr>
    <w:rPr>
      <w:rFonts w:ascii="Arial" w:hAnsi="Arial" w:cs="Arial"/>
      <w:position w:val="6"/>
      <w:sz w:val="20"/>
      <w:szCs w:val="20"/>
    </w:rPr>
  </w:style>
  <w:style w:type="paragraph" w:customStyle="1" w:styleId="Tablebullet3">
    <w:name w:val="Table bullet 3"/>
    <w:basedOn w:val="Normal"/>
    <w:rsid w:val="000D132C"/>
    <w:pPr>
      <w:numPr>
        <w:ilvl w:val="2"/>
        <w:numId w:val="15"/>
      </w:numPr>
      <w:spacing w:before="60" w:after="60"/>
      <w:ind w:left="692" w:hanging="202"/>
    </w:pPr>
    <w:rPr>
      <w:rFonts w:ascii="Arial" w:hAnsi="Arial" w:cs="Arial"/>
      <w:position w:val="2"/>
      <w:sz w:val="20"/>
      <w:szCs w:val="20"/>
    </w:rPr>
  </w:style>
  <w:style w:type="paragraph" w:customStyle="1" w:styleId="Tablebullet4">
    <w:name w:val="Table bullet 4"/>
    <w:basedOn w:val="Normal"/>
    <w:rsid w:val="000D132C"/>
    <w:pPr>
      <w:numPr>
        <w:ilvl w:val="3"/>
        <w:numId w:val="15"/>
      </w:numPr>
      <w:spacing w:before="20" w:after="40"/>
    </w:pPr>
    <w:rPr>
      <w:rFonts w:ascii="Arial" w:hAnsi="Arial" w:cs="Arial"/>
      <w:position w:val="8"/>
      <w:sz w:val="20"/>
      <w:szCs w:val="20"/>
    </w:rPr>
  </w:style>
  <w:style w:type="table" w:styleId="TableGrid1">
    <w:name w:val="Table Grid 1"/>
    <w:basedOn w:val="TableNormal"/>
    <w:rsid w:val="000D132C"/>
    <w:pPr>
      <w:spacing w:before="120" w:after="120" w:line="300" w:lineRule="auto"/>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box-bodyChar">
    <w:name w:val="Text box - body Char"/>
    <w:basedOn w:val="DefaultParagraphFont"/>
    <w:link w:val="Textbox-body"/>
    <w:rsid w:val="000D132C"/>
    <w:rPr>
      <w:rFonts w:ascii="Arial" w:hAnsi="Arial" w:cs="Arial"/>
      <w:sz w:val="22"/>
      <w:szCs w:val="22"/>
    </w:rPr>
  </w:style>
  <w:style w:type="paragraph" w:customStyle="1" w:styleId="Header-oddpage">
    <w:name w:val="Header - odd page"/>
    <w:basedOn w:val="Normal"/>
    <w:rsid w:val="000D132C"/>
    <w:pPr>
      <w:pBdr>
        <w:bottom w:val="single" w:sz="4" w:space="1" w:color="auto"/>
      </w:pBdr>
      <w:spacing w:line="276" w:lineRule="auto"/>
      <w:jc w:val="right"/>
    </w:pPr>
    <w:rPr>
      <w:rFonts w:ascii="Arial" w:hAnsi="Arial" w:cs="Arial"/>
      <w:i/>
      <w:snapToGrid w:val="0"/>
      <w:sz w:val="18"/>
      <w:szCs w:val="18"/>
    </w:rPr>
  </w:style>
  <w:style w:type="paragraph" w:customStyle="1" w:styleId="Header-filepath">
    <w:name w:val="Header - filepath"/>
    <w:basedOn w:val="Normal"/>
    <w:rsid w:val="000D132C"/>
    <w:pPr>
      <w:tabs>
        <w:tab w:val="right" w:pos="9360"/>
      </w:tabs>
      <w:spacing w:line="276" w:lineRule="auto"/>
    </w:pPr>
    <w:rPr>
      <w:rFonts w:ascii="Arial" w:hAnsi="Arial" w:cs="Arial"/>
      <w:snapToGrid w:val="0"/>
      <w:sz w:val="18"/>
      <w:szCs w:val="18"/>
    </w:rPr>
  </w:style>
  <w:style w:type="paragraph" w:customStyle="1" w:styleId="Header-evenpage">
    <w:name w:val="Header - even page"/>
    <w:basedOn w:val="Normal"/>
    <w:rsid w:val="000D132C"/>
    <w:pPr>
      <w:pBdr>
        <w:bottom w:val="single" w:sz="4" w:space="1" w:color="auto"/>
      </w:pBdr>
      <w:spacing w:line="276" w:lineRule="auto"/>
    </w:pPr>
    <w:rPr>
      <w:rFonts w:ascii="Arial" w:hAnsi="Arial" w:cs="Arial"/>
      <w:i/>
      <w:snapToGrid w:val="0"/>
      <w:sz w:val="18"/>
      <w:szCs w:val="18"/>
    </w:rPr>
  </w:style>
  <w:style w:type="paragraph" w:customStyle="1" w:styleId="Textbox-body">
    <w:name w:val="Text box - body"/>
    <w:basedOn w:val="Normal"/>
    <w:link w:val="Textbox-bodyChar"/>
    <w:rsid w:val="000D132C"/>
    <w:pPr>
      <w:spacing w:before="120" w:after="60"/>
      <w:ind w:left="115" w:right="115"/>
    </w:pPr>
    <w:rPr>
      <w:rFonts w:ascii="Arial" w:eastAsiaTheme="minorEastAsia" w:hAnsi="Arial" w:cs="Arial"/>
      <w:sz w:val="22"/>
      <w:szCs w:val="22"/>
    </w:rPr>
  </w:style>
  <w:style w:type="paragraph" w:styleId="Quote">
    <w:name w:val="Quote"/>
    <w:basedOn w:val="Normal"/>
    <w:link w:val="QuoteChar"/>
    <w:qFormat/>
    <w:rsid w:val="000D132C"/>
    <w:pPr>
      <w:spacing w:after="60"/>
      <w:ind w:left="720" w:right="1440"/>
    </w:pPr>
    <w:rPr>
      <w:i/>
      <w:szCs w:val="20"/>
    </w:rPr>
  </w:style>
  <w:style w:type="character" w:customStyle="1" w:styleId="QuoteChar">
    <w:name w:val="Quote Char"/>
    <w:basedOn w:val="DefaultParagraphFont"/>
    <w:link w:val="Quote"/>
    <w:rsid w:val="000D132C"/>
    <w:rPr>
      <w:rFonts w:eastAsia="Times New Roman" w:cs="Times New Roman"/>
      <w:i/>
      <w:szCs w:val="20"/>
    </w:rPr>
  </w:style>
  <w:style w:type="paragraph" w:customStyle="1" w:styleId="Tablenumbers">
    <w:name w:val="Table numbers"/>
    <w:basedOn w:val="Normal"/>
    <w:rsid w:val="000D132C"/>
    <w:pPr>
      <w:tabs>
        <w:tab w:val="decimal" w:pos="855"/>
      </w:tabs>
      <w:spacing w:before="60" w:after="60"/>
    </w:pPr>
    <w:rPr>
      <w:rFonts w:ascii="Arial" w:hAnsi="Arial" w:cs="Arial"/>
      <w:sz w:val="20"/>
      <w:szCs w:val="20"/>
    </w:rPr>
  </w:style>
  <w:style w:type="paragraph" w:customStyle="1" w:styleId="FootnoteText-2ndparagraph">
    <w:name w:val="Footnote Text - 2nd paragraph"/>
    <w:basedOn w:val="FootnoteText"/>
    <w:rsid w:val="000D132C"/>
    <w:pPr>
      <w:spacing w:before="100" w:after="0"/>
      <w:ind w:leftChars="120" w:left="120"/>
    </w:pPr>
    <w:rPr>
      <w:szCs w:val="20"/>
    </w:rPr>
  </w:style>
  <w:style w:type="paragraph" w:customStyle="1" w:styleId="Textbox-caption">
    <w:name w:val="Text box - caption"/>
    <w:basedOn w:val="Normal"/>
    <w:next w:val="Textbox-body"/>
    <w:rsid w:val="000D132C"/>
    <w:pPr>
      <w:spacing w:before="120" w:after="120"/>
      <w:ind w:left="115" w:right="115"/>
      <w:jc w:val="center"/>
    </w:pPr>
    <w:rPr>
      <w:rFonts w:ascii="Arial" w:hAnsi="Arial" w:cs="Arial"/>
      <w:b/>
      <w:sz w:val="22"/>
      <w:szCs w:val="22"/>
    </w:rPr>
  </w:style>
  <w:style w:type="paragraph" w:customStyle="1" w:styleId="Contents">
    <w:name w:val="Contents"/>
    <w:basedOn w:val="Heading1"/>
    <w:next w:val="Normal"/>
    <w:rsid w:val="000D132C"/>
    <w:pPr>
      <w:keepLines/>
      <w:pageBreakBefore/>
      <w:pBdr>
        <w:bottom w:val="thickThinSmallGap" w:sz="18" w:space="6" w:color="auto"/>
      </w:pBdr>
      <w:tabs>
        <w:tab w:val="clear" w:pos="432"/>
        <w:tab w:val="left" w:pos="706"/>
      </w:tabs>
      <w:spacing w:before="0" w:after="600"/>
    </w:pPr>
    <w:rPr>
      <w:rFonts w:ascii="Arial" w:hAnsi="Arial" w:cs="Arial"/>
      <w:b/>
      <w:sz w:val="32"/>
      <w:szCs w:val="32"/>
    </w:rPr>
  </w:style>
  <w:style w:type="paragraph" w:customStyle="1" w:styleId="SidebarTextbox">
    <w:name w:val="Sidebar Text box"/>
    <w:basedOn w:val="Textbox-body"/>
    <w:semiHidden/>
    <w:rsid w:val="000D132C"/>
    <w:pPr>
      <w:framePr w:wrap="around" w:hAnchor="text" w:y="7057"/>
    </w:pPr>
    <w:rPr>
      <w:i/>
    </w:rPr>
  </w:style>
  <w:style w:type="paragraph" w:customStyle="1" w:styleId="tableindentsideheading">
    <w:name w:val="table indent side heading"/>
    <w:basedOn w:val="Tablesideheadings"/>
    <w:rsid w:val="000D132C"/>
    <w:pPr>
      <w:ind w:left="216"/>
    </w:pPr>
    <w:rPr>
      <w:rFonts w:cs="Arial"/>
    </w:rPr>
  </w:style>
  <w:style w:type="paragraph" w:customStyle="1" w:styleId="tabledoubleindentsideheading">
    <w:name w:val="table double indent side heading"/>
    <w:basedOn w:val="tableindentsideheading"/>
    <w:rsid w:val="000D132C"/>
    <w:pPr>
      <w:ind w:left="432"/>
    </w:pPr>
  </w:style>
  <w:style w:type="paragraph" w:customStyle="1" w:styleId="insertexhibitstyle">
    <w:name w:val="[insert exhibit style]"/>
    <w:basedOn w:val="Caption"/>
    <w:next w:val="Normal"/>
    <w:semiHidden/>
    <w:rsid w:val="000D132C"/>
    <w:pPr>
      <w:spacing w:after="240"/>
    </w:pPr>
    <w:rPr>
      <w:b w:val="0"/>
    </w:rPr>
  </w:style>
  <w:style w:type="paragraph" w:customStyle="1" w:styleId="Source">
    <w:name w:val="Source"/>
    <w:basedOn w:val="BodyText"/>
    <w:rsid w:val="000D132C"/>
    <w:pPr>
      <w:tabs>
        <w:tab w:val="left" w:pos="639"/>
      </w:tabs>
      <w:spacing w:before="60" w:after="60" w:line="240" w:lineRule="auto"/>
    </w:pPr>
    <w:rPr>
      <w:rFonts w:ascii="Arial" w:hAnsi="Arial" w:cs="Arial"/>
      <w:i/>
      <w:sz w:val="16"/>
      <w:szCs w:val="16"/>
    </w:rPr>
  </w:style>
  <w:style w:type="paragraph" w:styleId="BodyText">
    <w:name w:val="Body Text"/>
    <w:basedOn w:val="Normal"/>
    <w:link w:val="BodyTextChar"/>
    <w:rsid w:val="000D132C"/>
    <w:pPr>
      <w:spacing w:before="120" w:after="120" w:line="300" w:lineRule="auto"/>
    </w:pPr>
    <w:rPr>
      <w:szCs w:val="20"/>
    </w:rPr>
  </w:style>
  <w:style w:type="character" w:customStyle="1" w:styleId="BodyTextChar">
    <w:name w:val="Body Text Char"/>
    <w:basedOn w:val="DefaultParagraphFont"/>
    <w:link w:val="BodyText"/>
    <w:rsid w:val="000D132C"/>
    <w:rPr>
      <w:rFonts w:eastAsia="Times New Roman" w:cs="Times New Roman"/>
      <w:szCs w:val="20"/>
    </w:rPr>
  </w:style>
  <w:style w:type="paragraph" w:customStyle="1" w:styleId="TableList11">
    <w:name w:val="Table List 11"/>
    <w:basedOn w:val="Tablesideheadings"/>
    <w:rsid w:val="000D132C"/>
    <w:pPr>
      <w:numPr>
        <w:numId w:val="16"/>
      </w:numPr>
      <w:tabs>
        <w:tab w:val="clear" w:pos="346"/>
        <w:tab w:val="num" w:pos="360"/>
      </w:tabs>
    </w:pPr>
    <w:rPr>
      <w:rFonts w:cs="Arial"/>
    </w:rPr>
  </w:style>
  <w:style w:type="paragraph" w:customStyle="1" w:styleId="TableList21">
    <w:name w:val="Table List 21"/>
    <w:basedOn w:val="Tablesideheadings"/>
    <w:rsid w:val="000D132C"/>
    <w:pPr>
      <w:numPr>
        <w:ilvl w:val="1"/>
        <w:numId w:val="16"/>
      </w:numPr>
      <w:ind w:left="620" w:hanging="130"/>
    </w:pPr>
    <w:rPr>
      <w:rFonts w:cs="Arial"/>
    </w:rPr>
  </w:style>
  <w:style w:type="paragraph" w:customStyle="1" w:styleId="TableList31">
    <w:name w:val="Table List 31"/>
    <w:basedOn w:val="Tablesideheadings"/>
    <w:rsid w:val="000D132C"/>
    <w:pPr>
      <w:numPr>
        <w:ilvl w:val="2"/>
        <w:numId w:val="16"/>
      </w:numPr>
    </w:pPr>
    <w:rPr>
      <w:rFonts w:cs="Arial"/>
    </w:rPr>
  </w:style>
  <w:style w:type="paragraph" w:customStyle="1" w:styleId="TableList41">
    <w:name w:val="Table List 41"/>
    <w:basedOn w:val="Tablesideheadings"/>
    <w:rsid w:val="000D132C"/>
    <w:pPr>
      <w:numPr>
        <w:ilvl w:val="3"/>
        <w:numId w:val="16"/>
      </w:numPr>
      <w:ind w:left="1268" w:hanging="130"/>
    </w:pPr>
    <w:rPr>
      <w:rFonts w:cs="Arial"/>
    </w:rPr>
  </w:style>
  <w:style w:type="paragraph" w:customStyle="1" w:styleId="Textboxbullet1">
    <w:name w:val="Text box bullet 1"/>
    <w:basedOn w:val="Textbox-body"/>
    <w:rsid w:val="000D132C"/>
    <w:pPr>
      <w:numPr>
        <w:numId w:val="17"/>
      </w:numPr>
      <w:tabs>
        <w:tab w:val="clear" w:pos="374"/>
      </w:tabs>
      <w:spacing w:after="0"/>
      <w:ind w:left="792" w:hanging="360"/>
    </w:pPr>
  </w:style>
  <w:style w:type="paragraph" w:customStyle="1" w:styleId="Textboxbullet2">
    <w:name w:val="Text box bullet 2"/>
    <w:basedOn w:val="Textbox-body"/>
    <w:rsid w:val="000D132C"/>
    <w:pPr>
      <w:numPr>
        <w:ilvl w:val="1"/>
        <w:numId w:val="17"/>
      </w:numPr>
      <w:tabs>
        <w:tab w:val="clear" w:pos="706"/>
        <w:tab w:val="num" w:pos="360"/>
      </w:tabs>
      <w:spacing w:before="10" w:after="0"/>
      <w:ind w:left="705" w:hanging="331"/>
    </w:pPr>
  </w:style>
  <w:style w:type="paragraph" w:customStyle="1" w:styleId="Textboxbullet3">
    <w:name w:val="Text box bullet 3"/>
    <w:basedOn w:val="Textbox-body"/>
    <w:rsid w:val="000D132C"/>
    <w:pPr>
      <w:numPr>
        <w:ilvl w:val="2"/>
        <w:numId w:val="17"/>
      </w:numPr>
      <w:tabs>
        <w:tab w:val="clear" w:pos="965"/>
        <w:tab w:val="num" w:pos="360"/>
      </w:tabs>
      <w:spacing w:after="0"/>
      <w:ind w:left="2592" w:hanging="360"/>
    </w:pPr>
  </w:style>
  <w:style w:type="paragraph" w:customStyle="1" w:styleId="Textboxbullet4">
    <w:name w:val="Text box bullet 4"/>
    <w:basedOn w:val="Textbox-body"/>
    <w:rsid w:val="000D132C"/>
    <w:pPr>
      <w:numPr>
        <w:ilvl w:val="3"/>
        <w:numId w:val="17"/>
      </w:numPr>
      <w:tabs>
        <w:tab w:val="clear" w:pos="1195"/>
        <w:tab w:val="num" w:pos="360"/>
      </w:tabs>
      <w:spacing w:before="10" w:after="0"/>
      <w:ind w:left="3312" w:hanging="360"/>
    </w:pPr>
  </w:style>
  <w:style w:type="paragraph" w:customStyle="1" w:styleId="Textboxbulletnumbered1">
    <w:name w:val="Text box bullet numbered 1"/>
    <w:basedOn w:val="Textbox-body"/>
    <w:rsid w:val="000D132C"/>
    <w:pPr>
      <w:numPr>
        <w:numId w:val="18"/>
      </w:numPr>
      <w:tabs>
        <w:tab w:val="clear" w:pos="518"/>
        <w:tab w:val="num" w:pos="720"/>
      </w:tabs>
      <w:spacing w:after="0"/>
      <w:ind w:left="519" w:hanging="130"/>
    </w:pPr>
  </w:style>
  <w:style w:type="paragraph" w:customStyle="1" w:styleId="Textboxbulletnumbered2">
    <w:name w:val="Text box bullet numbered 2"/>
    <w:basedOn w:val="Textbox-body"/>
    <w:rsid w:val="000D132C"/>
    <w:pPr>
      <w:numPr>
        <w:ilvl w:val="1"/>
        <w:numId w:val="18"/>
      </w:numPr>
      <w:tabs>
        <w:tab w:val="clear" w:pos="806"/>
        <w:tab w:val="num" w:pos="346"/>
      </w:tabs>
      <w:spacing w:after="0"/>
      <w:ind w:left="807" w:hanging="130"/>
    </w:pPr>
  </w:style>
  <w:style w:type="paragraph" w:customStyle="1" w:styleId="Textboxbulletnumbered3">
    <w:name w:val="Text box bullet numbered 3"/>
    <w:basedOn w:val="Textbox-body"/>
    <w:rsid w:val="000D132C"/>
    <w:pPr>
      <w:numPr>
        <w:ilvl w:val="2"/>
        <w:numId w:val="18"/>
      </w:numPr>
      <w:tabs>
        <w:tab w:val="clear" w:pos="1181"/>
        <w:tab w:val="num" w:pos="346"/>
      </w:tabs>
      <w:spacing w:after="0"/>
      <w:ind w:left="1080" w:hanging="360"/>
    </w:pPr>
  </w:style>
  <w:style w:type="paragraph" w:customStyle="1" w:styleId="Textboxbulletnumbered4">
    <w:name w:val="Text box bullet numbered 4"/>
    <w:basedOn w:val="Textbox-body"/>
    <w:rsid w:val="000D132C"/>
    <w:pPr>
      <w:numPr>
        <w:ilvl w:val="3"/>
        <w:numId w:val="18"/>
      </w:numPr>
      <w:tabs>
        <w:tab w:val="clear" w:pos="1584"/>
        <w:tab w:val="num" w:pos="346"/>
      </w:tabs>
      <w:spacing w:after="0"/>
      <w:ind w:left="1440" w:hanging="360"/>
    </w:pPr>
  </w:style>
  <w:style w:type="character" w:customStyle="1" w:styleId="Tablebullet1Char">
    <w:name w:val="Table bullet 1 Char"/>
    <w:basedOn w:val="DefaultParagraphFont"/>
    <w:link w:val="Tablebullet1"/>
    <w:rsid w:val="000D132C"/>
    <w:rPr>
      <w:rFonts w:ascii="Arial" w:eastAsia="Times New Roman" w:hAnsi="Arial" w:cs="Arial"/>
      <w:sz w:val="20"/>
      <w:szCs w:val="20"/>
    </w:rPr>
  </w:style>
  <w:style w:type="table" w:customStyle="1" w:styleId="LightList1">
    <w:name w:val="Light List1"/>
    <w:basedOn w:val="TableNormal"/>
    <w:uiPriority w:val="61"/>
    <w:locked/>
    <w:rsid w:val="000D132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semiHidden/>
    <w:unhideWhenUsed/>
    <w:rsid w:val="000D132C"/>
    <w:rPr>
      <w:color w:val="800080" w:themeColor="followedHyperlink"/>
      <w:u w:val="single"/>
    </w:rPr>
  </w:style>
  <w:style w:type="paragraph" w:customStyle="1" w:styleId="NormalItalic">
    <w:name w:val="Normal Italic"/>
    <w:basedOn w:val="Normal"/>
    <w:qFormat/>
    <w:rsid w:val="000D132C"/>
    <w:pPr>
      <w:spacing w:before="120" w:after="120"/>
    </w:pPr>
    <w:rPr>
      <w:rFonts w:eastAsia="Calibri"/>
      <w:i/>
    </w:rPr>
  </w:style>
  <w:style w:type="paragraph" w:customStyle="1" w:styleId="NormalItalics">
    <w:name w:val="Normal Italics"/>
    <w:basedOn w:val="Normal"/>
    <w:qFormat/>
    <w:rsid w:val="000D132C"/>
    <w:pPr>
      <w:spacing w:before="120" w:after="120"/>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383">
      <w:bodyDiv w:val="1"/>
      <w:marLeft w:val="0"/>
      <w:marRight w:val="0"/>
      <w:marTop w:val="0"/>
      <w:marBottom w:val="0"/>
      <w:divBdr>
        <w:top w:val="none" w:sz="0" w:space="0" w:color="auto"/>
        <w:left w:val="none" w:sz="0" w:space="0" w:color="auto"/>
        <w:bottom w:val="none" w:sz="0" w:space="0" w:color="auto"/>
        <w:right w:val="none" w:sz="0" w:space="0" w:color="auto"/>
      </w:divBdr>
    </w:div>
    <w:div w:id="853303198">
      <w:bodyDiv w:val="1"/>
      <w:marLeft w:val="0"/>
      <w:marRight w:val="0"/>
      <w:marTop w:val="0"/>
      <w:marBottom w:val="0"/>
      <w:divBdr>
        <w:top w:val="none" w:sz="0" w:space="0" w:color="auto"/>
        <w:left w:val="none" w:sz="0" w:space="0" w:color="auto"/>
        <w:bottom w:val="none" w:sz="0" w:space="0" w:color="auto"/>
        <w:right w:val="none" w:sz="0" w:space="0" w:color="auto"/>
      </w:divBdr>
    </w:div>
    <w:div w:id="1587768258">
      <w:bodyDiv w:val="1"/>
      <w:marLeft w:val="0"/>
      <w:marRight w:val="0"/>
      <w:marTop w:val="0"/>
      <w:marBottom w:val="0"/>
      <w:divBdr>
        <w:top w:val="none" w:sz="0" w:space="0" w:color="auto"/>
        <w:left w:val="none" w:sz="0" w:space="0" w:color="auto"/>
        <w:bottom w:val="none" w:sz="0" w:space="0" w:color="auto"/>
        <w:right w:val="none" w:sz="0" w:space="0" w:color="auto"/>
      </w:divBdr>
      <w:divsChild>
        <w:div w:id="760220608">
          <w:marLeft w:val="0"/>
          <w:marRight w:val="0"/>
          <w:marTop w:val="0"/>
          <w:marBottom w:val="375"/>
          <w:divBdr>
            <w:top w:val="none" w:sz="0" w:space="0" w:color="auto"/>
            <w:left w:val="none" w:sz="0" w:space="0" w:color="auto"/>
            <w:bottom w:val="none" w:sz="0" w:space="0" w:color="auto"/>
            <w:right w:val="none" w:sz="0" w:space="0" w:color="auto"/>
          </w:divBdr>
          <w:divsChild>
            <w:div w:id="446004017">
              <w:marLeft w:val="0"/>
              <w:marRight w:val="0"/>
              <w:marTop w:val="0"/>
              <w:marBottom w:val="375"/>
              <w:divBdr>
                <w:top w:val="none" w:sz="0" w:space="0" w:color="auto"/>
                <w:left w:val="none" w:sz="0" w:space="0" w:color="auto"/>
                <w:bottom w:val="none" w:sz="0" w:space="0" w:color="auto"/>
                <w:right w:val="none" w:sz="0" w:space="0" w:color="auto"/>
              </w:divBdr>
              <w:divsChild>
                <w:div w:id="1006129568">
                  <w:marLeft w:val="0"/>
                  <w:marRight w:val="0"/>
                  <w:marTop w:val="225"/>
                  <w:marBottom w:val="0"/>
                  <w:divBdr>
                    <w:top w:val="none" w:sz="0" w:space="0" w:color="auto"/>
                    <w:left w:val="none" w:sz="0" w:space="0" w:color="auto"/>
                    <w:bottom w:val="none" w:sz="0" w:space="0" w:color="auto"/>
                    <w:right w:val="none" w:sz="0" w:space="0" w:color="auto"/>
                  </w:divBdr>
                  <w:divsChild>
                    <w:div w:id="1323392442">
                      <w:marLeft w:val="0"/>
                      <w:marRight w:val="0"/>
                      <w:marTop w:val="0"/>
                      <w:marBottom w:val="0"/>
                      <w:divBdr>
                        <w:top w:val="none" w:sz="0" w:space="0" w:color="auto"/>
                        <w:left w:val="none" w:sz="0" w:space="0" w:color="auto"/>
                        <w:bottom w:val="none" w:sz="0" w:space="0" w:color="auto"/>
                        <w:right w:val="none" w:sz="0" w:space="0" w:color="auto"/>
                      </w:divBdr>
                      <w:divsChild>
                        <w:div w:id="355232954">
                          <w:marLeft w:val="0"/>
                          <w:marRight w:val="0"/>
                          <w:marTop w:val="0"/>
                          <w:marBottom w:val="0"/>
                          <w:divBdr>
                            <w:top w:val="none" w:sz="0" w:space="0" w:color="auto"/>
                            <w:left w:val="none" w:sz="0" w:space="0" w:color="auto"/>
                            <w:bottom w:val="none" w:sz="0" w:space="0" w:color="auto"/>
                            <w:right w:val="none" w:sz="0" w:space="0" w:color="auto"/>
                          </w:divBdr>
                          <w:divsChild>
                            <w:div w:id="10215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7600B-7378-47F2-B97D-0B28487B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Irwin, Molly E - ASP</dc:creator>
  <cp:lastModifiedBy>SYSTEM</cp:lastModifiedBy>
  <cp:revision>2</cp:revision>
  <cp:lastPrinted>2017-08-10T22:47:00Z</cp:lastPrinted>
  <dcterms:created xsi:type="dcterms:W3CDTF">2018-04-12T21:19:00Z</dcterms:created>
  <dcterms:modified xsi:type="dcterms:W3CDTF">2018-04-12T21:19:00Z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