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5FCBF" w14:textId="77777777" w:rsidR="00E57288" w:rsidRDefault="00E57288">
      <w:pPr>
        <w:jc w:val="center"/>
        <w:rPr>
          <w:rFonts w:ascii="Times New Roman" w:hAnsi="Times New Roman" w:cs="Times New Roman"/>
          <w:sz w:val="24"/>
        </w:rPr>
      </w:pPr>
      <w:bookmarkStart w:id="0" w:name="_GoBack"/>
      <w:bookmarkEnd w:id="0"/>
      <w:r>
        <w:rPr>
          <w:rFonts w:ascii="Times New Roman" w:hAnsi="Times New Roman" w:cs="Times New Roman"/>
          <w:sz w:val="24"/>
        </w:rPr>
        <w:t>SUPPORTING STATEMENT</w:t>
      </w:r>
    </w:p>
    <w:p w14:paraId="101DD99F" w14:textId="77777777" w:rsidR="00FE0AED" w:rsidRDefault="00FE0AED">
      <w:pPr>
        <w:jc w:val="center"/>
        <w:rPr>
          <w:rFonts w:ascii="Times New Roman" w:hAnsi="Times New Roman" w:cs="Times New Roman"/>
          <w:sz w:val="24"/>
        </w:rPr>
      </w:pPr>
      <w:r>
        <w:rPr>
          <w:rFonts w:ascii="Times New Roman" w:hAnsi="Times New Roman" w:cs="Times New Roman"/>
          <w:sz w:val="24"/>
        </w:rPr>
        <w:t>OMB Control Number 1506-0029</w:t>
      </w:r>
    </w:p>
    <w:p w14:paraId="64325F02" w14:textId="77777777" w:rsidR="003C55A7" w:rsidRDefault="003C55A7" w:rsidP="003C55A7">
      <w:pPr>
        <w:pStyle w:val="PlainText"/>
        <w:jc w:val="center"/>
        <w:rPr>
          <w:rFonts w:ascii="Times New Roman" w:eastAsia="MS Mincho" w:hAnsi="Times New Roman" w:cs="Times New Roman"/>
          <w:sz w:val="24"/>
        </w:rPr>
      </w:pPr>
      <w:r>
        <w:rPr>
          <w:rFonts w:ascii="Times New Roman" w:eastAsia="MS Mincho" w:hAnsi="Times New Roman" w:cs="Times New Roman"/>
          <w:sz w:val="24"/>
        </w:rPr>
        <w:t>Reports by Insurance Companies of Suspicious Transactions</w:t>
      </w:r>
    </w:p>
    <w:p w14:paraId="7B73BD0B" w14:textId="77777777" w:rsidR="003C55A7" w:rsidRDefault="003C55A7">
      <w:pPr>
        <w:jc w:val="center"/>
        <w:rPr>
          <w:rFonts w:ascii="Times New Roman" w:hAnsi="Times New Roman" w:cs="Times New Roman"/>
          <w:sz w:val="24"/>
        </w:rPr>
      </w:pPr>
    </w:p>
    <w:p w14:paraId="22284FBA" w14:textId="77777777" w:rsidR="00E57288" w:rsidRDefault="00E57288">
      <w:pPr>
        <w:jc w:val="center"/>
        <w:rPr>
          <w:rFonts w:ascii="Times New Roman" w:hAnsi="Times New Roman" w:cs="Times New Roman"/>
          <w:sz w:val="24"/>
        </w:rPr>
      </w:pPr>
    </w:p>
    <w:p w14:paraId="7F874871" w14:textId="77777777" w:rsidR="00E57288" w:rsidRPr="002E06BB" w:rsidRDefault="00E57288" w:rsidP="002E06BB">
      <w:pPr>
        <w:pStyle w:val="ListParagraph"/>
        <w:numPr>
          <w:ilvl w:val="0"/>
          <w:numId w:val="12"/>
        </w:numPr>
        <w:ind w:left="270" w:hanging="270"/>
        <w:rPr>
          <w:rFonts w:ascii="Times New Roman" w:hAnsi="Times New Roman" w:cs="Times New Roman"/>
          <w:sz w:val="24"/>
          <w:szCs w:val="24"/>
          <w:u w:val="single"/>
        </w:rPr>
      </w:pPr>
      <w:r w:rsidRPr="002E06BB">
        <w:rPr>
          <w:rFonts w:ascii="Times New Roman" w:hAnsi="Times New Roman" w:cs="Times New Roman"/>
          <w:sz w:val="24"/>
          <w:szCs w:val="24"/>
          <w:u w:val="single"/>
        </w:rPr>
        <w:t>Circumstances Necessitating Collection of Information</w:t>
      </w:r>
      <w:r w:rsidR="00D909D5" w:rsidRPr="0097098C">
        <w:rPr>
          <w:rFonts w:ascii="Times New Roman" w:hAnsi="Times New Roman" w:cs="Times New Roman"/>
          <w:sz w:val="24"/>
          <w:szCs w:val="24"/>
        </w:rPr>
        <w:t>.</w:t>
      </w:r>
      <w:r w:rsidRPr="002E06BB">
        <w:rPr>
          <w:rFonts w:ascii="Times New Roman" w:hAnsi="Times New Roman" w:cs="Times New Roman"/>
          <w:sz w:val="24"/>
          <w:szCs w:val="24"/>
          <w:u w:val="single"/>
        </w:rPr>
        <w:t xml:space="preserve"> </w:t>
      </w:r>
    </w:p>
    <w:p w14:paraId="03F307E6" w14:textId="77777777" w:rsidR="00E57288" w:rsidRDefault="00E57288">
      <w:pPr>
        <w:rPr>
          <w:rFonts w:ascii="Times New Roman" w:hAnsi="Times New Roman" w:cs="Times New Roman"/>
          <w:sz w:val="24"/>
          <w:szCs w:val="24"/>
          <w:u w:val="single"/>
        </w:rPr>
      </w:pPr>
    </w:p>
    <w:p w14:paraId="1D82A4F3" w14:textId="32EE1DD0"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The Bank Secrecy Act</w:t>
      </w:r>
      <w:r w:rsidR="008F3DE3">
        <w:rPr>
          <w:rFonts w:ascii="Times New Roman" w:hAnsi="Times New Roman" w:cs="Times New Roman"/>
          <w:sz w:val="24"/>
          <w:szCs w:val="24"/>
        </w:rPr>
        <w:t xml:space="preserve"> (BSA)</w:t>
      </w:r>
      <w:r>
        <w:rPr>
          <w:rFonts w:ascii="Times New Roman" w:hAnsi="Times New Roman" w:cs="Times New Roman"/>
          <w:sz w:val="24"/>
          <w:szCs w:val="24"/>
        </w:rPr>
        <w:t xml:space="preserve">, Titles I and II of Pub. L. 91-508, as amended, codified at 12 U.S.C. 1829, 12 U.S.C. 1951-1959, and 31 U.S.C. 5311-5330, authorizes the Secretary of the Treasury to issue regulations requiring records and reports that are determined to have a high degree of usefulness in criminal, tax, and regulatory matters, or in the conduct of intelligence or counter-intelligence activities, including analysis, to protect against international terrorism, and to implement anti-money laundering programs and compliance procedures.  </w:t>
      </w:r>
      <w:r w:rsidR="0036378B">
        <w:rPr>
          <w:rFonts w:ascii="Times New Roman" w:hAnsi="Times New Roman" w:cs="Times New Roman"/>
          <w:sz w:val="24"/>
          <w:szCs w:val="24"/>
        </w:rPr>
        <w:t xml:space="preserve">Regulations implementing Title II of the </w:t>
      </w:r>
      <w:r w:rsidR="00D05DB4">
        <w:rPr>
          <w:rFonts w:ascii="Times New Roman" w:hAnsi="Times New Roman" w:cs="Times New Roman"/>
          <w:sz w:val="24"/>
          <w:szCs w:val="24"/>
        </w:rPr>
        <w:t>BSA</w:t>
      </w:r>
      <w:r w:rsidR="0036378B">
        <w:rPr>
          <w:rFonts w:ascii="Times New Roman" w:hAnsi="Times New Roman" w:cs="Times New Roman"/>
          <w:sz w:val="24"/>
          <w:szCs w:val="24"/>
        </w:rPr>
        <w:t xml:space="preserve"> (codified-at 31 U.S.C. 5311-5330) appear at 31 CFR </w:t>
      </w:r>
      <w:r w:rsidR="00381DA2">
        <w:rPr>
          <w:rFonts w:ascii="Times New Roman" w:hAnsi="Times New Roman" w:cs="Times New Roman"/>
          <w:sz w:val="24"/>
          <w:szCs w:val="24"/>
        </w:rPr>
        <w:t>Chapter X</w:t>
      </w:r>
      <w:r w:rsidR="0036378B">
        <w:rPr>
          <w:rFonts w:ascii="Times New Roman" w:hAnsi="Times New Roman" w:cs="Times New Roman"/>
          <w:sz w:val="24"/>
          <w:szCs w:val="24"/>
        </w:rPr>
        <w:t xml:space="preserve">. </w:t>
      </w:r>
      <w:r>
        <w:rPr>
          <w:rFonts w:ascii="Times New Roman" w:hAnsi="Times New Roman" w:cs="Times New Roman"/>
          <w:sz w:val="24"/>
          <w:szCs w:val="24"/>
        </w:rPr>
        <w:t xml:space="preserve">The authority of the Secretary of the Treasury to administer the </w:t>
      </w:r>
      <w:r w:rsidR="00D05DB4">
        <w:rPr>
          <w:rFonts w:ascii="Times New Roman" w:hAnsi="Times New Roman" w:cs="Times New Roman"/>
          <w:sz w:val="24"/>
          <w:szCs w:val="24"/>
        </w:rPr>
        <w:t>BSA</w:t>
      </w:r>
      <w:r>
        <w:rPr>
          <w:rFonts w:ascii="Times New Roman" w:hAnsi="Times New Roman" w:cs="Times New Roman"/>
          <w:sz w:val="24"/>
          <w:szCs w:val="24"/>
        </w:rPr>
        <w:t xml:space="preserve"> regulations has been delegated to the Director of the Financial Crimes Enforcement Network</w:t>
      </w:r>
      <w:r w:rsidR="00557747">
        <w:rPr>
          <w:rFonts w:ascii="Times New Roman" w:hAnsi="Times New Roman" w:cs="Times New Roman"/>
          <w:sz w:val="24"/>
          <w:szCs w:val="24"/>
        </w:rPr>
        <w:t xml:space="preserve"> (FinCEN)</w:t>
      </w:r>
      <w:r>
        <w:rPr>
          <w:rFonts w:ascii="Times New Roman" w:hAnsi="Times New Roman" w:cs="Times New Roman"/>
          <w:sz w:val="24"/>
          <w:szCs w:val="24"/>
        </w:rPr>
        <w:t xml:space="preserve">. </w:t>
      </w:r>
    </w:p>
    <w:p w14:paraId="37FEC011" w14:textId="77777777" w:rsidR="00E57288" w:rsidRDefault="00E57288">
      <w:pPr>
        <w:rPr>
          <w:rFonts w:ascii="Times New Roman" w:hAnsi="Times New Roman" w:cs="Times New Roman"/>
          <w:sz w:val="24"/>
          <w:szCs w:val="24"/>
        </w:rPr>
      </w:pPr>
    </w:p>
    <w:p w14:paraId="431B1216" w14:textId="73FA93DE"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 xml:space="preserve">Under 31 U.S.C. 5318(g), the Secretary of the Treasury is authorized to require financial institutions, including insurance companies, to report suspicious transactions.  Section 5318(g) was added to the </w:t>
      </w:r>
      <w:r w:rsidR="00D05DB4">
        <w:rPr>
          <w:rFonts w:ascii="Times New Roman" w:hAnsi="Times New Roman" w:cs="Times New Roman"/>
          <w:sz w:val="24"/>
          <w:szCs w:val="24"/>
        </w:rPr>
        <w:t>BSA</w:t>
      </w:r>
      <w:r>
        <w:rPr>
          <w:rFonts w:ascii="Times New Roman" w:hAnsi="Times New Roman" w:cs="Times New Roman"/>
          <w:sz w:val="24"/>
          <w:szCs w:val="24"/>
        </w:rPr>
        <w:t xml:space="preserve"> by section 1517 of the Annunzio-Wylie Anti-Money Laundering Act, Title XV of the Housing and Community Development Act of 1992, Pub. L. No. 102-550. </w:t>
      </w:r>
    </w:p>
    <w:p w14:paraId="00919B88" w14:textId="77777777" w:rsidR="00E57288" w:rsidRDefault="00E57288">
      <w:pPr>
        <w:rPr>
          <w:rFonts w:ascii="Times New Roman" w:hAnsi="Times New Roman" w:cs="Times New Roman"/>
          <w:sz w:val="24"/>
          <w:szCs w:val="24"/>
        </w:rPr>
      </w:pPr>
    </w:p>
    <w:p w14:paraId="6D085318" w14:textId="032DA6F4"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Regulations implementing the suspicious activity</w:t>
      </w:r>
      <w:r w:rsidR="00A74282">
        <w:rPr>
          <w:rFonts w:ascii="Times New Roman" w:hAnsi="Times New Roman" w:cs="Times New Roman"/>
          <w:sz w:val="24"/>
          <w:szCs w:val="24"/>
        </w:rPr>
        <w:t xml:space="preserve"> </w:t>
      </w:r>
      <w:r>
        <w:rPr>
          <w:rFonts w:ascii="Times New Roman" w:hAnsi="Times New Roman" w:cs="Times New Roman"/>
          <w:sz w:val="24"/>
          <w:szCs w:val="24"/>
        </w:rPr>
        <w:t xml:space="preserve">reporting </w:t>
      </w:r>
      <w:r w:rsidR="002E06BB">
        <w:rPr>
          <w:rFonts w:ascii="Times New Roman" w:hAnsi="Times New Roman" w:cs="Times New Roman"/>
          <w:sz w:val="24"/>
          <w:szCs w:val="24"/>
        </w:rPr>
        <w:t xml:space="preserve">(SAR) </w:t>
      </w:r>
      <w:r>
        <w:rPr>
          <w:rFonts w:ascii="Times New Roman" w:hAnsi="Times New Roman" w:cs="Times New Roman"/>
          <w:sz w:val="24"/>
          <w:szCs w:val="24"/>
        </w:rPr>
        <w:t>requirement with respect to certain insurance companies</w:t>
      </w:r>
      <w:r w:rsidR="005D6DA5">
        <w:rPr>
          <w:rFonts w:ascii="Times New Roman" w:hAnsi="Times New Roman" w:cs="Times New Roman"/>
          <w:sz w:val="24"/>
          <w:szCs w:val="24"/>
        </w:rPr>
        <w:t>, specifically, those insurance companies that sell “covered products,”</w:t>
      </w:r>
      <w:r>
        <w:rPr>
          <w:rFonts w:ascii="Times New Roman" w:hAnsi="Times New Roman" w:cs="Times New Roman"/>
          <w:sz w:val="24"/>
          <w:szCs w:val="24"/>
        </w:rPr>
        <w:t xml:space="preserve"> are codified at 31 CFR 10</w:t>
      </w:r>
      <w:r w:rsidR="00FE0AED">
        <w:rPr>
          <w:rFonts w:ascii="Times New Roman" w:hAnsi="Times New Roman" w:cs="Times New Roman"/>
          <w:sz w:val="24"/>
          <w:szCs w:val="24"/>
        </w:rPr>
        <w:t>2</w:t>
      </w:r>
      <w:r w:rsidR="004308A8">
        <w:rPr>
          <w:rFonts w:ascii="Times New Roman" w:hAnsi="Times New Roman" w:cs="Times New Roman"/>
          <w:sz w:val="24"/>
          <w:szCs w:val="24"/>
        </w:rPr>
        <w:t>5</w:t>
      </w:r>
      <w:r>
        <w:rPr>
          <w:rFonts w:ascii="Times New Roman" w:hAnsi="Times New Roman" w:cs="Times New Roman"/>
          <w:sz w:val="24"/>
          <w:szCs w:val="24"/>
        </w:rPr>
        <w:t>.</w:t>
      </w:r>
      <w:r w:rsidR="00FE0AED">
        <w:rPr>
          <w:rFonts w:ascii="Times New Roman" w:hAnsi="Times New Roman" w:cs="Times New Roman"/>
          <w:sz w:val="24"/>
          <w:szCs w:val="24"/>
        </w:rPr>
        <w:t>320</w:t>
      </w:r>
      <w:r>
        <w:rPr>
          <w:rFonts w:ascii="Times New Roman" w:hAnsi="Times New Roman" w:cs="Times New Roman"/>
          <w:sz w:val="24"/>
          <w:szCs w:val="24"/>
        </w:rPr>
        <w:t>.</w:t>
      </w:r>
      <w:r w:rsidR="00D909D5">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 transaction must be reported under section 10</w:t>
      </w:r>
      <w:r w:rsidR="00FE0AED">
        <w:rPr>
          <w:rFonts w:ascii="Times New Roman" w:hAnsi="Times New Roman" w:cs="Times New Roman"/>
          <w:sz w:val="24"/>
          <w:szCs w:val="24"/>
        </w:rPr>
        <w:t>2</w:t>
      </w:r>
      <w:r w:rsidR="004308A8">
        <w:rPr>
          <w:rFonts w:ascii="Times New Roman" w:hAnsi="Times New Roman" w:cs="Times New Roman"/>
          <w:sz w:val="24"/>
          <w:szCs w:val="24"/>
        </w:rPr>
        <w:t>5</w:t>
      </w:r>
      <w:r>
        <w:rPr>
          <w:rFonts w:ascii="Times New Roman" w:hAnsi="Times New Roman" w:cs="Times New Roman"/>
          <w:sz w:val="24"/>
          <w:szCs w:val="24"/>
        </w:rPr>
        <w:t>.</w:t>
      </w:r>
      <w:r w:rsidR="00FE0AED">
        <w:rPr>
          <w:rFonts w:ascii="Times New Roman" w:hAnsi="Times New Roman" w:cs="Times New Roman"/>
          <w:sz w:val="24"/>
          <w:szCs w:val="24"/>
        </w:rPr>
        <w:t>320</w:t>
      </w:r>
      <w:r w:rsidR="00984DFB">
        <w:rPr>
          <w:rFonts w:ascii="Times New Roman" w:hAnsi="Times New Roman" w:cs="Times New Roman"/>
          <w:sz w:val="24"/>
          <w:szCs w:val="24"/>
        </w:rPr>
        <w:t xml:space="preserve"> </w:t>
      </w:r>
      <w:r>
        <w:rPr>
          <w:rFonts w:ascii="Times New Roman" w:hAnsi="Times New Roman" w:cs="Times New Roman"/>
          <w:sz w:val="24"/>
          <w:szCs w:val="24"/>
        </w:rPr>
        <w:t xml:space="preserve">if the transaction is conducted or attempted by, at, or through </w:t>
      </w:r>
      <w:r w:rsidR="005D6DA5">
        <w:rPr>
          <w:rFonts w:ascii="Times New Roman" w:hAnsi="Times New Roman" w:cs="Times New Roman"/>
          <w:sz w:val="24"/>
          <w:szCs w:val="24"/>
        </w:rPr>
        <w:t xml:space="preserve">an </w:t>
      </w:r>
      <w:r>
        <w:rPr>
          <w:rFonts w:ascii="Times New Roman" w:hAnsi="Times New Roman" w:cs="Times New Roman"/>
          <w:sz w:val="24"/>
          <w:szCs w:val="24"/>
        </w:rPr>
        <w:t>insurance compan</w:t>
      </w:r>
      <w:r w:rsidR="005D6DA5">
        <w:rPr>
          <w:rFonts w:ascii="Times New Roman" w:hAnsi="Times New Roman" w:cs="Times New Roman"/>
          <w:sz w:val="24"/>
          <w:szCs w:val="24"/>
        </w:rPr>
        <w:t>y</w:t>
      </w:r>
      <w:r>
        <w:rPr>
          <w:rFonts w:ascii="Times New Roman" w:hAnsi="Times New Roman" w:cs="Times New Roman"/>
          <w:sz w:val="24"/>
          <w:szCs w:val="24"/>
        </w:rPr>
        <w:t>, involves or aggregates funds of at least $5,000 and the insurance company knows, suspects, or has reason to suspect that the transaction or the pattern of transactions of which the transaction is a part:</w:t>
      </w:r>
    </w:p>
    <w:p w14:paraId="7368C3BE" w14:textId="77777777" w:rsidR="00E57288" w:rsidRDefault="00E57288">
      <w:pPr>
        <w:rPr>
          <w:rFonts w:ascii="Times New Roman" w:hAnsi="Times New Roman" w:cs="Times New Roman"/>
          <w:sz w:val="24"/>
          <w:szCs w:val="24"/>
        </w:rPr>
      </w:pPr>
    </w:p>
    <w:p w14:paraId="152A375A" w14:textId="77777777"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 xml:space="preserve">(i) involves funds derived from illegal activity or is intended or conducted in order to hide or disguise funds or assets derived from illegal activity; </w:t>
      </w:r>
    </w:p>
    <w:p w14:paraId="0F9A3DC2" w14:textId="77777777" w:rsidR="00E57288" w:rsidRDefault="00E57288">
      <w:pPr>
        <w:rPr>
          <w:rFonts w:ascii="Times New Roman" w:hAnsi="Times New Roman" w:cs="Times New Roman"/>
          <w:sz w:val="24"/>
          <w:szCs w:val="24"/>
        </w:rPr>
      </w:pPr>
    </w:p>
    <w:p w14:paraId="2B3FE896" w14:textId="77777777"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 xml:space="preserve">(ii) is designed to evade a recordkeeping or reporting requirement of a regulation promulgated under the Bank Secrecy Act; or </w:t>
      </w:r>
    </w:p>
    <w:p w14:paraId="4DCA834E" w14:textId="77777777" w:rsidR="00E57288" w:rsidRDefault="00E57288">
      <w:pPr>
        <w:rPr>
          <w:rFonts w:ascii="Times New Roman" w:hAnsi="Times New Roman" w:cs="Times New Roman"/>
          <w:sz w:val="24"/>
          <w:szCs w:val="24"/>
        </w:rPr>
      </w:pPr>
    </w:p>
    <w:p w14:paraId="6D1C25BE" w14:textId="77777777"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(iii) serves no business or apparent lawful purpose.</w:t>
      </w:r>
    </w:p>
    <w:p w14:paraId="6BE0E521" w14:textId="77777777" w:rsidR="00E57288" w:rsidRDefault="00E57288">
      <w:pPr>
        <w:rPr>
          <w:rFonts w:ascii="Times New Roman" w:hAnsi="Times New Roman" w:cs="Times New Roman"/>
          <w:sz w:val="24"/>
          <w:szCs w:val="24"/>
        </w:rPr>
      </w:pPr>
    </w:p>
    <w:p w14:paraId="2DC30D9D" w14:textId="096A8AA1" w:rsidR="00E57288" w:rsidRDefault="00E57288" w:rsidP="002E06BB">
      <w:pPr>
        <w:ind w:firstLine="270"/>
        <w:rPr>
          <w:rFonts w:ascii="Times New Roman" w:hAnsi="Times New Roman" w:cs="Times New Roman"/>
          <w:sz w:val="24"/>
          <w:szCs w:val="24"/>
        </w:rPr>
      </w:pPr>
      <w:r>
        <w:rPr>
          <w:rFonts w:ascii="Times New Roman" w:hAnsi="Times New Roman" w:cs="Times New Roman"/>
          <w:sz w:val="24"/>
          <w:szCs w:val="24"/>
        </w:rPr>
        <w:t>Section 10</w:t>
      </w:r>
      <w:r w:rsidR="00FE0AED">
        <w:rPr>
          <w:rFonts w:ascii="Times New Roman" w:hAnsi="Times New Roman" w:cs="Times New Roman"/>
          <w:sz w:val="24"/>
          <w:szCs w:val="24"/>
        </w:rPr>
        <w:t>2</w:t>
      </w:r>
      <w:r w:rsidR="004308A8">
        <w:rPr>
          <w:rFonts w:ascii="Times New Roman" w:hAnsi="Times New Roman" w:cs="Times New Roman"/>
          <w:sz w:val="24"/>
          <w:szCs w:val="24"/>
        </w:rPr>
        <w:t>5</w:t>
      </w:r>
      <w:r>
        <w:rPr>
          <w:rFonts w:ascii="Times New Roman" w:hAnsi="Times New Roman" w:cs="Times New Roman"/>
          <w:sz w:val="24"/>
          <w:szCs w:val="24"/>
        </w:rPr>
        <w:t>.</w:t>
      </w:r>
      <w:r w:rsidR="00FE0AED">
        <w:rPr>
          <w:rFonts w:ascii="Times New Roman" w:hAnsi="Times New Roman" w:cs="Times New Roman"/>
          <w:sz w:val="24"/>
          <w:szCs w:val="24"/>
        </w:rPr>
        <w:t>320</w:t>
      </w:r>
      <w:r>
        <w:rPr>
          <w:rFonts w:ascii="Times New Roman" w:hAnsi="Times New Roman" w:cs="Times New Roman"/>
          <w:sz w:val="24"/>
          <w:szCs w:val="24"/>
        </w:rPr>
        <w:t>(</w:t>
      </w:r>
      <w:r w:rsidR="004308A8">
        <w:rPr>
          <w:rFonts w:ascii="Times New Roman" w:hAnsi="Times New Roman" w:cs="Times New Roman"/>
          <w:sz w:val="24"/>
          <w:szCs w:val="24"/>
        </w:rPr>
        <w:t>d</w:t>
      </w:r>
      <w:r>
        <w:rPr>
          <w:rFonts w:ascii="Times New Roman" w:hAnsi="Times New Roman" w:cs="Times New Roman"/>
          <w:sz w:val="24"/>
          <w:szCs w:val="24"/>
        </w:rPr>
        <w:t>) requires reporting insurance companies to retain a copy of any SAR filed and supporting documentation for five years.  These documents are necessary for criminal investigations and prosecutions.</w:t>
      </w:r>
    </w:p>
    <w:p w14:paraId="2EEE05CB" w14:textId="77777777" w:rsidR="00E57288" w:rsidRDefault="00E57288">
      <w:pPr>
        <w:rPr>
          <w:rFonts w:ascii="Times New Roman" w:hAnsi="Times New Roman" w:cs="Times New Roman"/>
          <w:sz w:val="24"/>
          <w:szCs w:val="24"/>
        </w:rPr>
      </w:pPr>
    </w:p>
    <w:p w14:paraId="7C611AB4"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2. </w:t>
      </w:r>
      <w:r>
        <w:rPr>
          <w:rFonts w:ascii="Times New Roman" w:hAnsi="Times New Roman" w:cs="Times New Roman"/>
          <w:sz w:val="24"/>
          <w:szCs w:val="24"/>
          <w:u w:val="single"/>
        </w:rPr>
        <w:t>Method of Collection and Use of Data</w:t>
      </w:r>
      <w:r w:rsidRPr="0097098C">
        <w:rPr>
          <w:rFonts w:ascii="Times New Roman" w:hAnsi="Times New Roman" w:cs="Times New Roman"/>
          <w:sz w:val="24"/>
          <w:szCs w:val="24"/>
        </w:rPr>
        <w:t xml:space="preserve">. </w:t>
      </w:r>
    </w:p>
    <w:p w14:paraId="37792FFF" w14:textId="77777777" w:rsidR="000D31B2" w:rsidRDefault="000D31B2" w:rsidP="002E06BB">
      <w:pPr>
        <w:ind w:firstLine="720"/>
        <w:rPr>
          <w:rFonts w:ascii="Times New Roman" w:hAnsi="Times New Roman"/>
          <w:sz w:val="24"/>
        </w:rPr>
      </w:pPr>
    </w:p>
    <w:p w14:paraId="24C6C6B6" w14:textId="3124324D" w:rsidR="00E57288" w:rsidRDefault="009C690C" w:rsidP="002E06BB">
      <w:pPr>
        <w:ind w:firstLine="720"/>
        <w:rPr>
          <w:rFonts w:ascii="Times New Roman" w:hAnsi="Times New Roman" w:cs="Times New Roman"/>
          <w:sz w:val="24"/>
          <w:szCs w:val="24"/>
        </w:rPr>
      </w:pPr>
      <w:r w:rsidRPr="00B96D75">
        <w:rPr>
          <w:rFonts w:ascii="Times New Roman" w:hAnsi="Times New Roman"/>
          <w:sz w:val="24"/>
        </w:rPr>
        <w:t xml:space="preserve">Information about suspicious transactions conducted or attempted by, at, though, or </w:t>
      </w:r>
      <w:r w:rsidRPr="00B96D75">
        <w:rPr>
          <w:rFonts w:ascii="Times New Roman" w:hAnsi="Times New Roman"/>
          <w:sz w:val="24"/>
        </w:rPr>
        <w:lastRenderedPageBreak/>
        <w:t xml:space="preserve">otherwise involving banks </w:t>
      </w:r>
      <w:r w:rsidR="00557747">
        <w:rPr>
          <w:rFonts w:ascii="Times New Roman" w:hAnsi="Times New Roman"/>
          <w:sz w:val="24"/>
        </w:rPr>
        <w:t>is</w:t>
      </w:r>
      <w:r w:rsidR="00557747" w:rsidRPr="00B96D75">
        <w:rPr>
          <w:rFonts w:ascii="Times New Roman" w:hAnsi="Times New Roman"/>
          <w:sz w:val="24"/>
        </w:rPr>
        <w:t xml:space="preserve"> </w:t>
      </w:r>
      <w:r w:rsidRPr="00B96D75">
        <w:rPr>
          <w:rFonts w:ascii="Times New Roman" w:hAnsi="Times New Roman"/>
          <w:sz w:val="24"/>
        </w:rPr>
        <w:t>collected by regulation through the filing of a SAR with FinCEN.   FinCEN provides on-line access to the information collected to Federal regulators and appropriate law enforcement agencies.  FinCEN and law enforcement agencies use the information on SARs and the supporting documentation retained by the banks for criminal investigation and prosecution purposes.</w:t>
      </w:r>
    </w:p>
    <w:p w14:paraId="78C1F78D" w14:textId="77777777" w:rsidR="00E57288" w:rsidRDefault="00E57288">
      <w:pPr>
        <w:rPr>
          <w:rFonts w:ascii="Times New Roman" w:hAnsi="Times New Roman" w:cs="Times New Roman"/>
          <w:sz w:val="24"/>
          <w:szCs w:val="24"/>
        </w:rPr>
      </w:pPr>
    </w:p>
    <w:p w14:paraId="4442C858"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Use of Improved Information Technology To Reduce Burden</w:t>
      </w:r>
      <w:r w:rsidRPr="00CB1C6A">
        <w:rPr>
          <w:rFonts w:ascii="Times New Roman" w:hAnsi="Times New Roman" w:cs="Times New Roman"/>
          <w:sz w:val="24"/>
          <w:szCs w:val="24"/>
        </w:rPr>
        <w:t xml:space="preserve">. </w:t>
      </w:r>
    </w:p>
    <w:p w14:paraId="510CB601" w14:textId="77777777" w:rsidR="002E06BB" w:rsidRDefault="002E06BB">
      <w:pPr>
        <w:rPr>
          <w:rFonts w:ascii="Times New Roman" w:hAnsi="Times New Roman" w:cs="Times New Roman"/>
          <w:sz w:val="24"/>
        </w:rPr>
      </w:pPr>
    </w:p>
    <w:p w14:paraId="1DC9DA49" w14:textId="77777777" w:rsidR="009C690C" w:rsidRPr="00B96D75" w:rsidRDefault="009C690C" w:rsidP="000D31B2">
      <w:pPr>
        <w:ind w:firstLine="720"/>
        <w:rPr>
          <w:rFonts w:ascii="Times New Roman" w:hAnsi="Times New Roman"/>
          <w:sz w:val="24"/>
        </w:rPr>
      </w:pPr>
      <w:r w:rsidRPr="00B96D75">
        <w:rPr>
          <w:rFonts w:ascii="Times New Roman" w:hAnsi="Times New Roman"/>
          <w:sz w:val="24"/>
        </w:rPr>
        <w:t xml:space="preserve">By using FinCEN’s computerized filing system (BSA E-filing), a bank can reduce the time required for its compliance staff to complete the report.  Discrete and batch versions are available on the FinCEN BSA E-File web site at </w:t>
      </w:r>
      <w:hyperlink r:id="rId9" w:history="1">
        <w:r w:rsidRPr="00B96D75">
          <w:rPr>
            <w:rStyle w:val="Hyperlink"/>
            <w:rFonts w:ascii="Times New Roman" w:hAnsi="Times New Roman"/>
            <w:sz w:val="24"/>
          </w:rPr>
          <w:t>http://bsaefiling.fincen.treas.gov/main.html</w:t>
        </w:r>
      </w:hyperlink>
      <w:r w:rsidRPr="00B96D75">
        <w:rPr>
          <w:rFonts w:ascii="Times New Roman" w:hAnsi="Times New Roman"/>
          <w:sz w:val="24"/>
        </w:rPr>
        <w:t xml:space="preserve">. </w:t>
      </w:r>
    </w:p>
    <w:p w14:paraId="63C7F3AA" w14:textId="77777777" w:rsidR="009C690C" w:rsidRPr="00B96D75" w:rsidRDefault="009C690C" w:rsidP="009C690C">
      <w:pPr>
        <w:rPr>
          <w:rFonts w:ascii="Times New Roman" w:hAnsi="Times New Roman"/>
          <w:sz w:val="24"/>
        </w:rPr>
      </w:pPr>
    </w:p>
    <w:p w14:paraId="50A4F812"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4. </w:t>
      </w:r>
      <w:r>
        <w:rPr>
          <w:rFonts w:ascii="Times New Roman" w:hAnsi="Times New Roman" w:cs="Times New Roman"/>
          <w:sz w:val="24"/>
          <w:szCs w:val="24"/>
          <w:u w:val="single"/>
        </w:rPr>
        <w:t>Efforts to Identify Duplication</w:t>
      </w:r>
      <w:r w:rsidRPr="0097098C">
        <w:rPr>
          <w:rFonts w:ascii="Times New Roman" w:hAnsi="Times New Roman" w:cs="Times New Roman"/>
          <w:sz w:val="24"/>
          <w:szCs w:val="24"/>
        </w:rPr>
        <w:t xml:space="preserve">. </w:t>
      </w:r>
    </w:p>
    <w:p w14:paraId="63CDBE3A" w14:textId="77777777" w:rsidR="002E06BB" w:rsidRDefault="002E06BB">
      <w:pPr>
        <w:rPr>
          <w:rFonts w:ascii="Times New Roman" w:hAnsi="Times New Roman" w:cs="Times New Roman"/>
          <w:sz w:val="24"/>
          <w:szCs w:val="24"/>
        </w:rPr>
      </w:pPr>
    </w:p>
    <w:p w14:paraId="31CB8885" w14:textId="3D9F7B00" w:rsidR="009C690C" w:rsidRDefault="009C690C">
      <w:pPr>
        <w:rPr>
          <w:rFonts w:ascii="Times New Roman" w:hAnsi="Times New Roman" w:cs="Times New Roman"/>
          <w:sz w:val="24"/>
          <w:szCs w:val="24"/>
        </w:rPr>
      </w:pPr>
      <w:r w:rsidRPr="00B96D75">
        <w:rPr>
          <w:rFonts w:ascii="Times New Roman" w:hAnsi="Times New Roman"/>
          <w:sz w:val="24"/>
          <w:szCs w:val="24"/>
        </w:rPr>
        <w:t>There is no similar information available; thus, there is no duplication</w:t>
      </w:r>
      <w:r w:rsidR="00D05DB4">
        <w:rPr>
          <w:rFonts w:ascii="Times New Roman" w:hAnsi="Times New Roman"/>
          <w:sz w:val="24"/>
          <w:szCs w:val="24"/>
        </w:rPr>
        <w:t>.</w:t>
      </w:r>
      <w:r w:rsidDel="009C690C">
        <w:rPr>
          <w:rFonts w:ascii="Times New Roman" w:hAnsi="Times New Roman" w:cs="Times New Roman"/>
          <w:sz w:val="24"/>
          <w:szCs w:val="24"/>
        </w:rPr>
        <w:t xml:space="preserve"> </w:t>
      </w:r>
    </w:p>
    <w:p w14:paraId="027D62CE" w14:textId="77777777" w:rsidR="009C690C" w:rsidRDefault="009C690C">
      <w:pPr>
        <w:rPr>
          <w:rFonts w:ascii="Times New Roman" w:hAnsi="Times New Roman" w:cs="Times New Roman"/>
          <w:sz w:val="24"/>
          <w:szCs w:val="24"/>
        </w:rPr>
      </w:pPr>
    </w:p>
    <w:p w14:paraId="6B684F72"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5. </w:t>
      </w:r>
      <w:r>
        <w:rPr>
          <w:rFonts w:ascii="Times New Roman" w:hAnsi="Times New Roman" w:cs="Times New Roman"/>
          <w:sz w:val="24"/>
          <w:szCs w:val="24"/>
          <w:u w:val="single"/>
        </w:rPr>
        <w:t xml:space="preserve">Methods To Minimize Burden on Small Businesses or Other Small </w:t>
      </w:r>
      <w:r w:rsidR="00FF4669">
        <w:rPr>
          <w:rFonts w:ascii="Times New Roman" w:hAnsi="Times New Roman" w:cs="Times New Roman"/>
          <w:sz w:val="24"/>
          <w:szCs w:val="24"/>
          <w:u w:val="single"/>
        </w:rPr>
        <w:t>Entities</w:t>
      </w:r>
      <w:r w:rsidR="00FF4669" w:rsidRPr="00CB1C6A">
        <w:rPr>
          <w:rFonts w:ascii="Times New Roman" w:hAnsi="Times New Roman" w:cs="Times New Roman"/>
          <w:sz w:val="24"/>
          <w:szCs w:val="24"/>
        </w:rPr>
        <w:t>.</w:t>
      </w:r>
    </w:p>
    <w:p w14:paraId="1BBCC732" w14:textId="79883C84" w:rsidR="00E57288" w:rsidRDefault="00E57288">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11D2DB02" w14:textId="77777777" w:rsidR="00E57288" w:rsidRDefault="00E57288" w:rsidP="002E06BB">
      <w:pPr>
        <w:ind w:firstLine="720"/>
        <w:rPr>
          <w:rFonts w:ascii="Times New Roman" w:hAnsi="Times New Roman" w:cs="Times New Roman"/>
          <w:sz w:val="24"/>
          <w:szCs w:val="18"/>
        </w:rPr>
      </w:pPr>
      <w:r>
        <w:rPr>
          <w:rFonts w:ascii="Times New Roman" w:hAnsi="Times New Roman" w:cs="Times New Roman"/>
          <w:sz w:val="24"/>
          <w:szCs w:val="18"/>
        </w:rPr>
        <w:t>The information collection will not have a significant economic impact on a substantial number of small entities.  Insurance companies, rather than their agents or brokers, must file the reports, and most insurance companies are larger businesses.  All insurance companies, in order to remain viable, have in place polic</w:t>
      </w:r>
      <w:r w:rsidR="00FF4669">
        <w:rPr>
          <w:rFonts w:ascii="Times New Roman" w:hAnsi="Times New Roman" w:cs="Times New Roman"/>
          <w:sz w:val="24"/>
          <w:szCs w:val="18"/>
        </w:rPr>
        <w:t>i</w:t>
      </w:r>
      <w:r>
        <w:rPr>
          <w:rFonts w:ascii="Times New Roman" w:hAnsi="Times New Roman" w:cs="Times New Roman"/>
          <w:sz w:val="24"/>
          <w:szCs w:val="18"/>
        </w:rPr>
        <w:t>es and procedures and internal controls to prevent and detect fraud.  Such anti-fraud measures should assist insurance companies in reporting suspicious transactions.  Finally, certain small companies may have an established and limited customer base whose transactions are well known to the company.</w:t>
      </w:r>
    </w:p>
    <w:p w14:paraId="6128A2D5" w14:textId="77777777" w:rsidR="00E57288" w:rsidRDefault="00E57288">
      <w:pPr>
        <w:rPr>
          <w:rFonts w:ascii="Times New Roman" w:hAnsi="Times New Roman" w:cs="Times New Roman"/>
          <w:sz w:val="24"/>
          <w:szCs w:val="24"/>
        </w:rPr>
      </w:pPr>
    </w:p>
    <w:p w14:paraId="6EFBADAD"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6. </w:t>
      </w:r>
      <w:r>
        <w:rPr>
          <w:rFonts w:ascii="Times New Roman" w:hAnsi="Times New Roman" w:cs="Times New Roman"/>
          <w:sz w:val="24"/>
          <w:szCs w:val="24"/>
          <w:u w:val="single"/>
        </w:rPr>
        <w:t>Consequences to the Federal Government of Not Collecting the Information</w:t>
      </w:r>
      <w:r w:rsidRPr="0097098C">
        <w:rPr>
          <w:rFonts w:ascii="Times New Roman" w:hAnsi="Times New Roman" w:cs="Times New Roman"/>
          <w:sz w:val="24"/>
          <w:szCs w:val="24"/>
        </w:rPr>
        <w:t xml:space="preserve">. </w:t>
      </w:r>
    </w:p>
    <w:p w14:paraId="4842C00E" w14:textId="77777777" w:rsidR="002E06BB" w:rsidRDefault="002E06BB">
      <w:pPr>
        <w:rPr>
          <w:rFonts w:ascii="Times New Roman" w:hAnsi="Times New Roman" w:cs="Times New Roman"/>
          <w:sz w:val="24"/>
          <w:szCs w:val="24"/>
        </w:rPr>
      </w:pPr>
    </w:p>
    <w:p w14:paraId="43CEBCD1" w14:textId="47EEE5AB" w:rsidR="00E57288" w:rsidRDefault="00E57288" w:rsidP="002E06BB">
      <w:pPr>
        <w:ind w:firstLine="720"/>
        <w:rPr>
          <w:rFonts w:ascii="Times New Roman" w:hAnsi="Times New Roman" w:cs="Times New Roman"/>
          <w:sz w:val="24"/>
          <w:szCs w:val="24"/>
        </w:rPr>
      </w:pPr>
      <w:r>
        <w:rPr>
          <w:rFonts w:ascii="Times New Roman" w:hAnsi="Times New Roman" w:cs="Times New Roman"/>
          <w:sz w:val="24"/>
          <w:szCs w:val="24"/>
        </w:rPr>
        <w:t>S</w:t>
      </w:r>
      <w:r w:rsidR="000B121C">
        <w:rPr>
          <w:rFonts w:ascii="Times New Roman" w:hAnsi="Times New Roman" w:cs="Times New Roman"/>
          <w:sz w:val="24"/>
          <w:szCs w:val="24"/>
        </w:rPr>
        <w:t>AR reporting</w:t>
      </w:r>
      <w:r>
        <w:rPr>
          <w:rFonts w:ascii="Times New Roman" w:hAnsi="Times New Roman" w:cs="Times New Roman"/>
          <w:sz w:val="24"/>
          <w:szCs w:val="24"/>
        </w:rPr>
        <w:t xml:space="preserve"> by insurance companies assist</w:t>
      </w:r>
      <w:r w:rsidR="00557747">
        <w:rPr>
          <w:rFonts w:ascii="Times New Roman" w:hAnsi="Times New Roman" w:cs="Times New Roman"/>
          <w:sz w:val="24"/>
          <w:szCs w:val="24"/>
        </w:rPr>
        <w:t>s</w:t>
      </w:r>
      <w:r>
        <w:rPr>
          <w:rFonts w:ascii="Times New Roman" w:hAnsi="Times New Roman" w:cs="Times New Roman"/>
          <w:sz w:val="24"/>
          <w:szCs w:val="24"/>
        </w:rPr>
        <w:t xml:space="preserve"> both law enforcement and the industry, providing improved detection of financial crime, analysis of trends, and coordination of investigative efforts.  Failure to collect this information would limit law enforcement's ability to investigate and prosecute money laundering and other financial crimes conducted at or through these businesses. </w:t>
      </w:r>
    </w:p>
    <w:p w14:paraId="6D2E6EB2" w14:textId="77777777" w:rsidR="00E57288" w:rsidRDefault="00E57288">
      <w:pPr>
        <w:rPr>
          <w:rFonts w:ascii="Times New Roman" w:hAnsi="Times New Roman" w:cs="Times New Roman"/>
          <w:sz w:val="24"/>
          <w:szCs w:val="24"/>
        </w:rPr>
      </w:pPr>
    </w:p>
    <w:p w14:paraId="29599B86"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7. </w:t>
      </w:r>
      <w:r>
        <w:rPr>
          <w:rFonts w:ascii="Times New Roman" w:hAnsi="Times New Roman" w:cs="Times New Roman"/>
          <w:sz w:val="24"/>
          <w:szCs w:val="24"/>
          <w:u w:val="single"/>
        </w:rPr>
        <w:t>Special Circumstances Requiring Data Collection Inconsistent with Guidelines</w:t>
      </w:r>
      <w:r w:rsidRPr="0097098C">
        <w:rPr>
          <w:rFonts w:ascii="Times New Roman" w:hAnsi="Times New Roman" w:cs="Times New Roman"/>
          <w:sz w:val="24"/>
          <w:szCs w:val="24"/>
        </w:rPr>
        <w:t>.</w:t>
      </w:r>
    </w:p>
    <w:p w14:paraId="6DB03D11" w14:textId="77777777" w:rsidR="002E06BB" w:rsidRDefault="002E06BB">
      <w:pPr>
        <w:rPr>
          <w:rFonts w:ascii="Times New Roman" w:hAnsi="Times New Roman" w:cs="Times New Roman"/>
          <w:sz w:val="24"/>
          <w:szCs w:val="24"/>
        </w:rPr>
      </w:pPr>
    </w:p>
    <w:p w14:paraId="5D972A1A" w14:textId="1ED195CF" w:rsidR="000D31B2" w:rsidRPr="00B96D75" w:rsidRDefault="000D31B2" w:rsidP="000D31B2">
      <w:pPr>
        <w:ind w:firstLine="720"/>
        <w:rPr>
          <w:rFonts w:ascii="Times New Roman" w:hAnsi="Times New Roman"/>
          <w:sz w:val="24"/>
        </w:rPr>
      </w:pPr>
      <w:r w:rsidRPr="00B96D75">
        <w:rPr>
          <w:rFonts w:ascii="Times New Roman" w:hAnsi="Times New Roman"/>
          <w:sz w:val="24"/>
        </w:rPr>
        <w:t xml:space="preserve">The reporting of suspicious activity on a SAR may occur more frequently than quarterly, depending on the frequency of the activity.  For reasons explained in paragraph </w:t>
      </w:r>
      <w:r w:rsidR="00381DA2">
        <w:rPr>
          <w:rFonts w:ascii="Times New Roman" w:hAnsi="Times New Roman"/>
          <w:sz w:val="24"/>
        </w:rPr>
        <w:t>six</w:t>
      </w:r>
      <w:r w:rsidRPr="00B96D75">
        <w:rPr>
          <w:rFonts w:ascii="Times New Roman" w:hAnsi="Times New Roman"/>
          <w:sz w:val="24"/>
        </w:rPr>
        <w:t xml:space="preserve"> above, this information must be reported in a timely manner to enable law enforcement to take appropriate investigative action.  Records must be kept more than </w:t>
      </w:r>
      <w:r w:rsidR="00381DA2">
        <w:rPr>
          <w:rFonts w:ascii="Times New Roman" w:hAnsi="Times New Roman"/>
          <w:sz w:val="24"/>
        </w:rPr>
        <w:t>three</w:t>
      </w:r>
      <w:r w:rsidRPr="00B96D75">
        <w:rPr>
          <w:rFonts w:ascii="Times New Roman" w:hAnsi="Times New Roman"/>
          <w:sz w:val="24"/>
        </w:rPr>
        <w:t xml:space="preserve"> years because substantive violations of the law that may be indicated by the activity reported on the SAR are generally subject to statutes of limitations longer than </w:t>
      </w:r>
      <w:r w:rsidR="00381DA2">
        <w:rPr>
          <w:rFonts w:ascii="Times New Roman" w:hAnsi="Times New Roman"/>
          <w:sz w:val="24"/>
        </w:rPr>
        <w:t>three</w:t>
      </w:r>
      <w:r w:rsidRPr="00B96D75">
        <w:rPr>
          <w:rFonts w:ascii="Times New Roman" w:hAnsi="Times New Roman"/>
          <w:sz w:val="24"/>
        </w:rPr>
        <w:t xml:space="preserve"> years.</w:t>
      </w:r>
    </w:p>
    <w:p w14:paraId="7C348FF4" w14:textId="77777777" w:rsidR="00E57288" w:rsidRDefault="00E57288">
      <w:pPr>
        <w:rPr>
          <w:rFonts w:ascii="Times New Roman" w:hAnsi="Times New Roman" w:cs="Times New Roman"/>
          <w:sz w:val="24"/>
          <w:szCs w:val="24"/>
        </w:rPr>
      </w:pPr>
    </w:p>
    <w:p w14:paraId="078375FC"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8. </w:t>
      </w:r>
      <w:r>
        <w:rPr>
          <w:rFonts w:ascii="Times New Roman" w:hAnsi="Times New Roman" w:cs="Times New Roman"/>
          <w:sz w:val="24"/>
          <w:szCs w:val="24"/>
          <w:u w:val="single"/>
        </w:rPr>
        <w:t>Consultation with Individuals Outside of the Agency on Availability of Data. Frequency of Collection, Clarity of Instructions and Forms, and Data Elements</w:t>
      </w:r>
      <w:r w:rsidRPr="0097098C">
        <w:rPr>
          <w:rFonts w:ascii="Times New Roman" w:hAnsi="Times New Roman" w:cs="Times New Roman"/>
          <w:sz w:val="24"/>
          <w:szCs w:val="24"/>
        </w:rPr>
        <w:t xml:space="preserve">. </w:t>
      </w:r>
    </w:p>
    <w:p w14:paraId="5951FF37" w14:textId="77777777" w:rsidR="002E06BB" w:rsidRDefault="002E06BB" w:rsidP="002E06BB">
      <w:pPr>
        <w:rPr>
          <w:rFonts w:ascii="Times New Roman" w:hAnsi="Times New Roman" w:cs="Times New Roman"/>
          <w:sz w:val="24"/>
        </w:rPr>
      </w:pPr>
    </w:p>
    <w:p w14:paraId="78CD4DB5" w14:textId="03E173AF" w:rsidR="000D31B2" w:rsidRDefault="000D31B2" w:rsidP="000D31B2">
      <w:pPr>
        <w:ind w:firstLine="720"/>
        <w:rPr>
          <w:rFonts w:ascii="Times New Roman" w:hAnsi="Times New Roman"/>
          <w:sz w:val="24"/>
        </w:rPr>
      </w:pPr>
      <w:r w:rsidRPr="00B96D75">
        <w:rPr>
          <w:rFonts w:ascii="Times New Roman" w:hAnsi="Times New Roman"/>
          <w:sz w:val="24"/>
        </w:rPr>
        <w:t xml:space="preserve">On </w:t>
      </w:r>
      <w:r>
        <w:rPr>
          <w:rFonts w:ascii="Times New Roman" w:hAnsi="Times New Roman"/>
          <w:sz w:val="24"/>
        </w:rPr>
        <w:t>February</w:t>
      </w:r>
      <w:r w:rsidRPr="00B96D75">
        <w:rPr>
          <w:rFonts w:ascii="Times New Roman" w:hAnsi="Times New Roman"/>
          <w:sz w:val="24"/>
        </w:rPr>
        <w:t xml:space="preserve"> 9, 2018, FinCEN published in the Federal Register a notice inviting comment for 60 days on renewal of the </w:t>
      </w:r>
      <w:r w:rsidR="002B0B50">
        <w:rPr>
          <w:rFonts w:ascii="Times New Roman" w:eastAsia="MS Mincho" w:hAnsi="Times New Roman" w:cs="Times New Roman"/>
          <w:sz w:val="24"/>
        </w:rPr>
        <w:t>Insurance Companies</w:t>
      </w:r>
      <w:r>
        <w:rPr>
          <w:rFonts w:ascii="Times New Roman" w:hAnsi="Times New Roman"/>
          <w:sz w:val="24"/>
        </w:rPr>
        <w:t xml:space="preserve"> </w:t>
      </w:r>
      <w:r w:rsidRPr="00B96D75">
        <w:rPr>
          <w:rFonts w:ascii="Times New Roman" w:hAnsi="Times New Roman"/>
          <w:sz w:val="24"/>
        </w:rPr>
        <w:t xml:space="preserve">SAR Regulation </w:t>
      </w:r>
      <w:r w:rsidR="00381DA2">
        <w:rPr>
          <w:rFonts w:ascii="Times New Roman" w:hAnsi="Times New Roman"/>
          <w:sz w:val="24"/>
        </w:rPr>
        <w:t>(See 83 FR 5829). Two</w:t>
      </w:r>
      <w:r w:rsidRPr="00B96D75">
        <w:rPr>
          <w:rFonts w:ascii="Times New Roman" w:hAnsi="Times New Roman"/>
          <w:sz w:val="24"/>
        </w:rPr>
        <w:t xml:space="preserve"> comments were received. </w:t>
      </w:r>
    </w:p>
    <w:p w14:paraId="393E2F64" w14:textId="77777777" w:rsidR="0087264E" w:rsidRDefault="0087264E" w:rsidP="0087264E">
      <w:pPr>
        <w:ind w:firstLine="720"/>
        <w:rPr>
          <w:rFonts w:ascii="Times New Roman" w:hAnsi="Times New Roman" w:cs="Times New Roman"/>
          <w:sz w:val="24"/>
          <w:szCs w:val="24"/>
        </w:rPr>
      </w:pPr>
      <w:r>
        <w:rPr>
          <w:rFonts w:ascii="Times New Roman" w:hAnsi="Times New Roman"/>
          <w:sz w:val="24"/>
          <w:szCs w:val="24"/>
        </w:rPr>
        <w:lastRenderedPageBreak/>
        <w:t xml:space="preserve">A representative of a credit union, provided a repeat comment that he submitted to an earlier notice regrading updating the BSAR (See www.regulations.gov, search docket number Fincen-2017-0011) stating that FinCEN had failed to respond to his submission. No new information was provided for this notice request. FinCEN did respond to this comment and provided our disposition to all of the comments received to the BSAR update to the Office of Management and Budget, Treasury Desk Officer on November 2, 2017 for review. </w:t>
      </w:r>
    </w:p>
    <w:p w14:paraId="7B1FA283" w14:textId="77777777" w:rsidR="0087264E" w:rsidRDefault="0087264E" w:rsidP="000D31B2">
      <w:pPr>
        <w:ind w:firstLine="720"/>
        <w:rPr>
          <w:rFonts w:ascii="Times New Roman" w:hAnsi="Times New Roman"/>
          <w:sz w:val="24"/>
        </w:rPr>
      </w:pPr>
    </w:p>
    <w:p w14:paraId="0D30EDEE" w14:textId="77777777" w:rsidR="007F4FB7" w:rsidRPr="007F4FB7" w:rsidRDefault="007F4FB7" w:rsidP="007F4FB7">
      <w:pPr>
        <w:widowControl/>
        <w:ind w:firstLine="720"/>
        <w:rPr>
          <w:rFonts w:ascii="Times New Roman" w:hAnsi="Times New Roman" w:cs="Times New Roman"/>
          <w:sz w:val="24"/>
          <w:szCs w:val="24"/>
        </w:rPr>
      </w:pPr>
      <w:r w:rsidRPr="007F4FB7">
        <w:rPr>
          <w:rFonts w:ascii="Times New Roman" w:hAnsi="Times New Roman" w:cs="Times New Roman"/>
          <w:sz w:val="24"/>
          <w:szCs w:val="24"/>
        </w:rPr>
        <w:t xml:space="preserve">The Clearing House (TCH) provided the second comment.  THC’s comment did not address the current burden as requested in the PRA.  Rather, THC comment reiterated extensive recommendations on reforming the Bank Secrecy Act (BSA) in general and attached two documents previously submitted to the Department of the Treasure and to FinCEN.  The two documents are TCH’s </w:t>
      </w:r>
      <w:r w:rsidRPr="007F4FB7">
        <w:rPr>
          <w:rFonts w:ascii="Times New Roman" w:hAnsi="Times New Roman" w:cs="Times New Roman"/>
          <w:spacing w:val="-1"/>
          <w:sz w:val="24"/>
          <w:szCs w:val="24"/>
        </w:rPr>
        <w:t>comment to the Treasury, dated July 31,</w:t>
      </w:r>
      <w:r w:rsidRPr="007F4FB7">
        <w:rPr>
          <w:rFonts w:ascii="Times New Roman" w:hAnsi="Times New Roman" w:cs="Times New Roman"/>
          <w:spacing w:val="24"/>
          <w:sz w:val="24"/>
          <w:szCs w:val="24"/>
        </w:rPr>
        <w:t xml:space="preserve"> </w:t>
      </w:r>
      <w:r w:rsidRPr="007F4FB7">
        <w:rPr>
          <w:rFonts w:ascii="Times New Roman" w:hAnsi="Times New Roman" w:cs="Times New Roman"/>
          <w:sz w:val="24"/>
          <w:szCs w:val="24"/>
        </w:rPr>
        <w:t>2017,</w:t>
      </w:r>
      <w:r w:rsidRPr="007F4FB7">
        <w:rPr>
          <w:rFonts w:ascii="Times New Roman" w:hAnsi="Times New Roman" w:cs="Times New Roman"/>
          <w:spacing w:val="-1"/>
          <w:sz w:val="24"/>
          <w:szCs w:val="24"/>
        </w:rPr>
        <w:t xml:space="preserve"> submitted in response to </w:t>
      </w:r>
      <w:r w:rsidRPr="007F4FB7">
        <w:rPr>
          <w:rFonts w:ascii="Times New Roman" w:hAnsi="Times New Roman" w:cs="Times New Roman"/>
          <w:sz w:val="24"/>
          <w:szCs w:val="24"/>
        </w:rPr>
        <w:t>Treasury’s</w:t>
      </w:r>
      <w:r w:rsidRPr="007F4FB7">
        <w:rPr>
          <w:rFonts w:ascii="Times New Roman" w:hAnsi="Times New Roman" w:cs="Times New Roman"/>
          <w:spacing w:val="-2"/>
          <w:sz w:val="24"/>
          <w:szCs w:val="24"/>
        </w:rPr>
        <w:t xml:space="preserve"> </w:t>
      </w:r>
      <w:r w:rsidRPr="007F4FB7">
        <w:rPr>
          <w:rFonts w:ascii="Times New Roman" w:hAnsi="Times New Roman" w:cs="Times New Roman"/>
          <w:i/>
          <w:spacing w:val="-1"/>
          <w:sz w:val="24"/>
          <w:szCs w:val="24"/>
        </w:rPr>
        <w:t xml:space="preserve">Review of Regulations </w:t>
      </w:r>
      <w:r w:rsidRPr="007F4FB7">
        <w:rPr>
          <w:rFonts w:ascii="Times New Roman" w:hAnsi="Times New Roman" w:cs="Times New Roman"/>
          <w:sz w:val="24"/>
          <w:szCs w:val="24"/>
        </w:rPr>
        <w:t>issued in furtherance of Executive Orders 13771 and 13777</w:t>
      </w:r>
      <w:r w:rsidRPr="007F4FB7">
        <w:rPr>
          <w:rFonts w:ascii="Times New Roman" w:hAnsi="Times New Roman" w:cs="Times New Roman"/>
          <w:spacing w:val="-1"/>
          <w:sz w:val="24"/>
          <w:szCs w:val="24"/>
        </w:rPr>
        <w:t xml:space="preserve">, </w:t>
      </w:r>
      <w:r w:rsidRPr="007F4FB7">
        <w:rPr>
          <w:rFonts w:ascii="Times New Roman" w:hAnsi="Times New Roman" w:cs="Times New Roman"/>
          <w:sz w:val="24"/>
          <w:szCs w:val="24"/>
        </w:rPr>
        <w:t>and</w:t>
      </w:r>
      <w:r w:rsidRPr="007F4FB7">
        <w:rPr>
          <w:rFonts w:ascii="Times New Roman" w:hAnsi="Times New Roman" w:cs="Times New Roman"/>
          <w:spacing w:val="-1"/>
          <w:sz w:val="24"/>
          <w:szCs w:val="24"/>
        </w:rPr>
        <w:t xml:space="preserve"> </w:t>
      </w:r>
      <w:r w:rsidRPr="007F4FB7">
        <w:rPr>
          <w:rFonts w:ascii="Times New Roman" w:hAnsi="Times New Roman" w:cs="Times New Roman"/>
          <w:sz w:val="24"/>
          <w:szCs w:val="24"/>
        </w:rPr>
        <w:t>THC’s February 2017 white paper</w:t>
      </w:r>
      <w:r w:rsidRPr="007F4FB7">
        <w:rPr>
          <w:rFonts w:ascii="Times New Roman" w:hAnsi="Times New Roman" w:cs="Times New Roman"/>
          <w:spacing w:val="-1"/>
          <w:sz w:val="24"/>
          <w:szCs w:val="24"/>
        </w:rPr>
        <w:t xml:space="preserve"> “</w:t>
      </w:r>
      <w:r w:rsidRPr="007F4FB7">
        <w:rPr>
          <w:rFonts w:ascii="Times New Roman" w:hAnsi="Times New Roman" w:cs="Times New Roman"/>
          <w:i/>
          <w:sz w:val="24"/>
          <w:szCs w:val="24"/>
        </w:rPr>
        <w:t>A</w:t>
      </w:r>
      <w:r w:rsidRPr="007F4FB7">
        <w:rPr>
          <w:rFonts w:ascii="Times New Roman" w:hAnsi="Times New Roman" w:cs="Times New Roman"/>
          <w:i/>
          <w:spacing w:val="-1"/>
          <w:sz w:val="24"/>
          <w:szCs w:val="24"/>
        </w:rPr>
        <w:t xml:space="preserve"> New Paradigm: Redesigning </w:t>
      </w:r>
      <w:r w:rsidRPr="007F4FB7">
        <w:rPr>
          <w:rFonts w:ascii="Times New Roman" w:hAnsi="Times New Roman" w:cs="Times New Roman"/>
          <w:i/>
          <w:sz w:val="24"/>
          <w:szCs w:val="24"/>
        </w:rPr>
        <w:t>the</w:t>
      </w:r>
      <w:r w:rsidRPr="007F4FB7">
        <w:rPr>
          <w:rFonts w:ascii="Times New Roman" w:hAnsi="Times New Roman" w:cs="Times New Roman"/>
          <w:i/>
          <w:spacing w:val="-1"/>
          <w:sz w:val="24"/>
          <w:szCs w:val="24"/>
        </w:rPr>
        <w:t xml:space="preserve"> </w:t>
      </w:r>
      <w:r w:rsidRPr="007F4FB7">
        <w:rPr>
          <w:rFonts w:ascii="Times New Roman" w:hAnsi="Times New Roman" w:cs="Times New Roman"/>
          <w:i/>
          <w:sz w:val="24"/>
          <w:szCs w:val="24"/>
        </w:rPr>
        <w:t>U.S.</w:t>
      </w:r>
      <w:r w:rsidRPr="007F4FB7">
        <w:rPr>
          <w:rFonts w:ascii="Times New Roman" w:hAnsi="Times New Roman" w:cs="Times New Roman"/>
          <w:i/>
          <w:spacing w:val="-1"/>
          <w:sz w:val="24"/>
          <w:szCs w:val="24"/>
        </w:rPr>
        <w:t xml:space="preserve"> </w:t>
      </w:r>
      <w:r w:rsidRPr="007F4FB7">
        <w:rPr>
          <w:rFonts w:ascii="Times New Roman" w:hAnsi="Times New Roman" w:cs="Times New Roman"/>
          <w:i/>
          <w:sz w:val="24"/>
          <w:szCs w:val="24"/>
        </w:rPr>
        <w:t>AML/CFT</w:t>
      </w:r>
      <w:r w:rsidRPr="007F4FB7">
        <w:rPr>
          <w:rFonts w:ascii="Times New Roman" w:hAnsi="Times New Roman" w:cs="Times New Roman"/>
          <w:i/>
          <w:spacing w:val="29"/>
          <w:sz w:val="24"/>
          <w:szCs w:val="24"/>
        </w:rPr>
        <w:t xml:space="preserve"> </w:t>
      </w:r>
      <w:r w:rsidRPr="007F4FB7">
        <w:rPr>
          <w:rFonts w:ascii="Times New Roman" w:hAnsi="Times New Roman" w:cs="Times New Roman"/>
          <w:i/>
          <w:sz w:val="24"/>
          <w:szCs w:val="24"/>
        </w:rPr>
        <w:t xml:space="preserve">Framework to Protect National </w:t>
      </w:r>
      <w:r w:rsidRPr="007F4FB7">
        <w:rPr>
          <w:rFonts w:ascii="Times New Roman" w:hAnsi="Times New Roman" w:cs="Times New Roman"/>
          <w:i/>
          <w:spacing w:val="-1"/>
          <w:sz w:val="24"/>
          <w:szCs w:val="24"/>
        </w:rPr>
        <w:t xml:space="preserve">Security </w:t>
      </w:r>
      <w:r w:rsidRPr="007F4FB7">
        <w:rPr>
          <w:rFonts w:ascii="Times New Roman" w:hAnsi="Times New Roman" w:cs="Times New Roman"/>
          <w:i/>
          <w:sz w:val="24"/>
          <w:szCs w:val="24"/>
        </w:rPr>
        <w:t>and</w:t>
      </w:r>
      <w:r w:rsidRPr="007F4FB7">
        <w:rPr>
          <w:rFonts w:ascii="Times New Roman" w:hAnsi="Times New Roman" w:cs="Times New Roman"/>
          <w:i/>
          <w:spacing w:val="-1"/>
          <w:sz w:val="24"/>
          <w:szCs w:val="24"/>
        </w:rPr>
        <w:t xml:space="preserve"> Aid </w:t>
      </w:r>
      <w:r w:rsidRPr="007F4FB7">
        <w:rPr>
          <w:rFonts w:ascii="Times New Roman" w:hAnsi="Times New Roman" w:cs="Times New Roman"/>
          <w:i/>
          <w:sz w:val="24"/>
          <w:szCs w:val="24"/>
        </w:rPr>
        <w:t>Law</w:t>
      </w:r>
      <w:r w:rsidRPr="007F4FB7">
        <w:rPr>
          <w:rFonts w:ascii="Times New Roman" w:hAnsi="Times New Roman" w:cs="Times New Roman"/>
          <w:i/>
          <w:spacing w:val="-1"/>
          <w:sz w:val="24"/>
          <w:szCs w:val="24"/>
        </w:rPr>
        <w:t xml:space="preserve"> </w:t>
      </w:r>
      <w:r w:rsidRPr="007F4FB7">
        <w:rPr>
          <w:rFonts w:ascii="Times New Roman" w:hAnsi="Times New Roman" w:cs="Times New Roman"/>
          <w:i/>
          <w:sz w:val="24"/>
          <w:szCs w:val="24"/>
        </w:rPr>
        <w:t>Enforcement</w:t>
      </w:r>
      <w:r w:rsidRPr="007F4FB7">
        <w:rPr>
          <w:rFonts w:ascii="Times New Roman" w:hAnsi="Times New Roman" w:cs="Times New Roman"/>
          <w:sz w:val="24"/>
          <w:szCs w:val="24"/>
        </w:rPr>
        <w:t xml:space="preserve">).”  FinCEN is aware of THC’s recommendations is considering them in process of other rulemakings.  </w:t>
      </w:r>
    </w:p>
    <w:p w14:paraId="55FD7652" w14:textId="77777777" w:rsidR="007F4FB7" w:rsidRPr="00B96D75" w:rsidRDefault="007F4FB7" w:rsidP="000D31B2">
      <w:pPr>
        <w:ind w:firstLine="720"/>
        <w:rPr>
          <w:rFonts w:ascii="Times New Roman" w:hAnsi="Times New Roman"/>
          <w:sz w:val="24"/>
        </w:rPr>
      </w:pPr>
    </w:p>
    <w:p w14:paraId="101BD730"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9. </w:t>
      </w:r>
      <w:r>
        <w:rPr>
          <w:rFonts w:ascii="Times New Roman" w:hAnsi="Times New Roman" w:cs="Times New Roman"/>
          <w:sz w:val="24"/>
          <w:szCs w:val="24"/>
          <w:u w:val="single"/>
        </w:rPr>
        <w:t>Payments or Gifts</w:t>
      </w:r>
      <w:r w:rsidRPr="0097098C">
        <w:rPr>
          <w:rFonts w:ascii="Times New Roman" w:hAnsi="Times New Roman" w:cs="Times New Roman"/>
          <w:sz w:val="24"/>
          <w:szCs w:val="24"/>
        </w:rPr>
        <w:t>.</w:t>
      </w:r>
    </w:p>
    <w:p w14:paraId="171AF906" w14:textId="77777777" w:rsidR="000B121C" w:rsidRDefault="000B121C">
      <w:pPr>
        <w:rPr>
          <w:rFonts w:ascii="Times New Roman" w:hAnsi="Times New Roman" w:cs="Times New Roman"/>
          <w:sz w:val="24"/>
          <w:szCs w:val="24"/>
        </w:rPr>
      </w:pPr>
    </w:p>
    <w:p w14:paraId="00D01FF3" w14:textId="77777777" w:rsidR="00E57288" w:rsidRDefault="00E57288" w:rsidP="000B121C">
      <w:pPr>
        <w:ind w:firstLine="720"/>
        <w:rPr>
          <w:rFonts w:ascii="Times New Roman" w:hAnsi="Times New Roman" w:cs="Times New Roman"/>
          <w:sz w:val="24"/>
          <w:szCs w:val="24"/>
        </w:rPr>
      </w:pPr>
      <w:r>
        <w:rPr>
          <w:rFonts w:ascii="Times New Roman" w:hAnsi="Times New Roman" w:cs="Times New Roman"/>
          <w:sz w:val="24"/>
          <w:szCs w:val="24"/>
        </w:rPr>
        <w:t xml:space="preserve">No payments or gifts </w:t>
      </w:r>
      <w:r w:rsidR="000B121C">
        <w:rPr>
          <w:rFonts w:ascii="Times New Roman" w:hAnsi="Times New Roman" w:cs="Times New Roman"/>
          <w:sz w:val="24"/>
          <w:szCs w:val="24"/>
        </w:rPr>
        <w:t xml:space="preserve">have </w:t>
      </w:r>
      <w:r>
        <w:rPr>
          <w:rFonts w:ascii="Times New Roman" w:hAnsi="Times New Roman" w:cs="Times New Roman"/>
          <w:sz w:val="24"/>
          <w:szCs w:val="24"/>
        </w:rPr>
        <w:t>b</w:t>
      </w:r>
      <w:r w:rsidR="000B121C">
        <w:rPr>
          <w:rFonts w:ascii="Times New Roman" w:hAnsi="Times New Roman" w:cs="Times New Roman"/>
          <w:sz w:val="24"/>
          <w:szCs w:val="24"/>
        </w:rPr>
        <w:t>e</w:t>
      </w:r>
      <w:r>
        <w:rPr>
          <w:rFonts w:ascii="Times New Roman" w:hAnsi="Times New Roman" w:cs="Times New Roman"/>
          <w:sz w:val="24"/>
          <w:szCs w:val="24"/>
        </w:rPr>
        <w:t>e</w:t>
      </w:r>
      <w:r w:rsidR="000B121C">
        <w:rPr>
          <w:rFonts w:ascii="Times New Roman" w:hAnsi="Times New Roman" w:cs="Times New Roman"/>
          <w:sz w:val="24"/>
          <w:szCs w:val="24"/>
        </w:rPr>
        <w:t>n</w:t>
      </w:r>
      <w:r>
        <w:rPr>
          <w:rFonts w:ascii="Times New Roman" w:hAnsi="Times New Roman" w:cs="Times New Roman"/>
          <w:sz w:val="24"/>
          <w:szCs w:val="24"/>
        </w:rPr>
        <w:t xml:space="preserve"> made to respondent</w:t>
      </w:r>
      <w:r w:rsidR="000B121C">
        <w:rPr>
          <w:rFonts w:ascii="Times New Roman" w:hAnsi="Times New Roman" w:cs="Times New Roman"/>
          <w:sz w:val="24"/>
          <w:szCs w:val="24"/>
        </w:rPr>
        <w:t>s</w:t>
      </w:r>
      <w:r>
        <w:rPr>
          <w:rFonts w:ascii="Times New Roman" w:hAnsi="Times New Roman" w:cs="Times New Roman"/>
          <w:sz w:val="24"/>
          <w:szCs w:val="24"/>
        </w:rPr>
        <w:t>.</w:t>
      </w:r>
    </w:p>
    <w:p w14:paraId="4B665EDC" w14:textId="77777777" w:rsidR="00E57288" w:rsidRDefault="00E57288">
      <w:pPr>
        <w:rPr>
          <w:rFonts w:ascii="Times New Roman" w:hAnsi="Times New Roman" w:cs="Times New Roman"/>
          <w:sz w:val="24"/>
          <w:szCs w:val="24"/>
        </w:rPr>
      </w:pPr>
    </w:p>
    <w:p w14:paraId="3152090E"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10. </w:t>
      </w:r>
      <w:r>
        <w:rPr>
          <w:rFonts w:ascii="Times New Roman" w:hAnsi="Times New Roman" w:cs="Times New Roman"/>
          <w:sz w:val="24"/>
          <w:szCs w:val="24"/>
          <w:u w:val="single"/>
        </w:rPr>
        <w:t>Assurance of Confidentiality of Responses</w:t>
      </w:r>
      <w:r w:rsidRPr="0097098C">
        <w:rPr>
          <w:rFonts w:ascii="Times New Roman" w:hAnsi="Times New Roman" w:cs="Times New Roman"/>
          <w:sz w:val="24"/>
          <w:szCs w:val="24"/>
        </w:rPr>
        <w:t xml:space="preserve">. </w:t>
      </w:r>
    </w:p>
    <w:p w14:paraId="33321B27" w14:textId="77777777" w:rsidR="007B73E7" w:rsidRDefault="007B73E7">
      <w:pPr>
        <w:rPr>
          <w:rFonts w:ascii="Times New Roman" w:hAnsi="Times New Roman" w:cs="Times New Roman"/>
          <w:sz w:val="24"/>
          <w:szCs w:val="24"/>
        </w:rPr>
      </w:pPr>
    </w:p>
    <w:p w14:paraId="2448826F" w14:textId="5C71CA14" w:rsidR="00E57288" w:rsidRDefault="00E57288" w:rsidP="007B73E7">
      <w:pPr>
        <w:ind w:firstLine="720"/>
        <w:rPr>
          <w:rFonts w:ascii="Times New Roman" w:hAnsi="Times New Roman" w:cs="Times New Roman"/>
          <w:sz w:val="24"/>
          <w:szCs w:val="24"/>
        </w:rPr>
      </w:pPr>
      <w:r>
        <w:rPr>
          <w:rFonts w:ascii="Times New Roman" w:hAnsi="Times New Roman" w:cs="Times New Roman"/>
          <w:sz w:val="24"/>
          <w:szCs w:val="24"/>
        </w:rPr>
        <w:t xml:space="preserve">Information provided to the government on the SAR is expressly prohibited from disclosure under 31 U.S.C. 5318(g)(2), and </w:t>
      </w:r>
      <w:r w:rsidR="00CA1CE1">
        <w:rPr>
          <w:rFonts w:ascii="Times New Roman" w:hAnsi="Times New Roman" w:cs="Times New Roman"/>
          <w:sz w:val="24"/>
          <w:szCs w:val="24"/>
        </w:rPr>
        <w:t>FinCEN</w:t>
      </w:r>
      <w:r w:rsidR="00C05399">
        <w:rPr>
          <w:rFonts w:ascii="Times New Roman" w:hAnsi="Times New Roman" w:cs="Times New Roman"/>
          <w:sz w:val="24"/>
          <w:szCs w:val="24"/>
        </w:rPr>
        <w:t>’s</w:t>
      </w:r>
      <w:r w:rsidR="00CA1CE1">
        <w:rPr>
          <w:rFonts w:ascii="Times New Roman" w:hAnsi="Times New Roman" w:cs="Times New Roman"/>
          <w:sz w:val="24"/>
          <w:szCs w:val="24"/>
        </w:rPr>
        <w:t xml:space="preserve"> </w:t>
      </w:r>
      <w:r>
        <w:rPr>
          <w:rFonts w:ascii="Times New Roman" w:hAnsi="Times New Roman" w:cs="Times New Roman"/>
          <w:sz w:val="24"/>
          <w:szCs w:val="24"/>
        </w:rPr>
        <w:t xml:space="preserve">Privacy Act notice makes clear that the system of records is intended for the official use of law enforcement.  Appropriate system security safeguards </w:t>
      </w:r>
      <w:r w:rsidR="005E43EC">
        <w:rPr>
          <w:rFonts w:ascii="Times New Roman" w:hAnsi="Times New Roman" w:cs="Times New Roman"/>
          <w:sz w:val="24"/>
          <w:szCs w:val="24"/>
        </w:rPr>
        <w:t xml:space="preserve">are in </w:t>
      </w:r>
      <w:r>
        <w:rPr>
          <w:rFonts w:ascii="Times New Roman" w:hAnsi="Times New Roman" w:cs="Times New Roman"/>
          <w:sz w:val="24"/>
          <w:szCs w:val="24"/>
        </w:rPr>
        <w:t xml:space="preserve">place to protect against unauthorized access. </w:t>
      </w:r>
    </w:p>
    <w:p w14:paraId="0CC098F2" w14:textId="77777777" w:rsidR="00E57288" w:rsidRDefault="00E57288">
      <w:pPr>
        <w:rPr>
          <w:rFonts w:ascii="Times New Roman" w:hAnsi="Times New Roman" w:cs="Times New Roman"/>
          <w:sz w:val="24"/>
          <w:szCs w:val="24"/>
        </w:rPr>
      </w:pPr>
    </w:p>
    <w:p w14:paraId="53B82D5E" w14:textId="77777777" w:rsidR="00E57288" w:rsidRDefault="00E57288">
      <w:pPr>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u w:val="single"/>
        </w:rPr>
        <w:t>Justification of Sensitive Questions</w:t>
      </w:r>
      <w:r>
        <w:rPr>
          <w:rFonts w:ascii="Times New Roman" w:hAnsi="Times New Roman" w:cs="Times New Roman"/>
          <w:sz w:val="24"/>
          <w:szCs w:val="24"/>
        </w:rPr>
        <w:t xml:space="preserve">. </w:t>
      </w:r>
    </w:p>
    <w:p w14:paraId="5BB1447E" w14:textId="77777777" w:rsidR="005E43EC" w:rsidRDefault="005E43EC">
      <w:pPr>
        <w:rPr>
          <w:rFonts w:ascii="Times New Roman" w:hAnsi="Times New Roman" w:cs="Times New Roman"/>
          <w:sz w:val="24"/>
          <w:szCs w:val="24"/>
        </w:rPr>
      </w:pPr>
    </w:p>
    <w:p w14:paraId="3A9D6B58" w14:textId="77777777" w:rsidR="00C91ACD" w:rsidRPr="00537765" w:rsidRDefault="00C91ACD" w:rsidP="00C91ACD">
      <w:pPr>
        <w:ind w:firstLine="720"/>
        <w:rPr>
          <w:rFonts w:ascii="Times New Roman" w:hAnsi="Times New Roman"/>
          <w:sz w:val="24"/>
          <w:szCs w:val="24"/>
        </w:rPr>
      </w:pPr>
      <w:r w:rsidRPr="00537765">
        <w:rPr>
          <w:rFonts w:ascii="Times New Roman" w:hAnsi="Times New Roman"/>
          <w:sz w:val="24"/>
          <w:szCs w:val="24"/>
        </w:rPr>
        <w:t xml:space="preserve">There are no questions of a sensitive nature in the collection of information.  Any </w:t>
      </w:r>
      <w:r>
        <w:rPr>
          <w:rFonts w:ascii="Times New Roman" w:hAnsi="Times New Roman"/>
          <w:sz w:val="24"/>
          <w:szCs w:val="24"/>
        </w:rPr>
        <w:t>personally identifiable</w:t>
      </w:r>
      <w:r w:rsidRPr="00537765">
        <w:rPr>
          <w:rFonts w:ascii="Times New Roman" w:hAnsi="Times New Roman"/>
          <w:sz w:val="24"/>
          <w:szCs w:val="24"/>
        </w:rPr>
        <w:t xml:space="preserve"> information collected under the BSA is strictly controlled as outlined in the FinCEN’s Systems of Records Notice</w:t>
      </w:r>
      <w:r w:rsidRPr="00537765">
        <w:rPr>
          <w:rFonts w:ascii="Times New Roman" w:hAnsi="Times New Roman"/>
          <w:color w:val="1F497D"/>
          <w:sz w:val="24"/>
          <w:szCs w:val="24"/>
        </w:rPr>
        <w:t xml:space="preserve"> </w:t>
      </w:r>
      <w:hyperlink r:id="rId10" w:history="1">
        <w:r w:rsidRPr="00537765">
          <w:rPr>
            <w:rStyle w:val="Hyperlink"/>
            <w:rFonts w:ascii="Times New Roman" w:hAnsi="Times New Roman"/>
            <w:sz w:val="24"/>
            <w:szCs w:val="24"/>
          </w:rPr>
          <w:t>http://www.fincen.gov/foia/files/FinCEN_79_FR_20969.pdf</w:t>
        </w:r>
      </w:hyperlink>
      <w:r w:rsidRPr="00537765">
        <w:rPr>
          <w:rFonts w:ascii="Times New Roman" w:hAnsi="Times New Roman"/>
          <w:sz w:val="24"/>
          <w:szCs w:val="24"/>
        </w:rPr>
        <w:t>.</w:t>
      </w:r>
    </w:p>
    <w:p w14:paraId="442BD314" w14:textId="77777777" w:rsidR="00C91ACD" w:rsidRDefault="00C91ACD">
      <w:pPr>
        <w:rPr>
          <w:rFonts w:ascii="Times New Roman" w:hAnsi="Times New Roman" w:cs="Times New Roman"/>
          <w:sz w:val="24"/>
          <w:szCs w:val="24"/>
          <w:u w:val="single"/>
        </w:rPr>
      </w:pPr>
    </w:p>
    <w:p w14:paraId="604D8460" w14:textId="77777777" w:rsidR="00E57288" w:rsidRDefault="00BC47A1">
      <w:pPr>
        <w:rPr>
          <w:rFonts w:ascii="Times New Roman" w:hAnsi="Times New Roman" w:cs="Times New Roman"/>
          <w:sz w:val="24"/>
          <w:szCs w:val="24"/>
          <w:u w:val="single"/>
        </w:rPr>
      </w:pPr>
      <w:r>
        <w:rPr>
          <w:rFonts w:ascii="Times New Roman" w:hAnsi="Times New Roman" w:cs="Times New Roman"/>
          <w:sz w:val="24"/>
          <w:szCs w:val="24"/>
          <w:u w:val="single"/>
        </w:rPr>
        <w:t xml:space="preserve">12. Estimated Annual </w:t>
      </w:r>
      <w:r w:rsidR="00E57288">
        <w:rPr>
          <w:rFonts w:ascii="Times New Roman" w:hAnsi="Times New Roman" w:cs="Times New Roman"/>
          <w:sz w:val="24"/>
          <w:szCs w:val="24"/>
          <w:u w:val="single"/>
        </w:rPr>
        <w:t xml:space="preserve">Burden.  </w:t>
      </w:r>
    </w:p>
    <w:p w14:paraId="18DC361D" w14:textId="77777777" w:rsidR="00BC47A1" w:rsidRDefault="00BC47A1">
      <w:pPr>
        <w:rPr>
          <w:rFonts w:ascii="Times New Roman" w:hAnsi="Times New Roman" w:cs="Times New Roman"/>
          <w:sz w:val="24"/>
          <w:szCs w:val="24"/>
        </w:rPr>
      </w:pPr>
    </w:p>
    <w:p w14:paraId="5314A4D7" w14:textId="14625329" w:rsidR="00BC47A1" w:rsidRPr="00BC47A1" w:rsidRDefault="00BC47A1" w:rsidP="00BC47A1">
      <w:pPr>
        <w:tabs>
          <w:tab w:val="left" w:pos="0"/>
        </w:tabs>
        <w:suppressAutoHyphens/>
        <w:rPr>
          <w:rFonts w:ascii="Times New Roman" w:hAnsi="Times New Roman" w:cs="Times New Roman"/>
          <w:sz w:val="24"/>
          <w:szCs w:val="24"/>
        </w:rPr>
      </w:pPr>
      <w:r>
        <w:rPr>
          <w:rFonts w:ascii="Times New Roman" w:hAnsi="Times New Roman" w:cs="Times New Roman"/>
          <w:sz w:val="24"/>
          <w:szCs w:val="24"/>
        </w:rPr>
        <w:tab/>
      </w:r>
      <w:r w:rsidRPr="00BC47A1">
        <w:rPr>
          <w:rFonts w:ascii="Times New Roman" w:hAnsi="Times New Roman" w:cs="Times New Roman"/>
          <w:sz w:val="24"/>
          <w:szCs w:val="24"/>
        </w:rPr>
        <w:t xml:space="preserve">The administrative burden of </w:t>
      </w:r>
      <w:r w:rsidR="00381DA2">
        <w:rPr>
          <w:rFonts w:ascii="Times New Roman" w:hAnsi="Times New Roman" w:cs="Times New Roman"/>
          <w:sz w:val="24"/>
          <w:szCs w:val="24"/>
        </w:rPr>
        <w:t>one</w:t>
      </w:r>
      <w:r w:rsidRPr="00BC47A1">
        <w:rPr>
          <w:rFonts w:ascii="Times New Roman" w:hAnsi="Times New Roman" w:cs="Times New Roman"/>
          <w:sz w:val="24"/>
          <w:szCs w:val="24"/>
        </w:rPr>
        <w:t xml:space="preserve"> hour is assigned to maintain the </w:t>
      </w:r>
      <w:r w:rsidR="00FF4669">
        <w:rPr>
          <w:rFonts w:ascii="Times New Roman" w:hAnsi="Times New Roman" w:cs="Times New Roman"/>
          <w:sz w:val="24"/>
          <w:szCs w:val="24"/>
        </w:rPr>
        <w:t xml:space="preserve">regulatory </w:t>
      </w:r>
      <w:r w:rsidRPr="00BC47A1">
        <w:rPr>
          <w:rFonts w:ascii="Times New Roman" w:hAnsi="Times New Roman" w:cs="Times New Roman"/>
          <w:sz w:val="24"/>
          <w:szCs w:val="24"/>
        </w:rPr>
        <w:t>requirement in force.  The burden for actual reporting is reflected in OMB Control number 1506-0065.</w:t>
      </w:r>
    </w:p>
    <w:p w14:paraId="5A04AFAF" w14:textId="77777777" w:rsidR="00E57288" w:rsidRDefault="00E57288">
      <w:pPr>
        <w:rPr>
          <w:rFonts w:ascii="Times New Roman" w:hAnsi="Times New Roman" w:cs="Times New Roman"/>
          <w:sz w:val="24"/>
          <w:szCs w:val="22"/>
        </w:rPr>
      </w:pPr>
    </w:p>
    <w:p w14:paraId="00D4B5C7" w14:textId="4CB471A5" w:rsidR="00E57288" w:rsidRDefault="00E57288">
      <w:pPr>
        <w:rPr>
          <w:rFonts w:ascii="Times New Roman" w:hAnsi="Times New Roman" w:cs="Times New Roman"/>
          <w:sz w:val="24"/>
          <w:szCs w:val="22"/>
          <w:u w:val="single"/>
        </w:rPr>
      </w:pPr>
      <w:r>
        <w:rPr>
          <w:rFonts w:ascii="Times New Roman" w:hAnsi="Times New Roman" w:cs="Times New Roman"/>
          <w:sz w:val="24"/>
          <w:szCs w:val="22"/>
        </w:rPr>
        <w:t xml:space="preserve">13. </w:t>
      </w:r>
      <w:r>
        <w:rPr>
          <w:rFonts w:ascii="Times New Roman" w:hAnsi="Times New Roman" w:cs="Times New Roman"/>
          <w:sz w:val="24"/>
          <w:szCs w:val="22"/>
          <w:u w:val="single"/>
        </w:rPr>
        <w:t>Estimated Annual Cost to respondents for Hour burdens</w:t>
      </w:r>
      <w:r w:rsidR="00FF4669">
        <w:rPr>
          <w:rFonts w:ascii="Times New Roman" w:hAnsi="Times New Roman" w:cs="Times New Roman"/>
          <w:sz w:val="24"/>
          <w:szCs w:val="22"/>
        </w:rPr>
        <w:t>.</w:t>
      </w:r>
    </w:p>
    <w:p w14:paraId="7B4E47AA" w14:textId="77777777" w:rsidR="0053601B" w:rsidRDefault="0053601B">
      <w:pPr>
        <w:rPr>
          <w:rFonts w:ascii="Times New Roman" w:hAnsi="Times New Roman" w:cs="Times New Roman"/>
          <w:sz w:val="24"/>
          <w:szCs w:val="24"/>
        </w:rPr>
      </w:pPr>
    </w:p>
    <w:p w14:paraId="052043B1" w14:textId="1B1D02F8" w:rsidR="0053601B" w:rsidRPr="00537765" w:rsidRDefault="0053601B" w:rsidP="0053601B">
      <w:pPr>
        <w:ind w:firstLine="720"/>
        <w:rPr>
          <w:rFonts w:ascii="Times New Roman" w:hAnsi="Times New Roman"/>
          <w:sz w:val="24"/>
          <w:szCs w:val="24"/>
        </w:rPr>
      </w:pPr>
      <w:r>
        <w:rPr>
          <w:rFonts w:ascii="Times New Roman" w:hAnsi="Times New Roman"/>
          <w:sz w:val="24"/>
          <w:szCs w:val="24"/>
        </w:rPr>
        <w:t xml:space="preserve">Estimated burden cost: </w:t>
      </w:r>
      <w:r w:rsidR="00381DA2">
        <w:rPr>
          <w:rFonts w:ascii="Times New Roman" w:hAnsi="Times New Roman"/>
          <w:sz w:val="24"/>
          <w:szCs w:val="24"/>
        </w:rPr>
        <w:t>One</w:t>
      </w:r>
      <w:r>
        <w:rPr>
          <w:rFonts w:ascii="Times New Roman" w:hAnsi="Times New Roman"/>
          <w:sz w:val="24"/>
          <w:szCs w:val="24"/>
        </w:rPr>
        <w:t xml:space="preserve"> hour X $33.77 per hour = $33.77</w:t>
      </w:r>
      <w:r w:rsidR="00FF4669">
        <w:rPr>
          <w:rFonts w:ascii="Times New Roman" w:hAnsi="Times New Roman"/>
          <w:sz w:val="24"/>
          <w:szCs w:val="24"/>
        </w:rPr>
        <w:t>.</w:t>
      </w:r>
      <w:r>
        <w:rPr>
          <w:rStyle w:val="FootnoteReference"/>
          <w:rFonts w:ascii="Times New Roman" w:hAnsi="Times New Roman"/>
          <w:sz w:val="24"/>
          <w:szCs w:val="24"/>
        </w:rPr>
        <w:footnoteReference w:id="2"/>
      </w:r>
    </w:p>
    <w:p w14:paraId="41D190C7" w14:textId="77777777" w:rsidR="00E57288" w:rsidRDefault="00E57288">
      <w:pPr>
        <w:rPr>
          <w:rFonts w:ascii="Times New Roman" w:hAnsi="Times New Roman" w:cs="Times New Roman"/>
          <w:sz w:val="24"/>
          <w:szCs w:val="24"/>
        </w:rPr>
      </w:pPr>
      <w:r>
        <w:rPr>
          <w:rFonts w:ascii="Times New Roman" w:hAnsi="Times New Roman" w:cs="Times New Roman"/>
          <w:sz w:val="24"/>
          <w:szCs w:val="24"/>
        </w:rPr>
        <w:t xml:space="preserve"> </w:t>
      </w:r>
    </w:p>
    <w:p w14:paraId="1FABF3F8" w14:textId="62083EE9"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14. </w:t>
      </w:r>
      <w:r>
        <w:rPr>
          <w:rFonts w:ascii="Times New Roman" w:hAnsi="Times New Roman" w:cs="Times New Roman"/>
          <w:sz w:val="24"/>
          <w:szCs w:val="24"/>
          <w:u w:val="single"/>
        </w:rPr>
        <w:t>Estimated Annual Cost to the Federal Government</w:t>
      </w:r>
      <w:r w:rsidR="00FF4669">
        <w:rPr>
          <w:rFonts w:ascii="Times New Roman" w:hAnsi="Times New Roman" w:cs="Times New Roman"/>
          <w:sz w:val="24"/>
          <w:szCs w:val="24"/>
        </w:rPr>
        <w:t>.</w:t>
      </w:r>
    </w:p>
    <w:p w14:paraId="22BB241F" w14:textId="77777777" w:rsidR="0053601B" w:rsidRDefault="0053601B">
      <w:pPr>
        <w:rPr>
          <w:rFonts w:ascii="Times New Roman" w:hAnsi="Times New Roman" w:cs="Times New Roman"/>
          <w:sz w:val="24"/>
          <w:szCs w:val="24"/>
        </w:rPr>
      </w:pPr>
    </w:p>
    <w:p w14:paraId="0065877E" w14:textId="77777777" w:rsidR="0053601B" w:rsidRPr="00537765" w:rsidRDefault="0053601B" w:rsidP="0053601B">
      <w:pPr>
        <w:ind w:firstLine="720"/>
        <w:rPr>
          <w:rFonts w:ascii="Times New Roman" w:hAnsi="Times New Roman"/>
          <w:sz w:val="24"/>
          <w:szCs w:val="24"/>
        </w:rPr>
      </w:pPr>
      <w:r>
        <w:rPr>
          <w:rFonts w:ascii="Times New Roman" w:hAnsi="Times New Roman"/>
          <w:sz w:val="24"/>
          <w:szCs w:val="24"/>
        </w:rPr>
        <w:t>Electronic processing cost to the Federal Government for 2,019,022 responses X $0.10 per response = $201,902</w:t>
      </w:r>
      <w:r w:rsidRPr="00537765">
        <w:rPr>
          <w:rFonts w:ascii="Times New Roman" w:hAnsi="Times New Roman"/>
          <w:sz w:val="24"/>
          <w:szCs w:val="24"/>
        </w:rPr>
        <w:t>.</w:t>
      </w:r>
      <w:r>
        <w:rPr>
          <w:rStyle w:val="FootnoteReference"/>
          <w:rFonts w:ascii="Times New Roman" w:hAnsi="Times New Roman"/>
          <w:sz w:val="24"/>
          <w:szCs w:val="24"/>
        </w:rPr>
        <w:footnoteReference w:id="3"/>
      </w:r>
    </w:p>
    <w:p w14:paraId="520B9229" w14:textId="77777777" w:rsidR="00E57288" w:rsidRDefault="00E57288">
      <w:pPr>
        <w:rPr>
          <w:rFonts w:ascii="Times New Roman" w:hAnsi="Times New Roman" w:cs="Times New Roman"/>
          <w:sz w:val="24"/>
          <w:szCs w:val="22"/>
        </w:rPr>
      </w:pPr>
    </w:p>
    <w:p w14:paraId="20F3213D" w14:textId="67EC2DE0" w:rsidR="00E57288" w:rsidRDefault="00E57288">
      <w:pPr>
        <w:rPr>
          <w:rFonts w:ascii="Times New Roman" w:hAnsi="Times New Roman" w:cs="Times New Roman"/>
          <w:sz w:val="24"/>
          <w:szCs w:val="22"/>
        </w:rPr>
      </w:pPr>
      <w:r>
        <w:rPr>
          <w:rFonts w:ascii="Times New Roman" w:hAnsi="Times New Roman" w:cs="Times New Roman"/>
          <w:sz w:val="24"/>
          <w:szCs w:val="22"/>
        </w:rPr>
        <w:t xml:space="preserve">15. </w:t>
      </w:r>
      <w:r>
        <w:rPr>
          <w:rFonts w:ascii="Times New Roman" w:hAnsi="Times New Roman" w:cs="Times New Roman"/>
          <w:sz w:val="24"/>
          <w:szCs w:val="22"/>
          <w:u w:val="single"/>
        </w:rPr>
        <w:t>Reasons for Change in Burden</w:t>
      </w:r>
      <w:r w:rsidR="00FF4669">
        <w:rPr>
          <w:rFonts w:ascii="Times New Roman" w:hAnsi="Times New Roman" w:cs="Times New Roman"/>
          <w:sz w:val="24"/>
          <w:szCs w:val="22"/>
        </w:rPr>
        <w:t>.</w:t>
      </w:r>
    </w:p>
    <w:p w14:paraId="2A4EEA11" w14:textId="77777777" w:rsidR="0053601B" w:rsidRDefault="0053601B">
      <w:pPr>
        <w:rPr>
          <w:rFonts w:ascii="Times New Roman" w:hAnsi="Times New Roman" w:cs="Times New Roman"/>
          <w:sz w:val="24"/>
        </w:rPr>
      </w:pPr>
    </w:p>
    <w:p w14:paraId="30765DE7" w14:textId="77777777" w:rsidR="00E57288" w:rsidRDefault="0053601B" w:rsidP="0053601B">
      <w:pPr>
        <w:ind w:firstLine="720"/>
        <w:rPr>
          <w:rFonts w:ascii="Times New Roman" w:hAnsi="Times New Roman" w:cs="Times New Roman"/>
          <w:sz w:val="24"/>
        </w:rPr>
      </w:pPr>
      <w:r>
        <w:rPr>
          <w:rFonts w:ascii="Times New Roman" w:hAnsi="Times New Roman" w:cs="Times New Roman"/>
          <w:sz w:val="24"/>
        </w:rPr>
        <w:t xml:space="preserve">There is no change in the burden. </w:t>
      </w:r>
      <w:r w:rsidR="00E57288">
        <w:rPr>
          <w:rFonts w:ascii="Times New Roman" w:hAnsi="Times New Roman" w:cs="Times New Roman"/>
          <w:sz w:val="24"/>
        </w:rPr>
        <w:t xml:space="preserve"> </w:t>
      </w:r>
    </w:p>
    <w:p w14:paraId="47FD2495" w14:textId="77777777" w:rsidR="00E57288" w:rsidRDefault="00E57288">
      <w:pPr>
        <w:rPr>
          <w:rFonts w:ascii="Times New Roman" w:hAnsi="Times New Roman" w:cs="Times New Roman"/>
          <w:sz w:val="24"/>
          <w:szCs w:val="22"/>
        </w:rPr>
      </w:pPr>
    </w:p>
    <w:p w14:paraId="557154C6" w14:textId="6822FC26" w:rsidR="00E57288" w:rsidRDefault="00E57288">
      <w:pPr>
        <w:rPr>
          <w:rFonts w:ascii="Times New Roman" w:hAnsi="Times New Roman" w:cs="Times New Roman"/>
          <w:sz w:val="24"/>
          <w:szCs w:val="22"/>
        </w:rPr>
      </w:pPr>
      <w:r>
        <w:rPr>
          <w:rFonts w:ascii="Times New Roman" w:hAnsi="Times New Roman" w:cs="Times New Roman"/>
          <w:sz w:val="24"/>
          <w:szCs w:val="22"/>
        </w:rPr>
        <w:t xml:space="preserve">16. </w:t>
      </w:r>
      <w:r>
        <w:rPr>
          <w:rFonts w:ascii="Times New Roman" w:hAnsi="Times New Roman" w:cs="Times New Roman"/>
          <w:sz w:val="24"/>
          <w:szCs w:val="22"/>
          <w:u w:val="single"/>
        </w:rPr>
        <w:t>Plans for Tabulation, Statistical Analysis and Publication</w:t>
      </w:r>
      <w:r w:rsidR="00FF4669">
        <w:rPr>
          <w:rFonts w:ascii="Times New Roman" w:hAnsi="Times New Roman" w:cs="Times New Roman"/>
          <w:sz w:val="24"/>
          <w:szCs w:val="22"/>
        </w:rPr>
        <w:t>.</w:t>
      </w:r>
    </w:p>
    <w:p w14:paraId="77CE184D" w14:textId="77777777" w:rsidR="007A107D" w:rsidRDefault="007A107D">
      <w:pPr>
        <w:rPr>
          <w:rFonts w:ascii="Times New Roman" w:hAnsi="Times New Roman"/>
          <w:sz w:val="24"/>
          <w:szCs w:val="24"/>
        </w:rPr>
      </w:pPr>
    </w:p>
    <w:p w14:paraId="38874326" w14:textId="77777777" w:rsidR="00E57288" w:rsidRDefault="007A107D" w:rsidP="007A107D">
      <w:pPr>
        <w:ind w:firstLine="720"/>
        <w:rPr>
          <w:rFonts w:ascii="Times New Roman" w:hAnsi="Times New Roman" w:cs="Times New Roman"/>
          <w:sz w:val="24"/>
          <w:szCs w:val="22"/>
        </w:rPr>
      </w:pPr>
      <w:r>
        <w:rPr>
          <w:rFonts w:ascii="Times New Roman" w:hAnsi="Times New Roman"/>
          <w:sz w:val="24"/>
          <w:szCs w:val="24"/>
        </w:rPr>
        <w:t xml:space="preserve">There are no </w:t>
      </w:r>
      <w:r w:rsidRPr="005E4C4A">
        <w:rPr>
          <w:rFonts w:ascii="Times New Roman" w:hAnsi="Times New Roman"/>
          <w:sz w:val="24"/>
          <w:szCs w:val="24"/>
        </w:rPr>
        <w:t>plans for tabulation, statistical analysis and publication.</w:t>
      </w:r>
    </w:p>
    <w:p w14:paraId="3827E857" w14:textId="77777777" w:rsidR="007A107D" w:rsidRDefault="007A107D">
      <w:pPr>
        <w:rPr>
          <w:rFonts w:ascii="Times New Roman" w:hAnsi="Times New Roman" w:cs="Times New Roman"/>
          <w:sz w:val="24"/>
          <w:szCs w:val="22"/>
        </w:rPr>
      </w:pPr>
    </w:p>
    <w:p w14:paraId="6E091BC8" w14:textId="213034B8" w:rsidR="00E57288" w:rsidRDefault="00E57288">
      <w:pPr>
        <w:rPr>
          <w:rFonts w:ascii="Times New Roman" w:hAnsi="Times New Roman" w:cs="Times New Roman"/>
          <w:sz w:val="24"/>
          <w:szCs w:val="22"/>
          <w:u w:val="single"/>
        </w:rPr>
      </w:pPr>
      <w:r>
        <w:rPr>
          <w:rFonts w:ascii="Times New Roman" w:hAnsi="Times New Roman" w:cs="Times New Roman"/>
          <w:sz w:val="24"/>
          <w:szCs w:val="22"/>
        </w:rPr>
        <w:t xml:space="preserve">17. </w:t>
      </w:r>
      <w:r>
        <w:rPr>
          <w:rFonts w:ascii="Times New Roman" w:hAnsi="Times New Roman" w:cs="Times New Roman"/>
          <w:sz w:val="24"/>
          <w:szCs w:val="22"/>
          <w:u w:val="single"/>
        </w:rPr>
        <w:t>Request Not to Display Expiration Date of Office of Management and Budget Control Number</w:t>
      </w:r>
      <w:r w:rsidR="00FF4669">
        <w:rPr>
          <w:rFonts w:ascii="Times New Roman" w:hAnsi="Times New Roman" w:cs="Times New Roman"/>
          <w:sz w:val="24"/>
          <w:szCs w:val="22"/>
        </w:rPr>
        <w:t>.</w:t>
      </w:r>
    </w:p>
    <w:p w14:paraId="6E7BC11D" w14:textId="77777777" w:rsidR="007A107D" w:rsidRPr="007A107D" w:rsidRDefault="007A107D" w:rsidP="007A107D">
      <w:pPr>
        <w:spacing w:before="283"/>
        <w:ind w:firstLine="720"/>
        <w:rPr>
          <w:rFonts w:ascii="Times New Roman" w:hAnsi="Times New Roman" w:cs="Times New Roman"/>
          <w:sz w:val="24"/>
          <w:szCs w:val="24"/>
        </w:rPr>
      </w:pPr>
      <w:r w:rsidRPr="007A107D">
        <w:rPr>
          <w:rFonts w:ascii="Times New Roman" w:hAnsi="Times New Roman" w:cs="Times New Roman"/>
          <w:sz w:val="24"/>
          <w:szCs w:val="24"/>
        </w:rPr>
        <w:t xml:space="preserve">FinCEN requests that it not be required to display the expiration date so that the regulations will not have to be amended for the new expiration date every three years.  </w:t>
      </w:r>
    </w:p>
    <w:p w14:paraId="1CAC604F" w14:textId="77777777" w:rsidR="007A107D" w:rsidRDefault="007A107D">
      <w:pPr>
        <w:rPr>
          <w:rFonts w:ascii="Times New Roman" w:hAnsi="Times New Roman" w:cs="Times New Roman"/>
          <w:sz w:val="24"/>
          <w:szCs w:val="24"/>
        </w:rPr>
      </w:pPr>
    </w:p>
    <w:p w14:paraId="1BF78A66" w14:textId="77777777" w:rsidR="00E57288" w:rsidRDefault="00E57288">
      <w:pPr>
        <w:rPr>
          <w:rFonts w:ascii="Times New Roman" w:hAnsi="Times New Roman" w:cs="Times New Roman"/>
          <w:sz w:val="24"/>
          <w:szCs w:val="24"/>
          <w:u w:val="single"/>
        </w:rPr>
      </w:pPr>
      <w:r>
        <w:rPr>
          <w:rFonts w:ascii="Times New Roman" w:hAnsi="Times New Roman" w:cs="Times New Roman"/>
          <w:sz w:val="24"/>
          <w:szCs w:val="24"/>
        </w:rPr>
        <w:t xml:space="preserve">18. </w:t>
      </w:r>
      <w:r>
        <w:rPr>
          <w:rFonts w:ascii="Times New Roman" w:hAnsi="Times New Roman" w:cs="Times New Roman"/>
          <w:sz w:val="24"/>
          <w:szCs w:val="24"/>
          <w:u w:val="single"/>
        </w:rPr>
        <w:t>Exceptions</w:t>
      </w:r>
      <w:r w:rsidR="00FF4669" w:rsidRPr="0097098C">
        <w:rPr>
          <w:rFonts w:ascii="Times New Roman" w:hAnsi="Times New Roman" w:cs="Times New Roman"/>
          <w:sz w:val="24"/>
          <w:szCs w:val="24"/>
        </w:rPr>
        <w:t>.</w:t>
      </w:r>
      <w:r w:rsidRPr="00FF4669">
        <w:rPr>
          <w:rFonts w:ascii="Times New Roman" w:hAnsi="Times New Roman" w:cs="Times New Roman"/>
          <w:sz w:val="24"/>
          <w:szCs w:val="24"/>
        </w:rPr>
        <w:t xml:space="preserve"> </w:t>
      </w:r>
    </w:p>
    <w:p w14:paraId="02851A6A" w14:textId="77777777" w:rsidR="007A107D" w:rsidRDefault="007A107D">
      <w:pPr>
        <w:rPr>
          <w:rFonts w:ascii="Times New Roman" w:hAnsi="Times New Roman" w:cs="Times New Roman"/>
          <w:sz w:val="24"/>
          <w:szCs w:val="24"/>
        </w:rPr>
      </w:pPr>
    </w:p>
    <w:p w14:paraId="47530031" w14:textId="1B183F5C" w:rsidR="00E57288" w:rsidRDefault="007A107D" w:rsidP="007A107D">
      <w:pPr>
        <w:ind w:firstLine="720"/>
        <w:rPr>
          <w:rFonts w:ascii="Times New Roman" w:hAnsi="Times New Roman" w:cs="Times New Roman"/>
          <w:sz w:val="24"/>
          <w:szCs w:val="18"/>
        </w:rPr>
      </w:pPr>
      <w:r w:rsidRPr="00537765">
        <w:rPr>
          <w:rFonts w:ascii="Times New Roman" w:hAnsi="Times New Roman"/>
          <w:sz w:val="24"/>
          <w:szCs w:val="24"/>
        </w:rPr>
        <w:t>There are no exceptions to the certification statement</w:t>
      </w:r>
      <w:r w:rsidR="00D05DB4">
        <w:rPr>
          <w:rFonts w:ascii="Times New Roman" w:hAnsi="Times New Roman"/>
          <w:sz w:val="24"/>
          <w:szCs w:val="24"/>
        </w:rPr>
        <w:t>.</w:t>
      </w:r>
    </w:p>
    <w:sectPr w:rsidR="00E57288" w:rsidSect="000D31B2">
      <w:footerReference w:type="even" r:id="rId11"/>
      <w:footerReference w:type="default" r:id="rId12"/>
      <w:footnotePr>
        <w:numRestart w:val="eachPage"/>
      </w:footnotePr>
      <w:type w:val="nextColumn"/>
      <w:pgSz w:w="12240" w:h="15840" w:code="1"/>
      <w:pgMar w:top="1440" w:right="144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2F0CB" w14:textId="77777777" w:rsidR="00C06EA1" w:rsidRDefault="00C06EA1">
      <w:r>
        <w:separator/>
      </w:r>
    </w:p>
  </w:endnote>
  <w:endnote w:type="continuationSeparator" w:id="0">
    <w:p w14:paraId="3E86D468" w14:textId="77777777" w:rsidR="00C06EA1" w:rsidRDefault="00C0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75F39" w14:textId="77777777" w:rsidR="00E57288" w:rsidRDefault="00E57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CEA78" w14:textId="77777777" w:rsidR="00E57288" w:rsidRDefault="00E57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BEB3" w14:textId="56C40FAE" w:rsidR="00E57288" w:rsidRDefault="00E57288">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0D1476">
      <w:rPr>
        <w:rStyle w:val="PageNumber"/>
        <w:rFonts w:ascii="Times New Roman" w:hAnsi="Times New Roman"/>
        <w:noProof/>
        <w:sz w:val="24"/>
      </w:rPr>
      <w:t>1</w:t>
    </w:r>
    <w:r>
      <w:rPr>
        <w:rStyle w:val="PageNumber"/>
        <w:rFonts w:ascii="Times New Roman" w:hAnsi="Times New Roman"/>
        <w:sz w:val="24"/>
      </w:rPr>
      <w:fldChar w:fldCharType="end"/>
    </w:r>
  </w:p>
  <w:p w14:paraId="4DD6C440" w14:textId="77777777" w:rsidR="00E57288" w:rsidRDefault="00E57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FF48C" w14:textId="77777777" w:rsidR="00C06EA1" w:rsidRDefault="00C06EA1">
      <w:r>
        <w:separator/>
      </w:r>
    </w:p>
  </w:footnote>
  <w:footnote w:type="continuationSeparator" w:id="0">
    <w:p w14:paraId="4BF792CC" w14:textId="77777777" w:rsidR="00C06EA1" w:rsidRDefault="00C06EA1">
      <w:r>
        <w:continuationSeparator/>
      </w:r>
    </w:p>
  </w:footnote>
  <w:footnote w:id="1">
    <w:p w14:paraId="693ED8FA" w14:textId="77777777" w:rsidR="005D6DA5" w:rsidRPr="005D6DA5" w:rsidRDefault="00D909D5" w:rsidP="005D6DA5">
      <w:pPr>
        <w:pStyle w:val="FootnoteText"/>
        <w:rPr>
          <w:rFonts w:ascii="Times New Roman" w:hAnsi="Times New Roman" w:cs="Times New Roman"/>
        </w:rPr>
      </w:pPr>
      <w:r w:rsidRPr="0097098C">
        <w:rPr>
          <w:rStyle w:val="FootnoteReference"/>
          <w:rFonts w:ascii="Times New Roman" w:hAnsi="Times New Roman" w:cs="Times New Roman"/>
        </w:rPr>
        <w:footnoteRef/>
      </w:r>
      <w:r w:rsidRPr="0097098C">
        <w:rPr>
          <w:rFonts w:ascii="Times New Roman" w:hAnsi="Times New Roman" w:cs="Times New Roman"/>
        </w:rPr>
        <w:t xml:space="preserve"> </w:t>
      </w:r>
      <w:r w:rsidR="005D6DA5">
        <w:rPr>
          <w:rFonts w:ascii="Times New Roman" w:hAnsi="Times New Roman" w:cs="Times New Roman"/>
        </w:rPr>
        <w:t>As defined at 31 CFR 1025.100(b), “covered products,” means: a (1) a</w:t>
      </w:r>
      <w:r w:rsidR="005D6DA5" w:rsidRPr="005D6DA5">
        <w:rPr>
          <w:rFonts w:ascii="Times New Roman" w:hAnsi="Times New Roman" w:cs="Times New Roman"/>
        </w:rPr>
        <w:t xml:space="preserve"> permanent life insurance policy, other than a group life insurance policy;</w:t>
      </w:r>
      <w:r w:rsidR="005D6DA5">
        <w:rPr>
          <w:rFonts w:ascii="Times New Roman" w:hAnsi="Times New Roman" w:cs="Times New Roman"/>
        </w:rPr>
        <w:t xml:space="preserve"> (2) a</w:t>
      </w:r>
      <w:r w:rsidR="005D6DA5" w:rsidRPr="005D6DA5">
        <w:rPr>
          <w:rFonts w:ascii="Times New Roman" w:hAnsi="Times New Roman" w:cs="Times New Roman"/>
        </w:rPr>
        <w:t>n annuity contract, other than a group annuity contract; or</w:t>
      </w:r>
      <w:r w:rsidR="005D6DA5">
        <w:rPr>
          <w:rFonts w:ascii="Times New Roman" w:hAnsi="Times New Roman" w:cs="Times New Roman"/>
        </w:rPr>
        <w:t xml:space="preserve"> (3) a</w:t>
      </w:r>
      <w:r w:rsidR="005D6DA5" w:rsidRPr="005D6DA5">
        <w:rPr>
          <w:rFonts w:ascii="Times New Roman" w:hAnsi="Times New Roman" w:cs="Times New Roman"/>
        </w:rPr>
        <w:t>ny other insurance product with features of cash value or investment.</w:t>
      </w:r>
    </w:p>
    <w:p w14:paraId="2B16D58C" w14:textId="77777777" w:rsidR="00D909D5" w:rsidRPr="0097098C" w:rsidRDefault="005D6DA5" w:rsidP="005D6DA5">
      <w:pPr>
        <w:pStyle w:val="FootnoteText"/>
        <w:rPr>
          <w:rFonts w:ascii="Times New Roman" w:hAnsi="Times New Roman" w:cs="Times New Roman"/>
        </w:rPr>
      </w:pPr>
      <w:r>
        <w:rPr>
          <w:rFonts w:ascii="Times New Roman" w:hAnsi="Times New Roman" w:cs="Times New Roman"/>
        </w:rPr>
        <w:t xml:space="preserve"> </w:t>
      </w:r>
    </w:p>
  </w:footnote>
  <w:footnote w:id="2">
    <w:p w14:paraId="260B36D3" w14:textId="77777777" w:rsidR="0053601B" w:rsidRPr="0097098C" w:rsidRDefault="0053601B" w:rsidP="0053601B">
      <w:pPr>
        <w:pStyle w:val="FootnoteText"/>
        <w:rPr>
          <w:rFonts w:ascii="Times New Roman" w:hAnsi="Times New Roman" w:cs="Times New Roman"/>
        </w:rPr>
      </w:pPr>
      <w:r w:rsidRPr="0097098C">
        <w:rPr>
          <w:rStyle w:val="FootnoteReference"/>
          <w:rFonts w:ascii="Times New Roman" w:hAnsi="Times New Roman" w:cs="Times New Roman"/>
        </w:rPr>
        <w:footnoteRef/>
      </w:r>
      <w:r w:rsidRPr="0097098C">
        <w:rPr>
          <w:rFonts w:ascii="Times New Roman" w:hAnsi="Times New Roman" w:cs="Times New Roman"/>
        </w:rPr>
        <w:t xml:space="preserve"> </w:t>
      </w:r>
      <w:r w:rsidRPr="00D909D5">
        <w:rPr>
          <w:rFonts w:ascii="Times New Roman" w:hAnsi="Times New Roman" w:cs="Times New Roman"/>
          <w:iCs/>
        </w:rPr>
        <w:t>The above Average Hourly Wage Rate is calculated from the May 2016 Bureau of Labor Statistics average wage for</w:t>
      </w:r>
      <w:r w:rsidRPr="005D6DA5">
        <w:rPr>
          <w:rFonts w:ascii="Times New Roman" w:hAnsi="Times New Roman" w:cs="Times New Roman"/>
          <w:i/>
          <w:iCs/>
        </w:rPr>
        <w:t xml:space="preserve"> </w:t>
      </w:r>
      <w:r w:rsidRPr="00381DA2">
        <w:rPr>
          <w:rFonts w:ascii="Times New Roman" w:hAnsi="Times New Roman" w:cs="Times New Roman"/>
          <w:iCs/>
        </w:rPr>
        <w:t>“</w:t>
      </w:r>
      <w:r w:rsidRPr="005D6DA5">
        <w:rPr>
          <w:rFonts w:ascii="Times New Roman" w:hAnsi="Times New Roman" w:cs="Times New Roman"/>
        </w:rPr>
        <w:t>13-1041 Compliance Officers</w:t>
      </w:r>
      <w:r w:rsidRPr="00381DA2">
        <w:rPr>
          <w:rFonts w:ascii="Times New Roman" w:hAnsi="Times New Roman" w:cs="Times New Roman"/>
          <w:iCs/>
        </w:rPr>
        <w:t>”</w:t>
      </w:r>
      <w:r w:rsidRPr="005D6DA5">
        <w:rPr>
          <w:rFonts w:ascii="Times New Roman" w:hAnsi="Times New Roman" w:cs="Times New Roman"/>
          <w:i/>
          <w:iCs/>
        </w:rPr>
        <w:t xml:space="preserve"> </w:t>
      </w:r>
      <w:r w:rsidRPr="005D6DA5">
        <w:rPr>
          <w:rFonts w:ascii="Times New Roman" w:hAnsi="Times New Roman" w:cs="Times New Roman"/>
          <w:iCs/>
        </w:rPr>
        <w:t>of $33.77.</w:t>
      </w:r>
      <w:r w:rsidRPr="005D6DA5">
        <w:rPr>
          <w:rFonts w:ascii="Times New Roman" w:hAnsi="Times New Roman" w:cs="Times New Roman"/>
          <w:i/>
          <w:iCs/>
        </w:rPr>
        <w:t xml:space="preserve">  </w:t>
      </w:r>
    </w:p>
  </w:footnote>
  <w:footnote w:id="3">
    <w:p w14:paraId="174303C3" w14:textId="77777777" w:rsidR="0053601B" w:rsidRPr="005D6DA5" w:rsidRDefault="0053601B" w:rsidP="0053601B">
      <w:pPr>
        <w:pStyle w:val="FootnoteText"/>
        <w:rPr>
          <w:rFonts w:ascii="Times New Roman" w:hAnsi="Times New Roman" w:cs="Times New Roman"/>
        </w:rPr>
      </w:pPr>
      <w:r w:rsidRPr="0097098C">
        <w:rPr>
          <w:rStyle w:val="FootnoteReference"/>
          <w:rFonts w:ascii="Times New Roman" w:hAnsi="Times New Roman" w:cs="Times New Roman"/>
        </w:rPr>
        <w:footnoteRef/>
      </w:r>
      <w:r w:rsidRPr="0097098C">
        <w:rPr>
          <w:rFonts w:ascii="Times New Roman" w:hAnsi="Times New Roman" w:cs="Times New Roman"/>
        </w:rPr>
        <w:t xml:space="preserve"> </w:t>
      </w:r>
      <w:r w:rsidRPr="00D909D5">
        <w:rPr>
          <w:rFonts w:ascii="Times New Roman" w:hAnsi="Times New Roman" w:cs="Times New Roman"/>
        </w:rPr>
        <w:t>Cost per response received as listed in the BSA E-Filing Federal contract for 201</w:t>
      </w:r>
      <w:r w:rsidR="00B722B5" w:rsidRPr="005D6DA5">
        <w:rPr>
          <w:rFonts w:ascii="Times New Roman" w:hAnsi="Times New Roman" w:cs="Times New Roman"/>
        </w:rPr>
        <w:t>8</w:t>
      </w:r>
      <w:r w:rsidRPr="005D6DA5">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1095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1C3E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F22DE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050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80309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BCEBE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202B7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72648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2FE8E08"/>
    <w:lvl w:ilvl="0">
      <w:start w:val="1"/>
      <w:numFmt w:val="decimal"/>
      <w:pStyle w:val="ListNumber"/>
      <w:lvlText w:val="%1."/>
      <w:lvlJc w:val="left"/>
      <w:pPr>
        <w:tabs>
          <w:tab w:val="num" w:pos="360"/>
        </w:tabs>
        <w:ind w:left="360" w:hanging="360"/>
      </w:pPr>
    </w:lvl>
  </w:abstractNum>
  <w:abstractNum w:abstractNumId="9">
    <w:nsid w:val="FFFFFF89"/>
    <w:multiLevelType w:val="singleLevel"/>
    <w:tmpl w:val="81088D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810A85"/>
    <w:multiLevelType w:val="hybridMultilevel"/>
    <w:tmpl w:val="8A70869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835C36"/>
    <w:multiLevelType w:val="hybridMultilevel"/>
    <w:tmpl w:val="B4A6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FB"/>
    <w:rsid w:val="000B121C"/>
    <w:rsid w:val="000D1476"/>
    <w:rsid w:val="000D31B2"/>
    <w:rsid w:val="0016744C"/>
    <w:rsid w:val="00247E55"/>
    <w:rsid w:val="002B0B50"/>
    <w:rsid w:val="002D1E76"/>
    <w:rsid w:val="002E06BB"/>
    <w:rsid w:val="003020E2"/>
    <w:rsid w:val="0036378B"/>
    <w:rsid w:val="00381DA2"/>
    <w:rsid w:val="003C2638"/>
    <w:rsid w:val="003C55A7"/>
    <w:rsid w:val="00407FF7"/>
    <w:rsid w:val="004308A8"/>
    <w:rsid w:val="0053601B"/>
    <w:rsid w:val="00557747"/>
    <w:rsid w:val="005D6DA5"/>
    <w:rsid w:val="005E43EC"/>
    <w:rsid w:val="00613A3E"/>
    <w:rsid w:val="007A107D"/>
    <w:rsid w:val="007A2946"/>
    <w:rsid w:val="007B73E7"/>
    <w:rsid w:val="007F4FB7"/>
    <w:rsid w:val="0087264E"/>
    <w:rsid w:val="008F3DE3"/>
    <w:rsid w:val="0097098C"/>
    <w:rsid w:val="00984DFB"/>
    <w:rsid w:val="009C690C"/>
    <w:rsid w:val="009E106C"/>
    <w:rsid w:val="00A74282"/>
    <w:rsid w:val="00B329FF"/>
    <w:rsid w:val="00B722B5"/>
    <w:rsid w:val="00BC47A1"/>
    <w:rsid w:val="00BE50C0"/>
    <w:rsid w:val="00C05399"/>
    <w:rsid w:val="00C06EA1"/>
    <w:rsid w:val="00C2420E"/>
    <w:rsid w:val="00C91ACD"/>
    <w:rsid w:val="00CA1CE1"/>
    <w:rsid w:val="00CB1C6A"/>
    <w:rsid w:val="00CB6C80"/>
    <w:rsid w:val="00CD73BA"/>
    <w:rsid w:val="00D05DB4"/>
    <w:rsid w:val="00D909D5"/>
    <w:rsid w:val="00E51044"/>
    <w:rsid w:val="00E556E5"/>
    <w:rsid w:val="00E57288"/>
    <w:rsid w:val="00F5181C"/>
    <w:rsid w:val="00FE0AED"/>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spacing w:before="244" w:line="278" w:lineRule="exact"/>
      <w:outlineLvl w:val="0"/>
    </w:pPr>
    <w:rPr>
      <w:rFonts w:ascii="Times New Roman" w:hAnsi="Times New Roman" w:cs="Times New Roman"/>
      <w:sz w:val="24"/>
      <w:szCs w:val="24"/>
    </w:rPr>
  </w:style>
  <w:style w:type="paragraph" w:styleId="Heading2">
    <w:name w:val="heading 2"/>
    <w:basedOn w:val="Normal"/>
    <w:next w:val="Normal"/>
    <w:qFormat/>
    <w:pPr>
      <w:keepNext/>
      <w:widowControl/>
      <w:tabs>
        <w:tab w:val="center" w:pos="11430"/>
      </w:tabs>
      <w:spacing w:before="307" w:line="259" w:lineRule="exact"/>
      <w:ind w:right="-30"/>
      <w:outlineLvl w:val="1"/>
    </w:pPr>
    <w:rPr>
      <w:rFonts w:ascii="Times New Roman" w:hAnsi="Times New Roman" w:cs="Times New Roman"/>
      <w:sz w:val="24"/>
      <w:szCs w:val="22"/>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spacing w:before="288" w:line="230" w:lineRule="exact"/>
    </w:pPr>
    <w:rPr>
      <w:rFonts w:ascii="Times New Roman" w:hAnsi="Times New Roman" w:cs="Times New Roman"/>
      <w:color w:val="00FFFF"/>
      <w:sz w:val="24"/>
      <w:szCs w:val="24"/>
    </w:rPr>
  </w:style>
  <w:style w:type="paragraph" w:styleId="BodyText">
    <w:name w:val="Body Text"/>
    <w:basedOn w:val="Normal"/>
    <w:pPr>
      <w:widowControl/>
      <w:spacing w:before="33" w:line="244" w:lineRule="exact"/>
    </w:pPr>
    <w:rPr>
      <w:rFonts w:ascii="Times New Roman" w:hAnsi="Times New Roman" w:cs="Times New Roman"/>
      <w:color w:val="000000"/>
      <w:sz w:val="24"/>
      <w:szCs w:val="24"/>
    </w:rPr>
  </w:style>
  <w:style w:type="paragraph" w:styleId="BodyText3">
    <w:name w:val="Body Text 3"/>
    <w:basedOn w:val="Normal"/>
    <w:pPr>
      <w:widowControl/>
      <w:spacing w:before="187" w:line="259" w:lineRule="exact"/>
    </w:pPr>
    <w:rPr>
      <w:rFonts w:ascii="Times New Roman" w:hAnsi="Times New Roman" w:cs="Times New Roman"/>
      <w:color w:val="000000"/>
      <w:szCs w:val="22"/>
    </w:rPr>
  </w:style>
  <w:style w:type="paragraph" w:styleId="BlockText">
    <w:name w:val="Block Text"/>
    <w:basedOn w:val="Normal"/>
    <w:pPr>
      <w:spacing w:after="120"/>
      <w:ind w:left="1440" w:right="1440"/>
    </w:pPr>
  </w:style>
  <w:style w:type="paragraph" w:styleId="BodyTextFirstIndent">
    <w:name w:val="Body Text First Indent"/>
    <w:basedOn w:val="BodyText"/>
    <w:pPr>
      <w:widowControl w:val="0"/>
      <w:spacing w:before="0" w:after="120" w:line="240" w:lineRule="auto"/>
      <w:ind w:firstLine="210"/>
    </w:pPr>
    <w:rPr>
      <w:rFonts w:ascii="Arial" w:hAnsi="Arial" w:cs="Arial"/>
      <w:color w:val="auto"/>
      <w:sz w:val="20"/>
      <w:szCs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FootnoteText">
    <w:name w:val="footnote text"/>
    <w:basedOn w:val="Normal"/>
    <w:link w:val="FootnoteTextChar"/>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FootnoteReference">
    <w:name w:val="footnote reference"/>
    <w:basedOn w:val="DefaultParagraphFont"/>
    <w:semiHidden/>
    <w:rsid w:val="00F5181C"/>
    <w:rPr>
      <w:vertAlign w:val="superscript"/>
    </w:rPr>
  </w:style>
  <w:style w:type="paragraph" w:styleId="ListParagraph">
    <w:name w:val="List Paragraph"/>
    <w:basedOn w:val="Normal"/>
    <w:uiPriority w:val="34"/>
    <w:qFormat/>
    <w:rsid w:val="002E06BB"/>
    <w:pPr>
      <w:ind w:left="720"/>
      <w:contextualSpacing/>
    </w:pPr>
  </w:style>
  <w:style w:type="character" w:customStyle="1" w:styleId="FootnoteTextChar">
    <w:name w:val="Footnote Text Char"/>
    <w:link w:val="FootnoteText"/>
    <w:semiHidden/>
    <w:rsid w:val="0053601B"/>
    <w:rPr>
      <w:rFonts w:ascii="Arial" w:hAnsi="Arial" w:cs="Arial"/>
    </w:rPr>
  </w:style>
  <w:style w:type="character" w:customStyle="1" w:styleId="PlainTextChar">
    <w:name w:val="Plain Text Char"/>
    <w:link w:val="PlainText"/>
    <w:rsid w:val="003C55A7"/>
    <w:rPr>
      <w:rFonts w:ascii="Courier New" w:hAnsi="Courier New" w:cs="Courier New"/>
    </w:rPr>
  </w:style>
  <w:style w:type="character" w:styleId="Hyperlink">
    <w:name w:val="Hyperlink"/>
    <w:rsid w:val="00C91ACD"/>
    <w:rPr>
      <w:color w:val="0000FF"/>
      <w:u w:val="single"/>
    </w:rPr>
  </w:style>
  <w:style w:type="paragraph" w:styleId="BalloonText">
    <w:name w:val="Balloon Text"/>
    <w:basedOn w:val="Normal"/>
    <w:link w:val="BalloonTextChar"/>
    <w:rsid w:val="0016744C"/>
    <w:rPr>
      <w:rFonts w:ascii="Segoe UI" w:hAnsi="Segoe UI" w:cs="Segoe UI"/>
      <w:sz w:val="18"/>
      <w:szCs w:val="18"/>
    </w:rPr>
  </w:style>
  <w:style w:type="character" w:customStyle="1" w:styleId="BalloonTextChar">
    <w:name w:val="Balloon Text Char"/>
    <w:basedOn w:val="DefaultParagraphFont"/>
    <w:link w:val="BalloonText"/>
    <w:rsid w:val="0016744C"/>
    <w:rPr>
      <w:rFonts w:ascii="Segoe UI" w:hAnsi="Segoe UI" w:cs="Segoe UI"/>
      <w:sz w:val="18"/>
      <w:szCs w:val="18"/>
    </w:rPr>
  </w:style>
  <w:style w:type="character" w:styleId="CommentReference">
    <w:name w:val="annotation reference"/>
    <w:basedOn w:val="DefaultParagraphFont"/>
    <w:rsid w:val="005D6DA5"/>
    <w:rPr>
      <w:sz w:val="16"/>
      <w:szCs w:val="16"/>
    </w:rPr>
  </w:style>
  <w:style w:type="paragraph" w:styleId="CommentSubject">
    <w:name w:val="annotation subject"/>
    <w:basedOn w:val="CommentText"/>
    <w:next w:val="CommentText"/>
    <w:link w:val="CommentSubjectChar"/>
    <w:rsid w:val="005D6DA5"/>
    <w:rPr>
      <w:b/>
      <w:bCs/>
    </w:rPr>
  </w:style>
  <w:style w:type="character" w:customStyle="1" w:styleId="CommentTextChar">
    <w:name w:val="Comment Text Char"/>
    <w:basedOn w:val="DefaultParagraphFont"/>
    <w:link w:val="CommentText"/>
    <w:semiHidden/>
    <w:rsid w:val="005D6DA5"/>
    <w:rPr>
      <w:rFonts w:ascii="Arial" w:hAnsi="Arial" w:cs="Arial"/>
    </w:rPr>
  </w:style>
  <w:style w:type="character" w:customStyle="1" w:styleId="CommentSubjectChar">
    <w:name w:val="Comment Subject Char"/>
    <w:basedOn w:val="CommentTextChar"/>
    <w:link w:val="CommentSubject"/>
    <w:rsid w:val="005D6DA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spacing w:before="244" w:line="278" w:lineRule="exact"/>
      <w:outlineLvl w:val="0"/>
    </w:pPr>
    <w:rPr>
      <w:rFonts w:ascii="Times New Roman" w:hAnsi="Times New Roman" w:cs="Times New Roman"/>
      <w:sz w:val="24"/>
      <w:szCs w:val="24"/>
    </w:rPr>
  </w:style>
  <w:style w:type="paragraph" w:styleId="Heading2">
    <w:name w:val="heading 2"/>
    <w:basedOn w:val="Normal"/>
    <w:next w:val="Normal"/>
    <w:qFormat/>
    <w:pPr>
      <w:keepNext/>
      <w:widowControl/>
      <w:tabs>
        <w:tab w:val="center" w:pos="11430"/>
      </w:tabs>
      <w:spacing w:before="307" w:line="259" w:lineRule="exact"/>
      <w:ind w:right="-30"/>
      <w:outlineLvl w:val="1"/>
    </w:pPr>
    <w:rPr>
      <w:rFonts w:ascii="Times New Roman" w:hAnsi="Times New Roman" w:cs="Times New Roman"/>
      <w:sz w:val="24"/>
      <w:szCs w:val="22"/>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spacing w:before="288" w:line="230" w:lineRule="exact"/>
    </w:pPr>
    <w:rPr>
      <w:rFonts w:ascii="Times New Roman" w:hAnsi="Times New Roman" w:cs="Times New Roman"/>
      <w:color w:val="00FFFF"/>
      <w:sz w:val="24"/>
      <w:szCs w:val="24"/>
    </w:rPr>
  </w:style>
  <w:style w:type="paragraph" w:styleId="BodyText">
    <w:name w:val="Body Text"/>
    <w:basedOn w:val="Normal"/>
    <w:pPr>
      <w:widowControl/>
      <w:spacing w:before="33" w:line="244" w:lineRule="exact"/>
    </w:pPr>
    <w:rPr>
      <w:rFonts w:ascii="Times New Roman" w:hAnsi="Times New Roman" w:cs="Times New Roman"/>
      <w:color w:val="000000"/>
      <w:sz w:val="24"/>
      <w:szCs w:val="24"/>
    </w:rPr>
  </w:style>
  <w:style w:type="paragraph" w:styleId="BodyText3">
    <w:name w:val="Body Text 3"/>
    <w:basedOn w:val="Normal"/>
    <w:pPr>
      <w:widowControl/>
      <w:spacing w:before="187" w:line="259" w:lineRule="exact"/>
    </w:pPr>
    <w:rPr>
      <w:rFonts w:ascii="Times New Roman" w:hAnsi="Times New Roman" w:cs="Times New Roman"/>
      <w:color w:val="000000"/>
      <w:szCs w:val="22"/>
    </w:rPr>
  </w:style>
  <w:style w:type="paragraph" w:styleId="BlockText">
    <w:name w:val="Block Text"/>
    <w:basedOn w:val="Normal"/>
    <w:pPr>
      <w:spacing w:after="120"/>
      <w:ind w:left="1440" w:right="1440"/>
    </w:pPr>
  </w:style>
  <w:style w:type="paragraph" w:styleId="BodyTextFirstIndent">
    <w:name w:val="Body Text First Indent"/>
    <w:basedOn w:val="BodyText"/>
    <w:pPr>
      <w:widowControl w:val="0"/>
      <w:spacing w:before="0" w:after="120" w:line="240" w:lineRule="auto"/>
      <w:ind w:firstLine="210"/>
    </w:pPr>
    <w:rPr>
      <w:rFonts w:ascii="Arial" w:hAnsi="Arial" w:cs="Arial"/>
      <w:color w:val="auto"/>
      <w:sz w:val="20"/>
      <w:szCs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FootnoteText">
    <w:name w:val="footnote text"/>
    <w:basedOn w:val="Normal"/>
    <w:link w:val="FootnoteTextChar"/>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FootnoteReference">
    <w:name w:val="footnote reference"/>
    <w:basedOn w:val="DefaultParagraphFont"/>
    <w:semiHidden/>
    <w:rsid w:val="00F5181C"/>
    <w:rPr>
      <w:vertAlign w:val="superscript"/>
    </w:rPr>
  </w:style>
  <w:style w:type="paragraph" w:styleId="ListParagraph">
    <w:name w:val="List Paragraph"/>
    <w:basedOn w:val="Normal"/>
    <w:uiPriority w:val="34"/>
    <w:qFormat/>
    <w:rsid w:val="002E06BB"/>
    <w:pPr>
      <w:ind w:left="720"/>
      <w:contextualSpacing/>
    </w:pPr>
  </w:style>
  <w:style w:type="character" w:customStyle="1" w:styleId="FootnoteTextChar">
    <w:name w:val="Footnote Text Char"/>
    <w:link w:val="FootnoteText"/>
    <w:semiHidden/>
    <w:rsid w:val="0053601B"/>
    <w:rPr>
      <w:rFonts w:ascii="Arial" w:hAnsi="Arial" w:cs="Arial"/>
    </w:rPr>
  </w:style>
  <w:style w:type="character" w:customStyle="1" w:styleId="PlainTextChar">
    <w:name w:val="Plain Text Char"/>
    <w:link w:val="PlainText"/>
    <w:rsid w:val="003C55A7"/>
    <w:rPr>
      <w:rFonts w:ascii="Courier New" w:hAnsi="Courier New" w:cs="Courier New"/>
    </w:rPr>
  </w:style>
  <w:style w:type="character" w:styleId="Hyperlink">
    <w:name w:val="Hyperlink"/>
    <w:rsid w:val="00C91ACD"/>
    <w:rPr>
      <w:color w:val="0000FF"/>
      <w:u w:val="single"/>
    </w:rPr>
  </w:style>
  <w:style w:type="paragraph" w:styleId="BalloonText">
    <w:name w:val="Balloon Text"/>
    <w:basedOn w:val="Normal"/>
    <w:link w:val="BalloonTextChar"/>
    <w:rsid w:val="0016744C"/>
    <w:rPr>
      <w:rFonts w:ascii="Segoe UI" w:hAnsi="Segoe UI" w:cs="Segoe UI"/>
      <w:sz w:val="18"/>
      <w:szCs w:val="18"/>
    </w:rPr>
  </w:style>
  <w:style w:type="character" w:customStyle="1" w:styleId="BalloonTextChar">
    <w:name w:val="Balloon Text Char"/>
    <w:basedOn w:val="DefaultParagraphFont"/>
    <w:link w:val="BalloonText"/>
    <w:rsid w:val="0016744C"/>
    <w:rPr>
      <w:rFonts w:ascii="Segoe UI" w:hAnsi="Segoe UI" w:cs="Segoe UI"/>
      <w:sz w:val="18"/>
      <w:szCs w:val="18"/>
    </w:rPr>
  </w:style>
  <w:style w:type="character" w:styleId="CommentReference">
    <w:name w:val="annotation reference"/>
    <w:basedOn w:val="DefaultParagraphFont"/>
    <w:rsid w:val="005D6DA5"/>
    <w:rPr>
      <w:sz w:val="16"/>
      <w:szCs w:val="16"/>
    </w:rPr>
  </w:style>
  <w:style w:type="paragraph" w:styleId="CommentSubject">
    <w:name w:val="annotation subject"/>
    <w:basedOn w:val="CommentText"/>
    <w:next w:val="CommentText"/>
    <w:link w:val="CommentSubjectChar"/>
    <w:rsid w:val="005D6DA5"/>
    <w:rPr>
      <w:b/>
      <w:bCs/>
    </w:rPr>
  </w:style>
  <w:style w:type="character" w:customStyle="1" w:styleId="CommentTextChar">
    <w:name w:val="Comment Text Char"/>
    <w:basedOn w:val="DefaultParagraphFont"/>
    <w:link w:val="CommentText"/>
    <w:semiHidden/>
    <w:rsid w:val="005D6DA5"/>
    <w:rPr>
      <w:rFonts w:ascii="Arial" w:hAnsi="Arial" w:cs="Arial"/>
    </w:rPr>
  </w:style>
  <w:style w:type="character" w:customStyle="1" w:styleId="CommentSubjectChar">
    <w:name w:val="Comment Subject Char"/>
    <w:basedOn w:val="CommentTextChar"/>
    <w:link w:val="CommentSubject"/>
    <w:rsid w:val="005D6DA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33284">
      <w:bodyDiv w:val="1"/>
      <w:marLeft w:val="0"/>
      <w:marRight w:val="0"/>
      <w:marTop w:val="0"/>
      <w:marBottom w:val="0"/>
      <w:divBdr>
        <w:top w:val="none" w:sz="0" w:space="0" w:color="auto"/>
        <w:left w:val="none" w:sz="0" w:space="0" w:color="auto"/>
        <w:bottom w:val="none" w:sz="0" w:space="0" w:color="auto"/>
        <w:right w:val="none" w:sz="0" w:space="0" w:color="auto"/>
      </w:divBdr>
    </w:div>
    <w:div w:id="838034585">
      <w:bodyDiv w:val="1"/>
      <w:marLeft w:val="0"/>
      <w:marRight w:val="0"/>
      <w:marTop w:val="0"/>
      <w:marBottom w:val="0"/>
      <w:divBdr>
        <w:top w:val="none" w:sz="0" w:space="0" w:color="auto"/>
        <w:left w:val="none" w:sz="0" w:space="0" w:color="auto"/>
        <w:bottom w:val="none" w:sz="0" w:space="0" w:color="auto"/>
        <w:right w:val="none" w:sz="0" w:space="0" w:color="auto"/>
      </w:divBdr>
    </w:div>
    <w:div w:id="1059791439">
      <w:bodyDiv w:val="1"/>
      <w:marLeft w:val="0"/>
      <w:marRight w:val="0"/>
      <w:marTop w:val="0"/>
      <w:marBottom w:val="0"/>
      <w:divBdr>
        <w:top w:val="none" w:sz="0" w:space="0" w:color="auto"/>
        <w:left w:val="none" w:sz="0" w:space="0" w:color="auto"/>
        <w:bottom w:val="none" w:sz="0" w:space="0" w:color="auto"/>
        <w:right w:val="none" w:sz="0" w:space="0" w:color="auto"/>
      </w:divBdr>
    </w:div>
    <w:div w:id="13102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incen.gov/foia/files/FinCEN_79_FR_20969.pdf" TargetMode="External"/><Relationship Id="rId4" Type="http://schemas.microsoft.com/office/2007/relationships/stylesWithEffects" Target="stylesWithEffects.xml"/><Relationship Id="rId9" Type="http://schemas.openxmlformats.org/officeDocument/2006/relationships/hyperlink" Target="http://bsaefiling.fincen.treas.gov/ma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66A7-B720-4A63-AAE9-6508C258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StephR</dc:creator>
  <cp:keywords/>
  <dc:description/>
  <cp:lastModifiedBy>SYSTEM</cp:lastModifiedBy>
  <cp:revision>2</cp:revision>
  <cp:lastPrinted>2018-03-05T12:17:00Z</cp:lastPrinted>
  <dcterms:created xsi:type="dcterms:W3CDTF">2018-04-20T21:38:00Z</dcterms:created>
  <dcterms:modified xsi:type="dcterms:W3CDTF">2018-04-20T21:38:00Z</dcterms:modified>
</cp:coreProperties>
</file>