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113" w:rsidRDefault="00561113" w:rsidP="00561113">
      <w:pPr>
        <w:pStyle w:val="PlainText"/>
        <w:jc w:val="center"/>
        <w:rPr>
          <w:rFonts w:ascii="Times New Roman" w:eastAsia="MS Mincho" w:hAnsi="Times New Roman" w:cs="Times New Roman"/>
          <w:sz w:val="24"/>
        </w:rPr>
      </w:pPr>
      <w:bookmarkStart w:id="0" w:name="_GoBack"/>
      <w:bookmarkEnd w:id="0"/>
      <w:r>
        <w:rPr>
          <w:rFonts w:ascii="Times New Roman" w:eastAsia="MS Mincho" w:hAnsi="Times New Roman" w:cs="Times New Roman"/>
          <w:sz w:val="24"/>
        </w:rPr>
        <w:t>Supporting Statement</w:t>
      </w:r>
    </w:p>
    <w:p w:rsidR="00561113" w:rsidRDefault="00561113" w:rsidP="00561113">
      <w:pPr>
        <w:pStyle w:val="PlainText"/>
        <w:jc w:val="center"/>
        <w:rPr>
          <w:rFonts w:ascii="Times New Roman" w:eastAsia="MS Mincho" w:hAnsi="Times New Roman" w:cs="Times New Roman"/>
          <w:sz w:val="24"/>
        </w:rPr>
      </w:pPr>
      <w:r>
        <w:rPr>
          <w:rFonts w:ascii="Times New Roman" w:eastAsia="MS Mincho" w:hAnsi="Times New Roman" w:cs="Times New Roman"/>
          <w:sz w:val="24"/>
        </w:rPr>
        <w:t>OMB Control Number 1506-000</w:t>
      </w:r>
      <w:r w:rsidR="002E19AB">
        <w:rPr>
          <w:rFonts w:ascii="Times New Roman" w:eastAsia="MS Mincho" w:hAnsi="Times New Roman" w:cs="Times New Roman"/>
          <w:sz w:val="24"/>
        </w:rPr>
        <w:t>4</w:t>
      </w:r>
    </w:p>
    <w:p w:rsidR="00561113" w:rsidRDefault="00561113" w:rsidP="00561113">
      <w:pPr>
        <w:pStyle w:val="PlainText"/>
        <w:jc w:val="center"/>
        <w:rPr>
          <w:rFonts w:ascii="Times New Roman" w:eastAsia="MS Mincho" w:hAnsi="Times New Roman" w:cs="Times New Roman"/>
          <w:sz w:val="24"/>
        </w:rPr>
      </w:pPr>
      <w:r>
        <w:rPr>
          <w:rFonts w:ascii="Times New Roman" w:eastAsia="MS Mincho" w:hAnsi="Times New Roman" w:cs="Times New Roman"/>
          <w:sz w:val="24"/>
        </w:rPr>
        <w:t xml:space="preserve">Reports </w:t>
      </w:r>
      <w:r w:rsidR="002E19AB">
        <w:rPr>
          <w:rFonts w:ascii="Times New Roman" w:eastAsia="MS Mincho" w:hAnsi="Times New Roman" w:cs="Times New Roman"/>
          <w:sz w:val="24"/>
        </w:rPr>
        <w:t>of Transactions in Currency</w:t>
      </w:r>
    </w:p>
    <w:p w:rsidR="00A35BD4" w:rsidRDefault="00A35BD4">
      <w:pPr>
        <w:rPr>
          <w:rFonts w:ascii="Times New Roman" w:hAnsi="Times New Roman"/>
          <w:sz w:val="24"/>
        </w:rPr>
      </w:pPr>
    </w:p>
    <w:p w:rsidR="00A35BD4" w:rsidRDefault="00A35BD4">
      <w:pPr>
        <w:rPr>
          <w:rFonts w:ascii="Times New Roman" w:hAnsi="Times New Roman"/>
          <w:sz w:val="24"/>
        </w:rPr>
      </w:pPr>
    </w:p>
    <w:p w:rsidR="00A35BD4" w:rsidRDefault="00A35BD4" w:rsidP="00561113">
      <w:pPr>
        <w:numPr>
          <w:ilvl w:val="0"/>
          <w:numId w:val="4"/>
        </w:numPr>
        <w:rPr>
          <w:rFonts w:ascii="Times New Roman" w:hAnsi="Times New Roman"/>
          <w:sz w:val="24"/>
          <w:u w:val="single"/>
        </w:rPr>
      </w:pPr>
      <w:r>
        <w:rPr>
          <w:rFonts w:ascii="Times New Roman" w:hAnsi="Times New Roman"/>
          <w:sz w:val="24"/>
          <w:u w:val="single"/>
        </w:rPr>
        <w:t>Circumstances Necessitating Collection of Information</w:t>
      </w:r>
      <w:r w:rsidR="00CD59A3" w:rsidRPr="00DE6631">
        <w:rPr>
          <w:rFonts w:ascii="Times New Roman" w:hAnsi="Times New Roman"/>
          <w:sz w:val="24"/>
        </w:rPr>
        <w:t>.</w:t>
      </w:r>
    </w:p>
    <w:p w:rsidR="00561113" w:rsidRDefault="00561113" w:rsidP="00561113">
      <w:pPr>
        <w:rPr>
          <w:rFonts w:ascii="Times New Roman" w:hAnsi="Times New Roman"/>
          <w:sz w:val="24"/>
          <w:u w:val="single"/>
        </w:rPr>
      </w:pPr>
    </w:p>
    <w:p w:rsidR="00561113" w:rsidRDefault="00561113" w:rsidP="00561113">
      <w:pPr>
        <w:pStyle w:val="PlainText"/>
        <w:ind w:firstLine="720"/>
        <w:rPr>
          <w:rFonts w:ascii="Times New Roman" w:eastAsia="MS Mincho" w:hAnsi="Times New Roman" w:cs="Times New Roman"/>
          <w:sz w:val="24"/>
        </w:rPr>
      </w:pPr>
      <w:r>
        <w:rPr>
          <w:rFonts w:ascii="Times New Roman" w:eastAsia="MS Mincho" w:hAnsi="Times New Roman" w:cs="Times New Roman"/>
          <w:sz w:val="24"/>
        </w:rPr>
        <w:t xml:space="preserve">The statute generally referred to as the “Bank Secrecy Act,” Titles I and II of Public Law 91-508, as amended, codified at 12 U.S.C. 1829b, 12 U.S.C. 1951-1959, and 31 U.S.C. 5311-5332, authorizes the Secretary of the Treasury, </w:t>
      </w:r>
      <w:r w:rsidR="00B0183B">
        <w:rPr>
          <w:rFonts w:ascii="Times New Roman" w:eastAsia="MS Mincho" w:hAnsi="Times New Roman" w:cs="Times New Roman"/>
          <w:sz w:val="24"/>
        </w:rPr>
        <w:t>among others</w:t>
      </w:r>
      <w:r>
        <w:rPr>
          <w:rFonts w:ascii="Times New Roman" w:eastAsia="MS Mincho" w:hAnsi="Times New Roman" w:cs="Times New Roman"/>
          <w:sz w:val="24"/>
        </w:rPr>
        <w:t xml:space="preserve">,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w:t>
      </w:r>
      <w:r w:rsidR="00B0183B">
        <w:rPr>
          <w:rFonts w:ascii="Times New Roman" w:eastAsia="MS Mincho" w:hAnsi="Times New Roman" w:cs="Times New Roman"/>
          <w:sz w:val="24"/>
        </w:rPr>
        <w:t>anti</w:t>
      </w:r>
      <w:r>
        <w:rPr>
          <w:rFonts w:ascii="Times New Roman" w:eastAsia="MS Mincho" w:hAnsi="Times New Roman" w:cs="Times New Roman"/>
          <w:sz w:val="24"/>
        </w:rPr>
        <w:t>-money laundering programs and compliance procedures.</w:t>
      </w:r>
      <w:r>
        <w:rPr>
          <w:rStyle w:val="FootnoteReference"/>
          <w:rFonts w:ascii="Times New Roman" w:eastAsia="MS Mincho" w:hAnsi="Times New Roman" w:cs="Times New Roman"/>
          <w:sz w:val="24"/>
        </w:rPr>
        <w:footnoteReference w:id="1"/>
      </w:r>
      <w:r>
        <w:rPr>
          <w:rFonts w:ascii="Times New Roman" w:eastAsia="MS Mincho" w:hAnsi="Times New Roman" w:cs="Times New Roman"/>
          <w:sz w:val="24"/>
        </w:rPr>
        <w:t xml:space="preserve">  Regulations implementing Title II of the Bank Secrecy Act appear at 31</w:t>
      </w:r>
      <w:r w:rsidR="00B0183B">
        <w:rPr>
          <w:rFonts w:ascii="Times New Roman" w:eastAsia="MS Mincho" w:hAnsi="Times New Roman" w:cs="Times New Roman"/>
          <w:sz w:val="24"/>
        </w:rPr>
        <w:t xml:space="preserve"> CFR</w:t>
      </w:r>
      <w:r>
        <w:rPr>
          <w:rFonts w:ascii="Times New Roman" w:eastAsia="MS Mincho" w:hAnsi="Times New Roman" w:cs="Times New Roman"/>
          <w:sz w:val="24"/>
        </w:rPr>
        <w:t xml:space="preserve"> Chapter X.  The authority of the Secretary to administer the Bank Secrecy Act has been delegated to the Director of the Financial Crimes Enforcement Network (FinCEN).</w:t>
      </w:r>
    </w:p>
    <w:p w:rsidR="00561113" w:rsidRDefault="00561113" w:rsidP="00561113">
      <w:pPr>
        <w:rPr>
          <w:rFonts w:ascii="Times New Roman" w:hAnsi="Times New Roman"/>
          <w:sz w:val="24"/>
        </w:rPr>
      </w:pPr>
    </w:p>
    <w:p w:rsidR="00A35BD4" w:rsidRPr="002E19AB" w:rsidRDefault="00561113" w:rsidP="002E19AB">
      <w:pPr>
        <w:pStyle w:val="Heading1"/>
        <w:rPr>
          <w:szCs w:val="24"/>
        </w:rPr>
      </w:pPr>
      <w:r>
        <w:tab/>
      </w:r>
      <w:r w:rsidR="002E19AB" w:rsidRPr="002E19AB">
        <w:rPr>
          <w:szCs w:val="24"/>
        </w:rPr>
        <w:t xml:space="preserve">31 CFR </w:t>
      </w:r>
      <w:r w:rsidR="002E19AB">
        <w:rPr>
          <w:szCs w:val="24"/>
        </w:rPr>
        <w:t>1</w:t>
      </w:r>
      <w:r w:rsidR="002E19AB" w:rsidRPr="002E19AB">
        <w:rPr>
          <w:szCs w:val="24"/>
        </w:rPr>
        <w:t>010.310 through 1010.314 set forth the rules for</w:t>
      </w:r>
      <w:r w:rsidR="00B876DD">
        <w:rPr>
          <w:szCs w:val="24"/>
        </w:rPr>
        <w:t xml:space="preserve"> financial institutions to</w:t>
      </w:r>
      <w:r w:rsidR="002E19AB" w:rsidRPr="002E19AB">
        <w:rPr>
          <w:szCs w:val="24"/>
        </w:rPr>
        <w:t xml:space="preserve"> report </w:t>
      </w:r>
      <w:r w:rsidR="00B876DD">
        <w:rPr>
          <w:szCs w:val="24"/>
        </w:rPr>
        <w:t xml:space="preserve">certain </w:t>
      </w:r>
      <w:r w:rsidR="002E19AB" w:rsidRPr="002E19AB">
        <w:rPr>
          <w:szCs w:val="24"/>
        </w:rPr>
        <w:t>transactions in currency.</w:t>
      </w:r>
      <w:r w:rsidR="00B876DD">
        <w:rPr>
          <w:szCs w:val="24"/>
        </w:rPr>
        <w:t xml:space="preserve"> </w:t>
      </w:r>
      <w:r w:rsidR="002E19AB" w:rsidRPr="002E19AB">
        <w:rPr>
          <w:szCs w:val="24"/>
        </w:rPr>
        <w:t xml:space="preserve"> Unless otherwise indicated, the transactions in currency reporting requirements in 31 CFR 1010.310 through 1010.314 apply to all financial institutions. </w:t>
      </w:r>
      <w:r w:rsidR="00A82FB2">
        <w:rPr>
          <w:szCs w:val="24"/>
        </w:rPr>
        <w:t xml:space="preserve"> </w:t>
      </w:r>
      <w:r w:rsidR="002E19AB" w:rsidRPr="002E19AB">
        <w:rPr>
          <w:szCs w:val="24"/>
        </w:rPr>
        <w:t xml:space="preserve">Each financial institution should refer to subpart C of its </w:t>
      </w:r>
      <w:r w:rsidR="00CD59A3">
        <w:rPr>
          <w:szCs w:val="24"/>
        </w:rPr>
        <w:t>C</w:t>
      </w:r>
      <w:r w:rsidR="002E19AB" w:rsidRPr="002E19AB">
        <w:rPr>
          <w:szCs w:val="24"/>
        </w:rPr>
        <w:t>hapter X part for any additional transactions in currency reporting requirements.</w:t>
      </w:r>
    </w:p>
    <w:p w:rsidR="002E19AB" w:rsidRDefault="002E19AB">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2.  </w:t>
      </w:r>
      <w:r>
        <w:rPr>
          <w:rFonts w:ascii="Times New Roman" w:hAnsi="Times New Roman"/>
          <w:sz w:val="24"/>
          <w:u w:val="single"/>
        </w:rPr>
        <w:t>Method of Collection and Use of Data</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 xml:space="preserve">Information about </w:t>
      </w:r>
      <w:r w:rsidR="002E19AB">
        <w:rPr>
          <w:rFonts w:ascii="Times New Roman" w:hAnsi="Times New Roman"/>
          <w:sz w:val="24"/>
        </w:rPr>
        <w:t xml:space="preserve">currency </w:t>
      </w:r>
      <w:r>
        <w:rPr>
          <w:rFonts w:ascii="Times New Roman" w:hAnsi="Times New Roman"/>
          <w:sz w:val="24"/>
        </w:rPr>
        <w:t xml:space="preserve">transactions conducted by, at, </w:t>
      </w:r>
      <w:r w:rsidR="00AC578F">
        <w:rPr>
          <w:rFonts w:ascii="Times New Roman" w:hAnsi="Times New Roman"/>
          <w:sz w:val="24"/>
        </w:rPr>
        <w:t>though</w:t>
      </w:r>
      <w:r>
        <w:rPr>
          <w:rFonts w:ascii="Times New Roman" w:hAnsi="Times New Roman"/>
          <w:sz w:val="24"/>
        </w:rPr>
        <w:t xml:space="preserve">, or otherwise involving </w:t>
      </w:r>
      <w:r w:rsidR="003F6EEB">
        <w:rPr>
          <w:rFonts w:ascii="Times New Roman" w:hAnsi="Times New Roman"/>
          <w:sz w:val="24"/>
        </w:rPr>
        <w:t>a financial institution</w:t>
      </w:r>
      <w:r w:rsidR="00B876DD">
        <w:rPr>
          <w:rFonts w:ascii="Times New Roman" w:hAnsi="Times New Roman"/>
          <w:sz w:val="24"/>
        </w:rPr>
        <w:t>,</w:t>
      </w:r>
      <w:r w:rsidR="003F6EEB">
        <w:rPr>
          <w:rFonts w:ascii="Times New Roman" w:hAnsi="Times New Roman"/>
          <w:sz w:val="24"/>
        </w:rPr>
        <w:t xml:space="preserve"> </w:t>
      </w:r>
      <w:r>
        <w:rPr>
          <w:rFonts w:ascii="Times New Roman" w:hAnsi="Times New Roman"/>
          <w:sz w:val="24"/>
        </w:rPr>
        <w:t xml:space="preserve">are collected through the filing </w:t>
      </w:r>
      <w:r w:rsidR="00211FCD">
        <w:rPr>
          <w:rFonts w:ascii="Times New Roman" w:hAnsi="Times New Roman"/>
          <w:sz w:val="24"/>
        </w:rPr>
        <w:t xml:space="preserve">of a </w:t>
      </w:r>
      <w:r w:rsidR="003F6EEB">
        <w:rPr>
          <w:rFonts w:ascii="Times New Roman" w:hAnsi="Times New Roman"/>
          <w:sz w:val="24"/>
        </w:rPr>
        <w:t xml:space="preserve">currency transaction report (CTR) </w:t>
      </w:r>
      <w:r>
        <w:rPr>
          <w:rFonts w:ascii="Times New Roman" w:hAnsi="Times New Roman"/>
          <w:sz w:val="24"/>
        </w:rPr>
        <w:t xml:space="preserve">by </w:t>
      </w:r>
      <w:r w:rsidR="003F6EEB">
        <w:rPr>
          <w:rFonts w:ascii="Times New Roman" w:hAnsi="Times New Roman"/>
          <w:sz w:val="24"/>
        </w:rPr>
        <w:t xml:space="preserve">the financial institution </w:t>
      </w:r>
      <w:r>
        <w:rPr>
          <w:rFonts w:ascii="Times New Roman" w:hAnsi="Times New Roman"/>
          <w:sz w:val="24"/>
        </w:rPr>
        <w:t>with FinCEN</w:t>
      </w:r>
      <w:r w:rsidR="00211FCD">
        <w:rPr>
          <w:rFonts w:ascii="Times New Roman" w:hAnsi="Times New Roman"/>
          <w:sz w:val="24"/>
        </w:rPr>
        <w:t>.</w:t>
      </w:r>
      <w:r>
        <w:rPr>
          <w:rFonts w:ascii="Times New Roman" w:hAnsi="Times New Roman"/>
          <w:sz w:val="24"/>
        </w:rPr>
        <w:t xml:space="preserve">  FinCEN provide</w:t>
      </w:r>
      <w:r w:rsidR="00DB48A4">
        <w:rPr>
          <w:rFonts w:ascii="Times New Roman" w:hAnsi="Times New Roman"/>
          <w:sz w:val="24"/>
        </w:rPr>
        <w:t>s</w:t>
      </w:r>
      <w:r>
        <w:rPr>
          <w:rFonts w:ascii="Times New Roman" w:hAnsi="Times New Roman"/>
          <w:sz w:val="24"/>
        </w:rPr>
        <w:t xml:space="preserve"> on-line access to the information collected to representatives of the </w:t>
      </w:r>
      <w:r w:rsidR="00DA346C">
        <w:rPr>
          <w:rFonts w:ascii="Times New Roman" w:hAnsi="Times New Roman"/>
          <w:sz w:val="24"/>
        </w:rPr>
        <w:t>F</w:t>
      </w:r>
      <w:r w:rsidR="003F6EEB">
        <w:rPr>
          <w:rFonts w:ascii="Times New Roman" w:hAnsi="Times New Roman"/>
          <w:sz w:val="24"/>
        </w:rPr>
        <w:t xml:space="preserve">ederal </w:t>
      </w:r>
      <w:r>
        <w:rPr>
          <w:rFonts w:ascii="Times New Roman" w:hAnsi="Times New Roman"/>
          <w:sz w:val="24"/>
        </w:rPr>
        <w:t>regulators and appropriate law enforcement agencies.</w:t>
      </w:r>
      <w:r w:rsidR="00A82FB2">
        <w:rPr>
          <w:rFonts w:ascii="Times New Roman" w:hAnsi="Times New Roman"/>
          <w:sz w:val="24"/>
        </w:rPr>
        <w:t xml:space="preserve"> </w:t>
      </w:r>
      <w:r w:rsidR="00DB48A4">
        <w:rPr>
          <w:rFonts w:ascii="Times New Roman" w:hAnsi="Times New Roman"/>
          <w:sz w:val="24"/>
        </w:rPr>
        <w:t xml:space="preserve"> </w:t>
      </w:r>
      <w:r>
        <w:rPr>
          <w:rFonts w:ascii="Times New Roman" w:hAnsi="Times New Roman"/>
          <w:sz w:val="24"/>
        </w:rPr>
        <w:t xml:space="preserve">FinCEN and law enforcement agencies use the information on </w:t>
      </w:r>
      <w:r w:rsidR="003F6EEB">
        <w:rPr>
          <w:rFonts w:ascii="Times New Roman" w:hAnsi="Times New Roman"/>
          <w:sz w:val="24"/>
        </w:rPr>
        <w:t>CTR</w:t>
      </w:r>
      <w:r>
        <w:rPr>
          <w:rFonts w:ascii="Times New Roman" w:hAnsi="Times New Roman"/>
          <w:sz w:val="24"/>
        </w:rPr>
        <w:t>s for criminal investigation and prosecution purposes.</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3.  </w:t>
      </w:r>
      <w:r>
        <w:rPr>
          <w:rFonts w:ascii="Times New Roman" w:hAnsi="Times New Roman"/>
          <w:sz w:val="24"/>
          <w:u w:val="single"/>
        </w:rPr>
        <w:t>Use of Improved Information Technology to Reduce Burden</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r>
      <w:r w:rsidR="00B876DD">
        <w:rPr>
          <w:rFonts w:ascii="Times New Roman" w:hAnsi="Times New Roman"/>
          <w:sz w:val="24"/>
        </w:rPr>
        <w:t>By using FinCEN’s</w:t>
      </w:r>
      <w:r w:rsidR="00AC578F">
        <w:rPr>
          <w:rFonts w:ascii="Times New Roman" w:hAnsi="Times New Roman"/>
          <w:sz w:val="24"/>
        </w:rPr>
        <w:t xml:space="preserve"> electronic </w:t>
      </w:r>
      <w:r w:rsidR="00B876DD">
        <w:rPr>
          <w:rFonts w:ascii="Times New Roman" w:hAnsi="Times New Roman"/>
          <w:sz w:val="24"/>
        </w:rPr>
        <w:t xml:space="preserve">filing system </w:t>
      </w:r>
      <w:r w:rsidR="00344BF4">
        <w:rPr>
          <w:rFonts w:ascii="Times New Roman" w:hAnsi="Times New Roman"/>
          <w:sz w:val="24"/>
        </w:rPr>
        <w:t xml:space="preserve">(BSA E-filing), a </w:t>
      </w:r>
      <w:r w:rsidR="003F6EEB">
        <w:rPr>
          <w:rFonts w:ascii="Times New Roman" w:hAnsi="Times New Roman"/>
          <w:sz w:val="24"/>
        </w:rPr>
        <w:t xml:space="preserve">financial institution </w:t>
      </w:r>
      <w:r w:rsidR="00344BF4">
        <w:rPr>
          <w:rFonts w:ascii="Times New Roman" w:hAnsi="Times New Roman"/>
          <w:sz w:val="24"/>
        </w:rPr>
        <w:t xml:space="preserve">can reduce the time required for its compliance staff to complete the </w:t>
      </w:r>
      <w:r w:rsidR="00DB48A4">
        <w:rPr>
          <w:rFonts w:ascii="Times New Roman" w:hAnsi="Times New Roman"/>
          <w:sz w:val="24"/>
        </w:rPr>
        <w:t>report</w:t>
      </w:r>
      <w:r w:rsidR="00344BF4">
        <w:rPr>
          <w:rFonts w:ascii="Times New Roman" w:hAnsi="Times New Roman"/>
          <w:sz w:val="24"/>
        </w:rPr>
        <w:t xml:space="preserve">.  </w:t>
      </w:r>
      <w:r w:rsidR="00DB48A4">
        <w:rPr>
          <w:rFonts w:ascii="Times New Roman" w:hAnsi="Times New Roman"/>
          <w:sz w:val="24"/>
        </w:rPr>
        <w:t xml:space="preserve">Discrete and batch </w:t>
      </w:r>
      <w:r>
        <w:rPr>
          <w:rFonts w:ascii="Times New Roman" w:hAnsi="Times New Roman"/>
          <w:sz w:val="24"/>
        </w:rPr>
        <w:t>version</w:t>
      </w:r>
      <w:r w:rsidR="00DB48A4">
        <w:rPr>
          <w:rFonts w:ascii="Times New Roman" w:hAnsi="Times New Roman"/>
          <w:sz w:val="24"/>
        </w:rPr>
        <w:t>s are</w:t>
      </w:r>
      <w:r>
        <w:rPr>
          <w:rFonts w:ascii="Times New Roman" w:hAnsi="Times New Roman"/>
          <w:sz w:val="24"/>
        </w:rPr>
        <w:t xml:space="preserve"> a</w:t>
      </w:r>
      <w:r w:rsidR="0058447B">
        <w:rPr>
          <w:rFonts w:ascii="Times New Roman" w:hAnsi="Times New Roman"/>
          <w:sz w:val="24"/>
        </w:rPr>
        <w:t xml:space="preserve">vailable on the FinCEN </w:t>
      </w:r>
      <w:r w:rsidR="00DB48A4">
        <w:rPr>
          <w:rFonts w:ascii="Times New Roman" w:hAnsi="Times New Roman"/>
          <w:sz w:val="24"/>
        </w:rPr>
        <w:t xml:space="preserve">BSA E-File </w:t>
      </w:r>
      <w:r w:rsidR="0058447B">
        <w:rPr>
          <w:rFonts w:ascii="Times New Roman" w:hAnsi="Times New Roman"/>
          <w:sz w:val="24"/>
        </w:rPr>
        <w:t>web site at</w:t>
      </w:r>
      <w:r w:rsidR="00DB48A4">
        <w:rPr>
          <w:rFonts w:ascii="Times New Roman" w:hAnsi="Times New Roman"/>
          <w:sz w:val="24"/>
        </w:rPr>
        <w:t xml:space="preserve"> </w:t>
      </w:r>
      <w:hyperlink r:id="rId10" w:history="1">
        <w:r w:rsidR="00DB48A4" w:rsidRPr="00A61B2B">
          <w:rPr>
            <w:rStyle w:val="Hyperlink"/>
            <w:rFonts w:ascii="Times New Roman" w:hAnsi="Times New Roman"/>
            <w:sz w:val="24"/>
          </w:rPr>
          <w:t>http://bsaefiling.fincen.treas.gov/main.html</w:t>
        </w:r>
      </w:hyperlink>
      <w:r w:rsidR="00DB48A4">
        <w:rPr>
          <w:rFonts w:ascii="Times New Roman" w:hAnsi="Times New Roman"/>
          <w:sz w:val="24"/>
        </w:rPr>
        <w:t xml:space="preserve">. </w:t>
      </w:r>
    </w:p>
    <w:p w:rsidR="00DB48A4" w:rsidRDefault="00DB48A4">
      <w:pPr>
        <w:rPr>
          <w:rFonts w:ascii="Times New Roman" w:hAnsi="Times New Roman"/>
          <w:sz w:val="24"/>
        </w:rPr>
      </w:pPr>
    </w:p>
    <w:p w:rsidR="00DB48A4" w:rsidRDefault="00DB48A4" w:rsidP="00DB48A4">
      <w:pPr>
        <w:rPr>
          <w:rFonts w:ascii="Times New Roman" w:hAnsi="Times New Roman"/>
          <w:sz w:val="24"/>
        </w:rPr>
      </w:pPr>
      <w:r>
        <w:rPr>
          <w:rFonts w:ascii="Times New Roman" w:hAnsi="Times New Roman"/>
          <w:sz w:val="24"/>
        </w:rPr>
        <w:t xml:space="preserve">4.  </w:t>
      </w:r>
      <w:r>
        <w:rPr>
          <w:rFonts w:ascii="Times New Roman" w:hAnsi="Times New Roman"/>
          <w:sz w:val="24"/>
          <w:u w:val="single"/>
        </w:rPr>
        <w:t>Efforts to Identify Duplication</w:t>
      </w:r>
      <w:r>
        <w:rPr>
          <w:rFonts w:ascii="Times New Roman" w:hAnsi="Times New Roman"/>
          <w:sz w:val="24"/>
        </w:rPr>
        <w:t>.</w:t>
      </w:r>
    </w:p>
    <w:p w:rsidR="00DB48A4" w:rsidRDefault="00DB48A4">
      <w:pPr>
        <w:rPr>
          <w:rFonts w:ascii="Times New Roman" w:hAnsi="Times New Roman"/>
          <w:sz w:val="24"/>
          <w:szCs w:val="24"/>
        </w:rPr>
      </w:pPr>
    </w:p>
    <w:p w:rsidR="00DB48A4" w:rsidRPr="00DB48A4" w:rsidRDefault="00A016BA">
      <w:pPr>
        <w:rPr>
          <w:rFonts w:ascii="Times New Roman" w:hAnsi="Times New Roman"/>
          <w:sz w:val="24"/>
          <w:szCs w:val="24"/>
        </w:rPr>
      </w:pPr>
      <w:r>
        <w:rPr>
          <w:rFonts w:ascii="Times New Roman" w:hAnsi="Times New Roman"/>
          <w:sz w:val="24"/>
          <w:szCs w:val="24"/>
        </w:rPr>
        <w:tab/>
      </w:r>
      <w:r w:rsidR="00DB48A4" w:rsidRPr="00DB48A4">
        <w:rPr>
          <w:rFonts w:ascii="Times New Roman" w:hAnsi="Times New Roman"/>
          <w:sz w:val="24"/>
          <w:szCs w:val="24"/>
        </w:rPr>
        <w:t>There is no similar information available; thus, there is no duplication.</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5.  </w:t>
      </w:r>
      <w:r>
        <w:rPr>
          <w:rFonts w:ascii="Times New Roman" w:hAnsi="Times New Roman"/>
          <w:sz w:val="24"/>
          <w:u w:val="single"/>
        </w:rPr>
        <w:t>Methods to Minimize Burden on Small Businesses or Other Small Entities</w:t>
      </w:r>
      <w:r>
        <w:rPr>
          <w:rFonts w:ascii="Times New Roman" w:hAnsi="Times New Roman"/>
          <w:sz w:val="24"/>
        </w:rPr>
        <w:t>.</w:t>
      </w:r>
    </w:p>
    <w:p w:rsidR="00A35BD4" w:rsidRDefault="00A35BD4">
      <w:pPr>
        <w:rPr>
          <w:rFonts w:ascii="Times New Roman" w:hAnsi="Times New Roman"/>
          <w:sz w:val="24"/>
        </w:rPr>
      </w:pPr>
    </w:p>
    <w:p w:rsidR="00A35BD4" w:rsidRDefault="00A016BA">
      <w:pPr>
        <w:rPr>
          <w:rFonts w:ascii="Times New Roman" w:hAnsi="Times New Roman"/>
          <w:sz w:val="24"/>
        </w:rPr>
      </w:pPr>
      <w:r>
        <w:rPr>
          <w:rFonts w:ascii="Times New Roman" w:hAnsi="Times New Roman"/>
          <w:sz w:val="24"/>
        </w:rPr>
        <w:tab/>
        <w:t xml:space="preserve">The design of the </w:t>
      </w:r>
      <w:r w:rsidR="003F6EEB">
        <w:rPr>
          <w:rFonts w:ascii="Times New Roman" w:hAnsi="Times New Roman"/>
          <w:sz w:val="24"/>
        </w:rPr>
        <w:t>CTR</w:t>
      </w:r>
      <w:r w:rsidR="0032380B">
        <w:rPr>
          <w:rFonts w:ascii="Times New Roman" w:hAnsi="Times New Roman"/>
          <w:sz w:val="24"/>
        </w:rPr>
        <w:t xml:space="preserve"> (</w:t>
      </w:r>
      <w:r w:rsidR="00EB5FFE">
        <w:rPr>
          <w:rFonts w:ascii="Times New Roman" w:hAnsi="Times New Roman"/>
          <w:i/>
          <w:sz w:val="24"/>
        </w:rPr>
        <w:t>e</w:t>
      </w:r>
      <w:r w:rsidR="00933577">
        <w:rPr>
          <w:rFonts w:ascii="Times New Roman" w:hAnsi="Times New Roman"/>
          <w:i/>
          <w:sz w:val="24"/>
        </w:rPr>
        <w:t>.</w:t>
      </w:r>
      <w:r w:rsidR="00EB5FFE">
        <w:rPr>
          <w:rFonts w:ascii="Times New Roman" w:hAnsi="Times New Roman"/>
          <w:i/>
          <w:sz w:val="24"/>
        </w:rPr>
        <w:t>g</w:t>
      </w:r>
      <w:r w:rsidR="00933577">
        <w:rPr>
          <w:rFonts w:ascii="Times New Roman" w:hAnsi="Times New Roman"/>
          <w:i/>
          <w:sz w:val="24"/>
        </w:rPr>
        <w:t>.</w:t>
      </w:r>
      <w:r w:rsidR="00EB5FFE">
        <w:rPr>
          <w:rFonts w:ascii="Times New Roman" w:hAnsi="Times New Roman"/>
          <w:i/>
          <w:sz w:val="24"/>
        </w:rPr>
        <w:t xml:space="preserve">, </w:t>
      </w:r>
      <w:r w:rsidR="00EB5FFE" w:rsidRPr="00DE6631">
        <w:rPr>
          <w:rFonts w:ascii="Times New Roman" w:hAnsi="Times New Roman"/>
          <w:sz w:val="24"/>
        </w:rPr>
        <w:t>a</w:t>
      </w:r>
      <w:r w:rsidR="0032380B" w:rsidRPr="00E754EB">
        <w:rPr>
          <w:rFonts w:ascii="Times New Roman" w:hAnsi="Times New Roman"/>
          <w:sz w:val="24"/>
        </w:rPr>
        <w:t>u</w:t>
      </w:r>
      <w:r w:rsidR="0032380B">
        <w:rPr>
          <w:rFonts w:ascii="Times New Roman" w:hAnsi="Times New Roman"/>
          <w:sz w:val="24"/>
        </w:rPr>
        <w:t>to-filling duplicate Part III and Part VI information)</w:t>
      </w:r>
      <w:r>
        <w:rPr>
          <w:rFonts w:ascii="Times New Roman" w:hAnsi="Times New Roman"/>
          <w:sz w:val="24"/>
        </w:rPr>
        <w:t xml:space="preserve"> minimizes the time required to complete the report and thus the impact on small businesses</w:t>
      </w:r>
    </w:p>
    <w:p w:rsidR="00A016BA" w:rsidRDefault="00A016BA">
      <w:pPr>
        <w:rPr>
          <w:rFonts w:ascii="Times New Roman" w:hAnsi="Times New Roman"/>
          <w:sz w:val="24"/>
        </w:rPr>
      </w:pPr>
    </w:p>
    <w:p w:rsidR="00A35BD4" w:rsidRDefault="00A35BD4">
      <w:pPr>
        <w:rPr>
          <w:rFonts w:ascii="Times New Roman" w:hAnsi="Times New Roman"/>
          <w:sz w:val="24"/>
          <w:szCs w:val="24"/>
          <w:u w:val="single"/>
        </w:rPr>
      </w:pPr>
      <w:r>
        <w:rPr>
          <w:rFonts w:ascii="Times New Roman" w:hAnsi="Times New Roman"/>
          <w:sz w:val="24"/>
        </w:rPr>
        <w:t xml:space="preserve">6.  </w:t>
      </w:r>
      <w:r w:rsidR="004F47EF" w:rsidRPr="00537765">
        <w:rPr>
          <w:rFonts w:ascii="Times New Roman" w:hAnsi="Times New Roman"/>
          <w:sz w:val="24"/>
          <w:szCs w:val="24"/>
          <w:u w:val="single"/>
        </w:rPr>
        <w:t>Consequences to the Federal Government of Not Collecting the Information.</w:t>
      </w:r>
    </w:p>
    <w:p w:rsidR="004F47EF" w:rsidRDefault="004F47EF">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 xml:space="preserve">With the automated </w:t>
      </w:r>
      <w:r w:rsidR="003F6EEB">
        <w:rPr>
          <w:rFonts w:ascii="Times New Roman" w:hAnsi="Times New Roman"/>
          <w:sz w:val="24"/>
        </w:rPr>
        <w:t>CTR</w:t>
      </w:r>
      <w:r w:rsidR="00A016BA">
        <w:rPr>
          <w:rFonts w:ascii="Times New Roman" w:hAnsi="Times New Roman"/>
          <w:sz w:val="24"/>
        </w:rPr>
        <w:t xml:space="preserve"> reporting</w:t>
      </w:r>
      <w:r>
        <w:rPr>
          <w:rFonts w:ascii="Times New Roman" w:hAnsi="Times New Roman"/>
          <w:sz w:val="24"/>
        </w:rPr>
        <w:t xml:space="preserve"> system, </w:t>
      </w:r>
      <w:r w:rsidR="00B876DD">
        <w:rPr>
          <w:rFonts w:ascii="Times New Roman" w:hAnsi="Times New Roman"/>
          <w:sz w:val="24"/>
        </w:rPr>
        <w:t>F</w:t>
      </w:r>
      <w:r w:rsidR="003F6EEB">
        <w:rPr>
          <w:rFonts w:ascii="Times New Roman" w:hAnsi="Times New Roman"/>
          <w:sz w:val="24"/>
        </w:rPr>
        <w:t xml:space="preserve">ederal </w:t>
      </w:r>
      <w:r>
        <w:rPr>
          <w:rFonts w:ascii="Times New Roman" w:hAnsi="Times New Roman"/>
          <w:sz w:val="24"/>
        </w:rPr>
        <w:t xml:space="preserve">regulators, law enforcement, and industry alike benefit from improved detection of financial crime, analysis of trends, and coordination of investigative efforts. </w:t>
      </w:r>
      <w:r w:rsidR="00E74962">
        <w:rPr>
          <w:rFonts w:ascii="Times New Roman" w:hAnsi="Times New Roman"/>
          <w:sz w:val="24"/>
        </w:rPr>
        <w:t xml:space="preserve"> </w:t>
      </w:r>
      <w:r>
        <w:rPr>
          <w:rFonts w:ascii="Times New Roman" w:hAnsi="Times New Roman"/>
          <w:sz w:val="24"/>
        </w:rPr>
        <w:t xml:space="preserve">If </w:t>
      </w:r>
      <w:r w:rsidR="003F6EEB">
        <w:rPr>
          <w:rFonts w:ascii="Times New Roman" w:hAnsi="Times New Roman"/>
          <w:sz w:val="24"/>
        </w:rPr>
        <w:t>CTR</w:t>
      </w:r>
      <w:r>
        <w:rPr>
          <w:rFonts w:ascii="Times New Roman" w:hAnsi="Times New Roman"/>
          <w:sz w:val="24"/>
        </w:rPr>
        <w:t xml:space="preserve">s were no longer required, law enforcement and regulatory efforts to fight crime and protect the safety and soundness of </w:t>
      </w:r>
      <w:r w:rsidR="00B876DD">
        <w:rPr>
          <w:rFonts w:ascii="Times New Roman" w:hAnsi="Times New Roman"/>
          <w:sz w:val="24"/>
        </w:rPr>
        <w:t xml:space="preserve">financial institutions </w:t>
      </w:r>
      <w:r>
        <w:rPr>
          <w:rFonts w:ascii="Times New Roman" w:hAnsi="Times New Roman"/>
          <w:sz w:val="24"/>
        </w:rPr>
        <w:t>would be severely hampered.</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7.  </w:t>
      </w:r>
      <w:r>
        <w:rPr>
          <w:rFonts w:ascii="Times New Roman" w:hAnsi="Times New Roman"/>
          <w:sz w:val="24"/>
          <w:u w:val="single"/>
        </w:rPr>
        <w:t>Special Circumstances Requiring Data Collection Inconsistent with Guidelines</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 xml:space="preserve">The reporting of </w:t>
      </w:r>
      <w:r w:rsidR="003F6EEB">
        <w:rPr>
          <w:rFonts w:ascii="Times New Roman" w:hAnsi="Times New Roman"/>
          <w:sz w:val="24"/>
        </w:rPr>
        <w:t xml:space="preserve">currency transactions </w:t>
      </w:r>
      <w:r>
        <w:rPr>
          <w:rFonts w:ascii="Times New Roman" w:hAnsi="Times New Roman"/>
          <w:sz w:val="24"/>
        </w:rPr>
        <w:t xml:space="preserve">on a </w:t>
      </w:r>
      <w:r w:rsidR="003F6EEB">
        <w:rPr>
          <w:rFonts w:ascii="Times New Roman" w:hAnsi="Times New Roman"/>
          <w:sz w:val="24"/>
        </w:rPr>
        <w:t>CTR</w:t>
      </w:r>
      <w:r>
        <w:rPr>
          <w:rFonts w:ascii="Times New Roman" w:hAnsi="Times New Roman"/>
          <w:sz w:val="24"/>
        </w:rPr>
        <w:t xml:space="preserve"> may occur more frequently than quarterly, depending on the frequency of the activity. </w:t>
      </w:r>
      <w:r w:rsidR="00E74962">
        <w:rPr>
          <w:rFonts w:ascii="Times New Roman" w:hAnsi="Times New Roman"/>
          <w:sz w:val="24"/>
        </w:rPr>
        <w:t xml:space="preserve"> </w:t>
      </w:r>
      <w:r>
        <w:rPr>
          <w:rFonts w:ascii="Times New Roman" w:hAnsi="Times New Roman"/>
          <w:sz w:val="24"/>
        </w:rPr>
        <w:t xml:space="preserve">For reasons explained in paragraph </w:t>
      </w:r>
      <w:r w:rsidR="00AC578F">
        <w:rPr>
          <w:rFonts w:ascii="Times New Roman" w:hAnsi="Times New Roman"/>
          <w:sz w:val="24"/>
        </w:rPr>
        <w:t>six</w:t>
      </w:r>
      <w:r w:rsidR="00E74962">
        <w:rPr>
          <w:rFonts w:ascii="Times New Roman" w:hAnsi="Times New Roman"/>
          <w:sz w:val="24"/>
        </w:rPr>
        <w:t xml:space="preserve"> </w:t>
      </w:r>
      <w:r>
        <w:rPr>
          <w:rFonts w:ascii="Times New Roman" w:hAnsi="Times New Roman"/>
          <w:sz w:val="24"/>
        </w:rPr>
        <w:t xml:space="preserve">above, this information must be reported in a timely manner to enable law enforcement to take appropriate investigative action. </w:t>
      </w:r>
      <w:r w:rsidR="00E74962">
        <w:rPr>
          <w:rFonts w:ascii="Times New Roman" w:hAnsi="Times New Roman"/>
          <w:sz w:val="24"/>
        </w:rPr>
        <w:t xml:space="preserve"> </w:t>
      </w:r>
      <w:r>
        <w:rPr>
          <w:rFonts w:ascii="Times New Roman" w:hAnsi="Times New Roman"/>
          <w:sz w:val="24"/>
        </w:rPr>
        <w:t xml:space="preserve">Records must be kept more than </w:t>
      </w:r>
      <w:r w:rsidR="00AC578F">
        <w:rPr>
          <w:rFonts w:ascii="Times New Roman" w:hAnsi="Times New Roman"/>
          <w:sz w:val="24"/>
        </w:rPr>
        <w:t>three</w:t>
      </w:r>
      <w:r>
        <w:rPr>
          <w:rFonts w:ascii="Times New Roman" w:hAnsi="Times New Roman"/>
          <w:sz w:val="24"/>
        </w:rPr>
        <w:t xml:space="preserve"> years because substantive violations of the law that may be indicated by the activity reported on the </w:t>
      </w:r>
      <w:r w:rsidR="003F6EEB">
        <w:rPr>
          <w:rFonts w:ascii="Times New Roman" w:hAnsi="Times New Roman"/>
          <w:sz w:val="24"/>
        </w:rPr>
        <w:t>CTR</w:t>
      </w:r>
      <w:r>
        <w:rPr>
          <w:rFonts w:ascii="Times New Roman" w:hAnsi="Times New Roman"/>
          <w:sz w:val="24"/>
        </w:rPr>
        <w:t xml:space="preserve"> are generally subject to statutes of limitations longer than 3 years.</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8.  </w:t>
      </w:r>
      <w:r>
        <w:rPr>
          <w:rFonts w:ascii="Times New Roman" w:hAnsi="Times New Roman"/>
          <w:sz w:val="24"/>
          <w:u w:val="single"/>
        </w:rPr>
        <w:t>Consultation with Individuals Outside of the Agency on Availability of Data, Frequency of Collection, Clarity of Instructions and Forms, and Data Elements</w:t>
      </w:r>
      <w:r>
        <w:rPr>
          <w:rFonts w:ascii="Times New Roman" w:hAnsi="Times New Roman"/>
          <w:sz w:val="24"/>
        </w:rPr>
        <w:t>.</w:t>
      </w:r>
    </w:p>
    <w:p w:rsidR="00A35BD4" w:rsidRDefault="00A35BD4">
      <w:pPr>
        <w:rPr>
          <w:rFonts w:ascii="Times New Roman" w:hAnsi="Times New Roman"/>
          <w:sz w:val="24"/>
        </w:rPr>
      </w:pPr>
    </w:p>
    <w:p w:rsidR="000F0667" w:rsidRDefault="00A35BD4" w:rsidP="00666B28">
      <w:pPr>
        <w:rPr>
          <w:rFonts w:ascii="Times New Roman" w:hAnsi="Times New Roman"/>
          <w:sz w:val="24"/>
          <w:szCs w:val="24"/>
        </w:rPr>
      </w:pPr>
      <w:r>
        <w:rPr>
          <w:rFonts w:ascii="Times New Roman" w:hAnsi="Times New Roman"/>
          <w:sz w:val="24"/>
        </w:rPr>
        <w:tab/>
      </w:r>
      <w:r w:rsidR="00666B28" w:rsidRPr="00666B28">
        <w:rPr>
          <w:rFonts w:ascii="Times New Roman" w:hAnsi="Times New Roman"/>
          <w:sz w:val="24"/>
          <w:szCs w:val="24"/>
        </w:rPr>
        <w:t xml:space="preserve">On </w:t>
      </w:r>
      <w:r w:rsidR="00844691">
        <w:rPr>
          <w:rFonts w:ascii="Times New Roman" w:hAnsi="Times New Roman"/>
          <w:sz w:val="24"/>
          <w:szCs w:val="24"/>
        </w:rPr>
        <w:t>February 9</w:t>
      </w:r>
      <w:r w:rsidR="00666B28" w:rsidRPr="00666B28">
        <w:rPr>
          <w:rFonts w:ascii="Times New Roman" w:hAnsi="Times New Roman"/>
          <w:sz w:val="24"/>
          <w:szCs w:val="24"/>
        </w:rPr>
        <w:t>, 201</w:t>
      </w:r>
      <w:r w:rsidR="00844691">
        <w:rPr>
          <w:rFonts w:ascii="Times New Roman" w:hAnsi="Times New Roman"/>
          <w:sz w:val="24"/>
          <w:szCs w:val="24"/>
        </w:rPr>
        <w:t>8</w:t>
      </w:r>
      <w:r w:rsidR="00543E85">
        <w:rPr>
          <w:rFonts w:ascii="Times New Roman" w:hAnsi="Times New Roman"/>
          <w:sz w:val="24"/>
          <w:szCs w:val="24"/>
        </w:rPr>
        <w:t xml:space="preserve">, </w:t>
      </w:r>
      <w:r w:rsidR="00666B28" w:rsidRPr="00666B28">
        <w:rPr>
          <w:rFonts w:ascii="Times New Roman" w:hAnsi="Times New Roman"/>
          <w:sz w:val="24"/>
          <w:szCs w:val="24"/>
        </w:rPr>
        <w:t xml:space="preserve">FinCEN issued a notice and request for comment to renew without change this </w:t>
      </w:r>
      <w:r w:rsidR="00666B28">
        <w:rPr>
          <w:rFonts w:ascii="Times New Roman" w:hAnsi="Times New Roman"/>
          <w:sz w:val="24"/>
          <w:szCs w:val="24"/>
        </w:rPr>
        <w:t xml:space="preserve">regulatory </w:t>
      </w:r>
      <w:r w:rsidR="00666B28" w:rsidRPr="00666B28">
        <w:rPr>
          <w:rFonts w:ascii="Times New Roman" w:hAnsi="Times New Roman"/>
          <w:sz w:val="24"/>
          <w:szCs w:val="24"/>
        </w:rPr>
        <w:t xml:space="preserve">requirement. </w:t>
      </w:r>
      <w:r w:rsidR="00793046" w:rsidRPr="00666B28">
        <w:rPr>
          <w:rFonts w:ascii="Times New Roman" w:hAnsi="Times New Roman"/>
          <w:sz w:val="24"/>
          <w:szCs w:val="24"/>
        </w:rPr>
        <w:t xml:space="preserve">(See </w:t>
      </w:r>
      <w:r w:rsidR="00793046">
        <w:rPr>
          <w:rFonts w:ascii="Times New Roman" w:hAnsi="Times New Roman"/>
          <w:sz w:val="24"/>
          <w:szCs w:val="24"/>
        </w:rPr>
        <w:t>83</w:t>
      </w:r>
      <w:r w:rsidR="00793046" w:rsidRPr="00666B28">
        <w:rPr>
          <w:rFonts w:ascii="Times New Roman" w:hAnsi="Times New Roman"/>
          <w:sz w:val="24"/>
          <w:szCs w:val="24"/>
        </w:rPr>
        <w:t xml:space="preserve"> FR </w:t>
      </w:r>
      <w:r w:rsidR="00793046">
        <w:rPr>
          <w:rFonts w:ascii="Times New Roman" w:hAnsi="Times New Roman"/>
          <w:sz w:val="24"/>
          <w:szCs w:val="24"/>
        </w:rPr>
        <w:t>5828</w:t>
      </w:r>
      <w:r w:rsidR="00793046" w:rsidRPr="00666B28">
        <w:rPr>
          <w:rFonts w:ascii="Times New Roman" w:hAnsi="Times New Roman"/>
          <w:sz w:val="24"/>
          <w:szCs w:val="24"/>
        </w:rPr>
        <w:t>)</w:t>
      </w:r>
      <w:r w:rsidR="00793046">
        <w:rPr>
          <w:rFonts w:ascii="Times New Roman" w:hAnsi="Times New Roman"/>
          <w:sz w:val="24"/>
          <w:szCs w:val="24"/>
        </w:rPr>
        <w:t xml:space="preserve"> </w:t>
      </w:r>
      <w:r w:rsidR="00666B28" w:rsidRPr="00666B28">
        <w:rPr>
          <w:rFonts w:ascii="Times New Roman" w:hAnsi="Times New Roman"/>
          <w:sz w:val="24"/>
          <w:szCs w:val="24"/>
        </w:rPr>
        <w:t xml:space="preserve">We received </w:t>
      </w:r>
      <w:r w:rsidR="003A5618">
        <w:rPr>
          <w:rFonts w:ascii="Times New Roman" w:hAnsi="Times New Roman"/>
          <w:sz w:val="24"/>
          <w:szCs w:val="24"/>
        </w:rPr>
        <w:t>tw</w:t>
      </w:r>
      <w:r w:rsidR="002C353E">
        <w:rPr>
          <w:rFonts w:ascii="Times New Roman" w:hAnsi="Times New Roman"/>
          <w:sz w:val="24"/>
          <w:szCs w:val="24"/>
        </w:rPr>
        <w:t>o</w:t>
      </w:r>
      <w:r w:rsidR="00666B28" w:rsidRPr="00666B28">
        <w:rPr>
          <w:rFonts w:ascii="Times New Roman" w:hAnsi="Times New Roman"/>
          <w:sz w:val="24"/>
          <w:szCs w:val="24"/>
        </w:rPr>
        <w:t xml:space="preserve"> comments in response to the Federal Register notice.</w:t>
      </w:r>
      <w:r w:rsidR="003A5618">
        <w:rPr>
          <w:rFonts w:ascii="Times New Roman" w:hAnsi="Times New Roman"/>
          <w:sz w:val="24"/>
          <w:szCs w:val="24"/>
        </w:rPr>
        <w:t xml:space="preserve"> </w:t>
      </w:r>
      <w:r w:rsidR="00E74962">
        <w:rPr>
          <w:rFonts w:ascii="Times New Roman" w:hAnsi="Times New Roman"/>
          <w:sz w:val="24"/>
          <w:szCs w:val="24"/>
        </w:rPr>
        <w:t xml:space="preserve"> </w:t>
      </w:r>
      <w:r w:rsidR="003A5618">
        <w:rPr>
          <w:rFonts w:ascii="Times New Roman" w:hAnsi="Times New Roman"/>
          <w:sz w:val="24"/>
          <w:szCs w:val="24"/>
        </w:rPr>
        <w:t xml:space="preserve">One comment received from “Anonymous” does not address the request for comments regarding the renewal of the CTR. </w:t>
      </w:r>
      <w:r w:rsidR="00E74962">
        <w:rPr>
          <w:rFonts w:ascii="Times New Roman" w:hAnsi="Times New Roman"/>
          <w:sz w:val="24"/>
          <w:szCs w:val="24"/>
        </w:rPr>
        <w:t xml:space="preserve"> </w:t>
      </w:r>
      <w:r w:rsidR="003A5618">
        <w:rPr>
          <w:rFonts w:ascii="Times New Roman" w:hAnsi="Times New Roman"/>
          <w:sz w:val="24"/>
          <w:szCs w:val="24"/>
        </w:rPr>
        <w:t xml:space="preserve">Instead the commenter addresses </w:t>
      </w:r>
      <w:r w:rsidR="00793046">
        <w:rPr>
          <w:rFonts w:ascii="Times New Roman" w:hAnsi="Times New Roman"/>
          <w:sz w:val="24"/>
          <w:szCs w:val="24"/>
        </w:rPr>
        <w:t xml:space="preserve">issues </w:t>
      </w:r>
      <w:r w:rsidR="003A5618">
        <w:rPr>
          <w:rFonts w:ascii="Times New Roman" w:hAnsi="Times New Roman"/>
          <w:sz w:val="24"/>
          <w:szCs w:val="24"/>
        </w:rPr>
        <w:t>concern</w:t>
      </w:r>
      <w:r w:rsidR="00793046">
        <w:rPr>
          <w:rFonts w:ascii="Times New Roman" w:hAnsi="Times New Roman"/>
          <w:sz w:val="24"/>
          <w:szCs w:val="24"/>
        </w:rPr>
        <w:t>ing</w:t>
      </w:r>
      <w:r w:rsidR="003A5618">
        <w:rPr>
          <w:rFonts w:ascii="Times New Roman" w:hAnsi="Times New Roman"/>
          <w:sz w:val="24"/>
          <w:szCs w:val="24"/>
        </w:rPr>
        <w:t xml:space="preserve"> oil and gas fracking in Europe. </w:t>
      </w:r>
      <w:r w:rsidR="00E74962">
        <w:rPr>
          <w:rFonts w:ascii="Times New Roman" w:hAnsi="Times New Roman"/>
          <w:sz w:val="24"/>
          <w:szCs w:val="24"/>
        </w:rPr>
        <w:t xml:space="preserve"> </w:t>
      </w:r>
      <w:r w:rsidR="000F0667">
        <w:rPr>
          <w:rFonts w:ascii="Times New Roman" w:hAnsi="Times New Roman"/>
          <w:sz w:val="24"/>
          <w:szCs w:val="24"/>
        </w:rPr>
        <w:t>This commen</w:t>
      </w:r>
      <w:r w:rsidR="007A6C39">
        <w:rPr>
          <w:rFonts w:ascii="Times New Roman" w:hAnsi="Times New Roman"/>
          <w:sz w:val="24"/>
          <w:szCs w:val="24"/>
        </w:rPr>
        <w:t>t will not be considered for this</w:t>
      </w:r>
      <w:r w:rsidR="000F0667">
        <w:rPr>
          <w:rFonts w:ascii="Times New Roman" w:hAnsi="Times New Roman"/>
          <w:sz w:val="24"/>
          <w:szCs w:val="24"/>
        </w:rPr>
        <w:t xml:space="preserve"> notice. </w:t>
      </w:r>
    </w:p>
    <w:p w:rsidR="000F0667" w:rsidRDefault="000F0667" w:rsidP="00666B28">
      <w:pPr>
        <w:rPr>
          <w:rFonts w:ascii="Times New Roman" w:hAnsi="Times New Roman"/>
          <w:sz w:val="24"/>
          <w:szCs w:val="24"/>
        </w:rPr>
      </w:pPr>
    </w:p>
    <w:p w:rsidR="00A35BD4" w:rsidRPr="00666B28" w:rsidRDefault="003A5618" w:rsidP="00350B01">
      <w:pPr>
        <w:widowControl/>
        <w:rPr>
          <w:rFonts w:ascii="Times New Roman" w:hAnsi="Times New Roman"/>
          <w:sz w:val="24"/>
          <w:szCs w:val="24"/>
        </w:rPr>
      </w:pPr>
      <w:r>
        <w:rPr>
          <w:rFonts w:ascii="Times New Roman" w:hAnsi="Times New Roman"/>
          <w:sz w:val="24"/>
          <w:szCs w:val="24"/>
        </w:rPr>
        <w:t xml:space="preserve">The Clearing House </w:t>
      </w:r>
      <w:r w:rsidR="006546B1">
        <w:rPr>
          <w:rFonts w:ascii="Times New Roman" w:hAnsi="Times New Roman"/>
          <w:sz w:val="24"/>
          <w:szCs w:val="24"/>
        </w:rPr>
        <w:t xml:space="preserve">(TCH) </w:t>
      </w:r>
      <w:r>
        <w:rPr>
          <w:rFonts w:ascii="Times New Roman" w:hAnsi="Times New Roman"/>
          <w:sz w:val="24"/>
          <w:szCs w:val="24"/>
        </w:rPr>
        <w:t>provided the second comment</w:t>
      </w:r>
      <w:r w:rsidR="007A6C39">
        <w:rPr>
          <w:rFonts w:ascii="Times New Roman" w:hAnsi="Times New Roman"/>
          <w:sz w:val="24"/>
          <w:szCs w:val="24"/>
        </w:rPr>
        <w:t>.</w:t>
      </w:r>
      <w:r w:rsidR="00E74962">
        <w:rPr>
          <w:rFonts w:ascii="Times New Roman" w:hAnsi="Times New Roman"/>
          <w:sz w:val="24"/>
          <w:szCs w:val="24"/>
        </w:rPr>
        <w:t xml:space="preserve"> </w:t>
      </w:r>
      <w:r w:rsidR="007A6C39">
        <w:rPr>
          <w:rFonts w:ascii="Times New Roman" w:hAnsi="Times New Roman"/>
          <w:sz w:val="24"/>
          <w:szCs w:val="24"/>
        </w:rPr>
        <w:t xml:space="preserve"> T</w:t>
      </w:r>
      <w:r w:rsidR="0066170C">
        <w:rPr>
          <w:rFonts w:ascii="Times New Roman" w:hAnsi="Times New Roman"/>
          <w:sz w:val="24"/>
          <w:szCs w:val="24"/>
        </w:rPr>
        <w:t xml:space="preserve">HC’s comment did not address the current burden as requested in the PRA.  Rather, THC comment reiterated </w:t>
      </w:r>
      <w:r>
        <w:rPr>
          <w:rFonts w:ascii="Times New Roman" w:hAnsi="Times New Roman"/>
          <w:sz w:val="24"/>
          <w:szCs w:val="24"/>
        </w:rPr>
        <w:t xml:space="preserve">extensive </w:t>
      </w:r>
      <w:r w:rsidR="00680F31">
        <w:rPr>
          <w:rFonts w:ascii="Times New Roman" w:hAnsi="Times New Roman"/>
          <w:sz w:val="24"/>
          <w:szCs w:val="24"/>
        </w:rPr>
        <w:t>recommendations</w:t>
      </w:r>
      <w:r>
        <w:rPr>
          <w:rFonts w:ascii="Times New Roman" w:hAnsi="Times New Roman"/>
          <w:sz w:val="24"/>
          <w:szCs w:val="24"/>
        </w:rPr>
        <w:t xml:space="preserve"> </w:t>
      </w:r>
      <w:r w:rsidR="006546B1">
        <w:rPr>
          <w:rFonts w:ascii="Times New Roman" w:hAnsi="Times New Roman"/>
          <w:sz w:val="24"/>
          <w:szCs w:val="24"/>
        </w:rPr>
        <w:t>on reform</w:t>
      </w:r>
      <w:r w:rsidR="00680F31">
        <w:rPr>
          <w:rFonts w:ascii="Times New Roman" w:hAnsi="Times New Roman"/>
          <w:sz w:val="24"/>
          <w:szCs w:val="24"/>
        </w:rPr>
        <w:t>ing</w:t>
      </w:r>
      <w:r w:rsidR="006546B1">
        <w:rPr>
          <w:rFonts w:ascii="Times New Roman" w:hAnsi="Times New Roman"/>
          <w:sz w:val="24"/>
          <w:szCs w:val="24"/>
        </w:rPr>
        <w:t xml:space="preserve"> the Bank </w:t>
      </w:r>
      <w:r w:rsidR="00350B01">
        <w:rPr>
          <w:rFonts w:ascii="Times New Roman" w:hAnsi="Times New Roman"/>
          <w:sz w:val="24"/>
          <w:szCs w:val="24"/>
        </w:rPr>
        <w:t>S</w:t>
      </w:r>
      <w:r w:rsidR="006546B1">
        <w:rPr>
          <w:rFonts w:ascii="Times New Roman" w:hAnsi="Times New Roman"/>
          <w:sz w:val="24"/>
          <w:szCs w:val="24"/>
        </w:rPr>
        <w:t xml:space="preserve">ecrecy Act (BSA) in general </w:t>
      </w:r>
      <w:r w:rsidR="0066170C">
        <w:rPr>
          <w:rFonts w:ascii="Times New Roman" w:hAnsi="Times New Roman"/>
          <w:sz w:val="24"/>
          <w:szCs w:val="24"/>
        </w:rPr>
        <w:t xml:space="preserve">and attached two documents previously submitted to the Department of the Treasure and to FinCEN.  The two documents are </w:t>
      </w:r>
      <w:r w:rsidR="00AC578F">
        <w:rPr>
          <w:rFonts w:ascii="Times New Roman" w:hAnsi="Times New Roman"/>
          <w:sz w:val="24"/>
          <w:szCs w:val="24"/>
        </w:rPr>
        <w:t>T</w:t>
      </w:r>
      <w:r w:rsidR="0066170C">
        <w:rPr>
          <w:rFonts w:ascii="Times New Roman" w:hAnsi="Times New Roman"/>
          <w:sz w:val="24"/>
          <w:szCs w:val="24"/>
        </w:rPr>
        <w:t xml:space="preserve">CH’s </w:t>
      </w:r>
      <w:r w:rsidR="0066170C">
        <w:rPr>
          <w:rFonts w:ascii="Times New Roman" w:hAnsi="Times New Roman"/>
          <w:spacing w:val="-1"/>
          <w:sz w:val="24"/>
          <w:szCs w:val="24"/>
        </w:rPr>
        <w:t>comment to the Treasury</w:t>
      </w:r>
      <w:r w:rsidR="00AC578F">
        <w:rPr>
          <w:rFonts w:ascii="Times New Roman" w:hAnsi="Times New Roman"/>
          <w:spacing w:val="-1"/>
          <w:sz w:val="24"/>
          <w:szCs w:val="24"/>
        </w:rPr>
        <w:t>, dated July 31,</w:t>
      </w:r>
      <w:r w:rsidR="00AC578F">
        <w:rPr>
          <w:rFonts w:ascii="Times New Roman" w:hAnsi="Times New Roman"/>
          <w:spacing w:val="24"/>
          <w:sz w:val="24"/>
          <w:szCs w:val="24"/>
        </w:rPr>
        <w:t xml:space="preserve"> </w:t>
      </w:r>
      <w:r w:rsidR="00AC578F">
        <w:rPr>
          <w:rFonts w:ascii="Times New Roman" w:hAnsi="Times New Roman"/>
          <w:sz w:val="24"/>
          <w:szCs w:val="24"/>
        </w:rPr>
        <w:t>2017,</w:t>
      </w:r>
      <w:r w:rsidR="00AC578F">
        <w:rPr>
          <w:rFonts w:ascii="Times New Roman" w:hAnsi="Times New Roman"/>
          <w:spacing w:val="-1"/>
          <w:sz w:val="24"/>
          <w:szCs w:val="24"/>
        </w:rPr>
        <w:t xml:space="preserve"> </w:t>
      </w:r>
      <w:r w:rsidR="0066170C">
        <w:rPr>
          <w:rFonts w:ascii="Times New Roman" w:hAnsi="Times New Roman"/>
          <w:spacing w:val="-1"/>
          <w:sz w:val="24"/>
          <w:szCs w:val="24"/>
        </w:rPr>
        <w:t xml:space="preserve">submitted in response to </w:t>
      </w:r>
      <w:r w:rsidR="00AC578F">
        <w:rPr>
          <w:rFonts w:ascii="Times New Roman" w:hAnsi="Times New Roman"/>
          <w:sz w:val="24"/>
          <w:szCs w:val="24"/>
        </w:rPr>
        <w:t>Treasury’s</w:t>
      </w:r>
      <w:r w:rsidR="00AC578F">
        <w:rPr>
          <w:rFonts w:ascii="Times New Roman" w:hAnsi="Times New Roman"/>
          <w:spacing w:val="-2"/>
          <w:sz w:val="24"/>
          <w:szCs w:val="24"/>
        </w:rPr>
        <w:t xml:space="preserve"> </w:t>
      </w:r>
      <w:r w:rsidR="00AC578F">
        <w:rPr>
          <w:rFonts w:ascii="Times New Roman" w:hAnsi="Times New Roman"/>
          <w:i/>
          <w:spacing w:val="-1"/>
          <w:sz w:val="24"/>
          <w:szCs w:val="24"/>
        </w:rPr>
        <w:t>Review of Regulations</w:t>
      </w:r>
      <w:r w:rsidR="0066170C">
        <w:rPr>
          <w:rFonts w:ascii="Times New Roman" w:hAnsi="Times New Roman"/>
          <w:i/>
          <w:spacing w:val="-1"/>
          <w:sz w:val="24"/>
          <w:szCs w:val="24"/>
        </w:rPr>
        <w:t xml:space="preserve"> </w:t>
      </w:r>
      <w:r w:rsidR="0066170C">
        <w:rPr>
          <w:rFonts w:ascii="Times New Roman" w:hAnsi="Times New Roman"/>
          <w:sz w:val="24"/>
          <w:szCs w:val="24"/>
        </w:rPr>
        <w:t>issued in furtherance of Executive Orders 13771 and 13777</w:t>
      </w:r>
      <w:r w:rsidR="00AC578F">
        <w:rPr>
          <w:rFonts w:ascii="Times New Roman" w:hAnsi="Times New Roman"/>
          <w:spacing w:val="-1"/>
          <w:sz w:val="24"/>
          <w:szCs w:val="24"/>
        </w:rPr>
        <w:t xml:space="preserve">, </w:t>
      </w:r>
      <w:r w:rsidR="00AC578F">
        <w:rPr>
          <w:rFonts w:ascii="Times New Roman" w:hAnsi="Times New Roman"/>
          <w:sz w:val="24"/>
          <w:szCs w:val="24"/>
        </w:rPr>
        <w:t>and</w:t>
      </w:r>
      <w:r w:rsidR="00AC578F">
        <w:rPr>
          <w:rFonts w:ascii="Times New Roman" w:hAnsi="Times New Roman"/>
          <w:spacing w:val="-1"/>
          <w:sz w:val="24"/>
          <w:szCs w:val="24"/>
        </w:rPr>
        <w:t xml:space="preserve"> </w:t>
      </w:r>
      <w:r w:rsidR="00AC578F">
        <w:rPr>
          <w:rFonts w:ascii="Times New Roman" w:hAnsi="Times New Roman"/>
          <w:sz w:val="24"/>
          <w:szCs w:val="24"/>
        </w:rPr>
        <w:t>T</w:t>
      </w:r>
      <w:r w:rsidR="0066170C">
        <w:rPr>
          <w:rFonts w:ascii="Times New Roman" w:hAnsi="Times New Roman"/>
          <w:sz w:val="24"/>
          <w:szCs w:val="24"/>
        </w:rPr>
        <w:t xml:space="preserve">HC’s </w:t>
      </w:r>
      <w:r w:rsidR="00AC578F">
        <w:rPr>
          <w:rFonts w:ascii="Times New Roman" w:hAnsi="Times New Roman"/>
          <w:sz w:val="24"/>
          <w:szCs w:val="24"/>
        </w:rPr>
        <w:t xml:space="preserve">February 2017 </w:t>
      </w:r>
      <w:r w:rsidR="00FD6811">
        <w:rPr>
          <w:rFonts w:ascii="Times New Roman" w:hAnsi="Times New Roman"/>
          <w:sz w:val="24"/>
          <w:szCs w:val="24"/>
        </w:rPr>
        <w:t>white paper</w:t>
      </w:r>
      <w:r w:rsidR="00AC578F">
        <w:rPr>
          <w:rFonts w:ascii="Times New Roman" w:hAnsi="Times New Roman"/>
          <w:spacing w:val="-1"/>
          <w:sz w:val="24"/>
          <w:szCs w:val="24"/>
        </w:rPr>
        <w:t xml:space="preserve"> </w:t>
      </w:r>
      <w:r w:rsidR="00FD6811">
        <w:rPr>
          <w:rFonts w:ascii="Times New Roman" w:hAnsi="Times New Roman"/>
          <w:spacing w:val="-1"/>
          <w:sz w:val="24"/>
          <w:szCs w:val="24"/>
        </w:rPr>
        <w:t>“</w:t>
      </w:r>
      <w:r w:rsidR="00AC578F">
        <w:rPr>
          <w:rFonts w:ascii="Times New Roman" w:hAnsi="Times New Roman"/>
          <w:i/>
          <w:sz w:val="24"/>
          <w:szCs w:val="24"/>
        </w:rPr>
        <w:t>A</w:t>
      </w:r>
      <w:r w:rsidR="00AC578F">
        <w:rPr>
          <w:rFonts w:ascii="Times New Roman" w:hAnsi="Times New Roman"/>
          <w:i/>
          <w:spacing w:val="-1"/>
          <w:sz w:val="24"/>
          <w:szCs w:val="24"/>
        </w:rPr>
        <w:t xml:space="preserve"> New Paradigm: Redesigning </w:t>
      </w:r>
      <w:r w:rsidR="00AC578F">
        <w:rPr>
          <w:rFonts w:ascii="Times New Roman" w:hAnsi="Times New Roman"/>
          <w:i/>
          <w:sz w:val="24"/>
          <w:szCs w:val="24"/>
        </w:rPr>
        <w:t>the</w:t>
      </w:r>
      <w:r w:rsidR="00AC578F">
        <w:rPr>
          <w:rFonts w:ascii="Times New Roman" w:hAnsi="Times New Roman"/>
          <w:i/>
          <w:spacing w:val="-1"/>
          <w:sz w:val="24"/>
          <w:szCs w:val="24"/>
        </w:rPr>
        <w:t xml:space="preserve"> </w:t>
      </w:r>
      <w:r w:rsidR="00AC578F">
        <w:rPr>
          <w:rFonts w:ascii="Times New Roman" w:hAnsi="Times New Roman"/>
          <w:i/>
          <w:sz w:val="24"/>
          <w:szCs w:val="24"/>
        </w:rPr>
        <w:t>U.S.</w:t>
      </w:r>
      <w:r w:rsidR="00AC578F">
        <w:rPr>
          <w:rFonts w:ascii="Times New Roman" w:hAnsi="Times New Roman"/>
          <w:i/>
          <w:spacing w:val="-1"/>
          <w:sz w:val="24"/>
          <w:szCs w:val="24"/>
        </w:rPr>
        <w:t xml:space="preserve"> </w:t>
      </w:r>
      <w:r w:rsidR="00AC578F">
        <w:rPr>
          <w:rFonts w:ascii="Times New Roman" w:hAnsi="Times New Roman"/>
          <w:i/>
          <w:sz w:val="24"/>
          <w:szCs w:val="24"/>
        </w:rPr>
        <w:t>AML/CFT</w:t>
      </w:r>
      <w:r w:rsidR="00AC578F">
        <w:rPr>
          <w:rFonts w:ascii="Times New Roman" w:hAnsi="Times New Roman"/>
          <w:i/>
          <w:spacing w:val="29"/>
          <w:sz w:val="24"/>
          <w:szCs w:val="24"/>
        </w:rPr>
        <w:t xml:space="preserve"> </w:t>
      </w:r>
      <w:r w:rsidR="00AC578F">
        <w:rPr>
          <w:rFonts w:ascii="Times New Roman" w:hAnsi="Times New Roman"/>
          <w:i/>
          <w:sz w:val="24"/>
          <w:szCs w:val="24"/>
        </w:rPr>
        <w:t xml:space="preserve">Framework to Protect National </w:t>
      </w:r>
      <w:r w:rsidR="00AC578F">
        <w:rPr>
          <w:rFonts w:ascii="Times New Roman" w:hAnsi="Times New Roman"/>
          <w:i/>
          <w:spacing w:val="-1"/>
          <w:sz w:val="24"/>
          <w:szCs w:val="24"/>
        </w:rPr>
        <w:t xml:space="preserve">Security </w:t>
      </w:r>
      <w:r w:rsidR="00AC578F">
        <w:rPr>
          <w:rFonts w:ascii="Times New Roman" w:hAnsi="Times New Roman"/>
          <w:i/>
          <w:sz w:val="24"/>
          <w:szCs w:val="24"/>
        </w:rPr>
        <w:t>and</w:t>
      </w:r>
      <w:r w:rsidR="00AC578F">
        <w:rPr>
          <w:rFonts w:ascii="Times New Roman" w:hAnsi="Times New Roman"/>
          <w:i/>
          <w:spacing w:val="-1"/>
          <w:sz w:val="24"/>
          <w:szCs w:val="24"/>
        </w:rPr>
        <w:t xml:space="preserve"> Aid </w:t>
      </w:r>
      <w:r w:rsidR="00AC578F">
        <w:rPr>
          <w:rFonts w:ascii="Times New Roman" w:hAnsi="Times New Roman"/>
          <w:i/>
          <w:sz w:val="24"/>
          <w:szCs w:val="24"/>
        </w:rPr>
        <w:t>Law</w:t>
      </w:r>
      <w:r w:rsidR="00AC578F">
        <w:rPr>
          <w:rFonts w:ascii="Times New Roman" w:hAnsi="Times New Roman"/>
          <w:i/>
          <w:spacing w:val="-1"/>
          <w:sz w:val="24"/>
          <w:szCs w:val="24"/>
        </w:rPr>
        <w:t xml:space="preserve"> </w:t>
      </w:r>
      <w:r w:rsidR="00AC578F">
        <w:rPr>
          <w:rFonts w:ascii="Times New Roman" w:hAnsi="Times New Roman"/>
          <w:i/>
          <w:sz w:val="24"/>
          <w:szCs w:val="24"/>
        </w:rPr>
        <w:t>Enforcement</w:t>
      </w:r>
      <w:r w:rsidR="006546B1">
        <w:rPr>
          <w:rFonts w:ascii="Times New Roman" w:hAnsi="Times New Roman"/>
          <w:sz w:val="24"/>
          <w:szCs w:val="24"/>
        </w:rPr>
        <w:t>)</w:t>
      </w:r>
      <w:r w:rsidR="00793046">
        <w:rPr>
          <w:rFonts w:ascii="Times New Roman" w:hAnsi="Times New Roman"/>
          <w:sz w:val="24"/>
          <w:szCs w:val="24"/>
        </w:rPr>
        <w:t>.</w:t>
      </w:r>
      <w:r w:rsidR="00FD6811">
        <w:rPr>
          <w:rFonts w:ascii="Times New Roman" w:hAnsi="Times New Roman"/>
          <w:sz w:val="24"/>
          <w:szCs w:val="24"/>
        </w:rPr>
        <w:t>”</w:t>
      </w:r>
      <w:r w:rsidR="00E74962">
        <w:rPr>
          <w:rFonts w:ascii="Times New Roman" w:hAnsi="Times New Roman"/>
          <w:sz w:val="24"/>
          <w:szCs w:val="24"/>
        </w:rPr>
        <w:t xml:space="preserve"> </w:t>
      </w:r>
      <w:r w:rsidR="00FD6811">
        <w:rPr>
          <w:rFonts w:ascii="Times New Roman" w:hAnsi="Times New Roman"/>
          <w:sz w:val="24"/>
          <w:szCs w:val="24"/>
        </w:rPr>
        <w:t xml:space="preserve"> FinCEN is aware of THC’s recommendations is considering them in process of </w:t>
      </w:r>
      <w:r w:rsidR="00E74962">
        <w:rPr>
          <w:rFonts w:ascii="Times New Roman" w:hAnsi="Times New Roman"/>
          <w:sz w:val="24"/>
          <w:szCs w:val="24"/>
        </w:rPr>
        <w:t>other rulemaking</w:t>
      </w:r>
      <w:r w:rsidR="00FD6811">
        <w:rPr>
          <w:rFonts w:ascii="Times New Roman" w:hAnsi="Times New Roman"/>
          <w:sz w:val="24"/>
          <w:szCs w:val="24"/>
        </w:rPr>
        <w:t xml:space="preserve">s.  </w:t>
      </w:r>
    </w:p>
    <w:p w:rsidR="006A273B" w:rsidRDefault="006A273B">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9.  </w:t>
      </w:r>
      <w:r>
        <w:rPr>
          <w:rFonts w:ascii="Times New Roman" w:hAnsi="Times New Roman"/>
          <w:sz w:val="24"/>
          <w:u w:val="single"/>
        </w:rPr>
        <w:t>Payments or Gifts</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No payments or gifts w</w:t>
      </w:r>
      <w:r w:rsidR="00666B28">
        <w:rPr>
          <w:rFonts w:ascii="Times New Roman" w:hAnsi="Times New Roman"/>
          <w:sz w:val="24"/>
        </w:rPr>
        <w:t xml:space="preserve">ere </w:t>
      </w:r>
      <w:r>
        <w:rPr>
          <w:rFonts w:ascii="Times New Roman" w:hAnsi="Times New Roman"/>
          <w:sz w:val="24"/>
        </w:rPr>
        <w:t>made to respondents.</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lastRenderedPageBreak/>
        <w:t xml:space="preserve">10.  </w:t>
      </w:r>
      <w:r>
        <w:rPr>
          <w:rFonts w:ascii="Times New Roman" w:hAnsi="Times New Roman"/>
          <w:sz w:val="24"/>
          <w:u w:val="single"/>
        </w:rPr>
        <w:t>Assurance of Confidentiality of Responses</w:t>
      </w:r>
      <w:r>
        <w:rPr>
          <w:rFonts w:ascii="Times New Roman" w:hAnsi="Times New Roman"/>
          <w:sz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ab/>
        <w:t xml:space="preserve">Information provided to the government on </w:t>
      </w:r>
      <w:r w:rsidR="00666B28">
        <w:rPr>
          <w:rFonts w:ascii="Times New Roman" w:hAnsi="Times New Roman"/>
          <w:sz w:val="24"/>
        </w:rPr>
        <w:t xml:space="preserve">the </w:t>
      </w:r>
      <w:r w:rsidR="003F6EEB">
        <w:rPr>
          <w:rFonts w:ascii="Times New Roman" w:hAnsi="Times New Roman"/>
          <w:sz w:val="24"/>
        </w:rPr>
        <w:t>CTR</w:t>
      </w:r>
      <w:r>
        <w:rPr>
          <w:rFonts w:ascii="Times New Roman" w:hAnsi="Times New Roman"/>
          <w:sz w:val="24"/>
        </w:rPr>
        <w:t xml:space="preserve"> is expressly prohibited from disclosure under 31 U.S.C. 5318(g)(2), and the participating agencies' Privacy Act notice</w:t>
      </w:r>
      <w:r w:rsidR="007E6C07">
        <w:rPr>
          <w:rFonts w:ascii="Times New Roman" w:hAnsi="Times New Roman"/>
          <w:sz w:val="24"/>
        </w:rPr>
        <w:t>s</w:t>
      </w:r>
      <w:r>
        <w:rPr>
          <w:rFonts w:ascii="Times New Roman" w:hAnsi="Times New Roman"/>
          <w:sz w:val="24"/>
        </w:rPr>
        <w:t xml:space="preserve"> make clear that the system of records is intended for the official use of law enforcement and bank regulators.   Appropriate system security safeguards have been put in place to protect against unauthorized access.</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11.  </w:t>
      </w:r>
      <w:r>
        <w:rPr>
          <w:rFonts w:ascii="Times New Roman" w:hAnsi="Times New Roman"/>
          <w:sz w:val="24"/>
          <w:u w:val="single"/>
        </w:rPr>
        <w:t>Justification of Sensitive Questions</w:t>
      </w:r>
      <w:r>
        <w:rPr>
          <w:rFonts w:ascii="Times New Roman" w:hAnsi="Times New Roman"/>
          <w:sz w:val="24"/>
        </w:rPr>
        <w:t>.</w:t>
      </w:r>
    </w:p>
    <w:p w:rsidR="00A35BD4" w:rsidRDefault="00A35BD4">
      <w:pPr>
        <w:rPr>
          <w:rFonts w:ascii="Times New Roman" w:hAnsi="Times New Roman"/>
          <w:sz w:val="24"/>
        </w:rPr>
      </w:pPr>
    </w:p>
    <w:p w:rsidR="00D251F4" w:rsidRPr="00537765" w:rsidRDefault="00A35BD4" w:rsidP="00D251F4">
      <w:pPr>
        <w:rPr>
          <w:rFonts w:ascii="Times New Roman" w:hAnsi="Times New Roman"/>
          <w:sz w:val="24"/>
          <w:szCs w:val="24"/>
        </w:rPr>
      </w:pPr>
      <w:r>
        <w:rPr>
          <w:rFonts w:ascii="Times New Roman" w:hAnsi="Times New Roman"/>
          <w:sz w:val="24"/>
        </w:rPr>
        <w:tab/>
      </w:r>
      <w:r w:rsidR="00D251F4" w:rsidRPr="00537765">
        <w:rPr>
          <w:rFonts w:ascii="Times New Roman" w:hAnsi="Times New Roman"/>
          <w:sz w:val="24"/>
          <w:szCs w:val="24"/>
        </w:rPr>
        <w:t xml:space="preserve">There are no questions of a sensitive nature in the collection of information.  Any </w:t>
      </w:r>
      <w:r w:rsidR="00D251F4">
        <w:rPr>
          <w:rFonts w:ascii="Times New Roman" w:hAnsi="Times New Roman"/>
          <w:sz w:val="24"/>
          <w:szCs w:val="24"/>
        </w:rPr>
        <w:t>personally identifiable</w:t>
      </w:r>
      <w:r w:rsidR="00D251F4" w:rsidRPr="00537765">
        <w:rPr>
          <w:rFonts w:ascii="Times New Roman" w:hAnsi="Times New Roman"/>
          <w:sz w:val="24"/>
          <w:szCs w:val="24"/>
        </w:rPr>
        <w:t xml:space="preserve"> information collected under the BSA is strictly controlled as outlined in FinCEN’s Systems of Records Notice</w:t>
      </w:r>
      <w:r w:rsidR="00D251F4" w:rsidRPr="00537765">
        <w:rPr>
          <w:rFonts w:ascii="Times New Roman" w:hAnsi="Times New Roman"/>
          <w:color w:val="1F497D"/>
          <w:sz w:val="24"/>
          <w:szCs w:val="24"/>
        </w:rPr>
        <w:t xml:space="preserve"> </w:t>
      </w:r>
      <w:hyperlink r:id="rId11" w:history="1">
        <w:r w:rsidR="00D251F4" w:rsidRPr="00537765">
          <w:rPr>
            <w:rStyle w:val="Hyperlink"/>
            <w:rFonts w:ascii="Times New Roman" w:hAnsi="Times New Roman"/>
            <w:sz w:val="24"/>
            <w:szCs w:val="24"/>
          </w:rPr>
          <w:t>http://www.fincen.gov/foia/files/FinCEN_79_FR_20969.pdf</w:t>
        </w:r>
      </w:hyperlink>
      <w:r w:rsidR="00D251F4" w:rsidRPr="00537765">
        <w:rPr>
          <w:rFonts w:ascii="Times New Roman" w:hAnsi="Times New Roman"/>
          <w:sz w:val="24"/>
          <w:szCs w:val="24"/>
        </w:rPr>
        <w:t>.</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12.  </w:t>
      </w:r>
      <w:r>
        <w:rPr>
          <w:rFonts w:ascii="Times New Roman" w:hAnsi="Times New Roman"/>
          <w:sz w:val="24"/>
          <w:u w:val="single"/>
        </w:rPr>
        <w:t>Estimated Annual Hourly Burden</w:t>
      </w:r>
      <w:r>
        <w:rPr>
          <w:rFonts w:ascii="Times New Roman" w:hAnsi="Times New Roman"/>
          <w:sz w:val="24"/>
        </w:rPr>
        <w:t>.</w:t>
      </w:r>
    </w:p>
    <w:p w:rsidR="00A35BD4" w:rsidRDefault="00A35BD4">
      <w:pPr>
        <w:rPr>
          <w:rFonts w:ascii="Times New Roman" w:hAnsi="Times New Roman"/>
          <w:sz w:val="24"/>
        </w:rPr>
      </w:pPr>
    </w:p>
    <w:p w:rsidR="003B7391" w:rsidRPr="004F47EF" w:rsidRDefault="00A35BD4" w:rsidP="004F47EF">
      <w:pPr>
        <w:widowControl/>
        <w:rPr>
          <w:rFonts w:ascii="Times New Roman" w:hAnsi="Times New Roman"/>
          <w:sz w:val="24"/>
          <w:szCs w:val="24"/>
        </w:rPr>
      </w:pPr>
      <w:r>
        <w:rPr>
          <w:rFonts w:ascii="Times New Roman" w:hAnsi="Times New Roman"/>
          <w:sz w:val="24"/>
        </w:rPr>
        <w:tab/>
      </w:r>
      <w:r w:rsidR="004F47EF" w:rsidRPr="004F47EF">
        <w:rPr>
          <w:rFonts w:ascii="Times New Roman" w:hAnsi="Times New Roman"/>
          <w:sz w:val="24"/>
          <w:szCs w:val="24"/>
        </w:rPr>
        <w:t>The administrative burden of 1 hour is assigned to maintain the</w:t>
      </w:r>
      <w:r w:rsidR="004F47EF">
        <w:rPr>
          <w:rFonts w:ascii="Times New Roman" w:hAnsi="Times New Roman"/>
          <w:sz w:val="24"/>
          <w:szCs w:val="24"/>
        </w:rPr>
        <w:t xml:space="preserve"> regulatory </w:t>
      </w:r>
      <w:r w:rsidR="004F47EF" w:rsidRPr="004F47EF">
        <w:rPr>
          <w:rFonts w:ascii="Times New Roman" w:hAnsi="Times New Roman"/>
          <w:sz w:val="24"/>
          <w:szCs w:val="24"/>
        </w:rPr>
        <w:t xml:space="preserve">requirement in force. </w:t>
      </w:r>
      <w:r w:rsidR="00A82FB2">
        <w:rPr>
          <w:rFonts w:ascii="Times New Roman" w:hAnsi="Times New Roman"/>
          <w:sz w:val="24"/>
          <w:szCs w:val="24"/>
        </w:rPr>
        <w:t xml:space="preserve"> </w:t>
      </w:r>
      <w:r w:rsidR="004F47EF" w:rsidRPr="004F47EF">
        <w:rPr>
          <w:rFonts w:ascii="Times New Roman" w:hAnsi="Times New Roman"/>
          <w:sz w:val="24"/>
          <w:szCs w:val="24"/>
        </w:rPr>
        <w:t>The burden for actual reporting is reflected in OMB Control number 1506–006</w:t>
      </w:r>
      <w:r w:rsidR="003F6EEB">
        <w:rPr>
          <w:rFonts w:ascii="Times New Roman" w:hAnsi="Times New Roman"/>
          <w:sz w:val="24"/>
          <w:szCs w:val="24"/>
        </w:rPr>
        <w:t>4</w:t>
      </w:r>
      <w:r w:rsidR="004F47EF" w:rsidRPr="004F47EF">
        <w:rPr>
          <w:rFonts w:ascii="Times New Roman" w:hAnsi="Times New Roman"/>
          <w:sz w:val="24"/>
          <w:szCs w:val="24"/>
        </w:rPr>
        <w:t>.</w:t>
      </w:r>
    </w:p>
    <w:p w:rsidR="00CB7648" w:rsidRDefault="00A35BD4" w:rsidP="00CB7648">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p>
    <w:p w:rsidR="00A35BD4" w:rsidRDefault="00A35BD4">
      <w:pPr>
        <w:rPr>
          <w:rFonts w:ascii="Times New Roman" w:hAnsi="Times New Roman"/>
          <w:sz w:val="24"/>
          <w:szCs w:val="24"/>
          <w:u w:val="single"/>
        </w:rPr>
      </w:pPr>
      <w:r>
        <w:rPr>
          <w:rFonts w:ascii="Times New Roman" w:hAnsi="Times New Roman"/>
          <w:sz w:val="24"/>
        </w:rPr>
        <w:t xml:space="preserve">13.  </w:t>
      </w:r>
      <w:r w:rsidR="00D251F4" w:rsidRPr="00537765">
        <w:rPr>
          <w:rFonts w:ascii="Times New Roman" w:hAnsi="Times New Roman"/>
          <w:sz w:val="24"/>
          <w:szCs w:val="24"/>
          <w:u w:val="single"/>
        </w:rPr>
        <w:t>Estimated Annual Cost to Respondents for Hourly Burdens</w:t>
      </w:r>
      <w:r w:rsidR="00D251F4" w:rsidRPr="00DE6631">
        <w:rPr>
          <w:rFonts w:ascii="Times New Roman" w:hAnsi="Times New Roman"/>
          <w:sz w:val="24"/>
          <w:szCs w:val="24"/>
        </w:rPr>
        <w:t>.</w:t>
      </w:r>
    </w:p>
    <w:p w:rsidR="00D251F4" w:rsidRDefault="00D251F4">
      <w:pPr>
        <w:rPr>
          <w:rFonts w:ascii="Times New Roman" w:hAnsi="Times New Roman"/>
          <w:sz w:val="24"/>
        </w:rPr>
      </w:pPr>
    </w:p>
    <w:p w:rsidR="00844691" w:rsidRPr="00537765" w:rsidRDefault="00844691" w:rsidP="00844691">
      <w:pPr>
        <w:ind w:firstLine="720"/>
        <w:rPr>
          <w:rFonts w:ascii="Times New Roman" w:hAnsi="Times New Roman"/>
          <w:sz w:val="24"/>
          <w:szCs w:val="24"/>
        </w:rPr>
      </w:pPr>
      <w:r>
        <w:rPr>
          <w:rFonts w:ascii="Times New Roman" w:hAnsi="Times New Roman"/>
          <w:sz w:val="24"/>
          <w:szCs w:val="24"/>
        </w:rPr>
        <w:t xml:space="preserve">Estimated burden cost: </w:t>
      </w:r>
      <w:r w:rsidR="00AC578F">
        <w:rPr>
          <w:rFonts w:ascii="Times New Roman" w:hAnsi="Times New Roman"/>
          <w:sz w:val="24"/>
          <w:szCs w:val="24"/>
        </w:rPr>
        <w:t>One</w:t>
      </w:r>
      <w:r>
        <w:rPr>
          <w:rFonts w:ascii="Times New Roman" w:hAnsi="Times New Roman"/>
          <w:sz w:val="24"/>
          <w:szCs w:val="24"/>
        </w:rPr>
        <w:t xml:space="preserve"> hour X $33.77 per hour = $33.77</w:t>
      </w:r>
      <w:r w:rsidR="00DA346C">
        <w:rPr>
          <w:rFonts w:ascii="Times New Roman" w:hAnsi="Times New Roman"/>
          <w:sz w:val="24"/>
          <w:szCs w:val="24"/>
        </w:rPr>
        <w:t>.</w:t>
      </w:r>
      <w:r>
        <w:rPr>
          <w:rStyle w:val="FootnoteReference"/>
          <w:rFonts w:ascii="Times New Roman" w:hAnsi="Times New Roman"/>
          <w:sz w:val="24"/>
          <w:szCs w:val="24"/>
        </w:rPr>
        <w:footnoteReference w:id="2"/>
      </w:r>
    </w:p>
    <w:p w:rsidR="00A35BD4" w:rsidRDefault="00A35BD4">
      <w:pPr>
        <w:rPr>
          <w:rFonts w:ascii="Times New Roman" w:hAnsi="Times New Roman"/>
          <w:sz w:val="24"/>
        </w:rPr>
      </w:pPr>
      <w:r>
        <w:rPr>
          <w:rFonts w:ascii="Times New Roman" w:hAnsi="Times New Roman"/>
          <w:sz w:val="24"/>
        </w:rPr>
        <w:tab/>
      </w:r>
    </w:p>
    <w:p w:rsidR="00A35BD4" w:rsidRDefault="00A35BD4">
      <w:pPr>
        <w:rPr>
          <w:rFonts w:ascii="Times New Roman" w:hAnsi="Times New Roman"/>
          <w:sz w:val="24"/>
        </w:rPr>
      </w:pPr>
      <w:r>
        <w:rPr>
          <w:rFonts w:ascii="Times New Roman" w:hAnsi="Times New Roman"/>
          <w:sz w:val="24"/>
        </w:rPr>
        <w:t xml:space="preserve">14.  </w:t>
      </w:r>
      <w:r>
        <w:rPr>
          <w:rFonts w:ascii="Times New Roman" w:hAnsi="Times New Roman"/>
          <w:sz w:val="24"/>
          <w:u w:val="single"/>
        </w:rPr>
        <w:t>Estimated Annualized Cost to Federal Government</w:t>
      </w:r>
      <w:r>
        <w:rPr>
          <w:rFonts w:ascii="Times New Roman" w:hAnsi="Times New Roman"/>
          <w:sz w:val="24"/>
        </w:rPr>
        <w:t>.</w:t>
      </w:r>
    </w:p>
    <w:p w:rsidR="00A35BD4" w:rsidRDefault="00A35BD4">
      <w:pPr>
        <w:rPr>
          <w:rFonts w:ascii="Times New Roman" w:hAnsi="Times New Roman"/>
          <w:sz w:val="24"/>
        </w:rPr>
      </w:pPr>
    </w:p>
    <w:p w:rsidR="00844691" w:rsidRPr="00537765" w:rsidRDefault="00844691" w:rsidP="00844691">
      <w:pPr>
        <w:ind w:firstLine="720"/>
        <w:rPr>
          <w:rFonts w:ascii="Times New Roman" w:hAnsi="Times New Roman"/>
          <w:sz w:val="24"/>
          <w:szCs w:val="24"/>
        </w:rPr>
      </w:pPr>
      <w:r>
        <w:rPr>
          <w:rFonts w:ascii="Times New Roman" w:hAnsi="Times New Roman"/>
          <w:sz w:val="24"/>
          <w:szCs w:val="24"/>
        </w:rPr>
        <w:t xml:space="preserve">Electronic processing cost to the Federal Government for </w:t>
      </w:r>
      <w:r w:rsidR="007F195B">
        <w:rPr>
          <w:rFonts w:ascii="Times New Roman" w:hAnsi="Times New Roman"/>
          <w:sz w:val="24"/>
          <w:szCs w:val="24"/>
        </w:rPr>
        <w:t>15,195,195</w:t>
      </w:r>
      <w:r>
        <w:rPr>
          <w:rFonts w:ascii="Times New Roman" w:hAnsi="Times New Roman"/>
          <w:sz w:val="24"/>
          <w:szCs w:val="24"/>
        </w:rPr>
        <w:t xml:space="preserve"> responses X $0.10 per response = $</w:t>
      </w:r>
      <w:r w:rsidR="007F195B">
        <w:rPr>
          <w:rFonts w:ascii="Times New Roman" w:hAnsi="Times New Roman"/>
          <w:sz w:val="24"/>
          <w:szCs w:val="24"/>
        </w:rPr>
        <w:t>1,519,519</w:t>
      </w:r>
      <w:r w:rsidRPr="00537765">
        <w:rPr>
          <w:rFonts w:ascii="Times New Roman" w:hAnsi="Times New Roman"/>
          <w:sz w:val="24"/>
          <w:szCs w:val="24"/>
        </w:rPr>
        <w:t>.</w:t>
      </w:r>
      <w:r w:rsidR="007F195B">
        <w:rPr>
          <w:rFonts w:ascii="Times New Roman" w:hAnsi="Times New Roman"/>
          <w:sz w:val="24"/>
          <w:szCs w:val="24"/>
        </w:rPr>
        <w:t>50.</w:t>
      </w:r>
      <w:r>
        <w:rPr>
          <w:rStyle w:val="FootnoteReference"/>
          <w:rFonts w:ascii="Times New Roman" w:hAnsi="Times New Roman"/>
          <w:sz w:val="24"/>
          <w:szCs w:val="24"/>
        </w:rPr>
        <w:footnoteReference w:id="3"/>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15.  </w:t>
      </w:r>
      <w:r>
        <w:rPr>
          <w:rFonts w:ascii="Times New Roman" w:hAnsi="Times New Roman"/>
          <w:sz w:val="24"/>
          <w:u w:val="single"/>
        </w:rPr>
        <w:t xml:space="preserve">Reasons for </w:t>
      </w:r>
      <w:r w:rsidR="00DA346C">
        <w:rPr>
          <w:rFonts w:ascii="Times New Roman" w:hAnsi="Times New Roman"/>
          <w:sz w:val="24"/>
          <w:u w:val="single"/>
        </w:rPr>
        <w:t>C</w:t>
      </w:r>
      <w:r>
        <w:rPr>
          <w:rFonts w:ascii="Times New Roman" w:hAnsi="Times New Roman"/>
          <w:sz w:val="24"/>
          <w:u w:val="single"/>
        </w:rPr>
        <w:t>hange in Burden</w:t>
      </w:r>
      <w:r>
        <w:rPr>
          <w:rFonts w:ascii="Times New Roman" w:hAnsi="Times New Roman"/>
          <w:sz w:val="24"/>
        </w:rPr>
        <w:t>.</w:t>
      </w:r>
    </w:p>
    <w:p w:rsidR="00A35BD4" w:rsidRDefault="00A35BD4">
      <w:pPr>
        <w:rPr>
          <w:rFonts w:ascii="Times New Roman" w:hAnsi="Times New Roman"/>
          <w:sz w:val="24"/>
        </w:rPr>
      </w:pPr>
    </w:p>
    <w:p w:rsidR="00A35BD4" w:rsidRDefault="004F47EF">
      <w:pPr>
        <w:rPr>
          <w:rFonts w:ascii="Times New Roman" w:hAnsi="Times New Roman"/>
          <w:sz w:val="24"/>
        </w:rPr>
      </w:pPr>
      <w:r>
        <w:rPr>
          <w:rFonts w:ascii="Times New Roman" w:hAnsi="Times New Roman"/>
          <w:sz w:val="24"/>
        </w:rPr>
        <w:tab/>
      </w:r>
      <w:r w:rsidR="00847FFB">
        <w:rPr>
          <w:rFonts w:ascii="Times New Roman" w:hAnsi="Times New Roman"/>
          <w:sz w:val="24"/>
        </w:rPr>
        <w:t>T</w:t>
      </w:r>
      <w:r w:rsidR="00CE3220">
        <w:rPr>
          <w:rFonts w:ascii="Times New Roman" w:hAnsi="Times New Roman"/>
          <w:sz w:val="24"/>
        </w:rPr>
        <w:t>he</w:t>
      </w:r>
      <w:r>
        <w:rPr>
          <w:rFonts w:ascii="Times New Roman" w:hAnsi="Times New Roman"/>
          <w:sz w:val="24"/>
        </w:rPr>
        <w:t>re is no change in burden</w:t>
      </w:r>
      <w:r w:rsidR="00A35BD4">
        <w:rPr>
          <w:rFonts w:ascii="Times New Roman" w:hAnsi="Times New Roman"/>
          <w:sz w:val="24"/>
        </w:rPr>
        <w:t xml:space="preserve">. </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16.  </w:t>
      </w:r>
      <w:r>
        <w:rPr>
          <w:rFonts w:ascii="Times New Roman" w:hAnsi="Times New Roman"/>
          <w:sz w:val="24"/>
          <w:u w:val="single"/>
        </w:rPr>
        <w:t>Plans for Tabulation, Statistical Analysis and Publication</w:t>
      </w:r>
      <w:r>
        <w:rPr>
          <w:rFonts w:ascii="Times New Roman" w:hAnsi="Times New Roman"/>
          <w:sz w:val="24"/>
        </w:rPr>
        <w:t>.</w:t>
      </w:r>
    </w:p>
    <w:p w:rsidR="00A35BD4" w:rsidRDefault="00A35BD4">
      <w:pPr>
        <w:rPr>
          <w:rFonts w:ascii="Times New Roman" w:hAnsi="Times New Roman"/>
          <w:sz w:val="24"/>
        </w:rPr>
      </w:pPr>
    </w:p>
    <w:p w:rsidR="00844691" w:rsidRPr="00D8752E" w:rsidRDefault="00844691" w:rsidP="00844691">
      <w:pPr>
        <w:ind w:firstLine="720"/>
        <w:rPr>
          <w:rFonts w:ascii="Times New Roman" w:hAnsi="Times New Roman"/>
          <w:sz w:val="24"/>
          <w:szCs w:val="24"/>
        </w:rPr>
      </w:pPr>
      <w:r>
        <w:rPr>
          <w:rFonts w:ascii="Times New Roman" w:hAnsi="Times New Roman"/>
          <w:sz w:val="24"/>
          <w:szCs w:val="24"/>
        </w:rPr>
        <w:t xml:space="preserve">There are no </w:t>
      </w:r>
      <w:r w:rsidRPr="005E4C4A">
        <w:rPr>
          <w:rFonts w:ascii="Times New Roman" w:hAnsi="Times New Roman"/>
          <w:sz w:val="24"/>
          <w:szCs w:val="24"/>
        </w:rPr>
        <w:t>plans for tabulation, statistical analysis and publication.</w:t>
      </w:r>
    </w:p>
    <w:p w:rsidR="00A35BD4" w:rsidRDefault="00A35BD4">
      <w:pPr>
        <w:rPr>
          <w:rFonts w:ascii="Times New Roman" w:hAnsi="Times New Roman"/>
          <w:sz w:val="24"/>
        </w:rPr>
      </w:pPr>
    </w:p>
    <w:p w:rsidR="00A35BD4" w:rsidRDefault="00A35BD4">
      <w:pPr>
        <w:rPr>
          <w:rFonts w:ascii="Times New Roman" w:hAnsi="Times New Roman"/>
          <w:sz w:val="24"/>
        </w:rPr>
      </w:pPr>
      <w:r>
        <w:rPr>
          <w:rFonts w:ascii="Times New Roman" w:hAnsi="Times New Roman"/>
          <w:sz w:val="24"/>
        </w:rPr>
        <w:t xml:space="preserve">17.  </w:t>
      </w:r>
      <w:r>
        <w:rPr>
          <w:rFonts w:ascii="Times New Roman" w:hAnsi="Times New Roman"/>
          <w:sz w:val="24"/>
          <w:u w:val="single"/>
        </w:rPr>
        <w:t>Request not to Display Expiration Date of OMB Control Number</w:t>
      </w:r>
      <w:r>
        <w:rPr>
          <w:rFonts w:ascii="Times New Roman" w:hAnsi="Times New Roman"/>
          <w:sz w:val="24"/>
        </w:rPr>
        <w:t>.</w:t>
      </w:r>
    </w:p>
    <w:p w:rsidR="00E272A8" w:rsidRDefault="00E272A8" w:rsidP="00E272A8">
      <w:pPr>
        <w:spacing w:before="283"/>
        <w:ind w:firstLine="720"/>
        <w:rPr>
          <w:rFonts w:ascii="Times New Roman" w:hAnsi="Times New Roman"/>
          <w:sz w:val="24"/>
          <w:szCs w:val="24"/>
        </w:rPr>
      </w:pPr>
      <w:r>
        <w:rPr>
          <w:rFonts w:ascii="Times New Roman" w:hAnsi="Times New Roman"/>
          <w:sz w:val="24"/>
          <w:szCs w:val="24"/>
        </w:rPr>
        <w:t xml:space="preserve">FinCEN requests that it not be required to display the expiration date so that the regulations will not have to be amended for the new expiration date every three years.  </w:t>
      </w:r>
    </w:p>
    <w:p w:rsidR="00A35BD4" w:rsidRDefault="00A35BD4">
      <w:pPr>
        <w:rPr>
          <w:rFonts w:ascii="Times New Roman" w:hAnsi="Times New Roman"/>
          <w:sz w:val="24"/>
        </w:rPr>
      </w:pPr>
    </w:p>
    <w:p w:rsidR="00D251F4" w:rsidRDefault="00A35BD4" w:rsidP="00D251F4">
      <w:pPr>
        <w:rPr>
          <w:rFonts w:ascii="Times New Roman" w:hAnsi="Times New Roman"/>
          <w:sz w:val="24"/>
        </w:rPr>
      </w:pPr>
      <w:r>
        <w:rPr>
          <w:rFonts w:ascii="Times New Roman" w:hAnsi="Times New Roman"/>
          <w:sz w:val="24"/>
        </w:rPr>
        <w:t xml:space="preserve">18.  </w:t>
      </w:r>
      <w:r>
        <w:rPr>
          <w:rFonts w:ascii="Times New Roman" w:hAnsi="Times New Roman"/>
          <w:sz w:val="24"/>
          <w:u w:val="single"/>
        </w:rPr>
        <w:t>Exceptions</w:t>
      </w:r>
      <w:r>
        <w:rPr>
          <w:rFonts w:ascii="Times New Roman" w:hAnsi="Times New Roman"/>
          <w:sz w:val="24"/>
        </w:rPr>
        <w:t>.</w:t>
      </w:r>
    </w:p>
    <w:p w:rsidR="00D251F4" w:rsidRDefault="00D251F4" w:rsidP="00D251F4">
      <w:pPr>
        <w:rPr>
          <w:rFonts w:ascii="Times New Roman" w:hAnsi="Times New Roman"/>
          <w:sz w:val="24"/>
        </w:rPr>
      </w:pPr>
    </w:p>
    <w:p w:rsidR="00D251F4" w:rsidRPr="00D251F4" w:rsidRDefault="00D251F4" w:rsidP="00D251F4">
      <w:pPr>
        <w:rPr>
          <w:rFonts w:ascii="Times New Roman" w:hAnsi="Times New Roman"/>
          <w:sz w:val="24"/>
        </w:rPr>
      </w:pPr>
      <w:r>
        <w:rPr>
          <w:rFonts w:ascii="Times New Roman" w:hAnsi="Times New Roman"/>
          <w:sz w:val="24"/>
        </w:rPr>
        <w:tab/>
      </w:r>
      <w:r w:rsidRPr="00537765">
        <w:rPr>
          <w:rFonts w:ascii="Times New Roman" w:hAnsi="Times New Roman"/>
          <w:sz w:val="24"/>
          <w:szCs w:val="24"/>
        </w:rPr>
        <w:t>There are no exceptions to the certification statement</w:t>
      </w:r>
      <w:r>
        <w:rPr>
          <w:rFonts w:ascii="Times New Roman" w:hAnsi="Times New Roman"/>
          <w:sz w:val="24"/>
          <w:szCs w:val="24"/>
        </w:rPr>
        <w:t>.</w:t>
      </w:r>
    </w:p>
    <w:p w:rsidR="00A35BD4" w:rsidRDefault="00A35BD4" w:rsidP="00D251F4">
      <w:pPr>
        <w:rPr>
          <w:rFonts w:ascii="Times New Roman" w:hAnsi="Times New Roman"/>
          <w:sz w:val="24"/>
        </w:rPr>
      </w:pPr>
    </w:p>
    <w:sectPr w:rsidR="00A35BD4" w:rsidSect="00126A73">
      <w:headerReference w:type="default" r:id="rId12"/>
      <w:footerReference w:type="even" r:id="rId13"/>
      <w:footerReference w:type="default" r:id="rId14"/>
      <w:endnotePr>
        <w:numFmt w:val="decimal"/>
      </w:endnotePr>
      <w:type w:val="continuous"/>
      <w:pgSz w:w="12240" w:h="15840"/>
      <w:pgMar w:top="1400" w:right="1170" w:bottom="1400" w:left="1440" w:header="1440" w:footer="14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504" w:rsidRDefault="001C2504">
      <w:r>
        <w:separator/>
      </w:r>
    </w:p>
  </w:endnote>
  <w:endnote w:type="continuationSeparator" w:id="0">
    <w:p w:rsidR="001C2504" w:rsidRDefault="001C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D4" w:rsidRDefault="00CB7648">
    <w:pPr>
      <w:pStyle w:val="Footer"/>
      <w:framePr w:wrap="around" w:vAnchor="text" w:hAnchor="margin" w:xAlign="center" w:y="1"/>
      <w:rPr>
        <w:rStyle w:val="PageNumber"/>
      </w:rPr>
    </w:pPr>
    <w:r>
      <w:rPr>
        <w:rStyle w:val="PageNumber"/>
      </w:rPr>
      <w:fldChar w:fldCharType="begin"/>
    </w:r>
    <w:r w:rsidR="00A35BD4">
      <w:rPr>
        <w:rStyle w:val="PageNumber"/>
      </w:rPr>
      <w:instrText xml:space="preserve">PAGE  </w:instrText>
    </w:r>
    <w:r>
      <w:rPr>
        <w:rStyle w:val="PageNumber"/>
      </w:rPr>
      <w:fldChar w:fldCharType="end"/>
    </w:r>
  </w:p>
  <w:p w:rsidR="00A35BD4" w:rsidRDefault="00A35B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D4" w:rsidRPr="00DE6631" w:rsidRDefault="00CB7648">
    <w:pPr>
      <w:pStyle w:val="Footer"/>
      <w:framePr w:wrap="around" w:vAnchor="text" w:hAnchor="margin" w:xAlign="center" w:y="1"/>
      <w:rPr>
        <w:rStyle w:val="PageNumber"/>
        <w:rFonts w:ascii="Times New Roman" w:hAnsi="Times New Roman"/>
      </w:rPr>
    </w:pPr>
    <w:r w:rsidRPr="00DE6631">
      <w:rPr>
        <w:rStyle w:val="PageNumber"/>
        <w:rFonts w:ascii="Times New Roman" w:hAnsi="Times New Roman"/>
      </w:rPr>
      <w:fldChar w:fldCharType="begin"/>
    </w:r>
    <w:r w:rsidR="00A35BD4" w:rsidRPr="00DE6631">
      <w:rPr>
        <w:rStyle w:val="PageNumber"/>
        <w:rFonts w:ascii="Times New Roman" w:hAnsi="Times New Roman"/>
      </w:rPr>
      <w:instrText xml:space="preserve">PAGE  </w:instrText>
    </w:r>
    <w:r w:rsidRPr="00DE6631">
      <w:rPr>
        <w:rStyle w:val="PageNumber"/>
        <w:rFonts w:ascii="Times New Roman" w:hAnsi="Times New Roman"/>
      </w:rPr>
      <w:fldChar w:fldCharType="separate"/>
    </w:r>
    <w:r w:rsidR="0057419E">
      <w:rPr>
        <w:rStyle w:val="PageNumber"/>
        <w:rFonts w:ascii="Times New Roman" w:hAnsi="Times New Roman"/>
        <w:noProof/>
      </w:rPr>
      <w:t>2</w:t>
    </w:r>
    <w:r w:rsidRPr="00DE6631">
      <w:rPr>
        <w:rStyle w:val="PageNumber"/>
        <w:rFonts w:ascii="Times New Roman" w:hAnsi="Times New Roman"/>
      </w:rPr>
      <w:fldChar w:fldCharType="end"/>
    </w:r>
  </w:p>
  <w:p w:rsidR="00A35BD4" w:rsidRDefault="00A35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504" w:rsidRDefault="001C2504">
      <w:r>
        <w:separator/>
      </w:r>
    </w:p>
  </w:footnote>
  <w:footnote w:type="continuationSeparator" w:id="0">
    <w:p w:rsidR="001C2504" w:rsidRDefault="001C2504">
      <w:r>
        <w:continuationSeparator/>
      </w:r>
    </w:p>
  </w:footnote>
  <w:footnote w:id="1">
    <w:p w:rsidR="00561113" w:rsidRPr="00DA346C" w:rsidRDefault="00561113" w:rsidP="00B42524">
      <w:pPr>
        <w:pStyle w:val="PlainText"/>
        <w:rPr>
          <w:rFonts w:ascii="Times New Roman" w:hAnsi="Times New Roman" w:cs="Times New Roman"/>
        </w:rPr>
      </w:pPr>
      <w:r w:rsidRPr="00DA346C">
        <w:rPr>
          <w:rStyle w:val="FootnoteReference"/>
          <w:rFonts w:ascii="Times New Roman" w:hAnsi="Times New Roman" w:cs="Times New Roman"/>
        </w:rPr>
        <w:footnoteRef/>
      </w:r>
      <w:r w:rsidRPr="00DA346C">
        <w:rPr>
          <w:rFonts w:ascii="Times New Roman" w:hAnsi="Times New Roman" w:cs="Times New Roman"/>
        </w:rPr>
        <w:t xml:space="preserve"> </w:t>
      </w:r>
      <w:r w:rsidRPr="00DA346C">
        <w:rPr>
          <w:rFonts w:ascii="Times New Roman" w:eastAsia="MS Mincho" w:hAnsi="Times New Roman" w:cs="Times New Roman"/>
        </w:rPr>
        <w:t>Language expanding the scope of the Bank Secrecy Act to intelligence or counter-intelligence activities to protect against international terrorism was added by Section 358 of the Uniting and Strengthening America by Providing Appropriate Tools Required to Intercept and Obstruct Terrorism (USA PATRIOT) Act of 2001, P.L. 107-56.</w:t>
      </w:r>
    </w:p>
  </w:footnote>
  <w:footnote w:id="2">
    <w:p w:rsidR="00844691" w:rsidRPr="00DE6631" w:rsidRDefault="00844691" w:rsidP="00844691">
      <w:pPr>
        <w:pStyle w:val="FootnoteText"/>
        <w:rPr>
          <w:rFonts w:ascii="Times New Roman" w:eastAsia="MS Mincho" w:hAnsi="Times New Roman"/>
        </w:rPr>
      </w:pPr>
      <w:r w:rsidRPr="00DE6631">
        <w:rPr>
          <w:rStyle w:val="FootnoteReference"/>
          <w:rFonts w:ascii="Times New Roman" w:hAnsi="Times New Roman"/>
        </w:rPr>
        <w:footnoteRef/>
      </w:r>
      <w:r w:rsidRPr="00DE6631">
        <w:rPr>
          <w:rFonts w:ascii="Times New Roman" w:hAnsi="Times New Roman"/>
        </w:rPr>
        <w:t xml:space="preserve"> </w:t>
      </w:r>
      <w:r w:rsidRPr="00DE6631">
        <w:rPr>
          <w:rFonts w:ascii="Times New Roman" w:eastAsia="MS Mincho" w:hAnsi="Times New Roman"/>
        </w:rPr>
        <w:t>The above Average Hourly Wage Rate is calculated from the May 2016 Bureau of Labor Statistics average wage for “13-1041 Compliance Officers” of $33.77.  </w:t>
      </w:r>
    </w:p>
  </w:footnote>
  <w:footnote w:id="3">
    <w:p w:rsidR="00844691" w:rsidRPr="00DE6631" w:rsidRDefault="00844691" w:rsidP="00844691">
      <w:pPr>
        <w:pStyle w:val="FootnoteText"/>
        <w:rPr>
          <w:rFonts w:ascii="Times New Roman" w:eastAsia="MS Mincho" w:hAnsi="Times New Roman"/>
        </w:rPr>
      </w:pPr>
      <w:r w:rsidRPr="00DE6631">
        <w:rPr>
          <w:rStyle w:val="FootnoteReference"/>
          <w:rFonts w:ascii="Times New Roman" w:hAnsi="Times New Roman"/>
        </w:rPr>
        <w:footnoteRef/>
      </w:r>
      <w:r w:rsidRPr="00DE6631">
        <w:rPr>
          <w:rFonts w:ascii="Times New Roman" w:hAnsi="Times New Roman"/>
        </w:rPr>
        <w:t xml:space="preserve"> </w:t>
      </w:r>
      <w:r w:rsidRPr="00DE6631">
        <w:rPr>
          <w:rFonts w:ascii="Times New Roman" w:eastAsia="MS Mincho" w:hAnsi="Times New Roman"/>
        </w:rPr>
        <w:t>Cost per response received as listed in the BSA E-Filing Federal contract for 201</w:t>
      </w:r>
      <w:r w:rsidR="00E272A8" w:rsidRPr="00DE6631">
        <w:rPr>
          <w:rFonts w:ascii="Times New Roman" w:eastAsia="MS Mincho" w:hAnsi="Times New Roman"/>
        </w:rPr>
        <w:t>8</w:t>
      </w:r>
      <w:r w:rsidRPr="00DE6631">
        <w:rPr>
          <w:rFonts w:ascii="Times New Roman" w:eastAsia="MS Mincho"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D4" w:rsidRDefault="00A35BD4">
    <w:pPr>
      <w:jc w:val="center"/>
      <w:rPr>
        <w:szCs w:val="24"/>
      </w:rPr>
    </w:pPr>
  </w:p>
  <w:p w:rsidR="00A35BD4" w:rsidRDefault="00A35BD4">
    <w:pPr>
      <w:jc w:val="cent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6420"/>
    <w:multiLevelType w:val="hybridMultilevel"/>
    <w:tmpl w:val="B9B87B6E"/>
    <w:lvl w:ilvl="0" w:tplc="E26CF6B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8165C9"/>
    <w:multiLevelType w:val="hybridMultilevel"/>
    <w:tmpl w:val="B62C2DF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AD2CAE"/>
    <w:multiLevelType w:val="hybridMultilevel"/>
    <w:tmpl w:val="3A868772"/>
    <w:lvl w:ilvl="0" w:tplc="3072FBF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43B32B3"/>
    <w:multiLevelType w:val="hybridMultilevel"/>
    <w:tmpl w:val="5438646C"/>
    <w:lvl w:ilvl="0" w:tplc="2EE68B08">
      <w:start w:val="15"/>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21"/>
    <w:rsid w:val="0000281A"/>
    <w:rsid w:val="0000346E"/>
    <w:rsid w:val="00011A60"/>
    <w:rsid w:val="000428D8"/>
    <w:rsid w:val="000B329B"/>
    <w:rsid w:val="000F0667"/>
    <w:rsid w:val="000F3A67"/>
    <w:rsid w:val="00107E02"/>
    <w:rsid w:val="00126A73"/>
    <w:rsid w:val="00137F6B"/>
    <w:rsid w:val="00143F87"/>
    <w:rsid w:val="001468BF"/>
    <w:rsid w:val="001C2504"/>
    <w:rsid w:val="001C7BDC"/>
    <w:rsid w:val="001D524B"/>
    <w:rsid w:val="00211FCD"/>
    <w:rsid w:val="00230748"/>
    <w:rsid w:val="0025210A"/>
    <w:rsid w:val="002A6458"/>
    <w:rsid w:val="002C353E"/>
    <w:rsid w:val="002D768D"/>
    <w:rsid w:val="002E19AB"/>
    <w:rsid w:val="00307610"/>
    <w:rsid w:val="0031731E"/>
    <w:rsid w:val="0032380B"/>
    <w:rsid w:val="00344BF4"/>
    <w:rsid w:val="00350B01"/>
    <w:rsid w:val="00385952"/>
    <w:rsid w:val="00392F42"/>
    <w:rsid w:val="00393872"/>
    <w:rsid w:val="003A5618"/>
    <w:rsid w:val="003B7391"/>
    <w:rsid w:val="003C0B77"/>
    <w:rsid w:val="003C2A85"/>
    <w:rsid w:val="003D6E8D"/>
    <w:rsid w:val="003F6EEB"/>
    <w:rsid w:val="00416771"/>
    <w:rsid w:val="00423A24"/>
    <w:rsid w:val="00461043"/>
    <w:rsid w:val="00496406"/>
    <w:rsid w:val="004D01C4"/>
    <w:rsid w:val="004D5A51"/>
    <w:rsid w:val="004F2F4F"/>
    <w:rsid w:val="004F47EF"/>
    <w:rsid w:val="005045F5"/>
    <w:rsid w:val="0051019B"/>
    <w:rsid w:val="00535F88"/>
    <w:rsid w:val="00543E85"/>
    <w:rsid w:val="005447F2"/>
    <w:rsid w:val="00561113"/>
    <w:rsid w:val="00570DAF"/>
    <w:rsid w:val="0057419E"/>
    <w:rsid w:val="0057502B"/>
    <w:rsid w:val="0058447B"/>
    <w:rsid w:val="005F2218"/>
    <w:rsid w:val="00620C71"/>
    <w:rsid w:val="006546B1"/>
    <w:rsid w:val="0066170C"/>
    <w:rsid w:val="00666B28"/>
    <w:rsid w:val="00680F31"/>
    <w:rsid w:val="006A273B"/>
    <w:rsid w:val="006A3DFA"/>
    <w:rsid w:val="006C2259"/>
    <w:rsid w:val="006C5D79"/>
    <w:rsid w:val="00725154"/>
    <w:rsid w:val="00727E1C"/>
    <w:rsid w:val="00730FEB"/>
    <w:rsid w:val="00733C27"/>
    <w:rsid w:val="00763783"/>
    <w:rsid w:val="007659E4"/>
    <w:rsid w:val="007772DD"/>
    <w:rsid w:val="00781105"/>
    <w:rsid w:val="00793046"/>
    <w:rsid w:val="007A6C39"/>
    <w:rsid w:val="007D18AB"/>
    <w:rsid w:val="007E6C07"/>
    <w:rsid w:val="007F195B"/>
    <w:rsid w:val="00826085"/>
    <w:rsid w:val="00836D55"/>
    <w:rsid w:val="00844691"/>
    <w:rsid w:val="00845EA2"/>
    <w:rsid w:val="00847FFB"/>
    <w:rsid w:val="00880CC7"/>
    <w:rsid w:val="008A2A0E"/>
    <w:rsid w:val="008D37AA"/>
    <w:rsid w:val="008D7644"/>
    <w:rsid w:val="00925F35"/>
    <w:rsid w:val="00933577"/>
    <w:rsid w:val="00953B05"/>
    <w:rsid w:val="009947F7"/>
    <w:rsid w:val="009A2ED9"/>
    <w:rsid w:val="009B4E6E"/>
    <w:rsid w:val="009E189B"/>
    <w:rsid w:val="009F2955"/>
    <w:rsid w:val="00A016BA"/>
    <w:rsid w:val="00A252CA"/>
    <w:rsid w:val="00A35BD4"/>
    <w:rsid w:val="00A449EE"/>
    <w:rsid w:val="00A7543B"/>
    <w:rsid w:val="00A75BE0"/>
    <w:rsid w:val="00A82FB2"/>
    <w:rsid w:val="00A97115"/>
    <w:rsid w:val="00AC065D"/>
    <w:rsid w:val="00AC578F"/>
    <w:rsid w:val="00AD14C2"/>
    <w:rsid w:val="00AE1641"/>
    <w:rsid w:val="00B0183B"/>
    <w:rsid w:val="00B42524"/>
    <w:rsid w:val="00B46304"/>
    <w:rsid w:val="00B50D8F"/>
    <w:rsid w:val="00B8610A"/>
    <w:rsid w:val="00B876DD"/>
    <w:rsid w:val="00BA14FB"/>
    <w:rsid w:val="00BD64DD"/>
    <w:rsid w:val="00BF3FF7"/>
    <w:rsid w:val="00C16639"/>
    <w:rsid w:val="00C34496"/>
    <w:rsid w:val="00C545FB"/>
    <w:rsid w:val="00C63829"/>
    <w:rsid w:val="00CB7648"/>
    <w:rsid w:val="00CB7C6B"/>
    <w:rsid w:val="00CC639C"/>
    <w:rsid w:val="00CD59A3"/>
    <w:rsid w:val="00CE3220"/>
    <w:rsid w:val="00D227EB"/>
    <w:rsid w:val="00D251F4"/>
    <w:rsid w:val="00D27730"/>
    <w:rsid w:val="00D44405"/>
    <w:rsid w:val="00DA346C"/>
    <w:rsid w:val="00DB48A4"/>
    <w:rsid w:val="00DD707A"/>
    <w:rsid w:val="00DE1E13"/>
    <w:rsid w:val="00DE6631"/>
    <w:rsid w:val="00E015ED"/>
    <w:rsid w:val="00E25541"/>
    <w:rsid w:val="00E25D5C"/>
    <w:rsid w:val="00E272A8"/>
    <w:rsid w:val="00E7327C"/>
    <w:rsid w:val="00E7377B"/>
    <w:rsid w:val="00E74962"/>
    <w:rsid w:val="00E754EB"/>
    <w:rsid w:val="00E813C3"/>
    <w:rsid w:val="00EB5FFE"/>
    <w:rsid w:val="00EE234A"/>
    <w:rsid w:val="00EE6600"/>
    <w:rsid w:val="00EF2447"/>
    <w:rsid w:val="00EF2E21"/>
    <w:rsid w:val="00F0693E"/>
    <w:rsid w:val="00F22B69"/>
    <w:rsid w:val="00F319BE"/>
    <w:rsid w:val="00F31DFF"/>
    <w:rsid w:val="00F362EB"/>
    <w:rsid w:val="00F5583A"/>
    <w:rsid w:val="00F66DC1"/>
    <w:rsid w:val="00F76755"/>
    <w:rsid w:val="00FD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A73"/>
    <w:pPr>
      <w:widowControl w:val="0"/>
      <w:autoSpaceDE w:val="0"/>
      <w:autoSpaceDN w:val="0"/>
      <w:adjustRightInd w:val="0"/>
    </w:pPr>
    <w:rPr>
      <w:rFonts w:ascii="Courier 10cpi" w:hAnsi="Courier 10cpi"/>
    </w:rPr>
  </w:style>
  <w:style w:type="paragraph" w:styleId="Heading1">
    <w:name w:val="heading 1"/>
    <w:basedOn w:val="Normal"/>
    <w:next w:val="Normal"/>
    <w:qFormat/>
    <w:rsid w:val="00126A73"/>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126A73"/>
    <w:rPr>
      <w:vertAlign w:val="superscript"/>
    </w:rPr>
  </w:style>
  <w:style w:type="character" w:styleId="FootnoteReference">
    <w:name w:val="footnote reference"/>
    <w:semiHidden/>
    <w:rsid w:val="00126A73"/>
    <w:rPr>
      <w:vertAlign w:val="superscript"/>
    </w:rPr>
  </w:style>
  <w:style w:type="paragraph" w:styleId="BodyText">
    <w:name w:val="Body Text"/>
    <w:basedOn w:val="Normal"/>
    <w:rsid w:val="00126A73"/>
    <w:pPr>
      <w:jc w:val="center"/>
    </w:pPr>
    <w:rPr>
      <w:rFonts w:ascii="Times New Roman" w:hAnsi="Times New Roman"/>
      <w:szCs w:val="24"/>
    </w:rPr>
  </w:style>
  <w:style w:type="paragraph" w:styleId="HTMLPreformatted">
    <w:name w:val="HTML Preformatted"/>
    <w:basedOn w:val="Normal"/>
    <w:rsid w:val="00126A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rPr>
  </w:style>
  <w:style w:type="paragraph" w:styleId="FootnoteText">
    <w:name w:val="footnote text"/>
    <w:basedOn w:val="Normal"/>
    <w:link w:val="FootnoteTextChar"/>
    <w:semiHidden/>
    <w:rsid w:val="00126A73"/>
  </w:style>
  <w:style w:type="character" w:styleId="Strong">
    <w:name w:val="Strong"/>
    <w:qFormat/>
    <w:rsid w:val="00126A73"/>
    <w:rPr>
      <w:b/>
      <w:bCs/>
    </w:rPr>
  </w:style>
  <w:style w:type="paragraph" w:styleId="Title">
    <w:name w:val="Title"/>
    <w:basedOn w:val="Normal"/>
    <w:qFormat/>
    <w:rsid w:val="00126A73"/>
    <w:pPr>
      <w:widowControl/>
      <w:autoSpaceDE/>
      <w:autoSpaceDN/>
      <w:adjustRightInd/>
      <w:jc w:val="center"/>
    </w:pPr>
    <w:rPr>
      <w:rFonts w:ascii="Times New Roman" w:hAnsi="Times New Roman"/>
      <w:b/>
      <w:bCs/>
      <w:sz w:val="32"/>
      <w:szCs w:val="24"/>
    </w:rPr>
  </w:style>
  <w:style w:type="paragraph" w:styleId="BodyText2">
    <w:name w:val="Body Text 2"/>
    <w:basedOn w:val="Normal"/>
    <w:rsid w:val="00126A73"/>
    <w:rPr>
      <w:rFonts w:ascii="Times New Roman" w:hAnsi="Times New Roman"/>
      <w:sz w:val="24"/>
    </w:rPr>
  </w:style>
  <w:style w:type="paragraph" w:styleId="Header">
    <w:name w:val="header"/>
    <w:basedOn w:val="Normal"/>
    <w:rsid w:val="00126A73"/>
    <w:pPr>
      <w:tabs>
        <w:tab w:val="center" w:pos="4320"/>
        <w:tab w:val="right" w:pos="8640"/>
      </w:tabs>
    </w:pPr>
  </w:style>
  <w:style w:type="paragraph" w:styleId="Footer">
    <w:name w:val="footer"/>
    <w:basedOn w:val="Normal"/>
    <w:rsid w:val="00126A73"/>
    <w:pPr>
      <w:tabs>
        <w:tab w:val="center" w:pos="4320"/>
        <w:tab w:val="right" w:pos="8640"/>
      </w:tabs>
    </w:pPr>
  </w:style>
  <w:style w:type="character" w:styleId="PageNumber">
    <w:name w:val="page number"/>
    <w:basedOn w:val="DefaultParagraphFont"/>
    <w:rsid w:val="00126A73"/>
  </w:style>
  <w:style w:type="paragraph" w:customStyle="1" w:styleId="ArticleLevel1">
    <w:name w:val="Article Level (1)"/>
    <w:basedOn w:val="Normal"/>
    <w:rsid w:val="00126A73"/>
    <w:pPr>
      <w:widowControl/>
      <w:autoSpaceDE/>
      <w:autoSpaceDN/>
      <w:adjustRightInd/>
      <w:spacing w:line="480" w:lineRule="auto"/>
    </w:pPr>
    <w:rPr>
      <w:rFonts w:ascii="Times New Roman" w:hAnsi="Times New Roman"/>
      <w:sz w:val="24"/>
    </w:rPr>
  </w:style>
  <w:style w:type="character" w:styleId="Emphasis">
    <w:name w:val="Emphasis"/>
    <w:qFormat/>
    <w:rsid w:val="00D227EB"/>
    <w:rPr>
      <w:i/>
      <w:iCs/>
    </w:rPr>
  </w:style>
  <w:style w:type="character" w:customStyle="1" w:styleId="FootnoteTextChar">
    <w:name w:val="Footnote Text Char"/>
    <w:link w:val="FootnoteText"/>
    <w:semiHidden/>
    <w:rsid w:val="00D227EB"/>
    <w:rPr>
      <w:rFonts w:ascii="Courier 10cpi" w:hAnsi="Courier 10cpi"/>
    </w:rPr>
  </w:style>
  <w:style w:type="character" w:styleId="Hyperlink">
    <w:name w:val="Hyperlink"/>
    <w:rsid w:val="0058447B"/>
    <w:rPr>
      <w:color w:val="0000FF"/>
      <w:u w:val="single"/>
    </w:rPr>
  </w:style>
  <w:style w:type="character" w:styleId="CommentReference">
    <w:name w:val="annotation reference"/>
    <w:rsid w:val="00847FFB"/>
    <w:rPr>
      <w:sz w:val="16"/>
      <w:szCs w:val="16"/>
    </w:rPr>
  </w:style>
  <w:style w:type="paragraph" w:styleId="CommentText">
    <w:name w:val="annotation text"/>
    <w:basedOn w:val="Normal"/>
    <w:link w:val="CommentTextChar"/>
    <w:rsid w:val="00847FFB"/>
  </w:style>
  <w:style w:type="character" w:customStyle="1" w:styleId="CommentTextChar">
    <w:name w:val="Comment Text Char"/>
    <w:link w:val="CommentText"/>
    <w:rsid w:val="00847FFB"/>
    <w:rPr>
      <w:rFonts w:ascii="Courier 10cpi" w:hAnsi="Courier 10cpi"/>
    </w:rPr>
  </w:style>
  <w:style w:type="paragraph" w:styleId="CommentSubject">
    <w:name w:val="annotation subject"/>
    <w:basedOn w:val="CommentText"/>
    <w:next w:val="CommentText"/>
    <w:link w:val="CommentSubjectChar"/>
    <w:rsid w:val="00847FFB"/>
    <w:rPr>
      <w:b/>
      <w:bCs/>
    </w:rPr>
  </w:style>
  <w:style w:type="character" w:customStyle="1" w:styleId="CommentSubjectChar">
    <w:name w:val="Comment Subject Char"/>
    <w:link w:val="CommentSubject"/>
    <w:rsid w:val="00847FFB"/>
    <w:rPr>
      <w:rFonts w:ascii="Courier 10cpi" w:hAnsi="Courier 10cpi"/>
      <w:b/>
      <w:bCs/>
    </w:rPr>
  </w:style>
  <w:style w:type="paragraph" w:styleId="BalloonText">
    <w:name w:val="Balloon Text"/>
    <w:basedOn w:val="Normal"/>
    <w:link w:val="BalloonTextChar"/>
    <w:rsid w:val="00847FFB"/>
    <w:rPr>
      <w:rFonts w:ascii="Tahoma" w:hAnsi="Tahoma" w:cs="Tahoma"/>
      <w:sz w:val="16"/>
      <w:szCs w:val="16"/>
    </w:rPr>
  </w:style>
  <w:style w:type="character" w:customStyle="1" w:styleId="BalloonTextChar">
    <w:name w:val="Balloon Text Char"/>
    <w:link w:val="BalloonText"/>
    <w:rsid w:val="00847FFB"/>
    <w:rPr>
      <w:rFonts w:ascii="Tahoma" w:hAnsi="Tahoma" w:cs="Tahoma"/>
      <w:sz w:val="16"/>
      <w:szCs w:val="16"/>
    </w:rPr>
  </w:style>
  <w:style w:type="paragraph" w:styleId="Revision">
    <w:name w:val="Revision"/>
    <w:hidden/>
    <w:uiPriority w:val="99"/>
    <w:semiHidden/>
    <w:rsid w:val="00836D55"/>
    <w:rPr>
      <w:rFonts w:ascii="Courier 10cpi" w:hAnsi="Courier 10cpi"/>
    </w:rPr>
  </w:style>
  <w:style w:type="paragraph" w:styleId="PlainText">
    <w:name w:val="Plain Text"/>
    <w:basedOn w:val="Normal"/>
    <w:link w:val="PlainTextChar"/>
    <w:rsid w:val="00561113"/>
    <w:pPr>
      <w:widowControl/>
      <w:autoSpaceDE/>
      <w:autoSpaceDN/>
      <w:adjustRightInd/>
    </w:pPr>
    <w:rPr>
      <w:rFonts w:ascii="Courier New" w:hAnsi="Courier New" w:cs="Courier New"/>
    </w:rPr>
  </w:style>
  <w:style w:type="character" w:customStyle="1" w:styleId="PlainTextChar">
    <w:name w:val="Plain Text Char"/>
    <w:link w:val="PlainText"/>
    <w:rsid w:val="00561113"/>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A73"/>
    <w:pPr>
      <w:widowControl w:val="0"/>
      <w:autoSpaceDE w:val="0"/>
      <w:autoSpaceDN w:val="0"/>
      <w:adjustRightInd w:val="0"/>
    </w:pPr>
    <w:rPr>
      <w:rFonts w:ascii="Courier 10cpi" w:hAnsi="Courier 10cpi"/>
    </w:rPr>
  </w:style>
  <w:style w:type="paragraph" w:styleId="Heading1">
    <w:name w:val="heading 1"/>
    <w:basedOn w:val="Normal"/>
    <w:next w:val="Normal"/>
    <w:qFormat/>
    <w:rsid w:val="00126A73"/>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126A73"/>
    <w:rPr>
      <w:vertAlign w:val="superscript"/>
    </w:rPr>
  </w:style>
  <w:style w:type="character" w:styleId="FootnoteReference">
    <w:name w:val="footnote reference"/>
    <w:semiHidden/>
    <w:rsid w:val="00126A73"/>
    <w:rPr>
      <w:vertAlign w:val="superscript"/>
    </w:rPr>
  </w:style>
  <w:style w:type="paragraph" w:styleId="BodyText">
    <w:name w:val="Body Text"/>
    <w:basedOn w:val="Normal"/>
    <w:rsid w:val="00126A73"/>
    <w:pPr>
      <w:jc w:val="center"/>
    </w:pPr>
    <w:rPr>
      <w:rFonts w:ascii="Times New Roman" w:hAnsi="Times New Roman"/>
      <w:szCs w:val="24"/>
    </w:rPr>
  </w:style>
  <w:style w:type="paragraph" w:styleId="HTMLPreformatted">
    <w:name w:val="HTML Preformatted"/>
    <w:basedOn w:val="Normal"/>
    <w:rsid w:val="00126A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rPr>
  </w:style>
  <w:style w:type="paragraph" w:styleId="FootnoteText">
    <w:name w:val="footnote text"/>
    <w:basedOn w:val="Normal"/>
    <w:link w:val="FootnoteTextChar"/>
    <w:semiHidden/>
    <w:rsid w:val="00126A73"/>
  </w:style>
  <w:style w:type="character" w:styleId="Strong">
    <w:name w:val="Strong"/>
    <w:qFormat/>
    <w:rsid w:val="00126A73"/>
    <w:rPr>
      <w:b/>
      <w:bCs/>
    </w:rPr>
  </w:style>
  <w:style w:type="paragraph" w:styleId="Title">
    <w:name w:val="Title"/>
    <w:basedOn w:val="Normal"/>
    <w:qFormat/>
    <w:rsid w:val="00126A73"/>
    <w:pPr>
      <w:widowControl/>
      <w:autoSpaceDE/>
      <w:autoSpaceDN/>
      <w:adjustRightInd/>
      <w:jc w:val="center"/>
    </w:pPr>
    <w:rPr>
      <w:rFonts w:ascii="Times New Roman" w:hAnsi="Times New Roman"/>
      <w:b/>
      <w:bCs/>
      <w:sz w:val="32"/>
      <w:szCs w:val="24"/>
    </w:rPr>
  </w:style>
  <w:style w:type="paragraph" w:styleId="BodyText2">
    <w:name w:val="Body Text 2"/>
    <w:basedOn w:val="Normal"/>
    <w:rsid w:val="00126A73"/>
    <w:rPr>
      <w:rFonts w:ascii="Times New Roman" w:hAnsi="Times New Roman"/>
      <w:sz w:val="24"/>
    </w:rPr>
  </w:style>
  <w:style w:type="paragraph" w:styleId="Header">
    <w:name w:val="header"/>
    <w:basedOn w:val="Normal"/>
    <w:rsid w:val="00126A73"/>
    <w:pPr>
      <w:tabs>
        <w:tab w:val="center" w:pos="4320"/>
        <w:tab w:val="right" w:pos="8640"/>
      </w:tabs>
    </w:pPr>
  </w:style>
  <w:style w:type="paragraph" w:styleId="Footer">
    <w:name w:val="footer"/>
    <w:basedOn w:val="Normal"/>
    <w:rsid w:val="00126A73"/>
    <w:pPr>
      <w:tabs>
        <w:tab w:val="center" w:pos="4320"/>
        <w:tab w:val="right" w:pos="8640"/>
      </w:tabs>
    </w:pPr>
  </w:style>
  <w:style w:type="character" w:styleId="PageNumber">
    <w:name w:val="page number"/>
    <w:basedOn w:val="DefaultParagraphFont"/>
    <w:rsid w:val="00126A73"/>
  </w:style>
  <w:style w:type="paragraph" w:customStyle="1" w:styleId="ArticleLevel1">
    <w:name w:val="Article Level (1)"/>
    <w:basedOn w:val="Normal"/>
    <w:rsid w:val="00126A73"/>
    <w:pPr>
      <w:widowControl/>
      <w:autoSpaceDE/>
      <w:autoSpaceDN/>
      <w:adjustRightInd/>
      <w:spacing w:line="480" w:lineRule="auto"/>
    </w:pPr>
    <w:rPr>
      <w:rFonts w:ascii="Times New Roman" w:hAnsi="Times New Roman"/>
      <w:sz w:val="24"/>
    </w:rPr>
  </w:style>
  <w:style w:type="character" w:styleId="Emphasis">
    <w:name w:val="Emphasis"/>
    <w:qFormat/>
    <w:rsid w:val="00D227EB"/>
    <w:rPr>
      <w:i/>
      <w:iCs/>
    </w:rPr>
  </w:style>
  <w:style w:type="character" w:customStyle="1" w:styleId="FootnoteTextChar">
    <w:name w:val="Footnote Text Char"/>
    <w:link w:val="FootnoteText"/>
    <w:semiHidden/>
    <w:rsid w:val="00D227EB"/>
    <w:rPr>
      <w:rFonts w:ascii="Courier 10cpi" w:hAnsi="Courier 10cpi"/>
    </w:rPr>
  </w:style>
  <w:style w:type="character" w:styleId="Hyperlink">
    <w:name w:val="Hyperlink"/>
    <w:rsid w:val="0058447B"/>
    <w:rPr>
      <w:color w:val="0000FF"/>
      <w:u w:val="single"/>
    </w:rPr>
  </w:style>
  <w:style w:type="character" w:styleId="CommentReference">
    <w:name w:val="annotation reference"/>
    <w:rsid w:val="00847FFB"/>
    <w:rPr>
      <w:sz w:val="16"/>
      <w:szCs w:val="16"/>
    </w:rPr>
  </w:style>
  <w:style w:type="paragraph" w:styleId="CommentText">
    <w:name w:val="annotation text"/>
    <w:basedOn w:val="Normal"/>
    <w:link w:val="CommentTextChar"/>
    <w:rsid w:val="00847FFB"/>
  </w:style>
  <w:style w:type="character" w:customStyle="1" w:styleId="CommentTextChar">
    <w:name w:val="Comment Text Char"/>
    <w:link w:val="CommentText"/>
    <w:rsid w:val="00847FFB"/>
    <w:rPr>
      <w:rFonts w:ascii="Courier 10cpi" w:hAnsi="Courier 10cpi"/>
    </w:rPr>
  </w:style>
  <w:style w:type="paragraph" w:styleId="CommentSubject">
    <w:name w:val="annotation subject"/>
    <w:basedOn w:val="CommentText"/>
    <w:next w:val="CommentText"/>
    <w:link w:val="CommentSubjectChar"/>
    <w:rsid w:val="00847FFB"/>
    <w:rPr>
      <w:b/>
      <w:bCs/>
    </w:rPr>
  </w:style>
  <w:style w:type="character" w:customStyle="1" w:styleId="CommentSubjectChar">
    <w:name w:val="Comment Subject Char"/>
    <w:link w:val="CommentSubject"/>
    <w:rsid w:val="00847FFB"/>
    <w:rPr>
      <w:rFonts w:ascii="Courier 10cpi" w:hAnsi="Courier 10cpi"/>
      <w:b/>
      <w:bCs/>
    </w:rPr>
  </w:style>
  <w:style w:type="paragraph" w:styleId="BalloonText">
    <w:name w:val="Balloon Text"/>
    <w:basedOn w:val="Normal"/>
    <w:link w:val="BalloonTextChar"/>
    <w:rsid w:val="00847FFB"/>
    <w:rPr>
      <w:rFonts w:ascii="Tahoma" w:hAnsi="Tahoma" w:cs="Tahoma"/>
      <w:sz w:val="16"/>
      <w:szCs w:val="16"/>
    </w:rPr>
  </w:style>
  <w:style w:type="character" w:customStyle="1" w:styleId="BalloonTextChar">
    <w:name w:val="Balloon Text Char"/>
    <w:link w:val="BalloonText"/>
    <w:rsid w:val="00847FFB"/>
    <w:rPr>
      <w:rFonts w:ascii="Tahoma" w:hAnsi="Tahoma" w:cs="Tahoma"/>
      <w:sz w:val="16"/>
      <w:szCs w:val="16"/>
    </w:rPr>
  </w:style>
  <w:style w:type="paragraph" w:styleId="Revision">
    <w:name w:val="Revision"/>
    <w:hidden/>
    <w:uiPriority w:val="99"/>
    <w:semiHidden/>
    <w:rsid w:val="00836D55"/>
    <w:rPr>
      <w:rFonts w:ascii="Courier 10cpi" w:hAnsi="Courier 10cpi"/>
    </w:rPr>
  </w:style>
  <w:style w:type="paragraph" w:styleId="PlainText">
    <w:name w:val="Plain Text"/>
    <w:basedOn w:val="Normal"/>
    <w:link w:val="PlainTextChar"/>
    <w:rsid w:val="00561113"/>
    <w:pPr>
      <w:widowControl/>
      <w:autoSpaceDE/>
      <w:autoSpaceDN/>
      <w:adjustRightInd/>
    </w:pPr>
    <w:rPr>
      <w:rFonts w:ascii="Courier New" w:hAnsi="Courier New" w:cs="Courier New"/>
    </w:rPr>
  </w:style>
  <w:style w:type="character" w:customStyle="1" w:styleId="PlainTextChar">
    <w:name w:val="Plain Text Char"/>
    <w:link w:val="PlainText"/>
    <w:rsid w:val="0056111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4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ncen.gov/foia/files/FinCEN_79_FR_20969.pdf"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bsaefiling.fincen.treas.gov/main.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D4ECC-353F-41CD-B527-63D80210F58F}">
  <ds:schemaRefs>
    <ds:schemaRef ds:uri="http://schemas.openxmlformats.org/officeDocument/2006/bibliography"/>
  </ds:schemaRefs>
</ds:datastoreItem>
</file>

<file path=customXml/itemProps2.xml><?xml version="1.0" encoding="utf-8"?>
<ds:datastoreItem xmlns:ds="http://schemas.openxmlformats.org/officeDocument/2006/customXml" ds:itemID="{1F281D2B-731A-40B3-93E9-B164F546E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Information Technology</Company>
  <LinksUpToDate>false</LinksUpToDate>
  <CharactersWithSpaces>7150</CharactersWithSpaces>
  <SharedDoc>false</SharedDoc>
  <HLinks>
    <vt:vector size="12" baseType="variant">
      <vt:variant>
        <vt:i4>2162714</vt:i4>
      </vt:variant>
      <vt:variant>
        <vt:i4>3</vt:i4>
      </vt:variant>
      <vt:variant>
        <vt:i4>0</vt:i4>
      </vt:variant>
      <vt:variant>
        <vt:i4>5</vt:i4>
      </vt:variant>
      <vt:variant>
        <vt:lpwstr>http://www.fincen.gov/foia/files/FinCEN_79_FR_20969.pdf</vt:lpwstr>
      </vt:variant>
      <vt:variant>
        <vt:lpwstr/>
      </vt:variant>
      <vt:variant>
        <vt:i4>4653132</vt:i4>
      </vt:variant>
      <vt:variant>
        <vt:i4>0</vt:i4>
      </vt:variant>
      <vt:variant>
        <vt:i4>0</vt:i4>
      </vt:variant>
      <vt:variant>
        <vt:i4>5</vt:i4>
      </vt:variant>
      <vt:variant>
        <vt:lpwstr>http://bsaefiling.fincen.treas.gov/main.html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StephR</dc:creator>
  <cp:keywords/>
  <cp:lastModifiedBy>SYSTEM</cp:lastModifiedBy>
  <cp:revision>2</cp:revision>
  <cp:lastPrinted>2018-03-05T12:17:00Z</cp:lastPrinted>
  <dcterms:created xsi:type="dcterms:W3CDTF">2018-04-20T21:36:00Z</dcterms:created>
  <dcterms:modified xsi:type="dcterms:W3CDTF">2018-04-20T21:36:00Z</dcterms:modified>
</cp:coreProperties>
</file>