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6A" w:rsidRPr="00460480" w:rsidRDefault="00E6216A" w:rsidP="00162347">
      <w:pPr>
        <w:widowControl/>
        <w:tabs>
          <w:tab w:val="center" w:pos="4680"/>
        </w:tabs>
        <w:jc w:val="center"/>
        <w:rPr>
          <w:rFonts w:ascii="Calibri" w:hAnsi="Calibri" w:cs="Courier New"/>
          <w:b/>
          <w:bCs/>
          <w:sz w:val="22"/>
          <w:szCs w:val="22"/>
        </w:rPr>
      </w:pPr>
      <w:bookmarkStart w:id="0" w:name="_GoBack"/>
      <w:bookmarkEnd w:id="0"/>
      <w:r w:rsidRPr="00460480">
        <w:rPr>
          <w:rFonts w:ascii="Calibri" w:hAnsi="Calibri" w:cs="Courier New"/>
          <w:b/>
          <w:bCs/>
          <w:sz w:val="22"/>
          <w:szCs w:val="22"/>
        </w:rPr>
        <w:t>Internal Revenue Service</w:t>
      </w:r>
    </w:p>
    <w:p w:rsidR="00F11A19" w:rsidRPr="00460480" w:rsidRDefault="00F11A19" w:rsidP="00162347">
      <w:pPr>
        <w:widowControl/>
        <w:tabs>
          <w:tab w:val="center" w:pos="4680"/>
        </w:tabs>
        <w:jc w:val="center"/>
        <w:rPr>
          <w:rFonts w:ascii="Calibri" w:hAnsi="Calibri" w:cs="Courier New"/>
          <w:b/>
          <w:bCs/>
          <w:sz w:val="22"/>
          <w:szCs w:val="22"/>
        </w:rPr>
      </w:pPr>
      <w:r w:rsidRPr="00460480">
        <w:rPr>
          <w:rFonts w:ascii="Calibri" w:hAnsi="Calibri" w:cs="Courier New"/>
          <w:b/>
          <w:bCs/>
          <w:sz w:val="22"/>
          <w:szCs w:val="22"/>
        </w:rPr>
        <w:t>SUPPORTING STATEMENT</w:t>
      </w:r>
    </w:p>
    <w:p w:rsidR="00E6216A" w:rsidRPr="00460480" w:rsidRDefault="00E6216A" w:rsidP="00E6216A">
      <w:pPr>
        <w:widowControl/>
        <w:tabs>
          <w:tab w:val="center" w:pos="4680"/>
        </w:tabs>
        <w:jc w:val="center"/>
        <w:rPr>
          <w:rFonts w:ascii="Calibri" w:hAnsi="Calibri" w:cs="Shruti"/>
          <w:b/>
          <w:bCs/>
          <w:sz w:val="22"/>
          <w:szCs w:val="22"/>
        </w:rPr>
      </w:pPr>
      <w:r w:rsidRPr="00460480">
        <w:rPr>
          <w:rFonts w:ascii="Calibri" w:hAnsi="Calibri" w:cs="Courier New"/>
          <w:b/>
          <w:bCs/>
          <w:sz w:val="22"/>
          <w:szCs w:val="22"/>
        </w:rPr>
        <w:t>OMB #1545-1522</w:t>
      </w:r>
    </w:p>
    <w:p w:rsidR="00E6216A" w:rsidRPr="00460480" w:rsidRDefault="00E6216A" w:rsidP="00E6216A">
      <w:pPr>
        <w:widowControl/>
        <w:tabs>
          <w:tab w:val="center" w:pos="4680"/>
        </w:tabs>
        <w:jc w:val="center"/>
        <w:rPr>
          <w:rFonts w:ascii="Calibri" w:hAnsi="Calibri" w:cs="Courier New"/>
          <w:b/>
          <w:bCs/>
          <w:sz w:val="22"/>
          <w:szCs w:val="22"/>
        </w:rPr>
      </w:pPr>
      <w:r w:rsidRPr="00460480">
        <w:rPr>
          <w:rFonts w:ascii="Calibri" w:hAnsi="Calibri" w:cs="Courier New"/>
          <w:b/>
          <w:bCs/>
          <w:sz w:val="22"/>
          <w:szCs w:val="22"/>
        </w:rPr>
        <w:t>Revenue Procedure 2017-</w:t>
      </w:r>
      <w:r w:rsidR="00B858D5">
        <w:rPr>
          <w:rFonts w:ascii="Calibri" w:hAnsi="Calibri" w:cs="Courier New"/>
          <w:b/>
          <w:bCs/>
          <w:sz w:val="22"/>
          <w:szCs w:val="22"/>
        </w:rPr>
        <w:t>52</w:t>
      </w:r>
      <w:r w:rsidRPr="00460480">
        <w:rPr>
          <w:rFonts w:ascii="Calibri" w:hAnsi="Calibri" w:cs="Courier New"/>
          <w:b/>
          <w:bCs/>
          <w:sz w:val="22"/>
          <w:szCs w:val="22"/>
        </w:rPr>
        <w:t>, 2017-1, 2017-3</w:t>
      </w:r>
    </w:p>
    <w:p w:rsidR="00FB3063" w:rsidRPr="00460480" w:rsidRDefault="00FB3063" w:rsidP="00162347">
      <w:pPr>
        <w:widowControl/>
        <w:tabs>
          <w:tab w:val="center" w:pos="4680"/>
        </w:tabs>
        <w:jc w:val="center"/>
        <w:rPr>
          <w:rFonts w:ascii="Calibri" w:hAnsi="Calibri" w:cs="Courier New"/>
          <w:b/>
          <w:bCs/>
          <w:sz w:val="22"/>
          <w:szCs w:val="22"/>
        </w:rPr>
      </w:pPr>
      <w:r w:rsidRPr="00460480">
        <w:rPr>
          <w:rFonts w:ascii="Calibri" w:hAnsi="Calibri" w:cs="Courier New"/>
          <w:b/>
          <w:bCs/>
          <w:sz w:val="22"/>
          <w:szCs w:val="22"/>
        </w:rPr>
        <w:t>Rulings and determination letters</w:t>
      </w:r>
    </w:p>
    <w:p w:rsidR="00F11A19" w:rsidRPr="00460480" w:rsidRDefault="00F11A19" w:rsidP="004D4E28">
      <w:pPr>
        <w:widowControl/>
        <w:rPr>
          <w:rFonts w:ascii="Calibri" w:hAnsi="Calibri" w:cs="Shruti"/>
          <w:b/>
          <w:bCs/>
          <w:sz w:val="22"/>
          <w:szCs w:val="22"/>
        </w:rPr>
      </w:pPr>
    </w:p>
    <w:p w:rsidR="00E6216A" w:rsidRPr="00460480" w:rsidRDefault="00E6216A" w:rsidP="004D4E28">
      <w:pPr>
        <w:widowControl/>
        <w:rPr>
          <w:rFonts w:ascii="Calibri" w:hAnsi="Calibri" w:cs="Shruti"/>
          <w:b/>
          <w:bCs/>
          <w:sz w:val="22"/>
          <w:szCs w:val="22"/>
        </w:rPr>
      </w:pPr>
    </w:p>
    <w:p w:rsidR="00F11A19" w:rsidRPr="00460480" w:rsidRDefault="00F11A19" w:rsidP="004D4E28">
      <w:pPr>
        <w:pStyle w:val="Level1"/>
        <w:widowControl/>
        <w:numPr>
          <w:ilvl w:val="0"/>
          <w:numId w:val="1"/>
        </w:numPr>
        <w:tabs>
          <w:tab w:val="left" w:pos="-1440"/>
        </w:tabs>
        <w:rPr>
          <w:rFonts w:ascii="Calibri" w:hAnsi="Calibri"/>
          <w:b/>
          <w:sz w:val="22"/>
          <w:szCs w:val="22"/>
        </w:rPr>
      </w:pPr>
      <w:r w:rsidRPr="00460480">
        <w:rPr>
          <w:rFonts w:ascii="Calibri" w:hAnsi="Calibri"/>
          <w:b/>
          <w:sz w:val="22"/>
          <w:szCs w:val="22"/>
          <w:u w:val="single"/>
        </w:rPr>
        <w:t>CIRCUMSTANCES NECESSITATING COLLECTION OF INFORMATION</w:t>
      </w:r>
    </w:p>
    <w:p w:rsidR="00F11A19" w:rsidRPr="00460480" w:rsidRDefault="00F11A19" w:rsidP="004D4E28">
      <w:pPr>
        <w:widowControl/>
        <w:rPr>
          <w:rFonts w:ascii="Calibri" w:hAnsi="Calibri"/>
          <w:sz w:val="22"/>
          <w:szCs w:val="22"/>
        </w:rPr>
      </w:pPr>
    </w:p>
    <w:p w:rsidR="0089685D" w:rsidRPr="00460480" w:rsidRDefault="00FB5EDF" w:rsidP="00805BE3">
      <w:pPr>
        <w:widowControl/>
        <w:ind w:left="720"/>
        <w:rPr>
          <w:rFonts w:ascii="Calibri" w:hAnsi="Calibri" w:cs="Arial"/>
          <w:sz w:val="22"/>
          <w:szCs w:val="22"/>
        </w:rPr>
      </w:pPr>
      <w:r w:rsidRPr="00460480">
        <w:rPr>
          <w:rFonts w:ascii="Calibri" w:hAnsi="Calibri"/>
          <w:sz w:val="22"/>
          <w:szCs w:val="22"/>
        </w:rPr>
        <w:t>Revenue Procedure 2017</w:t>
      </w:r>
      <w:r w:rsidR="00B828DE" w:rsidRPr="00460480">
        <w:rPr>
          <w:rFonts w:ascii="Calibri" w:hAnsi="Calibri"/>
          <w:sz w:val="22"/>
          <w:szCs w:val="22"/>
        </w:rPr>
        <w:t>-1</w:t>
      </w:r>
      <w:r w:rsidR="00E6216A" w:rsidRPr="00460480">
        <w:rPr>
          <w:rFonts w:ascii="Calibri" w:hAnsi="Calibri"/>
          <w:sz w:val="22"/>
          <w:szCs w:val="22"/>
        </w:rPr>
        <w:t xml:space="preserve"> and 2017-3</w:t>
      </w:r>
      <w:r w:rsidR="00B828DE" w:rsidRPr="00460480">
        <w:rPr>
          <w:rFonts w:ascii="Calibri" w:hAnsi="Calibri"/>
          <w:sz w:val="22"/>
          <w:szCs w:val="22"/>
        </w:rPr>
        <w:t xml:space="preserve"> </w:t>
      </w:r>
      <w:r w:rsidR="00805BE3" w:rsidRPr="00460480">
        <w:rPr>
          <w:rFonts w:ascii="Calibri" w:hAnsi="Calibri" w:cs="Arial"/>
          <w:sz w:val="22"/>
          <w:szCs w:val="22"/>
        </w:rPr>
        <w:t>explain how the Service provides advice to taxpayers on issues under the jurisdiction of the Associate Chief Counsel (Corporate), the Associate Chief Counsel (Financial Institutions and Products), the Associate Chief Counsel (Income Tax and Accounting), the Associate Chief Counsel (International), the Assoc</w:t>
      </w:r>
      <w:r w:rsidR="00AE61B4">
        <w:rPr>
          <w:rFonts w:ascii="Calibri" w:hAnsi="Calibri" w:cs="Arial"/>
          <w:sz w:val="22"/>
          <w:szCs w:val="22"/>
        </w:rPr>
        <w:t>iate Chief Counsel (Passthrough</w:t>
      </w:r>
      <w:r w:rsidR="00805BE3" w:rsidRPr="00460480">
        <w:rPr>
          <w:rFonts w:ascii="Calibri" w:hAnsi="Calibri" w:cs="Arial"/>
          <w:sz w:val="22"/>
          <w:szCs w:val="22"/>
        </w:rPr>
        <w:t xml:space="preserve"> and Special Industries), the Associate Chief Counsel (Procedure and Administration), and </w:t>
      </w:r>
      <w:r w:rsidR="000C29E5" w:rsidRPr="00460480">
        <w:rPr>
          <w:rFonts w:ascii="Calibri" w:hAnsi="Calibri" w:cs="Arial"/>
          <w:sz w:val="22"/>
          <w:szCs w:val="22"/>
        </w:rPr>
        <w:t xml:space="preserve">the </w:t>
      </w:r>
      <w:r w:rsidR="00805BE3" w:rsidRPr="00460480">
        <w:rPr>
          <w:rFonts w:ascii="Calibri" w:hAnsi="Calibri" w:cs="Arial"/>
          <w:sz w:val="22"/>
          <w:szCs w:val="22"/>
        </w:rPr>
        <w:t>Associate Chief Counsel (Tax Exempt and Government Entities)</w:t>
      </w:r>
      <w:r w:rsidR="00175114" w:rsidRPr="00460480">
        <w:rPr>
          <w:rFonts w:ascii="Calibri" w:hAnsi="Calibri" w:cs="Arial"/>
          <w:sz w:val="22"/>
          <w:szCs w:val="22"/>
        </w:rPr>
        <w:t xml:space="preserve">. </w:t>
      </w:r>
      <w:r w:rsidR="00805BE3" w:rsidRPr="00460480">
        <w:rPr>
          <w:rFonts w:ascii="Calibri" w:hAnsi="Calibri" w:cs="Arial"/>
          <w:sz w:val="22"/>
          <w:szCs w:val="22"/>
        </w:rPr>
        <w:t xml:space="preserve"> It explains the forms of advice and the manner in which advice is requested by taxpayers and provided by the Service.</w:t>
      </w:r>
      <w:r w:rsidR="00A22BD3" w:rsidRPr="00460480">
        <w:rPr>
          <w:rFonts w:ascii="Calibri" w:hAnsi="Calibri"/>
          <w:sz w:val="22"/>
          <w:szCs w:val="22"/>
        </w:rPr>
        <w:t xml:space="preserve"> </w:t>
      </w:r>
      <w:r w:rsidR="00A22BD3" w:rsidRPr="00460480">
        <w:rPr>
          <w:rFonts w:ascii="Calibri" w:hAnsi="Calibri" w:cs="Arial"/>
          <w:sz w:val="22"/>
          <w:szCs w:val="22"/>
        </w:rPr>
        <w:t>This information is required to evaluate and process the request for a letter ruling or determination letter.</w:t>
      </w:r>
    </w:p>
    <w:p w:rsidR="00C67A7D" w:rsidRPr="00460480" w:rsidRDefault="00C67A7D" w:rsidP="00C67A7D">
      <w:pPr>
        <w:rPr>
          <w:rFonts w:ascii="Calibri" w:hAnsi="Calibri" w:cs="Arial"/>
          <w:sz w:val="22"/>
          <w:szCs w:val="22"/>
        </w:rPr>
      </w:pPr>
    </w:p>
    <w:p w:rsidR="00C67A7D" w:rsidRPr="00460480" w:rsidRDefault="00C67A7D" w:rsidP="00C67A7D">
      <w:pPr>
        <w:ind w:left="720"/>
        <w:rPr>
          <w:rFonts w:ascii="Calibri" w:hAnsi="Calibri" w:cs="Arial"/>
          <w:sz w:val="22"/>
          <w:szCs w:val="22"/>
        </w:rPr>
      </w:pPr>
      <w:r w:rsidRPr="00460480">
        <w:rPr>
          <w:rFonts w:ascii="Calibri" w:hAnsi="Calibri" w:cs="Arial"/>
          <w:sz w:val="22"/>
          <w:szCs w:val="22"/>
        </w:rPr>
        <w:t>Rev. Proc. 2017-</w:t>
      </w:r>
      <w:r w:rsidR="00B858D5">
        <w:rPr>
          <w:rFonts w:ascii="Calibri" w:hAnsi="Calibri" w:cs="Arial"/>
          <w:sz w:val="22"/>
          <w:szCs w:val="22"/>
        </w:rPr>
        <w:t>52</w:t>
      </w:r>
      <w:r w:rsidRPr="00460480">
        <w:rPr>
          <w:rFonts w:ascii="Calibri" w:hAnsi="Calibri" w:cs="Arial"/>
          <w:sz w:val="22"/>
          <w:szCs w:val="22"/>
        </w:rPr>
        <w:t> (1)introduces a pilot program expanding the scope of letter rulings available from the Internal Revenue Service (Service) to include rulings on the tax consequences of a distribution of stock and securities of a controlled corporation under § 355 for a specified period of time (see section 6 of this revenue procedure), (2) provides procedures for taxpayers requesting these rulings, and (3) clarifies procedures for taxpayers requesting rulings on significant issues relating to these transactions.</w:t>
      </w:r>
    </w:p>
    <w:p w:rsidR="00FB3063" w:rsidRPr="00460480" w:rsidRDefault="00FB3063" w:rsidP="00805BE3">
      <w:pPr>
        <w:widowControl/>
        <w:ind w:left="720"/>
        <w:rPr>
          <w:rFonts w:ascii="Calibri" w:hAnsi="Calibri" w:cs="Arial"/>
          <w:sz w:val="22"/>
          <w:szCs w:val="22"/>
        </w:rPr>
      </w:pPr>
    </w:p>
    <w:p w:rsidR="00FB3063" w:rsidRPr="00460480" w:rsidRDefault="00FB3063" w:rsidP="00805BE3">
      <w:pPr>
        <w:widowControl/>
        <w:ind w:left="720"/>
        <w:rPr>
          <w:rFonts w:ascii="Calibri" w:hAnsi="Calibri" w:cs="Arial"/>
          <w:sz w:val="22"/>
          <w:szCs w:val="22"/>
        </w:rPr>
      </w:pPr>
      <w:r w:rsidRPr="00460480">
        <w:rPr>
          <w:rFonts w:ascii="Calibri" w:hAnsi="Calibri" w:cs="Arial"/>
          <w:sz w:val="22"/>
          <w:szCs w:val="22"/>
        </w:rPr>
        <w:t xml:space="preserve">The likely respondents are businesses or other for-profit institutions and tax exempt </w:t>
      </w:r>
      <w:r w:rsidR="00EC2C03">
        <w:rPr>
          <w:rFonts w:ascii="Calibri" w:hAnsi="Calibri" w:cs="Arial"/>
          <w:sz w:val="22"/>
          <w:szCs w:val="22"/>
        </w:rPr>
        <w:t>o</w:t>
      </w:r>
      <w:r w:rsidRPr="00460480">
        <w:rPr>
          <w:rFonts w:ascii="Calibri" w:hAnsi="Calibri" w:cs="Arial"/>
          <w:sz w:val="22"/>
          <w:szCs w:val="22"/>
        </w:rPr>
        <w:t>rganizations.</w:t>
      </w:r>
    </w:p>
    <w:p w:rsidR="00175114" w:rsidRPr="00460480" w:rsidRDefault="00175114" w:rsidP="00805BE3">
      <w:pPr>
        <w:widowControl/>
        <w:ind w:left="720"/>
        <w:rPr>
          <w:rFonts w:ascii="Calibri" w:hAnsi="Calibri" w:cs="Arial"/>
          <w:sz w:val="22"/>
          <w:szCs w:val="22"/>
        </w:rPr>
      </w:pPr>
    </w:p>
    <w:p w:rsidR="00FB5EDF" w:rsidRPr="00460480" w:rsidRDefault="00FB5EDF" w:rsidP="00805BE3">
      <w:pPr>
        <w:widowControl/>
        <w:ind w:left="720"/>
        <w:rPr>
          <w:rFonts w:ascii="Calibri" w:hAnsi="Calibri" w:cs="Arial"/>
          <w:sz w:val="22"/>
          <w:szCs w:val="22"/>
        </w:rPr>
      </w:pPr>
    </w:p>
    <w:p w:rsidR="00F11A19" w:rsidRPr="00460480" w:rsidRDefault="00F11A19" w:rsidP="004D4E28">
      <w:pPr>
        <w:pStyle w:val="Level1"/>
        <w:widowControl/>
        <w:numPr>
          <w:ilvl w:val="0"/>
          <w:numId w:val="1"/>
        </w:numPr>
        <w:tabs>
          <w:tab w:val="left" w:pos="-1440"/>
          <w:tab w:val="num" w:pos="720"/>
        </w:tabs>
        <w:rPr>
          <w:rFonts w:ascii="Calibri" w:hAnsi="Calibri"/>
          <w:b/>
          <w:sz w:val="22"/>
          <w:szCs w:val="22"/>
        </w:rPr>
      </w:pPr>
      <w:r w:rsidRPr="00460480">
        <w:rPr>
          <w:rFonts w:ascii="Calibri" w:hAnsi="Calibri"/>
          <w:b/>
          <w:sz w:val="22"/>
          <w:szCs w:val="22"/>
          <w:u w:val="single"/>
        </w:rPr>
        <w:t>USE OF DATA</w:t>
      </w:r>
      <w:r w:rsidRPr="00460480">
        <w:rPr>
          <w:rFonts w:ascii="Calibri" w:hAnsi="Calibri"/>
          <w:b/>
          <w:sz w:val="22"/>
          <w:szCs w:val="22"/>
        </w:rPr>
        <w:t xml:space="preserve">              </w:t>
      </w:r>
    </w:p>
    <w:p w:rsidR="00F11A19" w:rsidRPr="00460480" w:rsidRDefault="00F11A19" w:rsidP="004D4E28">
      <w:pPr>
        <w:widowControl/>
        <w:rPr>
          <w:rFonts w:ascii="Calibri" w:hAnsi="Calibri"/>
          <w:sz w:val="22"/>
          <w:szCs w:val="22"/>
        </w:rPr>
      </w:pPr>
    </w:p>
    <w:p w:rsidR="00A22BD3" w:rsidRPr="00460480" w:rsidRDefault="00971D2D" w:rsidP="00A22BD3">
      <w:pPr>
        <w:widowControl/>
        <w:ind w:left="720"/>
        <w:rPr>
          <w:rFonts w:ascii="Calibri" w:hAnsi="Calibri"/>
          <w:sz w:val="22"/>
          <w:szCs w:val="22"/>
        </w:rPr>
      </w:pPr>
      <w:r w:rsidRPr="00460480">
        <w:rPr>
          <w:rFonts w:ascii="Calibri" w:hAnsi="Calibri"/>
          <w:sz w:val="22"/>
          <w:szCs w:val="22"/>
        </w:rPr>
        <w:t>The data</w:t>
      </w:r>
      <w:r w:rsidR="0089685D" w:rsidRPr="00460480">
        <w:rPr>
          <w:rFonts w:ascii="Calibri" w:hAnsi="Calibri"/>
          <w:sz w:val="22"/>
          <w:szCs w:val="22"/>
        </w:rPr>
        <w:t xml:space="preserve"> will be used by the Service in determining whether certain letter rulings</w:t>
      </w:r>
      <w:r w:rsidR="000C29E5" w:rsidRPr="00460480">
        <w:rPr>
          <w:rFonts w:ascii="Calibri" w:hAnsi="Calibri"/>
          <w:sz w:val="22"/>
          <w:szCs w:val="22"/>
        </w:rPr>
        <w:t xml:space="preserve"> and determination letters</w:t>
      </w:r>
      <w:r w:rsidR="0089685D" w:rsidRPr="00460480">
        <w:rPr>
          <w:rFonts w:ascii="Calibri" w:hAnsi="Calibri"/>
          <w:sz w:val="22"/>
          <w:szCs w:val="22"/>
        </w:rPr>
        <w:t xml:space="preserve"> should be issued.</w:t>
      </w:r>
      <w:r w:rsidR="00A22BD3" w:rsidRPr="00460480">
        <w:rPr>
          <w:rFonts w:ascii="Calibri" w:hAnsi="Calibri"/>
          <w:sz w:val="22"/>
          <w:szCs w:val="22"/>
        </w:rPr>
        <w:t xml:space="preserve">  In addition, this information will be used to help the Service delete certain information from the text of the letter ruling or determination letter </w:t>
      </w:r>
      <w:r w:rsidR="0026672D">
        <w:rPr>
          <w:rFonts w:ascii="Calibri" w:hAnsi="Calibri"/>
          <w:sz w:val="22"/>
          <w:szCs w:val="22"/>
        </w:rPr>
        <w:t>b</w:t>
      </w:r>
      <w:r w:rsidR="00A22BD3" w:rsidRPr="00460480">
        <w:rPr>
          <w:rFonts w:ascii="Calibri" w:hAnsi="Calibri"/>
          <w:sz w:val="22"/>
          <w:szCs w:val="22"/>
        </w:rPr>
        <w:t xml:space="preserve">efore it is made available for public inspection as required by § 6110. </w:t>
      </w:r>
    </w:p>
    <w:p w:rsidR="00A22BD3" w:rsidRPr="00460480" w:rsidRDefault="00A22BD3" w:rsidP="00A22BD3">
      <w:pPr>
        <w:widowControl/>
        <w:ind w:left="720"/>
        <w:rPr>
          <w:rFonts w:ascii="Calibri" w:hAnsi="Calibri"/>
          <w:sz w:val="22"/>
          <w:szCs w:val="22"/>
        </w:rPr>
      </w:pPr>
    </w:p>
    <w:p w:rsidR="00F11A19" w:rsidRPr="00460480" w:rsidRDefault="00F11A19" w:rsidP="004D4E28">
      <w:pPr>
        <w:pStyle w:val="Level1"/>
        <w:widowControl/>
        <w:numPr>
          <w:ilvl w:val="0"/>
          <w:numId w:val="1"/>
        </w:numPr>
        <w:tabs>
          <w:tab w:val="left" w:pos="-1440"/>
          <w:tab w:val="num" w:pos="720"/>
        </w:tabs>
        <w:rPr>
          <w:rFonts w:ascii="Calibri" w:hAnsi="Calibri"/>
          <w:b/>
          <w:sz w:val="22"/>
          <w:szCs w:val="22"/>
        </w:rPr>
      </w:pPr>
      <w:r w:rsidRPr="00460480">
        <w:rPr>
          <w:rFonts w:ascii="Calibri" w:hAnsi="Calibri"/>
          <w:b/>
          <w:sz w:val="22"/>
          <w:szCs w:val="22"/>
          <w:u w:val="single"/>
        </w:rPr>
        <w:t>USE OF IMPROVED INFORMATION TECHNOLOGY TO REDUCE BURDEN</w:t>
      </w:r>
    </w:p>
    <w:p w:rsidR="004213BC" w:rsidRPr="00460480" w:rsidRDefault="004213BC" w:rsidP="004D4E28">
      <w:pPr>
        <w:widowControl/>
        <w:ind w:left="720"/>
        <w:rPr>
          <w:rFonts w:ascii="Calibri" w:hAnsi="Calibri"/>
          <w:sz w:val="22"/>
          <w:szCs w:val="22"/>
        </w:rPr>
      </w:pPr>
    </w:p>
    <w:p w:rsidR="00F11A19" w:rsidRPr="00460480" w:rsidRDefault="00B0360D" w:rsidP="000C29E5">
      <w:pPr>
        <w:autoSpaceDE/>
        <w:autoSpaceDN/>
        <w:adjustRightInd/>
        <w:ind w:left="720"/>
        <w:rPr>
          <w:rFonts w:ascii="Calibri" w:hAnsi="Calibri"/>
          <w:sz w:val="22"/>
          <w:szCs w:val="22"/>
        </w:rPr>
      </w:pPr>
      <w:r>
        <w:rPr>
          <w:rFonts w:ascii="Calibri" w:hAnsi="Calibri"/>
          <w:snapToGrid w:val="0"/>
          <w:color w:val="000000"/>
          <w:sz w:val="22"/>
          <w:szCs w:val="22"/>
        </w:rPr>
        <w:t>IRS</w:t>
      </w:r>
      <w:r w:rsidRPr="00460480">
        <w:rPr>
          <w:rFonts w:ascii="Calibri" w:hAnsi="Calibri"/>
          <w:snapToGrid w:val="0"/>
          <w:color w:val="000000"/>
          <w:sz w:val="22"/>
          <w:szCs w:val="22"/>
        </w:rPr>
        <w:t xml:space="preserve"> ha</w:t>
      </w:r>
      <w:r>
        <w:rPr>
          <w:rFonts w:ascii="Calibri" w:hAnsi="Calibri"/>
          <w:snapToGrid w:val="0"/>
          <w:color w:val="000000"/>
          <w:sz w:val="22"/>
          <w:szCs w:val="22"/>
        </w:rPr>
        <w:t>s</w:t>
      </w:r>
      <w:r w:rsidRPr="00460480">
        <w:rPr>
          <w:rFonts w:ascii="Calibri" w:hAnsi="Calibri"/>
          <w:snapToGrid w:val="0"/>
          <w:color w:val="000000"/>
          <w:sz w:val="22"/>
          <w:szCs w:val="22"/>
        </w:rPr>
        <w:t xml:space="preserve"> </w:t>
      </w:r>
      <w:r w:rsidR="00E44E9B" w:rsidRPr="00460480">
        <w:rPr>
          <w:rFonts w:ascii="Calibri" w:hAnsi="Calibri"/>
          <w:snapToGrid w:val="0"/>
          <w:color w:val="000000"/>
          <w:sz w:val="22"/>
          <w:szCs w:val="22"/>
        </w:rPr>
        <w:t>no plans at this time to offer electronic filing because of the low volume compared to the cost of electronic enabling.</w:t>
      </w:r>
      <w:r w:rsidR="00F11A19" w:rsidRPr="00460480">
        <w:rPr>
          <w:rFonts w:ascii="Calibri" w:hAnsi="Calibri"/>
          <w:sz w:val="22"/>
          <w:szCs w:val="22"/>
        </w:rPr>
        <w:t xml:space="preserve"> </w:t>
      </w:r>
    </w:p>
    <w:p w:rsidR="00CE2FC0" w:rsidRPr="00460480" w:rsidRDefault="00CE2FC0" w:rsidP="004D4E28">
      <w:pPr>
        <w:widowControl/>
        <w:rPr>
          <w:rFonts w:ascii="Calibri" w:hAnsi="Calibri"/>
          <w:sz w:val="22"/>
          <w:szCs w:val="22"/>
        </w:rPr>
      </w:pPr>
    </w:p>
    <w:p w:rsidR="00F11A19" w:rsidRPr="00460480" w:rsidRDefault="00F11A19" w:rsidP="004D4E28">
      <w:pPr>
        <w:pStyle w:val="Level1"/>
        <w:widowControl/>
        <w:numPr>
          <w:ilvl w:val="0"/>
          <w:numId w:val="1"/>
        </w:numPr>
        <w:tabs>
          <w:tab w:val="left" w:pos="-1440"/>
          <w:tab w:val="num" w:pos="720"/>
        </w:tabs>
        <w:rPr>
          <w:rFonts w:ascii="Calibri" w:hAnsi="Calibri"/>
          <w:b/>
          <w:sz w:val="22"/>
          <w:szCs w:val="22"/>
        </w:rPr>
      </w:pPr>
      <w:r w:rsidRPr="00460480">
        <w:rPr>
          <w:rFonts w:ascii="Calibri" w:hAnsi="Calibri"/>
          <w:b/>
          <w:sz w:val="22"/>
          <w:szCs w:val="22"/>
          <w:u w:val="single"/>
        </w:rPr>
        <w:t>EFFORTS TO IDENTIFY DUPLICATION</w:t>
      </w:r>
    </w:p>
    <w:p w:rsidR="00F11A19" w:rsidRPr="00460480" w:rsidRDefault="00F11A19" w:rsidP="004D4E28">
      <w:pPr>
        <w:widowControl/>
        <w:rPr>
          <w:rFonts w:ascii="Calibri" w:hAnsi="Calibri"/>
          <w:sz w:val="22"/>
          <w:szCs w:val="22"/>
        </w:rPr>
      </w:pPr>
    </w:p>
    <w:p w:rsidR="00F81DC0" w:rsidRPr="00460480" w:rsidRDefault="00F81DC0" w:rsidP="00F81DC0">
      <w:pPr>
        <w:widowControl/>
        <w:ind w:left="720"/>
        <w:rPr>
          <w:rFonts w:ascii="Calibri" w:hAnsi="Calibri"/>
          <w:iCs/>
          <w:sz w:val="22"/>
          <w:szCs w:val="22"/>
        </w:rPr>
      </w:pPr>
      <w:r w:rsidRPr="00460480">
        <w:rPr>
          <w:rFonts w:ascii="Calibri" w:hAnsi="Calibri"/>
          <w:iCs/>
          <w:sz w:val="22"/>
          <w:szCs w:val="22"/>
        </w:rPr>
        <w:t>The information obtained through this collection is unique and is not already available for use or adaptation from another source.</w:t>
      </w:r>
    </w:p>
    <w:p w:rsidR="00805BE3" w:rsidRPr="00460480" w:rsidRDefault="00805BE3" w:rsidP="004D4E28">
      <w:pPr>
        <w:widowControl/>
        <w:rPr>
          <w:rFonts w:ascii="Calibri" w:hAnsi="Calibri"/>
          <w:sz w:val="22"/>
          <w:szCs w:val="22"/>
        </w:rPr>
      </w:pPr>
    </w:p>
    <w:p w:rsidR="000C29E5" w:rsidRPr="00460480" w:rsidRDefault="00F11A19" w:rsidP="000C29E5">
      <w:pPr>
        <w:pStyle w:val="Level1"/>
        <w:widowControl/>
        <w:numPr>
          <w:ilvl w:val="0"/>
          <w:numId w:val="1"/>
        </w:numPr>
        <w:tabs>
          <w:tab w:val="left" w:pos="-1440"/>
        </w:tabs>
        <w:rPr>
          <w:rFonts w:ascii="Calibri" w:hAnsi="Calibri"/>
          <w:b/>
          <w:sz w:val="22"/>
          <w:szCs w:val="22"/>
          <w:u w:val="single"/>
        </w:rPr>
      </w:pPr>
      <w:r w:rsidRPr="00460480">
        <w:rPr>
          <w:rFonts w:ascii="Calibri" w:hAnsi="Calibri"/>
          <w:b/>
          <w:sz w:val="22"/>
          <w:szCs w:val="22"/>
          <w:u w:val="single"/>
        </w:rPr>
        <w:lastRenderedPageBreak/>
        <w:t>METHODS TO MINIMIZE BURDEN ON SMALL BUSINESSES OR OTHER</w:t>
      </w:r>
      <w:r w:rsidR="00460480">
        <w:rPr>
          <w:rFonts w:ascii="Calibri" w:hAnsi="Calibri"/>
          <w:b/>
          <w:sz w:val="22"/>
          <w:szCs w:val="22"/>
          <w:u w:val="single"/>
        </w:rPr>
        <w:t xml:space="preserve"> </w:t>
      </w:r>
      <w:r w:rsidRPr="00460480">
        <w:rPr>
          <w:rFonts w:ascii="Calibri" w:hAnsi="Calibri"/>
          <w:b/>
          <w:sz w:val="22"/>
          <w:szCs w:val="22"/>
          <w:u w:val="single"/>
        </w:rPr>
        <w:t>SMALL ENTITIES</w:t>
      </w:r>
      <w:r w:rsidR="000C29E5" w:rsidRPr="00460480">
        <w:rPr>
          <w:rFonts w:ascii="Calibri" w:hAnsi="Calibri"/>
          <w:sz w:val="22"/>
          <w:szCs w:val="22"/>
        </w:rPr>
        <w:t xml:space="preserve"> </w:t>
      </w:r>
    </w:p>
    <w:p w:rsidR="000C29E5" w:rsidRPr="00460480" w:rsidRDefault="000C29E5" w:rsidP="000C29E5">
      <w:pPr>
        <w:pStyle w:val="Level1"/>
        <w:widowControl/>
        <w:numPr>
          <w:ilvl w:val="0"/>
          <w:numId w:val="0"/>
        </w:numPr>
        <w:tabs>
          <w:tab w:val="left" w:pos="-1440"/>
        </w:tabs>
        <w:ind w:left="720" w:hanging="720"/>
        <w:rPr>
          <w:rFonts w:ascii="Calibri" w:hAnsi="Calibri"/>
          <w:b/>
          <w:sz w:val="22"/>
          <w:szCs w:val="22"/>
          <w:u w:val="single"/>
        </w:rPr>
      </w:pPr>
    </w:p>
    <w:p w:rsidR="000C29E5" w:rsidRPr="00460480" w:rsidRDefault="000C29E5" w:rsidP="000C29E5">
      <w:pPr>
        <w:pStyle w:val="Level1"/>
        <w:widowControl/>
        <w:numPr>
          <w:ilvl w:val="0"/>
          <w:numId w:val="0"/>
        </w:numPr>
        <w:tabs>
          <w:tab w:val="left" w:pos="-1440"/>
        </w:tabs>
        <w:ind w:left="720"/>
        <w:rPr>
          <w:rFonts w:ascii="Calibri" w:hAnsi="Calibri"/>
          <w:sz w:val="22"/>
          <w:szCs w:val="22"/>
        </w:rPr>
      </w:pPr>
      <w:r w:rsidRPr="00460480">
        <w:rPr>
          <w:rFonts w:ascii="Calibri" w:hAnsi="Calibri"/>
          <w:sz w:val="22"/>
          <w:szCs w:val="22"/>
        </w:rPr>
        <w:t>The collections of information in this revenue procedure are initiated by the taxpayer’s submission of a request to the Service for written advice regarding the proper application of tax laws, or principles or precedents announced by the Service, to the taxpayer’s specific set of facts.  The procedures in this revenue procedure are designed to require the collection of only the information necessary for the Service to respond to the taxpayer’s request, and may vary with the complexity of the request.  These procedures permit the taxpayer to request a pre-submission conference with the Associate office, at which the taxpayer and Associate office representative(s) may discuss substantive or procedural issues prior to the taxpayer’s submission of the request.  The procedures are also designed so that additional information will only be requested when the initial request lacks essential information.</w:t>
      </w:r>
    </w:p>
    <w:p w:rsidR="000C29E5" w:rsidRPr="00460480" w:rsidRDefault="000C29E5" w:rsidP="000C29E5">
      <w:pPr>
        <w:pStyle w:val="Level1"/>
        <w:widowControl/>
        <w:numPr>
          <w:ilvl w:val="0"/>
          <w:numId w:val="0"/>
        </w:numPr>
        <w:tabs>
          <w:tab w:val="left" w:pos="-1440"/>
        </w:tabs>
        <w:rPr>
          <w:rFonts w:ascii="Calibri" w:hAnsi="Calibri"/>
          <w:sz w:val="22"/>
          <w:szCs w:val="22"/>
        </w:rPr>
      </w:pPr>
    </w:p>
    <w:p w:rsidR="00552C20" w:rsidRPr="00460480" w:rsidRDefault="000C29E5" w:rsidP="000C29E5">
      <w:pPr>
        <w:pStyle w:val="Level1"/>
        <w:widowControl/>
        <w:numPr>
          <w:ilvl w:val="0"/>
          <w:numId w:val="0"/>
        </w:numPr>
        <w:tabs>
          <w:tab w:val="left" w:pos="-1440"/>
        </w:tabs>
        <w:ind w:left="720"/>
        <w:rPr>
          <w:rFonts w:ascii="Calibri" w:hAnsi="Calibri"/>
          <w:sz w:val="22"/>
          <w:szCs w:val="22"/>
        </w:rPr>
      </w:pPr>
      <w:r w:rsidRPr="00460480">
        <w:rPr>
          <w:rFonts w:ascii="Calibri" w:hAnsi="Calibri"/>
          <w:sz w:val="22"/>
          <w:szCs w:val="22"/>
        </w:rPr>
        <w:t>Small businesses or other small entities may be eligible for reduced user fees when the gross income of the partnership or corporation, or the gross receipts of the exempt organization, falls below specified threshold amounts.</w:t>
      </w:r>
      <w:r w:rsidR="00971D2D" w:rsidRPr="00460480">
        <w:rPr>
          <w:rFonts w:ascii="Calibri" w:hAnsi="Calibri"/>
          <w:sz w:val="22"/>
          <w:szCs w:val="22"/>
        </w:rPr>
        <w:t xml:space="preserve">    </w:t>
      </w:r>
      <w:r w:rsidR="00760CD7" w:rsidRPr="00460480">
        <w:rPr>
          <w:rFonts w:ascii="Calibri" w:hAnsi="Calibri"/>
          <w:sz w:val="22"/>
          <w:szCs w:val="22"/>
        </w:rPr>
        <w:t xml:space="preserve">  </w:t>
      </w:r>
    </w:p>
    <w:p w:rsidR="00F11A19" w:rsidRPr="00460480" w:rsidRDefault="00F11A19" w:rsidP="004D4E28">
      <w:pPr>
        <w:widowControl/>
        <w:rPr>
          <w:rFonts w:ascii="Calibri" w:hAnsi="Calibri"/>
          <w:sz w:val="22"/>
          <w:szCs w:val="22"/>
        </w:rPr>
      </w:pPr>
    </w:p>
    <w:p w:rsidR="00F11A19" w:rsidRPr="00460480" w:rsidRDefault="00A630B7" w:rsidP="004D4E28">
      <w:pPr>
        <w:widowControl/>
        <w:tabs>
          <w:tab w:val="left" w:pos="-1440"/>
        </w:tabs>
        <w:ind w:left="720" w:hanging="720"/>
        <w:rPr>
          <w:rFonts w:ascii="Calibri" w:hAnsi="Calibri"/>
          <w:b/>
          <w:sz w:val="22"/>
          <w:szCs w:val="22"/>
          <w:u w:val="single"/>
        </w:rPr>
      </w:pPr>
      <w:r w:rsidRPr="00460480">
        <w:rPr>
          <w:rFonts w:ascii="Calibri" w:hAnsi="Calibri"/>
          <w:b/>
          <w:sz w:val="22"/>
          <w:szCs w:val="22"/>
        </w:rPr>
        <w:t>6</w:t>
      </w:r>
      <w:r w:rsidR="00F11A19" w:rsidRPr="00460480">
        <w:rPr>
          <w:rFonts w:ascii="Calibri" w:hAnsi="Calibri"/>
          <w:b/>
          <w:sz w:val="22"/>
          <w:szCs w:val="22"/>
        </w:rPr>
        <w:t>.</w:t>
      </w:r>
      <w:r w:rsidR="00F11A19" w:rsidRPr="00460480">
        <w:rPr>
          <w:rFonts w:ascii="Calibri" w:hAnsi="Calibri"/>
          <w:sz w:val="22"/>
          <w:szCs w:val="22"/>
        </w:rPr>
        <w:t xml:space="preserve"> </w:t>
      </w:r>
      <w:r w:rsidR="00F11A19" w:rsidRPr="00460480">
        <w:rPr>
          <w:rFonts w:ascii="Calibri" w:hAnsi="Calibri"/>
          <w:sz w:val="22"/>
          <w:szCs w:val="22"/>
        </w:rPr>
        <w:tab/>
      </w:r>
      <w:r w:rsidR="00F11A19" w:rsidRPr="00460480">
        <w:rPr>
          <w:rFonts w:ascii="Calibri" w:hAnsi="Calibri"/>
          <w:b/>
          <w:sz w:val="22"/>
          <w:szCs w:val="22"/>
          <w:u w:val="single"/>
        </w:rPr>
        <w:t>CONSEQUENCES OF LESS FREQUENT COLLECTION ON FEDERAL PROGRAMS OR POLICY ACTIVITIES</w:t>
      </w:r>
    </w:p>
    <w:p w:rsidR="00DC2BEE" w:rsidRPr="00460480" w:rsidRDefault="00DC2BEE" w:rsidP="004D4E28">
      <w:pPr>
        <w:widowControl/>
        <w:tabs>
          <w:tab w:val="left" w:pos="-1440"/>
        </w:tabs>
        <w:ind w:left="720" w:hanging="720"/>
        <w:rPr>
          <w:rFonts w:ascii="Calibri" w:hAnsi="Calibri"/>
          <w:b/>
          <w:sz w:val="22"/>
          <w:szCs w:val="22"/>
          <w:u w:val="single"/>
        </w:rPr>
      </w:pPr>
    </w:p>
    <w:p w:rsidR="00F11A19" w:rsidRPr="00460480" w:rsidRDefault="00DC2BEE" w:rsidP="00DC2BEE">
      <w:pPr>
        <w:ind w:left="720"/>
        <w:rPr>
          <w:rFonts w:ascii="Calibri" w:hAnsi="Calibri"/>
          <w:sz w:val="22"/>
          <w:szCs w:val="22"/>
        </w:rPr>
      </w:pPr>
      <w:r w:rsidRPr="00460480">
        <w:rPr>
          <w:rFonts w:ascii="Calibri" w:hAnsi="Calibri"/>
          <w:sz w:val="22"/>
          <w:szCs w:val="22"/>
        </w:rPr>
        <w:t>The collections of information in this revenue procedure permit the Service to collect information necessary to respond to taxpayer requests for written determinations regarding the proper application of the tax laws, as well as principles and precedents announced by the Service, to the taxpayer’s specific set of facts.  Decreases in the collection of this information would hinder the Service’s ability to provide written advice to taxpayers through its private letter ruling and determination letter programs.</w:t>
      </w:r>
    </w:p>
    <w:p w:rsidR="00F11A19" w:rsidRPr="00460480" w:rsidRDefault="00F11A19" w:rsidP="004D4E28">
      <w:pPr>
        <w:widowControl/>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SPECIAL CIRCUMSTANCES REQUIRING DATA COLLECTION TO BE</w:t>
      </w:r>
      <w:r w:rsidR="0026672D" w:rsidRPr="0026672D">
        <w:rPr>
          <w:rFonts w:ascii="Calibri" w:hAnsi="Calibri"/>
          <w:b/>
          <w:sz w:val="22"/>
          <w:szCs w:val="22"/>
          <w:u w:val="single"/>
        </w:rPr>
        <w:t xml:space="preserve"> </w:t>
      </w:r>
      <w:r w:rsidRPr="00460480">
        <w:rPr>
          <w:rFonts w:ascii="Calibri" w:hAnsi="Calibri"/>
          <w:b/>
          <w:sz w:val="22"/>
          <w:szCs w:val="22"/>
          <w:u w:val="single"/>
        </w:rPr>
        <w:t>INCONSISTENT WITH GUIDELINES IN 5 CFR 1320.5(d)(2)</w:t>
      </w:r>
    </w:p>
    <w:p w:rsidR="00F11A19" w:rsidRPr="00460480" w:rsidRDefault="00F11A19" w:rsidP="004D4E28">
      <w:pPr>
        <w:widowControl/>
        <w:rPr>
          <w:rFonts w:ascii="Calibri" w:hAnsi="Calibri"/>
          <w:sz w:val="22"/>
          <w:szCs w:val="22"/>
        </w:rPr>
      </w:pPr>
    </w:p>
    <w:p w:rsidR="00F11A19" w:rsidRPr="00460480" w:rsidRDefault="00971D2D" w:rsidP="00971D2D">
      <w:pPr>
        <w:ind w:left="720"/>
        <w:rPr>
          <w:rFonts w:ascii="Calibri" w:hAnsi="Calibri"/>
          <w:sz w:val="22"/>
          <w:szCs w:val="22"/>
        </w:rPr>
      </w:pPr>
      <w:r w:rsidRPr="00460480">
        <w:rPr>
          <w:rFonts w:ascii="Calibri" w:hAnsi="Calibri"/>
          <w:sz w:val="22"/>
          <w:szCs w:val="22"/>
        </w:rPr>
        <w:t>There are no special circumstances requiring data collection to be inconsistent with Guidelines in 5 CFR 1320.5(d)(2).</w:t>
      </w:r>
    </w:p>
    <w:p w:rsidR="00F11A19" w:rsidRPr="00460480" w:rsidRDefault="00F11A19" w:rsidP="004D4E28">
      <w:pPr>
        <w:widowControl/>
        <w:rPr>
          <w:rFonts w:ascii="Calibri" w:hAnsi="Calibri"/>
          <w:sz w:val="22"/>
          <w:szCs w:val="22"/>
        </w:rPr>
      </w:pPr>
    </w:p>
    <w:p w:rsidR="00200EF2"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CONSULTATION WITH INDIVIDUALS OUTSIDE OF THE AGENCY ON</w:t>
      </w:r>
      <w:r w:rsidR="0026672D" w:rsidRPr="0026672D">
        <w:rPr>
          <w:rFonts w:ascii="Calibri" w:hAnsi="Calibri"/>
          <w:b/>
          <w:sz w:val="22"/>
          <w:szCs w:val="22"/>
          <w:u w:val="single"/>
        </w:rPr>
        <w:t xml:space="preserve"> </w:t>
      </w:r>
      <w:r w:rsidRPr="00460480">
        <w:rPr>
          <w:rFonts w:ascii="Calibri" w:hAnsi="Calibri"/>
          <w:b/>
          <w:sz w:val="22"/>
          <w:szCs w:val="22"/>
          <w:u w:val="single"/>
        </w:rPr>
        <w:t>AVAILABILITY OF DATA, FREQUENCY OF COLLECTION, CLARITY OF INSTRUCTIONS AND FORMS, AND DATA ELEMENTS</w:t>
      </w:r>
    </w:p>
    <w:p w:rsidR="00971D2D" w:rsidRPr="00460480" w:rsidRDefault="00971D2D" w:rsidP="00971D2D">
      <w:pPr>
        <w:pStyle w:val="Level1"/>
        <w:widowControl/>
        <w:numPr>
          <w:ilvl w:val="0"/>
          <w:numId w:val="0"/>
        </w:numPr>
        <w:tabs>
          <w:tab w:val="left" w:pos="-1440"/>
        </w:tabs>
        <w:ind w:left="720" w:hanging="720"/>
        <w:rPr>
          <w:rFonts w:ascii="Calibri" w:hAnsi="Calibri"/>
          <w:b/>
          <w:sz w:val="22"/>
          <w:szCs w:val="22"/>
          <w:u w:val="single"/>
        </w:rPr>
      </w:pPr>
    </w:p>
    <w:p w:rsidR="00971D2D" w:rsidRPr="00460480" w:rsidRDefault="00971D2D" w:rsidP="00971D2D">
      <w:pPr>
        <w:pStyle w:val="Level1"/>
        <w:widowControl/>
        <w:numPr>
          <w:ilvl w:val="0"/>
          <w:numId w:val="0"/>
        </w:numPr>
        <w:tabs>
          <w:tab w:val="left" w:pos="-1440"/>
        </w:tabs>
        <w:ind w:left="630"/>
        <w:rPr>
          <w:rFonts w:ascii="Calibri" w:hAnsi="Calibri"/>
          <w:sz w:val="22"/>
          <w:szCs w:val="22"/>
        </w:rPr>
      </w:pPr>
      <w:r w:rsidRPr="00460480">
        <w:rPr>
          <w:rFonts w:ascii="Calibri" w:hAnsi="Calibri"/>
          <w:sz w:val="22"/>
          <w:szCs w:val="22"/>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w:t>
      </w:r>
      <w:r w:rsidR="00662B0A">
        <w:rPr>
          <w:rFonts w:ascii="Calibri" w:hAnsi="Calibri"/>
          <w:sz w:val="22"/>
          <w:szCs w:val="22"/>
        </w:rPr>
        <w:t xml:space="preserve"> </w:t>
      </w:r>
      <w:r w:rsidRPr="00460480">
        <w:rPr>
          <w:rFonts w:ascii="Calibri" w:hAnsi="Calibri"/>
          <w:sz w:val="22"/>
          <w:szCs w:val="22"/>
        </w:rPr>
        <w:t>attending to make comments.</w:t>
      </w:r>
    </w:p>
    <w:p w:rsidR="00971D2D" w:rsidRPr="00460480" w:rsidRDefault="00971D2D" w:rsidP="00971D2D">
      <w:pPr>
        <w:pStyle w:val="Level1"/>
        <w:widowControl/>
        <w:numPr>
          <w:ilvl w:val="0"/>
          <w:numId w:val="0"/>
        </w:numPr>
        <w:tabs>
          <w:tab w:val="left" w:pos="-1440"/>
        </w:tabs>
        <w:ind w:left="630"/>
        <w:rPr>
          <w:rFonts w:ascii="Calibri" w:hAnsi="Calibri"/>
          <w:sz w:val="22"/>
          <w:szCs w:val="22"/>
        </w:rPr>
      </w:pPr>
    </w:p>
    <w:p w:rsidR="00F11A19" w:rsidRPr="00460480" w:rsidRDefault="00971D2D" w:rsidP="005E5151">
      <w:pPr>
        <w:pStyle w:val="Level1"/>
        <w:widowControl/>
        <w:numPr>
          <w:ilvl w:val="0"/>
          <w:numId w:val="0"/>
        </w:numPr>
        <w:tabs>
          <w:tab w:val="left" w:pos="-1440"/>
        </w:tabs>
        <w:ind w:left="630"/>
        <w:rPr>
          <w:rFonts w:ascii="Calibri" w:hAnsi="Calibri"/>
          <w:sz w:val="22"/>
          <w:szCs w:val="22"/>
        </w:rPr>
      </w:pPr>
      <w:r w:rsidRPr="00460480">
        <w:rPr>
          <w:rFonts w:ascii="Calibri" w:hAnsi="Calibri"/>
          <w:sz w:val="22"/>
          <w:szCs w:val="22"/>
        </w:rPr>
        <w:t>Revenue Procedure 2016-1</w:t>
      </w:r>
      <w:r w:rsidR="00C67A7D" w:rsidRPr="00460480">
        <w:rPr>
          <w:rFonts w:ascii="Calibri" w:hAnsi="Calibri"/>
          <w:sz w:val="22"/>
          <w:szCs w:val="22"/>
        </w:rPr>
        <w:t xml:space="preserve"> was published January 4,</w:t>
      </w:r>
      <w:r w:rsidR="00662B0A">
        <w:rPr>
          <w:rFonts w:ascii="Calibri" w:hAnsi="Calibri"/>
          <w:sz w:val="22"/>
          <w:szCs w:val="22"/>
        </w:rPr>
        <w:t xml:space="preserve"> </w:t>
      </w:r>
      <w:r w:rsidR="00F81DC0" w:rsidRPr="00460480">
        <w:rPr>
          <w:rFonts w:ascii="Calibri" w:hAnsi="Calibri"/>
          <w:sz w:val="22"/>
          <w:szCs w:val="22"/>
        </w:rPr>
        <w:t>2016</w:t>
      </w:r>
      <w:r w:rsidR="00BB281E">
        <w:rPr>
          <w:rFonts w:ascii="Calibri" w:hAnsi="Calibri"/>
          <w:sz w:val="22"/>
          <w:szCs w:val="22"/>
        </w:rPr>
        <w:t xml:space="preserve">, </w:t>
      </w:r>
      <w:r w:rsidR="00C67A7D" w:rsidRPr="00BB281E">
        <w:rPr>
          <w:rFonts w:ascii="Calibri" w:hAnsi="Calibri"/>
          <w:i/>
          <w:sz w:val="22"/>
          <w:szCs w:val="22"/>
        </w:rPr>
        <w:t>IRB 2016-1.</w:t>
      </w:r>
    </w:p>
    <w:p w:rsidR="00C67A7D" w:rsidRPr="00460480" w:rsidRDefault="00C67A7D" w:rsidP="005E5151">
      <w:pPr>
        <w:pStyle w:val="Level1"/>
        <w:widowControl/>
        <w:numPr>
          <w:ilvl w:val="0"/>
          <w:numId w:val="0"/>
        </w:numPr>
        <w:tabs>
          <w:tab w:val="left" w:pos="-1440"/>
        </w:tabs>
        <w:ind w:left="630"/>
        <w:rPr>
          <w:rFonts w:ascii="Calibri" w:hAnsi="Calibri"/>
          <w:sz w:val="22"/>
          <w:szCs w:val="22"/>
        </w:rPr>
      </w:pPr>
    </w:p>
    <w:p w:rsidR="00C67A7D" w:rsidRPr="00460480" w:rsidRDefault="00C67A7D" w:rsidP="00C67A7D">
      <w:pPr>
        <w:pStyle w:val="Level1"/>
        <w:widowControl/>
        <w:numPr>
          <w:ilvl w:val="0"/>
          <w:numId w:val="0"/>
        </w:numPr>
        <w:tabs>
          <w:tab w:val="left" w:pos="-1440"/>
        </w:tabs>
        <w:ind w:left="630"/>
        <w:rPr>
          <w:rFonts w:ascii="Calibri" w:hAnsi="Calibri"/>
          <w:sz w:val="22"/>
          <w:szCs w:val="22"/>
        </w:rPr>
      </w:pPr>
      <w:r w:rsidRPr="00460480">
        <w:rPr>
          <w:rFonts w:ascii="Calibri" w:hAnsi="Calibri"/>
          <w:sz w:val="22"/>
          <w:szCs w:val="22"/>
        </w:rPr>
        <w:tab/>
        <w:t>Revenue Procedure 2017-1 was published January 3,</w:t>
      </w:r>
      <w:r w:rsidR="00F81DC0" w:rsidRPr="00460480">
        <w:rPr>
          <w:rFonts w:ascii="Calibri" w:hAnsi="Calibri"/>
          <w:sz w:val="22"/>
          <w:szCs w:val="22"/>
        </w:rPr>
        <w:t xml:space="preserve"> 2017</w:t>
      </w:r>
      <w:r w:rsidRPr="00460480">
        <w:rPr>
          <w:rFonts w:ascii="Calibri" w:hAnsi="Calibri"/>
          <w:sz w:val="22"/>
          <w:szCs w:val="22"/>
        </w:rPr>
        <w:t xml:space="preserve"> </w:t>
      </w:r>
      <w:r w:rsidRPr="00BB281E">
        <w:rPr>
          <w:rFonts w:ascii="Calibri" w:hAnsi="Calibri"/>
          <w:i/>
          <w:sz w:val="22"/>
          <w:szCs w:val="22"/>
        </w:rPr>
        <w:t>IRB 2017-1</w:t>
      </w:r>
      <w:r w:rsidRPr="00460480">
        <w:rPr>
          <w:rFonts w:ascii="Calibri" w:hAnsi="Calibri"/>
          <w:sz w:val="22"/>
          <w:szCs w:val="22"/>
        </w:rPr>
        <w:t xml:space="preserve"> and superseded Revenue Procedure 2016-1.</w:t>
      </w:r>
    </w:p>
    <w:p w:rsidR="00E6216A" w:rsidRPr="00460480" w:rsidRDefault="00E6216A" w:rsidP="00E6216A">
      <w:pPr>
        <w:pStyle w:val="Level1"/>
        <w:widowControl/>
        <w:numPr>
          <w:ilvl w:val="0"/>
          <w:numId w:val="0"/>
        </w:numPr>
        <w:tabs>
          <w:tab w:val="left" w:pos="-1440"/>
        </w:tabs>
        <w:ind w:left="630"/>
        <w:rPr>
          <w:rFonts w:ascii="Calibri" w:hAnsi="Calibri"/>
          <w:sz w:val="22"/>
          <w:szCs w:val="22"/>
        </w:rPr>
      </w:pPr>
    </w:p>
    <w:p w:rsidR="00E6216A" w:rsidRPr="00460480" w:rsidRDefault="00E6216A" w:rsidP="00E6216A">
      <w:pPr>
        <w:pStyle w:val="Level1"/>
        <w:widowControl/>
        <w:numPr>
          <w:ilvl w:val="0"/>
          <w:numId w:val="0"/>
        </w:numPr>
        <w:tabs>
          <w:tab w:val="left" w:pos="-1440"/>
        </w:tabs>
        <w:ind w:left="630"/>
        <w:rPr>
          <w:rFonts w:ascii="Calibri" w:hAnsi="Calibri"/>
          <w:sz w:val="22"/>
          <w:szCs w:val="22"/>
        </w:rPr>
      </w:pPr>
      <w:r w:rsidRPr="00460480">
        <w:rPr>
          <w:rFonts w:ascii="Calibri" w:hAnsi="Calibri"/>
          <w:sz w:val="22"/>
          <w:szCs w:val="22"/>
        </w:rPr>
        <w:lastRenderedPageBreak/>
        <w:t>Revenue Procedure 2017-3 was published January 3,</w:t>
      </w:r>
      <w:r w:rsidR="00F81DC0" w:rsidRPr="00460480">
        <w:rPr>
          <w:rFonts w:ascii="Calibri" w:hAnsi="Calibri"/>
          <w:sz w:val="22"/>
          <w:szCs w:val="22"/>
        </w:rPr>
        <w:t xml:space="preserve"> 2017</w:t>
      </w:r>
      <w:r w:rsidRPr="00460480">
        <w:rPr>
          <w:rFonts w:ascii="Calibri" w:hAnsi="Calibri"/>
          <w:sz w:val="22"/>
          <w:szCs w:val="22"/>
        </w:rPr>
        <w:t xml:space="preserve"> </w:t>
      </w:r>
      <w:r w:rsidRPr="00BB281E">
        <w:rPr>
          <w:rFonts w:ascii="Calibri" w:hAnsi="Calibri"/>
          <w:i/>
          <w:sz w:val="22"/>
          <w:szCs w:val="22"/>
        </w:rPr>
        <w:t>IRB 2017-1</w:t>
      </w:r>
      <w:r w:rsidRPr="00460480">
        <w:rPr>
          <w:rFonts w:ascii="Calibri" w:hAnsi="Calibri"/>
          <w:sz w:val="22"/>
          <w:szCs w:val="22"/>
        </w:rPr>
        <w:t xml:space="preserve"> and superseded Revenue Procedure 2016-1.</w:t>
      </w:r>
    </w:p>
    <w:p w:rsidR="00E6216A" w:rsidRPr="00460480" w:rsidRDefault="00E6216A" w:rsidP="00E6216A">
      <w:pPr>
        <w:pStyle w:val="Level1"/>
        <w:widowControl/>
        <w:numPr>
          <w:ilvl w:val="0"/>
          <w:numId w:val="0"/>
        </w:numPr>
        <w:tabs>
          <w:tab w:val="left" w:pos="-1440"/>
        </w:tabs>
        <w:ind w:left="630"/>
        <w:rPr>
          <w:rFonts w:ascii="Calibri" w:hAnsi="Calibri"/>
          <w:sz w:val="22"/>
          <w:szCs w:val="22"/>
        </w:rPr>
      </w:pPr>
    </w:p>
    <w:p w:rsidR="00E6216A" w:rsidRPr="00460480" w:rsidRDefault="00E6216A" w:rsidP="00E6216A">
      <w:pPr>
        <w:pStyle w:val="Level1"/>
        <w:widowControl/>
        <w:numPr>
          <w:ilvl w:val="0"/>
          <w:numId w:val="0"/>
        </w:numPr>
        <w:tabs>
          <w:tab w:val="left" w:pos="-1440"/>
        </w:tabs>
        <w:ind w:left="630"/>
        <w:rPr>
          <w:rFonts w:ascii="Calibri" w:hAnsi="Calibri"/>
          <w:sz w:val="22"/>
          <w:szCs w:val="22"/>
        </w:rPr>
      </w:pPr>
      <w:r w:rsidRPr="00460480">
        <w:rPr>
          <w:rFonts w:ascii="Calibri" w:hAnsi="Calibri"/>
          <w:sz w:val="22"/>
          <w:szCs w:val="22"/>
        </w:rPr>
        <w:t>Revenue Procedure 2017-</w:t>
      </w:r>
      <w:r w:rsidR="00B858D5">
        <w:rPr>
          <w:rFonts w:ascii="Calibri" w:hAnsi="Calibri"/>
          <w:sz w:val="22"/>
          <w:szCs w:val="22"/>
        </w:rPr>
        <w:t>52</w:t>
      </w:r>
      <w:r w:rsidRPr="00460480">
        <w:rPr>
          <w:rFonts w:ascii="Calibri" w:hAnsi="Calibri"/>
          <w:sz w:val="22"/>
          <w:szCs w:val="22"/>
        </w:rPr>
        <w:t xml:space="preserve"> will modify and amplify Revenue Procedures 2017-1 and 2017-3.</w:t>
      </w:r>
    </w:p>
    <w:p w:rsidR="00557D8F" w:rsidRDefault="00557D8F" w:rsidP="00557D8F">
      <w:pPr>
        <w:widowControl/>
        <w:ind w:left="630"/>
        <w:rPr>
          <w:rFonts w:ascii="Calibri" w:hAnsi="Calibri"/>
          <w:sz w:val="22"/>
          <w:szCs w:val="22"/>
        </w:rPr>
      </w:pPr>
    </w:p>
    <w:p w:rsidR="00F11A19" w:rsidRDefault="00557D8F" w:rsidP="00557D8F">
      <w:pPr>
        <w:widowControl/>
        <w:ind w:left="630"/>
        <w:rPr>
          <w:rFonts w:ascii="Calibri" w:hAnsi="Calibri"/>
          <w:sz w:val="22"/>
          <w:szCs w:val="22"/>
        </w:rPr>
      </w:pPr>
      <w:r>
        <w:rPr>
          <w:rFonts w:ascii="Calibri" w:hAnsi="Calibri"/>
          <w:sz w:val="22"/>
          <w:szCs w:val="22"/>
        </w:rPr>
        <w:t xml:space="preserve">A </w:t>
      </w:r>
      <w:r w:rsidRPr="00557D8F">
        <w:rPr>
          <w:rFonts w:ascii="Calibri" w:hAnsi="Calibri"/>
          <w:i/>
          <w:sz w:val="22"/>
          <w:szCs w:val="22"/>
        </w:rPr>
        <w:t>Federal Register</w:t>
      </w:r>
      <w:r>
        <w:rPr>
          <w:rFonts w:ascii="Calibri" w:hAnsi="Calibri"/>
          <w:sz w:val="22"/>
          <w:szCs w:val="22"/>
        </w:rPr>
        <w:t xml:space="preserve"> Notice </w:t>
      </w:r>
      <w:r w:rsidRPr="00557D8F">
        <w:rPr>
          <w:rFonts w:ascii="Calibri" w:hAnsi="Calibri"/>
          <w:b/>
          <w:sz w:val="22"/>
          <w:szCs w:val="22"/>
        </w:rPr>
        <w:t>(82 FR 58693)</w:t>
      </w:r>
      <w:r>
        <w:rPr>
          <w:rFonts w:ascii="Calibri" w:hAnsi="Calibri"/>
          <w:sz w:val="22"/>
          <w:szCs w:val="22"/>
        </w:rPr>
        <w:t xml:space="preserve"> was published regarding t</w:t>
      </w:r>
      <w:r w:rsidR="003233A7">
        <w:rPr>
          <w:rFonts w:ascii="Calibri" w:hAnsi="Calibri"/>
          <w:sz w:val="22"/>
          <w:szCs w:val="22"/>
        </w:rPr>
        <w:t xml:space="preserve">hese Revenue Procedures </w:t>
      </w:r>
      <w:r>
        <w:rPr>
          <w:rFonts w:ascii="Calibri" w:hAnsi="Calibri"/>
          <w:sz w:val="22"/>
          <w:szCs w:val="22"/>
        </w:rPr>
        <w:t>(2017-1, 2017-3 &amp; 2017-2) on</w:t>
      </w:r>
      <w:r w:rsidR="003233A7">
        <w:rPr>
          <w:rFonts w:ascii="Calibri" w:hAnsi="Calibri"/>
          <w:sz w:val="22"/>
          <w:szCs w:val="22"/>
        </w:rPr>
        <w:t xml:space="preserve"> </w:t>
      </w:r>
      <w:r w:rsidR="003233A7" w:rsidRPr="00557D8F">
        <w:rPr>
          <w:rFonts w:ascii="Calibri" w:hAnsi="Calibri"/>
          <w:b/>
          <w:sz w:val="22"/>
          <w:szCs w:val="22"/>
        </w:rPr>
        <w:t>December 13, 2017</w:t>
      </w:r>
      <w:r w:rsidR="003233A7">
        <w:rPr>
          <w:rFonts w:ascii="Calibri" w:hAnsi="Calibri"/>
          <w:sz w:val="22"/>
          <w:szCs w:val="22"/>
        </w:rPr>
        <w:t>, inviting public comments.  No comments were received.</w:t>
      </w:r>
    </w:p>
    <w:p w:rsidR="003233A7" w:rsidRPr="00460480" w:rsidRDefault="003233A7" w:rsidP="00971D2D">
      <w:pPr>
        <w:widowControl/>
        <w:ind w:hanging="90"/>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EXPLANATION OF DECISION TO PROVIDE ANY PAYMENT OR GIFT TO</w:t>
      </w:r>
      <w:r w:rsidR="0026672D" w:rsidRPr="0026672D">
        <w:rPr>
          <w:rFonts w:ascii="Calibri" w:hAnsi="Calibri"/>
          <w:b/>
          <w:sz w:val="22"/>
          <w:szCs w:val="22"/>
          <w:u w:val="single"/>
        </w:rPr>
        <w:t xml:space="preserve"> </w:t>
      </w:r>
      <w:r w:rsidRPr="00460480">
        <w:rPr>
          <w:rFonts w:ascii="Calibri" w:hAnsi="Calibri"/>
          <w:b/>
          <w:sz w:val="22"/>
          <w:szCs w:val="22"/>
          <w:u w:val="single"/>
        </w:rPr>
        <w:t>RESPONDENTS</w:t>
      </w:r>
    </w:p>
    <w:p w:rsidR="00F11A19" w:rsidRPr="00460480" w:rsidRDefault="00F11A19" w:rsidP="004D4E28">
      <w:pPr>
        <w:widowControl/>
        <w:rPr>
          <w:rFonts w:ascii="Calibri" w:hAnsi="Calibri"/>
          <w:sz w:val="22"/>
          <w:szCs w:val="22"/>
        </w:rPr>
      </w:pPr>
    </w:p>
    <w:p w:rsidR="00F11A19" w:rsidRPr="00460480" w:rsidRDefault="00971D2D" w:rsidP="005E5151">
      <w:pPr>
        <w:widowControl/>
        <w:ind w:left="720"/>
        <w:rPr>
          <w:rFonts w:ascii="Calibri" w:hAnsi="Calibri"/>
          <w:sz w:val="22"/>
          <w:szCs w:val="22"/>
        </w:rPr>
      </w:pPr>
      <w:r w:rsidRPr="00460480">
        <w:rPr>
          <w:rFonts w:ascii="Calibri" w:hAnsi="Calibri"/>
          <w:sz w:val="22"/>
          <w:szCs w:val="22"/>
        </w:rPr>
        <w:t>No payment or gift has been provided to any respondents.</w:t>
      </w:r>
    </w:p>
    <w:p w:rsidR="00CE2FC0" w:rsidRPr="00460480" w:rsidRDefault="00CE2FC0" w:rsidP="004D4E28">
      <w:pPr>
        <w:widowControl/>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ASSURANCE OF CONFIDENTIALITY OF RESPONSES</w:t>
      </w:r>
    </w:p>
    <w:p w:rsidR="00F11A19" w:rsidRPr="00460480" w:rsidRDefault="00F11A19" w:rsidP="004D4E28">
      <w:pPr>
        <w:widowControl/>
        <w:rPr>
          <w:rFonts w:ascii="Calibri" w:hAnsi="Calibri"/>
          <w:sz w:val="22"/>
          <w:szCs w:val="22"/>
        </w:rPr>
      </w:pPr>
    </w:p>
    <w:p w:rsidR="00F11A19" w:rsidRPr="00460480" w:rsidRDefault="00F11A19" w:rsidP="005E5151">
      <w:pPr>
        <w:widowControl/>
        <w:ind w:left="720"/>
        <w:rPr>
          <w:rFonts w:ascii="Calibri" w:hAnsi="Calibri"/>
          <w:sz w:val="22"/>
          <w:szCs w:val="22"/>
        </w:rPr>
      </w:pPr>
      <w:r w:rsidRPr="00460480">
        <w:rPr>
          <w:rFonts w:ascii="Calibri" w:hAnsi="Calibri"/>
          <w:sz w:val="22"/>
          <w:szCs w:val="22"/>
        </w:rPr>
        <w:t>Generally, tax returns and tax return information are confidential as required by 26 USC 6103.</w:t>
      </w:r>
    </w:p>
    <w:p w:rsidR="00744121" w:rsidRPr="00460480" w:rsidRDefault="00744121" w:rsidP="004D4E28">
      <w:pPr>
        <w:widowControl/>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u w:val="single"/>
        </w:rPr>
      </w:pPr>
      <w:r w:rsidRPr="00460480">
        <w:rPr>
          <w:rFonts w:ascii="Calibri" w:hAnsi="Calibri"/>
          <w:b/>
          <w:sz w:val="22"/>
          <w:szCs w:val="22"/>
          <w:u w:val="single"/>
        </w:rPr>
        <w:t>JUSTIFICATION OF SENSITIVE QUESTIONS</w:t>
      </w:r>
    </w:p>
    <w:p w:rsidR="00AA5326" w:rsidRPr="00460480" w:rsidRDefault="00AA5326" w:rsidP="00AA5326">
      <w:pPr>
        <w:pStyle w:val="Level1"/>
        <w:widowControl/>
        <w:numPr>
          <w:ilvl w:val="0"/>
          <w:numId w:val="0"/>
        </w:numPr>
        <w:tabs>
          <w:tab w:val="left" w:pos="-1440"/>
        </w:tabs>
        <w:ind w:left="720" w:hanging="720"/>
        <w:rPr>
          <w:rFonts w:ascii="Calibri" w:hAnsi="Calibri"/>
          <w:b/>
          <w:sz w:val="22"/>
          <w:szCs w:val="22"/>
          <w:u w:val="single"/>
        </w:rPr>
      </w:pPr>
    </w:p>
    <w:p w:rsidR="00AA5326" w:rsidRPr="00460480" w:rsidRDefault="00AA5326" w:rsidP="00AA5326">
      <w:pPr>
        <w:ind w:left="720"/>
        <w:rPr>
          <w:rFonts w:ascii="Calibri" w:eastAsia="Calibri" w:hAnsi="Calibri" w:cs="Courier New"/>
          <w:sz w:val="22"/>
          <w:szCs w:val="22"/>
        </w:rPr>
      </w:pPr>
      <w:r w:rsidRPr="00460480">
        <w:rPr>
          <w:rFonts w:ascii="Calibri" w:eastAsia="Calibri" w:hAnsi="Calibri" w:cs="Courier New"/>
          <w:sz w:val="22"/>
          <w:szCs w:val="22"/>
        </w:rPr>
        <w:t>A privacy impact assessment (PIA) has been conducted for information collected under this request as part of the “Business Master File (BMF)” system and a Privacy Act System of Records notice (SORN) has been issued for this system under IRS Treas/IRS 24.046 BMF, and Treas/IRS 34.047 Audit trail and security records, The Internal Revenue Service PIAs can be found at</w:t>
      </w:r>
    </w:p>
    <w:p w:rsidR="00AA5326" w:rsidRPr="00460480" w:rsidRDefault="000A7EA1" w:rsidP="00AA5326">
      <w:pPr>
        <w:widowControl/>
        <w:autoSpaceDE/>
        <w:autoSpaceDN/>
        <w:adjustRightInd/>
        <w:spacing w:after="200" w:line="276" w:lineRule="auto"/>
        <w:ind w:left="720"/>
        <w:rPr>
          <w:rFonts w:ascii="Calibri" w:eastAsia="Calibri" w:hAnsi="Calibri" w:cs="Courier New"/>
          <w:sz w:val="22"/>
          <w:szCs w:val="22"/>
        </w:rPr>
      </w:pPr>
      <w:hyperlink r:id="rId8" w:history="1">
        <w:r w:rsidR="00AA5326" w:rsidRPr="00460480">
          <w:rPr>
            <w:rFonts w:ascii="Calibri" w:eastAsia="Calibri" w:hAnsi="Calibri" w:cs="Courier New"/>
            <w:color w:val="0000FF"/>
            <w:sz w:val="22"/>
            <w:szCs w:val="22"/>
            <w:u w:val="single"/>
          </w:rPr>
          <w:t>https://www.irs.gov/uac/Privacy-Impact-Assessments-PIA</w:t>
        </w:r>
      </w:hyperlink>
      <w:r w:rsidR="00AA5326" w:rsidRPr="00460480">
        <w:rPr>
          <w:rFonts w:ascii="Calibri" w:eastAsia="Calibri" w:hAnsi="Calibri" w:cs="Courier New"/>
          <w:sz w:val="22"/>
          <w:szCs w:val="22"/>
          <w:u w:val="single"/>
        </w:rPr>
        <w:t xml:space="preserve"> </w:t>
      </w:r>
    </w:p>
    <w:p w:rsidR="009235C5" w:rsidRPr="009235C5" w:rsidRDefault="00AA5326" w:rsidP="009235C5">
      <w:pPr>
        <w:widowControl/>
        <w:autoSpaceDE/>
        <w:autoSpaceDN/>
        <w:adjustRightInd/>
        <w:spacing w:after="200"/>
        <w:ind w:left="720"/>
        <w:rPr>
          <w:rFonts w:ascii="Calibri" w:eastAsia="Calibri" w:hAnsi="Calibri" w:cs="Courier New"/>
          <w:sz w:val="22"/>
          <w:szCs w:val="22"/>
        </w:rPr>
      </w:pPr>
      <w:r w:rsidRPr="00460480">
        <w:rPr>
          <w:rFonts w:ascii="Calibri" w:eastAsia="Calibri" w:hAnsi="Calibri" w:cs="Courier New"/>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F11A19" w:rsidRPr="00460480" w:rsidRDefault="00F11A19" w:rsidP="004D4E28">
      <w:pPr>
        <w:pStyle w:val="Level1"/>
        <w:widowControl/>
        <w:numPr>
          <w:ilvl w:val="0"/>
          <w:numId w:val="4"/>
        </w:numPr>
        <w:tabs>
          <w:tab w:val="left" w:pos="-1440"/>
        </w:tabs>
        <w:ind w:hanging="720"/>
        <w:rPr>
          <w:rFonts w:ascii="Calibri" w:hAnsi="Calibri"/>
          <w:b/>
          <w:sz w:val="22"/>
          <w:szCs w:val="22"/>
          <w:u w:val="single"/>
        </w:rPr>
      </w:pPr>
      <w:r w:rsidRPr="00460480">
        <w:rPr>
          <w:rFonts w:ascii="Calibri" w:hAnsi="Calibri"/>
          <w:b/>
          <w:sz w:val="22"/>
          <w:szCs w:val="22"/>
          <w:u w:val="single"/>
        </w:rPr>
        <w:t>ESTIMATED BURDEN OF INFORMATION COLLECTION</w:t>
      </w:r>
    </w:p>
    <w:p w:rsidR="00F11A19" w:rsidRPr="00460480" w:rsidRDefault="00F11A19" w:rsidP="004D4E28">
      <w:pPr>
        <w:widowControl/>
        <w:rPr>
          <w:rFonts w:ascii="Calibri" w:hAnsi="Calibri"/>
          <w:sz w:val="22"/>
          <w:szCs w:val="22"/>
          <w:u w:val="single"/>
        </w:rPr>
      </w:pPr>
    </w:p>
    <w:p w:rsidR="00AE61B4" w:rsidRPr="004B427A" w:rsidRDefault="00AE61B4" w:rsidP="00AE61B4">
      <w:pPr>
        <w:spacing w:before="120"/>
        <w:ind w:left="720"/>
        <w:rPr>
          <w:rFonts w:ascii="Calibri" w:hAnsi="Calibri"/>
          <w:sz w:val="22"/>
          <w:szCs w:val="22"/>
        </w:rPr>
      </w:pPr>
      <w:r w:rsidRPr="004B427A">
        <w:rPr>
          <w:rFonts w:ascii="Calibri" w:hAnsi="Calibri"/>
          <w:sz w:val="22"/>
          <w:szCs w:val="22"/>
        </w:rPr>
        <w:t xml:space="preserve">The collections of information in this revenue procedure are in section 3 and the Appendix. This information is required to determine whether a taxpayer would qualify for non-recognition treatment under this revenue procedure. The collections of information are required to obtain a benefit. </w:t>
      </w:r>
    </w:p>
    <w:p w:rsidR="00AE61B4" w:rsidRPr="004B427A" w:rsidRDefault="00AE61B4" w:rsidP="00AE61B4">
      <w:pPr>
        <w:spacing w:before="120"/>
        <w:ind w:left="720"/>
        <w:rPr>
          <w:rFonts w:ascii="Calibri" w:hAnsi="Calibri"/>
          <w:sz w:val="22"/>
          <w:szCs w:val="22"/>
        </w:rPr>
      </w:pPr>
      <w:r w:rsidRPr="004B427A">
        <w:rPr>
          <w:rFonts w:ascii="Calibri" w:hAnsi="Calibri"/>
          <w:sz w:val="22"/>
          <w:szCs w:val="22"/>
        </w:rPr>
        <w:t>The likely respondents are corporations that control another corporation, as well as the management of the corporation the stock of which is being distributed or that controls the corporation the stock of which is being distributed.</w:t>
      </w:r>
    </w:p>
    <w:p w:rsidR="002F0AD0" w:rsidRPr="00460480" w:rsidRDefault="002F0AD0" w:rsidP="009379E2">
      <w:pPr>
        <w:ind w:left="720"/>
        <w:rPr>
          <w:rFonts w:ascii="Calibri" w:hAnsi="Calibri" w:cs="Courier New"/>
          <w:sz w:val="22"/>
          <w:szCs w:val="22"/>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16"/>
        <w:gridCol w:w="1170"/>
        <w:gridCol w:w="1170"/>
        <w:gridCol w:w="1080"/>
        <w:gridCol w:w="1170"/>
        <w:gridCol w:w="1326"/>
      </w:tblGrid>
      <w:tr w:rsidR="002F0AD0" w:rsidRPr="00C94E69" w:rsidTr="009235C5">
        <w:tc>
          <w:tcPr>
            <w:tcW w:w="1978" w:type="dxa"/>
            <w:shd w:val="clear" w:color="auto" w:fill="auto"/>
            <w:vAlign w:val="bottom"/>
          </w:tcPr>
          <w:p w:rsidR="002F0AD0" w:rsidRPr="00C94E69" w:rsidRDefault="002F0AD0" w:rsidP="002F0AD0">
            <w:pPr>
              <w:keepNext/>
              <w:keepLines/>
              <w:numPr>
                <w:ilvl w:val="12"/>
                <w:numId w:val="0"/>
              </w:numPr>
              <w:jc w:val="center"/>
              <w:rPr>
                <w:rFonts w:ascii="Arial Narrow" w:hAnsi="Arial Narrow"/>
                <w:b/>
                <w:sz w:val="18"/>
                <w:szCs w:val="18"/>
              </w:rPr>
            </w:pPr>
            <w:r w:rsidRPr="00C94E69">
              <w:rPr>
                <w:rFonts w:ascii="Arial Narrow" w:hAnsi="Arial Narrow"/>
                <w:b/>
                <w:sz w:val="18"/>
                <w:szCs w:val="18"/>
              </w:rPr>
              <w:t>Authority</w:t>
            </w:r>
          </w:p>
        </w:tc>
        <w:tc>
          <w:tcPr>
            <w:tcW w:w="1916" w:type="dxa"/>
            <w:vAlign w:val="bottom"/>
          </w:tcPr>
          <w:p w:rsidR="002F0AD0" w:rsidRPr="00C94E69" w:rsidRDefault="002F0AD0" w:rsidP="002F0AD0">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002F0AD0" w:rsidRPr="00C94E69" w:rsidRDefault="002F0AD0" w:rsidP="00460480">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002F0AD0" w:rsidRPr="00C94E69" w:rsidRDefault="002F0AD0" w:rsidP="00460480">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002F0AD0" w:rsidRPr="00C94E69" w:rsidRDefault="002F0AD0" w:rsidP="00460480">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002F0AD0" w:rsidRPr="00C94E69" w:rsidRDefault="002F0AD0" w:rsidP="00460480">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326" w:type="dxa"/>
            <w:shd w:val="clear" w:color="auto" w:fill="auto"/>
            <w:vAlign w:val="bottom"/>
          </w:tcPr>
          <w:p w:rsidR="002F0AD0" w:rsidRPr="00C94E69" w:rsidRDefault="002F0AD0" w:rsidP="00460480">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007B1E8C" w:rsidRPr="00C94E69" w:rsidTr="009235C5">
        <w:tc>
          <w:tcPr>
            <w:tcW w:w="1978" w:type="dxa"/>
            <w:shd w:val="clear" w:color="auto" w:fill="auto"/>
            <w:vAlign w:val="bottom"/>
          </w:tcPr>
          <w:p w:rsidR="00CF15F5" w:rsidRDefault="00CF15F5" w:rsidP="002F0AD0">
            <w:pPr>
              <w:keepNext/>
              <w:keepLines/>
              <w:numPr>
                <w:ilvl w:val="12"/>
                <w:numId w:val="0"/>
              </w:numPr>
              <w:jc w:val="center"/>
              <w:rPr>
                <w:rFonts w:ascii="Arial Narrow" w:hAnsi="Arial Narrow"/>
                <w:sz w:val="18"/>
                <w:szCs w:val="18"/>
              </w:rPr>
            </w:pPr>
          </w:p>
          <w:p w:rsidR="007B1E8C" w:rsidRDefault="007B1E8C" w:rsidP="002F0AD0">
            <w:pPr>
              <w:keepNext/>
              <w:keepLines/>
              <w:numPr>
                <w:ilvl w:val="12"/>
                <w:numId w:val="0"/>
              </w:numPr>
              <w:jc w:val="center"/>
              <w:rPr>
                <w:rFonts w:ascii="Arial Narrow" w:hAnsi="Arial Narrow"/>
                <w:sz w:val="18"/>
                <w:szCs w:val="18"/>
              </w:rPr>
            </w:pPr>
            <w:r>
              <w:rPr>
                <w:rFonts w:ascii="Arial Narrow" w:hAnsi="Arial Narrow"/>
                <w:sz w:val="18"/>
                <w:szCs w:val="18"/>
              </w:rPr>
              <w:t>Rev Proc 2017-</w:t>
            </w:r>
            <w:r w:rsidR="00B858D5">
              <w:rPr>
                <w:rFonts w:ascii="Arial Narrow" w:hAnsi="Arial Narrow"/>
                <w:sz w:val="18"/>
                <w:szCs w:val="18"/>
              </w:rPr>
              <w:t>52</w:t>
            </w:r>
          </w:p>
          <w:p w:rsidR="00CF15F5" w:rsidRDefault="00CF15F5" w:rsidP="002F0AD0">
            <w:pPr>
              <w:keepNext/>
              <w:keepLines/>
              <w:numPr>
                <w:ilvl w:val="12"/>
                <w:numId w:val="0"/>
              </w:numPr>
              <w:jc w:val="center"/>
              <w:rPr>
                <w:rFonts w:ascii="Arial Narrow" w:hAnsi="Arial Narrow"/>
                <w:sz w:val="18"/>
                <w:szCs w:val="18"/>
              </w:rPr>
            </w:pPr>
          </w:p>
        </w:tc>
        <w:tc>
          <w:tcPr>
            <w:tcW w:w="1916" w:type="dxa"/>
            <w:vAlign w:val="bottom"/>
          </w:tcPr>
          <w:p w:rsidR="007B1E8C" w:rsidRDefault="00BB281E" w:rsidP="00460480">
            <w:pPr>
              <w:keepNext/>
              <w:keepLines/>
              <w:numPr>
                <w:ilvl w:val="12"/>
                <w:numId w:val="0"/>
              </w:numPr>
              <w:jc w:val="center"/>
              <w:rPr>
                <w:rFonts w:ascii="Arial Narrow" w:hAnsi="Arial Narrow"/>
                <w:sz w:val="18"/>
                <w:szCs w:val="18"/>
              </w:rPr>
            </w:pPr>
            <w:r>
              <w:rPr>
                <w:rFonts w:ascii="Arial Narrow" w:hAnsi="Arial Narrow"/>
                <w:sz w:val="18"/>
                <w:szCs w:val="18"/>
              </w:rPr>
              <w:t>Letter</w:t>
            </w:r>
            <w:r w:rsidR="00BE71FF">
              <w:rPr>
                <w:rFonts w:ascii="Arial Narrow" w:hAnsi="Arial Narrow"/>
                <w:sz w:val="18"/>
                <w:szCs w:val="18"/>
              </w:rPr>
              <w:t xml:space="preserve"> </w:t>
            </w:r>
          </w:p>
        </w:tc>
        <w:tc>
          <w:tcPr>
            <w:tcW w:w="1170" w:type="dxa"/>
            <w:vAlign w:val="bottom"/>
          </w:tcPr>
          <w:p w:rsidR="007B1E8C" w:rsidRDefault="007B1E8C" w:rsidP="00460480">
            <w:pPr>
              <w:keepNext/>
              <w:keepLines/>
              <w:numPr>
                <w:ilvl w:val="12"/>
                <w:numId w:val="0"/>
              </w:numPr>
              <w:jc w:val="center"/>
              <w:rPr>
                <w:rFonts w:ascii="Arial Narrow" w:hAnsi="Arial Narrow"/>
                <w:sz w:val="18"/>
                <w:szCs w:val="18"/>
              </w:rPr>
            </w:pPr>
            <w:r>
              <w:rPr>
                <w:rFonts w:ascii="Arial Narrow" w:hAnsi="Arial Narrow"/>
                <w:sz w:val="18"/>
                <w:szCs w:val="18"/>
              </w:rPr>
              <w:t>30</w:t>
            </w:r>
          </w:p>
        </w:tc>
        <w:tc>
          <w:tcPr>
            <w:tcW w:w="1170" w:type="dxa"/>
            <w:vAlign w:val="bottom"/>
          </w:tcPr>
          <w:p w:rsidR="007B1E8C" w:rsidRDefault="007B1E8C" w:rsidP="00460480">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7B1E8C" w:rsidRDefault="007B1E8C" w:rsidP="00460480">
            <w:pPr>
              <w:keepNext/>
              <w:keepLines/>
              <w:numPr>
                <w:ilvl w:val="12"/>
                <w:numId w:val="0"/>
              </w:numPr>
              <w:jc w:val="center"/>
              <w:rPr>
                <w:rFonts w:ascii="Arial Narrow" w:hAnsi="Arial Narrow"/>
                <w:sz w:val="18"/>
                <w:szCs w:val="18"/>
              </w:rPr>
            </w:pPr>
            <w:r>
              <w:rPr>
                <w:rFonts w:ascii="Arial Narrow" w:hAnsi="Arial Narrow"/>
                <w:sz w:val="18"/>
                <w:szCs w:val="18"/>
              </w:rPr>
              <w:t>30</w:t>
            </w:r>
          </w:p>
        </w:tc>
        <w:tc>
          <w:tcPr>
            <w:tcW w:w="1170" w:type="dxa"/>
            <w:vAlign w:val="bottom"/>
          </w:tcPr>
          <w:p w:rsidR="007B1E8C" w:rsidRDefault="00F23889" w:rsidP="00460480">
            <w:pPr>
              <w:keepNext/>
              <w:keepLines/>
              <w:numPr>
                <w:ilvl w:val="12"/>
                <w:numId w:val="0"/>
              </w:numPr>
              <w:jc w:val="center"/>
              <w:rPr>
                <w:rFonts w:ascii="Arial Narrow" w:hAnsi="Arial Narrow"/>
                <w:sz w:val="18"/>
                <w:szCs w:val="18"/>
              </w:rPr>
            </w:pPr>
            <w:r>
              <w:rPr>
                <w:rFonts w:ascii="Arial Narrow" w:hAnsi="Arial Narrow"/>
                <w:sz w:val="18"/>
                <w:szCs w:val="18"/>
              </w:rPr>
              <w:t>200</w:t>
            </w:r>
          </w:p>
        </w:tc>
        <w:tc>
          <w:tcPr>
            <w:tcW w:w="1326" w:type="dxa"/>
            <w:shd w:val="clear" w:color="auto" w:fill="auto"/>
            <w:vAlign w:val="bottom"/>
          </w:tcPr>
          <w:p w:rsidR="007B1E8C" w:rsidRDefault="00F23889" w:rsidP="00F23889">
            <w:pPr>
              <w:keepNext/>
              <w:keepLines/>
              <w:numPr>
                <w:ilvl w:val="12"/>
                <w:numId w:val="0"/>
              </w:numPr>
              <w:jc w:val="center"/>
              <w:rPr>
                <w:rFonts w:ascii="Arial Narrow" w:hAnsi="Arial Narrow"/>
                <w:sz w:val="18"/>
                <w:szCs w:val="18"/>
              </w:rPr>
            </w:pPr>
            <w:r>
              <w:rPr>
                <w:rFonts w:ascii="Arial Narrow" w:hAnsi="Arial Narrow"/>
                <w:sz w:val="18"/>
                <w:szCs w:val="18"/>
              </w:rPr>
              <w:t>6,00</w:t>
            </w:r>
            <w:r w:rsidR="007B1E8C">
              <w:rPr>
                <w:rFonts w:ascii="Arial Narrow" w:hAnsi="Arial Narrow"/>
                <w:sz w:val="18"/>
                <w:szCs w:val="18"/>
              </w:rPr>
              <w:t>0</w:t>
            </w:r>
          </w:p>
        </w:tc>
      </w:tr>
      <w:tr w:rsidR="002F0AD0" w:rsidRPr="00C94E69" w:rsidTr="009235C5">
        <w:tc>
          <w:tcPr>
            <w:tcW w:w="1978" w:type="dxa"/>
            <w:shd w:val="clear" w:color="auto" w:fill="auto"/>
            <w:vAlign w:val="bottom"/>
          </w:tcPr>
          <w:p w:rsidR="002F0AD0" w:rsidRDefault="002F0AD0" w:rsidP="002F0AD0">
            <w:pPr>
              <w:keepNext/>
              <w:keepLines/>
              <w:numPr>
                <w:ilvl w:val="12"/>
                <w:numId w:val="0"/>
              </w:numPr>
              <w:jc w:val="center"/>
              <w:rPr>
                <w:rFonts w:ascii="Arial Narrow" w:hAnsi="Arial Narrow"/>
                <w:sz w:val="18"/>
                <w:szCs w:val="18"/>
              </w:rPr>
            </w:pPr>
            <w:r>
              <w:rPr>
                <w:rFonts w:ascii="Arial Narrow" w:hAnsi="Arial Narrow"/>
                <w:sz w:val="18"/>
                <w:szCs w:val="18"/>
              </w:rPr>
              <w:t xml:space="preserve">Rev Proc </w:t>
            </w:r>
          </w:p>
          <w:p w:rsidR="002F0AD0" w:rsidRPr="00C94E69" w:rsidRDefault="002F0AD0" w:rsidP="002F0AD0">
            <w:pPr>
              <w:keepNext/>
              <w:keepLines/>
              <w:numPr>
                <w:ilvl w:val="12"/>
                <w:numId w:val="0"/>
              </w:numPr>
              <w:jc w:val="center"/>
              <w:rPr>
                <w:rFonts w:ascii="Arial Narrow" w:hAnsi="Arial Narrow"/>
                <w:sz w:val="18"/>
                <w:szCs w:val="18"/>
              </w:rPr>
            </w:pPr>
            <w:r>
              <w:rPr>
                <w:rFonts w:ascii="Arial Narrow" w:hAnsi="Arial Narrow"/>
                <w:sz w:val="18"/>
                <w:szCs w:val="18"/>
              </w:rPr>
              <w:t>2017-1 and 2017-3</w:t>
            </w:r>
          </w:p>
        </w:tc>
        <w:tc>
          <w:tcPr>
            <w:tcW w:w="1916" w:type="dxa"/>
            <w:vAlign w:val="bottom"/>
          </w:tcPr>
          <w:p w:rsidR="002F0AD0" w:rsidRPr="00C94E69" w:rsidRDefault="00F23889" w:rsidP="00F23889">
            <w:pPr>
              <w:keepNext/>
              <w:keepLines/>
              <w:numPr>
                <w:ilvl w:val="12"/>
                <w:numId w:val="0"/>
              </w:numPr>
              <w:jc w:val="center"/>
              <w:rPr>
                <w:rFonts w:ascii="Arial Narrow" w:hAnsi="Arial Narrow"/>
                <w:sz w:val="18"/>
                <w:szCs w:val="18"/>
              </w:rPr>
            </w:pPr>
            <w:r>
              <w:rPr>
                <w:rFonts w:ascii="Arial Narrow" w:hAnsi="Arial Narrow"/>
                <w:sz w:val="18"/>
                <w:szCs w:val="18"/>
              </w:rPr>
              <w:t>L</w:t>
            </w:r>
            <w:r w:rsidR="002F0AD0">
              <w:rPr>
                <w:rFonts w:ascii="Arial Narrow" w:hAnsi="Arial Narrow"/>
                <w:sz w:val="18"/>
                <w:szCs w:val="18"/>
              </w:rPr>
              <w:t>etter</w:t>
            </w:r>
          </w:p>
        </w:tc>
        <w:tc>
          <w:tcPr>
            <w:tcW w:w="1170" w:type="dxa"/>
            <w:vAlign w:val="bottom"/>
          </w:tcPr>
          <w:p w:rsidR="002F0AD0" w:rsidRPr="00C94E69" w:rsidRDefault="002F0AD0" w:rsidP="00460480">
            <w:pPr>
              <w:keepNext/>
              <w:keepLines/>
              <w:numPr>
                <w:ilvl w:val="12"/>
                <w:numId w:val="0"/>
              </w:numPr>
              <w:jc w:val="center"/>
              <w:rPr>
                <w:rFonts w:ascii="Arial Narrow" w:hAnsi="Arial Narrow"/>
                <w:sz w:val="18"/>
                <w:szCs w:val="18"/>
              </w:rPr>
            </w:pPr>
            <w:r>
              <w:rPr>
                <w:rFonts w:ascii="Arial Narrow" w:hAnsi="Arial Narrow"/>
                <w:sz w:val="18"/>
                <w:szCs w:val="18"/>
              </w:rPr>
              <w:t>3</w:t>
            </w:r>
            <w:r w:rsidR="00421278">
              <w:rPr>
                <w:rFonts w:ascii="Arial Narrow" w:hAnsi="Arial Narrow"/>
                <w:sz w:val="18"/>
                <w:szCs w:val="18"/>
              </w:rPr>
              <w:t>,</w:t>
            </w:r>
            <w:r>
              <w:rPr>
                <w:rFonts w:ascii="Arial Narrow" w:hAnsi="Arial Narrow"/>
                <w:sz w:val="18"/>
                <w:szCs w:val="18"/>
              </w:rPr>
              <w:t>9</w:t>
            </w:r>
            <w:r w:rsidR="007B1E8C">
              <w:rPr>
                <w:rFonts w:ascii="Arial Narrow" w:hAnsi="Arial Narrow"/>
                <w:sz w:val="18"/>
                <w:szCs w:val="18"/>
              </w:rPr>
              <w:t>56</w:t>
            </w:r>
          </w:p>
        </w:tc>
        <w:tc>
          <w:tcPr>
            <w:tcW w:w="1170" w:type="dxa"/>
            <w:vAlign w:val="bottom"/>
          </w:tcPr>
          <w:p w:rsidR="002F0AD0" w:rsidRPr="00C94E69" w:rsidRDefault="002F0AD0" w:rsidP="00460480">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002F0AD0" w:rsidRPr="00C94E69" w:rsidRDefault="00FC29DD" w:rsidP="00460480">
            <w:pPr>
              <w:keepNext/>
              <w:keepLines/>
              <w:numPr>
                <w:ilvl w:val="12"/>
                <w:numId w:val="0"/>
              </w:numPr>
              <w:jc w:val="center"/>
              <w:rPr>
                <w:rFonts w:ascii="Arial Narrow" w:hAnsi="Arial Narrow"/>
                <w:sz w:val="18"/>
                <w:szCs w:val="18"/>
              </w:rPr>
            </w:pPr>
            <w:r>
              <w:rPr>
                <w:rFonts w:ascii="Arial Narrow" w:hAnsi="Arial Narrow"/>
                <w:sz w:val="18"/>
                <w:szCs w:val="18"/>
              </w:rPr>
              <w:t>3</w:t>
            </w:r>
            <w:r w:rsidR="00421278">
              <w:rPr>
                <w:rFonts w:ascii="Arial Narrow" w:hAnsi="Arial Narrow"/>
                <w:sz w:val="18"/>
                <w:szCs w:val="18"/>
              </w:rPr>
              <w:t>,</w:t>
            </w:r>
            <w:r>
              <w:rPr>
                <w:rFonts w:ascii="Arial Narrow" w:hAnsi="Arial Narrow"/>
                <w:sz w:val="18"/>
                <w:szCs w:val="18"/>
              </w:rPr>
              <w:t>95</w:t>
            </w:r>
            <w:r w:rsidR="002F0AD0">
              <w:rPr>
                <w:rFonts w:ascii="Arial Narrow" w:hAnsi="Arial Narrow"/>
                <w:sz w:val="18"/>
                <w:szCs w:val="18"/>
              </w:rPr>
              <w:t>6</w:t>
            </w:r>
          </w:p>
        </w:tc>
        <w:tc>
          <w:tcPr>
            <w:tcW w:w="1170" w:type="dxa"/>
            <w:vAlign w:val="bottom"/>
          </w:tcPr>
          <w:p w:rsidR="002F0AD0" w:rsidRPr="00C94E69" w:rsidRDefault="002F0AD0" w:rsidP="00460480">
            <w:pPr>
              <w:keepNext/>
              <w:keepLines/>
              <w:numPr>
                <w:ilvl w:val="12"/>
                <w:numId w:val="0"/>
              </w:numPr>
              <w:jc w:val="center"/>
              <w:rPr>
                <w:rFonts w:ascii="Arial Narrow" w:hAnsi="Arial Narrow"/>
                <w:sz w:val="18"/>
                <w:szCs w:val="18"/>
              </w:rPr>
            </w:pPr>
            <w:r>
              <w:rPr>
                <w:rFonts w:ascii="Arial Narrow" w:hAnsi="Arial Narrow"/>
                <w:sz w:val="18"/>
                <w:szCs w:val="18"/>
              </w:rPr>
              <w:t>8</w:t>
            </w:r>
            <w:r w:rsidR="009235C5">
              <w:rPr>
                <w:rFonts w:ascii="Arial Narrow" w:hAnsi="Arial Narrow"/>
                <w:sz w:val="18"/>
                <w:szCs w:val="18"/>
              </w:rPr>
              <w:t>1</w:t>
            </w:r>
          </w:p>
        </w:tc>
        <w:tc>
          <w:tcPr>
            <w:tcW w:w="1326" w:type="dxa"/>
            <w:shd w:val="clear" w:color="auto" w:fill="auto"/>
            <w:vAlign w:val="bottom"/>
          </w:tcPr>
          <w:p w:rsidR="002F0AD0" w:rsidRPr="00C94E69" w:rsidRDefault="002F0AD0" w:rsidP="00BB281E">
            <w:pPr>
              <w:keepNext/>
              <w:keepLines/>
              <w:numPr>
                <w:ilvl w:val="12"/>
                <w:numId w:val="0"/>
              </w:numPr>
              <w:jc w:val="center"/>
              <w:rPr>
                <w:rFonts w:ascii="Arial Narrow" w:hAnsi="Arial Narrow"/>
                <w:sz w:val="18"/>
                <w:szCs w:val="18"/>
              </w:rPr>
            </w:pPr>
            <w:r>
              <w:rPr>
                <w:rFonts w:ascii="Arial Narrow" w:hAnsi="Arial Narrow"/>
                <w:sz w:val="18"/>
                <w:szCs w:val="18"/>
              </w:rPr>
              <w:t>3</w:t>
            </w:r>
            <w:r w:rsidR="009235C5">
              <w:rPr>
                <w:rFonts w:ascii="Arial Narrow" w:hAnsi="Arial Narrow"/>
                <w:sz w:val="18"/>
                <w:szCs w:val="18"/>
              </w:rPr>
              <w:t>20,436</w:t>
            </w:r>
          </w:p>
        </w:tc>
      </w:tr>
      <w:tr w:rsidR="002F0AD0" w:rsidRPr="00C94E69" w:rsidTr="009235C5">
        <w:trPr>
          <w:trHeight w:val="287"/>
        </w:trPr>
        <w:tc>
          <w:tcPr>
            <w:tcW w:w="1978" w:type="dxa"/>
            <w:shd w:val="clear" w:color="auto" w:fill="auto"/>
            <w:vAlign w:val="bottom"/>
          </w:tcPr>
          <w:p w:rsidR="002F0AD0" w:rsidRPr="00C94E69" w:rsidRDefault="002F0AD0" w:rsidP="002F0AD0">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002F0AD0" w:rsidRPr="00C94E69" w:rsidRDefault="002F0AD0" w:rsidP="002F0AD0">
            <w:pPr>
              <w:keepNext/>
              <w:keepLines/>
              <w:numPr>
                <w:ilvl w:val="12"/>
                <w:numId w:val="0"/>
              </w:numPr>
              <w:jc w:val="center"/>
              <w:rPr>
                <w:rFonts w:ascii="Arial Narrow" w:hAnsi="Arial Narrow"/>
                <w:sz w:val="18"/>
                <w:szCs w:val="18"/>
              </w:rPr>
            </w:pPr>
          </w:p>
        </w:tc>
        <w:tc>
          <w:tcPr>
            <w:tcW w:w="1170" w:type="dxa"/>
            <w:vAlign w:val="bottom"/>
          </w:tcPr>
          <w:p w:rsidR="002F0AD0" w:rsidRPr="00C94E69" w:rsidRDefault="002F0AD0" w:rsidP="00460480">
            <w:pPr>
              <w:keepNext/>
              <w:keepLines/>
              <w:numPr>
                <w:ilvl w:val="12"/>
                <w:numId w:val="0"/>
              </w:numPr>
              <w:jc w:val="center"/>
              <w:rPr>
                <w:rFonts w:ascii="Arial Narrow" w:hAnsi="Arial Narrow"/>
                <w:sz w:val="18"/>
                <w:szCs w:val="18"/>
              </w:rPr>
            </w:pPr>
          </w:p>
        </w:tc>
        <w:tc>
          <w:tcPr>
            <w:tcW w:w="1170" w:type="dxa"/>
            <w:vAlign w:val="bottom"/>
          </w:tcPr>
          <w:p w:rsidR="002F0AD0" w:rsidRPr="00C94E69" w:rsidRDefault="002F0AD0" w:rsidP="00460480">
            <w:pPr>
              <w:keepNext/>
              <w:keepLines/>
              <w:numPr>
                <w:ilvl w:val="12"/>
                <w:numId w:val="0"/>
              </w:numPr>
              <w:jc w:val="center"/>
              <w:rPr>
                <w:rFonts w:ascii="Arial Narrow" w:hAnsi="Arial Narrow"/>
                <w:sz w:val="18"/>
                <w:szCs w:val="18"/>
              </w:rPr>
            </w:pPr>
          </w:p>
        </w:tc>
        <w:tc>
          <w:tcPr>
            <w:tcW w:w="1080" w:type="dxa"/>
            <w:shd w:val="clear" w:color="auto" w:fill="auto"/>
            <w:vAlign w:val="bottom"/>
          </w:tcPr>
          <w:p w:rsidR="002F0AD0" w:rsidRPr="00C94E69" w:rsidRDefault="00AA0FC1" w:rsidP="00460480">
            <w:pPr>
              <w:keepNext/>
              <w:keepLines/>
              <w:numPr>
                <w:ilvl w:val="12"/>
                <w:numId w:val="0"/>
              </w:numPr>
              <w:jc w:val="center"/>
              <w:rPr>
                <w:rFonts w:ascii="Arial Narrow" w:hAnsi="Arial Narrow"/>
                <w:sz w:val="18"/>
                <w:szCs w:val="18"/>
              </w:rPr>
            </w:pPr>
            <w:r>
              <w:rPr>
                <w:rFonts w:ascii="Arial Narrow" w:hAnsi="Arial Narrow"/>
                <w:sz w:val="18"/>
                <w:szCs w:val="18"/>
              </w:rPr>
              <w:t>3,986</w:t>
            </w:r>
          </w:p>
        </w:tc>
        <w:tc>
          <w:tcPr>
            <w:tcW w:w="1170" w:type="dxa"/>
            <w:vAlign w:val="bottom"/>
          </w:tcPr>
          <w:p w:rsidR="002F0AD0" w:rsidRPr="00C94E69" w:rsidRDefault="002F0AD0" w:rsidP="00460480">
            <w:pPr>
              <w:keepNext/>
              <w:keepLines/>
              <w:numPr>
                <w:ilvl w:val="12"/>
                <w:numId w:val="0"/>
              </w:numPr>
              <w:jc w:val="center"/>
              <w:rPr>
                <w:rFonts w:ascii="Arial Narrow" w:hAnsi="Arial Narrow"/>
                <w:sz w:val="18"/>
                <w:szCs w:val="18"/>
              </w:rPr>
            </w:pPr>
          </w:p>
        </w:tc>
        <w:tc>
          <w:tcPr>
            <w:tcW w:w="1326" w:type="dxa"/>
            <w:shd w:val="clear" w:color="auto" w:fill="auto"/>
            <w:vAlign w:val="bottom"/>
          </w:tcPr>
          <w:p w:rsidR="002F0AD0" w:rsidRPr="00C94E69" w:rsidRDefault="00BB281E" w:rsidP="00BB281E">
            <w:pPr>
              <w:keepNext/>
              <w:keepLines/>
              <w:numPr>
                <w:ilvl w:val="12"/>
                <w:numId w:val="0"/>
              </w:numPr>
              <w:jc w:val="center"/>
              <w:rPr>
                <w:rFonts w:ascii="Arial Narrow" w:hAnsi="Arial Narrow"/>
                <w:sz w:val="18"/>
                <w:szCs w:val="18"/>
              </w:rPr>
            </w:pPr>
            <w:r>
              <w:rPr>
                <w:rFonts w:ascii="Arial Narrow" w:hAnsi="Arial Narrow"/>
                <w:sz w:val="18"/>
                <w:szCs w:val="18"/>
              </w:rPr>
              <w:t>3</w:t>
            </w:r>
            <w:r w:rsidR="00F23889">
              <w:rPr>
                <w:rFonts w:ascii="Arial Narrow" w:hAnsi="Arial Narrow"/>
                <w:sz w:val="18"/>
                <w:szCs w:val="18"/>
              </w:rPr>
              <w:t>2</w:t>
            </w:r>
            <w:r w:rsidR="00891C3E">
              <w:rPr>
                <w:rFonts w:ascii="Arial Narrow" w:hAnsi="Arial Narrow"/>
                <w:sz w:val="18"/>
                <w:szCs w:val="18"/>
              </w:rPr>
              <w:t>6</w:t>
            </w:r>
            <w:r w:rsidR="00AB1DEE">
              <w:rPr>
                <w:rFonts w:ascii="Arial Narrow" w:hAnsi="Arial Narrow"/>
                <w:sz w:val="18"/>
                <w:szCs w:val="18"/>
              </w:rPr>
              <w:t>,</w:t>
            </w:r>
            <w:r w:rsidR="00891C3E">
              <w:rPr>
                <w:rFonts w:ascii="Arial Narrow" w:hAnsi="Arial Narrow"/>
                <w:sz w:val="18"/>
                <w:szCs w:val="18"/>
              </w:rPr>
              <w:t>436</w:t>
            </w:r>
          </w:p>
        </w:tc>
      </w:tr>
    </w:tbl>
    <w:p w:rsidR="009379E2" w:rsidRPr="00460480" w:rsidRDefault="009379E2" w:rsidP="00E44E9B">
      <w:pPr>
        <w:widowControl/>
        <w:ind w:left="720"/>
        <w:rPr>
          <w:rFonts w:ascii="Calibri" w:hAnsi="Calibri" w:cs="Arial"/>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ESTIMATED TOTAL ANNUAL COST BURDEN TO RESPONDENTS</w:t>
      </w:r>
    </w:p>
    <w:p w:rsidR="00FB3063" w:rsidRPr="00460480" w:rsidRDefault="00FB3063" w:rsidP="00FB3063">
      <w:pPr>
        <w:pStyle w:val="Level1"/>
        <w:widowControl/>
        <w:numPr>
          <w:ilvl w:val="0"/>
          <w:numId w:val="0"/>
        </w:numPr>
        <w:tabs>
          <w:tab w:val="left" w:pos="-1440"/>
        </w:tabs>
        <w:ind w:left="720" w:hanging="720"/>
        <w:rPr>
          <w:rFonts w:ascii="Calibri" w:hAnsi="Calibri"/>
          <w:b/>
          <w:sz w:val="22"/>
          <w:szCs w:val="22"/>
        </w:rPr>
      </w:pPr>
    </w:p>
    <w:p w:rsidR="00E213A7" w:rsidRPr="00E213A7" w:rsidRDefault="00E213A7" w:rsidP="00E213A7">
      <w:pPr>
        <w:ind w:left="720"/>
        <w:rPr>
          <w:rFonts w:ascii="Calibri" w:hAnsi="Calibri"/>
          <w:sz w:val="22"/>
          <w:szCs w:val="22"/>
        </w:rPr>
      </w:pPr>
      <w:r w:rsidRPr="00E213A7">
        <w:rPr>
          <w:rFonts w:ascii="Calibri" w:hAnsi="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F11A19" w:rsidRPr="00460480" w:rsidRDefault="00F11A19" w:rsidP="004D4E28">
      <w:pPr>
        <w:widowControl/>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ESTIMATED ANNUALIZED COST TO THE FEDERAL GOVERNMENT</w:t>
      </w:r>
    </w:p>
    <w:p w:rsidR="00F11A19" w:rsidRPr="00460480" w:rsidRDefault="00F11A19" w:rsidP="004D4E28">
      <w:pPr>
        <w:widowControl/>
        <w:rPr>
          <w:rFonts w:ascii="Calibri" w:hAnsi="Calibri"/>
          <w:sz w:val="22"/>
          <w:szCs w:val="22"/>
        </w:rPr>
      </w:pPr>
    </w:p>
    <w:p w:rsidR="00E213A7" w:rsidRPr="00E213A7" w:rsidRDefault="00E213A7" w:rsidP="00E213A7">
      <w:pPr>
        <w:ind w:left="720"/>
        <w:rPr>
          <w:rFonts w:ascii="Calibri" w:hAnsi="Calibri"/>
          <w:sz w:val="22"/>
          <w:szCs w:val="22"/>
        </w:rPr>
      </w:pPr>
      <w:r w:rsidRPr="00E213A7">
        <w:rPr>
          <w:rFonts w:ascii="Calibri" w:hAnsi="Calibri"/>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552C20" w:rsidRPr="00460480" w:rsidRDefault="00552C20" w:rsidP="004D4E28">
      <w:pPr>
        <w:widowControl/>
        <w:ind w:left="720"/>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REASONS FOR CHANGE IN BURDEN</w:t>
      </w:r>
    </w:p>
    <w:p w:rsidR="004949F5" w:rsidRPr="00460480" w:rsidRDefault="004949F5" w:rsidP="00175114">
      <w:pPr>
        <w:widowControl/>
        <w:ind w:left="720"/>
        <w:rPr>
          <w:rFonts w:ascii="Calibri" w:hAnsi="Calibri"/>
          <w:sz w:val="22"/>
          <w:szCs w:val="22"/>
        </w:rPr>
      </w:pPr>
    </w:p>
    <w:p w:rsidR="00CE2FC0" w:rsidRDefault="00B0360D" w:rsidP="00387828">
      <w:pPr>
        <w:widowControl/>
        <w:ind w:left="720"/>
        <w:rPr>
          <w:rFonts w:ascii="Calibri" w:hAnsi="Calibri"/>
          <w:sz w:val="22"/>
          <w:szCs w:val="22"/>
        </w:rPr>
      </w:pPr>
      <w:r w:rsidRPr="00B0360D">
        <w:rPr>
          <w:rFonts w:ascii="Calibri" w:hAnsi="Calibri"/>
          <w:sz w:val="22"/>
          <w:szCs w:val="22"/>
        </w:rPr>
        <w:t xml:space="preserve">There is no change in the paperwork burden previously approved by OMB.  We are making this submission to renew the OMB approval. </w:t>
      </w:r>
    </w:p>
    <w:p w:rsidR="00387828" w:rsidRPr="00460480" w:rsidRDefault="00387828" w:rsidP="00387828">
      <w:pPr>
        <w:widowControl/>
        <w:ind w:left="720"/>
        <w:rPr>
          <w:rFonts w:ascii="Calibri" w:hAnsi="Calibri" w:cs="Courier New"/>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PLANS FOR TABULATION, STATISTICAL ANALYSIS AND PUBLICATION</w:t>
      </w:r>
    </w:p>
    <w:p w:rsidR="00F11A19" w:rsidRPr="00460480" w:rsidRDefault="00F11A19" w:rsidP="004D4E28">
      <w:pPr>
        <w:widowControl/>
        <w:rPr>
          <w:rFonts w:ascii="Calibri" w:hAnsi="Calibri"/>
          <w:sz w:val="22"/>
          <w:szCs w:val="22"/>
        </w:rPr>
      </w:pPr>
    </w:p>
    <w:p w:rsidR="00F11A19" w:rsidRPr="00460480" w:rsidRDefault="005E5151" w:rsidP="004D4E28">
      <w:pPr>
        <w:widowControl/>
        <w:ind w:left="720"/>
        <w:rPr>
          <w:rFonts w:ascii="Calibri" w:hAnsi="Calibri"/>
          <w:sz w:val="22"/>
          <w:szCs w:val="22"/>
        </w:rPr>
      </w:pPr>
      <w:r w:rsidRPr="00460480">
        <w:rPr>
          <w:rFonts w:ascii="Calibri" w:hAnsi="Calibri"/>
          <w:sz w:val="22"/>
          <w:szCs w:val="22"/>
        </w:rPr>
        <w:t>There are no plans for tabulation, statistical analysis and publication.</w:t>
      </w:r>
    </w:p>
    <w:p w:rsidR="00F11A19" w:rsidRPr="00460480" w:rsidRDefault="00F11A19" w:rsidP="004D4E28">
      <w:pPr>
        <w:widowControl/>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REASONS WHY DISPLAYING THE OMB EXPIRATION DATE IS</w:t>
      </w:r>
      <w:r w:rsidR="00BB281E">
        <w:rPr>
          <w:rFonts w:ascii="Calibri" w:hAnsi="Calibri"/>
          <w:b/>
          <w:sz w:val="22"/>
          <w:szCs w:val="22"/>
          <w:u w:val="single"/>
        </w:rPr>
        <w:t xml:space="preserve"> I</w:t>
      </w:r>
      <w:r w:rsidRPr="00460480">
        <w:rPr>
          <w:rFonts w:ascii="Calibri" w:hAnsi="Calibri"/>
          <w:b/>
          <w:sz w:val="22"/>
          <w:szCs w:val="22"/>
          <w:u w:val="single"/>
        </w:rPr>
        <w:t>NAPPROPRIATE</w:t>
      </w:r>
    </w:p>
    <w:p w:rsidR="00F11A19" w:rsidRPr="00460480" w:rsidRDefault="00F11A19" w:rsidP="004D4E28">
      <w:pPr>
        <w:widowControl/>
        <w:rPr>
          <w:rFonts w:ascii="Calibri" w:hAnsi="Calibri"/>
          <w:sz w:val="22"/>
          <w:szCs w:val="22"/>
        </w:rPr>
      </w:pPr>
    </w:p>
    <w:p w:rsidR="00E213A7" w:rsidRPr="00E213A7" w:rsidRDefault="00B0360D" w:rsidP="00E213A7">
      <w:pPr>
        <w:ind w:left="720"/>
        <w:rPr>
          <w:rFonts w:ascii="Calibri" w:hAnsi="Calibri"/>
          <w:sz w:val="22"/>
          <w:szCs w:val="22"/>
        </w:rPr>
      </w:pPr>
      <w:r>
        <w:rPr>
          <w:rFonts w:ascii="Calibri" w:hAnsi="Calibri"/>
          <w:sz w:val="22"/>
          <w:szCs w:val="22"/>
        </w:rPr>
        <w:t>IRS</w:t>
      </w:r>
      <w:r w:rsidRPr="00E213A7">
        <w:rPr>
          <w:rFonts w:ascii="Calibri" w:hAnsi="Calibri"/>
          <w:sz w:val="22"/>
          <w:szCs w:val="22"/>
        </w:rPr>
        <w:t xml:space="preserve"> </w:t>
      </w:r>
      <w:r w:rsidR="00E213A7" w:rsidRPr="00E213A7">
        <w:rPr>
          <w:rFonts w:ascii="Calibri" w:hAnsi="Calibri"/>
          <w:sz w:val="22"/>
          <w:szCs w:val="22"/>
        </w:rPr>
        <w:t>believe</w:t>
      </w:r>
      <w:r>
        <w:rPr>
          <w:rFonts w:ascii="Calibri" w:hAnsi="Calibri"/>
          <w:sz w:val="22"/>
          <w:szCs w:val="22"/>
        </w:rPr>
        <w:t>s</w:t>
      </w:r>
      <w:r w:rsidR="00E213A7" w:rsidRPr="00E213A7">
        <w:rPr>
          <w:rFonts w:ascii="Calibri" w:hAnsi="Calibri"/>
          <w:sz w:val="22"/>
          <w:szCs w:val="22"/>
        </w:rPr>
        <w:t xml:space="preserve"> that displaying the OMB expiration date is inappropriate because it could cause confusion by leading taxpayers to believe that the r</w:t>
      </w:r>
      <w:r w:rsidR="00E213A7">
        <w:rPr>
          <w:rFonts w:ascii="Calibri" w:hAnsi="Calibri"/>
          <w:sz w:val="22"/>
          <w:szCs w:val="22"/>
        </w:rPr>
        <w:t>evenue procedure</w:t>
      </w:r>
      <w:r w:rsidR="00E213A7" w:rsidRPr="00E213A7">
        <w:rPr>
          <w:rFonts w:ascii="Calibri" w:hAnsi="Calibri"/>
          <w:sz w:val="22"/>
          <w:szCs w:val="22"/>
        </w:rPr>
        <w:t xml:space="preserve"> sunsets as of the expiration date.  Taxpayers are not likely to be aware that the Service intends to request renewal of the OMB approval and obtain a new expiration date before the old one expires.</w:t>
      </w:r>
    </w:p>
    <w:p w:rsidR="00441109" w:rsidRPr="00460480" w:rsidRDefault="00441109" w:rsidP="00441109">
      <w:pPr>
        <w:widowControl/>
        <w:rPr>
          <w:rFonts w:ascii="Calibri" w:hAnsi="Calibri"/>
          <w:sz w:val="22"/>
          <w:szCs w:val="22"/>
        </w:rPr>
      </w:pPr>
    </w:p>
    <w:p w:rsidR="00F11A19" w:rsidRPr="00460480" w:rsidRDefault="00F11A19" w:rsidP="005E5151">
      <w:pPr>
        <w:widowControl/>
        <w:ind w:left="720"/>
        <w:rPr>
          <w:rFonts w:ascii="Calibri" w:hAnsi="Calibri"/>
          <w:sz w:val="22"/>
          <w:szCs w:val="22"/>
        </w:rPr>
      </w:pPr>
    </w:p>
    <w:p w:rsidR="00F11A19" w:rsidRPr="00460480" w:rsidRDefault="00F11A19" w:rsidP="004D4E28">
      <w:pPr>
        <w:pStyle w:val="Level1"/>
        <w:widowControl/>
        <w:numPr>
          <w:ilvl w:val="0"/>
          <w:numId w:val="4"/>
        </w:numPr>
        <w:tabs>
          <w:tab w:val="left" w:pos="-1440"/>
        </w:tabs>
        <w:ind w:hanging="720"/>
        <w:rPr>
          <w:rFonts w:ascii="Calibri" w:hAnsi="Calibri"/>
          <w:b/>
          <w:sz w:val="22"/>
          <w:szCs w:val="22"/>
        </w:rPr>
      </w:pPr>
      <w:r w:rsidRPr="00460480">
        <w:rPr>
          <w:rFonts w:ascii="Calibri" w:hAnsi="Calibri"/>
          <w:b/>
          <w:sz w:val="22"/>
          <w:szCs w:val="22"/>
          <w:u w:val="single"/>
        </w:rPr>
        <w:t>EXCEPTIONS TO THE CERTIFICATION STATEMENT</w:t>
      </w:r>
    </w:p>
    <w:p w:rsidR="00F11A19" w:rsidRPr="00460480" w:rsidRDefault="00F11A19" w:rsidP="004D4E28">
      <w:pPr>
        <w:widowControl/>
        <w:rPr>
          <w:rFonts w:ascii="Calibri" w:hAnsi="Calibri"/>
          <w:sz w:val="22"/>
          <w:szCs w:val="22"/>
        </w:rPr>
      </w:pPr>
    </w:p>
    <w:p w:rsidR="00F11A19" w:rsidRPr="00460480" w:rsidRDefault="005E5151" w:rsidP="004D4E28">
      <w:pPr>
        <w:widowControl/>
        <w:ind w:left="720"/>
        <w:rPr>
          <w:rFonts w:ascii="Calibri" w:hAnsi="Calibri"/>
          <w:sz w:val="22"/>
          <w:szCs w:val="22"/>
        </w:rPr>
      </w:pPr>
      <w:r w:rsidRPr="00460480">
        <w:rPr>
          <w:rFonts w:ascii="Calibri" w:hAnsi="Calibri"/>
          <w:sz w:val="22"/>
          <w:szCs w:val="22"/>
        </w:rPr>
        <w:t xml:space="preserve">There are no exceptions to the certification statement.   </w:t>
      </w:r>
    </w:p>
    <w:p w:rsidR="00F11A19" w:rsidRPr="00460480" w:rsidRDefault="00F11A19" w:rsidP="004D4E28">
      <w:pPr>
        <w:widowControl/>
        <w:rPr>
          <w:rFonts w:ascii="Calibri" w:hAnsi="Calibri"/>
          <w:sz w:val="22"/>
          <w:szCs w:val="22"/>
        </w:rPr>
      </w:pPr>
    </w:p>
    <w:p w:rsidR="00F11A19" w:rsidRPr="00460480" w:rsidRDefault="00F11A19" w:rsidP="004D4E28">
      <w:pPr>
        <w:widowControl/>
        <w:rPr>
          <w:rFonts w:ascii="Calibri" w:hAnsi="Calibri"/>
          <w:sz w:val="22"/>
          <w:szCs w:val="22"/>
        </w:rPr>
      </w:pPr>
      <w:r w:rsidRPr="00460480">
        <w:rPr>
          <w:rFonts w:ascii="Calibri" w:hAnsi="Calibri"/>
          <w:b/>
          <w:bCs/>
          <w:sz w:val="22"/>
          <w:szCs w:val="22"/>
          <w:u w:val="single"/>
        </w:rPr>
        <w:t>Note:</w:t>
      </w:r>
      <w:r w:rsidRPr="00460480">
        <w:rPr>
          <w:rFonts w:ascii="Calibri" w:hAnsi="Calibri"/>
          <w:sz w:val="22"/>
          <w:szCs w:val="22"/>
        </w:rPr>
        <w:t xml:space="preserve">  The following paragraph applies to all of the collections of information in this submission:</w:t>
      </w:r>
    </w:p>
    <w:p w:rsidR="00F11A19" w:rsidRPr="00460480" w:rsidRDefault="00F11A19" w:rsidP="004D4E28">
      <w:pPr>
        <w:widowControl/>
        <w:rPr>
          <w:rFonts w:ascii="Calibri" w:hAnsi="Calibri"/>
          <w:sz w:val="22"/>
          <w:szCs w:val="22"/>
        </w:rPr>
      </w:pPr>
    </w:p>
    <w:p w:rsidR="005E5151" w:rsidRPr="00460480" w:rsidRDefault="00F11A19" w:rsidP="005E5151">
      <w:pPr>
        <w:widowControl/>
        <w:rPr>
          <w:rFonts w:ascii="Calibri" w:hAnsi="Calibri"/>
          <w:sz w:val="22"/>
          <w:szCs w:val="22"/>
        </w:rPr>
      </w:pPr>
      <w:r w:rsidRPr="00460480">
        <w:rPr>
          <w:rFonts w:ascii="Calibri" w:hAnsi="Calibri"/>
          <w:sz w:val="22"/>
          <w:szCs w:val="22"/>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sectPr w:rsidR="005E5151" w:rsidRPr="00460480" w:rsidSect="00D6789C">
      <w:footerReference w:type="even" r:id="rId9"/>
      <w:footerReference w:type="default" r:id="rId10"/>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11" w:rsidRDefault="00201611">
      <w:r>
        <w:separator/>
      </w:r>
    </w:p>
  </w:endnote>
  <w:endnote w:type="continuationSeparator" w:id="0">
    <w:p w:rsidR="00201611" w:rsidRDefault="0020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F5" w:rsidRDefault="00D90EF5" w:rsidP="00D90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0EF5" w:rsidRDefault="00D90EF5" w:rsidP="00D90E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EF5" w:rsidRDefault="00D90EF5" w:rsidP="00D90E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7EA1">
      <w:rPr>
        <w:rStyle w:val="PageNumber"/>
        <w:noProof/>
      </w:rPr>
      <w:t>1</w:t>
    </w:r>
    <w:r>
      <w:rPr>
        <w:rStyle w:val="PageNumber"/>
      </w:rPr>
      <w:fldChar w:fldCharType="end"/>
    </w:r>
  </w:p>
  <w:p w:rsidR="00D90EF5" w:rsidRDefault="00D90EF5" w:rsidP="00D90E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11" w:rsidRDefault="00201611">
      <w:r>
        <w:separator/>
      </w:r>
    </w:p>
  </w:footnote>
  <w:footnote w:type="continuationSeparator" w:id="0">
    <w:p w:rsidR="00201611" w:rsidRDefault="00201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E706F3"/>
    <w:multiLevelType w:val="multilevel"/>
    <w:tmpl w:val="796A79EA"/>
    <w:name w:val="AutoList22"/>
    <w:lvl w:ilvl="0">
      <w:start w:val="7"/>
      <w:numFmt w:val="decimal"/>
      <w:lvlText w:val="%1."/>
      <w:lvlJc w:val="left"/>
      <w:pPr>
        <w:tabs>
          <w:tab w:val="num" w:pos="720"/>
        </w:tabs>
        <w:ind w:left="720" w:firstLine="0"/>
      </w:pPr>
      <w:rPr>
        <w:rFonts w:hint="default"/>
      </w:rPr>
    </w:lvl>
    <w:lvl w:ilvl="1">
      <w:start w:val="1"/>
      <w:numFmt w:val="decimal"/>
      <w:lvlText w:val="%2."/>
      <w:lvlJc w:val="left"/>
      <w:pPr>
        <w:tabs>
          <w:tab w:val="num" w:pos="720"/>
        </w:tabs>
        <w:ind w:left="720" w:firstLine="0"/>
      </w:pPr>
      <w:rPr>
        <w:rFonts w:hint="default"/>
      </w:rPr>
    </w:lvl>
    <w:lvl w:ilvl="2">
      <w:start w:val="1"/>
      <w:numFmt w:val="decimal"/>
      <w:lvlText w:val="%3."/>
      <w:lvlJc w:val="left"/>
      <w:pPr>
        <w:tabs>
          <w:tab w:val="num" w:pos="720"/>
        </w:tabs>
        <w:ind w:left="720" w:firstLine="0"/>
      </w:pPr>
      <w:rPr>
        <w:rFonts w:hint="default"/>
      </w:rPr>
    </w:lvl>
    <w:lvl w:ilvl="3">
      <w:start w:val="1"/>
      <w:numFmt w:val="decimal"/>
      <w:lvlText w:val="%4."/>
      <w:lvlJc w:val="left"/>
      <w:pPr>
        <w:tabs>
          <w:tab w:val="num" w:pos="720"/>
        </w:tabs>
        <w:ind w:left="720" w:firstLine="0"/>
      </w:pPr>
      <w:rPr>
        <w:rFonts w:hint="default"/>
      </w:rPr>
    </w:lvl>
    <w:lvl w:ilvl="4">
      <w:start w:val="1"/>
      <w:numFmt w:val="decimal"/>
      <w:lvlText w:val="%5."/>
      <w:lvlJc w:val="left"/>
      <w:pPr>
        <w:tabs>
          <w:tab w:val="num" w:pos="720"/>
        </w:tabs>
        <w:ind w:left="720" w:firstLine="0"/>
      </w:pPr>
      <w:rPr>
        <w:rFonts w:hint="default"/>
      </w:rPr>
    </w:lvl>
    <w:lvl w:ilvl="5">
      <w:start w:val="1"/>
      <w:numFmt w:val="decimal"/>
      <w:lvlText w:val="%6."/>
      <w:lvlJc w:val="left"/>
      <w:pPr>
        <w:tabs>
          <w:tab w:val="num" w:pos="720"/>
        </w:tabs>
        <w:ind w:left="720" w:firstLine="0"/>
      </w:pPr>
      <w:rPr>
        <w:rFonts w:hint="default"/>
      </w:rPr>
    </w:lvl>
    <w:lvl w:ilvl="6">
      <w:start w:val="1"/>
      <w:numFmt w:val="decimal"/>
      <w:lvlText w:val="%7."/>
      <w:lvlJc w:val="left"/>
      <w:pPr>
        <w:tabs>
          <w:tab w:val="num" w:pos="720"/>
        </w:tabs>
        <w:ind w:left="720" w:firstLine="0"/>
      </w:pPr>
      <w:rPr>
        <w:rFonts w:hint="default"/>
      </w:rPr>
    </w:lvl>
    <w:lvl w:ilvl="7">
      <w:start w:val="1"/>
      <w:numFmt w:val="decimal"/>
      <w:lvlText w:val="%8."/>
      <w:lvlJc w:val="left"/>
      <w:pPr>
        <w:tabs>
          <w:tab w:val="num" w:pos="720"/>
        </w:tabs>
        <w:ind w:left="720" w:firstLine="0"/>
      </w:pPr>
      <w:rPr>
        <w:rFonts w:hint="default"/>
      </w:rPr>
    </w:lvl>
    <w:lvl w:ilvl="8">
      <w:numFmt w:val="decimal"/>
      <w:lvlText w:val=""/>
      <w:lvlJc w:val="left"/>
      <w:pPr>
        <w:tabs>
          <w:tab w:val="num" w:pos="720"/>
        </w:tabs>
        <w:ind w:left="720" w:firstLine="0"/>
      </w:pPr>
      <w:rPr>
        <w:rFonts w:hint="default"/>
      </w:rPr>
    </w:lvl>
  </w:abstractNum>
  <w:abstractNum w:abstractNumId="3">
    <w:nsid w:val="4C367C3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19"/>
    <w:rsid w:val="00004F8B"/>
    <w:rsid w:val="00016F89"/>
    <w:rsid w:val="000233DD"/>
    <w:rsid w:val="00023ABD"/>
    <w:rsid w:val="000538DE"/>
    <w:rsid w:val="000654E0"/>
    <w:rsid w:val="00086846"/>
    <w:rsid w:val="000A7EA1"/>
    <w:rsid w:val="000C29E5"/>
    <w:rsid w:val="000E43F9"/>
    <w:rsid w:val="00104C90"/>
    <w:rsid w:val="00111184"/>
    <w:rsid w:val="001311E2"/>
    <w:rsid w:val="001324B5"/>
    <w:rsid w:val="00146A82"/>
    <w:rsid w:val="00150ACB"/>
    <w:rsid w:val="00153518"/>
    <w:rsid w:val="00156B55"/>
    <w:rsid w:val="00162347"/>
    <w:rsid w:val="00175114"/>
    <w:rsid w:val="00182444"/>
    <w:rsid w:val="001B2D21"/>
    <w:rsid w:val="001B7384"/>
    <w:rsid w:val="001C0395"/>
    <w:rsid w:val="00200EF2"/>
    <w:rsid w:val="00201611"/>
    <w:rsid w:val="0020653E"/>
    <w:rsid w:val="00230057"/>
    <w:rsid w:val="002514AC"/>
    <w:rsid w:val="0026672D"/>
    <w:rsid w:val="00272065"/>
    <w:rsid w:val="002913B9"/>
    <w:rsid w:val="00297564"/>
    <w:rsid w:val="002D48FD"/>
    <w:rsid w:val="002F0AD0"/>
    <w:rsid w:val="003001CB"/>
    <w:rsid w:val="00313137"/>
    <w:rsid w:val="003233A7"/>
    <w:rsid w:val="00387828"/>
    <w:rsid w:val="003E003A"/>
    <w:rsid w:val="003E6445"/>
    <w:rsid w:val="003E790F"/>
    <w:rsid w:val="004051D2"/>
    <w:rsid w:val="004064F5"/>
    <w:rsid w:val="0041305A"/>
    <w:rsid w:val="00421278"/>
    <w:rsid w:val="004213BC"/>
    <w:rsid w:val="0043121E"/>
    <w:rsid w:val="0043783C"/>
    <w:rsid w:val="00441109"/>
    <w:rsid w:val="00450D7D"/>
    <w:rsid w:val="00460480"/>
    <w:rsid w:val="004611BA"/>
    <w:rsid w:val="00463EF9"/>
    <w:rsid w:val="00482781"/>
    <w:rsid w:val="004834D4"/>
    <w:rsid w:val="004949F5"/>
    <w:rsid w:val="004B2B52"/>
    <w:rsid w:val="004B427A"/>
    <w:rsid w:val="004C5E6D"/>
    <w:rsid w:val="004D4E28"/>
    <w:rsid w:val="004F6EEA"/>
    <w:rsid w:val="00514017"/>
    <w:rsid w:val="005372E4"/>
    <w:rsid w:val="00552C20"/>
    <w:rsid w:val="00557D8F"/>
    <w:rsid w:val="00574A51"/>
    <w:rsid w:val="00580DA5"/>
    <w:rsid w:val="00583879"/>
    <w:rsid w:val="00584659"/>
    <w:rsid w:val="005A51AF"/>
    <w:rsid w:val="005E5151"/>
    <w:rsid w:val="006004BD"/>
    <w:rsid w:val="006064AA"/>
    <w:rsid w:val="006118E4"/>
    <w:rsid w:val="00662B0A"/>
    <w:rsid w:val="006743D7"/>
    <w:rsid w:val="00690D4D"/>
    <w:rsid w:val="006B4B11"/>
    <w:rsid w:val="006D6324"/>
    <w:rsid w:val="00701C25"/>
    <w:rsid w:val="00702A81"/>
    <w:rsid w:val="00744121"/>
    <w:rsid w:val="00754512"/>
    <w:rsid w:val="00760CD7"/>
    <w:rsid w:val="007B1E8C"/>
    <w:rsid w:val="007B41D7"/>
    <w:rsid w:val="007C7946"/>
    <w:rsid w:val="007E64BA"/>
    <w:rsid w:val="008049B8"/>
    <w:rsid w:val="00805BE3"/>
    <w:rsid w:val="008302E2"/>
    <w:rsid w:val="00872938"/>
    <w:rsid w:val="008731CB"/>
    <w:rsid w:val="00891C3E"/>
    <w:rsid w:val="0089685D"/>
    <w:rsid w:val="008E4588"/>
    <w:rsid w:val="009235C5"/>
    <w:rsid w:val="00932BAE"/>
    <w:rsid w:val="009379E2"/>
    <w:rsid w:val="0094534C"/>
    <w:rsid w:val="00956385"/>
    <w:rsid w:val="00971D2D"/>
    <w:rsid w:val="009906CE"/>
    <w:rsid w:val="00995EBA"/>
    <w:rsid w:val="009A39FD"/>
    <w:rsid w:val="009A47DB"/>
    <w:rsid w:val="009B4A38"/>
    <w:rsid w:val="009E663D"/>
    <w:rsid w:val="009F04FC"/>
    <w:rsid w:val="009F64F0"/>
    <w:rsid w:val="00A201AD"/>
    <w:rsid w:val="00A22BD3"/>
    <w:rsid w:val="00A27313"/>
    <w:rsid w:val="00A30C99"/>
    <w:rsid w:val="00A50E7D"/>
    <w:rsid w:val="00A57FF0"/>
    <w:rsid w:val="00A61402"/>
    <w:rsid w:val="00A62AA2"/>
    <w:rsid w:val="00A630B7"/>
    <w:rsid w:val="00AA0FC1"/>
    <w:rsid w:val="00AA5326"/>
    <w:rsid w:val="00AB1DEE"/>
    <w:rsid w:val="00AC0ADE"/>
    <w:rsid w:val="00AE61B4"/>
    <w:rsid w:val="00AF6090"/>
    <w:rsid w:val="00B0360D"/>
    <w:rsid w:val="00B33E52"/>
    <w:rsid w:val="00B47DF9"/>
    <w:rsid w:val="00B828DE"/>
    <w:rsid w:val="00B858D5"/>
    <w:rsid w:val="00B91D67"/>
    <w:rsid w:val="00B9541B"/>
    <w:rsid w:val="00BB281E"/>
    <w:rsid w:val="00BB754F"/>
    <w:rsid w:val="00BC4ECD"/>
    <w:rsid w:val="00BE22A6"/>
    <w:rsid w:val="00BE71FF"/>
    <w:rsid w:val="00C262F2"/>
    <w:rsid w:val="00C3490A"/>
    <w:rsid w:val="00C67A7D"/>
    <w:rsid w:val="00C72D58"/>
    <w:rsid w:val="00C82D58"/>
    <w:rsid w:val="00CB024C"/>
    <w:rsid w:val="00CC01EA"/>
    <w:rsid w:val="00CD25B2"/>
    <w:rsid w:val="00CE2FC0"/>
    <w:rsid w:val="00CE5608"/>
    <w:rsid w:val="00CF0AAA"/>
    <w:rsid w:val="00CF15F5"/>
    <w:rsid w:val="00D104BA"/>
    <w:rsid w:val="00D6789C"/>
    <w:rsid w:val="00D72A6C"/>
    <w:rsid w:val="00D84396"/>
    <w:rsid w:val="00D90EF5"/>
    <w:rsid w:val="00D91674"/>
    <w:rsid w:val="00DC0244"/>
    <w:rsid w:val="00DC2BEE"/>
    <w:rsid w:val="00DD67FE"/>
    <w:rsid w:val="00DF71B2"/>
    <w:rsid w:val="00E0133C"/>
    <w:rsid w:val="00E103AB"/>
    <w:rsid w:val="00E213A7"/>
    <w:rsid w:val="00E40FD4"/>
    <w:rsid w:val="00E44E9B"/>
    <w:rsid w:val="00E54880"/>
    <w:rsid w:val="00E6216A"/>
    <w:rsid w:val="00E95A84"/>
    <w:rsid w:val="00EB1062"/>
    <w:rsid w:val="00EC2C03"/>
    <w:rsid w:val="00ED4563"/>
    <w:rsid w:val="00F11A19"/>
    <w:rsid w:val="00F23889"/>
    <w:rsid w:val="00F5160E"/>
    <w:rsid w:val="00F81DC0"/>
    <w:rsid w:val="00FB3063"/>
    <w:rsid w:val="00FB5EDF"/>
    <w:rsid w:val="00FC29DD"/>
    <w:rsid w:val="00FC3FFA"/>
    <w:rsid w:val="00FD70C4"/>
    <w:rsid w:val="00FE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182444"/>
    <w:pPr>
      <w:keepNext/>
      <w:spacing w:line="480" w:lineRule="auto"/>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styleId="CommentReference">
    <w:name w:val="annotation reference"/>
    <w:semiHidden/>
    <w:rsid w:val="00C82D58"/>
    <w:rPr>
      <w:sz w:val="16"/>
      <w:szCs w:val="16"/>
    </w:rPr>
  </w:style>
  <w:style w:type="paragraph" w:styleId="CommentText">
    <w:name w:val="annotation text"/>
    <w:basedOn w:val="Normal"/>
    <w:semiHidden/>
    <w:rsid w:val="00C82D58"/>
    <w:rPr>
      <w:sz w:val="20"/>
      <w:szCs w:val="20"/>
    </w:rPr>
  </w:style>
  <w:style w:type="paragraph" w:styleId="CommentSubject">
    <w:name w:val="annotation subject"/>
    <w:basedOn w:val="CommentText"/>
    <w:next w:val="CommentText"/>
    <w:semiHidden/>
    <w:rsid w:val="00C82D58"/>
    <w:rPr>
      <w:b/>
      <w:bCs/>
    </w:rPr>
  </w:style>
  <w:style w:type="paragraph" w:styleId="BalloonText">
    <w:name w:val="Balloon Text"/>
    <w:basedOn w:val="Normal"/>
    <w:semiHidden/>
    <w:rsid w:val="00C82D58"/>
    <w:rPr>
      <w:rFonts w:ascii="Tahoma" w:hAnsi="Tahoma" w:cs="Tahoma"/>
      <w:sz w:val="16"/>
      <w:szCs w:val="16"/>
    </w:rPr>
  </w:style>
  <w:style w:type="paragraph" w:styleId="Footer">
    <w:name w:val="footer"/>
    <w:basedOn w:val="Normal"/>
    <w:rsid w:val="00D90EF5"/>
    <w:pPr>
      <w:tabs>
        <w:tab w:val="center" w:pos="4320"/>
        <w:tab w:val="right" w:pos="8640"/>
      </w:tabs>
    </w:pPr>
  </w:style>
  <w:style w:type="character" w:styleId="PageNumber">
    <w:name w:val="page number"/>
    <w:basedOn w:val="DefaultParagraphFont"/>
    <w:rsid w:val="00D90EF5"/>
  </w:style>
  <w:style w:type="table" w:styleId="TableGrid">
    <w:name w:val="Table Grid"/>
    <w:basedOn w:val="TableNormal"/>
    <w:rsid w:val="0030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182444"/>
    <w:pPr>
      <w:keepNext/>
      <w:spacing w:line="480" w:lineRule="auto"/>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character" w:styleId="CommentReference">
    <w:name w:val="annotation reference"/>
    <w:semiHidden/>
    <w:rsid w:val="00C82D58"/>
    <w:rPr>
      <w:sz w:val="16"/>
      <w:szCs w:val="16"/>
    </w:rPr>
  </w:style>
  <w:style w:type="paragraph" w:styleId="CommentText">
    <w:name w:val="annotation text"/>
    <w:basedOn w:val="Normal"/>
    <w:semiHidden/>
    <w:rsid w:val="00C82D58"/>
    <w:rPr>
      <w:sz w:val="20"/>
      <w:szCs w:val="20"/>
    </w:rPr>
  </w:style>
  <w:style w:type="paragraph" w:styleId="CommentSubject">
    <w:name w:val="annotation subject"/>
    <w:basedOn w:val="CommentText"/>
    <w:next w:val="CommentText"/>
    <w:semiHidden/>
    <w:rsid w:val="00C82D58"/>
    <w:rPr>
      <w:b/>
      <w:bCs/>
    </w:rPr>
  </w:style>
  <w:style w:type="paragraph" w:styleId="BalloonText">
    <w:name w:val="Balloon Text"/>
    <w:basedOn w:val="Normal"/>
    <w:semiHidden/>
    <w:rsid w:val="00C82D58"/>
    <w:rPr>
      <w:rFonts w:ascii="Tahoma" w:hAnsi="Tahoma" w:cs="Tahoma"/>
      <w:sz w:val="16"/>
      <w:szCs w:val="16"/>
    </w:rPr>
  </w:style>
  <w:style w:type="paragraph" w:styleId="Footer">
    <w:name w:val="footer"/>
    <w:basedOn w:val="Normal"/>
    <w:rsid w:val="00D90EF5"/>
    <w:pPr>
      <w:tabs>
        <w:tab w:val="center" w:pos="4320"/>
        <w:tab w:val="right" w:pos="8640"/>
      </w:tabs>
    </w:pPr>
  </w:style>
  <w:style w:type="character" w:styleId="PageNumber">
    <w:name w:val="page number"/>
    <w:basedOn w:val="DefaultParagraphFont"/>
    <w:rsid w:val="00D90EF5"/>
  </w:style>
  <w:style w:type="table" w:styleId="TableGrid">
    <w:name w:val="Table Grid"/>
    <w:basedOn w:val="TableNormal"/>
    <w:rsid w:val="0030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883">
      <w:bodyDiv w:val="1"/>
      <w:marLeft w:val="0"/>
      <w:marRight w:val="0"/>
      <w:marTop w:val="0"/>
      <w:marBottom w:val="0"/>
      <w:divBdr>
        <w:top w:val="none" w:sz="0" w:space="0" w:color="auto"/>
        <w:left w:val="none" w:sz="0" w:space="0" w:color="auto"/>
        <w:bottom w:val="none" w:sz="0" w:space="0" w:color="auto"/>
        <w:right w:val="none" w:sz="0" w:space="0" w:color="auto"/>
      </w:divBdr>
    </w:div>
    <w:div w:id="174852612">
      <w:bodyDiv w:val="1"/>
      <w:marLeft w:val="0"/>
      <w:marRight w:val="0"/>
      <w:marTop w:val="0"/>
      <w:marBottom w:val="0"/>
      <w:divBdr>
        <w:top w:val="none" w:sz="0" w:space="0" w:color="auto"/>
        <w:left w:val="none" w:sz="0" w:space="0" w:color="auto"/>
        <w:bottom w:val="none" w:sz="0" w:space="0" w:color="auto"/>
        <w:right w:val="none" w:sz="0" w:space="0" w:color="auto"/>
      </w:divBdr>
    </w:div>
    <w:div w:id="969550029">
      <w:bodyDiv w:val="1"/>
      <w:marLeft w:val="0"/>
      <w:marRight w:val="0"/>
      <w:marTop w:val="0"/>
      <w:marBottom w:val="0"/>
      <w:divBdr>
        <w:top w:val="none" w:sz="0" w:space="0" w:color="auto"/>
        <w:left w:val="none" w:sz="0" w:space="0" w:color="auto"/>
        <w:bottom w:val="none" w:sz="0" w:space="0" w:color="auto"/>
        <w:right w:val="none" w:sz="0" w:space="0" w:color="auto"/>
      </w:divBdr>
    </w:div>
    <w:div w:id="1014267112">
      <w:bodyDiv w:val="1"/>
      <w:marLeft w:val="0"/>
      <w:marRight w:val="0"/>
      <w:marTop w:val="0"/>
      <w:marBottom w:val="0"/>
      <w:divBdr>
        <w:top w:val="none" w:sz="0" w:space="0" w:color="auto"/>
        <w:left w:val="none" w:sz="0" w:space="0" w:color="auto"/>
        <w:bottom w:val="none" w:sz="0" w:space="0" w:color="auto"/>
        <w:right w:val="none" w:sz="0" w:space="0" w:color="auto"/>
      </w:divBdr>
    </w:div>
    <w:div w:id="148296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9423</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SYSTEM</cp:lastModifiedBy>
  <cp:revision>2</cp:revision>
  <cp:lastPrinted>2009-04-08T17:43:00Z</cp:lastPrinted>
  <dcterms:created xsi:type="dcterms:W3CDTF">2018-04-12T11:48:00Z</dcterms:created>
  <dcterms:modified xsi:type="dcterms:W3CDTF">2018-04-12T11:48:00Z</dcterms:modified>
</cp:coreProperties>
</file>