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208A2" w14:textId="77777777" w:rsidR="00541136" w:rsidRPr="003C3E59" w:rsidRDefault="00541136" w:rsidP="003C3E59">
      <w:pPr>
        <w:jc w:val="center"/>
        <w:rPr>
          <w:rFonts w:ascii="Times New Roman" w:hAnsi="Times New Roman"/>
          <w:b/>
          <w:bCs/>
          <w:szCs w:val="24"/>
        </w:rPr>
      </w:pPr>
      <w:bookmarkStart w:id="0" w:name="_GoBack"/>
      <w:bookmarkEnd w:id="0"/>
      <w:r w:rsidRPr="003C3E59">
        <w:rPr>
          <w:rFonts w:ascii="Times New Roman" w:hAnsi="Times New Roman"/>
          <w:b/>
          <w:bCs/>
          <w:szCs w:val="24"/>
        </w:rPr>
        <w:t>Supporting Statement</w:t>
      </w:r>
    </w:p>
    <w:p w14:paraId="68B1FAAD" w14:textId="77777777" w:rsidR="00541136" w:rsidRPr="003C3E59" w:rsidRDefault="00950FE9" w:rsidP="003C3E59">
      <w:pPr>
        <w:jc w:val="center"/>
        <w:outlineLvl w:val="0"/>
        <w:rPr>
          <w:rFonts w:ascii="Times New Roman" w:hAnsi="Times New Roman"/>
          <w:b/>
          <w:bCs/>
          <w:szCs w:val="24"/>
        </w:rPr>
      </w:pPr>
      <w:r w:rsidRPr="003C3E59">
        <w:rPr>
          <w:rFonts w:ascii="Times New Roman" w:hAnsi="Times New Roman"/>
          <w:b/>
          <w:bCs/>
          <w:szCs w:val="24"/>
        </w:rPr>
        <w:t>Credit Risk Retention</w:t>
      </w:r>
    </w:p>
    <w:p w14:paraId="0EEAB829" w14:textId="77777777" w:rsidR="00541136" w:rsidRPr="003C3E59" w:rsidRDefault="00541136" w:rsidP="003C3E59">
      <w:pPr>
        <w:jc w:val="center"/>
        <w:outlineLvl w:val="0"/>
        <w:rPr>
          <w:rFonts w:ascii="Times New Roman" w:hAnsi="Times New Roman"/>
          <w:b/>
          <w:bCs/>
          <w:szCs w:val="24"/>
        </w:rPr>
      </w:pPr>
      <w:r w:rsidRPr="003C3E59">
        <w:rPr>
          <w:rFonts w:ascii="Times New Roman" w:hAnsi="Times New Roman"/>
          <w:b/>
          <w:bCs/>
          <w:szCs w:val="24"/>
        </w:rPr>
        <w:t>OMB Control No. 1557-</w:t>
      </w:r>
      <w:r w:rsidR="00105DC8" w:rsidRPr="003C3E59">
        <w:rPr>
          <w:rFonts w:ascii="Times New Roman" w:hAnsi="Times New Roman"/>
          <w:b/>
          <w:bCs/>
          <w:szCs w:val="24"/>
        </w:rPr>
        <w:t>0249</w:t>
      </w:r>
    </w:p>
    <w:p w14:paraId="5DA7B34A" w14:textId="77777777" w:rsidR="00541136" w:rsidRPr="003C3E59" w:rsidRDefault="00541136" w:rsidP="003C3E59">
      <w:pPr>
        <w:jc w:val="center"/>
        <w:outlineLvl w:val="0"/>
        <w:rPr>
          <w:rFonts w:ascii="Times New Roman" w:hAnsi="Times New Roman"/>
          <w:b/>
          <w:bCs/>
          <w:szCs w:val="24"/>
        </w:rPr>
      </w:pPr>
    </w:p>
    <w:p w14:paraId="05961925" w14:textId="77777777" w:rsidR="00541136" w:rsidRPr="003C3E59" w:rsidRDefault="00541136" w:rsidP="003C3E59">
      <w:pPr>
        <w:rPr>
          <w:rFonts w:ascii="Times New Roman" w:hAnsi="Times New Roman"/>
          <w:szCs w:val="24"/>
        </w:rPr>
      </w:pPr>
    </w:p>
    <w:p w14:paraId="6A4F4C33" w14:textId="77777777" w:rsidR="00541136" w:rsidRPr="00C41C6F" w:rsidRDefault="00541136" w:rsidP="003C3E59">
      <w:pPr>
        <w:tabs>
          <w:tab w:val="left" w:pos="-1440"/>
        </w:tabs>
        <w:ind w:left="720" w:hanging="720"/>
        <w:outlineLvl w:val="0"/>
        <w:rPr>
          <w:rFonts w:ascii="Times New Roman" w:hAnsi="Times New Roman"/>
          <w:b/>
          <w:i/>
          <w:szCs w:val="24"/>
        </w:rPr>
      </w:pPr>
      <w:r w:rsidRPr="00C41C6F">
        <w:rPr>
          <w:rFonts w:ascii="Times New Roman" w:hAnsi="Times New Roman"/>
          <w:b/>
          <w:i/>
          <w:szCs w:val="24"/>
        </w:rPr>
        <w:t>A. Justification.</w:t>
      </w:r>
    </w:p>
    <w:p w14:paraId="7F2B1D5C" w14:textId="77777777" w:rsidR="00541136" w:rsidRPr="003C3E59" w:rsidRDefault="00541136" w:rsidP="003C3E59">
      <w:pPr>
        <w:rPr>
          <w:rFonts w:ascii="Times New Roman" w:hAnsi="Times New Roman"/>
          <w:szCs w:val="24"/>
        </w:rPr>
      </w:pPr>
    </w:p>
    <w:p w14:paraId="01B657E8" w14:textId="77777777" w:rsidR="00C96BE4" w:rsidRPr="00C41C6F" w:rsidRDefault="00C96BE4" w:rsidP="00C96BE4">
      <w:pPr>
        <w:tabs>
          <w:tab w:val="left" w:pos="-1440"/>
        </w:tabs>
        <w:ind w:left="720" w:hanging="720"/>
        <w:outlineLvl w:val="0"/>
        <w:rPr>
          <w:rFonts w:ascii="Times New Roman" w:hAnsi="Times New Roman"/>
          <w:b/>
          <w:i/>
          <w:szCs w:val="24"/>
          <w:u w:val="single"/>
        </w:rPr>
      </w:pPr>
      <w:r w:rsidRPr="00C41C6F">
        <w:rPr>
          <w:rFonts w:ascii="Times New Roman" w:hAnsi="Times New Roman"/>
          <w:b/>
          <w:i/>
          <w:szCs w:val="24"/>
        </w:rPr>
        <w:t xml:space="preserve">1. </w:t>
      </w:r>
      <w:r w:rsidRPr="00C41C6F">
        <w:rPr>
          <w:rFonts w:ascii="Times New Roman" w:hAnsi="Times New Roman"/>
          <w:b/>
          <w:i/>
          <w:szCs w:val="24"/>
          <w:u w:val="single"/>
        </w:rPr>
        <w:t>Circumstances that make the collection necessary:</w:t>
      </w:r>
    </w:p>
    <w:p w14:paraId="4B56FEC0" w14:textId="77777777" w:rsidR="00C96BE4" w:rsidRPr="003C3E59" w:rsidRDefault="00C96BE4" w:rsidP="00C96BE4">
      <w:pPr>
        <w:rPr>
          <w:rFonts w:ascii="Times New Roman" w:hAnsi="Times New Roman"/>
          <w:szCs w:val="24"/>
        </w:rPr>
      </w:pPr>
    </w:p>
    <w:p w14:paraId="6377F0AE" w14:textId="35C40A07" w:rsidR="00C96BE4" w:rsidRDefault="00C96BE4" w:rsidP="00C96BE4">
      <w:pPr>
        <w:ind w:firstLine="720"/>
        <w:rPr>
          <w:rFonts w:ascii="Times New Roman" w:hAnsi="Times New Roman"/>
          <w:color w:val="000000"/>
          <w:szCs w:val="24"/>
        </w:rPr>
      </w:pPr>
      <w:r w:rsidRPr="00991D8A">
        <w:rPr>
          <w:rFonts w:ascii="Times New Roman" w:hAnsi="Times New Roman"/>
          <w:color w:val="000000"/>
          <w:szCs w:val="24"/>
        </w:rPr>
        <w:t>This information collection request relates to 1</w:t>
      </w:r>
      <w:r w:rsidR="006172B1">
        <w:rPr>
          <w:rFonts w:ascii="Times New Roman" w:hAnsi="Times New Roman"/>
          <w:color w:val="000000"/>
          <w:szCs w:val="24"/>
        </w:rPr>
        <w:t>2 CFR part 43, which implements</w:t>
      </w:r>
      <w:r w:rsidRPr="00991D8A">
        <w:rPr>
          <w:rFonts w:ascii="Times New Roman" w:hAnsi="Times New Roman"/>
          <w:color w:val="000000"/>
          <w:szCs w:val="24"/>
        </w:rPr>
        <w:t xml:space="preserve"> section 941(b) of the Dodd-Frank Act.</w:t>
      </w:r>
      <w:r w:rsidRPr="00991D8A">
        <w:rPr>
          <w:rStyle w:val="FootnoteReference"/>
          <w:rFonts w:ascii="Times New Roman" w:hAnsi="Times New Roman"/>
          <w:color w:val="000000"/>
          <w:szCs w:val="24"/>
          <w:vertAlign w:val="superscript"/>
        </w:rPr>
        <w:footnoteReference w:id="1"/>
      </w:r>
      <w:r w:rsidRPr="00991D8A">
        <w:rPr>
          <w:rFonts w:ascii="Times New Roman" w:hAnsi="Times New Roman"/>
          <w:color w:val="000000"/>
          <w:szCs w:val="24"/>
        </w:rPr>
        <w:t xml:space="preserve">  Secti</w:t>
      </w:r>
      <w:r>
        <w:rPr>
          <w:rFonts w:ascii="Times New Roman" w:hAnsi="Times New Roman"/>
          <w:color w:val="000000"/>
          <w:szCs w:val="24"/>
        </w:rPr>
        <w:t>on 941(b) of the Dodd-Frank Act required</w:t>
      </w:r>
      <w:r w:rsidRPr="00991D8A">
        <w:rPr>
          <w:rFonts w:ascii="Times New Roman" w:hAnsi="Times New Roman"/>
          <w:color w:val="000000"/>
          <w:szCs w:val="24"/>
        </w:rPr>
        <w:t xml:space="preserve"> the OCC, </w:t>
      </w:r>
      <w:r>
        <w:rPr>
          <w:rFonts w:ascii="Times New Roman" w:hAnsi="Times New Roman"/>
          <w:color w:val="000000"/>
          <w:szCs w:val="24"/>
        </w:rPr>
        <w:t>Board of Governors of the Federal Reserve System (</w:t>
      </w:r>
      <w:r w:rsidRPr="00991D8A">
        <w:rPr>
          <w:rFonts w:ascii="Times New Roman" w:hAnsi="Times New Roman"/>
          <w:color w:val="000000"/>
          <w:szCs w:val="24"/>
        </w:rPr>
        <w:t>FRB</w:t>
      </w:r>
      <w:r>
        <w:rPr>
          <w:rFonts w:ascii="Times New Roman" w:hAnsi="Times New Roman"/>
          <w:color w:val="000000"/>
          <w:szCs w:val="24"/>
        </w:rPr>
        <w:t>)</w:t>
      </w:r>
      <w:r w:rsidRPr="00991D8A">
        <w:rPr>
          <w:rFonts w:ascii="Times New Roman" w:hAnsi="Times New Roman"/>
          <w:color w:val="000000"/>
          <w:szCs w:val="24"/>
        </w:rPr>
        <w:t xml:space="preserve">, </w:t>
      </w:r>
      <w:r>
        <w:rPr>
          <w:rFonts w:ascii="Times New Roman" w:hAnsi="Times New Roman"/>
          <w:color w:val="000000"/>
          <w:szCs w:val="24"/>
        </w:rPr>
        <w:t>Federal Deposit Insurance Corporation (</w:t>
      </w:r>
      <w:r w:rsidRPr="00991D8A">
        <w:rPr>
          <w:rFonts w:ascii="Times New Roman" w:hAnsi="Times New Roman"/>
          <w:color w:val="000000"/>
          <w:szCs w:val="24"/>
        </w:rPr>
        <w:t>FDIC</w:t>
      </w:r>
      <w:r>
        <w:rPr>
          <w:rFonts w:ascii="Times New Roman" w:hAnsi="Times New Roman"/>
          <w:color w:val="000000"/>
          <w:szCs w:val="24"/>
        </w:rPr>
        <w:t>)</w:t>
      </w:r>
      <w:r w:rsidRPr="00991D8A">
        <w:rPr>
          <w:rFonts w:ascii="Times New Roman" w:hAnsi="Times New Roman"/>
          <w:color w:val="000000"/>
          <w:szCs w:val="24"/>
        </w:rPr>
        <w:t xml:space="preserve">, </w:t>
      </w:r>
      <w:r>
        <w:rPr>
          <w:rFonts w:ascii="Times New Roman" w:hAnsi="Times New Roman"/>
          <w:color w:val="000000"/>
          <w:szCs w:val="24"/>
        </w:rPr>
        <w:t>Securities and Exchange Commission (</w:t>
      </w:r>
      <w:r w:rsidRPr="00991D8A">
        <w:rPr>
          <w:rFonts w:ascii="Times New Roman" w:hAnsi="Times New Roman"/>
          <w:color w:val="000000"/>
          <w:szCs w:val="24"/>
        </w:rPr>
        <w:t>SEC</w:t>
      </w:r>
      <w:r>
        <w:rPr>
          <w:rFonts w:ascii="Times New Roman" w:hAnsi="Times New Roman"/>
          <w:color w:val="000000"/>
          <w:szCs w:val="24"/>
        </w:rPr>
        <w:t>)</w:t>
      </w:r>
      <w:r w:rsidRPr="00991D8A">
        <w:rPr>
          <w:rFonts w:ascii="Times New Roman" w:hAnsi="Times New Roman"/>
          <w:color w:val="000000"/>
          <w:szCs w:val="24"/>
        </w:rPr>
        <w:t xml:space="preserve">, and, in the case of the securitization of any residential mortgage asset, the </w:t>
      </w:r>
      <w:r>
        <w:rPr>
          <w:rFonts w:ascii="Times New Roman" w:hAnsi="Times New Roman"/>
          <w:color w:val="000000"/>
          <w:szCs w:val="24"/>
        </w:rPr>
        <w:t>Federal Housing Finance Agency (</w:t>
      </w:r>
      <w:r w:rsidRPr="00991D8A">
        <w:rPr>
          <w:rFonts w:ascii="Times New Roman" w:hAnsi="Times New Roman"/>
          <w:color w:val="000000"/>
          <w:szCs w:val="24"/>
        </w:rPr>
        <w:t>FHFA</w:t>
      </w:r>
      <w:r>
        <w:rPr>
          <w:rFonts w:ascii="Times New Roman" w:hAnsi="Times New Roman"/>
          <w:color w:val="000000"/>
          <w:szCs w:val="24"/>
        </w:rPr>
        <w:t>)</w:t>
      </w:r>
      <w:r w:rsidRPr="00991D8A">
        <w:rPr>
          <w:rFonts w:ascii="Times New Roman" w:hAnsi="Times New Roman"/>
          <w:color w:val="000000"/>
          <w:szCs w:val="24"/>
        </w:rPr>
        <w:t xml:space="preserve"> and </w:t>
      </w:r>
      <w:r>
        <w:rPr>
          <w:rFonts w:ascii="Times New Roman" w:hAnsi="Times New Roman"/>
          <w:color w:val="000000"/>
          <w:szCs w:val="24"/>
        </w:rPr>
        <w:t>the Department of Housing and Urban Development (</w:t>
      </w:r>
      <w:r w:rsidRPr="00991D8A">
        <w:rPr>
          <w:rFonts w:ascii="Times New Roman" w:hAnsi="Times New Roman"/>
          <w:color w:val="000000"/>
          <w:szCs w:val="24"/>
        </w:rPr>
        <w:t>HUD</w:t>
      </w:r>
      <w:r>
        <w:rPr>
          <w:rFonts w:ascii="Times New Roman" w:hAnsi="Times New Roman"/>
          <w:color w:val="000000"/>
          <w:szCs w:val="24"/>
        </w:rPr>
        <w:t>)</w:t>
      </w:r>
      <w:r w:rsidRPr="00991D8A">
        <w:rPr>
          <w:rFonts w:ascii="Times New Roman" w:hAnsi="Times New Roman"/>
          <w:color w:val="000000"/>
          <w:szCs w:val="24"/>
        </w:rPr>
        <w:t xml:space="preserve"> to issue rules that, subject to certain exemptions: (a) require a securitizer to retain not less than 5% of the credit risk of any asset that the securitizer, through the issuance of an asset-backed security, transfers, sells, or conveys to a third party; and (b) prohibit a securitizer from directly or indirectly hedging or otherwise transferring the credit risk that the securitizer is required to retain under the statute and implementing regulations.  </w:t>
      </w:r>
    </w:p>
    <w:p w14:paraId="0B592765" w14:textId="77777777" w:rsidR="00C96BE4" w:rsidRPr="003C3E59" w:rsidRDefault="00C96BE4" w:rsidP="00C96BE4">
      <w:pPr>
        <w:ind w:firstLine="720"/>
        <w:rPr>
          <w:rFonts w:ascii="Times New Roman" w:hAnsi="Times New Roman"/>
          <w:color w:val="000000"/>
          <w:szCs w:val="24"/>
        </w:rPr>
      </w:pPr>
    </w:p>
    <w:p w14:paraId="7648FB8B" w14:textId="6713E2B4" w:rsidR="00C96BE4" w:rsidRDefault="00C96BE4" w:rsidP="00C96BE4">
      <w:pPr>
        <w:ind w:firstLine="720"/>
        <w:rPr>
          <w:rFonts w:ascii="Times New Roman" w:hAnsi="Times New Roman"/>
          <w:szCs w:val="24"/>
        </w:rPr>
      </w:pPr>
      <w:r>
        <w:rPr>
          <w:rFonts w:ascii="Times New Roman" w:hAnsi="Times New Roman"/>
          <w:color w:val="000000"/>
          <w:szCs w:val="24"/>
        </w:rPr>
        <w:t>Part 43</w:t>
      </w:r>
      <w:r w:rsidRPr="003C3E59">
        <w:rPr>
          <w:rFonts w:ascii="Times New Roman" w:hAnsi="Times New Roman"/>
          <w:color w:val="000000"/>
          <w:szCs w:val="24"/>
        </w:rPr>
        <w:t xml:space="preserve"> sets forth permissible forms of risk retention for securitizations that involve issuance of asset-backed securities.  </w:t>
      </w:r>
      <w:r w:rsidRPr="003C3E59">
        <w:rPr>
          <w:rFonts w:ascii="Times New Roman" w:hAnsi="Times New Roman"/>
          <w:szCs w:val="24"/>
        </w:rPr>
        <w:t xml:space="preserve">Section 15G of the Exchange Act </w:t>
      </w:r>
      <w:r>
        <w:rPr>
          <w:rFonts w:ascii="Times New Roman" w:hAnsi="Times New Roman"/>
          <w:szCs w:val="24"/>
        </w:rPr>
        <w:t xml:space="preserve">also </w:t>
      </w:r>
      <w:r w:rsidRPr="003C3E59">
        <w:rPr>
          <w:rFonts w:ascii="Times New Roman" w:hAnsi="Times New Roman"/>
          <w:szCs w:val="24"/>
        </w:rPr>
        <w:t xml:space="preserve">exempts certain types of securitization transactions from these risk retention requirements and authorizes the agencies to exempt or establish a lower risk retention requirement for other types of securitization transactions.  In addition, section 15G states that the agencies must permit a securitizer to retain less than five percent of the credit risk of commercial mortgages, commercial loans, and automobile loans that are transferred, sold, or conveyed through the issuance of ABS by the securitizer if the loans meet underwriting standards established by the </w:t>
      </w:r>
      <w:r>
        <w:rPr>
          <w:rFonts w:ascii="Times New Roman" w:hAnsi="Times New Roman"/>
          <w:szCs w:val="24"/>
        </w:rPr>
        <w:t>f</w:t>
      </w:r>
      <w:r w:rsidRPr="003C3E59">
        <w:rPr>
          <w:rFonts w:ascii="Times New Roman" w:hAnsi="Times New Roman"/>
          <w:szCs w:val="24"/>
        </w:rPr>
        <w:t>ederal banking agencies</w:t>
      </w:r>
      <w:r w:rsidR="009B3942">
        <w:rPr>
          <w:rFonts w:ascii="Times New Roman" w:hAnsi="Times New Roman"/>
          <w:szCs w:val="24"/>
        </w:rPr>
        <w:t xml:space="preserve"> (OCC, FRB, FDIC)</w:t>
      </w:r>
      <w:r w:rsidRPr="003C3E59">
        <w:rPr>
          <w:rFonts w:ascii="Times New Roman" w:hAnsi="Times New Roman"/>
          <w:szCs w:val="24"/>
        </w:rPr>
        <w:t>.</w:t>
      </w:r>
      <w:r w:rsidRPr="003C3E59">
        <w:rPr>
          <w:rStyle w:val="FootnoteReference"/>
          <w:rFonts w:ascii="Times New Roman" w:hAnsi="Times New Roman"/>
          <w:szCs w:val="24"/>
          <w:vertAlign w:val="superscript"/>
        </w:rPr>
        <w:footnoteReference w:id="2"/>
      </w:r>
    </w:p>
    <w:p w14:paraId="68E709FD" w14:textId="77777777" w:rsidR="00C96BE4" w:rsidRPr="003C3E59" w:rsidRDefault="00C96BE4" w:rsidP="00C96BE4">
      <w:pPr>
        <w:ind w:firstLine="720"/>
        <w:rPr>
          <w:rFonts w:ascii="Times New Roman" w:hAnsi="Times New Roman"/>
          <w:szCs w:val="24"/>
        </w:rPr>
      </w:pPr>
    </w:p>
    <w:p w14:paraId="027730EA" w14:textId="77777777" w:rsidR="00C96BE4" w:rsidRDefault="00C96BE4" w:rsidP="00C96BE4">
      <w:pPr>
        <w:ind w:firstLine="720"/>
        <w:rPr>
          <w:rFonts w:ascii="Times New Roman" w:hAnsi="Times New Roman"/>
          <w:color w:val="000000"/>
          <w:szCs w:val="24"/>
        </w:rPr>
      </w:pPr>
      <w:r w:rsidRPr="003C3E59">
        <w:rPr>
          <w:rFonts w:ascii="Times New Roman" w:hAnsi="Times New Roman"/>
          <w:color w:val="000000"/>
          <w:szCs w:val="24"/>
        </w:rPr>
        <w:t xml:space="preserve">The disclosure and recordkeeping requirements associated with the various forms of risk retention </w:t>
      </w:r>
      <w:r>
        <w:rPr>
          <w:rFonts w:ascii="Times New Roman" w:hAnsi="Times New Roman"/>
          <w:color w:val="000000"/>
          <w:szCs w:val="24"/>
        </w:rPr>
        <w:t>and exemptions from risk retention provide information necessary to ensure compliance with part 43.</w:t>
      </w:r>
    </w:p>
    <w:p w14:paraId="319C3A1B" w14:textId="77777777" w:rsidR="00C96BE4" w:rsidRPr="003C3E59" w:rsidRDefault="00C96BE4" w:rsidP="00C96BE4">
      <w:pPr>
        <w:rPr>
          <w:rFonts w:ascii="Times New Roman" w:hAnsi="Times New Roman"/>
          <w:szCs w:val="24"/>
        </w:rPr>
      </w:pPr>
    </w:p>
    <w:p w14:paraId="516DE105" w14:textId="77777777" w:rsidR="00C96BE4" w:rsidRPr="006A5564" w:rsidRDefault="00C96BE4" w:rsidP="00C96BE4">
      <w:pPr>
        <w:tabs>
          <w:tab w:val="left" w:pos="-1440"/>
        </w:tabs>
        <w:ind w:left="4320" w:hanging="4320"/>
        <w:outlineLvl w:val="0"/>
        <w:rPr>
          <w:rFonts w:ascii="Times New Roman" w:hAnsi="Times New Roman"/>
          <w:b/>
          <w:i/>
          <w:szCs w:val="24"/>
        </w:rPr>
      </w:pPr>
      <w:r w:rsidRPr="006A5564">
        <w:rPr>
          <w:rFonts w:ascii="Times New Roman" w:hAnsi="Times New Roman"/>
          <w:b/>
          <w:i/>
          <w:szCs w:val="24"/>
        </w:rPr>
        <w:t xml:space="preserve">2. </w:t>
      </w:r>
      <w:r w:rsidRPr="00D053BC">
        <w:rPr>
          <w:rFonts w:ascii="Times New Roman" w:hAnsi="Times New Roman"/>
          <w:b/>
          <w:i/>
          <w:szCs w:val="24"/>
          <w:u w:val="single"/>
        </w:rPr>
        <w:t>Use of the informatio</w:t>
      </w:r>
      <w:r w:rsidRPr="00F965AD">
        <w:rPr>
          <w:rFonts w:ascii="Times New Roman" w:hAnsi="Times New Roman"/>
          <w:b/>
          <w:i/>
          <w:szCs w:val="24"/>
          <w:u w:val="single"/>
        </w:rPr>
        <w:t>n:</w:t>
      </w:r>
      <w:r w:rsidRPr="006A5564">
        <w:rPr>
          <w:rFonts w:ascii="Times New Roman" w:hAnsi="Times New Roman"/>
          <w:b/>
          <w:i/>
          <w:szCs w:val="24"/>
        </w:rPr>
        <w:tab/>
      </w:r>
      <w:r w:rsidRPr="006A5564">
        <w:rPr>
          <w:rFonts w:ascii="Times New Roman" w:hAnsi="Times New Roman"/>
          <w:b/>
          <w:i/>
          <w:szCs w:val="24"/>
        </w:rPr>
        <w:tab/>
      </w:r>
    </w:p>
    <w:p w14:paraId="7F5E6B08" w14:textId="77777777" w:rsidR="00C96BE4" w:rsidRPr="003C3E59" w:rsidRDefault="00C96BE4" w:rsidP="00C96BE4">
      <w:pPr>
        <w:ind w:firstLine="720"/>
        <w:rPr>
          <w:rFonts w:ascii="Times New Roman" w:hAnsi="Times New Roman"/>
          <w:color w:val="000000"/>
          <w:szCs w:val="24"/>
        </w:rPr>
      </w:pPr>
    </w:p>
    <w:p w14:paraId="643D1986" w14:textId="32F8FEA6" w:rsidR="00C96BE4" w:rsidRPr="003C3E59" w:rsidRDefault="00C96BE4" w:rsidP="00C96BE4">
      <w:pPr>
        <w:ind w:firstLine="720"/>
        <w:rPr>
          <w:rFonts w:ascii="Times New Roman" w:hAnsi="Times New Roman"/>
          <w:szCs w:val="24"/>
        </w:rPr>
      </w:pPr>
      <w:r w:rsidRPr="003C3E59">
        <w:rPr>
          <w:rFonts w:ascii="Times New Roman" w:hAnsi="Times New Roman"/>
          <w:szCs w:val="24"/>
        </w:rPr>
        <w:t xml:space="preserve">The rule sets forth permissible forms of risk retention for securitizations that involve issuance of asset-backed securities, as well as exemptions from the risk retention requirements, and contains requirements subject to the PRA.  The information requirements in the </w:t>
      </w:r>
      <w:r w:rsidR="009B3942">
        <w:rPr>
          <w:rFonts w:ascii="Times New Roman" w:hAnsi="Times New Roman"/>
          <w:szCs w:val="24"/>
        </w:rPr>
        <w:t>OCC’s regulations</w:t>
      </w:r>
      <w:r w:rsidRPr="003C3E59">
        <w:rPr>
          <w:rFonts w:ascii="Times New Roman" w:hAnsi="Times New Roman"/>
          <w:szCs w:val="24"/>
        </w:rPr>
        <w:t xml:space="preserve"> are found in </w:t>
      </w:r>
      <w:r>
        <w:rPr>
          <w:rFonts w:ascii="Times New Roman" w:hAnsi="Times New Roman"/>
          <w:szCs w:val="24"/>
        </w:rPr>
        <w:t>§§</w:t>
      </w:r>
      <w:r w:rsidR="009B3942">
        <w:rPr>
          <w:rFonts w:ascii="Times New Roman" w:hAnsi="Times New Roman"/>
          <w:szCs w:val="24"/>
        </w:rPr>
        <w:t xml:space="preserve"> </w:t>
      </w:r>
      <w:r>
        <w:rPr>
          <w:rFonts w:ascii="Times New Roman" w:hAnsi="Times New Roman"/>
          <w:szCs w:val="24"/>
        </w:rPr>
        <w:t>43</w:t>
      </w:r>
      <w:r w:rsidRPr="003C3E59">
        <w:rPr>
          <w:rFonts w:ascii="Times New Roman" w:hAnsi="Times New Roman"/>
          <w:szCs w:val="24"/>
        </w:rPr>
        <w:t xml:space="preserve">.4, </w:t>
      </w:r>
      <w:r>
        <w:rPr>
          <w:rFonts w:ascii="Times New Roman" w:hAnsi="Times New Roman"/>
          <w:szCs w:val="24"/>
        </w:rPr>
        <w:t>43</w:t>
      </w:r>
      <w:r w:rsidRPr="003C3E59">
        <w:rPr>
          <w:rFonts w:ascii="Times New Roman" w:hAnsi="Times New Roman"/>
          <w:szCs w:val="24"/>
        </w:rPr>
        <w:t xml:space="preserve">.5, </w:t>
      </w:r>
      <w:r>
        <w:rPr>
          <w:rFonts w:ascii="Times New Roman" w:hAnsi="Times New Roman"/>
          <w:szCs w:val="24"/>
        </w:rPr>
        <w:t>43</w:t>
      </w:r>
      <w:r w:rsidRPr="003C3E59">
        <w:rPr>
          <w:rFonts w:ascii="Times New Roman" w:hAnsi="Times New Roman"/>
          <w:szCs w:val="24"/>
        </w:rPr>
        <w:t xml:space="preserve">.6, </w:t>
      </w:r>
      <w:r>
        <w:rPr>
          <w:rFonts w:ascii="Times New Roman" w:hAnsi="Times New Roman"/>
          <w:szCs w:val="24"/>
        </w:rPr>
        <w:t>43</w:t>
      </w:r>
      <w:r w:rsidRPr="003C3E59">
        <w:rPr>
          <w:rFonts w:ascii="Times New Roman" w:hAnsi="Times New Roman"/>
          <w:szCs w:val="24"/>
        </w:rPr>
        <w:t xml:space="preserve">.7, </w:t>
      </w:r>
      <w:r>
        <w:rPr>
          <w:rFonts w:ascii="Times New Roman" w:hAnsi="Times New Roman"/>
          <w:szCs w:val="24"/>
        </w:rPr>
        <w:t>43</w:t>
      </w:r>
      <w:r w:rsidRPr="003C3E59">
        <w:rPr>
          <w:rFonts w:ascii="Times New Roman" w:hAnsi="Times New Roman"/>
          <w:szCs w:val="24"/>
        </w:rPr>
        <w:t xml:space="preserve">.8, </w:t>
      </w:r>
      <w:r>
        <w:rPr>
          <w:rFonts w:ascii="Times New Roman" w:hAnsi="Times New Roman"/>
          <w:szCs w:val="24"/>
        </w:rPr>
        <w:t>43</w:t>
      </w:r>
      <w:r w:rsidRPr="003C3E59">
        <w:rPr>
          <w:rFonts w:ascii="Times New Roman" w:hAnsi="Times New Roman"/>
          <w:szCs w:val="24"/>
        </w:rPr>
        <w:t xml:space="preserve">.9, </w:t>
      </w:r>
      <w:r>
        <w:rPr>
          <w:rFonts w:ascii="Times New Roman" w:hAnsi="Times New Roman"/>
          <w:szCs w:val="24"/>
        </w:rPr>
        <w:t>43</w:t>
      </w:r>
      <w:r w:rsidRPr="003C3E59">
        <w:rPr>
          <w:rFonts w:ascii="Times New Roman" w:hAnsi="Times New Roman"/>
          <w:szCs w:val="24"/>
        </w:rPr>
        <w:t xml:space="preserve">.10, </w:t>
      </w:r>
      <w:r>
        <w:rPr>
          <w:rFonts w:ascii="Times New Roman" w:hAnsi="Times New Roman"/>
          <w:szCs w:val="24"/>
        </w:rPr>
        <w:t>43</w:t>
      </w:r>
      <w:r w:rsidRPr="003C3E59">
        <w:rPr>
          <w:rFonts w:ascii="Times New Roman" w:hAnsi="Times New Roman"/>
          <w:szCs w:val="24"/>
        </w:rPr>
        <w:t xml:space="preserve">.11, </w:t>
      </w:r>
      <w:r>
        <w:rPr>
          <w:rFonts w:ascii="Times New Roman" w:hAnsi="Times New Roman"/>
          <w:szCs w:val="24"/>
        </w:rPr>
        <w:t>43</w:t>
      </w:r>
      <w:r w:rsidRPr="003C3E59">
        <w:rPr>
          <w:rFonts w:ascii="Times New Roman" w:hAnsi="Times New Roman"/>
          <w:szCs w:val="24"/>
        </w:rPr>
        <w:t xml:space="preserve">.13, </w:t>
      </w:r>
      <w:r>
        <w:rPr>
          <w:rFonts w:ascii="Times New Roman" w:hAnsi="Times New Roman"/>
          <w:szCs w:val="24"/>
        </w:rPr>
        <w:t>43</w:t>
      </w:r>
      <w:r w:rsidRPr="003C3E59">
        <w:rPr>
          <w:rFonts w:ascii="Times New Roman" w:hAnsi="Times New Roman"/>
          <w:szCs w:val="24"/>
        </w:rPr>
        <w:t xml:space="preserve">.15, </w:t>
      </w:r>
      <w:r>
        <w:rPr>
          <w:rFonts w:ascii="Times New Roman" w:hAnsi="Times New Roman"/>
          <w:szCs w:val="24"/>
        </w:rPr>
        <w:t>43</w:t>
      </w:r>
      <w:r w:rsidRPr="003C3E59">
        <w:rPr>
          <w:rFonts w:ascii="Times New Roman" w:hAnsi="Times New Roman"/>
          <w:szCs w:val="24"/>
        </w:rPr>
        <w:t xml:space="preserve">.16, </w:t>
      </w:r>
      <w:r>
        <w:rPr>
          <w:rFonts w:ascii="Times New Roman" w:hAnsi="Times New Roman"/>
          <w:szCs w:val="24"/>
        </w:rPr>
        <w:t>43</w:t>
      </w:r>
      <w:r w:rsidRPr="003C3E59">
        <w:rPr>
          <w:rFonts w:ascii="Times New Roman" w:hAnsi="Times New Roman"/>
          <w:szCs w:val="24"/>
        </w:rPr>
        <w:t xml:space="preserve">.17, </w:t>
      </w:r>
      <w:r>
        <w:rPr>
          <w:rFonts w:ascii="Times New Roman" w:hAnsi="Times New Roman"/>
          <w:szCs w:val="24"/>
        </w:rPr>
        <w:t>43</w:t>
      </w:r>
      <w:r w:rsidRPr="003C3E59">
        <w:rPr>
          <w:rFonts w:ascii="Times New Roman" w:hAnsi="Times New Roman"/>
          <w:szCs w:val="24"/>
        </w:rPr>
        <w:t xml:space="preserve">.18, and </w:t>
      </w:r>
      <w:r>
        <w:rPr>
          <w:rFonts w:ascii="Times New Roman" w:hAnsi="Times New Roman"/>
          <w:szCs w:val="24"/>
        </w:rPr>
        <w:t>43</w:t>
      </w:r>
      <w:r w:rsidRPr="003C3E59">
        <w:rPr>
          <w:rFonts w:ascii="Times New Roman" w:hAnsi="Times New Roman"/>
          <w:szCs w:val="24"/>
        </w:rPr>
        <w:t xml:space="preserve">.19(g).  The agencies believe that the disclosure and recordkeeping </w:t>
      </w:r>
      <w:r w:rsidRPr="003C3E59">
        <w:rPr>
          <w:rFonts w:ascii="Times New Roman" w:hAnsi="Times New Roman"/>
          <w:szCs w:val="24"/>
        </w:rPr>
        <w:lastRenderedPageBreak/>
        <w:t xml:space="preserve">requirements associated with the various forms of risk retention </w:t>
      </w:r>
      <w:r>
        <w:rPr>
          <w:rFonts w:ascii="Times New Roman" w:hAnsi="Times New Roman"/>
          <w:szCs w:val="24"/>
        </w:rPr>
        <w:t xml:space="preserve">provide information necessary to ensure compliance with the rule and </w:t>
      </w:r>
      <w:r w:rsidRPr="003C3E59">
        <w:rPr>
          <w:rFonts w:ascii="Times New Roman" w:hAnsi="Times New Roman"/>
          <w:szCs w:val="24"/>
        </w:rPr>
        <w:t xml:space="preserve">will enhance market discipline, help ensure the quality of the assets underlying a securitization transaction, and assist investors in evaluating transactions.  Compliance with the information collections is mandatory.  Responses to the information collections will not be kept confidential and, except for the recordkeeping requirements set forth in </w:t>
      </w:r>
      <w:r>
        <w:rPr>
          <w:rFonts w:ascii="Times New Roman" w:hAnsi="Times New Roman"/>
          <w:szCs w:val="24"/>
        </w:rPr>
        <w:t>§§ 43</w:t>
      </w:r>
      <w:r w:rsidRPr="003C3E59">
        <w:rPr>
          <w:rFonts w:ascii="Times New Roman" w:hAnsi="Times New Roman"/>
          <w:szCs w:val="24"/>
        </w:rPr>
        <w:t xml:space="preserve">.4(d), </w:t>
      </w:r>
      <w:r>
        <w:rPr>
          <w:rFonts w:ascii="Times New Roman" w:hAnsi="Times New Roman"/>
          <w:szCs w:val="24"/>
        </w:rPr>
        <w:t>43</w:t>
      </w:r>
      <w:r w:rsidRPr="003C3E59">
        <w:rPr>
          <w:rFonts w:ascii="Times New Roman" w:hAnsi="Times New Roman"/>
          <w:szCs w:val="24"/>
        </w:rPr>
        <w:t xml:space="preserve">.5(k)(3) and </w:t>
      </w:r>
      <w:r>
        <w:rPr>
          <w:rFonts w:ascii="Times New Roman" w:hAnsi="Times New Roman"/>
          <w:szCs w:val="24"/>
        </w:rPr>
        <w:t>43</w:t>
      </w:r>
      <w:r w:rsidRPr="003C3E59">
        <w:rPr>
          <w:rFonts w:ascii="Times New Roman" w:hAnsi="Times New Roman"/>
          <w:szCs w:val="24"/>
        </w:rPr>
        <w:t>.15(d), there will be no mandatory retention period for the collections of information.</w:t>
      </w:r>
    </w:p>
    <w:p w14:paraId="17092131" w14:textId="77777777" w:rsidR="00C96BE4" w:rsidRPr="003C3E59" w:rsidRDefault="00C96BE4" w:rsidP="00C96BE4">
      <w:pPr>
        <w:tabs>
          <w:tab w:val="left" w:pos="360"/>
        </w:tabs>
        <w:outlineLvl w:val="0"/>
        <w:rPr>
          <w:rFonts w:ascii="Times New Roman" w:hAnsi="Times New Roman"/>
          <w:szCs w:val="24"/>
          <w:u w:val="single"/>
        </w:rPr>
      </w:pPr>
    </w:p>
    <w:p w14:paraId="544B23C6" w14:textId="77777777" w:rsidR="00C96BE4" w:rsidRDefault="00C96BE4" w:rsidP="00C96BE4">
      <w:pPr>
        <w:ind w:firstLine="720"/>
        <w:rPr>
          <w:rFonts w:ascii="Times New Roman" w:hAnsi="Times New Roman"/>
          <w:szCs w:val="24"/>
        </w:rPr>
      </w:pPr>
      <w:r w:rsidRPr="003C3E59">
        <w:rPr>
          <w:rFonts w:ascii="Times New Roman" w:hAnsi="Times New Roman"/>
          <w:szCs w:val="24"/>
        </w:rPr>
        <w:t xml:space="preserve">Section </w:t>
      </w:r>
      <w:r>
        <w:rPr>
          <w:rFonts w:ascii="Times New Roman" w:hAnsi="Times New Roman"/>
          <w:szCs w:val="24"/>
        </w:rPr>
        <w:t>43</w:t>
      </w:r>
      <w:r w:rsidRPr="003C3E59">
        <w:rPr>
          <w:rFonts w:ascii="Times New Roman" w:hAnsi="Times New Roman"/>
          <w:szCs w:val="24"/>
        </w:rPr>
        <w:t xml:space="preserve">.4 sets forth the conditions that must be met by sponsors electing to use the standard risk retention option, which may consist of an eligible vertical interest or an eligible horizontal residual interest, or any combination thereof.  Sections </w:t>
      </w:r>
      <w:r>
        <w:rPr>
          <w:rFonts w:ascii="Times New Roman" w:hAnsi="Times New Roman"/>
          <w:szCs w:val="24"/>
        </w:rPr>
        <w:t>43</w:t>
      </w:r>
      <w:r w:rsidRPr="003C3E59">
        <w:rPr>
          <w:rFonts w:ascii="Times New Roman" w:hAnsi="Times New Roman"/>
          <w:szCs w:val="24"/>
        </w:rPr>
        <w:t xml:space="preserve">.4(c)(1) and </w:t>
      </w:r>
      <w:r>
        <w:rPr>
          <w:rFonts w:ascii="Times New Roman" w:hAnsi="Times New Roman"/>
          <w:szCs w:val="24"/>
        </w:rPr>
        <w:t>43</w:t>
      </w:r>
      <w:r w:rsidRPr="003C3E59">
        <w:rPr>
          <w:rFonts w:ascii="Times New Roman" w:hAnsi="Times New Roman"/>
          <w:szCs w:val="24"/>
        </w:rPr>
        <w:t>.4(c)(2) specify the disclosures required with respect to eligible horizontal residual interests and eligible vertical interests, respectively.</w:t>
      </w:r>
    </w:p>
    <w:p w14:paraId="61A84E00" w14:textId="77777777" w:rsidR="00C96BE4" w:rsidRPr="003C3E59" w:rsidRDefault="00C96BE4" w:rsidP="00C96BE4">
      <w:pPr>
        <w:ind w:firstLine="720"/>
        <w:rPr>
          <w:rFonts w:ascii="Times New Roman" w:hAnsi="Times New Roman"/>
          <w:szCs w:val="24"/>
        </w:rPr>
      </w:pPr>
    </w:p>
    <w:p w14:paraId="10C5457F" w14:textId="77777777" w:rsidR="00C96BE4" w:rsidRDefault="00C96BE4" w:rsidP="00C96BE4">
      <w:pPr>
        <w:ind w:firstLine="720"/>
        <w:rPr>
          <w:rFonts w:ascii="Times New Roman" w:hAnsi="Times New Roman"/>
          <w:szCs w:val="24"/>
        </w:rPr>
      </w:pPr>
      <w:r w:rsidRPr="003C3E59">
        <w:rPr>
          <w:rFonts w:ascii="Times New Roman" w:hAnsi="Times New Roman"/>
          <w:szCs w:val="24"/>
        </w:rPr>
        <w:t>A sponsor retaining any eligible horizontal residual interest (or funding a horizontal cash reserve account) is required to disclose:  the fair value (or a range of fair values and the method used to determine such range) of the eligible horizontal residual interest that the sponsor expects to retain at the closing of the securitization transaction (§</w:t>
      </w:r>
      <w:r>
        <w:rPr>
          <w:rFonts w:ascii="Times New Roman" w:hAnsi="Times New Roman"/>
          <w:szCs w:val="24"/>
        </w:rPr>
        <w:t xml:space="preserve"> 43</w:t>
      </w:r>
      <w:r w:rsidRPr="003C3E59">
        <w:rPr>
          <w:rFonts w:ascii="Times New Roman" w:hAnsi="Times New Roman"/>
          <w:szCs w:val="24"/>
        </w:rPr>
        <w:t>.4(c)(1)(i)(A)); the material terms of the eligible horizontal residual interest (§</w:t>
      </w:r>
      <w:r>
        <w:rPr>
          <w:rFonts w:ascii="Times New Roman" w:hAnsi="Times New Roman"/>
          <w:szCs w:val="24"/>
        </w:rPr>
        <w:t xml:space="preserve"> 43</w:t>
      </w:r>
      <w:r w:rsidRPr="003C3E59">
        <w:rPr>
          <w:rFonts w:ascii="Times New Roman" w:hAnsi="Times New Roman"/>
          <w:szCs w:val="24"/>
        </w:rPr>
        <w:t>.4(c)(1)(i)(B)); the methodology used to calculate the fair value (or range of fair values) of all classes of ABS interests (§</w:t>
      </w:r>
      <w:r>
        <w:rPr>
          <w:rFonts w:ascii="Times New Roman" w:hAnsi="Times New Roman"/>
          <w:szCs w:val="24"/>
        </w:rPr>
        <w:t>43</w:t>
      </w:r>
      <w:r w:rsidRPr="003C3E59">
        <w:rPr>
          <w:rFonts w:ascii="Times New Roman" w:hAnsi="Times New Roman"/>
          <w:szCs w:val="24"/>
        </w:rPr>
        <w:t>.4(c)(1)(i)(C)); the key inputs and assumptions used in measuring the estimated total fair value (or range of fair values) of all classes of ABS interests (§</w:t>
      </w:r>
      <w:r>
        <w:rPr>
          <w:rFonts w:ascii="Times New Roman" w:hAnsi="Times New Roman"/>
          <w:szCs w:val="24"/>
        </w:rPr>
        <w:t xml:space="preserve"> 43</w:t>
      </w:r>
      <w:r w:rsidRPr="003C3E59">
        <w:rPr>
          <w:rFonts w:ascii="Times New Roman" w:hAnsi="Times New Roman"/>
          <w:szCs w:val="24"/>
        </w:rPr>
        <w:t>.4(c)(1)(i)(D)); the reference data set or other historical information used to develop the key inputs and assumptions (§</w:t>
      </w:r>
      <w:r>
        <w:rPr>
          <w:rFonts w:ascii="Times New Roman" w:hAnsi="Times New Roman"/>
          <w:szCs w:val="24"/>
        </w:rPr>
        <w:t xml:space="preserve"> 43</w:t>
      </w:r>
      <w:r w:rsidRPr="003C3E59">
        <w:rPr>
          <w:rFonts w:ascii="Times New Roman" w:hAnsi="Times New Roman"/>
          <w:szCs w:val="24"/>
        </w:rPr>
        <w:t>.4(c)(1)(i)(G)); the fair value of the eligible horizontal residual interest retained by the sponsor (§</w:t>
      </w:r>
      <w:r>
        <w:rPr>
          <w:rFonts w:ascii="Times New Roman" w:hAnsi="Times New Roman"/>
          <w:szCs w:val="24"/>
        </w:rPr>
        <w:t xml:space="preserve"> 43</w:t>
      </w:r>
      <w:r w:rsidRPr="003C3E59">
        <w:rPr>
          <w:rFonts w:ascii="Times New Roman" w:hAnsi="Times New Roman"/>
          <w:szCs w:val="24"/>
        </w:rPr>
        <w:t xml:space="preserve">.4(c)(1)(ii)(A)); the fair value of the eligible horizontal residual interest required to be retained by the sponsor </w:t>
      </w:r>
    </w:p>
    <w:p w14:paraId="7B07D766" w14:textId="77777777" w:rsidR="00C96BE4" w:rsidRDefault="00C96BE4" w:rsidP="00C96BE4">
      <w:pPr>
        <w:rPr>
          <w:rFonts w:ascii="Times New Roman" w:hAnsi="Times New Roman"/>
          <w:szCs w:val="24"/>
        </w:rPr>
      </w:pPr>
      <w:r w:rsidRPr="003C3E59">
        <w:rPr>
          <w:rFonts w:ascii="Times New Roman" w:hAnsi="Times New Roman"/>
          <w:szCs w:val="24"/>
        </w:rPr>
        <w:t>(§</w:t>
      </w:r>
      <w:r>
        <w:rPr>
          <w:rFonts w:ascii="Times New Roman" w:hAnsi="Times New Roman"/>
          <w:szCs w:val="24"/>
        </w:rPr>
        <w:t xml:space="preserve"> 43</w:t>
      </w:r>
      <w:r w:rsidRPr="003C3E59">
        <w:rPr>
          <w:rFonts w:ascii="Times New Roman" w:hAnsi="Times New Roman"/>
          <w:szCs w:val="24"/>
        </w:rPr>
        <w:t>.4(c)(1)(ii)(B)); description of any material differences between the methodology used in calculating the fair value disclosed prior to sale and the methodology used to calculate the fair value at the time of closing (§</w:t>
      </w:r>
      <w:r>
        <w:rPr>
          <w:rFonts w:ascii="Times New Roman" w:hAnsi="Times New Roman"/>
          <w:szCs w:val="24"/>
        </w:rPr>
        <w:t>43</w:t>
      </w:r>
      <w:r w:rsidRPr="003C3E59">
        <w:rPr>
          <w:rFonts w:ascii="Times New Roman" w:hAnsi="Times New Roman"/>
          <w:szCs w:val="24"/>
        </w:rPr>
        <w:t>.4(c)(1)(ii)(C));  and the amount placed by the sponsor in the horizontal cash reserve account at closing, the fair value of the eligible horizontal residual interest that the sponsor is required to fund through such account, and a description of such account (§</w:t>
      </w:r>
      <w:r>
        <w:rPr>
          <w:rFonts w:ascii="Times New Roman" w:hAnsi="Times New Roman"/>
          <w:szCs w:val="24"/>
        </w:rPr>
        <w:t xml:space="preserve"> 43</w:t>
      </w:r>
      <w:r w:rsidRPr="003C3E59">
        <w:rPr>
          <w:rFonts w:ascii="Times New Roman" w:hAnsi="Times New Roman"/>
          <w:szCs w:val="24"/>
        </w:rPr>
        <w:t>.4(c)(1)(iii)).</w:t>
      </w:r>
    </w:p>
    <w:p w14:paraId="76DF6215" w14:textId="77777777" w:rsidR="00C96BE4" w:rsidRPr="003C3E59" w:rsidRDefault="00C96BE4" w:rsidP="00C96BE4">
      <w:pPr>
        <w:ind w:firstLine="720"/>
        <w:rPr>
          <w:rFonts w:ascii="Times New Roman" w:hAnsi="Times New Roman"/>
          <w:szCs w:val="24"/>
        </w:rPr>
      </w:pPr>
    </w:p>
    <w:p w14:paraId="72C2AD8C" w14:textId="77777777" w:rsidR="00C96BE4" w:rsidRDefault="00C96BE4" w:rsidP="00C96BE4">
      <w:pPr>
        <w:ind w:firstLine="720"/>
        <w:rPr>
          <w:rFonts w:ascii="Times New Roman" w:hAnsi="Times New Roman"/>
          <w:szCs w:val="24"/>
        </w:rPr>
      </w:pPr>
      <w:r w:rsidRPr="003C3E59">
        <w:rPr>
          <w:rFonts w:ascii="Times New Roman" w:hAnsi="Times New Roman"/>
          <w:szCs w:val="24"/>
        </w:rPr>
        <w:t>For eligible vertical interests, the sponsor is required to disclose:  the form of the eligible vertical interest (§</w:t>
      </w:r>
      <w:r>
        <w:rPr>
          <w:rFonts w:ascii="Times New Roman" w:hAnsi="Times New Roman"/>
          <w:szCs w:val="24"/>
        </w:rPr>
        <w:t xml:space="preserve"> 43</w:t>
      </w:r>
      <w:r w:rsidRPr="003C3E59">
        <w:rPr>
          <w:rFonts w:ascii="Times New Roman" w:hAnsi="Times New Roman"/>
          <w:szCs w:val="24"/>
        </w:rPr>
        <w:t xml:space="preserve">.4(c)(2)(i)(A)); the percentage that the sponsor is required to retain </w:t>
      </w:r>
    </w:p>
    <w:p w14:paraId="3188BFAF" w14:textId="77777777" w:rsidR="00C96BE4" w:rsidRDefault="00C96BE4" w:rsidP="00C96BE4">
      <w:pPr>
        <w:rPr>
          <w:rFonts w:ascii="Times New Roman" w:hAnsi="Times New Roman"/>
          <w:szCs w:val="24"/>
        </w:rPr>
      </w:pPr>
      <w:r w:rsidRPr="003C3E59">
        <w:rPr>
          <w:rFonts w:ascii="Times New Roman" w:hAnsi="Times New Roman"/>
          <w:szCs w:val="24"/>
        </w:rPr>
        <w:t>(§</w:t>
      </w:r>
      <w:r>
        <w:rPr>
          <w:rFonts w:ascii="Times New Roman" w:hAnsi="Times New Roman"/>
          <w:szCs w:val="24"/>
        </w:rPr>
        <w:t xml:space="preserve"> 43</w:t>
      </w:r>
      <w:r w:rsidRPr="003C3E59">
        <w:rPr>
          <w:rFonts w:ascii="Times New Roman" w:hAnsi="Times New Roman"/>
          <w:szCs w:val="24"/>
        </w:rPr>
        <w:t>.4(c)(2)(i)(B)); a description of the material terms of the vertical interest and the amount the sponsor expects to retain at closing(§</w:t>
      </w:r>
      <w:r>
        <w:rPr>
          <w:rFonts w:ascii="Times New Roman" w:hAnsi="Times New Roman"/>
          <w:szCs w:val="24"/>
        </w:rPr>
        <w:t xml:space="preserve"> 43</w:t>
      </w:r>
      <w:r w:rsidRPr="003C3E59">
        <w:rPr>
          <w:rFonts w:ascii="Times New Roman" w:hAnsi="Times New Roman"/>
          <w:szCs w:val="24"/>
        </w:rPr>
        <w:t>.4(c)(2)(i)(C)); and the amount of vertical interest retained by the sponsor at closing ((§</w:t>
      </w:r>
      <w:r>
        <w:rPr>
          <w:rFonts w:ascii="Times New Roman" w:hAnsi="Times New Roman"/>
          <w:szCs w:val="24"/>
        </w:rPr>
        <w:t xml:space="preserve"> 43</w:t>
      </w:r>
      <w:r w:rsidRPr="003C3E59">
        <w:rPr>
          <w:rFonts w:ascii="Times New Roman" w:hAnsi="Times New Roman"/>
          <w:szCs w:val="24"/>
        </w:rPr>
        <w:t>.4(c)(2)(ii)).</w:t>
      </w:r>
    </w:p>
    <w:p w14:paraId="662E5EBC" w14:textId="77777777" w:rsidR="00C96BE4" w:rsidRPr="003C3E59" w:rsidRDefault="00C96BE4" w:rsidP="00C96BE4">
      <w:pPr>
        <w:ind w:firstLine="720"/>
        <w:rPr>
          <w:rFonts w:ascii="Times New Roman" w:hAnsi="Times New Roman"/>
          <w:szCs w:val="24"/>
        </w:rPr>
      </w:pPr>
    </w:p>
    <w:p w14:paraId="1BF53B0D" w14:textId="3CC8AC67" w:rsidR="00C96BE4" w:rsidRDefault="00C96BE4" w:rsidP="00C96BE4">
      <w:pPr>
        <w:ind w:firstLine="720"/>
        <w:rPr>
          <w:rFonts w:ascii="Times New Roman" w:hAnsi="Times New Roman"/>
          <w:szCs w:val="24"/>
        </w:rPr>
      </w:pPr>
      <w:r w:rsidRPr="003C3E59">
        <w:rPr>
          <w:rFonts w:ascii="Times New Roman" w:hAnsi="Times New Roman"/>
          <w:szCs w:val="24"/>
        </w:rPr>
        <w:t xml:space="preserve">Section </w:t>
      </w:r>
      <w:r>
        <w:rPr>
          <w:rFonts w:ascii="Times New Roman" w:hAnsi="Times New Roman"/>
          <w:szCs w:val="24"/>
        </w:rPr>
        <w:t>43</w:t>
      </w:r>
      <w:r w:rsidRPr="003C3E59">
        <w:rPr>
          <w:rFonts w:ascii="Times New Roman" w:hAnsi="Times New Roman"/>
          <w:szCs w:val="24"/>
        </w:rPr>
        <w:t xml:space="preserve">.4(d) requires a sponsor to retain the certifications and disclosures required in paragraphs (a) and (c) of this section in its records and must provide the disclosure upon request to the </w:t>
      </w:r>
      <w:r w:rsidR="00DD2066">
        <w:rPr>
          <w:rFonts w:ascii="Times New Roman" w:hAnsi="Times New Roman"/>
          <w:szCs w:val="24"/>
        </w:rPr>
        <w:t>SEC</w:t>
      </w:r>
      <w:r w:rsidRPr="003C3E59">
        <w:rPr>
          <w:rFonts w:ascii="Times New Roman" w:hAnsi="Times New Roman"/>
          <w:szCs w:val="24"/>
        </w:rPr>
        <w:t xml:space="preserve"> and the sponsor’s appropriate </w:t>
      </w:r>
      <w:r>
        <w:rPr>
          <w:rFonts w:ascii="Times New Roman" w:hAnsi="Times New Roman"/>
          <w:szCs w:val="24"/>
        </w:rPr>
        <w:t>f</w:t>
      </w:r>
      <w:r w:rsidRPr="003C3E59">
        <w:rPr>
          <w:rFonts w:ascii="Times New Roman" w:hAnsi="Times New Roman"/>
          <w:szCs w:val="24"/>
        </w:rPr>
        <w:t xml:space="preserve">ederal banking agency, if any, until three years after </w:t>
      </w:r>
      <w:r>
        <w:rPr>
          <w:rFonts w:ascii="Times New Roman" w:hAnsi="Times New Roman"/>
          <w:szCs w:val="24"/>
        </w:rPr>
        <w:t xml:space="preserve">all </w:t>
      </w:r>
      <w:r w:rsidRPr="003C3E59">
        <w:rPr>
          <w:rFonts w:ascii="Times New Roman" w:hAnsi="Times New Roman"/>
          <w:szCs w:val="24"/>
        </w:rPr>
        <w:t xml:space="preserve"> ABS interests are </w:t>
      </w:r>
      <w:r>
        <w:rPr>
          <w:rFonts w:ascii="Times New Roman" w:hAnsi="Times New Roman"/>
          <w:szCs w:val="24"/>
        </w:rPr>
        <w:t xml:space="preserve">no longer </w:t>
      </w:r>
      <w:r w:rsidRPr="003C3E59">
        <w:rPr>
          <w:rFonts w:ascii="Times New Roman" w:hAnsi="Times New Roman"/>
          <w:szCs w:val="24"/>
        </w:rPr>
        <w:t>outstanding.</w:t>
      </w:r>
    </w:p>
    <w:p w14:paraId="29E712A7" w14:textId="77777777" w:rsidR="00C96BE4" w:rsidRPr="003C3E59" w:rsidRDefault="00C96BE4" w:rsidP="00C96BE4">
      <w:pPr>
        <w:ind w:firstLine="720"/>
        <w:rPr>
          <w:rFonts w:ascii="Times New Roman" w:hAnsi="Times New Roman"/>
          <w:szCs w:val="24"/>
        </w:rPr>
      </w:pPr>
    </w:p>
    <w:p w14:paraId="20C35B99" w14:textId="187F20C8" w:rsidR="00C96BE4" w:rsidRDefault="00C96BE4" w:rsidP="00C96BE4">
      <w:pPr>
        <w:ind w:firstLine="720"/>
        <w:rPr>
          <w:rFonts w:ascii="Times New Roman" w:hAnsi="Times New Roman"/>
          <w:szCs w:val="24"/>
        </w:rPr>
      </w:pPr>
      <w:r w:rsidRPr="003C3E59">
        <w:rPr>
          <w:rFonts w:ascii="Times New Roman" w:hAnsi="Times New Roman"/>
          <w:szCs w:val="24"/>
        </w:rPr>
        <w:t xml:space="preserve">Section </w:t>
      </w:r>
      <w:r>
        <w:rPr>
          <w:rFonts w:ascii="Times New Roman" w:hAnsi="Times New Roman"/>
          <w:szCs w:val="24"/>
        </w:rPr>
        <w:t>43</w:t>
      </w:r>
      <w:r w:rsidRPr="003C3E59">
        <w:rPr>
          <w:rFonts w:ascii="Times New Roman" w:hAnsi="Times New Roman"/>
          <w:szCs w:val="24"/>
        </w:rPr>
        <w:t>.5</w:t>
      </w:r>
      <w:r>
        <w:rPr>
          <w:rFonts w:ascii="Times New Roman" w:hAnsi="Times New Roman"/>
          <w:szCs w:val="24"/>
        </w:rPr>
        <w:t>(k)</w:t>
      </w:r>
      <w:r w:rsidRPr="003C3E59">
        <w:rPr>
          <w:rFonts w:ascii="Times New Roman" w:hAnsi="Times New Roman"/>
          <w:szCs w:val="24"/>
        </w:rPr>
        <w:t xml:space="preserve"> requires sponsors relying on the master trust (or revolving pool securitization) risk retention option to disclose:  the material terms of the seller’s interest and the </w:t>
      </w:r>
      <w:r w:rsidRPr="003C3E59">
        <w:rPr>
          <w:rFonts w:ascii="Times New Roman" w:hAnsi="Times New Roman"/>
          <w:szCs w:val="24"/>
        </w:rPr>
        <w:lastRenderedPageBreak/>
        <w:t>percentage of the seller’s interest that the sponsor expects to retain at the closing of the transaction (§</w:t>
      </w:r>
      <w:r>
        <w:rPr>
          <w:rFonts w:ascii="Times New Roman" w:hAnsi="Times New Roman"/>
          <w:szCs w:val="24"/>
        </w:rPr>
        <w:t xml:space="preserve"> 43</w:t>
      </w:r>
      <w:r w:rsidRPr="003C3E59">
        <w:rPr>
          <w:rFonts w:ascii="Times New Roman" w:hAnsi="Times New Roman"/>
          <w:szCs w:val="24"/>
        </w:rPr>
        <w:t>.5(k)(1)(i)); the percentage of the seller’s interest that the sponsor retained at closing (§</w:t>
      </w:r>
      <w:r>
        <w:rPr>
          <w:rFonts w:ascii="Times New Roman" w:hAnsi="Times New Roman"/>
          <w:szCs w:val="24"/>
        </w:rPr>
        <w:t xml:space="preserve"> 43</w:t>
      </w:r>
      <w:r w:rsidRPr="003C3E59">
        <w:rPr>
          <w:rFonts w:ascii="Times New Roman" w:hAnsi="Times New Roman"/>
          <w:szCs w:val="24"/>
        </w:rPr>
        <w:t>.5(k)(1)(ii)); the material terms of any horizontal risk retention offsetting the seller’s interest under §</w:t>
      </w:r>
      <w:r>
        <w:rPr>
          <w:rFonts w:ascii="Times New Roman" w:hAnsi="Times New Roman"/>
          <w:szCs w:val="24"/>
        </w:rPr>
        <w:t xml:space="preserve"> 43</w:t>
      </w:r>
      <w:r w:rsidRPr="003C3E59">
        <w:rPr>
          <w:rFonts w:ascii="Times New Roman" w:hAnsi="Times New Roman"/>
          <w:szCs w:val="24"/>
        </w:rPr>
        <w:t>.5(g), §</w:t>
      </w:r>
      <w:r>
        <w:rPr>
          <w:rFonts w:ascii="Times New Roman" w:hAnsi="Times New Roman"/>
          <w:szCs w:val="24"/>
        </w:rPr>
        <w:t>43</w:t>
      </w:r>
      <w:r w:rsidRPr="003C3E59">
        <w:rPr>
          <w:rFonts w:ascii="Times New Roman" w:hAnsi="Times New Roman"/>
          <w:szCs w:val="24"/>
        </w:rPr>
        <w:t>.5(h) and §</w:t>
      </w:r>
      <w:r>
        <w:rPr>
          <w:rFonts w:ascii="Times New Roman" w:hAnsi="Times New Roman"/>
          <w:szCs w:val="24"/>
        </w:rPr>
        <w:t xml:space="preserve"> 43</w:t>
      </w:r>
      <w:r w:rsidRPr="003C3E59">
        <w:rPr>
          <w:rFonts w:ascii="Times New Roman" w:hAnsi="Times New Roman"/>
          <w:szCs w:val="24"/>
        </w:rPr>
        <w:t>.5(i) (§</w:t>
      </w:r>
      <w:r>
        <w:rPr>
          <w:rFonts w:ascii="Times New Roman" w:hAnsi="Times New Roman"/>
          <w:szCs w:val="24"/>
        </w:rPr>
        <w:t xml:space="preserve"> 43</w:t>
      </w:r>
      <w:r w:rsidRPr="003C3E59">
        <w:rPr>
          <w:rFonts w:ascii="Times New Roman" w:hAnsi="Times New Roman"/>
          <w:szCs w:val="24"/>
        </w:rPr>
        <w:t>.5(k)(1)(iii)); and the fair value of any horizontal risk retention retained by the sponsor (§</w:t>
      </w:r>
      <w:r>
        <w:rPr>
          <w:rFonts w:ascii="Times New Roman" w:hAnsi="Times New Roman"/>
          <w:szCs w:val="24"/>
        </w:rPr>
        <w:t xml:space="preserve"> 43</w:t>
      </w:r>
      <w:r w:rsidRPr="003C3E59">
        <w:rPr>
          <w:rFonts w:ascii="Times New Roman" w:hAnsi="Times New Roman"/>
          <w:szCs w:val="24"/>
        </w:rPr>
        <w:t>.5(k)(1)(iv)).  Additionally, a sponsor must retain the disclosures required in §</w:t>
      </w:r>
      <w:r>
        <w:rPr>
          <w:rFonts w:ascii="Times New Roman" w:hAnsi="Times New Roman"/>
          <w:szCs w:val="24"/>
        </w:rPr>
        <w:t xml:space="preserve"> 43</w:t>
      </w:r>
      <w:r w:rsidRPr="003C3E59">
        <w:rPr>
          <w:rFonts w:ascii="Times New Roman" w:hAnsi="Times New Roman"/>
          <w:szCs w:val="24"/>
        </w:rPr>
        <w:t xml:space="preserve">.5(k)(1) in its records and must provide the disclosure upon request to the </w:t>
      </w:r>
      <w:r w:rsidR="00DD2066">
        <w:rPr>
          <w:rFonts w:ascii="Times New Roman" w:hAnsi="Times New Roman"/>
          <w:szCs w:val="24"/>
        </w:rPr>
        <w:t>SEC</w:t>
      </w:r>
      <w:r w:rsidRPr="003C3E59">
        <w:rPr>
          <w:rFonts w:ascii="Times New Roman" w:hAnsi="Times New Roman"/>
          <w:szCs w:val="24"/>
        </w:rPr>
        <w:t xml:space="preserve"> and the sponsor’s appropriate </w:t>
      </w:r>
      <w:r>
        <w:rPr>
          <w:rFonts w:ascii="Times New Roman" w:hAnsi="Times New Roman"/>
          <w:szCs w:val="24"/>
        </w:rPr>
        <w:t>f</w:t>
      </w:r>
      <w:r w:rsidRPr="003C3E59">
        <w:rPr>
          <w:rFonts w:ascii="Times New Roman" w:hAnsi="Times New Roman"/>
          <w:szCs w:val="24"/>
        </w:rPr>
        <w:t xml:space="preserve">ederal banking agency, if any, until three years after </w:t>
      </w:r>
      <w:r>
        <w:rPr>
          <w:rFonts w:ascii="Times New Roman" w:hAnsi="Times New Roman"/>
          <w:szCs w:val="24"/>
        </w:rPr>
        <w:t xml:space="preserve">all </w:t>
      </w:r>
      <w:r w:rsidRPr="003C3E59">
        <w:rPr>
          <w:rFonts w:ascii="Times New Roman" w:hAnsi="Times New Roman"/>
          <w:szCs w:val="24"/>
        </w:rPr>
        <w:t xml:space="preserve"> ABS interests are </w:t>
      </w:r>
      <w:r>
        <w:rPr>
          <w:rFonts w:ascii="Times New Roman" w:hAnsi="Times New Roman"/>
          <w:szCs w:val="24"/>
        </w:rPr>
        <w:t xml:space="preserve">no longer </w:t>
      </w:r>
      <w:r w:rsidRPr="003C3E59">
        <w:rPr>
          <w:rFonts w:ascii="Times New Roman" w:hAnsi="Times New Roman"/>
          <w:szCs w:val="24"/>
        </w:rPr>
        <w:t>outstanding (§</w:t>
      </w:r>
      <w:r>
        <w:rPr>
          <w:rFonts w:ascii="Times New Roman" w:hAnsi="Times New Roman"/>
          <w:szCs w:val="24"/>
        </w:rPr>
        <w:t xml:space="preserve"> 43</w:t>
      </w:r>
      <w:r w:rsidRPr="003C3E59">
        <w:rPr>
          <w:rFonts w:ascii="Times New Roman" w:hAnsi="Times New Roman"/>
          <w:szCs w:val="24"/>
        </w:rPr>
        <w:t>.5(k)(3)).</w:t>
      </w:r>
    </w:p>
    <w:p w14:paraId="019DC8A3" w14:textId="77777777" w:rsidR="00C96BE4" w:rsidRPr="003C3E59" w:rsidRDefault="00C96BE4" w:rsidP="00C96BE4">
      <w:pPr>
        <w:ind w:firstLine="720"/>
        <w:rPr>
          <w:rFonts w:ascii="Times New Roman" w:hAnsi="Times New Roman"/>
          <w:szCs w:val="24"/>
        </w:rPr>
      </w:pPr>
    </w:p>
    <w:p w14:paraId="1D26D6B4" w14:textId="37FE0912" w:rsidR="00C96BE4" w:rsidRDefault="00C96BE4" w:rsidP="00C96BE4">
      <w:pPr>
        <w:pStyle w:val="ColorfulList-Accent11"/>
        <w:ind w:left="0" w:firstLine="720"/>
      </w:pPr>
      <w:r w:rsidRPr="003C3E59">
        <w:t xml:space="preserve">Section </w:t>
      </w:r>
      <w:r>
        <w:t>43</w:t>
      </w:r>
      <w:r w:rsidRPr="003C3E59">
        <w:t>.6 addresses the requirements for sponsors utilizing the eligible ABCP conduit risk retention option.  The requirements for the eligible ABCP conduit risk retention option include disclosure to each purchaser of ABCP and periodically to each holder of commercial paper issued by the ABCP conduit of the name and form of organization of the regulated liquidity provider that provides liquidity coverage to the eligible ABCP conduit, including a description of the material terms of such liquidity coverage, and notice of any failure to fund; and with respect to each ABS interest held by the ABCP conduit, the asset class or brief description of the underlying securitized assets, the standard industrial category code for each originator-seller that retains an interest in the securitization transaction, and a description of the percentage amount and form of interest retained by each originator-seller (§</w:t>
      </w:r>
      <w:r>
        <w:t xml:space="preserve"> 43</w:t>
      </w:r>
      <w:r w:rsidRPr="003C3E59">
        <w:t xml:space="preserve">.6(d)(1)).  An ABCP conduit sponsor relying upon this section shall provide, upon request, to the </w:t>
      </w:r>
      <w:r w:rsidR="004329DD">
        <w:t xml:space="preserve">SEC </w:t>
      </w:r>
      <w:r w:rsidRPr="003C3E59">
        <w:t xml:space="preserve">and the sponsor’s appropriate </w:t>
      </w:r>
      <w:r>
        <w:t>f</w:t>
      </w:r>
      <w:r w:rsidRPr="003C3E59">
        <w:t xml:space="preserve">ederal banking agency, if any, the information required under </w:t>
      </w:r>
    </w:p>
    <w:p w14:paraId="760787C9" w14:textId="6826C2EF" w:rsidR="00C96BE4" w:rsidRDefault="00C96BE4" w:rsidP="00C96BE4">
      <w:pPr>
        <w:pStyle w:val="ColorfulList-Accent11"/>
        <w:ind w:left="0"/>
      </w:pPr>
      <w:r w:rsidRPr="003C3E59">
        <w:t>§</w:t>
      </w:r>
      <w:r>
        <w:t xml:space="preserve"> 43</w:t>
      </w:r>
      <w:r w:rsidR="006172B1">
        <w:t>.6(d)(1)</w:t>
      </w:r>
      <w:r w:rsidRPr="003C3E59">
        <w:t xml:space="preserve"> in addition to the name and form of organization of each originator-seller that retains an interest in the securitization transaction (§</w:t>
      </w:r>
      <w:r>
        <w:t xml:space="preserve"> 43</w:t>
      </w:r>
      <w:r w:rsidRPr="003C3E59">
        <w:t>.6(d)(2)).</w:t>
      </w:r>
    </w:p>
    <w:p w14:paraId="19F131E8" w14:textId="77777777" w:rsidR="00C96BE4" w:rsidRPr="003C3E59" w:rsidRDefault="00C96BE4" w:rsidP="00C96BE4">
      <w:pPr>
        <w:pStyle w:val="ColorfulList-Accent11"/>
        <w:ind w:left="0" w:firstLine="720"/>
      </w:pPr>
    </w:p>
    <w:p w14:paraId="55144129" w14:textId="7A60429A" w:rsidR="00C96BE4" w:rsidRDefault="00C96BE4" w:rsidP="00C96BE4">
      <w:pPr>
        <w:pStyle w:val="ColorfulList-Accent11"/>
        <w:ind w:left="0" w:firstLine="720"/>
      </w:pPr>
      <w:r w:rsidRPr="003C3E59">
        <w:t xml:space="preserve">A sponsor relying on the eligible ABCP conduit risk retention option shall maintain and adhere to policies and procedures to monitor compliance by each originator-seller </w:t>
      </w:r>
      <w:r>
        <w:t>which is satisfying a risk retention obligation in respect to ABS interests acquired by an eligible ABCP conduit</w:t>
      </w:r>
      <w:r w:rsidR="00DD2066">
        <w:t xml:space="preserve"> </w:t>
      </w:r>
      <w:r w:rsidRPr="003C3E59">
        <w:t>(§</w:t>
      </w:r>
      <w:r>
        <w:t xml:space="preserve"> 43</w:t>
      </w:r>
      <w:r w:rsidRPr="003C3E59">
        <w:t xml:space="preserve">.6(f)(2)(i)).  If the ABCP conduit sponsor determines that an originator-seller is no longer in compliance, the sponsor must promptly notify the holders of the ABCP, and upon request, the </w:t>
      </w:r>
      <w:r w:rsidR="00DD2066">
        <w:t>SEC</w:t>
      </w:r>
      <w:r w:rsidRPr="003C3E59">
        <w:t xml:space="preserve"> and the sponsor’s appropriate </w:t>
      </w:r>
      <w:r>
        <w:t>f</w:t>
      </w:r>
      <w:r w:rsidRPr="003C3E59">
        <w:t xml:space="preserve">ederal banking agency, in writing of the name and form of organization of any originator-seller that fails to retain, and the amount of ABS interests issued by an intermediate SPV of such originator-seller and held by the ABCP conduit </w:t>
      </w:r>
    </w:p>
    <w:p w14:paraId="05149E5C" w14:textId="77777777" w:rsidR="00C96BE4" w:rsidRDefault="00C96BE4" w:rsidP="00C96BE4">
      <w:pPr>
        <w:pStyle w:val="ColorfulList-Accent11"/>
        <w:ind w:left="0"/>
      </w:pPr>
      <w:r w:rsidRPr="003C3E59">
        <w:t>(§</w:t>
      </w:r>
      <w:r>
        <w:t xml:space="preserve"> 43</w:t>
      </w:r>
      <w:r w:rsidRPr="003C3E59">
        <w:t>.6(f)(2)(ii)(A)(1)); the name and form of organization of any originator-seller that hedges, directly or indirectly through an intermediate SPV, its risk retention in violation of the rule, and the amount of ABS interests issued by an intermediate SPV of such originator-seller and held by the ABCP conduit (§</w:t>
      </w:r>
      <w:r>
        <w:t xml:space="preserve"> 43</w:t>
      </w:r>
      <w:r w:rsidRPr="003C3E59">
        <w:t>.6(f)(2)(ii)(A)(2)); and any remedial actions taken by the ABCP conduit sponsor or other party with respect to such ABS interests (§</w:t>
      </w:r>
      <w:r>
        <w:t xml:space="preserve"> 43</w:t>
      </w:r>
      <w:r w:rsidRPr="003C3E59">
        <w:t>.6(f)(2)(ii)(A)(3)).</w:t>
      </w:r>
    </w:p>
    <w:p w14:paraId="030BE872" w14:textId="77777777" w:rsidR="00C96BE4" w:rsidRPr="003C3E59" w:rsidRDefault="00C96BE4" w:rsidP="00C96BE4">
      <w:pPr>
        <w:pStyle w:val="ColorfulList-Accent11"/>
        <w:ind w:left="0" w:firstLine="720"/>
      </w:pPr>
    </w:p>
    <w:p w14:paraId="7AE119A7" w14:textId="77777777" w:rsidR="00C96BE4" w:rsidRDefault="00C96BE4" w:rsidP="00C96BE4">
      <w:pPr>
        <w:pStyle w:val="ColorfulList-Accent11"/>
        <w:ind w:left="0" w:firstLine="720"/>
      </w:pPr>
      <w:r w:rsidRPr="003C3E59">
        <w:t xml:space="preserve">Section </w:t>
      </w:r>
      <w:r>
        <w:t>43</w:t>
      </w:r>
      <w:r w:rsidRPr="003C3E59">
        <w:t>.7 sets forth the requirements for sponsors relying on the commercial mortgage-backed securities risk retention option, and includes disclosures of:  the name and form of organization of each initial third-party purchaser (§</w:t>
      </w:r>
      <w:r>
        <w:t xml:space="preserve"> 43</w:t>
      </w:r>
      <w:r w:rsidRPr="003C3E59">
        <w:t>.7(b)(7)(i)); each initial third-party purchaser’s experience in investing in commercial mortgage-backed securities (§</w:t>
      </w:r>
      <w:r>
        <w:t xml:space="preserve"> 43</w:t>
      </w:r>
      <w:r w:rsidRPr="003C3E59">
        <w:t>.7(b)(7)(ii)); other material information (§</w:t>
      </w:r>
      <w:r>
        <w:t xml:space="preserve"> 43</w:t>
      </w:r>
      <w:r w:rsidRPr="003C3E59">
        <w:t xml:space="preserve">.7(b)(7)(iii)); the fair value and purchase price of the eligible horizontal residual interest retained by each third-party purchaser, and the fair value of the eligible horizontal residual interest that the sponsor would have retained if the sponsor had relied on retaining an eligible horizontal residual interest under the standard risk retention option </w:t>
      </w:r>
    </w:p>
    <w:p w14:paraId="28A21D5F" w14:textId="77777777" w:rsidR="00C96BE4" w:rsidRDefault="00C96BE4" w:rsidP="00C96BE4">
      <w:pPr>
        <w:pStyle w:val="ColorfulList-Accent11"/>
        <w:ind w:left="0"/>
      </w:pPr>
      <w:r w:rsidRPr="003C3E59">
        <w:t>(§</w:t>
      </w:r>
      <w:r>
        <w:t xml:space="preserve"> 43</w:t>
      </w:r>
      <w:r w:rsidRPr="003C3E59">
        <w:t>.7(b)(7)(iv) and (v)); a description of the material terms of the eligible horizontal residual interest retained by each initial third-party purchaser, including the same information as is required to be disclosed by sponsors retaining horizontal interests pursuant to §</w:t>
      </w:r>
      <w:r>
        <w:t xml:space="preserve"> 43</w:t>
      </w:r>
      <w:r w:rsidRPr="003C3E59">
        <w:t xml:space="preserve">.4 </w:t>
      </w:r>
    </w:p>
    <w:p w14:paraId="6E4DA019" w14:textId="77777777" w:rsidR="00C96BE4" w:rsidRDefault="00C96BE4" w:rsidP="00C96BE4">
      <w:pPr>
        <w:pStyle w:val="ColorfulList-Accent11"/>
        <w:ind w:left="0"/>
      </w:pPr>
      <w:r w:rsidRPr="003C3E59">
        <w:t>(§</w:t>
      </w:r>
      <w:r>
        <w:t xml:space="preserve"> 43</w:t>
      </w:r>
      <w:r w:rsidRPr="003C3E59">
        <w:t>.7(b)(7)(vi)); the material terms of the applicable transaction documents with respect to the Operating Advisor (§</w:t>
      </w:r>
      <w:r>
        <w:t xml:space="preserve"> 43</w:t>
      </w:r>
      <w:r w:rsidRPr="003C3E59">
        <w:t>.7(b)(7)(vii)); and representations and warranties concerning the securitized assets, a schedule of any securitized assets that are determined not to comply with such representations and warranties, and the factors used to determine that such securitized assets should be included in the pool notwithstanding that they did not comply with the representations and warranties (§</w:t>
      </w:r>
      <w:r>
        <w:t xml:space="preserve"> 43</w:t>
      </w:r>
      <w:r w:rsidRPr="003C3E59">
        <w:t>.7(b)(7)(viii)). A sponsor relying on the commercial mortgage-backed securities risk retention option is also required to provide in the underlying securitization transaction documents certain provisions related to the Operating Advisor (§</w:t>
      </w:r>
      <w:r>
        <w:t xml:space="preserve"> 43</w:t>
      </w:r>
      <w:r w:rsidRPr="003C3E59">
        <w:t>.7(b)(6)), to maintain and adhere to policies and procedures to monitor compliance by third-party purchasers with regulatory requirements (§</w:t>
      </w:r>
      <w:r>
        <w:t xml:space="preserve"> 43</w:t>
      </w:r>
      <w:r w:rsidRPr="003C3E59">
        <w:t xml:space="preserve">.7(c)(2)(A)), and to notify the holders of the ABS interests in the event of noncompliance by a third-party purchaser with such regulatory requirements </w:t>
      </w:r>
    </w:p>
    <w:p w14:paraId="3303D013" w14:textId="77777777" w:rsidR="00C96BE4" w:rsidRDefault="00C96BE4" w:rsidP="00C96BE4">
      <w:pPr>
        <w:pStyle w:val="ColorfulList-Accent11"/>
        <w:ind w:left="0"/>
      </w:pPr>
      <w:r w:rsidRPr="003C3E59">
        <w:t>(§</w:t>
      </w:r>
      <w:r>
        <w:t xml:space="preserve"> 43</w:t>
      </w:r>
      <w:r w:rsidRPr="003C3E59">
        <w:t>.7(c)(2)(B)).</w:t>
      </w:r>
    </w:p>
    <w:p w14:paraId="34523F72" w14:textId="77777777" w:rsidR="00C96BE4" w:rsidRPr="003C3E59" w:rsidRDefault="00C96BE4" w:rsidP="00C96BE4">
      <w:pPr>
        <w:pStyle w:val="ColorfulList-Accent11"/>
        <w:ind w:left="0" w:firstLine="720"/>
      </w:pPr>
    </w:p>
    <w:p w14:paraId="5258CA63" w14:textId="77777777" w:rsidR="00C96BE4" w:rsidRDefault="00C96BE4" w:rsidP="00C96BE4">
      <w:pPr>
        <w:pStyle w:val="ColorfulList-Accent11"/>
        <w:ind w:left="0" w:firstLine="720"/>
      </w:pPr>
      <w:r w:rsidRPr="003C3E59">
        <w:t xml:space="preserve">Section </w:t>
      </w:r>
      <w:r>
        <w:t>43</w:t>
      </w:r>
      <w:r w:rsidRPr="003C3E59">
        <w:t>.8 requires that a sponsor relying on the Federal National Mortgage  Association and Federal Home Loan Mortgage Corporation risk retention option must disclose a description of the manner in which it has met the credit risk retention requirements (§</w:t>
      </w:r>
      <w:r>
        <w:t xml:space="preserve"> 43</w:t>
      </w:r>
      <w:r w:rsidRPr="003C3E59">
        <w:t>.8(c)).</w:t>
      </w:r>
    </w:p>
    <w:p w14:paraId="335906DE" w14:textId="77777777" w:rsidR="00C96BE4" w:rsidRPr="003C3E59" w:rsidRDefault="00C96BE4" w:rsidP="00C96BE4">
      <w:pPr>
        <w:pStyle w:val="ColorfulList-Accent11"/>
        <w:ind w:left="0" w:firstLine="720"/>
      </w:pPr>
    </w:p>
    <w:p w14:paraId="79693063" w14:textId="77777777" w:rsidR="00C96BE4" w:rsidRDefault="00C96BE4" w:rsidP="00C96BE4">
      <w:pPr>
        <w:pStyle w:val="ColorfulList-Accent11"/>
        <w:ind w:left="0" w:firstLine="720"/>
      </w:pPr>
      <w:r w:rsidRPr="003C3E59">
        <w:t xml:space="preserve">Section </w:t>
      </w:r>
      <w:r>
        <w:t>43</w:t>
      </w:r>
      <w:r w:rsidRPr="003C3E59">
        <w:t>.9 sets forth the requirements for sponsors relying on the open market CLO risk retention option, and includes disclosures of a complete list of, and certain information related to, every asset held by an open market CLO (§</w:t>
      </w:r>
      <w:r>
        <w:t xml:space="preserve"> 43</w:t>
      </w:r>
      <w:r w:rsidRPr="003C3E59">
        <w:t>.9(d)(1)), and the full legal name and form of organization of the CLO manager (§</w:t>
      </w:r>
      <w:r>
        <w:t xml:space="preserve"> 43</w:t>
      </w:r>
      <w:r w:rsidRPr="003C3E59">
        <w:t>.9(d)(2)).</w:t>
      </w:r>
    </w:p>
    <w:p w14:paraId="53723994" w14:textId="77777777" w:rsidR="00C96BE4" w:rsidRPr="003C3E59" w:rsidRDefault="00C96BE4" w:rsidP="00C96BE4">
      <w:pPr>
        <w:pStyle w:val="ColorfulList-Accent11"/>
        <w:ind w:left="0" w:firstLine="720"/>
      </w:pPr>
    </w:p>
    <w:p w14:paraId="6017C718" w14:textId="77777777" w:rsidR="00C96BE4" w:rsidRDefault="00C96BE4" w:rsidP="00C96BE4">
      <w:pPr>
        <w:ind w:firstLine="720"/>
        <w:rPr>
          <w:rFonts w:ascii="Times New Roman" w:hAnsi="Times New Roman"/>
          <w:szCs w:val="24"/>
        </w:rPr>
      </w:pPr>
      <w:r w:rsidRPr="003C3E59">
        <w:rPr>
          <w:rFonts w:ascii="Times New Roman" w:hAnsi="Times New Roman"/>
          <w:szCs w:val="24"/>
        </w:rPr>
        <w:t xml:space="preserve">Section </w:t>
      </w:r>
      <w:r>
        <w:rPr>
          <w:rFonts w:ascii="Times New Roman" w:hAnsi="Times New Roman"/>
          <w:szCs w:val="24"/>
        </w:rPr>
        <w:t>43</w:t>
      </w:r>
      <w:r w:rsidRPr="003C3E59">
        <w:rPr>
          <w:rFonts w:ascii="Times New Roman" w:hAnsi="Times New Roman"/>
          <w:szCs w:val="24"/>
        </w:rPr>
        <w:t xml:space="preserve">.10 sets forth the requirements for sponsors relying on the qualified tender option bond risk retention option, and includes disclosures of the name and form of organization of the qualified tender option bond entity, a description of the form and subordination features of the retained interest in accordance with the disclosure obligations in </w:t>
      </w:r>
      <w:r>
        <w:rPr>
          <w:rFonts w:ascii="Times New Roman" w:hAnsi="Times New Roman"/>
          <w:szCs w:val="24"/>
        </w:rPr>
        <w:t>§</w:t>
      </w:r>
      <w:r w:rsidRPr="003C3E59">
        <w:rPr>
          <w:rFonts w:ascii="Times New Roman" w:hAnsi="Times New Roman"/>
          <w:szCs w:val="24"/>
        </w:rPr>
        <w:t> </w:t>
      </w:r>
      <w:r>
        <w:rPr>
          <w:rFonts w:ascii="Times New Roman" w:hAnsi="Times New Roman"/>
          <w:szCs w:val="24"/>
        </w:rPr>
        <w:t>43</w:t>
      </w:r>
      <w:r w:rsidRPr="003C3E59">
        <w:rPr>
          <w:rFonts w:ascii="Times New Roman" w:hAnsi="Times New Roman"/>
          <w:szCs w:val="24"/>
        </w:rPr>
        <w:t>.4(d), the fair value of any portion of the retained interest that is claimed by the sponsor as an eligible horizontal residual interest, and the percentage of ABS interests issued that is represented by any portion of the retained interest that is claimed by the sponsor as an eligible vertical interest (§</w:t>
      </w:r>
      <w:r>
        <w:rPr>
          <w:rFonts w:ascii="Times New Roman" w:hAnsi="Times New Roman"/>
          <w:szCs w:val="24"/>
        </w:rPr>
        <w:t xml:space="preserve"> 43</w:t>
      </w:r>
      <w:r w:rsidRPr="003C3E59">
        <w:rPr>
          <w:rFonts w:ascii="Times New Roman" w:hAnsi="Times New Roman"/>
          <w:szCs w:val="24"/>
        </w:rPr>
        <w:t>.10(e)(1)-(4)).  In addition, to the extent any portion of the retained interest claimed by the sponsor is a municipal security held outside of the qualified tender option bond entity, the sponsor must disclose the name and form of organization of the qualified tender option bond entity, the identity of the issuer of the municipal securities, the face value of the municipal securities deposited into the qualified tender option bond entity, and the face value of the municipal securities retained outside of the qualified tender option bond entity by the sponsor or its majority-owned affiliates (§</w:t>
      </w:r>
      <w:r>
        <w:rPr>
          <w:rFonts w:ascii="Times New Roman" w:hAnsi="Times New Roman"/>
          <w:szCs w:val="24"/>
        </w:rPr>
        <w:t xml:space="preserve"> 43</w:t>
      </w:r>
      <w:r w:rsidRPr="003C3E59">
        <w:rPr>
          <w:rFonts w:ascii="Times New Roman" w:hAnsi="Times New Roman"/>
          <w:szCs w:val="24"/>
        </w:rPr>
        <w:t>.10(e)(5)).</w:t>
      </w:r>
    </w:p>
    <w:p w14:paraId="0B3DC5E1" w14:textId="77777777" w:rsidR="00C96BE4" w:rsidRPr="003C3E59" w:rsidRDefault="00C96BE4" w:rsidP="00C96BE4">
      <w:pPr>
        <w:ind w:firstLine="720"/>
        <w:rPr>
          <w:rFonts w:ascii="Times New Roman" w:hAnsi="Times New Roman"/>
          <w:szCs w:val="24"/>
        </w:rPr>
      </w:pPr>
    </w:p>
    <w:p w14:paraId="5BDCFA44" w14:textId="77777777" w:rsidR="00C96BE4" w:rsidRDefault="00C96BE4" w:rsidP="00C96BE4">
      <w:pPr>
        <w:ind w:firstLine="720"/>
        <w:rPr>
          <w:rFonts w:ascii="Times New Roman" w:hAnsi="Times New Roman"/>
          <w:szCs w:val="24"/>
        </w:rPr>
      </w:pPr>
      <w:r w:rsidRPr="003C3E59">
        <w:rPr>
          <w:rFonts w:ascii="Times New Roman" w:hAnsi="Times New Roman"/>
          <w:szCs w:val="24"/>
        </w:rPr>
        <w:t xml:space="preserve">Section </w:t>
      </w:r>
      <w:r>
        <w:rPr>
          <w:rFonts w:ascii="Times New Roman" w:hAnsi="Times New Roman"/>
          <w:szCs w:val="24"/>
        </w:rPr>
        <w:t>43</w:t>
      </w:r>
      <w:r w:rsidRPr="003C3E59">
        <w:rPr>
          <w:rFonts w:ascii="Times New Roman" w:hAnsi="Times New Roman"/>
          <w:szCs w:val="24"/>
        </w:rPr>
        <w:t>.11 sets forth the conditions that apply when the sponsor of a securitization allocates to originators of securitized assets a portion of the credit risk the sponsor is required to retain, including disclosure of the name and form of organization of any originator that acquires and retains an interest in the transaction, a description of the form, amount and nature of such interest, and the method of payment for such interest (§</w:t>
      </w:r>
      <w:r>
        <w:rPr>
          <w:rFonts w:ascii="Times New Roman" w:hAnsi="Times New Roman"/>
          <w:szCs w:val="24"/>
        </w:rPr>
        <w:t xml:space="preserve"> 43</w:t>
      </w:r>
      <w:r w:rsidRPr="003C3E59">
        <w:rPr>
          <w:rFonts w:ascii="Times New Roman" w:hAnsi="Times New Roman"/>
          <w:szCs w:val="24"/>
        </w:rPr>
        <w:t>.11(a)(2)).  A sponsor relying on this section is required to maintain and adhere to policies and procedures that are reasonably designed to monitor originator compliance with retention amount and hedging, transferring and pledging requirements (§</w:t>
      </w:r>
      <w:r>
        <w:rPr>
          <w:rFonts w:ascii="Times New Roman" w:hAnsi="Times New Roman"/>
          <w:szCs w:val="24"/>
        </w:rPr>
        <w:t xml:space="preserve"> 43</w:t>
      </w:r>
      <w:r w:rsidRPr="003C3E59">
        <w:rPr>
          <w:rFonts w:ascii="Times New Roman" w:hAnsi="Times New Roman"/>
          <w:szCs w:val="24"/>
        </w:rPr>
        <w:t>.11(b)(2)(A)), and to promptly notify the holders of the ABS interests in the transaction in the event of originator non-compliance with such regulatory requirements (§</w:t>
      </w:r>
      <w:r>
        <w:rPr>
          <w:rFonts w:ascii="Times New Roman" w:hAnsi="Times New Roman"/>
          <w:szCs w:val="24"/>
        </w:rPr>
        <w:t xml:space="preserve"> 43</w:t>
      </w:r>
      <w:r w:rsidRPr="003C3E59">
        <w:rPr>
          <w:rFonts w:ascii="Times New Roman" w:hAnsi="Times New Roman"/>
          <w:szCs w:val="24"/>
        </w:rPr>
        <w:t>.11(b)(2)(B)).</w:t>
      </w:r>
    </w:p>
    <w:p w14:paraId="4779DF04" w14:textId="77777777" w:rsidR="00C96BE4" w:rsidRPr="003C3E59" w:rsidRDefault="00C96BE4" w:rsidP="00C96BE4">
      <w:pPr>
        <w:ind w:firstLine="720"/>
        <w:rPr>
          <w:rFonts w:ascii="Times New Roman" w:hAnsi="Times New Roman"/>
          <w:szCs w:val="24"/>
        </w:rPr>
      </w:pPr>
    </w:p>
    <w:p w14:paraId="296D6DE7" w14:textId="77777777" w:rsidR="00C96BE4" w:rsidRDefault="00C96BE4" w:rsidP="00C96BE4">
      <w:pPr>
        <w:ind w:firstLine="720"/>
        <w:rPr>
          <w:rFonts w:ascii="Times New Roman" w:hAnsi="Times New Roman"/>
          <w:szCs w:val="24"/>
        </w:rPr>
      </w:pPr>
      <w:r w:rsidRPr="003C3E59">
        <w:rPr>
          <w:rFonts w:ascii="Times New Roman" w:hAnsi="Times New Roman"/>
          <w:szCs w:val="24"/>
        </w:rPr>
        <w:t xml:space="preserve">Sections </w:t>
      </w:r>
      <w:r>
        <w:rPr>
          <w:rFonts w:ascii="Times New Roman" w:hAnsi="Times New Roman"/>
          <w:szCs w:val="24"/>
        </w:rPr>
        <w:t>43</w:t>
      </w:r>
      <w:r w:rsidRPr="003C3E59">
        <w:rPr>
          <w:rFonts w:ascii="Times New Roman" w:hAnsi="Times New Roman"/>
          <w:szCs w:val="24"/>
        </w:rPr>
        <w:t xml:space="preserve">.13 and </w:t>
      </w:r>
      <w:r>
        <w:rPr>
          <w:rFonts w:ascii="Times New Roman" w:hAnsi="Times New Roman"/>
          <w:szCs w:val="24"/>
        </w:rPr>
        <w:t>43</w:t>
      </w:r>
      <w:r w:rsidRPr="003C3E59">
        <w:rPr>
          <w:rFonts w:ascii="Times New Roman" w:hAnsi="Times New Roman"/>
          <w:szCs w:val="24"/>
        </w:rPr>
        <w:t>.19(g) provide exemptions from the risk retention requirements for qualified residential mortgages and qualifying 3-to-4 unit residential mortgage loans that meet certain specified criteria, including that the depositor with respect to the securitization transaction certify that it has evaluated the effectiveness of its internal supervisory controls and concluded that the controls are effective (§§</w:t>
      </w:r>
      <w:r>
        <w:rPr>
          <w:rFonts w:ascii="Times New Roman" w:hAnsi="Times New Roman"/>
          <w:szCs w:val="24"/>
        </w:rPr>
        <w:t xml:space="preserve"> 43</w:t>
      </w:r>
      <w:r w:rsidRPr="003C3E59">
        <w:rPr>
          <w:rFonts w:ascii="Times New Roman" w:hAnsi="Times New Roman"/>
          <w:szCs w:val="24"/>
        </w:rPr>
        <w:t xml:space="preserve">.13(b)(4)(i) and </w:t>
      </w:r>
      <w:r>
        <w:rPr>
          <w:rFonts w:ascii="Times New Roman" w:hAnsi="Times New Roman"/>
          <w:szCs w:val="24"/>
        </w:rPr>
        <w:t>43</w:t>
      </w:r>
      <w:r w:rsidRPr="003C3E59">
        <w:rPr>
          <w:rFonts w:ascii="Times New Roman" w:hAnsi="Times New Roman"/>
          <w:szCs w:val="24"/>
        </w:rPr>
        <w:t>.19(g)(2)), and that the sponsor provide a copy of the certification to potential investors prior to sale of asset-backed securities in the issuing entity (§§</w:t>
      </w:r>
      <w:r>
        <w:rPr>
          <w:rFonts w:ascii="Times New Roman" w:hAnsi="Times New Roman"/>
          <w:szCs w:val="24"/>
        </w:rPr>
        <w:t xml:space="preserve"> 43</w:t>
      </w:r>
      <w:r w:rsidRPr="003C3E59">
        <w:rPr>
          <w:rFonts w:ascii="Times New Roman" w:hAnsi="Times New Roman"/>
          <w:szCs w:val="24"/>
        </w:rPr>
        <w:t xml:space="preserve">.13(b)(4)(iii) and </w:t>
      </w:r>
      <w:r>
        <w:rPr>
          <w:rFonts w:ascii="Times New Roman" w:hAnsi="Times New Roman"/>
          <w:szCs w:val="24"/>
        </w:rPr>
        <w:t>43</w:t>
      </w:r>
      <w:r w:rsidRPr="003C3E59">
        <w:rPr>
          <w:rFonts w:ascii="Times New Roman" w:hAnsi="Times New Roman"/>
          <w:szCs w:val="24"/>
        </w:rPr>
        <w:t>.19(g)(2)).  In addition, §§</w:t>
      </w:r>
      <w:r>
        <w:rPr>
          <w:rFonts w:ascii="Times New Roman" w:hAnsi="Times New Roman"/>
          <w:szCs w:val="24"/>
        </w:rPr>
        <w:t xml:space="preserve"> 43</w:t>
      </w:r>
      <w:r w:rsidRPr="003C3E59">
        <w:rPr>
          <w:rFonts w:ascii="Times New Roman" w:hAnsi="Times New Roman"/>
          <w:szCs w:val="24"/>
        </w:rPr>
        <w:t xml:space="preserve">.13(c)(3) and </w:t>
      </w:r>
      <w:r>
        <w:rPr>
          <w:rFonts w:ascii="Times New Roman" w:hAnsi="Times New Roman"/>
          <w:szCs w:val="24"/>
        </w:rPr>
        <w:t>43</w:t>
      </w:r>
      <w:r w:rsidRPr="003C3E59">
        <w:rPr>
          <w:rFonts w:ascii="Times New Roman" w:hAnsi="Times New Roman"/>
          <w:szCs w:val="24"/>
        </w:rPr>
        <w:t>.19(g)(3) provide that a sponsor that has relied upon the exemptions will not lose the exemptions if, after closing of the transaction, it is determined that one or more of the residential mortgage loans does not meet all of the criteria; provided that the depositor complies with certain specified requirements, including prompt notice to the holders of the asset-backed securities of any loan that is required to be repurchased by the sponsor, the amount of such repurchased loan, and the cause for such repurchase.</w:t>
      </w:r>
    </w:p>
    <w:p w14:paraId="661DFB67" w14:textId="77777777" w:rsidR="00C96BE4" w:rsidRPr="003C3E59" w:rsidRDefault="00C96BE4" w:rsidP="00C96BE4">
      <w:pPr>
        <w:ind w:firstLine="720"/>
        <w:rPr>
          <w:rFonts w:ascii="Times New Roman" w:hAnsi="Times New Roman"/>
          <w:szCs w:val="24"/>
        </w:rPr>
      </w:pPr>
    </w:p>
    <w:p w14:paraId="49FD0E85" w14:textId="77777777" w:rsidR="008C26FA" w:rsidRDefault="00C96BE4" w:rsidP="00C96BE4">
      <w:pPr>
        <w:ind w:firstLine="720"/>
        <w:rPr>
          <w:rFonts w:ascii="Times New Roman" w:hAnsi="Times New Roman"/>
          <w:szCs w:val="24"/>
        </w:rPr>
      </w:pPr>
      <w:r w:rsidRPr="003C3E59">
        <w:rPr>
          <w:rFonts w:ascii="Times New Roman" w:hAnsi="Times New Roman"/>
          <w:szCs w:val="24"/>
        </w:rPr>
        <w:t xml:space="preserve">Section </w:t>
      </w:r>
      <w:r>
        <w:rPr>
          <w:rFonts w:ascii="Times New Roman" w:hAnsi="Times New Roman"/>
          <w:szCs w:val="24"/>
        </w:rPr>
        <w:t>43</w:t>
      </w:r>
      <w:r w:rsidRPr="003C3E59">
        <w:rPr>
          <w:rFonts w:ascii="Times New Roman" w:hAnsi="Times New Roman"/>
          <w:szCs w:val="24"/>
        </w:rPr>
        <w:t xml:space="preserve">.15 provides exemptions from the risk retention requirements for qualifying commercial loans that meet the criteria specified in </w:t>
      </w:r>
      <w:r w:rsidR="008C26FA">
        <w:rPr>
          <w:rFonts w:ascii="Times New Roman" w:hAnsi="Times New Roman"/>
          <w:szCs w:val="24"/>
        </w:rPr>
        <w:t>§</w:t>
      </w:r>
      <w:r w:rsidRPr="003C3E59">
        <w:rPr>
          <w:rFonts w:ascii="Times New Roman" w:hAnsi="Times New Roman"/>
          <w:szCs w:val="24"/>
        </w:rPr>
        <w:t xml:space="preserve"> </w:t>
      </w:r>
      <w:r>
        <w:rPr>
          <w:rFonts w:ascii="Times New Roman" w:hAnsi="Times New Roman"/>
          <w:szCs w:val="24"/>
        </w:rPr>
        <w:t>43</w:t>
      </w:r>
      <w:r w:rsidRPr="003C3E59">
        <w:rPr>
          <w:rFonts w:ascii="Times New Roman" w:hAnsi="Times New Roman"/>
          <w:szCs w:val="24"/>
        </w:rPr>
        <w:t xml:space="preserve">.16, qualifying CRE loans that meet the criteria specified in </w:t>
      </w:r>
      <w:r w:rsidR="008C26FA">
        <w:rPr>
          <w:rFonts w:ascii="Times New Roman" w:hAnsi="Times New Roman"/>
          <w:szCs w:val="24"/>
        </w:rPr>
        <w:t>§</w:t>
      </w:r>
      <w:r w:rsidRPr="003C3E59">
        <w:rPr>
          <w:rFonts w:ascii="Times New Roman" w:hAnsi="Times New Roman"/>
          <w:szCs w:val="24"/>
        </w:rPr>
        <w:t xml:space="preserve"> </w:t>
      </w:r>
      <w:r>
        <w:rPr>
          <w:rFonts w:ascii="Times New Roman" w:hAnsi="Times New Roman"/>
          <w:szCs w:val="24"/>
        </w:rPr>
        <w:t>43</w:t>
      </w:r>
      <w:r w:rsidRPr="003C3E59">
        <w:rPr>
          <w:rFonts w:ascii="Times New Roman" w:hAnsi="Times New Roman"/>
          <w:szCs w:val="24"/>
        </w:rPr>
        <w:t xml:space="preserve">.17, and qualifying automobile loans that meet the criteria specified in </w:t>
      </w:r>
    </w:p>
    <w:p w14:paraId="3C290C5B" w14:textId="6CC80EF6" w:rsidR="00C96BE4" w:rsidRDefault="008C26FA" w:rsidP="00C96BE4">
      <w:pPr>
        <w:rPr>
          <w:rFonts w:ascii="Times New Roman" w:hAnsi="Times New Roman"/>
          <w:szCs w:val="24"/>
        </w:rPr>
      </w:pPr>
      <w:r>
        <w:rPr>
          <w:rFonts w:ascii="Times New Roman" w:hAnsi="Times New Roman"/>
          <w:szCs w:val="24"/>
        </w:rPr>
        <w:t>§</w:t>
      </w:r>
      <w:r w:rsidR="00C96BE4" w:rsidRPr="003C3E59">
        <w:rPr>
          <w:rFonts w:ascii="Times New Roman" w:hAnsi="Times New Roman"/>
          <w:szCs w:val="24"/>
        </w:rPr>
        <w:t xml:space="preserve"> </w:t>
      </w:r>
      <w:r w:rsidR="00C96BE4">
        <w:rPr>
          <w:rFonts w:ascii="Times New Roman" w:hAnsi="Times New Roman"/>
          <w:szCs w:val="24"/>
        </w:rPr>
        <w:t>43</w:t>
      </w:r>
      <w:r w:rsidR="00C96BE4" w:rsidRPr="003C3E59">
        <w:rPr>
          <w:rFonts w:ascii="Times New Roman" w:hAnsi="Times New Roman"/>
          <w:szCs w:val="24"/>
        </w:rPr>
        <w:t xml:space="preserve">.18.  Section </w:t>
      </w:r>
      <w:r w:rsidR="00C96BE4">
        <w:rPr>
          <w:rFonts w:ascii="Times New Roman" w:hAnsi="Times New Roman"/>
          <w:szCs w:val="24"/>
        </w:rPr>
        <w:t>43</w:t>
      </w:r>
      <w:r w:rsidR="00C96BE4" w:rsidRPr="003C3E59">
        <w:rPr>
          <w:rFonts w:ascii="Times New Roman" w:hAnsi="Times New Roman"/>
          <w:szCs w:val="24"/>
        </w:rPr>
        <w:t>.15 also requires the sponsor to disclose a description of the manner in which the sponsor determined the aggregate risk retention requirement for the securitization transaction after including qualifying commercial loans, qualifying CRE loans, or qualifying automobile loans with 0 percent risk retention (§</w:t>
      </w:r>
      <w:r w:rsidR="00C96BE4">
        <w:rPr>
          <w:rFonts w:ascii="Times New Roman" w:hAnsi="Times New Roman"/>
          <w:szCs w:val="24"/>
        </w:rPr>
        <w:t xml:space="preserve"> 43</w:t>
      </w:r>
      <w:r w:rsidR="00C96BE4" w:rsidRPr="003C3E59">
        <w:rPr>
          <w:rFonts w:ascii="Times New Roman" w:hAnsi="Times New Roman"/>
          <w:szCs w:val="24"/>
        </w:rPr>
        <w:t>.15(a)(4)).  In addition, the sponsor is required to disclose descriptions of the qualifying commercial loans, qualifying CRE loans, and qualifying automobile loans (“qualifying assets”), and descriptions of the assets that are not qualifying assets, and the material differences between the group of qualifying assets and the group of assets that are not qualifying assets with respect to the composition of each group’s loan balances, loan terms, interest rates, borrower credit information, and characteristics of any loan collateral (§</w:t>
      </w:r>
      <w:r w:rsidR="00C96BE4">
        <w:rPr>
          <w:rFonts w:ascii="Times New Roman" w:hAnsi="Times New Roman"/>
          <w:szCs w:val="24"/>
        </w:rPr>
        <w:t xml:space="preserve"> 43</w:t>
      </w:r>
      <w:r w:rsidR="00C96BE4" w:rsidRPr="003C3E59">
        <w:rPr>
          <w:rFonts w:ascii="Times New Roman" w:hAnsi="Times New Roman"/>
          <w:szCs w:val="24"/>
        </w:rPr>
        <w:t>.15(b)(3)).  Additionally, a sponsor must retain the disclosures required in §§</w:t>
      </w:r>
      <w:r w:rsidR="00C96BE4">
        <w:rPr>
          <w:rFonts w:ascii="Times New Roman" w:hAnsi="Times New Roman"/>
          <w:szCs w:val="24"/>
        </w:rPr>
        <w:t xml:space="preserve"> 43</w:t>
      </w:r>
      <w:r w:rsidR="00C96BE4" w:rsidRPr="003C3E59">
        <w:rPr>
          <w:rFonts w:ascii="Times New Roman" w:hAnsi="Times New Roman"/>
          <w:szCs w:val="24"/>
        </w:rPr>
        <w:t>.15(a) and (b) in its records and must provide the disclosure</w:t>
      </w:r>
      <w:r>
        <w:rPr>
          <w:rFonts w:ascii="Times New Roman" w:hAnsi="Times New Roman"/>
          <w:szCs w:val="24"/>
        </w:rPr>
        <w:t>s</w:t>
      </w:r>
      <w:r w:rsidR="00C96BE4" w:rsidRPr="003C3E59">
        <w:rPr>
          <w:rFonts w:ascii="Times New Roman" w:hAnsi="Times New Roman"/>
          <w:szCs w:val="24"/>
        </w:rPr>
        <w:t xml:space="preserve"> upon request to the </w:t>
      </w:r>
      <w:r w:rsidR="004329DD">
        <w:rPr>
          <w:rFonts w:ascii="Times New Roman" w:hAnsi="Times New Roman"/>
          <w:szCs w:val="24"/>
        </w:rPr>
        <w:t>SEC</w:t>
      </w:r>
      <w:r w:rsidR="00C96BE4" w:rsidRPr="003C3E59">
        <w:rPr>
          <w:rFonts w:ascii="Times New Roman" w:hAnsi="Times New Roman"/>
          <w:szCs w:val="24"/>
        </w:rPr>
        <w:t xml:space="preserve"> and the sponsor’s appropriate </w:t>
      </w:r>
      <w:r w:rsidR="00C96BE4">
        <w:rPr>
          <w:rFonts w:ascii="Times New Roman" w:hAnsi="Times New Roman"/>
          <w:szCs w:val="24"/>
        </w:rPr>
        <w:t>f</w:t>
      </w:r>
      <w:r w:rsidR="00C96BE4" w:rsidRPr="003C3E59">
        <w:rPr>
          <w:rFonts w:ascii="Times New Roman" w:hAnsi="Times New Roman"/>
          <w:szCs w:val="24"/>
        </w:rPr>
        <w:t xml:space="preserve">ederal banking agency, if any, until three years after </w:t>
      </w:r>
      <w:r w:rsidR="00C96BE4">
        <w:rPr>
          <w:rFonts w:ascii="Times New Roman" w:hAnsi="Times New Roman"/>
          <w:szCs w:val="24"/>
        </w:rPr>
        <w:t xml:space="preserve">all </w:t>
      </w:r>
      <w:r w:rsidR="00C96BE4" w:rsidRPr="003C3E59">
        <w:rPr>
          <w:rFonts w:ascii="Times New Roman" w:hAnsi="Times New Roman"/>
          <w:szCs w:val="24"/>
        </w:rPr>
        <w:t xml:space="preserve"> ABS interests are </w:t>
      </w:r>
      <w:r w:rsidR="00C96BE4">
        <w:rPr>
          <w:rFonts w:ascii="Times New Roman" w:hAnsi="Times New Roman"/>
          <w:szCs w:val="24"/>
        </w:rPr>
        <w:t xml:space="preserve">no longer </w:t>
      </w:r>
      <w:r w:rsidR="00C96BE4" w:rsidRPr="003C3E59">
        <w:rPr>
          <w:rFonts w:ascii="Times New Roman" w:hAnsi="Times New Roman"/>
          <w:szCs w:val="24"/>
        </w:rPr>
        <w:t>outstanding (§</w:t>
      </w:r>
      <w:r w:rsidR="00C96BE4">
        <w:rPr>
          <w:rFonts w:ascii="Times New Roman" w:hAnsi="Times New Roman"/>
          <w:szCs w:val="24"/>
        </w:rPr>
        <w:t xml:space="preserve"> 43</w:t>
      </w:r>
      <w:r w:rsidR="00C96BE4" w:rsidRPr="003C3E59">
        <w:rPr>
          <w:rFonts w:ascii="Times New Roman" w:hAnsi="Times New Roman"/>
          <w:szCs w:val="24"/>
        </w:rPr>
        <w:t>.15(d)).</w:t>
      </w:r>
    </w:p>
    <w:p w14:paraId="0DCBD59B" w14:textId="77777777" w:rsidR="00C96BE4" w:rsidRPr="003C3E59" w:rsidRDefault="00C96BE4" w:rsidP="00C96BE4">
      <w:pPr>
        <w:ind w:firstLine="720"/>
        <w:rPr>
          <w:rFonts w:ascii="Times New Roman" w:hAnsi="Times New Roman"/>
          <w:szCs w:val="24"/>
        </w:rPr>
      </w:pPr>
    </w:p>
    <w:p w14:paraId="5FCE46EA" w14:textId="4728516B" w:rsidR="00C96BE4" w:rsidRDefault="00C96BE4" w:rsidP="00C96BE4">
      <w:pPr>
        <w:ind w:firstLine="720"/>
        <w:rPr>
          <w:rFonts w:ascii="Times New Roman" w:hAnsi="Times New Roman"/>
          <w:szCs w:val="24"/>
        </w:rPr>
      </w:pPr>
      <w:r w:rsidRPr="003C3E59">
        <w:rPr>
          <w:rFonts w:ascii="Times New Roman" w:hAnsi="Times New Roman"/>
          <w:szCs w:val="24"/>
        </w:rPr>
        <w:t xml:space="preserve">Sections </w:t>
      </w:r>
      <w:r>
        <w:rPr>
          <w:rFonts w:ascii="Times New Roman" w:hAnsi="Times New Roman"/>
          <w:szCs w:val="24"/>
        </w:rPr>
        <w:t>43</w:t>
      </w:r>
      <w:r w:rsidRPr="003C3E59">
        <w:rPr>
          <w:rFonts w:ascii="Times New Roman" w:hAnsi="Times New Roman"/>
          <w:szCs w:val="24"/>
        </w:rPr>
        <w:t xml:space="preserve">.16, </w:t>
      </w:r>
      <w:r>
        <w:rPr>
          <w:rFonts w:ascii="Times New Roman" w:hAnsi="Times New Roman"/>
          <w:szCs w:val="24"/>
        </w:rPr>
        <w:t>43</w:t>
      </w:r>
      <w:r w:rsidRPr="003C3E59">
        <w:rPr>
          <w:rFonts w:ascii="Times New Roman" w:hAnsi="Times New Roman"/>
          <w:szCs w:val="24"/>
        </w:rPr>
        <w:t xml:space="preserve">.17 and </w:t>
      </w:r>
      <w:r>
        <w:rPr>
          <w:rFonts w:ascii="Times New Roman" w:hAnsi="Times New Roman"/>
          <w:szCs w:val="24"/>
        </w:rPr>
        <w:t>43</w:t>
      </w:r>
      <w:r w:rsidRPr="003C3E59">
        <w:rPr>
          <w:rFonts w:ascii="Times New Roman" w:hAnsi="Times New Roman"/>
          <w:szCs w:val="24"/>
        </w:rPr>
        <w:t>.18 each require that:  the depositor of the asset-backed security certify that it has evaluated the effectiveness of its internal supervisory controls and concluded that its internal supervisory controls are effective (§§</w:t>
      </w:r>
      <w:r>
        <w:rPr>
          <w:rFonts w:ascii="Times New Roman" w:hAnsi="Times New Roman"/>
          <w:szCs w:val="24"/>
        </w:rPr>
        <w:t xml:space="preserve"> 43</w:t>
      </w:r>
      <w:r w:rsidRPr="003C3E59">
        <w:rPr>
          <w:rFonts w:ascii="Times New Roman" w:hAnsi="Times New Roman"/>
          <w:szCs w:val="24"/>
        </w:rPr>
        <w:t xml:space="preserve">.16(a)(8)(i), </w:t>
      </w:r>
      <w:r>
        <w:rPr>
          <w:rFonts w:ascii="Times New Roman" w:hAnsi="Times New Roman"/>
          <w:szCs w:val="24"/>
        </w:rPr>
        <w:t>43</w:t>
      </w:r>
      <w:r w:rsidRPr="003C3E59">
        <w:rPr>
          <w:rFonts w:ascii="Times New Roman" w:hAnsi="Times New Roman"/>
          <w:szCs w:val="24"/>
        </w:rPr>
        <w:t xml:space="preserve">.17(a)(10)(i), and </w:t>
      </w:r>
      <w:r>
        <w:rPr>
          <w:rFonts w:ascii="Times New Roman" w:hAnsi="Times New Roman"/>
          <w:szCs w:val="24"/>
        </w:rPr>
        <w:t>43</w:t>
      </w:r>
      <w:r w:rsidRPr="003C3E59">
        <w:rPr>
          <w:rFonts w:ascii="Times New Roman" w:hAnsi="Times New Roman"/>
          <w:szCs w:val="24"/>
        </w:rPr>
        <w:t>.18(a)(8)(i)); the sponsor is required to provide a copy of the certification to potential investors prior to the sale of asset-backed securities in the issuing entity (§§</w:t>
      </w:r>
      <w:r>
        <w:rPr>
          <w:rFonts w:ascii="Times New Roman" w:hAnsi="Times New Roman"/>
          <w:szCs w:val="24"/>
        </w:rPr>
        <w:t xml:space="preserve"> 43</w:t>
      </w:r>
      <w:r w:rsidRPr="003C3E59">
        <w:rPr>
          <w:rFonts w:ascii="Times New Roman" w:hAnsi="Times New Roman"/>
          <w:szCs w:val="24"/>
        </w:rPr>
        <w:t xml:space="preserve">.16(a)(8)(iii), </w:t>
      </w:r>
      <w:r>
        <w:rPr>
          <w:rFonts w:ascii="Times New Roman" w:hAnsi="Times New Roman"/>
          <w:szCs w:val="24"/>
        </w:rPr>
        <w:t>43</w:t>
      </w:r>
      <w:r w:rsidRPr="003C3E59">
        <w:rPr>
          <w:rFonts w:ascii="Times New Roman" w:hAnsi="Times New Roman"/>
          <w:szCs w:val="24"/>
        </w:rPr>
        <w:t xml:space="preserve">.17(a)(10)(iii), and </w:t>
      </w:r>
      <w:r>
        <w:rPr>
          <w:rFonts w:ascii="Times New Roman" w:hAnsi="Times New Roman"/>
          <w:szCs w:val="24"/>
        </w:rPr>
        <w:t>43</w:t>
      </w:r>
      <w:r w:rsidRPr="003C3E59">
        <w:rPr>
          <w:rFonts w:ascii="Times New Roman" w:hAnsi="Times New Roman"/>
          <w:szCs w:val="24"/>
        </w:rPr>
        <w:t>.18(a)(8)(iii)); and the sponsor must promptly notify the holders of the asset-backed securities of any loan included in the transaction that is required to be cured or repurchased by the sponsor, including the principal amount of such loan and the cause for such cure or repurchase (§§</w:t>
      </w:r>
      <w:r>
        <w:rPr>
          <w:rFonts w:ascii="Times New Roman" w:hAnsi="Times New Roman"/>
          <w:szCs w:val="24"/>
        </w:rPr>
        <w:t xml:space="preserve"> 43</w:t>
      </w:r>
      <w:r w:rsidRPr="003C3E59">
        <w:rPr>
          <w:rFonts w:ascii="Times New Roman" w:hAnsi="Times New Roman"/>
          <w:szCs w:val="24"/>
        </w:rPr>
        <w:t xml:space="preserve">.16(b)(3), </w:t>
      </w:r>
      <w:r>
        <w:rPr>
          <w:rFonts w:ascii="Times New Roman" w:hAnsi="Times New Roman"/>
          <w:szCs w:val="24"/>
        </w:rPr>
        <w:t>43</w:t>
      </w:r>
      <w:r w:rsidRPr="003C3E59">
        <w:rPr>
          <w:rFonts w:ascii="Times New Roman" w:hAnsi="Times New Roman"/>
          <w:szCs w:val="24"/>
        </w:rPr>
        <w:t xml:space="preserve">.17(b)(3), and </w:t>
      </w:r>
      <w:r>
        <w:rPr>
          <w:rFonts w:ascii="Times New Roman" w:hAnsi="Times New Roman"/>
          <w:szCs w:val="24"/>
        </w:rPr>
        <w:t>43</w:t>
      </w:r>
      <w:r w:rsidRPr="003C3E59">
        <w:rPr>
          <w:rFonts w:ascii="Times New Roman" w:hAnsi="Times New Roman"/>
          <w:szCs w:val="24"/>
        </w:rPr>
        <w:t>.18(b)(3)).  Additionally, a sponsor must retain the disclosures required in §§</w:t>
      </w:r>
      <w:r>
        <w:rPr>
          <w:rFonts w:ascii="Times New Roman" w:hAnsi="Times New Roman"/>
          <w:szCs w:val="24"/>
        </w:rPr>
        <w:t xml:space="preserve"> 43</w:t>
      </w:r>
      <w:r w:rsidRPr="003C3E59">
        <w:rPr>
          <w:rFonts w:ascii="Times New Roman" w:hAnsi="Times New Roman"/>
          <w:szCs w:val="24"/>
        </w:rPr>
        <w:t xml:space="preserve">.16(a)(8), </w:t>
      </w:r>
      <w:r>
        <w:rPr>
          <w:rFonts w:ascii="Times New Roman" w:hAnsi="Times New Roman"/>
          <w:szCs w:val="24"/>
        </w:rPr>
        <w:t>43</w:t>
      </w:r>
      <w:r w:rsidRPr="003C3E59">
        <w:rPr>
          <w:rFonts w:ascii="Times New Roman" w:hAnsi="Times New Roman"/>
          <w:szCs w:val="24"/>
        </w:rPr>
        <w:t xml:space="preserve">.17(a)(10) and </w:t>
      </w:r>
      <w:r>
        <w:rPr>
          <w:rFonts w:ascii="Times New Roman" w:hAnsi="Times New Roman"/>
          <w:szCs w:val="24"/>
        </w:rPr>
        <w:t>43</w:t>
      </w:r>
      <w:r w:rsidRPr="003C3E59">
        <w:rPr>
          <w:rFonts w:ascii="Times New Roman" w:hAnsi="Times New Roman"/>
          <w:szCs w:val="24"/>
        </w:rPr>
        <w:t>.18(a)(8) in its records and must provide the disclosure</w:t>
      </w:r>
      <w:r w:rsidR="008C26FA">
        <w:rPr>
          <w:rFonts w:ascii="Times New Roman" w:hAnsi="Times New Roman"/>
          <w:szCs w:val="24"/>
        </w:rPr>
        <w:t>s</w:t>
      </w:r>
      <w:r w:rsidRPr="003C3E59">
        <w:rPr>
          <w:rFonts w:ascii="Times New Roman" w:hAnsi="Times New Roman"/>
          <w:szCs w:val="24"/>
        </w:rPr>
        <w:t xml:space="preserve"> upon request to the </w:t>
      </w:r>
      <w:r w:rsidR="008C26FA">
        <w:rPr>
          <w:rFonts w:ascii="Times New Roman" w:hAnsi="Times New Roman"/>
          <w:szCs w:val="24"/>
        </w:rPr>
        <w:t>SEC</w:t>
      </w:r>
      <w:r w:rsidRPr="003C3E59">
        <w:rPr>
          <w:rFonts w:ascii="Times New Roman" w:hAnsi="Times New Roman"/>
          <w:szCs w:val="24"/>
        </w:rPr>
        <w:t xml:space="preserve"> and the sponsor’s appropriate </w:t>
      </w:r>
      <w:r>
        <w:rPr>
          <w:rFonts w:ascii="Times New Roman" w:hAnsi="Times New Roman"/>
          <w:szCs w:val="24"/>
        </w:rPr>
        <w:t>f</w:t>
      </w:r>
      <w:r w:rsidRPr="003C3E59">
        <w:rPr>
          <w:rFonts w:ascii="Times New Roman" w:hAnsi="Times New Roman"/>
          <w:szCs w:val="24"/>
        </w:rPr>
        <w:t xml:space="preserve">ederal banking agency, if any, until three years after </w:t>
      </w:r>
      <w:r>
        <w:rPr>
          <w:rFonts w:ascii="Times New Roman" w:hAnsi="Times New Roman"/>
          <w:szCs w:val="24"/>
        </w:rPr>
        <w:t xml:space="preserve">all </w:t>
      </w:r>
      <w:r w:rsidRPr="003C3E59">
        <w:rPr>
          <w:rFonts w:ascii="Times New Roman" w:hAnsi="Times New Roman"/>
          <w:szCs w:val="24"/>
        </w:rPr>
        <w:t xml:space="preserve"> ABS interests are </w:t>
      </w:r>
      <w:r>
        <w:rPr>
          <w:rFonts w:ascii="Times New Roman" w:hAnsi="Times New Roman"/>
          <w:szCs w:val="24"/>
        </w:rPr>
        <w:t xml:space="preserve">no longer </w:t>
      </w:r>
      <w:r w:rsidRPr="003C3E59">
        <w:rPr>
          <w:rFonts w:ascii="Times New Roman" w:hAnsi="Times New Roman"/>
          <w:szCs w:val="24"/>
        </w:rPr>
        <w:t xml:space="preserve">outstanding </w:t>
      </w:r>
    </w:p>
    <w:p w14:paraId="07837446" w14:textId="77777777" w:rsidR="00C96BE4" w:rsidRPr="003C3E59" w:rsidRDefault="00C96BE4" w:rsidP="00C96BE4">
      <w:pPr>
        <w:rPr>
          <w:rFonts w:ascii="Times New Roman" w:hAnsi="Times New Roman"/>
          <w:szCs w:val="24"/>
        </w:rPr>
      </w:pPr>
      <w:r w:rsidRPr="003C3E59">
        <w:rPr>
          <w:rFonts w:ascii="Times New Roman" w:hAnsi="Times New Roman"/>
          <w:szCs w:val="24"/>
        </w:rPr>
        <w:t>(§</w:t>
      </w:r>
      <w:r>
        <w:rPr>
          <w:rFonts w:ascii="Times New Roman" w:hAnsi="Times New Roman"/>
          <w:szCs w:val="24"/>
        </w:rPr>
        <w:t xml:space="preserve"> 43</w:t>
      </w:r>
      <w:r w:rsidRPr="003C3E59">
        <w:rPr>
          <w:rFonts w:ascii="Times New Roman" w:hAnsi="Times New Roman"/>
          <w:szCs w:val="24"/>
        </w:rPr>
        <w:t>.15(d)).</w:t>
      </w:r>
    </w:p>
    <w:p w14:paraId="59105F2B" w14:textId="77777777" w:rsidR="00C96BE4" w:rsidRPr="003C3E59" w:rsidRDefault="00C96BE4" w:rsidP="00C96BE4">
      <w:pPr>
        <w:widowControl/>
        <w:contextualSpacing/>
        <w:rPr>
          <w:rFonts w:ascii="Times New Roman" w:hAnsi="Times New Roman"/>
          <w:snapToGrid/>
          <w:szCs w:val="24"/>
        </w:rPr>
      </w:pPr>
    </w:p>
    <w:p w14:paraId="641FE83C" w14:textId="77777777" w:rsidR="00C96BE4" w:rsidRPr="00F965AD" w:rsidRDefault="00C96BE4" w:rsidP="00C96BE4">
      <w:pPr>
        <w:tabs>
          <w:tab w:val="left" w:pos="-1440"/>
        </w:tabs>
        <w:ind w:left="720" w:hanging="720"/>
        <w:outlineLvl w:val="0"/>
        <w:rPr>
          <w:rFonts w:ascii="Times New Roman" w:hAnsi="Times New Roman"/>
          <w:b/>
          <w:i/>
          <w:szCs w:val="24"/>
          <w:u w:val="single"/>
        </w:rPr>
      </w:pPr>
      <w:r w:rsidRPr="00F965AD">
        <w:rPr>
          <w:rFonts w:ascii="Times New Roman" w:hAnsi="Times New Roman"/>
          <w:b/>
          <w:i/>
          <w:szCs w:val="24"/>
        </w:rPr>
        <w:t xml:space="preserve">3. </w:t>
      </w:r>
      <w:r w:rsidRPr="00F965AD">
        <w:rPr>
          <w:rFonts w:ascii="Times New Roman" w:hAnsi="Times New Roman"/>
          <w:b/>
          <w:i/>
          <w:szCs w:val="24"/>
          <w:u w:val="single"/>
        </w:rPr>
        <w:t>Consideration of the use of improved information technology:</w:t>
      </w:r>
    </w:p>
    <w:p w14:paraId="371D2A0D" w14:textId="77777777" w:rsidR="00C96BE4" w:rsidRPr="003C3E59" w:rsidRDefault="00C96BE4" w:rsidP="00C96BE4">
      <w:pPr>
        <w:autoSpaceDE w:val="0"/>
        <w:autoSpaceDN w:val="0"/>
        <w:adjustRightInd w:val="0"/>
        <w:rPr>
          <w:rFonts w:ascii="Times New Roman" w:hAnsi="Times New Roman"/>
          <w:szCs w:val="24"/>
        </w:rPr>
      </w:pPr>
    </w:p>
    <w:p w14:paraId="74E30FE8" w14:textId="77777777" w:rsidR="00C96BE4" w:rsidRPr="003C3E59" w:rsidRDefault="00C96BE4" w:rsidP="00C96BE4">
      <w:pPr>
        <w:pStyle w:val="BodyText"/>
        <w:ind w:firstLine="720"/>
        <w:rPr>
          <w:i w:val="0"/>
          <w:iCs w:val="0"/>
          <w:szCs w:val="24"/>
        </w:rPr>
      </w:pPr>
      <w:r w:rsidRPr="003C3E59">
        <w:rPr>
          <w:i w:val="0"/>
          <w:iCs w:val="0"/>
          <w:szCs w:val="24"/>
        </w:rPr>
        <w:t xml:space="preserve">National banks and </w:t>
      </w:r>
      <w:r>
        <w:rPr>
          <w:i w:val="0"/>
          <w:iCs w:val="0"/>
          <w:szCs w:val="24"/>
        </w:rPr>
        <w:t>f</w:t>
      </w:r>
      <w:r w:rsidRPr="003C3E59">
        <w:rPr>
          <w:i w:val="0"/>
          <w:iCs w:val="0"/>
          <w:szCs w:val="24"/>
        </w:rPr>
        <w:t>ederal savings associations may use any information technology that permits review by OCC examiners.</w:t>
      </w:r>
    </w:p>
    <w:p w14:paraId="1F54F01A" w14:textId="77777777" w:rsidR="00541136" w:rsidRPr="003C3E59" w:rsidRDefault="00541136" w:rsidP="003C3E59">
      <w:pPr>
        <w:tabs>
          <w:tab w:val="left" w:pos="-1440"/>
        </w:tabs>
        <w:ind w:left="720" w:hanging="720"/>
        <w:rPr>
          <w:rFonts w:ascii="Times New Roman" w:hAnsi="Times New Roman"/>
          <w:szCs w:val="24"/>
        </w:rPr>
      </w:pPr>
    </w:p>
    <w:p w14:paraId="188BE2A0" w14:textId="77777777" w:rsidR="00541136" w:rsidRPr="006A5564" w:rsidRDefault="00541136" w:rsidP="003C3E59">
      <w:pPr>
        <w:tabs>
          <w:tab w:val="left" w:pos="-1440"/>
        </w:tabs>
        <w:ind w:left="720" w:hanging="720"/>
        <w:outlineLvl w:val="0"/>
        <w:rPr>
          <w:rFonts w:ascii="Times New Roman" w:hAnsi="Times New Roman"/>
          <w:b/>
          <w:i/>
          <w:szCs w:val="24"/>
        </w:rPr>
      </w:pPr>
      <w:r w:rsidRPr="006A5564">
        <w:rPr>
          <w:rFonts w:ascii="Times New Roman" w:hAnsi="Times New Roman"/>
          <w:b/>
          <w:i/>
          <w:szCs w:val="24"/>
        </w:rPr>
        <w:t xml:space="preserve">4.  </w:t>
      </w:r>
      <w:r w:rsidRPr="00F965AD">
        <w:rPr>
          <w:rFonts w:ascii="Times New Roman" w:hAnsi="Times New Roman"/>
          <w:b/>
          <w:i/>
          <w:szCs w:val="24"/>
          <w:u w:val="single"/>
        </w:rPr>
        <w:t>Efforts to identify duplication</w:t>
      </w:r>
      <w:r w:rsidRPr="006A5564">
        <w:rPr>
          <w:rFonts w:ascii="Times New Roman" w:hAnsi="Times New Roman"/>
          <w:b/>
          <w:i/>
          <w:szCs w:val="24"/>
        </w:rPr>
        <w:t>:</w:t>
      </w:r>
    </w:p>
    <w:p w14:paraId="4981CB0C" w14:textId="77777777" w:rsidR="00541136" w:rsidRPr="003C3E59" w:rsidRDefault="00541136" w:rsidP="003C3E59">
      <w:pPr>
        <w:rPr>
          <w:rFonts w:ascii="Times New Roman" w:hAnsi="Times New Roman"/>
          <w:szCs w:val="24"/>
        </w:rPr>
      </w:pPr>
    </w:p>
    <w:p w14:paraId="13576AAC" w14:textId="77777777" w:rsidR="00541136" w:rsidRPr="003C3E59" w:rsidRDefault="00541136" w:rsidP="003C3E59">
      <w:pPr>
        <w:ind w:firstLine="720"/>
        <w:rPr>
          <w:rFonts w:ascii="Times New Roman" w:hAnsi="Times New Roman"/>
          <w:szCs w:val="24"/>
        </w:rPr>
      </w:pPr>
      <w:r w:rsidRPr="003C3E59">
        <w:rPr>
          <w:rFonts w:ascii="Times New Roman" w:hAnsi="Times New Roman"/>
          <w:szCs w:val="24"/>
        </w:rPr>
        <w:t>The information required is unique.  It is not duplicated elsewhere.</w:t>
      </w:r>
    </w:p>
    <w:p w14:paraId="1BA3FDC3" w14:textId="77777777" w:rsidR="00541136" w:rsidRPr="003C3E59" w:rsidRDefault="00541136" w:rsidP="003C3E59">
      <w:pPr>
        <w:rPr>
          <w:rFonts w:ascii="Times New Roman" w:hAnsi="Times New Roman"/>
          <w:szCs w:val="24"/>
        </w:rPr>
      </w:pPr>
    </w:p>
    <w:p w14:paraId="7D4ADAEF" w14:textId="7618EE67" w:rsidR="00384BA1" w:rsidRDefault="00384BA1" w:rsidP="00F965AD">
      <w:pPr>
        <w:pStyle w:val="BodyText"/>
        <w:widowControl w:val="0"/>
        <w:ind w:right="861"/>
        <w:rPr>
          <w:b/>
          <w:i w:val="0"/>
        </w:rPr>
      </w:pPr>
      <w:r>
        <w:rPr>
          <w:b/>
          <w:bCs/>
        </w:rPr>
        <w:t>5.</w:t>
      </w:r>
      <w:r w:rsidR="00F965AD">
        <w:rPr>
          <w:b/>
          <w:bCs/>
        </w:rPr>
        <w:t xml:space="preserve">  </w:t>
      </w:r>
      <w:r w:rsidRPr="00F965AD">
        <w:rPr>
          <w:b/>
          <w:spacing w:val="-2"/>
          <w:u w:val="single"/>
        </w:rPr>
        <w:t>If</w:t>
      </w:r>
      <w:r w:rsidRPr="00F965AD">
        <w:rPr>
          <w:b/>
          <w:spacing w:val="-8"/>
          <w:u w:val="single"/>
        </w:rPr>
        <w:t xml:space="preserve"> </w:t>
      </w:r>
      <w:r w:rsidRPr="00F965AD">
        <w:rPr>
          <w:b/>
          <w:u w:val="single"/>
        </w:rPr>
        <w:t>the</w:t>
      </w:r>
      <w:r w:rsidRPr="00F965AD">
        <w:rPr>
          <w:b/>
          <w:spacing w:val="-7"/>
          <w:u w:val="single"/>
        </w:rPr>
        <w:t xml:space="preserve"> </w:t>
      </w:r>
      <w:r w:rsidRPr="00F965AD">
        <w:rPr>
          <w:b/>
          <w:spacing w:val="-1"/>
          <w:u w:val="single"/>
        </w:rPr>
        <w:t>collection</w:t>
      </w:r>
      <w:r w:rsidRPr="00F965AD">
        <w:rPr>
          <w:b/>
          <w:spacing w:val="-7"/>
          <w:u w:val="single"/>
        </w:rPr>
        <w:t xml:space="preserve"> </w:t>
      </w:r>
      <w:r w:rsidRPr="00F965AD">
        <w:rPr>
          <w:b/>
          <w:u w:val="single"/>
        </w:rPr>
        <w:t>of</w:t>
      </w:r>
      <w:r w:rsidRPr="00F965AD">
        <w:rPr>
          <w:b/>
          <w:spacing w:val="-8"/>
          <w:u w:val="single"/>
        </w:rPr>
        <w:t xml:space="preserve"> </w:t>
      </w:r>
      <w:r w:rsidRPr="00F965AD">
        <w:rPr>
          <w:b/>
          <w:spacing w:val="-1"/>
          <w:u w:val="single"/>
        </w:rPr>
        <w:t>information</w:t>
      </w:r>
      <w:r w:rsidRPr="00F965AD">
        <w:rPr>
          <w:b/>
          <w:spacing w:val="-7"/>
          <w:u w:val="single"/>
        </w:rPr>
        <w:t xml:space="preserve"> </w:t>
      </w:r>
      <w:r w:rsidRPr="00F965AD">
        <w:rPr>
          <w:b/>
          <w:spacing w:val="-1"/>
          <w:u w:val="single"/>
        </w:rPr>
        <w:t>impacts</w:t>
      </w:r>
      <w:r w:rsidRPr="00F965AD">
        <w:rPr>
          <w:b/>
          <w:spacing w:val="-6"/>
          <w:u w:val="single"/>
        </w:rPr>
        <w:t xml:space="preserve"> </w:t>
      </w:r>
      <w:r w:rsidRPr="00F965AD">
        <w:rPr>
          <w:b/>
          <w:spacing w:val="-1"/>
          <w:u w:val="single"/>
        </w:rPr>
        <w:t>small</w:t>
      </w:r>
      <w:r w:rsidRPr="00F965AD">
        <w:rPr>
          <w:b/>
          <w:spacing w:val="-7"/>
          <w:u w:val="single"/>
        </w:rPr>
        <w:t xml:space="preserve"> </w:t>
      </w:r>
      <w:r w:rsidRPr="00F965AD">
        <w:rPr>
          <w:b/>
          <w:spacing w:val="-1"/>
          <w:u w:val="single"/>
        </w:rPr>
        <w:t>businesses</w:t>
      </w:r>
      <w:r w:rsidRPr="00F965AD">
        <w:rPr>
          <w:b/>
          <w:spacing w:val="-6"/>
          <w:u w:val="single"/>
        </w:rPr>
        <w:t xml:space="preserve"> </w:t>
      </w:r>
      <w:r w:rsidRPr="00F965AD">
        <w:rPr>
          <w:b/>
          <w:u w:val="single"/>
        </w:rPr>
        <w:t>or</w:t>
      </w:r>
      <w:r w:rsidRPr="00F965AD">
        <w:rPr>
          <w:b/>
          <w:spacing w:val="-8"/>
          <w:u w:val="single"/>
        </w:rPr>
        <w:t xml:space="preserve"> </w:t>
      </w:r>
      <w:r w:rsidRPr="00F965AD">
        <w:rPr>
          <w:b/>
          <w:spacing w:val="1"/>
          <w:u w:val="single"/>
        </w:rPr>
        <w:t>other</w:t>
      </w:r>
      <w:r w:rsidRPr="00F965AD">
        <w:rPr>
          <w:b/>
          <w:spacing w:val="-7"/>
          <w:u w:val="single"/>
        </w:rPr>
        <w:t xml:space="preserve"> </w:t>
      </w:r>
      <w:r w:rsidRPr="00F965AD">
        <w:rPr>
          <w:b/>
          <w:spacing w:val="-1"/>
          <w:u w:val="single"/>
        </w:rPr>
        <w:t>small</w:t>
      </w:r>
      <w:r w:rsidRPr="00F965AD">
        <w:rPr>
          <w:b/>
          <w:spacing w:val="-6"/>
          <w:u w:val="single"/>
        </w:rPr>
        <w:t xml:space="preserve"> </w:t>
      </w:r>
      <w:r w:rsidRPr="00F965AD">
        <w:rPr>
          <w:b/>
          <w:u w:val="single"/>
        </w:rPr>
        <w:t>entities, describe</w:t>
      </w:r>
      <w:r w:rsidRPr="00F965AD">
        <w:rPr>
          <w:b/>
          <w:spacing w:val="-7"/>
          <w:u w:val="single"/>
        </w:rPr>
        <w:t xml:space="preserve"> </w:t>
      </w:r>
      <w:r w:rsidRPr="00F965AD">
        <w:rPr>
          <w:b/>
          <w:spacing w:val="1"/>
          <w:u w:val="single"/>
        </w:rPr>
        <w:t>any</w:t>
      </w:r>
      <w:r w:rsidRPr="00F965AD">
        <w:rPr>
          <w:b/>
          <w:spacing w:val="-11"/>
          <w:u w:val="single"/>
        </w:rPr>
        <w:t xml:space="preserve"> </w:t>
      </w:r>
      <w:r w:rsidRPr="00F965AD">
        <w:rPr>
          <w:b/>
          <w:spacing w:val="-1"/>
          <w:u w:val="single"/>
        </w:rPr>
        <w:t>methods</w:t>
      </w:r>
      <w:r w:rsidRPr="00F965AD">
        <w:rPr>
          <w:b/>
          <w:spacing w:val="-8"/>
          <w:u w:val="single"/>
        </w:rPr>
        <w:t xml:space="preserve"> </w:t>
      </w:r>
      <w:r w:rsidRPr="00F965AD">
        <w:rPr>
          <w:b/>
          <w:spacing w:val="-1"/>
          <w:u w:val="single"/>
        </w:rPr>
        <w:t>used</w:t>
      </w:r>
      <w:r w:rsidRPr="00F965AD">
        <w:rPr>
          <w:b/>
          <w:spacing w:val="-8"/>
          <w:u w:val="single"/>
        </w:rPr>
        <w:t xml:space="preserve"> </w:t>
      </w:r>
      <w:r w:rsidRPr="00F965AD">
        <w:rPr>
          <w:b/>
          <w:u w:val="single"/>
        </w:rPr>
        <w:t>to</w:t>
      </w:r>
      <w:r w:rsidRPr="00F965AD">
        <w:rPr>
          <w:b/>
          <w:spacing w:val="-8"/>
          <w:u w:val="single"/>
        </w:rPr>
        <w:t xml:space="preserve"> </w:t>
      </w:r>
      <w:r w:rsidRPr="00F965AD">
        <w:rPr>
          <w:b/>
          <w:u w:val="single"/>
        </w:rPr>
        <w:t>minimize</w:t>
      </w:r>
      <w:r w:rsidRPr="00F965AD">
        <w:rPr>
          <w:b/>
          <w:spacing w:val="-8"/>
          <w:u w:val="single"/>
        </w:rPr>
        <w:t xml:space="preserve"> </w:t>
      </w:r>
      <w:r w:rsidRPr="00F965AD">
        <w:rPr>
          <w:b/>
          <w:spacing w:val="-1"/>
          <w:u w:val="single"/>
        </w:rPr>
        <w:t>burden</w:t>
      </w:r>
      <w:r w:rsidR="00F965AD">
        <w:rPr>
          <w:b/>
          <w:spacing w:val="-1"/>
          <w:u w:val="single"/>
        </w:rPr>
        <w:t>:</w:t>
      </w:r>
    </w:p>
    <w:p w14:paraId="3BBDEC66" w14:textId="77777777" w:rsidR="00384BA1" w:rsidRDefault="00384BA1" w:rsidP="00384BA1"/>
    <w:p w14:paraId="0022DC5A" w14:textId="70C83E79" w:rsidR="00384BA1" w:rsidRPr="00384BA1" w:rsidRDefault="00384BA1" w:rsidP="00384BA1">
      <w:pPr>
        <w:ind w:firstLine="720"/>
        <w:rPr>
          <w:rFonts w:ascii="Times New Roman" w:hAnsi="Times New Roman"/>
          <w:color w:val="000000"/>
        </w:rPr>
      </w:pPr>
      <w:r w:rsidRPr="00384BA1">
        <w:rPr>
          <w:rFonts w:ascii="Times New Roman" w:hAnsi="Times New Roman"/>
          <w:color w:val="000000"/>
        </w:rPr>
        <w:t>There are no alternatives that would result in lowering the burden on small institutions, while still accomplishing the purpose of the rule</w:t>
      </w:r>
      <w:r w:rsidR="008C26FA">
        <w:rPr>
          <w:rFonts w:ascii="Times New Roman" w:hAnsi="Times New Roman"/>
          <w:color w:val="000000"/>
        </w:rPr>
        <w:t>s</w:t>
      </w:r>
      <w:r w:rsidRPr="00384BA1">
        <w:rPr>
          <w:rFonts w:ascii="Times New Roman" w:hAnsi="Times New Roman"/>
          <w:color w:val="000000"/>
        </w:rPr>
        <w:t>.</w:t>
      </w:r>
    </w:p>
    <w:p w14:paraId="546C0D42" w14:textId="77777777" w:rsidR="00541136" w:rsidRPr="003C3E59" w:rsidRDefault="00541136" w:rsidP="003C3E59">
      <w:pPr>
        <w:tabs>
          <w:tab w:val="left" w:pos="-1440"/>
        </w:tabs>
        <w:ind w:left="720" w:hanging="720"/>
        <w:outlineLvl w:val="0"/>
        <w:rPr>
          <w:rFonts w:ascii="Times New Roman" w:hAnsi="Times New Roman"/>
          <w:szCs w:val="24"/>
        </w:rPr>
      </w:pPr>
    </w:p>
    <w:p w14:paraId="50458F65" w14:textId="77777777" w:rsidR="00541136" w:rsidRPr="00F965AD" w:rsidRDefault="00541136" w:rsidP="003C3E59">
      <w:pPr>
        <w:tabs>
          <w:tab w:val="left" w:pos="-1440"/>
        </w:tabs>
        <w:ind w:left="720" w:hanging="720"/>
        <w:outlineLvl w:val="0"/>
        <w:rPr>
          <w:rFonts w:ascii="Times New Roman" w:hAnsi="Times New Roman"/>
          <w:b/>
          <w:i/>
          <w:szCs w:val="24"/>
          <w:u w:val="single"/>
        </w:rPr>
      </w:pPr>
      <w:r w:rsidRPr="00384BA1">
        <w:rPr>
          <w:rFonts w:ascii="Times New Roman" w:hAnsi="Times New Roman"/>
          <w:b/>
          <w:i/>
          <w:szCs w:val="24"/>
        </w:rPr>
        <w:t xml:space="preserve">6. </w:t>
      </w:r>
      <w:r w:rsidRPr="00F965AD">
        <w:rPr>
          <w:rFonts w:ascii="Times New Roman" w:hAnsi="Times New Roman"/>
          <w:b/>
          <w:i/>
          <w:szCs w:val="24"/>
          <w:u w:val="single"/>
        </w:rPr>
        <w:t>Consequences to the Federal program if the collection were conducted less frequently:</w:t>
      </w:r>
    </w:p>
    <w:p w14:paraId="179AE591" w14:textId="77777777" w:rsidR="00EC319A" w:rsidRPr="003C3E59" w:rsidRDefault="00EC319A" w:rsidP="003C3E59">
      <w:pPr>
        <w:rPr>
          <w:rFonts w:ascii="Times New Roman" w:hAnsi="Times New Roman"/>
          <w:szCs w:val="24"/>
        </w:rPr>
      </w:pPr>
    </w:p>
    <w:p w14:paraId="2C65B748" w14:textId="77777777" w:rsidR="00541136" w:rsidRPr="003C3E59" w:rsidRDefault="00EC319A" w:rsidP="003C3E59">
      <w:pPr>
        <w:rPr>
          <w:rFonts w:ascii="Times New Roman" w:hAnsi="Times New Roman"/>
          <w:szCs w:val="24"/>
        </w:rPr>
      </w:pPr>
      <w:r w:rsidRPr="003C3E59">
        <w:rPr>
          <w:rFonts w:ascii="Times New Roman" w:hAnsi="Times New Roman"/>
          <w:szCs w:val="24"/>
        </w:rPr>
        <w:t xml:space="preserve">  </w:t>
      </w:r>
      <w:r w:rsidRPr="003C3E59">
        <w:rPr>
          <w:rFonts w:ascii="Times New Roman" w:hAnsi="Times New Roman"/>
          <w:szCs w:val="24"/>
        </w:rPr>
        <w:tab/>
        <w:t xml:space="preserve">Conducting the collection less frequently would </w:t>
      </w:r>
      <w:r w:rsidR="00904DE8">
        <w:rPr>
          <w:rFonts w:ascii="Times New Roman" w:hAnsi="Times New Roman"/>
          <w:szCs w:val="24"/>
        </w:rPr>
        <w:t>prevent the agencies from monitoring compliance with the risk retention rule and statute</w:t>
      </w:r>
      <w:r w:rsidRPr="003C3E59">
        <w:rPr>
          <w:rFonts w:ascii="Times New Roman" w:hAnsi="Times New Roman"/>
          <w:szCs w:val="24"/>
        </w:rPr>
        <w:t>.</w:t>
      </w:r>
    </w:p>
    <w:p w14:paraId="55350332" w14:textId="77777777" w:rsidR="00541136" w:rsidRPr="003C3E59" w:rsidRDefault="00541136" w:rsidP="003C3E59">
      <w:pPr>
        <w:rPr>
          <w:rFonts w:ascii="Times New Roman" w:hAnsi="Times New Roman"/>
          <w:szCs w:val="24"/>
        </w:rPr>
      </w:pPr>
    </w:p>
    <w:p w14:paraId="6DC87E49" w14:textId="77777777" w:rsidR="00541136" w:rsidRPr="00384BA1" w:rsidRDefault="00541136" w:rsidP="003C3E59">
      <w:pPr>
        <w:tabs>
          <w:tab w:val="left" w:pos="-1440"/>
        </w:tabs>
        <w:ind w:left="720" w:hanging="720"/>
        <w:outlineLvl w:val="0"/>
        <w:rPr>
          <w:rFonts w:ascii="Times New Roman" w:hAnsi="Times New Roman"/>
          <w:b/>
          <w:i/>
          <w:szCs w:val="24"/>
        </w:rPr>
      </w:pPr>
      <w:r w:rsidRPr="00384BA1">
        <w:rPr>
          <w:rFonts w:ascii="Times New Roman" w:hAnsi="Times New Roman"/>
          <w:b/>
          <w:i/>
          <w:szCs w:val="24"/>
        </w:rPr>
        <w:t xml:space="preserve">7. </w:t>
      </w:r>
      <w:r w:rsidRPr="00F965AD">
        <w:rPr>
          <w:rFonts w:ascii="Times New Roman" w:hAnsi="Times New Roman"/>
          <w:b/>
          <w:i/>
          <w:szCs w:val="24"/>
          <w:u w:val="single"/>
        </w:rPr>
        <w:t>Special circumstances necessitating coll</w:t>
      </w:r>
      <w:r w:rsidR="00756D0A" w:rsidRPr="00F965AD">
        <w:rPr>
          <w:rFonts w:ascii="Times New Roman" w:hAnsi="Times New Roman"/>
          <w:b/>
          <w:i/>
          <w:szCs w:val="24"/>
          <w:u w:val="single"/>
        </w:rPr>
        <w:t>ection inconsistent with 5 CFR p</w:t>
      </w:r>
      <w:r w:rsidRPr="00F965AD">
        <w:rPr>
          <w:rFonts w:ascii="Times New Roman" w:hAnsi="Times New Roman"/>
          <w:b/>
          <w:i/>
          <w:szCs w:val="24"/>
          <w:u w:val="single"/>
        </w:rPr>
        <w:t>art 1320:</w:t>
      </w:r>
    </w:p>
    <w:p w14:paraId="3FA1B0A7" w14:textId="77777777" w:rsidR="00541136" w:rsidRPr="003C3E59" w:rsidRDefault="00541136" w:rsidP="003C3E59">
      <w:pPr>
        <w:rPr>
          <w:rFonts w:ascii="Times New Roman" w:hAnsi="Times New Roman"/>
          <w:szCs w:val="24"/>
        </w:rPr>
      </w:pPr>
    </w:p>
    <w:p w14:paraId="3902D381" w14:textId="77777777" w:rsidR="00541136" w:rsidRPr="003C3E59" w:rsidRDefault="00541136" w:rsidP="003C3E59">
      <w:pPr>
        <w:ind w:firstLine="720"/>
        <w:rPr>
          <w:rFonts w:ascii="Times New Roman" w:hAnsi="Times New Roman"/>
          <w:szCs w:val="24"/>
        </w:rPr>
      </w:pPr>
      <w:r w:rsidRPr="003C3E59">
        <w:rPr>
          <w:rFonts w:ascii="Times New Roman" w:hAnsi="Times New Roman"/>
          <w:szCs w:val="24"/>
        </w:rPr>
        <w:t xml:space="preserve">None.  The information collection is conducted in accordance with OMB guidelines in 5 CFR part 1320.  </w:t>
      </w:r>
    </w:p>
    <w:p w14:paraId="3C78D7BA" w14:textId="77777777" w:rsidR="00541136" w:rsidRPr="003C3E59" w:rsidRDefault="00541136" w:rsidP="003C3E59">
      <w:pPr>
        <w:rPr>
          <w:rFonts w:ascii="Times New Roman" w:hAnsi="Times New Roman"/>
          <w:szCs w:val="24"/>
        </w:rPr>
      </w:pPr>
    </w:p>
    <w:p w14:paraId="02F8C893" w14:textId="77777777" w:rsidR="00541136" w:rsidRPr="00F965AD" w:rsidRDefault="00541136" w:rsidP="003C3E59">
      <w:pPr>
        <w:tabs>
          <w:tab w:val="left" w:pos="-1440"/>
        </w:tabs>
        <w:ind w:left="720" w:hanging="720"/>
        <w:outlineLvl w:val="0"/>
        <w:rPr>
          <w:rFonts w:ascii="Times New Roman" w:hAnsi="Times New Roman"/>
          <w:b/>
          <w:i/>
          <w:szCs w:val="24"/>
          <w:u w:val="single"/>
        </w:rPr>
      </w:pPr>
      <w:r w:rsidRPr="00756D0A">
        <w:rPr>
          <w:rFonts w:ascii="Times New Roman" w:hAnsi="Times New Roman"/>
          <w:b/>
          <w:i/>
          <w:szCs w:val="24"/>
        </w:rPr>
        <w:t xml:space="preserve">8. </w:t>
      </w:r>
      <w:r w:rsidRPr="00F965AD">
        <w:rPr>
          <w:rFonts w:ascii="Times New Roman" w:hAnsi="Times New Roman"/>
          <w:b/>
          <w:i/>
          <w:szCs w:val="24"/>
          <w:u w:val="single"/>
        </w:rPr>
        <w:t>Efforts to consult with persons outside the agency:</w:t>
      </w:r>
    </w:p>
    <w:p w14:paraId="1D336641" w14:textId="77777777" w:rsidR="00541136" w:rsidRPr="00F965AD" w:rsidRDefault="00541136" w:rsidP="003C3E59">
      <w:pPr>
        <w:rPr>
          <w:rFonts w:ascii="Times New Roman" w:hAnsi="Times New Roman"/>
          <w:szCs w:val="24"/>
          <w:u w:val="single"/>
        </w:rPr>
      </w:pPr>
    </w:p>
    <w:p w14:paraId="57E67D97" w14:textId="13DB6AF1" w:rsidR="00541136" w:rsidRPr="003C3E59" w:rsidRDefault="008F7601" w:rsidP="003C3E59">
      <w:pPr>
        <w:rPr>
          <w:rFonts w:ascii="Times New Roman" w:hAnsi="Times New Roman"/>
          <w:szCs w:val="24"/>
        </w:rPr>
      </w:pPr>
      <w:r w:rsidRPr="003C3E59">
        <w:rPr>
          <w:rFonts w:ascii="Times New Roman" w:hAnsi="Times New Roman"/>
          <w:szCs w:val="24"/>
        </w:rPr>
        <w:tab/>
      </w:r>
      <w:r w:rsidR="00756D0A">
        <w:rPr>
          <w:rFonts w:ascii="Times New Roman" w:hAnsi="Times New Roman"/>
          <w:szCs w:val="24"/>
        </w:rPr>
        <w:t xml:space="preserve">The OCC issued a notice for 60 days of comment regarding this collection on </w:t>
      </w:r>
      <w:r w:rsidR="001F10B2">
        <w:rPr>
          <w:rFonts w:ascii="Times New Roman" w:hAnsi="Times New Roman"/>
          <w:szCs w:val="24"/>
        </w:rPr>
        <w:t>January 29, 2018, 83 FR 4121</w:t>
      </w:r>
      <w:r w:rsidR="00756D0A">
        <w:rPr>
          <w:rFonts w:ascii="Times New Roman" w:hAnsi="Times New Roman"/>
          <w:szCs w:val="24"/>
        </w:rPr>
        <w:t xml:space="preserve">.  </w:t>
      </w:r>
      <w:r w:rsidR="001F10B2">
        <w:rPr>
          <w:rFonts w:ascii="Times New Roman" w:hAnsi="Times New Roman"/>
          <w:szCs w:val="24"/>
        </w:rPr>
        <w:t>No</w:t>
      </w:r>
      <w:r w:rsidR="00756D0A">
        <w:rPr>
          <w:rFonts w:ascii="Times New Roman" w:hAnsi="Times New Roman"/>
          <w:szCs w:val="24"/>
        </w:rPr>
        <w:t xml:space="preserve"> comments were received.</w:t>
      </w:r>
    </w:p>
    <w:p w14:paraId="406D009E" w14:textId="77777777" w:rsidR="0099493D" w:rsidRPr="003C3E59" w:rsidRDefault="0099493D" w:rsidP="003C3E59">
      <w:pPr>
        <w:outlineLvl w:val="0"/>
        <w:rPr>
          <w:rFonts w:ascii="Times New Roman" w:hAnsi="Times New Roman"/>
          <w:szCs w:val="24"/>
        </w:rPr>
      </w:pPr>
    </w:p>
    <w:p w14:paraId="30BD836B" w14:textId="77777777" w:rsidR="00541136" w:rsidRPr="00756D0A" w:rsidRDefault="00541136" w:rsidP="003C3E59">
      <w:pPr>
        <w:outlineLvl w:val="0"/>
        <w:rPr>
          <w:rFonts w:ascii="Times New Roman" w:hAnsi="Times New Roman"/>
          <w:b/>
          <w:i/>
          <w:szCs w:val="24"/>
        </w:rPr>
      </w:pPr>
      <w:r w:rsidRPr="00756D0A">
        <w:rPr>
          <w:rFonts w:ascii="Times New Roman" w:hAnsi="Times New Roman"/>
          <w:b/>
          <w:i/>
          <w:szCs w:val="24"/>
        </w:rPr>
        <w:t xml:space="preserve">9. </w:t>
      </w:r>
      <w:r w:rsidRPr="00F965AD">
        <w:rPr>
          <w:rFonts w:ascii="Times New Roman" w:hAnsi="Times New Roman"/>
          <w:b/>
          <w:i/>
          <w:szCs w:val="24"/>
          <w:u w:val="single"/>
        </w:rPr>
        <w:t>Payment to respondents:</w:t>
      </w:r>
    </w:p>
    <w:p w14:paraId="7167676D" w14:textId="77777777" w:rsidR="00541136" w:rsidRPr="003C3E59" w:rsidRDefault="00541136" w:rsidP="003C3E59">
      <w:pPr>
        <w:rPr>
          <w:rFonts w:ascii="Times New Roman" w:hAnsi="Times New Roman"/>
          <w:szCs w:val="24"/>
        </w:rPr>
      </w:pPr>
    </w:p>
    <w:p w14:paraId="26F7AC59" w14:textId="77777777" w:rsidR="00541136" w:rsidRPr="003C3E59" w:rsidRDefault="00541136" w:rsidP="003C3E59">
      <w:pPr>
        <w:ind w:firstLine="720"/>
        <w:outlineLvl w:val="0"/>
        <w:rPr>
          <w:rFonts w:ascii="Times New Roman" w:hAnsi="Times New Roman"/>
          <w:szCs w:val="24"/>
        </w:rPr>
      </w:pPr>
      <w:r w:rsidRPr="003C3E59">
        <w:rPr>
          <w:rFonts w:ascii="Times New Roman" w:hAnsi="Times New Roman"/>
          <w:szCs w:val="24"/>
        </w:rPr>
        <w:t>None.</w:t>
      </w:r>
    </w:p>
    <w:p w14:paraId="069B8D9B" w14:textId="77777777" w:rsidR="0085235A" w:rsidRDefault="0085235A" w:rsidP="003C3E59">
      <w:pPr>
        <w:tabs>
          <w:tab w:val="left" w:pos="-1440"/>
        </w:tabs>
        <w:ind w:left="720" w:hanging="720"/>
        <w:outlineLvl w:val="0"/>
        <w:rPr>
          <w:rFonts w:ascii="Times New Roman" w:hAnsi="Times New Roman"/>
          <w:szCs w:val="24"/>
        </w:rPr>
      </w:pPr>
    </w:p>
    <w:p w14:paraId="18941A6D" w14:textId="77777777" w:rsidR="00541136" w:rsidRPr="00756D0A" w:rsidRDefault="00541136" w:rsidP="003C3E59">
      <w:pPr>
        <w:tabs>
          <w:tab w:val="left" w:pos="-1440"/>
        </w:tabs>
        <w:ind w:left="720" w:hanging="720"/>
        <w:outlineLvl w:val="0"/>
        <w:rPr>
          <w:rFonts w:ascii="Times New Roman" w:hAnsi="Times New Roman"/>
          <w:b/>
          <w:i/>
          <w:szCs w:val="24"/>
        </w:rPr>
      </w:pPr>
      <w:r w:rsidRPr="00756D0A">
        <w:rPr>
          <w:rFonts w:ascii="Times New Roman" w:hAnsi="Times New Roman"/>
          <w:b/>
          <w:i/>
          <w:szCs w:val="24"/>
        </w:rPr>
        <w:t xml:space="preserve">10. </w:t>
      </w:r>
      <w:r w:rsidRPr="00F965AD">
        <w:rPr>
          <w:rFonts w:ascii="Times New Roman" w:hAnsi="Times New Roman"/>
          <w:b/>
          <w:i/>
          <w:szCs w:val="24"/>
          <w:u w:val="single"/>
        </w:rPr>
        <w:t>Any assurance of confidentiality:</w:t>
      </w:r>
    </w:p>
    <w:p w14:paraId="04C67409" w14:textId="77777777" w:rsidR="00541136" w:rsidRPr="003C3E59" w:rsidRDefault="00541136" w:rsidP="003C3E59">
      <w:pPr>
        <w:rPr>
          <w:rFonts w:ascii="Times New Roman" w:hAnsi="Times New Roman"/>
          <w:szCs w:val="24"/>
        </w:rPr>
      </w:pPr>
    </w:p>
    <w:p w14:paraId="4C5E25BB" w14:textId="77777777" w:rsidR="00541136" w:rsidRPr="003C3E59" w:rsidRDefault="00DC198A" w:rsidP="003C3E59">
      <w:pPr>
        <w:ind w:firstLine="720"/>
        <w:outlineLvl w:val="0"/>
        <w:rPr>
          <w:rFonts w:ascii="Times New Roman" w:hAnsi="Times New Roman"/>
          <w:szCs w:val="24"/>
        </w:rPr>
      </w:pPr>
      <w:r>
        <w:rPr>
          <w:rFonts w:ascii="Times New Roman" w:hAnsi="Times New Roman"/>
          <w:szCs w:val="24"/>
        </w:rPr>
        <w:t>None.</w:t>
      </w:r>
    </w:p>
    <w:p w14:paraId="52DA5412" w14:textId="77777777" w:rsidR="00541136" w:rsidRPr="003C3E59" w:rsidRDefault="00541136" w:rsidP="003C3E59">
      <w:pPr>
        <w:rPr>
          <w:rFonts w:ascii="Times New Roman" w:hAnsi="Times New Roman"/>
          <w:szCs w:val="24"/>
        </w:rPr>
      </w:pPr>
    </w:p>
    <w:p w14:paraId="1CD807EA" w14:textId="77777777" w:rsidR="00541136" w:rsidRPr="00756D0A" w:rsidRDefault="00541136" w:rsidP="003C3E59">
      <w:pPr>
        <w:tabs>
          <w:tab w:val="left" w:pos="-1440"/>
        </w:tabs>
        <w:ind w:left="720" w:hanging="720"/>
        <w:outlineLvl w:val="0"/>
        <w:rPr>
          <w:rFonts w:ascii="Times New Roman" w:hAnsi="Times New Roman"/>
          <w:b/>
          <w:i/>
          <w:szCs w:val="24"/>
        </w:rPr>
      </w:pPr>
      <w:r w:rsidRPr="00756D0A">
        <w:rPr>
          <w:rFonts w:ascii="Times New Roman" w:hAnsi="Times New Roman"/>
          <w:b/>
          <w:i/>
          <w:szCs w:val="24"/>
        </w:rPr>
        <w:t xml:space="preserve">11. </w:t>
      </w:r>
      <w:r w:rsidRPr="00F965AD">
        <w:rPr>
          <w:rFonts w:ascii="Times New Roman" w:hAnsi="Times New Roman"/>
          <w:b/>
          <w:i/>
          <w:szCs w:val="24"/>
          <w:u w:val="single"/>
        </w:rPr>
        <w:t>Justification for questions of a sensitive nature:</w:t>
      </w:r>
    </w:p>
    <w:p w14:paraId="26B45987" w14:textId="77777777" w:rsidR="00541136" w:rsidRPr="003C3E59" w:rsidRDefault="00541136" w:rsidP="003C3E59">
      <w:pPr>
        <w:rPr>
          <w:rFonts w:ascii="Times New Roman" w:hAnsi="Times New Roman"/>
          <w:szCs w:val="24"/>
        </w:rPr>
      </w:pPr>
    </w:p>
    <w:p w14:paraId="6FDB4863" w14:textId="77777777" w:rsidR="00541136" w:rsidRPr="003C3E59" w:rsidRDefault="0085235A" w:rsidP="003C3E59">
      <w:pPr>
        <w:ind w:firstLine="720"/>
        <w:outlineLvl w:val="0"/>
        <w:rPr>
          <w:rFonts w:ascii="Times New Roman" w:hAnsi="Times New Roman"/>
          <w:szCs w:val="24"/>
        </w:rPr>
      </w:pPr>
      <w:r>
        <w:rPr>
          <w:rFonts w:ascii="Times New Roman" w:hAnsi="Times New Roman"/>
          <w:szCs w:val="24"/>
        </w:rPr>
        <w:t>Not applicable.  No personally identifiable information is collected.</w:t>
      </w:r>
    </w:p>
    <w:p w14:paraId="4A74EE95" w14:textId="77777777" w:rsidR="00541136" w:rsidRPr="003C3E59" w:rsidRDefault="00541136" w:rsidP="003C3E59">
      <w:pPr>
        <w:rPr>
          <w:rFonts w:ascii="Times New Roman" w:hAnsi="Times New Roman"/>
          <w:szCs w:val="24"/>
        </w:rPr>
      </w:pPr>
    </w:p>
    <w:p w14:paraId="02F1A446" w14:textId="77777777" w:rsidR="00541136" w:rsidRPr="00756D0A" w:rsidRDefault="00541136" w:rsidP="003C3E59">
      <w:pPr>
        <w:tabs>
          <w:tab w:val="left" w:pos="-1440"/>
        </w:tabs>
        <w:ind w:left="720" w:hanging="720"/>
        <w:outlineLvl w:val="0"/>
        <w:rPr>
          <w:rFonts w:ascii="Times New Roman" w:hAnsi="Times New Roman"/>
          <w:b/>
          <w:i/>
          <w:szCs w:val="24"/>
        </w:rPr>
      </w:pPr>
      <w:r w:rsidRPr="00756D0A">
        <w:rPr>
          <w:rFonts w:ascii="Times New Roman" w:hAnsi="Times New Roman"/>
          <w:b/>
          <w:i/>
          <w:szCs w:val="24"/>
        </w:rPr>
        <w:t xml:space="preserve">12. </w:t>
      </w:r>
      <w:r w:rsidRPr="00F965AD">
        <w:rPr>
          <w:rFonts w:ascii="Times New Roman" w:hAnsi="Times New Roman"/>
          <w:b/>
          <w:i/>
          <w:szCs w:val="24"/>
          <w:u w:val="single"/>
        </w:rPr>
        <w:t>Burden estimate:</w:t>
      </w:r>
    </w:p>
    <w:p w14:paraId="0B37B240" w14:textId="77777777" w:rsidR="00323982" w:rsidRPr="003C3E59" w:rsidRDefault="00323982" w:rsidP="003C3E59">
      <w:pPr>
        <w:tabs>
          <w:tab w:val="left" w:pos="-1440"/>
        </w:tabs>
        <w:ind w:left="720" w:hanging="720"/>
        <w:outlineLvl w:val="0"/>
        <w:rPr>
          <w:rFonts w:ascii="Times New Roman" w:hAnsi="Times New Roman"/>
          <w:szCs w:val="24"/>
        </w:rPr>
      </w:pPr>
    </w:p>
    <w:p w14:paraId="72BE0A28"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.4</w:t>
      </w:r>
      <w:r w:rsidRPr="000712C9">
        <w:rPr>
          <w:rFonts w:ascii="Times New Roman" w:eastAsia="Calibri" w:hAnsi="Times New Roman"/>
          <w:snapToGrid/>
          <w:szCs w:val="24"/>
        </w:rPr>
        <w:t xml:space="preserve"> - Standard risk retention:  horizontal interests:  recordkeeping – 0.5 hours, disclosures – 5.5 hours; vertical interests:  recordkeeping – 0.5 hours, disclosures – 2.0 hours; combined horizontal and vertical interests:  recordkeeping – 0.5 hours, disclosures – 7.5 hours.</w:t>
      </w:r>
    </w:p>
    <w:p w14:paraId="7F98873F" w14:textId="77777777" w:rsidR="00EF2E66" w:rsidRPr="000712C9" w:rsidRDefault="00EF2E66" w:rsidP="00EF2E66">
      <w:pPr>
        <w:widowControl/>
        <w:contextualSpacing/>
        <w:rPr>
          <w:rFonts w:ascii="Times New Roman" w:eastAsia="Calibri" w:hAnsi="Times New Roman"/>
          <w:snapToGrid/>
          <w:szCs w:val="24"/>
        </w:rPr>
      </w:pPr>
    </w:p>
    <w:p w14:paraId="19896E01"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.5</w:t>
      </w:r>
      <w:r w:rsidRPr="000712C9">
        <w:rPr>
          <w:rFonts w:ascii="Times New Roman" w:eastAsia="Calibri" w:hAnsi="Times New Roman"/>
          <w:snapToGrid/>
          <w:szCs w:val="24"/>
        </w:rPr>
        <w:t xml:space="preserve"> – Revolving master trusts:  recordkeeping – 0.5 hours; disclosures – 7.0 hours.</w:t>
      </w:r>
    </w:p>
    <w:p w14:paraId="484DE86A" w14:textId="77777777" w:rsidR="00EF2E66" w:rsidRPr="000712C9" w:rsidRDefault="00EF2E66" w:rsidP="00EF2E66">
      <w:pPr>
        <w:widowControl/>
        <w:contextualSpacing/>
        <w:rPr>
          <w:rFonts w:ascii="Times New Roman" w:eastAsia="Calibri" w:hAnsi="Times New Roman"/>
          <w:snapToGrid/>
          <w:szCs w:val="24"/>
        </w:rPr>
      </w:pPr>
    </w:p>
    <w:p w14:paraId="6FDA125B"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.6</w:t>
      </w:r>
      <w:r w:rsidRPr="000712C9">
        <w:rPr>
          <w:rFonts w:ascii="Times New Roman" w:eastAsia="Calibri" w:hAnsi="Times New Roman"/>
          <w:snapToGrid/>
          <w:szCs w:val="24"/>
        </w:rPr>
        <w:t xml:space="preserve"> – Eligible ABCP conduits:  recordkeeping – 20.0 hours; disclosures – 3.0 hours.</w:t>
      </w:r>
    </w:p>
    <w:p w14:paraId="1BFF23D3" w14:textId="77777777" w:rsidR="00EF2E66" w:rsidRPr="000712C9" w:rsidRDefault="00EF2E66" w:rsidP="00EF2E66">
      <w:pPr>
        <w:widowControl/>
        <w:contextualSpacing/>
        <w:rPr>
          <w:rFonts w:ascii="Times New Roman" w:eastAsia="Calibri" w:hAnsi="Times New Roman"/>
          <w:snapToGrid/>
          <w:szCs w:val="24"/>
        </w:rPr>
      </w:pPr>
    </w:p>
    <w:p w14:paraId="260E0562"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.7</w:t>
      </w:r>
      <w:r w:rsidRPr="000712C9">
        <w:rPr>
          <w:rFonts w:ascii="Times New Roman" w:eastAsia="Calibri" w:hAnsi="Times New Roman"/>
          <w:snapToGrid/>
          <w:szCs w:val="24"/>
        </w:rPr>
        <w:t xml:space="preserve"> – Commercial mortgage-backed securities:  recordkeeping – 30.0 hours; disclosures – 20.75 hours.</w:t>
      </w:r>
    </w:p>
    <w:p w14:paraId="02F14F21" w14:textId="77777777" w:rsidR="00EF2E66" w:rsidRPr="000712C9" w:rsidRDefault="00EF2E66" w:rsidP="00EF2E66">
      <w:pPr>
        <w:widowControl/>
        <w:contextualSpacing/>
        <w:rPr>
          <w:rFonts w:ascii="Times New Roman" w:eastAsia="Calibri" w:hAnsi="Times New Roman"/>
          <w:snapToGrid/>
          <w:szCs w:val="24"/>
        </w:rPr>
      </w:pPr>
    </w:p>
    <w:p w14:paraId="7E75663F"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.8</w:t>
      </w:r>
      <w:r w:rsidRPr="000712C9">
        <w:rPr>
          <w:rFonts w:ascii="Times New Roman" w:eastAsia="Calibri" w:hAnsi="Times New Roman"/>
          <w:snapToGrid/>
          <w:szCs w:val="24"/>
        </w:rPr>
        <w:t xml:space="preserve"> – Federal National Mortgage Association and Federal Home Loan Mortgage Corporation ABS:  disclosures - 1.5 hours.</w:t>
      </w:r>
    </w:p>
    <w:p w14:paraId="78E0871B" w14:textId="77777777" w:rsidR="00EF2E66" w:rsidRPr="000712C9" w:rsidRDefault="00EF2E66" w:rsidP="00EF2E66">
      <w:pPr>
        <w:widowControl/>
        <w:contextualSpacing/>
        <w:rPr>
          <w:rFonts w:ascii="Times New Roman" w:eastAsia="Calibri" w:hAnsi="Times New Roman"/>
          <w:snapToGrid/>
          <w:szCs w:val="24"/>
        </w:rPr>
      </w:pPr>
    </w:p>
    <w:p w14:paraId="58AC1044"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.9</w:t>
      </w:r>
      <w:r w:rsidRPr="000712C9">
        <w:rPr>
          <w:rFonts w:ascii="Times New Roman" w:eastAsia="Calibri" w:hAnsi="Times New Roman"/>
          <w:snapToGrid/>
          <w:szCs w:val="24"/>
        </w:rPr>
        <w:t xml:space="preserve"> – Open market CLOs:  disclosures – 20.25 hours.</w:t>
      </w:r>
    </w:p>
    <w:p w14:paraId="5BF8EB79" w14:textId="77777777" w:rsidR="00EF2E66" w:rsidRPr="000712C9" w:rsidRDefault="00EF2E66" w:rsidP="00EF2E66">
      <w:pPr>
        <w:widowControl/>
        <w:contextualSpacing/>
        <w:rPr>
          <w:rFonts w:ascii="Times New Roman" w:eastAsia="Calibri" w:hAnsi="Times New Roman"/>
          <w:snapToGrid/>
          <w:szCs w:val="24"/>
        </w:rPr>
      </w:pPr>
    </w:p>
    <w:p w14:paraId="776E7AF0"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.10</w:t>
      </w:r>
      <w:r w:rsidRPr="000712C9">
        <w:rPr>
          <w:rFonts w:ascii="Times New Roman" w:eastAsia="Calibri" w:hAnsi="Times New Roman"/>
          <w:snapToGrid/>
          <w:szCs w:val="24"/>
        </w:rPr>
        <w:t xml:space="preserve"> – Qualified tender option bonds:  disclosures – 6.0 hours.</w:t>
      </w:r>
    </w:p>
    <w:p w14:paraId="646F3E4C" w14:textId="77777777" w:rsidR="00EF2E66" w:rsidRPr="000712C9" w:rsidRDefault="00EF2E66" w:rsidP="00EF2E66">
      <w:pPr>
        <w:widowControl/>
        <w:contextualSpacing/>
        <w:rPr>
          <w:rFonts w:ascii="Times New Roman" w:eastAsia="Calibri" w:hAnsi="Times New Roman"/>
          <w:snapToGrid/>
          <w:szCs w:val="24"/>
        </w:rPr>
      </w:pPr>
    </w:p>
    <w:p w14:paraId="1AB5E638"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.11</w:t>
      </w:r>
      <w:r w:rsidRPr="000712C9">
        <w:rPr>
          <w:rFonts w:ascii="Times New Roman" w:eastAsia="Calibri" w:hAnsi="Times New Roman"/>
          <w:snapToGrid/>
          <w:szCs w:val="24"/>
        </w:rPr>
        <w:t xml:space="preserve"> – Allocation of risk retention to an originator:  recordkeeping 20.0 hours; disclosures 2.5 hours.</w:t>
      </w:r>
    </w:p>
    <w:p w14:paraId="4F4DA871" w14:textId="77777777" w:rsidR="00EF2E66" w:rsidRPr="000712C9" w:rsidRDefault="00EF2E66" w:rsidP="00EF2E66">
      <w:pPr>
        <w:widowControl/>
        <w:contextualSpacing/>
        <w:rPr>
          <w:rFonts w:ascii="Times New Roman" w:eastAsia="Calibri" w:hAnsi="Times New Roman"/>
          <w:snapToGrid/>
          <w:szCs w:val="24"/>
        </w:rPr>
      </w:pPr>
    </w:p>
    <w:p w14:paraId="7143D66F"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 xml:space="preserve">.13 and </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.19(g)</w:t>
      </w:r>
      <w:r w:rsidRPr="000712C9">
        <w:rPr>
          <w:rFonts w:ascii="Times New Roman" w:eastAsia="Calibri" w:hAnsi="Times New Roman"/>
          <w:snapToGrid/>
          <w:szCs w:val="24"/>
        </w:rPr>
        <w:t xml:space="preserve"> – Exemption for qualified residential mortgages and qualifying 3-to-4 unit residential mortgage loans:  recordkeeping – 40.0 hours; disclosures 1.25 hours.</w:t>
      </w:r>
    </w:p>
    <w:p w14:paraId="528642EE" w14:textId="77777777" w:rsidR="00EF2E66" w:rsidRPr="000712C9" w:rsidRDefault="00EF2E66" w:rsidP="00EF2E66">
      <w:pPr>
        <w:widowControl/>
        <w:contextualSpacing/>
        <w:rPr>
          <w:rFonts w:ascii="Times New Roman" w:eastAsia="Calibri" w:hAnsi="Times New Roman"/>
          <w:snapToGrid/>
          <w:szCs w:val="24"/>
        </w:rPr>
      </w:pPr>
    </w:p>
    <w:p w14:paraId="03C27FCD"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.15</w:t>
      </w:r>
      <w:r w:rsidRPr="000712C9">
        <w:rPr>
          <w:rFonts w:ascii="Times New Roman" w:eastAsia="Calibri" w:hAnsi="Times New Roman"/>
          <w:snapToGrid/>
          <w:szCs w:val="24"/>
        </w:rPr>
        <w:t xml:space="preserve"> – Exemption for qualifying commercial loans, commercial real estate loans, and automobile loans:  disclosure – 20.0 hours; recordkeeping – 0.5 hour.</w:t>
      </w:r>
    </w:p>
    <w:p w14:paraId="57AD9F0F" w14:textId="77777777" w:rsidR="00EF2E66" w:rsidRPr="000712C9" w:rsidRDefault="00EF2E66" w:rsidP="00EF2E66">
      <w:pPr>
        <w:widowControl/>
        <w:contextualSpacing/>
        <w:rPr>
          <w:rFonts w:ascii="Times New Roman" w:eastAsia="Calibri" w:hAnsi="Times New Roman"/>
          <w:snapToGrid/>
          <w:szCs w:val="24"/>
        </w:rPr>
      </w:pPr>
    </w:p>
    <w:p w14:paraId="3ABBD625"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.16</w:t>
      </w:r>
      <w:r w:rsidRPr="000712C9">
        <w:rPr>
          <w:rFonts w:ascii="Times New Roman" w:eastAsia="Calibri" w:hAnsi="Times New Roman"/>
          <w:snapToGrid/>
          <w:szCs w:val="24"/>
        </w:rPr>
        <w:t xml:space="preserve"> – Underwriting standards for qualifying commercial loans:  recordkeeping – 40.5 hours; disclosures – 1.25 hours.</w:t>
      </w:r>
    </w:p>
    <w:p w14:paraId="53131F29" w14:textId="77777777" w:rsidR="00EF2E66" w:rsidRPr="000712C9" w:rsidRDefault="00EF2E66" w:rsidP="00EF2E66">
      <w:pPr>
        <w:widowControl/>
        <w:contextualSpacing/>
        <w:rPr>
          <w:rFonts w:ascii="Times New Roman" w:eastAsia="Calibri" w:hAnsi="Times New Roman"/>
          <w:snapToGrid/>
          <w:szCs w:val="24"/>
        </w:rPr>
      </w:pPr>
    </w:p>
    <w:p w14:paraId="1F9F39F1"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.17</w:t>
      </w:r>
      <w:r w:rsidRPr="000712C9">
        <w:rPr>
          <w:rFonts w:ascii="Times New Roman" w:eastAsia="Calibri" w:hAnsi="Times New Roman"/>
          <w:snapToGrid/>
          <w:szCs w:val="24"/>
        </w:rPr>
        <w:t>– Underwriting standards for qualifying CRE loans: recordkeeping – 40.5 hours; disclosures – 1.25 hours.</w:t>
      </w:r>
    </w:p>
    <w:p w14:paraId="3A7EA86B" w14:textId="77777777" w:rsidR="00EF2E66" w:rsidRPr="000712C9" w:rsidRDefault="00EF2E66" w:rsidP="00EF2E66">
      <w:pPr>
        <w:widowControl/>
        <w:contextualSpacing/>
        <w:rPr>
          <w:rFonts w:ascii="Times New Roman" w:eastAsia="Calibri" w:hAnsi="Times New Roman"/>
          <w:snapToGrid/>
          <w:szCs w:val="24"/>
        </w:rPr>
      </w:pPr>
    </w:p>
    <w:p w14:paraId="280FF0DB"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.18</w:t>
      </w:r>
      <w:r w:rsidRPr="000712C9">
        <w:rPr>
          <w:rFonts w:ascii="Times New Roman" w:eastAsia="Calibri" w:hAnsi="Times New Roman"/>
          <w:snapToGrid/>
          <w:szCs w:val="24"/>
        </w:rPr>
        <w:t xml:space="preserve"> – Underwriting standards for qualifying automobile loans:  recordkeeping – 40.5 hours; disclosures – 1.25 hours.</w:t>
      </w:r>
    </w:p>
    <w:p w14:paraId="0697CF30" w14:textId="77777777" w:rsidR="0085235A" w:rsidRPr="000712C9" w:rsidRDefault="0085235A" w:rsidP="00EF2E66">
      <w:pPr>
        <w:widowControl/>
        <w:contextualSpacing/>
        <w:rPr>
          <w:rFonts w:ascii="Times New Roman" w:eastAsia="Calibri" w:hAnsi="Times New Roman"/>
          <w:snapToGrid/>
          <w:szCs w:val="24"/>
        </w:rPr>
      </w:pPr>
    </w:p>
    <w:p w14:paraId="1E07238B" w14:textId="77777777" w:rsidR="009246F0" w:rsidRPr="003C3E59" w:rsidRDefault="009246F0" w:rsidP="003C3E59">
      <w:pPr>
        <w:contextualSpacing/>
        <w:rPr>
          <w:rFonts w:ascii="Times New Roman" w:hAnsi="Times New Roman"/>
          <w:szCs w:val="24"/>
        </w:rPr>
      </w:pPr>
    </w:p>
    <w:p w14:paraId="12EB55D4" w14:textId="77777777" w:rsidR="004F405D" w:rsidRPr="003F34B8" w:rsidRDefault="004F405D" w:rsidP="004F405D">
      <w:pPr>
        <w:rPr>
          <w:rFonts w:ascii="Times New Roman" w:hAnsi="Times New Roman"/>
          <w:szCs w:val="24"/>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8"/>
        <w:gridCol w:w="180"/>
        <w:gridCol w:w="1440"/>
        <w:gridCol w:w="1260"/>
        <w:gridCol w:w="1890"/>
        <w:gridCol w:w="1548"/>
      </w:tblGrid>
      <w:tr w:rsidR="004F405D" w:rsidRPr="003F34B8" w14:paraId="6307034A" w14:textId="77777777" w:rsidTr="0023243C">
        <w:trPr>
          <w:trHeight w:val="935"/>
        </w:trPr>
        <w:tc>
          <w:tcPr>
            <w:tcW w:w="3258" w:type="dxa"/>
            <w:tcBorders>
              <w:top w:val="single" w:sz="4" w:space="0" w:color="auto"/>
              <w:bottom w:val="single" w:sz="4" w:space="0" w:color="auto"/>
            </w:tcBorders>
          </w:tcPr>
          <w:p w14:paraId="694860AF"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szCs w:val="24"/>
              </w:rPr>
              <w:br w:type="page"/>
            </w:r>
          </w:p>
        </w:tc>
        <w:tc>
          <w:tcPr>
            <w:tcW w:w="1620" w:type="dxa"/>
            <w:gridSpan w:val="2"/>
            <w:tcBorders>
              <w:top w:val="single" w:sz="4" w:space="0" w:color="auto"/>
              <w:bottom w:val="single" w:sz="4" w:space="0" w:color="auto"/>
            </w:tcBorders>
          </w:tcPr>
          <w:p w14:paraId="18B1FC08"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Estimated</w:t>
            </w:r>
          </w:p>
          <w:p w14:paraId="7F1E8C4E"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number of</w:t>
            </w:r>
          </w:p>
          <w:p w14:paraId="51F97E87"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offerings</w:t>
            </w:r>
          </w:p>
        </w:tc>
        <w:tc>
          <w:tcPr>
            <w:tcW w:w="1260" w:type="dxa"/>
            <w:tcBorders>
              <w:top w:val="single" w:sz="4" w:space="0" w:color="auto"/>
              <w:bottom w:val="single" w:sz="4" w:space="0" w:color="auto"/>
            </w:tcBorders>
          </w:tcPr>
          <w:p w14:paraId="6B77D3FC"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Estimated</w:t>
            </w:r>
          </w:p>
          <w:p w14:paraId="6F0C6DAB"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annual</w:t>
            </w:r>
          </w:p>
          <w:p w14:paraId="4AD83487"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frequency</w:t>
            </w:r>
          </w:p>
        </w:tc>
        <w:tc>
          <w:tcPr>
            <w:tcW w:w="1890" w:type="dxa"/>
            <w:tcBorders>
              <w:top w:val="single" w:sz="4" w:space="0" w:color="auto"/>
              <w:bottom w:val="single" w:sz="4" w:space="0" w:color="auto"/>
            </w:tcBorders>
          </w:tcPr>
          <w:p w14:paraId="6363FF2D"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Estimated</w:t>
            </w:r>
          </w:p>
          <w:p w14:paraId="0E413CEA"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average hours</w:t>
            </w:r>
          </w:p>
          <w:p w14:paraId="77CA8F22"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per response</w:t>
            </w:r>
          </w:p>
        </w:tc>
        <w:tc>
          <w:tcPr>
            <w:tcW w:w="1548" w:type="dxa"/>
            <w:tcBorders>
              <w:top w:val="single" w:sz="4" w:space="0" w:color="auto"/>
              <w:bottom w:val="single" w:sz="4" w:space="0" w:color="auto"/>
            </w:tcBorders>
          </w:tcPr>
          <w:p w14:paraId="30E1F90C"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Estimated</w:t>
            </w:r>
          </w:p>
          <w:p w14:paraId="681C1833"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annual</w:t>
            </w:r>
          </w:p>
          <w:p w14:paraId="18D94A60"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burden hours</w:t>
            </w:r>
          </w:p>
        </w:tc>
      </w:tr>
      <w:tr w:rsidR="004F405D" w:rsidRPr="003F34B8" w14:paraId="71E21696" w14:textId="77777777" w:rsidTr="0023243C">
        <w:tc>
          <w:tcPr>
            <w:tcW w:w="3438" w:type="dxa"/>
            <w:gridSpan w:val="2"/>
            <w:tcBorders>
              <w:top w:val="single" w:sz="4" w:space="0" w:color="auto"/>
              <w:bottom w:val="nil"/>
            </w:tcBorders>
          </w:tcPr>
          <w:p w14:paraId="1F16137D"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§__.4, Standard Risk Retention</w:t>
            </w:r>
          </w:p>
        </w:tc>
        <w:tc>
          <w:tcPr>
            <w:tcW w:w="1440" w:type="dxa"/>
            <w:tcBorders>
              <w:top w:val="single" w:sz="4" w:space="0" w:color="auto"/>
              <w:bottom w:val="nil"/>
            </w:tcBorders>
          </w:tcPr>
          <w:p w14:paraId="2CF66194"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030A22F7"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36EC1A0C"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1AB020AC"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68C881AF" w14:textId="77777777" w:rsidTr="0023243C">
        <w:tc>
          <w:tcPr>
            <w:tcW w:w="3438" w:type="dxa"/>
            <w:gridSpan w:val="2"/>
            <w:tcBorders>
              <w:top w:val="nil"/>
              <w:bottom w:val="nil"/>
            </w:tcBorders>
          </w:tcPr>
          <w:p w14:paraId="098969DD" w14:textId="77777777" w:rsidR="004F405D" w:rsidRPr="003F34B8" w:rsidRDefault="004F405D" w:rsidP="0023243C">
            <w:pPr>
              <w:rPr>
                <w:rFonts w:ascii="Times New Roman" w:hAnsi="Times New Roman"/>
                <w:b/>
                <w:color w:val="000000"/>
                <w:szCs w:val="24"/>
              </w:rPr>
            </w:pPr>
            <w:r w:rsidRPr="003F34B8">
              <w:rPr>
                <w:rFonts w:ascii="Times New Roman" w:hAnsi="Times New Roman"/>
                <w:b/>
                <w:szCs w:val="24"/>
              </w:rPr>
              <w:t>Horizontal Interest</w:t>
            </w:r>
          </w:p>
        </w:tc>
        <w:tc>
          <w:tcPr>
            <w:tcW w:w="1440" w:type="dxa"/>
            <w:tcBorders>
              <w:top w:val="nil"/>
              <w:bottom w:val="nil"/>
            </w:tcBorders>
          </w:tcPr>
          <w:p w14:paraId="77AEF004" w14:textId="77777777" w:rsidR="004F405D" w:rsidRPr="003F34B8" w:rsidRDefault="004F405D" w:rsidP="0023243C">
            <w:pPr>
              <w:jc w:val="center"/>
              <w:rPr>
                <w:rFonts w:ascii="Times New Roman" w:hAnsi="Times New Roman"/>
                <w:color w:val="000000"/>
                <w:szCs w:val="24"/>
              </w:rPr>
            </w:pPr>
          </w:p>
        </w:tc>
        <w:tc>
          <w:tcPr>
            <w:tcW w:w="1260" w:type="dxa"/>
            <w:tcBorders>
              <w:top w:val="nil"/>
              <w:bottom w:val="nil"/>
            </w:tcBorders>
          </w:tcPr>
          <w:p w14:paraId="0D3AB428" w14:textId="77777777" w:rsidR="004F405D" w:rsidRPr="003F34B8" w:rsidRDefault="004F405D" w:rsidP="0023243C">
            <w:pPr>
              <w:jc w:val="center"/>
              <w:rPr>
                <w:rFonts w:ascii="Times New Roman" w:hAnsi="Times New Roman"/>
                <w:color w:val="000000"/>
                <w:szCs w:val="24"/>
              </w:rPr>
            </w:pPr>
          </w:p>
        </w:tc>
        <w:tc>
          <w:tcPr>
            <w:tcW w:w="1890" w:type="dxa"/>
            <w:tcBorders>
              <w:top w:val="nil"/>
              <w:bottom w:val="nil"/>
            </w:tcBorders>
          </w:tcPr>
          <w:p w14:paraId="201E08D2"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nil"/>
              <w:bottom w:val="nil"/>
            </w:tcBorders>
          </w:tcPr>
          <w:p w14:paraId="3B453329"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2BA89F78" w14:textId="77777777" w:rsidTr="0023243C">
        <w:tc>
          <w:tcPr>
            <w:tcW w:w="3438" w:type="dxa"/>
            <w:gridSpan w:val="2"/>
            <w:tcBorders>
              <w:top w:val="nil"/>
              <w:bottom w:val="nil"/>
            </w:tcBorders>
          </w:tcPr>
          <w:p w14:paraId="6F2415F3"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566B0363" w14:textId="5EA0C00E" w:rsidR="004F405D" w:rsidRPr="003F34B8" w:rsidRDefault="00F7554D" w:rsidP="0023243C">
            <w:pPr>
              <w:jc w:val="center"/>
              <w:rPr>
                <w:rFonts w:ascii="Times New Roman" w:hAnsi="Times New Roman"/>
                <w:color w:val="000000"/>
                <w:szCs w:val="24"/>
              </w:rPr>
            </w:pPr>
            <w:r>
              <w:rPr>
                <w:rFonts w:ascii="Times New Roman" w:hAnsi="Times New Roman"/>
                <w:color w:val="000000"/>
                <w:szCs w:val="24"/>
              </w:rPr>
              <w:t>0</w:t>
            </w:r>
          </w:p>
        </w:tc>
        <w:tc>
          <w:tcPr>
            <w:tcW w:w="1260" w:type="dxa"/>
            <w:tcBorders>
              <w:top w:val="nil"/>
              <w:bottom w:val="nil"/>
            </w:tcBorders>
          </w:tcPr>
          <w:p w14:paraId="626DCD65"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296D9321"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0.5</w:t>
            </w:r>
          </w:p>
        </w:tc>
        <w:tc>
          <w:tcPr>
            <w:tcW w:w="1548" w:type="dxa"/>
            <w:tcBorders>
              <w:top w:val="nil"/>
              <w:bottom w:val="nil"/>
            </w:tcBorders>
          </w:tcPr>
          <w:p w14:paraId="6BB220FE" w14:textId="7C4E39F0" w:rsidR="004F405D" w:rsidRPr="003F34B8" w:rsidRDefault="00E15EE6" w:rsidP="0023243C">
            <w:pPr>
              <w:tabs>
                <w:tab w:val="decimal" w:pos="882"/>
              </w:tabs>
              <w:rPr>
                <w:rFonts w:ascii="Times New Roman" w:hAnsi="Times New Roman"/>
                <w:color w:val="000000"/>
                <w:szCs w:val="24"/>
              </w:rPr>
            </w:pPr>
            <w:r>
              <w:rPr>
                <w:rFonts w:ascii="Times New Roman" w:hAnsi="Times New Roman"/>
                <w:szCs w:val="24"/>
              </w:rPr>
              <w:t>0</w:t>
            </w:r>
          </w:p>
        </w:tc>
      </w:tr>
      <w:tr w:rsidR="004F405D" w:rsidRPr="003F34B8" w14:paraId="378A0B8B" w14:textId="77777777" w:rsidTr="0023243C">
        <w:tc>
          <w:tcPr>
            <w:tcW w:w="3438" w:type="dxa"/>
            <w:gridSpan w:val="2"/>
            <w:tcBorders>
              <w:top w:val="nil"/>
              <w:bottom w:val="nil"/>
            </w:tcBorders>
          </w:tcPr>
          <w:p w14:paraId="7EFA8758"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nil"/>
            </w:tcBorders>
          </w:tcPr>
          <w:p w14:paraId="6C27497B" w14:textId="277244B4" w:rsidR="004F405D" w:rsidRPr="003F34B8" w:rsidRDefault="00F7554D" w:rsidP="0023243C">
            <w:pPr>
              <w:jc w:val="center"/>
              <w:rPr>
                <w:rFonts w:ascii="Times New Roman" w:hAnsi="Times New Roman"/>
                <w:color w:val="000000"/>
                <w:szCs w:val="24"/>
              </w:rPr>
            </w:pPr>
            <w:r>
              <w:rPr>
                <w:rFonts w:ascii="Times New Roman" w:hAnsi="Times New Roman"/>
                <w:color w:val="000000"/>
                <w:szCs w:val="24"/>
              </w:rPr>
              <w:t>0</w:t>
            </w:r>
          </w:p>
        </w:tc>
        <w:tc>
          <w:tcPr>
            <w:tcW w:w="1260" w:type="dxa"/>
            <w:tcBorders>
              <w:top w:val="nil"/>
              <w:bottom w:val="nil"/>
            </w:tcBorders>
          </w:tcPr>
          <w:p w14:paraId="3A3AE01B"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7FB43F5A"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5.5</w:t>
            </w:r>
          </w:p>
        </w:tc>
        <w:tc>
          <w:tcPr>
            <w:tcW w:w="1548" w:type="dxa"/>
            <w:tcBorders>
              <w:top w:val="nil"/>
              <w:bottom w:val="nil"/>
            </w:tcBorders>
          </w:tcPr>
          <w:p w14:paraId="40EF4DD7" w14:textId="6011B9E0" w:rsidR="004F405D" w:rsidRPr="003F34B8" w:rsidRDefault="00E15EE6" w:rsidP="0023243C">
            <w:pPr>
              <w:tabs>
                <w:tab w:val="decimal" w:pos="882"/>
              </w:tabs>
              <w:rPr>
                <w:rFonts w:ascii="Times New Roman" w:hAnsi="Times New Roman"/>
                <w:color w:val="000000"/>
                <w:szCs w:val="24"/>
              </w:rPr>
            </w:pPr>
            <w:r>
              <w:rPr>
                <w:rFonts w:ascii="Times New Roman" w:hAnsi="Times New Roman"/>
                <w:szCs w:val="24"/>
              </w:rPr>
              <w:t>0</w:t>
            </w:r>
          </w:p>
        </w:tc>
      </w:tr>
      <w:tr w:rsidR="004F405D" w:rsidRPr="003F34B8" w14:paraId="2192BB1E" w14:textId="77777777" w:rsidTr="0023243C">
        <w:tc>
          <w:tcPr>
            <w:tcW w:w="3438" w:type="dxa"/>
            <w:gridSpan w:val="2"/>
            <w:tcBorders>
              <w:top w:val="nil"/>
              <w:bottom w:val="nil"/>
            </w:tcBorders>
          </w:tcPr>
          <w:p w14:paraId="45E9B68D"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Payment Date Disclosures</w:t>
            </w:r>
          </w:p>
        </w:tc>
        <w:tc>
          <w:tcPr>
            <w:tcW w:w="1440" w:type="dxa"/>
            <w:tcBorders>
              <w:top w:val="nil"/>
              <w:bottom w:val="nil"/>
            </w:tcBorders>
          </w:tcPr>
          <w:p w14:paraId="320D1E02"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0</w:t>
            </w:r>
          </w:p>
        </w:tc>
        <w:tc>
          <w:tcPr>
            <w:tcW w:w="1260" w:type="dxa"/>
            <w:tcBorders>
              <w:top w:val="nil"/>
              <w:bottom w:val="nil"/>
            </w:tcBorders>
          </w:tcPr>
          <w:p w14:paraId="3C4503F3"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0</w:t>
            </w:r>
          </w:p>
        </w:tc>
        <w:tc>
          <w:tcPr>
            <w:tcW w:w="1890" w:type="dxa"/>
            <w:tcBorders>
              <w:top w:val="nil"/>
              <w:bottom w:val="nil"/>
            </w:tcBorders>
          </w:tcPr>
          <w:p w14:paraId="3EB55738"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w:t>
            </w:r>
          </w:p>
        </w:tc>
        <w:tc>
          <w:tcPr>
            <w:tcW w:w="1548" w:type="dxa"/>
            <w:tcBorders>
              <w:top w:val="nil"/>
              <w:bottom w:val="nil"/>
            </w:tcBorders>
          </w:tcPr>
          <w:p w14:paraId="4DDFE64B"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fldChar w:fldCharType="begin"/>
            </w:r>
            <w:r w:rsidRPr="003F34B8">
              <w:rPr>
                <w:rFonts w:ascii="Times New Roman" w:hAnsi="Times New Roman"/>
                <w:szCs w:val="24"/>
              </w:rPr>
              <w:instrText xml:space="preserve"> =b6*c6*d6 \# "#,##0" </w:instrText>
            </w:r>
            <w:r w:rsidRPr="003F34B8">
              <w:rPr>
                <w:rFonts w:ascii="Times New Roman" w:hAnsi="Times New Roman"/>
                <w:szCs w:val="24"/>
              </w:rPr>
              <w:fldChar w:fldCharType="separate"/>
            </w:r>
            <w:r w:rsidRPr="003F34B8">
              <w:rPr>
                <w:rFonts w:ascii="Times New Roman" w:hAnsi="Times New Roman"/>
                <w:noProof/>
                <w:szCs w:val="24"/>
              </w:rPr>
              <w:t xml:space="preserve">   0</w:t>
            </w:r>
            <w:r w:rsidRPr="003F34B8">
              <w:rPr>
                <w:rFonts w:ascii="Times New Roman" w:hAnsi="Times New Roman"/>
                <w:noProof/>
                <w:szCs w:val="24"/>
              </w:rPr>
              <w:fldChar w:fldCharType="end"/>
            </w:r>
          </w:p>
        </w:tc>
      </w:tr>
      <w:tr w:rsidR="004F405D" w:rsidRPr="003F34B8" w14:paraId="3F8C94AD" w14:textId="77777777" w:rsidTr="0023243C">
        <w:tc>
          <w:tcPr>
            <w:tcW w:w="3438" w:type="dxa"/>
            <w:gridSpan w:val="2"/>
            <w:tcBorders>
              <w:top w:val="nil"/>
              <w:bottom w:val="nil"/>
            </w:tcBorders>
          </w:tcPr>
          <w:p w14:paraId="152128A5" w14:textId="77777777" w:rsidR="004F405D" w:rsidRPr="003F34B8" w:rsidRDefault="004F405D" w:rsidP="0023243C">
            <w:pPr>
              <w:rPr>
                <w:rFonts w:ascii="Times New Roman" w:hAnsi="Times New Roman"/>
                <w:color w:val="000000"/>
                <w:szCs w:val="24"/>
              </w:rPr>
            </w:pPr>
            <w:r w:rsidRPr="003F34B8">
              <w:rPr>
                <w:rFonts w:ascii="Times New Roman" w:hAnsi="Times New Roman"/>
                <w:b/>
                <w:szCs w:val="24"/>
              </w:rPr>
              <w:t>Vertical Interest</w:t>
            </w:r>
          </w:p>
        </w:tc>
        <w:tc>
          <w:tcPr>
            <w:tcW w:w="1440" w:type="dxa"/>
            <w:tcBorders>
              <w:top w:val="nil"/>
              <w:bottom w:val="nil"/>
            </w:tcBorders>
          </w:tcPr>
          <w:p w14:paraId="34210501" w14:textId="77777777" w:rsidR="004F405D" w:rsidRPr="003F34B8" w:rsidRDefault="004F405D" w:rsidP="0023243C">
            <w:pPr>
              <w:jc w:val="center"/>
              <w:rPr>
                <w:rFonts w:ascii="Times New Roman" w:hAnsi="Times New Roman"/>
                <w:color w:val="000000"/>
                <w:szCs w:val="24"/>
              </w:rPr>
            </w:pPr>
          </w:p>
        </w:tc>
        <w:tc>
          <w:tcPr>
            <w:tcW w:w="1260" w:type="dxa"/>
            <w:tcBorders>
              <w:top w:val="nil"/>
              <w:bottom w:val="nil"/>
            </w:tcBorders>
          </w:tcPr>
          <w:p w14:paraId="71C9C0A4" w14:textId="77777777" w:rsidR="004F405D" w:rsidRPr="003F34B8" w:rsidRDefault="004F405D" w:rsidP="0023243C">
            <w:pPr>
              <w:jc w:val="center"/>
              <w:rPr>
                <w:rFonts w:ascii="Times New Roman" w:hAnsi="Times New Roman"/>
                <w:color w:val="000000"/>
                <w:szCs w:val="24"/>
              </w:rPr>
            </w:pPr>
          </w:p>
        </w:tc>
        <w:tc>
          <w:tcPr>
            <w:tcW w:w="1890" w:type="dxa"/>
            <w:tcBorders>
              <w:top w:val="nil"/>
              <w:bottom w:val="nil"/>
            </w:tcBorders>
          </w:tcPr>
          <w:p w14:paraId="63F04624"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nil"/>
              <w:bottom w:val="nil"/>
            </w:tcBorders>
          </w:tcPr>
          <w:p w14:paraId="13BFC8F1"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606C82EC" w14:textId="77777777" w:rsidTr="0023243C">
        <w:tc>
          <w:tcPr>
            <w:tcW w:w="3438" w:type="dxa"/>
            <w:gridSpan w:val="2"/>
            <w:tcBorders>
              <w:top w:val="nil"/>
              <w:bottom w:val="nil"/>
            </w:tcBorders>
          </w:tcPr>
          <w:p w14:paraId="0F30837F"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53316006" w14:textId="2F1462F8" w:rsidR="004F405D" w:rsidRPr="003F34B8" w:rsidRDefault="00F7554D" w:rsidP="0023243C">
            <w:pPr>
              <w:jc w:val="center"/>
              <w:rPr>
                <w:rFonts w:ascii="Times New Roman" w:hAnsi="Times New Roman"/>
                <w:color w:val="000000"/>
                <w:szCs w:val="24"/>
              </w:rPr>
            </w:pPr>
            <w:r>
              <w:rPr>
                <w:rFonts w:ascii="Times New Roman" w:hAnsi="Times New Roman"/>
                <w:color w:val="000000"/>
                <w:szCs w:val="24"/>
              </w:rPr>
              <w:t>45</w:t>
            </w:r>
          </w:p>
        </w:tc>
        <w:tc>
          <w:tcPr>
            <w:tcW w:w="1260" w:type="dxa"/>
            <w:tcBorders>
              <w:top w:val="nil"/>
              <w:bottom w:val="nil"/>
            </w:tcBorders>
          </w:tcPr>
          <w:p w14:paraId="283DAB8F"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60EB5D92"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0.5</w:t>
            </w:r>
          </w:p>
        </w:tc>
        <w:tc>
          <w:tcPr>
            <w:tcW w:w="1548" w:type="dxa"/>
            <w:tcBorders>
              <w:top w:val="nil"/>
              <w:bottom w:val="nil"/>
            </w:tcBorders>
          </w:tcPr>
          <w:p w14:paraId="407194F6" w14:textId="2314B2CC" w:rsidR="004F405D" w:rsidRPr="003F34B8" w:rsidRDefault="00C53ACD" w:rsidP="0023243C">
            <w:pPr>
              <w:tabs>
                <w:tab w:val="decimal" w:pos="882"/>
              </w:tabs>
              <w:rPr>
                <w:rFonts w:ascii="Times New Roman" w:hAnsi="Times New Roman"/>
                <w:color w:val="000000"/>
                <w:szCs w:val="24"/>
              </w:rPr>
            </w:pPr>
            <w:r>
              <w:rPr>
                <w:rFonts w:ascii="Times New Roman" w:hAnsi="Times New Roman"/>
                <w:szCs w:val="24"/>
              </w:rPr>
              <w:t>23</w:t>
            </w:r>
          </w:p>
        </w:tc>
      </w:tr>
      <w:tr w:rsidR="004F405D" w:rsidRPr="003F34B8" w14:paraId="6CAEDA38" w14:textId="77777777" w:rsidTr="0023243C">
        <w:tc>
          <w:tcPr>
            <w:tcW w:w="3438" w:type="dxa"/>
            <w:gridSpan w:val="2"/>
            <w:tcBorders>
              <w:top w:val="nil"/>
              <w:bottom w:val="nil"/>
            </w:tcBorders>
          </w:tcPr>
          <w:p w14:paraId="3DE7849B"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nil"/>
            </w:tcBorders>
          </w:tcPr>
          <w:p w14:paraId="75D70539" w14:textId="1C578CA4" w:rsidR="004F405D" w:rsidRPr="003F34B8" w:rsidRDefault="00F7554D" w:rsidP="0023243C">
            <w:pPr>
              <w:jc w:val="center"/>
              <w:rPr>
                <w:rFonts w:ascii="Times New Roman" w:hAnsi="Times New Roman"/>
                <w:color w:val="000000"/>
                <w:szCs w:val="24"/>
              </w:rPr>
            </w:pPr>
            <w:r>
              <w:rPr>
                <w:rFonts w:ascii="Times New Roman" w:hAnsi="Times New Roman"/>
                <w:color w:val="000000"/>
                <w:szCs w:val="24"/>
              </w:rPr>
              <w:t>45</w:t>
            </w:r>
          </w:p>
        </w:tc>
        <w:tc>
          <w:tcPr>
            <w:tcW w:w="1260" w:type="dxa"/>
            <w:tcBorders>
              <w:top w:val="nil"/>
              <w:bottom w:val="nil"/>
            </w:tcBorders>
          </w:tcPr>
          <w:p w14:paraId="54F05085"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224DDF0D"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2.0</w:t>
            </w:r>
          </w:p>
        </w:tc>
        <w:tc>
          <w:tcPr>
            <w:tcW w:w="1548" w:type="dxa"/>
            <w:tcBorders>
              <w:top w:val="nil"/>
              <w:bottom w:val="nil"/>
            </w:tcBorders>
          </w:tcPr>
          <w:p w14:paraId="2072BC4F" w14:textId="6C1C0F94" w:rsidR="004F405D" w:rsidRPr="003F34B8" w:rsidRDefault="00E15EE6" w:rsidP="0023243C">
            <w:pPr>
              <w:tabs>
                <w:tab w:val="decimal" w:pos="882"/>
              </w:tabs>
              <w:rPr>
                <w:rFonts w:ascii="Times New Roman" w:hAnsi="Times New Roman"/>
                <w:color w:val="000000"/>
                <w:szCs w:val="24"/>
              </w:rPr>
            </w:pPr>
            <w:r>
              <w:rPr>
                <w:rFonts w:ascii="Times New Roman" w:hAnsi="Times New Roman"/>
                <w:szCs w:val="24"/>
              </w:rPr>
              <w:t>90</w:t>
            </w:r>
          </w:p>
        </w:tc>
      </w:tr>
      <w:tr w:rsidR="004F405D" w:rsidRPr="003F34B8" w14:paraId="6EAC0AFA" w14:textId="77777777" w:rsidTr="0023243C">
        <w:tc>
          <w:tcPr>
            <w:tcW w:w="3438" w:type="dxa"/>
            <w:gridSpan w:val="2"/>
            <w:tcBorders>
              <w:top w:val="nil"/>
              <w:bottom w:val="nil"/>
            </w:tcBorders>
          </w:tcPr>
          <w:p w14:paraId="0AF6870A" w14:textId="77777777" w:rsidR="004F405D" w:rsidRPr="003F34B8" w:rsidRDefault="004F405D" w:rsidP="0023243C">
            <w:pPr>
              <w:rPr>
                <w:rFonts w:ascii="Times New Roman" w:hAnsi="Times New Roman"/>
                <w:color w:val="000000"/>
                <w:szCs w:val="24"/>
              </w:rPr>
            </w:pPr>
            <w:r w:rsidRPr="003F34B8">
              <w:rPr>
                <w:rFonts w:ascii="Times New Roman" w:hAnsi="Times New Roman"/>
                <w:b/>
                <w:szCs w:val="24"/>
              </w:rPr>
              <w:t>Combined Horizontal and Vertical Interests</w:t>
            </w:r>
          </w:p>
        </w:tc>
        <w:tc>
          <w:tcPr>
            <w:tcW w:w="1440" w:type="dxa"/>
            <w:tcBorders>
              <w:top w:val="nil"/>
              <w:bottom w:val="nil"/>
            </w:tcBorders>
          </w:tcPr>
          <w:p w14:paraId="2EA7454E" w14:textId="77777777" w:rsidR="004F405D" w:rsidRPr="003F34B8" w:rsidRDefault="004F405D" w:rsidP="0023243C">
            <w:pPr>
              <w:jc w:val="center"/>
              <w:rPr>
                <w:rFonts w:ascii="Times New Roman" w:hAnsi="Times New Roman"/>
                <w:color w:val="000000"/>
                <w:szCs w:val="24"/>
              </w:rPr>
            </w:pPr>
          </w:p>
        </w:tc>
        <w:tc>
          <w:tcPr>
            <w:tcW w:w="1260" w:type="dxa"/>
            <w:tcBorders>
              <w:top w:val="nil"/>
              <w:bottom w:val="nil"/>
            </w:tcBorders>
          </w:tcPr>
          <w:p w14:paraId="621A7D6D" w14:textId="77777777" w:rsidR="004F405D" w:rsidRPr="003F34B8" w:rsidRDefault="004F405D" w:rsidP="0023243C">
            <w:pPr>
              <w:jc w:val="center"/>
              <w:rPr>
                <w:rFonts w:ascii="Times New Roman" w:hAnsi="Times New Roman"/>
                <w:color w:val="000000"/>
                <w:szCs w:val="24"/>
              </w:rPr>
            </w:pPr>
          </w:p>
        </w:tc>
        <w:tc>
          <w:tcPr>
            <w:tcW w:w="1890" w:type="dxa"/>
            <w:tcBorders>
              <w:top w:val="nil"/>
              <w:bottom w:val="nil"/>
            </w:tcBorders>
          </w:tcPr>
          <w:p w14:paraId="2D4AB25D"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nil"/>
              <w:bottom w:val="nil"/>
            </w:tcBorders>
          </w:tcPr>
          <w:p w14:paraId="25A9659D"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64564784" w14:textId="77777777" w:rsidTr="0023243C">
        <w:tc>
          <w:tcPr>
            <w:tcW w:w="3438" w:type="dxa"/>
            <w:gridSpan w:val="2"/>
            <w:tcBorders>
              <w:top w:val="nil"/>
              <w:bottom w:val="nil"/>
            </w:tcBorders>
          </w:tcPr>
          <w:p w14:paraId="592E1BF2"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58F2E7F5" w14:textId="65BB42BF"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5</w:t>
            </w:r>
          </w:p>
        </w:tc>
        <w:tc>
          <w:tcPr>
            <w:tcW w:w="1260" w:type="dxa"/>
            <w:tcBorders>
              <w:top w:val="nil"/>
              <w:bottom w:val="nil"/>
            </w:tcBorders>
          </w:tcPr>
          <w:p w14:paraId="79B9820F"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5CBF7468"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0.5</w:t>
            </w:r>
          </w:p>
        </w:tc>
        <w:tc>
          <w:tcPr>
            <w:tcW w:w="1548" w:type="dxa"/>
            <w:tcBorders>
              <w:top w:val="nil"/>
              <w:bottom w:val="nil"/>
            </w:tcBorders>
          </w:tcPr>
          <w:p w14:paraId="37E19678" w14:textId="10FB37D7" w:rsidR="004F405D" w:rsidRPr="003F34B8" w:rsidRDefault="00333491" w:rsidP="0023243C">
            <w:pPr>
              <w:tabs>
                <w:tab w:val="decimal" w:pos="882"/>
              </w:tabs>
              <w:rPr>
                <w:rFonts w:ascii="Times New Roman" w:hAnsi="Times New Roman"/>
                <w:color w:val="000000"/>
                <w:szCs w:val="24"/>
              </w:rPr>
            </w:pPr>
            <w:r>
              <w:rPr>
                <w:rFonts w:ascii="Times New Roman" w:hAnsi="Times New Roman"/>
                <w:szCs w:val="24"/>
              </w:rPr>
              <w:t>2.5</w:t>
            </w:r>
          </w:p>
        </w:tc>
      </w:tr>
      <w:tr w:rsidR="004F405D" w:rsidRPr="003F34B8" w14:paraId="76D30586" w14:textId="77777777" w:rsidTr="0023243C">
        <w:tc>
          <w:tcPr>
            <w:tcW w:w="3438" w:type="dxa"/>
            <w:gridSpan w:val="2"/>
            <w:tcBorders>
              <w:top w:val="nil"/>
              <w:bottom w:val="nil"/>
            </w:tcBorders>
          </w:tcPr>
          <w:p w14:paraId="5D028F8F"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nil"/>
            </w:tcBorders>
          </w:tcPr>
          <w:p w14:paraId="464A3D69" w14:textId="5BFC8B0D"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5</w:t>
            </w:r>
          </w:p>
        </w:tc>
        <w:tc>
          <w:tcPr>
            <w:tcW w:w="1260" w:type="dxa"/>
            <w:tcBorders>
              <w:top w:val="nil"/>
              <w:bottom w:val="nil"/>
            </w:tcBorders>
          </w:tcPr>
          <w:p w14:paraId="2922C488"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35DA51A6"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7.5</w:t>
            </w:r>
          </w:p>
        </w:tc>
        <w:tc>
          <w:tcPr>
            <w:tcW w:w="1548" w:type="dxa"/>
            <w:tcBorders>
              <w:top w:val="nil"/>
              <w:bottom w:val="nil"/>
            </w:tcBorders>
          </w:tcPr>
          <w:p w14:paraId="137B28A5" w14:textId="1977AB7D" w:rsidR="004F405D" w:rsidRPr="003F34B8" w:rsidRDefault="00333491" w:rsidP="0023243C">
            <w:pPr>
              <w:tabs>
                <w:tab w:val="decimal" w:pos="882"/>
              </w:tabs>
              <w:rPr>
                <w:rFonts w:ascii="Times New Roman" w:hAnsi="Times New Roman"/>
                <w:color w:val="000000"/>
                <w:szCs w:val="24"/>
              </w:rPr>
            </w:pPr>
            <w:r>
              <w:rPr>
                <w:rFonts w:ascii="Times New Roman" w:hAnsi="Times New Roman"/>
                <w:szCs w:val="24"/>
              </w:rPr>
              <w:t>37.5</w:t>
            </w:r>
          </w:p>
        </w:tc>
      </w:tr>
      <w:tr w:rsidR="004F405D" w:rsidRPr="003F34B8" w14:paraId="5779286C" w14:textId="77777777" w:rsidTr="0023243C">
        <w:tc>
          <w:tcPr>
            <w:tcW w:w="3438" w:type="dxa"/>
            <w:gridSpan w:val="2"/>
            <w:tcBorders>
              <w:top w:val="nil"/>
              <w:bottom w:val="nil"/>
            </w:tcBorders>
          </w:tcPr>
          <w:p w14:paraId="1887DFBE"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Payment Date Disclosures</w:t>
            </w:r>
          </w:p>
        </w:tc>
        <w:tc>
          <w:tcPr>
            <w:tcW w:w="1440" w:type="dxa"/>
            <w:tcBorders>
              <w:top w:val="nil"/>
              <w:bottom w:val="nil"/>
            </w:tcBorders>
          </w:tcPr>
          <w:p w14:paraId="2F9F2B74"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0</w:t>
            </w:r>
          </w:p>
        </w:tc>
        <w:tc>
          <w:tcPr>
            <w:tcW w:w="1260" w:type="dxa"/>
            <w:tcBorders>
              <w:top w:val="nil"/>
              <w:bottom w:val="nil"/>
            </w:tcBorders>
          </w:tcPr>
          <w:p w14:paraId="0852DA29"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0</w:t>
            </w:r>
          </w:p>
        </w:tc>
        <w:tc>
          <w:tcPr>
            <w:tcW w:w="1890" w:type="dxa"/>
            <w:tcBorders>
              <w:top w:val="nil"/>
              <w:bottom w:val="nil"/>
            </w:tcBorders>
          </w:tcPr>
          <w:p w14:paraId="6D880247"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w:t>
            </w:r>
          </w:p>
        </w:tc>
        <w:tc>
          <w:tcPr>
            <w:tcW w:w="1548" w:type="dxa"/>
            <w:tcBorders>
              <w:top w:val="nil"/>
              <w:bottom w:val="nil"/>
            </w:tcBorders>
          </w:tcPr>
          <w:p w14:paraId="15CC3E27"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fldChar w:fldCharType="begin"/>
            </w:r>
            <w:r w:rsidRPr="003F34B8">
              <w:rPr>
                <w:rFonts w:ascii="Times New Roman" w:hAnsi="Times New Roman"/>
                <w:szCs w:val="24"/>
              </w:rPr>
              <w:instrText xml:space="preserve"> =b13*c13*d13 \# "#,##0" </w:instrText>
            </w:r>
            <w:r w:rsidRPr="003F34B8">
              <w:rPr>
                <w:rFonts w:ascii="Times New Roman" w:hAnsi="Times New Roman"/>
                <w:szCs w:val="24"/>
              </w:rPr>
              <w:fldChar w:fldCharType="separate"/>
            </w:r>
            <w:r w:rsidRPr="003F34B8">
              <w:rPr>
                <w:rFonts w:ascii="Times New Roman" w:hAnsi="Times New Roman"/>
                <w:noProof/>
                <w:szCs w:val="24"/>
              </w:rPr>
              <w:t xml:space="preserve">   0</w:t>
            </w:r>
            <w:r w:rsidRPr="003F34B8">
              <w:rPr>
                <w:rFonts w:ascii="Times New Roman" w:hAnsi="Times New Roman"/>
                <w:noProof/>
                <w:szCs w:val="24"/>
              </w:rPr>
              <w:fldChar w:fldCharType="end"/>
            </w:r>
          </w:p>
        </w:tc>
      </w:tr>
      <w:tr w:rsidR="004F405D" w:rsidRPr="003F34B8" w14:paraId="64590050" w14:textId="77777777" w:rsidTr="0023243C">
        <w:tc>
          <w:tcPr>
            <w:tcW w:w="3438" w:type="dxa"/>
            <w:gridSpan w:val="2"/>
            <w:tcBorders>
              <w:top w:val="single" w:sz="4" w:space="0" w:color="auto"/>
              <w:bottom w:val="nil"/>
            </w:tcBorders>
          </w:tcPr>
          <w:p w14:paraId="5E10914C" w14:textId="77777777" w:rsidR="004F405D" w:rsidRPr="003F34B8" w:rsidRDefault="004F405D" w:rsidP="0023243C">
            <w:pPr>
              <w:rPr>
                <w:rFonts w:ascii="Times New Roman" w:hAnsi="Times New Roman"/>
                <w:color w:val="000000"/>
                <w:szCs w:val="24"/>
              </w:rPr>
            </w:pPr>
            <w:r w:rsidRPr="003F34B8">
              <w:rPr>
                <w:rFonts w:ascii="Times New Roman" w:hAnsi="Times New Roman"/>
                <w:b/>
                <w:color w:val="000000"/>
                <w:szCs w:val="24"/>
              </w:rPr>
              <w:t>§__.5, Revolving Master Trusts</w:t>
            </w:r>
          </w:p>
        </w:tc>
        <w:tc>
          <w:tcPr>
            <w:tcW w:w="1440" w:type="dxa"/>
            <w:tcBorders>
              <w:top w:val="single" w:sz="4" w:space="0" w:color="auto"/>
              <w:bottom w:val="nil"/>
            </w:tcBorders>
          </w:tcPr>
          <w:p w14:paraId="3CA2F730"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52F1B977"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1E64D995"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1DFBEA52"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5161B80C" w14:textId="77777777" w:rsidTr="0023243C">
        <w:tc>
          <w:tcPr>
            <w:tcW w:w="3438" w:type="dxa"/>
            <w:gridSpan w:val="2"/>
            <w:tcBorders>
              <w:top w:val="nil"/>
              <w:bottom w:val="nil"/>
            </w:tcBorders>
          </w:tcPr>
          <w:p w14:paraId="456DE390" w14:textId="77777777" w:rsidR="004F405D" w:rsidRPr="003F34B8" w:rsidRDefault="004F405D" w:rsidP="0023243C">
            <w:pPr>
              <w:rPr>
                <w:rFonts w:ascii="Times New Roman" w:hAnsi="Times New Roman"/>
                <w:b/>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23BFF7BC"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nil"/>
            </w:tcBorders>
          </w:tcPr>
          <w:p w14:paraId="168FBAC5"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22FCD862"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0.5</w:t>
            </w:r>
          </w:p>
        </w:tc>
        <w:tc>
          <w:tcPr>
            <w:tcW w:w="1548" w:type="dxa"/>
            <w:tcBorders>
              <w:top w:val="nil"/>
              <w:bottom w:val="nil"/>
            </w:tcBorders>
          </w:tcPr>
          <w:p w14:paraId="5905DFA6"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8</w:t>
            </w:r>
          </w:p>
        </w:tc>
      </w:tr>
      <w:tr w:rsidR="004F405D" w:rsidRPr="003F34B8" w14:paraId="16C2865C" w14:textId="77777777" w:rsidTr="0023243C">
        <w:tc>
          <w:tcPr>
            <w:tcW w:w="3438" w:type="dxa"/>
            <w:gridSpan w:val="2"/>
            <w:tcBorders>
              <w:top w:val="nil"/>
              <w:bottom w:val="single" w:sz="4" w:space="0" w:color="auto"/>
            </w:tcBorders>
          </w:tcPr>
          <w:p w14:paraId="2CDE8EE9" w14:textId="77777777" w:rsidR="004F405D" w:rsidRPr="003F34B8" w:rsidRDefault="004F405D" w:rsidP="0023243C">
            <w:pPr>
              <w:rPr>
                <w:rFonts w:ascii="Times New Roman" w:hAnsi="Times New Roman"/>
                <w:b/>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711D3F5B"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single" w:sz="4" w:space="0" w:color="auto"/>
            </w:tcBorders>
          </w:tcPr>
          <w:p w14:paraId="0A14878A"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50A067D0"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7.0</w:t>
            </w:r>
          </w:p>
        </w:tc>
        <w:tc>
          <w:tcPr>
            <w:tcW w:w="1548" w:type="dxa"/>
            <w:tcBorders>
              <w:top w:val="nil"/>
              <w:bottom w:val="single" w:sz="4" w:space="0" w:color="auto"/>
            </w:tcBorders>
          </w:tcPr>
          <w:p w14:paraId="34BB769F"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105</w:t>
            </w:r>
          </w:p>
        </w:tc>
      </w:tr>
      <w:tr w:rsidR="004F405D" w:rsidRPr="003F34B8" w14:paraId="0D953F7A" w14:textId="77777777" w:rsidTr="0023243C">
        <w:tc>
          <w:tcPr>
            <w:tcW w:w="3438" w:type="dxa"/>
            <w:gridSpan w:val="2"/>
            <w:tcBorders>
              <w:top w:val="single" w:sz="4" w:space="0" w:color="auto"/>
              <w:bottom w:val="nil"/>
            </w:tcBorders>
          </w:tcPr>
          <w:p w14:paraId="3FA92DAC"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§__.6, </w:t>
            </w:r>
            <w:r w:rsidRPr="003F34B8">
              <w:rPr>
                <w:rFonts w:ascii="Times New Roman" w:hAnsi="Times New Roman"/>
                <w:b/>
                <w:szCs w:val="24"/>
              </w:rPr>
              <w:t>Eligible ABCP Conduits</w:t>
            </w:r>
          </w:p>
        </w:tc>
        <w:tc>
          <w:tcPr>
            <w:tcW w:w="1440" w:type="dxa"/>
            <w:tcBorders>
              <w:top w:val="single" w:sz="4" w:space="0" w:color="auto"/>
              <w:bottom w:val="nil"/>
            </w:tcBorders>
          </w:tcPr>
          <w:p w14:paraId="5849E671"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261A576B"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5B985998"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7EB1FF1F"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5AC6FC3D" w14:textId="77777777" w:rsidTr="0023243C">
        <w:tc>
          <w:tcPr>
            <w:tcW w:w="3438" w:type="dxa"/>
            <w:gridSpan w:val="2"/>
            <w:tcBorders>
              <w:top w:val="nil"/>
              <w:bottom w:val="nil"/>
            </w:tcBorders>
          </w:tcPr>
          <w:p w14:paraId="31B0DE7F"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69548A4C"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nil"/>
            </w:tcBorders>
          </w:tcPr>
          <w:p w14:paraId="6B4A6F7B"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21A3B4C7"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20.0</w:t>
            </w:r>
          </w:p>
        </w:tc>
        <w:tc>
          <w:tcPr>
            <w:tcW w:w="1548" w:type="dxa"/>
            <w:tcBorders>
              <w:top w:val="nil"/>
              <w:bottom w:val="nil"/>
            </w:tcBorders>
          </w:tcPr>
          <w:p w14:paraId="205AE9C5"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300</w:t>
            </w:r>
          </w:p>
        </w:tc>
      </w:tr>
      <w:tr w:rsidR="004F405D" w:rsidRPr="003F34B8" w14:paraId="7F0925A3" w14:textId="77777777" w:rsidTr="0023243C">
        <w:tc>
          <w:tcPr>
            <w:tcW w:w="3438" w:type="dxa"/>
            <w:gridSpan w:val="2"/>
            <w:tcBorders>
              <w:top w:val="nil"/>
              <w:bottom w:val="single" w:sz="4" w:space="0" w:color="auto"/>
            </w:tcBorders>
          </w:tcPr>
          <w:p w14:paraId="1EC7898D"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67F4B472"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single" w:sz="4" w:space="0" w:color="auto"/>
            </w:tcBorders>
          </w:tcPr>
          <w:p w14:paraId="31BB6B88"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7E190C61"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3.0</w:t>
            </w:r>
          </w:p>
        </w:tc>
        <w:tc>
          <w:tcPr>
            <w:tcW w:w="1548" w:type="dxa"/>
            <w:tcBorders>
              <w:top w:val="nil"/>
              <w:bottom w:val="single" w:sz="4" w:space="0" w:color="auto"/>
            </w:tcBorders>
          </w:tcPr>
          <w:p w14:paraId="21FCEC7C"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45</w:t>
            </w:r>
          </w:p>
        </w:tc>
      </w:tr>
      <w:tr w:rsidR="004F405D" w:rsidRPr="003F34B8" w14:paraId="0AD31D9B" w14:textId="77777777" w:rsidTr="0023243C">
        <w:tc>
          <w:tcPr>
            <w:tcW w:w="3438" w:type="dxa"/>
            <w:gridSpan w:val="2"/>
            <w:tcBorders>
              <w:top w:val="single" w:sz="4" w:space="0" w:color="auto"/>
              <w:bottom w:val="nil"/>
            </w:tcBorders>
          </w:tcPr>
          <w:p w14:paraId="1CF5E131"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§__.7, </w:t>
            </w:r>
            <w:r w:rsidRPr="003F34B8">
              <w:rPr>
                <w:rFonts w:ascii="Times New Roman" w:hAnsi="Times New Roman"/>
                <w:b/>
                <w:szCs w:val="24"/>
              </w:rPr>
              <w:t>Commercial MBS</w:t>
            </w:r>
          </w:p>
        </w:tc>
        <w:tc>
          <w:tcPr>
            <w:tcW w:w="1440" w:type="dxa"/>
            <w:tcBorders>
              <w:top w:val="single" w:sz="4" w:space="0" w:color="auto"/>
              <w:bottom w:val="nil"/>
            </w:tcBorders>
          </w:tcPr>
          <w:p w14:paraId="1FCCDBC3"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11177BD8"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4CF6C331"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31AB11B5"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450B3A8E" w14:textId="77777777" w:rsidTr="0023243C">
        <w:tc>
          <w:tcPr>
            <w:tcW w:w="3438" w:type="dxa"/>
            <w:gridSpan w:val="2"/>
            <w:tcBorders>
              <w:top w:val="nil"/>
              <w:bottom w:val="nil"/>
            </w:tcBorders>
          </w:tcPr>
          <w:p w14:paraId="60237668" w14:textId="77777777" w:rsidR="004F405D" w:rsidRPr="003F34B8" w:rsidRDefault="004F405D" w:rsidP="0023243C">
            <w:pPr>
              <w:rPr>
                <w:rFonts w:ascii="Times New Roman" w:hAnsi="Times New Roman"/>
                <w:b/>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4B826F56"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nil"/>
            </w:tcBorders>
          </w:tcPr>
          <w:p w14:paraId="65F6243C"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2ED90483"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30.0</w:t>
            </w:r>
          </w:p>
        </w:tc>
        <w:tc>
          <w:tcPr>
            <w:tcW w:w="1548" w:type="dxa"/>
            <w:tcBorders>
              <w:top w:val="nil"/>
              <w:bottom w:val="nil"/>
            </w:tcBorders>
          </w:tcPr>
          <w:p w14:paraId="568EF2F3"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450</w:t>
            </w:r>
          </w:p>
        </w:tc>
      </w:tr>
      <w:tr w:rsidR="004F405D" w:rsidRPr="003F34B8" w14:paraId="2C7062C3" w14:textId="77777777" w:rsidTr="0023243C">
        <w:tc>
          <w:tcPr>
            <w:tcW w:w="3438" w:type="dxa"/>
            <w:gridSpan w:val="2"/>
            <w:tcBorders>
              <w:top w:val="nil"/>
              <w:bottom w:val="single" w:sz="4" w:space="0" w:color="auto"/>
            </w:tcBorders>
          </w:tcPr>
          <w:p w14:paraId="5AD2311A" w14:textId="77777777" w:rsidR="004F405D" w:rsidRPr="003F34B8" w:rsidRDefault="004F405D" w:rsidP="0023243C">
            <w:pPr>
              <w:rPr>
                <w:rFonts w:ascii="Times New Roman" w:hAnsi="Times New Roman"/>
                <w:b/>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4CB29247"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single" w:sz="4" w:space="0" w:color="auto"/>
            </w:tcBorders>
          </w:tcPr>
          <w:p w14:paraId="79A293D8"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6D0EAE71"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20.75</w:t>
            </w:r>
          </w:p>
        </w:tc>
        <w:tc>
          <w:tcPr>
            <w:tcW w:w="1548" w:type="dxa"/>
            <w:tcBorders>
              <w:top w:val="nil"/>
              <w:bottom w:val="single" w:sz="4" w:space="0" w:color="auto"/>
            </w:tcBorders>
          </w:tcPr>
          <w:p w14:paraId="67471152"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311</w:t>
            </w:r>
          </w:p>
        </w:tc>
      </w:tr>
      <w:tr w:rsidR="004F405D" w:rsidRPr="003F34B8" w14:paraId="50DCAD8D" w14:textId="77777777" w:rsidTr="0023243C">
        <w:tc>
          <w:tcPr>
            <w:tcW w:w="3438" w:type="dxa"/>
            <w:gridSpan w:val="2"/>
            <w:tcBorders>
              <w:top w:val="single" w:sz="4" w:space="0" w:color="auto"/>
              <w:bottom w:val="nil"/>
            </w:tcBorders>
          </w:tcPr>
          <w:p w14:paraId="6E89A2DC"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§__.8, </w:t>
            </w:r>
            <w:r w:rsidRPr="003F34B8">
              <w:rPr>
                <w:rFonts w:ascii="Times New Roman" w:hAnsi="Times New Roman"/>
                <w:b/>
                <w:szCs w:val="24"/>
              </w:rPr>
              <w:t>FNMA and FHLMC</w:t>
            </w:r>
          </w:p>
        </w:tc>
        <w:tc>
          <w:tcPr>
            <w:tcW w:w="1440" w:type="dxa"/>
            <w:tcBorders>
              <w:top w:val="single" w:sz="4" w:space="0" w:color="auto"/>
              <w:bottom w:val="nil"/>
            </w:tcBorders>
          </w:tcPr>
          <w:p w14:paraId="3139D1D3"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123367E4"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5925604E"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09EC7F4F"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0823AC4F" w14:textId="77777777" w:rsidTr="0023243C">
        <w:tc>
          <w:tcPr>
            <w:tcW w:w="3438" w:type="dxa"/>
            <w:gridSpan w:val="2"/>
            <w:tcBorders>
              <w:top w:val="nil"/>
              <w:bottom w:val="single" w:sz="4" w:space="0" w:color="auto"/>
            </w:tcBorders>
          </w:tcPr>
          <w:p w14:paraId="3CFAC860"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7BE5CFA8"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single" w:sz="4" w:space="0" w:color="auto"/>
            </w:tcBorders>
          </w:tcPr>
          <w:p w14:paraId="3A5C567E"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036F005C"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1.5</w:t>
            </w:r>
          </w:p>
        </w:tc>
        <w:tc>
          <w:tcPr>
            <w:tcW w:w="1548" w:type="dxa"/>
            <w:tcBorders>
              <w:top w:val="nil"/>
              <w:bottom w:val="single" w:sz="4" w:space="0" w:color="auto"/>
            </w:tcBorders>
          </w:tcPr>
          <w:p w14:paraId="546D8211"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23</w:t>
            </w:r>
          </w:p>
        </w:tc>
      </w:tr>
      <w:tr w:rsidR="004F405D" w:rsidRPr="003F34B8" w14:paraId="14B001F8" w14:textId="77777777" w:rsidTr="0023243C">
        <w:tc>
          <w:tcPr>
            <w:tcW w:w="3438" w:type="dxa"/>
            <w:gridSpan w:val="2"/>
            <w:tcBorders>
              <w:top w:val="single" w:sz="4" w:space="0" w:color="auto"/>
              <w:bottom w:val="nil"/>
            </w:tcBorders>
          </w:tcPr>
          <w:p w14:paraId="5B95F5EA"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§__.9, </w:t>
            </w:r>
            <w:r w:rsidRPr="003F34B8">
              <w:rPr>
                <w:rFonts w:ascii="Times New Roman" w:hAnsi="Times New Roman"/>
                <w:b/>
                <w:szCs w:val="24"/>
              </w:rPr>
              <w:t>Open Market CLOs</w:t>
            </w:r>
          </w:p>
        </w:tc>
        <w:tc>
          <w:tcPr>
            <w:tcW w:w="1440" w:type="dxa"/>
            <w:tcBorders>
              <w:top w:val="single" w:sz="4" w:space="0" w:color="auto"/>
              <w:bottom w:val="nil"/>
            </w:tcBorders>
          </w:tcPr>
          <w:p w14:paraId="2307FA16"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0411DCF0"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3C55867B"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3814E55D"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7FB61101" w14:textId="77777777" w:rsidTr="0023243C">
        <w:tc>
          <w:tcPr>
            <w:tcW w:w="3438" w:type="dxa"/>
            <w:gridSpan w:val="2"/>
            <w:tcBorders>
              <w:top w:val="nil"/>
              <w:bottom w:val="single" w:sz="4" w:space="0" w:color="auto"/>
            </w:tcBorders>
          </w:tcPr>
          <w:p w14:paraId="3F485120"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545CFDC8"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single" w:sz="4" w:space="0" w:color="auto"/>
            </w:tcBorders>
          </w:tcPr>
          <w:p w14:paraId="0E80D499"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7F68BD7B"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20.25</w:t>
            </w:r>
          </w:p>
        </w:tc>
        <w:tc>
          <w:tcPr>
            <w:tcW w:w="1548" w:type="dxa"/>
            <w:tcBorders>
              <w:top w:val="nil"/>
              <w:bottom w:val="single" w:sz="4" w:space="0" w:color="auto"/>
            </w:tcBorders>
          </w:tcPr>
          <w:p w14:paraId="703A17F5"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304</w:t>
            </w:r>
          </w:p>
        </w:tc>
      </w:tr>
      <w:tr w:rsidR="004F405D" w:rsidRPr="003F34B8" w14:paraId="62A9F739" w14:textId="77777777" w:rsidTr="0023243C">
        <w:tc>
          <w:tcPr>
            <w:tcW w:w="3438" w:type="dxa"/>
            <w:gridSpan w:val="2"/>
            <w:tcBorders>
              <w:top w:val="single" w:sz="4" w:space="0" w:color="auto"/>
              <w:bottom w:val="nil"/>
            </w:tcBorders>
          </w:tcPr>
          <w:p w14:paraId="06B74F13"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§__.10, </w:t>
            </w:r>
            <w:r w:rsidRPr="003F34B8">
              <w:rPr>
                <w:rFonts w:ascii="Times New Roman" w:hAnsi="Times New Roman"/>
                <w:b/>
                <w:szCs w:val="24"/>
              </w:rPr>
              <w:t>Qualified Tender Option Bonds</w:t>
            </w:r>
          </w:p>
        </w:tc>
        <w:tc>
          <w:tcPr>
            <w:tcW w:w="1440" w:type="dxa"/>
            <w:tcBorders>
              <w:top w:val="single" w:sz="4" w:space="0" w:color="auto"/>
              <w:bottom w:val="nil"/>
            </w:tcBorders>
          </w:tcPr>
          <w:p w14:paraId="41613B2F"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4A284527"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05F1C329"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26D8B524"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620BE447" w14:textId="77777777" w:rsidTr="0023243C">
        <w:tc>
          <w:tcPr>
            <w:tcW w:w="3438" w:type="dxa"/>
            <w:gridSpan w:val="2"/>
            <w:tcBorders>
              <w:top w:val="nil"/>
              <w:bottom w:val="single" w:sz="4" w:space="0" w:color="auto"/>
            </w:tcBorders>
          </w:tcPr>
          <w:p w14:paraId="2D7E3B0C"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5EAC0011"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single" w:sz="4" w:space="0" w:color="auto"/>
            </w:tcBorders>
          </w:tcPr>
          <w:p w14:paraId="078B7BAC"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0D1433C1"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6.0</w:t>
            </w:r>
          </w:p>
        </w:tc>
        <w:tc>
          <w:tcPr>
            <w:tcW w:w="1548" w:type="dxa"/>
            <w:tcBorders>
              <w:top w:val="nil"/>
              <w:bottom w:val="single" w:sz="4" w:space="0" w:color="auto"/>
            </w:tcBorders>
          </w:tcPr>
          <w:p w14:paraId="5B12246A"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90</w:t>
            </w:r>
          </w:p>
        </w:tc>
      </w:tr>
      <w:tr w:rsidR="004F405D" w:rsidRPr="003F34B8" w14:paraId="695BAA39" w14:textId="77777777" w:rsidTr="0023243C">
        <w:tc>
          <w:tcPr>
            <w:tcW w:w="3438" w:type="dxa"/>
            <w:gridSpan w:val="2"/>
            <w:tcBorders>
              <w:top w:val="single" w:sz="4" w:space="0" w:color="auto"/>
              <w:bottom w:val="nil"/>
            </w:tcBorders>
          </w:tcPr>
          <w:p w14:paraId="7D41559A"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§__.11, </w:t>
            </w:r>
            <w:r w:rsidRPr="003F34B8">
              <w:rPr>
                <w:rFonts w:ascii="Times New Roman" w:hAnsi="Times New Roman"/>
                <w:b/>
                <w:szCs w:val="24"/>
              </w:rPr>
              <w:t>Allocation of Risk Retention to an Originator</w:t>
            </w:r>
          </w:p>
        </w:tc>
        <w:tc>
          <w:tcPr>
            <w:tcW w:w="1440" w:type="dxa"/>
            <w:tcBorders>
              <w:top w:val="single" w:sz="4" w:space="0" w:color="auto"/>
              <w:bottom w:val="nil"/>
            </w:tcBorders>
          </w:tcPr>
          <w:p w14:paraId="4E7DDEAB"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4DD42B59"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5F8FDE61"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2D532268"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10D80877" w14:textId="77777777" w:rsidTr="0023243C">
        <w:tc>
          <w:tcPr>
            <w:tcW w:w="3438" w:type="dxa"/>
            <w:gridSpan w:val="2"/>
            <w:tcBorders>
              <w:top w:val="nil"/>
              <w:bottom w:val="nil"/>
            </w:tcBorders>
          </w:tcPr>
          <w:p w14:paraId="7C9E409E"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5E21ED86"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3</w:t>
            </w:r>
          </w:p>
        </w:tc>
        <w:tc>
          <w:tcPr>
            <w:tcW w:w="1260" w:type="dxa"/>
            <w:tcBorders>
              <w:top w:val="nil"/>
              <w:bottom w:val="nil"/>
            </w:tcBorders>
          </w:tcPr>
          <w:p w14:paraId="56A21EE5"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248822A4"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20.0</w:t>
            </w:r>
          </w:p>
        </w:tc>
        <w:tc>
          <w:tcPr>
            <w:tcW w:w="1548" w:type="dxa"/>
            <w:tcBorders>
              <w:top w:val="nil"/>
              <w:bottom w:val="nil"/>
            </w:tcBorders>
          </w:tcPr>
          <w:p w14:paraId="15A5B330"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fldChar w:fldCharType="begin"/>
            </w:r>
            <w:r w:rsidRPr="003F34B8">
              <w:rPr>
                <w:rFonts w:ascii="Times New Roman" w:hAnsi="Times New Roman"/>
                <w:szCs w:val="24"/>
              </w:rPr>
              <w:instrText xml:space="preserve"> =b30*c30*d30 \# "#,##0" </w:instrText>
            </w:r>
            <w:r w:rsidRPr="003F34B8">
              <w:rPr>
                <w:rFonts w:ascii="Times New Roman" w:hAnsi="Times New Roman"/>
                <w:szCs w:val="24"/>
              </w:rPr>
              <w:fldChar w:fldCharType="separate"/>
            </w:r>
            <w:r w:rsidRPr="003F34B8">
              <w:rPr>
                <w:rFonts w:ascii="Times New Roman" w:hAnsi="Times New Roman"/>
                <w:noProof/>
                <w:szCs w:val="24"/>
              </w:rPr>
              <w:t xml:space="preserve">  60</w:t>
            </w:r>
            <w:r w:rsidRPr="003F34B8">
              <w:rPr>
                <w:rFonts w:ascii="Times New Roman" w:hAnsi="Times New Roman"/>
                <w:noProof/>
                <w:szCs w:val="24"/>
              </w:rPr>
              <w:fldChar w:fldCharType="end"/>
            </w:r>
          </w:p>
        </w:tc>
      </w:tr>
      <w:tr w:rsidR="004F405D" w:rsidRPr="003F34B8" w14:paraId="770B2CF2" w14:textId="77777777" w:rsidTr="0023243C">
        <w:tc>
          <w:tcPr>
            <w:tcW w:w="3438" w:type="dxa"/>
            <w:gridSpan w:val="2"/>
            <w:tcBorders>
              <w:top w:val="nil"/>
              <w:bottom w:val="single" w:sz="4" w:space="0" w:color="auto"/>
            </w:tcBorders>
          </w:tcPr>
          <w:p w14:paraId="4AC97068"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2CEA21F2"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3</w:t>
            </w:r>
          </w:p>
        </w:tc>
        <w:tc>
          <w:tcPr>
            <w:tcW w:w="1260" w:type="dxa"/>
            <w:tcBorders>
              <w:top w:val="nil"/>
              <w:bottom w:val="single" w:sz="4" w:space="0" w:color="auto"/>
            </w:tcBorders>
          </w:tcPr>
          <w:p w14:paraId="2D25046D"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00279654"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2.5</w:t>
            </w:r>
          </w:p>
        </w:tc>
        <w:tc>
          <w:tcPr>
            <w:tcW w:w="1548" w:type="dxa"/>
            <w:tcBorders>
              <w:top w:val="nil"/>
              <w:bottom w:val="single" w:sz="4" w:space="0" w:color="auto"/>
            </w:tcBorders>
          </w:tcPr>
          <w:p w14:paraId="09BEC7FF"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fldChar w:fldCharType="begin"/>
            </w:r>
            <w:r w:rsidRPr="003F34B8">
              <w:rPr>
                <w:rFonts w:ascii="Times New Roman" w:hAnsi="Times New Roman"/>
                <w:szCs w:val="24"/>
              </w:rPr>
              <w:instrText xml:space="preserve"> =b31*c31*d31 \# "#,##0" </w:instrText>
            </w:r>
            <w:r w:rsidRPr="003F34B8">
              <w:rPr>
                <w:rFonts w:ascii="Times New Roman" w:hAnsi="Times New Roman"/>
                <w:szCs w:val="24"/>
              </w:rPr>
              <w:fldChar w:fldCharType="separate"/>
            </w:r>
            <w:r w:rsidRPr="003F34B8">
              <w:rPr>
                <w:rFonts w:ascii="Times New Roman" w:hAnsi="Times New Roman"/>
                <w:noProof/>
                <w:szCs w:val="24"/>
              </w:rPr>
              <w:t xml:space="preserve">   8</w:t>
            </w:r>
            <w:r w:rsidRPr="003F34B8">
              <w:rPr>
                <w:rFonts w:ascii="Times New Roman" w:hAnsi="Times New Roman"/>
                <w:noProof/>
                <w:szCs w:val="24"/>
              </w:rPr>
              <w:fldChar w:fldCharType="end"/>
            </w:r>
          </w:p>
        </w:tc>
      </w:tr>
      <w:tr w:rsidR="004F405D" w:rsidRPr="003F34B8" w14:paraId="7988DFF3" w14:textId="77777777" w:rsidTr="0023243C">
        <w:tc>
          <w:tcPr>
            <w:tcW w:w="3438" w:type="dxa"/>
            <w:gridSpan w:val="2"/>
            <w:tcBorders>
              <w:top w:val="single" w:sz="4" w:space="0" w:color="auto"/>
              <w:bottom w:val="nil"/>
            </w:tcBorders>
          </w:tcPr>
          <w:p w14:paraId="02C827AF"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§__.13, </w:t>
            </w:r>
            <w:r w:rsidRPr="003F34B8">
              <w:rPr>
                <w:rFonts w:ascii="Times New Roman" w:hAnsi="Times New Roman"/>
                <w:b/>
                <w:szCs w:val="24"/>
              </w:rPr>
              <w:t>Exemption for Qualified Residential Mortgages</w:t>
            </w:r>
          </w:p>
        </w:tc>
        <w:tc>
          <w:tcPr>
            <w:tcW w:w="1440" w:type="dxa"/>
            <w:tcBorders>
              <w:top w:val="single" w:sz="4" w:space="0" w:color="auto"/>
              <w:bottom w:val="nil"/>
            </w:tcBorders>
          </w:tcPr>
          <w:p w14:paraId="53A71ECB"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4D5530C2"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583C593E"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1E388667"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60CE3506" w14:textId="77777777" w:rsidTr="0023243C">
        <w:tc>
          <w:tcPr>
            <w:tcW w:w="3438" w:type="dxa"/>
            <w:gridSpan w:val="2"/>
            <w:tcBorders>
              <w:top w:val="nil"/>
              <w:bottom w:val="nil"/>
            </w:tcBorders>
          </w:tcPr>
          <w:p w14:paraId="130478DF"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2D9DC5C6"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13</w:t>
            </w:r>
          </w:p>
        </w:tc>
        <w:tc>
          <w:tcPr>
            <w:tcW w:w="1260" w:type="dxa"/>
            <w:tcBorders>
              <w:top w:val="nil"/>
              <w:bottom w:val="nil"/>
            </w:tcBorders>
          </w:tcPr>
          <w:p w14:paraId="18B910B4"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0EC27FB8"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40.0</w:t>
            </w:r>
          </w:p>
        </w:tc>
        <w:tc>
          <w:tcPr>
            <w:tcW w:w="1548" w:type="dxa"/>
            <w:tcBorders>
              <w:top w:val="nil"/>
              <w:bottom w:val="nil"/>
            </w:tcBorders>
          </w:tcPr>
          <w:p w14:paraId="56AA5D68"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520</w:t>
            </w:r>
          </w:p>
        </w:tc>
      </w:tr>
      <w:tr w:rsidR="004F405D" w:rsidRPr="003F34B8" w14:paraId="38AEB85C" w14:textId="77777777" w:rsidTr="0023243C">
        <w:tc>
          <w:tcPr>
            <w:tcW w:w="3438" w:type="dxa"/>
            <w:gridSpan w:val="2"/>
            <w:tcBorders>
              <w:top w:val="nil"/>
              <w:bottom w:val="single" w:sz="4" w:space="0" w:color="auto"/>
            </w:tcBorders>
          </w:tcPr>
          <w:p w14:paraId="61D503A4"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43F989F6"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13</w:t>
            </w:r>
          </w:p>
        </w:tc>
        <w:tc>
          <w:tcPr>
            <w:tcW w:w="1260" w:type="dxa"/>
            <w:tcBorders>
              <w:top w:val="nil"/>
              <w:bottom w:val="single" w:sz="4" w:space="0" w:color="auto"/>
            </w:tcBorders>
          </w:tcPr>
          <w:p w14:paraId="572E84F9"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2EB01FCC"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1.25</w:t>
            </w:r>
          </w:p>
        </w:tc>
        <w:tc>
          <w:tcPr>
            <w:tcW w:w="1548" w:type="dxa"/>
            <w:tcBorders>
              <w:top w:val="nil"/>
              <w:bottom w:val="single" w:sz="4" w:space="0" w:color="auto"/>
            </w:tcBorders>
          </w:tcPr>
          <w:p w14:paraId="35C098B2"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16</w:t>
            </w:r>
          </w:p>
        </w:tc>
      </w:tr>
      <w:tr w:rsidR="004F405D" w:rsidRPr="003F34B8" w14:paraId="080EC60D" w14:textId="77777777" w:rsidTr="0023243C">
        <w:tc>
          <w:tcPr>
            <w:tcW w:w="3438" w:type="dxa"/>
            <w:gridSpan w:val="2"/>
            <w:tcBorders>
              <w:top w:val="single" w:sz="4" w:space="0" w:color="auto"/>
              <w:bottom w:val="nil"/>
            </w:tcBorders>
          </w:tcPr>
          <w:p w14:paraId="21E37724"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§__.15, </w:t>
            </w:r>
            <w:r w:rsidRPr="003F34B8">
              <w:rPr>
                <w:rFonts w:ascii="Times New Roman" w:hAnsi="Times New Roman"/>
                <w:b/>
                <w:szCs w:val="24"/>
              </w:rPr>
              <w:t>Exemptions for Qualifying Commercial Loans, Commercial Real Estate Loans, and Automobile Loans</w:t>
            </w:r>
          </w:p>
        </w:tc>
        <w:tc>
          <w:tcPr>
            <w:tcW w:w="1440" w:type="dxa"/>
            <w:tcBorders>
              <w:top w:val="single" w:sz="4" w:space="0" w:color="auto"/>
              <w:bottom w:val="nil"/>
            </w:tcBorders>
          </w:tcPr>
          <w:p w14:paraId="2E5E7220"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784D0B7D"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3EBEC0C2"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36F5A02E"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02918811" w14:textId="77777777" w:rsidTr="0023243C">
        <w:tc>
          <w:tcPr>
            <w:tcW w:w="3438" w:type="dxa"/>
            <w:gridSpan w:val="2"/>
            <w:tcBorders>
              <w:top w:val="nil"/>
              <w:bottom w:val="single" w:sz="4" w:space="0" w:color="auto"/>
            </w:tcBorders>
          </w:tcPr>
          <w:p w14:paraId="39D0A32F"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p w14:paraId="14112056"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70124A0C"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16</w:t>
            </w:r>
          </w:p>
        </w:tc>
        <w:tc>
          <w:tcPr>
            <w:tcW w:w="1260" w:type="dxa"/>
            <w:tcBorders>
              <w:top w:val="nil"/>
              <w:bottom w:val="single" w:sz="4" w:space="0" w:color="auto"/>
            </w:tcBorders>
          </w:tcPr>
          <w:p w14:paraId="08AFA127"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54C61322"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0.5</w:t>
            </w:r>
          </w:p>
          <w:p w14:paraId="4DD8E182"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20.0</w:t>
            </w:r>
          </w:p>
        </w:tc>
        <w:tc>
          <w:tcPr>
            <w:tcW w:w="1548" w:type="dxa"/>
            <w:tcBorders>
              <w:top w:val="nil"/>
              <w:bottom w:val="single" w:sz="4" w:space="0" w:color="auto"/>
            </w:tcBorders>
          </w:tcPr>
          <w:p w14:paraId="1450101F" w14:textId="77777777" w:rsidR="004F405D" w:rsidRPr="003F34B8" w:rsidRDefault="004F405D" w:rsidP="0023243C">
            <w:pPr>
              <w:tabs>
                <w:tab w:val="decimal" w:pos="882"/>
              </w:tabs>
              <w:rPr>
                <w:rFonts w:ascii="Times New Roman" w:hAnsi="Times New Roman"/>
                <w:szCs w:val="24"/>
              </w:rPr>
            </w:pPr>
            <w:r w:rsidRPr="003F34B8">
              <w:rPr>
                <w:rFonts w:ascii="Times New Roman" w:hAnsi="Times New Roman"/>
                <w:szCs w:val="24"/>
              </w:rPr>
              <w:t>8</w:t>
            </w:r>
          </w:p>
          <w:p w14:paraId="5E872B35"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320</w:t>
            </w:r>
          </w:p>
        </w:tc>
      </w:tr>
      <w:tr w:rsidR="004F405D" w:rsidRPr="003F34B8" w14:paraId="15A250A0" w14:textId="77777777" w:rsidTr="0023243C">
        <w:tc>
          <w:tcPr>
            <w:tcW w:w="3438" w:type="dxa"/>
            <w:gridSpan w:val="2"/>
            <w:tcBorders>
              <w:top w:val="single" w:sz="4" w:space="0" w:color="auto"/>
              <w:bottom w:val="nil"/>
            </w:tcBorders>
          </w:tcPr>
          <w:p w14:paraId="241DB8AA"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§__.16, </w:t>
            </w:r>
            <w:r w:rsidRPr="003F34B8">
              <w:rPr>
                <w:rFonts w:ascii="Times New Roman" w:hAnsi="Times New Roman"/>
                <w:b/>
                <w:szCs w:val="24"/>
              </w:rPr>
              <w:t>Underwriting Standards for Qualifying Commercial Loans</w:t>
            </w:r>
          </w:p>
        </w:tc>
        <w:tc>
          <w:tcPr>
            <w:tcW w:w="1440" w:type="dxa"/>
            <w:tcBorders>
              <w:top w:val="single" w:sz="4" w:space="0" w:color="auto"/>
              <w:bottom w:val="nil"/>
            </w:tcBorders>
          </w:tcPr>
          <w:p w14:paraId="234205FD"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36EC762E"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287E9030"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1A6E543C"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742D7E59" w14:textId="77777777" w:rsidTr="0023243C">
        <w:tc>
          <w:tcPr>
            <w:tcW w:w="3438" w:type="dxa"/>
            <w:gridSpan w:val="2"/>
            <w:tcBorders>
              <w:top w:val="nil"/>
              <w:bottom w:val="nil"/>
            </w:tcBorders>
          </w:tcPr>
          <w:p w14:paraId="0EFBC0E7"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6B2408ED"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5</w:t>
            </w:r>
          </w:p>
        </w:tc>
        <w:tc>
          <w:tcPr>
            <w:tcW w:w="1260" w:type="dxa"/>
            <w:tcBorders>
              <w:top w:val="nil"/>
              <w:bottom w:val="nil"/>
            </w:tcBorders>
          </w:tcPr>
          <w:p w14:paraId="60774FFA"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5C44089A"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40.5</w:t>
            </w:r>
          </w:p>
        </w:tc>
        <w:tc>
          <w:tcPr>
            <w:tcW w:w="1548" w:type="dxa"/>
            <w:tcBorders>
              <w:top w:val="nil"/>
              <w:bottom w:val="nil"/>
            </w:tcBorders>
          </w:tcPr>
          <w:p w14:paraId="390AF388" w14:textId="69CB1688" w:rsidR="004F405D" w:rsidRPr="003F34B8" w:rsidRDefault="004F405D" w:rsidP="00342884">
            <w:pPr>
              <w:tabs>
                <w:tab w:val="decimal" w:pos="882"/>
              </w:tabs>
              <w:rPr>
                <w:rFonts w:ascii="Times New Roman" w:hAnsi="Times New Roman"/>
                <w:color w:val="000000"/>
                <w:szCs w:val="24"/>
              </w:rPr>
            </w:pPr>
            <w:r w:rsidRPr="003F34B8">
              <w:rPr>
                <w:rFonts w:ascii="Times New Roman" w:hAnsi="Times New Roman"/>
                <w:szCs w:val="24"/>
              </w:rPr>
              <w:t>20</w:t>
            </w:r>
            <w:r w:rsidR="00342884">
              <w:rPr>
                <w:rFonts w:ascii="Times New Roman" w:hAnsi="Times New Roman"/>
                <w:szCs w:val="24"/>
              </w:rPr>
              <w:t>3</w:t>
            </w:r>
          </w:p>
        </w:tc>
      </w:tr>
      <w:tr w:rsidR="004F405D" w:rsidRPr="003F34B8" w14:paraId="69DD971A" w14:textId="77777777" w:rsidTr="0023243C">
        <w:tc>
          <w:tcPr>
            <w:tcW w:w="3438" w:type="dxa"/>
            <w:gridSpan w:val="2"/>
            <w:tcBorders>
              <w:top w:val="nil"/>
              <w:bottom w:val="single" w:sz="4" w:space="0" w:color="auto"/>
            </w:tcBorders>
          </w:tcPr>
          <w:p w14:paraId="10550349"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286BD12D"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5</w:t>
            </w:r>
          </w:p>
        </w:tc>
        <w:tc>
          <w:tcPr>
            <w:tcW w:w="1260" w:type="dxa"/>
            <w:tcBorders>
              <w:top w:val="nil"/>
              <w:bottom w:val="single" w:sz="4" w:space="0" w:color="auto"/>
            </w:tcBorders>
          </w:tcPr>
          <w:p w14:paraId="4B447407"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1C2411BA"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1.25</w:t>
            </w:r>
          </w:p>
        </w:tc>
        <w:tc>
          <w:tcPr>
            <w:tcW w:w="1548" w:type="dxa"/>
            <w:tcBorders>
              <w:top w:val="nil"/>
              <w:bottom w:val="single" w:sz="4" w:space="0" w:color="auto"/>
            </w:tcBorders>
          </w:tcPr>
          <w:p w14:paraId="2EC8D69A"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6</w:t>
            </w:r>
          </w:p>
        </w:tc>
      </w:tr>
      <w:tr w:rsidR="004F405D" w:rsidRPr="003F34B8" w14:paraId="5A664472" w14:textId="77777777" w:rsidTr="0023243C">
        <w:tc>
          <w:tcPr>
            <w:tcW w:w="3438" w:type="dxa"/>
            <w:gridSpan w:val="2"/>
            <w:tcBorders>
              <w:top w:val="single" w:sz="4" w:space="0" w:color="auto"/>
              <w:bottom w:val="nil"/>
            </w:tcBorders>
          </w:tcPr>
          <w:p w14:paraId="74FAB362"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§__.17, </w:t>
            </w:r>
            <w:r w:rsidRPr="003F34B8">
              <w:rPr>
                <w:rFonts w:ascii="Times New Roman" w:hAnsi="Times New Roman"/>
                <w:b/>
                <w:szCs w:val="24"/>
              </w:rPr>
              <w:t>Underwriting Standards for Qualifying CRE Loans</w:t>
            </w:r>
          </w:p>
        </w:tc>
        <w:tc>
          <w:tcPr>
            <w:tcW w:w="1440" w:type="dxa"/>
            <w:tcBorders>
              <w:top w:val="single" w:sz="4" w:space="0" w:color="auto"/>
              <w:bottom w:val="nil"/>
            </w:tcBorders>
          </w:tcPr>
          <w:p w14:paraId="50C0A8DE"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0A1B26A4"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4EA61AD3"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555FE1CC"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5E10F0A9" w14:textId="77777777" w:rsidTr="0023243C">
        <w:tc>
          <w:tcPr>
            <w:tcW w:w="3438" w:type="dxa"/>
            <w:gridSpan w:val="2"/>
            <w:tcBorders>
              <w:top w:val="nil"/>
              <w:bottom w:val="nil"/>
            </w:tcBorders>
          </w:tcPr>
          <w:p w14:paraId="205CB47D"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1F84E88B" w14:textId="342300B6" w:rsidR="004F405D" w:rsidRPr="003F34B8" w:rsidRDefault="00EB17FB" w:rsidP="0023243C">
            <w:pPr>
              <w:jc w:val="center"/>
              <w:rPr>
                <w:rFonts w:ascii="Times New Roman" w:hAnsi="Times New Roman"/>
                <w:color w:val="000000"/>
                <w:szCs w:val="24"/>
              </w:rPr>
            </w:pPr>
            <w:r>
              <w:rPr>
                <w:rFonts w:ascii="Times New Roman" w:hAnsi="Times New Roman"/>
                <w:color w:val="000000"/>
                <w:szCs w:val="24"/>
              </w:rPr>
              <w:t>0</w:t>
            </w:r>
          </w:p>
        </w:tc>
        <w:tc>
          <w:tcPr>
            <w:tcW w:w="1260" w:type="dxa"/>
            <w:tcBorders>
              <w:top w:val="nil"/>
              <w:bottom w:val="nil"/>
            </w:tcBorders>
          </w:tcPr>
          <w:p w14:paraId="48D9DAC3"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68AA4281"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40.5</w:t>
            </w:r>
          </w:p>
        </w:tc>
        <w:tc>
          <w:tcPr>
            <w:tcW w:w="1548" w:type="dxa"/>
            <w:tcBorders>
              <w:top w:val="nil"/>
              <w:bottom w:val="nil"/>
            </w:tcBorders>
          </w:tcPr>
          <w:p w14:paraId="66C63CA2" w14:textId="53CB8528" w:rsidR="004F405D" w:rsidRPr="003F34B8" w:rsidRDefault="00C53ACD" w:rsidP="0023243C">
            <w:pPr>
              <w:tabs>
                <w:tab w:val="decimal" w:pos="882"/>
              </w:tabs>
              <w:rPr>
                <w:rFonts w:ascii="Times New Roman" w:hAnsi="Times New Roman"/>
                <w:color w:val="000000"/>
                <w:szCs w:val="24"/>
              </w:rPr>
            </w:pPr>
            <w:r>
              <w:rPr>
                <w:rFonts w:ascii="Times New Roman" w:hAnsi="Times New Roman"/>
                <w:szCs w:val="24"/>
              </w:rPr>
              <w:t>0</w:t>
            </w:r>
          </w:p>
        </w:tc>
      </w:tr>
      <w:tr w:rsidR="004F405D" w:rsidRPr="003F34B8" w14:paraId="1B0ABDB8" w14:textId="77777777" w:rsidTr="0023243C">
        <w:tc>
          <w:tcPr>
            <w:tcW w:w="3438" w:type="dxa"/>
            <w:gridSpan w:val="2"/>
            <w:tcBorders>
              <w:top w:val="nil"/>
              <w:bottom w:val="single" w:sz="4" w:space="0" w:color="auto"/>
            </w:tcBorders>
          </w:tcPr>
          <w:p w14:paraId="4AED6D1E"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117FFD0E" w14:textId="3DDF28A6" w:rsidR="004F405D" w:rsidRPr="003F34B8" w:rsidRDefault="00EB17FB" w:rsidP="0023243C">
            <w:pPr>
              <w:jc w:val="center"/>
              <w:rPr>
                <w:rFonts w:ascii="Times New Roman" w:hAnsi="Times New Roman"/>
                <w:color w:val="000000"/>
                <w:szCs w:val="24"/>
              </w:rPr>
            </w:pPr>
            <w:r>
              <w:rPr>
                <w:rFonts w:ascii="Times New Roman" w:hAnsi="Times New Roman"/>
                <w:color w:val="000000"/>
                <w:szCs w:val="24"/>
              </w:rPr>
              <w:t>0</w:t>
            </w:r>
          </w:p>
        </w:tc>
        <w:tc>
          <w:tcPr>
            <w:tcW w:w="1260" w:type="dxa"/>
            <w:tcBorders>
              <w:top w:val="nil"/>
              <w:bottom w:val="single" w:sz="4" w:space="0" w:color="auto"/>
            </w:tcBorders>
          </w:tcPr>
          <w:p w14:paraId="761BBDCD"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214D58C3"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1.25</w:t>
            </w:r>
          </w:p>
        </w:tc>
        <w:tc>
          <w:tcPr>
            <w:tcW w:w="1548" w:type="dxa"/>
            <w:tcBorders>
              <w:top w:val="nil"/>
              <w:bottom w:val="single" w:sz="4" w:space="0" w:color="auto"/>
            </w:tcBorders>
          </w:tcPr>
          <w:p w14:paraId="2F52EAE9" w14:textId="41C02A32" w:rsidR="004F405D" w:rsidRPr="003F34B8" w:rsidRDefault="00C53ACD" w:rsidP="0023243C">
            <w:pPr>
              <w:tabs>
                <w:tab w:val="decimal" w:pos="882"/>
              </w:tabs>
              <w:rPr>
                <w:rFonts w:ascii="Times New Roman" w:hAnsi="Times New Roman"/>
                <w:color w:val="000000"/>
                <w:szCs w:val="24"/>
              </w:rPr>
            </w:pPr>
            <w:r>
              <w:rPr>
                <w:rFonts w:ascii="Times New Roman" w:hAnsi="Times New Roman"/>
                <w:szCs w:val="24"/>
              </w:rPr>
              <w:t>0</w:t>
            </w:r>
          </w:p>
        </w:tc>
      </w:tr>
      <w:tr w:rsidR="004F405D" w:rsidRPr="003F34B8" w14:paraId="3F155849" w14:textId="77777777" w:rsidTr="0023243C">
        <w:tc>
          <w:tcPr>
            <w:tcW w:w="3438" w:type="dxa"/>
            <w:gridSpan w:val="2"/>
            <w:tcBorders>
              <w:top w:val="single" w:sz="4" w:space="0" w:color="auto"/>
              <w:bottom w:val="nil"/>
            </w:tcBorders>
          </w:tcPr>
          <w:p w14:paraId="061D03DB"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§__.18, </w:t>
            </w:r>
            <w:r w:rsidRPr="003F34B8">
              <w:rPr>
                <w:rFonts w:ascii="Times New Roman" w:hAnsi="Times New Roman"/>
                <w:b/>
                <w:szCs w:val="24"/>
              </w:rPr>
              <w:t>Underwriting Standards for Qualifying Automobile Loans</w:t>
            </w:r>
          </w:p>
        </w:tc>
        <w:tc>
          <w:tcPr>
            <w:tcW w:w="1440" w:type="dxa"/>
            <w:tcBorders>
              <w:top w:val="single" w:sz="4" w:space="0" w:color="auto"/>
              <w:bottom w:val="nil"/>
            </w:tcBorders>
          </w:tcPr>
          <w:p w14:paraId="22298B07"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2EC7544D"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2FF9CFC3"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1DA431C0"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30A0E923" w14:textId="77777777" w:rsidTr="0023243C">
        <w:tc>
          <w:tcPr>
            <w:tcW w:w="3438" w:type="dxa"/>
            <w:gridSpan w:val="2"/>
            <w:tcBorders>
              <w:top w:val="nil"/>
              <w:bottom w:val="nil"/>
            </w:tcBorders>
          </w:tcPr>
          <w:p w14:paraId="30E8B193"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69F1320F"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5</w:t>
            </w:r>
          </w:p>
        </w:tc>
        <w:tc>
          <w:tcPr>
            <w:tcW w:w="1260" w:type="dxa"/>
            <w:tcBorders>
              <w:top w:val="nil"/>
              <w:bottom w:val="nil"/>
            </w:tcBorders>
          </w:tcPr>
          <w:p w14:paraId="651A6B99"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419EB9FA"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40.5</w:t>
            </w:r>
          </w:p>
        </w:tc>
        <w:tc>
          <w:tcPr>
            <w:tcW w:w="1548" w:type="dxa"/>
            <w:tcBorders>
              <w:top w:val="nil"/>
              <w:bottom w:val="nil"/>
            </w:tcBorders>
          </w:tcPr>
          <w:p w14:paraId="01518D28" w14:textId="05992894" w:rsidR="004F405D" w:rsidRPr="003F34B8" w:rsidRDefault="004F405D" w:rsidP="00342884">
            <w:pPr>
              <w:tabs>
                <w:tab w:val="decimal" w:pos="882"/>
              </w:tabs>
              <w:rPr>
                <w:rFonts w:ascii="Times New Roman" w:hAnsi="Times New Roman"/>
                <w:color w:val="000000"/>
                <w:szCs w:val="24"/>
              </w:rPr>
            </w:pPr>
            <w:r w:rsidRPr="003F34B8">
              <w:rPr>
                <w:rFonts w:ascii="Times New Roman" w:hAnsi="Times New Roman"/>
                <w:szCs w:val="24"/>
              </w:rPr>
              <w:t>20</w:t>
            </w:r>
            <w:r w:rsidR="00342884">
              <w:rPr>
                <w:rFonts w:ascii="Times New Roman" w:hAnsi="Times New Roman"/>
                <w:szCs w:val="24"/>
              </w:rPr>
              <w:t>3</w:t>
            </w:r>
          </w:p>
        </w:tc>
      </w:tr>
      <w:tr w:rsidR="004F405D" w:rsidRPr="003F34B8" w14:paraId="745C796D" w14:textId="77777777" w:rsidTr="0023243C">
        <w:tc>
          <w:tcPr>
            <w:tcW w:w="3438" w:type="dxa"/>
            <w:gridSpan w:val="2"/>
            <w:tcBorders>
              <w:top w:val="nil"/>
              <w:bottom w:val="single" w:sz="4" w:space="0" w:color="auto"/>
            </w:tcBorders>
          </w:tcPr>
          <w:p w14:paraId="281CA0A2"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6D4B3FAD"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5</w:t>
            </w:r>
          </w:p>
        </w:tc>
        <w:tc>
          <w:tcPr>
            <w:tcW w:w="1260" w:type="dxa"/>
            <w:tcBorders>
              <w:top w:val="nil"/>
              <w:bottom w:val="single" w:sz="4" w:space="0" w:color="auto"/>
            </w:tcBorders>
          </w:tcPr>
          <w:p w14:paraId="7AD6C9B7"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1D056F70"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1.25</w:t>
            </w:r>
          </w:p>
        </w:tc>
        <w:tc>
          <w:tcPr>
            <w:tcW w:w="1548" w:type="dxa"/>
            <w:tcBorders>
              <w:top w:val="nil"/>
              <w:bottom w:val="single" w:sz="4" w:space="0" w:color="auto"/>
            </w:tcBorders>
          </w:tcPr>
          <w:p w14:paraId="7490DC33"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6</w:t>
            </w:r>
          </w:p>
        </w:tc>
      </w:tr>
      <w:tr w:rsidR="004F405D" w:rsidRPr="003F34B8" w14:paraId="740A61B5" w14:textId="77777777" w:rsidTr="0023243C">
        <w:tc>
          <w:tcPr>
            <w:tcW w:w="3438" w:type="dxa"/>
            <w:gridSpan w:val="2"/>
          </w:tcPr>
          <w:p w14:paraId="1AAB2FD4" w14:textId="77777777" w:rsidR="004F405D" w:rsidRPr="003F34B8" w:rsidRDefault="004F405D" w:rsidP="0023243C">
            <w:pPr>
              <w:rPr>
                <w:rFonts w:ascii="Times New Roman" w:hAnsi="Times New Roman"/>
                <w:color w:val="000000"/>
                <w:szCs w:val="24"/>
              </w:rPr>
            </w:pPr>
          </w:p>
        </w:tc>
        <w:tc>
          <w:tcPr>
            <w:tcW w:w="1440" w:type="dxa"/>
          </w:tcPr>
          <w:p w14:paraId="34569AC7" w14:textId="77777777" w:rsidR="004F405D" w:rsidRPr="003F34B8" w:rsidRDefault="004F405D" w:rsidP="0023243C">
            <w:pPr>
              <w:jc w:val="center"/>
              <w:rPr>
                <w:rFonts w:ascii="Times New Roman" w:hAnsi="Times New Roman"/>
                <w:color w:val="000000"/>
                <w:szCs w:val="24"/>
              </w:rPr>
            </w:pPr>
          </w:p>
        </w:tc>
        <w:tc>
          <w:tcPr>
            <w:tcW w:w="1260" w:type="dxa"/>
          </w:tcPr>
          <w:p w14:paraId="797C980F" w14:textId="77777777" w:rsidR="004F405D" w:rsidRPr="003F34B8" w:rsidRDefault="004F405D" w:rsidP="0023243C">
            <w:pPr>
              <w:jc w:val="center"/>
              <w:rPr>
                <w:rFonts w:ascii="Times New Roman" w:hAnsi="Times New Roman"/>
                <w:color w:val="000000"/>
                <w:szCs w:val="24"/>
              </w:rPr>
            </w:pPr>
          </w:p>
        </w:tc>
        <w:tc>
          <w:tcPr>
            <w:tcW w:w="1890" w:type="dxa"/>
          </w:tcPr>
          <w:p w14:paraId="3BE27A80" w14:textId="77777777" w:rsidR="004F405D" w:rsidRPr="003F34B8" w:rsidRDefault="004F405D" w:rsidP="0023243C">
            <w:pPr>
              <w:tabs>
                <w:tab w:val="decimal" w:pos="882"/>
              </w:tabs>
              <w:rPr>
                <w:rFonts w:ascii="Times New Roman" w:hAnsi="Times New Roman"/>
                <w:color w:val="000000"/>
                <w:szCs w:val="24"/>
              </w:rPr>
            </w:pPr>
          </w:p>
        </w:tc>
        <w:tc>
          <w:tcPr>
            <w:tcW w:w="1548" w:type="dxa"/>
          </w:tcPr>
          <w:p w14:paraId="7A824E7F" w14:textId="77777777" w:rsidR="004F405D" w:rsidRPr="003F34B8" w:rsidRDefault="004F405D" w:rsidP="0023243C">
            <w:pPr>
              <w:tabs>
                <w:tab w:val="decimal" w:pos="882"/>
              </w:tabs>
              <w:rPr>
                <w:rFonts w:ascii="Times New Roman" w:hAnsi="Times New Roman"/>
                <w:color w:val="000000"/>
                <w:szCs w:val="24"/>
              </w:rPr>
            </w:pPr>
          </w:p>
        </w:tc>
      </w:tr>
      <w:tr w:rsidR="004F405D" w:rsidRPr="00D32E73" w14:paraId="6DF68D0F" w14:textId="77777777" w:rsidTr="0023243C">
        <w:tc>
          <w:tcPr>
            <w:tcW w:w="3438" w:type="dxa"/>
            <w:gridSpan w:val="2"/>
            <w:tcBorders>
              <w:bottom w:val="single" w:sz="4" w:space="0" w:color="auto"/>
            </w:tcBorders>
          </w:tcPr>
          <w:p w14:paraId="4D535B75" w14:textId="77777777" w:rsidR="004F405D" w:rsidRPr="003F34B8" w:rsidRDefault="004F405D" w:rsidP="0023243C">
            <w:pPr>
              <w:jc w:val="right"/>
              <w:rPr>
                <w:rFonts w:ascii="Times New Roman" w:hAnsi="Times New Roman"/>
                <w:b/>
                <w:i/>
                <w:color w:val="000000"/>
                <w:szCs w:val="24"/>
              </w:rPr>
            </w:pPr>
            <w:r w:rsidRPr="003F34B8">
              <w:rPr>
                <w:rFonts w:ascii="Times New Roman" w:hAnsi="Times New Roman"/>
                <w:b/>
                <w:i/>
                <w:color w:val="000000"/>
                <w:szCs w:val="24"/>
              </w:rPr>
              <w:t>Total</w:t>
            </w:r>
          </w:p>
        </w:tc>
        <w:tc>
          <w:tcPr>
            <w:tcW w:w="1440" w:type="dxa"/>
            <w:tcBorders>
              <w:bottom w:val="single" w:sz="4" w:space="0" w:color="auto"/>
            </w:tcBorders>
          </w:tcPr>
          <w:p w14:paraId="11E87757" w14:textId="77777777" w:rsidR="004F405D" w:rsidRPr="003F34B8" w:rsidRDefault="004F405D" w:rsidP="0023243C">
            <w:pPr>
              <w:jc w:val="center"/>
              <w:rPr>
                <w:rFonts w:ascii="Times New Roman" w:hAnsi="Times New Roman"/>
                <w:color w:val="000000"/>
                <w:szCs w:val="24"/>
              </w:rPr>
            </w:pPr>
          </w:p>
        </w:tc>
        <w:tc>
          <w:tcPr>
            <w:tcW w:w="1260" w:type="dxa"/>
            <w:tcBorders>
              <w:bottom w:val="single" w:sz="4" w:space="0" w:color="auto"/>
            </w:tcBorders>
          </w:tcPr>
          <w:p w14:paraId="1E37044C" w14:textId="77777777" w:rsidR="004F405D" w:rsidRPr="003F34B8" w:rsidRDefault="004F405D" w:rsidP="0023243C">
            <w:pPr>
              <w:jc w:val="center"/>
              <w:rPr>
                <w:rFonts w:ascii="Times New Roman" w:hAnsi="Times New Roman"/>
                <w:color w:val="000000"/>
                <w:szCs w:val="24"/>
              </w:rPr>
            </w:pPr>
          </w:p>
        </w:tc>
        <w:tc>
          <w:tcPr>
            <w:tcW w:w="1890" w:type="dxa"/>
            <w:tcBorders>
              <w:bottom w:val="single" w:sz="4" w:space="0" w:color="auto"/>
            </w:tcBorders>
          </w:tcPr>
          <w:p w14:paraId="3FAC9A39" w14:textId="77777777" w:rsidR="004F405D" w:rsidRPr="003F34B8" w:rsidRDefault="004F405D" w:rsidP="0023243C">
            <w:pPr>
              <w:tabs>
                <w:tab w:val="decimal" w:pos="882"/>
              </w:tabs>
              <w:rPr>
                <w:rFonts w:ascii="Times New Roman" w:hAnsi="Times New Roman"/>
                <w:color w:val="000000"/>
                <w:szCs w:val="24"/>
              </w:rPr>
            </w:pPr>
          </w:p>
        </w:tc>
        <w:tc>
          <w:tcPr>
            <w:tcW w:w="1548" w:type="dxa"/>
            <w:tcBorders>
              <w:bottom w:val="single" w:sz="4" w:space="0" w:color="auto"/>
            </w:tcBorders>
          </w:tcPr>
          <w:p w14:paraId="5BA5428A" w14:textId="0FCE305C" w:rsidR="004F405D" w:rsidRPr="00D32E73" w:rsidRDefault="004F405D" w:rsidP="00342884">
            <w:pPr>
              <w:tabs>
                <w:tab w:val="decimal" w:pos="882"/>
              </w:tabs>
              <w:rPr>
                <w:rFonts w:ascii="Times New Roman" w:hAnsi="Times New Roman"/>
                <w:color w:val="000000"/>
                <w:szCs w:val="24"/>
              </w:rPr>
            </w:pPr>
            <w:r w:rsidRPr="003F34B8">
              <w:rPr>
                <w:rFonts w:ascii="Times New Roman" w:hAnsi="Times New Roman"/>
                <w:szCs w:val="24"/>
              </w:rPr>
              <w:t>3,</w:t>
            </w:r>
            <w:r w:rsidR="00342884">
              <w:rPr>
                <w:rFonts w:ascii="Times New Roman" w:hAnsi="Times New Roman"/>
                <w:szCs w:val="24"/>
              </w:rPr>
              <w:t>13</w:t>
            </w:r>
            <w:r w:rsidR="00333491">
              <w:rPr>
                <w:rFonts w:ascii="Times New Roman" w:hAnsi="Times New Roman"/>
                <w:szCs w:val="24"/>
              </w:rPr>
              <w:t>9</w:t>
            </w:r>
          </w:p>
        </w:tc>
      </w:tr>
    </w:tbl>
    <w:p w14:paraId="268E6BFE" w14:textId="77777777" w:rsidR="004F405D" w:rsidRPr="00986FC2" w:rsidRDefault="004F405D" w:rsidP="004F405D">
      <w:pPr>
        <w:rPr>
          <w:rFonts w:ascii="Times New Roman" w:hAnsi="Times New Roman"/>
          <w:i/>
          <w:szCs w:val="24"/>
        </w:rPr>
      </w:pPr>
    </w:p>
    <w:p w14:paraId="40D1A659" w14:textId="77777777" w:rsidR="00986FC2" w:rsidRPr="00986FC2" w:rsidRDefault="00986FC2" w:rsidP="003C3E59">
      <w:pPr>
        <w:tabs>
          <w:tab w:val="left" w:pos="-1440"/>
        </w:tabs>
        <w:ind w:left="720" w:hanging="720"/>
        <w:outlineLvl w:val="0"/>
        <w:rPr>
          <w:rFonts w:ascii="Times New Roman" w:hAnsi="Times New Roman"/>
          <w:b/>
          <w:i/>
          <w:szCs w:val="24"/>
        </w:rPr>
      </w:pPr>
    </w:p>
    <w:p w14:paraId="45E76B37" w14:textId="113BBD40" w:rsidR="00986FC2" w:rsidRPr="00986FC2" w:rsidRDefault="00986FC2" w:rsidP="00986FC2">
      <w:pPr>
        <w:widowControl/>
        <w:autoSpaceDE w:val="0"/>
        <w:autoSpaceDN w:val="0"/>
        <w:adjustRightInd w:val="0"/>
        <w:rPr>
          <w:rFonts w:ascii="Times New Roman" w:hAnsi="Times New Roman"/>
          <w:snapToGrid/>
          <w:szCs w:val="24"/>
        </w:rPr>
      </w:pPr>
      <w:r w:rsidRPr="00986FC2">
        <w:rPr>
          <w:rFonts w:ascii="Times New Roman" w:hAnsi="Times New Roman"/>
          <w:iCs/>
          <w:snapToGrid/>
          <w:szCs w:val="24"/>
          <w:u w:val="single"/>
        </w:rPr>
        <w:t>Estimated Number of Respondents</w:t>
      </w:r>
      <w:r w:rsidRPr="00986FC2">
        <w:rPr>
          <w:rFonts w:ascii="Times New Roman" w:hAnsi="Times New Roman"/>
          <w:iCs/>
          <w:snapToGrid/>
          <w:szCs w:val="24"/>
        </w:rPr>
        <w:t xml:space="preserve">:  </w:t>
      </w:r>
      <w:r w:rsidRPr="00986FC2">
        <w:rPr>
          <w:rFonts w:ascii="Times New Roman" w:hAnsi="Times New Roman"/>
          <w:snapToGrid/>
          <w:szCs w:val="24"/>
        </w:rPr>
        <w:t xml:space="preserve">35 sponsors; </w:t>
      </w:r>
      <w:r w:rsidR="00342884" w:rsidRPr="00986FC2">
        <w:rPr>
          <w:rFonts w:ascii="Times New Roman" w:hAnsi="Times New Roman"/>
          <w:snapToGrid/>
          <w:szCs w:val="24"/>
        </w:rPr>
        <w:t>1</w:t>
      </w:r>
      <w:r w:rsidR="00342884">
        <w:rPr>
          <w:rFonts w:ascii="Times New Roman" w:hAnsi="Times New Roman"/>
          <w:snapToGrid/>
          <w:szCs w:val="24"/>
        </w:rPr>
        <w:t>82</w:t>
      </w:r>
      <w:r w:rsidR="00342884" w:rsidRPr="00986FC2">
        <w:rPr>
          <w:rFonts w:ascii="Times New Roman" w:hAnsi="Times New Roman"/>
          <w:snapToGrid/>
          <w:szCs w:val="24"/>
        </w:rPr>
        <w:t xml:space="preserve"> </w:t>
      </w:r>
      <w:r w:rsidRPr="00986FC2">
        <w:rPr>
          <w:rFonts w:ascii="Times New Roman" w:hAnsi="Times New Roman"/>
          <w:snapToGrid/>
          <w:szCs w:val="24"/>
        </w:rPr>
        <w:t>annual offerings per year.</w:t>
      </w:r>
    </w:p>
    <w:p w14:paraId="5A08F060" w14:textId="56F6E94B" w:rsidR="00986FC2" w:rsidRPr="00986FC2" w:rsidRDefault="00986FC2" w:rsidP="00986FC2">
      <w:pPr>
        <w:widowControl/>
        <w:autoSpaceDE w:val="0"/>
        <w:autoSpaceDN w:val="0"/>
        <w:adjustRightInd w:val="0"/>
        <w:rPr>
          <w:rFonts w:ascii="Times New Roman" w:hAnsi="Times New Roman"/>
          <w:iCs/>
          <w:snapToGrid/>
          <w:szCs w:val="24"/>
        </w:rPr>
      </w:pPr>
      <w:r w:rsidRPr="00986FC2">
        <w:rPr>
          <w:rFonts w:ascii="Times New Roman" w:hAnsi="Times New Roman"/>
          <w:iCs/>
          <w:snapToGrid/>
          <w:szCs w:val="24"/>
          <w:u w:val="single"/>
        </w:rPr>
        <w:t>Total Estimated Annual Burden</w:t>
      </w:r>
      <w:r w:rsidRPr="00986FC2">
        <w:rPr>
          <w:rFonts w:ascii="Times New Roman" w:hAnsi="Times New Roman"/>
          <w:iCs/>
          <w:snapToGrid/>
          <w:szCs w:val="24"/>
        </w:rPr>
        <w:t xml:space="preserve">:  </w:t>
      </w:r>
      <w:r w:rsidRPr="00986FC2">
        <w:rPr>
          <w:rFonts w:ascii="Times New Roman" w:hAnsi="Times New Roman"/>
          <w:snapToGrid/>
          <w:szCs w:val="24"/>
        </w:rPr>
        <w:t>3,</w:t>
      </w:r>
      <w:r w:rsidR="00333491">
        <w:rPr>
          <w:rFonts w:ascii="Times New Roman" w:hAnsi="Times New Roman"/>
          <w:snapToGrid/>
          <w:szCs w:val="24"/>
        </w:rPr>
        <w:t>139</w:t>
      </w:r>
      <w:r w:rsidR="00342884" w:rsidRPr="00986FC2">
        <w:rPr>
          <w:rFonts w:ascii="Times New Roman" w:hAnsi="Times New Roman"/>
          <w:snapToGrid/>
          <w:szCs w:val="24"/>
        </w:rPr>
        <w:t xml:space="preserve"> </w:t>
      </w:r>
      <w:r w:rsidRPr="00986FC2">
        <w:rPr>
          <w:rFonts w:ascii="Times New Roman" w:hAnsi="Times New Roman"/>
          <w:snapToGrid/>
          <w:szCs w:val="24"/>
        </w:rPr>
        <w:t>hours.</w:t>
      </w:r>
    </w:p>
    <w:p w14:paraId="23FA7316" w14:textId="77777777" w:rsidR="00986FC2" w:rsidRPr="00986FC2" w:rsidRDefault="00986FC2" w:rsidP="003C3E59">
      <w:pPr>
        <w:tabs>
          <w:tab w:val="left" w:pos="-1440"/>
        </w:tabs>
        <w:ind w:left="720" w:hanging="720"/>
        <w:outlineLvl w:val="0"/>
        <w:rPr>
          <w:rFonts w:ascii="Times New Roman" w:hAnsi="Times New Roman"/>
          <w:b/>
          <w:szCs w:val="24"/>
        </w:rPr>
      </w:pPr>
    </w:p>
    <w:p w14:paraId="5A1DCF29" w14:textId="77777777" w:rsidR="00541136" w:rsidRPr="00756D0A" w:rsidRDefault="00541136" w:rsidP="003C3E59">
      <w:pPr>
        <w:tabs>
          <w:tab w:val="left" w:pos="-1440"/>
        </w:tabs>
        <w:ind w:left="720" w:hanging="720"/>
        <w:outlineLvl w:val="0"/>
        <w:rPr>
          <w:rFonts w:ascii="Times New Roman" w:hAnsi="Times New Roman"/>
          <w:b/>
          <w:i/>
          <w:szCs w:val="24"/>
        </w:rPr>
      </w:pPr>
      <w:r w:rsidRPr="00756D0A">
        <w:rPr>
          <w:rFonts w:ascii="Times New Roman" w:hAnsi="Times New Roman"/>
          <w:b/>
          <w:i/>
          <w:szCs w:val="24"/>
        </w:rPr>
        <w:t xml:space="preserve">13. </w:t>
      </w:r>
      <w:r w:rsidRPr="00F965AD">
        <w:rPr>
          <w:rFonts w:ascii="Times New Roman" w:hAnsi="Times New Roman"/>
          <w:b/>
          <w:i/>
          <w:szCs w:val="24"/>
          <w:u w:val="single"/>
        </w:rPr>
        <w:t>Estimate of annualized costs to respondents</w:t>
      </w:r>
      <w:r w:rsidR="007C0BCC" w:rsidRPr="00F965AD">
        <w:rPr>
          <w:rFonts w:ascii="Times New Roman" w:hAnsi="Times New Roman"/>
          <w:b/>
          <w:i/>
          <w:szCs w:val="24"/>
          <w:u w:val="single"/>
        </w:rPr>
        <w:t xml:space="preserve"> </w:t>
      </w:r>
      <w:r w:rsidR="007C0BCC" w:rsidRPr="00F965AD">
        <w:rPr>
          <w:rFonts w:ascii="Times New Roman" w:hAnsi="Times New Roman"/>
          <w:b/>
          <w:bCs/>
          <w:i/>
          <w:szCs w:val="24"/>
          <w:u w:val="single"/>
        </w:rPr>
        <w:t>(excluding cost of hour burden in Item #12)</w:t>
      </w:r>
      <w:r w:rsidRPr="00F965AD">
        <w:rPr>
          <w:rFonts w:ascii="Times New Roman" w:hAnsi="Times New Roman"/>
          <w:b/>
          <w:i/>
          <w:szCs w:val="24"/>
          <w:u w:val="single"/>
        </w:rPr>
        <w:t>:</w:t>
      </w:r>
    </w:p>
    <w:p w14:paraId="44A12C44" w14:textId="77777777" w:rsidR="00541136" w:rsidRPr="003C3E59" w:rsidRDefault="00541136" w:rsidP="003C3E59">
      <w:pPr>
        <w:rPr>
          <w:rFonts w:ascii="Times New Roman" w:hAnsi="Times New Roman"/>
          <w:szCs w:val="24"/>
        </w:rPr>
      </w:pPr>
    </w:p>
    <w:p w14:paraId="762BF468" w14:textId="77777777" w:rsidR="00541136" w:rsidRPr="003C3E59" w:rsidRDefault="007C0BCC" w:rsidP="003C3E59">
      <w:pPr>
        <w:ind w:firstLine="720"/>
        <w:rPr>
          <w:rFonts w:ascii="Times New Roman" w:hAnsi="Times New Roman"/>
          <w:szCs w:val="24"/>
        </w:rPr>
      </w:pPr>
      <w:r w:rsidRPr="003C3E59">
        <w:rPr>
          <w:rFonts w:ascii="Times New Roman" w:hAnsi="Times New Roman"/>
          <w:szCs w:val="24"/>
        </w:rPr>
        <w:t>None.</w:t>
      </w:r>
    </w:p>
    <w:p w14:paraId="0F4C3378" w14:textId="77777777" w:rsidR="00541136" w:rsidRPr="003C3E59" w:rsidRDefault="00541136" w:rsidP="003C3E59">
      <w:pPr>
        <w:rPr>
          <w:rFonts w:ascii="Times New Roman" w:hAnsi="Times New Roman"/>
          <w:szCs w:val="24"/>
        </w:rPr>
      </w:pPr>
    </w:p>
    <w:p w14:paraId="795F3578" w14:textId="77777777" w:rsidR="00541136" w:rsidRPr="00756D0A" w:rsidRDefault="00541136" w:rsidP="003C3E59">
      <w:pPr>
        <w:outlineLvl w:val="0"/>
        <w:rPr>
          <w:rFonts w:ascii="Times New Roman" w:hAnsi="Times New Roman"/>
          <w:b/>
          <w:i/>
          <w:szCs w:val="24"/>
        </w:rPr>
      </w:pPr>
      <w:r w:rsidRPr="00756D0A">
        <w:rPr>
          <w:rFonts w:ascii="Times New Roman" w:hAnsi="Times New Roman"/>
          <w:b/>
          <w:i/>
          <w:szCs w:val="24"/>
        </w:rPr>
        <w:t xml:space="preserve">14. </w:t>
      </w:r>
      <w:r w:rsidRPr="00F965AD">
        <w:rPr>
          <w:rFonts w:ascii="Times New Roman" w:hAnsi="Times New Roman"/>
          <w:b/>
          <w:i/>
          <w:szCs w:val="24"/>
          <w:u w:val="single"/>
        </w:rPr>
        <w:t>Estimate of annualized costs to the government:</w:t>
      </w:r>
    </w:p>
    <w:p w14:paraId="5493233F" w14:textId="77777777" w:rsidR="00541136" w:rsidRPr="003C3E59" w:rsidRDefault="00541136" w:rsidP="003C3E59">
      <w:pPr>
        <w:rPr>
          <w:rFonts w:ascii="Times New Roman" w:hAnsi="Times New Roman"/>
          <w:szCs w:val="24"/>
        </w:rPr>
      </w:pPr>
    </w:p>
    <w:p w14:paraId="2BBBFC08" w14:textId="77777777" w:rsidR="00541136" w:rsidRPr="003C3E59" w:rsidRDefault="00541136" w:rsidP="003C3E59">
      <w:pPr>
        <w:ind w:firstLine="720"/>
        <w:outlineLvl w:val="0"/>
        <w:rPr>
          <w:rFonts w:ascii="Times New Roman" w:hAnsi="Times New Roman"/>
          <w:szCs w:val="24"/>
        </w:rPr>
      </w:pPr>
      <w:r w:rsidRPr="003C3E59">
        <w:rPr>
          <w:rFonts w:ascii="Times New Roman" w:hAnsi="Times New Roman"/>
          <w:szCs w:val="24"/>
        </w:rPr>
        <w:t>None.</w:t>
      </w:r>
    </w:p>
    <w:p w14:paraId="65C09812" w14:textId="77777777" w:rsidR="00541136" w:rsidRPr="003C3E59" w:rsidRDefault="00541136" w:rsidP="003C3E59">
      <w:pPr>
        <w:rPr>
          <w:rFonts w:ascii="Times New Roman" w:hAnsi="Times New Roman"/>
          <w:szCs w:val="24"/>
        </w:rPr>
      </w:pPr>
      <w:r w:rsidRPr="003C3E59">
        <w:rPr>
          <w:rFonts w:ascii="Times New Roman" w:hAnsi="Times New Roman"/>
          <w:szCs w:val="24"/>
        </w:rPr>
        <w:t xml:space="preserve"> </w:t>
      </w:r>
    </w:p>
    <w:p w14:paraId="2896CA39" w14:textId="77777777" w:rsidR="00541136" w:rsidRPr="00756D0A" w:rsidRDefault="00541136" w:rsidP="00756D0A">
      <w:pPr>
        <w:tabs>
          <w:tab w:val="left" w:pos="-1440"/>
        </w:tabs>
        <w:outlineLvl w:val="0"/>
        <w:rPr>
          <w:rFonts w:ascii="Times New Roman" w:hAnsi="Times New Roman"/>
          <w:b/>
          <w:i/>
          <w:szCs w:val="24"/>
        </w:rPr>
      </w:pPr>
      <w:r w:rsidRPr="00756D0A">
        <w:rPr>
          <w:rFonts w:ascii="Times New Roman" w:hAnsi="Times New Roman"/>
          <w:b/>
          <w:i/>
          <w:szCs w:val="24"/>
        </w:rPr>
        <w:t xml:space="preserve">15. </w:t>
      </w:r>
      <w:r w:rsidRPr="00F965AD">
        <w:rPr>
          <w:rFonts w:ascii="Times New Roman" w:hAnsi="Times New Roman"/>
          <w:b/>
          <w:i/>
          <w:szCs w:val="24"/>
          <w:u w:val="single"/>
        </w:rPr>
        <w:t>Changes in burden:</w:t>
      </w:r>
    </w:p>
    <w:p w14:paraId="3BD8C4D3" w14:textId="77777777" w:rsidR="00541136" w:rsidRPr="003C3E59" w:rsidRDefault="00541136" w:rsidP="003C3E59">
      <w:pPr>
        <w:rPr>
          <w:rFonts w:ascii="Times New Roman" w:hAnsi="Times New Roman"/>
          <w:szCs w:val="24"/>
        </w:rPr>
      </w:pPr>
    </w:p>
    <w:p w14:paraId="06039D82" w14:textId="502567B2" w:rsidR="002F5062" w:rsidRPr="003C3E59" w:rsidRDefault="00BB2D4B" w:rsidP="003C3E59">
      <w:pPr>
        <w:rPr>
          <w:rFonts w:ascii="Times New Roman" w:hAnsi="Times New Roman"/>
          <w:szCs w:val="24"/>
        </w:rPr>
      </w:pPr>
      <w:r w:rsidRPr="003C3E59">
        <w:rPr>
          <w:rFonts w:ascii="Times New Roman" w:hAnsi="Times New Roman"/>
          <w:szCs w:val="24"/>
        </w:rPr>
        <w:tab/>
      </w:r>
      <w:r w:rsidR="00864F69">
        <w:rPr>
          <w:rFonts w:ascii="Times New Roman" w:hAnsi="Times New Roman"/>
          <w:szCs w:val="24"/>
        </w:rPr>
        <w:t>Total e</w:t>
      </w:r>
      <w:r w:rsidR="00333491">
        <w:rPr>
          <w:rFonts w:ascii="Times New Roman" w:hAnsi="Times New Roman"/>
          <w:szCs w:val="24"/>
        </w:rPr>
        <w:t>stimated burden decreased by 312</w:t>
      </w:r>
      <w:r w:rsidR="00864F69">
        <w:rPr>
          <w:rFonts w:ascii="Times New Roman" w:hAnsi="Times New Roman"/>
          <w:szCs w:val="24"/>
        </w:rPr>
        <w:t xml:space="preserve"> </w:t>
      </w:r>
      <w:r w:rsidR="009D230B">
        <w:rPr>
          <w:rFonts w:ascii="Times New Roman" w:hAnsi="Times New Roman"/>
          <w:szCs w:val="24"/>
        </w:rPr>
        <w:t>hours, from 3,451</w:t>
      </w:r>
      <w:r w:rsidR="00333491">
        <w:rPr>
          <w:rFonts w:ascii="Times New Roman" w:hAnsi="Times New Roman"/>
          <w:szCs w:val="24"/>
        </w:rPr>
        <w:t xml:space="preserve"> hours to 3,139</w:t>
      </w:r>
      <w:r w:rsidR="00864F69">
        <w:rPr>
          <w:rFonts w:ascii="Times New Roman" w:hAnsi="Times New Roman"/>
          <w:szCs w:val="24"/>
        </w:rPr>
        <w:t xml:space="preserve"> hours. The change in burden hours was </w:t>
      </w:r>
      <w:r w:rsidR="0077118E">
        <w:rPr>
          <w:rFonts w:ascii="Times New Roman" w:hAnsi="Times New Roman"/>
          <w:szCs w:val="24"/>
        </w:rPr>
        <w:t xml:space="preserve">due to improved estimates of the number of OCC-supervised institutions engaging in securitizations that would trigger collections of information under the PRA. In particular, the majority of OCC-supervised institutions </w:t>
      </w:r>
      <w:r w:rsidR="008C22E1">
        <w:rPr>
          <w:rFonts w:ascii="Times New Roman" w:hAnsi="Times New Roman"/>
          <w:szCs w:val="24"/>
        </w:rPr>
        <w:t>used the vertical interest form of risk retention, which has a lower paperwork burden estimate than the horizontal interest form of risk retention</w:t>
      </w:r>
      <w:r w:rsidR="00AD5F83">
        <w:rPr>
          <w:rFonts w:ascii="Times New Roman" w:hAnsi="Times New Roman"/>
          <w:szCs w:val="24"/>
        </w:rPr>
        <w:t>, even though the total estimate of annual offerings increased from 166 to 182</w:t>
      </w:r>
      <w:r w:rsidR="008C22E1">
        <w:rPr>
          <w:rFonts w:ascii="Times New Roman" w:hAnsi="Times New Roman"/>
          <w:szCs w:val="24"/>
        </w:rPr>
        <w:t>.</w:t>
      </w:r>
      <w:r w:rsidR="00864F69">
        <w:rPr>
          <w:rFonts w:ascii="Times New Roman" w:hAnsi="Times New Roman"/>
          <w:szCs w:val="24"/>
        </w:rPr>
        <w:t xml:space="preserve">  </w:t>
      </w:r>
    </w:p>
    <w:p w14:paraId="53BE494F" w14:textId="77777777" w:rsidR="00541136" w:rsidRPr="003C3E59" w:rsidRDefault="00541136" w:rsidP="003C3E59">
      <w:pPr>
        <w:rPr>
          <w:rFonts w:ascii="Times New Roman" w:hAnsi="Times New Roman"/>
          <w:szCs w:val="24"/>
        </w:rPr>
      </w:pPr>
    </w:p>
    <w:p w14:paraId="460F47AC" w14:textId="77777777" w:rsidR="00541136" w:rsidRPr="00F965AD" w:rsidRDefault="00541136" w:rsidP="003C3E59">
      <w:pPr>
        <w:tabs>
          <w:tab w:val="left" w:pos="-1440"/>
        </w:tabs>
        <w:ind w:left="720" w:hanging="720"/>
        <w:outlineLvl w:val="0"/>
        <w:rPr>
          <w:rFonts w:ascii="Times New Roman" w:hAnsi="Times New Roman"/>
          <w:b/>
          <w:i/>
          <w:szCs w:val="24"/>
          <w:u w:val="single"/>
        </w:rPr>
      </w:pPr>
      <w:r w:rsidRPr="00756D0A">
        <w:rPr>
          <w:rFonts w:ascii="Times New Roman" w:hAnsi="Times New Roman"/>
          <w:b/>
          <w:i/>
          <w:szCs w:val="24"/>
        </w:rPr>
        <w:t xml:space="preserve">16. </w:t>
      </w:r>
      <w:r w:rsidRPr="00F965AD">
        <w:rPr>
          <w:rFonts w:ascii="Times New Roman" w:hAnsi="Times New Roman"/>
          <w:b/>
          <w:i/>
          <w:szCs w:val="24"/>
          <w:u w:val="single"/>
        </w:rPr>
        <w:t xml:space="preserve">Information regarding collections whose results are planned to be published for statistical </w:t>
      </w:r>
    </w:p>
    <w:p w14:paraId="533D6182" w14:textId="77777777" w:rsidR="00541136" w:rsidRPr="00F965AD" w:rsidRDefault="00541136" w:rsidP="003C3E59">
      <w:pPr>
        <w:tabs>
          <w:tab w:val="left" w:pos="-1440"/>
        </w:tabs>
        <w:ind w:left="720" w:hanging="720"/>
        <w:rPr>
          <w:rFonts w:ascii="Times New Roman" w:hAnsi="Times New Roman"/>
          <w:b/>
          <w:i/>
          <w:szCs w:val="24"/>
          <w:u w:val="single"/>
        </w:rPr>
      </w:pPr>
      <w:r w:rsidRPr="00F965AD">
        <w:rPr>
          <w:rFonts w:ascii="Times New Roman" w:hAnsi="Times New Roman"/>
          <w:b/>
          <w:i/>
          <w:szCs w:val="24"/>
          <w:u w:val="single"/>
        </w:rPr>
        <w:t>use:</w:t>
      </w:r>
    </w:p>
    <w:p w14:paraId="74D291C3" w14:textId="77777777" w:rsidR="00541136" w:rsidRPr="003C3E59" w:rsidRDefault="00541136" w:rsidP="003C3E59">
      <w:pPr>
        <w:ind w:left="720"/>
        <w:rPr>
          <w:rFonts w:ascii="Times New Roman" w:hAnsi="Times New Roman"/>
          <w:szCs w:val="24"/>
        </w:rPr>
      </w:pPr>
    </w:p>
    <w:p w14:paraId="4D2EE85D" w14:textId="77777777" w:rsidR="00541136" w:rsidRPr="003C3E59" w:rsidRDefault="00541136" w:rsidP="003C3E59">
      <w:pPr>
        <w:ind w:firstLine="720"/>
        <w:outlineLvl w:val="0"/>
        <w:rPr>
          <w:rFonts w:ascii="Times New Roman" w:hAnsi="Times New Roman"/>
          <w:szCs w:val="24"/>
        </w:rPr>
      </w:pPr>
      <w:r w:rsidRPr="003C3E59">
        <w:rPr>
          <w:rFonts w:ascii="Times New Roman" w:hAnsi="Times New Roman"/>
          <w:szCs w:val="24"/>
        </w:rPr>
        <w:t>No publication for statistical use is contemplated.</w:t>
      </w:r>
    </w:p>
    <w:p w14:paraId="1B9521D0" w14:textId="77777777" w:rsidR="00541136" w:rsidRPr="003C3E59" w:rsidRDefault="00541136" w:rsidP="003C3E59">
      <w:pPr>
        <w:rPr>
          <w:rFonts w:ascii="Times New Roman" w:hAnsi="Times New Roman"/>
          <w:szCs w:val="24"/>
        </w:rPr>
      </w:pPr>
    </w:p>
    <w:p w14:paraId="433EDCDD" w14:textId="77777777" w:rsidR="00782F39" w:rsidRPr="003C3E59" w:rsidRDefault="00782F39" w:rsidP="003C3E59">
      <w:pPr>
        <w:outlineLvl w:val="0"/>
        <w:rPr>
          <w:rFonts w:ascii="Times New Roman" w:hAnsi="Times New Roman"/>
          <w:szCs w:val="24"/>
        </w:rPr>
      </w:pPr>
    </w:p>
    <w:p w14:paraId="5DABDBE1" w14:textId="77777777" w:rsidR="00541136" w:rsidRPr="00756D0A" w:rsidRDefault="00541136" w:rsidP="003C3E59">
      <w:pPr>
        <w:outlineLvl w:val="0"/>
        <w:rPr>
          <w:rFonts w:ascii="Times New Roman" w:hAnsi="Times New Roman"/>
          <w:b/>
          <w:i/>
          <w:szCs w:val="24"/>
        </w:rPr>
      </w:pPr>
      <w:r w:rsidRPr="00756D0A">
        <w:rPr>
          <w:rFonts w:ascii="Times New Roman" w:hAnsi="Times New Roman"/>
          <w:b/>
          <w:i/>
          <w:szCs w:val="24"/>
        </w:rPr>
        <w:t xml:space="preserve">17. </w:t>
      </w:r>
      <w:r w:rsidRPr="00F965AD">
        <w:rPr>
          <w:rFonts w:ascii="Times New Roman" w:hAnsi="Times New Roman"/>
          <w:b/>
          <w:i/>
          <w:szCs w:val="24"/>
          <w:u w:val="single"/>
        </w:rPr>
        <w:t>Display of expiration date:</w:t>
      </w:r>
    </w:p>
    <w:p w14:paraId="251F3F86" w14:textId="77777777" w:rsidR="00541136" w:rsidRPr="003C3E59" w:rsidRDefault="00541136" w:rsidP="003C3E59">
      <w:pPr>
        <w:rPr>
          <w:rFonts w:ascii="Times New Roman" w:hAnsi="Times New Roman"/>
          <w:szCs w:val="24"/>
        </w:rPr>
      </w:pPr>
    </w:p>
    <w:p w14:paraId="3AD4CA07" w14:textId="77777777" w:rsidR="00541136" w:rsidRPr="003C3E59" w:rsidRDefault="00541136" w:rsidP="003C3E59">
      <w:pPr>
        <w:ind w:firstLine="720"/>
        <w:outlineLvl w:val="0"/>
        <w:rPr>
          <w:rFonts w:ascii="Times New Roman" w:hAnsi="Times New Roman"/>
          <w:szCs w:val="24"/>
        </w:rPr>
      </w:pPr>
      <w:r w:rsidRPr="003C3E59">
        <w:rPr>
          <w:rFonts w:ascii="Times New Roman" w:hAnsi="Times New Roman"/>
          <w:szCs w:val="24"/>
        </w:rPr>
        <w:t>Not applicable.</w:t>
      </w:r>
    </w:p>
    <w:p w14:paraId="105739ED" w14:textId="77777777" w:rsidR="00541136" w:rsidRPr="003C3E59" w:rsidRDefault="00541136" w:rsidP="003C3E59">
      <w:pPr>
        <w:rPr>
          <w:rFonts w:ascii="Times New Roman" w:hAnsi="Times New Roman"/>
          <w:szCs w:val="24"/>
        </w:rPr>
      </w:pPr>
    </w:p>
    <w:p w14:paraId="7D55E23B" w14:textId="77777777" w:rsidR="00541136" w:rsidRPr="00756D0A" w:rsidRDefault="00541136" w:rsidP="003C3E59">
      <w:pPr>
        <w:outlineLvl w:val="0"/>
        <w:rPr>
          <w:rFonts w:ascii="Times New Roman" w:hAnsi="Times New Roman"/>
          <w:b/>
          <w:i/>
          <w:szCs w:val="24"/>
        </w:rPr>
      </w:pPr>
      <w:r w:rsidRPr="00756D0A">
        <w:rPr>
          <w:rFonts w:ascii="Times New Roman" w:hAnsi="Times New Roman"/>
          <w:b/>
          <w:i/>
          <w:szCs w:val="24"/>
        </w:rPr>
        <w:t xml:space="preserve">18. </w:t>
      </w:r>
      <w:r w:rsidRPr="00F965AD">
        <w:rPr>
          <w:rFonts w:ascii="Times New Roman" w:hAnsi="Times New Roman"/>
          <w:b/>
          <w:i/>
          <w:szCs w:val="24"/>
          <w:u w:val="single"/>
        </w:rPr>
        <w:t>Exceptions to certification statement:</w:t>
      </w:r>
    </w:p>
    <w:p w14:paraId="62D4E6EB" w14:textId="77777777" w:rsidR="00541136" w:rsidRPr="003C3E59" w:rsidRDefault="00541136" w:rsidP="003C3E59">
      <w:pPr>
        <w:rPr>
          <w:rFonts w:ascii="Times New Roman" w:hAnsi="Times New Roman"/>
          <w:szCs w:val="24"/>
        </w:rPr>
      </w:pPr>
    </w:p>
    <w:p w14:paraId="1CABBE62" w14:textId="77777777" w:rsidR="00541136" w:rsidRPr="003C3E59" w:rsidRDefault="00541136" w:rsidP="003C3E59">
      <w:pPr>
        <w:ind w:firstLine="720"/>
        <w:outlineLvl w:val="0"/>
        <w:rPr>
          <w:rFonts w:ascii="Times New Roman" w:hAnsi="Times New Roman"/>
          <w:szCs w:val="24"/>
        </w:rPr>
      </w:pPr>
      <w:r w:rsidRPr="003C3E59">
        <w:rPr>
          <w:rFonts w:ascii="Times New Roman" w:hAnsi="Times New Roman"/>
          <w:szCs w:val="24"/>
        </w:rPr>
        <w:t>Not applicable.</w:t>
      </w:r>
    </w:p>
    <w:p w14:paraId="03B3767E" w14:textId="77777777" w:rsidR="00541136" w:rsidRPr="003C3E59" w:rsidRDefault="00541136" w:rsidP="003C3E59">
      <w:pPr>
        <w:rPr>
          <w:rFonts w:ascii="Times New Roman" w:hAnsi="Times New Roman"/>
          <w:szCs w:val="24"/>
        </w:rPr>
      </w:pPr>
    </w:p>
    <w:p w14:paraId="16D57ECA" w14:textId="77777777" w:rsidR="00541136" w:rsidRPr="00EE652C" w:rsidRDefault="00541136" w:rsidP="003C3E59">
      <w:pPr>
        <w:outlineLvl w:val="0"/>
        <w:rPr>
          <w:rFonts w:ascii="Times New Roman" w:hAnsi="Times New Roman"/>
          <w:b/>
          <w:i/>
          <w:szCs w:val="24"/>
        </w:rPr>
      </w:pPr>
      <w:r w:rsidRPr="00EE652C">
        <w:rPr>
          <w:rFonts w:ascii="Times New Roman" w:hAnsi="Times New Roman"/>
          <w:b/>
          <w:i/>
          <w:szCs w:val="24"/>
        </w:rPr>
        <w:t>B. Collections of Information Employing Statistical Methods.</w:t>
      </w:r>
    </w:p>
    <w:p w14:paraId="176DDC02" w14:textId="77777777" w:rsidR="00541136" w:rsidRPr="003C3E59" w:rsidRDefault="00541136" w:rsidP="003C3E59">
      <w:pPr>
        <w:rPr>
          <w:rFonts w:ascii="Times New Roman" w:hAnsi="Times New Roman"/>
          <w:szCs w:val="24"/>
        </w:rPr>
      </w:pPr>
    </w:p>
    <w:p w14:paraId="6C9DFD49" w14:textId="77777777" w:rsidR="00541136" w:rsidRPr="003C3E59" w:rsidRDefault="00541136" w:rsidP="00756D0A">
      <w:pPr>
        <w:ind w:firstLine="720"/>
        <w:rPr>
          <w:rFonts w:ascii="Times New Roman" w:hAnsi="Times New Roman"/>
          <w:szCs w:val="24"/>
        </w:rPr>
      </w:pPr>
      <w:r w:rsidRPr="003C3E59">
        <w:rPr>
          <w:rFonts w:ascii="Times New Roman" w:hAnsi="Times New Roman"/>
          <w:szCs w:val="24"/>
        </w:rPr>
        <w:t>Not applicable.</w:t>
      </w:r>
    </w:p>
    <w:p w14:paraId="040ABB15" w14:textId="77777777" w:rsidR="00541136" w:rsidRPr="003C3E59" w:rsidRDefault="00541136" w:rsidP="003C3E59">
      <w:pPr>
        <w:rPr>
          <w:rFonts w:ascii="Times New Roman" w:hAnsi="Times New Roman"/>
          <w:szCs w:val="24"/>
        </w:rPr>
      </w:pPr>
    </w:p>
    <w:p w14:paraId="2AB7B4ED" w14:textId="77777777" w:rsidR="00957F5B" w:rsidRPr="003C3E59" w:rsidRDefault="00957F5B" w:rsidP="003C3E59">
      <w:pPr>
        <w:rPr>
          <w:rFonts w:ascii="Times New Roman" w:hAnsi="Times New Roman"/>
          <w:szCs w:val="24"/>
        </w:rPr>
      </w:pPr>
    </w:p>
    <w:sectPr w:rsidR="00957F5B" w:rsidRPr="003C3E59">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385BC" w14:textId="77777777" w:rsidR="008832E3" w:rsidRDefault="008832E3">
      <w:r>
        <w:separator/>
      </w:r>
    </w:p>
  </w:endnote>
  <w:endnote w:type="continuationSeparator" w:id="0">
    <w:p w14:paraId="46696D32" w14:textId="77777777" w:rsidR="008832E3" w:rsidRDefault="0088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PS">
    <w:altName w:val="Courier New"/>
    <w:charset w:val="00"/>
    <w:family w:val="modern"/>
    <w:pitch w:val="fixed"/>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5AB5A" w14:textId="77777777" w:rsidR="007F574F" w:rsidRDefault="007F574F" w:rsidP="009E3E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8B8844" w14:textId="77777777" w:rsidR="007F574F" w:rsidRDefault="007F57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4631B" w14:textId="77777777" w:rsidR="007F574F" w:rsidRPr="00D44A17" w:rsidRDefault="007F574F" w:rsidP="009E3EF8">
    <w:pPr>
      <w:pStyle w:val="Footer"/>
      <w:framePr w:wrap="around" w:vAnchor="text" w:hAnchor="margin" w:xAlign="center" w:y="1"/>
      <w:rPr>
        <w:rStyle w:val="PageNumber"/>
        <w:rFonts w:ascii="Times New Roman" w:hAnsi="Times New Roman"/>
      </w:rPr>
    </w:pPr>
    <w:r w:rsidRPr="00D44A17">
      <w:rPr>
        <w:rStyle w:val="PageNumber"/>
        <w:rFonts w:ascii="Times New Roman" w:hAnsi="Times New Roman"/>
      </w:rPr>
      <w:fldChar w:fldCharType="begin"/>
    </w:r>
    <w:r w:rsidRPr="00D44A17">
      <w:rPr>
        <w:rStyle w:val="PageNumber"/>
        <w:rFonts w:ascii="Times New Roman" w:hAnsi="Times New Roman"/>
      </w:rPr>
      <w:instrText xml:space="preserve">PAGE  </w:instrText>
    </w:r>
    <w:r w:rsidRPr="00D44A17">
      <w:rPr>
        <w:rStyle w:val="PageNumber"/>
        <w:rFonts w:ascii="Times New Roman" w:hAnsi="Times New Roman"/>
      </w:rPr>
      <w:fldChar w:fldCharType="separate"/>
    </w:r>
    <w:r w:rsidR="00A67F16">
      <w:rPr>
        <w:rStyle w:val="PageNumber"/>
        <w:rFonts w:ascii="Times New Roman" w:hAnsi="Times New Roman"/>
        <w:noProof/>
      </w:rPr>
      <w:t>1</w:t>
    </w:r>
    <w:r w:rsidRPr="00D44A17">
      <w:rPr>
        <w:rStyle w:val="PageNumber"/>
        <w:rFonts w:ascii="Times New Roman" w:hAnsi="Times New Roman"/>
      </w:rPr>
      <w:fldChar w:fldCharType="end"/>
    </w:r>
  </w:p>
  <w:p w14:paraId="752AE1F7" w14:textId="77777777" w:rsidR="007F574F" w:rsidRDefault="007F57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B6150" w14:textId="524FB0C2" w:rsidR="00403128" w:rsidRPr="00403128" w:rsidRDefault="00403128">
    <w:pPr>
      <w:pStyle w:val="Footer"/>
      <w:rPr>
        <w:rFonts w:ascii="Times New Roman" w:hAnsi="Times New Roman"/>
        <w:sz w:val="20"/>
      </w:rPr>
    </w:pPr>
    <w:r w:rsidRPr="00403128">
      <w:rPr>
        <w:rFonts w:ascii="Times New Roman" w:hAnsi="Times New Roman"/>
        <w:sz w:val="20"/>
      </w:rPr>
      <w:fldChar w:fldCharType="begin"/>
    </w:r>
    <w:r w:rsidRPr="00403128">
      <w:rPr>
        <w:rFonts w:ascii="Times New Roman" w:hAnsi="Times New Roman"/>
        <w:sz w:val="20"/>
      </w:rPr>
      <w:instrText xml:space="preserve"> DATE  \@ "M/d/yyyy h:mm am/pm"  \* MERGEFORMAT </w:instrText>
    </w:r>
    <w:r w:rsidRPr="00403128">
      <w:rPr>
        <w:rFonts w:ascii="Times New Roman" w:hAnsi="Times New Roman"/>
        <w:sz w:val="20"/>
      </w:rPr>
      <w:fldChar w:fldCharType="separate"/>
    </w:r>
    <w:r w:rsidR="00A67F16">
      <w:rPr>
        <w:rFonts w:ascii="Times New Roman" w:hAnsi="Times New Roman"/>
        <w:noProof/>
        <w:sz w:val="20"/>
      </w:rPr>
      <w:t>4/11/2018 1:45 PM</w:t>
    </w:r>
    <w:r w:rsidRPr="00403128">
      <w:rPr>
        <w:rFonts w:ascii="Times New Roman" w:hAnsi="Times New Roman"/>
        <w:sz w:val="20"/>
      </w:rPr>
      <w:fldChar w:fldCharType="end"/>
    </w:r>
  </w:p>
  <w:p w14:paraId="06910140" w14:textId="77777777" w:rsidR="00403128" w:rsidRPr="00403128" w:rsidRDefault="00403128">
    <w:pPr>
      <w:pStyle w:val="Footer"/>
      <w:rPr>
        <w:rFonts w:ascii="Times New Roman" w:hAnsi="Times New Roman"/>
        <w:sz w:val="20"/>
      </w:rPr>
    </w:pPr>
    <w:r w:rsidRPr="00403128">
      <w:rPr>
        <w:rFonts w:ascii="Times New Roman" w:hAnsi="Times New Roman"/>
        <w:sz w:val="20"/>
      </w:rPr>
      <w:fldChar w:fldCharType="begin"/>
    </w:r>
    <w:r w:rsidRPr="00403128">
      <w:rPr>
        <w:rFonts w:ascii="Times New Roman" w:hAnsi="Times New Roman"/>
        <w:sz w:val="20"/>
      </w:rPr>
      <w:instrText xml:space="preserve"> FILENAME  \p  \* MERGEFORMAT </w:instrText>
    </w:r>
    <w:r w:rsidRPr="00403128">
      <w:rPr>
        <w:rFonts w:ascii="Times New Roman" w:hAnsi="Times New Roman"/>
        <w:sz w:val="20"/>
      </w:rPr>
      <w:fldChar w:fldCharType="separate"/>
    </w:r>
    <w:r w:rsidR="004C446E">
      <w:rPr>
        <w:rFonts w:ascii="Times New Roman" w:hAnsi="Times New Roman"/>
        <w:noProof/>
        <w:sz w:val="20"/>
      </w:rPr>
      <w:t>G:\1 - Staff\MERRITT-GOTTLIEB\PAPERWORK REDUCTION ACT\Supporting Statements\2018\1557-0249 Credit Risk Retention\1557-0249 Credit Risk Retention Supporting Statement 4-11-18.docx</w:t>
    </w:r>
    <w:r w:rsidRPr="00403128">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4FD57" w14:textId="77777777" w:rsidR="008832E3" w:rsidRDefault="008832E3">
      <w:r>
        <w:separator/>
      </w:r>
    </w:p>
  </w:footnote>
  <w:footnote w:type="continuationSeparator" w:id="0">
    <w:p w14:paraId="0A8B5A1C" w14:textId="77777777" w:rsidR="008832E3" w:rsidRDefault="008832E3">
      <w:r>
        <w:continuationSeparator/>
      </w:r>
    </w:p>
  </w:footnote>
  <w:footnote w:id="1">
    <w:p w14:paraId="45E639A8" w14:textId="77777777" w:rsidR="00C96BE4" w:rsidRDefault="00C96BE4" w:rsidP="00C96BE4">
      <w:pPr>
        <w:pStyle w:val="FootnoteText"/>
        <w:rPr>
          <w:rFonts w:ascii="Times New Roman" w:hAnsi="Times New Roman"/>
          <w:color w:val="000000"/>
          <w:szCs w:val="24"/>
        </w:rPr>
      </w:pPr>
      <w:r>
        <w:rPr>
          <w:rStyle w:val="FootnoteReference"/>
          <w:vertAlign w:val="superscript"/>
        </w:rPr>
        <w:footnoteRef/>
      </w:r>
      <w:r>
        <w:t xml:space="preserve"> </w:t>
      </w:r>
      <w:r>
        <w:rPr>
          <w:rFonts w:ascii="Times New Roman" w:hAnsi="Times New Roman"/>
          <w:color w:val="000000"/>
          <w:szCs w:val="24"/>
        </w:rPr>
        <w:t>Dodd-Frank Wall Street Reform and Consumer Protection Act (Pub. L. 111-203, 124 Stat. 1376 (July 21, 2010)).</w:t>
      </w:r>
    </w:p>
    <w:p w14:paraId="2C3EBDF8" w14:textId="77777777" w:rsidR="00C96BE4" w:rsidRDefault="00C96BE4" w:rsidP="00C96BE4">
      <w:pPr>
        <w:pStyle w:val="FootnoteText"/>
      </w:pPr>
    </w:p>
  </w:footnote>
  <w:footnote w:id="2">
    <w:p w14:paraId="7E0AA80F" w14:textId="77777777" w:rsidR="00C96BE4" w:rsidRPr="00126465" w:rsidRDefault="00C96BE4" w:rsidP="00C96BE4">
      <w:pPr>
        <w:pStyle w:val="FootnoteText"/>
        <w:spacing w:after="120"/>
        <w:rPr>
          <w:rFonts w:ascii="Times New Roman" w:hAnsi="Times New Roman"/>
        </w:rPr>
      </w:pPr>
      <w:r w:rsidRPr="00126465">
        <w:rPr>
          <w:rStyle w:val="FootnoteReference"/>
          <w:rFonts w:ascii="Times New Roman" w:hAnsi="Times New Roman"/>
          <w:vertAlign w:val="superscript"/>
        </w:rPr>
        <w:footnoteRef/>
      </w:r>
      <w:r w:rsidRPr="00126465">
        <w:rPr>
          <w:rFonts w:ascii="Times New Roman" w:hAnsi="Times New Roman"/>
        </w:rPr>
        <w:t xml:space="preserve">  15 U.S.C.</w:t>
      </w:r>
      <w:r>
        <w:rPr>
          <w:rFonts w:ascii="Times New Roman" w:hAnsi="Times New Roman"/>
        </w:rPr>
        <w:t xml:space="preserve"> </w:t>
      </w:r>
      <w:r w:rsidRPr="00126465">
        <w:rPr>
          <w:rFonts w:ascii="Times New Roman" w:hAnsi="Times New Roman"/>
        </w:rPr>
        <w:t xml:space="preserve">78o-11(c)(1)(B)(ii) and (2).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4E471" w14:textId="77777777" w:rsidR="00403128" w:rsidRDefault="004031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2ABB8" w14:textId="77777777" w:rsidR="00403128" w:rsidRDefault="004031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3B785" w14:textId="77777777" w:rsidR="00403128" w:rsidRDefault="00403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23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E362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1276A36"/>
    <w:multiLevelType w:val="hybridMultilevel"/>
    <w:tmpl w:val="D7628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DA3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5661A53"/>
    <w:multiLevelType w:val="hybridMultilevel"/>
    <w:tmpl w:val="2E222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BC90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BE36426"/>
    <w:multiLevelType w:val="hybridMultilevel"/>
    <w:tmpl w:val="F7145AC0"/>
    <w:lvl w:ilvl="0" w:tplc="1BBA369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7">
    <w:nsid w:val="76555BC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1"/>
  </w:num>
  <w:num w:numId="4">
    <w:abstractNumId w:val="0"/>
  </w:num>
  <w:num w:numId="5">
    <w:abstractNumId w:val="7"/>
  </w:num>
  <w:num w:numId="6">
    <w:abstractNumId w:val="4"/>
  </w:num>
  <w:num w:numId="7">
    <w:abstractNumId w:val="2"/>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A9"/>
    <w:rsid w:val="00000209"/>
    <w:rsid w:val="00007547"/>
    <w:rsid w:val="00014B47"/>
    <w:rsid w:val="00017212"/>
    <w:rsid w:val="000712C9"/>
    <w:rsid w:val="000841A0"/>
    <w:rsid w:val="00096E56"/>
    <w:rsid w:val="000B6DF0"/>
    <w:rsid w:val="000D7915"/>
    <w:rsid w:val="000E739A"/>
    <w:rsid w:val="000F0705"/>
    <w:rsid w:val="000F4771"/>
    <w:rsid w:val="00105DC8"/>
    <w:rsid w:val="001067D8"/>
    <w:rsid w:val="00112142"/>
    <w:rsid w:val="0011233B"/>
    <w:rsid w:val="00126465"/>
    <w:rsid w:val="00126C08"/>
    <w:rsid w:val="00127D85"/>
    <w:rsid w:val="0013462C"/>
    <w:rsid w:val="0017447B"/>
    <w:rsid w:val="00185D39"/>
    <w:rsid w:val="001A0533"/>
    <w:rsid w:val="001D77CC"/>
    <w:rsid w:val="001E4473"/>
    <w:rsid w:val="001E69B5"/>
    <w:rsid w:val="001F10B2"/>
    <w:rsid w:val="001F20B1"/>
    <w:rsid w:val="00262DF4"/>
    <w:rsid w:val="0029200F"/>
    <w:rsid w:val="002B1A31"/>
    <w:rsid w:val="002B408A"/>
    <w:rsid w:val="002F5062"/>
    <w:rsid w:val="00310CE0"/>
    <w:rsid w:val="00315751"/>
    <w:rsid w:val="00323982"/>
    <w:rsid w:val="00333491"/>
    <w:rsid w:val="00342884"/>
    <w:rsid w:val="00342996"/>
    <w:rsid w:val="00371C76"/>
    <w:rsid w:val="003826B0"/>
    <w:rsid w:val="00384BA1"/>
    <w:rsid w:val="00394AA5"/>
    <w:rsid w:val="003C3E59"/>
    <w:rsid w:val="00403128"/>
    <w:rsid w:val="0041183F"/>
    <w:rsid w:val="004201AA"/>
    <w:rsid w:val="00420F7B"/>
    <w:rsid w:val="004329DD"/>
    <w:rsid w:val="00443933"/>
    <w:rsid w:val="0045298C"/>
    <w:rsid w:val="004762BF"/>
    <w:rsid w:val="004A605B"/>
    <w:rsid w:val="004C446E"/>
    <w:rsid w:val="004D18A2"/>
    <w:rsid w:val="004E118F"/>
    <w:rsid w:val="004E3939"/>
    <w:rsid w:val="004E407C"/>
    <w:rsid w:val="004E69B1"/>
    <w:rsid w:val="004F405D"/>
    <w:rsid w:val="00521BBC"/>
    <w:rsid w:val="005314BB"/>
    <w:rsid w:val="00541136"/>
    <w:rsid w:val="00561A2C"/>
    <w:rsid w:val="005A788A"/>
    <w:rsid w:val="005B2429"/>
    <w:rsid w:val="005B3B56"/>
    <w:rsid w:val="005C7D7E"/>
    <w:rsid w:val="005D1D9F"/>
    <w:rsid w:val="005F3D9B"/>
    <w:rsid w:val="006172B1"/>
    <w:rsid w:val="006266B0"/>
    <w:rsid w:val="00630C8F"/>
    <w:rsid w:val="00637F0E"/>
    <w:rsid w:val="006610B6"/>
    <w:rsid w:val="006914A9"/>
    <w:rsid w:val="006A0AB8"/>
    <w:rsid w:val="006A27F4"/>
    <w:rsid w:val="006A5564"/>
    <w:rsid w:val="006C2B19"/>
    <w:rsid w:val="006D0839"/>
    <w:rsid w:val="007142B0"/>
    <w:rsid w:val="0072471D"/>
    <w:rsid w:val="00756D0A"/>
    <w:rsid w:val="0077118E"/>
    <w:rsid w:val="00782DF2"/>
    <w:rsid w:val="00782F39"/>
    <w:rsid w:val="00792888"/>
    <w:rsid w:val="007C0BCC"/>
    <w:rsid w:val="007C7882"/>
    <w:rsid w:val="007D4B8C"/>
    <w:rsid w:val="007D701B"/>
    <w:rsid w:val="007F574F"/>
    <w:rsid w:val="0081232A"/>
    <w:rsid w:val="008262BC"/>
    <w:rsid w:val="0085235A"/>
    <w:rsid w:val="00855657"/>
    <w:rsid w:val="00861894"/>
    <w:rsid w:val="00864F69"/>
    <w:rsid w:val="008832E3"/>
    <w:rsid w:val="00892972"/>
    <w:rsid w:val="008C22E1"/>
    <w:rsid w:val="008C26FA"/>
    <w:rsid w:val="008D4DFA"/>
    <w:rsid w:val="008D7F91"/>
    <w:rsid w:val="008F6300"/>
    <w:rsid w:val="008F65F9"/>
    <w:rsid w:val="008F7601"/>
    <w:rsid w:val="00904DE8"/>
    <w:rsid w:val="00905047"/>
    <w:rsid w:val="009246F0"/>
    <w:rsid w:val="00950FE9"/>
    <w:rsid w:val="00957F5B"/>
    <w:rsid w:val="00982C52"/>
    <w:rsid w:val="00984A05"/>
    <w:rsid w:val="00986FC2"/>
    <w:rsid w:val="009873A8"/>
    <w:rsid w:val="0099493D"/>
    <w:rsid w:val="00995EE6"/>
    <w:rsid w:val="009B3942"/>
    <w:rsid w:val="009D230B"/>
    <w:rsid w:val="009E3EF8"/>
    <w:rsid w:val="009F3030"/>
    <w:rsid w:val="00A05524"/>
    <w:rsid w:val="00A25676"/>
    <w:rsid w:val="00A57CCF"/>
    <w:rsid w:val="00A67F16"/>
    <w:rsid w:val="00A76A56"/>
    <w:rsid w:val="00AA18B7"/>
    <w:rsid w:val="00AA4AD0"/>
    <w:rsid w:val="00AC662C"/>
    <w:rsid w:val="00AD0380"/>
    <w:rsid w:val="00AD5F83"/>
    <w:rsid w:val="00AF2330"/>
    <w:rsid w:val="00B30C27"/>
    <w:rsid w:val="00B31017"/>
    <w:rsid w:val="00B45CDB"/>
    <w:rsid w:val="00B46745"/>
    <w:rsid w:val="00B50AB0"/>
    <w:rsid w:val="00B53C00"/>
    <w:rsid w:val="00B72A05"/>
    <w:rsid w:val="00B749F8"/>
    <w:rsid w:val="00BA7422"/>
    <w:rsid w:val="00BB2D4B"/>
    <w:rsid w:val="00BD0C3F"/>
    <w:rsid w:val="00BD6331"/>
    <w:rsid w:val="00BE5CFB"/>
    <w:rsid w:val="00C06211"/>
    <w:rsid w:val="00C2220C"/>
    <w:rsid w:val="00C26121"/>
    <w:rsid w:val="00C31329"/>
    <w:rsid w:val="00C40BE8"/>
    <w:rsid w:val="00C41C6F"/>
    <w:rsid w:val="00C53ACD"/>
    <w:rsid w:val="00C80F47"/>
    <w:rsid w:val="00C959B7"/>
    <w:rsid w:val="00C96BE4"/>
    <w:rsid w:val="00CC7F5B"/>
    <w:rsid w:val="00CE1B4B"/>
    <w:rsid w:val="00CF4B0A"/>
    <w:rsid w:val="00D053BC"/>
    <w:rsid w:val="00D30EFA"/>
    <w:rsid w:val="00D63A27"/>
    <w:rsid w:val="00D63E61"/>
    <w:rsid w:val="00D729DB"/>
    <w:rsid w:val="00D74E9C"/>
    <w:rsid w:val="00D83E34"/>
    <w:rsid w:val="00D90FCF"/>
    <w:rsid w:val="00DA7769"/>
    <w:rsid w:val="00DB42F5"/>
    <w:rsid w:val="00DB5269"/>
    <w:rsid w:val="00DB6B9C"/>
    <w:rsid w:val="00DB73FE"/>
    <w:rsid w:val="00DC198A"/>
    <w:rsid w:val="00DD2066"/>
    <w:rsid w:val="00E04B07"/>
    <w:rsid w:val="00E13B07"/>
    <w:rsid w:val="00E15EE6"/>
    <w:rsid w:val="00E30594"/>
    <w:rsid w:val="00E3158B"/>
    <w:rsid w:val="00E342B8"/>
    <w:rsid w:val="00E53C0F"/>
    <w:rsid w:val="00E674A3"/>
    <w:rsid w:val="00E922CF"/>
    <w:rsid w:val="00E9580B"/>
    <w:rsid w:val="00EA052D"/>
    <w:rsid w:val="00EA1240"/>
    <w:rsid w:val="00EB17FB"/>
    <w:rsid w:val="00EC319A"/>
    <w:rsid w:val="00ED6060"/>
    <w:rsid w:val="00EE652C"/>
    <w:rsid w:val="00EF2E66"/>
    <w:rsid w:val="00F222A3"/>
    <w:rsid w:val="00F36877"/>
    <w:rsid w:val="00F7554D"/>
    <w:rsid w:val="00F91F6C"/>
    <w:rsid w:val="00F965AD"/>
    <w:rsid w:val="00FA6017"/>
    <w:rsid w:val="00FB1FE5"/>
    <w:rsid w:val="00FE3147"/>
    <w:rsid w:val="00FF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9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36"/>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Style 19,Style 16"/>
    <w:uiPriority w:val="99"/>
    <w:rsid w:val="00541136"/>
  </w:style>
  <w:style w:type="paragraph" w:styleId="Header">
    <w:name w:val="header"/>
    <w:basedOn w:val="Normal"/>
    <w:rsid w:val="00541136"/>
    <w:pPr>
      <w:tabs>
        <w:tab w:val="center" w:pos="4320"/>
        <w:tab w:val="right" w:pos="8640"/>
      </w:tabs>
    </w:pPr>
  </w:style>
  <w:style w:type="character" w:styleId="PageNumber">
    <w:name w:val="page number"/>
    <w:basedOn w:val="DefaultParagraphFont"/>
    <w:rsid w:val="00541136"/>
  </w:style>
  <w:style w:type="paragraph" w:styleId="Footer">
    <w:name w:val="footer"/>
    <w:basedOn w:val="Normal"/>
    <w:rsid w:val="00541136"/>
    <w:pPr>
      <w:tabs>
        <w:tab w:val="center" w:pos="4320"/>
        <w:tab w:val="right" w:pos="8640"/>
      </w:tabs>
    </w:p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
    <w:basedOn w:val="Normal"/>
    <w:link w:val="FootnoteTextChar"/>
    <w:uiPriority w:val="99"/>
    <w:rsid w:val="00541136"/>
    <w:pPr>
      <w:autoSpaceDE w:val="0"/>
      <w:autoSpaceDN w:val="0"/>
      <w:adjustRightInd w:val="0"/>
    </w:pPr>
    <w:rPr>
      <w:rFonts w:ascii="CourierPS" w:hAnsi="CourierPS"/>
      <w:snapToGrid/>
      <w:sz w:val="20"/>
    </w:rPr>
  </w:style>
  <w:style w:type="paragraph" w:styleId="BodyText">
    <w:name w:val="Body Text"/>
    <w:basedOn w:val="Normal"/>
    <w:link w:val="BodyTextChar"/>
    <w:rsid w:val="00EC319A"/>
    <w:pPr>
      <w:widowControl/>
    </w:pPr>
    <w:rPr>
      <w:rFonts w:ascii="Times New Roman" w:hAnsi="Times New Roman"/>
      <w:i/>
      <w:iCs/>
      <w:snapToGrid/>
    </w:rPr>
  </w:style>
  <w:style w:type="character" w:customStyle="1" w:styleId="BodyTextChar">
    <w:name w:val="Body Text Char"/>
    <w:link w:val="BodyText"/>
    <w:semiHidden/>
    <w:locked/>
    <w:rsid w:val="00EC319A"/>
    <w:rPr>
      <w:i/>
      <w:iCs/>
      <w:sz w:val="24"/>
      <w:lang w:val="en-US" w:eastAsia="en-US" w:bidi="ar-SA"/>
    </w:rPr>
  </w:style>
  <w:style w:type="character" w:customStyle="1" w:styleId="documentbody1">
    <w:name w:val="documentbody1"/>
    <w:rsid w:val="00EA1240"/>
    <w:rPr>
      <w:rFonts w:ascii="Verdana" w:hAnsi="Verdana" w:cs="Times New Roman"/>
      <w:sz w:val="19"/>
      <w:szCs w:val="19"/>
    </w:rPr>
  </w:style>
  <w:style w:type="paragraph" w:customStyle="1" w:styleId="DoubleSpace">
    <w:name w:val="Double Space"/>
    <w:basedOn w:val="Normal"/>
    <w:rsid w:val="00EA1240"/>
    <w:pPr>
      <w:widowControl/>
      <w:spacing w:line="480" w:lineRule="auto"/>
    </w:pPr>
    <w:rPr>
      <w:rFonts w:ascii="CG Times" w:hAnsi="CG Times"/>
      <w:snapToGrid/>
    </w:rPr>
  </w:style>
  <w:style w:type="paragraph" w:styleId="ListParagraph">
    <w:name w:val="List Paragraph"/>
    <w:basedOn w:val="Normal"/>
    <w:qFormat/>
    <w:rsid w:val="00EA1240"/>
    <w:pPr>
      <w:widowControl/>
      <w:spacing w:after="200" w:line="276" w:lineRule="auto"/>
      <w:ind w:left="720"/>
      <w:contextualSpacing/>
    </w:pPr>
    <w:rPr>
      <w:rFonts w:ascii="Calibri" w:hAnsi="Calibri"/>
      <w:snapToGrid/>
      <w:sz w:val="22"/>
      <w:szCs w:val="22"/>
    </w:rPr>
  </w:style>
  <w:style w:type="paragraph" w:customStyle="1" w:styleId="doublespace0">
    <w:name w:val="doublespace"/>
    <w:basedOn w:val="Normal"/>
    <w:rsid w:val="00792888"/>
    <w:pPr>
      <w:widowControl/>
      <w:spacing w:before="100" w:beforeAutospacing="1" w:after="100" w:afterAutospacing="1"/>
    </w:pPr>
    <w:rPr>
      <w:rFonts w:ascii="Times New Roman" w:hAnsi="Times New Roman"/>
      <w:snapToGrid/>
      <w:szCs w:val="24"/>
    </w:rPr>
  </w:style>
  <w:style w:type="character" w:customStyle="1" w:styleId="FootnoteTextChar">
    <w:name w:val="Footnote Text Char"/>
    <w:aliases w:val="Footnote Text Char Char Char1,fn Char,Footnote Text Char Char Char Char Char Char Char Char Char Char Char Char Char Char Char Char Char Char,Footnote Text Char1 Char Char Char,Footnote Text Char Char Char Char Char1,Style 15 Char"/>
    <w:link w:val="FootnoteText"/>
    <w:uiPriority w:val="99"/>
    <w:locked/>
    <w:rsid w:val="008262BC"/>
    <w:rPr>
      <w:rFonts w:ascii="CourierPS" w:hAnsi="CourierPS"/>
      <w:lang w:val="en-US" w:eastAsia="en-US" w:bidi="ar-SA"/>
    </w:rPr>
  </w:style>
  <w:style w:type="character" w:styleId="CommentReference">
    <w:name w:val="annotation reference"/>
    <w:semiHidden/>
    <w:rsid w:val="0041183F"/>
    <w:rPr>
      <w:rFonts w:cs="Times New Roman"/>
      <w:sz w:val="16"/>
      <w:szCs w:val="16"/>
    </w:rPr>
  </w:style>
  <w:style w:type="paragraph" w:styleId="CommentText">
    <w:name w:val="annotation text"/>
    <w:basedOn w:val="Normal"/>
    <w:link w:val="CommentTextChar"/>
    <w:semiHidden/>
    <w:rsid w:val="0041183F"/>
    <w:pPr>
      <w:widowControl/>
    </w:pPr>
    <w:rPr>
      <w:rFonts w:ascii="Times New Roman" w:eastAsia="Calibri" w:hAnsi="Times New Roman"/>
      <w:snapToGrid/>
      <w:sz w:val="20"/>
    </w:rPr>
  </w:style>
  <w:style w:type="character" w:customStyle="1" w:styleId="CommentTextChar">
    <w:name w:val="Comment Text Char"/>
    <w:link w:val="CommentText"/>
    <w:semiHidden/>
    <w:locked/>
    <w:rsid w:val="0041183F"/>
    <w:rPr>
      <w:rFonts w:eastAsia="Calibri"/>
      <w:lang w:val="en-US" w:eastAsia="en-US" w:bidi="ar-SA"/>
    </w:rPr>
  </w:style>
  <w:style w:type="paragraph" w:styleId="BalloonText">
    <w:name w:val="Balloon Text"/>
    <w:basedOn w:val="Normal"/>
    <w:semiHidden/>
    <w:rsid w:val="0041183F"/>
    <w:rPr>
      <w:rFonts w:ascii="Tahoma" w:hAnsi="Tahoma" w:cs="Tahoma"/>
      <w:sz w:val="16"/>
      <w:szCs w:val="16"/>
    </w:rPr>
  </w:style>
  <w:style w:type="character" w:customStyle="1" w:styleId="FootnoteTextChar1">
    <w:name w:val="Footnote Text Char1"/>
    <w:aliases w:val="Footnote Text Char Char Char,fn Char1,Footnote Text Char Char Char Char Char Char Char Char Char Char Char Char Char Char Char Char Char Char1,Footnote Text Char1 Char Char Char1,Footnote Text Char Char Char Char Char,Style 15 Char1"/>
    <w:uiPriority w:val="99"/>
    <w:locked/>
    <w:rsid w:val="00AF2330"/>
    <w:rPr>
      <w:rFonts w:ascii="Times New Roman" w:hAnsi="Times New Roman" w:cs="Times New Roman"/>
      <w:sz w:val="20"/>
      <w:szCs w:val="20"/>
    </w:rPr>
  </w:style>
  <w:style w:type="table" w:styleId="TableGrid">
    <w:name w:val="Table Grid"/>
    <w:basedOn w:val="TableNormal"/>
    <w:rsid w:val="009246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rsid w:val="003C3E59"/>
    <w:pPr>
      <w:widowControl/>
      <w:ind w:left="720"/>
      <w:contextualSpacing/>
    </w:pPr>
    <w:rPr>
      <w:rFonts w:ascii="Times New Roman" w:eastAsia="Calibri" w:hAnsi="Times New Roman"/>
      <w:snapToGrid/>
      <w:szCs w:val="24"/>
    </w:rPr>
  </w:style>
  <w:style w:type="paragraph" w:styleId="CommentSubject">
    <w:name w:val="annotation subject"/>
    <w:basedOn w:val="CommentText"/>
    <w:next w:val="CommentText"/>
    <w:link w:val="CommentSubjectChar"/>
    <w:semiHidden/>
    <w:unhideWhenUsed/>
    <w:rsid w:val="00EB17FB"/>
    <w:pPr>
      <w:widowControl w:val="0"/>
    </w:pPr>
    <w:rPr>
      <w:rFonts w:ascii="Courier" w:eastAsia="Times New Roman" w:hAnsi="Courier"/>
      <w:b/>
      <w:bCs/>
      <w:snapToGrid w:val="0"/>
    </w:rPr>
  </w:style>
  <w:style w:type="character" w:customStyle="1" w:styleId="CommentSubjectChar">
    <w:name w:val="Comment Subject Char"/>
    <w:basedOn w:val="CommentTextChar"/>
    <w:link w:val="CommentSubject"/>
    <w:semiHidden/>
    <w:rsid w:val="00EB17FB"/>
    <w:rPr>
      <w:rFonts w:ascii="Courier" w:eastAsia="Calibri" w:hAnsi="Courier"/>
      <w:b/>
      <w:bCs/>
      <w:snapToGrid w:val="0"/>
      <w:lang w:val="en-US" w:eastAsia="en-US" w:bidi="ar-SA"/>
    </w:rPr>
  </w:style>
  <w:style w:type="paragraph" w:styleId="Revision">
    <w:name w:val="Revision"/>
    <w:hidden/>
    <w:uiPriority w:val="99"/>
    <w:semiHidden/>
    <w:rsid w:val="00E15EE6"/>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36"/>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Style 19,Style 16"/>
    <w:uiPriority w:val="99"/>
    <w:rsid w:val="00541136"/>
  </w:style>
  <w:style w:type="paragraph" w:styleId="Header">
    <w:name w:val="header"/>
    <w:basedOn w:val="Normal"/>
    <w:rsid w:val="00541136"/>
    <w:pPr>
      <w:tabs>
        <w:tab w:val="center" w:pos="4320"/>
        <w:tab w:val="right" w:pos="8640"/>
      </w:tabs>
    </w:pPr>
  </w:style>
  <w:style w:type="character" w:styleId="PageNumber">
    <w:name w:val="page number"/>
    <w:basedOn w:val="DefaultParagraphFont"/>
    <w:rsid w:val="00541136"/>
  </w:style>
  <w:style w:type="paragraph" w:styleId="Footer">
    <w:name w:val="footer"/>
    <w:basedOn w:val="Normal"/>
    <w:rsid w:val="00541136"/>
    <w:pPr>
      <w:tabs>
        <w:tab w:val="center" w:pos="4320"/>
        <w:tab w:val="right" w:pos="8640"/>
      </w:tabs>
    </w:p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
    <w:basedOn w:val="Normal"/>
    <w:link w:val="FootnoteTextChar"/>
    <w:uiPriority w:val="99"/>
    <w:rsid w:val="00541136"/>
    <w:pPr>
      <w:autoSpaceDE w:val="0"/>
      <w:autoSpaceDN w:val="0"/>
      <w:adjustRightInd w:val="0"/>
    </w:pPr>
    <w:rPr>
      <w:rFonts w:ascii="CourierPS" w:hAnsi="CourierPS"/>
      <w:snapToGrid/>
      <w:sz w:val="20"/>
    </w:rPr>
  </w:style>
  <w:style w:type="paragraph" w:styleId="BodyText">
    <w:name w:val="Body Text"/>
    <w:basedOn w:val="Normal"/>
    <w:link w:val="BodyTextChar"/>
    <w:rsid w:val="00EC319A"/>
    <w:pPr>
      <w:widowControl/>
    </w:pPr>
    <w:rPr>
      <w:rFonts w:ascii="Times New Roman" w:hAnsi="Times New Roman"/>
      <w:i/>
      <w:iCs/>
      <w:snapToGrid/>
    </w:rPr>
  </w:style>
  <w:style w:type="character" w:customStyle="1" w:styleId="BodyTextChar">
    <w:name w:val="Body Text Char"/>
    <w:link w:val="BodyText"/>
    <w:semiHidden/>
    <w:locked/>
    <w:rsid w:val="00EC319A"/>
    <w:rPr>
      <w:i/>
      <w:iCs/>
      <w:sz w:val="24"/>
      <w:lang w:val="en-US" w:eastAsia="en-US" w:bidi="ar-SA"/>
    </w:rPr>
  </w:style>
  <w:style w:type="character" w:customStyle="1" w:styleId="documentbody1">
    <w:name w:val="documentbody1"/>
    <w:rsid w:val="00EA1240"/>
    <w:rPr>
      <w:rFonts w:ascii="Verdana" w:hAnsi="Verdana" w:cs="Times New Roman"/>
      <w:sz w:val="19"/>
      <w:szCs w:val="19"/>
    </w:rPr>
  </w:style>
  <w:style w:type="paragraph" w:customStyle="1" w:styleId="DoubleSpace">
    <w:name w:val="Double Space"/>
    <w:basedOn w:val="Normal"/>
    <w:rsid w:val="00EA1240"/>
    <w:pPr>
      <w:widowControl/>
      <w:spacing w:line="480" w:lineRule="auto"/>
    </w:pPr>
    <w:rPr>
      <w:rFonts w:ascii="CG Times" w:hAnsi="CG Times"/>
      <w:snapToGrid/>
    </w:rPr>
  </w:style>
  <w:style w:type="paragraph" w:styleId="ListParagraph">
    <w:name w:val="List Paragraph"/>
    <w:basedOn w:val="Normal"/>
    <w:qFormat/>
    <w:rsid w:val="00EA1240"/>
    <w:pPr>
      <w:widowControl/>
      <w:spacing w:after="200" w:line="276" w:lineRule="auto"/>
      <w:ind w:left="720"/>
      <w:contextualSpacing/>
    </w:pPr>
    <w:rPr>
      <w:rFonts w:ascii="Calibri" w:hAnsi="Calibri"/>
      <w:snapToGrid/>
      <w:sz w:val="22"/>
      <w:szCs w:val="22"/>
    </w:rPr>
  </w:style>
  <w:style w:type="paragraph" w:customStyle="1" w:styleId="doublespace0">
    <w:name w:val="doublespace"/>
    <w:basedOn w:val="Normal"/>
    <w:rsid w:val="00792888"/>
    <w:pPr>
      <w:widowControl/>
      <w:spacing w:before="100" w:beforeAutospacing="1" w:after="100" w:afterAutospacing="1"/>
    </w:pPr>
    <w:rPr>
      <w:rFonts w:ascii="Times New Roman" w:hAnsi="Times New Roman"/>
      <w:snapToGrid/>
      <w:szCs w:val="24"/>
    </w:rPr>
  </w:style>
  <w:style w:type="character" w:customStyle="1" w:styleId="FootnoteTextChar">
    <w:name w:val="Footnote Text Char"/>
    <w:aliases w:val="Footnote Text Char Char Char1,fn Char,Footnote Text Char Char Char Char Char Char Char Char Char Char Char Char Char Char Char Char Char Char,Footnote Text Char1 Char Char Char,Footnote Text Char Char Char Char Char1,Style 15 Char"/>
    <w:link w:val="FootnoteText"/>
    <w:uiPriority w:val="99"/>
    <w:locked/>
    <w:rsid w:val="008262BC"/>
    <w:rPr>
      <w:rFonts w:ascii="CourierPS" w:hAnsi="CourierPS"/>
      <w:lang w:val="en-US" w:eastAsia="en-US" w:bidi="ar-SA"/>
    </w:rPr>
  </w:style>
  <w:style w:type="character" w:styleId="CommentReference">
    <w:name w:val="annotation reference"/>
    <w:semiHidden/>
    <w:rsid w:val="0041183F"/>
    <w:rPr>
      <w:rFonts w:cs="Times New Roman"/>
      <w:sz w:val="16"/>
      <w:szCs w:val="16"/>
    </w:rPr>
  </w:style>
  <w:style w:type="paragraph" w:styleId="CommentText">
    <w:name w:val="annotation text"/>
    <w:basedOn w:val="Normal"/>
    <w:link w:val="CommentTextChar"/>
    <w:semiHidden/>
    <w:rsid w:val="0041183F"/>
    <w:pPr>
      <w:widowControl/>
    </w:pPr>
    <w:rPr>
      <w:rFonts w:ascii="Times New Roman" w:eastAsia="Calibri" w:hAnsi="Times New Roman"/>
      <w:snapToGrid/>
      <w:sz w:val="20"/>
    </w:rPr>
  </w:style>
  <w:style w:type="character" w:customStyle="1" w:styleId="CommentTextChar">
    <w:name w:val="Comment Text Char"/>
    <w:link w:val="CommentText"/>
    <w:semiHidden/>
    <w:locked/>
    <w:rsid w:val="0041183F"/>
    <w:rPr>
      <w:rFonts w:eastAsia="Calibri"/>
      <w:lang w:val="en-US" w:eastAsia="en-US" w:bidi="ar-SA"/>
    </w:rPr>
  </w:style>
  <w:style w:type="paragraph" w:styleId="BalloonText">
    <w:name w:val="Balloon Text"/>
    <w:basedOn w:val="Normal"/>
    <w:semiHidden/>
    <w:rsid w:val="0041183F"/>
    <w:rPr>
      <w:rFonts w:ascii="Tahoma" w:hAnsi="Tahoma" w:cs="Tahoma"/>
      <w:sz w:val="16"/>
      <w:szCs w:val="16"/>
    </w:rPr>
  </w:style>
  <w:style w:type="character" w:customStyle="1" w:styleId="FootnoteTextChar1">
    <w:name w:val="Footnote Text Char1"/>
    <w:aliases w:val="Footnote Text Char Char Char,fn Char1,Footnote Text Char Char Char Char Char Char Char Char Char Char Char Char Char Char Char Char Char Char1,Footnote Text Char1 Char Char Char1,Footnote Text Char Char Char Char Char,Style 15 Char1"/>
    <w:uiPriority w:val="99"/>
    <w:locked/>
    <w:rsid w:val="00AF2330"/>
    <w:rPr>
      <w:rFonts w:ascii="Times New Roman" w:hAnsi="Times New Roman" w:cs="Times New Roman"/>
      <w:sz w:val="20"/>
      <w:szCs w:val="20"/>
    </w:rPr>
  </w:style>
  <w:style w:type="table" w:styleId="TableGrid">
    <w:name w:val="Table Grid"/>
    <w:basedOn w:val="TableNormal"/>
    <w:rsid w:val="009246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rsid w:val="003C3E59"/>
    <w:pPr>
      <w:widowControl/>
      <w:ind w:left="720"/>
      <w:contextualSpacing/>
    </w:pPr>
    <w:rPr>
      <w:rFonts w:ascii="Times New Roman" w:eastAsia="Calibri" w:hAnsi="Times New Roman"/>
      <w:snapToGrid/>
      <w:szCs w:val="24"/>
    </w:rPr>
  </w:style>
  <w:style w:type="paragraph" w:styleId="CommentSubject">
    <w:name w:val="annotation subject"/>
    <w:basedOn w:val="CommentText"/>
    <w:next w:val="CommentText"/>
    <w:link w:val="CommentSubjectChar"/>
    <w:semiHidden/>
    <w:unhideWhenUsed/>
    <w:rsid w:val="00EB17FB"/>
    <w:pPr>
      <w:widowControl w:val="0"/>
    </w:pPr>
    <w:rPr>
      <w:rFonts w:ascii="Courier" w:eastAsia="Times New Roman" w:hAnsi="Courier"/>
      <w:b/>
      <w:bCs/>
      <w:snapToGrid w:val="0"/>
    </w:rPr>
  </w:style>
  <w:style w:type="character" w:customStyle="1" w:styleId="CommentSubjectChar">
    <w:name w:val="Comment Subject Char"/>
    <w:basedOn w:val="CommentTextChar"/>
    <w:link w:val="CommentSubject"/>
    <w:semiHidden/>
    <w:rsid w:val="00EB17FB"/>
    <w:rPr>
      <w:rFonts w:ascii="Courier" w:eastAsia="Calibri" w:hAnsi="Courier"/>
      <w:b/>
      <w:bCs/>
      <w:snapToGrid w:val="0"/>
      <w:lang w:val="en-US" w:eastAsia="en-US" w:bidi="ar-SA"/>
    </w:rPr>
  </w:style>
  <w:style w:type="paragraph" w:styleId="Revision">
    <w:name w:val="Revision"/>
    <w:hidden/>
    <w:uiPriority w:val="99"/>
    <w:semiHidden/>
    <w:rsid w:val="00E15EE6"/>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82168">
      <w:bodyDiv w:val="1"/>
      <w:marLeft w:val="0"/>
      <w:marRight w:val="0"/>
      <w:marTop w:val="0"/>
      <w:marBottom w:val="0"/>
      <w:divBdr>
        <w:top w:val="none" w:sz="0" w:space="0" w:color="auto"/>
        <w:left w:val="none" w:sz="0" w:space="0" w:color="auto"/>
        <w:bottom w:val="none" w:sz="0" w:space="0" w:color="auto"/>
        <w:right w:val="none" w:sz="0" w:space="0" w:color="auto"/>
      </w:divBdr>
    </w:div>
    <w:div w:id="695616512">
      <w:bodyDiv w:val="1"/>
      <w:marLeft w:val="0"/>
      <w:marRight w:val="0"/>
      <w:marTop w:val="0"/>
      <w:marBottom w:val="0"/>
      <w:divBdr>
        <w:top w:val="none" w:sz="0" w:space="0" w:color="auto"/>
        <w:left w:val="none" w:sz="0" w:space="0" w:color="auto"/>
        <w:bottom w:val="none" w:sz="0" w:space="0" w:color="auto"/>
        <w:right w:val="none" w:sz="0" w:space="0" w:color="auto"/>
      </w:divBdr>
      <w:divsChild>
        <w:div w:id="60950620">
          <w:marLeft w:val="0"/>
          <w:marRight w:val="0"/>
          <w:marTop w:val="0"/>
          <w:marBottom w:val="0"/>
          <w:divBdr>
            <w:top w:val="none" w:sz="0" w:space="0" w:color="auto"/>
            <w:left w:val="none" w:sz="0" w:space="0" w:color="auto"/>
            <w:bottom w:val="none" w:sz="0" w:space="0" w:color="auto"/>
            <w:right w:val="none" w:sz="0" w:space="0" w:color="auto"/>
          </w:divBdr>
        </w:div>
      </w:divsChild>
    </w:div>
    <w:div w:id="1006518217">
      <w:bodyDiv w:val="1"/>
      <w:marLeft w:val="0"/>
      <w:marRight w:val="0"/>
      <w:marTop w:val="0"/>
      <w:marBottom w:val="0"/>
      <w:divBdr>
        <w:top w:val="none" w:sz="0" w:space="0" w:color="auto"/>
        <w:left w:val="none" w:sz="0" w:space="0" w:color="auto"/>
        <w:bottom w:val="none" w:sz="0" w:space="0" w:color="auto"/>
        <w:right w:val="none" w:sz="0" w:space="0" w:color="auto"/>
      </w:divBdr>
    </w:div>
    <w:div w:id="1192454000">
      <w:bodyDiv w:val="1"/>
      <w:marLeft w:val="0"/>
      <w:marRight w:val="0"/>
      <w:marTop w:val="0"/>
      <w:marBottom w:val="0"/>
      <w:divBdr>
        <w:top w:val="none" w:sz="0" w:space="0" w:color="auto"/>
        <w:left w:val="none" w:sz="0" w:space="0" w:color="auto"/>
        <w:bottom w:val="none" w:sz="0" w:space="0" w:color="auto"/>
        <w:right w:val="none" w:sz="0" w:space="0" w:color="auto"/>
      </w:divBdr>
    </w:div>
    <w:div w:id="192178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7DBE-9615-4C12-88CF-7DBC2768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OCC</Company>
  <LinksUpToDate>false</LinksUpToDate>
  <CharactersWithSpaces>24069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OCC</dc:creator>
  <cp:lastModifiedBy>SYSTEM</cp:lastModifiedBy>
  <cp:revision>2</cp:revision>
  <cp:lastPrinted>2018-04-11T17:18:00Z</cp:lastPrinted>
  <dcterms:created xsi:type="dcterms:W3CDTF">2018-04-11T17:45:00Z</dcterms:created>
  <dcterms:modified xsi:type="dcterms:W3CDTF">2018-04-11T17:45:00Z</dcterms:modified>
</cp:coreProperties>
</file>