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D7415" w:rsidR="008F6CDA" w:rsidRDefault="008F6CDA" w14:paraId="50777D9F" w14:textId="77777777">
      <w:pPr>
        <w:pStyle w:val="Title"/>
        <w:rPr>
          <w:b w:val="0"/>
          <w:bCs w:val="0"/>
          <w:szCs w:val="24"/>
        </w:rPr>
      </w:pPr>
      <w:bookmarkStart w:name="_GoBack" w:id="0"/>
      <w:bookmarkEnd w:id="0"/>
      <w:r w:rsidRPr="005D7415">
        <w:rPr>
          <w:szCs w:val="24"/>
        </w:rPr>
        <w:t>Supporting Statement</w:t>
      </w:r>
    </w:p>
    <w:p w:rsidRPr="005D7415" w:rsidR="008F6CDA" w:rsidRDefault="008F6CDA" w14:paraId="131B1BA0" w14:textId="53B4B9BC">
      <w:pPr>
        <w:jc w:val="center"/>
        <w:rPr>
          <w:b/>
          <w:bCs/>
          <w:szCs w:val="24"/>
        </w:rPr>
      </w:pPr>
      <w:r w:rsidRPr="005D7415">
        <w:rPr>
          <w:b/>
          <w:bCs/>
          <w:szCs w:val="24"/>
        </w:rPr>
        <w:t>Guidance on Sound Incentive Compensation P</w:t>
      </w:r>
      <w:r w:rsidR="004F213B">
        <w:rPr>
          <w:b/>
          <w:bCs/>
          <w:szCs w:val="24"/>
        </w:rPr>
        <w:t>olicies</w:t>
      </w:r>
    </w:p>
    <w:p w:rsidRPr="005D7415" w:rsidR="008F6CDA" w:rsidRDefault="008F6CDA" w14:paraId="11FF7AF5" w14:textId="77777777">
      <w:pPr>
        <w:jc w:val="center"/>
        <w:rPr>
          <w:b/>
          <w:bCs/>
          <w:szCs w:val="24"/>
        </w:rPr>
      </w:pPr>
      <w:r w:rsidRPr="005D7415">
        <w:rPr>
          <w:b/>
          <w:bCs/>
          <w:szCs w:val="24"/>
        </w:rPr>
        <w:t xml:space="preserve">OMB </w:t>
      </w:r>
      <w:r w:rsidRPr="005D7415" w:rsidR="00853EC2">
        <w:rPr>
          <w:b/>
          <w:bCs/>
          <w:szCs w:val="24"/>
        </w:rPr>
        <w:t>Control No. 1557-0245</w:t>
      </w:r>
    </w:p>
    <w:p w:rsidRPr="005D7415" w:rsidR="008F6CDA" w:rsidRDefault="008F6CDA" w14:paraId="111CB477" w14:textId="77777777">
      <w:pPr>
        <w:jc w:val="center"/>
        <w:rPr>
          <w:b/>
          <w:bCs/>
          <w:szCs w:val="24"/>
        </w:rPr>
      </w:pPr>
    </w:p>
    <w:p w:rsidRPr="005D7415" w:rsidR="008F6CDA" w:rsidRDefault="008F6CDA" w14:paraId="1543FA32" w14:textId="77777777">
      <w:pPr>
        <w:rPr>
          <w:b/>
          <w:bCs/>
          <w:szCs w:val="24"/>
        </w:rPr>
      </w:pPr>
    </w:p>
    <w:p w:rsidRPr="005D7415" w:rsidR="008F6CDA" w:rsidRDefault="008F6CDA" w14:paraId="6BE21625" w14:textId="77777777">
      <w:pPr>
        <w:rPr>
          <w:b/>
          <w:bCs/>
          <w:szCs w:val="24"/>
        </w:rPr>
      </w:pPr>
      <w:r w:rsidRPr="005D7415">
        <w:rPr>
          <w:b/>
          <w:bCs/>
          <w:szCs w:val="24"/>
        </w:rPr>
        <w:t>A.  Justification.</w:t>
      </w:r>
    </w:p>
    <w:p w:rsidRPr="005D7415" w:rsidR="008F6CDA" w:rsidRDefault="008F6CDA" w14:paraId="5B787C4E" w14:textId="77777777">
      <w:pPr>
        <w:rPr>
          <w:szCs w:val="24"/>
        </w:rPr>
      </w:pPr>
    </w:p>
    <w:p w:rsidRPr="005D7415" w:rsidR="008F6CDA" w:rsidRDefault="008F6CDA" w14:paraId="3845A7B5" w14:textId="77777777">
      <w:pPr>
        <w:rPr>
          <w:b/>
          <w:bCs/>
          <w:i/>
          <w:iCs/>
          <w:szCs w:val="24"/>
        </w:rPr>
      </w:pPr>
      <w:r w:rsidRPr="005D7415">
        <w:rPr>
          <w:b/>
          <w:bCs/>
          <w:i/>
          <w:iCs/>
          <w:szCs w:val="24"/>
        </w:rPr>
        <w:t>1.  Circumstances that make the collection necessary:</w:t>
      </w:r>
    </w:p>
    <w:p w:rsidRPr="005D7415" w:rsidR="008F6CDA" w:rsidP="002F69AC" w:rsidRDefault="008F6CDA" w14:paraId="633FAFC1" w14:textId="77777777">
      <w:pPr>
        <w:rPr>
          <w:szCs w:val="24"/>
        </w:rPr>
      </w:pPr>
    </w:p>
    <w:p w:rsidRPr="005D7415" w:rsidR="008F6CDA" w:rsidP="00D9339C" w:rsidRDefault="008F6CDA" w14:paraId="1D4679A0" w14:textId="6B048EFC">
      <w:pPr>
        <w:pStyle w:val="BlockText"/>
        <w:spacing w:line="240" w:lineRule="auto"/>
        <w:ind w:left="0"/>
        <w:rPr>
          <w:rFonts w:ascii="Times New Roman" w:hAnsi="Times New Roman"/>
        </w:rPr>
      </w:pPr>
      <w:r w:rsidRPr="005D7415">
        <w:rPr>
          <w:rFonts w:ascii="Times New Roman" w:hAnsi="Times New Roman"/>
        </w:rPr>
        <w:t xml:space="preserve">             Incentive compensation practices in the financial services industry contributed to the financial crisis that began in 2007.  Bank employees too often </w:t>
      </w:r>
      <w:r w:rsidRPr="005D7415" w:rsidR="007D3C59">
        <w:rPr>
          <w:rFonts w:ascii="Times New Roman" w:hAnsi="Times New Roman"/>
        </w:rPr>
        <w:t xml:space="preserve">were </w:t>
      </w:r>
      <w:r w:rsidRPr="005D7415">
        <w:rPr>
          <w:rFonts w:ascii="Times New Roman" w:hAnsi="Times New Roman"/>
        </w:rPr>
        <w:t xml:space="preserve">rewarded for increasing short-term revenue or profit without adequate regard to the risks taken to achieve those results.  These practices exacerbated the risks and losses at </w:t>
      </w:r>
      <w:proofErr w:type="gramStart"/>
      <w:r w:rsidRPr="005D7415">
        <w:rPr>
          <w:rFonts w:ascii="Times New Roman" w:hAnsi="Times New Roman"/>
        </w:rPr>
        <w:t>a number of</w:t>
      </w:r>
      <w:proofErr w:type="gramEnd"/>
      <w:r w:rsidRPr="005D7415">
        <w:rPr>
          <w:rFonts w:ascii="Times New Roman" w:hAnsi="Times New Roman"/>
        </w:rPr>
        <w:t xml:space="preserve"> banking organizations and resulted in the misalignment of the interests of employees </w:t>
      </w:r>
      <w:r w:rsidR="00E32E16">
        <w:rPr>
          <w:rFonts w:ascii="Times New Roman" w:hAnsi="Times New Roman"/>
        </w:rPr>
        <w:t>and</w:t>
      </w:r>
      <w:r w:rsidRPr="005D7415">
        <w:rPr>
          <w:rFonts w:ascii="Times New Roman" w:hAnsi="Times New Roman"/>
        </w:rPr>
        <w:t xml:space="preserve"> the long-term safety and soundness of their organizations.  </w:t>
      </w:r>
      <w:r w:rsidRPr="005D7415" w:rsidR="0028113C">
        <w:rPr>
          <w:rFonts w:ascii="Times New Roman" w:hAnsi="Times New Roman"/>
        </w:rPr>
        <w:t>The</w:t>
      </w:r>
      <w:r w:rsidRPr="005D7415" w:rsidR="008B501D">
        <w:rPr>
          <w:rFonts w:ascii="Times New Roman" w:hAnsi="Times New Roman"/>
        </w:rPr>
        <w:t xml:space="preserve"> Guidance </w:t>
      </w:r>
      <w:r w:rsidR="00563A6A">
        <w:rPr>
          <w:rFonts w:ascii="Times New Roman" w:hAnsi="Times New Roman"/>
        </w:rPr>
        <w:t>on Sound Incentive Compensation P</w:t>
      </w:r>
      <w:r w:rsidR="001769F8">
        <w:rPr>
          <w:rFonts w:ascii="Times New Roman" w:hAnsi="Times New Roman"/>
        </w:rPr>
        <w:t>olicies</w:t>
      </w:r>
      <w:r w:rsidR="00563A6A">
        <w:rPr>
          <w:rFonts w:ascii="Times New Roman" w:hAnsi="Times New Roman"/>
        </w:rPr>
        <w:t xml:space="preserve"> (Guidance) </w:t>
      </w:r>
      <w:r w:rsidRPr="005D7415">
        <w:rPr>
          <w:rFonts w:ascii="Times New Roman" w:hAnsi="Times New Roman"/>
        </w:rPr>
        <w:t>implement</w:t>
      </w:r>
      <w:r w:rsidR="00B07B53">
        <w:rPr>
          <w:rFonts w:ascii="Times New Roman" w:hAnsi="Times New Roman"/>
        </w:rPr>
        <w:t>s</w:t>
      </w:r>
      <w:r w:rsidRPr="005D7415">
        <w:rPr>
          <w:rFonts w:ascii="Times New Roman" w:hAnsi="Times New Roman"/>
        </w:rPr>
        <w:t xml:space="preserve"> the Financial Stability Board’s Compensation Principles.</w:t>
      </w:r>
      <w:r w:rsidRPr="005D7415" w:rsidR="00A46D6C">
        <w:rPr>
          <w:rStyle w:val="FootnoteReference"/>
          <w:rFonts w:ascii="Times New Roman" w:hAnsi="Times New Roman"/>
        </w:rPr>
        <w:footnoteReference w:id="1"/>
      </w:r>
      <w:r w:rsidRPr="005D7415">
        <w:rPr>
          <w:rFonts w:ascii="Times New Roman" w:hAnsi="Times New Roman"/>
        </w:rPr>
        <w:t xml:space="preserve">   </w:t>
      </w:r>
    </w:p>
    <w:p w:rsidRPr="005D7415" w:rsidR="008F6CDA" w:rsidP="00D9339C" w:rsidRDefault="008F6CDA" w14:paraId="33B4A1ED" w14:textId="77777777">
      <w:pPr>
        <w:pStyle w:val="BlockText"/>
        <w:spacing w:line="240" w:lineRule="auto"/>
        <w:ind w:left="0"/>
        <w:rPr>
          <w:rFonts w:ascii="Times New Roman" w:hAnsi="Times New Roman"/>
        </w:rPr>
      </w:pPr>
    </w:p>
    <w:p w:rsidRPr="005D7415" w:rsidR="008F6CDA" w:rsidP="009C0D27" w:rsidRDefault="008F6CDA" w14:paraId="33B4E0C8" w14:textId="77777777">
      <w:pPr>
        <w:autoSpaceDE w:val="0"/>
        <w:autoSpaceDN w:val="0"/>
        <w:adjustRightInd w:val="0"/>
        <w:rPr>
          <w:szCs w:val="24"/>
        </w:rPr>
      </w:pPr>
      <w:r w:rsidRPr="005D7415">
        <w:rPr>
          <w:szCs w:val="24"/>
        </w:rPr>
        <w:t xml:space="preserve">            The Guidance is based on three key principles that are designed to ensure that incentive compensation arrangements at a banking organization do not encourage employees to take excessive risks.  These principles provide that incentive compensation arrangements should:</w:t>
      </w:r>
    </w:p>
    <w:p w:rsidRPr="005D7415" w:rsidR="008F6CDA" w:rsidP="009C0D27" w:rsidRDefault="008F6CDA" w14:paraId="3D2030C6" w14:textId="77777777">
      <w:pPr>
        <w:autoSpaceDE w:val="0"/>
        <w:autoSpaceDN w:val="0"/>
        <w:adjustRightInd w:val="0"/>
        <w:rPr>
          <w:szCs w:val="24"/>
        </w:rPr>
      </w:pPr>
    </w:p>
    <w:p w:rsidRPr="005D7415" w:rsidR="008F6CDA" w:rsidP="00481DD2" w:rsidRDefault="008F6CDA" w14:paraId="16FBE6C9" w14:textId="77777777">
      <w:pPr>
        <w:numPr>
          <w:ilvl w:val="0"/>
          <w:numId w:val="26"/>
        </w:numPr>
        <w:autoSpaceDE w:val="0"/>
        <w:autoSpaceDN w:val="0"/>
        <w:adjustRightInd w:val="0"/>
        <w:rPr>
          <w:szCs w:val="24"/>
        </w:rPr>
      </w:pPr>
      <w:r w:rsidRPr="005D7415">
        <w:rPr>
          <w:szCs w:val="24"/>
        </w:rPr>
        <w:t xml:space="preserve">Provide employees incentives that do not encourage excessive risk-taking beyond the organization’s ability to effectively identify and manage risk; </w:t>
      </w:r>
    </w:p>
    <w:p w:rsidRPr="005D7415" w:rsidR="008F6CDA" w:rsidP="00481DD2" w:rsidRDefault="008F6CDA" w14:paraId="58D1721A" w14:textId="77777777">
      <w:pPr>
        <w:numPr>
          <w:ilvl w:val="0"/>
          <w:numId w:val="26"/>
        </w:numPr>
        <w:autoSpaceDE w:val="0"/>
        <w:autoSpaceDN w:val="0"/>
        <w:adjustRightInd w:val="0"/>
        <w:rPr>
          <w:szCs w:val="24"/>
        </w:rPr>
      </w:pPr>
      <w:r w:rsidRPr="005D7415">
        <w:rPr>
          <w:szCs w:val="24"/>
        </w:rPr>
        <w:t xml:space="preserve">Be compatible with effective controls and risk management; and </w:t>
      </w:r>
    </w:p>
    <w:p w:rsidRPr="005D7415" w:rsidR="008F6CDA" w:rsidP="00481DD2" w:rsidRDefault="008F6CDA" w14:paraId="76133B6A" w14:textId="77777777">
      <w:pPr>
        <w:numPr>
          <w:ilvl w:val="0"/>
          <w:numId w:val="26"/>
        </w:numPr>
        <w:autoSpaceDE w:val="0"/>
        <w:autoSpaceDN w:val="0"/>
        <w:adjustRightInd w:val="0"/>
        <w:rPr>
          <w:szCs w:val="24"/>
        </w:rPr>
      </w:pPr>
      <w:r w:rsidRPr="005D7415">
        <w:rPr>
          <w:szCs w:val="24"/>
        </w:rPr>
        <w:t>Be supported by strong corporate governance, including active and effective oversight by the organization’s board of directors.</w:t>
      </w:r>
    </w:p>
    <w:p w:rsidRPr="005D7415" w:rsidR="008F6CDA" w:rsidP="009A2369" w:rsidRDefault="008F6CDA" w14:paraId="5ADB47E5" w14:textId="77777777">
      <w:pPr>
        <w:autoSpaceDE w:val="0"/>
        <w:autoSpaceDN w:val="0"/>
        <w:adjustRightInd w:val="0"/>
        <w:rPr>
          <w:szCs w:val="24"/>
        </w:rPr>
      </w:pPr>
    </w:p>
    <w:p w:rsidRPr="005D7415" w:rsidR="008F6CDA" w:rsidP="009A2369" w:rsidRDefault="008F6CDA" w14:paraId="2961F5BB" w14:textId="2834EAA6">
      <w:pPr>
        <w:autoSpaceDE w:val="0"/>
        <w:autoSpaceDN w:val="0"/>
        <w:adjustRightInd w:val="0"/>
        <w:rPr>
          <w:szCs w:val="24"/>
        </w:rPr>
      </w:pPr>
      <w:r w:rsidRPr="005D7415">
        <w:rPr>
          <w:szCs w:val="24"/>
        </w:rPr>
        <w:t xml:space="preserve">            The Guidance and its underlying principles are consistent with the Principles for Sound Compensation Practices adopted by the Financial Stability Board (FSB) in April 2009 as well as the Implementation Standards for those principles issued by the FSB in September 2009.</w:t>
      </w:r>
    </w:p>
    <w:p w:rsidRPr="005D7415" w:rsidR="008F6CDA" w:rsidP="00D9339C" w:rsidRDefault="008F6CDA" w14:paraId="2E1CE319" w14:textId="77777777">
      <w:pPr>
        <w:pStyle w:val="BlockText"/>
        <w:spacing w:line="240" w:lineRule="auto"/>
        <w:ind w:left="0"/>
        <w:rPr>
          <w:rFonts w:ascii="Times New Roman" w:hAnsi="Times New Roman"/>
        </w:rPr>
      </w:pPr>
    </w:p>
    <w:p w:rsidRPr="005D7415" w:rsidR="008F6CDA" w:rsidP="00D9339C" w:rsidRDefault="008F6CDA" w14:paraId="2540F998" w14:textId="49ADC93E">
      <w:pPr>
        <w:pStyle w:val="BlockText"/>
        <w:spacing w:line="240" w:lineRule="auto"/>
        <w:ind w:left="0"/>
        <w:rPr>
          <w:rFonts w:ascii="Times New Roman" w:hAnsi="Times New Roman"/>
        </w:rPr>
      </w:pPr>
      <w:r w:rsidRPr="005D7415">
        <w:rPr>
          <w:rFonts w:ascii="Times New Roman" w:hAnsi="Times New Roman"/>
        </w:rPr>
        <w:t xml:space="preserve">            </w:t>
      </w:r>
      <w:r w:rsidRPr="005D7415" w:rsidR="0028113C">
        <w:rPr>
          <w:rFonts w:ascii="Times New Roman" w:hAnsi="Times New Roman"/>
        </w:rPr>
        <w:t>The</w:t>
      </w:r>
      <w:r w:rsidRPr="005D7415">
        <w:rPr>
          <w:rFonts w:ascii="Times New Roman" w:hAnsi="Times New Roman"/>
        </w:rPr>
        <w:t xml:space="preserve"> Guidance promotes the </w:t>
      </w:r>
      <w:r w:rsidR="00E32E16">
        <w:rPr>
          <w:rFonts w:ascii="Times New Roman" w:hAnsi="Times New Roman"/>
        </w:rPr>
        <w:t>establishment and maintenance of safe and sound</w:t>
      </w:r>
      <w:r w:rsidRPr="005D7415" w:rsidR="00E32E16">
        <w:rPr>
          <w:rFonts w:ascii="Times New Roman" w:hAnsi="Times New Roman"/>
        </w:rPr>
        <w:t xml:space="preserve"> </w:t>
      </w:r>
      <w:r w:rsidRPr="005D7415">
        <w:rPr>
          <w:rFonts w:ascii="Times New Roman" w:hAnsi="Times New Roman"/>
        </w:rPr>
        <w:t>incentive compensation practices in the banking industry by providing a common prudential foundation for incentive compensation arrangements across banking organizations and promoting the overall movement of the industry towards better practices.  Supervisory action plays a critical role in addressing misaligned compensation incentives, especially where issues of competition may make it difficult for individual fi</w:t>
      </w:r>
      <w:r w:rsidRPr="005D7415" w:rsidR="0028113C">
        <w:rPr>
          <w:rFonts w:ascii="Times New Roman" w:hAnsi="Times New Roman"/>
        </w:rPr>
        <w:t xml:space="preserve">rms to act alone.  </w:t>
      </w:r>
      <w:r w:rsidR="00563A6A">
        <w:rPr>
          <w:rFonts w:ascii="Times New Roman" w:hAnsi="Times New Roman"/>
        </w:rPr>
        <w:t>With the application of</w:t>
      </w:r>
      <w:r w:rsidRPr="005D7415" w:rsidR="0028113C">
        <w:rPr>
          <w:rFonts w:ascii="Times New Roman" w:hAnsi="Times New Roman"/>
        </w:rPr>
        <w:t xml:space="preserve"> the</w:t>
      </w:r>
      <w:r w:rsidRPr="005D7415">
        <w:rPr>
          <w:rFonts w:ascii="Times New Roman" w:hAnsi="Times New Roman"/>
        </w:rPr>
        <w:t xml:space="preserve"> Guidance, supervisors help to better align the interests of managers and other employees with the long-term health of the organizations for which they work while also relieving any competitive concerns among the banking organizations.  </w:t>
      </w:r>
    </w:p>
    <w:p w:rsidRPr="005D7415" w:rsidR="008F6CDA" w:rsidRDefault="008F6CDA" w14:paraId="48B408F2" w14:textId="77777777">
      <w:pPr>
        <w:rPr>
          <w:szCs w:val="24"/>
        </w:rPr>
      </w:pPr>
    </w:p>
    <w:p w:rsidRPr="005D7415" w:rsidR="00853EC2" w:rsidRDefault="00853EC2" w14:paraId="3DC805C1" w14:textId="77777777">
      <w:pPr>
        <w:pStyle w:val="BodyText"/>
        <w:rPr>
          <w:b/>
          <w:bCs/>
          <w:szCs w:val="24"/>
        </w:rPr>
      </w:pPr>
    </w:p>
    <w:p w:rsidRPr="005D7415" w:rsidR="00853EC2" w:rsidRDefault="00853EC2" w14:paraId="3D918EC9" w14:textId="77777777">
      <w:pPr>
        <w:pStyle w:val="BodyText"/>
        <w:rPr>
          <w:b/>
          <w:bCs/>
          <w:szCs w:val="24"/>
        </w:rPr>
      </w:pPr>
    </w:p>
    <w:p w:rsidRPr="005D7415" w:rsidR="008F6CDA" w:rsidRDefault="008F6CDA" w14:paraId="141F8E69" w14:textId="77777777">
      <w:pPr>
        <w:pStyle w:val="BodyText"/>
        <w:rPr>
          <w:b/>
          <w:bCs/>
          <w:szCs w:val="24"/>
        </w:rPr>
      </w:pPr>
      <w:r w:rsidRPr="005D7415">
        <w:rPr>
          <w:b/>
          <w:bCs/>
          <w:szCs w:val="24"/>
        </w:rPr>
        <w:lastRenderedPageBreak/>
        <w:t>2.  Use of the information:</w:t>
      </w:r>
    </w:p>
    <w:p w:rsidRPr="005D7415" w:rsidR="008F6CDA" w:rsidRDefault="008F6CDA" w14:paraId="19A7205F" w14:textId="77777777">
      <w:pPr>
        <w:pStyle w:val="Footer"/>
        <w:tabs>
          <w:tab w:val="clear" w:pos="4320"/>
          <w:tab w:val="clear" w:pos="8640"/>
        </w:tabs>
        <w:rPr>
          <w:szCs w:val="24"/>
        </w:rPr>
      </w:pPr>
    </w:p>
    <w:p w:rsidR="00A9135B" w:rsidP="00A9135B" w:rsidRDefault="008F6CDA" w14:paraId="7A4C46D8" w14:textId="77777777">
      <w:pPr>
        <w:pStyle w:val="BodyText"/>
        <w:rPr>
          <w:i w:val="0"/>
          <w:szCs w:val="24"/>
        </w:rPr>
      </w:pPr>
      <w:r w:rsidRPr="005D7415">
        <w:rPr>
          <w:i w:val="0"/>
          <w:szCs w:val="24"/>
        </w:rPr>
        <w:t xml:space="preserve">            </w:t>
      </w:r>
      <w:r w:rsidRPr="00C80297" w:rsidR="00A9135B">
        <w:rPr>
          <w:i w:val="0"/>
          <w:szCs w:val="24"/>
        </w:rPr>
        <w:t xml:space="preserve">Under the guidance, each </w:t>
      </w:r>
      <w:r w:rsidR="00A9135B">
        <w:rPr>
          <w:i w:val="0"/>
          <w:szCs w:val="24"/>
        </w:rPr>
        <w:t xml:space="preserve">large </w:t>
      </w:r>
      <w:r w:rsidRPr="00C80297" w:rsidR="00A9135B">
        <w:rPr>
          <w:i w:val="0"/>
          <w:szCs w:val="24"/>
        </w:rPr>
        <w:t xml:space="preserve">national bank and </w:t>
      </w:r>
      <w:r w:rsidR="00A9135B">
        <w:rPr>
          <w:i w:val="0"/>
          <w:szCs w:val="24"/>
        </w:rPr>
        <w:t>F</w:t>
      </w:r>
      <w:r w:rsidRPr="00C80297" w:rsidR="00A9135B">
        <w:rPr>
          <w:i w:val="0"/>
          <w:szCs w:val="24"/>
        </w:rPr>
        <w:t xml:space="preserve">ederal savings association </w:t>
      </w:r>
      <w:r w:rsidR="00A9135B">
        <w:rPr>
          <w:i w:val="0"/>
          <w:szCs w:val="24"/>
        </w:rPr>
        <w:t>should</w:t>
      </w:r>
      <w:r w:rsidRPr="00C80297" w:rsidR="00A9135B">
        <w:rPr>
          <w:i w:val="0"/>
          <w:szCs w:val="24"/>
        </w:rPr>
        <w:t>:  (</w:t>
      </w:r>
      <w:proofErr w:type="spellStart"/>
      <w:r w:rsidRPr="00C80297" w:rsidR="00A9135B">
        <w:rPr>
          <w:i w:val="0"/>
          <w:szCs w:val="24"/>
        </w:rPr>
        <w:t>i</w:t>
      </w:r>
      <w:proofErr w:type="spellEnd"/>
      <w:r w:rsidRPr="00C80297" w:rsidR="00A9135B">
        <w:rPr>
          <w:i w:val="0"/>
          <w:szCs w:val="24"/>
        </w:rPr>
        <w:t xml:space="preserve">) have policies and procedures that identify and describe the role(s) of the personnel and units authorized to be involved in </w:t>
      </w:r>
      <w:r w:rsidR="00A9135B">
        <w:rPr>
          <w:i w:val="0"/>
          <w:szCs w:val="24"/>
        </w:rPr>
        <w:t>the design, implementation, and monitoring of</w:t>
      </w:r>
      <w:r w:rsidRPr="00C80297" w:rsidR="00A9135B">
        <w:rPr>
          <w:i w:val="0"/>
          <w:szCs w:val="24"/>
        </w:rPr>
        <w:t xml:space="preserve"> incentive compensation arrangements, identify the source of significant risk-related </w:t>
      </w:r>
      <w:r w:rsidR="00A9135B">
        <w:rPr>
          <w:i w:val="0"/>
          <w:szCs w:val="24"/>
        </w:rPr>
        <w:t>inputs into these processes and</w:t>
      </w:r>
      <w:r w:rsidRPr="00C80297" w:rsidR="00A9135B">
        <w:rPr>
          <w:i w:val="0"/>
          <w:szCs w:val="24"/>
        </w:rPr>
        <w:t xml:space="preserve"> establish appropriate controls governing </w:t>
      </w:r>
      <w:r w:rsidR="00A9135B">
        <w:rPr>
          <w:i w:val="0"/>
          <w:szCs w:val="24"/>
        </w:rPr>
        <w:t>the development and approval of these inputs</w:t>
      </w:r>
      <w:r w:rsidRPr="00C80297" w:rsidR="00A9135B">
        <w:rPr>
          <w:i w:val="0"/>
          <w:szCs w:val="24"/>
        </w:rPr>
        <w:t xml:space="preserve"> to help ensure their </w:t>
      </w:r>
      <w:r w:rsidR="00A9135B">
        <w:rPr>
          <w:i w:val="0"/>
          <w:szCs w:val="24"/>
        </w:rPr>
        <w:t>integrity</w:t>
      </w:r>
      <w:r w:rsidRPr="00C80297" w:rsidR="00A9135B">
        <w:rPr>
          <w:i w:val="0"/>
          <w:szCs w:val="24"/>
        </w:rPr>
        <w:t xml:space="preserve">, and identify the individual(s) and unit(s) whose approval is necessary for the establishment </w:t>
      </w:r>
      <w:r w:rsidR="00A9135B">
        <w:rPr>
          <w:i w:val="0"/>
          <w:szCs w:val="24"/>
        </w:rPr>
        <w:t xml:space="preserve">of new incentive compensation arrangements </w:t>
      </w:r>
      <w:r w:rsidRPr="00C80297" w:rsidR="00A9135B">
        <w:rPr>
          <w:i w:val="0"/>
          <w:szCs w:val="24"/>
        </w:rPr>
        <w:t>or modification of incentive compensation arrangements; (ii) have any material exceptions or adjustments to the incentive compensation arrangements established for senior executives approved and documented by its board of directors; and (i</w:t>
      </w:r>
      <w:r w:rsidR="00A9135B">
        <w:rPr>
          <w:i w:val="0"/>
          <w:szCs w:val="24"/>
        </w:rPr>
        <w:t>ii</w:t>
      </w:r>
      <w:r w:rsidRPr="00C80297" w:rsidR="00A9135B">
        <w:rPr>
          <w:i w:val="0"/>
          <w:szCs w:val="24"/>
        </w:rPr>
        <w:t>) have its board of directors receive and review, on an annual or more frequent basis, an assessment by management of the effectiveness of the design and operation of the organization’s incentive compensation system in providing risk-taking incentives that are consistent with the organization’s safety and soundness.</w:t>
      </w:r>
      <w:r w:rsidR="00A9135B">
        <w:rPr>
          <w:i w:val="0"/>
          <w:szCs w:val="24"/>
        </w:rPr>
        <w:t xml:space="preserve">  </w:t>
      </w:r>
    </w:p>
    <w:p w:rsidR="00A9135B" w:rsidP="00A9135B" w:rsidRDefault="00A9135B" w14:paraId="44270B40" w14:textId="77777777">
      <w:pPr>
        <w:pStyle w:val="BodyText"/>
        <w:rPr>
          <w:i w:val="0"/>
          <w:szCs w:val="24"/>
        </w:rPr>
      </w:pPr>
    </w:p>
    <w:p w:rsidRPr="005D7415" w:rsidR="008F6CDA" w:rsidP="00A9135B" w:rsidRDefault="00A9135B" w14:paraId="253ED2EB" w14:textId="7281F921">
      <w:pPr>
        <w:pStyle w:val="BodyText"/>
        <w:rPr>
          <w:i w:val="0"/>
          <w:iCs w:val="0"/>
          <w:szCs w:val="24"/>
        </w:rPr>
      </w:pPr>
      <w:r>
        <w:rPr>
          <w:i w:val="0"/>
          <w:szCs w:val="24"/>
        </w:rPr>
        <w:t xml:space="preserve">             Application of the guidance to banking organizations will vary with their size and complexity, and monitoring methods for small banks are not directly tied to these </w:t>
      </w:r>
      <w:r w:rsidR="003E2746">
        <w:rPr>
          <w:i w:val="0"/>
          <w:szCs w:val="24"/>
        </w:rPr>
        <w:t>three</w:t>
      </w:r>
      <w:r>
        <w:rPr>
          <w:i w:val="0"/>
          <w:szCs w:val="24"/>
        </w:rPr>
        <w:t xml:space="preserve"> policies and procedures.  In addition, the guidance states that all banks should</w:t>
      </w:r>
      <w:r w:rsidRPr="00C80297">
        <w:rPr>
          <w:i w:val="0"/>
          <w:szCs w:val="24"/>
        </w:rPr>
        <w:t xml:space="preserve"> create and maintain </w:t>
      </w:r>
      <w:proofErr w:type="gramStart"/>
      <w:r w:rsidRPr="00C80297">
        <w:rPr>
          <w:i w:val="0"/>
          <w:szCs w:val="24"/>
        </w:rPr>
        <w:t>sufficient</w:t>
      </w:r>
      <w:proofErr w:type="gramEnd"/>
      <w:r w:rsidRPr="00C80297">
        <w:rPr>
          <w:i w:val="0"/>
          <w:szCs w:val="24"/>
        </w:rPr>
        <w:t xml:space="preserve"> documentation to permit an audit of the organization’s processes for developing and administering incentive compensation arrangements</w:t>
      </w:r>
      <w:r>
        <w:rPr>
          <w:i w:val="0"/>
          <w:szCs w:val="24"/>
        </w:rPr>
        <w:t>.</w:t>
      </w:r>
      <w:r w:rsidRPr="00C80297">
        <w:rPr>
          <w:i w:val="0"/>
          <w:color w:val="000000"/>
          <w:szCs w:val="24"/>
        </w:rPr>
        <w:br/>
      </w:r>
    </w:p>
    <w:p w:rsidRPr="005D7415" w:rsidR="008F6CDA" w:rsidRDefault="008F6CDA" w14:paraId="762E525E" w14:textId="77777777">
      <w:pPr>
        <w:rPr>
          <w:b/>
          <w:bCs/>
          <w:i/>
          <w:iCs/>
          <w:szCs w:val="24"/>
        </w:rPr>
      </w:pPr>
      <w:r w:rsidRPr="005D7415">
        <w:rPr>
          <w:b/>
          <w:bCs/>
          <w:i/>
          <w:iCs/>
          <w:szCs w:val="24"/>
        </w:rPr>
        <w:t>3.  Consideration of the use of improved information technology:</w:t>
      </w:r>
    </w:p>
    <w:p w:rsidRPr="005D7415" w:rsidR="008F6CDA" w:rsidRDefault="008F6CDA" w14:paraId="6A1AC78C" w14:textId="77777777">
      <w:pPr>
        <w:rPr>
          <w:szCs w:val="24"/>
        </w:rPr>
      </w:pPr>
    </w:p>
    <w:p w:rsidRPr="005D7415" w:rsidR="008F6CDA" w:rsidRDefault="008F6CDA" w14:paraId="2066392D" w14:textId="77777777">
      <w:pPr>
        <w:pStyle w:val="BodyText"/>
        <w:rPr>
          <w:i w:val="0"/>
          <w:iCs w:val="0"/>
          <w:szCs w:val="24"/>
        </w:rPr>
      </w:pPr>
      <w:r w:rsidRPr="005D7415">
        <w:rPr>
          <w:i w:val="0"/>
          <w:iCs w:val="0"/>
          <w:szCs w:val="24"/>
        </w:rPr>
        <w:t xml:space="preserve">            National banks </w:t>
      </w:r>
      <w:r w:rsidRPr="005D7415" w:rsidR="008B501D">
        <w:rPr>
          <w:i w:val="0"/>
          <w:iCs w:val="0"/>
          <w:szCs w:val="24"/>
        </w:rPr>
        <w:t xml:space="preserve">and Federal savings associations </w:t>
      </w:r>
      <w:r w:rsidRPr="005D7415">
        <w:rPr>
          <w:i w:val="0"/>
          <w:iCs w:val="0"/>
          <w:szCs w:val="24"/>
        </w:rPr>
        <w:t>may use any information technology that permits review by OCC examiners.</w:t>
      </w:r>
    </w:p>
    <w:p w:rsidRPr="005D7415" w:rsidR="008F6CDA" w:rsidRDefault="008F6CDA" w14:paraId="0CAC3BBB" w14:textId="77777777">
      <w:pPr>
        <w:rPr>
          <w:szCs w:val="24"/>
        </w:rPr>
      </w:pPr>
    </w:p>
    <w:p w:rsidRPr="005D7415" w:rsidR="008F6CDA" w:rsidRDefault="008F6CDA" w14:paraId="467C3A3E" w14:textId="77777777">
      <w:pPr>
        <w:rPr>
          <w:b/>
          <w:bCs/>
          <w:i/>
          <w:iCs/>
          <w:szCs w:val="24"/>
        </w:rPr>
      </w:pPr>
      <w:r w:rsidRPr="005D7415">
        <w:rPr>
          <w:b/>
          <w:bCs/>
          <w:i/>
          <w:iCs/>
          <w:szCs w:val="24"/>
        </w:rPr>
        <w:t>4.  Efforts to identify duplication:</w:t>
      </w:r>
    </w:p>
    <w:p w:rsidRPr="005D7415" w:rsidR="008F6CDA" w:rsidRDefault="008F6CDA" w14:paraId="26D3370A" w14:textId="77777777">
      <w:pPr>
        <w:rPr>
          <w:szCs w:val="24"/>
        </w:rPr>
      </w:pPr>
    </w:p>
    <w:p w:rsidRPr="005D7415" w:rsidR="008F6CDA" w:rsidRDefault="008F6CDA" w14:paraId="0FF33E4C" w14:textId="77777777">
      <w:pPr>
        <w:rPr>
          <w:szCs w:val="24"/>
        </w:rPr>
      </w:pPr>
      <w:r w:rsidRPr="005D7415">
        <w:rPr>
          <w:szCs w:val="24"/>
        </w:rPr>
        <w:t xml:space="preserve">            The required information is unique and is not duplicative of any other information already collected.</w:t>
      </w:r>
    </w:p>
    <w:p w:rsidRPr="005D7415" w:rsidR="008F6CDA" w:rsidRDefault="008F6CDA" w14:paraId="01A99DEA" w14:textId="77777777">
      <w:pPr>
        <w:rPr>
          <w:szCs w:val="24"/>
        </w:rPr>
      </w:pPr>
    </w:p>
    <w:p w:rsidR="002144E2" w:rsidP="002144E2" w:rsidRDefault="002144E2" w14:paraId="59B29CD2" w14:textId="0CDDD37C">
      <w:pPr>
        <w:pStyle w:val="BodyText"/>
        <w:widowControl w:val="0"/>
        <w:ind w:left="100" w:right="861"/>
        <w:rPr>
          <w:b/>
          <w:i w:val="0"/>
        </w:rPr>
      </w:pPr>
      <w:r>
        <w:rPr>
          <w:b/>
          <w:bCs/>
        </w:rPr>
        <w:t xml:space="preserve">5.  </w:t>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p>
    <w:p w:rsidR="002144E2" w:rsidP="002144E2" w:rsidRDefault="002144E2" w14:paraId="34371282" w14:textId="77777777"/>
    <w:p w:rsidR="002144E2" w:rsidP="002144E2" w:rsidRDefault="002144E2" w14:paraId="3FCDE67C" w14:textId="6D5B7851">
      <w:pPr>
        <w:ind w:firstLine="720"/>
        <w:rPr>
          <w:color w:val="000000"/>
        </w:rPr>
      </w:pPr>
      <w:r>
        <w:rPr>
          <w:color w:val="000000"/>
        </w:rPr>
        <w:t>There are no alternatives that would lower the burden on small institutions, while still accomplishing the purpose of the guidance.</w:t>
      </w:r>
    </w:p>
    <w:p w:rsidRPr="005D7415" w:rsidR="008F6CDA" w:rsidRDefault="008F6CDA" w14:paraId="426274EE" w14:textId="34952027">
      <w:pPr>
        <w:rPr>
          <w:szCs w:val="24"/>
        </w:rPr>
      </w:pPr>
    </w:p>
    <w:p w:rsidRPr="005D7415" w:rsidR="008F6CDA" w:rsidRDefault="008F6CDA" w14:paraId="562CB39D" w14:textId="77777777">
      <w:pPr>
        <w:pStyle w:val="BodyText"/>
        <w:rPr>
          <w:b/>
          <w:bCs/>
          <w:szCs w:val="24"/>
        </w:rPr>
      </w:pPr>
      <w:r w:rsidRPr="005D7415">
        <w:rPr>
          <w:b/>
          <w:bCs/>
          <w:szCs w:val="24"/>
        </w:rPr>
        <w:t>6.  Consequences to the Federal program if the collection were conducted less frequently:</w:t>
      </w:r>
    </w:p>
    <w:p w:rsidRPr="005D7415" w:rsidR="008F6CDA" w:rsidRDefault="008F6CDA" w14:paraId="0BF3701F" w14:textId="77777777">
      <w:pPr>
        <w:rPr>
          <w:szCs w:val="24"/>
        </w:rPr>
      </w:pPr>
    </w:p>
    <w:p w:rsidRPr="005D7415" w:rsidR="008F6CDA" w:rsidRDefault="008F6CDA" w14:paraId="1520FFD3" w14:textId="77777777">
      <w:pPr>
        <w:rPr>
          <w:szCs w:val="24"/>
        </w:rPr>
      </w:pPr>
      <w:r w:rsidRPr="005D7415">
        <w:rPr>
          <w:szCs w:val="24"/>
        </w:rPr>
        <w:t xml:space="preserve">            Conducting the collection less frequently would present safety and soundness risks.</w:t>
      </w:r>
    </w:p>
    <w:p w:rsidR="003A69B2" w:rsidRDefault="003A69B2" w14:paraId="1CA0FDAB" w14:textId="77777777">
      <w:pPr>
        <w:pStyle w:val="BodyText"/>
        <w:rPr>
          <w:b/>
          <w:bCs/>
          <w:szCs w:val="24"/>
        </w:rPr>
      </w:pPr>
    </w:p>
    <w:p w:rsidRPr="005D7415" w:rsidR="008F6CDA" w:rsidRDefault="008F6CDA" w14:paraId="15F3C72A" w14:textId="77777777">
      <w:pPr>
        <w:pStyle w:val="BodyText"/>
        <w:rPr>
          <w:b/>
          <w:bCs/>
          <w:szCs w:val="24"/>
        </w:rPr>
      </w:pPr>
      <w:r w:rsidRPr="005D7415">
        <w:rPr>
          <w:b/>
          <w:bCs/>
          <w:szCs w:val="24"/>
        </w:rPr>
        <w:t>7.  Special circumstances that would cause an information collection to be conducted in a manner inconsistent with 5 CFR Part 1320:</w:t>
      </w:r>
    </w:p>
    <w:p w:rsidRPr="005D7415" w:rsidR="008F6CDA" w:rsidRDefault="008F6CDA" w14:paraId="442C5F17" w14:textId="77777777">
      <w:pPr>
        <w:rPr>
          <w:szCs w:val="24"/>
        </w:rPr>
      </w:pPr>
    </w:p>
    <w:p w:rsidRPr="005D7415" w:rsidR="008F6CDA" w:rsidRDefault="008F6CDA" w14:paraId="7548BE1C" w14:textId="77777777">
      <w:pPr>
        <w:rPr>
          <w:szCs w:val="24"/>
        </w:rPr>
      </w:pPr>
      <w:r w:rsidRPr="005D7415">
        <w:rPr>
          <w:szCs w:val="24"/>
        </w:rPr>
        <w:lastRenderedPageBreak/>
        <w:t xml:space="preserve">            The information collection will be conducted in a manner consistent with 5 CFR Part 1320.</w:t>
      </w:r>
    </w:p>
    <w:p w:rsidRPr="005D7415" w:rsidR="008F6CDA" w:rsidRDefault="008F6CDA" w14:paraId="02B22054" w14:textId="77777777">
      <w:pPr>
        <w:rPr>
          <w:szCs w:val="24"/>
        </w:rPr>
      </w:pPr>
    </w:p>
    <w:p w:rsidRPr="005D7415" w:rsidR="008F6CDA" w:rsidRDefault="008F6CDA" w14:paraId="068ED637" w14:textId="77777777">
      <w:pPr>
        <w:pStyle w:val="BodyText"/>
        <w:rPr>
          <w:b/>
          <w:bCs/>
          <w:szCs w:val="24"/>
        </w:rPr>
      </w:pPr>
      <w:r w:rsidRPr="005D7415">
        <w:rPr>
          <w:b/>
          <w:bCs/>
          <w:szCs w:val="24"/>
        </w:rPr>
        <w:t>8. Efforts to consult with persons outside the agency:</w:t>
      </w:r>
    </w:p>
    <w:p w:rsidRPr="005D7415" w:rsidR="008F6CDA" w:rsidRDefault="008F6CDA" w14:paraId="30BCA917" w14:textId="77777777">
      <w:pPr>
        <w:pStyle w:val="BodyText"/>
        <w:rPr>
          <w:b/>
          <w:bCs/>
          <w:szCs w:val="24"/>
        </w:rPr>
      </w:pPr>
    </w:p>
    <w:p w:rsidR="006A38BC" w:rsidP="00881DB8" w:rsidRDefault="00A3164E" w14:paraId="62FE3360" w14:textId="1199F278">
      <w:pPr>
        <w:autoSpaceDE w:val="0"/>
        <w:autoSpaceDN w:val="0"/>
        <w:adjustRightInd w:val="0"/>
        <w:ind w:firstLine="720"/>
        <w:rPr>
          <w:iCs/>
          <w:szCs w:val="24"/>
        </w:rPr>
      </w:pPr>
      <w:r w:rsidRPr="005D7415">
        <w:rPr>
          <w:iCs/>
          <w:szCs w:val="24"/>
        </w:rPr>
        <w:t>On</w:t>
      </w:r>
      <w:r w:rsidR="001769F8">
        <w:rPr>
          <w:iCs/>
          <w:szCs w:val="24"/>
        </w:rPr>
        <w:t xml:space="preserve"> December 12</w:t>
      </w:r>
      <w:r w:rsidRPr="005D7415">
        <w:rPr>
          <w:iCs/>
          <w:szCs w:val="24"/>
        </w:rPr>
        <w:t>,</w:t>
      </w:r>
      <w:r w:rsidR="00881DB8">
        <w:rPr>
          <w:iCs/>
          <w:szCs w:val="24"/>
        </w:rPr>
        <w:t xml:space="preserve"> 2019,</w:t>
      </w:r>
      <w:r w:rsidRPr="005D7415">
        <w:rPr>
          <w:iCs/>
          <w:szCs w:val="24"/>
        </w:rPr>
        <w:t xml:space="preserve"> the OCC issued a 60-day notice soliciting comment on the information collection</w:t>
      </w:r>
      <w:r w:rsidR="00881DB8">
        <w:rPr>
          <w:iCs/>
          <w:szCs w:val="24"/>
        </w:rPr>
        <w:t>, 84</w:t>
      </w:r>
      <w:r w:rsidRPr="005D7415">
        <w:rPr>
          <w:iCs/>
          <w:szCs w:val="24"/>
        </w:rPr>
        <w:t xml:space="preserve"> FR </w:t>
      </w:r>
      <w:r w:rsidR="001769F8">
        <w:rPr>
          <w:iCs/>
          <w:szCs w:val="24"/>
        </w:rPr>
        <w:t>68012</w:t>
      </w:r>
      <w:r w:rsidRPr="005D7415">
        <w:rPr>
          <w:iCs/>
          <w:szCs w:val="24"/>
        </w:rPr>
        <w:t xml:space="preserve">.  </w:t>
      </w:r>
      <w:r w:rsidR="000A2B81">
        <w:rPr>
          <w:iCs/>
          <w:szCs w:val="24"/>
        </w:rPr>
        <w:t>No comments were received.</w:t>
      </w:r>
    </w:p>
    <w:p w:rsidR="00881DB8" w:rsidP="00881DB8" w:rsidRDefault="00881DB8" w14:paraId="7ED8E2DD" w14:textId="77777777">
      <w:pPr>
        <w:autoSpaceDE w:val="0"/>
        <w:autoSpaceDN w:val="0"/>
        <w:adjustRightInd w:val="0"/>
        <w:ind w:firstLine="720"/>
        <w:rPr>
          <w:b/>
          <w:bCs/>
          <w:szCs w:val="24"/>
        </w:rPr>
      </w:pPr>
    </w:p>
    <w:p w:rsidRPr="005D7415" w:rsidR="008F6CDA" w:rsidRDefault="008F6CDA" w14:paraId="64B0FACB" w14:textId="5D25F7CA">
      <w:pPr>
        <w:pStyle w:val="BodyText"/>
        <w:rPr>
          <w:b/>
          <w:bCs/>
          <w:szCs w:val="24"/>
        </w:rPr>
      </w:pPr>
      <w:r w:rsidRPr="005D7415">
        <w:rPr>
          <w:b/>
          <w:bCs/>
          <w:szCs w:val="24"/>
        </w:rPr>
        <w:t>9.  Payment or gift to respondents:</w:t>
      </w:r>
    </w:p>
    <w:p w:rsidRPr="005D7415" w:rsidR="008F6CDA" w:rsidRDefault="008F6CDA" w14:paraId="74921F60" w14:textId="77777777">
      <w:pPr>
        <w:rPr>
          <w:szCs w:val="24"/>
        </w:rPr>
      </w:pPr>
    </w:p>
    <w:p w:rsidRPr="005D7415" w:rsidR="008F6CDA" w:rsidRDefault="008F6CDA" w14:paraId="24CA99B7" w14:textId="77777777">
      <w:pPr>
        <w:rPr>
          <w:szCs w:val="24"/>
        </w:rPr>
      </w:pPr>
      <w:r w:rsidRPr="005D7415">
        <w:rPr>
          <w:szCs w:val="24"/>
        </w:rPr>
        <w:t xml:space="preserve">            None.</w:t>
      </w:r>
    </w:p>
    <w:p w:rsidRPr="005D7415" w:rsidR="008F6CDA" w:rsidRDefault="008F6CDA" w14:paraId="0B77D46E" w14:textId="77777777">
      <w:pPr>
        <w:rPr>
          <w:szCs w:val="24"/>
        </w:rPr>
      </w:pPr>
    </w:p>
    <w:p w:rsidRPr="005D7415" w:rsidR="008F6CDA" w:rsidRDefault="008F6CDA" w14:paraId="0F1D365D" w14:textId="77777777">
      <w:pPr>
        <w:pStyle w:val="BodyText"/>
        <w:rPr>
          <w:b/>
          <w:bCs/>
          <w:szCs w:val="24"/>
        </w:rPr>
      </w:pPr>
      <w:r w:rsidRPr="005D7415">
        <w:rPr>
          <w:b/>
          <w:bCs/>
          <w:szCs w:val="24"/>
        </w:rPr>
        <w:t>10.  Any assurance of confidentiality:</w:t>
      </w:r>
    </w:p>
    <w:p w:rsidRPr="005D7415" w:rsidR="008F6CDA" w:rsidRDefault="008F6CDA" w14:paraId="6EBB3C50" w14:textId="77777777">
      <w:pPr>
        <w:rPr>
          <w:szCs w:val="24"/>
        </w:rPr>
      </w:pPr>
    </w:p>
    <w:p w:rsidRPr="005D7415" w:rsidR="008F6CDA" w:rsidRDefault="008F6CDA" w14:paraId="2005C18D" w14:textId="77777777">
      <w:pPr>
        <w:rPr>
          <w:szCs w:val="24"/>
        </w:rPr>
      </w:pPr>
      <w:r w:rsidRPr="005D7415">
        <w:rPr>
          <w:szCs w:val="24"/>
        </w:rPr>
        <w:t xml:space="preserve">            </w:t>
      </w:r>
      <w:r w:rsidRPr="005D7415" w:rsidR="0008093E">
        <w:rPr>
          <w:szCs w:val="24"/>
        </w:rPr>
        <w:t>The information is kept confidential to the extent permitted by law.</w:t>
      </w:r>
    </w:p>
    <w:p w:rsidRPr="005D7415" w:rsidR="008F6CDA" w:rsidRDefault="008F6CDA" w14:paraId="17DEF4B3" w14:textId="77777777">
      <w:pPr>
        <w:rPr>
          <w:szCs w:val="24"/>
        </w:rPr>
      </w:pPr>
    </w:p>
    <w:p w:rsidRPr="005D7415" w:rsidR="008F6CDA" w:rsidRDefault="008F6CDA" w14:paraId="5F5E2C86" w14:textId="77777777">
      <w:pPr>
        <w:pStyle w:val="BodyText"/>
        <w:rPr>
          <w:b/>
          <w:bCs/>
          <w:szCs w:val="24"/>
        </w:rPr>
      </w:pPr>
      <w:r w:rsidRPr="005D7415">
        <w:rPr>
          <w:b/>
          <w:bCs/>
          <w:szCs w:val="24"/>
        </w:rPr>
        <w:t>11.  Justification for questions of a sensitive nature:</w:t>
      </w:r>
    </w:p>
    <w:p w:rsidRPr="005D7415" w:rsidR="008F6CDA" w:rsidRDefault="008F6CDA" w14:paraId="3ADF050B" w14:textId="77777777">
      <w:pPr>
        <w:rPr>
          <w:szCs w:val="24"/>
        </w:rPr>
      </w:pPr>
    </w:p>
    <w:p w:rsidRPr="005D7415" w:rsidR="008F6CDA" w:rsidRDefault="008F6CDA" w14:paraId="18D15436" w14:textId="77777777">
      <w:pPr>
        <w:rPr>
          <w:szCs w:val="24"/>
        </w:rPr>
      </w:pPr>
      <w:r w:rsidRPr="005D7415">
        <w:rPr>
          <w:szCs w:val="24"/>
        </w:rPr>
        <w:t xml:space="preserve">            There are no questions of a sensitive nature.</w:t>
      </w:r>
    </w:p>
    <w:p w:rsidRPr="005D7415" w:rsidR="008F6CDA" w:rsidRDefault="008F6CDA" w14:paraId="31984D98" w14:textId="77777777">
      <w:pPr>
        <w:pStyle w:val="BodyText"/>
        <w:rPr>
          <w:b/>
          <w:bCs/>
          <w:szCs w:val="24"/>
        </w:rPr>
      </w:pPr>
    </w:p>
    <w:p w:rsidRPr="00E14F20" w:rsidR="008F6CDA" w:rsidRDefault="008F6CDA" w14:paraId="3AE59FFA" w14:textId="77777777">
      <w:pPr>
        <w:pStyle w:val="BodyText"/>
        <w:rPr>
          <w:b/>
          <w:bCs/>
          <w:szCs w:val="24"/>
        </w:rPr>
      </w:pPr>
      <w:r w:rsidRPr="00E14F20">
        <w:rPr>
          <w:b/>
          <w:bCs/>
          <w:szCs w:val="24"/>
        </w:rPr>
        <w:t>12.  Burden estimate:</w:t>
      </w:r>
    </w:p>
    <w:p w:rsidRPr="00E14F20" w:rsidR="008F6CDA" w:rsidP="007077F7" w:rsidRDefault="008F6CDA" w14:paraId="163718E8" w14:textId="77777777">
      <w:pPr>
        <w:pStyle w:val="BodyText"/>
        <w:rPr>
          <w:i w:val="0"/>
          <w:color w:val="000000"/>
          <w:szCs w:val="24"/>
          <w:u w:val="single"/>
        </w:rPr>
      </w:pPr>
    </w:p>
    <w:p w:rsidRPr="00E14F20" w:rsidR="00836250" w:rsidP="00836250" w:rsidRDefault="00836250" w14:paraId="3A7DD47E" w14:textId="77777777">
      <w:pPr>
        <w:rPr>
          <w:szCs w:val="24"/>
        </w:rPr>
      </w:pPr>
    </w:p>
    <w:p w:rsidRPr="00E14F20" w:rsidR="00836250" w:rsidP="00836250" w:rsidRDefault="00836250" w14:paraId="084DAB46" w14:textId="4CC4B7D3">
      <w:pPr>
        <w:pStyle w:val="BodyText"/>
        <w:rPr>
          <w:rStyle w:val="documentbody1"/>
          <w:rFonts w:ascii="Times New Roman" w:hAnsi="Times New Roman"/>
          <w:i w:val="0"/>
          <w:iCs w:val="0"/>
          <w:color w:val="000000"/>
          <w:sz w:val="24"/>
          <w:szCs w:val="24"/>
        </w:rPr>
      </w:pPr>
      <w:r w:rsidRPr="00E14F20">
        <w:rPr>
          <w:i w:val="0"/>
          <w:iCs w:val="0"/>
          <w:color w:val="000000"/>
          <w:szCs w:val="24"/>
        </w:rPr>
        <w:t xml:space="preserve">             </w:t>
      </w:r>
      <w:r w:rsidRPr="00E14F20">
        <w:rPr>
          <w:i w:val="0"/>
          <w:iCs w:val="0"/>
          <w:color w:val="000000"/>
          <w:szCs w:val="24"/>
          <w:u w:val="single"/>
        </w:rPr>
        <w:t xml:space="preserve">Estimated </w:t>
      </w:r>
      <w:r w:rsidRPr="00E14F20">
        <w:rPr>
          <w:rStyle w:val="documentbody1"/>
          <w:rFonts w:ascii="Times New Roman" w:hAnsi="Times New Roman"/>
          <w:i w:val="0"/>
          <w:iCs w:val="0"/>
          <w:color w:val="000000"/>
          <w:sz w:val="24"/>
          <w:szCs w:val="24"/>
          <w:u w:val="single"/>
        </w:rPr>
        <w:t>Number of Respondents for Yearly Maintenance</w:t>
      </w:r>
      <w:r w:rsidRPr="00E14F20">
        <w:rPr>
          <w:rStyle w:val="documentbody1"/>
          <w:rFonts w:ascii="Times New Roman" w:hAnsi="Times New Roman"/>
          <w:i w:val="0"/>
          <w:iCs w:val="0"/>
          <w:color w:val="000000"/>
          <w:sz w:val="24"/>
          <w:szCs w:val="24"/>
        </w:rPr>
        <w:t xml:space="preserve">:  </w:t>
      </w:r>
      <w:r w:rsidR="000A2B81">
        <w:rPr>
          <w:rStyle w:val="documentbody1"/>
          <w:rFonts w:ascii="Times New Roman" w:hAnsi="Times New Roman"/>
          <w:i w:val="0"/>
          <w:iCs w:val="0"/>
          <w:color w:val="000000"/>
          <w:sz w:val="24"/>
          <w:szCs w:val="24"/>
        </w:rPr>
        <w:t>1,146 (</w:t>
      </w:r>
      <w:r w:rsidRPr="00E14F20">
        <w:rPr>
          <w:rStyle w:val="documentbody1"/>
          <w:rFonts w:ascii="Times New Roman" w:hAnsi="Times New Roman"/>
          <w:i w:val="0"/>
          <w:iCs w:val="0"/>
          <w:color w:val="000000"/>
          <w:sz w:val="24"/>
          <w:szCs w:val="24"/>
        </w:rPr>
        <w:t>41 large banks; 1,105 small banks</w:t>
      </w:r>
      <w:r w:rsidR="000A2B81">
        <w:rPr>
          <w:rStyle w:val="documentbody1"/>
          <w:rFonts w:ascii="Times New Roman" w:hAnsi="Times New Roman"/>
          <w:i w:val="0"/>
          <w:iCs w:val="0"/>
          <w:color w:val="000000"/>
          <w:sz w:val="24"/>
          <w:szCs w:val="24"/>
        </w:rPr>
        <w:t>)</w:t>
      </w:r>
      <w:r w:rsidRPr="00E14F20">
        <w:rPr>
          <w:rStyle w:val="documentbody1"/>
          <w:rFonts w:ascii="Times New Roman" w:hAnsi="Times New Roman"/>
          <w:i w:val="0"/>
          <w:iCs w:val="0"/>
          <w:color w:val="000000"/>
          <w:sz w:val="24"/>
          <w:szCs w:val="24"/>
        </w:rPr>
        <w:t>.</w:t>
      </w:r>
    </w:p>
    <w:p w:rsidRPr="00E14F20" w:rsidR="00836250" w:rsidP="00836250" w:rsidRDefault="00836250" w14:paraId="26B04EC9" w14:textId="77777777">
      <w:pPr>
        <w:pStyle w:val="BodyText"/>
        <w:rPr>
          <w:rStyle w:val="documentbody1"/>
          <w:rFonts w:ascii="Times New Roman" w:hAnsi="Times New Roman"/>
          <w:i w:val="0"/>
          <w:iCs w:val="0"/>
          <w:color w:val="000000"/>
          <w:sz w:val="24"/>
          <w:szCs w:val="24"/>
        </w:rPr>
      </w:pPr>
    </w:p>
    <w:p w:rsidRPr="00E14F20" w:rsidR="00836250" w:rsidP="00836250" w:rsidRDefault="00836250" w14:paraId="54CB2AE4" w14:textId="3F558499">
      <w:pPr>
        <w:pStyle w:val="BodyText"/>
        <w:rPr>
          <w:rStyle w:val="documentbody1"/>
          <w:rFonts w:ascii="Times New Roman" w:hAnsi="Times New Roman"/>
          <w:i w:val="0"/>
          <w:iCs w:val="0"/>
          <w:color w:val="000000"/>
          <w:sz w:val="24"/>
          <w:szCs w:val="24"/>
        </w:rPr>
      </w:pPr>
      <w:r w:rsidRPr="00E14F20">
        <w:rPr>
          <w:rStyle w:val="documentbody1"/>
          <w:rFonts w:ascii="Times New Roman" w:hAnsi="Times New Roman"/>
          <w:i w:val="0"/>
          <w:iCs w:val="0"/>
          <w:color w:val="000000"/>
          <w:sz w:val="24"/>
          <w:szCs w:val="24"/>
        </w:rPr>
        <w:t>        </w:t>
      </w:r>
      <w:r w:rsidR="00E14F20">
        <w:rPr>
          <w:rStyle w:val="documentbody1"/>
          <w:rFonts w:ascii="Times New Roman" w:hAnsi="Times New Roman"/>
          <w:i w:val="0"/>
          <w:iCs w:val="0"/>
          <w:color w:val="000000"/>
          <w:sz w:val="24"/>
          <w:szCs w:val="24"/>
        </w:rPr>
        <w:t xml:space="preserve">   </w:t>
      </w:r>
      <w:r w:rsidRPr="00E14F20">
        <w:rPr>
          <w:rStyle w:val="documentbody1"/>
          <w:rFonts w:ascii="Times New Roman" w:hAnsi="Times New Roman"/>
          <w:i w:val="0"/>
          <w:iCs w:val="0"/>
          <w:color w:val="000000"/>
          <w:sz w:val="24"/>
          <w:szCs w:val="24"/>
        </w:rPr>
        <w:t xml:space="preserve">  </w:t>
      </w:r>
      <w:r w:rsidRPr="00E14F20">
        <w:rPr>
          <w:i w:val="0"/>
          <w:iCs w:val="0"/>
          <w:color w:val="000000"/>
          <w:szCs w:val="24"/>
          <w:u w:val="single"/>
        </w:rPr>
        <w:t xml:space="preserve">Estimated </w:t>
      </w:r>
      <w:r w:rsidRPr="00E14F20">
        <w:rPr>
          <w:rStyle w:val="documentbody1"/>
          <w:rFonts w:ascii="Times New Roman" w:hAnsi="Times New Roman"/>
          <w:i w:val="0"/>
          <w:iCs w:val="0"/>
          <w:color w:val="000000"/>
          <w:sz w:val="24"/>
          <w:szCs w:val="24"/>
          <w:u w:val="single"/>
        </w:rPr>
        <w:t>Number of Respondents for Setup</w:t>
      </w:r>
      <w:r w:rsidRPr="00E14F20">
        <w:rPr>
          <w:rStyle w:val="documentbody1"/>
          <w:rFonts w:ascii="Times New Roman" w:hAnsi="Times New Roman"/>
          <w:i w:val="0"/>
          <w:iCs w:val="0"/>
          <w:color w:val="000000"/>
          <w:sz w:val="24"/>
          <w:szCs w:val="24"/>
        </w:rPr>
        <w:t>:  1 large bank; 1 small bank.</w:t>
      </w:r>
    </w:p>
    <w:p w:rsidRPr="00E14F20" w:rsidR="00836250" w:rsidP="00836250" w:rsidRDefault="00836250" w14:paraId="11395DAC" w14:textId="18441F72">
      <w:pPr>
        <w:pStyle w:val="BodyText"/>
        <w:rPr>
          <w:rStyle w:val="documentbody1"/>
          <w:rFonts w:ascii="Times New Roman" w:hAnsi="Times New Roman"/>
          <w:i w:val="0"/>
          <w:iCs w:val="0"/>
          <w:color w:val="000000"/>
          <w:sz w:val="24"/>
          <w:szCs w:val="24"/>
        </w:rPr>
      </w:pPr>
      <w:r w:rsidRPr="00E14F20">
        <w:rPr>
          <w:i w:val="0"/>
          <w:iCs w:val="0"/>
          <w:color w:val="000000"/>
          <w:szCs w:val="24"/>
        </w:rPr>
        <w:br/>
        <w:t xml:space="preserve">             </w:t>
      </w:r>
      <w:r w:rsidRPr="00E14F20">
        <w:rPr>
          <w:rStyle w:val="documentbody1"/>
          <w:rFonts w:ascii="Times New Roman" w:hAnsi="Times New Roman"/>
          <w:i w:val="0"/>
          <w:iCs w:val="0"/>
          <w:color w:val="000000"/>
          <w:sz w:val="24"/>
          <w:szCs w:val="24"/>
          <w:u w:val="single"/>
        </w:rPr>
        <w:t>Estimated Burden per Respondent</w:t>
      </w:r>
      <w:r w:rsidRPr="00E14F20">
        <w:rPr>
          <w:rStyle w:val="documentbody1"/>
          <w:rFonts w:ascii="Times New Roman" w:hAnsi="Times New Roman"/>
          <w:i w:val="0"/>
          <w:iCs w:val="0"/>
          <w:color w:val="000000"/>
          <w:sz w:val="24"/>
          <w:szCs w:val="24"/>
        </w:rPr>
        <w:t>:  520 hours (480 for setup; 40 for yearly maintenance) for large banks; 120 hours (</w:t>
      </w:r>
      <w:r w:rsidR="00036BBA">
        <w:rPr>
          <w:rStyle w:val="documentbody1"/>
          <w:rFonts w:ascii="Times New Roman" w:hAnsi="Times New Roman"/>
          <w:i w:val="0"/>
          <w:iCs w:val="0"/>
          <w:color w:val="000000"/>
          <w:sz w:val="24"/>
          <w:szCs w:val="24"/>
        </w:rPr>
        <w:t>60</w:t>
      </w:r>
      <w:r w:rsidRPr="00E14F20" w:rsidR="00036BBA">
        <w:rPr>
          <w:rStyle w:val="documentbody1"/>
          <w:rFonts w:ascii="Times New Roman" w:hAnsi="Times New Roman"/>
          <w:i w:val="0"/>
          <w:iCs w:val="0"/>
          <w:color w:val="000000"/>
          <w:sz w:val="24"/>
          <w:szCs w:val="24"/>
        </w:rPr>
        <w:t xml:space="preserve"> </w:t>
      </w:r>
      <w:r w:rsidRPr="00E14F20">
        <w:rPr>
          <w:rStyle w:val="documentbody1"/>
          <w:rFonts w:ascii="Times New Roman" w:hAnsi="Times New Roman"/>
          <w:i w:val="0"/>
          <w:iCs w:val="0"/>
          <w:color w:val="000000"/>
          <w:sz w:val="24"/>
          <w:szCs w:val="24"/>
        </w:rPr>
        <w:t xml:space="preserve">for setup; </w:t>
      </w:r>
      <w:r w:rsidR="00036BBA">
        <w:rPr>
          <w:rStyle w:val="documentbody1"/>
          <w:rFonts w:ascii="Times New Roman" w:hAnsi="Times New Roman"/>
          <w:i w:val="0"/>
          <w:iCs w:val="0"/>
          <w:color w:val="000000"/>
          <w:sz w:val="24"/>
          <w:szCs w:val="24"/>
        </w:rPr>
        <w:t>30</w:t>
      </w:r>
      <w:r w:rsidRPr="00E14F20" w:rsidR="00036BBA">
        <w:rPr>
          <w:rStyle w:val="documentbody1"/>
          <w:rFonts w:ascii="Times New Roman" w:hAnsi="Times New Roman"/>
          <w:i w:val="0"/>
          <w:iCs w:val="0"/>
          <w:color w:val="000000"/>
          <w:sz w:val="24"/>
          <w:szCs w:val="24"/>
        </w:rPr>
        <w:t xml:space="preserve"> </w:t>
      </w:r>
      <w:r w:rsidRPr="00E14F20">
        <w:rPr>
          <w:rStyle w:val="documentbody1"/>
          <w:rFonts w:ascii="Times New Roman" w:hAnsi="Times New Roman"/>
          <w:i w:val="0"/>
          <w:iCs w:val="0"/>
          <w:color w:val="000000"/>
          <w:sz w:val="24"/>
          <w:szCs w:val="24"/>
        </w:rPr>
        <w:t>for yearly maintenance) for small banks.</w:t>
      </w:r>
    </w:p>
    <w:p w:rsidRPr="00E14F20" w:rsidR="00836250" w:rsidP="00836250" w:rsidRDefault="00836250" w14:paraId="60CB5817" w14:textId="77777777">
      <w:pPr>
        <w:pStyle w:val="BodyText"/>
        <w:rPr>
          <w:rStyle w:val="documentbody1"/>
          <w:rFonts w:ascii="Times New Roman" w:hAnsi="Times New Roman"/>
          <w:i w:val="0"/>
          <w:iCs w:val="0"/>
          <w:color w:val="000000"/>
          <w:sz w:val="24"/>
          <w:szCs w:val="24"/>
        </w:rPr>
      </w:pPr>
      <w:r w:rsidRPr="00E14F20">
        <w:rPr>
          <w:i w:val="0"/>
          <w:iCs w:val="0"/>
          <w:color w:val="000000"/>
          <w:szCs w:val="24"/>
        </w:rPr>
        <w:br/>
        <w:t xml:space="preserve">             </w:t>
      </w:r>
      <w:r w:rsidRPr="00E14F20">
        <w:rPr>
          <w:rStyle w:val="documentbody1"/>
          <w:rFonts w:ascii="Times New Roman" w:hAnsi="Times New Roman"/>
          <w:i w:val="0"/>
          <w:iCs w:val="0"/>
          <w:color w:val="000000"/>
          <w:sz w:val="24"/>
          <w:szCs w:val="24"/>
          <w:u w:val="single"/>
        </w:rPr>
        <w:t>Frequency of Response</w:t>
      </w:r>
      <w:r w:rsidRPr="00E14F20">
        <w:rPr>
          <w:rStyle w:val="documentbody1"/>
          <w:rFonts w:ascii="Times New Roman" w:hAnsi="Times New Roman"/>
          <w:i w:val="0"/>
          <w:iCs w:val="0"/>
          <w:color w:val="000000"/>
          <w:sz w:val="24"/>
          <w:szCs w:val="24"/>
        </w:rPr>
        <w:t>:  Annually.</w:t>
      </w:r>
    </w:p>
    <w:p w:rsidRPr="00E14F20" w:rsidR="00836250" w:rsidP="00836250" w:rsidRDefault="00836250" w14:paraId="73FF4491" w14:textId="08771A81">
      <w:pPr>
        <w:pStyle w:val="BodyText"/>
        <w:rPr>
          <w:szCs w:val="24"/>
        </w:rPr>
      </w:pPr>
      <w:r w:rsidRPr="00E14F20">
        <w:rPr>
          <w:color w:val="000000"/>
          <w:szCs w:val="24"/>
        </w:rPr>
        <w:br/>
        <w:t xml:space="preserve">             </w:t>
      </w:r>
      <w:r w:rsidRPr="00E14F20">
        <w:rPr>
          <w:rStyle w:val="documentbody1"/>
          <w:rFonts w:ascii="Times New Roman" w:hAnsi="Times New Roman"/>
          <w:i w:val="0"/>
          <w:iCs w:val="0"/>
          <w:color w:val="000000"/>
          <w:sz w:val="24"/>
          <w:szCs w:val="24"/>
          <w:u w:val="single"/>
        </w:rPr>
        <w:t>Total Annual Burden</w:t>
      </w:r>
      <w:r w:rsidRPr="00E14F20">
        <w:rPr>
          <w:rStyle w:val="documentbody1"/>
          <w:rFonts w:ascii="Times New Roman" w:hAnsi="Times New Roman"/>
          <w:i w:val="0"/>
          <w:iCs w:val="0"/>
          <w:color w:val="000000"/>
          <w:sz w:val="24"/>
          <w:szCs w:val="24"/>
        </w:rPr>
        <w:t xml:space="preserve">:  </w:t>
      </w:r>
      <w:r w:rsidR="00036BBA">
        <w:rPr>
          <w:rStyle w:val="documentbody1"/>
          <w:rFonts w:ascii="Times New Roman" w:hAnsi="Times New Roman"/>
          <w:i w:val="0"/>
          <w:iCs w:val="0"/>
          <w:color w:val="000000"/>
          <w:sz w:val="24"/>
          <w:szCs w:val="24"/>
        </w:rPr>
        <w:t>35,330</w:t>
      </w:r>
      <w:r w:rsidRPr="00E14F20">
        <w:rPr>
          <w:rStyle w:val="documentbody1"/>
          <w:rFonts w:ascii="Times New Roman" w:hAnsi="Times New Roman"/>
          <w:i w:val="0"/>
          <w:iCs w:val="0"/>
          <w:color w:val="000000"/>
          <w:sz w:val="24"/>
          <w:szCs w:val="24"/>
        </w:rPr>
        <w:t xml:space="preserve"> hours. </w:t>
      </w:r>
      <w:r w:rsidRPr="00E14F20">
        <w:rPr>
          <w:szCs w:val="24"/>
        </w:rPr>
        <w:t>                                      </w:t>
      </w:r>
    </w:p>
    <w:p w:rsidRPr="00E14F20" w:rsidR="008F6CDA" w:rsidRDefault="008F6CDA" w14:paraId="729D8FE9" w14:textId="77777777">
      <w:pPr>
        <w:rPr>
          <w:szCs w:val="24"/>
        </w:rPr>
      </w:pPr>
    </w:p>
    <w:p w:rsidRPr="005D7415" w:rsidR="008F6CDA" w:rsidRDefault="008F6CDA" w14:paraId="21A6CE90" w14:textId="77777777">
      <w:pPr>
        <w:pStyle w:val="BodyText"/>
        <w:rPr>
          <w:b/>
          <w:bCs/>
          <w:szCs w:val="24"/>
        </w:rPr>
      </w:pPr>
      <w:r w:rsidRPr="00E14F20">
        <w:rPr>
          <w:b/>
          <w:bCs/>
          <w:szCs w:val="24"/>
        </w:rPr>
        <w:t>13.  Estimate of total annual costs</w:t>
      </w:r>
      <w:r w:rsidRPr="005D7415">
        <w:rPr>
          <w:b/>
          <w:bCs/>
          <w:szCs w:val="24"/>
        </w:rPr>
        <w:t xml:space="preserve"> to respondents (excluding cost of hour burden in Item #12):</w:t>
      </w:r>
    </w:p>
    <w:p w:rsidRPr="005D7415" w:rsidR="008F6CDA" w:rsidRDefault="008F6CDA" w14:paraId="174F39F7" w14:textId="77777777">
      <w:pPr>
        <w:rPr>
          <w:szCs w:val="24"/>
        </w:rPr>
      </w:pPr>
    </w:p>
    <w:p w:rsidRPr="005D7415" w:rsidR="008F6CDA" w:rsidRDefault="008F6CDA" w14:paraId="556F6F6D" w14:textId="77777777">
      <w:pPr>
        <w:rPr>
          <w:szCs w:val="24"/>
        </w:rPr>
      </w:pPr>
      <w:r w:rsidRPr="005D7415">
        <w:rPr>
          <w:szCs w:val="24"/>
        </w:rPr>
        <w:t xml:space="preserve">             Not applicable.</w:t>
      </w:r>
    </w:p>
    <w:p w:rsidRPr="005D7415" w:rsidR="008F6CDA" w:rsidRDefault="008F6CDA" w14:paraId="2F12995E" w14:textId="77777777">
      <w:pPr>
        <w:rPr>
          <w:szCs w:val="24"/>
        </w:rPr>
      </w:pPr>
    </w:p>
    <w:p w:rsidRPr="005D7415" w:rsidR="008F6CDA" w:rsidRDefault="008F6CDA" w14:paraId="77926CC8" w14:textId="77777777">
      <w:pPr>
        <w:pStyle w:val="BodyText"/>
        <w:rPr>
          <w:b/>
          <w:bCs/>
          <w:szCs w:val="24"/>
        </w:rPr>
      </w:pPr>
      <w:r w:rsidRPr="005D7415">
        <w:rPr>
          <w:b/>
          <w:bCs/>
          <w:szCs w:val="24"/>
        </w:rPr>
        <w:t>14.  Estimate of annualized costs to the Federal government:</w:t>
      </w:r>
    </w:p>
    <w:p w:rsidRPr="005D7415" w:rsidR="008F6CDA" w:rsidRDefault="008F6CDA" w14:paraId="4764395B" w14:textId="77777777">
      <w:pPr>
        <w:pStyle w:val="Footer"/>
        <w:tabs>
          <w:tab w:val="clear" w:pos="4320"/>
          <w:tab w:val="clear" w:pos="8640"/>
        </w:tabs>
        <w:rPr>
          <w:szCs w:val="24"/>
        </w:rPr>
      </w:pPr>
    </w:p>
    <w:p w:rsidRPr="005D7415" w:rsidR="00CA76A8" w:rsidP="00D653B8" w:rsidRDefault="008F6CDA" w14:paraId="6AF925E8" w14:textId="77777777">
      <w:pPr>
        <w:rPr>
          <w:szCs w:val="24"/>
        </w:rPr>
      </w:pPr>
      <w:r w:rsidRPr="005D7415">
        <w:rPr>
          <w:szCs w:val="24"/>
        </w:rPr>
        <w:t xml:space="preserve">             Not applicable.</w:t>
      </w:r>
    </w:p>
    <w:p w:rsidR="006A38BC" w:rsidRDefault="006A38BC" w14:paraId="723200A4" w14:textId="77777777">
      <w:pPr>
        <w:pStyle w:val="BodyText"/>
        <w:rPr>
          <w:b/>
          <w:bCs/>
          <w:szCs w:val="24"/>
        </w:rPr>
      </w:pPr>
    </w:p>
    <w:p w:rsidR="00693D44" w:rsidRDefault="00693D44" w14:paraId="0B5E1EF9" w14:textId="77777777">
      <w:pPr>
        <w:pStyle w:val="BodyText"/>
        <w:rPr>
          <w:b/>
          <w:bCs/>
          <w:szCs w:val="24"/>
        </w:rPr>
      </w:pPr>
    </w:p>
    <w:p w:rsidRPr="005D7415" w:rsidR="008F6CDA" w:rsidRDefault="008F6CDA" w14:paraId="19EB5A1B" w14:textId="58067908">
      <w:pPr>
        <w:pStyle w:val="BodyText"/>
        <w:rPr>
          <w:b/>
          <w:bCs/>
          <w:szCs w:val="24"/>
        </w:rPr>
      </w:pPr>
      <w:r w:rsidRPr="005D7415">
        <w:rPr>
          <w:b/>
          <w:bCs/>
          <w:szCs w:val="24"/>
        </w:rPr>
        <w:t>15.  Change in burden:</w:t>
      </w:r>
    </w:p>
    <w:p w:rsidRPr="005D7415" w:rsidR="008F6CDA" w:rsidRDefault="008F6CDA" w14:paraId="74EC8477" w14:textId="77777777">
      <w:pPr>
        <w:rPr>
          <w:szCs w:val="24"/>
        </w:rPr>
      </w:pPr>
    </w:p>
    <w:p w:rsidRPr="005D7415" w:rsidR="008F6CDA" w:rsidRDefault="008F6CDA" w14:paraId="30A2AE16" w14:textId="77777777">
      <w:pPr>
        <w:rPr>
          <w:i/>
          <w:iCs/>
          <w:szCs w:val="24"/>
          <w:u w:val="single"/>
        </w:rPr>
      </w:pPr>
      <w:r w:rsidRPr="005D7415">
        <w:rPr>
          <w:i/>
          <w:iCs/>
          <w:szCs w:val="24"/>
          <w:u w:val="single"/>
        </w:rPr>
        <w:lastRenderedPageBreak/>
        <w:t>Former Burden:</w:t>
      </w:r>
    </w:p>
    <w:p w:rsidRPr="005D7415" w:rsidR="00CA76A8" w:rsidRDefault="00CA76A8" w14:paraId="6BFD4859" w14:textId="77777777">
      <w:pPr>
        <w:rPr>
          <w:i/>
          <w:iCs/>
          <w:szCs w:val="24"/>
          <w:u w:val="single"/>
        </w:rPr>
      </w:pPr>
    </w:p>
    <w:p w:rsidRPr="005D7415" w:rsidR="000A7631" w:rsidP="000A7631" w:rsidRDefault="00693D44" w14:paraId="6ECD6DAC" w14:textId="7D38AAA0">
      <w:pPr>
        <w:rPr>
          <w:szCs w:val="24"/>
        </w:rPr>
      </w:pPr>
      <w:r>
        <w:rPr>
          <w:szCs w:val="24"/>
        </w:rPr>
        <w:t>1,422</w:t>
      </w:r>
      <w:r w:rsidRPr="005D7415" w:rsidR="000A7631">
        <w:rPr>
          <w:szCs w:val="24"/>
        </w:rPr>
        <w:t xml:space="preserve"> respondents; </w:t>
      </w:r>
      <w:r>
        <w:rPr>
          <w:szCs w:val="24"/>
        </w:rPr>
        <w:t>187,040</w:t>
      </w:r>
      <w:r w:rsidRPr="005D7415" w:rsidR="000A7631">
        <w:rPr>
          <w:szCs w:val="24"/>
        </w:rPr>
        <w:t xml:space="preserve"> hours.</w:t>
      </w:r>
    </w:p>
    <w:p w:rsidRPr="005D7415" w:rsidR="008F6CDA" w:rsidRDefault="008F6CDA" w14:paraId="59F55CB0" w14:textId="77777777">
      <w:pPr>
        <w:rPr>
          <w:szCs w:val="24"/>
        </w:rPr>
      </w:pPr>
    </w:p>
    <w:p w:rsidRPr="005D7415" w:rsidR="008F6CDA" w:rsidRDefault="008F6CDA" w14:paraId="34F1B9DC" w14:textId="77777777">
      <w:pPr>
        <w:rPr>
          <w:i/>
          <w:iCs/>
          <w:szCs w:val="24"/>
          <w:u w:val="single"/>
        </w:rPr>
      </w:pPr>
      <w:r w:rsidRPr="005D7415">
        <w:rPr>
          <w:i/>
          <w:iCs/>
          <w:szCs w:val="24"/>
          <w:u w:val="single"/>
        </w:rPr>
        <w:t>New Burden:</w:t>
      </w:r>
    </w:p>
    <w:p w:rsidRPr="005D7415" w:rsidR="008F6CDA" w:rsidRDefault="008F6CDA" w14:paraId="3873F24E" w14:textId="77777777">
      <w:pPr>
        <w:rPr>
          <w:i/>
          <w:iCs/>
          <w:szCs w:val="24"/>
          <w:u w:val="single"/>
        </w:rPr>
      </w:pPr>
    </w:p>
    <w:p w:rsidRPr="005D7415" w:rsidR="001B166B" w:rsidRDefault="000A7631" w14:paraId="53237BD1" w14:textId="5C408248">
      <w:pPr>
        <w:rPr>
          <w:szCs w:val="24"/>
        </w:rPr>
      </w:pPr>
      <w:r w:rsidRPr="005D7415">
        <w:rPr>
          <w:szCs w:val="24"/>
        </w:rPr>
        <w:t>1,</w:t>
      </w:r>
      <w:r w:rsidR="00693D44">
        <w:rPr>
          <w:szCs w:val="24"/>
        </w:rPr>
        <w:t>146</w:t>
      </w:r>
      <w:r w:rsidRPr="005D7415">
        <w:rPr>
          <w:szCs w:val="24"/>
        </w:rPr>
        <w:t xml:space="preserve"> respondents; </w:t>
      </w:r>
      <w:r w:rsidR="00036BBA">
        <w:rPr>
          <w:szCs w:val="24"/>
        </w:rPr>
        <w:t>35,330</w:t>
      </w:r>
      <w:r w:rsidRPr="005D7415">
        <w:rPr>
          <w:szCs w:val="24"/>
        </w:rPr>
        <w:t xml:space="preserve"> hours.</w:t>
      </w:r>
    </w:p>
    <w:p w:rsidRPr="005D7415" w:rsidR="000A7631" w:rsidRDefault="000A7631" w14:paraId="1351E6D5" w14:textId="77777777">
      <w:pPr>
        <w:rPr>
          <w:szCs w:val="24"/>
        </w:rPr>
      </w:pPr>
    </w:p>
    <w:p w:rsidRPr="005D7415" w:rsidR="008F6CDA" w:rsidRDefault="008F6CDA" w14:paraId="48112E0E" w14:textId="77777777">
      <w:pPr>
        <w:rPr>
          <w:i/>
          <w:iCs/>
          <w:szCs w:val="24"/>
          <w:u w:val="single"/>
        </w:rPr>
      </w:pPr>
      <w:r w:rsidRPr="005D7415">
        <w:rPr>
          <w:i/>
          <w:iCs/>
          <w:szCs w:val="24"/>
          <w:u w:val="single"/>
        </w:rPr>
        <w:t>Difference:</w:t>
      </w:r>
    </w:p>
    <w:p w:rsidRPr="005D7415" w:rsidR="00CA76A8" w:rsidRDefault="00CA76A8" w14:paraId="56209D29" w14:textId="77777777">
      <w:pPr>
        <w:rPr>
          <w:szCs w:val="24"/>
        </w:rPr>
      </w:pPr>
    </w:p>
    <w:p w:rsidRPr="005D7415" w:rsidR="008F6CDA" w:rsidRDefault="000A7631" w14:paraId="3C3A1213" w14:textId="31D2DF92">
      <w:pPr>
        <w:rPr>
          <w:szCs w:val="24"/>
        </w:rPr>
      </w:pPr>
      <w:r w:rsidRPr="005D7415">
        <w:rPr>
          <w:szCs w:val="24"/>
        </w:rPr>
        <w:t>-</w:t>
      </w:r>
      <w:r w:rsidR="00693D44">
        <w:rPr>
          <w:szCs w:val="24"/>
        </w:rPr>
        <w:t>276</w:t>
      </w:r>
      <w:r w:rsidRPr="005D7415">
        <w:rPr>
          <w:szCs w:val="24"/>
        </w:rPr>
        <w:t xml:space="preserve"> respondents; </w:t>
      </w:r>
      <w:r w:rsidRPr="005D7415" w:rsidR="001B166B">
        <w:rPr>
          <w:szCs w:val="24"/>
        </w:rPr>
        <w:t xml:space="preserve">- </w:t>
      </w:r>
      <w:r w:rsidR="00036BBA">
        <w:rPr>
          <w:szCs w:val="24"/>
        </w:rPr>
        <w:t>151,710</w:t>
      </w:r>
      <w:r w:rsidRPr="005D7415" w:rsidR="001B166B">
        <w:rPr>
          <w:szCs w:val="24"/>
        </w:rPr>
        <w:t xml:space="preserve"> hours.</w:t>
      </w:r>
    </w:p>
    <w:p w:rsidR="00663C3C" w:rsidRDefault="00663C3C" w14:paraId="2CCC6008" w14:textId="031F4DF4">
      <w:pPr>
        <w:rPr>
          <w:szCs w:val="24"/>
        </w:rPr>
      </w:pPr>
    </w:p>
    <w:p w:rsidRPr="005D7415" w:rsidR="00663C3C" w:rsidRDefault="00663C3C" w14:paraId="34D627E3" w14:textId="01D7AE99">
      <w:pPr>
        <w:rPr>
          <w:szCs w:val="24"/>
        </w:rPr>
      </w:pPr>
      <w:r>
        <w:rPr>
          <w:szCs w:val="24"/>
        </w:rPr>
        <w:t>The reduction in burden is due to the decrease in the number of regulated entities</w:t>
      </w:r>
      <w:r w:rsidR="00036BBA">
        <w:rPr>
          <w:szCs w:val="24"/>
        </w:rPr>
        <w:t>,</w:t>
      </w:r>
      <w:r w:rsidR="00631B72">
        <w:rPr>
          <w:szCs w:val="24"/>
        </w:rPr>
        <w:t xml:space="preserve"> the removal of setup burden</w:t>
      </w:r>
      <w:r w:rsidR="00036BBA">
        <w:rPr>
          <w:szCs w:val="24"/>
        </w:rPr>
        <w:t>, and the adjustment of the burden for small entities, which was previously overstated</w:t>
      </w:r>
      <w:r>
        <w:rPr>
          <w:szCs w:val="24"/>
        </w:rPr>
        <w:t>.</w:t>
      </w:r>
    </w:p>
    <w:p w:rsidRPr="005D7415" w:rsidR="001B166B" w:rsidRDefault="001B166B" w14:paraId="50717E41" w14:textId="77777777">
      <w:pPr>
        <w:rPr>
          <w:szCs w:val="24"/>
        </w:rPr>
      </w:pPr>
    </w:p>
    <w:p w:rsidRPr="005D7415" w:rsidR="008F6CDA" w:rsidRDefault="008F6CDA" w14:paraId="2D055C1B" w14:textId="77777777">
      <w:pPr>
        <w:pStyle w:val="BodyText"/>
        <w:rPr>
          <w:b/>
          <w:bCs/>
          <w:szCs w:val="24"/>
        </w:rPr>
      </w:pPr>
      <w:r w:rsidRPr="005D7415">
        <w:rPr>
          <w:b/>
          <w:bCs/>
          <w:szCs w:val="24"/>
        </w:rPr>
        <w:t>16.  Information regarding collections whose results are to be published for statistical use:</w:t>
      </w:r>
    </w:p>
    <w:p w:rsidRPr="005D7415" w:rsidR="008F6CDA" w:rsidRDefault="008F6CDA" w14:paraId="41AB3F24" w14:textId="77777777">
      <w:pPr>
        <w:rPr>
          <w:szCs w:val="24"/>
        </w:rPr>
      </w:pPr>
    </w:p>
    <w:p w:rsidRPr="005D7415" w:rsidR="008F6CDA" w:rsidRDefault="008F6CDA" w14:paraId="61A21EEB" w14:textId="77777777">
      <w:pPr>
        <w:rPr>
          <w:szCs w:val="24"/>
        </w:rPr>
      </w:pPr>
      <w:r w:rsidRPr="005D7415">
        <w:rPr>
          <w:szCs w:val="24"/>
        </w:rPr>
        <w:t xml:space="preserve">             The OCC has no plans to publish the information for statistical purposes.</w:t>
      </w:r>
    </w:p>
    <w:p w:rsidRPr="005D7415" w:rsidR="008F6CDA" w:rsidRDefault="008F6CDA" w14:paraId="23890B38" w14:textId="77777777">
      <w:pPr>
        <w:rPr>
          <w:szCs w:val="24"/>
        </w:rPr>
      </w:pPr>
    </w:p>
    <w:p w:rsidRPr="005D7415" w:rsidR="008F6CDA" w:rsidRDefault="008F6CDA" w14:paraId="5B8021C2" w14:textId="77777777">
      <w:pPr>
        <w:pStyle w:val="BodyText"/>
        <w:rPr>
          <w:b/>
          <w:bCs/>
          <w:szCs w:val="24"/>
        </w:rPr>
      </w:pPr>
      <w:r w:rsidRPr="005D7415">
        <w:rPr>
          <w:b/>
          <w:bCs/>
          <w:szCs w:val="24"/>
        </w:rPr>
        <w:t>17.  Reasons for not displaying OMB approval expiration date:</w:t>
      </w:r>
    </w:p>
    <w:p w:rsidRPr="005D7415" w:rsidR="008F6CDA" w:rsidRDefault="008F6CDA" w14:paraId="5D9BF514" w14:textId="77777777">
      <w:pPr>
        <w:rPr>
          <w:szCs w:val="24"/>
        </w:rPr>
      </w:pPr>
    </w:p>
    <w:p w:rsidRPr="005D7415" w:rsidR="008F6CDA" w:rsidRDefault="008F6CDA" w14:paraId="4315E5CB" w14:textId="77777777">
      <w:pPr>
        <w:rPr>
          <w:szCs w:val="24"/>
        </w:rPr>
      </w:pPr>
      <w:r w:rsidRPr="005D7415">
        <w:rPr>
          <w:szCs w:val="24"/>
        </w:rPr>
        <w:t xml:space="preserve">             The OCC will display the OMB approval expiration date.</w:t>
      </w:r>
    </w:p>
    <w:p w:rsidRPr="005D7415" w:rsidR="008F6CDA" w:rsidRDefault="008F6CDA" w14:paraId="3A1D7B4E" w14:textId="77777777">
      <w:pPr>
        <w:rPr>
          <w:szCs w:val="24"/>
        </w:rPr>
      </w:pPr>
    </w:p>
    <w:p w:rsidRPr="005D7415" w:rsidR="008F6CDA" w:rsidRDefault="008F6CDA" w14:paraId="18104205" w14:textId="77777777">
      <w:pPr>
        <w:pStyle w:val="BodyText"/>
        <w:rPr>
          <w:b/>
          <w:bCs/>
          <w:szCs w:val="24"/>
        </w:rPr>
      </w:pPr>
      <w:r w:rsidRPr="005D7415">
        <w:rPr>
          <w:b/>
          <w:bCs/>
          <w:szCs w:val="24"/>
        </w:rPr>
        <w:t>18.  Exceptions to the certification statement:</w:t>
      </w:r>
    </w:p>
    <w:p w:rsidRPr="005D7415" w:rsidR="008F6CDA" w:rsidRDefault="008F6CDA" w14:paraId="42C175C2" w14:textId="77777777">
      <w:pPr>
        <w:rPr>
          <w:szCs w:val="24"/>
        </w:rPr>
      </w:pPr>
    </w:p>
    <w:p w:rsidRPr="005D7415" w:rsidR="008F6CDA" w:rsidRDefault="008F6CDA" w14:paraId="12CF794F" w14:textId="77777777">
      <w:pPr>
        <w:rPr>
          <w:szCs w:val="24"/>
        </w:rPr>
      </w:pPr>
      <w:r w:rsidRPr="005D7415">
        <w:rPr>
          <w:szCs w:val="24"/>
        </w:rPr>
        <w:t xml:space="preserve">              </w:t>
      </w:r>
      <w:r w:rsidRPr="005D7415" w:rsidR="00516EF0">
        <w:rPr>
          <w:szCs w:val="24"/>
        </w:rPr>
        <w:t>Not applicable.</w:t>
      </w:r>
    </w:p>
    <w:p w:rsidRPr="005D7415" w:rsidR="008F6CDA" w:rsidRDefault="008F6CDA" w14:paraId="3C6D7968" w14:textId="77777777">
      <w:pPr>
        <w:rPr>
          <w:b/>
          <w:bCs/>
          <w:szCs w:val="24"/>
        </w:rPr>
      </w:pPr>
    </w:p>
    <w:p w:rsidRPr="005D7415" w:rsidR="008F6CDA" w:rsidRDefault="008F6CDA" w14:paraId="4ED75CFA" w14:textId="77777777">
      <w:pPr>
        <w:rPr>
          <w:szCs w:val="24"/>
        </w:rPr>
      </w:pPr>
      <w:r w:rsidRPr="005D7415">
        <w:rPr>
          <w:b/>
          <w:bCs/>
          <w:szCs w:val="24"/>
        </w:rPr>
        <w:t>B.  Collections of Information Employing Statistical Methods.</w:t>
      </w:r>
    </w:p>
    <w:p w:rsidRPr="005D7415" w:rsidR="008F6CDA" w:rsidRDefault="008F6CDA" w14:paraId="3716C6A0" w14:textId="77777777">
      <w:pPr>
        <w:rPr>
          <w:szCs w:val="24"/>
        </w:rPr>
      </w:pPr>
    </w:p>
    <w:p w:rsidRPr="005D7415" w:rsidR="008F6CDA" w:rsidRDefault="008F6CDA" w14:paraId="7FCEBFDD" w14:textId="77777777">
      <w:pPr>
        <w:rPr>
          <w:szCs w:val="24"/>
        </w:rPr>
      </w:pPr>
      <w:r w:rsidRPr="005D7415">
        <w:rPr>
          <w:szCs w:val="24"/>
        </w:rPr>
        <w:t xml:space="preserve">              This information collection does not employ statistical methods.</w:t>
      </w:r>
    </w:p>
    <w:p w:rsidRPr="005D7415" w:rsidR="008F6CDA" w:rsidRDefault="008F6CDA" w14:paraId="39A37606" w14:textId="77777777">
      <w:pPr>
        <w:rPr>
          <w:szCs w:val="24"/>
        </w:rPr>
      </w:pPr>
    </w:p>
    <w:sectPr w:rsidRPr="005D7415" w:rsidR="008F6CDA" w:rsidSect="002465F3">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44B72" w14:textId="77777777" w:rsidR="000E64E7" w:rsidRDefault="000E64E7">
      <w:r>
        <w:separator/>
      </w:r>
    </w:p>
  </w:endnote>
  <w:endnote w:type="continuationSeparator" w:id="0">
    <w:p w14:paraId="19AF3FF2" w14:textId="77777777" w:rsidR="000E64E7" w:rsidRDefault="000E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E274B" w14:textId="77777777" w:rsidR="008F6CDA" w:rsidRDefault="008F6C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A62D7B" w14:textId="77777777" w:rsidR="008F6CDA" w:rsidRDefault="008F6C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EEE37" w14:textId="77777777" w:rsidR="008F6CDA" w:rsidRDefault="008F6C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1DB8">
      <w:rPr>
        <w:rStyle w:val="PageNumber"/>
        <w:noProof/>
      </w:rPr>
      <w:t>4</w:t>
    </w:r>
    <w:r>
      <w:rPr>
        <w:rStyle w:val="PageNumber"/>
      </w:rPr>
      <w:fldChar w:fldCharType="end"/>
    </w:r>
  </w:p>
  <w:p w14:paraId="10358E6C" w14:textId="77777777" w:rsidR="008F6CDA" w:rsidRDefault="008F6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F77BB" w14:textId="77777777" w:rsidR="000E64E7" w:rsidRDefault="000E64E7">
      <w:r>
        <w:separator/>
      </w:r>
    </w:p>
  </w:footnote>
  <w:footnote w:type="continuationSeparator" w:id="0">
    <w:p w14:paraId="221FF4D5" w14:textId="77777777" w:rsidR="000E64E7" w:rsidRDefault="000E64E7">
      <w:r>
        <w:continuationSeparator/>
      </w:r>
    </w:p>
  </w:footnote>
  <w:footnote w:id="1">
    <w:p w14:paraId="547D9266" w14:textId="77777777" w:rsidR="00A46D6C" w:rsidRDefault="00A46D6C">
      <w:pPr>
        <w:pStyle w:val="FootnoteText"/>
      </w:pPr>
      <w:r>
        <w:rPr>
          <w:rStyle w:val="FootnoteReference"/>
        </w:rPr>
        <w:footnoteRef/>
      </w:r>
      <w:r>
        <w:t xml:space="preserve"> 75 FR 36395 (June 25, 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191B"/>
    <w:multiLevelType w:val="hybridMultilevel"/>
    <w:tmpl w:val="0A2C7592"/>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180C26"/>
    <w:multiLevelType w:val="multilevel"/>
    <w:tmpl w:val="577EE89A"/>
    <w:lvl w:ilvl="0">
      <w:start w:val="1"/>
      <w:numFmt w:val="upperRoman"/>
      <w:suff w:val="nothing"/>
      <w:lvlText w:val="Article %1"/>
      <w:lvlJc w:val="left"/>
      <w:rPr>
        <w:rFonts w:cs="Times New Roman"/>
        <w:b w:val="0"/>
        <w:i w:val="0"/>
      </w:rPr>
    </w:lvl>
    <w:lvl w:ilvl="1">
      <w:start w:val="1"/>
      <w:numFmt w:val="decimal"/>
      <w:lvlText w:val="(%2)"/>
      <w:lvlJc w:val="left"/>
      <w:pPr>
        <w:tabs>
          <w:tab w:val="num" w:pos="36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 w15:restartNumberingAfterBreak="0">
    <w:nsid w:val="09703BD4"/>
    <w:multiLevelType w:val="hybridMultilevel"/>
    <w:tmpl w:val="D8F4A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CC1986"/>
    <w:multiLevelType w:val="multilevel"/>
    <w:tmpl w:val="CC36E874"/>
    <w:lvl w:ilvl="0">
      <w:start w:val="1"/>
      <w:numFmt w:val="upperRoman"/>
      <w:suff w:val="nothing"/>
      <w:lvlText w:val="Article %1"/>
      <w:lvlJc w:val="left"/>
      <w:rPr>
        <w:rFonts w:cs="Times New Roman"/>
        <w:b w:val="0"/>
        <w:i w:val="0"/>
      </w:rPr>
    </w:lvl>
    <w:lvl w:ilvl="1">
      <w:start w:val="1"/>
      <w:numFmt w:val="decimal"/>
      <w:lvlText w:val="(%2)"/>
      <w:lvlJc w:val="left"/>
      <w:pPr>
        <w:tabs>
          <w:tab w:val="num" w:pos="1080"/>
        </w:tabs>
        <w:ind w:firstLine="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 w15:restartNumberingAfterBreak="0">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757BC9"/>
    <w:multiLevelType w:val="hybridMultilevel"/>
    <w:tmpl w:val="1FDA58D6"/>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7844BA"/>
    <w:multiLevelType w:val="hybridMultilevel"/>
    <w:tmpl w:val="278ED19E"/>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487749"/>
    <w:multiLevelType w:val="hybridMultilevel"/>
    <w:tmpl w:val="ED206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183B22"/>
    <w:multiLevelType w:val="multilevel"/>
    <w:tmpl w:val="E124A508"/>
    <w:lvl w:ilvl="0">
      <w:start w:val="1"/>
      <w:numFmt w:val="upperRoman"/>
      <w:pStyle w:val="ArticleNumber"/>
      <w:suff w:val="nothing"/>
      <w:lvlText w:val="Article %1"/>
      <w:lvlJc w:val="left"/>
      <w:rPr>
        <w:rFonts w:cs="Times New Roman"/>
        <w:b w:val="0"/>
        <w:i w:val="0"/>
      </w:rPr>
    </w:lvl>
    <w:lvl w:ilvl="1">
      <w:start w:val="1"/>
      <w:numFmt w:val="decimal"/>
      <w:pStyle w:val="ArticleLevel1"/>
      <w:lvlText w:val="(%2)"/>
      <w:lvlJc w:val="left"/>
      <w:pPr>
        <w:tabs>
          <w:tab w:val="num" w:pos="1080"/>
        </w:tabs>
        <w:ind w:firstLine="720"/>
      </w:pPr>
      <w:rPr>
        <w:rFonts w:cs="Times New Roman"/>
      </w:rPr>
    </w:lvl>
    <w:lvl w:ilvl="2">
      <w:start w:val="1"/>
      <w:numFmt w:val="lowerLetter"/>
      <w:pStyle w:val="ArticleLevela"/>
      <w:lvlText w:val="(%3)"/>
      <w:lvlJc w:val="left"/>
      <w:pPr>
        <w:tabs>
          <w:tab w:val="num" w:pos="1440"/>
        </w:tabs>
        <w:ind w:left="1440" w:hanging="720"/>
      </w:pPr>
      <w:rPr>
        <w:rFonts w:cs="Times New Roman"/>
      </w:rPr>
    </w:lvl>
    <w:lvl w:ilvl="3">
      <w:start w:val="1"/>
      <w:numFmt w:val="lowerRoman"/>
      <w:pStyle w:val="ArticleLeveli"/>
      <w:lvlText w:val="(%4)"/>
      <w:lvlJc w:val="left"/>
      <w:pPr>
        <w:tabs>
          <w:tab w:val="num" w:pos="2160"/>
        </w:tabs>
        <w:ind w:left="2160" w:hanging="720"/>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0" w15:restartNumberingAfterBreak="0">
    <w:nsid w:val="3C1D696F"/>
    <w:multiLevelType w:val="hybridMultilevel"/>
    <w:tmpl w:val="369A3B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44443E7"/>
    <w:multiLevelType w:val="hybridMultilevel"/>
    <w:tmpl w:val="651AF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9035CB"/>
    <w:multiLevelType w:val="hybridMultilevel"/>
    <w:tmpl w:val="C978B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5B58AC"/>
    <w:multiLevelType w:val="multilevel"/>
    <w:tmpl w:val="D45EB7CC"/>
    <w:lvl w:ilvl="0">
      <w:start w:val="1"/>
      <w:numFmt w:val="upperRoman"/>
      <w:suff w:val="nothing"/>
      <w:lvlText w:val="Article %1"/>
      <w:lvlJc w:val="left"/>
      <w:rPr>
        <w:rFonts w:cs="Times New Roman"/>
        <w:b/>
        <w:i w:val="0"/>
      </w:rPr>
    </w:lvl>
    <w:lvl w:ilvl="1">
      <w:start w:val="1"/>
      <w:numFmt w:val="decimalZero"/>
      <w:isLgl/>
      <w:lvlText w:val="Section %1.%2"/>
      <w:lvlJc w:val="left"/>
      <w:pPr>
        <w:tabs>
          <w:tab w:val="num" w:pos="1080"/>
        </w:tabs>
      </w:pPr>
      <w:rPr>
        <w:rFonts w:cs="Times New Roman"/>
      </w:rPr>
    </w:lvl>
    <w:lvl w:ilvl="2">
      <w:start w:val="1"/>
      <w:numFmt w:val="decimal"/>
      <w:lvlText w:val="(%3)"/>
      <w:lvlJc w:val="left"/>
      <w:pPr>
        <w:tabs>
          <w:tab w:val="num" w:pos="720"/>
        </w:tabs>
        <w:ind w:left="720" w:hanging="720"/>
      </w:pPr>
      <w:rPr>
        <w:rFonts w:cs="Times New Roman"/>
      </w:rPr>
    </w:lvl>
    <w:lvl w:ilvl="3">
      <w:start w:val="1"/>
      <w:numFmt w:val="lowerLetter"/>
      <w:lvlText w:val="(%4)"/>
      <w:lvlJc w:val="left"/>
      <w:pPr>
        <w:tabs>
          <w:tab w:val="num" w:pos="1080"/>
        </w:tabs>
        <w:ind w:left="720"/>
      </w:pPr>
      <w:rPr>
        <w:rFonts w:cs="Times New Roman"/>
      </w:rPr>
    </w:lvl>
    <w:lvl w:ilvl="4">
      <w:start w:val="1"/>
      <w:numFmt w:val="lowerRoman"/>
      <w:lvlText w:val="(%5)"/>
      <w:lvlJc w:val="left"/>
      <w:pPr>
        <w:tabs>
          <w:tab w:val="num" w:pos="2160"/>
        </w:tabs>
        <w:ind w:left="2160" w:hanging="720"/>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15:restartNumberingAfterBreak="0">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9"/>
  </w:num>
  <w:num w:numId="4">
    <w:abstractNumId w:val="9"/>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9"/>
  </w:num>
  <w:num w:numId="14">
    <w:abstractNumId w:val="9"/>
  </w:num>
  <w:num w:numId="15">
    <w:abstractNumId w:val="9"/>
  </w:num>
  <w:num w:numId="16">
    <w:abstractNumId w:val="9"/>
  </w:num>
  <w:num w:numId="17">
    <w:abstractNumId w:val="0"/>
  </w:num>
  <w:num w:numId="18">
    <w:abstractNumId w:val="4"/>
  </w:num>
  <w:num w:numId="19">
    <w:abstractNumId w:val="8"/>
  </w:num>
  <w:num w:numId="20">
    <w:abstractNumId w:val="14"/>
  </w:num>
  <w:num w:numId="21">
    <w:abstractNumId w:val="2"/>
  </w:num>
  <w:num w:numId="22">
    <w:abstractNumId w:val="12"/>
  </w:num>
  <w:num w:numId="23">
    <w:abstractNumId w:val="11"/>
  </w:num>
  <w:num w:numId="24">
    <w:abstractNumId w:val="5"/>
  </w:num>
  <w:num w:numId="25">
    <w:abstractNumId w:val="6"/>
  </w:num>
  <w:num w:numId="26">
    <w:abstractNumId w:val="1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A5D"/>
    <w:rsid w:val="00036BBA"/>
    <w:rsid w:val="000616E3"/>
    <w:rsid w:val="000718CF"/>
    <w:rsid w:val="0008093E"/>
    <w:rsid w:val="00085CAD"/>
    <w:rsid w:val="000A2B81"/>
    <w:rsid w:val="000A7631"/>
    <w:rsid w:val="000C5F63"/>
    <w:rsid w:val="000D1263"/>
    <w:rsid w:val="000E63A8"/>
    <w:rsid w:val="000E64E7"/>
    <w:rsid w:val="001121C0"/>
    <w:rsid w:val="0014594A"/>
    <w:rsid w:val="00152CF2"/>
    <w:rsid w:val="00157D75"/>
    <w:rsid w:val="00174236"/>
    <w:rsid w:val="001769F8"/>
    <w:rsid w:val="0019605E"/>
    <w:rsid w:val="001A1079"/>
    <w:rsid w:val="001A718C"/>
    <w:rsid w:val="001B166B"/>
    <w:rsid w:val="001B4BCC"/>
    <w:rsid w:val="002040E6"/>
    <w:rsid w:val="0020446C"/>
    <w:rsid w:val="002144E2"/>
    <w:rsid w:val="00245040"/>
    <w:rsid w:val="002465F3"/>
    <w:rsid w:val="00250541"/>
    <w:rsid w:val="00263F4F"/>
    <w:rsid w:val="00266EBA"/>
    <w:rsid w:val="00276B3C"/>
    <w:rsid w:val="0028113C"/>
    <w:rsid w:val="00287411"/>
    <w:rsid w:val="002F69AC"/>
    <w:rsid w:val="00306F53"/>
    <w:rsid w:val="003149A5"/>
    <w:rsid w:val="00321F90"/>
    <w:rsid w:val="00335AB0"/>
    <w:rsid w:val="0037491C"/>
    <w:rsid w:val="003A69B2"/>
    <w:rsid w:val="003C427A"/>
    <w:rsid w:val="003D7AA5"/>
    <w:rsid w:val="003E2746"/>
    <w:rsid w:val="003F0EA8"/>
    <w:rsid w:val="0041319C"/>
    <w:rsid w:val="0043327D"/>
    <w:rsid w:val="00481DD2"/>
    <w:rsid w:val="004A0849"/>
    <w:rsid w:val="004A6139"/>
    <w:rsid w:val="004C71CD"/>
    <w:rsid w:val="004D1E5B"/>
    <w:rsid w:val="004F213B"/>
    <w:rsid w:val="004F4FF8"/>
    <w:rsid w:val="00516EF0"/>
    <w:rsid w:val="00526643"/>
    <w:rsid w:val="00532E71"/>
    <w:rsid w:val="00544877"/>
    <w:rsid w:val="00563A6A"/>
    <w:rsid w:val="005641CC"/>
    <w:rsid w:val="00565336"/>
    <w:rsid w:val="00575904"/>
    <w:rsid w:val="00580F7C"/>
    <w:rsid w:val="0059534A"/>
    <w:rsid w:val="005B499C"/>
    <w:rsid w:val="005C5DB4"/>
    <w:rsid w:val="005D7415"/>
    <w:rsid w:val="005E138E"/>
    <w:rsid w:val="005E6EC1"/>
    <w:rsid w:val="005F321D"/>
    <w:rsid w:val="00611A6E"/>
    <w:rsid w:val="006160C8"/>
    <w:rsid w:val="00622A0E"/>
    <w:rsid w:val="006267F0"/>
    <w:rsid w:val="00631B72"/>
    <w:rsid w:val="0063472C"/>
    <w:rsid w:val="00640D00"/>
    <w:rsid w:val="00654839"/>
    <w:rsid w:val="00663C3C"/>
    <w:rsid w:val="00673D33"/>
    <w:rsid w:val="006775B1"/>
    <w:rsid w:val="00693D44"/>
    <w:rsid w:val="006A08B6"/>
    <w:rsid w:val="006A38BC"/>
    <w:rsid w:val="006A76BD"/>
    <w:rsid w:val="006B3445"/>
    <w:rsid w:val="006D36D1"/>
    <w:rsid w:val="006F03DD"/>
    <w:rsid w:val="006F217C"/>
    <w:rsid w:val="006F529A"/>
    <w:rsid w:val="007077F7"/>
    <w:rsid w:val="0071743E"/>
    <w:rsid w:val="00773AC4"/>
    <w:rsid w:val="00792DF5"/>
    <w:rsid w:val="007A519F"/>
    <w:rsid w:val="007D0C0C"/>
    <w:rsid w:val="007D3C59"/>
    <w:rsid w:val="008134FD"/>
    <w:rsid w:val="00814381"/>
    <w:rsid w:val="0081600C"/>
    <w:rsid w:val="00823005"/>
    <w:rsid w:val="00836250"/>
    <w:rsid w:val="00851D91"/>
    <w:rsid w:val="00853EC2"/>
    <w:rsid w:val="0087675B"/>
    <w:rsid w:val="00881DB8"/>
    <w:rsid w:val="008B501D"/>
    <w:rsid w:val="008B78F3"/>
    <w:rsid w:val="008C2285"/>
    <w:rsid w:val="008E06B5"/>
    <w:rsid w:val="008E4B1D"/>
    <w:rsid w:val="008F1B91"/>
    <w:rsid w:val="008F6CDA"/>
    <w:rsid w:val="00905FAB"/>
    <w:rsid w:val="0091415B"/>
    <w:rsid w:val="009463D6"/>
    <w:rsid w:val="00983BD7"/>
    <w:rsid w:val="009936AE"/>
    <w:rsid w:val="00997183"/>
    <w:rsid w:val="009A2369"/>
    <w:rsid w:val="009A2898"/>
    <w:rsid w:val="009B42F2"/>
    <w:rsid w:val="009C0D27"/>
    <w:rsid w:val="009C2EB5"/>
    <w:rsid w:val="009D12D4"/>
    <w:rsid w:val="009D1C7C"/>
    <w:rsid w:val="009E1559"/>
    <w:rsid w:val="009F027C"/>
    <w:rsid w:val="00A151CC"/>
    <w:rsid w:val="00A16307"/>
    <w:rsid w:val="00A3164E"/>
    <w:rsid w:val="00A46D6C"/>
    <w:rsid w:val="00A50948"/>
    <w:rsid w:val="00A542FB"/>
    <w:rsid w:val="00A61A5D"/>
    <w:rsid w:val="00A9135B"/>
    <w:rsid w:val="00AA0661"/>
    <w:rsid w:val="00AD56C7"/>
    <w:rsid w:val="00AE260F"/>
    <w:rsid w:val="00AE3516"/>
    <w:rsid w:val="00AF28D0"/>
    <w:rsid w:val="00AF2EF2"/>
    <w:rsid w:val="00B07B53"/>
    <w:rsid w:val="00B117CB"/>
    <w:rsid w:val="00B138F9"/>
    <w:rsid w:val="00B54642"/>
    <w:rsid w:val="00B636C5"/>
    <w:rsid w:val="00B712A6"/>
    <w:rsid w:val="00B71BFD"/>
    <w:rsid w:val="00B93FF7"/>
    <w:rsid w:val="00B956D7"/>
    <w:rsid w:val="00B97CB9"/>
    <w:rsid w:val="00BA3728"/>
    <w:rsid w:val="00BC1620"/>
    <w:rsid w:val="00BC3226"/>
    <w:rsid w:val="00BD08E8"/>
    <w:rsid w:val="00BD4749"/>
    <w:rsid w:val="00BE6569"/>
    <w:rsid w:val="00C01C56"/>
    <w:rsid w:val="00C32265"/>
    <w:rsid w:val="00C61253"/>
    <w:rsid w:val="00C7427B"/>
    <w:rsid w:val="00C97ECD"/>
    <w:rsid w:val="00CA76A8"/>
    <w:rsid w:val="00CD2561"/>
    <w:rsid w:val="00CD334C"/>
    <w:rsid w:val="00D10255"/>
    <w:rsid w:val="00D47AA4"/>
    <w:rsid w:val="00D653B8"/>
    <w:rsid w:val="00D75EFF"/>
    <w:rsid w:val="00D9339C"/>
    <w:rsid w:val="00DA7849"/>
    <w:rsid w:val="00DC7E9B"/>
    <w:rsid w:val="00DD6097"/>
    <w:rsid w:val="00E14F20"/>
    <w:rsid w:val="00E15AD1"/>
    <w:rsid w:val="00E20328"/>
    <w:rsid w:val="00E32E16"/>
    <w:rsid w:val="00E65C5C"/>
    <w:rsid w:val="00E97AFC"/>
    <w:rsid w:val="00EB4336"/>
    <w:rsid w:val="00EB6B17"/>
    <w:rsid w:val="00EC57B5"/>
    <w:rsid w:val="00EE6E83"/>
    <w:rsid w:val="00EF05FD"/>
    <w:rsid w:val="00EF3F99"/>
    <w:rsid w:val="00F06F2F"/>
    <w:rsid w:val="00F06FCC"/>
    <w:rsid w:val="00F4589A"/>
    <w:rsid w:val="00F57BBE"/>
    <w:rsid w:val="00FB5D30"/>
    <w:rsid w:val="00FD19EF"/>
    <w:rsid w:val="00FD4A3B"/>
    <w:rsid w:val="00FE0B6B"/>
    <w:rsid w:val="00FF2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9B3D16"/>
  <w15:docId w15:val="{97F3F132-E9CE-4C03-8832-F763C8DB7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5F3"/>
    <w:rPr>
      <w:sz w:val="24"/>
      <w:szCs w:val="20"/>
    </w:rPr>
  </w:style>
  <w:style w:type="paragraph" w:styleId="Heading1">
    <w:name w:val="heading 1"/>
    <w:basedOn w:val="Normal"/>
    <w:next w:val="Normal"/>
    <w:link w:val="Heading1Char"/>
    <w:uiPriority w:val="99"/>
    <w:qFormat/>
    <w:rsid w:val="002465F3"/>
    <w:pPr>
      <w:keepNext/>
      <w:spacing w:before="240" w:after="60"/>
      <w:outlineLvl w:val="0"/>
    </w:pPr>
    <w:rPr>
      <w:b/>
      <w:kern w:val="28"/>
      <w:sz w:val="28"/>
    </w:rPr>
  </w:style>
  <w:style w:type="paragraph" w:styleId="Heading2">
    <w:name w:val="heading 2"/>
    <w:basedOn w:val="Normal"/>
    <w:next w:val="Normal"/>
    <w:link w:val="Heading2Char"/>
    <w:uiPriority w:val="99"/>
    <w:qFormat/>
    <w:rsid w:val="002465F3"/>
    <w:pPr>
      <w:keepNext/>
      <w:spacing w:before="240" w:after="60"/>
      <w:outlineLvl w:val="1"/>
    </w:pPr>
    <w:rPr>
      <w:b/>
    </w:rPr>
  </w:style>
  <w:style w:type="paragraph" w:styleId="Heading3">
    <w:name w:val="heading 3"/>
    <w:basedOn w:val="Normal"/>
    <w:next w:val="Normal"/>
    <w:link w:val="Heading3Char"/>
    <w:uiPriority w:val="99"/>
    <w:qFormat/>
    <w:rsid w:val="002465F3"/>
    <w:pPr>
      <w:keepNext/>
      <w:spacing w:before="240" w:after="60"/>
      <w:outlineLvl w:val="2"/>
    </w:pPr>
    <w:rPr>
      <w:u w:val="single"/>
    </w:rPr>
  </w:style>
  <w:style w:type="paragraph" w:styleId="Heading4">
    <w:name w:val="heading 4"/>
    <w:basedOn w:val="Normal"/>
    <w:next w:val="Normal"/>
    <w:link w:val="Heading4Char"/>
    <w:uiPriority w:val="99"/>
    <w:qFormat/>
    <w:rsid w:val="002465F3"/>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05F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F05F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F05F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F05FD"/>
    <w:rPr>
      <w:rFonts w:ascii="Calibri" w:hAnsi="Calibri" w:cs="Times New Roman"/>
      <w:b/>
      <w:bCs/>
      <w:sz w:val="28"/>
      <w:szCs w:val="28"/>
    </w:rPr>
  </w:style>
  <w:style w:type="paragraph" w:styleId="BalloonText">
    <w:name w:val="Balloon Text"/>
    <w:basedOn w:val="Normal"/>
    <w:link w:val="BalloonTextChar"/>
    <w:uiPriority w:val="99"/>
    <w:semiHidden/>
    <w:rsid w:val="002450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05FD"/>
    <w:rPr>
      <w:rFonts w:cs="Times New Roman"/>
      <w:sz w:val="2"/>
    </w:rPr>
  </w:style>
  <w:style w:type="character" w:styleId="FootnoteReference">
    <w:name w:val="footnote reference"/>
    <w:basedOn w:val="DefaultParagraphFont"/>
    <w:uiPriority w:val="99"/>
    <w:semiHidden/>
    <w:rsid w:val="002465F3"/>
    <w:rPr>
      <w:rFonts w:cs="Times New Roman"/>
      <w:vertAlign w:val="superscript"/>
    </w:rPr>
  </w:style>
  <w:style w:type="paragraph" w:styleId="FootnoteText">
    <w:name w:val="footnote text"/>
    <w:basedOn w:val="Normal"/>
    <w:link w:val="FootnoteTextChar"/>
    <w:uiPriority w:val="99"/>
    <w:semiHidden/>
    <w:rsid w:val="002465F3"/>
    <w:rPr>
      <w:sz w:val="20"/>
    </w:rPr>
  </w:style>
  <w:style w:type="character" w:customStyle="1" w:styleId="FootnoteTextChar">
    <w:name w:val="Footnote Text Char"/>
    <w:basedOn w:val="DefaultParagraphFont"/>
    <w:link w:val="FootnoteText"/>
    <w:uiPriority w:val="99"/>
    <w:semiHidden/>
    <w:locked/>
    <w:rsid w:val="002F69AC"/>
    <w:rPr>
      <w:rFonts w:cs="Times New Roman"/>
    </w:rPr>
  </w:style>
  <w:style w:type="paragraph" w:customStyle="1" w:styleId="ArticleNumber">
    <w:name w:val="Article Number"/>
    <w:basedOn w:val="Normal"/>
    <w:uiPriority w:val="99"/>
    <w:rsid w:val="002465F3"/>
    <w:pPr>
      <w:numPr>
        <w:numId w:val="16"/>
      </w:numPr>
      <w:spacing w:line="480" w:lineRule="auto"/>
      <w:jc w:val="center"/>
    </w:pPr>
  </w:style>
  <w:style w:type="paragraph" w:customStyle="1" w:styleId="ArticleLevel1">
    <w:name w:val="Article Level (1)"/>
    <w:basedOn w:val="Normal"/>
    <w:uiPriority w:val="99"/>
    <w:rsid w:val="002465F3"/>
    <w:pPr>
      <w:numPr>
        <w:ilvl w:val="1"/>
        <w:numId w:val="13"/>
      </w:numPr>
      <w:tabs>
        <w:tab w:val="clear" w:pos="1080"/>
      </w:tabs>
      <w:spacing w:line="480" w:lineRule="auto"/>
    </w:pPr>
  </w:style>
  <w:style w:type="paragraph" w:customStyle="1" w:styleId="ArticleLevela">
    <w:name w:val="Article Level (a)"/>
    <w:basedOn w:val="Normal"/>
    <w:uiPriority w:val="99"/>
    <w:rsid w:val="002465F3"/>
    <w:pPr>
      <w:numPr>
        <w:ilvl w:val="2"/>
        <w:numId w:val="14"/>
      </w:numPr>
      <w:tabs>
        <w:tab w:val="clear" w:pos="1440"/>
      </w:tabs>
      <w:spacing w:line="480" w:lineRule="auto"/>
      <w:ind w:left="2160"/>
    </w:pPr>
  </w:style>
  <w:style w:type="paragraph" w:customStyle="1" w:styleId="ArticleLeveli">
    <w:name w:val="Article Level (i)"/>
    <w:basedOn w:val="Normal"/>
    <w:uiPriority w:val="99"/>
    <w:rsid w:val="002465F3"/>
    <w:pPr>
      <w:numPr>
        <w:ilvl w:val="3"/>
        <w:numId w:val="15"/>
      </w:numPr>
      <w:tabs>
        <w:tab w:val="clear" w:pos="2160"/>
      </w:tabs>
      <w:spacing w:line="480" w:lineRule="auto"/>
      <w:ind w:left="2880"/>
    </w:pPr>
  </w:style>
  <w:style w:type="paragraph" w:styleId="Footer">
    <w:name w:val="footer"/>
    <w:basedOn w:val="Normal"/>
    <w:link w:val="FooterChar"/>
    <w:uiPriority w:val="99"/>
    <w:rsid w:val="002465F3"/>
    <w:pPr>
      <w:tabs>
        <w:tab w:val="center" w:pos="4320"/>
        <w:tab w:val="right" w:pos="8640"/>
      </w:tabs>
    </w:pPr>
  </w:style>
  <w:style w:type="character" w:customStyle="1" w:styleId="FooterChar">
    <w:name w:val="Footer Char"/>
    <w:basedOn w:val="DefaultParagraphFont"/>
    <w:link w:val="Footer"/>
    <w:uiPriority w:val="99"/>
    <w:semiHidden/>
    <w:locked/>
    <w:rsid w:val="00EF05FD"/>
    <w:rPr>
      <w:rFonts w:cs="Times New Roman"/>
      <w:sz w:val="20"/>
      <w:szCs w:val="20"/>
    </w:rPr>
  </w:style>
  <w:style w:type="character" w:styleId="PageNumber">
    <w:name w:val="page number"/>
    <w:basedOn w:val="DefaultParagraphFont"/>
    <w:uiPriority w:val="99"/>
    <w:rsid w:val="002465F3"/>
    <w:rPr>
      <w:rFonts w:cs="Times New Roman"/>
    </w:rPr>
  </w:style>
  <w:style w:type="paragraph" w:styleId="Title">
    <w:name w:val="Title"/>
    <w:basedOn w:val="Normal"/>
    <w:link w:val="TitleChar"/>
    <w:uiPriority w:val="99"/>
    <w:qFormat/>
    <w:rsid w:val="002465F3"/>
    <w:pPr>
      <w:jc w:val="center"/>
    </w:pPr>
    <w:rPr>
      <w:b/>
      <w:bCs/>
    </w:rPr>
  </w:style>
  <w:style w:type="character" w:customStyle="1" w:styleId="TitleChar">
    <w:name w:val="Title Char"/>
    <w:basedOn w:val="DefaultParagraphFont"/>
    <w:link w:val="Title"/>
    <w:uiPriority w:val="99"/>
    <w:locked/>
    <w:rsid w:val="00EF05FD"/>
    <w:rPr>
      <w:rFonts w:ascii="Cambria" w:hAnsi="Cambria" w:cs="Times New Roman"/>
      <w:b/>
      <w:bCs/>
      <w:kern w:val="28"/>
      <w:sz w:val="32"/>
      <w:szCs w:val="32"/>
    </w:rPr>
  </w:style>
  <w:style w:type="paragraph" w:styleId="BodyText">
    <w:name w:val="Body Text"/>
    <w:basedOn w:val="Normal"/>
    <w:link w:val="BodyTextChar"/>
    <w:uiPriority w:val="99"/>
    <w:rsid w:val="002465F3"/>
    <w:rPr>
      <w:i/>
      <w:iCs/>
    </w:rPr>
  </w:style>
  <w:style w:type="character" w:customStyle="1" w:styleId="BodyTextChar">
    <w:name w:val="Body Text Char"/>
    <w:basedOn w:val="DefaultParagraphFont"/>
    <w:link w:val="BodyText"/>
    <w:uiPriority w:val="99"/>
    <w:semiHidden/>
    <w:locked/>
    <w:rsid w:val="00EF05FD"/>
    <w:rPr>
      <w:rFonts w:cs="Times New Roman"/>
      <w:sz w:val="20"/>
      <w:szCs w:val="20"/>
    </w:rPr>
  </w:style>
  <w:style w:type="character" w:styleId="Hyperlink">
    <w:name w:val="Hyperlink"/>
    <w:basedOn w:val="DefaultParagraphFont"/>
    <w:uiPriority w:val="99"/>
    <w:rsid w:val="002465F3"/>
    <w:rPr>
      <w:rFonts w:cs="Times New Roman"/>
      <w:color w:val="0000FF"/>
      <w:u w:val="single"/>
    </w:rPr>
  </w:style>
  <w:style w:type="character" w:customStyle="1" w:styleId="a">
    <w:name w:val="_"/>
    <w:uiPriority w:val="99"/>
    <w:rsid w:val="002465F3"/>
  </w:style>
  <w:style w:type="character" w:customStyle="1" w:styleId="documentbody1">
    <w:name w:val="documentbody1"/>
    <w:basedOn w:val="DefaultParagraphFont"/>
    <w:uiPriority w:val="99"/>
    <w:rsid w:val="00250541"/>
    <w:rPr>
      <w:rFonts w:ascii="Verdana" w:hAnsi="Verdana" w:cs="Times New Roman"/>
      <w:sz w:val="19"/>
      <w:szCs w:val="19"/>
    </w:rPr>
  </w:style>
  <w:style w:type="paragraph" w:styleId="BlockText">
    <w:name w:val="Block Text"/>
    <w:basedOn w:val="Normal"/>
    <w:uiPriority w:val="99"/>
    <w:rsid w:val="00D9339C"/>
    <w:pPr>
      <w:widowControl w:val="0"/>
      <w:autoSpaceDE w:val="0"/>
      <w:autoSpaceDN w:val="0"/>
      <w:adjustRightInd w:val="0"/>
      <w:spacing w:line="480" w:lineRule="auto"/>
      <w:ind w:left="720" w:right="720"/>
    </w:pPr>
    <w:rPr>
      <w:rFonts w:ascii="CG Times" w:hAnsi="CG Times"/>
      <w:szCs w:val="24"/>
    </w:rPr>
  </w:style>
  <w:style w:type="character" w:styleId="CommentReference">
    <w:name w:val="annotation reference"/>
    <w:basedOn w:val="DefaultParagraphFont"/>
    <w:uiPriority w:val="99"/>
    <w:semiHidden/>
    <w:rsid w:val="00245040"/>
    <w:rPr>
      <w:rFonts w:cs="Times New Roman"/>
      <w:sz w:val="16"/>
      <w:szCs w:val="16"/>
    </w:rPr>
  </w:style>
  <w:style w:type="paragraph" w:styleId="CommentText">
    <w:name w:val="annotation text"/>
    <w:basedOn w:val="Normal"/>
    <w:link w:val="CommentTextChar"/>
    <w:uiPriority w:val="99"/>
    <w:semiHidden/>
    <w:rsid w:val="00245040"/>
    <w:rPr>
      <w:sz w:val="20"/>
    </w:rPr>
  </w:style>
  <w:style w:type="character" w:customStyle="1" w:styleId="CommentTextChar">
    <w:name w:val="Comment Text Char"/>
    <w:basedOn w:val="DefaultParagraphFont"/>
    <w:link w:val="CommentText"/>
    <w:uiPriority w:val="99"/>
    <w:semiHidden/>
    <w:locked/>
    <w:rsid w:val="00EF05FD"/>
    <w:rPr>
      <w:rFonts w:cs="Times New Roman"/>
      <w:sz w:val="20"/>
      <w:szCs w:val="20"/>
    </w:rPr>
  </w:style>
  <w:style w:type="paragraph" w:styleId="CommentSubject">
    <w:name w:val="annotation subject"/>
    <w:basedOn w:val="CommentText"/>
    <w:next w:val="CommentText"/>
    <w:link w:val="CommentSubjectChar"/>
    <w:uiPriority w:val="99"/>
    <w:semiHidden/>
    <w:rsid w:val="00245040"/>
    <w:rPr>
      <w:b/>
      <w:bCs/>
    </w:rPr>
  </w:style>
  <w:style w:type="character" w:customStyle="1" w:styleId="CommentSubjectChar">
    <w:name w:val="Comment Subject Char"/>
    <w:basedOn w:val="CommentTextChar"/>
    <w:link w:val="CommentSubject"/>
    <w:uiPriority w:val="99"/>
    <w:semiHidden/>
    <w:locked/>
    <w:rsid w:val="00EF05FD"/>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604532">
      <w:bodyDiv w:val="1"/>
      <w:marLeft w:val="0"/>
      <w:marRight w:val="0"/>
      <w:marTop w:val="0"/>
      <w:marBottom w:val="0"/>
      <w:divBdr>
        <w:top w:val="none" w:sz="0" w:space="0" w:color="auto"/>
        <w:left w:val="none" w:sz="0" w:space="0" w:color="auto"/>
        <w:bottom w:val="none" w:sz="0" w:space="0" w:color="auto"/>
        <w:right w:val="none" w:sz="0" w:space="0" w:color="auto"/>
      </w:divBdr>
    </w:div>
    <w:div w:id="131013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0E757-0B1D-4EEB-A79C-4C429EA85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1003</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Gottlieb, Mary</cp:lastModifiedBy>
  <cp:revision>2</cp:revision>
  <cp:lastPrinted>2020-03-10T17:48:00Z</cp:lastPrinted>
  <dcterms:created xsi:type="dcterms:W3CDTF">2020-03-10T17:58:00Z</dcterms:created>
  <dcterms:modified xsi:type="dcterms:W3CDTF">2020-03-10T17:58:00Z</dcterms:modified>
</cp:coreProperties>
</file>