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1C7F97" w:rsidRDefault="00F06866" w14:paraId="11BD7C19" w14:textId="77777777">
      <w:pPr>
        <w:pStyle w:val="Heading2"/>
        <w:tabs>
          <w:tab w:val="left" w:pos="900"/>
        </w:tabs>
        <w:spacing w:after="120"/>
        <w:ind w:right="-187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9458E">
        <w:rPr>
          <w:sz w:val="28"/>
        </w:rPr>
        <w:t>1601-0014</w:t>
      </w:r>
      <w:r>
        <w:rPr>
          <w:sz w:val="28"/>
        </w:rPr>
        <w:t>)</w:t>
      </w:r>
    </w:p>
    <w:p w:rsidRPr="00E84A03" w:rsidR="00E50293" w:rsidP="001C7F97" w:rsidRDefault="002C69C8" w14:paraId="2D4E7531" w14:textId="49A2C23A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E84A0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0998DF1" wp14:anchorId="607055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A5270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E84A03" w:rsidR="005E714A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E84A03" w:rsidR="005E714A">
        <w:rPr>
          <w:rFonts w:ascii="Times New Roman" w:hAnsi="Times New Roman" w:cs="Times New Roman"/>
          <w:sz w:val="24"/>
          <w:szCs w:val="24"/>
        </w:rPr>
        <w:t xml:space="preserve">  </w:t>
      </w:r>
      <w:r w:rsidR="00B80885">
        <w:rPr>
          <w:rFonts w:ascii="Times New Roman" w:hAnsi="Times New Roman" w:cs="Times New Roman"/>
          <w:sz w:val="24"/>
          <w:szCs w:val="24"/>
        </w:rPr>
        <w:t>BioWatch (BW) User Feedback Survey</w:t>
      </w:r>
    </w:p>
    <w:p w:rsidR="005E714A" w:rsidRDefault="005E714A" w14:paraId="35F2B5CA" w14:textId="77777777"/>
    <w:p w:rsidR="00E91063" w:rsidP="00E91063" w:rsidRDefault="00F15956" w14:paraId="3B34C9D2" w14:textId="4AA9CD1D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91063">
        <w:t xml:space="preserve">Collect </w:t>
      </w:r>
      <w:r w:rsidR="00274700">
        <w:t xml:space="preserve">qualitative </w:t>
      </w:r>
      <w:r w:rsidR="00343CF5">
        <w:t>us</w:t>
      </w:r>
      <w:r w:rsidR="00681E9C">
        <w:t>er</w:t>
      </w:r>
      <w:r w:rsidR="00E91063">
        <w:t xml:space="preserve"> </w:t>
      </w:r>
      <w:r w:rsidR="005821B2">
        <w:t>feedback</w:t>
      </w:r>
      <w:r w:rsidR="00E91063">
        <w:t xml:space="preserve"> information from current </w:t>
      </w:r>
      <w:r w:rsidR="00B80885">
        <w:t>BW</w:t>
      </w:r>
      <w:r w:rsidR="00343CF5">
        <w:t xml:space="preserve"> user</w:t>
      </w:r>
      <w:r w:rsidR="00681E9C">
        <w:t>s</w:t>
      </w:r>
      <w:r w:rsidR="00E91063">
        <w:t xml:space="preserve"> regarding their experience with </w:t>
      </w:r>
      <w:r w:rsidR="00343CF5">
        <w:t xml:space="preserve">the </w:t>
      </w:r>
      <w:r w:rsidR="00B80885">
        <w:t>BW</w:t>
      </w:r>
      <w:r w:rsidR="00343CF5">
        <w:t xml:space="preserve"> </w:t>
      </w:r>
      <w:r w:rsidR="00B80885">
        <w:t>system</w:t>
      </w:r>
      <w:r w:rsidR="00E91063">
        <w:t xml:space="preserve">.  </w:t>
      </w:r>
      <w:r w:rsidR="004410A4">
        <w:t>This survey is anonymous and</w:t>
      </w:r>
      <w:r w:rsidR="00343CF5">
        <w:t xml:space="preserve"> </w:t>
      </w:r>
      <w:r w:rsidR="004410A4">
        <w:t>voluntary</w:t>
      </w:r>
      <w:r w:rsidR="00343CF5">
        <w:t>,</w:t>
      </w:r>
      <w:r w:rsidR="004410A4">
        <w:t xml:space="preserve"> and the information collected will be used to improve future</w:t>
      </w:r>
      <w:r w:rsidR="00A92051">
        <w:t xml:space="preserve"> Countering Weapons of Mass Destruction</w:t>
      </w:r>
      <w:r w:rsidR="004410A4">
        <w:t xml:space="preserve"> </w:t>
      </w:r>
      <w:r w:rsidR="00A92051">
        <w:t>Office (</w:t>
      </w:r>
      <w:r w:rsidR="005C64C8">
        <w:t>CWMD) BW</w:t>
      </w:r>
      <w:r w:rsidR="00A92051">
        <w:t xml:space="preserve"> </w:t>
      </w:r>
      <w:r w:rsidR="004410A4">
        <w:t>products or services.</w:t>
      </w:r>
      <w:r w:rsidR="004021B6">
        <w:t xml:space="preserve">  </w:t>
      </w:r>
      <w:r w:rsidR="004A6998">
        <w:t xml:space="preserve">The </w:t>
      </w:r>
      <w:r w:rsidRPr="00DD4855" w:rsidR="00DD4855">
        <w:t xml:space="preserve">Qualtrics </w:t>
      </w:r>
      <w:r w:rsidR="00DD4855">
        <w:t>“</w:t>
      </w:r>
      <w:r w:rsidRPr="00DD4855" w:rsidR="004A6998">
        <w:t>Anonym</w:t>
      </w:r>
      <w:r w:rsidR="00DD4855">
        <w:t>ize</w:t>
      </w:r>
      <w:r w:rsidRPr="00DD4855" w:rsidR="00DD4855">
        <w:t xml:space="preserve"> </w:t>
      </w:r>
      <w:r w:rsidR="00DD4855">
        <w:t>Responses”</w:t>
      </w:r>
      <w:r w:rsidRPr="00DD4855" w:rsidR="004A6998">
        <w:t xml:space="preserve"> function of the</w:t>
      </w:r>
      <w:r w:rsidR="004A6998">
        <w:t xml:space="preserve"> </w:t>
      </w:r>
      <w:r w:rsidR="00B80885">
        <w:t>survey</w:t>
      </w:r>
      <w:r w:rsidR="004A6998">
        <w:t xml:space="preserve"> will be </w:t>
      </w:r>
      <w:r w:rsidR="00DD4855">
        <w:t>enabled</w:t>
      </w:r>
      <w:r w:rsidR="004A6998">
        <w:t xml:space="preserve"> during the administration of this information collection survey, disabling the collection of respondent IP addresses.</w:t>
      </w:r>
      <w:r w:rsidR="00814549">
        <w:t xml:space="preserve">  The collection will be conducted under OMB Control Number 1601-0014, which expires on 30 November 2021.</w:t>
      </w:r>
    </w:p>
    <w:p w:rsidR="00F72043" w:rsidP="00E91063" w:rsidRDefault="00F72043" w14:paraId="732F430B" w14:textId="77777777"/>
    <w:p w:rsidR="00681E9C" w:rsidP="00681E9C" w:rsidRDefault="00B80885" w14:paraId="772C0151" w14:textId="40E7733B">
      <w:pPr>
        <w:pStyle w:val="BodyTex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BW</w:t>
      </w:r>
      <w:r w:rsidRPr="00681E9C" w:rsidR="00F72043">
        <w:rPr>
          <w:i w:val="0"/>
          <w:sz w:val="24"/>
          <w:szCs w:val="24"/>
        </w:rPr>
        <w:t xml:space="preserve"> </w:t>
      </w:r>
      <w:r w:rsidR="00343CF5">
        <w:rPr>
          <w:i w:val="0"/>
          <w:sz w:val="24"/>
          <w:szCs w:val="24"/>
        </w:rPr>
        <w:t>ha</w:t>
      </w:r>
      <w:r w:rsidRPr="00681E9C" w:rsidR="00F72043">
        <w:rPr>
          <w:i w:val="0"/>
          <w:sz w:val="24"/>
          <w:szCs w:val="24"/>
        </w:rPr>
        <w:t xml:space="preserve">s </w:t>
      </w:r>
      <w:r w:rsidR="00343CF5">
        <w:rPr>
          <w:i w:val="0"/>
          <w:sz w:val="24"/>
          <w:szCs w:val="24"/>
        </w:rPr>
        <w:t>been employed by the</w:t>
      </w:r>
      <w:r w:rsidRPr="00681E9C" w:rsidR="00F72043">
        <w:rPr>
          <w:i w:val="0"/>
          <w:sz w:val="24"/>
          <w:szCs w:val="24"/>
        </w:rPr>
        <w:t xml:space="preserve"> Department of Homeland Security (DHS) </w:t>
      </w:r>
      <w:r w:rsidRPr="00681E9C" w:rsidR="00681E9C">
        <w:rPr>
          <w:i w:val="0"/>
          <w:sz w:val="24"/>
          <w:szCs w:val="24"/>
        </w:rPr>
        <w:t>CWMD</w:t>
      </w:r>
      <w:r>
        <w:rPr>
          <w:i w:val="0"/>
          <w:sz w:val="24"/>
          <w:szCs w:val="24"/>
        </w:rPr>
        <w:t xml:space="preserve"> since 2003 to detect the intentional release of aerosolized biological agents in major urban areas.  </w:t>
      </w:r>
      <w:r w:rsidRPr="00681E9C" w:rsidR="00681E9C">
        <w:rPr>
          <w:i w:val="0"/>
          <w:sz w:val="24"/>
          <w:szCs w:val="24"/>
        </w:rPr>
        <w:t xml:space="preserve">The goal is to </w:t>
      </w:r>
      <w:r w:rsidR="00604C19">
        <w:rPr>
          <w:i w:val="0"/>
          <w:sz w:val="24"/>
          <w:szCs w:val="24"/>
        </w:rPr>
        <w:t>provide</w:t>
      </w:r>
      <w:r w:rsidRPr="00681E9C" w:rsidR="00681E9C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Federal, State, Local Tribal and Territorial (FSLTT) stakeholders with a more rapid detection of </w:t>
      </w:r>
      <w:r w:rsidR="00463B7E">
        <w:rPr>
          <w:i w:val="0"/>
          <w:sz w:val="24"/>
          <w:szCs w:val="24"/>
        </w:rPr>
        <w:t>aerosolized biological threats</w:t>
      </w:r>
      <w:r>
        <w:rPr>
          <w:i w:val="0"/>
          <w:sz w:val="24"/>
          <w:szCs w:val="24"/>
        </w:rPr>
        <w:t xml:space="preserve"> than that of clinical or medical diagnosis.  </w:t>
      </w:r>
    </w:p>
    <w:p w:rsidR="0018467B" w:rsidP="00681E9C" w:rsidRDefault="0018467B" w14:paraId="6E3B783C" w14:textId="77777777">
      <w:pPr>
        <w:pStyle w:val="BodyText"/>
        <w:rPr>
          <w:i w:val="0"/>
          <w:sz w:val="24"/>
          <w:szCs w:val="24"/>
        </w:rPr>
      </w:pPr>
    </w:p>
    <w:p w:rsidRPr="008930D6" w:rsidR="00B80885" w:rsidP="0018467B" w:rsidRDefault="0018467B" w14:paraId="3C0662D1" w14:textId="7751EFB3">
      <w:r>
        <w:t xml:space="preserve">This </w:t>
      </w:r>
      <w:r w:rsidRPr="008930D6">
        <w:t xml:space="preserve">collection of information is necessary to enable the Agency to garner </w:t>
      </w:r>
      <w:r w:rsidRPr="008930D6" w:rsidR="00604C19">
        <w:t>us</w:t>
      </w:r>
      <w:r w:rsidRPr="008930D6">
        <w:t>er feedback in an efficient, timely manner, in accordance with DHS’s commitment to improving service delivery, by which we mean systematic review of the operation of a program compared to a set of explicit or implicit standards, as a means of contributing to the continuous improvement of the program.</w:t>
      </w:r>
      <w:r w:rsidRPr="008930D6" w:rsidR="00B80885">
        <w:t xml:space="preserve">  </w:t>
      </w:r>
      <w:r w:rsidR="00A92051">
        <w:t>The</w:t>
      </w:r>
      <w:r w:rsidR="00906BA2">
        <w:t xml:space="preserve"> former</w:t>
      </w:r>
      <w:r w:rsidR="00A92051">
        <w:t xml:space="preserve"> Office of Health Affairs</w:t>
      </w:r>
      <w:r w:rsidRPr="008930D6" w:rsidR="00A92051">
        <w:t xml:space="preserve"> </w:t>
      </w:r>
      <w:r w:rsidRPr="008930D6" w:rsidR="00B80885">
        <w:t>(</w:t>
      </w:r>
      <w:r w:rsidR="00A92051">
        <w:t>now CWMD</w:t>
      </w:r>
      <w:r w:rsidRPr="008930D6" w:rsidR="00B80885">
        <w:t>) ha</w:t>
      </w:r>
      <w:r w:rsidR="00A92051">
        <w:t>d</w:t>
      </w:r>
      <w:r w:rsidR="00851934">
        <w:t xml:space="preserve"> </w:t>
      </w:r>
      <w:r w:rsidRPr="00463B7E" w:rsidR="00BB7954">
        <w:t>twice</w:t>
      </w:r>
      <w:r w:rsidR="00BB7954">
        <w:t xml:space="preserve"> </w:t>
      </w:r>
      <w:r w:rsidRPr="008930D6" w:rsidR="00B80885">
        <w:t>previously</w:t>
      </w:r>
      <w:r w:rsidR="00463B7E">
        <w:t>,</w:t>
      </w:r>
      <w:r w:rsidRPr="008930D6" w:rsidR="00B80885">
        <w:t xml:space="preserve"> attempted to improve the BW systems.  Both efforts failed in part because a lack of understanding of the end-user’s requirement</w:t>
      </w:r>
      <w:r w:rsidR="00BB7954">
        <w:t>s</w:t>
      </w:r>
      <w:r w:rsidRPr="008930D6" w:rsidR="00B80885">
        <w:t xml:space="preserve">.  </w:t>
      </w:r>
    </w:p>
    <w:p w:rsidR="00B80885" w:rsidP="0018467B" w:rsidRDefault="00B80885" w14:paraId="7DB2A4D9" w14:textId="77777777"/>
    <w:p w:rsidR="0018467B" w:rsidP="0018467B" w:rsidRDefault="0018467B" w14:paraId="7A8080B7" w14:textId="5E2E680C">
      <w:r>
        <w:t>The information collected from</w:t>
      </w:r>
      <w:r w:rsidRPr="00AC2497">
        <w:t xml:space="preserve"> </w:t>
      </w:r>
      <w:r w:rsidR="00604C19">
        <w:t>us</w:t>
      </w:r>
      <w:r w:rsidRPr="00AC2497">
        <w:t>ers</w:t>
      </w:r>
      <w:r>
        <w:t xml:space="preserve"> will help ensure that </w:t>
      </w:r>
      <w:r w:rsidR="00B80885">
        <w:t xml:space="preserve">current biodetection systems </w:t>
      </w:r>
      <w:r w:rsidR="00604C19">
        <w:t>are tailored to user needs and advance the CWMD mission</w:t>
      </w:r>
      <w:r>
        <w:t xml:space="preserve">.  </w:t>
      </w:r>
      <w:r w:rsidR="00B80885">
        <w:t xml:space="preserve">This information will also </w:t>
      </w:r>
      <w:r w:rsidR="00851934">
        <w:t>en</w:t>
      </w:r>
      <w:r w:rsidR="00B80885">
        <w:t xml:space="preserve">sure that future enhancements and recapitalization of BW assets will meet the requirements of the FSLTT users.  </w:t>
      </w:r>
      <w:r>
        <w:t xml:space="preserve">This feedback will provide insights into </w:t>
      </w:r>
      <w:r w:rsidR="00604C19">
        <w:t>us</w:t>
      </w:r>
      <w:r>
        <w:t xml:space="preserve">er perceptions, experiences and expectations, provide a warning of issues with program operations, or focus attention on areas </w:t>
      </w:r>
      <w:r w:rsidR="00833E0A">
        <w:t>needing improvement</w:t>
      </w:r>
      <w:r>
        <w:t xml:space="preserve">.  These collections will allow for ongoing, collaborative and actionable communications between the </w:t>
      </w:r>
      <w:r w:rsidR="00851934">
        <w:t xml:space="preserve">DHS </w:t>
      </w:r>
      <w:r>
        <w:t xml:space="preserve">and its stakeholders.  It will also allow feedback to contribute directly to the improvement of program management. </w:t>
      </w:r>
    </w:p>
    <w:p w:rsidRPr="00681E9C" w:rsidR="0018467B" w:rsidP="00681E9C" w:rsidRDefault="0018467B" w14:paraId="2ED6F47A" w14:textId="77777777">
      <w:pPr>
        <w:pStyle w:val="BodyText"/>
        <w:rPr>
          <w:i w:val="0"/>
          <w:sz w:val="24"/>
          <w:szCs w:val="24"/>
        </w:rPr>
      </w:pPr>
    </w:p>
    <w:p w:rsidR="006E086C" w:rsidP="006E086C" w:rsidRDefault="00434E33" w14:paraId="076DB9E0" w14:textId="772FA0F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11FB5">
        <w:t xml:space="preserve"> </w:t>
      </w:r>
      <w:r w:rsidR="00E91063">
        <w:t xml:space="preserve">Current </w:t>
      </w:r>
      <w:r w:rsidR="00604C19">
        <w:t xml:space="preserve">users of the </w:t>
      </w:r>
      <w:r w:rsidR="00833E0A">
        <w:t>BioWatch system</w:t>
      </w:r>
      <w:r w:rsidR="00681E9C">
        <w:t>.</w:t>
      </w:r>
      <w:r w:rsidR="00E91063">
        <w:t xml:space="preserve">  </w:t>
      </w:r>
      <w:r w:rsidR="000C799D">
        <w:t>Participants</w:t>
      </w:r>
      <w:r w:rsidR="00F04716">
        <w:t xml:space="preserve"> r</w:t>
      </w:r>
      <w:r w:rsidR="00681E9C">
        <w:t xml:space="preserve">epresent federal, state, and local agencies </w:t>
      </w:r>
      <w:r w:rsidR="00F04716">
        <w:t xml:space="preserve">(such as </w:t>
      </w:r>
      <w:r w:rsidR="00604C19">
        <w:t xml:space="preserve">public health, </w:t>
      </w:r>
      <w:r w:rsidR="00F04716">
        <w:t>law enforcement, emergency resp</w:t>
      </w:r>
      <w:r w:rsidR="00681E9C">
        <w:t>onse, and emergency management</w:t>
      </w:r>
      <w:r w:rsidR="00604C19">
        <w:t>)</w:t>
      </w:r>
      <w:r w:rsidR="00681E9C">
        <w:t xml:space="preserve">. </w:t>
      </w:r>
      <w:r w:rsidR="006E086C">
        <w:t xml:space="preserve"> </w:t>
      </w:r>
    </w:p>
    <w:p w:rsidR="00711FB5" w:rsidRDefault="00711FB5" w14:paraId="178079C7" w14:textId="77777777">
      <w:pPr>
        <w:rPr>
          <w:b/>
        </w:rPr>
      </w:pPr>
    </w:p>
    <w:p w:rsidRPr="00F06866" w:rsidR="00F06866" w:rsidRDefault="00F06866" w14:paraId="36CC91F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109C1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E439CA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924E4E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E91063">
        <w:rPr>
          <w:bCs/>
          <w:sz w:val="24"/>
        </w:rPr>
        <w:t xml:space="preserve"> </w:t>
      </w:r>
      <w:r w:rsidR="00E91063">
        <w:rPr>
          <w:bCs/>
          <w:sz w:val="24"/>
        </w:rPr>
        <w:tab/>
        <w:t>[</w:t>
      </w:r>
      <w:r w:rsidRPr="006C1BAA" w:rsidR="00E91063">
        <w:rPr>
          <w:b/>
          <w:color w:val="FF0000"/>
          <w:sz w:val="24"/>
          <w:szCs w:val="24"/>
          <w:lang w:eastAsia="en-US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</w:p>
    <w:p w:rsidR="0096108F" w:rsidP="0096108F" w:rsidRDefault="0096108F" w14:paraId="12DDA84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924E4E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2F37C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24E4E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5C8E98E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24E4E">
        <w:rPr>
          <w:bCs/>
          <w:sz w:val="24"/>
        </w:rPr>
        <w:t xml:space="preserve">  ]</w:t>
      </w:r>
      <w:proofErr w:type="gramEnd"/>
      <w:r w:rsidR="00924E4E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24E4E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924E4E" w:rsidR="00F06866">
        <w:rPr>
          <w:bCs/>
          <w:sz w:val="24"/>
        </w:rPr>
        <w:t xml:space="preserve"> ______________________</w:t>
      </w:r>
      <w:r w:rsidR="00924E4E">
        <w:rPr>
          <w:bCs/>
          <w:sz w:val="24"/>
        </w:rPr>
        <w:t>___</w:t>
      </w:r>
      <w:r w:rsidRPr="00924E4E" w:rsidR="00F06866">
        <w:rPr>
          <w:bCs/>
          <w:sz w:val="24"/>
        </w:rPr>
        <w:tab/>
      </w:r>
    </w:p>
    <w:p w:rsidR="00434E33" w:rsidRDefault="00434E33" w14:paraId="658D4E6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904C55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71470BA" w14:textId="77777777">
      <w:pPr>
        <w:rPr>
          <w:sz w:val="16"/>
          <w:szCs w:val="16"/>
        </w:rPr>
      </w:pPr>
    </w:p>
    <w:p w:rsidRPr="009C13B9" w:rsidR="008101A5" w:rsidP="008101A5" w:rsidRDefault="008101A5" w14:paraId="763577CB" w14:textId="77777777">
      <w:r>
        <w:t>I ce</w:t>
      </w:r>
      <w:r w:rsidR="00924E4E">
        <w:t xml:space="preserve">rtify the following to be true: </w:t>
      </w:r>
    </w:p>
    <w:p w:rsidR="008101A5" w:rsidP="008101A5" w:rsidRDefault="008101A5" w14:paraId="7C4199FC" w14:textId="77777777">
      <w:pPr>
        <w:pStyle w:val="ListParagraph"/>
        <w:numPr>
          <w:ilvl w:val="0"/>
          <w:numId w:val="14"/>
        </w:numPr>
      </w:pPr>
      <w:r>
        <w:t>The collection is voluntary.</w:t>
      </w:r>
    </w:p>
    <w:p w:rsidR="008101A5" w:rsidP="008101A5" w:rsidRDefault="008101A5" w14:paraId="7BBD407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65F3966" w14:textId="77777777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924E4E">
        <w:t>.</w:t>
      </w:r>
    </w:p>
    <w:p w:rsidR="008101A5" w:rsidP="008101A5" w:rsidRDefault="008101A5" w14:paraId="2E29D6F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924E4E">
        <w:t>.</w:t>
      </w:r>
    </w:p>
    <w:p w:rsidR="008101A5" w:rsidP="008101A5" w:rsidRDefault="008101A5" w14:paraId="1629BF6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 w:rsidR="00924E4E">
        <w:t>policy decisions.</w:t>
      </w:r>
    </w:p>
    <w:p w:rsidR="008101A5" w:rsidP="008101A5" w:rsidRDefault="008101A5" w14:paraId="5AA129F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3D498A3" w14:textId="4D393723"/>
    <w:p w:rsidR="00E26861" w:rsidP="009C13B9" w:rsidRDefault="00E26861" w14:paraId="270510EF" w14:textId="48543F04">
      <w:r>
        <w:t xml:space="preserve">Name </w:t>
      </w:r>
    </w:p>
    <w:p w:rsidR="009C13B9" w:rsidP="009C13B9" w:rsidRDefault="00645EA9" w14:paraId="3DF09B3A" w14:textId="777FB92C">
      <w:r>
        <w:rPr>
          <w:u w:val="single"/>
        </w:rPr>
        <w:pict w14:anchorId="1EEB8AD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2pt;height:96pt" alt="Microsoft Office Signature Line..." type="#_x0000_t75">
            <v:imagedata o:title="" r:id="rId10"/>
            <o:lock v:ext="edit" grouping="t" ungrouping="t" rotation="t" cropping="t" verticies="t" text="t"/>
            <o:signatureline v:ext="edit" issignatureline="t" id="{57BF50F5-5347-415B-9052-23FBAF838DE6}" provid="{00000000-0000-0000-0000-000000000000}" o:suggestedsigner="Christopher Martin" o:suggestedsigner2="Requirements Manager" o:suggestedsigneremail="christopher.martin2@dhs.hq.gov"/>
          </v:shape>
        </w:pict>
      </w:r>
    </w:p>
    <w:p w:rsidR="009C13B9" w:rsidP="009C13B9" w:rsidRDefault="009C13B9" w14:paraId="527FDD35" w14:textId="77777777">
      <w:pPr>
        <w:pStyle w:val="ListParagraph"/>
        <w:ind w:left="360"/>
      </w:pPr>
    </w:p>
    <w:p w:rsidR="009C13B9" w:rsidP="009C13B9" w:rsidRDefault="009C13B9" w14:paraId="0E560BA1" w14:textId="77777777">
      <w:r>
        <w:t>To assist review, please provide answers to the following question:</w:t>
      </w:r>
    </w:p>
    <w:p w:rsidR="009C13B9" w:rsidP="009C13B9" w:rsidRDefault="009C13B9" w14:paraId="1608DD02" w14:textId="77777777">
      <w:pPr>
        <w:pStyle w:val="ListParagraph"/>
        <w:ind w:left="360"/>
      </w:pPr>
    </w:p>
    <w:p w:rsidRPr="00C86E91" w:rsidR="009C13B9" w:rsidP="00C86E91" w:rsidRDefault="00C86E91" w14:paraId="6D134E1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8A6F92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6C1BAA" w:rsidR="00E91063">
        <w:rPr>
          <w:b/>
          <w:color w:val="FF0000"/>
        </w:rPr>
        <w:t>X</w:t>
      </w:r>
      <w:r w:rsidR="00924E4E">
        <w:t>]  No</w:t>
      </w:r>
    </w:p>
    <w:p w:rsidR="00C86E91" w:rsidP="00C86E91" w:rsidRDefault="009C13B9" w14:paraId="58B14DA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E91063">
        <w:t xml:space="preserve">  </w:t>
      </w:r>
      <w:r w:rsidR="009239AA">
        <w:t>] No</w:t>
      </w:r>
    </w:p>
    <w:p w:rsidR="00C86E91" w:rsidP="00C86E91" w:rsidRDefault="00C86E91" w14:paraId="24FD86AB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924E4E" w:rsidP="00C86E91" w:rsidRDefault="00924E4E" w14:paraId="2D241707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C94374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D190FBC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32379F" w:rsidR="00E91063">
        <w:rPr>
          <w:b/>
          <w:color w:val="FF0000"/>
        </w:rPr>
        <w:t>X</w:t>
      </w:r>
      <w:r>
        <w:t xml:space="preserve">] No  </w:t>
      </w:r>
    </w:p>
    <w:p w:rsidR="00C86E91" w:rsidRDefault="00C86E91" w14:paraId="057D6595" w14:textId="77777777">
      <w:pPr>
        <w:rPr>
          <w:b/>
        </w:rPr>
      </w:pPr>
    </w:p>
    <w:p w:rsidR="005E714A" w:rsidP="00C86E91" w:rsidRDefault="005E714A" w14:paraId="36AEC72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A1A8AE4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95"/>
        <w:gridCol w:w="2453"/>
        <w:gridCol w:w="1597"/>
        <w:gridCol w:w="1116"/>
      </w:tblGrid>
      <w:tr w:rsidR="00EF2095" w:rsidTr="002E4CAF" w14:paraId="2B219D5A" w14:textId="77777777">
        <w:trPr>
          <w:trHeight w:val="274"/>
        </w:trPr>
        <w:tc>
          <w:tcPr>
            <w:tcW w:w="4495" w:type="dxa"/>
            <w:vAlign w:val="center"/>
          </w:tcPr>
          <w:p w:rsidRPr="00F6240A" w:rsidR="006832D9" w:rsidP="00924E4E" w:rsidRDefault="00E40B50" w14:paraId="174F2C5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453" w:type="dxa"/>
            <w:vAlign w:val="center"/>
          </w:tcPr>
          <w:p w:rsidRPr="00F6240A" w:rsidR="006832D9" w:rsidP="00924E4E" w:rsidRDefault="006832D9" w14:paraId="5365B5F7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  <w:vAlign w:val="center"/>
          </w:tcPr>
          <w:p w:rsidRPr="00F6240A" w:rsidR="006832D9" w:rsidP="00924E4E" w:rsidRDefault="006832D9" w14:paraId="000297D5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16" w:type="dxa"/>
            <w:vAlign w:val="center"/>
          </w:tcPr>
          <w:p w:rsidRPr="00F6240A" w:rsidR="006832D9" w:rsidP="00924E4E" w:rsidRDefault="006832D9" w14:paraId="7E87645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2E4CAF" w14:paraId="3ACF1591" w14:textId="77777777">
        <w:trPr>
          <w:trHeight w:val="274"/>
        </w:trPr>
        <w:tc>
          <w:tcPr>
            <w:tcW w:w="4495" w:type="dxa"/>
          </w:tcPr>
          <w:p w:rsidR="006832D9" w:rsidP="0086334D" w:rsidRDefault="00125D9B" w14:paraId="439E4011" w14:textId="0CB0DC18">
            <w:r>
              <w:t>State, local, or tribal governments</w:t>
            </w:r>
          </w:p>
        </w:tc>
        <w:tc>
          <w:tcPr>
            <w:tcW w:w="2453" w:type="dxa"/>
          </w:tcPr>
          <w:p w:rsidR="006832D9" w:rsidP="0018467B" w:rsidRDefault="008B4517" w14:paraId="290C92C3" w14:textId="23F970F6">
            <w:r>
              <w:t>2</w:t>
            </w:r>
            <w:r w:rsidR="004F6B6A">
              <w:t>60</w:t>
            </w:r>
            <w:r w:rsidR="0018467B">
              <w:t xml:space="preserve"> (assumes </w:t>
            </w:r>
            <w:r w:rsidR="005B33FB">
              <w:t>response from every individual invited to participate in survey</w:t>
            </w:r>
            <w:r w:rsidR="0018467B">
              <w:t>)</w:t>
            </w:r>
          </w:p>
        </w:tc>
        <w:tc>
          <w:tcPr>
            <w:tcW w:w="1597" w:type="dxa"/>
          </w:tcPr>
          <w:p w:rsidR="006832D9" w:rsidP="00843796" w:rsidRDefault="008270D9" w14:paraId="6266FA5C" w14:textId="08203AEF">
            <w:r>
              <w:t>20</w:t>
            </w:r>
            <w:r w:rsidR="00E91063">
              <w:t xml:space="preserve"> minutes</w:t>
            </w:r>
          </w:p>
        </w:tc>
        <w:tc>
          <w:tcPr>
            <w:tcW w:w="1116" w:type="dxa"/>
          </w:tcPr>
          <w:p w:rsidR="0018467B" w:rsidP="00843796" w:rsidRDefault="004F6B6A" w14:paraId="239F8C1E" w14:textId="014F48EF">
            <w:r>
              <w:t>5200</w:t>
            </w:r>
            <w:r w:rsidR="008930D6">
              <w:t xml:space="preserve"> </w:t>
            </w:r>
            <w:r w:rsidR="0018467B">
              <w:t>minutes</w:t>
            </w:r>
          </w:p>
        </w:tc>
      </w:tr>
      <w:tr w:rsidRPr="002E4CAF" w:rsidR="00EF2095" w:rsidTr="002E4CAF" w14:paraId="2933DAE6" w14:textId="77777777">
        <w:trPr>
          <w:trHeight w:val="179"/>
        </w:trPr>
        <w:tc>
          <w:tcPr>
            <w:tcW w:w="4495" w:type="dxa"/>
          </w:tcPr>
          <w:p w:rsidRPr="002E4CAF" w:rsidR="006832D9" w:rsidP="00843796" w:rsidRDefault="006832D9" w14:paraId="357B3E22" w14:textId="77777777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</w:tcPr>
          <w:p w:rsidRPr="002E4CAF" w:rsidR="006832D9" w:rsidP="00843796" w:rsidRDefault="006832D9" w14:paraId="540B6BC0" w14:textId="7777777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</w:tcPr>
          <w:p w:rsidRPr="002E4CAF" w:rsidR="006832D9" w:rsidP="00843796" w:rsidRDefault="006832D9" w14:paraId="553196F1" w14:textId="77777777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:rsidRPr="002E4CAF" w:rsidR="006832D9" w:rsidP="00843796" w:rsidRDefault="006832D9" w14:paraId="6A786E7E" w14:textId="77777777">
            <w:pPr>
              <w:rPr>
                <w:sz w:val="16"/>
                <w:szCs w:val="16"/>
              </w:rPr>
            </w:pPr>
          </w:p>
        </w:tc>
      </w:tr>
      <w:tr w:rsidR="00EF2095" w:rsidTr="002E4CAF" w14:paraId="6276B0CD" w14:textId="77777777">
        <w:trPr>
          <w:trHeight w:val="289"/>
        </w:trPr>
        <w:tc>
          <w:tcPr>
            <w:tcW w:w="4495" w:type="dxa"/>
          </w:tcPr>
          <w:p w:rsidRPr="00F6240A" w:rsidR="006832D9" w:rsidP="00843796" w:rsidRDefault="006832D9" w14:paraId="45617E73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453" w:type="dxa"/>
          </w:tcPr>
          <w:p w:rsidRPr="00F6240A" w:rsidR="006832D9" w:rsidP="00843796" w:rsidRDefault="006832D9" w14:paraId="483CD3E6" w14:textId="77777777">
            <w:pPr>
              <w:rPr>
                <w:b/>
              </w:rPr>
            </w:pPr>
          </w:p>
        </w:tc>
        <w:tc>
          <w:tcPr>
            <w:tcW w:w="1597" w:type="dxa"/>
          </w:tcPr>
          <w:p w:rsidR="006832D9" w:rsidP="00843796" w:rsidRDefault="006832D9" w14:paraId="6099FB64" w14:textId="77777777"/>
        </w:tc>
        <w:tc>
          <w:tcPr>
            <w:tcW w:w="1116" w:type="dxa"/>
          </w:tcPr>
          <w:p w:rsidRPr="00F6240A" w:rsidR="006832D9" w:rsidP="0018467B" w:rsidRDefault="008930D6" w14:paraId="0E4E0732" w14:textId="78390650">
            <w:pPr>
              <w:rPr>
                <w:b/>
              </w:rPr>
            </w:pPr>
            <w:r>
              <w:rPr>
                <w:b/>
              </w:rPr>
              <w:t>8</w:t>
            </w:r>
            <w:r w:rsidR="004F6B6A">
              <w:rPr>
                <w:b/>
              </w:rPr>
              <w:t>6</w:t>
            </w:r>
            <w:r>
              <w:rPr>
                <w:b/>
              </w:rPr>
              <w:t>.</w:t>
            </w:r>
            <w:r w:rsidR="003B16E5">
              <w:rPr>
                <w:b/>
              </w:rPr>
              <w:t>6</w:t>
            </w:r>
            <w:r w:rsidR="0018467B">
              <w:rPr>
                <w:b/>
              </w:rPr>
              <w:t xml:space="preserve"> hours</w:t>
            </w:r>
          </w:p>
        </w:tc>
      </w:tr>
    </w:tbl>
    <w:p w:rsidR="00441434" w:rsidP="00F3170F" w:rsidRDefault="00441434" w14:paraId="7E6985AE" w14:textId="77777777"/>
    <w:p w:rsidR="005E714A" w:rsidRDefault="001C39F7" w14:paraId="313A62EA" w14:textId="0DD283F6">
      <w:r w:rsidRPr="00DD4855">
        <w:rPr>
          <w:b/>
        </w:rPr>
        <w:t xml:space="preserve">FEDERAL </w:t>
      </w:r>
      <w:r w:rsidRPr="00DD4855" w:rsidR="009F5923">
        <w:rPr>
          <w:b/>
        </w:rPr>
        <w:t>COST</w:t>
      </w:r>
      <w:r w:rsidRPr="00DD4855" w:rsidR="00F06866">
        <w:rPr>
          <w:b/>
        </w:rPr>
        <w:t>:</w:t>
      </w:r>
      <w:r w:rsidRPr="00DD4855" w:rsidR="00895229">
        <w:rPr>
          <w:b/>
        </w:rPr>
        <w:t xml:space="preserve"> </w:t>
      </w:r>
      <w:r w:rsidRPr="00DD4855" w:rsidR="00C86E91">
        <w:rPr>
          <w:b/>
        </w:rPr>
        <w:t xml:space="preserve"> </w:t>
      </w:r>
      <w:r w:rsidRPr="00814549" w:rsidR="00814549">
        <w:t>The survey</w:t>
      </w:r>
      <w:r w:rsidR="00814549">
        <w:t xml:space="preserve"> will be developed, administered and data collected and analyzed primarily through a third party (First Link LLC). </w:t>
      </w:r>
      <w:r w:rsidRPr="00814549" w:rsidR="00814549">
        <w:t xml:space="preserve"> </w:t>
      </w:r>
      <w:r w:rsidR="00814549">
        <w:t xml:space="preserve">The third-party costs are outlined below.  </w:t>
      </w:r>
      <w:r w:rsidR="00DD4855">
        <w:t xml:space="preserve">The total </w:t>
      </w:r>
      <w:r w:rsidR="00BE69AB">
        <w:t>of developing the survey, conducting data analysis and drafting a findings report is</w:t>
      </w:r>
      <w:r w:rsidR="00DD4855">
        <w:t xml:space="preserve"> $123,122.  The break-down of survey cost is as follows:</w:t>
      </w:r>
    </w:p>
    <w:p w:rsidR="00DD4855" w:rsidRDefault="00DD4855" w14:paraId="141BFE74" w14:textId="10FD6CDA"/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363"/>
        <w:gridCol w:w="3672"/>
      </w:tblGrid>
      <w:tr w:rsidRPr="00BE69AB" w:rsidR="00BE69AB" w:rsidTr="00BE69AB" w14:paraId="3EAC8218" w14:textId="77777777">
        <w:trPr>
          <w:trHeight w:val="244"/>
        </w:trPr>
        <w:tc>
          <w:tcPr>
            <w:tcW w:w="5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7935E3B5" w14:textId="77777777">
            <w:pPr>
              <w:rPr>
                <w:b/>
              </w:rPr>
            </w:pPr>
            <w:r w:rsidRPr="00BE69AB">
              <w:rPr>
                <w:b/>
              </w:rPr>
              <w:t>Survey Development</w:t>
            </w:r>
          </w:p>
        </w:tc>
        <w:tc>
          <w:tcPr>
            <w:tcW w:w="363" w:type="dxa"/>
          </w:tcPr>
          <w:p w:rsidRPr="00BE69AB" w:rsidR="00BE69AB" w:rsidP="00BE69AB" w:rsidRDefault="00BE69AB" w14:paraId="4D297A52" w14:textId="77777777">
            <w:pPr>
              <w:jc w:val="right"/>
            </w:pPr>
          </w:p>
        </w:tc>
        <w:tc>
          <w:tcPr>
            <w:tcW w:w="3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236D99A8" w14:textId="322B9615">
            <w:pPr>
              <w:jc w:val="right"/>
            </w:pPr>
            <w:r w:rsidRPr="00BE69AB">
              <w:t xml:space="preserve">$16,690.00 </w:t>
            </w:r>
          </w:p>
        </w:tc>
      </w:tr>
      <w:tr w:rsidRPr="00BE69AB" w:rsidR="00BE69AB" w:rsidTr="00BE69AB" w14:paraId="158F91BA" w14:textId="77777777">
        <w:trPr>
          <w:trHeight w:val="244"/>
        </w:trPr>
        <w:tc>
          <w:tcPr>
            <w:tcW w:w="5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7B07B82B" w14:textId="2D52E652">
            <w:pPr>
              <w:numPr>
                <w:ilvl w:val="0"/>
                <w:numId w:val="19"/>
              </w:numPr>
            </w:pPr>
            <w:r w:rsidRPr="00BE69AB">
              <w:t>Build the survey</w:t>
            </w:r>
            <w:r>
              <w:t xml:space="preserve"> </w:t>
            </w:r>
            <w:r w:rsidRPr="00BE69AB">
              <w:t xml:space="preserve">in the Qualtrics </w:t>
            </w:r>
          </w:p>
          <w:p w:rsidRPr="00BE69AB" w:rsidR="00BE69AB" w:rsidP="00BE69AB" w:rsidRDefault="00BE69AB" w14:paraId="72314793" w14:textId="77777777">
            <w:pPr>
              <w:numPr>
                <w:ilvl w:val="0"/>
                <w:numId w:val="19"/>
              </w:numPr>
            </w:pPr>
            <w:r w:rsidRPr="00BE69AB">
              <w:t>Test the survey/platform before distribution</w:t>
            </w:r>
          </w:p>
          <w:p w:rsidRPr="00BE69AB" w:rsidR="00BE69AB" w:rsidP="00BE69AB" w:rsidRDefault="00BE69AB" w14:paraId="6793B947" w14:textId="77777777">
            <w:pPr>
              <w:numPr>
                <w:ilvl w:val="0"/>
                <w:numId w:val="19"/>
              </w:numPr>
            </w:pPr>
            <w:r w:rsidRPr="00BE69AB">
              <w:lastRenderedPageBreak/>
              <w:t>Development of the survey distribution list</w:t>
            </w:r>
          </w:p>
          <w:p w:rsidRPr="00BE69AB" w:rsidR="00BE69AB" w:rsidP="00BE69AB" w:rsidRDefault="00BE69AB" w14:paraId="2937C1C5" w14:textId="77777777">
            <w:pPr>
              <w:numPr>
                <w:ilvl w:val="0"/>
                <w:numId w:val="19"/>
              </w:numPr>
            </w:pPr>
            <w:r w:rsidRPr="00BE69AB">
              <w:t>Development of the survey invitation language</w:t>
            </w:r>
          </w:p>
          <w:p w:rsidRPr="00BE69AB" w:rsidR="00BE69AB" w:rsidP="00BE69AB" w:rsidRDefault="00BE69AB" w14:paraId="5B116866" w14:textId="77777777">
            <w:pPr>
              <w:numPr>
                <w:ilvl w:val="0"/>
                <w:numId w:val="19"/>
              </w:numPr>
            </w:pPr>
            <w:r w:rsidRPr="00BE69AB">
              <w:t>Survey distribution</w:t>
            </w:r>
          </w:p>
        </w:tc>
        <w:tc>
          <w:tcPr>
            <w:tcW w:w="363" w:type="dxa"/>
          </w:tcPr>
          <w:p w:rsidRPr="00BE69AB" w:rsidR="00BE69AB" w:rsidP="00BE69AB" w:rsidRDefault="00BE69AB" w14:paraId="6A0448AF" w14:textId="77777777">
            <w:pPr>
              <w:jc w:val="right"/>
            </w:pPr>
          </w:p>
        </w:tc>
        <w:tc>
          <w:tcPr>
            <w:tcW w:w="3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E69AB" w:rsidR="00BE69AB" w:rsidP="00BE69AB" w:rsidRDefault="00BE69AB" w14:paraId="45DEF5FC" w14:textId="4B467BB2">
            <w:pPr>
              <w:jc w:val="right"/>
            </w:pPr>
          </w:p>
        </w:tc>
      </w:tr>
      <w:tr w:rsidRPr="00BE69AB" w:rsidR="00BE69AB" w:rsidTr="00BE69AB" w14:paraId="77F0B943" w14:textId="77777777">
        <w:trPr>
          <w:trHeight w:val="244"/>
        </w:trPr>
        <w:tc>
          <w:tcPr>
            <w:tcW w:w="5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3FD6437E" w14:textId="77777777">
            <w:pPr>
              <w:rPr>
                <w:b/>
              </w:rPr>
            </w:pPr>
            <w:r w:rsidRPr="00BE69AB">
              <w:rPr>
                <w:b/>
              </w:rPr>
              <w:t>Data Analysis</w:t>
            </w:r>
          </w:p>
        </w:tc>
        <w:tc>
          <w:tcPr>
            <w:tcW w:w="363" w:type="dxa"/>
          </w:tcPr>
          <w:p w:rsidRPr="00BE69AB" w:rsidR="00BE69AB" w:rsidP="00BE69AB" w:rsidRDefault="00BE69AB" w14:paraId="654BB02B" w14:textId="77777777">
            <w:pPr>
              <w:jc w:val="right"/>
            </w:pPr>
          </w:p>
        </w:tc>
        <w:tc>
          <w:tcPr>
            <w:tcW w:w="3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19E81816" w14:textId="4165466E">
            <w:pPr>
              <w:jc w:val="right"/>
            </w:pPr>
            <w:r w:rsidRPr="00BE69AB">
              <w:t xml:space="preserve">$62,344.00 </w:t>
            </w:r>
          </w:p>
        </w:tc>
      </w:tr>
      <w:tr w:rsidRPr="00BE69AB" w:rsidR="00BE69AB" w:rsidTr="00BE69AB" w14:paraId="644BD58D" w14:textId="77777777">
        <w:trPr>
          <w:trHeight w:val="244"/>
        </w:trPr>
        <w:tc>
          <w:tcPr>
            <w:tcW w:w="5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69004529" w14:textId="77777777">
            <w:pPr>
              <w:rPr>
                <w:b/>
              </w:rPr>
            </w:pPr>
            <w:r w:rsidRPr="00BE69AB">
              <w:rPr>
                <w:b/>
              </w:rPr>
              <w:t>Findings Report</w:t>
            </w:r>
          </w:p>
        </w:tc>
        <w:tc>
          <w:tcPr>
            <w:tcW w:w="363" w:type="dxa"/>
          </w:tcPr>
          <w:p w:rsidRPr="00BE69AB" w:rsidR="00BE69AB" w:rsidP="00BE69AB" w:rsidRDefault="00BE69AB" w14:paraId="08C2427B" w14:textId="77777777">
            <w:pPr>
              <w:jc w:val="right"/>
            </w:pPr>
          </w:p>
        </w:tc>
        <w:tc>
          <w:tcPr>
            <w:tcW w:w="3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4A6A1F9E" w14:textId="23B24308">
            <w:pPr>
              <w:jc w:val="right"/>
            </w:pPr>
            <w:r w:rsidRPr="00BE69AB">
              <w:t xml:space="preserve">$42,708.00 </w:t>
            </w:r>
          </w:p>
        </w:tc>
      </w:tr>
      <w:tr w:rsidRPr="00BE69AB" w:rsidR="00BE69AB" w:rsidTr="00BE69AB" w14:paraId="06D27281" w14:textId="77777777">
        <w:trPr>
          <w:trHeight w:val="244"/>
        </w:trPr>
        <w:tc>
          <w:tcPr>
            <w:tcW w:w="5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4C4C644E" w14:textId="77777777">
            <w:pPr>
              <w:numPr>
                <w:ilvl w:val="0"/>
                <w:numId w:val="20"/>
              </w:numPr>
              <w:ind w:left="520" w:hanging="450"/>
            </w:pPr>
            <w:r w:rsidRPr="00BE69AB">
              <w:t>Interim Report</w:t>
            </w:r>
          </w:p>
          <w:p w:rsidRPr="00BE69AB" w:rsidR="00BE69AB" w:rsidP="00BE69AB" w:rsidRDefault="00BE69AB" w14:paraId="29B0D543" w14:textId="77777777">
            <w:pPr>
              <w:numPr>
                <w:ilvl w:val="0"/>
                <w:numId w:val="20"/>
              </w:numPr>
              <w:ind w:left="520" w:hanging="450"/>
            </w:pPr>
            <w:r w:rsidRPr="00BE69AB">
              <w:t>Final Report</w:t>
            </w:r>
          </w:p>
          <w:p w:rsidRPr="00BE69AB" w:rsidR="00BE69AB" w:rsidP="00BE69AB" w:rsidRDefault="00BE69AB" w14:paraId="7FF22568" w14:textId="77777777">
            <w:pPr>
              <w:rPr>
                <w:b/>
              </w:rPr>
            </w:pPr>
            <w:r w:rsidRPr="00BE69AB">
              <w:rPr>
                <w:b/>
              </w:rPr>
              <w:t>Total Labor</w:t>
            </w:r>
          </w:p>
        </w:tc>
        <w:tc>
          <w:tcPr>
            <w:tcW w:w="363" w:type="dxa"/>
          </w:tcPr>
          <w:p w:rsidRPr="00BE69AB" w:rsidR="00BE69AB" w:rsidP="00BE69AB" w:rsidRDefault="00BE69AB" w14:paraId="1E7A3963" w14:textId="77777777">
            <w:pPr>
              <w:jc w:val="right"/>
            </w:pPr>
          </w:p>
        </w:tc>
        <w:tc>
          <w:tcPr>
            <w:tcW w:w="3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0791FE39" w14:textId="1F7D217B">
            <w:pPr>
              <w:jc w:val="right"/>
            </w:pPr>
            <w:r w:rsidRPr="00BE69AB">
              <w:t xml:space="preserve">$121,742.00 </w:t>
            </w:r>
          </w:p>
        </w:tc>
      </w:tr>
      <w:tr w:rsidRPr="00BE69AB" w:rsidR="00BE69AB" w:rsidTr="00BE69AB" w14:paraId="0BF198AB" w14:textId="77777777">
        <w:trPr>
          <w:trHeight w:val="244"/>
        </w:trPr>
        <w:tc>
          <w:tcPr>
            <w:tcW w:w="5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527F6F44" w14:textId="77777777">
            <w:pPr>
              <w:rPr>
                <w:b/>
              </w:rPr>
            </w:pPr>
            <w:r w:rsidRPr="00BE69AB">
              <w:rPr>
                <w:b/>
              </w:rPr>
              <w:t>ODC</w:t>
            </w:r>
          </w:p>
        </w:tc>
        <w:tc>
          <w:tcPr>
            <w:tcW w:w="363" w:type="dxa"/>
          </w:tcPr>
          <w:p w:rsidRPr="00BE69AB" w:rsidR="00BE69AB" w:rsidP="00BE69AB" w:rsidRDefault="00BE69AB" w14:paraId="3D940ECC" w14:textId="77777777">
            <w:pPr>
              <w:jc w:val="right"/>
            </w:pPr>
          </w:p>
        </w:tc>
        <w:tc>
          <w:tcPr>
            <w:tcW w:w="3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7DDC6A94" w14:textId="51F84C4D">
            <w:pPr>
              <w:jc w:val="right"/>
            </w:pPr>
            <w:r w:rsidRPr="00BE69AB">
              <w:t xml:space="preserve">$1,380.00 </w:t>
            </w:r>
          </w:p>
        </w:tc>
      </w:tr>
      <w:tr w:rsidRPr="00BE69AB" w:rsidR="00BE69AB" w:rsidTr="00BE69AB" w14:paraId="0B11FC63" w14:textId="77777777">
        <w:trPr>
          <w:trHeight w:val="244"/>
        </w:trPr>
        <w:tc>
          <w:tcPr>
            <w:tcW w:w="5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4E7A96FC" w14:textId="77777777">
            <w:pPr>
              <w:rPr>
                <w:b/>
              </w:rPr>
            </w:pPr>
            <w:r w:rsidRPr="00BE69AB">
              <w:rPr>
                <w:b/>
              </w:rPr>
              <w:t>Total</w:t>
            </w:r>
          </w:p>
        </w:tc>
        <w:tc>
          <w:tcPr>
            <w:tcW w:w="363" w:type="dxa"/>
          </w:tcPr>
          <w:p w:rsidRPr="00BE69AB" w:rsidR="00BE69AB" w:rsidP="00BE69AB" w:rsidRDefault="00BE69AB" w14:paraId="0617B153" w14:textId="77777777">
            <w:pPr>
              <w:jc w:val="right"/>
              <w:rPr>
                <w:b/>
              </w:rPr>
            </w:pPr>
          </w:p>
        </w:tc>
        <w:tc>
          <w:tcPr>
            <w:tcW w:w="3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E69AB" w:rsidR="00BE69AB" w:rsidP="00BE69AB" w:rsidRDefault="00BE69AB" w14:paraId="4FFF2A98" w14:textId="7408865E">
            <w:pPr>
              <w:jc w:val="right"/>
              <w:rPr>
                <w:b/>
              </w:rPr>
            </w:pPr>
            <w:r w:rsidRPr="00BE69AB">
              <w:rPr>
                <w:b/>
              </w:rPr>
              <w:t xml:space="preserve">$123,122.00 </w:t>
            </w:r>
          </w:p>
        </w:tc>
      </w:tr>
    </w:tbl>
    <w:p w:rsidR="00DD4855" w:rsidRDefault="00DD4855" w14:paraId="6545B053" w14:textId="77777777"/>
    <w:p w:rsidR="00DD4855" w:rsidRDefault="00DD4855" w14:paraId="038D24F0" w14:textId="58CEC794"/>
    <w:p w:rsidRPr="00DD4855" w:rsidR="00DD4855" w:rsidRDefault="00814549" w14:paraId="0FCB620B" w14:textId="5FE880BB">
      <w:r>
        <w:t xml:space="preserve">The burden to the CWMD staff (federal employees and SETA contractor staff) is approximately 15 hours.  </w:t>
      </w:r>
      <w:r w:rsidR="00EC2130">
        <w:t xml:space="preserve">The CWMD staff burden is primarily shared among three SETA contractors.  </w:t>
      </w:r>
      <w:r>
        <w:t xml:space="preserve"> </w:t>
      </w:r>
    </w:p>
    <w:p w:rsidR="00ED6492" w:rsidRDefault="00ED6492" w14:paraId="27F18AD8" w14:textId="77777777">
      <w:pPr>
        <w:rPr>
          <w:b/>
          <w:bCs/>
          <w:u w:val="single"/>
        </w:rPr>
      </w:pPr>
    </w:p>
    <w:p w:rsidR="0069403B" w:rsidP="00F06866" w:rsidRDefault="00ED6492" w14:paraId="7868402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52722781" w14:textId="77777777">
      <w:pPr>
        <w:rPr>
          <w:b/>
        </w:rPr>
      </w:pPr>
    </w:p>
    <w:p w:rsidR="00F06866" w:rsidP="002E4CAF" w:rsidRDefault="00636621" w14:paraId="00626C24" w14:textId="77777777">
      <w:pPr>
        <w:keepNext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ADB403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6C1BAA" w:rsidR="00296F70">
        <w:rPr>
          <w:b/>
          <w:color w:val="FF0000"/>
        </w:rPr>
        <w:t>X</w:t>
      </w:r>
      <w:r>
        <w:t>] Yes</w:t>
      </w:r>
      <w:r>
        <w:tab/>
      </w:r>
      <w:proofErr w:type="gramStart"/>
      <w:r>
        <w:t>[</w:t>
      </w:r>
      <w:r w:rsidR="00296F70">
        <w:t xml:space="preserve">  </w:t>
      </w:r>
      <w:r>
        <w:t>]</w:t>
      </w:r>
      <w:proofErr w:type="gramEnd"/>
      <w:r>
        <w:t xml:space="preserve"> No</w:t>
      </w:r>
    </w:p>
    <w:p w:rsidR="00636621" w:rsidP="00636621" w:rsidRDefault="00636621" w14:paraId="283CA04F" w14:textId="77777777">
      <w:pPr>
        <w:pStyle w:val="ListParagraph"/>
      </w:pPr>
    </w:p>
    <w:p w:rsidR="00636621" w:rsidP="001B0AAA" w:rsidRDefault="00636621" w14:paraId="38DEBC6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C1BAA" w:rsidP="00A403BB" w:rsidRDefault="006C1BAA" w14:paraId="53EDD298" w14:textId="77777777">
      <w:pPr>
        <w:pStyle w:val="ListParagraph"/>
      </w:pPr>
    </w:p>
    <w:p w:rsidR="00A403BB" w:rsidP="00D83CE4" w:rsidRDefault="00202714" w14:paraId="65B4E6A3" w14:textId="0ED03CE8">
      <w:r>
        <w:t>See attached list of targeted respondents</w:t>
      </w:r>
    </w:p>
    <w:p w:rsidR="004D6E14" w:rsidP="00A403BB" w:rsidRDefault="004D6E14" w14:paraId="6800D7C0" w14:textId="77777777">
      <w:pPr>
        <w:rPr>
          <w:b/>
        </w:rPr>
      </w:pPr>
    </w:p>
    <w:p w:rsidR="00A403BB" w:rsidP="00A403BB" w:rsidRDefault="00A403BB" w14:paraId="0361C71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9200EE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Pr="004C71FA" w:rsidR="001B0AAA" w:rsidP="001B0AAA" w:rsidRDefault="00A403BB" w14:paraId="3DE99C2C" w14:textId="685D1C74">
      <w:pPr>
        <w:ind w:left="720"/>
        <w:rPr>
          <w:color w:val="FF0000"/>
        </w:rPr>
      </w:pPr>
      <w:r>
        <w:t>[</w:t>
      </w:r>
      <w:proofErr w:type="gramStart"/>
      <w:r w:rsidRPr="006C1BAA" w:rsidR="004C71FA">
        <w:rPr>
          <w:b/>
          <w:color w:val="FF0000"/>
        </w:rPr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46192A6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E7CE399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8343C2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6F54AC8" w14:textId="77777777">
      <w:pPr>
        <w:ind w:left="720"/>
      </w:pPr>
      <w:proofErr w:type="gramStart"/>
      <w:r>
        <w:t>[</w:t>
      </w:r>
      <w:r w:rsidR="004C71FA">
        <w:t xml:space="preserve">  </w:t>
      </w:r>
      <w:r>
        <w:t>]</w:t>
      </w:r>
      <w:proofErr w:type="gramEnd"/>
      <w:r>
        <w:t xml:space="preserve"> Other, Explain</w:t>
      </w:r>
    </w:p>
    <w:p w:rsidR="001727EE" w:rsidP="001B0AAA" w:rsidRDefault="001727EE" w14:paraId="3B42E2F4" w14:textId="77777777">
      <w:pPr>
        <w:ind w:left="720"/>
      </w:pPr>
    </w:p>
    <w:p w:rsidR="00F24CFC" w:rsidP="00F24CFC" w:rsidRDefault="00F24CFC" w14:paraId="10096DB4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6C1BAA" w:rsidR="00E91063">
        <w:rPr>
          <w:b/>
          <w:color w:val="FF0000"/>
        </w:rPr>
        <w:t>X</w:t>
      </w:r>
      <w:r>
        <w:t>] No</w:t>
      </w:r>
      <w:r w:rsidR="0018467B">
        <w:t xml:space="preserve"> [Follow-up</w:t>
      </w:r>
      <w:r w:rsidR="00125D9B">
        <w:t>,</w:t>
      </w:r>
      <w:r w:rsidR="0018467B">
        <w:t xml:space="preserve"> non-standardized oral communications may occur as needed to clarify feedback received (5 C.F.R. 1320.3(h))]</w:t>
      </w:r>
    </w:p>
    <w:p w:rsidR="006C1BAA" w:rsidP="00F24CFC" w:rsidRDefault="006C1BAA" w14:paraId="54C25BAB" w14:textId="77777777">
      <w:pPr>
        <w:pStyle w:val="ListParagraph"/>
        <w:ind w:left="360"/>
      </w:pPr>
    </w:p>
    <w:p w:rsidR="005E714A" w:rsidP="005A5EED" w:rsidRDefault="005E714A" w14:paraId="731AA672" w14:textId="33CECE5D"/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CAB67" w14:textId="77777777" w:rsidR="00645EA9" w:rsidRDefault="00645EA9">
      <w:r>
        <w:separator/>
      </w:r>
    </w:p>
  </w:endnote>
  <w:endnote w:type="continuationSeparator" w:id="0">
    <w:p w14:paraId="57977439" w14:textId="77777777" w:rsidR="00645EA9" w:rsidRDefault="0064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EA95" w14:textId="014D7D9E" w:rsidR="00A92051" w:rsidRDefault="00A9205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0795D" w14:textId="77777777" w:rsidR="00645EA9" w:rsidRDefault="00645EA9">
      <w:r>
        <w:separator/>
      </w:r>
    </w:p>
  </w:footnote>
  <w:footnote w:type="continuationSeparator" w:id="0">
    <w:p w14:paraId="78EED918" w14:textId="77777777" w:rsidR="00645EA9" w:rsidRDefault="0064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547F"/>
    <w:multiLevelType w:val="hybridMultilevel"/>
    <w:tmpl w:val="C9484C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13C5C48"/>
    <w:multiLevelType w:val="hybridMultilevel"/>
    <w:tmpl w:val="03CE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816F5"/>
    <w:rsid w:val="000B2838"/>
    <w:rsid w:val="000B4734"/>
    <w:rsid w:val="000C799D"/>
    <w:rsid w:val="000D44CA"/>
    <w:rsid w:val="000E200B"/>
    <w:rsid w:val="000F68BE"/>
    <w:rsid w:val="00125D9B"/>
    <w:rsid w:val="00136956"/>
    <w:rsid w:val="001727EE"/>
    <w:rsid w:val="001734AC"/>
    <w:rsid w:val="00183A88"/>
    <w:rsid w:val="0018467B"/>
    <w:rsid w:val="001927A4"/>
    <w:rsid w:val="00194AC6"/>
    <w:rsid w:val="00196B0E"/>
    <w:rsid w:val="001A23B0"/>
    <w:rsid w:val="001A25CC"/>
    <w:rsid w:val="001A3994"/>
    <w:rsid w:val="001A573D"/>
    <w:rsid w:val="001B0AAA"/>
    <w:rsid w:val="001C39F7"/>
    <w:rsid w:val="001C7F97"/>
    <w:rsid w:val="001D40A8"/>
    <w:rsid w:val="001D4672"/>
    <w:rsid w:val="00202714"/>
    <w:rsid w:val="0021165B"/>
    <w:rsid w:val="00225872"/>
    <w:rsid w:val="00237B48"/>
    <w:rsid w:val="0024521E"/>
    <w:rsid w:val="00263C3D"/>
    <w:rsid w:val="0026680C"/>
    <w:rsid w:val="00272F8F"/>
    <w:rsid w:val="00274700"/>
    <w:rsid w:val="00274D0B"/>
    <w:rsid w:val="00296F70"/>
    <w:rsid w:val="002A7D20"/>
    <w:rsid w:val="002B176C"/>
    <w:rsid w:val="002B3C95"/>
    <w:rsid w:val="002B7C66"/>
    <w:rsid w:val="002C69C8"/>
    <w:rsid w:val="002D0B92"/>
    <w:rsid w:val="002E4CAF"/>
    <w:rsid w:val="002F0FC8"/>
    <w:rsid w:val="002F37C3"/>
    <w:rsid w:val="003028F3"/>
    <w:rsid w:val="0032379F"/>
    <w:rsid w:val="00343CF5"/>
    <w:rsid w:val="0036502D"/>
    <w:rsid w:val="00390F56"/>
    <w:rsid w:val="003B1399"/>
    <w:rsid w:val="003B16E5"/>
    <w:rsid w:val="003D04EB"/>
    <w:rsid w:val="003D1F89"/>
    <w:rsid w:val="003D3656"/>
    <w:rsid w:val="003D5BBE"/>
    <w:rsid w:val="003E3C61"/>
    <w:rsid w:val="003E574F"/>
    <w:rsid w:val="003F1C5B"/>
    <w:rsid w:val="004021B6"/>
    <w:rsid w:val="00434E33"/>
    <w:rsid w:val="00435205"/>
    <w:rsid w:val="004410A4"/>
    <w:rsid w:val="00441434"/>
    <w:rsid w:val="0045264C"/>
    <w:rsid w:val="00463B7E"/>
    <w:rsid w:val="004876EC"/>
    <w:rsid w:val="004A2BB4"/>
    <w:rsid w:val="004A6998"/>
    <w:rsid w:val="004A7419"/>
    <w:rsid w:val="004C71FA"/>
    <w:rsid w:val="004D6E14"/>
    <w:rsid w:val="004F6B6A"/>
    <w:rsid w:val="005009B0"/>
    <w:rsid w:val="00502EB9"/>
    <w:rsid w:val="00507FAE"/>
    <w:rsid w:val="005465C2"/>
    <w:rsid w:val="0057653B"/>
    <w:rsid w:val="005821B2"/>
    <w:rsid w:val="005A1006"/>
    <w:rsid w:val="005A5EED"/>
    <w:rsid w:val="005B33FB"/>
    <w:rsid w:val="005C31BD"/>
    <w:rsid w:val="005C64C8"/>
    <w:rsid w:val="005E6630"/>
    <w:rsid w:val="005E714A"/>
    <w:rsid w:val="005F7456"/>
    <w:rsid w:val="00604C19"/>
    <w:rsid w:val="006140A0"/>
    <w:rsid w:val="00636621"/>
    <w:rsid w:val="00642B49"/>
    <w:rsid w:val="00645EA9"/>
    <w:rsid w:val="00681221"/>
    <w:rsid w:val="00681E9C"/>
    <w:rsid w:val="006832D9"/>
    <w:rsid w:val="0069403B"/>
    <w:rsid w:val="006C1BAA"/>
    <w:rsid w:val="006C5424"/>
    <w:rsid w:val="006D1D8D"/>
    <w:rsid w:val="006E086C"/>
    <w:rsid w:val="006F3DDE"/>
    <w:rsid w:val="00704678"/>
    <w:rsid w:val="00711FB5"/>
    <w:rsid w:val="00736E96"/>
    <w:rsid w:val="007425E7"/>
    <w:rsid w:val="00777BF6"/>
    <w:rsid w:val="007A2F31"/>
    <w:rsid w:val="007E6E4A"/>
    <w:rsid w:val="00802607"/>
    <w:rsid w:val="008101A5"/>
    <w:rsid w:val="00814549"/>
    <w:rsid w:val="00822664"/>
    <w:rsid w:val="008270D9"/>
    <w:rsid w:val="00833E0A"/>
    <w:rsid w:val="00843796"/>
    <w:rsid w:val="00851934"/>
    <w:rsid w:val="0086334D"/>
    <w:rsid w:val="008930D6"/>
    <w:rsid w:val="0089458E"/>
    <w:rsid w:val="00895229"/>
    <w:rsid w:val="008974F6"/>
    <w:rsid w:val="008B4517"/>
    <w:rsid w:val="008F0203"/>
    <w:rsid w:val="008F50D4"/>
    <w:rsid w:val="00906BA2"/>
    <w:rsid w:val="00921F35"/>
    <w:rsid w:val="009239AA"/>
    <w:rsid w:val="0092462B"/>
    <w:rsid w:val="00924E4E"/>
    <w:rsid w:val="00935ADA"/>
    <w:rsid w:val="00946B6C"/>
    <w:rsid w:val="00955A71"/>
    <w:rsid w:val="0096108F"/>
    <w:rsid w:val="00975DF4"/>
    <w:rsid w:val="00983E3A"/>
    <w:rsid w:val="009A6110"/>
    <w:rsid w:val="009C13B9"/>
    <w:rsid w:val="009D01A2"/>
    <w:rsid w:val="009D158D"/>
    <w:rsid w:val="009E5CBB"/>
    <w:rsid w:val="009E7473"/>
    <w:rsid w:val="009F5923"/>
    <w:rsid w:val="00A1329D"/>
    <w:rsid w:val="00A20A73"/>
    <w:rsid w:val="00A403BB"/>
    <w:rsid w:val="00A43BD2"/>
    <w:rsid w:val="00A627A5"/>
    <w:rsid w:val="00A674DF"/>
    <w:rsid w:val="00A83AA6"/>
    <w:rsid w:val="00A92051"/>
    <w:rsid w:val="00A9498E"/>
    <w:rsid w:val="00AD50FD"/>
    <w:rsid w:val="00AE1809"/>
    <w:rsid w:val="00AE54AD"/>
    <w:rsid w:val="00AF63B4"/>
    <w:rsid w:val="00B312A3"/>
    <w:rsid w:val="00B3716C"/>
    <w:rsid w:val="00B80885"/>
    <w:rsid w:val="00B80D76"/>
    <w:rsid w:val="00B93C58"/>
    <w:rsid w:val="00BA2105"/>
    <w:rsid w:val="00BA7E06"/>
    <w:rsid w:val="00BB43B5"/>
    <w:rsid w:val="00BB6219"/>
    <w:rsid w:val="00BB7954"/>
    <w:rsid w:val="00BD290F"/>
    <w:rsid w:val="00BE69AB"/>
    <w:rsid w:val="00C14CC4"/>
    <w:rsid w:val="00C33C52"/>
    <w:rsid w:val="00C40D8B"/>
    <w:rsid w:val="00C8407A"/>
    <w:rsid w:val="00C8488C"/>
    <w:rsid w:val="00C86E91"/>
    <w:rsid w:val="00CA2650"/>
    <w:rsid w:val="00CA3041"/>
    <w:rsid w:val="00CB1078"/>
    <w:rsid w:val="00CC6FAF"/>
    <w:rsid w:val="00CF7C03"/>
    <w:rsid w:val="00D24698"/>
    <w:rsid w:val="00D6383F"/>
    <w:rsid w:val="00D8343B"/>
    <w:rsid w:val="00D83CE4"/>
    <w:rsid w:val="00D96395"/>
    <w:rsid w:val="00DB59D0"/>
    <w:rsid w:val="00DB72F1"/>
    <w:rsid w:val="00DC083B"/>
    <w:rsid w:val="00DC33D3"/>
    <w:rsid w:val="00DD4855"/>
    <w:rsid w:val="00E26329"/>
    <w:rsid w:val="00E26861"/>
    <w:rsid w:val="00E40B50"/>
    <w:rsid w:val="00E50293"/>
    <w:rsid w:val="00E5118E"/>
    <w:rsid w:val="00E65FFC"/>
    <w:rsid w:val="00E76E94"/>
    <w:rsid w:val="00E80951"/>
    <w:rsid w:val="00E84A03"/>
    <w:rsid w:val="00E86CC6"/>
    <w:rsid w:val="00E91063"/>
    <w:rsid w:val="00EB4251"/>
    <w:rsid w:val="00EB56B3"/>
    <w:rsid w:val="00EC2130"/>
    <w:rsid w:val="00EC41E7"/>
    <w:rsid w:val="00ED6492"/>
    <w:rsid w:val="00EF2095"/>
    <w:rsid w:val="00F01702"/>
    <w:rsid w:val="00F043C7"/>
    <w:rsid w:val="00F04716"/>
    <w:rsid w:val="00F06866"/>
    <w:rsid w:val="00F15956"/>
    <w:rsid w:val="00F23B50"/>
    <w:rsid w:val="00F24CFC"/>
    <w:rsid w:val="00F3170F"/>
    <w:rsid w:val="00F72043"/>
    <w:rsid w:val="00F83ACB"/>
    <w:rsid w:val="00F976B0"/>
    <w:rsid w:val="00FA0E9F"/>
    <w:rsid w:val="00FA6DE7"/>
    <w:rsid w:val="00FB164B"/>
    <w:rsid w:val="00FC0A8E"/>
    <w:rsid w:val="00FE2FA6"/>
    <w:rsid w:val="00FE3DF2"/>
    <w:rsid w:val="00FF372B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D148E"/>
  <w15:docId w15:val="{0BA286AA-2352-4A3A-AF03-EFC032E7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E84A03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312A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3C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CAFD285920E49AFF2DDFDD2354BDC" ma:contentTypeVersion="7" ma:contentTypeDescription="Create a new document." ma:contentTypeScope="" ma:versionID="0a8749230273d84ca6e034fc6e4dfae7">
  <xsd:schema xmlns:xsd="http://www.w3.org/2001/XMLSchema" xmlns:xs="http://www.w3.org/2001/XMLSchema" xmlns:p="http://schemas.microsoft.com/office/2006/metadata/properties" xmlns:ns3="65629ab1-a175-4630-903c-b153f37dc923" targetNamespace="http://schemas.microsoft.com/office/2006/metadata/properties" ma:root="true" ma:fieldsID="30e4fbee0acdf0ae1fe6933557f52874" ns3:_="">
    <xsd:import namespace="65629ab1-a175-4630-903c-b153f37dc9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29ab1-a175-4630-903c-b153f37d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09613-3687-4310-9ACE-E37799B38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29ab1-a175-4630-903c-b153f37dc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BALDOCK, JAMES (CTR)</cp:lastModifiedBy>
  <cp:revision>5</cp:revision>
  <cp:lastPrinted>2015-07-08T11:49:00Z</cp:lastPrinted>
  <dcterms:created xsi:type="dcterms:W3CDTF">2020-08-12T13:58:00Z</dcterms:created>
  <dcterms:modified xsi:type="dcterms:W3CDTF">2020-09-09T10:12:00Z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0x010100A43CAFD285920E49AFF2DDFDD2354BDC</vt:lpwstr>
  </property>
</Properties>
</file>