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F4CB5" w14:textId="77777777" w:rsidR="00F63CD5" w:rsidRDefault="00F63CD5" w:rsidP="00F63CD5">
      <w:pPr>
        <w:pStyle w:val="C1-CtrBoldHd"/>
        <w:spacing w:after="0"/>
        <w:rPr>
          <w:sz w:val="36"/>
        </w:rPr>
      </w:pPr>
      <w:bookmarkStart w:id="0" w:name="_Toc119829979"/>
      <w:bookmarkStart w:id="1" w:name="_GoBack"/>
      <w:bookmarkEnd w:id="1"/>
    </w:p>
    <w:p w14:paraId="0B6E7946" w14:textId="77777777" w:rsidR="00F63CD5" w:rsidRDefault="00F63CD5" w:rsidP="00F63CD5">
      <w:pPr>
        <w:pStyle w:val="C1-CtrBoldHd"/>
        <w:spacing w:after="0"/>
        <w:rPr>
          <w:sz w:val="36"/>
        </w:rPr>
      </w:pPr>
    </w:p>
    <w:p w14:paraId="282F2AC7" w14:textId="77777777" w:rsidR="00F63CD5" w:rsidRPr="00F6344F" w:rsidRDefault="00F63CD5" w:rsidP="00F63CD5">
      <w:pPr>
        <w:pStyle w:val="C1-CtrBoldHd"/>
        <w:spacing w:after="0"/>
      </w:pPr>
    </w:p>
    <w:p w14:paraId="3488DE8C" w14:textId="7F422A40" w:rsidR="00D0605E" w:rsidRPr="00F6344F" w:rsidRDefault="006D694B" w:rsidP="00D0605E">
      <w:pPr>
        <w:pStyle w:val="C1-CtrBoldHd"/>
        <w:spacing w:after="0"/>
      </w:pPr>
      <w:r>
        <w:rPr>
          <w:sz w:val="32"/>
        </w:rPr>
        <w:t>International Computer and Information Literacy Study</w:t>
      </w:r>
      <w:r w:rsidRPr="009850EA">
        <w:rPr>
          <w:sz w:val="32"/>
        </w:rPr>
        <w:t xml:space="preserve"> (</w:t>
      </w:r>
      <w:r>
        <w:rPr>
          <w:sz w:val="32"/>
        </w:rPr>
        <w:t>ICILS 2018</w:t>
      </w:r>
      <w:r w:rsidRPr="009850EA">
        <w:rPr>
          <w:sz w:val="32"/>
        </w:rPr>
        <w:t xml:space="preserve">) </w:t>
      </w:r>
      <w:r>
        <w:rPr>
          <w:sz w:val="32"/>
        </w:rPr>
        <w:t>MAIN STUDY</w:t>
      </w:r>
    </w:p>
    <w:p w14:paraId="01CE7AED" w14:textId="77777777" w:rsidR="00D0605E" w:rsidRPr="00F6344F" w:rsidRDefault="00D0605E" w:rsidP="00D0605E">
      <w:pPr>
        <w:pStyle w:val="C1-CtrBoldHd"/>
        <w:spacing w:after="0"/>
        <w:rPr>
          <w:sz w:val="24"/>
        </w:rPr>
      </w:pPr>
    </w:p>
    <w:p w14:paraId="694E964F" w14:textId="77777777" w:rsidR="00D0605E" w:rsidRDefault="00D0605E" w:rsidP="00D0605E">
      <w:pPr>
        <w:pStyle w:val="C1-CtrBoldHd"/>
        <w:spacing w:after="0"/>
        <w:rPr>
          <w:sz w:val="28"/>
        </w:rPr>
      </w:pPr>
    </w:p>
    <w:p w14:paraId="285BE717" w14:textId="77777777" w:rsidR="006D694B" w:rsidRPr="003D6A50" w:rsidRDefault="006D694B" w:rsidP="00D0605E">
      <w:pPr>
        <w:pStyle w:val="C1-CtrBoldHd"/>
        <w:spacing w:after="0"/>
        <w:rPr>
          <w:sz w:val="28"/>
        </w:rPr>
      </w:pPr>
    </w:p>
    <w:p w14:paraId="06E94818" w14:textId="6717C53F" w:rsidR="00D0605E" w:rsidRDefault="00D0605E" w:rsidP="00D0605E">
      <w:pPr>
        <w:pStyle w:val="C1-CtrBoldHd"/>
        <w:spacing w:after="0"/>
        <w:rPr>
          <w:sz w:val="28"/>
        </w:rPr>
      </w:pPr>
    </w:p>
    <w:p w14:paraId="3E7F80B5" w14:textId="3C5C9D24" w:rsidR="00D0605E" w:rsidRDefault="00D0605E" w:rsidP="00D0605E">
      <w:pPr>
        <w:pStyle w:val="C1-CtrBoldHd"/>
        <w:spacing w:after="0"/>
        <w:rPr>
          <w:sz w:val="28"/>
        </w:rPr>
      </w:pPr>
      <w:r w:rsidRPr="00C30BA4">
        <w:rPr>
          <w:sz w:val="28"/>
        </w:rPr>
        <w:t xml:space="preserve">OMB# </w:t>
      </w:r>
      <w:r w:rsidRPr="00206C45">
        <w:rPr>
          <w:sz w:val="28"/>
        </w:rPr>
        <w:t>1850-</w:t>
      </w:r>
      <w:r w:rsidR="00D670BA">
        <w:rPr>
          <w:sz w:val="28"/>
        </w:rPr>
        <w:t>0929</w:t>
      </w:r>
      <w:r>
        <w:rPr>
          <w:sz w:val="28"/>
        </w:rPr>
        <w:t xml:space="preserve"> </w:t>
      </w:r>
      <w:r w:rsidR="001B6DA4">
        <w:rPr>
          <w:caps w:val="0"/>
          <w:sz w:val="28"/>
        </w:rPr>
        <w:t>v</w:t>
      </w:r>
      <w:r>
        <w:rPr>
          <w:sz w:val="28"/>
        </w:rPr>
        <w:t>.</w:t>
      </w:r>
      <w:r w:rsidR="005509CE">
        <w:rPr>
          <w:sz w:val="28"/>
        </w:rPr>
        <w:t>6</w:t>
      </w:r>
    </w:p>
    <w:p w14:paraId="3C797E3D" w14:textId="77777777" w:rsidR="00D0605E" w:rsidRDefault="00D0605E" w:rsidP="00D0605E">
      <w:pPr>
        <w:pStyle w:val="C1-CtrBoldHd"/>
        <w:spacing w:after="0"/>
        <w:rPr>
          <w:sz w:val="28"/>
        </w:rPr>
      </w:pPr>
    </w:p>
    <w:p w14:paraId="1BECC5E0" w14:textId="77777777" w:rsidR="00D0605E" w:rsidRDefault="00D0605E" w:rsidP="00D0605E">
      <w:pPr>
        <w:pStyle w:val="C1-CtrBoldHd"/>
        <w:spacing w:after="0"/>
        <w:rPr>
          <w:sz w:val="28"/>
        </w:rPr>
      </w:pPr>
    </w:p>
    <w:p w14:paraId="656FE270" w14:textId="77777777" w:rsidR="00D0605E" w:rsidRDefault="00D0605E" w:rsidP="00D0605E">
      <w:pPr>
        <w:pStyle w:val="C1-CtrBoldHd"/>
        <w:spacing w:after="0"/>
        <w:rPr>
          <w:sz w:val="28"/>
        </w:rPr>
      </w:pPr>
    </w:p>
    <w:p w14:paraId="104EC825" w14:textId="77777777" w:rsidR="00F63CD5" w:rsidRPr="00B82C6A" w:rsidRDefault="00F63CD5" w:rsidP="00F63CD5">
      <w:pPr>
        <w:pStyle w:val="C1-CtrBoldHd"/>
        <w:spacing w:after="0"/>
        <w:rPr>
          <w:sz w:val="28"/>
        </w:rPr>
      </w:pPr>
      <w:r>
        <w:rPr>
          <w:sz w:val="28"/>
        </w:rPr>
        <w:t>Supporting Statement Part B</w:t>
      </w:r>
    </w:p>
    <w:p w14:paraId="3960E4AC" w14:textId="77777777" w:rsidR="00F63CD5" w:rsidRPr="003D6A50" w:rsidRDefault="00F63CD5" w:rsidP="00F63CD5">
      <w:pPr>
        <w:pStyle w:val="C1-CtrBoldHd"/>
        <w:spacing w:after="0"/>
        <w:rPr>
          <w:sz w:val="36"/>
        </w:rPr>
      </w:pPr>
    </w:p>
    <w:p w14:paraId="55315AEC" w14:textId="77777777" w:rsidR="00F63CD5" w:rsidRPr="003D6A50" w:rsidRDefault="00F63CD5" w:rsidP="00F63CD5">
      <w:pPr>
        <w:pStyle w:val="C1-CtrBoldHd"/>
        <w:spacing w:after="0"/>
        <w:rPr>
          <w:sz w:val="28"/>
        </w:rPr>
      </w:pPr>
    </w:p>
    <w:p w14:paraId="6179F1AA" w14:textId="77777777" w:rsidR="00F63CD5" w:rsidRPr="003D6A50" w:rsidRDefault="00F63CD5" w:rsidP="00F63CD5">
      <w:pPr>
        <w:pStyle w:val="C1-CtrBoldHd"/>
        <w:spacing w:after="0"/>
        <w:rPr>
          <w:sz w:val="28"/>
        </w:rPr>
      </w:pPr>
    </w:p>
    <w:p w14:paraId="1E38F01C" w14:textId="77777777"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14:paraId="0960247D" w14:textId="77777777" w:rsidR="00F63CD5" w:rsidRPr="003D6A50" w:rsidRDefault="00F63CD5" w:rsidP="00F63CD5">
      <w:pPr>
        <w:pStyle w:val="C1-CtrBoldHd"/>
        <w:spacing w:after="0"/>
        <w:rPr>
          <w:caps w:val="0"/>
          <w:sz w:val="28"/>
        </w:rPr>
      </w:pPr>
    </w:p>
    <w:p w14:paraId="4864795F" w14:textId="77777777" w:rsidR="00F63CD5" w:rsidRPr="003D6A50" w:rsidRDefault="00F63CD5" w:rsidP="00F63CD5">
      <w:pPr>
        <w:pStyle w:val="C1-CtrBoldHd"/>
        <w:spacing w:after="0"/>
        <w:rPr>
          <w:sz w:val="28"/>
        </w:rPr>
      </w:pPr>
    </w:p>
    <w:p w14:paraId="5191008F" w14:textId="77777777" w:rsidR="00F63CD5" w:rsidRPr="003D6A50" w:rsidRDefault="00F63CD5" w:rsidP="00F63CD5">
      <w:pPr>
        <w:pStyle w:val="C1-CtrBoldHd"/>
        <w:spacing w:after="0"/>
        <w:rPr>
          <w:sz w:val="28"/>
        </w:rPr>
      </w:pPr>
      <w:r w:rsidRPr="003D6A50">
        <w:rPr>
          <w:caps w:val="0"/>
          <w:sz w:val="28"/>
        </w:rPr>
        <w:t>National Center for Education Statistics</w:t>
      </w:r>
      <w:r w:rsidR="0037598C">
        <w:rPr>
          <w:caps w:val="0"/>
          <w:sz w:val="28"/>
        </w:rPr>
        <w:t xml:space="preserve"> (NCES)</w:t>
      </w:r>
    </w:p>
    <w:p w14:paraId="42CF5FFD" w14:textId="77777777" w:rsidR="00F63CD5" w:rsidRPr="003D6A50" w:rsidRDefault="00F63CD5" w:rsidP="00F63CD5">
      <w:pPr>
        <w:pStyle w:val="C1-CtrBoldHd"/>
        <w:spacing w:after="0"/>
        <w:rPr>
          <w:sz w:val="28"/>
        </w:rPr>
      </w:pPr>
      <w:r>
        <w:rPr>
          <w:caps w:val="0"/>
          <w:sz w:val="28"/>
        </w:rPr>
        <w:t>Institute of Education Sciences</w:t>
      </w:r>
      <w:r w:rsidR="0037598C">
        <w:rPr>
          <w:caps w:val="0"/>
          <w:sz w:val="28"/>
        </w:rPr>
        <w:t xml:space="preserve"> (IES)</w:t>
      </w:r>
    </w:p>
    <w:p w14:paraId="28A25849" w14:textId="77777777" w:rsidR="00597D9C" w:rsidRDefault="00597D9C" w:rsidP="00597D9C">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7721A728" w14:textId="77777777"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6116A40A" w14:textId="77777777" w:rsidR="00F63CD5" w:rsidRPr="003D6A50" w:rsidRDefault="00F63CD5" w:rsidP="00F63CD5">
      <w:pPr>
        <w:pStyle w:val="C1-CtrBoldHd"/>
        <w:spacing w:after="0"/>
        <w:rPr>
          <w:sz w:val="28"/>
        </w:rPr>
      </w:pPr>
    </w:p>
    <w:p w14:paraId="3C9FECDF" w14:textId="77777777" w:rsidR="00F63CD5" w:rsidRPr="003D6A50" w:rsidRDefault="00F63CD5" w:rsidP="00F63CD5">
      <w:pPr>
        <w:pStyle w:val="C1-CtrBoldHd"/>
        <w:spacing w:after="0"/>
        <w:rPr>
          <w:sz w:val="28"/>
        </w:rPr>
      </w:pPr>
    </w:p>
    <w:p w14:paraId="5E4F0DA9" w14:textId="77777777" w:rsidR="00396457" w:rsidRDefault="00396457" w:rsidP="00F63CD5">
      <w:pPr>
        <w:pStyle w:val="C1-CtrBoldHd"/>
        <w:spacing w:after="0"/>
        <w:rPr>
          <w:caps w:val="0"/>
          <w:sz w:val="28"/>
        </w:rPr>
      </w:pPr>
    </w:p>
    <w:p w14:paraId="19CC06C1" w14:textId="77777777" w:rsidR="00396457" w:rsidRDefault="00396457" w:rsidP="00F63CD5">
      <w:pPr>
        <w:pStyle w:val="C1-CtrBoldHd"/>
        <w:spacing w:after="0"/>
        <w:rPr>
          <w:caps w:val="0"/>
          <w:sz w:val="28"/>
        </w:rPr>
      </w:pPr>
    </w:p>
    <w:p w14:paraId="432BE557" w14:textId="77777777" w:rsidR="00396457" w:rsidRDefault="00396457" w:rsidP="00F63CD5">
      <w:pPr>
        <w:pStyle w:val="C1-CtrBoldHd"/>
        <w:spacing w:after="0"/>
        <w:rPr>
          <w:caps w:val="0"/>
          <w:sz w:val="28"/>
        </w:rPr>
      </w:pPr>
    </w:p>
    <w:p w14:paraId="060A2289" w14:textId="77777777" w:rsidR="00396457" w:rsidRDefault="00396457" w:rsidP="00F63CD5">
      <w:pPr>
        <w:pStyle w:val="C1-CtrBoldHd"/>
        <w:spacing w:after="0"/>
        <w:rPr>
          <w:caps w:val="0"/>
          <w:sz w:val="28"/>
        </w:rPr>
      </w:pPr>
    </w:p>
    <w:p w14:paraId="4DDB92C6" w14:textId="77777777" w:rsidR="00396457" w:rsidRDefault="00396457" w:rsidP="00F63CD5">
      <w:pPr>
        <w:pStyle w:val="C1-CtrBoldHd"/>
        <w:spacing w:after="0"/>
        <w:rPr>
          <w:caps w:val="0"/>
          <w:sz w:val="28"/>
        </w:rPr>
      </w:pPr>
    </w:p>
    <w:p w14:paraId="7B9A87D3" w14:textId="77777777" w:rsidR="00396457" w:rsidRDefault="00396457" w:rsidP="00F63CD5">
      <w:pPr>
        <w:pStyle w:val="C1-CtrBoldHd"/>
        <w:spacing w:after="0"/>
        <w:rPr>
          <w:caps w:val="0"/>
          <w:sz w:val="28"/>
        </w:rPr>
      </w:pPr>
    </w:p>
    <w:p w14:paraId="725997F2" w14:textId="77777777" w:rsidR="00396457" w:rsidRDefault="00396457" w:rsidP="00F63CD5">
      <w:pPr>
        <w:pStyle w:val="C1-CtrBoldHd"/>
        <w:spacing w:after="0"/>
        <w:rPr>
          <w:caps w:val="0"/>
          <w:sz w:val="28"/>
        </w:rPr>
      </w:pPr>
    </w:p>
    <w:p w14:paraId="72270723" w14:textId="77777777" w:rsidR="00396457" w:rsidRDefault="00396457" w:rsidP="00F63CD5">
      <w:pPr>
        <w:pStyle w:val="C1-CtrBoldHd"/>
        <w:spacing w:after="0"/>
        <w:rPr>
          <w:caps w:val="0"/>
          <w:sz w:val="28"/>
        </w:rPr>
      </w:pPr>
    </w:p>
    <w:p w14:paraId="5E49BD07" w14:textId="77777777" w:rsidR="00396457" w:rsidRDefault="00396457" w:rsidP="00F63CD5">
      <w:pPr>
        <w:pStyle w:val="C1-CtrBoldHd"/>
        <w:spacing w:after="0"/>
        <w:rPr>
          <w:caps w:val="0"/>
          <w:sz w:val="28"/>
        </w:rPr>
      </w:pPr>
    </w:p>
    <w:p w14:paraId="4DE5A45D" w14:textId="1AE2D4E1" w:rsidR="00F63CD5" w:rsidRPr="00AD1192" w:rsidRDefault="00642AD6" w:rsidP="00F63CD5">
      <w:pPr>
        <w:pStyle w:val="C1-CtrBoldHd"/>
        <w:spacing w:after="0"/>
        <w:rPr>
          <w:caps w:val="0"/>
          <w:sz w:val="28"/>
        </w:rPr>
      </w:pPr>
      <w:r>
        <w:rPr>
          <w:caps w:val="0"/>
          <w:sz w:val="28"/>
        </w:rPr>
        <w:t xml:space="preserve">November </w:t>
      </w:r>
      <w:r w:rsidR="00821AEE">
        <w:rPr>
          <w:caps w:val="0"/>
          <w:sz w:val="28"/>
        </w:rPr>
        <w:t>2017</w:t>
      </w:r>
    </w:p>
    <w:p w14:paraId="7DDF500F" w14:textId="77777777" w:rsidR="00F63CD5" w:rsidRPr="00AD1192" w:rsidRDefault="00F63CD5" w:rsidP="00F63CD5">
      <w:pPr>
        <w:pStyle w:val="C1-CtrBoldHd"/>
        <w:spacing w:after="0"/>
        <w:rPr>
          <w:caps w:val="0"/>
          <w:sz w:val="28"/>
        </w:rPr>
      </w:pPr>
    </w:p>
    <w:p w14:paraId="7B0F4C34" w14:textId="77777777" w:rsidR="001A7635" w:rsidRDefault="001A7635" w:rsidP="00AA5BB5">
      <w:pPr>
        <w:pStyle w:val="C1-CtrBoldHd"/>
        <w:spacing w:after="0"/>
      </w:pPr>
    </w:p>
    <w:p w14:paraId="14EB515E" w14:textId="77777777"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229D3AF9" w14:textId="77777777" w:rsidR="00AA5BB5" w:rsidRPr="00736C3B" w:rsidRDefault="00AA5BB5" w:rsidP="00396457">
      <w:pPr>
        <w:pStyle w:val="Heading5"/>
        <w:numPr>
          <w:ilvl w:val="0"/>
          <w:numId w:val="2"/>
        </w:numPr>
        <w:spacing w:after="120" w:line="23" w:lineRule="atLeast"/>
        <w:ind w:left="403" w:hanging="403"/>
      </w:pPr>
      <w:bookmarkStart w:id="2" w:name="_Toc240971097"/>
      <w:r w:rsidRPr="00736C3B">
        <w:lastRenderedPageBreak/>
        <w:t>COLLECTION OF INFORMATION EMPLOYING STATISTICAL INFORMATION</w:t>
      </w:r>
      <w:bookmarkEnd w:id="0"/>
      <w:bookmarkEnd w:id="2"/>
    </w:p>
    <w:p w14:paraId="04EC224D" w14:textId="77777777" w:rsidR="0037598C" w:rsidRDefault="00AA5BB5" w:rsidP="00396457">
      <w:pPr>
        <w:pStyle w:val="Heading8"/>
        <w:spacing w:after="120" w:line="23" w:lineRule="atLeast"/>
        <w:jc w:val="left"/>
        <w:rPr>
          <w:szCs w:val="22"/>
        </w:rPr>
      </w:pPr>
      <w:bookmarkStart w:id="3" w:name="_Toc119829980"/>
      <w:r w:rsidRPr="00EF5C20">
        <w:rPr>
          <w:szCs w:val="22"/>
        </w:rPr>
        <w:t>B.1</w:t>
      </w:r>
      <w:r w:rsidRPr="00EF5C20">
        <w:rPr>
          <w:szCs w:val="22"/>
        </w:rPr>
        <w:tab/>
        <w:t>Respondent Universe</w:t>
      </w:r>
      <w:bookmarkEnd w:id="3"/>
    </w:p>
    <w:p w14:paraId="71EC8E28" w14:textId="18092EBC" w:rsidR="0037598C" w:rsidRDefault="00337E3A" w:rsidP="00396457">
      <w:pPr>
        <w:pStyle w:val="P1-StandPara"/>
        <w:spacing w:after="120" w:line="23" w:lineRule="atLeast"/>
        <w:ind w:firstLine="0"/>
        <w:jc w:val="left"/>
      </w:pPr>
      <w:r>
        <w:t xml:space="preserve">The respondent universe for the </w:t>
      </w:r>
      <w:r w:rsidR="00B26FF2">
        <w:t>ICILS</w:t>
      </w:r>
      <w:r>
        <w:t xml:space="preserve"> </w:t>
      </w:r>
      <w:r w:rsidR="00D92499">
        <w:t>main study</w:t>
      </w:r>
      <w:r>
        <w:t xml:space="preserve"> is a</w:t>
      </w:r>
      <w:r w:rsidR="00B26FF2">
        <w:t>ll students enrolled in grade 8, provided that the mean age at the time of testing is at least 13.5 years of age</w:t>
      </w:r>
      <w:r>
        <w:t>.</w:t>
      </w:r>
      <w:r w:rsidR="00FA0FBE">
        <w:t xml:space="preserve"> </w:t>
      </w:r>
      <w:r w:rsidR="00D42A07" w:rsidRPr="00D42A07">
        <w:t xml:space="preserve">The teacher target population in ICILS consists of all teachers that are teaching regular school subjects to </w:t>
      </w:r>
      <w:r w:rsidR="00C76DD5">
        <w:t>8</w:t>
      </w:r>
      <w:r w:rsidR="00C76DD5" w:rsidRPr="00D734A4">
        <w:rPr>
          <w:vertAlign w:val="superscript"/>
        </w:rPr>
        <w:t>th</w:t>
      </w:r>
      <w:r w:rsidR="00C76DD5">
        <w:t xml:space="preserve"> grade students</w:t>
      </w:r>
      <w:r w:rsidR="00D42A07" w:rsidRPr="00D42A07">
        <w:t xml:space="preserve"> (regardless of the subject or the number of hours taught) during the ICILS testing period and since the beginning of the school year</w:t>
      </w:r>
      <w:r w:rsidR="00D42A07">
        <w:t xml:space="preserve">. </w:t>
      </w:r>
      <w:r w:rsidR="00A03925">
        <w:t xml:space="preserve">The universe for the selection of schools </w:t>
      </w:r>
      <w:r w:rsidR="00A03925" w:rsidRPr="00031E22">
        <w:t xml:space="preserve">is all types of schools in </w:t>
      </w:r>
      <w:r w:rsidR="004B40F3">
        <w:t>a</w:t>
      </w:r>
      <w:r w:rsidR="00C76DD5">
        <w:t>pproximately</w:t>
      </w:r>
      <w:r w:rsidR="004B40F3">
        <w:t xml:space="preserve"> </w:t>
      </w:r>
      <w:r w:rsidR="004B40F3" w:rsidRPr="004B40F3">
        <w:t xml:space="preserve">six </w:t>
      </w:r>
      <w:r w:rsidR="00A03925" w:rsidRPr="004B40F3">
        <w:t>populous states</w:t>
      </w:r>
      <w:r w:rsidR="00A03925" w:rsidRPr="00031E22">
        <w:t xml:space="preserve">. </w:t>
      </w:r>
      <w:r w:rsidR="00B74171" w:rsidRPr="00031E22">
        <w:t xml:space="preserve">A sample of </w:t>
      </w:r>
      <w:r w:rsidR="003D4713">
        <w:t>3</w:t>
      </w:r>
      <w:r w:rsidR="00D42A07">
        <w:t>8</w:t>
      </w:r>
      <w:r w:rsidR="003D4713" w:rsidRPr="00031E22">
        <w:t xml:space="preserve"> </w:t>
      </w:r>
      <w:r w:rsidR="00B74171" w:rsidRPr="00031E22">
        <w:t xml:space="preserve">schools </w:t>
      </w:r>
      <w:r w:rsidR="00D92499">
        <w:t>was</w:t>
      </w:r>
      <w:r w:rsidR="00B74171" w:rsidRPr="00031E22">
        <w:t xml:space="preserve"> selected for the field test, with the goal of obtaining participation from a minimum of </w:t>
      </w:r>
      <w:r w:rsidR="00B26FF2">
        <w:t>32</w:t>
      </w:r>
      <w:r w:rsidR="00B74171" w:rsidRPr="00031E22">
        <w:t xml:space="preserve"> schools.</w:t>
      </w:r>
      <w:r w:rsidR="002729DC">
        <w:t xml:space="preserve"> </w:t>
      </w:r>
      <w:r w:rsidR="0018191F">
        <w:t>A sample of 35</w:t>
      </w:r>
      <w:r w:rsidR="00F36D85">
        <w:t>3</w:t>
      </w:r>
      <w:r w:rsidR="0018191F">
        <w:t xml:space="preserve"> schools will be selected for the main study, with the goal of obtaining participation from a minimum of 300 schools.</w:t>
      </w:r>
    </w:p>
    <w:p w14:paraId="1B16787D" w14:textId="52C0A75D" w:rsidR="005B1E38" w:rsidRDefault="0018191F" w:rsidP="0018191F">
      <w:pPr>
        <w:pStyle w:val="P1-StandPara"/>
        <w:spacing w:after="120" w:line="23" w:lineRule="atLeast"/>
        <w:ind w:firstLine="0"/>
        <w:jc w:val="left"/>
      </w:pPr>
      <w:r>
        <w:t>For the field test, i</w:t>
      </w:r>
      <w:r w:rsidR="005B1E38">
        <w:t xml:space="preserve">n each sampled school, a minimum of 20 students </w:t>
      </w:r>
      <w:r w:rsidR="003A6E19">
        <w:t>were</w:t>
      </w:r>
      <w:r w:rsidR="005B1E38">
        <w:t xml:space="preserve"> selected across classes. If fewer than 20 students c</w:t>
      </w:r>
      <w:r w:rsidR="00D92499">
        <w:t>ould</w:t>
      </w:r>
      <w:r w:rsidR="005B1E38">
        <w:t xml:space="preserve"> be found in a school, they w</w:t>
      </w:r>
      <w:r w:rsidR="00D92499">
        <w:t>ere</w:t>
      </w:r>
      <w:r w:rsidR="005B1E38">
        <w:t xml:space="preserve"> all included in the survey. Also, if the number of eligible students is greater than 20, but less or equal to 25, all students </w:t>
      </w:r>
      <w:r w:rsidR="00010A26">
        <w:t>will</w:t>
      </w:r>
      <w:r w:rsidR="005B1E38">
        <w:t xml:space="preserve"> be selected in order to prevent the situation that a small number of students are the only ones not being surveyed.</w:t>
      </w:r>
      <w:r w:rsidR="002729DC">
        <w:t xml:space="preserve"> </w:t>
      </w:r>
      <w:r>
        <w:t>For the main study, a minimum of 30 students will be selected across classes. If fewer than 30 students can be found in a school, they will all be included in the survey. Also, if the number of eligible students is greater than 30, but less or equal to 32, all students will be selected in order to prevent the situation that a small number of students are the only ones not being surveyed.</w:t>
      </w:r>
    </w:p>
    <w:p w14:paraId="481912E0" w14:textId="77777777" w:rsidR="005B1E38" w:rsidRDefault="0018191F" w:rsidP="00396457">
      <w:pPr>
        <w:pStyle w:val="P1-StandPara"/>
        <w:spacing w:after="120" w:line="23" w:lineRule="atLeast"/>
        <w:ind w:firstLine="0"/>
        <w:jc w:val="left"/>
      </w:pPr>
      <w:r>
        <w:t>Within schools, the minimum sample size requirements for teachers are identical in the field test and main study.</w:t>
      </w:r>
      <w:r w:rsidR="002729DC">
        <w:t xml:space="preserve"> </w:t>
      </w:r>
      <w:r w:rsidR="005B1E38">
        <w:t xml:space="preserve">In each sampled school, a minimum of </w:t>
      </w:r>
      <w:r>
        <w:t xml:space="preserve">20 </w:t>
      </w:r>
      <w:r w:rsidR="005B1E38">
        <w:t xml:space="preserve">teachers will be selected. If fewer than </w:t>
      </w:r>
      <w:r>
        <w:t xml:space="preserve">20 </w:t>
      </w:r>
      <w:r w:rsidR="00010A26">
        <w:t xml:space="preserve">eligible </w:t>
      </w:r>
      <w:r w:rsidR="005B1E38">
        <w:t xml:space="preserve">teachers can be found in a school, they will all be included in the survey. Also, if the number of eligible teachers is greater than </w:t>
      </w:r>
      <w:r w:rsidR="00FE6929">
        <w:t>20</w:t>
      </w:r>
      <w:r w:rsidR="005B1E38">
        <w:t>, but less or equal to 2</w:t>
      </w:r>
      <w:r w:rsidR="00FE6929">
        <w:t>2</w:t>
      </w:r>
      <w:r w:rsidR="005B1E38">
        <w:t xml:space="preserve">, all teachers </w:t>
      </w:r>
      <w:r w:rsidR="00010A26">
        <w:t>will</w:t>
      </w:r>
      <w:r w:rsidR="005B1E38">
        <w:t xml:space="preserve"> be selected in order to prevent the situation that a small number of teachers are the only ones not being surveyed.</w:t>
      </w:r>
    </w:p>
    <w:p w14:paraId="04F5EF73" w14:textId="77777777" w:rsidR="0037598C" w:rsidRDefault="005B1E38" w:rsidP="00396457">
      <w:pPr>
        <w:pStyle w:val="P1-StandPara"/>
        <w:spacing w:after="120" w:line="23" w:lineRule="atLeast"/>
        <w:ind w:firstLine="0"/>
      </w:pPr>
      <w:r w:rsidRPr="005B1E38">
        <w:t>School administrators of each school will also be asked to complete a school questionnaire.</w:t>
      </w:r>
    </w:p>
    <w:p w14:paraId="69EFBA9C" w14:textId="77777777" w:rsidR="00AB0265" w:rsidRPr="00EF5C20" w:rsidRDefault="00AA5BB5" w:rsidP="00396457">
      <w:pPr>
        <w:pStyle w:val="Heading8"/>
        <w:spacing w:after="120" w:line="23" w:lineRule="atLeast"/>
        <w:jc w:val="left"/>
        <w:rPr>
          <w:szCs w:val="22"/>
        </w:rPr>
      </w:pPr>
      <w:bookmarkStart w:id="4" w:name="_Toc119829981"/>
      <w:r w:rsidRPr="00EF5C20">
        <w:rPr>
          <w:szCs w:val="22"/>
        </w:rPr>
        <w:t>B.2</w:t>
      </w:r>
      <w:r w:rsidRPr="00EF5C20">
        <w:rPr>
          <w:szCs w:val="22"/>
        </w:rPr>
        <w:tab/>
      </w:r>
      <w:bookmarkEnd w:id="4"/>
      <w:r w:rsidR="00AB0265" w:rsidRPr="00EF5C20">
        <w:rPr>
          <w:szCs w:val="22"/>
        </w:rPr>
        <w:t>Statistical Methodology</w:t>
      </w:r>
    </w:p>
    <w:p w14:paraId="7C840DA9" w14:textId="77777777" w:rsidR="001A7635" w:rsidRDefault="00AB0265" w:rsidP="00396457">
      <w:pPr>
        <w:pStyle w:val="P1-StandPara"/>
        <w:spacing w:after="120" w:line="23" w:lineRule="atLeast"/>
        <w:ind w:firstLine="0"/>
        <w:rPr>
          <w:b/>
        </w:rPr>
      </w:pPr>
      <w:r w:rsidRPr="001A7635">
        <w:rPr>
          <w:b/>
        </w:rPr>
        <w:t>Main Study Sampling Plan and Sample</w:t>
      </w:r>
    </w:p>
    <w:p w14:paraId="710D07A6" w14:textId="77777777" w:rsidR="001A7635" w:rsidRDefault="00AB0265" w:rsidP="00396457">
      <w:pPr>
        <w:pStyle w:val="P1-StandPara"/>
        <w:spacing w:after="120" w:line="23" w:lineRule="atLeast"/>
        <w:ind w:firstLine="0"/>
        <w:jc w:val="left"/>
      </w:pPr>
      <w:r w:rsidRPr="00AB0265">
        <w:t>The school sample design for the main study must be more rigorous than that for the field test. It must be a probability sample of schools that fully represents the entire United States. At the same time, to ensure maximum participation it must be designed so as to minimize overlap with other NCES studies involving student assessment that will be conducted around the same time.</w:t>
      </w:r>
    </w:p>
    <w:p w14:paraId="1BEB63DE" w14:textId="0969C0B1" w:rsidR="001A7635" w:rsidRDefault="00AB0265" w:rsidP="00396457">
      <w:pPr>
        <w:pStyle w:val="P1-StandPara"/>
        <w:spacing w:after="120" w:line="23" w:lineRule="atLeast"/>
        <w:ind w:firstLine="0"/>
        <w:jc w:val="left"/>
      </w:pPr>
      <w:r w:rsidRPr="00AB0265">
        <w:t>The main study will take place in the spring of 201</w:t>
      </w:r>
      <w:r w:rsidR="006B5859">
        <w:t>8</w:t>
      </w:r>
      <w:r w:rsidRPr="00AB0265">
        <w:t>,</w:t>
      </w:r>
      <w:r w:rsidR="006B5859">
        <w:t xml:space="preserve"> at the same time as the Trends in International Mathematics and Science Study (TIMSS)</w:t>
      </w:r>
      <w:r w:rsidR="009464EB">
        <w:t xml:space="preserve"> 2019</w:t>
      </w:r>
      <w:r w:rsidR="006B5859">
        <w:t xml:space="preserve"> field test, at grades 4 and 8</w:t>
      </w:r>
      <w:r w:rsidR="009464EB">
        <w:t>.</w:t>
      </w:r>
      <w:r w:rsidR="002043EF">
        <w:t xml:space="preserve"> As well, some NAEP testing will be taking place, but 2018 is not a Main NAEP year.</w:t>
      </w:r>
      <w:r w:rsidR="009464EB">
        <w:t xml:space="preserve"> </w:t>
      </w:r>
      <w:r w:rsidR="002043EF">
        <w:t xml:space="preserve">The number of overlapping schools between ICILS and other studies </w:t>
      </w:r>
      <w:r w:rsidR="0038646B">
        <w:t xml:space="preserve">will </w:t>
      </w:r>
      <w:r w:rsidR="002043EF">
        <w:t xml:space="preserve">be kept to a minimum. </w:t>
      </w:r>
      <w:r w:rsidR="009464EB">
        <w:t>The Program for International Student Assessment (PISA) 2018 main data collection, for 15-year-olds, will</w:t>
      </w:r>
      <w:r w:rsidR="009464EB" w:rsidRPr="009464EB">
        <w:t xml:space="preserve"> </w:t>
      </w:r>
      <w:r w:rsidR="009464EB" w:rsidRPr="00AB0265">
        <w:t xml:space="preserve">take place in the fall of the subsequent school year to </w:t>
      </w:r>
      <w:r w:rsidR="009464EB">
        <w:t>ICILS</w:t>
      </w:r>
      <w:r w:rsidR="009464EB" w:rsidRPr="00AB0265">
        <w:t xml:space="preserve">. PISA will include a small number of grade 8 schools in the sample, but very few grade 8 students will be assessed in PISA, </w:t>
      </w:r>
      <w:r w:rsidR="00A162FD">
        <w:t>given that</w:t>
      </w:r>
      <w:r w:rsidR="009464EB" w:rsidRPr="00AB0265">
        <w:t xml:space="preserve"> very few grade 8 students meet the PISA </w:t>
      </w:r>
      <w:r w:rsidR="009464EB">
        <w:t xml:space="preserve">15 years of </w:t>
      </w:r>
      <w:r w:rsidR="009464EB" w:rsidRPr="00AB0265">
        <w:t>age requirements.</w:t>
      </w:r>
      <w:r w:rsidR="009464EB">
        <w:t xml:space="preserve"> </w:t>
      </w:r>
      <w:r w:rsidR="009464EB" w:rsidRPr="00AB0265">
        <w:t xml:space="preserve">Thus overlap control between the </w:t>
      </w:r>
      <w:r w:rsidR="009464EB">
        <w:t>ICILS</w:t>
      </w:r>
      <w:r w:rsidR="009464EB" w:rsidRPr="00AB0265">
        <w:t xml:space="preserve"> and PISA samples will </w:t>
      </w:r>
      <w:r w:rsidR="003725EF">
        <w:t>not be necessary.</w:t>
      </w:r>
      <w:r w:rsidR="009464EB" w:rsidRPr="00AB0265">
        <w:t xml:space="preserve"> </w:t>
      </w:r>
      <w:r w:rsidR="009464EB" w:rsidRPr="00981B35">
        <w:t>Overlap control procedures in studies such as this</w:t>
      </w:r>
      <w:r w:rsidR="009464EB">
        <w:t>,</w:t>
      </w:r>
      <w:r w:rsidR="009464EB" w:rsidRPr="00981B35">
        <w:t xml:space="preserve"> where stratified probability proportional to size samples of schools are selected</w:t>
      </w:r>
      <w:r w:rsidR="009464EB">
        <w:t>,</w:t>
      </w:r>
      <w:r w:rsidR="009464EB" w:rsidRPr="00981B35">
        <w:t xml:space="preserve"> can be implemented via a procedure that applies Bayes Theorem to modify the conditional probability of selection of a given school for one study, depending upon its selection probability for a second study, and whether or not it was selected for that study. This approach was first documented in a survey sampling application by Keyfitz (1951)</w:t>
      </w:r>
      <w:r w:rsidR="009464EB">
        <w:rPr>
          <w:rStyle w:val="FootnoteReference"/>
        </w:rPr>
        <w:footnoteReference w:id="1"/>
      </w:r>
      <w:r w:rsidR="009464EB" w:rsidRPr="00981B35">
        <w:t>. The principles involved can be extended to more than two studies simultaneously, and a procedure for doing this is described by Chowdhury</w:t>
      </w:r>
      <w:r w:rsidR="009464EB">
        <w:t xml:space="preserve"> et al. (2000)</w:t>
      </w:r>
      <w:r w:rsidR="009464EB">
        <w:rPr>
          <w:rStyle w:val="FootnoteReference"/>
        </w:rPr>
        <w:footnoteReference w:id="2"/>
      </w:r>
      <w:r w:rsidR="009464EB">
        <w:t>.</w:t>
      </w:r>
    </w:p>
    <w:p w14:paraId="3062F92A" w14:textId="77777777" w:rsidR="001B0D41" w:rsidRDefault="00AB0265" w:rsidP="00396457">
      <w:pPr>
        <w:pStyle w:val="P1-StandPara"/>
        <w:spacing w:after="120" w:line="23" w:lineRule="atLeast"/>
        <w:ind w:firstLine="0"/>
        <w:jc w:val="left"/>
      </w:pPr>
      <w:r w:rsidRPr="00351797">
        <w:t xml:space="preserve">The </w:t>
      </w:r>
      <w:r w:rsidR="000F5469">
        <w:t xml:space="preserve">minimum </w:t>
      </w:r>
      <w:r w:rsidRPr="00351797">
        <w:t xml:space="preserve">sample size for the </w:t>
      </w:r>
      <w:r w:rsidR="006B5859">
        <w:t>ICILS</w:t>
      </w:r>
      <w:r w:rsidR="00981B35" w:rsidRPr="00351797">
        <w:t xml:space="preserve"> </w:t>
      </w:r>
      <w:r w:rsidRPr="00351797">
        <w:t xml:space="preserve">main study will be </w:t>
      </w:r>
      <w:r w:rsidR="00C005E9">
        <w:t>30</w:t>
      </w:r>
      <w:r w:rsidR="00C005E9" w:rsidRPr="00351797">
        <w:t xml:space="preserve">0 </w:t>
      </w:r>
      <w:r w:rsidRPr="00351797">
        <w:t>schools. For each original sample school, two replacement schools will also be identified. The sampling frame will be obtained from the most current versions of NCES’s Common Core of Data (CCD) and Private School Survey (PSS) files, rest</w:t>
      </w:r>
      <w:r w:rsidR="006B5859">
        <w:t>ricted to schools having grade 8</w:t>
      </w:r>
      <w:r w:rsidRPr="00351797">
        <w:t>, and eliminating schools in Puerto Rico, U.S. territories, and Department of Defense overseas schools.</w:t>
      </w:r>
    </w:p>
    <w:p w14:paraId="5FFD9EF7" w14:textId="3911FB0D" w:rsidR="001B0D41" w:rsidRDefault="00AB0265" w:rsidP="00396457">
      <w:pPr>
        <w:pStyle w:val="P1-StandPara"/>
        <w:spacing w:after="120" w:line="23" w:lineRule="atLeast"/>
        <w:ind w:firstLine="0"/>
        <w:jc w:val="left"/>
      </w:pPr>
      <w:r w:rsidRPr="00981B35">
        <w:t xml:space="preserve">The sample will be stratified according to school characteristics such as public/private, Census region, poverty status (as measured by the percentage of students in the school receiving free or reduced-price lunch in the </w:t>
      </w:r>
      <w:r w:rsidR="00C5657B" w:rsidRPr="00266EBB">
        <w:t>national free and reduced-price lunch (FRPL)</w:t>
      </w:r>
      <w:r w:rsidR="00C5657B">
        <w:t xml:space="preserve"> program</w:t>
      </w:r>
      <w:r w:rsidRPr="00981B35">
        <w:t>). This will ensure an appropriate representation of each type of school in the selected sample of schools.</w:t>
      </w:r>
    </w:p>
    <w:p w14:paraId="1FC85A5A" w14:textId="77777777" w:rsidR="001B0D41" w:rsidRDefault="00981B35" w:rsidP="00396457">
      <w:pPr>
        <w:pStyle w:val="P1-StandPara"/>
        <w:spacing w:after="120" w:line="23" w:lineRule="atLeast"/>
        <w:ind w:firstLine="0"/>
        <w:jc w:val="left"/>
      </w:pPr>
      <w:r w:rsidRPr="00981B35">
        <w:t>Determining school eligibility, student eligibility</w:t>
      </w:r>
      <w:r w:rsidR="00CE415B">
        <w:t>,</w:t>
      </w:r>
      <w:r w:rsidRPr="00981B35">
        <w:t xml:space="preserve"> and student sampling </w:t>
      </w:r>
      <w:r>
        <w:t>will be accomplished as described below.</w:t>
      </w:r>
    </w:p>
    <w:p w14:paraId="643EE265" w14:textId="77777777" w:rsidR="002729DC" w:rsidRDefault="00D15953" w:rsidP="00396457">
      <w:pPr>
        <w:pStyle w:val="P1-StandPara"/>
        <w:spacing w:after="120" w:line="23" w:lineRule="atLeast"/>
        <w:ind w:firstLine="0"/>
        <w:jc w:val="left"/>
      </w:pPr>
      <w:r w:rsidRPr="00D15953">
        <w:t xml:space="preserve">Schools will be selected with probability proportional to the school’s estimated grade enrollment of eighth graders. A </w:t>
      </w:r>
      <w:r w:rsidR="00586A14">
        <w:t>minimum</w:t>
      </w:r>
      <w:r w:rsidRPr="00D15953">
        <w:t xml:space="preserve"> of </w:t>
      </w:r>
      <w:r w:rsidR="00C005E9">
        <w:t>3</w:t>
      </w:r>
      <w:r w:rsidR="00716629">
        <w:t>0</w:t>
      </w:r>
      <w:r w:rsidR="00716629" w:rsidRPr="00D15953">
        <w:t xml:space="preserve"> </w:t>
      </w:r>
      <w:r w:rsidRPr="00D15953">
        <w:t xml:space="preserve">students will be selected within each school with equal probability (unless there are </w:t>
      </w:r>
      <w:r w:rsidR="00C005E9">
        <w:t>3</w:t>
      </w:r>
      <w:r w:rsidR="00586A14">
        <w:t>0</w:t>
      </w:r>
      <w:r w:rsidR="00586A14" w:rsidRPr="00D15953">
        <w:t xml:space="preserve"> </w:t>
      </w:r>
      <w:r w:rsidRPr="00D15953">
        <w:t xml:space="preserve">or fewer grade 8 students, in which case all grade 8 students will be taken with certainty). </w:t>
      </w:r>
      <w:r w:rsidR="00AB0265" w:rsidRPr="00981B35">
        <w:t>The use of a probability proportional to sample design ensures that all students have an approximately equal chance of selection.</w:t>
      </w:r>
    </w:p>
    <w:p w14:paraId="5B802344" w14:textId="288EAF71" w:rsidR="0037598C" w:rsidRDefault="00AB0265" w:rsidP="00396457">
      <w:pPr>
        <w:pStyle w:val="P1-StandPara"/>
        <w:widowControl w:val="0"/>
        <w:spacing w:after="120" w:line="23" w:lineRule="atLeast"/>
        <w:ind w:firstLine="0"/>
        <w:jc w:val="left"/>
      </w:pPr>
      <w:r w:rsidRPr="00981B35">
        <w:t>Student sampling</w:t>
      </w:r>
      <w:r w:rsidR="002043EF">
        <w:t xml:space="preserve"> and teacher sampling</w:t>
      </w:r>
      <w:r w:rsidRPr="00981B35">
        <w:t xml:space="preserve"> will be accomplished by selecting </w:t>
      </w:r>
      <w:r w:rsidR="00586A14">
        <w:t xml:space="preserve">a minimum of </w:t>
      </w:r>
      <w:r w:rsidR="005509CE">
        <w:t xml:space="preserve">30 </w:t>
      </w:r>
      <w:r w:rsidR="002043EF">
        <w:t xml:space="preserve">grade 8 </w:t>
      </w:r>
      <w:r w:rsidR="003E1458">
        <w:t xml:space="preserve">students </w:t>
      </w:r>
      <w:r w:rsidR="002043EF">
        <w:t xml:space="preserve">and </w:t>
      </w:r>
      <w:r w:rsidR="0028275C">
        <w:t xml:space="preserve">a minimum of </w:t>
      </w:r>
      <w:r w:rsidR="005509CE">
        <w:t xml:space="preserve">20 </w:t>
      </w:r>
      <w:r w:rsidR="002043EF">
        <w:t xml:space="preserve">grade 8 teachers </w:t>
      </w:r>
      <w:r w:rsidR="003E1458">
        <w:t xml:space="preserve">per school. Each </w:t>
      </w:r>
      <w:r w:rsidRPr="00981B35">
        <w:t xml:space="preserve">school </w:t>
      </w:r>
      <w:r w:rsidR="002043EF">
        <w:t xml:space="preserve">selected </w:t>
      </w:r>
      <w:r w:rsidRPr="00981B35">
        <w:t xml:space="preserve">will be asked to prepare a list of </w:t>
      </w:r>
      <w:r w:rsidR="00A47D3C">
        <w:t xml:space="preserve">grade 8 students </w:t>
      </w:r>
      <w:r w:rsidR="002043EF">
        <w:t xml:space="preserve">and a list of grade 8 teachers </w:t>
      </w:r>
      <w:r w:rsidR="00A47D3C">
        <w:t>in the school</w:t>
      </w:r>
      <w:r w:rsidRPr="00981B35">
        <w:t>. As described above, schools will submit these student lists</w:t>
      </w:r>
      <w:r w:rsidR="002043EF">
        <w:t xml:space="preserve"> and teacher lists</w:t>
      </w:r>
      <w:r w:rsidRPr="00981B35">
        <w:t xml:space="preserve"> via secure E-filing. </w:t>
      </w:r>
      <w:r w:rsidR="00586A14">
        <w:t>S</w:t>
      </w:r>
      <w:r w:rsidR="00A47D3C">
        <w:t>tudents will be selected from the comprehensive list of all target grade students us</w:t>
      </w:r>
      <w:r w:rsidR="002043EF">
        <w:t>ing a systematic random sample, and teachers will be randomly selected from the teacher list.</w:t>
      </w:r>
    </w:p>
    <w:p w14:paraId="5DD5DB17" w14:textId="77777777" w:rsidR="00653CD5" w:rsidRPr="00373459" w:rsidRDefault="00653CD5" w:rsidP="00396457">
      <w:pPr>
        <w:spacing w:after="120" w:line="23" w:lineRule="atLeast"/>
        <w:rPr>
          <w:b/>
          <w:sz w:val="22"/>
          <w:szCs w:val="22"/>
        </w:rPr>
      </w:pPr>
      <w:bookmarkStart w:id="5"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14:paraId="7042F711" w14:textId="2E2FD829" w:rsidR="00653CD5" w:rsidRPr="00373459" w:rsidRDefault="00653CD5" w:rsidP="00396457">
      <w:pPr>
        <w:spacing w:after="120" w:line="23" w:lineRule="atLeast"/>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w:t>
      </w:r>
      <w:r w:rsidR="002E026A" w:rsidRPr="00AA0BB0">
        <w:rPr>
          <w:sz w:val="22"/>
          <w:szCs w:val="22"/>
        </w:rPr>
        <w:t>(</w:t>
      </w:r>
      <w:r w:rsidR="003A6E19">
        <w:rPr>
          <w:sz w:val="22"/>
          <w:szCs w:val="22"/>
        </w:rPr>
        <w:t>see Appendix C</w:t>
      </w:r>
      <w:r w:rsidR="003A6E19" w:rsidRPr="00AA0BB0">
        <w:rPr>
          <w:sz w:val="22"/>
          <w:szCs w:val="22"/>
        </w:rPr>
        <w:t xml:space="preserve"> </w:t>
      </w:r>
      <w:r w:rsidR="003A6E19">
        <w:rPr>
          <w:sz w:val="22"/>
          <w:szCs w:val="22"/>
        </w:rPr>
        <w:t>for detailed</w:t>
      </w:r>
      <w:r w:rsidR="002E026A" w:rsidRPr="00AA0BB0">
        <w:rPr>
          <w:sz w:val="22"/>
          <w:szCs w:val="22"/>
        </w:rPr>
        <w:t>)</w:t>
      </w:r>
      <w:r w:rsidRPr="00AA0BB0">
        <w:rPr>
          <w:sz w:val="22"/>
          <w:szCs w:val="22"/>
        </w:rPr>
        <w:t>.</w:t>
      </w:r>
    </w:p>
    <w:p w14:paraId="540D2EBA" w14:textId="77777777" w:rsidR="00AA5BB5" w:rsidRPr="00CB4BAF" w:rsidRDefault="00AA5BB5" w:rsidP="00396457">
      <w:pPr>
        <w:pStyle w:val="Heading8"/>
        <w:spacing w:after="120" w:line="23" w:lineRule="atLeast"/>
        <w:jc w:val="left"/>
        <w:rPr>
          <w:szCs w:val="22"/>
        </w:rPr>
      </w:pPr>
      <w:r w:rsidRPr="00CB4BAF">
        <w:rPr>
          <w:szCs w:val="22"/>
        </w:rPr>
        <w:t>B.3</w:t>
      </w:r>
      <w:r w:rsidRPr="00CB4BAF">
        <w:rPr>
          <w:szCs w:val="22"/>
        </w:rPr>
        <w:tab/>
        <w:t>Maximizing Response Rates</w:t>
      </w:r>
      <w:bookmarkEnd w:id="5"/>
    </w:p>
    <w:p w14:paraId="18C6709C" w14:textId="77777777" w:rsidR="00700F87" w:rsidRDefault="00111930" w:rsidP="00396457">
      <w:pPr>
        <w:spacing w:after="120" w:line="23" w:lineRule="atLeast"/>
        <w:rPr>
          <w:sz w:val="22"/>
          <w:szCs w:val="22"/>
        </w:rPr>
      </w:pPr>
      <w:r>
        <w:rPr>
          <w:sz w:val="22"/>
          <w:szCs w:val="22"/>
        </w:rPr>
        <w:t>T</w:t>
      </w:r>
      <w:r w:rsidR="00682261" w:rsidRPr="00E16020">
        <w:rPr>
          <w:sz w:val="22"/>
          <w:szCs w:val="22"/>
        </w:rPr>
        <w:t xml:space="preserve">he most significant challenge in recruitment for </w:t>
      </w:r>
      <w:r w:rsidR="00E3551D">
        <w:rPr>
          <w:sz w:val="22"/>
          <w:szCs w:val="22"/>
        </w:rPr>
        <w:t>international assessments</w:t>
      </w:r>
      <w:r w:rsidR="00682261" w:rsidRPr="00E16020">
        <w:rPr>
          <w:sz w:val="22"/>
          <w:szCs w:val="22"/>
        </w:rPr>
        <w:t xml:space="preserve"> has been engaging the schools and gaining their cooperation. </w:t>
      </w:r>
      <w:r w:rsidR="00700F87">
        <w:rPr>
          <w:sz w:val="22"/>
          <w:szCs w:val="22"/>
        </w:rPr>
        <w:t xml:space="preserve">Historically, </w:t>
      </w:r>
      <w:r w:rsidR="002043EF">
        <w:rPr>
          <w:sz w:val="22"/>
          <w:szCs w:val="22"/>
        </w:rPr>
        <w:t xml:space="preserve">other </w:t>
      </w:r>
      <w:r w:rsidR="00700F87">
        <w:rPr>
          <w:sz w:val="22"/>
          <w:szCs w:val="22"/>
        </w:rPr>
        <w:t>assessments such as TIMSS which select classrooms for student sampling have student participation rates that never go below 90 percent (see Table 1). However, s</w:t>
      </w:r>
      <w:r w:rsidR="00700F87" w:rsidRPr="00E16020">
        <w:rPr>
          <w:sz w:val="22"/>
          <w:szCs w:val="22"/>
        </w:rPr>
        <w:t xml:space="preserve">tudent participation </w:t>
      </w:r>
      <w:r w:rsidR="00700F87">
        <w:rPr>
          <w:sz w:val="22"/>
          <w:szCs w:val="22"/>
        </w:rPr>
        <w:t>may be more of a challenge for ICILS than other international assessments because ICILS requires a random student sample within schools rather than a selection of classrooms. In addition, i</w:t>
      </w:r>
      <w:r w:rsidR="00E3551D">
        <w:rPr>
          <w:sz w:val="22"/>
          <w:szCs w:val="22"/>
        </w:rPr>
        <w:t>t</w:t>
      </w:r>
      <w:r w:rsidR="00682261" w:rsidRPr="00E16020">
        <w:rPr>
          <w:sz w:val="22"/>
          <w:szCs w:val="22"/>
        </w:rPr>
        <w:t xml:space="preserve"> is important to U.S. </w:t>
      </w:r>
      <w:r w:rsidR="00700F87">
        <w:rPr>
          <w:sz w:val="22"/>
          <w:szCs w:val="22"/>
        </w:rPr>
        <w:t xml:space="preserve">ICILS </w:t>
      </w:r>
      <w:r w:rsidR="00682261" w:rsidRPr="00E16020">
        <w:rPr>
          <w:sz w:val="22"/>
          <w:szCs w:val="22"/>
        </w:rPr>
        <w:t xml:space="preserve">that students are engaged and try </w:t>
      </w:r>
      <w:r w:rsidR="00A162FD">
        <w:rPr>
          <w:sz w:val="22"/>
          <w:szCs w:val="22"/>
        </w:rPr>
        <w:t>to do well</w:t>
      </w:r>
      <w:r w:rsidR="00682261" w:rsidRPr="00E16020">
        <w:rPr>
          <w:sz w:val="22"/>
          <w:szCs w:val="22"/>
        </w:rPr>
        <w:t xml:space="preserve"> on the</w:t>
      </w:r>
      <w:r w:rsidR="00E3551D">
        <w:rPr>
          <w:sz w:val="22"/>
          <w:szCs w:val="22"/>
        </w:rPr>
        <w:t xml:space="preserve"> </w:t>
      </w:r>
      <w:r w:rsidR="00682261" w:rsidRPr="00E16020">
        <w:rPr>
          <w:sz w:val="22"/>
          <w:szCs w:val="22"/>
        </w:rPr>
        <w:t>assessment</w:t>
      </w:r>
      <w:r w:rsidR="00CE5AD3">
        <w:rPr>
          <w:sz w:val="22"/>
          <w:szCs w:val="22"/>
        </w:rPr>
        <w:t>.</w:t>
      </w:r>
    </w:p>
    <w:p w14:paraId="0FDADEC0" w14:textId="77777777" w:rsidR="00700F87" w:rsidRPr="00E16020" w:rsidRDefault="00700F87" w:rsidP="00700F87">
      <w:pPr>
        <w:pStyle w:val="P1-StandPara"/>
        <w:ind w:firstLine="0"/>
        <w:jc w:val="left"/>
        <w:rPr>
          <w:b/>
          <w:sz w:val="24"/>
        </w:rPr>
      </w:pPr>
      <w:r w:rsidRPr="00373459">
        <w:rPr>
          <w:b/>
          <w:sz w:val="24"/>
        </w:rPr>
        <w:t>Table 1</w:t>
      </w:r>
      <w:r>
        <w:rPr>
          <w:b/>
          <w:sz w:val="24"/>
        </w:rPr>
        <w:t xml:space="preserve">. Historical </w:t>
      </w:r>
      <w:r w:rsidRPr="00373459">
        <w:rPr>
          <w:b/>
          <w:sz w:val="24"/>
        </w:rPr>
        <w:t xml:space="preserve">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58"/>
        <w:gridCol w:w="2219"/>
        <w:gridCol w:w="2201"/>
        <w:gridCol w:w="3594"/>
      </w:tblGrid>
      <w:tr w:rsidR="00700F87" w:rsidRPr="002A467E" w14:paraId="10923BF9" w14:textId="77777777" w:rsidTr="00716629">
        <w:trPr>
          <w:trHeight w:val="288"/>
        </w:trPr>
        <w:tc>
          <w:tcPr>
            <w:tcW w:w="632" w:type="pct"/>
            <w:vMerge w:val="restart"/>
            <w:vAlign w:val="center"/>
          </w:tcPr>
          <w:p w14:paraId="5AA02991" w14:textId="77777777" w:rsidR="00700F87" w:rsidRPr="002A467E" w:rsidRDefault="00700F87" w:rsidP="002B63D1">
            <w:pPr>
              <w:jc w:val="center"/>
              <w:rPr>
                <w:b/>
                <w:bCs/>
                <w:color w:val="000000"/>
              </w:rPr>
            </w:pPr>
            <w:r>
              <w:rPr>
                <w:b/>
                <w:bCs/>
                <w:color w:val="000000"/>
              </w:rPr>
              <w:t>Year</w:t>
            </w:r>
          </w:p>
        </w:tc>
        <w:tc>
          <w:tcPr>
            <w:tcW w:w="633" w:type="pct"/>
            <w:vMerge w:val="restart"/>
            <w:shd w:val="clear" w:color="auto" w:fill="auto"/>
            <w:noWrap/>
            <w:vAlign w:val="center"/>
            <w:hideMark/>
          </w:tcPr>
          <w:p w14:paraId="4D6773E5" w14:textId="77777777" w:rsidR="00700F87" w:rsidRPr="002A467E" w:rsidRDefault="00700F87" w:rsidP="002B63D1">
            <w:pPr>
              <w:jc w:val="center"/>
              <w:rPr>
                <w:b/>
                <w:bCs/>
                <w:color w:val="000000"/>
              </w:rPr>
            </w:pPr>
            <w:r>
              <w:rPr>
                <w:b/>
                <w:bCs/>
                <w:color w:val="000000"/>
              </w:rPr>
              <w:t>Grade</w:t>
            </w:r>
          </w:p>
        </w:tc>
        <w:tc>
          <w:tcPr>
            <w:tcW w:w="2060" w:type="pct"/>
            <w:gridSpan w:val="2"/>
            <w:shd w:val="clear" w:color="auto" w:fill="auto"/>
            <w:noWrap/>
            <w:vAlign w:val="center"/>
            <w:hideMark/>
          </w:tcPr>
          <w:p w14:paraId="14D5F854" w14:textId="77777777" w:rsidR="00700F87" w:rsidRPr="0049395C" w:rsidRDefault="00700F87" w:rsidP="002B63D1">
            <w:pPr>
              <w:jc w:val="center"/>
              <w:rPr>
                <w:b/>
                <w:color w:val="000000"/>
              </w:rPr>
            </w:pPr>
            <w:r w:rsidRPr="0049395C">
              <w:rPr>
                <w:b/>
                <w:color w:val="000000"/>
                <w:sz w:val="22"/>
                <w:szCs w:val="22"/>
              </w:rPr>
              <w:t>School Participation Rate</w:t>
            </w:r>
          </w:p>
        </w:tc>
        <w:tc>
          <w:tcPr>
            <w:tcW w:w="1675" w:type="pct"/>
            <w:vMerge w:val="restart"/>
            <w:shd w:val="clear" w:color="auto" w:fill="auto"/>
            <w:noWrap/>
            <w:vAlign w:val="center"/>
            <w:hideMark/>
          </w:tcPr>
          <w:p w14:paraId="6FA463B6" w14:textId="77777777" w:rsidR="00700F87" w:rsidRPr="0049395C" w:rsidRDefault="00700F87" w:rsidP="002B63D1">
            <w:pPr>
              <w:jc w:val="center"/>
              <w:rPr>
                <w:b/>
                <w:color w:val="000000"/>
              </w:rPr>
            </w:pPr>
            <w:r w:rsidRPr="0049395C">
              <w:rPr>
                <w:b/>
                <w:color w:val="000000"/>
                <w:sz w:val="22"/>
                <w:szCs w:val="22"/>
              </w:rPr>
              <w:t>Overall Student Participation Rate</w:t>
            </w:r>
          </w:p>
        </w:tc>
      </w:tr>
      <w:tr w:rsidR="00700F87" w:rsidRPr="002A467E" w14:paraId="707E251E" w14:textId="77777777" w:rsidTr="00716629">
        <w:trPr>
          <w:trHeight w:val="288"/>
        </w:trPr>
        <w:tc>
          <w:tcPr>
            <w:tcW w:w="632" w:type="pct"/>
            <w:vMerge/>
            <w:vAlign w:val="center"/>
          </w:tcPr>
          <w:p w14:paraId="551386DD" w14:textId="77777777" w:rsidR="00700F87" w:rsidRPr="0049395C" w:rsidRDefault="00700F87" w:rsidP="002B63D1">
            <w:pPr>
              <w:jc w:val="center"/>
              <w:rPr>
                <w:b/>
                <w:color w:val="000000"/>
                <w:sz w:val="22"/>
                <w:szCs w:val="22"/>
              </w:rPr>
            </w:pPr>
          </w:p>
        </w:tc>
        <w:tc>
          <w:tcPr>
            <w:tcW w:w="633" w:type="pct"/>
            <w:vMerge/>
            <w:shd w:val="clear" w:color="auto" w:fill="auto"/>
            <w:noWrap/>
            <w:vAlign w:val="center"/>
            <w:hideMark/>
          </w:tcPr>
          <w:p w14:paraId="6929AA18" w14:textId="77777777" w:rsidR="00700F87" w:rsidRPr="0049395C" w:rsidRDefault="00700F87" w:rsidP="002B63D1">
            <w:pPr>
              <w:jc w:val="center"/>
              <w:rPr>
                <w:b/>
                <w:color w:val="000000"/>
              </w:rPr>
            </w:pPr>
          </w:p>
        </w:tc>
        <w:tc>
          <w:tcPr>
            <w:tcW w:w="1034" w:type="pct"/>
            <w:shd w:val="clear" w:color="auto" w:fill="auto"/>
            <w:noWrap/>
            <w:vAlign w:val="center"/>
            <w:hideMark/>
          </w:tcPr>
          <w:p w14:paraId="7E6F4470" w14:textId="77777777" w:rsidR="00700F87" w:rsidRPr="0049395C" w:rsidRDefault="00700F87" w:rsidP="002B63D1">
            <w:pPr>
              <w:jc w:val="center"/>
              <w:rPr>
                <w:b/>
                <w:color w:val="000000"/>
              </w:rPr>
            </w:pPr>
            <w:r w:rsidRPr="0049395C">
              <w:rPr>
                <w:b/>
                <w:color w:val="000000"/>
                <w:sz w:val="22"/>
              </w:rPr>
              <w:t>Before Replacement</w:t>
            </w:r>
          </w:p>
        </w:tc>
        <w:tc>
          <w:tcPr>
            <w:tcW w:w="1026" w:type="pct"/>
            <w:shd w:val="clear" w:color="auto" w:fill="auto"/>
            <w:noWrap/>
            <w:vAlign w:val="center"/>
            <w:hideMark/>
          </w:tcPr>
          <w:p w14:paraId="0DA18835" w14:textId="77777777" w:rsidR="00700F87" w:rsidRPr="0049395C" w:rsidRDefault="00700F87" w:rsidP="002B63D1">
            <w:pPr>
              <w:jc w:val="center"/>
              <w:rPr>
                <w:b/>
                <w:color w:val="000000"/>
              </w:rPr>
            </w:pPr>
            <w:r w:rsidRPr="0049395C">
              <w:rPr>
                <w:b/>
                <w:color w:val="000000"/>
                <w:sz w:val="22"/>
              </w:rPr>
              <w:t>After Replacement</w:t>
            </w:r>
          </w:p>
        </w:tc>
        <w:tc>
          <w:tcPr>
            <w:tcW w:w="1675" w:type="pct"/>
            <w:vMerge/>
            <w:shd w:val="clear" w:color="auto" w:fill="auto"/>
            <w:noWrap/>
            <w:vAlign w:val="center"/>
            <w:hideMark/>
          </w:tcPr>
          <w:p w14:paraId="08F31520" w14:textId="77777777" w:rsidR="00700F87" w:rsidRPr="002A467E" w:rsidRDefault="00700F87" w:rsidP="002B63D1">
            <w:pPr>
              <w:jc w:val="center"/>
              <w:rPr>
                <w:color w:val="000000"/>
              </w:rPr>
            </w:pPr>
          </w:p>
        </w:tc>
      </w:tr>
      <w:tr w:rsidR="006634E5" w:rsidRPr="002A467E" w14:paraId="44CA6C81" w14:textId="77777777" w:rsidTr="00716629">
        <w:trPr>
          <w:trHeight w:val="288"/>
        </w:trPr>
        <w:tc>
          <w:tcPr>
            <w:tcW w:w="632" w:type="pct"/>
            <w:vAlign w:val="center"/>
          </w:tcPr>
          <w:p w14:paraId="3262EE74" w14:textId="77777777" w:rsidR="006634E5" w:rsidRPr="00716629" w:rsidRDefault="006634E5" w:rsidP="002B63D1">
            <w:pPr>
              <w:jc w:val="center"/>
              <w:rPr>
                <w:b/>
                <w:color w:val="000000"/>
                <w:sz w:val="22"/>
                <w:szCs w:val="22"/>
              </w:rPr>
            </w:pPr>
            <w:r>
              <w:rPr>
                <w:b/>
                <w:color w:val="000000"/>
                <w:sz w:val="22"/>
                <w:szCs w:val="22"/>
              </w:rPr>
              <w:t>2015</w:t>
            </w:r>
          </w:p>
        </w:tc>
        <w:tc>
          <w:tcPr>
            <w:tcW w:w="633" w:type="pct"/>
            <w:shd w:val="clear" w:color="auto" w:fill="auto"/>
            <w:noWrap/>
            <w:vAlign w:val="center"/>
          </w:tcPr>
          <w:p w14:paraId="1862AA0A" w14:textId="77777777" w:rsidR="006634E5" w:rsidRPr="002A467E" w:rsidRDefault="006634E5" w:rsidP="002B63D1">
            <w:pPr>
              <w:jc w:val="center"/>
              <w:rPr>
                <w:color w:val="000000"/>
                <w:sz w:val="22"/>
                <w:szCs w:val="22"/>
              </w:rPr>
            </w:pPr>
            <w:r>
              <w:rPr>
                <w:color w:val="000000"/>
                <w:sz w:val="22"/>
                <w:szCs w:val="22"/>
              </w:rPr>
              <w:t>8</w:t>
            </w:r>
          </w:p>
        </w:tc>
        <w:tc>
          <w:tcPr>
            <w:tcW w:w="1034" w:type="pct"/>
            <w:shd w:val="clear" w:color="auto" w:fill="auto"/>
            <w:noWrap/>
            <w:vAlign w:val="center"/>
          </w:tcPr>
          <w:p w14:paraId="1C220991" w14:textId="77777777" w:rsidR="006634E5" w:rsidRPr="002A467E" w:rsidRDefault="006634E5" w:rsidP="002B63D1">
            <w:pPr>
              <w:jc w:val="center"/>
              <w:rPr>
                <w:color w:val="000000"/>
                <w:sz w:val="22"/>
                <w:szCs w:val="22"/>
              </w:rPr>
            </w:pPr>
            <w:r>
              <w:rPr>
                <w:color w:val="000000"/>
                <w:sz w:val="22"/>
                <w:szCs w:val="22"/>
              </w:rPr>
              <w:t>78</w:t>
            </w:r>
          </w:p>
        </w:tc>
        <w:tc>
          <w:tcPr>
            <w:tcW w:w="1026" w:type="pct"/>
            <w:shd w:val="clear" w:color="auto" w:fill="auto"/>
            <w:noWrap/>
            <w:vAlign w:val="center"/>
          </w:tcPr>
          <w:p w14:paraId="60D5C189" w14:textId="77777777" w:rsidR="006634E5" w:rsidRPr="002A467E" w:rsidRDefault="006634E5" w:rsidP="002B63D1">
            <w:pPr>
              <w:jc w:val="center"/>
              <w:rPr>
                <w:color w:val="000000"/>
                <w:sz w:val="22"/>
                <w:szCs w:val="22"/>
              </w:rPr>
            </w:pPr>
            <w:r>
              <w:rPr>
                <w:color w:val="000000"/>
                <w:sz w:val="22"/>
                <w:szCs w:val="22"/>
              </w:rPr>
              <w:t>84</w:t>
            </w:r>
          </w:p>
        </w:tc>
        <w:tc>
          <w:tcPr>
            <w:tcW w:w="1675" w:type="pct"/>
            <w:shd w:val="clear" w:color="auto" w:fill="auto"/>
            <w:noWrap/>
            <w:vAlign w:val="center"/>
          </w:tcPr>
          <w:p w14:paraId="036E9803" w14:textId="77777777" w:rsidR="006634E5" w:rsidRPr="002A467E" w:rsidRDefault="006634E5" w:rsidP="002B63D1">
            <w:pPr>
              <w:jc w:val="center"/>
              <w:rPr>
                <w:color w:val="000000"/>
                <w:sz w:val="22"/>
                <w:szCs w:val="22"/>
              </w:rPr>
            </w:pPr>
            <w:r>
              <w:rPr>
                <w:color w:val="000000"/>
                <w:sz w:val="22"/>
                <w:szCs w:val="22"/>
              </w:rPr>
              <w:t>94</w:t>
            </w:r>
          </w:p>
        </w:tc>
      </w:tr>
      <w:tr w:rsidR="00700F87" w:rsidRPr="002A467E" w14:paraId="6AD79101" w14:textId="77777777" w:rsidTr="00716629">
        <w:trPr>
          <w:trHeight w:val="288"/>
        </w:trPr>
        <w:tc>
          <w:tcPr>
            <w:tcW w:w="632" w:type="pct"/>
            <w:vAlign w:val="center"/>
          </w:tcPr>
          <w:p w14:paraId="24B15A4C" w14:textId="77777777" w:rsidR="00700F87" w:rsidRPr="00716629" w:rsidRDefault="00716629" w:rsidP="002B63D1">
            <w:pPr>
              <w:jc w:val="center"/>
              <w:rPr>
                <w:b/>
                <w:color w:val="000000"/>
                <w:sz w:val="22"/>
                <w:szCs w:val="22"/>
              </w:rPr>
            </w:pPr>
            <w:r w:rsidRPr="00716629">
              <w:rPr>
                <w:b/>
                <w:color w:val="000000"/>
                <w:sz w:val="22"/>
                <w:szCs w:val="22"/>
              </w:rPr>
              <w:t>2011</w:t>
            </w:r>
          </w:p>
        </w:tc>
        <w:tc>
          <w:tcPr>
            <w:tcW w:w="633" w:type="pct"/>
            <w:shd w:val="clear" w:color="auto" w:fill="auto"/>
            <w:noWrap/>
            <w:vAlign w:val="center"/>
            <w:hideMark/>
          </w:tcPr>
          <w:p w14:paraId="42E1C963" w14:textId="77777777" w:rsidR="00700F87" w:rsidRPr="002A467E" w:rsidRDefault="00700F87" w:rsidP="002B63D1">
            <w:pPr>
              <w:jc w:val="center"/>
              <w:rPr>
                <w:color w:val="000000"/>
              </w:rPr>
            </w:pPr>
            <w:r w:rsidRPr="002A467E">
              <w:rPr>
                <w:color w:val="000000"/>
                <w:sz w:val="22"/>
                <w:szCs w:val="22"/>
              </w:rPr>
              <w:t>8</w:t>
            </w:r>
          </w:p>
        </w:tc>
        <w:tc>
          <w:tcPr>
            <w:tcW w:w="1034" w:type="pct"/>
            <w:shd w:val="clear" w:color="auto" w:fill="auto"/>
            <w:noWrap/>
            <w:vAlign w:val="center"/>
            <w:hideMark/>
          </w:tcPr>
          <w:p w14:paraId="6AF7A225" w14:textId="77777777" w:rsidR="00700F87" w:rsidRPr="002A467E" w:rsidRDefault="00700F87" w:rsidP="002B63D1">
            <w:pPr>
              <w:jc w:val="center"/>
              <w:rPr>
                <w:color w:val="000000"/>
              </w:rPr>
            </w:pPr>
            <w:r w:rsidRPr="002A467E">
              <w:rPr>
                <w:color w:val="000000"/>
                <w:sz w:val="22"/>
                <w:szCs w:val="22"/>
              </w:rPr>
              <w:t>87</w:t>
            </w:r>
          </w:p>
        </w:tc>
        <w:tc>
          <w:tcPr>
            <w:tcW w:w="1026" w:type="pct"/>
            <w:shd w:val="clear" w:color="auto" w:fill="auto"/>
            <w:noWrap/>
            <w:vAlign w:val="center"/>
            <w:hideMark/>
          </w:tcPr>
          <w:p w14:paraId="391454B6" w14:textId="77777777" w:rsidR="00700F87" w:rsidRPr="002A467E" w:rsidRDefault="00700F87" w:rsidP="002B63D1">
            <w:pPr>
              <w:jc w:val="center"/>
              <w:rPr>
                <w:color w:val="000000"/>
              </w:rPr>
            </w:pPr>
            <w:r w:rsidRPr="002A467E">
              <w:rPr>
                <w:color w:val="000000"/>
                <w:sz w:val="22"/>
                <w:szCs w:val="22"/>
              </w:rPr>
              <w:t>87</w:t>
            </w:r>
          </w:p>
        </w:tc>
        <w:tc>
          <w:tcPr>
            <w:tcW w:w="1675" w:type="pct"/>
            <w:shd w:val="clear" w:color="auto" w:fill="auto"/>
            <w:noWrap/>
            <w:vAlign w:val="center"/>
            <w:hideMark/>
          </w:tcPr>
          <w:p w14:paraId="5C0299EA" w14:textId="77777777" w:rsidR="00700F87" w:rsidRPr="002A467E" w:rsidRDefault="00700F87" w:rsidP="002B63D1">
            <w:pPr>
              <w:jc w:val="center"/>
              <w:rPr>
                <w:color w:val="000000"/>
              </w:rPr>
            </w:pPr>
            <w:r w:rsidRPr="002A467E">
              <w:rPr>
                <w:color w:val="000000"/>
                <w:sz w:val="22"/>
                <w:szCs w:val="22"/>
              </w:rPr>
              <w:t>94</w:t>
            </w:r>
          </w:p>
        </w:tc>
      </w:tr>
      <w:tr w:rsidR="00700F87" w:rsidRPr="002A467E" w14:paraId="2DF8DF61" w14:textId="77777777" w:rsidTr="00716629">
        <w:trPr>
          <w:trHeight w:val="288"/>
        </w:trPr>
        <w:tc>
          <w:tcPr>
            <w:tcW w:w="632" w:type="pct"/>
            <w:vAlign w:val="center"/>
          </w:tcPr>
          <w:p w14:paraId="6AE2BBE3" w14:textId="77777777" w:rsidR="00700F87" w:rsidRPr="00716629" w:rsidRDefault="00716629" w:rsidP="002B63D1">
            <w:pPr>
              <w:jc w:val="center"/>
              <w:rPr>
                <w:b/>
                <w:color w:val="000000"/>
                <w:sz w:val="22"/>
                <w:szCs w:val="22"/>
              </w:rPr>
            </w:pPr>
            <w:r w:rsidRPr="00716629">
              <w:rPr>
                <w:b/>
                <w:color w:val="000000"/>
                <w:sz w:val="22"/>
                <w:szCs w:val="22"/>
              </w:rPr>
              <w:t>2007</w:t>
            </w:r>
          </w:p>
        </w:tc>
        <w:tc>
          <w:tcPr>
            <w:tcW w:w="633" w:type="pct"/>
            <w:shd w:val="clear" w:color="auto" w:fill="auto"/>
            <w:noWrap/>
            <w:vAlign w:val="center"/>
            <w:hideMark/>
          </w:tcPr>
          <w:p w14:paraId="174EDC4B" w14:textId="77777777" w:rsidR="00700F87" w:rsidRPr="002A467E" w:rsidRDefault="00700F87" w:rsidP="002B63D1">
            <w:pPr>
              <w:jc w:val="center"/>
              <w:rPr>
                <w:color w:val="000000"/>
              </w:rPr>
            </w:pPr>
            <w:r w:rsidRPr="002A467E">
              <w:rPr>
                <w:color w:val="000000"/>
                <w:sz w:val="22"/>
                <w:szCs w:val="22"/>
              </w:rPr>
              <w:t>8</w:t>
            </w:r>
          </w:p>
        </w:tc>
        <w:tc>
          <w:tcPr>
            <w:tcW w:w="1034" w:type="pct"/>
            <w:shd w:val="clear" w:color="auto" w:fill="auto"/>
            <w:noWrap/>
            <w:vAlign w:val="center"/>
            <w:hideMark/>
          </w:tcPr>
          <w:p w14:paraId="4765E138" w14:textId="77777777" w:rsidR="00700F87" w:rsidRPr="002A467E" w:rsidRDefault="00700F87" w:rsidP="002B63D1">
            <w:pPr>
              <w:jc w:val="center"/>
              <w:rPr>
                <w:color w:val="000000"/>
              </w:rPr>
            </w:pPr>
            <w:r w:rsidRPr="002A467E">
              <w:rPr>
                <w:color w:val="000000"/>
                <w:sz w:val="22"/>
                <w:szCs w:val="22"/>
              </w:rPr>
              <w:t>68</w:t>
            </w:r>
          </w:p>
        </w:tc>
        <w:tc>
          <w:tcPr>
            <w:tcW w:w="1026" w:type="pct"/>
            <w:shd w:val="clear" w:color="auto" w:fill="auto"/>
            <w:noWrap/>
            <w:vAlign w:val="center"/>
            <w:hideMark/>
          </w:tcPr>
          <w:p w14:paraId="2A7DEF1F" w14:textId="77777777" w:rsidR="00700F87" w:rsidRPr="002A467E" w:rsidRDefault="00700F87" w:rsidP="002B63D1">
            <w:pPr>
              <w:jc w:val="center"/>
              <w:rPr>
                <w:color w:val="000000"/>
              </w:rPr>
            </w:pPr>
            <w:r w:rsidRPr="002A467E">
              <w:rPr>
                <w:color w:val="000000"/>
                <w:sz w:val="22"/>
                <w:szCs w:val="22"/>
              </w:rPr>
              <w:t>83</w:t>
            </w:r>
          </w:p>
        </w:tc>
        <w:tc>
          <w:tcPr>
            <w:tcW w:w="1675" w:type="pct"/>
            <w:shd w:val="clear" w:color="auto" w:fill="auto"/>
            <w:noWrap/>
            <w:vAlign w:val="center"/>
            <w:hideMark/>
          </w:tcPr>
          <w:p w14:paraId="3C4B4091" w14:textId="77777777" w:rsidR="00700F87" w:rsidRPr="002A467E" w:rsidRDefault="00700F87" w:rsidP="002B63D1">
            <w:pPr>
              <w:jc w:val="center"/>
              <w:rPr>
                <w:color w:val="000000"/>
              </w:rPr>
            </w:pPr>
            <w:r w:rsidRPr="002A467E">
              <w:rPr>
                <w:color w:val="000000"/>
                <w:sz w:val="22"/>
                <w:szCs w:val="22"/>
              </w:rPr>
              <w:t>93</w:t>
            </w:r>
          </w:p>
        </w:tc>
      </w:tr>
      <w:tr w:rsidR="00700F87" w:rsidRPr="002A467E" w14:paraId="251FDF89" w14:textId="77777777" w:rsidTr="00716629">
        <w:trPr>
          <w:trHeight w:val="288"/>
        </w:trPr>
        <w:tc>
          <w:tcPr>
            <w:tcW w:w="632" w:type="pct"/>
            <w:vAlign w:val="center"/>
          </w:tcPr>
          <w:p w14:paraId="3F9E6AE0" w14:textId="77777777" w:rsidR="00700F87" w:rsidRPr="00716629" w:rsidRDefault="00716629" w:rsidP="002B63D1">
            <w:pPr>
              <w:jc w:val="center"/>
              <w:rPr>
                <w:b/>
                <w:color w:val="000000"/>
                <w:sz w:val="22"/>
                <w:szCs w:val="22"/>
              </w:rPr>
            </w:pPr>
            <w:r w:rsidRPr="00716629">
              <w:rPr>
                <w:b/>
                <w:color w:val="000000"/>
                <w:sz w:val="22"/>
                <w:szCs w:val="22"/>
              </w:rPr>
              <w:t>2003</w:t>
            </w:r>
          </w:p>
        </w:tc>
        <w:tc>
          <w:tcPr>
            <w:tcW w:w="633" w:type="pct"/>
            <w:shd w:val="clear" w:color="auto" w:fill="auto"/>
            <w:noWrap/>
            <w:vAlign w:val="center"/>
            <w:hideMark/>
          </w:tcPr>
          <w:p w14:paraId="3B76D6A9" w14:textId="77777777" w:rsidR="00700F87" w:rsidRPr="002A467E" w:rsidRDefault="00700F87" w:rsidP="002B63D1">
            <w:pPr>
              <w:jc w:val="center"/>
              <w:rPr>
                <w:color w:val="000000"/>
              </w:rPr>
            </w:pPr>
            <w:r w:rsidRPr="002A467E">
              <w:rPr>
                <w:color w:val="000000"/>
                <w:sz w:val="22"/>
                <w:szCs w:val="22"/>
              </w:rPr>
              <w:t>8</w:t>
            </w:r>
          </w:p>
        </w:tc>
        <w:tc>
          <w:tcPr>
            <w:tcW w:w="1034" w:type="pct"/>
            <w:shd w:val="clear" w:color="auto" w:fill="auto"/>
            <w:noWrap/>
            <w:vAlign w:val="center"/>
            <w:hideMark/>
          </w:tcPr>
          <w:p w14:paraId="5915EF94" w14:textId="77777777" w:rsidR="00700F87" w:rsidRPr="002A467E" w:rsidRDefault="00700F87" w:rsidP="002B63D1">
            <w:pPr>
              <w:jc w:val="center"/>
              <w:rPr>
                <w:color w:val="000000"/>
              </w:rPr>
            </w:pPr>
            <w:r w:rsidRPr="002A467E">
              <w:rPr>
                <w:color w:val="000000"/>
                <w:sz w:val="22"/>
                <w:szCs w:val="22"/>
              </w:rPr>
              <w:t>71</w:t>
            </w:r>
          </w:p>
        </w:tc>
        <w:tc>
          <w:tcPr>
            <w:tcW w:w="1026" w:type="pct"/>
            <w:shd w:val="clear" w:color="auto" w:fill="auto"/>
            <w:noWrap/>
            <w:vAlign w:val="center"/>
            <w:hideMark/>
          </w:tcPr>
          <w:p w14:paraId="3994E6F8" w14:textId="77777777" w:rsidR="00700F87" w:rsidRPr="002A467E" w:rsidRDefault="00700F87" w:rsidP="002B63D1">
            <w:pPr>
              <w:jc w:val="center"/>
              <w:rPr>
                <w:color w:val="000000"/>
              </w:rPr>
            </w:pPr>
            <w:r w:rsidRPr="002A467E">
              <w:rPr>
                <w:color w:val="000000"/>
                <w:sz w:val="22"/>
                <w:szCs w:val="22"/>
              </w:rPr>
              <w:t>78</w:t>
            </w:r>
          </w:p>
        </w:tc>
        <w:tc>
          <w:tcPr>
            <w:tcW w:w="1675" w:type="pct"/>
            <w:shd w:val="clear" w:color="auto" w:fill="auto"/>
            <w:noWrap/>
            <w:vAlign w:val="center"/>
            <w:hideMark/>
          </w:tcPr>
          <w:p w14:paraId="206D88A5" w14:textId="77777777" w:rsidR="00700F87" w:rsidRPr="002A467E" w:rsidRDefault="00700F87" w:rsidP="002B63D1">
            <w:pPr>
              <w:jc w:val="center"/>
              <w:rPr>
                <w:color w:val="000000"/>
              </w:rPr>
            </w:pPr>
            <w:r w:rsidRPr="002A467E">
              <w:rPr>
                <w:color w:val="000000"/>
                <w:sz w:val="22"/>
                <w:szCs w:val="22"/>
              </w:rPr>
              <w:t>94</w:t>
            </w:r>
          </w:p>
        </w:tc>
      </w:tr>
      <w:tr w:rsidR="00700F87" w:rsidRPr="002A467E" w14:paraId="24248E70" w14:textId="77777777" w:rsidTr="00716629">
        <w:trPr>
          <w:trHeight w:val="288"/>
        </w:trPr>
        <w:tc>
          <w:tcPr>
            <w:tcW w:w="632" w:type="pct"/>
            <w:vAlign w:val="center"/>
          </w:tcPr>
          <w:p w14:paraId="52CF4A15" w14:textId="77777777" w:rsidR="00700F87" w:rsidRPr="0049395C" w:rsidRDefault="00700F87" w:rsidP="002B63D1">
            <w:pPr>
              <w:jc w:val="center"/>
              <w:rPr>
                <w:b/>
                <w:color w:val="000000"/>
              </w:rPr>
            </w:pPr>
            <w:r w:rsidRPr="0049395C">
              <w:rPr>
                <w:b/>
                <w:color w:val="000000"/>
                <w:sz w:val="22"/>
                <w:szCs w:val="22"/>
              </w:rPr>
              <w:t>1999</w:t>
            </w:r>
          </w:p>
        </w:tc>
        <w:tc>
          <w:tcPr>
            <w:tcW w:w="633" w:type="pct"/>
            <w:shd w:val="clear" w:color="auto" w:fill="auto"/>
            <w:noWrap/>
            <w:vAlign w:val="center"/>
            <w:hideMark/>
          </w:tcPr>
          <w:p w14:paraId="7559F41F" w14:textId="77777777" w:rsidR="00700F87" w:rsidRPr="002A467E" w:rsidRDefault="00700F87" w:rsidP="002B63D1">
            <w:pPr>
              <w:jc w:val="center"/>
              <w:rPr>
                <w:color w:val="000000"/>
              </w:rPr>
            </w:pPr>
            <w:r w:rsidRPr="002A467E">
              <w:rPr>
                <w:color w:val="000000"/>
                <w:sz w:val="22"/>
                <w:szCs w:val="22"/>
              </w:rPr>
              <w:t>8</w:t>
            </w:r>
          </w:p>
        </w:tc>
        <w:tc>
          <w:tcPr>
            <w:tcW w:w="1034" w:type="pct"/>
            <w:shd w:val="clear" w:color="auto" w:fill="auto"/>
            <w:noWrap/>
            <w:vAlign w:val="center"/>
            <w:hideMark/>
          </w:tcPr>
          <w:p w14:paraId="16F74A11" w14:textId="77777777" w:rsidR="00700F87" w:rsidRPr="002A467E" w:rsidRDefault="00700F87" w:rsidP="002B63D1">
            <w:pPr>
              <w:jc w:val="center"/>
              <w:rPr>
                <w:color w:val="000000"/>
              </w:rPr>
            </w:pPr>
            <w:r w:rsidRPr="002A467E">
              <w:rPr>
                <w:color w:val="000000"/>
                <w:sz w:val="22"/>
                <w:szCs w:val="22"/>
              </w:rPr>
              <w:t>83</w:t>
            </w:r>
          </w:p>
        </w:tc>
        <w:tc>
          <w:tcPr>
            <w:tcW w:w="1026" w:type="pct"/>
            <w:shd w:val="clear" w:color="auto" w:fill="auto"/>
            <w:noWrap/>
            <w:vAlign w:val="center"/>
            <w:hideMark/>
          </w:tcPr>
          <w:p w14:paraId="27E12AF2" w14:textId="77777777" w:rsidR="00700F87" w:rsidRPr="002A467E" w:rsidRDefault="00700F87" w:rsidP="002B63D1">
            <w:pPr>
              <w:jc w:val="center"/>
              <w:rPr>
                <w:color w:val="000000"/>
              </w:rPr>
            </w:pPr>
            <w:r w:rsidRPr="002A467E">
              <w:rPr>
                <w:color w:val="000000"/>
                <w:sz w:val="22"/>
                <w:szCs w:val="22"/>
              </w:rPr>
              <w:t>90</w:t>
            </w:r>
          </w:p>
        </w:tc>
        <w:tc>
          <w:tcPr>
            <w:tcW w:w="1675" w:type="pct"/>
            <w:shd w:val="clear" w:color="auto" w:fill="auto"/>
            <w:noWrap/>
            <w:vAlign w:val="center"/>
            <w:hideMark/>
          </w:tcPr>
          <w:p w14:paraId="0439454F" w14:textId="77777777" w:rsidR="00700F87" w:rsidRPr="002A467E" w:rsidRDefault="00700F87" w:rsidP="002B63D1">
            <w:pPr>
              <w:jc w:val="center"/>
              <w:rPr>
                <w:color w:val="000000"/>
              </w:rPr>
            </w:pPr>
            <w:r w:rsidRPr="002A467E">
              <w:rPr>
                <w:color w:val="000000"/>
                <w:sz w:val="22"/>
                <w:szCs w:val="22"/>
              </w:rPr>
              <w:t>94</w:t>
            </w:r>
          </w:p>
        </w:tc>
      </w:tr>
    </w:tbl>
    <w:p w14:paraId="29793502" w14:textId="77777777" w:rsidR="00700F87" w:rsidRPr="00E16020" w:rsidRDefault="00700F87" w:rsidP="00700F87">
      <w:pPr>
        <w:spacing w:line="276" w:lineRule="auto"/>
        <w:rPr>
          <w:sz w:val="22"/>
          <w:szCs w:val="22"/>
        </w:rPr>
      </w:pPr>
    </w:p>
    <w:p w14:paraId="29F34ACB" w14:textId="77777777" w:rsidR="00A22E18" w:rsidRPr="00373459" w:rsidRDefault="00A22E18" w:rsidP="00396457">
      <w:pPr>
        <w:pStyle w:val="P1-StandPara"/>
        <w:spacing w:after="60" w:line="240" w:lineRule="auto"/>
        <w:ind w:firstLine="0"/>
        <w:jc w:val="left"/>
        <w:rPr>
          <w:szCs w:val="22"/>
        </w:rPr>
      </w:pPr>
      <w:r w:rsidRPr="00373459">
        <w:rPr>
          <w:szCs w:val="22"/>
        </w:rPr>
        <w:t>Our approach to school recruitment is to:</w:t>
      </w:r>
    </w:p>
    <w:p w14:paraId="75892901" w14:textId="77777777"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Obtain endorsements about the value of </w:t>
      </w:r>
      <w:r w:rsidR="00A162FD">
        <w:rPr>
          <w:rFonts w:ascii="Times New Roman" w:hAnsi="Times New Roman"/>
          <w:sz w:val="22"/>
          <w:szCs w:val="22"/>
        </w:rPr>
        <w:t xml:space="preserve">schools’ participation in </w:t>
      </w:r>
      <w:r w:rsidR="006B5859">
        <w:rPr>
          <w:rFonts w:ascii="Times New Roman" w:hAnsi="Times New Roman"/>
          <w:sz w:val="22"/>
          <w:szCs w:val="22"/>
        </w:rPr>
        <w:t>ICILS</w:t>
      </w:r>
      <w:r w:rsidRPr="00373459">
        <w:rPr>
          <w:rFonts w:ascii="Times New Roman" w:hAnsi="Times New Roman"/>
          <w:sz w:val="22"/>
          <w:szCs w:val="22"/>
        </w:rPr>
        <w:t xml:space="preserve"> from relevant organizations;</w:t>
      </w:r>
    </w:p>
    <w:p w14:paraId="29F714B5" w14:textId="77777777" w:rsidR="00A9342A" w:rsidRDefault="00A9342A"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Work with NAEP state coordinators;</w:t>
      </w:r>
    </w:p>
    <w:p w14:paraId="06E23BA6" w14:textId="77777777" w:rsidR="0037598C" w:rsidRDefault="002E026A"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w:t>
      </w:r>
      <w:r w:rsidR="006620C1">
        <w:rPr>
          <w:rFonts w:ascii="Times New Roman" w:hAnsi="Times New Roman"/>
          <w:sz w:val="22"/>
          <w:szCs w:val="22"/>
        </w:rPr>
        <w:t xml:space="preserve">School </w:t>
      </w:r>
      <w:r>
        <w:rPr>
          <w:rFonts w:ascii="Times New Roman" w:hAnsi="Times New Roman"/>
          <w:sz w:val="22"/>
          <w:szCs w:val="22"/>
        </w:rPr>
        <w:t xml:space="preserve">Officers </w:t>
      </w:r>
      <w:r w:rsidR="00A22E18" w:rsidRPr="00373459">
        <w:rPr>
          <w:rFonts w:ascii="Times New Roman" w:hAnsi="Times New Roman"/>
          <w:sz w:val="22"/>
          <w:szCs w:val="22"/>
        </w:rPr>
        <w:t>and test directors about the sample of schools in their state. Enclose a sample letter of endorsement they can send to schools;</w:t>
      </w:r>
    </w:p>
    <w:p w14:paraId="30170541" w14:textId="77777777"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Send letters and informational materials to schools and districts. These letters will be customized by </w:t>
      </w:r>
      <w:r w:rsidR="006620C1">
        <w:rPr>
          <w:rFonts w:ascii="Times New Roman" w:hAnsi="Times New Roman"/>
          <w:sz w:val="22"/>
          <w:szCs w:val="22"/>
        </w:rPr>
        <w:t xml:space="preserve">the </w:t>
      </w:r>
      <w:r w:rsidRPr="00373459">
        <w:rPr>
          <w:rFonts w:ascii="Times New Roman" w:hAnsi="Times New Roman"/>
          <w:sz w:val="22"/>
          <w:szCs w:val="22"/>
        </w:rPr>
        <w:t>type of school;</w:t>
      </w:r>
    </w:p>
    <w:p w14:paraId="7E31600F" w14:textId="77777777"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school recruiters about </w:t>
      </w:r>
      <w:r w:rsidR="006B5859">
        <w:rPr>
          <w:rFonts w:ascii="Times New Roman" w:hAnsi="Times New Roman"/>
          <w:sz w:val="22"/>
          <w:szCs w:val="22"/>
        </w:rPr>
        <w:t>ICILS</w:t>
      </w:r>
      <w:r w:rsidR="002E026A">
        <w:rPr>
          <w:rFonts w:ascii="Times New Roman" w:hAnsi="Times New Roman"/>
          <w:sz w:val="22"/>
          <w:szCs w:val="22"/>
        </w:rPr>
        <w:t>;</w:t>
      </w:r>
    </w:p>
    <w:p w14:paraId="473F0A4C" w14:textId="77777777" w:rsidR="00A22E18" w:rsidRPr="00373459" w:rsidRDefault="00A22E18" w:rsidP="003A6E19">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Implement strategies from NAEP’s Private School Recruiting Toolkit</w:t>
      </w:r>
      <w:r w:rsidR="00A162FD">
        <w:rPr>
          <w:rFonts w:ascii="Times New Roman" w:hAnsi="Times New Roman"/>
          <w:sz w:val="22"/>
          <w:szCs w:val="22"/>
        </w:rPr>
        <w:t>, which was</w:t>
      </w:r>
      <w:r w:rsidRPr="00373459">
        <w:rPr>
          <w:rFonts w:ascii="Times New Roman" w:hAnsi="Times New Roman"/>
          <w:sz w:val="22"/>
          <w:szCs w:val="22"/>
        </w:rPr>
        <w:t xml:space="preserve"> developed for NAEP</w:t>
      </w:r>
      <w:r w:rsidR="00A162FD">
        <w:rPr>
          <w:rFonts w:ascii="Times New Roman" w:hAnsi="Times New Roman"/>
          <w:sz w:val="22"/>
          <w:szCs w:val="22"/>
        </w:rPr>
        <w:t xml:space="preserve"> and </w:t>
      </w:r>
      <w:r w:rsidRPr="00373459">
        <w:rPr>
          <w:rFonts w:ascii="Times New Roman" w:hAnsi="Times New Roman"/>
          <w:sz w:val="22"/>
          <w:szCs w:val="22"/>
        </w:rPr>
        <w:t>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14:paraId="587AE059" w14:textId="77777777" w:rsidR="00A22E18" w:rsidRPr="0028275C"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Follow</w:t>
      </w:r>
      <w:r w:rsidR="007F3875">
        <w:rPr>
          <w:rFonts w:ascii="Times New Roman" w:hAnsi="Times New Roman"/>
          <w:sz w:val="22"/>
          <w:szCs w:val="22"/>
        </w:rPr>
        <w:t>-</w:t>
      </w:r>
      <w:r w:rsidRPr="00373459">
        <w:rPr>
          <w:rFonts w:ascii="Times New Roman" w:hAnsi="Times New Roman"/>
          <w:sz w:val="22"/>
          <w:szCs w:val="22"/>
        </w:rPr>
        <w:t xml:space="preserve">up mailings with telephone calls to explain the study and schools involvement, including placing the </w:t>
      </w:r>
      <w:r w:rsidR="006B5859">
        <w:rPr>
          <w:rFonts w:ascii="Times New Roman" w:hAnsi="Times New Roman"/>
          <w:sz w:val="22"/>
          <w:szCs w:val="22"/>
        </w:rPr>
        <w:t xml:space="preserve">ICILS </w:t>
      </w:r>
      <w:r w:rsidRPr="0028275C">
        <w:rPr>
          <w:rFonts w:ascii="Times New Roman" w:hAnsi="Times New Roman"/>
          <w:sz w:val="22"/>
          <w:szCs w:val="22"/>
        </w:rPr>
        <w:t>assessment date on school calendars;</w:t>
      </w:r>
    </w:p>
    <w:p w14:paraId="7CFD8EE5" w14:textId="77777777" w:rsidR="002848E3" w:rsidRPr="0028275C" w:rsidRDefault="00F17FE7"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Offer</w:t>
      </w:r>
      <w:r w:rsidR="002848E3" w:rsidRPr="0028275C">
        <w:rPr>
          <w:rFonts w:ascii="Times New Roman" w:hAnsi="Times New Roman"/>
          <w:sz w:val="22"/>
          <w:szCs w:val="22"/>
        </w:rPr>
        <w:t xml:space="preserve"> schools $200 for participation;</w:t>
      </w:r>
    </w:p>
    <w:p w14:paraId="265FDBDB" w14:textId="77777777" w:rsidR="0037598C"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 xml:space="preserve">Maintain continued contact until schools have built a relationship with the recruiter and fully understand </w:t>
      </w:r>
      <w:r w:rsidR="006B5859" w:rsidRPr="0028275C">
        <w:rPr>
          <w:rFonts w:ascii="Times New Roman" w:hAnsi="Times New Roman"/>
          <w:sz w:val="22"/>
          <w:szCs w:val="22"/>
        </w:rPr>
        <w:t>ICILS</w:t>
      </w:r>
      <w:r w:rsidRPr="0028275C">
        <w:rPr>
          <w:rFonts w:ascii="Times New Roman" w:hAnsi="Times New Roman"/>
          <w:sz w:val="22"/>
          <w:szCs w:val="22"/>
        </w:rPr>
        <w:t>;</w:t>
      </w:r>
    </w:p>
    <w:p w14:paraId="4682335B" w14:textId="77777777" w:rsidR="00A22E18" w:rsidRPr="0028275C" w:rsidRDefault="002848E3"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Offer a $100 incentive to the individual at the school identified to serve as the school coordinator</w:t>
      </w:r>
      <w:r w:rsidR="00A162FD">
        <w:rPr>
          <w:rFonts w:ascii="Times New Roman" w:hAnsi="Times New Roman"/>
          <w:sz w:val="22"/>
          <w:szCs w:val="22"/>
        </w:rPr>
        <w:t>;</w:t>
      </w:r>
      <w:r w:rsidRPr="0028275C">
        <w:rPr>
          <w:rFonts w:ascii="Times New Roman" w:hAnsi="Times New Roman"/>
          <w:sz w:val="22"/>
          <w:szCs w:val="22"/>
        </w:rPr>
        <w:t xml:space="preserve"> </w:t>
      </w:r>
      <w:r w:rsidR="00A22E18" w:rsidRPr="0028275C">
        <w:rPr>
          <w:rFonts w:ascii="Times New Roman" w:hAnsi="Times New Roman"/>
          <w:sz w:val="22"/>
          <w:szCs w:val="22"/>
        </w:rPr>
        <w:t>and</w:t>
      </w:r>
    </w:p>
    <w:p w14:paraId="0BF8F8E3" w14:textId="77777777" w:rsidR="00EB39FD" w:rsidRPr="0028275C" w:rsidRDefault="00A22E18" w:rsidP="00396457">
      <w:pPr>
        <w:pStyle w:val="N1-1stBullet"/>
        <w:numPr>
          <w:ilvl w:val="0"/>
          <w:numId w:val="7"/>
        </w:numPr>
        <w:tabs>
          <w:tab w:val="clear" w:pos="1152"/>
        </w:tabs>
        <w:spacing w:after="60" w:line="240" w:lineRule="auto"/>
        <w:ind w:left="540" w:hanging="331"/>
        <w:rPr>
          <w:rFonts w:ascii="Times New Roman" w:hAnsi="Times New Roman"/>
          <w:sz w:val="22"/>
          <w:szCs w:val="22"/>
        </w:rPr>
      </w:pPr>
      <w:r w:rsidRPr="0028275C">
        <w:rPr>
          <w:rFonts w:ascii="Times New Roman" w:hAnsi="Times New Roman"/>
          <w:sz w:val="22"/>
          <w:szCs w:val="22"/>
        </w:rPr>
        <w:t>Make in-person visits</w:t>
      </w:r>
      <w:r w:rsidR="002E026A" w:rsidRPr="0028275C">
        <w:rPr>
          <w:rFonts w:ascii="Times New Roman" w:hAnsi="Times New Roman"/>
          <w:sz w:val="22"/>
          <w:szCs w:val="22"/>
        </w:rPr>
        <w:t xml:space="preserve"> to some schools</w:t>
      </w:r>
      <w:r w:rsidR="00981B35" w:rsidRPr="0028275C">
        <w:rPr>
          <w:rFonts w:ascii="Times New Roman" w:hAnsi="Times New Roman"/>
          <w:sz w:val="22"/>
          <w:szCs w:val="22"/>
        </w:rPr>
        <w:t>,</w:t>
      </w:r>
      <w:r w:rsidRPr="0028275C">
        <w:rPr>
          <w:rFonts w:ascii="Times New Roman" w:hAnsi="Times New Roman"/>
          <w:sz w:val="22"/>
          <w:szCs w:val="22"/>
        </w:rPr>
        <w:t xml:space="preserve"> as </w:t>
      </w:r>
      <w:r w:rsidR="00981B35" w:rsidRPr="0028275C">
        <w:rPr>
          <w:rFonts w:ascii="Times New Roman" w:hAnsi="Times New Roman"/>
          <w:sz w:val="22"/>
          <w:szCs w:val="22"/>
        </w:rPr>
        <w:t>necessary</w:t>
      </w:r>
      <w:r w:rsidRPr="0028275C">
        <w:rPr>
          <w:rFonts w:ascii="Times New Roman" w:hAnsi="Times New Roman"/>
          <w:sz w:val="22"/>
          <w:szCs w:val="22"/>
        </w:rPr>
        <w:t>.</w:t>
      </w:r>
    </w:p>
    <w:p w14:paraId="6970D33C" w14:textId="77777777" w:rsidR="00B63A83" w:rsidRPr="004303B7" w:rsidRDefault="00B63A83" w:rsidP="006620C1">
      <w:pPr>
        <w:pStyle w:val="N1-1stBullet"/>
        <w:numPr>
          <w:ilvl w:val="0"/>
          <w:numId w:val="0"/>
        </w:numPr>
        <w:spacing w:after="0" w:line="240" w:lineRule="auto"/>
        <w:ind w:left="907"/>
        <w:rPr>
          <w:rFonts w:ascii="Times New Roman" w:hAnsi="Times New Roman"/>
          <w:sz w:val="20"/>
        </w:rPr>
      </w:pPr>
    </w:p>
    <w:p w14:paraId="28649C89" w14:textId="77777777" w:rsidR="00ED77A1" w:rsidRDefault="00AA5BB5" w:rsidP="00396457">
      <w:pPr>
        <w:pStyle w:val="Heading8"/>
        <w:spacing w:after="120" w:line="23" w:lineRule="atLeast"/>
        <w:jc w:val="left"/>
      </w:pPr>
      <w:bookmarkStart w:id="6" w:name="_Toc119829983"/>
      <w:r w:rsidRPr="00736C3B">
        <w:t>B.4</w:t>
      </w:r>
      <w:r w:rsidRPr="00736C3B">
        <w:tab/>
      </w:r>
      <w:bookmarkEnd w:id="6"/>
      <w:r w:rsidR="00ED77A1">
        <w:t>Purpose of Field Test and Data Uses</w:t>
      </w:r>
    </w:p>
    <w:p w14:paraId="31FC4136" w14:textId="60AABEE4" w:rsidR="006D694B" w:rsidRDefault="006039AB" w:rsidP="006039AB">
      <w:pPr>
        <w:pStyle w:val="BodyText1"/>
        <w:spacing w:before="0" w:line="276" w:lineRule="auto"/>
        <w:rPr>
          <w:rFonts w:ascii="Times New Roman" w:hAnsi="Times New Roman"/>
          <w:sz w:val="22"/>
          <w:szCs w:val="22"/>
        </w:rPr>
      </w:pPr>
      <w:r w:rsidRPr="0076096E">
        <w:rPr>
          <w:rFonts w:ascii="Times New Roman" w:hAnsi="Times New Roman"/>
          <w:sz w:val="22"/>
          <w:szCs w:val="22"/>
        </w:rPr>
        <w:t xml:space="preserve">An ICILS field test was conducted in </w:t>
      </w:r>
      <w:r w:rsidR="00B43C2F" w:rsidRPr="0076096E">
        <w:rPr>
          <w:rFonts w:ascii="Times New Roman" w:hAnsi="Times New Roman"/>
          <w:sz w:val="22"/>
          <w:szCs w:val="22"/>
        </w:rPr>
        <w:t>spring</w:t>
      </w:r>
      <w:r w:rsidRPr="0076096E">
        <w:rPr>
          <w:rFonts w:ascii="Times New Roman" w:hAnsi="Times New Roman"/>
          <w:sz w:val="22"/>
          <w:szCs w:val="22"/>
        </w:rPr>
        <w:t xml:space="preserve"> 2017 across all participating education systems</w:t>
      </w:r>
      <w:r w:rsidR="00AB342B" w:rsidRPr="0076096E">
        <w:rPr>
          <w:rFonts w:ascii="Times New Roman" w:hAnsi="Times New Roman"/>
          <w:sz w:val="22"/>
          <w:szCs w:val="22"/>
        </w:rPr>
        <w:t xml:space="preserve"> in order to evaluate items, study operations</w:t>
      </w:r>
      <w:r w:rsidR="00B86B43">
        <w:rPr>
          <w:rFonts w:ascii="Times New Roman" w:hAnsi="Times New Roman"/>
          <w:sz w:val="22"/>
          <w:szCs w:val="22"/>
        </w:rPr>
        <w:t>,</w:t>
      </w:r>
      <w:r w:rsidR="00AB342B" w:rsidRPr="0076096E">
        <w:rPr>
          <w:rFonts w:ascii="Times New Roman" w:hAnsi="Times New Roman"/>
          <w:sz w:val="22"/>
          <w:szCs w:val="22"/>
        </w:rPr>
        <w:t xml:space="preserve"> and the electronic delivery method</w:t>
      </w:r>
      <w:r w:rsidRPr="0076096E">
        <w:rPr>
          <w:rFonts w:ascii="Times New Roman" w:hAnsi="Times New Roman"/>
          <w:sz w:val="22"/>
          <w:szCs w:val="22"/>
        </w:rPr>
        <w:t xml:space="preserve">. </w:t>
      </w:r>
      <w:r>
        <w:rPr>
          <w:rFonts w:ascii="Times New Roman" w:hAnsi="Times New Roman"/>
          <w:sz w:val="22"/>
          <w:szCs w:val="22"/>
        </w:rPr>
        <w:t>The IEA</w:t>
      </w:r>
      <w:r w:rsidRPr="00C67F45">
        <w:rPr>
          <w:rFonts w:ascii="Times New Roman" w:hAnsi="Times New Roman"/>
          <w:sz w:val="22"/>
          <w:szCs w:val="22"/>
        </w:rPr>
        <w:t xml:space="preserve"> delayed the field test data collection period for all participating countries from </w:t>
      </w:r>
      <w:r>
        <w:rPr>
          <w:rFonts w:ascii="Times New Roman" w:hAnsi="Times New Roman"/>
          <w:sz w:val="22"/>
          <w:szCs w:val="22"/>
        </w:rPr>
        <w:t xml:space="preserve">the originally planned collection period of </w:t>
      </w:r>
      <w:r w:rsidRPr="00C67F45">
        <w:rPr>
          <w:rFonts w:ascii="Times New Roman" w:hAnsi="Times New Roman"/>
          <w:sz w:val="22"/>
          <w:szCs w:val="22"/>
        </w:rPr>
        <w:t xml:space="preserve">March through May 2017 to the end of May through </w:t>
      </w:r>
      <w:r>
        <w:rPr>
          <w:rFonts w:ascii="Times New Roman" w:hAnsi="Times New Roman"/>
          <w:sz w:val="22"/>
          <w:szCs w:val="22"/>
        </w:rPr>
        <w:t>January 2018</w:t>
      </w:r>
      <w:r w:rsidR="00B86B43">
        <w:rPr>
          <w:rFonts w:ascii="Times New Roman" w:hAnsi="Times New Roman"/>
          <w:sz w:val="22"/>
          <w:szCs w:val="22"/>
        </w:rPr>
        <w:t>, because the IEA’s electronic delivery method, called the “eAssessment system,” for administering the ICILS Player (or ICILS electronic assessment), was not ready to be fielded in March</w:t>
      </w:r>
      <w:r>
        <w:rPr>
          <w:rFonts w:ascii="Times New Roman" w:hAnsi="Times New Roman"/>
          <w:sz w:val="22"/>
          <w:szCs w:val="22"/>
        </w:rPr>
        <w:t xml:space="preserve">. Only data collected in May and June </w:t>
      </w:r>
      <w:r w:rsidR="00B86B43">
        <w:rPr>
          <w:rFonts w:ascii="Times New Roman" w:hAnsi="Times New Roman"/>
          <w:sz w:val="22"/>
          <w:szCs w:val="22"/>
        </w:rPr>
        <w:t>2017 are</w:t>
      </w:r>
      <w:r>
        <w:rPr>
          <w:rFonts w:ascii="Times New Roman" w:hAnsi="Times New Roman"/>
          <w:sz w:val="22"/>
          <w:szCs w:val="22"/>
        </w:rPr>
        <w:t xml:space="preserve"> eligible to be included in field test data analysis to inform the main study test items. </w:t>
      </w:r>
      <w:r w:rsidR="00AB342B">
        <w:rPr>
          <w:rFonts w:ascii="Times New Roman" w:hAnsi="Times New Roman"/>
          <w:sz w:val="22"/>
          <w:szCs w:val="22"/>
        </w:rPr>
        <w:t>Field testing after June 2017</w:t>
      </w:r>
      <w:r w:rsidR="006608D2">
        <w:rPr>
          <w:rFonts w:ascii="Times New Roman" w:hAnsi="Times New Roman"/>
          <w:sz w:val="22"/>
          <w:szCs w:val="22"/>
        </w:rPr>
        <w:t xml:space="preserve"> will be used to evaluate study operations only</w:t>
      </w:r>
      <w:r w:rsidR="000C2126">
        <w:rPr>
          <w:rFonts w:ascii="Times New Roman" w:hAnsi="Times New Roman"/>
          <w:sz w:val="22"/>
          <w:szCs w:val="22"/>
        </w:rPr>
        <w:t>.</w:t>
      </w:r>
    </w:p>
    <w:p w14:paraId="55B6EE96" w14:textId="4448AA8F" w:rsidR="000C2126" w:rsidRDefault="006039AB" w:rsidP="006039AB">
      <w:pPr>
        <w:pStyle w:val="BodyText1"/>
        <w:spacing w:before="0" w:line="276" w:lineRule="auto"/>
        <w:rPr>
          <w:rFonts w:ascii="Times New Roman" w:hAnsi="Times New Roman"/>
          <w:sz w:val="22"/>
          <w:szCs w:val="22"/>
        </w:rPr>
      </w:pPr>
      <w:r>
        <w:rPr>
          <w:rFonts w:ascii="Times New Roman" w:hAnsi="Times New Roman"/>
          <w:sz w:val="22"/>
          <w:szCs w:val="22"/>
        </w:rPr>
        <w:t xml:space="preserve">NCES attempted to recruit all schools from the </w:t>
      </w:r>
      <w:r w:rsidR="000C2126">
        <w:rPr>
          <w:rFonts w:ascii="Times New Roman" w:hAnsi="Times New Roman"/>
          <w:sz w:val="22"/>
          <w:szCs w:val="22"/>
        </w:rPr>
        <w:t xml:space="preserve">original </w:t>
      </w:r>
      <w:r>
        <w:rPr>
          <w:rFonts w:ascii="Times New Roman" w:hAnsi="Times New Roman"/>
          <w:sz w:val="22"/>
          <w:szCs w:val="22"/>
        </w:rPr>
        <w:t xml:space="preserve">sample for </w:t>
      </w:r>
      <w:r w:rsidR="00B86B43">
        <w:rPr>
          <w:rFonts w:ascii="Times New Roman" w:hAnsi="Times New Roman"/>
          <w:sz w:val="22"/>
          <w:szCs w:val="22"/>
        </w:rPr>
        <w:t xml:space="preserve">field test </w:t>
      </w:r>
      <w:r>
        <w:rPr>
          <w:rFonts w:ascii="Times New Roman" w:hAnsi="Times New Roman"/>
          <w:sz w:val="22"/>
          <w:szCs w:val="22"/>
        </w:rPr>
        <w:t>data collection at the end of May</w:t>
      </w:r>
      <w:r w:rsidR="00B86B43">
        <w:rPr>
          <w:rFonts w:ascii="Times New Roman" w:hAnsi="Times New Roman"/>
          <w:sz w:val="22"/>
          <w:szCs w:val="22"/>
        </w:rPr>
        <w:t>, but r</w:t>
      </w:r>
      <w:r>
        <w:rPr>
          <w:rFonts w:ascii="Times New Roman" w:hAnsi="Times New Roman"/>
          <w:sz w:val="22"/>
          <w:szCs w:val="22"/>
        </w:rPr>
        <w:t xml:space="preserve">ecruiting </w:t>
      </w:r>
      <w:r w:rsidR="00B86B43">
        <w:rPr>
          <w:rFonts w:ascii="Times New Roman" w:hAnsi="Times New Roman"/>
          <w:sz w:val="22"/>
          <w:szCs w:val="22"/>
        </w:rPr>
        <w:t>in</w:t>
      </w:r>
      <w:r>
        <w:rPr>
          <w:rFonts w:ascii="Times New Roman" w:hAnsi="Times New Roman"/>
          <w:sz w:val="22"/>
          <w:szCs w:val="22"/>
        </w:rPr>
        <w:t xml:space="preserve"> this timeframe was very difficult, as many</w:t>
      </w:r>
      <w:r w:rsidR="000C2126">
        <w:rPr>
          <w:rFonts w:ascii="Times New Roman" w:hAnsi="Times New Roman"/>
          <w:sz w:val="22"/>
          <w:szCs w:val="22"/>
        </w:rPr>
        <w:t xml:space="preserve"> schools were at the last few days of</w:t>
      </w:r>
      <w:r>
        <w:rPr>
          <w:rFonts w:ascii="Times New Roman" w:hAnsi="Times New Roman"/>
          <w:sz w:val="22"/>
          <w:szCs w:val="22"/>
        </w:rPr>
        <w:t xml:space="preserve"> the schoolyear or </w:t>
      </w:r>
      <w:r w:rsidR="00B86B43">
        <w:rPr>
          <w:rFonts w:ascii="Times New Roman" w:hAnsi="Times New Roman"/>
          <w:sz w:val="22"/>
          <w:szCs w:val="22"/>
        </w:rPr>
        <w:t xml:space="preserve">already </w:t>
      </w:r>
      <w:r>
        <w:rPr>
          <w:rFonts w:ascii="Times New Roman" w:hAnsi="Times New Roman"/>
          <w:sz w:val="22"/>
          <w:szCs w:val="22"/>
        </w:rPr>
        <w:t>closed before the end of May.</w:t>
      </w:r>
      <w:r w:rsidR="000C2126">
        <w:rPr>
          <w:rFonts w:ascii="Times New Roman" w:hAnsi="Times New Roman"/>
          <w:sz w:val="22"/>
          <w:szCs w:val="22"/>
        </w:rPr>
        <w:t xml:space="preserve"> Thus, a total of 13 schools in the U.S. participated in the </w:t>
      </w:r>
      <w:r w:rsidR="006608D2">
        <w:rPr>
          <w:rFonts w:ascii="Times New Roman" w:hAnsi="Times New Roman"/>
          <w:sz w:val="22"/>
          <w:szCs w:val="22"/>
        </w:rPr>
        <w:t xml:space="preserve">2017 </w:t>
      </w:r>
      <w:r w:rsidR="00B86B43">
        <w:rPr>
          <w:rFonts w:ascii="Times New Roman" w:hAnsi="Times New Roman"/>
          <w:sz w:val="22"/>
          <w:szCs w:val="22"/>
        </w:rPr>
        <w:t>f</w:t>
      </w:r>
      <w:r w:rsidR="000C2126">
        <w:rPr>
          <w:rFonts w:ascii="Times New Roman" w:hAnsi="Times New Roman"/>
          <w:sz w:val="22"/>
          <w:szCs w:val="22"/>
        </w:rPr>
        <w:t xml:space="preserve">ield </w:t>
      </w:r>
      <w:r w:rsidR="00B86B43">
        <w:rPr>
          <w:rFonts w:ascii="Times New Roman" w:hAnsi="Times New Roman"/>
          <w:sz w:val="22"/>
          <w:szCs w:val="22"/>
        </w:rPr>
        <w:t>t</w:t>
      </w:r>
      <w:r w:rsidR="000C2126">
        <w:rPr>
          <w:rFonts w:ascii="Times New Roman" w:hAnsi="Times New Roman"/>
          <w:sz w:val="22"/>
          <w:szCs w:val="22"/>
        </w:rPr>
        <w:t>est. In addition to this</w:t>
      </w:r>
      <w:r w:rsidR="006608D2">
        <w:rPr>
          <w:rFonts w:ascii="Times New Roman" w:hAnsi="Times New Roman"/>
          <w:sz w:val="22"/>
          <w:szCs w:val="22"/>
        </w:rPr>
        <w:t xml:space="preserve"> schedule delay</w:t>
      </w:r>
      <w:r w:rsidR="000C2126">
        <w:rPr>
          <w:rFonts w:ascii="Times New Roman" w:hAnsi="Times New Roman"/>
          <w:sz w:val="22"/>
          <w:szCs w:val="22"/>
        </w:rPr>
        <w:t xml:space="preserve"> burden, the</w:t>
      </w:r>
      <w:r w:rsidR="006608D2">
        <w:rPr>
          <w:rFonts w:ascii="Times New Roman" w:hAnsi="Times New Roman"/>
          <w:sz w:val="22"/>
          <w:szCs w:val="22"/>
        </w:rPr>
        <w:t xml:space="preserve"> IEA’s</w:t>
      </w:r>
      <w:r w:rsidR="000C2126">
        <w:rPr>
          <w:rFonts w:ascii="Times New Roman" w:hAnsi="Times New Roman"/>
          <w:sz w:val="22"/>
          <w:szCs w:val="22"/>
        </w:rPr>
        <w:t xml:space="preserve"> ICILS Player still had a number of glitches, freezes, and the data capture for scoring of large tasks did not work properly. The U.S. team scored some items as planned and IEA had to score some of the item</w:t>
      </w:r>
      <w:r w:rsidR="006608D2">
        <w:rPr>
          <w:rFonts w:ascii="Times New Roman" w:hAnsi="Times New Roman"/>
          <w:sz w:val="22"/>
          <w:szCs w:val="22"/>
        </w:rPr>
        <w:t>s that did not capture properly</w:t>
      </w:r>
      <w:r w:rsidR="000C2126">
        <w:rPr>
          <w:rFonts w:ascii="Times New Roman" w:hAnsi="Times New Roman"/>
          <w:sz w:val="22"/>
          <w:szCs w:val="22"/>
        </w:rPr>
        <w:t>.</w:t>
      </w:r>
      <w:r w:rsidR="00D92499">
        <w:rPr>
          <w:rFonts w:ascii="Times New Roman" w:hAnsi="Times New Roman"/>
          <w:sz w:val="22"/>
          <w:szCs w:val="22"/>
        </w:rPr>
        <w:t xml:space="preserve"> No issues were found with U.S. specific operations, such as the use of Surface Pros for test administration.</w:t>
      </w:r>
      <w:r w:rsidR="00B86B43">
        <w:rPr>
          <w:rFonts w:ascii="Times New Roman" w:hAnsi="Times New Roman"/>
          <w:sz w:val="22"/>
          <w:szCs w:val="22"/>
        </w:rPr>
        <w:t xml:space="preserve"> </w:t>
      </w:r>
      <w:r w:rsidR="000C2126">
        <w:rPr>
          <w:rFonts w:ascii="Times New Roman" w:hAnsi="Times New Roman"/>
          <w:sz w:val="22"/>
          <w:szCs w:val="22"/>
        </w:rPr>
        <w:t xml:space="preserve">Internationally, the IEA collected enough data for a solid field test of the items </w:t>
      </w:r>
      <w:r w:rsidR="006608D2">
        <w:rPr>
          <w:rFonts w:ascii="Times New Roman" w:hAnsi="Times New Roman"/>
          <w:sz w:val="22"/>
          <w:szCs w:val="22"/>
        </w:rPr>
        <w:t xml:space="preserve">in order </w:t>
      </w:r>
      <w:r w:rsidR="000C2126">
        <w:rPr>
          <w:rFonts w:ascii="Times New Roman" w:hAnsi="Times New Roman"/>
          <w:sz w:val="22"/>
          <w:szCs w:val="22"/>
        </w:rPr>
        <w:t xml:space="preserve">to perform reliable </w:t>
      </w:r>
      <w:r w:rsidR="00B86B43">
        <w:rPr>
          <w:rFonts w:ascii="Times New Roman" w:hAnsi="Times New Roman"/>
          <w:sz w:val="22"/>
          <w:szCs w:val="22"/>
        </w:rPr>
        <w:t>analyses</w:t>
      </w:r>
      <w:r w:rsidR="000C2126">
        <w:rPr>
          <w:rFonts w:ascii="Times New Roman" w:hAnsi="Times New Roman"/>
          <w:sz w:val="22"/>
          <w:szCs w:val="22"/>
        </w:rPr>
        <w:t xml:space="preserve"> of the items. Particular country data </w:t>
      </w:r>
      <w:r w:rsidR="00B86B43">
        <w:rPr>
          <w:rFonts w:ascii="Times New Roman" w:hAnsi="Times New Roman"/>
          <w:sz w:val="22"/>
          <w:szCs w:val="22"/>
        </w:rPr>
        <w:t>were</w:t>
      </w:r>
      <w:r w:rsidR="000C2126">
        <w:rPr>
          <w:rFonts w:ascii="Times New Roman" w:hAnsi="Times New Roman"/>
          <w:sz w:val="22"/>
          <w:szCs w:val="22"/>
        </w:rPr>
        <w:t xml:space="preserve"> </w:t>
      </w:r>
      <w:r w:rsidR="00B86B43">
        <w:rPr>
          <w:rFonts w:ascii="Times New Roman" w:hAnsi="Times New Roman"/>
          <w:sz w:val="22"/>
          <w:szCs w:val="22"/>
        </w:rPr>
        <w:t>examined for any issues with items</w:t>
      </w:r>
      <w:r w:rsidR="000C2126">
        <w:rPr>
          <w:rFonts w:ascii="Times New Roman" w:hAnsi="Times New Roman"/>
          <w:sz w:val="22"/>
          <w:szCs w:val="22"/>
        </w:rPr>
        <w:t xml:space="preserve">, but </w:t>
      </w:r>
      <w:r w:rsidR="006608D2">
        <w:rPr>
          <w:rFonts w:ascii="Times New Roman" w:hAnsi="Times New Roman"/>
          <w:sz w:val="22"/>
          <w:szCs w:val="22"/>
        </w:rPr>
        <w:t xml:space="preserve">only as related to the </w:t>
      </w:r>
      <w:r w:rsidR="00B86B43">
        <w:rPr>
          <w:rFonts w:ascii="Times New Roman" w:hAnsi="Times New Roman"/>
          <w:sz w:val="22"/>
          <w:szCs w:val="22"/>
        </w:rPr>
        <w:t>whole set of international data</w:t>
      </w:r>
      <w:r w:rsidR="006608D2">
        <w:rPr>
          <w:rFonts w:ascii="Times New Roman" w:hAnsi="Times New Roman"/>
          <w:sz w:val="22"/>
          <w:szCs w:val="22"/>
        </w:rPr>
        <w:t xml:space="preserve">. </w:t>
      </w:r>
      <w:r w:rsidR="00B86B43">
        <w:rPr>
          <w:rFonts w:ascii="Times New Roman" w:hAnsi="Times New Roman"/>
          <w:sz w:val="22"/>
          <w:szCs w:val="22"/>
        </w:rPr>
        <w:t>In September 2017, a</w:t>
      </w:r>
      <w:r w:rsidR="006608D2">
        <w:rPr>
          <w:rFonts w:ascii="Times New Roman" w:hAnsi="Times New Roman"/>
          <w:sz w:val="22"/>
          <w:szCs w:val="22"/>
        </w:rPr>
        <w:t>t an international meeting of all participating countries the field test analyses were discussed and decisions were made on fixes to items based on the discussions.</w:t>
      </w:r>
    </w:p>
    <w:p w14:paraId="2A11B6B7" w14:textId="66EC3E92" w:rsidR="006608D2" w:rsidRDefault="006608D2" w:rsidP="006039AB">
      <w:pPr>
        <w:pStyle w:val="BodyText1"/>
        <w:spacing w:before="0" w:line="276" w:lineRule="auto"/>
        <w:rPr>
          <w:rFonts w:ascii="Times New Roman" w:hAnsi="Times New Roman"/>
          <w:sz w:val="22"/>
          <w:szCs w:val="22"/>
        </w:rPr>
      </w:pPr>
      <w:r>
        <w:rPr>
          <w:rFonts w:ascii="Times New Roman" w:hAnsi="Times New Roman"/>
          <w:sz w:val="22"/>
          <w:szCs w:val="22"/>
        </w:rPr>
        <w:t>In addition, given the difficulty with the IEA’s eAssessment system for the ICILS Player, IEA made the decision to change back to the previous version of the ICILS Player that was used in the 2013 administration of ICILS – the SoNET System (</w:t>
      </w:r>
      <w:r w:rsidR="00AB342B">
        <w:rPr>
          <w:rFonts w:ascii="Times New Roman" w:hAnsi="Times New Roman"/>
          <w:sz w:val="22"/>
          <w:szCs w:val="22"/>
        </w:rPr>
        <w:t xml:space="preserve">developed </w:t>
      </w:r>
      <w:r>
        <w:rPr>
          <w:rFonts w:ascii="Times New Roman" w:hAnsi="Times New Roman"/>
          <w:sz w:val="22"/>
          <w:szCs w:val="22"/>
        </w:rPr>
        <w:t xml:space="preserve">by SoNET contractors). </w:t>
      </w:r>
      <w:r w:rsidR="00B86B43">
        <w:rPr>
          <w:rFonts w:ascii="Times New Roman" w:hAnsi="Times New Roman"/>
          <w:sz w:val="22"/>
          <w:szCs w:val="22"/>
        </w:rPr>
        <w:t>Currently</w:t>
      </w:r>
      <w:r w:rsidR="00AB342B">
        <w:rPr>
          <w:rFonts w:ascii="Times New Roman" w:hAnsi="Times New Roman"/>
          <w:sz w:val="22"/>
          <w:szCs w:val="22"/>
        </w:rPr>
        <w:t xml:space="preserve">, </w:t>
      </w:r>
      <w:r>
        <w:rPr>
          <w:rFonts w:ascii="Times New Roman" w:hAnsi="Times New Roman"/>
          <w:sz w:val="22"/>
          <w:szCs w:val="22"/>
        </w:rPr>
        <w:t xml:space="preserve">SoNET is working to move the new items into </w:t>
      </w:r>
      <w:r w:rsidR="00AB342B">
        <w:rPr>
          <w:rFonts w:ascii="Times New Roman" w:hAnsi="Times New Roman"/>
          <w:sz w:val="22"/>
          <w:szCs w:val="22"/>
        </w:rPr>
        <w:t>the SoNET System ICILS Player. Given this change, t</w:t>
      </w:r>
      <w:r>
        <w:rPr>
          <w:rFonts w:ascii="Times New Roman" w:hAnsi="Times New Roman"/>
          <w:sz w:val="22"/>
          <w:szCs w:val="22"/>
        </w:rPr>
        <w:t>he IEA is allowing countries to</w:t>
      </w:r>
      <w:r w:rsidR="00AB342B">
        <w:rPr>
          <w:rFonts w:ascii="Times New Roman" w:hAnsi="Times New Roman"/>
          <w:sz w:val="22"/>
          <w:szCs w:val="22"/>
        </w:rPr>
        <w:t xml:space="preserve"> continue field testing from a study operational standpoint only, to</w:t>
      </w:r>
      <w:r>
        <w:rPr>
          <w:rFonts w:ascii="Times New Roman" w:hAnsi="Times New Roman"/>
          <w:sz w:val="22"/>
          <w:szCs w:val="22"/>
        </w:rPr>
        <w:t xml:space="preserve"> test and pilot </w:t>
      </w:r>
      <w:r w:rsidR="00AB342B">
        <w:rPr>
          <w:rFonts w:ascii="Times New Roman" w:hAnsi="Times New Roman"/>
          <w:sz w:val="22"/>
          <w:szCs w:val="22"/>
        </w:rPr>
        <w:t>this new system</w:t>
      </w:r>
      <w:r w:rsidR="00B86B43">
        <w:rPr>
          <w:rFonts w:ascii="Times New Roman" w:hAnsi="Times New Roman"/>
          <w:sz w:val="22"/>
          <w:szCs w:val="22"/>
        </w:rPr>
        <w:t xml:space="preserve">, and </w:t>
      </w:r>
      <w:r>
        <w:rPr>
          <w:rFonts w:ascii="Times New Roman" w:hAnsi="Times New Roman"/>
          <w:sz w:val="22"/>
          <w:szCs w:val="22"/>
        </w:rPr>
        <w:t>they have extended the Field Test of study operations into January</w:t>
      </w:r>
      <w:r w:rsidR="00AB342B">
        <w:rPr>
          <w:rFonts w:ascii="Times New Roman" w:hAnsi="Times New Roman"/>
          <w:sz w:val="22"/>
          <w:szCs w:val="22"/>
        </w:rPr>
        <w:t xml:space="preserve"> 2018</w:t>
      </w:r>
      <w:r>
        <w:rPr>
          <w:rFonts w:ascii="Times New Roman" w:hAnsi="Times New Roman"/>
          <w:sz w:val="22"/>
          <w:szCs w:val="22"/>
        </w:rPr>
        <w:t xml:space="preserve">. The U.S. </w:t>
      </w:r>
      <w:r w:rsidR="00B86B43">
        <w:rPr>
          <w:rFonts w:ascii="Times New Roman" w:hAnsi="Times New Roman"/>
          <w:sz w:val="22"/>
          <w:szCs w:val="22"/>
        </w:rPr>
        <w:t>is</w:t>
      </w:r>
      <w:r>
        <w:rPr>
          <w:rFonts w:ascii="Times New Roman" w:hAnsi="Times New Roman"/>
          <w:sz w:val="22"/>
          <w:szCs w:val="22"/>
        </w:rPr>
        <w:t xml:space="preserve"> conducting pretesting using the SoNET System (OMB# 1</w:t>
      </w:r>
      <w:r w:rsidRPr="006608D2">
        <w:rPr>
          <w:rFonts w:ascii="Times New Roman" w:hAnsi="Times New Roman"/>
          <w:sz w:val="22"/>
          <w:szCs w:val="22"/>
        </w:rPr>
        <w:t>850-0803 v.207</w:t>
      </w:r>
      <w:r>
        <w:rPr>
          <w:rFonts w:ascii="Times New Roman" w:hAnsi="Times New Roman"/>
          <w:sz w:val="22"/>
          <w:szCs w:val="22"/>
        </w:rPr>
        <w:t xml:space="preserve">). The U.S. will also go into one field test school in January </w:t>
      </w:r>
      <w:r w:rsidR="002C748C">
        <w:rPr>
          <w:rFonts w:ascii="Times New Roman" w:hAnsi="Times New Roman"/>
          <w:sz w:val="22"/>
          <w:szCs w:val="22"/>
        </w:rPr>
        <w:t xml:space="preserve">2018 </w:t>
      </w:r>
      <w:r>
        <w:rPr>
          <w:rFonts w:ascii="Times New Roman" w:hAnsi="Times New Roman"/>
          <w:sz w:val="22"/>
          <w:szCs w:val="22"/>
        </w:rPr>
        <w:t xml:space="preserve">to test operations using the field test materials </w:t>
      </w:r>
      <w:r w:rsidR="00AB342B">
        <w:rPr>
          <w:rFonts w:ascii="Times New Roman" w:hAnsi="Times New Roman"/>
          <w:sz w:val="22"/>
          <w:szCs w:val="20"/>
        </w:rPr>
        <w:t>in order</w:t>
      </w:r>
      <w:r w:rsidRPr="00AB342B">
        <w:rPr>
          <w:rFonts w:ascii="Times New Roman" w:hAnsi="Times New Roman"/>
          <w:sz w:val="22"/>
          <w:szCs w:val="20"/>
        </w:rPr>
        <w:t xml:space="preserve"> to</w:t>
      </w:r>
      <w:r>
        <w:rPr>
          <w:rFonts w:ascii="Times New Roman" w:hAnsi="Times New Roman"/>
          <w:sz w:val="22"/>
          <w:szCs w:val="22"/>
        </w:rPr>
        <w:t xml:space="preserve"> test the SoNET System</w:t>
      </w:r>
      <w:r w:rsidR="00D92499">
        <w:rPr>
          <w:rFonts w:ascii="Times New Roman" w:hAnsi="Times New Roman"/>
          <w:sz w:val="22"/>
          <w:szCs w:val="22"/>
        </w:rPr>
        <w:t xml:space="preserve"> in a real setting</w:t>
      </w:r>
      <w:r>
        <w:rPr>
          <w:rFonts w:ascii="Times New Roman" w:hAnsi="Times New Roman"/>
          <w:sz w:val="22"/>
          <w:szCs w:val="22"/>
        </w:rPr>
        <w:t>.</w:t>
      </w:r>
      <w:r w:rsidR="00D92499">
        <w:rPr>
          <w:rFonts w:ascii="Times New Roman" w:hAnsi="Times New Roman"/>
          <w:sz w:val="22"/>
          <w:szCs w:val="22"/>
        </w:rPr>
        <w:t xml:space="preserve"> </w:t>
      </w:r>
      <w:r w:rsidR="002C748C">
        <w:rPr>
          <w:rFonts w:ascii="Times New Roman" w:hAnsi="Times New Roman"/>
          <w:sz w:val="22"/>
          <w:szCs w:val="22"/>
        </w:rPr>
        <w:t>Additionally, t</w:t>
      </w:r>
      <w:r w:rsidR="00D92499">
        <w:rPr>
          <w:rFonts w:ascii="Times New Roman" w:hAnsi="Times New Roman"/>
          <w:sz w:val="22"/>
          <w:szCs w:val="22"/>
        </w:rPr>
        <w:t>he electronic delivery method will be fully tested internally and through pretesting prior to the main study.</w:t>
      </w:r>
    </w:p>
    <w:p w14:paraId="48965C3B" w14:textId="77777777" w:rsidR="00AA5BB5" w:rsidRPr="00736C3B" w:rsidRDefault="00AA5BB5" w:rsidP="00396457">
      <w:pPr>
        <w:pStyle w:val="Heading8"/>
        <w:spacing w:after="120" w:line="23" w:lineRule="atLeast"/>
        <w:jc w:val="left"/>
      </w:pPr>
      <w:bookmarkStart w:id="7" w:name="_Toc119829984"/>
      <w:r w:rsidRPr="00736C3B">
        <w:t>B.5</w:t>
      </w:r>
      <w:r w:rsidRPr="00736C3B">
        <w:tab/>
        <w:t xml:space="preserve">Individuals Consulted on </w:t>
      </w:r>
      <w:r w:rsidR="00ED77A1">
        <w:t>Study</w:t>
      </w:r>
      <w:r w:rsidRPr="00736C3B">
        <w:t xml:space="preserve"> Design</w:t>
      </w:r>
      <w:bookmarkEnd w:id="7"/>
    </w:p>
    <w:p w14:paraId="4B5D0DB0" w14:textId="625BBCA1" w:rsidR="001A7635" w:rsidRDefault="001A7635" w:rsidP="00396457">
      <w:pPr>
        <w:pStyle w:val="N2-2ndBullet"/>
        <w:tabs>
          <w:tab w:val="clear" w:pos="720"/>
        </w:tabs>
        <w:spacing w:after="120" w:line="23" w:lineRule="atLeast"/>
        <w:ind w:left="0" w:firstLine="0"/>
        <w:jc w:val="left"/>
      </w:pPr>
      <w:r>
        <w:t xml:space="preserve">Overall direction for </w:t>
      </w:r>
      <w:r w:rsidR="006B5859">
        <w:t>ICILS</w:t>
      </w:r>
      <w:r>
        <w:t xml:space="preserve"> </w:t>
      </w:r>
      <w:r w:rsidR="000F5469">
        <w:t xml:space="preserve">in the United States </w:t>
      </w:r>
      <w:r>
        <w:t xml:space="preserve">is provided by </w:t>
      </w:r>
      <w:r w:rsidR="000F5469" w:rsidRPr="00716629">
        <w:t>Lydia Malley</w:t>
      </w:r>
      <w:r w:rsidR="0037598C">
        <w:t>, ICILS National Research Coordinator at</w:t>
      </w:r>
      <w:r w:rsidRPr="00716629">
        <w:t xml:space="preserve"> </w:t>
      </w:r>
      <w:r w:rsidR="0037598C">
        <w:t>NCES</w:t>
      </w:r>
      <w:r w:rsidRPr="00716629">
        <w:t xml:space="preserve">, </w:t>
      </w:r>
      <w:r w:rsidR="0037598C">
        <w:t xml:space="preserve">within the </w:t>
      </w:r>
      <w:r w:rsidRPr="00716629">
        <w:t>U.S. Department of Education</w:t>
      </w:r>
      <w:r w:rsidR="000F5469" w:rsidRPr="00716629">
        <w:t>,</w:t>
      </w:r>
      <w:r w:rsidR="000F5469">
        <w:t xml:space="preserve"> with support from Stephen Provasnik, </w:t>
      </w:r>
      <w:r w:rsidR="0037598C">
        <w:t xml:space="preserve">the </w:t>
      </w:r>
      <w:r w:rsidR="000F5469">
        <w:t>TIMSS</w:t>
      </w:r>
      <w:r w:rsidR="0037598C">
        <w:t xml:space="preserve"> National Research Coordinator at NCES.</w:t>
      </w:r>
    </w:p>
    <w:p w14:paraId="4BE2F300" w14:textId="77777777" w:rsidR="0037598C" w:rsidRDefault="00716629" w:rsidP="00396457">
      <w:pPr>
        <w:pStyle w:val="N2-2ndBullet"/>
        <w:tabs>
          <w:tab w:val="clear" w:pos="720"/>
        </w:tabs>
        <w:spacing w:after="120" w:line="23" w:lineRule="atLeast"/>
        <w:ind w:left="0" w:firstLine="0"/>
        <w:jc w:val="left"/>
      </w:pPr>
      <w:r>
        <w:t>The IEA studies are developed as a cooperative enterprise involving all participating countries. An international panel of computer and information literacy and measurement experts provide substantive and technical guidance for the study and National Research Coordinators participate in extensive discussions concerning the projects, usually with advice from national subject matter and testing experts.</w:t>
      </w:r>
    </w:p>
    <w:p w14:paraId="5C912D93" w14:textId="77777777" w:rsidR="00B63A83" w:rsidRPr="009566D5" w:rsidRDefault="00716629" w:rsidP="00396457">
      <w:pPr>
        <w:pStyle w:val="N2-2ndBullet"/>
        <w:tabs>
          <w:tab w:val="clear" w:pos="720"/>
        </w:tabs>
        <w:spacing w:after="120" w:line="23" w:lineRule="atLeast"/>
        <w:ind w:left="0" w:firstLine="0"/>
        <w:jc w:val="left"/>
      </w:pPr>
      <w:r>
        <w:t>The majority of the consultations (outside NCES) involve the Australian Council for Educational Research (ACER), the international study center for ICILS. ACER staff are responsible for designing and implementing the study in close cooperation with the IEA Secretariat, the IEA Data Processing and Research Center, and the national centers of participating countries. Key staff from ACER include: Dr. John Ainley (project coordinator), Mr. Julian Fraillon (research director); and Dr. Wolfram Schulz (assessment coordinator), all of whom have extensive experience in developing and operating international education surveys (especially related to ICILS).</w:t>
      </w:r>
      <w:r w:rsidR="002729DC">
        <w:t xml:space="preserve"> </w:t>
      </w:r>
      <w:r w:rsidR="0064326A">
        <w:t>Key staff from the IEA include Sabine Tieck (sampling statistician) and Michael Jung (IEA DPC).</w:t>
      </w:r>
    </w:p>
    <w:sectPr w:rsidR="00B63A83" w:rsidRPr="009566D5" w:rsidSect="003A6E19">
      <w:footerReference w:type="default" r:id="rId12"/>
      <w:footerReference w:type="firs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A94D3" w14:textId="77777777" w:rsidR="00A33E12" w:rsidRDefault="00A33E12" w:rsidP="00465DE7">
      <w:r>
        <w:separator/>
      </w:r>
    </w:p>
  </w:endnote>
  <w:endnote w:type="continuationSeparator" w:id="0">
    <w:p w14:paraId="0E4C806D" w14:textId="77777777" w:rsidR="00A33E12" w:rsidRDefault="00A33E12"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2D9B5" w14:textId="77777777" w:rsidR="002B63D1" w:rsidRDefault="002B63D1">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6FA6A5FB" w14:textId="77777777" w:rsidR="002B63D1" w:rsidRDefault="002B6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C97A" w14:textId="77777777" w:rsidR="002B63D1" w:rsidRPr="00DB4B99" w:rsidRDefault="002B63D1"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26CC" w14:textId="77777777" w:rsidR="002B63D1" w:rsidRDefault="002B63D1" w:rsidP="00B01586">
    <w:pPr>
      <w:pStyle w:val="Footer"/>
      <w:jc w:val="center"/>
    </w:pPr>
  </w:p>
  <w:p w14:paraId="754F306E" w14:textId="77777777" w:rsidR="002B63D1" w:rsidRDefault="002B63D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352FEBA1" w14:textId="7FA3588B" w:rsidR="002B63D1" w:rsidRDefault="002B63D1" w:rsidP="006620C1">
        <w:pPr>
          <w:pStyle w:val="Footer"/>
          <w:spacing w:line="240" w:lineRule="auto"/>
          <w:jc w:val="center"/>
        </w:pPr>
        <w:r>
          <w:fldChar w:fldCharType="begin"/>
        </w:r>
        <w:r>
          <w:instrText xml:space="preserve"> PAGE   \* MERGEFORMAT </w:instrText>
        </w:r>
        <w:r>
          <w:fldChar w:fldCharType="separate"/>
        </w:r>
        <w:r w:rsidR="007E2DF9">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6AB1D4FB" w14:textId="19FAF1BE" w:rsidR="002B63D1" w:rsidRDefault="002B63D1" w:rsidP="004303B7">
        <w:pPr>
          <w:pStyle w:val="Footer"/>
          <w:jc w:val="center"/>
        </w:pPr>
        <w:r>
          <w:fldChar w:fldCharType="begin"/>
        </w:r>
        <w:r>
          <w:instrText xml:space="preserve"> PAGE   \* MERGEFORMAT </w:instrText>
        </w:r>
        <w:r>
          <w:fldChar w:fldCharType="separate"/>
        </w:r>
        <w:r w:rsidR="007E2DF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01805" w14:textId="77777777" w:rsidR="00A33E12" w:rsidRDefault="00A33E12" w:rsidP="00465DE7">
      <w:r>
        <w:separator/>
      </w:r>
    </w:p>
  </w:footnote>
  <w:footnote w:type="continuationSeparator" w:id="0">
    <w:p w14:paraId="712883AA" w14:textId="77777777" w:rsidR="00A33E12" w:rsidRDefault="00A33E12" w:rsidP="00465DE7">
      <w:r>
        <w:continuationSeparator/>
      </w:r>
    </w:p>
  </w:footnote>
  <w:footnote w:id="1">
    <w:p w14:paraId="63123C61" w14:textId="77777777" w:rsidR="002B63D1" w:rsidRPr="00235A66" w:rsidRDefault="002B63D1" w:rsidP="00396457">
      <w:pPr>
        <w:autoSpaceDE w:val="0"/>
        <w:autoSpaceDN w:val="0"/>
        <w:adjustRightInd w:val="0"/>
        <w:ind w:left="180" w:hanging="180"/>
        <w:rPr>
          <w:sz w:val="20"/>
          <w:szCs w:val="20"/>
        </w:rPr>
      </w:pPr>
      <w:r>
        <w:rPr>
          <w:rStyle w:val="FootnoteReference"/>
        </w:rPr>
        <w:footnoteRef/>
      </w:r>
      <w:r>
        <w:t xml:space="preserve"> </w:t>
      </w:r>
      <w:r>
        <w:rPr>
          <w:rFonts w:eastAsiaTheme="minorHAnsi"/>
          <w:sz w:val="20"/>
          <w:szCs w:val="20"/>
        </w:rPr>
        <w:t>Keyfitz, N. (1951).</w:t>
      </w:r>
      <w:r w:rsidRPr="00235A66">
        <w:rPr>
          <w:rFonts w:eastAsiaTheme="minorHAnsi"/>
          <w:sz w:val="20"/>
          <w:szCs w:val="20"/>
        </w:rPr>
        <w:t xml:space="preserve"> Sampling with Probabilities Proportional to Size: Adjustment for Changes in Probabilities</w:t>
      </w:r>
      <w:r>
        <w:rPr>
          <w:rFonts w:eastAsiaTheme="minorHAnsi"/>
          <w:sz w:val="20"/>
          <w:szCs w:val="20"/>
        </w:rPr>
        <w:t xml:space="preserve">. </w:t>
      </w:r>
      <w:r w:rsidRPr="00235A66">
        <w:rPr>
          <w:rFonts w:eastAsiaTheme="minorHAnsi"/>
          <w:i/>
          <w:iCs/>
          <w:sz w:val="20"/>
          <w:szCs w:val="20"/>
        </w:rPr>
        <w:t>Journal of the American Statistical Association</w:t>
      </w:r>
      <w:r w:rsidRPr="00235A66">
        <w:rPr>
          <w:rFonts w:eastAsiaTheme="minorHAnsi"/>
          <w:sz w:val="20"/>
          <w:szCs w:val="20"/>
        </w:rPr>
        <w:t>, 46, 105-109.</w:t>
      </w:r>
    </w:p>
  </w:footnote>
  <w:footnote w:id="2">
    <w:p w14:paraId="4DA340FC" w14:textId="77777777" w:rsidR="002B63D1" w:rsidRDefault="002B63D1" w:rsidP="00396457">
      <w:pPr>
        <w:pStyle w:val="FootnoteText"/>
        <w:ind w:left="180" w:hanging="180"/>
      </w:pPr>
      <w:r>
        <w:rPr>
          <w:rStyle w:val="FootnoteReference"/>
        </w:rPr>
        <w:footnoteRef/>
      </w:r>
      <w:r>
        <w:t xml:space="preserve"> Chowdhury, S., Chu, A., &amp; Kaufman, S. (2000). Minimizing overlap in NCES surveys. Proceedings of the Survey Methods Research Section, American Statistical Association, 174-179. Retrieved from </w:t>
      </w:r>
      <w:r w:rsidRPr="00235A66">
        <w:rPr>
          <w:bCs/>
          <w:color w:val="0066FF"/>
        </w:rPr>
        <w:t>http://www.amstat.org/sections/srms/ proceedings/papers/2000_025.pdf</w:t>
      </w:r>
      <w:r>
        <w:rPr>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2"/>
  </w:num>
  <w:num w:numId="5">
    <w:abstractNumId w:val="11"/>
  </w:num>
  <w:num w:numId="6">
    <w:abstractNumId w:val="1"/>
  </w:num>
  <w:num w:numId="7">
    <w:abstractNumId w:val="7"/>
  </w:num>
  <w:num w:numId="8">
    <w:abstractNumId w:val="4"/>
  </w:num>
  <w:num w:numId="9">
    <w:abstractNumId w:val="5"/>
  </w:num>
  <w:num w:numId="10">
    <w:abstractNumId w:val="3"/>
  </w:num>
  <w:num w:numId="11">
    <w:abstractNumId w:val="8"/>
  </w:num>
  <w:num w:numId="12">
    <w:abstractNumId w:val="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AD" w15:userId="S-1-5-21-2083667071-1112689225-1550850067-9540"/>
  </w15:person>
  <w15:person w15:author="David Ferraro">
    <w15:presenceInfo w15:providerId="AD" w15:userId="S-1-5-21-2083667071-1112689225-1550850067-3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0A26"/>
    <w:rsid w:val="0001678B"/>
    <w:rsid w:val="00031E22"/>
    <w:rsid w:val="00044E52"/>
    <w:rsid w:val="00070D23"/>
    <w:rsid w:val="00084A9D"/>
    <w:rsid w:val="00085469"/>
    <w:rsid w:val="000918E6"/>
    <w:rsid w:val="000963B6"/>
    <w:rsid w:val="0009736B"/>
    <w:rsid w:val="000B28DE"/>
    <w:rsid w:val="000B2F1A"/>
    <w:rsid w:val="000C0B46"/>
    <w:rsid w:val="000C2126"/>
    <w:rsid w:val="000C2ED3"/>
    <w:rsid w:val="000C3351"/>
    <w:rsid w:val="000C618B"/>
    <w:rsid w:val="000D2917"/>
    <w:rsid w:val="000E0101"/>
    <w:rsid w:val="000E231C"/>
    <w:rsid w:val="000E4B9E"/>
    <w:rsid w:val="000F3C1F"/>
    <w:rsid w:val="000F4806"/>
    <w:rsid w:val="000F5469"/>
    <w:rsid w:val="00107E00"/>
    <w:rsid w:val="001100D2"/>
    <w:rsid w:val="00111908"/>
    <w:rsid w:val="00111930"/>
    <w:rsid w:val="00112158"/>
    <w:rsid w:val="00116E46"/>
    <w:rsid w:val="00123761"/>
    <w:rsid w:val="0012695F"/>
    <w:rsid w:val="00127CF3"/>
    <w:rsid w:val="00140004"/>
    <w:rsid w:val="00160D85"/>
    <w:rsid w:val="00166FB1"/>
    <w:rsid w:val="001704F0"/>
    <w:rsid w:val="00176601"/>
    <w:rsid w:val="0018191F"/>
    <w:rsid w:val="00185D80"/>
    <w:rsid w:val="00190F9E"/>
    <w:rsid w:val="001A24A0"/>
    <w:rsid w:val="001A259F"/>
    <w:rsid w:val="001A43C1"/>
    <w:rsid w:val="001A5204"/>
    <w:rsid w:val="001A7635"/>
    <w:rsid w:val="001B0D41"/>
    <w:rsid w:val="001B3FD9"/>
    <w:rsid w:val="001B6DA4"/>
    <w:rsid w:val="001C1559"/>
    <w:rsid w:val="001C1FAD"/>
    <w:rsid w:val="001C6A93"/>
    <w:rsid w:val="001D36E8"/>
    <w:rsid w:val="001E3123"/>
    <w:rsid w:val="001F0D8A"/>
    <w:rsid w:val="001F7758"/>
    <w:rsid w:val="002043EF"/>
    <w:rsid w:val="00214F03"/>
    <w:rsid w:val="002164AF"/>
    <w:rsid w:val="00222489"/>
    <w:rsid w:val="00234077"/>
    <w:rsid w:val="00235A66"/>
    <w:rsid w:val="00236780"/>
    <w:rsid w:val="00236A88"/>
    <w:rsid w:val="00243E8F"/>
    <w:rsid w:val="00251236"/>
    <w:rsid w:val="002569CF"/>
    <w:rsid w:val="0026122A"/>
    <w:rsid w:val="002729DC"/>
    <w:rsid w:val="00276327"/>
    <w:rsid w:val="0028275C"/>
    <w:rsid w:val="002848E3"/>
    <w:rsid w:val="002904D8"/>
    <w:rsid w:val="00292DE1"/>
    <w:rsid w:val="002A467E"/>
    <w:rsid w:val="002B2A24"/>
    <w:rsid w:val="002B5844"/>
    <w:rsid w:val="002B63D1"/>
    <w:rsid w:val="002B749C"/>
    <w:rsid w:val="002C677C"/>
    <w:rsid w:val="002C72D1"/>
    <w:rsid w:val="002C748C"/>
    <w:rsid w:val="002E026A"/>
    <w:rsid w:val="002E2A23"/>
    <w:rsid w:val="002E6195"/>
    <w:rsid w:val="00323F75"/>
    <w:rsid w:val="00327B03"/>
    <w:rsid w:val="00337E3A"/>
    <w:rsid w:val="003425E2"/>
    <w:rsid w:val="00347AB2"/>
    <w:rsid w:val="00351797"/>
    <w:rsid w:val="0035664E"/>
    <w:rsid w:val="00367086"/>
    <w:rsid w:val="00367ACE"/>
    <w:rsid w:val="003725EF"/>
    <w:rsid w:val="00373459"/>
    <w:rsid w:val="0037598C"/>
    <w:rsid w:val="00383A25"/>
    <w:rsid w:val="0038646B"/>
    <w:rsid w:val="00396457"/>
    <w:rsid w:val="003A6E19"/>
    <w:rsid w:val="003D4713"/>
    <w:rsid w:val="003E1458"/>
    <w:rsid w:val="003F1A50"/>
    <w:rsid w:val="003F6566"/>
    <w:rsid w:val="0040138C"/>
    <w:rsid w:val="00415C30"/>
    <w:rsid w:val="00422029"/>
    <w:rsid w:val="004245E9"/>
    <w:rsid w:val="00424D2C"/>
    <w:rsid w:val="004303B7"/>
    <w:rsid w:val="00443BB0"/>
    <w:rsid w:val="00444655"/>
    <w:rsid w:val="00446E98"/>
    <w:rsid w:val="004541C3"/>
    <w:rsid w:val="00463584"/>
    <w:rsid w:val="00465DE7"/>
    <w:rsid w:val="00472A6F"/>
    <w:rsid w:val="004776B1"/>
    <w:rsid w:val="004937B2"/>
    <w:rsid w:val="0049395C"/>
    <w:rsid w:val="004B40F3"/>
    <w:rsid w:val="004C2F82"/>
    <w:rsid w:val="004C3C53"/>
    <w:rsid w:val="004C6907"/>
    <w:rsid w:val="004F2C98"/>
    <w:rsid w:val="004F6C8B"/>
    <w:rsid w:val="004F6FB0"/>
    <w:rsid w:val="0050013D"/>
    <w:rsid w:val="005020E3"/>
    <w:rsid w:val="005155F5"/>
    <w:rsid w:val="00523787"/>
    <w:rsid w:val="00535862"/>
    <w:rsid w:val="00537E17"/>
    <w:rsid w:val="005430EA"/>
    <w:rsid w:val="005509CE"/>
    <w:rsid w:val="00565452"/>
    <w:rsid w:val="0057412D"/>
    <w:rsid w:val="00580D77"/>
    <w:rsid w:val="00584910"/>
    <w:rsid w:val="00586A14"/>
    <w:rsid w:val="005948B4"/>
    <w:rsid w:val="00594B61"/>
    <w:rsid w:val="00597D9C"/>
    <w:rsid w:val="005A2964"/>
    <w:rsid w:val="005A69EB"/>
    <w:rsid w:val="005B1E38"/>
    <w:rsid w:val="005C7518"/>
    <w:rsid w:val="005C7B83"/>
    <w:rsid w:val="005D3979"/>
    <w:rsid w:val="005E41CC"/>
    <w:rsid w:val="005F12F1"/>
    <w:rsid w:val="006013AE"/>
    <w:rsid w:val="006039AB"/>
    <w:rsid w:val="0060518C"/>
    <w:rsid w:val="00610D69"/>
    <w:rsid w:val="00616D46"/>
    <w:rsid w:val="00620BBD"/>
    <w:rsid w:val="00623CF8"/>
    <w:rsid w:val="00624570"/>
    <w:rsid w:val="00641094"/>
    <w:rsid w:val="00642AD6"/>
    <w:rsid w:val="0064326A"/>
    <w:rsid w:val="006433E0"/>
    <w:rsid w:val="00644686"/>
    <w:rsid w:val="00646E19"/>
    <w:rsid w:val="00653CD5"/>
    <w:rsid w:val="006608D2"/>
    <w:rsid w:val="006620C1"/>
    <w:rsid w:val="006634E5"/>
    <w:rsid w:val="00664A50"/>
    <w:rsid w:val="006656EA"/>
    <w:rsid w:val="006716BC"/>
    <w:rsid w:val="00673A1F"/>
    <w:rsid w:val="006740C0"/>
    <w:rsid w:val="00675A51"/>
    <w:rsid w:val="00676436"/>
    <w:rsid w:val="00677683"/>
    <w:rsid w:val="00682261"/>
    <w:rsid w:val="00683AD9"/>
    <w:rsid w:val="006848AD"/>
    <w:rsid w:val="0068565C"/>
    <w:rsid w:val="00693B8B"/>
    <w:rsid w:val="00694E63"/>
    <w:rsid w:val="006A3FC0"/>
    <w:rsid w:val="006B2613"/>
    <w:rsid w:val="006B5859"/>
    <w:rsid w:val="006C30D1"/>
    <w:rsid w:val="006D1C80"/>
    <w:rsid w:val="006D261F"/>
    <w:rsid w:val="006D694B"/>
    <w:rsid w:val="006F05E9"/>
    <w:rsid w:val="006F0AC9"/>
    <w:rsid w:val="006F5CD2"/>
    <w:rsid w:val="006F760C"/>
    <w:rsid w:val="00700F87"/>
    <w:rsid w:val="00707F55"/>
    <w:rsid w:val="00716629"/>
    <w:rsid w:val="00732D73"/>
    <w:rsid w:val="00736C3B"/>
    <w:rsid w:val="007540E3"/>
    <w:rsid w:val="00756748"/>
    <w:rsid w:val="0076096E"/>
    <w:rsid w:val="0076178B"/>
    <w:rsid w:val="00765070"/>
    <w:rsid w:val="00767393"/>
    <w:rsid w:val="00767887"/>
    <w:rsid w:val="0077031E"/>
    <w:rsid w:val="00773BF8"/>
    <w:rsid w:val="007775F8"/>
    <w:rsid w:val="007816B1"/>
    <w:rsid w:val="00783519"/>
    <w:rsid w:val="007A4E56"/>
    <w:rsid w:val="007C3BFD"/>
    <w:rsid w:val="007C5DD9"/>
    <w:rsid w:val="007E2DF9"/>
    <w:rsid w:val="007E39C0"/>
    <w:rsid w:val="007F3875"/>
    <w:rsid w:val="008044D4"/>
    <w:rsid w:val="00810796"/>
    <w:rsid w:val="00815099"/>
    <w:rsid w:val="00821AEE"/>
    <w:rsid w:val="008254F6"/>
    <w:rsid w:val="00846FE7"/>
    <w:rsid w:val="00851E31"/>
    <w:rsid w:val="00863A57"/>
    <w:rsid w:val="00863EF7"/>
    <w:rsid w:val="00871C07"/>
    <w:rsid w:val="00882558"/>
    <w:rsid w:val="0088266D"/>
    <w:rsid w:val="008843E2"/>
    <w:rsid w:val="008868EB"/>
    <w:rsid w:val="00891534"/>
    <w:rsid w:val="008A07B8"/>
    <w:rsid w:val="008A1ADF"/>
    <w:rsid w:val="008A1FA9"/>
    <w:rsid w:val="008A203F"/>
    <w:rsid w:val="008B28E0"/>
    <w:rsid w:val="008C100C"/>
    <w:rsid w:val="008D5ED4"/>
    <w:rsid w:val="008D7AF0"/>
    <w:rsid w:val="008E53DB"/>
    <w:rsid w:val="009048CE"/>
    <w:rsid w:val="009075C5"/>
    <w:rsid w:val="00914E4A"/>
    <w:rsid w:val="009321C6"/>
    <w:rsid w:val="0093743A"/>
    <w:rsid w:val="00940A2E"/>
    <w:rsid w:val="009464EB"/>
    <w:rsid w:val="009529CC"/>
    <w:rsid w:val="009554E3"/>
    <w:rsid w:val="009566D5"/>
    <w:rsid w:val="009620F0"/>
    <w:rsid w:val="00965095"/>
    <w:rsid w:val="00973659"/>
    <w:rsid w:val="00981B35"/>
    <w:rsid w:val="00997D4C"/>
    <w:rsid w:val="009A48E1"/>
    <w:rsid w:val="009B2BCA"/>
    <w:rsid w:val="009C58FD"/>
    <w:rsid w:val="009C77D6"/>
    <w:rsid w:val="009D06C4"/>
    <w:rsid w:val="009D3C11"/>
    <w:rsid w:val="009E0550"/>
    <w:rsid w:val="009F25C8"/>
    <w:rsid w:val="009F5D42"/>
    <w:rsid w:val="00A03925"/>
    <w:rsid w:val="00A068ED"/>
    <w:rsid w:val="00A10B81"/>
    <w:rsid w:val="00A12807"/>
    <w:rsid w:val="00A162FD"/>
    <w:rsid w:val="00A22E18"/>
    <w:rsid w:val="00A33E12"/>
    <w:rsid w:val="00A42BD9"/>
    <w:rsid w:val="00A47D3C"/>
    <w:rsid w:val="00A57010"/>
    <w:rsid w:val="00A6171B"/>
    <w:rsid w:val="00A65939"/>
    <w:rsid w:val="00A71930"/>
    <w:rsid w:val="00A71FCB"/>
    <w:rsid w:val="00A729C7"/>
    <w:rsid w:val="00A83225"/>
    <w:rsid w:val="00A83E6D"/>
    <w:rsid w:val="00A9342A"/>
    <w:rsid w:val="00AA0BB0"/>
    <w:rsid w:val="00AA101D"/>
    <w:rsid w:val="00AA5BB5"/>
    <w:rsid w:val="00AB0265"/>
    <w:rsid w:val="00AB0A34"/>
    <w:rsid w:val="00AB342B"/>
    <w:rsid w:val="00AC784F"/>
    <w:rsid w:val="00AD623D"/>
    <w:rsid w:val="00AE2FC2"/>
    <w:rsid w:val="00AF4C1D"/>
    <w:rsid w:val="00B01586"/>
    <w:rsid w:val="00B0187F"/>
    <w:rsid w:val="00B12878"/>
    <w:rsid w:val="00B239B5"/>
    <w:rsid w:val="00B26FF2"/>
    <w:rsid w:val="00B43C2F"/>
    <w:rsid w:val="00B51186"/>
    <w:rsid w:val="00B51DE4"/>
    <w:rsid w:val="00B56FAF"/>
    <w:rsid w:val="00B63A83"/>
    <w:rsid w:val="00B74171"/>
    <w:rsid w:val="00B77ACE"/>
    <w:rsid w:val="00B82F7D"/>
    <w:rsid w:val="00B86B43"/>
    <w:rsid w:val="00BA1E71"/>
    <w:rsid w:val="00BB6D11"/>
    <w:rsid w:val="00BE117A"/>
    <w:rsid w:val="00BE25C2"/>
    <w:rsid w:val="00BE62AA"/>
    <w:rsid w:val="00BF43F9"/>
    <w:rsid w:val="00C005E9"/>
    <w:rsid w:val="00C03897"/>
    <w:rsid w:val="00C06CB7"/>
    <w:rsid w:val="00C2085A"/>
    <w:rsid w:val="00C2686F"/>
    <w:rsid w:val="00C514CA"/>
    <w:rsid w:val="00C5657B"/>
    <w:rsid w:val="00C76DD5"/>
    <w:rsid w:val="00C8304F"/>
    <w:rsid w:val="00C90D3B"/>
    <w:rsid w:val="00C91735"/>
    <w:rsid w:val="00C93A9F"/>
    <w:rsid w:val="00CB4BAF"/>
    <w:rsid w:val="00CB7630"/>
    <w:rsid w:val="00CE0024"/>
    <w:rsid w:val="00CE415B"/>
    <w:rsid w:val="00CE4650"/>
    <w:rsid w:val="00CE49BA"/>
    <w:rsid w:val="00CE5AD3"/>
    <w:rsid w:val="00D04E3C"/>
    <w:rsid w:val="00D052EE"/>
    <w:rsid w:val="00D0605E"/>
    <w:rsid w:val="00D11F42"/>
    <w:rsid w:val="00D12190"/>
    <w:rsid w:val="00D15953"/>
    <w:rsid w:val="00D42A07"/>
    <w:rsid w:val="00D670BA"/>
    <w:rsid w:val="00D734A4"/>
    <w:rsid w:val="00D80296"/>
    <w:rsid w:val="00D860B4"/>
    <w:rsid w:val="00D86F29"/>
    <w:rsid w:val="00D90D1A"/>
    <w:rsid w:val="00D92499"/>
    <w:rsid w:val="00DA0C3B"/>
    <w:rsid w:val="00DA4951"/>
    <w:rsid w:val="00DB2630"/>
    <w:rsid w:val="00DB4B99"/>
    <w:rsid w:val="00DF320A"/>
    <w:rsid w:val="00DF74C8"/>
    <w:rsid w:val="00E021BB"/>
    <w:rsid w:val="00E07C37"/>
    <w:rsid w:val="00E10DB1"/>
    <w:rsid w:val="00E13DAF"/>
    <w:rsid w:val="00E16020"/>
    <w:rsid w:val="00E200FD"/>
    <w:rsid w:val="00E25C78"/>
    <w:rsid w:val="00E266F1"/>
    <w:rsid w:val="00E3551D"/>
    <w:rsid w:val="00E57C37"/>
    <w:rsid w:val="00E61FA5"/>
    <w:rsid w:val="00E753AD"/>
    <w:rsid w:val="00E77FD2"/>
    <w:rsid w:val="00E80F63"/>
    <w:rsid w:val="00E85F83"/>
    <w:rsid w:val="00E973EE"/>
    <w:rsid w:val="00EA7D23"/>
    <w:rsid w:val="00EB39FD"/>
    <w:rsid w:val="00EB44FE"/>
    <w:rsid w:val="00EB70CF"/>
    <w:rsid w:val="00ED488F"/>
    <w:rsid w:val="00ED77A1"/>
    <w:rsid w:val="00EE3729"/>
    <w:rsid w:val="00EF5C20"/>
    <w:rsid w:val="00F17FE7"/>
    <w:rsid w:val="00F23DA6"/>
    <w:rsid w:val="00F27B69"/>
    <w:rsid w:val="00F32383"/>
    <w:rsid w:val="00F36B51"/>
    <w:rsid w:val="00F36D85"/>
    <w:rsid w:val="00F43786"/>
    <w:rsid w:val="00F63CD5"/>
    <w:rsid w:val="00F81D3C"/>
    <w:rsid w:val="00F90318"/>
    <w:rsid w:val="00F905B4"/>
    <w:rsid w:val="00F91B66"/>
    <w:rsid w:val="00F950AC"/>
    <w:rsid w:val="00FA0FBE"/>
    <w:rsid w:val="00FA69DD"/>
    <w:rsid w:val="00FB09D9"/>
    <w:rsid w:val="00FB5681"/>
    <w:rsid w:val="00FC0C2E"/>
    <w:rsid w:val="00FC13DC"/>
    <w:rsid w:val="00FC323B"/>
    <w:rsid w:val="00FC39FE"/>
    <w:rsid w:val="00FE4616"/>
    <w:rsid w:val="00FE5B95"/>
    <w:rsid w:val="00FE6929"/>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8DF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6039AB"/>
    <w:pPr>
      <w:spacing w:before="120" w:after="120" w:line="300" w:lineRule="atLeast"/>
    </w:pPr>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6039AB"/>
    <w:pPr>
      <w:spacing w:before="120" w:after="120" w:line="300" w:lineRule="atLeas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DADD2-6101-4F55-B2CC-891FBC20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2014-09-26T14:04:00Z</cp:lastPrinted>
  <dcterms:created xsi:type="dcterms:W3CDTF">2017-11-20T18:02:00Z</dcterms:created>
  <dcterms:modified xsi:type="dcterms:W3CDTF">2017-11-20T18:02:00Z</dcterms:modified>
</cp:coreProperties>
</file>