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98F61" w14:textId="77777777" w:rsidR="00A62F14" w:rsidRDefault="0054660E" w:rsidP="00F45EB8">
      <w:pPr>
        <w:tabs>
          <w:tab w:val="left" w:pos="1260"/>
        </w:tabs>
        <w:spacing w:after="120"/>
      </w:pPr>
      <w:bookmarkStart w:id="0" w:name="_GoBack"/>
      <w:bookmarkEnd w:id="0"/>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7A33ECAE" w14:textId="7466D412" w:rsidR="00A62F14" w:rsidRDefault="00E077C6" w:rsidP="00423348">
      <w:pPr>
        <w:tabs>
          <w:tab w:val="left" w:pos="1440"/>
        </w:tabs>
        <w:spacing w:after="120"/>
        <w:ind w:left="1440" w:hanging="1440"/>
      </w:pPr>
      <w:r w:rsidRPr="00456C8C">
        <w:t xml:space="preserve">DATE: </w:t>
      </w:r>
      <w:r w:rsidRPr="00456C8C">
        <w:tab/>
      </w:r>
      <w:r w:rsidR="00AE0592">
        <w:t xml:space="preserve">April </w:t>
      </w:r>
      <w:r w:rsidR="003C4948">
        <w:t>1</w:t>
      </w:r>
      <w:r w:rsidR="00A56F61">
        <w:t>1</w:t>
      </w:r>
      <w:r w:rsidR="00423348" w:rsidRPr="00456C8C">
        <w:t>,</w:t>
      </w:r>
      <w:r w:rsidR="00AE0592">
        <w:t xml:space="preserve"> 2018</w:t>
      </w:r>
    </w:p>
    <w:p w14:paraId="1F607B6F" w14:textId="2CD2D5A9" w:rsidR="00A62F14" w:rsidRDefault="0054660E" w:rsidP="00423348">
      <w:pPr>
        <w:tabs>
          <w:tab w:val="left" w:pos="1440"/>
        </w:tabs>
        <w:spacing w:after="120"/>
        <w:ind w:left="1440" w:hanging="1440"/>
      </w:pPr>
      <w:r w:rsidRPr="00456C8C">
        <w:t>TO:</w:t>
      </w:r>
      <w:r w:rsidRPr="00456C8C">
        <w:tab/>
        <w:t>Robert Sivinski, OMB</w:t>
      </w:r>
    </w:p>
    <w:p w14:paraId="7196A2ED" w14:textId="77777777" w:rsidR="00A62F14" w:rsidRDefault="0054660E" w:rsidP="00423348">
      <w:pPr>
        <w:tabs>
          <w:tab w:val="left" w:pos="1440"/>
        </w:tabs>
        <w:spacing w:after="120"/>
        <w:ind w:left="1440" w:hanging="1440"/>
      </w:pPr>
      <w:r w:rsidRPr="00456C8C">
        <w:t>THROUGH:</w:t>
      </w:r>
      <w:r w:rsidRPr="00456C8C">
        <w:tab/>
        <w:t>Kashka Kubzdela, NCES</w:t>
      </w:r>
    </w:p>
    <w:p w14:paraId="71F8E419" w14:textId="77777777" w:rsidR="00A62F14" w:rsidRDefault="0054660E" w:rsidP="00423348">
      <w:pPr>
        <w:tabs>
          <w:tab w:val="left" w:pos="1440"/>
        </w:tabs>
        <w:spacing w:after="120"/>
        <w:ind w:left="1440" w:hanging="1440"/>
      </w:pPr>
      <w:r w:rsidRPr="00456C8C">
        <w:t>FROM:</w:t>
      </w:r>
      <w:r w:rsidRPr="00456C8C">
        <w:tab/>
        <w:t>Lydia Malley, NCES</w:t>
      </w:r>
    </w:p>
    <w:p w14:paraId="45714740" w14:textId="3E5923BD" w:rsidR="00A62F14" w:rsidRDefault="0054660E" w:rsidP="00423348">
      <w:pPr>
        <w:tabs>
          <w:tab w:val="left" w:pos="1440"/>
        </w:tabs>
        <w:spacing w:after="240"/>
        <w:ind w:left="1440" w:hanging="1440"/>
      </w:pPr>
      <w:r w:rsidRPr="00456C8C">
        <w:t xml:space="preserve">Re: </w:t>
      </w:r>
      <w:r w:rsidRPr="00456C8C">
        <w:tab/>
      </w:r>
      <w:r w:rsidR="00B949B2" w:rsidRPr="00456C8C">
        <w:t>International Computer and Information Literac</w:t>
      </w:r>
      <w:r w:rsidR="00E077C6" w:rsidRPr="00456C8C">
        <w:t xml:space="preserve">y Study (ICILS 2018) </w:t>
      </w:r>
      <w:r w:rsidR="00AE0592">
        <w:t>Main Study</w:t>
      </w:r>
      <w:r w:rsidR="00E077C6" w:rsidRPr="00456C8C">
        <w:t xml:space="preserve"> </w:t>
      </w:r>
      <w:r w:rsidR="006A1E11">
        <w:t xml:space="preserve">Incentives </w:t>
      </w:r>
      <w:r w:rsidRPr="00456C8C">
        <w:t>Ch</w:t>
      </w:r>
      <w:r w:rsidR="00E077C6" w:rsidRPr="00456C8C">
        <w:t>ange Request (OMB# 1850-0929 v.</w:t>
      </w:r>
      <w:r w:rsidR="00AE0592">
        <w:t>8</w:t>
      </w:r>
      <w:r w:rsidRPr="00456C8C">
        <w:t>)</w:t>
      </w:r>
    </w:p>
    <w:p w14:paraId="25C74AA1" w14:textId="77777777" w:rsidR="00A62F14" w:rsidRDefault="00A62F14" w:rsidP="00952A2D"/>
    <w:p w14:paraId="45805BEC" w14:textId="77777777" w:rsidR="00B52B0B" w:rsidRDefault="00423348" w:rsidP="00B52B0B">
      <w:pPr>
        <w:spacing w:after="240" w:line="276" w:lineRule="auto"/>
      </w:pPr>
      <w:r w:rsidRPr="00456C8C">
        <w:t xml:space="preserve">The International Computer and Information Literacy Study (ICILS) is a computer-based international assessment of eighth-grade students’ computer and information literacy (CIL) skills that will provide a comparison of U.S. student performance and technology access and use with those of </w:t>
      </w:r>
      <w:r w:rsidR="00B90D1D" w:rsidRPr="00456C8C">
        <w:t xml:space="preserve">their </w:t>
      </w:r>
      <w:r w:rsidRPr="00456C8C">
        <w:t xml:space="preserve">international peers. </w:t>
      </w:r>
      <w:r w:rsidR="003C4948" w:rsidRPr="003C4948">
        <w:t xml:space="preserve">ICILS collects data on eighth-grade students’ abilities to collect, manage, evaluate, and share digital information; their understanding of issues related to the safe and responsible use of electronic information; on student access to, use of, and engagement with ICT at school and at home; school environments for teaching and learning CIL; and teacher practices and experiences with ICT. The data collected through ICILS will also provide information about the nature and extent of the possible “digital divide” and has the potential to inform understanding of the relationship between technology skills and experience and student performance in other core subject areas. </w:t>
      </w:r>
      <w:r w:rsidRPr="00456C8C">
        <w:t xml:space="preserve">ICILS is </w:t>
      </w:r>
      <w:r w:rsidR="00B90D1D" w:rsidRPr="00456C8C">
        <w:t xml:space="preserve">coordinated </w:t>
      </w:r>
      <w:r w:rsidRPr="00456C8C">
        <w:t>by the International Association for the Evaluation of Educational Achievement (IEA), an international collective of research organizations and government agencies that create</w:t>
      </w:r>
      <w:r w:rsidR="00B90D1D" w:rsidRPr="00456C8C">
        <w:t>s</w:t>
      </w:r>
      <w:r w:rsidRPr="00456C8C">
        <w:t xml:space="preserve"> the assessment framework, assessment, and background questionnaires</w:t>
      </w:r>
      <w:r w:rsidR="00233186" w:rsidRPr="00456C8C">
        <w:t xml:space="preserve"> and provides procedures and technical standards which all countries must follow</w:t>
      </w:r>
      <w:r w:rsidRPr="00456C8C">
        <w:t xml:space="preserve">. In the U.S., the National Center for Education Statistics (NCES) conducts </w:t>
      </w:r>
      <w:r w:rsidR="00233186" w:rsidRPr="00456C8C">
        <w:t>ICILS</w:t>
      </w:r>
      <w:r w:rsidRPr="00456C8C">
        <w:t xml:space="preserve">. In preparation for the ICILS 2018 main study, </w:t>
      </w:r>
      <w:r w:rsidR="00AE0592">
        <w:t xml:space="preserve">NCES </w:t>
      </w:r>
      <w:r w:rsidRPr="00456C8C">
        <w:t>conduct</w:t>
      </w:r>
      <w:r w:rsidR="00AE0592">
        <w:t>ed</w:t>
      </w:r>
      <w:r w:rsidRPr="00456C8C">
        <w:t xml:space="preserve"> a field test </w:t>
      </w:r>
      <w:r w:rsidR="003C4948" w:rsidRPr="003C4948">
        <w:t xml:space="preserve">from May through June 2017 </w:t>
      </w:r>
      <w:r w:rsidRPr="00456C8C">
        <w:t xml:space="preserve">to evaluate new assessment items and background questions, to ensure practices that promote low exclusion rates, and to ensure that classroom and student sampling procedures proposed for the main study are successful. </w:t>
      </w:r>
      <w:r w:rsidR="003C4948" w:rsidRPr="003C4948">
        <w:t xml:space="preserve">Recruitment for the main study began in May of 2017. The request to conduct the ICILS main study data collection in the United States from March through May 2018 was approved in December 2017 </w:t>
      </w:r>
      <w:r w:rsidR="005938FF">
        <w:t xml:space="preserve">with a change request that provided the final versions of the questionnaires approved in January 2018 </w:t>
      </w:r>
      <w:r w:rsidR="003C4948" w:rsidRPr="003C4948">
        <w:t>(OMB# 1850-0929 v.6</w:t>
      </w:r>
      <w:r w:rsidR="005938FF">
        <w:t>-7</w:t>
      </w:r>
      <w:r w:rsidR="003C4948" w:rsidRPr="003C4948">
        <w:t>)</w:t>
      </w:r>
      <w:r w:rsidR="005938FF">
        <w:t>.</w:t>
      </w:r>
      <w:r w:rsidR="00B52B0B">
        <w:t xml:space="preserve"> </w:t>
      </w:r>
      <w:r w:rsidR="002F3FAF" w:rsidRPr="00456C8C">
        <w:t xml:space="preserve">This request </w:t>
      </w:r>
      <w:r w:rsidR="00D02BBF" w:rsidRPr="00456C8C">
        <w:t>is to</w:t>
      </w:r>
      <w:r w:rsidR="006A1E11">
        <w:t xml:space="preserve"> </w:t>
      </w:r>
      <w:r w:rsidR="004801F9">
        <w:t xml:space="preserve">implement the strategy used </w:t>
      </w:r>
      <w:r w:rsidR="00B52B0B">
        <w:t>in</w:t>
      </w:r>
      <w:r w:rsidR="004801F9">
        <w:t xml:space="preserve"> other international studies </w:t>
      </w:r>
      <w:r w:rsidR="00B52B0B">
        <w:t>of</w:t>
      </w:r>
      <w:r w:rsidR="004801F9">
        <w:t xml:space="preserve"> </w:t>
      </w:r>
      <w:r w:rsidR="00B52B0B">
        <w:t xml:space="preserve">a second-tier school </w:t>
      </w:r>
      <w:r w:rsidR="006A1E11">
        <w:t>incentive</w:t>
      </w:r>
      <w:r w:rsidR="00B52B0B">
        <w:t xml:space="preserve"> plus a new second-tier teacher incentive designed to help meet the response rates required for inclusion in international comparisons</w:t>
      </w:r>
      <w:r w:rsidR="007646D5">
        <w:t>.</w:t>
      </w:r>
    </w:p>
    <w:p w14:paraId="4207DEA4" w14:textId="4308BDBB" w:rsidR="00D97F2C" w:rsidRDefault="00D97F2C" w:rsidP="00B52B0B">
      <w:pPr>
        <w:spacing w:after="240" w:line="276" w:lineRule="auto"/>
      </w:pPr>
      <w:r>
        <w:t>ICILS 2018 d</w:t>
      </w:r>
      <w:r w:rsidR="004618DA">
        <w:t xml:space="preserve">ata collection </w:t>
      </w:r>
      <w:r>
        <w:t>will end</w:t>
      </w:r>
      <w:r w:rsidR="004618DA">
        <w:t xml:space="preserve"> </w:t>
      </w:r>
      <w:r>
        <w:t xml:space="preserve">in six weeks, </w:t>
      </w:r>
      <w:r w:rsidR="004618DA">
        <w:t xml:space="preserve">on May </w:t>
      </w:r>
      <w:r w:rsidR="003C7A74">
        <w:t>25th, 2018</w:t>
      </w:r>
      <w:r w:rsidR="004618DA">
        <w:t xml:space="preserve">. </w:t>
      </w:r>
      <w:r>
        <w:t>The current school and teacher participation rates are not on target to meeting the levels</w:t>
      </w:r>
      <w:r w:rsidRPr="00D97F2C">
        <w:t xml:space="preserve"> </w:t>
      </w:r>
      <w:r>
        <w:t>required for inclusion in international comparisons:</w:t>
      </w:r>
    </w:p>
    <w:p w14:paraId="6E3E74CD" w14:textId="77777777" w:rsidR="00D97F2C" w:rsidRPr="00D97F2C" w:rsidRDefault="00D97F2C" w:rsidP="00D97F2C">
      <w:pPr>
        <w:pStyle w:val="Default"/>
        <w:spacing w:after="120"/>
        <w:rPr>
          <w:rFonts w:ascii="Times New Roman" w:eastAsia="Times New Roman" w:hAnsi="Times New Roman" w:cs="Times New Roman"/>
          <w:b/>
          <w:color w:val="C00000"/>
          <w:sz w:val="22"/>
          <w:szCs w:val="22"/>
        </w:rPr>
      </w:pPr>
      <w:r w:rsidRPr="00D97F2C">
        <w:rPr>
          <w:rFonts w:ascii="Times New Roman" w:eastAsia="Times New Roman" w:hAnsi="Times New Roman" w:cs="Times New Roman"/>
          <w:b/>
          <w:color w:val="C00000"/>
          <w:sz w:val="22"/>
          <w:szCs w:val="22"/>
        </w:rPr>
        <w:t>International Response Rate Requirements for a country’s data to be included in international reporting:</w:t>
      </w:r>
    </w:p>
    <w:p w14:paraId="2B53C9A2" w14:textId="77777777" w:rsidR="00D97F2C" w:rsidRPr="00D97F2C" w:rsidRDefault="00D97F2C" w:rsidP="00D97F2C">
      <w:pPr>
        <w:pStyle w:val="Default"/>
        <w:spacing w:after="120"/>
        <w:rPr>
          <w:rFonts w:ascii="Times New Roman" w:eastAsia="Times New Roman" w:hAnsi="Times New Roman" w:cs="Times New Roman"/>
          <w:i/>
          <w:color w:val="C00000"/>
          <w:sz w:val="22"/>
          <w:szCs w:val="22"/>
        </w:rPr>
      </w:pPr>
      <w:r w:rsidRPr="00D97F2C">
        <w:rPr>
          <w:rFonts w:ascii="Times New Roman" w:eastAsia="Times New Roman" w:hAnsi="Times New Roman" w:cs="Times New Roman"/>
          <w:b/>
          <w:color w:val="C00000"/>
          <w:sz w:val="22"/>
          <w:szCs w:val="22"/>
        </w:rPr>
        <w:t>Category 1:</w:t>
      </w:r>
      <w:r w:rsidRPr="00D97F2C">
        <w:rPr>
          <w:rFonts w:ascii="Times New Roman" w:eastAsia="Times New Roman" w:hAnsi="Times New Roman" w:cs="Times New Roman"/>
          <w:color w:val="C00000"/>
          <w:sz w:val="22"/>
          <w:szCs w:val="22"/>
        </w:rPr>
        <w:t xml:space="preserve"> </w:t>
      </w:r>
      <w:r w:rsidRPr="00D97F2C">
        <w:rPr>
          <w:rFonts w:ascii="Times New Roman" w:eastAsia="Times New Roman" w:hAnsi="Times New Roman" w:cs="Times New Roman"/>
          <w:i/>
          <w:color w:val="C00000"/>
          <w:sz w:val="22"/>
          <w:szCs w:val="22"/>
        </w:rPr>
        <w:t xml:space="preserve">Satisfactory sampling participation rate without the use of replacement schools. </w:t>
      </w:r>
    </w:p>
    <w:p w14:paraId="486B23E4" w14:textId="77777777" w:rsidR="00D97F2C" w:rsidRPr="008217A2" w:rsidRDefault="00D97F2C" w:rsidP="008217A2">
      <w:pPr>
        <w:pStyle w:val="Default"/>
        <w:spacing w:after="120"/>
        <w:ind w:left="360"/>
        <w:rPr>
          <w:rFonts w:ascii="Times New Roman" w:eastAsia="Times New Roman" w:hAnsi="Times New Roman" w:cs="Times New Roman"/>
          <w:color w:val="auto"/>
          <w:sz w:val="22"/>
          <w:szCs w:val="22"/>
        </w:rPr>
      </w:pPr>
      <w:r w:rsidRPr="008217A2">
        <w:rPr>
          <w:rFonts w:ascii="Times New Roman" w:eastAsia="Times New Roman" w:hAnsi="Times New Roman" w:cs="Times New Roman"/>
          <w:color w:val="auto"/>
          <w:sz w:val="22"/>
          <w:szCs w:val="22"/>
        </w:rPr>
        <w:t>The U.S. does not meet category 1 because we have less than 85% of original schools participating.</w:t>
      </w:r>
    </w:p>
    <w:p w14:paraId="0372BB32" w14:textId="3FA5C1D5" w:rsidR="00D97F2C" w:rsidRPr="00D97F2C" w:rsidRDefault="00D97F2C" w:rsidP="00D97F2C">
      <w:pPr>
        <w:pStyle w:val="Default"/>
        <w:spacing w:after="120"/>
        <w:rPr>
          <w:rFonts w:ascii="Times New Roman" w:eastAsia="Times New Roman" w:hAnsi="Times New Roman" w:cs="Times New Roman"/>
          <w:i/>
          <w:color w:val="C00000"/>
          <w:sz w:val="22"/>
          <w:szCs w:val="22"/>
        </w:rPr>
      </w:pPr>
      <w:r w:rsidRPr="00D97F2C">
        <w:rPr>
          <w:rFonts w:ascii="Times New Roman" w:eastAsia="Times New Roman" w:hAnsi="Times New Roman" w:cs="Times New Roman"/>
          <w:b/>
          <w:color w:val="C00000"/>
          <w:sz w:val="22"/>
          <w:szCs w:val="22"/>
        </w:rPr>
        <w:t>Category 2:</w:t>
      </w:r>
      <w:r w:rsidRPr="00D97F2C">
        <w:rPr>
          <w:rFonts w:ascii="Times New Roman" w:eastAsia="Times New Roman" w:hAnsi="Times New Roman" w:cs="Times New Roman"/>
          <w:color w:val="C00000"/>
          <w:sz w:val="22"/>
          <w:szCs w:val="22"/>
        </w:rPr>
        <w:t xml:space="preserve"> </w:t>
      </w:r>
      <w:r w:rsidRPr="00D97F2C">
        <w:rPr>
          <w:rFonts w:ascii="Times New Roman" w:eastAsia="Times New Roman" w:hAnsi="Times New Roman" w:cs="Times New Roman"/>
          <w:i/>
          <w:color w:val="C00000"/>
          <w:sz w:val="22"/>
          <w:szCs w:val="22"/>
        </w:rPr>
        <w:t xml:space="preserve">Satisfactory sampling participation rate only when replacement schools were included. A country will be placed in this category if: </w:t>
      </w:r>
    </w:p>
    <w:p w14:paraId="63841A58" w14:textId="77777777" w:rsidR="00D97F2C" w:rsidRPr="00D97F2C" w:rsidRDefault="00D97F2C" w:rsidP="00D97F2C">
      <w:pPr>
        <w:pStyle w:val="Default"/>
        <w:numPr>
          <w:ilvl w:val="0"/>
          <w:numId w:val="112"/>
        </w:numPr>
        <w:spacing w:after="120"/>
        <w:rPr>
          <w:rFonts w:ascii="Times New Roman" w:eastAsia="Times New Roman" w:hAnsi="Times New Roman" w:cs="Times New Roman"/>
          <w:i/>
          <w:color w:val="C00000"/>
          <w:sz w:val="22"/>
          <w:szCs w:val="22"/>
        </w:rPr>
      </w:pPr>
      <w:r w:rsidRPr="00D97F2C">
        <w:rPr>
          <w:rFonts w:ascii="Times New Roman" w:eastAsia="Times New Roman" w:hAnsi="Times New Roman" w:cs="Times New Roman"/>
          <w:i/>
          <w:color w:val="C00000"/>
          <w:sz w:val="22"/>
          <w:szCs w:val="22"/>
        </w:rPr>
        <w:t xml:space="preserve">It fails to meet the requirements for Category 1 but has either an un-weighted or weighted original school response rate without replacement of at least 50% (after rounding to the nearest percent) </w:t>
      </w:r>
    </w:p>
    <w:p w14:paraId="5DF3901D" w14:textId="77777777" w:rsidR="00D97F2C" w:rsidRPr="00D97F2C" w:rsidRDefault="00D97F2C" w:rsidP="008217A2">
      <w:pPr>
        <w:pStyle w:val="Default"/>
        <w:spacing w:after="120"/>
        <w:ind w:left="360"/>
        <w:rPr>
          <w:rFonts w:ascii="Times New Roman" w:eastAsia="Times New Roman" w:hAnsi="Times New Roman" w:cs="Times New Roman"/>
          <w:color w:val="auto"/>
          <w:sz w:val="22"/>
          <w:szCs w:val="22"/>
        </w:rPr>
      </w:pPr>
      <w:r w:rsidRPr="00D97F2C">
        <w:rPr>
          <w:rFonts w:ascii="Times New Roman" w:eastAsia="Times New Roman" w:hAnsi="Times New Roman" w:cs="Times New Roman"/>
          <w:color w:val="auto"/>
          <w:sz w:val="22"/>
          <w:szCs w:val="22"/>
        </w:rPr>
        <w:lastRenderedPageBreak/>
        <w:t>The U.S. meets this requirement with an unweighted 69% of original schools participating (at present).</w:t>
      </w:r>
    </w:p>
    <w:p w14:paraId="63EC82D2" w14:textId="77777777" w:rsidR="00D97F2C" w:rsidRPr="00D97F2C" w:rsidRDefault="00D97F2C" w:rsidP="00D97F2C">
      <w:pPr>
        <w:pStyle w:val="Default"/>
        <w:spacing w:after="120"/>
        <w:rPr>
          <w:rFonts w:ascii="Times New Roman" w:eastAsia="Times New Roman" w:hAnsi="Times New Roman" w:cs="Times New Roman"/>
          <w:color w:val="C00000"/>
          <w:sz w:val="22"/>
          <w:szCs w:val="22"/>
        </w:rPr>
      </w:pPr>
      <w:r w:rsidRPr="00D97F2C">
        <w:rPr>
          <w:rFonts w:ascii="Times New Roman" w:eastAsia="Times New Roman" w:hAnsi="Times New Roman" w:cs="Times New Roman"/>
          <w:color w:val="C00000"/>
          <w:sz w:val="22"/>
          <w:szCs w:val="22"/>
        </w:rPr>
        <w:t xml:space="preserve">AND HAS </w:t>
      </w:r>
    </w:p>
    <w:p w14:paraId="0363ADC6" w14:textId="77777777" w:rsidR="00D97F2C" w:rsidRPr="00D97F2C" w:rsidRDefault="00D97F2C" w:rsidP="00D97F2C">
      <w:pPr>
        <w:pStyle w:val="Default"/>
        <w:numPr>
          <w:ilvl w:val="0"/>
          <w:numId w:val="112"/>
        </w:numPr>
        <w:spacing w:after="120"/>
        <w:rPr>
          <w:rFonts w:ascii="Times New Roman" w:eastAsia="Times New Roman" w:hAnsi="Times New Roman" w:cs="Times New Roman"/>
          <w:i/>
          <w:color w:val="C00000"/>
          <w:sz w:val="22"/>
          <w:szCs w:val="22"/>
        </w:rPr>
      </w:pPr>
      <w:r w:rsidRPr="00D97F2C">
        <w:rPr>
          <w:rFonts w:ascii="Times New Roman" w:eastAsia="Times New Roman" w:hAnsi="Times New Roman" w:cs="Times New Roman"/>
          <w:i/>
          <w:color w:val="C00000"/>
          <w:sz w:val="22"/>
          <w:szCs w:val="22"/>
        </w:rPr>
        <w:t xml:space="preserve">An un-weighted school response rate with replacement of at least 85% (after rounding to the nearest whole percent) AND an un-weighted overall student/teacher response rate (after rounding) of at least 85% </w:t>
      </w:r>
    </w:p>
    <w:p w14:paraId="1890A8B2" w14:textId="728F0A40" w:rsidR="00D97F2C" w:rsidRPr="00D97F2C" w:rsidRDefault="00D97F2C" w:rsidP="008217A2">
      <w:pPr>
        <w:pStyle w:val="Default"/>
        <w:spacing w:after="120"/>
        <w:ind w:left="360"/>
        <w:rPr>
          <w:rFonts w:ascii="Times New Roman" w:eastAsia="Times New Roman" w:hAnsi="Times New Roman" w:cs="Times New Roman"/>
          <w:color w:val="auto"/>
          <w:sz w:val="22"/>
          <w:szCs w:val="22"/>
        </w:rPr>
      </w:pPr>
      <w:r w:rsidRPr="00D97F2C">
        <w:rPr>
          <w:rFonts w:ascii="Times New Roman" w:eastAsia="Times New Roman" w:hAnsi="Times New Roman" w:cs="Times New Roman"/>
          <w:color w:val="auto"/>
          <w:sz w:val="22"/>
          <w:szCs w:val="22"/>
        </w:rPr>
        <w:t xml:space="preserve">The U.S. is not yet meeting this criterion.  Currently, with replacement schools, we have only 245 firmly cooperating schools, which </w:t>
      </w:r>
      <w:r>
        <w:rPr>
          <w:rFonts w:ascii="Times New Roman" w:eastAsia="Times New Roman" w:hAnsi="Times New Roman" w:cs="Times New Roman"/>
          <w:color w:val="auto"/>
          <w:sz w:val="22"/>
          <w:szCs w:val="22"/>
        </w:rPr>
        <w:t>will</w:t>
      </w:r>
      <w:r w:rsidRPr="00D97F2C">
        <w:rPr>
          <w:rFonts w:ascii="Times New Roman" w:eastAsia="Times New Roman" w:hAnsi="Times New Roman" w:cs="Times New Roman"/>
          <w:color w:val="auto"/>
          <w:sz w:val="22"/>
          <w:szCs w:val="22"/>
        </w:rPr>
        <w:t xml:space="preserve"> give us a 71% unweighted response rate with replacements [i.e., 245/343=71% given the denominator of 343, once the 9 ineligible original schools are excluded.]</w:t>
      </w:r>
      <w:r w:rsidR="008217A2">
        <w:rPr>
          <w:rFonts w:ascii="Times New Roman" w:eastAsia="Times New Roman" w:hAnsi="Times New Roman" w:cs="Times New Roman"/>
          <w:color w:val="auto"/>
          <w:sz w:val="22"/>
          <w:szCs w:val="22"/>
        </w:rPr>
        <w:t xml:space="preserve">. </w:t>
      </w:r>
      <w:r w:rsidRPr="00D97F2C">
        <w:rPr>
          <w:rFonts w:ascii="Times New Roman" w:eastAsia="Times New Roman" w:hAnsi="Times New Roman" w:cs="Times New Roman"/>
          <w:color w:val="auto"/>
          <w:sz w:val="22"/>
          <w:szCs w:val="22"/>
        </w:rPr>
        <w:t>To meet the required school rate of 85% with replacement schools, we need at least 292 schools, or 47 more schools.</w:t>
      </w:r>
    </w:p>
    <w:p w14:paraId="00A46B4A" w14:textId="77777777" w:rsidR="00D97F2C" w:rsidRPr="00D97F2C" w:rsidRDefault="00D97F2C" w:rsidP="008217A2">
      <w:pPr>
        <w:pStyle w:val="Default"/>
        <w:spacing w:after="60"/>
        <w:ind w:left="360"/>
        <w:rPr>
          <w:rFonts w:ascii="Times New Roman" w:eastAsia="Times New Roman" w:hAnsi="Times New Roman" w:cs="Times New Roman"/>
          <w:color w:val="auto"/>
          <w:sz w:val="22"/>
          <w:szCs w:val="22"/>
        </w:rPr>
      </w:pPr>
      <w:r w:rsidRPr="00D97F2C">
        <w:rPr>
          <w:rFonts w:ascii="Times New Roman" w:eastAsia="Times New Roman" w:hAnsi="Times New Roman" w:cs="Times New Roman"/>
          <w:color w:val="auto"/>
          <w:sz w:val="22"/>
          <w:szCs w:val="22"/>
        </w:rPr>
        <w:t xml:space="preserve">Our current student/teacher response rates are </w:t>
      </w:r>
    </w:p>
    <w:p w14:paraId="3EB4B952" w14:textId="77777777" w:rsidR="00D97F2C" w:rsidRPr="00D97F2C" w:rsidRDefault="00D97F2C" w:rsidP="008217A2">
      <w:pPr>
        <w:pStyle w:val="Default"/>
        <w:numPr>
          <w:ilvl w:val="0"/>
          <w:numId w:val="114"/>
        </w:numPr>
        <w:spacing w:after="60"/>
        <w:ind w:left="990" w:hanging="270"/>
        <w:rPr>
          <w:rFonts w:ascii="Times New Roman" w:eastAsia="Times New Roman" w:hAnsi="Times New Roman" w:cs="Times New Roman"/>
          <w:color w:val="auto"/>
          <w:sz w:val="22"/>
          <w:szCs w:val="22"/>
        </w:rPr>
      </w:pPr>
      <w:r w:rsidRPr="00D97F2C">
        <w:rPr>
          <w:rFonts w:ascii="Times New Roman" w:eastAsia="Times New Roman" w:hAnsi="Times New Roman" w:cs="Times New Roman"/>
          <w:color w:val="auto"/>
          <w:sz w:val="22"/>
          <w:szCs w:val="22"/>
        </w:rPr>
        <w:t>Student:  90%</w:t>
      </w:r>
    </w:p>
    <w:p w14:paraId="3636448D" w14:textId="77777777" w:rsidR="00D97F2C" w:rsidRPr="00D97F2C" w:rsidRDefault="00D97F2C" w:rsidP="008217A2">
      <w:pPr>
        <w:pStyle w:val="Default"/>
        <w:numPr>
          <w:ilvl w:val="0"/>
          <w:numId w:val="114"/>
        </w:numPr>
        <w:spacing w:after="120"/>
        <w:ind w:left="990" w:hanging="270"/>
        <w:rPr>
          <w:rFonts w:ascii="Times New Roman" w:eastAsia="Times New Roman" w:hAnsi="Times New Roman" w:cs="Times New Roman"/>
          <w:color w:val="auto"/>
          <w:sz w:val="22"/>
          <w:szCs w:val="22"/>
        </w:rPr>
      </w:pPr>
      <w:r w:rsidRPr="00D97F2C">
        <w:rPr>
          <w:rFonts w:ascii="Times New Roman" w:eastAsia="Times New Roman" w:hAnsi="Times New Roman" w:cs="Times New Roman"/>
          <w:color w:val="auto"/>
          <w:sz w:val="22"/>
          <w:szCs w:val="22"/>
        </w:rPr>
        <w:t>Teachers: 60% of currently assessed schools</w:t>
      </w:r>
    </w:p>
    <w:p w14:paraId="5B0EF1CC" w14:textId="77777777" w:rsidR="00D97F2C" w:rsidRPr="00D97F2C" w:rsidRDefault="00D97F2C" w:rsidP="00D97F2C">
      <w:pPr>
        <w:pStyle w:val="Default"/>
        <w:rPr>
          <w:rFonts w:ascii="Times New Roman" w:eastAsia="Times New Roman" w:hAnsi="Times New Roman" w:cs="Times New Roman"/>
          <w:color w:val="auto"/>
          <w:sz w:val="22"/>
          <w:szCs w:val="22"/>
        </w:rPr>
      </w:pPr>
      <w:r w:rsidRPr="00D97F2C">
        <w:rPr>
          <w:rFonts w:ascii="Times New Roman" w:eastAsia="Times New Roman" w:hAnsi="Times New Roman" w:cs="Times New Roman"/>
          <w:color w:val="auto"/>
          <w:sz w:val="22"/>
          <w:szCs w:val="22"/>
        </w:rPr>
        <w:t>Countries that cannot meet either of these two categories are considered to have “unacceptable sampling response rates” and are usually not included in the tables with results for participating countries.</w:t>
      </w:r>
    </w:p>
    <w:p w14:paraId="675F11AC" w14:textId="77777777" w:rsidR="00D97F2C" w:rsidRDefault="00D97F2C" w:rsidP="00D97F2C">
      <w:pPr>
        <w:rPr>
          <w:rFonts w:ascii="Calibri" w:hAnsi="Calibri"/>
          <w:color w:val="1F497D"/>
          <w:sz w:val="22"/>
          <w:szCs w:val="22"/>
        </w:rPr>
      </w:pPr>
    </w:p>
    <w:p w14:paraId="1A5C7F29" w14:textId="4C55CDB6" w:rsidR="008217A2" w:rsidRDefault="008217A2" w:rsidP="00B52B0B">
      <w:pPr>
        <w:spacing w:after="240" w:line="276" w:lineRule="auto"/>
      </w:pPr>
      <w:r>
        <w:t xml:space="preserve">In order for the United States to be able to determine how its </w:t>
      </w:r>
      <w:r w:rsidRPr="00456C8C">
        <w:t>eighth-grade students’ computer and information literacy (CIL) skills and technology access and use compar</w:t>
      </w:r>
      <w:r>
        <w:t>e</w:t>
      </w:r>
      <w:r w:rsidRPr="00456C8C">
        <w:t xml:space="preserve"> with those of their international peers</w:t>
      </w:r>
      <w:r>
        <w:t>, we have to increase school and teacher response rates in these last six weeks of data collection.</w:t>
      </w:r>
    </w:p>
    <w:p w14:paraId="3E61CE9B" w14:textId="6C447575" w:rsidR="00D97F2C" w:rsidRDefault="008217A2" w:rsidP="00B52B0B">
      <w:pPr>
        <w:spacing w:after="240" w:line="276" w:lineRule="auto"/>
      </w:pPr>
      <w:r>
        <w:t xml:space="preserve">To achieve this, we propose to implement a second-tier incentive strategy that offers the remaining </w:t>
      </w:r>
      <w:r w:rsidR="00E675EE">
        <w:t xml:space="preserve">50 </w:t>
      </w:r>
      <w:r>
        <w:t xml:space="preserve">schools </w:t>
      </w:r>
      <w:r w:rsidR="00E675EE">
        <w:t xml:space="preserve">(see table below) </w:t>
      </w:r>
      <w:r>
        <w:t>an $800 incentive for participation, as is done successfully in PISA and PIRLS, and to mitigate the teacher response rate</w:t>
      </w:r>
      <w:r w:rsidR="00E675EE">
        <w:t xml:space="preserve"> by</w:t>
      </w:r>
      <w:r>
        <w:t xml:space="preserve"> offer</w:t>
      </w:r>
      <w:r w:rsidR="00E675EE">
        <w:t>ing</w:t>
      </w:r>
      <w:r>
        <w:t xml:space="preserve"> teachers in </w:t>
      </w:r>
      <w:r w:rsidR="00E675EE">
        <w:t>the second-tier</w:t>
      </w:r>
      <w:r>
        <w:t xml:space="preserve"> schools</w:t>
      </w:r>
      <w:r w:rsidR="00E675EE">
        <w:t xml:space="preserve"> a $40 incentive for participation. The table below shows the current recruitment status of </w:t>
      </w:r>
      <w:r w:rsidR="004325D1">
        <w:t xml:space="preserve">ICILS 2018 </w:t>
      </w:r>
      <w:r w:rsidR="00E675EE">
        <w:t>schools and which schools will be offered the second-tier $800 incentive.</w:t>
      </w:r>
    </w:p>
    <w:p w14:paraId="0D46739D" w14:textId="2991D151" w:rsidR="004618DA" w:rsidRPr="003C7A74" w:rsidRDefault="00E675EE" w:rsidP="004618DA">
      <w:pPr>
        <w:rPr>
          <w:b/>
        </w:rPr>
      </w:pPr>
      <w:r>
        <w:rPr>
          <w:b/>
        </w:rPr>
        <w:t xml:space="preserve">ICILS 2018 School </w:t>
      </w:r>
      <w:r w:rsidR="004618DA" w:rsidRPr="003C7A74">
        <w:rPr>
          <w:b/>
        </w:rPr>
        <w:t xml:space="preserve">Recruitment </w:t>
      </w:r>
      <w:r>
        <w:rPr>
          <w:b/>
        </w:rPr>
        <w:t>Status</w:t>
      </w:r>
      <w:r w:rsidR="004618DA" w:rsidRPr="003C7A74">
        <w:rPr>
          <w:b/>
        </w:rPr>
        <w:t xml:space="preserve"> as of April 2</w:t>
      </w:r>
      <w:r w:rsidR="004618DA" w:rsidRPr="003C7A74">
        <w:rPr>
          <w:b/>
          <w:vertAlign w:val="superscript"/>
        </w:rPr>
        <w:t>nd</w:t>
      </w:r>
      <w:r w:rsidR="003C7A74" w:rsidRPr="003C7A74">
        <w:rPr>
          <w:b/>
        </w:rPr>
        <w:t>, 2018</w:t>
      </w:r>
      <w:r>
        <w:rPr>
          <w:b/>
        </w:rPr>
        <w:t xml:space="preserve"> and Second-Tier Designation</w:t>
      </w:r>
    </w:p>
    <w:tbl>
      <w:tblPr>
        <w:tblStyle w:val="TableGrid"/>
        <w:tblW w:w="5000" w:type="pct"/>
        <w:tblLayout w:type="fixed"/>
        <w:tblLook w:val="04A0" w:firstRow="1" w:lastRow="0" w:firstColumn="1" w:lastColumn="0" w:noHBand="0" w:noVBand="1"/>
      </w:tblPr>
      <w:tblGrid>
        <w:gridCol w:w="5875"/>
        <w:gridCol w:w="1066"/>
        <w:gridCol w:w="1360"/>
        <w:gridCol w:w="2427"/>
      </w:tblGrid>
      <w:tr w:rsidR="004618DA" w:rsidRPr="00401515" w14:paraId="7E3729FD" w14:textId="77777777" w:rsidTr="00E675EE">
        <w:tc>
          <w:tcPr>
            <w:tcW w:w="2738" w:type="pct"/>
            <w:vMerge w:val="restart"/>
            <w:tcBorders>
              <w:top w:val="single" w:sz="4" w:space="0" w:color="auto"/>
              <w:left w:val="single" w:sz="4" w:space="0" w:color="auto"/>
              <w:right w:val="single" w:sz="4" w:space="0" w:color="auto"/>
            </w:tcBorders>
            <w:vAlign w:val="center"/>
          </w:tcPr>
          <w:p w14:paraId="2E9BB9F1" w14:textId="77777777" w:rsidR="004618DA" w:rsidRPr="00E675EE" w:rsidRDefault="004618DA" w:rsidP="003B684C">
            <w:pPr>
              <w:jc w:val="center"/>
              <w:rPr>
                <w:b/>
                <w:sz w:val="20"/>
                <w:szCs w:val="20"/>
              </w:rPr>
            </w:pPr>
            <w:r w:rsidRPr="00E675EE">
              <w:rPr>
                <w:b/>
                <w:sz w:val="20"/>
                <w:szCs w:val="20"/>
              </w:rPr>
              <w:t>Category of School</w:t>
            </w:r>
          </w:p>
        </w:tc>
        <w:tc>
          <w:tcPr>
            <w:tcW w:w="1131" w:type="pct"/>
            <w:gridSpan w:val="2"/>
            <w:tcBorders>
              <w:top w:val="single" w:sz="4" w:space="0" w:color="auto"/>
              <w:left w:val="single" w:sz="4" w:space="0" w:color="auto"/>
              <w:bottom w:val="single" w:sz="4" w:space="0" w:color="auto"/>
              <w:right w:val="single" w:sz="4" w:space="0" w:color="auto"/>
            </w:tcBorders>
            <w:vAlign w:val="center"/>
          </w:tcPr>
          <w:p w14:paraId="27391B88" w14:textId="77777777" w:rsidR="004618DA" w:rsidRPr="00E675EE" w:rsidRDefault="004618DA" w:rsidP="003B684C">
            <w:pPr>
              <w:jc w:val="center"/>
              <w:rPr>
                <w:b/>
                <w:sz w:val="20"/>
                <w:szCs w:val="20"/>
              </w:rPr>
            </w:pPr>
            <w:r w:rsidRPr="00E675EE">
              <w:rPr>
                <w:b/>
                <w:sz w:val="20"/>
                <w:szCs w:val="20"/>
              </w:rPr>
              <w:t>Number of Schools</w:t>
            </w:r>
          </w:p>
        </w:tc>
        <w:tc>
          <w:tcPr>
            <w:tcW w:w="1131" w:type="pct"/>
            <w:vMerge w:val="restart"/>
            <w:tcBorders>
              <w:top w:val="single" w:sz="4" w:space="0" w:color="auto"/>
              <w:left w:val="single" w:sz="4" w:space="0" w:color="auto"/>
              <w:right w:val="single" w:sz="4" w:space="0" w:color="auto"/>
            </w:tcBorders>
            <w:vAlign w:val="center"/>
          </w:tcPr>
          <w:p w14:paraId="54E20719" w14:textId="5FD47F60" w:rsidR="004618DA" w:rsidRPr="00E675EE" w:rsidRDefault="00E675EE" w:rsidP="00E675EE">
            <w:pPr>
              <w:jc w:val="center"/>
              <w:rPr>
                <w:b/>
                <w:sz w:val="20"/>
                <w:szCs w:val="20"/>
              </w:rPr>
            </w:pPr>
            <w:r>
              <w:rPr>
                <w:b/>
                <w:sz w:val="20"/>
                <w:szCs w:val="20"/>
              </w:rPr>
              <w:t>Schools to be Designated Second-Tier and Offered the $800 Incentive</w:t>
            </w:r>
          </w:p>
        </w:tc>
      </w:tr>
      <w:tr w:rsidR="004618DA" w:rsidRPr="00401515" w14:paraId="76D9021C" w14:textId="77777777" w:rsidTr="00E675EE">
        <w:tc>
          <w:tcPr>
            <w:tcW w:w="2738" w:type="pct"/>
            <w:vMerge/>
            <w:tcBorders>
              <w:left w:val="single" w:sz="4" w:space="0" w:color="auto"/>
              <w:bottom w:val="single" w:sz="4" w:space="0" w:color="auto"/>
              <w:right w:val="single" w:sz="4" w:space="0" w:color="auto"/>
            </w:tcBorders>
            <w:vAlign w:val="center"/>
          </w:tcPr>
          <w:p w14:paraId="2552BBEF" w14:textId="77777777" w:rsidR="004618DA" w:rsidRPr="00E675EE" w:rsidRDefault="004618DA" w:rsidP="003B684C">
            <w:pPr>
              <w:rPr>
                <w:b/>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72007E63" w14:textId="77777777" w:rsidR="004618DA" w:rsidRPr="00E675EE" w:rsidRDefault="004618DA" w:rsidP="003B684C">
            <w:pPr>
              <w:jc w:val="center"/>
              <w:rPr>
                <w:b/>
                <w:sz w:val="20"/>
                <w:szCs w:val="20"/>
              </w:rPr>
            </w:pPr>
            <w:r w:rsidRPr="00E675EE">
              <w:rPr>
                <w:b/>
                <w:sz w:val="20"/>
                <w:szCs w:val="20"/>
              </w:rPr>
              <w:t>Initial Sample</w:t>
            </w:r>
          </w:p>
        </w:tc>
        <w:tc>
          <w:tcPr>
            <w:tcW w:w="634" w:type="pct"/>
            <w:tcBorders>
              <w:top w:val="single" w:sz="4" w:space="0" w:color="auto"/>
              <w:left w:val="single" w:sz="4" w:space="0" w:color="auto"/>
              <w:bottom w:val="single" w:sz="4" w:space="0" w:color="auto"/>
              <w:right w:val="single" w:sz="4" w:space="0" w:color="auto"/>
            </w:tcBorders>
            <w:vAlign w:val="center"/>
          </w:tcPr>
          <w:p w14:paraId="17FD8F82" w14:textId="77777777" w:rsidR="004618DA" w:rsidRPr="00E675EE" w:rsidRDefault="004618DA" w:rsidP="003B684C">
            <w:pPr>
              <w:jc w:val="center"/>
              <w:rPr>
                <w:b/>
                <w:sz w:val="20"/>
                <w:szCs w:val="20"/>
              </w:rPr>
            </w:pPr>
            <w:r w:rsidRPr="00E675EE">
              <w:rPr>
                <w:b/>
                <w:sz w:val="20"/>
                <w:szCs w:val="20"/>
              </w:rPr>
              <w:t>Replacement Schools</w:t>
            </w:r>
          </w:p>
        </w:tc>
        <w:tc>
          <w:tcPr>
            <w:tcW w:w="1131" w:type="pct"/>
            <w:vMerge/>
            <w:tcBorders>
              <w:left w:val="single" w:sz="4" w:space="0" w:color="auto"/>
              <w:bottom w:val="single" w:sz="4" w:space="0" w:color="auto"/>
              <w:right w:val="single" w:sz="4" w:space="0" w:color="auto"/>
            </w:tcBorders>
            <w:vAlign w:val="center"/>
          </w:tcPr>
          <w:p w14:paraId="75772525" w14:textId="77777777" w:rsidR="004618DA" w:rsidRPr="00E675EE" w:rsidRDefault="004618DA" w:rsidP="003B684C">
            <w:pPr>
              <w:jc w:val="center"/>
              <w:rPr>
                <w:b/>
                <w:sz w:val="20"/>
                <w:szCs w:val="20"/>
              </w:rPr>
            </w:pPr>
          </w:p>
        </w:tc>
      </w:tr>
      <w:tr w:rsidR="004618DA" w:rsidRPr="00401515" w14:paraId="71A8EB06"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7E32EE2B" w14:textId="77777777" w:rsidR="004618DA" w:rsidRPr="00E675EE" w:rsidRDefault="004618DA" w:rsidP="004618DA">
            <w:pPr>
              <w:pStyle w:val="ListParagraph"/>
              <w:numPr>
                <w:ilvl w:val="0"/>
                <w:numId w:val="110"/>
              </w:numPr>
              <w:ind w:left="180" w:hanging="180"/>
              <w:rPr>
                <w:b/>
                <w:sz w:val="20"/>
                <w:szCs w:val="20"/>
              </w:rPr>
            </w:pPr>
            <w:r w:rsidRPr="00E675EE">
              <w:rPr>
                <w:b/>
                <w:sz w:val="20"/>
                <w:szCs w:val="20"/>
              </w:rPr>
              <w:t>Total sample drawn</w:t>
            </w:r>
          </w:p>
        </w:tc>
        <w:tc>
          <w:tcPr>
            <w:tcW w:w="497" w:type="pct"/>
            <w:tcBorders>
              <w:top w:val="single" w:sz="4" w:space="0" w:color="auto"/>
              <w:left w:val="single" w:sz="4" w:space="0" w:color="auto"/>
              <w:bottom w:val="single" w:sz="4" w:space="0" w:color="auto"/>
              <w:right w:val="single" w:sz="4" w:space="0" w:color="auto"/>
            </w:tcBorders>
            <w:vAlign w:val="center"/>
          </w:tcPr>
          <w:p w14:paraId="02E7ED86" w14:textId="77777777" w:rsidR="004618DA" w:rsidRPr="00E675EE" w:rsidRDefault="004618DA" w:rsidP="003B684C">
            <w:pPr>
              <w:jc w:val="center"/>
              <w:rPr>
                <w:rFonts w:eastAsiaTheme="minorHAnsi"/>
                <w:sz w:val="20"/>
                <w:szCs w:val="20"/>
              </w:rPr>
            </w:pPr>
            <w:r w:rsidRPr="00E675EE">
              <w:rPr>
                <w:rFonts w:eastAsiaTheme="minorHAnsi"/>
                <w:sz w:val="20"/>
                <w:szCs w:val="20"/>
              </w:rPr>
              <w:t>352</w:t>
            </w:r>
          </w:p>
        </w:tc>
        <w:tc>
          <w:tcPr>
            <w:tcW w:w="634" w:type="pct"/>
            <w:tcBorders>
              <w:top w:val="single" w:sz="4" w:space="0" w:color="auto"/>
              <w:left w:val="single" w:sz="4" w:space="0" w:color="auto"/>
              <w:bottom w:val="single" w:sz="4" w:space="0" w:color="auto"/>
              <w:right w:val="single" w:sz="4" w:space="0" w:color="auto"/>
            </w:tcBorders>
            <w:vAlign w:val="center"/>
          </w:tcPr>
          <w:p w14:paraId="168FD193" w14:textId="77777777" w:rsidR="004618DA" w:rsidRPr="00E675EE" w:rsidRDefault="004618DA" w:rsidP="003B684C">
            <w:pPr>
              <w:jc w:val="center"/>
              <w:rPr>
                <w:rFonts w:eastAsiaTheme="minorHAnsi"/>
                <w:sz w:val="20"/>
                <w:szCs w:val="20"/>
              </w:rPr>
            </w:pPr>
            <w:r w:rsidRPr="00E675EE">
              <w:rPr>
                <w:rFonts w:eastAsiaTheme="minorHAnsi"/>
                <w:sz w:val="20"/>
                <w:szCs w:val="20"/>
              </w:rPr>
              <w:t>85</w:t>
            </w:r>
          </w:p>
        </w:tc>
        <w:tc>
          <w:tcPr>
            <w:tcW w:w="1131" w:type="pct"/>
            <w:tcBorders>
              <w:top w:val="single" w:sz="4" w:space="0" w:color="auto"/>
              <w:left w:val="single" w:sz="4" w:space="0" w:color="auto"/>
              <w:bottom w:val="single" w:sz="4" w:space="0" w:color="auto"/>
              <w:right w:val="single" w:sz="4" w:space="0" w:color="auto"/>
            </w:tcBorders>
            <w:vAlign w:val="center"/>
          </w:tcPr>
          <w:p w14:paraId="2667A81B" w14:textId="77777777" w:rsidR="004618DA" w:rsidRPr="00E675EE" w:rsidRDefault="004618DA" w:rsidP="003B684C">
            <w:pPr>
              <w:jc w:val="center"/>
              <w:rPr>
                <w:sz w:val="20"/>
                <w:szCs w:val="20"/>
              </w:rPr>
            </w:pPr>
          </w:p>
        </w:tc>
      </w:tr>
      <w:tr w:rsidR="004618DA" w:rsidRPr="00401515" w14:paraId="5DB1740D"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784D2F80" w14:textId="77777777" w:rsidR="004618DA" w:rsidRPr="00E675EE" w:rsidRDefault="004618DA" w:rsidP="004618DA">
            <w:pPr>
              <w:pStyle w:val="ListParagraph"/>
              <w:numPr>
                <w:ilvl w:val="0"/>
                <w:numId w:val="110"/>
              </w:numPr>
              <w:ind w:left="180" w:hanging="180"/>
              <w:rPr>
                <w:b/>
                <w:sz w:val="20"/>
                <w:szCs w:val="20"/>
              </w:rPr>
            </w:pPr>
            <w:r w:rsidRPr="00E675EE">
              <w:rPr>
                <w:b/>
                <w:sz w:val="20"/>
                <w:szCs w:val="20"/>
              </w:rPr>
              <w:t>Never to be contacted</w:t>
            </w:r>
          </w:p>
        </w:tc>
        <w:tc>
          <w:tcPr>
            <w:tcW w:w="497" w:type="pct"/>
            <w:tcBorders>
              <w:top w:val="single" w:sz="4" w:space="0" w:color="auto"/>
              <w:left w:val="single" w:sz="4" w:space="0" w:color="auto"/>
              <w:bottom w:val="single" w:sz="4" w:space="0" w:color="auto"/>
              <w:right w:val="single" w:sz="4" w:space="0" w:color="auto"/>
            </w:tcBorders>
            <w:vAlign w:val="center"/>
          </w:tcPr>
          <w:p w14:paraId="4424381D" w14:textId="77777777" w:rsidR="004618DA" w:rsidRPr="00E675EE" w:rsidRDefault="004618DA" w:rsidP="003B684C">
            <w:pPr>
              <w:jc w:val="center"/>
              <w:rPr>
                <w:rFonts w:eastAsiaTheme="minorHAnsi"/>
                <w:b/>
                <w:sz w:val="20"/>
                <w:szCs w:val="20"/>
              </w:rPr>
            </w:pPr>
            <w:r w:rsidRPr="00E675EE">
              <w:rPr>
                <w:rFonts w:eastAsiaTheme="minorHAnsi"/>
                <w:b/>
                <w:sz w:val="20"/>
                <w:szCs w:val="20"/>
              </w:rPr>
              <w:t>36</w:t>
            </w:r>
          </w:p>
        </w:tc>
        <w:tc>
          <w:tcPr>
            <w:tcW w:w="634" w:type="pct"/>
            <w:tcBorders>
              <w:top w:val="single" w:sz="4" w:space="0" w:color="auto"/>
              <w:left w:val="single" w:sz="4" w:space="0" w:color="auto"/>
              <w:bottom w:val="single" w:sz="4" w:space="0" w:color="auto"/>
              <w:right w:val="single" w:sz="4" w:space="0" w:color="auto"/>
            </w:tcBorders>
            <w:vAlign w:val="center"/>
          </w:tcPr>
          <w:p w14:paraId="3C8978B1" w14:textId="77777777" w:rsidR="004618DA" w:rsidRPr="00E675EE" w:rsidRDefault="004618DA" w:rsidP="003B684C">
            <w:pPr>
              <w:jc w:val="center"/>
              <w:rPr>
                <w:rFonts w:eastAsiaTheme="minorHAnsi"/>
                <w:b/>
                <w:sz w:val="20"/>
                <w:szCs w:val="20"/>
              </w:rPr>
            </w:pPr>
            <w:r w:rsidRPr="00E675EE">
              <w:rPr>
                <w:rFonts w:eastAsiaTheme="minorHAnsi"/>
                <w:b/>
                <w:sz w:val="20"/>
                <w:szCs w:val="20"/>
              </w:rPr>
              <w:t>5</w:t>
            </w:r>
          </w:p>
        </w:tc>
        <w:tc>
          <w:tcPr>
            <w:tcW w:w="1131" w:type="pct"/>
            <w:tcBorders>
              <w:top w:val="single" w:sz="4" w:space="0" w:color="auto"/>
              <w:left w:val="single" w:sz="4" w:space="0" w:color="auto"/>
              <w:bottom w:val="single" w:sz="4" w:space="0" w:color="auto"/>
              <w:right w:val="single" w:sz="4" w:space="0" w:color="auto"/>
            </w:tcBorders>
            <w:vAlign w:val="center"/>
          </w:tcPr>
          <w:p w14:paraId="00E7F512" w14:textId="77777777" w:rsidR="004618DA" w:rsidRPr="00E675EE" w:rsidRDefault="004618DA" w:rsidP="003B684C">
            <w:pPr>
              <w:jc w:val="center"/>
              <w:rPr>
                <w:sz w:val="20"/>
                <w:szCs w:val="20"/>
              </w:rPr>
            </w:pPr>
          </w:p>
        </w:tc>
      </w:tr>
      <w:tr w:rsidR="004618DA" w:rsidRPr="00401515" w14:paraId="1914AC74"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7BBDFF9F" w14:textId="77777777" w:rsidR="004618DA" w:rsidRPr="00E675EE" w:rsidRDefault="004618DA" w:rsidP="004618DA">
            <w:pPr>
              <w:pStyle w:val="ListParagraph"/>
              <w:numPr>
                <w:ilvl w:val="1"/>
                <w:numId w:val="110"/>
              </w:numPr>
              <w:ind w:left="360" w:hanging="180"/>
              <w:rPr>
                <w:sz w:val="20"/>
                <w:szCs w:val="20"/>
              </w:rPr>
            </w:pPr>
            <w:r w:rsidRPr="00E675EE">
              <w:rPr>
                <w:sz w:val="20"/>
                <w:szCs w:val="20"/>
              </w:rPr>
              <w:t>deemed ineligible (closed, wrong grade levels, etc.)</w:t>
            </w:r>
          </w:p>
        </w:tc>
        <w:tc>
          <w:tcPr>
            <w:tcW w:w="497" w:type="pct"/>
            <w:tcBorders>
              <w:top w:val="single" w:sz="4" w:space="0" w:color="auto"/>
              <w:left w:val="single" w:sz="4" w:space="0" w:color="auto"/>
              <w:bottom w:val="single" w:sz="4" w:space="0" w:color="auto"/>
              <w:right w:val="single" w:sz="4" w:space="0" w:color="auto"/>
            </w:tcBorders>
            <w:vAlign w:val="center"/>
          </w:tcPr>
          <w:p w14:paraId="43046774" w14:textId="77777777" w:rsidR="004618DA" w:rsidRPr="00E675EE" w:rsidRDefault="004618DA" w:rsidP="003B684C">
            <w:pPr>
              <w:jc w:val="center"/>
              <w:rPr>
                <w:rFonts w:eastAsiaTheme="minorHAnsi"/>
                <w:sz w:val="20"/>
                <w:szCs w:val="20"/>
              </w:rPr>
            </w:pPr>
            <w:r w:rsidRPr="00E675EE">
              <w:rPr>
                <w:rFonts w:eastAsiaTheme="minorHAnsi"/>
                <w:sz w:val="20"/>
                <w:szCs w:val="20"/>
              </w:rPr>
              <w:t>9</w:t>
            </w:r>
          </w:p>
        </w:tc>
        <w:tc>
          <w:tcPr>
            <w:tcW w:w="634" w:type="pct"/>
            <w:tcBorders>
              <w:top w:val="single" w:sz="4" w:space="0" w:color="auto"/>
              <w:left w:val="single" w:sz="4" w:space="0" w:color="auto"/>
              <w:bottom w:val="single" w:sz="4" w:space="0" w:color="auto"/>
              <w:right w:val="single" w:sz="4" w:space="0" w:color="auto"/>
            </w:tcBorders>
            <w:vAlign w:val="center"/>
          </w:tcPr>
          <w:p w14:paraId="1B01AE2D" w14:textId="77777777" w:rsidR="004618DA" w:rsidRPr="00E675EE" w:rsidRDefault="004618DA" w:rsidP="003B684C">
            <w:pPr>
              <w:jc w:val="center"/>
              <w:rPr>
                <w:rFonts w:eastAsiaTheme="minorHAnsi"/>
                <w:sz w:val="20"/>
                <w:szCs w:val="20"/>
              </w:rPr>
            </w:pPr>
            <w:r w:rsidRPr="00E675EE">
              <w:rPr>
                <w:rFonts w:eastAsiaTheme="minorHAnsi"/>
                <w:sz w:val="20"/>
                <w:szCs w:val="20"/>
              </w:rPr>
              <w:t>5</w:t>
            </w:r>
          </w:p>
        </w:tc>
        <w:tc>
          <w:tcPr>
            <w:tcW w:w="1131" w:type="pct"/>
            <w:tcBorders>
              <w:top w:val="single" w:sz="4" w:space="0" w:color="auto"/>
              <w:left w:val="single" w:sz="4" w:space="0" w:color="auto"/>
              <w:bottom w:val="single" w:sz="4" w:space="0" w:color="auto"/>
              <w:right w:val="single" w:sz="4" w:space="0" w:color="auto"/>
            </w:tcBorders>
            <w:vAlign w:val="center"/>
          </w:tcPr>
          <w:p w14:paraId="2A83B071" w14:textId="77777777" w:rsidR="004618DA" w:rsidRPr="00E675EE" w:rsidRDefault="004618DA" w:rsidP="003B684C">
            <w:pPr>
              <w:jc w:val="center"/>
              <w:rPr>
                <w:sz w:val="20"/>
                <w:szCs w:val="20"/>
              </w:rPr>
            </w:pPr>
          </w:p>
        </w:tc>
      </w:tr>
      <w:tr w:rsidR="004618DA" w:rsidRPr="00401515" w14:paraId="69FB2DB0"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4928A9F8" w14:textId="77777777" w:rsidR="004618DA" w:rsidRPr="00E675EE" w:rsidRDefault="004618DA" w:rsidP="004618DA">
            <w:pPr>
              <w:pStyle w:val="ListParagraph"/>
              <w:numPr>
                <w:ilvl w:val="1"/>
                <w:numId w:val="110"/>
              </w:numPr>
              <w:ind w:left="360" w:hanging="180"/>
              <w:rPr>
                <w:sz w:val="20"/>
                <w:szCs w:val="20"/>
              </w:rPr>
            </w:pPr>
            <w:r w:rsidRPr="00E675EE">
              <w:rPr>
                <w:sz w:val="20"/>
                <w:szCs w:val="20"/>
              </w:rPr>
              <w:t>not contacted due to state request</w:t>
            </w:r>
          </w:p>
        </w:tc>
        <w:tc>
          <w:tcPr>
            <w:tcW w:w="497" w:type="pct"/>
            <w:tcBorders>
              <w:top w:val="single" w:sz="4" w:space="0" w:color="auto"/>
              <w:left w:val="single" w:sz="4" w:space="0" w:color="auto"/>
              <w:bottom w:val="single" w:sz="4" w:space="0" w:color="auto"/>
              <w:right w:val="single" w:sz="4" w:space="0" w:color="auto"/>
            </w:tcBorders>
            <w:vAlign w:val="center"/>
          </w:tcPr>
          <w:p w14:paraId="380D620A" w14:textId="77777777" w:rsidR="004618DA" w:rsidRPr="00E675EE" w:rsidRDefault="004618DA" w:rsidP="003B684C">
            <w:pPr>
              <w:jc w:val="center"/>
              <w:rPr>
                <w:rFonts w:eastAsiaTheme="minorHAnsi"/>
                <w:sz w:val="20"/>
                <w:szCs w:val="20"/>
              </w:rPr>
            </w:pPr>
            <w:r w:rsidRPr="00E675EE">
              <w:rPr>
                <w:rFonts w:eastAsiaTheme="minorHAnsi"/>
                <w:sz w:val="20"/>
                <w:szCs w:val="20"/>
              </w:rPr>
              <w:t>1</w:t>
            </w:r>
          </w:p>
        </w:tc>
        <w:tc>
          <w:tcPr>
            <w:tcW w:w="634" w:type="pct"/>
            <w:tcBorders>
              <w:top w:val="single" w:sz="4" w:space="0" w:color="auto"/>
              <w:left w:val="single" w:sz="4" w:space="0" w:color="auto"/>
              <w:bottom w:val="single" w:sz="4" w:space="0" w:color="auto"/>
              <w:right w:val="single" w:sz="4" w:space="0" w:color="auto"/>
            </w:tcBorders>
            <w:vAlign w:val="center"/>
          </w:tcPr>
          <w:p w14:paraId="7476F664" w14:textId="77777777" w:rsidR="004618DA" w:rsidRPr="00E675EE" w:rsidRDefault="004618DA" w:rsidP="003B684C">
            <w:pPr>
              <w:jc w:val="center"/>
              <w:rPr>
                <w:rFonts w:eastAsiaTheme="minorHAnsi"/>
                <w:sz w:val="20"/>
                <w:szCs w:val="20"/>
              </w:rPr>
            </w:pPr>
            <w:r w:rsidRPr="00E675EE">
              <w:rPr>
                <w:rFonts w:eastAsiaTheme="minorHAnsi"/>
                <w:sz w:val="20"/>
                <w:szCs w:val="20"/>
              </w:rPr>
              <w:t>0</w:t>
            </w:r>
          </w:p>
        </w:tc>
        <w:tc>
          <w:tcPr>
            <w:tcW w:w="1131" w:type="pct"/>
            <w:tcBorders>
              <w:top w:val="single" w:sz="4" w:space="0" w:color="auto"/>
              <w:left w:val="single" w:sz="4" w:space="0" w:color="auto"/>
              <w:bottom w:val="single" w:sz="4" w:space="0" w:color="auto"/>
              <w:right w:val="single" w:sz="4" w:space="0" w:color="auto"/>
            </w:tcBorders>
            <w:vAlign w:val="center"/>
          </w:tcPr>
          <w:p w14:paraId="12D75597" w14:textId="77777777" w:rsidR="004618DA" w:rsidRPr="00E675EE" w:rsidRDefault="004618DA" w:rsidP="003B684C">
            <w:pPr>
              <w:jc w:val="center"/>
              <w:rPr>
                <w:sz w:val="20"/>
                <w:szCs w:val="20"/>
              </w:rPr>
            </w:pPr>
          </w:p>
        </w:tc>
      </w:tr>
      <w:tr w:rsidR="004618DA" w:rsidRPr="00401515" w14:paraId="721E183D"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64149CBD" w14:textId="77777777" w:rsidR="004618DA" w:rsidRPr="00E675EE" w:rsidRDefault="004618DA" w:rsidP="004618DA">
            <w:pPr>
              <w:pStyle w:val="ListParagraph"/>
              <w:numPr>
                <w:ilvl w:val="1"/>
                <w:numId w:val="110"/>
              </w:numPr>
              <w:ind w:left="360" w:hanging="180"/>
              <w:rPr>
                <w:sz w:val="20"/>
                <w:szCs w:val="20"/>
              </w:rPr>
            </w:pPr>
            <w:r w:rsidRPr="00E675EE">
              <w:rPr>
                <w:sz w:val="20"/>
                <w:szCs w:val="20"/>
              </w:rPr>
              <w:t>not contacted due to district refusal</w:t>
            </w:r>
          </w:p>
        </w:tc>
        <w:tc>
          <w:tcPr>
            <w:tcW w:w="497" w:type="pct"/>
            <w:tcBorders>
              <w:top w:val="single" w:sz="4" w:space="0" w:color="auto"/>
              <w:left w:val="single" w:sz="4" w:space="0" w:color="auto"/>
              <w:bottom w:val="single" w:sz="4" w:space="0" w:color="auto"/>
              <w:right w:val="single" w:sz="4" w:space="0" w:color="auto"/>
            </w:tcBorders>
            <w:vAlign w:val="center"/>
          </w:tcPr>
          <w:p w14:paraId="05CDFCC5" w14:textId="77777777" w:rsidR="004618DA" w:rsidRPr="00E675EE" w:rsidRDefault="004618DA" w:rsidP="003B684C">
            <w:pPr>
              <w:jc w:val="center"/>
              <w:rPr>
                <w:rFonts w:eastAsiaTheme="minorHAnsi"/>
                <w:sz w:val="20"/>
                <w:szCs w:val="20"/>
              </w:rPr>
            </w:pPr>
            <w:r w:rsidRPr="00E675EE">
              <w:rPr>
                <w:rFonts w:eastAsiaTheme="minorHAnsi"/>
                <w:sz w:val="20"/>
                <w:szCs w:val="20"/>
              </w:rPr>
              <w:t>26</w:t>
            </w:r>
          </w:p>
        </w:tc>
        <w:tc>
          <w:tcPr>
            <w:tcW w:w="634" w:type="pct"/>
            <w:tcBorders>
              <w:top w:val="single" w:sz="4" w:space="0" w:color="auto"/>
              <w:left w:val="single" w:sz="4" w:space="0" w:color="auto"/>
              <w:bottom w:val="single" w:sz="4" w:space="0" w:color="auto"/>
              <w:right w:val="single" w:sz="4" w:space="0" w:color="auto"/>
            </w:tcBorders>
            <w:vAlign w:val="center"/>
          </w:tcPr>
          <w:p w14:paraId="4A66B994" w14:textId="77777777" w:rsidR="004618DA" w:rsidRPr="00E675EE" w:rsidRDefault="004618DA" w:rsidP="003B684C">
            <w:pPr>
              <w:jc w:val="center"/>
              <w:rPr>
                <w:rFonts w:eastAsiaTheme="minorHAnsi"/>
                <w:sz w:val="20"/>
                <w:szCs w:val="20"/>
              </w:rPr>
            </w:pPr>
            <w:r w:rsidRPr="00E675EE">
              <w:rPr>
                <w:rFonts w:eastAsiaTheme="minorHAnsi"/>
                <w:sz w:val="20"/>
                <w:szCs w:val="20"/>
              </w:rPr>
              <w:t>0</w:t>
            </w:r>
          </w:p>
        </w:tc>
        <w:tc>
          <w:tcPr>
            <w:tcW w:w="1131" w:type="pct"/>
            <w:tcBorders>
              <w:top w:val="single" w:sz="4" w:space="0" w:color="auto"/>
              <w:left w:val="single" w:sz="4" w:space="0" w:color="auto"/>
              <w:bottom w:val="single" w:sz="4" w:space="0" w:color="auto"/>
              <w:right w:val="single" w:sz="4" w:space="0" w:color="auto"/>
            </w:tcBorders>
            <w:vAlign w:val="center"/>
          </w:tcPr>
          <w:p w14:paraId="61EA3C74" w14:textId="77777777" w:rsidR="004618DA" w:rsidRPr="00E675EE" w:rsidRDefault="004618DA" w:rsidP="003B684C">
            <w:pPr>
              <w:jc w:val="center"/>
              <w:rPr>
                <w:sz w:val="20"/>
                <w:szCs w:val="20"/>
              </w:rPr>
            </w:pPr>
          </w:p>
        </w:tc>
      </w:tr>
      <w:tr w:rsidR="004618DA" w:rsidRPr="00F64E4E" w14:paraId="297329EB"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3BDC78A5" w14:textId="77777777" w:rsidR="004618DA" w:rsidRPr="00E675EE" w:rsidRDefault="004618DA" w:rsidP="004618DA">
            <w:pPr>
              <w:pStyle w:val="ListParagraph"/>
              <w:numPr>
                <w:ilvl w:val="0"/>
                <w:numId w:val="110"/>
              </w:numPr>
              <w:ind w:left="180" w:hanging="180"/>
              <w:rPr>
                <w:b/>
                <w:sz w:val="20"/>
                <w:szCs w:val="20"/>
              </w:rPr>
            </w:pPr>
            <w:r w:rsidRPr="00E675EE">
              <w:rPr>
                <w:b/>
                <w:sz w:val="20"/>
                <w:szCs w:val="20"/>
              </w:rPr>
              <w:t xml:space="preserve">Hard refusal by the school </w:t>
            </w:r>
            <w:r w:rsidRPr="00E675EE">
              <w:rPr>
                <w:sz w:val="20"/>
                <w:szCs w:val="20"/>
              </w:rPr>
              <w:t>(will not be contacted again)</w:t>
            </w:r>
          </w:p>
        </w:tc>
        <w:tc>
          <w:tcPr>
            <w:tcW w:w="497" w:type="pct"/>
            <w:tcBorders>
              <w:top w:val="single" w:sz="4" w:space="0" w:color="auto"/>
              <w:left w:val="single" w:sz="4" w:space="0" w:color="auto"/>
              <w:bottom w:val="single" w:sz="4" w:space="0" w:color="auto"/>
              <w:right w:val="single" w:sz="4" w:space="0" w:color="auto"/>
            </w:tcBorders>
            <w:vAlign w:val="center"/>
          </w:tcPr>
          <w:p w14:paraId="140D2138" w14:textId="77777777" w:rsidR="004618DA" w:rsidRPr="00E675EE" w:rsidRDefault="004618DA" w:rsidP="003B684C">
            <w:pPr>
              <w:jc w:val="center"/>
              <w:rPr>
                <w:rFonts w:eastAsiaTheme="minorHAnsi"/>
                <w:b/>
                <w:sz w:val="20"/>
                <w:szCs w:val="20"/>
              </w:rPr>
            </w:pPr>
            <w:r w:rsidRPr="00E675EE">
              <w:rPr>
                <w:rFonts w:eastAsiaTheme="minorHAnsi"/>
                <w:b/>
                <w:sz w:val="20"/>
                <w:szCs w:val="20"/>
              </w:rPr>
              <w:t>59</w:t>
            </w:r>
          </w:p>
        </w:tc>
        <w:tc>
          <w:tcPr>
            <w:tcW w:w="634" w:type="pct"/>
            <w:tcBorders>
              <w:top w:val="single" w:sz="4" w:space="0" w:color="auto"/>
              <w:left w:val="single" w:sz="4" w:space="0" w:color="auto"/>
              <w:bottom w:val="single" w:sz="4" w:space="0" w:color="auto"/>
              <w:right w:val="single" w:sz="4" w:space="0" w:color="auto"/>
            </w:tcBorders>
            <w:vAlign w:val="center"/>
          </w:tcPr>
          <w:p w14:paraId="56C01B90" w14:textId="77777777" w:rsidR="004618DA" w:rsidRPr="00E675EE" w:rsidRDefault="004618DA" w:rsidP="003B684C">
            <w:pPr>
              <w:jc w:val="center"/>
              <w:rPr>
                <w:rFonts w:eastAsiaTheme="minorHAnsi"/>
                <w:b/>
                <w:sz w:val="20"/>
                <w:szCs w:val="20"/>
              </w:rPr>
            </w:pPr>
            <w:r w:rsidRPr="00E675EE">
              <w:rPr>
                <w:rFonts w:eastAsiaTheme="minorHAnsi"/>
                <w:b/>
                <w:sz w:val="20"/>
                <w:szCs w:val="20"/>
              </w:rPr>
              <w:t>50</w:t>
            </w:r>
          </w:p>
        </w:tc>
        <w:tc>
          <w:tcPr>
            <w:tcW w:w="1131" w:type="pct"/>
            <w:tcBorders>
              <w:top w:val="single" w:sz="4" w:space="0" w:color="auto"/>
              <w:left w:val="single" w:sz="4" w:space="0" w:color="auto"/>
              <w:bottom w:val="single" w:sz="4" w:space="0" w:color="auto"/>
              <w:right w:val="single" w:sz="4" w:space="0" w:color="auto"/>
            </w:tcBorders>
            <w:vAlign w:val="center"/>
          </w:tcPr>
          <w:p w14:paraId="22EE4253" w14:textId="77777777" w:rsidR="004618DA" w:rsidRPr="00E675EE" w:rsidRDefault="004618DA" w:rsidP="003B684C">
            <w:pPr>
              <w:jc w:val="center"/>
              <w:rPr>
                <w:b/>
                <w:sz w:val="20"/>
                <w:szCs w:val="20"/>
              </w:rPr>
            </w:pPr>
          </w:p>
        </w:tc>
      </w:tr>
      <w:tr w:rsidR="004618DA" w:rsidRPr="00F64E4E" w14:paraId="2CA17BB7"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421BE5F3" w14:textId="77777777" w:rsidR="004618DA" w:rsidRPr="00E675EE" w:rsidRDefault="004618DA" w:rsidP="004618DA">
            <w:pPr>
              <w:pStyle w:val="ListParagraph"/>
              <w:numPr>
                <w:ilvl w:val="0"/>
                <w:numId w:val="110"/>
              </w:numPr>
              <w:ind w:left="180" w:hanging="180"/>
              <w:rPr>
                <w:b/>
                <w:sz w:val="20"/>
                <w:szCs w:val="20"/>
              </w:rPr>
            </w:pPr>
            <w:r w:rsidRPr="00E675EE">
              <w:rPr>
                <w:b/>
                <w:sz w:val="20"/>
                <w:szCs w:val="20"/>
              </w:rPr>
              <w:t xml:space="preserve"> Contacted &amp; pending</w:t>
            </w:r>
          </w:p>
        </w:tc>
        <w:tc>
          <w:tcPr>
            <w:tcW w:w="497" w:type="pct"/>
            <w:tcBorders>
              <w:top w:val="single" w:sz="4" w:space="0" w:color="auto"/>
              <w:left w:val="single" w:sz="4" w:space="0" w:color="auto"/>
              <w:bottom w:val="single" w:sz="4" w:space="0" w:color="auto"/>
              <w:right w:val="single" w:sz="4" w:space="0" w:color="auto"/>
            </w:tcBorders>
            <w:shd w:val="clear" w:color="auto" w:fill="FFFF00"/>
            <w:vAlign w:val="center"/>
          </w:tcPr>
          <w:p w14:paraId="4351835A" w14:textId="77777777" w:rsidR="004618DA" w:rsidRPr="00E675EE" w:rsidRDefault="004618DA" w:rsidP="003B684C">
            <w:pPr>
              <w:jc w:val="center"/>
              <w:rPr>
                <w:rFonts w:eastAsiaTheme="minorHAnsi"/>
                <w:b/>
                <w:sz w:val="20"/>
                <w:szCs w:val="20"/>
              </w:rPr>
            </w:pPr>
            <w:r w:rsidRPr="00E675EE">
              <w:rPr>
                <w:rFonts w:eastAsiaTheme="minorHAnsi"/>
                <w:b/>
                <w:sz w:val="20"/>
                <w:szCs w:val="20"/>
              </w:rPr>
              <w:t>20</w:t>
            </w:r>
          </w:p>
        </w:tc>
        <w:tc>
          <w:tcPr>
            <w:tcW w:w="634" w:type="pct"/>
            <w:tcBorders>
              <w:top w:val="single" w:sz="4" w:space="0" w:color="auto"/>
              <w:left w:val="single" w:sz="4" w:space="0" w:color="auto"/>
              <w:bottom w:val="single" w:sz="4" w:space="0" w:color="auto"/>
              <w:right w:val="single" w:sz="4" w:space="0" w:color="auto"/>
            </w:tcBorders>
            <w:shd w:val="clear" w:color="auto" w:fill="FFFF00"/>
            <w:vAlign w:val="center"/>
          </w:tcPr>
          <w:p w14:paraId="2928F900" w14:textId="77777777" w:rsidR="004618DA" w:rsidRPr="00E675EE" w:rsidRDefault="004618DA" w:rsidP="003B684C">
            <w:pPr>
              <w:jc w:val="center"/>
              <w:rPr>
                <w:rFonts w:eastAsiaTheme="minorHAnsi"/>
                <w:b/>
                <w:sz w:val="20"/>
                <w:szCs w:val="20"/>
              </w:rPr>
            </w:pPr>
            <w:r w:rsidRPr="00E675EE">
              <w:rPr>
                <w:rFonts w:eastAsiaTheme="minorHAnsi"/>
                <w:b/>
                <w:sz w:val="20"/>
                <w:szCs w:val="20"/>
              </w:rPr>
              <w:t>5</w:t>
            </w:r>
          </w:p>
        </w:tc>
        <w:tc>
          <w:tcPr>
            <w:tcW w:w="1131" w:type="pct"/>
            <w:tcBorders>
              <w:top w:val="single" w:sz="4" w:space="0" w:color="auto"/>
              <w:left w:val="single" w:sz="4" w:space="0" w:color="auto"/>
              <w:bottom w:val="single" w:sz="4" w:space="0" w:color="auto"/>
              <w:right w:val="single" w:sz="4" w:space="0" w:color="auto"/>
            </w:tcBorders>
            <w:vAlign w:val="center"/>
          </w:tcPr>
          <w:p w14:paraId="23E53EA8" w14:textId="49F1A102" w:rsidR="004618DA" w:rsidRPr="00E675EE" w:rsidRDefault="00E675EE" w:rsidP="003B684C">
            <w:pPr>
              <w:jc w:val="center"/>
              <w:rPr>
                <w:sz w:val="20"/>
                <w:szCs w:val="20"/>
              </w:rPr>
            </w:pPr>
            <w:r w:rsidRPr="00E675EE">
              <w:rPr>
                <w:sz w:val="20"/>
                <w:szCs w:val="20"/>
              </w:rPr>
              <w:t>25 schools</w:t>
            </w:r>
            <w:r w:rsidR="004618DA" w:rsidRPr="00E675EE">
              <w:rPr>
                <w:sz w:val="20"/>
                <w:szCs w:val="20"/>
              </w:rPr>
              <w:t xml:space="preserve"> </w:t>
            </w:r>
          </w:p>
        </w:tc>
      </w:tr>
      <w:tr w:rsidR="004618DA" w:rsidRPr="00401515" w14:paraId="6D7A29BF"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4A13D64D" w14:textId="77777777" w:rsidR="004618DA" w:rsidRPr="00E675EE" w:rsidRDefault="004618DA" w:rsidP="004618DA">
            <w:pPr>
              <w:pStyle w:val="ListParagraph"/>
              <w:numPr>
                <w:ilvl w:val="1"/>
                <w:numId w:val="110"/>
              </w:numPr>
              <w:ind w:left="360" w:hanging="180"/>
              <w:rPr>
                <w:sz w:val="20"/>
                <w:szCs w:val="20"/>
              </w:rPr>
            </w:pPr>
            <w:r w:rsidRPr="00E675EE">
              <w:rPr>
                <w:sz w:val="20"/>
                <w:szCs w:val="20"/>
              </w:rPr>
              <w:t>soft refusal</w:t>
            </w:r>
          </w:p>
        </w:tc>
        <w:tc>
          <w:tcPr>
            <w:tcW w:w="497" w:type="pct"/>
            <w:tcBorders>
              <w:top w:val="single" w:sz="4" w:space="0" w:color="auto"/>
              <w:left w:val="single" w:sz="4" w:space="0" w:color="auto"/>
              <w:bottom w:val="single" w:sz="4" w:space="0" w:color="auto"/>
              <w:right w:val="single" w:sz="4" w:space="0" w:color="auto"/>
            </w:tcBorders>
            <w:vAlign w:val="center"/>
          </w:tcPr>
          <w:p w14:paraId="76111200" w14:textId="77777777" w:rsidR="004618DA" w:rsidRPr="00E675EE" w:rsidRDefault="004618DA" w:rsidP="003B684C">
            <w:pPr>
              <w:jc w:val="center"/>
              <w:rPr>
                <w:rFonts w:eastAsiaTheme="minorHAnsi"/>
                <w:sz w:val="20"/>
                <w:szCs w:val="20"/>
              </w:rPr>
            </w:pPr>
            <w:r w:rsidRPr="00E675EE">
              <w:rPr>
                <w:rFonts w:eastAsiaTheme="minorHAnsi"/>
                <w:sz w:val="20"/>
                <w:szCs w:val="20"/>
              </w:rPr>
              <w:t>2</w:t>
            </w:r>
          </w:p>
        </w:tc>
        <w:tc>
          <w:tcPr>
            <w:tcW w:w="634" w:type="pct"/>
            <w:tcBorders>
              <w:top w:val="single" w:sz="4" w:space="0" w:color="auto"/>
              <w:left w:val="single" w:sz="4" w:space="0" w:color="auto"/>
              <w:bottom w:val="single" w:sz="4" w:space="0" w:color="auto"/>
              <w:right w:val="single" w:sz="4" w:space="0" w:color="auto"/>
            </w:tcBorders>
            <w:vAlign w:val="center"/>
          </w:tcPr>
          <w:p w14:paraId="07EC7587" w14:textId="77777777" w:rsidR="004618DA" w:rsidRPr="00E675EE" w:rsidRDefault="004618DA" w:rsidP="003B684C">
            <w:pPr>
              <w:jc w:val="center"/>
              <w:rPr>
                <w:rFonts w:eastAsiaTheme="minorHAnsi"/>
                <w:sz w:val="20"/>
                <w:szCs w:val="20"/>
              </w:rPr>
            </w:pPr>
            <w:r w:rsidRPr="00E675EE">
              <w:rPr>
                <w:rFonts w:eastAsiaTheme="minorHAnsi"/>
                <w:sz w:val="20"/>
                <w:szCs w:val="20"/>
              </w:rPr>
              <w:t>0</w:t>
            </w:r>
          </w:p>
        </w:tc>
        <w:tc>
          <w:tcPr>
            <w:tcW w:w="1131" w:type="pct"/>
            <w:tcBorders>
              <w:top w:val="single" w:sz="4" w:space="0" w:color="auto"/>
              <w:left w:val="single" w:sz="4" w:space="0" w:color="auto"/>
              <w:bottom w:val="single" w:sz="4" w:space="0" w:color="auto"/>
              <w:right w:val="single" w:sz="4" w:space="0" w:color="auto"/>
            </w:tcBorders>
            <w:vAlign w:val="center"/>
          </w:tcPr>
          <w:p w14:paraId="15656256" w14:textId="77777777" w:rsidR="004618DA" w:rsidRPr="00E675EE" w:rsidRDefault="004618DA" w:rsidP="003B684C">
            <w:pPr>
              <w:jc w:val="center"/>
              <w:rPr>
                <w:sz w:val="20"/>
                <w:szCs w:val="20"/>
              </w:rPr>
            </w:pPr>
          </w:p>
        </w:tc>
      </w:tr>
      <w:tr w:rsidR="004618DA" w:rsidRPr="00401515" w14:paraId="01EAA98E" w14:textId="77777777" w:rsidTr="00E675EE">
        <w:tc>
          <w:tcPr>
            <w:tcW w:w="2738" w:type="pct"/>
            <w:tcBorders>
              <w:top w:val="single" w:sz="4" w:space="0" w:color="auto"/>
              <w:left w:val="single" w:sz="4" w:space="0" w:color="auto"/>
              <w:bottom w:val="single" w:sz="4" w:space="0" w:color="auto"/>
              <w:right w:val="single" w:sz="4" w:space="0" w:color="auto"/>
            </w:tcBorders>
            <w:vAlign w:val="center"/>
            <w:hideMark/>
          </w:tcPr>
          <w:p w14:paraId="02A0808C" w14:textId="77777777" w:rsidR="004618DA" w:rsidRPr="00E675EE" w:rsidRDefault="004618DA" w:rsidP="004618DA">
            <w:pPr>
              <w:pStyle w:val="ListParagraph"/>
              <w:numPr>
                <w:ilvl w:val="1"/>
                <w:numId w:val="110"/>
              </w:numPr>
              <w:ind w:left="360" w:hanging="180"/>
              <w:rPr>
                <w:sz w:val="20"/>
                <w:szCs w:val="20"/>
              </w:rPr>
            </w:pPr>
            <w:r w:rsidRPr="00E675EE">
              <w:rPr>
                <w:sz w:val="20"/>
                <w:szCs w:val="20"/>
              </w:rPr>
              <w:t>nonresponse</w:t>
            </w:r>
          </w:p>
        </w:tc>
        <w:tc>
          <w:tcPr>
            <w:tcW w:w="497" w:type="pct"/>
            <w:tcBorders>
              <w:top w:val="single" w:sz="4" w:space="0" w:color="auto"/>
              <w:left w:val="single" w:sz="4" w:space="0" w:color="auto"/>
              <w:bottom w:val="single" w:sz="4" w:space="0" w:color="auto"/>
              <w:right w:val="single" w:sz="4" w:space="0" w:color="auto"/>
            </w:tcBorders>
            <w:vAlign w:val="center"/>
          </w:tcPr>
          <w:p w14:paraId="62702D96" w14:textId="77777777" w:rsidR="004618DA" w:rsidRPr="00E675EE" w:rsidRDefault="004618DA" w:rsidP="003B684C">
            <w:pPr>
              <w:jc w:val="center"/>
              <w:rPr>
                <w:rFonts w:eastAsiaTheme="minorHAnsi"/>
                <w:sz w:val="20"/>
                <w:szCs w:val="20"/>
              </w:rPr>
            </w:pPr>
            <w:r w:rsidRPr="00E675EE">
              <w:rPr>
                <w:rFonts w:eastAsiaTheme="minorHAnsi"/>
                <w:sz w:val="20"/>
                <w:szCs w:val="20"/>
              </w:rPr>
              <w:t>18</w:t>
            </w:r>
          </w:p>
        </w:tc>
        <w:tc>
          <w:tcPr>
            <w:tcW w:w="634" w:type="pct"/>
            <w:tcBorders>
              <w:top w:val="single" w:sz="4" w:space="0" w:color="auto"/>
              <w:left w:val="single" w:sz="4" w:space="0" w:color="auto"/>
              <w:bottom w:val="single" w:sz="4" w:space="0" w:color="auto"/>
              <w:right w:val="single" w:sz="4" w:space="0" w:color="auto"/>
            </w:tcBorders>
            <w:vAlign w:val="center"/>
          </w:tcPr>
          <w:p w14:paraId="0491AC37" w14:textId="77777777" w:rsidR="004618DA" w:rsidRPr="00E675EE" w:rsidRDefault="004618DA" w:rsidP="003B684C">
            <w:pPr>
              <w:jc w:val="center"/>
              <w:rPr>
                <w:rFonts w:eastAsiaTheme="minorHAnsi"/>
                <w:sz w:val="20"/>
                <w:szCs w:val="20"/>
              </w:rPr>
            </w:pPr>
            <w:r w:rsidRPr="00E675EE">
              <w:rPr>
                <w:rFonts w:eastAsiaTheme="minorHAnsi"/>
                <w:sz w:val="20"/>
                <w:szCs w:val="20"/>
              </w:rPr>
              <w:t>5</w:t>
            </w:r>
          </w:p>
        </w:tc>
        <w:tc>
          <w:tcPr>
            <w:tcW w:w="1131" w:type="pct"/>
            <w:tcBorders>
              <w:top w:val="single" w:sz="4" w:space="0" w:color="auto"/>
              <w:left w:val="single" w:sz="4" w:space="0" w:color="auto"/>
              <w:bottom w:val="single" w:sz="4" w:space="0" w:color="auto"/>
              <w:right w:val="single" w:sz="4" w:space="0" w:color="auto"/>
            </w:tcBorders>
            <w:vAlign w:val="center"/>
          </w:tcPr>
          <w:p w14:paraId="6388607E" w14:textId="77777777" w:rsidR="004618DA" w:rsidRPr="00E675EE" w:rsidRDefault="004618DA" w:rsidP="003B684C">
            <w:pPr>
              <w:jc w:val="center"/>
              <w:rPr>
                <w:sz w:val="20"/>
                <w:szCs w:val="20"/>
              </w:rPr>
            </w:pPr>
          </w:p>
        </w:tc>
      </w:tr>
      <w:tr w:rsidR="004618DA" w:rsidRPr="00F64E4E" w14:paraId="6848EA62" w14:textId="77777777" w:rsidTr="00E675EE">
        <w:tc>
          <w:tcPr>
            <w:tcW w:w="2738" w:type="pct"/>
            <w:tcBorders>
              <w:top w:val="single" w:sz="4" w:space="0" w:color="auto"/>
              <w:left w:val="single" w:sz="4" w:space="0" w:color="auto"/>
              <w:bottom w:val="single" w:sz="4" w:space="0" w:color="auto"/>
              <w:right w:val="single" w:sz="4" w:space="0" w:color="auto"/>
            </w:tcBorders>
            <w:vAlign w:val="center"/>
          </w:tcPr>
          <w:p w14:paraId="22774FA8" w14:textId="77777777" w:rsidR="004618DA" w:rsidRPr="00E675EE" w:rsidRDefault="004618DA" w:rsidP="004618DA">
            <w:pPr>
              <w:pStyle w:val="ListParagraph"/>
              <w:numPr>
                <w:ilvl w:val="0"/>
                <w:numId w:val="110"/>
              </w:numPr>
              <w:ind w:left="180" w:hanging="180"/>
              <w:rPr>
                <w:b/>
                <w:sz w:val="20"/>
                <w:szCs w:val="20"/>
              </w:rPr>
            </w:pPr>
            <w:r w:rsidRPr="00E675EE">
              <w:rPr>
                <w:b/>
                <w:sz w:val="20"/>
                <w:szCs w:val="20"/>
              </w:rPr>
              <w:t>Accepted participation</w:t>
            </w:r>
          </w:p>
        </w:tc>
        <w:tc>
          <w:tcPr>
            <w:tcW w:w="497" w:type="pct"/>
            <w:tcBorders>
              <w:top w:val="single" w:sz="4" w:space="0" w:color="auto"/>
              <w:left w:val="single" w:sz="4" w:space="0" w:color="auto"/>
              <w:bottom w:val="single" w:sz="4" w:space="0" w:color="auto"/>
              <w:right w:val="single" w:sz="4" w:space="0" w:color="auto"/>
            </w:tcBorders>
            <w:vAlign w:val="center"/>
          </w:tcPr>
          <w:p w14:paraId="563793CF" w14:textId="77777777" w:rsidR="004618DA" w:rsidRPr="00E675EE" w:rsidRDefault="004618DA" w:rsidP="003B684C">
            <w:pPr>
              <w:jc w:val="center"/>
              <w:rPr>
                <w:rFonts w:eastAsiaTheme="minorHAnsi"/>
                <w:b/>
                <w:sz w:val="20"/>
                <w:szCs w:val="20"/>
              </w:rPr>
            </w:pPr>
            <w:r w:rsidRPr="00E675EE">
              <w:rPr>
                <w:rFonts w:eastAsiaTheme="minorHAnsi"/>
                <w:b/>
                <w:sz w:val="20"/>
                <w:szCs w:val="20"/>
              </w:rPr>
              <w:t>237</w:t>
            </w:r>
          </w:p>
        </w:tc>
        <w:tc>
          <w:tcPr>
            <w:tcW w:w="634" w:type="pct"/>
            <w:tcBorders>
              <w:top w:val="single" w:sz="4" w:space="0" w:color="auto"/>
              <w:left w:val="single" w:sz="4" w:space="0" w:color="auto"/>
              <w:bottom w:val="single" w:sz="4" w:space="0" w:color="auto"/>
              <w:right w:val="single" w:sz="4" w:space="0" w:color="auto"/>
            </w:tcBorders>
            <w:vAlign w:val="center"/>
          </w:tcPr>
          <w:p w14:paraId="2D2E4A63" w14:textId="77777777" w:rsidR="004618DA" w:rsidRPr="00E675EE" w:rsidRDefault="004618DA" w:rsidP="003B684C">
            <w:pPr>
              <w:jc w:val="center"/>
              <w:rPr>
                <w:rFonts w:eastAsiaTheme="minorHAnsi"/>
                <w:b/>
                <w:sz w:val="20"/>
                <w:szCs w:val="20"/>
              </w:rPr>
            </w:pPr>
            <w:r w:rsidRPr="00E675EE">
              <w:rPr>
                <w:rFonts w:eastAsiaTheme="minorHAnsi"/>
                <w:b/>
                <w:sz w:val="20"/>
                <w:szCs w:val="20"/>
              </w:rPr>
              <w:t>25</w:t>
            </w:r>
          </w:p>
        </w:tc>
        <w:tc>
          <w:tcPr>
            <w:tcW w:w="1131" w:type="pct"/>
            <w:tcBorders>
              <w:top w:val="single" w:sz="4" w:space="0" w:color="auto"/>
              <w:left w:val="single" w:sz="4" w:space="0" w:color="auto"/>
              <w:bottom w:val="single" w:sz="4" w:space="0" w:color="auto"/>
              <w:right w:val="single" w:sz="4" w:space="0" w:color="auto"/>
            </w:tcBorders>
            <w:vAlign w:val="center"/>
          </w:tcPr>
          <w:p w14:paraId="63E877CD" w14:textId="77777777" w:rsidR="004618DA" w:rsidRPr="00E675EE" w:rsidRDefault="004618DA" w:rsidP="003B684C">
            <w:pPr>
              <w:jc w:val="center"/>
              <w:rPr>
                <w:b/>
                <w:sz w:val="20"/>
                <w:szCs w:val="20"/>
              </w:rPr>
            </w:pPr>
          </w:p>
        </w:tc>
      </w:tr>
      <w:tr w:rsidR="004618DA" w:rsidRPr="00F64E4E" w14:paraId="76E62FC3" w14:textId="77777777" w:rsidTr="00E675EE">
        <w:tc>
          <w:tcPr>
            <w:tcW w:w="2738" w:type="pct"/>
            <w:tcBorders>
              <w:top w:val="single" w:sz="4" w:space="0" w:color="auto"/>
              <w:left w:val="single" w:sz="4" w:space="0" w:color="auto"/>
              <w:bottom w:val="single" w:sz="4" w:space="0" w:color="auto"/>
              <w:right w:val="single" w:sz="4" w:space="0" w:color="auto"/>
            </w:tcBorders>
            <w:vAlign w:val="center"/>
          </w:tcPr>
          <w:p w14:paraId="5054958E" w14:textId="0FB83AC1" w:rsidR="004618DA" w:rsidRPr="00E675EE" w:rsidRDefault="004618DA" w:rsidP="00E675EE">
            <w:pPr>
              <w:pStyle w:val="ListParagraph"/>
              <w:numPr>
                <w:ilvl w:val="1"/>
                <w:numId w:val="110"/>
              </w:numPr>
              <w:ind w:left="360" w:hanging="180"/>
              <w:rPr>
                <w:sz w:val="20"/>
                <w:szCs w:val="20"/>
              </w:rPr>
            </w:pPr>
            <w:r w:rsidRPr="00E675EE">
              <w:rPr>
                <w:sz w:val="20"/>
                <w:szCs w:val="20"/>
              </w:rPr>
              <w:t>the subset of schools that accepted b</w:t>
            </w:r>
            <w:r w:rsidR="00E675EE">
              <w:rPr>
                <w:sz w:val="20"/>
                <w:szCs w:val="20"/>
              </w:rPr>
              <w:t>ut are not following through</w:t>
            </w:r>
          </w:p>
        </w:tc>
        <w:tc>
          <w:tcPr>
            <w:tcW w:w="497" w:type="pct"/>
            <w:tcBorders>
              <w:top w:val="single" w:sz="4" w:space="0" w:color="auto"/>
              <w:left w:val="single" w:sz="4" w:space="0" w:color="auto"/>
              <w:bottom w:val="single" w:sz="4" w:space="0" w:color="auto"/>
              <w:right w:val="single" w:sz="4" w:space="0" w:color="auto"/>
            </w:tcBorders>
            <w:shd w:val="clear" w:color="auto" w:fill="FFFF00"/>
            <w:vAlign w:val="center"/>
          </w:tcPr>
          <w:p w14:paraId="57FA4E43" w14:textId="77777777" w:rsidR="004618DA" w:rsidRPr="00E675EE" w:rsidRDefault="004618DA" w:rsidP="003B684C">
            <w:pPr>
              <w:jc w:val="center"/>
              <w:rPr>
                <w:rFonts w:eastAsiaTheme="minorHAnsi"/>
                <w:sz w:val="20"/>
                <w:szCs w:val="20"/>
              </w:rPr>
            </w:pPr>
            <w:r w:rsidRPr="00E675EE">
              <w:rPr>
                <w:rFonts w:eastAsiaTheme="minorHAnsi"/>
                <w:sz w:val="20"/>
                <w:szCs w:val="20"/>
              </w:rPr>
              <w:t>17</w:t>
            </w:r>
          </w:p>
        </w:tc>
        <w:tc>
          <w:tcPr>
            <w:tcW w:w="634" w:type="pct"/>
            <w:tcBorders>
              <w:top w:val="single" w:sz="4" w:space="0" w:color="auto"/>
              <w:left w:val="single" w:sz="4" w:space="0" w:color="auto"/>
              <w:bottom w:val="single" w:sz="4" w:space="0" w:color="auto"/>
              <w:right w:val="single" w:sz="4" w:space="0" w:color="auto"/>
            </w:tcBorders>
            <w:vAlign w:val="center"/>
          </w:tcPr>
          <w:p w14:paraId="38994CD6" w14:textId="77777777" w:rsidR="004618DA" w:rsidRPr="00E675EE" w:rsidRDefault="004618DA" w:rsidP="003B684C">
            <w:pPr>
              <w:jc w:val="center"/>
              <w:rPr>
                <w:rFonts w:eastAsiaTheme="minorHAnsi"/>
                <w:sz w:val="20"/>
                <w:szCs w:val="20"/>
              </w:rPr>
            </w:pPr>
            <w:r w:rsidRPr="00E675EE">
              <w:rPr>
                <w:rFonts w:eastAsiaTheme="minorHAnsi"/>
                <w:sz w:val="20"/>
                <w:szCs w:val="20"/>
              </w:rPr>
              <w:t>0</w:t>
            </w:r>
          </w:p>
        </w:tc>
        <w:tc>
          <w:tcPr>
            <w:tcW w:w="1131" w:type="pct"/>
            <w:tcBorders>
              <w:top w:val="single" w:sz="4" w:space="0" w:color="auto"/>
              <w:left w:val="single" w:sz="4" w:space="0" w:color="auto"/>
              <w:bottom w:val="single" w:sz="4" w:space="0" w:color="auto"/>
              <w:right w:val="single" w:sz="4" w:space="0" w:color="auto"/>
            </w:tcBorders>
            <w:vAlign w:val="center"/>
          </w:tcPr>
          <w:p w14:paraId="6C25882E" w14:textId="6F40BD57" w:rsidR="004618DA" w:rsidRPr="00E675EE" w:rsidRDefault="00E675EE" w:rsidP="003B684C">
            <w:pPr>
              <w:jc w:val="center"/>
              <w:rPr>
                <w:sz w:val="20"/>
                <w:szCs w:val="20"/>
              </w:rPr>
            </w:pPr>
            <w:r>
              <w:rPr>
                <w:sz w:val="20"/>
                <w:szCs w:val="20"/>
              </w:rPr>
              <w:t>17 schools</w:t>
            </w:r>
          </w:p>
        </w:tc>
      </w:tr>
      <w:tr w:rsidR="004618DA" w:rsidRPr="00F64E4E" w14:paraId="30481120" w14:textId="77777777" w:rsidTr="00E675EE">
        <w:tc>
          <w:tcPr>
            <w:tcW w:w="2738" w:type="pct"/>
            <w:vAlign w:val="center"/>
          </w:tcPr>
          <w:p w14:paraId="77C350FC" w14:textId="0FA35584" w:rsidR="004618DA" w:rsidRPr="00E675EE" w:rsidRDefault="004618DA" w:rsidP="00E675EE">
            <w:pPr>
              <w:rPr>
                <w:sz w:val="20"/>
                <w:szCs w:val="20"/>
              </w:rPr>
            </w:pPr>
            <w:r w:rsidRPr="00E675EE">
              <w:rPr>
                <w:b/>
                <w:sz w:val="20"/>
                <w:szCs w:val="20"/>
              </w:rPr>
              <w:t xml:space="preserve">7. New </w:t>
            </w:r>
            <w:r w:rsidR="00E675EE">
              <w:rPr>
                <w:b/>
                <w:sz w:val="20"/>
                <w:szCs w:val="20"/>
              </w:rPr>
              <w:t>r</w:t>
            </w:r>
            <w:r w:rsidRPr="00E675EE">
              <w:rPr>
                <w:b/>
                <w:sz w:val="20"/>
                <w:szCs w:val="20"/>
              </w:rPr>
              <w:t xml:space="preserve">eplacement schools </w:t>
            </w:r>
            <w:r w:rsidR="00E675EE">
              <w:rPr>
                <w:b/>
                <w:sz w:val="20"/>
                <w:szCs w:val="20"/>
              </w:rPr>
              <w:t>t</w:t>
            </w:r>
            <w:r w:rsidR="00E675EE" w:rsidRPr="00E675EE">
              <w:rPr>
                <w:b/>
                <w:sz w:val="20"/>
                <w:szCs w:val="20"/>
              </w:rPr>
              <w:t>o</w:t>
            </w:r>
            <w:r w:rsidR="00E675EE">
              <w:rPr>
                <w:b/>
                <w:sz w:val="20"/>
                <w:szCs w:val="20"/>
              </w:rPr>
              <w:t xml:space="preserve"> b</w:t>
            </w:r>
            <w:r w:rsidR="00E675EE" w:rsidRPr="00E675EE">
              <w:rPr>
                <w:b/>
                <w:sz w:val="20"/>
                <w:szCs w:val="20"/>
              </w:rPr>
              <w:t>e</w:t>
            </w:r>
            <w:r w:rsidR="00E675EE">
              <w:rPr>
                <w:b/>
                <w:sz w:val="20"/>
                <w:szCs w:val="20"/>
              </w:rPr>
              <w:t xml:space="preserve"> a</w:t>
            </w:r>
            <w:r w:rsidR="00E675EE" w:rsidRPr="00E675EE">
              <w:rPr>
                <w:b/>
                <w:sz w:val="20"/>
                <w:szCs w:val="20"/>
              </w:rPr>
              <w:t xml:space="preserve">ctivated </w:t>
            </w:r>
            <w:r w:rsidR="00E675EE">
              <w:rPr>
                <w:b/>
                <w:sz w:val="20"/>
                <w:szCs w:val="20"/>
              </w:rPr>
              <w:t>in April 2018</w:t>
            </w:r>
          </w:p>
        </w:tc>
        <w:tc>
          <w:tcPr>
            <w:tcW w:w="497" w:type="pct"/>
            <w:vAlign w:val="center"/>
          </w:tcPr>
          <w:p w14:paraId="1B06CB36" w14:textId="77777777" w:rsidR="004618DA" w:rsidRPr="00E675EE" w:rsidRDefault="004618DA" w:rsidP="003B684C">
            <w:pPr>
              <w:jc w:val="center"/>
              <w:rPr>
                <w:sz w:val="20"/>
                <w:szCs w:val="20"/>
              </w:rPr>
            </w:pPr>
            <w:r w:rsidRPr="00E675EE">
              <w:rPr>
                <w:sz w:val="20"/>
                <w:szCs w:val="20"/>
              </w:rPr>
              <w:t>NA</w:t>
            </w:r>
          </w:p>
        </w:tc>
        <w:tc>
          <w:tcPr>
            <w:tcW w:w="634" w:type="pct"/>
            <w:shd w:val="clear" w:color="auto" w:fill="FFFF00"/>
            <w:vAlign w:val="center"/>
          </w:tcPr>
          <w:p w14:paraId="6EAE8D3D" w14:textId="77777777" w:rsidR="004618DA" w:rsidRPr="00E675EE" w:rsidRDefault="004618DA" w:rsidP="003B684C">
            <w:pPr>
              <w:jc w:val="center"/>
              <w:rPr>
                <w:sz w:val="20"/>
                <w:szCs w:val="20"/>
              </w:rPr>
            </w:pPr>
            <w:r w:rsidRPr="00E675EE">
              <w:rPr>
                <w:sz w:val="20"/>
                <w:szCs w:val="20"/>
              </w:rPr>
              <w:t>8</w:t>
            </w:r>
          </w:p>
        </w:tc>
        <w:tc>
          <w:tcPr>
            <w:tcW w:w="1131" w:type="pct"/>
            <w:vAlign w:val="center"/>
          </w:tcPr>
          <w:p w14:paraId="396D46F6" w14:textId="7379C042" w:rsidR="004618DA" w:rsidRPr="00E675EE" w:rsidRDefault="00E675EE" w:rsidP="003B684C">
            <w:pPr>
              <w:jc w:val="center"/>
              <w:rPr>
                <w:sz w:val="20"/>
                <w:szCs w:val="20"/>
              </w:rPr>
            </w:pPr>
            <w:r>
              <w:rPr>
                <w:sz w:val="20"/>
                <w:szCs w:val="20"/>
              </w:rPr>
              <w:t>8 schools</w:t>
            </w:r>
          </w:p>
        </w:tc>
      </w:tr>
    </w:tbl>
    <w:p w14:paraId="5BC609CA" w14:textId="77777777" w:rsidR="004618DA" w:rsidRDefault="004618DA" w:rsidP="004618DA">
      <w:pPr>
        <w:rPr>
          <w:b/>
        </w:rPr>
      </w:pPr>
    </w:p>
    <w:p w14:paraId="1DDE895B" w14:textId="27C1E265" w:rsidR="004618DA" w:rsidRPr="004325D1" w:rsidRDefault="004325D1" w:rsidP="0002306F">
      <w:pPr>
        <w:spacing w:after="240" w:line="276" w:lineRule="auto"/>
      </w:pPr>
      <w:r w:rsidRPr="004325D1">
        <w:t xml:space="preserve">To reflect the </w:t>
      </w:r>
      <w:r>
        <w:t>use of second-tier incentives in ICILS 2018 and to recruit for ICILS 2018 in the second-tier schools, the following edits were made in the approved ICILS 2018 clearance documents:</w:t>
      </w:r>
    </w:p>
    <w:p w14:paraId="38071E64" w14:textId="541714E2" w:rsidR="00EF317E" w:rsidRPr="004325D1" w:rsidRDefault="00EF317E" w:rsidP="00423348">
      <w:pPr>
        <w:spacing w:after="240" w:line="276" w:lineRule="auto"/>
        <w:rPr>
          <w:b/>
          <w:u w:val="single"/>
        </w:rPr>
      </w:pPr>
      <w:r w:rsidRPr="004325D1">
        <w:rPr>
          <w:b/>
          <w:u w:val="single"/>
        </w:rPr>
        <w:t xml:space="preserve">Revisions to </w:t>
      </w:r>
      <w:r w:rsidR="004325D1" w:rsidRPr="004325D1">
        <w:rPr>
          <w:b/>
          <w:u w:val="single"/>
        </w:rPr>
        <w:t xml:space="preserve">Supporting Statement </w:t>
      </w:r>
      <w:r w:rsidRPr="004325D1">
        <w:rPr>
          <w:b/>
          <w:u w:val="single"/>
        </w:rPr>
        <w:t>Part A</w:t>
      </w:r>
    </w:p>
    <w:p w14:paraId="709B2376" w14:textId="06681302" w:rsidR="00EF317E" w:rsidRDefault="00656314" w:rsidP="004325D1">
      <w:pPr>
        <w:spacing w:after="240" w:line="276" w:lineRule="auto"/>
      </w:pPr>
      <w:r w:rsidRPr="00656314">
        <w:rPr>
          <w:b/>
        </w:rPr>
        <w:t>Incentives</w:t>
      </w:r>
      <w:r>
        <w:t xml:space="preserve">: The following text shown in blue font has been added in </w:t>
      </w:r>
      <w:r w:rsidR="007E3E1E">
        <w:t>Section A.9</w:t>
      </w:r>
      <w:r>
        <w:t xml:space="preserve"> (</w:t>
      </w:r>
      <w:r w:rsidR="007E3E1E">
        <w:t>Payment or Gifts to Respondents</w:t>
      </w:r>
      <w:r>
        <w:t>; pp.7-8)</w:t>
      </w:r>
      <w:r w:rsidR="00EF317E">
        <w:t>:</w:t>
      </w:r>
    </w:p>
    <w:p w14:paraId="7CB0F9C4" w14:textId="578BF71E" w:rsidR="00EF317E" w:rsidRDefault="00656314" w:rsidP="00A050C5">
      <w:pPr>
        <w:pStyle w:val="NormalWeb"/>
        <w:widowControl w:val="0"/>
        <w:ind w:left="360"/>
        <w:rPr>
          <w:color w:val="0000CC"/>
        </w:rPr>
      </w:pPr>
      <w:r w:rsidRPr="00656314">
        <w:rPr>
          <w:color w:val="0000CC"/>
        </w:rPr>
        <w:t xml:space="preserve">State education agencies will be contacted in April 2017 and school districts in May 2017 to let them </w:t>
      </w:r>
      <w:r w:rsidRPr="00656314">
        <w:rPr>
          <w:color w:val="0000CC"/>
        </w:rPr>
        <w:lastRenderedPageBreak/>
        <w:t>know that ICILS 2018 sample includes schools in their jurisdiction and to ask for their support in achieving 100% school participation rate. School recruitment will begin in May 2017 and continue until the end of data collection in May 2018. Data collection will begin in March 2018 and end in May 2018. If by April 2018, a month into the 3-months data collection window, we find that we are not able to secure school cooperation at a level required by IEA for U.S. results to be included in international comparisons, we propose to initiate a second-tier school incentive of $800, as has been effective in PISA and PIRLS. The second-tier incentive would be offered only after all other refusal conversion methods have been exhausted to schools that: (a) have accepted participation but are not following through, (b) are pending or have not responded, and (c) are not final refusals. In addition, if by April 2018, the un-weighted school response rate with replacement schools is below 85%, a sufficient number of additional replacement schools will be selected to meet the minimum response rate requirements for U.S. data to be reported (i.e., an un-weighted school response rate with replacement of at least 85%, after at least 50% of original schools response rate). Given that these newly selected replacement schools will be approached late in the short data collection window, they will be offered the second-tier $800 incentive.</w:t>
      </w:r>
    </w:p>
    <w:p w14:paraId="1DD87BD0" w14:textId="5068917D" w:rsidR="00656314" w:rsidRPr="00656314" w:rsidRDefault="00656314" w:rsidP="00A050C5">
      <w:pPr>
        <w:pStyle w:val="NormalWeb"/>
        <w:widowControl w:val="0"/>
        <w:ind w:left="360"/>
      </w:pPr>
      <w:r w:rsidRPr="00656314">
        <w:t>(…)</w:t>
      </w:r>
    </w:p>
    <w:p w14:paraId="1512A8DE" w14:textId="6577FA62" w:rsidR="00656314" w:rsidRDefault="00656314" w:rsidP="00A050C5">
      <w:pPr>
        <w:pStyle w:val="NormalWeb"/>
        <w:widowControl w:val="0"/>
        <w:ind w:left="360"/>
      </w:pPr>
      <w:r w:rsidRPr="002E4EB5">
        <w:t>A check will be mailed to each school in the amount of $200</w:t>
      </w:r>
      <w:r w:rsidRPr="00656314">
        <w:rPr>
          <w:color w:val="0000CC"/>
        </w:rPr>
        <w:t xml:space="preserve"> (or $800)</w:t>
      </w:r>
      <w:r w:rsidRPr="002E4EB5">
        <w:t xml:space="preserve"> and to each school coordinator in the amount of $100, once the ICILS assessment has been conducted in their schools.</w:t>
      </w:r>
    </w:p>
    <w:p w14:paraId="56A24698" w14:textId="0BE4F05A" w:rsidR="00656314" w:rsidRPr="00656314" w:rsidRDefault="00656314" w:rsidP="00A050C5">
      <w:pPr>
        <w:pStyle w:val="NormalWeb"/>
        <w:widowControl w:val="0"/>
        <w:ind w:left="360"/>
      </w:pPr>
      <w:r w:rsidRPr="00656314">
        <w:t>(…)</w:t>
      </w:r>
    </w:p>
    <w:p w14:paraId="78DC0FEC" w14:textId="2D5BC5B3" w:rsidR="00656314" w:rsidRDefault="00656314" w:rsidP="00656314">
      <w:pPr>
        <w:pStyle w:val="NormalWeb"/>
        <w:widowControl w:val="0"/>
        <w:spacing w:after="120"/>
        <w:ind w:left="360"/>
      </w:pPr>
      <w:r w:rsidRPr="00656314">
        <w:rPr>
          <w:color w:val="0000CC"/>
        </w:rPr>
        <w:t>If teacher response rates are below 85% when second-tier incentives are being activated, in the schools offered the second-tier incentive described above, where teacher recruitment will begin late in the data collection window, we will offer teachers $40 for participation. The 85% teacher response rate follows international guidelines for sufficient response rates for U.S. data to be reported. These teachers will have less time in the school year to complete the survey, given that they will be recruited later than other teachers, and at this point we will need them to participate at a high rate to meet the 85% teacher response rate. Because at the time the second-tier school incentives will be initiated, in April 2018, teachers in the second-tier schools will not have been contacted by their schools to complete the survey, the $40 incentive offer will be the first offer they will receive. As such, although not a randomized experiment, this will allow us to compare response rates under the offer of the $40 vs. the $20 incentive and thus inform the efficacy of potential teacher incentive experiments in future ICILS.</w:t>
      </w:r>
    </w:p>
    <w:p w14:paraId="06E64C8B" w14:textId="482958B8" w:rsidR="00656314" w:rsidRDefault="00656314" w:rsidP="00656314">
      <w:pPr>
        <w:spacing w:after="240" w:line="276" w:lineRule="auto"/>
      </w:pPr>
      <w:r>
        <w:rPr>
          <w:b/>
        </w:rPr>
        <w:t>Burden</w:t>
      </w:r>
      <w:r>
        <w:t>: The following text shown in blue font has been added in Section A.12 (Estimates of Burden; p.10):</w:t>
      </w:r>
    </w:p>
    <w:p w14:paraId="2CD48E47" w14:textId="77777777" w:rsidR="00A050C5" w:rsidRDefault="00A050C5" w:rsidP="00A050C5">
      <w:pPr>
        <w:pStyle w:val="P1-StandPara"/>
        <w:spacing w:line="240" w:lineRule="auto"/>
        <w:ind w:firstLine="0"/>
        <w:jc w:val="left"/>
      </w:pPr>
      <w:r w:rsidRPr="003D6A50">
        <w:rPr>
          <w:b/>
        </w:rPr>
        <w:t xml:space="preserve">Table </w:t>
      </w:r>
      <w:r>
        <w:rPr>
          <w:b/>
        </w:rPr>
        <w:t>A.</w:t>
      </w:r>
      <w:r w:rsidRPr="003D6A50">
        <w:rPr>
          <w:b/>
        </w:rPr>
        <w:t xml:space="preserve">1. Burden estimates for </w:t>
      </w:r>
      <w:r>
        <w:rPr>
          <w:b/>
        </w:rPr>
        <w:t>ICILS 2018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900"/>
        <w:gridCol w:w="1259"/>
        <w:gridCol w:w="1171"/>
        <w:gridCol w:w="1167"/>
        <w:gridCol w:w="1169"/>
        <w:gridCol w:w="1171"/>
      </w:tblGrid>
      <w:tr w:rsidR="00A050C5" w:rsidRPr="005F1775" w14:paraId="5D21D4FF" w14:textId="77777777" w:rsidTr="002129F9">
        <w:trPr>
          <w:trHeight w:val="753"/>
        </w:trPr>
        <w:tc>
          <w:tcPr>
            <w:tcW w:w="1813" w:type="pct"/>
            <w:shd w:val="clear" w:color="auto" w:fill="auto"/>
            <w:vAlign w:val="center"/>
            <w:hideMark/>
          </w:tcPr>
          <w:p w14:paraId="71631461" w14:textId="77777777" w:rsidR="00A050C5" w:rsidRPr="005F1775" w:rsidRDefault="00A050C5" w:rsidP="002129F9">
            <w:pPr>
              <w:rPr>
                <w:rFonts w:ascii="Calibri" w:hAnsi="Calibri"/>
                <w:b/>
                <w:bCs/>
                <w:color w:val="000000"/>
                <w:sz w:val="20"/>
                <w:szCs w:val="20"/>
              </w:rPr>
            </w:pPr>
            <w:r w:rsidRPr="005F1775">
              <w:rPr>
                <w:rFonts w:ascii="Calibri" w:hAnsi="Calibri"/>
                <w:b/>
                <w:bCs/>
                <w:color w:val="000000"/>
                <w:sz w:val="20"/>
                <w:szCs w:val="20"/>
              </w:rPr>
              <w:t>Data collection instrument</w:t>
            </w:r>
          </w:p>
        </w:tc>
        <w:tc>
          <w:tcPr>
            <w:tcW w:w="419" w:type="pct"/>
            <w:shd w:val="clear" w:color="auto" w:fill="auto"/>
            <w:vAlign w:val="center"/>
            <w:hideMark/>
          </w:tcPr>
          <w:p w14:paraId="0111BE3C" w14:textId="77777777" w:rsidR="00A050C5" w:rsidRPr="005F1775" w:rsidRDefault="00A050C5" w:rsidP="002129F9">
            <w:pPr>
              <w:jc w:val="center"/>
              <w:rPr>
                <w:rFonts w:ascii="Calibri" w:hAnsi="Calibri"/>
                <w:color w:val="000000"/>
                <w:sz w:val="18"/>
                <w:szCs w:val="18"/>
              </w:rPr>
            </w:pPr>
            <w:r w:rsidRPr="005F1775">
              <w:rPr>
                <w:rFonts w:ascii="Calibri" w:hAnsi="Calibri"/>
                <w:color w:val="000000"/>
                <w:sz w:val="18"/>
                <w:szCs w:val="18"/>
              </w:rPr>
              <w:t>Sample size</w:t>
            </w:r>
          </w:p>
        </w:tc>
        <w:tc>
          <w:tcPr>
            <w:tcW w:w="587" w:type="pct"/>
            <w:shd w:val="clear" w:color="auto" w:fill="auto"/>
            <w:vAlign w:val="center"/>
            <w:hideMark/>
          </w:tcPr>
          <w:p w14:paraId="20BBB3FA" w14:textId="77777777" w:rsidR="00A050C5" w:rsidRPr="005F1775" w:rsidRDefault="00A050C5" w:rsidP="002129F9">
            <w:pPr>
              <w:jc w:val="center"/>
              <w:rPr>
                <w:rFonts w:ascii="Calibri" w:hAnsi="Calibri"/>
                <w:color w:val="000000"/>
                <w:sz w:val="18"/>
                <w:szCs w:val="18"/>
              </w:rPr>
            </w:pPr>
            <w:r w:rsidRPr="005F1775">
              <w:rPr>
                <w:rFonts w:ascii="Calibri" w:hAnsi="Calibri"/>
                <w:color w:val="000000"/>
                <w:sz w:val="18"/>
                <w:szCs w:val="18"/>
              </w:rPr>
              <w:t>Expected response rate</w:t>
            </w:r>
          </w:p>
        </w:tc>
        <w:tc>
          <w:tcPr>
            <w:tcW w:w="546" w:type="pct"/>
            <w:shd w:val="clear" w:color="auto" w:fill="auto"/>
            <w:vAlign w:val="center"/>
            <w:hideMark/>
          </w:tcPr>
          <w:p w14:paraId="5BF44FCB" w14:textId="77777777" w:rsidR="00A050C5" w:rsidRPr="005F1775" w:rsidRDefault="00A050C5" w:rsidP="002129F9">
            <w:pPr>
              <w:jc w:val="center"/>
              <w:rPr>
                <w:rFonts w:ascii="Calibri" w:hAnsi="Calibri"/>
                <w:color w:val="000000"/>
                <w:sz w:val="18"/>
                <w:szCs w:val="18"/>
              </w:rPr>
            </w:pPr>
            <w:r w:rsidRPr="005F1775">
              <w:rPr>
                <w:rFonts w:ascii="Calibri" w:hAnsi="Calibri"/>
                <w:color w:val="000000"/>
                <w:sz w:val="18"/>
                <w:szCs w:val="18"/>
              </w:rPr>
              <w:t>Number of respondents</w:t>
            </w:r>
          </w:p>
        </w:tc>
        <w:tc>
          <w:tcPr>
            <w:tcW w:w="544" w:type="pct"/>
            <w:shd w:val="clear" w:color="auto" w:fill="auto"/>
            <w:vAlign w:val="center"/>
            <w:hideMark/>
          </w:tcPr>
          <w:p w14:paraId="46A5F926" w14:textId="77777777" w:rsidR="00A050C5" w:rsidRPr="005F1775" w:rsidRDefault="00A050C5" w:rsidP="002129F9">
            <w:pPr>
              <w:jc w:val="center"/>
              <w:rPr>
                <w:rFonts w:ascii="Calibri" w:hAnsi="Calibri"/>
                <w:color w:val="000000"/>
                <w:sz w:val="18"/>
                <w:szCs w:val="18"/>
              </w:rPr>
            </w:pPr>
            <w:r w:rsidRPr="005F1775">
              <w:rPr>
                <w:rFonts w:ascii="Calibri" w:hAnsi="Calibri"/>
                <w:color w:val="000000"/>
                <w:sz w:val="18"/>
                <w:szCs w:val="18"/>
              </w:rPr>
              <w:t>Number of responses</w:t>
            </w:r>
          </w:p>
        </w:tc>
        <w:tc>
          <w:tcPr>
            <w:tcW w:w="545" w:type="pct"/>
            <w:shd w:val="clear" w:color="auto" w:fill="auto"/>
            <w:vAlign w:val="center"/>
            <w:hideMark/>
          </w:tcPr>
          <w:p w14:paraId="6853F33B" w14:textId="77777777" w:rsidR="00A050C5" w:rsidRPr="005F1775" w:rsidRDefault="00A050C5" w:rsidP="002129F9">
            <w:pPr>
              <w:jc w:val="center"/>
              <w:rPr>
                <w:rFonts w:ascii="Calibri" w:hAnsi="Calibri"/>
                <w:color w:val="000000"/>
                <w:sz w:val="18"/>
                <w:szCs w:val="18"/>
              </w:rPr>
            </w:pPr>
            <w:r w:rsidRPr="005F1775">
              <w:rPr>
                <w:rFonts w:ascii="Calibri" w:hAnsi="Calibri"/>
                <w:color w:val="000000"/>
                <w:sz w:val="18"/>
                <w:szCs w:val="18"/>
              </w:rPr>
              <w:t>Minutes Per respondent</w:t>
            </w:r>
          </w:p>
        </w:tc>
        <w:tc>
          <w:tcPr>
            <w:tcW w:w="546" w:type="pct"/>
            <w:shd w:val="clear" w:color="auto" w:fill="auto"/>
            <w:vAlign w:val="center"/>
            <w:hideMark/>
          </w:tcPr>
          <w:p w14:paraId="77A702C2" w14:textId="77777777" w:rsidR="00A050C5" w:rsidRPr="005F1775" w:rsidRDefault="00A050C5" w:rsidP="002129F9">
            <w:pPr>
              <w:jc w:val="center"/>
              <w:rPr>
                <w:rFonts w:ascii="Calibri" w:hAnsi="Calibri"/>
                <w:color w:val="000000"/>
                <w:sz w:val="18"/>
                <w:szCs w:val="18"/>
              </w:rPr>
            </w:pPr>
            <w:r w:rsidRPr="005F1775">
              <w:rPr>
                <w:rFonts w:ascii="Calibri" w:hAnsi="Calibri"/>
                <w:color w:val="000000"/>
                <w:sz w:val="18"/>
                <w:szCs w:val="18"/>
              </w:rPr>
              <w:t>Total burden Hours</w:t>
            </w:r>
          </w:p>
        </w:tc>
      </w:tr>
      <w:tr w:rsidR="00A050C5" w:rsidRPr="005F1775" w14:paraId="4FC4F16A" w14:textId="77777777" w:rsidTr="002129F9">
        <w:trPr>
          <w:trHeight w:val="69"/>
        </w:trPr>
        <w:tc>
          <w:tcPr>
            <w:tcW w:w="1813" w:type="pct"/>
            <w:shd w:val="clear" w:color="auto" w:fill="auto"/>
            <w:vAlign w:val="center"/>
            <w:hideMark/>
          </w:tcPr>
          <w:p w14:paraId="75F51286" w14:textId="77777777" w:rsidR="00A050C5" w:rsidRPr="005F1775" w:rsidRDefault="00A050C5" w:rsidP="002129F9">
            <w:pPr>
              <w:jc w:val="center"/>
              <w:rPr>
                <w:rFonts w:ascii="Calibri" w:hAnsi="Calibri"/>
                <w:b/>
                <w:bCs/>
                <w:i/>
                <w:iCs/>
                <w:color w:val="000000"/>
                <w:sz w:val="20"/>
                <w:szCs w:val="20"/>
              </w:rPr>
            </w:pPr>
          </w:p>
        </w:tc>
        <w:tc>
          <w:tcPr>
            <w:tcW w:w="419" w:type="pct"/>
            <w:shd w:val="clear" w:color="auto" w:fill="auto"/>
            <w:vAlign w:val="center"/>
            <w:hideMark/>
          </w:tcPr>
          <w:p w14:paraId="55D4A15B" w14:textId="77777777" w:rsidR="00A050C5" w:rsidRPr="005F1775" w:rsidRDefault="00A050C5" w:rsidP="002129F9">
            <w:pPr>
              <w:rPr>
                <w:rFonts w:ascii="Calibri" w:hAnsi="Calibri"/>
                <w:color w:val="000000"/>
                <w:sz w:val="20"/>
                <w:szCs w:val="20"/>
              </w:rPr>
            </w:pPr>
            <w:r w:rsidRPr="005F1775">
              <w:rPr>
                <w:rFonts w:ascii="Calibri" w:hAnsi="Calibri"/>
                <w:color w:val="000000"/>
                <w:sz w:val="20"/>
                <w:szCs w:val="20"/>
              </w:rPr>
              <w:t> </w:t>
            </w:r>
          </w:p>
        </w:tc>
        <w:tc>
          <w:tcPr>
            <w:tcW w:w="587" w:type="pct"/>
            <w:shd w:val="clear" w:color="auto" w:fill="auto"/>
            <w:vAlign w:val="center"/>
            <w:hideMark/>
          </w:tcPr>
          <w:p w14:paraId="593EF181" w14:textId="77777777" w:rsidR="00A050C5" w:rsidRPr="005F1775" w:rsidRDefault="00A050C5" w:rsidP="002129F9">
            <w:pPr>
              <w:rPr>
                <w:rFonts w:ascii="Calibri" w:hAnsi="Calibri"/>
                <w:color w:val="000000"/>
                <w:sz w:val="20"/>
                <w:szCs w:val="20"/>
              </w:rPr>
            </w:pPr>
            <w:r w:rsidRPr="005F1775">
              <w:rPr>
                <w:rFonts w:ascii="Calibri" w:hAnsi="Calibri"/>
                <w:color w:val="000000"/>
                <w:sz w:val="20"/>
                <w:szCs w:val="20"/>
              </w:rPr>
              <w:t> </w:t>
            </w:r>
          </w:p>
        </w:tc>
        <w:tc>
          <w:tcPr>
            <w:tcW w:w="546" w:type="pct"/>
            <w:shd w:val="clear" w:color="auto" w:fill="auto"/>
            <w:vAlign w:val="center"/>
            <w:hideMark/>
          </w:tcPr>
          <w:p w14:paraId="5EC3CCB6" w14:textId="77777777" w:rsidR="00A050C5" w:rsidRPr="005F1775" w:rsidRDefault="00A050C5" w:rsidP="002129F9">
            <w:pPr>
              <w:rPr>
                <w:rFonts w:ascii="Calibri" w:hAnsi="Calibri"/>
                <w:color w:val="000000"/>
                <w:sz w:val="20"/>
                <w:szCs w:val="20"/>
              </w:rPr>
            </w:pPr>
            <w:r w:rsidRPr="005F1775">
              <w:rPr>
                <w:rFonts w:ascii="Calibri" w:hAnsi="Calibri"/>
                <w:color w:val="000000"/>
                <w:sz w:val="20"/>
                <w:szCs w:val="20"/>
              </w:rPr>
              <w:t> </w:t>
            </w:r>
          </w:p>
        </w:tc>
        <w:tc>
          <w:tcPr>
            <w:tcW w:w="544" w:type="pct"/>
            <w:shd w:val="clear" w:color="auto" w:fill="auto"/>
            <w:vAlign w:val="center"/>
            <w:hideMark/>
          </w:tcPr>
          <w:p w14:paraId="18913CB5" w14:textId="77777777" w:rsidR="00A050C5" w:rsidRPr="005F1775" w:rsidRDefault="00A050C5" w:rsidP="002129F9">
            <w:pPr>
              <w:rPr>
                <w:rFonts w:ascii="Calibri" w:hAnsi="Calibri"/>
                <w:color w:val="000000"/>
                <w:sz w:val="20"/>
                <w:szCs w:val="20"/>
              </w:rPr>
            </w:pPr>
            <w:r w:rsidRPr="005F1775">
              <w:rPr>
                <w:rFonts w:ascii="Calibri" w:hAnsi="Calibri"/>
                <w:color w:val="000000"/>
                <w:sz w:val="20"/>
                <w:szCs w:val="20"/>
              </w:rPr>
              <w:t> </w:t>
            </w:r>
          </w:p>
        </w:tc>
        <w:tc>
          <w:tcPr>
            <w:tcW w:w="545" w:type="pct"/>
            <w:shd w:val="clear" w:color="auto" w:fill="auto"/>
            <w:vAlign w:val="center"/>
            <w:hideMark/>
          </w:tcPr>
          <w:p w14:paraId="16D2B663" w14:textId="77777777" w:rsidR="00A050C5" w:rsidRPr="005F1775" w:rsidRDefault="00A050C5" w:rsidP="002129F9">
            <w:pPr>
              <w:rPr>
                <w:rFonts w:ascii="Calibri" w:hAnsi="Calibri"/>
                <w:color w:val="000000"/>
                <w:sz w:val="20"/>
                <w:szCs w:val="20"/>
              </w:rPr>
            </w:pPr>
            <w:r w:rsidRPr="005F1775">
              <w:rPr>
                <w:rFonts w:ascii="Calibri" w:hAnsi="Calibri"/>
                <w:color w:val="000000"/>
                <w:sz w:val="20"/>
                <w:szCs w:val="20"/>
              </w:rPr>
              <w:t> </w:t>
            </w:r>
          </w:p>
        </w:tc>
        <w:tc>
          <w:tcPr>
            <w:tcW w:w="546" w:type="pct"/>
            <w:shd w:val="clear" w:color="auto" w:fill="auto"/>
            <w:vAlign w:val="center"/>
            <w:hideMark/>
          </w:tcPr>
          <w:p w14:paraId="2CABA425" w14:textId="77777777" w:rsidR="00A050C5" w:rsidRPr="005F1775" w:rsidRDefault="00A050C5" w:rsidP="002129F9">
            <w:pPr>
              <w:rPr>
                <w:rFonts w:ascii="Calibri" w:hAnsi="Calibri"/>
                <w:color w:val="000000"/>
                <w:sz w:val="20"/>
                <w:szCs w:val="20"/>
              </w:rPr>
            </w:pPr>
            <w:r w:rsidRPr="005F1775">
              <w:rPr>
                <w:rFonts w:ascii="Calibri" w:hAnsi="Calibri"/>
                <w:color w:val="000000"/>
                <w:sz w:val="20"/>
                <w:szCs w:val="20"/>
              </w:rPr>
              <w:t> </w:t>
            </w:r>
          </w:p>
        </w:tc>
      </w:tr>
      <w:tr w:rsidR="00A050C5" w:rsidRPr="005F1775" w14:paraId="2F2E09EF" w14:textId="77777777" w:rsidTr="002129F9">
        <w:trPr>
          <w:trHeight w:val="48"/>
        </w:trPr>
        <w:tc>
          <w:tcPr>
            <w:tcW w:w="1813" w:type="pct"/>
            <w:shd w:val="clear" w:color="000000" w:fill="FFFFFF"/>
            <w:vAlign w:val="center"/>
            <w:hideMark/>
          </w:tcPr>
          <w:p w14:paraId="516E3E68" w14:textId="77777777" w:rsidR="00A050C5" w:rsidRPr="00A01A9D" w:rsidRDefault="00A050C5" w:rsidP="002129F9">
            <w:pPr>
              <w:rPr>
                <w:rFonts w:ascii="Calibri" w:hAnsi="Calibri"/>
                <w:bCs/>
                <w:color w:val="000000"/>
                <w:sz w:val="20"/>
                <w:szCs w:val="20"/>
              </w:rPr>
            </w:pPr>
            <w:r w:rsidRPr="00A01A9D">
              <w:rPr>
                <w:rFonts w:ascii="Calibri" w:hAnsi="Calibri"/>
                <w:bCs/>
                <w:color w:val="000000"/>
                <w:sz w:val="20"/>
                <w:szCs w:val="20"/>
              </w:rPr>
              <w:t>School Recruitment</w:t>
            </w:r>
            <w:r>
              <w:rPr>
                <w:rFonts w:ascii="Calibri" w:hAnsi="Calibri"/>
                <w:bCs/>
                <w:color w:val="000000"/>
                <w:sz w:val="20"/>
                <w:szCs w:val="20"/>
              </w:rPr>
              <w:t xml:space="preserve"> </w:t>
            </w:r>
            <w:r w:rsidRPr="00A050C5">
              <w:rPr>
                <w:rFonts w:ascii="Calibri" w:hAnsi="Calibri"/>
                <w:bCs/>
                <w:color w:val="0000CC"/>
                <w:sz w:val="20"/>
                <w:szCs w:val="20"/>
              </w:rPr>
              <w:t>(Original Schools)</w:t>
            </w:r>
          </w:p>
        </w:tc>
        <w:tc>
          <w:tcPr>
            <w:tcW w:w="419" w:type="pct"/>
            <w:shd w:val="clear" w:color="000000" w:fill="FFFFFF"/>
            <w:vAlign w:val="center"/>
            <w:hideMark/>
          </w:tcPr>
          <w:p w14:paraId="0D5CFFE4" w14:textId="77777777" w:rsidR="00A050C5" w:rsidRPr="00A01A9D" w:rsidRDefault="00A050C5" w:rsidP="002129F9">
            <w:pPr>
              <w:jc w:val="right"/>
              <w:rPr>
                <w:rFonts w:ascii="Calibri" w:hAnsi="Calibri"/>
                <w:bCs/>
                <w:color w:val="000000"/>
                <w:sz w:val="20"/>
                <w:szCs w:val="20"/>
              </w:rPr>
            </w:pPr>
            <w:r>
              <w:rPr>
                <w:rFonts w:ascii="Calibri" w:hAnsi="Calibri"/>
                <w:bCs/>
                <w:color w:val="000000"/>
                <w:sz w:val="20"/>
                <w:szCs w:val="20"/>
              </w:rPr>
              <w:t>353</w:t>
            </w:r>
          </w:p>
        </w:tc>
        <w:tc>
          <w:tcPr>
            <w:tcW w:w="587" w:type="pct"/>
            <w:shd w:val="clear" w:color="000000" w:fill="FFFFFF"/>
            <w:vAlign w:val="center"/>
            <w:hideMark/>
          </w:tcPr>
          <w:p w14:paraId="43D174B7" w14:textId="75D7D9A2" w:rsidR="00A050C5" w:rsidRPr="00A01A9D" w:rsidRDefault="00A050C5" w:rsidP="002129F9">
            <w:pPr>
              <w:jc w:val="right"/>
              <w:rPr>
                <w:rFonts w:ascii="Calibri" w:hAnsi="Calibri"/>
                <w:bCs/>
                <w:color w:val="000000"/>
                <w:sz w:val="20"/>
                <w:szCs w:val="20"/>
              </w:rPr>
            </w:pPr>
            <w:r w:rsidRPr="00A050C5">
              <w:rPr>
                <w:rFonts w:ascii="Calibri" w:hAnsi="Calibri"/>
                <w:bCs/>
                <w:strike/>
                <w:color w:val="000000"/>
                <w:sz w:val="20"/>
                <w:szCs w:val="20"/>
              </w:rPr>
              <w:t>0.85</w:t>
            </w:r>
            <w:r>
              <w:rPr>
                <w:rFonts w:ascii="Calibri" w:hAnsi="Calibri"/>
                <w:bCs/>
                <w:color w:val="000000"/>
                <w:sz w:val="20"/>
                <w:szCs w:val="20"/>
              </w:rPr>
              <w:t xml:space="preserve"> </w:t>
            </w:r>
            <w:r w:rsidRPr="00A050C5">
              <w:rPr>
                <w:rFonts w:ascii="Calibri" w:hAnsi="Calibri"/>
                <w:bCs/>
                <w:color w:val="0000CC"/>
                <w:sz w:val="20"/>
                <w:szCs w:val="20"/>
              </w:rPr>
              <w:t>0.76*</w:t>
            </w:r>
          </w:p>
        </w:tc>
        <w:tc>
          <w:tcPr>
            <w:tcW w:w="546" w:type="pct"/>
            <w:shd w:val="clear" w:color="000000" w:fill="FFFFFF"/>
            <w:vAlign w:val="center"/>
            <w:hideMark/>
          </w:tcPr>
          <w:p w14:paraId="557774BC" w14:textId="74C52125" w:rsidR="00A050C5" w:rsidRPr="00A01A9D" w:rsidRDefault="00A050C5" w:rsidP="002129F9">
            <w:pPr>
              <w:jc w:val="right"/>
              <w:rPr>
                <w:rFonts w:ascii="Calibri" w:hAnsi="Calibri"/>
                <w:bCs/>
                <w:color w:val="000000"/>
                <w:sz w:val="20"/>
                <w:szCs w:val="20"/>
              </w:rPr>
            </w:pPr>
            <w:r w:rsidRPr="00A050C5">
              <w:rPr>
                <w:rFonts w:ascii="Calibri" w:hAnsi="Calibri"/>
                <w:bCs/>
                <w:strike/>
                <w:color w:val="000000"/>
                <w:sz w:val="20"/>
                <w:szCs w:val="20"/>
              </w:rPr>
              <w:t>300</w:t>
            </w:r>
            <w:r>
              <w:rPr>
                <w:rFonts w:ascii="Calibri" w:hAnsi="Calibri"/>
                <w:bCs/>
                <w:color w:val="000000"/>
                <w:sz w:val="20"/>
                <w:szCs w:val="20"/>
              </w:rPr>
              <w:t xml:space="preserve"> </w:t>
            </w:r>
            <w:r w:rsidRPr="00A050C5">
              <w:rPr>
                <w:rFonts w:ascii="Calibri" w:hAnsi="Calibri"/>
                <w:bCs/>
                <w:color w:val="0000CC"/>
                <w:sz w:val="20"/>
                <w:szCs w:val="20"/>
              </w:rPr>
              <w:t>270</w:t>
            </w:r>
          </w:p>
        </w:tc>
        <w:tc>
          <w:tcPr>
            <w:tcW w:w="544" w:type="pct"/>
            <w:shd w:val="clear" w:color="000000" w:fill="FFFFFF"/>
            <w:vAlign w:val="center"/>
            <w:hideMark/>
          </w:tcPr>
          <w:p w14:paraId="62C62B7C" w14:textId="01EE3A91" w:rsidR="00A050C5" w:rsidRPr="00A01A9D" w:rsidRDefault="00A050C5" w:rsidP="002129F9">
            <w:pPr>
              <w:jc w:val="right"/>
              <w:rPr>
                <w:rFonts w:ascii="Calibri" w:hAnsi="Calibri"/>
                <w:bCs/>
                <w:color w:val="000000"/>
                <w:sz w:val="20"/>
                <w:szCs w:val="20"/>
              </w:rPr>
            </w:pPr>
            <w:r w:rsidRPr="00A050C5">
              <w:rPr>
                <w:rFonts w:ascii="Calibri" w:hAnsi="Calibri"/>
                <w:bCs/>
                <w:strike/>
                <w:color w:val="000000"/>
                <w:sz w:val="20"/>
                <w:szCs w:val="20"/>
              </w:rPr>
              <w:t>300</w:t>
            </w:r>
            <w:r>
              <w:rPr>
                <w:rFonts w:ascii="Calibri" w:hAnsi="Calibri"/>
                <w:bCs/>
                <w:color w:val="000000"/>
                <w:sz w:val="20"/>
                <w:szCs w:val="20"/>
              </w:rPr>
              <w:t xml:space="preserve"> </w:t>
            </w:r>
            <w:r w:rsidRPr="00A050C5">
              <w:rPr>
                <w:rFonts w:ascii="Calibri" w:hAnsi="Calibri"/>
                <w:bCs/>
                <w:color w:val="0000CC"/>
                <w:sz w:val="20"/>
                <w:szCs w:val="20"/>
              </w:rPr>
              <w:t>270</w:t>
            </w:r>
          </w:p>
        </w:tc>
        <w:tc>
          <w:tcPr>
            <w:tcW w:w="545" w:type="pct"/>
            <w:shd w:val="clear" w:color="000000" w:fill="FFFFFF"/>
            <w:vAlign w:val="center"/>
            <w:hideMark/>
          </w:tcPr>
          <w:p w14:paraId="677F100F"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90</w:t>
            </w:r>
          </w:p>
        </w:tc>
        <w:tc>
          <w:tcPr>
            <w:tcW w:w="546" w:type="pct"/>
            <w:shd w:val="clear" w:color="000000" w:fill="FFFFFF"/>
            <w:vAlign w:val="center"/>
            <w:hideMark/>
          </w:tcPr>
          <w:p w14:paraId="1097EB64" w14:textId="2B496D45" w:rsidR="00A050C5" w:rsidRPr="00A01A9D" w:rsidRDefault="00A050C5" w:rsidP="002129F9">
            <w:pPr>
              <w:jc w:val="right"/>
              <w:rPr>
                <w:rFonts w:ascii="Calibri" w:hAnsi="Calibri"/>
                <w:bCs/>
                <w:color w:val="000000"/>
                <w:sz w:val="20"/>
                <w:szCs w:val="20"/>
              </w:rPr>
            </w:pPr>
            <w:r w:rsidRPr="00A050C5">
              <w:rPr>
                <w:rFonts w:ascii="Calibri" w:hAnsi="Calibri"/>
                <w:bCs/>
                <w:strike/>
                <w:color w:val="000000"/>
                <w:sz w:val="20"/>
                <w:szCs w:val="20"/>
              </w:rPr>
              <w:t>450</w:t>
            </w:r>
            <w:r>
              <w:rPr>
                <w:rFonts w:ascii="Calibri" w:hAnsi="Calibri"/>
                <w:bCs/>
                <w:color w:val="000000"/>
                <w:sz w:val="20"/>
                <w:szCs w:val="20"/>
              </w:rPr>
              <w:t xml:space="preserve"> </w:t>
            </w:r>
            <w:r w:rsidRPr="00A050C5">
              <w:rPr>
                <w:rFonts w:ascii="Calibri" w:hAnsi="Calibri"/>
                <w:bCs/>
                <w:color w:val="0000CC"/>
                <w:sz w:val="20"/>
                <w:szCs w:val="20"/>
              </w:rPr>
              <w:t>405</w:t>
            </w:r>
          </w:p>
        </w:tc>
      </w:tr>
      <w:tr w:rsidR="00A050C5" w:rsidRPr="00A050C5" w14:paraId="6528627D" w14:textId="77777777" w:rsidTr="002129F9">
        <w:trPr>
          <w:trHeight w:val="48"/>
        </w:trPr>
        <w:tc>
          <w:tcPr>
            <w:tcW w:w="1813" w:type="pct"/>
            <w:shd w:val="clear" w:color="000000" w:fill="FFFFFF"/>
            <w:vAlign w:val="center"/>
          </w:tcPr>
          <w:p w14:paraId="143FEEEB" w14:textId="77777777" w:rsidR="00A050C5" w:rsidRPr="00A050C5" w:rsidRDefault="00A050C5" w:rsidP="002129F9">
            <w:pPr>
              <w:rPr>
                <w:rFonts w:ascii="Calibri" w:hAnsi="Calibri"/>
                <w:bCs/>
                <w:color w:val="0000CC"/>
                <w:sz w:val="20"/>
                <w:szCs w:val="20"/>
              </w:rPr>
            </w:pPr>
            <w:r w:rsidRPr="00A050C5">
              <w:rPr>
                <w:rFonts w:ascii="Calibri" w:hAnsi="Calibri"/>
                <w:bCs/>
                <w:color w:val="0000CC"/>
                <w:sz w:val="20"/>
                <w:szCs w:val="20"/>
              </w:rPr>
              <w:t>School Recruitment (Replacement Schools)</w:t>
            </w:r>
          </w:p>
        </w:tc>
        <w:tc>
          <w:tcPr>
            <w:tcW w:w="419" w:type="pct"/>
            <w:shd w:val="clear" w:color="000000" w:fill="FFFFFF"/>
            <w:vAlign w:val="center"/>
          </w:tcPr>
          <w:p w14:paraId="73BD5FB8" w14:textId="77777777" w:rsidR="00A050C5" w:rsidRPr="00A050C5" w:rsidRDefault="00A050C5" w:rsidP="002129F9">
            <w:pPr>
              <w:jc w:val="right"/>
              <w:rPr>
                <w:rFonts w:ascii="Calibri" w:hAnsi="Calibri"/>
                <w:bCs/>
                <w:color w:val="0000CC"/>
                <w:sz w:val="20"/>
                <w:szCs w:val="20"/>
              </w:rPr>
            </w:pPr>
            <w:r w:rsidRPr="00A050C5">
              <w:rPr>
                <w:rFonts w:ascii="Calibri" w:hAnsi="Calibri"/>
                <w:bCs/>
                <w:color w:val="0000CC"/>
                <w:sz w:val="20"/>
                <w:szCs w:val="20"/>
              </w:rPr>
              <w:t>120</w:t>
            </w:r>
          </w:p>
        </w:tc>
        <w:tc>
          <w:tcPr>
            <w:tcW w:w="587" w:type="pct"/>
            <w:shd w:val="clear" w:color="000000" w:fill="FFFFFF"/>
            <w:vAlign w:val="center"/>
          </w:tcPr>
          <w:p w14:paraId="430E1872" w14:textId="77777777" w:rsidR="00A050C5" w:rsidRPr="00A050C5" w:rsidRDefault="00A050C5" w:rsidP="002129F9">
            <w:pPr>
              <w:jc w:val="right"/>
              <w:rPr>
                <w:rFonts w:ascii="Calibri" w:hAnsi="Calibri"/>
                <w:bCs/>
                <w:color w:val="0000CC"/>
                <w:sz w:val="20"/>
                <w:szCs w:val="20"/>
              </w:rPr>
            </w:pPr>
            <w:r w:rsidRPr="00A050C5">
              <w:rPr>
                <w:rFonts w:ascii="Calibri" w:hAnsi="Calibri"/>
                <w:bCs/>
                <w:color w:val="0000CC"/>
                <w:sz w:val="20"/>
                <w:szCs w:val="20"/>
              </w:rPr>
              <w:t>0.25*</w:t>
            </w:r>
          </w:p>
        </w:tc>
        <w:tc>
          <w:tcPr>
            <w:tcW w:w="546" w:type="pct"/>
            <w:shd w:val="clear" w:color="000000" w:fill="FFFFFF"/>
            <w:vAlign w:val="center"/>
          </w:tcPr>
          <w:p w14:paraId="0ECC97F9" w14:textId="77777777" w:rsidR="00A050C5" w:rsidRPr="00A050C5" w:rsidRDefault="00A050C5" w:rsidP="002129F9">
            <w:pPr>
              <w:jc w:val="right"/>
              <w:rPr>
                <w:rFonts w:ascii="Calibri" w:hAnsi="Calibri"/>
                <w:bCs/>
                <w:color w:val="0000CC"/>
                <w:sz w:val="20"/>
                <w:szCs w:val="20"/>
              </w:rPr>
            </w:pPr>
            <w:r w:rsidRPr="00A050C5">
              <w:rPr>
                <w:rFonts w:ascii="Calibri" w:hAnsi="Calibri"/>
                <w:bCs/>
                <w:color w:val="0000CC"/>
                <w:sz w:val="20"/>
                <w:szCs w:val="20"/>
              </w:rPr>
              <w:t>30</w:t>
            </w:r>
          </w:p>
        </w:tc>
        <w:tc>
          <w:tcPr>
            <w:tcW w:w="544" w:type="pct"/>
            <w:shd w:val="clear" w:color="000000" w:fill="FFFFFF"/>
            <w:vAlign w:val="center"/>
          </w:tcPr>
          <w:p w14:paraId="59EED4AB" w14:textId="77777777" w:rsidR="00A050C5" w:rsidRPr="00A050C5" w:rsidRDefault="00A050C5" w:rsidP="002129F9">
            <w:pPr>
              <w:jc w:val="right"/>
              <w:rPr>
                <w:rFonts w:ascii="Calibri" w:hAnsi="Calibri"/>
                <w:bCs/>
                <w:color w:val="0000CC"/>
                <w:sz w:val="20"/>
                <w:szCs w:val="20"/>
              </w:rPr>
            </w:pPr>
            <w:r w:rsidRPr="00A050C5">
              <w:rPr>
                <w:rFonts w:ascii="Calibri" w:hAnsi="Calibri"/>
                <w:bCs/>
                <w:color w:val="0000CC"/>
                <w:sz w:val="20"/>
                <w:szCs w:val="20"/>
              </w:rPr>
              <w:t>30</w:t>
            </w:r>
          </w:p>
        </w:tc>
        <w:tc>
          <w:tcPr>
            <w:tcW w:w="545" w:type="pct"/>
            <w:shd w:val="clear" w:color="000000" w:fill="FFFFFF"/>
            <w:vAlign w:val="center"/>
          </w:tcPr>
          <w:p w14:paraId="3A617A37" w14:textId="77777777" w:rsidR="00A050C5" w:rsidRPr="00A050C5" w:rsidRDefault="00A050C5" w:rsidP="002129F9">
            <w:pPr>
              <w:jc w:val="right"/>
              <w:rPr>
                <w:rFonts w:ascii="Calibri" w:hAnsi="Calibri"/>
                <w:bCs/>
                <w:color w:val="0000CC"/>
                <w:sz w:val="20"/>
                <w:szCs w:val="20"/>
              </w:rPr>
            </w:pPr>
            <w:r w:rsidRPr="00A050C5">
              <w:rPr>
                <w:rFonts w:ascii="Calibri" w:hAnsi="Calibri"/>
                <w:bCs/>
                <w:color w:val="0000CC"/>
                <w:sz w:val="20"/>
                <w:szCs w:val="20"/>
              </w:rPr>
              <w:t>90</w:t>
            </w:r>
          </w:p>
        </w:tc>
        <w:tc>
          <w:tcPr>
            <w:tcW w:w="546" w:type="pct"/>
            <w:shd w:val="clear" w:color="000000" w:fill="FFFFFF"/>
            <w:vAlign w:val="center"/>
          </w:tcPr>
          <w:p w14:paraId="489A5E81" w14:textId="77777777" w:rsidR="00A050C5" w:rsidRPr="00A050C5" w:rsidRDefault="00A050C5" w:rsidP="002129F9">
            <w:pPr>
              <w:jc w:val="right"/>
              <w:rPr>
                <w:rFonts w:ascii="Calibri" w:hAnsi="Calibri"/>
                <w:bCs/>
                <w:color w:val="0000CC"/>
                <w:sz w:val="20"/>
                <w:szCs w:val="20"/>
              </w:rPr>
            </w:pPr>
            <w:r w:rsidRPr="00A050C5">
              <w:rPr>
                <w:rFonts w:ascii="Calibri" w:hAnsi="Calibri"/>
                <w:bCs/>
                <w:color w:val="0000CC"/>
                <w:sz w:val="20"/>
                <w:szCs w:val="20"/>
              </w:rPr>
              <w:t>45</w:t>
            </w:r>
          </w:p>
        </w:tc>
      </w:tr>
      <w:tr w:rsidR="00A050C5" w:rsidRPr="005F1775" w14:paraId="49BD42AD" w14:textId="77777777" w:rsidTr="002129F9">
        <w:trPr>
          <w:trHeight w:val="48"/>
        </w:trPr>
        <w:tc>
          <w:tcPr>
            <w:tcW w:w="1813" w:type="pct"/>
            <w:shd w:val="clear" w:color="000000" w:fill="FFFFFF"/>
            <w:vAlign w:val="center"/>
            <w:hideMark/>
          </w:tcPr>
          <w:p w14:paraId="59573744" w14:textId="77777777" w:rsidR="00A050C5" w:rsidRPr="00A01A9D" w:rsidRDefault="00A050C5" w:rsidP="002129F9">
            <w:pPr>
              <w:rPr>
                <w:rFonts w:ascii="Calibri" w:hAnsi="Calibri"/>
                <w:bCs/>
                <w:color w:val="000000"/>
                <w:sz w:val="20"/>
                <w:szCs w:val="20"/>
              </w:rPr>
            </w:pPr>
            <w:r w:rsidRPr="00A01A9D">
              <w:rPr>
                <w:rFonts w:ascii="Calibri" w:hAnsi="Calibri"/>
                <w:bCs/>
                <w:color w:val="000000"/>
                <w:sz w:val="20"/>
                <w:szCs w:val="20"/>
              </w:rPr>
              <w:t>School Coordinator</w:t>
            </w:r>
          </w:p>
        </w:tc>
        <w:tc>
          <w:tcPr>
            <w:tcW w:w="419" w:type="pct"/>
            <w:shd w:val="clear" w:color="auto" w:fill="auto"/>
            <w:vAlign w:val="center"/>
            <w:hideMark/>
          </w:tcPr>
          <w:p w14:paraId="01F00E17" w14:textId="77777777" w:rsidR="00A050C5" w:rsidRPr="00A01A9D" w:rsidRDefault="00A050C5" w:rsidP="002129F9">
            <w:pPr>
              <w:jc w:val="right"/>
              <w:rPr>
                <w:rFonts w:ascii="Calibri" w:hAnsi="Calibri"/>
                <w:bCs/>
                <w:color w:val="000000"/>
                <w:sz w:val="20"/>
                <w:szCs w:val="20"/>
              </w:rPr>
            </w:pPr>
            <w:r>
              <w:rPr>
                <w:rFonts w:ascii="Calibri" w:hAnsi="Calibri"/>
                <w:bCs/>
                <w:color w:val="000000"/>
                <w:sz w:val="20"/>
                <w:szCs w:val="20"/>
              </w:rPr>
              <w:t>353</w:t>
            </w:r>
          </w:p>
        </w:tc>
        <w:tc>
          <w:tcPr>
            <w:tcW w:w="587" w:type="pct"/>
            <w:shd w:val="clear" w:color="000000" w:fill="FFFFFF"/>
            <w:vAlign w:val="center"/>
            <w:hideMark/>
          </w:tcPr>
          <w:p w14:paraId="7159286C"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0.85</w:t>
            </w:r>
          </w:p>
        </w:tc>
        <w:tc>
          <w:tcPr>
            <w:tcW w:w="546" w:type="pct"/>
            <w:shd w:val="clear" w:color="000000" w:fill="FFFFFF"/>
            <w:vAlign w:val="center"/>
            <w:hideMark/>
          </w:tcPr>
          <w:p w14:paraId="0470AD8D" w14:textId="77777777" w:rsidR="00A050C5" w:rsidRPr="00A01A9D" w:rsidRDefault="00A050C5" w:rsidP="002129F9">
            <w:pPr>
              <w:jc w:val="right"/>
              <w:rPr>
                <w:rFonts w:ascii="Calibri" w:hAnsi="Calibri"/>
                <w:bCs/>
                <w:color w:val="000000"/>
                <w:sz w:val="20"/>
                <w:szCs w:val="20"/>
              </w:rPr>
            </w:pPr>
            <w:r>
              <w:rPr>
                <w:rFonts w:ascii="Calibri" w:hAnsi="Calibri"/>
                <w:bCs/>
                <w:color w:val="000000"/>
                <w:sz w:val="20"/>
                <w:szCs w:val="20"/>
              </w:rPr>
              <w:t>300</w:t>
            </w:r>
          </w:p>
        </w:tc>
        <w:tc>
          <w:tcPr>
            <w:tcW w:w="544" w:type="pct"/>
            <w:shd w:val="clear" w:color="000000" w:fill="FFFFFF"/>
            <w:vAlign w:val="center"/>
            <w:hideMark/>
          </w:tcPr>
          <w:p w14:paraId="71BEBD6E" w14:textId="77777777" w:rsidR="00A050C5" w:rsidRPr="00A01A9D" w:rsidRDefault="00A050C5" w:rsidP="002129F9">
            <w:pPr>
              <w:jc w:val="right"/>
              <w:rPr>
                <w:rFonts w:ascii="Calibri" w:hAnsi="Calibri"/>
                <w:bCs/>
                <w:color w:val="000000"/>
                <w:sz w:val="20"/>
                <w:szCs w:val="20"/>
              </w:rPr>
            </w:pPr>
            <w:r>
              <w:rPr>
                <w:rFonts w:ascii="Calibri" w:hAnsi="Calibri"/>
                <w:bCs/>
                <w:color w:val="000000"/>
                <w:sz w:val="20"/>
                <w:szCs w:val="20"/>
              </w:rPr>
              <w:t>300</w:t>
            </w:r>
          </w:p>
        </w:tc>
        <w:tc>
          <w:tcPr>
            <w:tcW w:w="545" w:type="pct"/>
            <w:shd w:val="clear" w:color="auto" w:fill="auto"/>
            <w:vAlign w:val="center"/>
            <w:hideMark/>
          </w:tcPr>
          <w:p w14:paraId="3D76228B"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240</w:t>
            </w:r>
          </w:p>
        </w:tc>
        <w:tc>
          <w:tcPr>
            <w:tcW w:w="546" w:type="pct"/>
            <w:shd w:val="clear" w:color="000000" w:fill="FFFFFF"/>
            <w:vAlign w:val="center"/>
            <w:hideMark/>
          </w:tcPr>
          <w:p w14:paraId="7817F274" w14:textId="77777777" w:rsidR="00A050C5" w:rsidRPr="00A01A9D" w:rsidRDefault="00A050C5" w:rsidP="002129F9">
            <w:pPr>
              <w:jc w:val="right"/>
              <w:rPr>
                <w:rFonts w:ascii="Calibri" w:hAnsi="Calibri"/>
                <w:bCs/>
                <w:color w:val="000000"/>
                <w:sz w:val="20"/>
                <w:szCs w:val="20"/>
              </w:rPr>
            </w:pPr>
            <w:r>
              <w:rPr>
                <w:rFonts w:ascii="Calibri" w:hAnsi="Calibri"/>
                <w:bCs/>
                <w:color w:val="000000"/>
                <w:sz w:val="20"/>
                <w:szCs w:val="20"/>
              </w:rPr>
              <w:t>1,2</w:t>
            </w:r>
            <w:r w:rsidRPr="00A01A9D">
              <w:rPr>
                <w:rFonts w:ascii="Calibri" w:hAnsi="Calibri"/>
                <w:bCs/>
                <w:color w:val="000000"/>
                <w:sz w:val="20"/>
                <w:szCs w:val="20"/>
              </w:rPr>
              <w:t>00</w:t>
            </w:r>
          </w:p>
        </w:tc>
      </w:tr>
      <w:tr w:rsidR="00A050C5" w:rsidRPr="005F1775" w14:paraId="724A3BEC" w14:textId="77777777" w:rsidTr="002129F9">
        <w:trPr>
          <w:trHeight w:val="115"/>
        </w:trPr>
        <w:tc>
          <w:tcPr>
            <w:tcW w:w="1813" w:type="pct"/>
            <w:shd w:val="clear" w:color="000000" w:fill="FFFFFF"/>
            <w:vAlign w:val="center"/>
            <w:hideMark/>
          </w:tcPr>
          <w:p w14:paraId="7CB3CE52" w14:textId="77777777" w:rsidR="00A050C5" w:rsidRPr="00A01A9D" w:rsidRDefault="00A050C5" w:rsidP="002129F9">
            <w:pPr>
              <w:rPr>
                <w:rFonts w:ascii="Calibri" w:hAnsi="Calibri"/>
                <w:bCs/>
                <w:color w:val="000000"/>
                <w:sz w:val="20"/>
                <w:szCs w:val="20"/>
              </w:rPr>
            </w:pPr>
            <w:r w:rsidRPr="00A01A9D">
              <w:rPr>
                <w:rFonts w:ascii="Calibri" w:hAnsi="Calibri"/>
                <w:bCs/>
                <w:color w:val="000000"/>
                <w:sz w:val="20"/>
                <w:szCs w:val="20"/>
              </w:rPr>
              <w:t>District IRB Staff Study Approval</w:t>
            </w:r>
          </w:p>
        </w:tc>
        <w:tc>
          <w:tcPr>
            <w:tcW w:w="419" w:type="pct"/>
            <w:shd w:val="clear" w:color="000000" w:fill="FFFFFF"/>
            <w:vAlign w:val="center"/>
            <w:hideMark/>
          </w:tcPr>
          <w:p w14:paraId="18FF1A13"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40</w:t>
            </w:r>
          </w:p>
        </w:tc>
        <w:tc>
          <w:tcPr>
            <w:tcW w:w="587" w:type="pct"/>
            <w:shd w:val="clear" w:color="000000" w:fill="FFFFFF"/>
            <w:vAlign w:val="center"/>
            <w:hideMark/>
          </w:tcPr>
          <w:p w14:paraId="0D980F2A"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1</w:t>
            </w:r>
          </w:p>
        </w:tc>
        <w:tc>
          <w:tcPr>
            <w:tcW w:w="546" w:type="pct"/>
            <w:shd w:val="clear" w:color="000000" w:fill="FFFFFF"/>
            <w:vAlign w:val="center"/>
            <w:hideMark/>
          </w:tcPr>
          <w:p w14:paraId="1D8A83F2"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40</w:t>
            </w:r>
          </w:p>
        </w:tc>
        <w:tc>
          <w:tcPr>
            <w:tcW w:w="544" w:type="pct"/>
            <w:shd w:val="clear" w:color="000000" w:fill="FFFFFF"/>
            <w:vAlign w:val="center"/>
            <w:hideMark/>
          </w:tcPr>
          <w:p w14:paraId="65F48B8A"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40</w:t>
            </w:r>
          </w:p>
        </w:tc>
        <w:tc>
          <w:tcPr>
            <w:tcW w:w="545" w:type="pct"/>
            <w:shd w:val="clear" w:color="000000" w:fill="FFFFFF"/>
            <w:vAlign w:val="center"/>
            <w:hideMark/>
          </w:tcPr>
          <w:p w14:paraId="719A28E9"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120</w:t>
            </w:r>
          </w:p>
        </w:tc>
        <w:tc>
          <w:tcPr>
            <w:tcW w:w="546" w:type="pct"/>
            <w:shd w:val="clear" w:color="000000" w:fill="FFFFFF"/>
            <w:vAlign w:val="center"/>
            <w:hideMark/>
          </w:tcPr>
          <w:p w14:paraId="4220758B"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80</w:t>
            </w:r>
          </w:p>
        </w:tc>
      </w:tr>
      <w:tr w:rsidR="00A050C5" w:rsidRPr="005F1775" w14:paraId="427FE78C" w14:textId="77777777" w:rsidTr="002129F9">
        <w:trPr>
          <w:trHeight w:val="124"/>
        </w:trPr>
        <w:tc>
          <w:tcPr>
            <w:tcW w:w="1813" w:type="pct"/>
            <w:shd w:val="clear" w:color="auto" w:fill="auto"/>
            <w:vAlign w:val="center"/>
            <w:hideMark/>
          </w:tcPr>
          <w:p w14:paraId="24E9B230" w14:textId="77777777" w:rsidR="00A050C5" w:rsidRPr="00A01A9D" w:rsidRDefault="00A050C5" w:rsidP="002129F9">
            <w:pPr>
              <w:rPr>
                <w:rFonts w:ascii="Calibri" w:hAnsi="Calibri"/>
                <w:bCs/>
                <w:color w:val="000000"/>
                <w:sz w:val="20"/>
                <w:szCs w:val="20"/>
              </w:rPr>
            </w:pPr>
            <w:r w:rsidRPr="00A01A9D">
              <w:rPr>
                <w:rFonts w:ascii="Calibri" w:hAnsi="Calibri"/>
                <w:bCs/>
                <w:color w:val="000000"/>
                <w:sz w:val="20"/>
                <w:szCs w:val="20"/>
              </w:rPr>
              <w:t>District IRB Panel Study Approval</w:t>
            </w:r>
          </w:p>
        </w:tc>
        <w:tc>
          <w:tcPr>
            <w:tcW w:w="419" w:type="pct"/>
            <w:shd w:val="clear" w:color="auto" w:fill="auto"/>
            <w:vAlign w:val="center"/>
            <w:hideMark/>
          </w:tcPr>
          <w:p w14:paraId="3465B308"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240</w:t>
            </w:r>
          </w:p>
        </w:tc>
        <w:tc>
          <w:tcPr>
            <w:tcW w:w="587" w:type="pct"/>
            <w:shd w:val="clear" w:color="auto" w:fill="auto"/>
            <w:vAlign w:val="center"/>
            <w:hideMark/>
          </w:tcPr>
          <w:p w14:paraId="3C91FA58"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1</w:t>
            </w:r>
          </w:p>
        </w:tc>
        <w:tc>
          <w:tcPr>
            <w:tcW w:w="546" w:type="pct"/>
            <w:shd w:val="clear" w:color="auto" w:fill="auto"/>
            <w:vAlign w:val="center"/>
            <w:hideMark/>
          </w:tcPr>
          <w:p w14:paraId="473DE3E6"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240</w:t>
            </w:r>
          </w:p>
        </w:tc>
        <w:tc>
          <w:tcPr>
            <w:tcW w:w="544" w:type="pct"/>
            <w:shd w:val="clear" w:color="auto" w:fill="auto"/>
            <w:vAlign w:val="center"/>
            <w:hideMark/>
          </w:tcPr>
          <w:p w14:paraId="2C5CD7E8"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240</w:t>
            </w:r>
          </w:p>
        </w:tc>
        <w:tc>
          <w:tcPr>
            <w:tcW w:w="545" w:type="pct"/>
            <w:shd w:val="clear" w:color="auto" w:fill="auto"/>
            <w:vAlign w:val="center"/>
            <w:hideMark/>
          </w:tcPr>
          <w:p w14:paraId="00D3A199"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60</w:t>
            </w:r>
          </w:p>
        </w:tc>
        <w:tc>
          <w:tcPr>
            <w:tcW w:w="546" w:type="pct"/>
            <w:shd w:val="clear" w:color="auto" w:fill="auto"/>
            <w:vAlign w:val="center"/>
            <w:hideMark/>
          </w:tcPr>
          <w:p w14:paraId="51EB148B" w14:textId="77777777" w:rsidR="00A050C5" w:rsidRPr="00A01A9D" w:rsidRDefault="00A050C5" w:rsidP="002129F9">
            <w:pPr>
              <w:jc w:val="right"/>
              <w:rPr>
                <w:rFonts w:ascii="Calibri" w:hAnsi="Calibri"/>
                <w:bCs/>
                <w:color w:val="000000"/>
                <w:sz w:val="20"/>
                <w:szCs w:val="20"/>
              </w:rPr>
            </w:pPr>
            <w:r w:rsidRPr="00A01A9D">
              <w:rPr>
                <w:rFonts w:ascii="Calibri" w:hAnsi="Calibri"/>
                <w:bCs/>
                <w:color w:val="000000"/>
                <w:sz w:val="20"/>
                <w:szCs w:val="20"/>
              </w:rPr>
              <w:t>240</w:t>
            </w:r>
          </w:p>
        </w:tc>
      </w:tr>
      <w:tr w:rsidR="00A050C5" w:rsidRPr="00A843E9" w14:paraId="0D9EAA3B" w14:textId="77777777" w:rsidTr="002129F9">
        <w:trPr>
          <w:trHeight w:val="38"/>
        </w:trPr>
        <w:tc>
          <w:tcPr>
            <w:tcW w:w="1813" w:type="pct"/>
            <w:shd w:val="clear" w:color="auto" w:fill="auto"/>
            <w:vAlign w:val="center"/>
            <w:hideMark/>
          </w:tcPr>
          <w:p w14:paraId="3FE2BD00" w14:textId="77777777" w:rsidR="00A050C5" w:rsidRPr="00A843E9" w:rsidRDefault="00A050C5" w:rsidP="002129F9">
            <w:pPr>
              <w:rPr>
                <w:rFonts w:ascii="Calibri" w:hAnsi="Calibri"/>
                <w:color w:val="808080" w:themeColor="background1" w:themeShade="80"/>
                <w:sz w:val="20"/>
                <w:szCs w:val="20"/>
              </w:rPr>
            </w:pPr>
            <w:r w:rsidRPr="00A843E9">
              <w:rPr>
                <w:rFonts w:ascii="Calibri" w:hAnsi="Calibri"/>
                <w:color w:val="808080" w:themeColor="background1" w:themeShade="80"/>
                <w:sz w:val="20"/>
                <w:szCs w:val="20"/>
              </w:rPr>
              <w:t xml:space="preserve">Student Directions </w:t>
            </w:r>
          </w:p>
        </w:tc>
        <w:tc>
          <w:tcPr>
            <w:tcW w:w="419" w:type="pct"/>
            <w:shd w:val="clear" w:color="auto" w:fill="auto"/>
            <w:vAlign w:val="center"/>
            <w:hideMark/>
          </w:tcPr>
          <w:p w14:paraId="78798C5A"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11,2</w:t>
            </w:r>
            <w:r w:rsidRPr="00A843E9">
              <w:rPr>
                <w:rFonts w:ascii="Calibri" w:hAnsi="Calibri"/>
                <w:color w:val="808080" w:themeColor="background1" w:themeShade="80"/>
                <w:sz w:val="20"/>
                <w:szCs w:val="20"/>
              </w:rPr>
              <w:t>50</w:t>
            </w:r>
          </w:p>
        </w:tc>
        <w:tc>
          <w:tcPr>
            <w:tcW w:w="587" w:type="pct"/>
            <w:shd w:val="clear" w:color="auto" w:fill="auto"/>
            <w:vAlign w:val="center"/>
            <w:hideMark/>
          </w:tcPr>
          <w:p w14:paraId="6A0A535A" w14:textId="77777777" w:rsidR="00A050C5" w:rsidRPr="00A843E9" w:rsidRDefault="00A050C5" w:rsidP="002129F9">
            <w:pPr>
              <w:jc w:val="right"/>
              <w:rPr>
                <w:rFonts w:ascii="Calibri" w:hAnsi="Calibri"/>
                <w:color w:val="808080" w:themeColor="background1" w:themeShade="80"/>
                <w:sz w:val="20"/>
                <w:szCs w:val="20"/>
              </w:rPr>
            </w:pPr>
            <w:r w:rsidRPr="00A843E9">
              <w:rPr>
                <w:rFonts w:ascii="Calibri" w:hAnsi="Calibri"/>
                <w:color w:val="808080" w:themeColor="background1" w:themeShade="80"/>
                <w:sz w:val="20"/>
                <w:szCs w:val="20"/>
              </w:rPr>
              <w:t>0.85</w:t>
            </w:r>
          </w:p>
        </w:tc>
        <w:tc>
          <w:tcPr>
            <w:tcW w:w="546" w:type="pct"/>
            <w:shd w:val="clear" w:color="auto" w:fill="auto"/>
            <w:vAlign w:val="center"/>
            <w:hideMark/>
          </w:tcPr>
          <w:p w14:paraId="292C8AE0"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9,562</w:t>
            </w:r>
          </w:p>
        </w:tc>
        <w:tc>
          <w:tcPr>
            <w:tcW w:w="544" w:type="pct"/>
            <w:shd w:val="clear" w:color="auto" w:fill="auto"/>
            <w:vAlign w:val="center"/>
            <w:hideMark/>
          </w:tcPr>
          <w:p w14:paraId="2CD86B6C"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9,562</w:t>
            </w:r>
          </w:p>
        </w:tc>
        <w:tc>
          <w:tcPr>
            <w:tcW w:w="545" w:type="pct"/>
            <w:shd w:val="clear" w:color="auto" w:fill="auto"/>
            <w:vAlign w:val="center"/>
            <w:hideMark/>
          </w:tcPr>
          <w:p w14:paraId="059DE2FB" w14:textId="77777777" w:rsidR="00A050C5" w:rsidRPr="00A843E9" w:rsidRDefault="00A050C5" w:rsidP="002129F9">
            <w:pPr>
              <w:jc w:val="right"/>
              <w:rPr>
                <w:rFonts w:ascii="Calibri" w:hAnsi="Calibri"/>
                <w:color w:val="808080" w:themeColor="background1" w:themeShade="80"/>
                <w:sz w:val="20"/>
                <w:szCs w:val="20"/>
              </w:rPr>
            </w:pPr>
            <w:r w:rsidRPr="00A843E9">
              <w:rPr>
                <w:rFonts w:ascii="Calibri" w:hAnsi="Calibri"/>
                <w:color w:val="808080" w:themeColor="background1" w:themeShade="80"/>
                <w:sz w:val="20"/>
                <w:szCs w:val="20"/>
              </w:rPr>
              <w:t>15</w:t>
            </w:r>
          </w:p>
        </w:tc>
        <w:tc>
          <w:tcPr>
            <w:tcW w:w="546" w:type="pct"/>
            <w:shd w:val="clear" w:color="auto" w:fill="auto"/>
            <w:vAlign w:val="center"/>
            <w:hideMark/>
          </w:tcPr>
          <w:p w14:paraId="15197B5F"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2,391</w:t>
            </w:r>
          </w:p>
        </w:tc>
      </w:tr>
      <w:tr w:rsidR="00A050C5" w:rsidRPr="00A843E9" w14:paraId="0455DF37" w14:textId="77777777" w:rsidTr="002129F9">
        <w:trPr>
          <w:trHeight w:val="79"/>
        </w:trPr>
        <w:tc>
          <w:tcPr>
            <w:tcW w:w="1813" w:type="pct"/>
            <w:shd w:val="clear" w:color="auto" w:fill="auto"/>
            <w:vAlign w:val="center"/>
            <w:hideMark/>
          </w:tcPr>
          <w:p w14:paraId="1AF54E30" w14:textId="77777777" w:rsidR="00A050C5" w:rsidRPr="00A843E9" w:rsidRDefault="00A050C5" w:rsidP="002129F9">
            <w:pPr>
              <w:rPr>
                <w:rFonts w:ascii="Calibri" w:hAnsi="Calibri"/>
                <w:color w:val="808080" w:themeColor="background1" w:themeShade="80"/>
                <w:sz w:val="20"/>
                <w:szCs w:val="20"/>
              </w:rPr>
            </w:pPr>
            <w:r w:rsidRPr="00A843E9">
              <w:rPr>
                <w:rFonts w:ascii="Calibri" w:hAnsi="Calibri"/>
                <w:color w:val="808080" w:themeColor="background1" w:themeShade="80"/>
                <w:sz w:val="20"/>
                <w:szCs w:val="20"/>
              </w:rPr>
              <w:t xml:space="preserve">Student Assessment </w:t>
            </w:r>
          </w:p>
        </w:tc>
        <w:tc>
          <w:tcPr>
            <w:tcW w:w="419" w:type="pct"/>
            <w:shd w:val="clear" w:color="auto" w:fill="auto"/>
            <w:vAlign w:val="center"/>
            <w:hideMark/>
          </w:tcPr>
          <w:p w14:paraId="4FC5361E"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11,2</w:t>
            </w:r>
            <w:r w:rsidRPr="00A843E9">
              <w:rPr>
                <w:rFonts w:ascii="Calibri" w:hAnsi="Calibri"/>
                <w:color w:val="808080" w:themeColor="background1" w:themeShade="80"/>
                <w:sz w:val="20"/>
                <w:szCs w:val="20"/>
              </w:rPr>
              <w:t>50</w:t>
            </w:r>
          </w:p>
        </w:tc>
        <w:tc>
          <w:tcPr>
            <w:tcW w:w="587" w:type="pct"/>
            <w:shd w:val="clear" w:color="auto" w:fill="auto"/>
            <w:vAlign w:val="center"/>
            <w:hideMark/>
          </w:tcPr>
          <w:p w14:paraId="5BB9FCF5" w14:textId="77777777" w:rsidR="00A050C5" w:rsidRPr="00A843E9" w:rsidRDefault="00A050C5" w:rsidP="002129F9">
            <w:pPr>
              <w:jc w:val="right"/>
              <w:rPr>
                <w:rFonts w:ascii="Calibri" w:hAnsi="Calibri"/>
                <w:color w:val="808080" w:themeColor="background1" w:themeShade="80"/>
                <w:sz w:val="20"/>
                <w:szCs w:val="20"/>
              </w:rPr>
            </w:pPr>
            <w:r w:rsidRPr="00A843E9">
              <w:rPr>
                <w:rFonts w:ascii="Calibri" w:hAnsi="Calibri"/>
                <w:color w:val="808080" w:themeColor="background1" w:themeShade="80"/>
                <w:sz w:val="20"/>
                <w:szCs w:val="20"/>
              </w:rPr>
              <w:t>0.85</w:t>
            </w:r>
          </w:p>
        </w:tc>
        <w:tc>
          <w:tcPr>
            <w:tcW w:w="546" w:type="pct"/>
            <w:shd w:val="clear" w:color="auto" w:fill="auto"/>
            <w:vAlign w:val="center"/>
            <w:hideMark/>
          </w:tcPr>
          <w:p w14:paraId="092A179A"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9,562</w:t>
            </w:r>
          </w:p>
        </w:tc>
        <w:tc>
          <w:tcPr>
            <w:tcW w:w="544" w:type="pct"/>
            <w:shd w:val="clear" w:color="auto" w:fill="auto"/>
            <w:vAlign w:val="center"/>
            <w:hideMark/>
          </w:tcPr>
          <w:p w14:paraId="2ED82532"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9,562</w:t>
            </w:r>
          </w:p>
        </w:tc>
        <w:tc>
          <w:tcPr>
            <w:tcW w:w="545" w:type="pct"/>
            <w:shd w:val="clear" w:color="auto" w:fill="auto"/>
            <w:vAlign w:val="center"/>
            <w:hideMark/>
          </w:tcPr>
          <w:p w14:paraId="3517B61F"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120</w:t>
            </w:r>
          </w:p>
        </w:tc>
        <w:tc>
          <w:tcPr>
            <w:tcW w:w="546" w:type="pct"/>
            <w:shd w:val="clear" w:color="auto" w:fill="auto"/>
            <w:vAlign w:val="center"/>
            <w:hideMark/>
          </w:tcPr>
          <w:p w14:paraId="69B29D9F" w14:textId="77777777" w:rsidR="00A050C5" w:rsidRPr="00A843E9" w:rsidRDefault="00A050C5" w:rsidP="002129F9">
            <w:pPr>
              <w:jc w:val="right"/>
              <w:rPr>
                <w:rFonts w:ascii="Calibri" w:hAnsi="Calibri"/>
                <w:color w:val="808080" w:themeColor="background1" w:themeShade="80"/>
                <w:sz w:val="20"/>
                <w:szCs w:val="20"/>
              </w:rPr>
            </w:pPr>
            <w:r>
              <w:rPr>
                <w:rFonts w:ascii="Calibri" w:hAnsi="Calibri"/>
                <w:color w:val="808080" w:themeColor="background1" w:themeShade="80"/>
                <w:sz w:val="20"/>
                <w:szCs w:val="20"/>
              </w:rPr>
              <w:t>19,124</w:t>
            </w:r>
          </w:p>
        </w:tc>
      </w:tr>
      <w:tr w:rsidR="00A050C5" w:rsidRPr="005F1775" w14:paraId="78A354AD" w14:textId="77777777" w:rsidTr="002129F9">
        <w:trPr>
          <w:trHeight w:val="48"/>
        </w:trPr>
        <w:tc>
          <w:tcPr>
            <w:tcW w:w="1813" w:type="pct"/>
            <w:shd w:val="clear" w:color="000000" w:fill="FFFFFF"/>
            <w:vAlign w:val="center"/>
            <w:hideMark/>
          </w:tcPr>
          <w:p w14:paraId="6D60FD85" w14:textId="77777777" w:rsidR="00A050C5" w:rsidRPr="005E5A0C" w:rsidRDefault="00A050C5" w:rsidP="002129F9">
            <w:pPr>
              <w:rPr>
                <w:rFonts w:ascii="Calibri" w:hAnsi="Calibri"/>
                <w:sz w:val="20"/>
                <w:szCs w:val="20"/>
              </w:rPr>
            </w:pPr>
            <w:r w:rsidRPr="005E5A0C">
              <w:rPr>
                <w:rFonts w:ascii="Calibri" w:hAnsi="Calibri"/>
                <w:sz w:val="20"/>
                <w:szCs w:val="20"/>
              </w:rPr>
              <w:t>Student Questionnaire</w:t>
            </w:r>
          </w:p>
        </w:tc>
        <w:tc>
          <w:tcPr>
            <w:tcW w:w="419" w:type="pct"/>
            <w:shd w:val="clear" w:color="000000" w:fill="FFFFFF"/>
            <w:vAlign w:val="center"/>
            <w:hideMark/>
          </w:tcPr>
          <w:p w14:paraId="3CEACE87" w14:textId="77777777" w:rsidR="00A050C5" w:rsidRPr="005E5A0C" w:rsidRDefault="00A050C5" w:rsidP="002129F9">
            <w:pPr>
              <w:jc w:val="right"/>
              <w:rPr>
                <w:rFonts w:ascii="Calibri" w:hAnsi="Calibri"/>
                <w:sz w:val="20"/>
                <w:szCs w:val="20"/>
              </w:rPr>
            </w:pPr>
            <w:r w:rsidRPr="005E5A0C">
              <w:rPr>
                <w:rFonts w:ascii="Calibri" w:hAnsi="Calibri"/>
                <w:sz w:val="20"/>
                <w:szCs w:val="20"/>
              </w:rPr>
              <w:t>11,250</w:t>
            </w:r>
          </w:p>
        </w:tc>
        <w:tc>
          <w:tcPr>
            <w:tcW w:w="587" w:type="pct"/>
            <w:shd w:val="clear" w:color="000000" w:fill="FFFFFF"/>
            <w:vAlign w:val="center"/>
            <w:hideMark/>
          </w:tcPr>
          <w:p w14:paraId="1701EA96" w14:textId="77777777" w:rsidR="00A050C5" w:rsidRPr="005E5A0C" w:rsidRDefault="00A050C5" w:rsidP="002129F9">
            <w:pPr>
              <w:jc w:val="right"/>
              <w:rPr>
                <w:rFonts w:ascii="Calibri" w:hAnsi="Calibri"/>
                <w:sz w:val="20"/>
                <w:szCs w:val="20"/>
              </w:rPr>
            </w:pPr>
            <w:r w:rsidRPr="005E5A0C">
              <w:rPr>
                <w:rFonts w:ascii="Calibri" w:hAnsi="Calibri"/>
                <w:sz w:val="20"/>
                <w:szCs w:val="20"/>
              </w:rPr>
              <w:t>0.85</w:t>
            </w:r>
          </w:p>
        </w:tc>
        <w:tc>
          <w:tcPr>
            <w:tcW w:w="546" w:type="pct"/>
            <w:shd w:val="clear" w:color="000000" w:fill="FFFFFF"/>
            <w:vAlign w:val="center"/>
            <w:hideMark/>
          </w:tcPr>
          <w:p w14:paraId="3F91324B" w14:textId="77777777" w:rsidR="00A050C5" w:rsidRPr="005E5A0C" w:rsidRDefault="00A050C5" w:rsidP="002129F9">
            <w:pPr>
              <w:jc w:val="right"/>
              <w:rPr>
                <w:rFonts w:ascii="Calibri" w:hAnsi="Calibri"/>
                <w:sz w:val="20"/>
                <w:szCs w:val="20"/>
              </w:rPr>
            </w:pPr>
            <w:r w:rsidRPr="005E5A0C">
              <w:rPr>
                <w:rFonts w:ascii="Calibri" w:hAnsi="Calibri"/>
                <w:sz w:val="20"/>
                <w:szCs w:val="20"/>
              </w:rPr>
              <w:t>9,562</w:t>
            </w:r>
          </w:p>
        </w:tc>
        <w:tc>
          <w:tcPr>
            <w:tcW w:w="544" w:type="pct"/>
            <w:shd w:val="clear" w:color="000000" w:fill="FFFFFF"/>
            <w:vAlign w:val="center"/>
            <w:hideMark/>
          </w:tcPr>
          <w:p w14:paraId="40432AC2" w14:textId="77777777" w:rsidR="00A050C5" w:rsidRPr="005E5A0C" w:rsidRDefault="00A050C5" w:rsidP="002129F9">
            <w:pPr>
              <w:jc w:val="right"/>
              <w:rPr>
                <w:rFonts w:ascii="Calibri" w:hAnsi="Calibri"/>
                <w:sz w:val="20"/>
                <w:szCs w:val="20"/>
              </w:rPr>
            </w:pPr>
            <w:r w:rsidRPr="005E5A0C">
              <w:rPr>
                <w:rFonts w:ascii="Calibri" w:hAnsi="Calibri"/>
                <w:sz w:val="20"/>
                <w:szCs w:val="20"/>
              </w:rPr>
              <w:t>9,562</w:t>
            </w:r>
          </w:p>
        </w:tc>
        <w:tc>
          <w:tcPr>
            <w:tcW w:w="545" w:type="pct"/>
            <w:shd w:val="clear" w:color="000000" w:fill="FFFFFF"/>
            <w:vAlign w:val="center"/>
            <w:hideMark/>
          </w:tcPr>
          <w:p w14:paraId="6BCC2133" w14:textId="77777777" w:rsidR="00A050C5" w:rsidRPr="005E5A0C" w:rsidRDefault="00A050C5" w:rsidP="002129F9">
            <w:pPr>
              <w:jc w:val="right"/>
              <w:rPr>
                <w:rFonts w:ascii="Calibri" w:hAnsi="Calibri"/>
                <w:sz w:val="20"/>
                <w:szCs w:val="20"/>
              </w:rPr>
            </w:pPr>
            <w:r w:rsidRPr="005E5A0C">
              <w:rPr>
                <w:rFonts w:ascii="Calibri" w:hAnsi="Calibri"/>
                <w:sz w:val="20"/>
                <w:szCs w:val="20"/>
              </w:rPr>
              <w:t>30</w:t>
            </w:r>
          </w:p>
        </w:tc>
        <w:tc>
          <w:tcPr>
            <w:tcW w:w="546" w:type="pct"/>
            <w:shd w:val="clear" w:color="000000" w:fill="FFFFFF"/>
            <w:vAlign w:val="center"/>
            <w:hideMark/>
          </w:tcPr>
          <w:p w14:paraId="1122A1BC" w14:textId="77777777" w:rsidR="00A050C5" w:rsidRPr="005E5A0C" w:rsidRDefault="00A050C5" w:rsidP="002129F9">
            <w:pPr>
              <w:jc w:val="right"/>
              <w:rPr>
                <w:rFonts w:ascii="Calibri" w:hAnsi="Calibri"/>
                <w:sz w:val="20"/>
                <w:szCs w:val="20"/>
              </w:rPr>
            </w:pPr>
            <w:r w:rsidRPr="005E5A0C">
              <w:rPr>
                <w:rFonts w:ascii="Calibri" w:hAnsi="Calibri"/>
                <w:sz w:val="20"/>
                <w:szCs w:val="20"/>
              </w:rPr>
              <w:t>4,781</w:t>
            </w:r>
          </w:p>
        </w:tc>
      </w:tr>
      <w:tr w:rsidR="00A050C5" w:rsidRPr="005F1775" w14:paraId="16B43AC9" w14:textId="77777777" w:rsidTr="002129F9">
        <w:trPr>
          <w:trHeight w:val="48"/>
        </w:trPr>
        <w:tc>
          <w:tcPr>
            <w:tcW w:w="1813" w:type="pct"/>
            <w:shd w:val="clear" w:color="000000" w:fill="FFFFFF"/>
            <w:vAlign w:val="center"/>
            <w:hideMark/>
          </w:tcPr>
          <w:p w14:paraId="2CF47792" w14:textId="77777777" w:rsidR="00A050C5" w:rsidRPr="005E5A0C" w:rsidRDefault="00A050C5" w:rsidP="002129F9">
            <w:pPr>
              <w:rPr>
                <w:rFonts w:ascii="Calibri" w:hAnsi="Calibri"/>
                <w:sz w:val="20"/>
                <w:szCs w:val="20"/>
              </w:rPr>
            </w:pPr>
            <w:r w:rsidRPr="005E5A0C">
              <w:rPr>
                <w:rFonts w:ascii="Calibri" w:hAnsi="Calibri"/>
                <w:sz w:val="20"/>
                <w:szCs w:val="20"/>
              </w:rPr>
              <w:t xml:space="preserve">School Administrator Questionnaire </w:t>
            </w:r>
          </w:p>
        </w:tc>
        <w:tc>
          <w:tcPr>
            <w:tcW w:w="419" w:type="pct"/>
            <w:shd w:val="clear" w:color="000000" w:fill="FFFFFF"/>
            <w:vAlign w:val="center"/>
            <w:hideMark/>
          </w:tcPr>
          <w:p w14:paraId="399BE625" w14:textId="77777777" w:rsidR="00A050C5" w:rsidRPr="005E5A0C" w:rsidRDefault="00A050C5" w:rsidP="002129F9">
            <w:pPr>
              <w:jc w:val="right"/>
              <w:rPr>
                <w:rFonts w:ascii="Calibri" w:hAnsi="Calibri"/>
                <w:sz w:val="20"/>
                <w:szCs w:val="20"/>
              </w:rPr>
            </w:pPr>
            <w:r w:rsidRPr="005E5A0C">
              <w:rPr>
                <w:rFonts w:ascii="Calibri" w:hAnsi="Calibri"/>
                <w:sz w:val="20"/>
                <w:szCs w:val="20"/>
              </w:rPr>
              <w:t>300</w:t>
            </w:r>
          </w:p>
        </w:tc>
        <w:tc>
          <w:tcPr>
            <w:tcW w:w="587" w:type="pct"/>
            <w:shd w:val="clear" w:color="000000" w:fill="FFFFFF"/>
            <w:vAlign w:val="center"/>
            <w:hideMark/>
          </w:tcPr>
          <w:p w14:paraId="2CD8E592" w14:textId="77777777" w:rsidR="00A050C5" w:rsidRPr="005E5A0C" w:rsidRDefault="00A050C5" w:rsidP="002129F9">
            <w:pPr>
              <w:jc w:val="right"/>
              <w:rPr>
                <w:rFonts w:ascii="Calibri" w:hAnsi="Calibri"/>
                <w:sz w:val="20"/>
                <w:szCs w:val="20"/>
              </w:rPr>
            </w:pPr>
            <w:r w:rsidRPr="005E5A0C">
              <w:rPr>
                <w:rFonts w:ascii="Calibri" w:hAnsi="Calibri"/>
                <w:sz w:val="20"/>
                <w:szCs w:val="20"/>
              </w:rPr>
              <w:t>1</w:t>
            </w:r>
          </w:p>
        </w:tc>
        <w:tc>
          <w:tcPr>
            <w:tcW w:w="546" w:type="pct"/>
            <w:shd w:val="clear" w:color="000000" w:fill="FFFFFF"/>
            <w:vAlign w:val="center"/>
            <w:hideMark/>
          </w:tcPr>
          <w:p w14:paraId="17EBDA7F" w14:textId="77777777" w:rsidR="00A050C5" w:rsidRPr="005E5A0C" w:rsidRDefault="00A050C5" w:rsidP="002129F9">
            <w:pPr>
              <w:jc w:val="right"/>
              <w:rPr>
                <w:rFonts w:ascii="Calibri" w:hAnsi="Calibri"/>
                <w:sz w:val="20"/>
                <w:szCs w:val="20"/>
              </w:rPr>
            </w:pPr>
            <w:r w:rsidRPr="005E5A0C">
              <w:rPr>
                <w:rFonts w:ascii="Calibri" w:hAnsi="Calibri"/>
                <w:sz w:val="20"/>
                <w:szCs w:val="20"/>
              </w:rPr>
              <w:t>300</w:t>
            </w:r>
          </w:p>
        </w:tc>
        <w:tc>
          <w:tcPr>
            <w:tcW w:w="544" w:type="pct"/>
            <w:shd w:val="clear" w:color="000000" w:fill="FFFFFF"/>
            <w:vAlign w:val="center"/>
            <w:hideMark/>
          </w:tcPr>
          <w:p w14:paraId="4E2A066A" w14:textId="77777777" w:rsidR="00A050C5" w:rsidRPr="005E5A0C" w:rsidRDefault="00A050C5" w:rsidP="002129F9">
            <w:pPr>
              <w:jc w:val="right"/>
              <w:rPr>
                <w:rFonts w:ascii="Calibri" w:hAnsi="Calibri"/>
                <w:sz w:val="20"/>
                <w:szCs w:val="20"/>
              </w:rPr>
            </w:pPr>
            <w:r w:rsidRPr="005E5A0C">
              <w:rPr>
                <w:rFonts w:ascii="Calibri" w:hAnsi="Calibri"/>
                <w:sz w:val="20"/>
                <w:szCs w:val="20"/>
              </w:rPr>
              <w:t>300</w:t>
            </w:r>
          </w:p>
        </w:tc>
        <w:tc>
          <w:tcPr>
            <w:tcW w:w="545" w:type="pct"/>
            <w:shd w:val="clear" w:color="000000" w:fill="FFFFFF"/>
            <w:vAlign w:val="center"/>
            <w:hideMark/>
          </w:tcPr>
          <w:p w14:paraId="3D44E6E7" w14:textId="77777777" w:rsidR="00A050C5" w:rsidRPr="005E5A0C" w:rsidRDefault="00A050C5" w:rsidP="002129F9">
            <w:pPr>
              <w:jc w:val="right"/>
              <w:rPr>
                <w:rFonts w:ascii="Calibri" w:hAnsi="Calibri"/>
                <w:sz w:val="20"/>
                <w:szCs w:val="20"/>
              </w:rPr>
            </w:pPr>
            <w:r w:rsidRPr="005E5A0C">
              <w:rPr>
                <w:rFonts w:ascii="Calibri" w:hAnsi="Calibri"/>
                <w:sz w:val="20"/>
                <w:szCs w:val="20"/>
              </w:rPr>
              <w:t>30</w:t>
            </w:r>
          </w:p>
        </w:tc>
        <w:tc>
          <w:tcPr>
            <w:tcW w:w="546" w:type="pct"/>
            <w:shd w:val="clear" w:color="000000" w:fill="FFFFFF"/>
            <w:vAlign w:val="center"/>
            <w:hideMark/>
          </w:tcPr>
          <w:p w14:paraId="175AEFF5" w14:textId="77777777" w:rsidR="00A050C5" w:rsidRPr="005E5A0C" w:rsidRDefault="00A050C5" w:rsidP="002129F9">
            <w:pPr>
              <w:jc w:val="right"/>
              <w:rPr>
                <w:rFonts w:ascii="Calibri" w:hAnsi="Calibri"/>
                <w:sz w:val="20"/>
                <w:szCs w:val="20"/>
              </w:rPr>
            </w:pPr>
            <w:r w:rsidRPr="005E5A0C">
              <w:rPr>
                <w:rFonts w:ascii="Calibri" w:hAnsi="Calibri"/>
                <w:sz w:val="20"/>
                <w:szCs w:val="20"/>
              </w:rPr>
              <w:t>150</w:t>
            </w:r>
          </w:p>
        </w:tc>
      </w:tr>
      <w:tr w:rsidR="00A050C5" w:rsidRPr="005F1775" w14:paraId="20F7E60F" w14:textId="77777777" w:rsidTr="002129F9">
        <w:trPr>
          <w:trHeight w:val="169"/>
        </w:trPr>
        <w:tc>
          <w:tcPr>
            <w:tcW w:w="1813" w:type="pct"/>
            <w:shd w:val="clear" w:color="000000" w:fill="FFFFFF"/>
            <w:vAlign w:val="center"/>
            <w:hideMark/>
          </w:tcPr>
          <w:p w14:paraId="1B3FEE04" w14:textId="77777777" w:rsidR="00A050C5" w:rsidRPr="005E5A0C" w:rsidRDefault="00A050C5" w:rsidP="002129F9">
            <w:pPr>
              <w:rPr>
                <w:rFonts w:ascii="Calibri" w:hAnsi="Calibri"/>
                <w:sz w:val="20"/>
                <w:szCs w:val="20"/>
              </w:rPr>
            </w:pPr>
            <w:r w:rsidRPr="005E5A0C">
              <w:rPr>
                <w:rFonts w:ascii="Calibri" w:hAnsi="Calibri"/>
                <w:sz w:val="20"/>
                <w:szCs w:val="20"/>
              </w:rPr>
              <w:t>Teacher Questionnaire (20 teachers / school)</w:t>
            </w:r>
          </w:p>
        </w:tc>
        <w:tc>
          <w:tcPr>
            <w:tcW w:w="419" w:type="pct"/>
            <w:shd w:val="clear" w:color="000000" w:fill="FFFFFF"/>
            <w:vAlign w:val="center"/>
            <w:hideMark/>
          </w:tcPr>
          <w:p w14:paraId="7E9ABD61" w14:textId="77777777" w:rsidR="00A050C5" w:rsidRPr="005E5A0C" w:rsidRDefault="00A050C5" w:rsidP="002129F9">
            <w:pPr>
              <w:jc w:val="right"/>
              <w:rPr>
                <w:rFonts w:ascii="Calibri" w:hAnsi="Calibri"/>
                <w:sz w:val="20"/>
                <w:szCs w:val="20"/>
              </w:rPr>
            </w:pPr>
            <w:r w:rsidRPr="005E5A0C">
              <w:rPr>
                <w:rFonts w:ascii="Calibri" w:hAnsi="Calibri"/>
                <w:sz w:val="20"/>
                <w:szCs w:val="20"/>
              </w:rPr>
              <w:t>6000</w:t>
            </w:r>
          </w:p>
        </w:tc>
        <w:tc>
          <w:tcPr>
            <w:tcW w:w="587" w:type="pct"/>
            <w:shd w:val="clear" w:color="000000" w:fill="FFFFFF"/>
            <w:vAlign w:val="center"/>
            <w:hideMark/>
          </w:tcPr>
          <w:p w14:paraId="11603FB5" w14:textId="77777777" w:rsidR="00A050C5" w:rsidRPr="005E5A0C" w:rsidRDefault="00A050C5" w:rsidP="002129F9">
            <w:pPr>
              <w:jc w:val="right"/>
              <w:rPr>
                <w:rFonts w:ascii="Calibri" w:hAnsi="Calibri"/>
                <w:sz w:val="20"/>
                <w:szCs w:val="20"/>
              </w:rPr>
            </w:pPr>
            <w:r w:rsidRPr="005E5A0C">
              <w:rPr>
                <w:rFonts w:ascii="Calibri" w:hAnsi="Calibri"/>
                <w:sz w:val="20"/>
                <w:szCs w:val="20"/>
              </w:rPr>
              <w:t>0.85</w:t>
            </w:r>
          </w:p>
        </w:tc>
        <w:tc>
          <w:tcPr>
            <w:tcW w:w="546" w:type="pct"/>
            <w:shd w:val="clear" w:color="000000" w:fill="FFFFFF"/>
            <w:vAlign w:val="center"/>
            <w:hideMark/>
          </w:tcPr>
          <w:p w14:paraId="3478B3D5" w14:textId="77777777" w:rsidR="00A050C5" w:rsidRPr="005E5A0C" w:rsidRDefault="00A050C5" w:rsidP="002129F9">
            <w:pPr>
              <w:jc w:val="right"/>
              <w:rPr>
                <w:rFonts w:ascii="Calibri" w:hAnsi="Calibri"/>
                <w:sz w:val="20"/>
                <w:szCs w:val="20"/>
              </w:rPr>
            </w:pPr>
            <w:r w:rsidRPr="005E5A0C">
              <w:rPr>
                <w:rFonts w:ascii="Calibri" w:hAnsi="Calibri"/>
                <w:sz w:val="20"/>
                <w:szCs w:val="20"/>
              </w:rPr>
              <w:t>5,100</w:t>
            </w:r>
          </w:p>
        </w:tc>
        <w:tc>
          <w:tcPr>
            <w:tcW w:w="544" w:type="pct"/>
            <w:shd w:val="clear" w:color="000000" w:fill="FFFFFF"/>
            <w:vAlign w:val="center"/>
            <w:hideMark/>
          </w:tcPr>
          <w:p w14:paraId="1597CB3F" w14:textId="77777777" w:rsidR="00A050C5" w:rsidRPr="005E5A0C" w:rsidRDefault="00A050C5" w:rsidP="002129F9">
            <w:pPr>
              <w:jc w:val="right"/>
              <w:rPr>
                <w:rFonts w:ascii="Calibri" w:hAnsi="Calibri"/>
                <w:sz w:val="20"/>
                <w:szCs w:val="20"/>
              </w:rPr>
            </w:pPr>
            <w:r w:rsidRPr="005E5A0C">
              <w:rPr>
                <w:rFonts w:ascii="Calibri" w:hAnsi="Calibri"/>
                <w:sz w:val="20"/>
                <w:szCs w:val="20"/>
              </w:rPr>
              <w:t>5,100</w:t>
            </w:r>
          </w:p>
        </w:tc>
        <w:tc>
          <w:tcPr>
            <w:tcW w:w="545" w:type="pct"/>
            <w:shd w:val="clear" w:color="auto" w:fill="auto"/>
            <w:vAlign w:val="center"/>
            <w:hideMark/>
          </w:tcPr>
          <w:p w14:paraId="7B5CF3B2" w14:textId="77777777" w:rsidR="00A050C5" w:rsidRPr="005E5A0C" w:rsidRDefault="00A050C5" w:rsidP="002129F9">
            <w:pPr>
              <w:jc w:val="right"/>
              <w:rPr>
                <w:rFonts w:ascii="Calibri" w:hAnsi="Calibri"/>
                <w:sz w:val="20"/>
                <w:szCs w:val="20"/>
              </w:rPr>
            </w:pPr>
            <w:r w:rsidRPr="005E5A0C">
              <w:rPr>
                <w:rFonts w:ascii="Calibri" w:hAnsi="Calibri"/>
                <w:sz w:val="20"/>
                <w:szCs w:val="20"/>
              </w:rPr>
              <w:t>30</w:t>
            </w:r>
          </w:p>
        </w:tc>
        <w:tc>
          <w:tcPr>
            <w:tcW w:w="546" w:type="pct"/>
            <w:shd w:val="clear" w:color="000000" w:fill="FFFFFF"/>
            <w:vAlign w:val="center"/>
            <w:hideMark/>
          </w:tcPr>
          <w:p w14:paraId="37FDDC44" w14:textId="77777777" w:rsidR="00A050C5" w:rsidRPr="005E5A0C" w:rsidRDefault="00A050C5" w:rsidP="002129F9">
            <w:pPr>
              <w:jc w:val="right"/>
              <w:rPr>
                <w:rFonts w:ascii="Calibri" w:hAnsi="Calibri"/>
                <w:sz w:val="20"/>
                <w:szCs w:val="20"/>
              </w:rPr>
            </w:pPr>
            <w:r w:rsidRPr="005E5A0C">
              <w:rPr>
                <w:rFonts w:ascii="Calibri" w:hAnsi="Calibri"/>
                <w:sz w:val="20"/>
                <w:szCs w:val="20"/>
              </w:rPr>
              <w:t>2,550</w:t>
            </w:r>
          </w:p>
        </w:tc>
      </w:tr>
      <w:tr w:rsidR="00A050C5" w:rsidRPr="00A01A9D" w14:paraId="7D7F9E51" w14:textId="77777777" w:rsidTr="002129F9">
        <w:trPr>
          <w:trHeight w:val="48"/>
        </w:trPr>
        <w:tc>
          <w:tcPr>
            <w:tcW w:w="1813" w:type="pct"/>
            <w:shd w:val="clear" w:color="000000" w:fill="FFFFFF"/>
            <w:vAlign w:val="center"/>
            <w:hideMark/>
          </w:tcPr>
          <w:p w14:paraId="6141A09E" w14:textId="77777777" w:rsidR="00A050C5" w:rsidRPr="00A01A9D" w:rsidRDefault="00A050C5" w:rsidP="002129F9">
            <w:pPr>
              <w:rPr>
                <w:rFonts w:ascii="Calibri" w:hAnsi="Calibri"/>
                <w:b/>
                <w:bCs/>
                <w:i/>
                <w:iCs/>
                <w:color w:val="000000"/>
                <w:sz w:val="20"/>
                <w:szCs w:val="20"/>
              </w:rPr>
            </w:pPr>
            <w:r w:rsidRPr="00A01A9D">
              <w:rPr>
                <w:rFonts w:ascii="Calibri" w:hAnsi="Calibri"/>
                <w:b/>
                <w:bCs/>
                <w:i/>
                <w:iCs/>
                <w:color w:val="000000"/>
                <w:sz w:val="20"/>
                <w:szCs w:val="20"/>
              </w:rPr>
              <w:t>Total Burden Main Study</w:t>
            </w:r>
            <w:r>
              <w:rPr>
                <w:rFonts w:ascii="Calibri" w:hAnsi="Calibri"/>
                <w:b/>
                <w:bCs/>
                <w:i/>
                <w:iCs/>
                <w:color w:val="000000"/>
                <w:sz w:val="20"/>
                <w:szCs w:val="20"/>
              </w:rPr>
              <w:t xml:space="preserve"> </w:t>
            </w:r>
          </w:p>
        </w:tc>
        <w:tc>
          <w:tcPr>
            <w:tcW w:w="419" w:type="pct"/>
            <w:shd w:val="clear" w:color="000000" w:fill="FFFFFF"/>
            <w:vAlign w:val="center"/>
            <w:hideMark/>
          </w:tcPr>
          <w:p w14:paraId="2DBBBF11" w14:textId="77777777" w:rsidR="00A050C5" w:rsidRPr="00A01A9D" w:rsidRDefault="00A050C5" w:rsidP="002129F9">
            <w:pPr>
              <w:jc w:val="right"/>
              <w:rPr>
                <w:rFonts w:ascii="Calibri" w:hAnsi="Calibri"/>
                <w:b/>
                <w:bCs/>
                <w:i/>
                <w:iCs/>
                <w:color w:val="000000"/>
                <w:sz w:val="20"/>
                <w:szCs w:val="20"/>
              </w:rPr>
            </w:pPr>
            <w:r w:rsidRPr="00A01A9D">
              <w:rPr>
                <w:rFonts w:ascii="Calibri" w:hAnsi="Calibri"/>
                <w:bCs/>
                <w:i/>
                <w:iCs/>
                <w:color w:val="000000"/>
                <w:sz w:val="20"/>
                <w:szCs w:val="20"/>
              </w:rPr>
              <w:t>-- </w:t>
            </w:r>
          </w:p>
        </w:tc>
        <w:tc>
          <w:tcPr>
            <w:tcW w:w="587" w:type="pct"/>
            <w:shd w:val="clear" w:color="000000" w:fill="FFFFFF"/>
            <w:vAlign w:val="center"/>
            <w:hideMark/>
          </w:tcPr>
          <w:p w14:paraId="169DB7B6" w14:textId="77777777" w:rsidR="00A050C5" w:rsidRPr="00A01A9D" w:rsidRDefault="00A050C5" w:rsidP="002129F9">
            <w:pPr>
              <w:jc w:val="right"/>
              <w:rPr>
                <w:rFonts w:ascii="Calibri" w:hAnsi="Calibri"/>
                <w:b/>
                <w:bCs/>
                <w:i/>
                <w:iCs/>
                <w:color w:val="000000"/>
                <w:sz w:val="20"/>
                <w:szCs w:val="20"/>
              </w:rPr>
            </w:pPr>
            <w:r w:rsidRPr="00A01A9D">
              <w:rPr>
                <w:rFonts w:ascii="Calibri" w:hAnsi="Calibri"/>
                <w:bCs/>
                <w:i/>
                <w:iCs/>
                <w:color w:val="000000"/>
                <w:sz w:val="20"/>
                <w:szCs w:val="20"/>
              </w:rPr>
              <w:t>-- </w:t>
            </w:r>
          </w:p>
        </w:tc>
        <w:tc>
          <w:tcPr>
            <w:tcW w:w="546" w:type="pct"/>
            <w:shd w:val="clear" w:color="000000" w:fill="FFFFFF"/>
            <w:vAlign w:val="center"/>
            <w:hideMark/>
          </w:tcPr>
          <w:p w14:paraId="3B9D6E00" w14:textId="77777777" w:rsidR="00A050C5" w:rsidRPr="00A01A9D" w:rsidRDefault="00A050C5" w:rsidP="002129F9">
            <w:pPr>
              <w:jc w:val="right"/>
              <w:rPr>
                <w:rFonts w:ascii="Calibri" w:hAnsi="Calibri"/>
                <w:b/>
                <w:bCs/>
                <w:i/>
                <w:iCs/>
                <w:color w:val="000000"/>
                <w:sz w:val="20"/>
                <w:szCs w:val="20"/>
              </w:rPr>
            </w:pPr>
            <w:r>
              <w:rPr>
                <w:rFonts w:ascii="Calibri" w:hAnsi="Calibri"/>
                <w:b/>
                <w:bCs/>
                <w:i/>
                <w:iCs/>
                <w:color w:val="000000"/>
                <w:sz w:val="20"/>
                <w:szCs w:val="20"/>
              </w:rPr>
              <w:t>15,842</w:t>
            </w:r>
          </w:p>
        </w:tc>
        <w:tc>
          <w:tcPr>
            <w:tcW w:w="544" w:type="pct"/>
            <w:shd w:val="clear" w:color="000000" w:fill="FFFFFF"/>
            <w:vAlign w:val="center"/>
            <w:hideMark/>
          </w:tcPr>
          <w:p w14:paraId="2191C846" w14:textId="77777777" w:rsidR="00A050C5" w:rsidRPr="00A01A9D" w:rsidRDefault="00A050C5" w:rsidP="002129F9">
            <w:pPr>
              <w:jc w:val="right"/>
              <w:rPr>
                <w:rFonts w:ascii="Calibri" w:hAnsi="Calibri"/>
                <w:b/>
                <w:bCs/>
                <w:i/>
                <w:iCs/>
                <w:color w:val="000000"/>
                <w:sz w:val="20"/>
                <w:szCs w:val="20"/>
              </w:rPr>
            </w:pPr>
            <w:r>
              <w:rPr>
                <w:rFonts w:ascii="Calibri" w:hAnsi="Calibri"/>
                <w:b/>
                <w:bCs/>
                <w:i/>
                <w:iCs/>
                <w:color w:val="000000"/>
                <w:sz w:val="20"/>
                <w:szCs w:val="20"/>
              </w:rPr>
              <w:t>15,842</w:t>
            </w:r>
          </w:p>
        </w:tc>
        <w:tc>
          <w:tcPr>
            <w:tcW w:w="545" w:type="pct"/>
            <w:shd w:val="clear" w:color="000000" w:fill="FFFFFF"/>
            <w:vAlign w:val="center"/>
            <w:hideMark/>
          </w:tcPr>
          <w:p w14:paraId="70BCE9D6" w14:textId="77777777" w:rsidR="00A050C5" w:rsidRPr="00A01A9D" w:rsidRDefault="00A050C5" w:rsidP="002129F9">
            <w:pPr>
              <w:rPr>
                <w:rFonts w:ascii="Calibri" w:hAnsi="Calibri"/>
                <w:b/>
                <w:color w:val="000000"/>
              </w:rPr>
            </w:pPr>
            <w:r>
              <w:rPr>
                <w:rFonts w:ascii="Calibri" w:hAnsi="Calibri"/>
                <w:i/>
                <w:iCs/>
                <w:color w:val="000000"/>
                <w:sz w:val="20"/>
                <w:szCs w:val="20"/>
              </w:rPr>
              <w:t>-- </w:t>
            </w:r>
          </w:p>
        </w:tc>
        <w:tc>
          <w:tcPr>
            <w:tcW w:w="546" w:type="pct"/>
            <w:shd w:val="clear" w:color="000000" w:fill="FFFFFF"/>
            <w:vAlign w:val="center"/>
            <w:hideMark/>
          </w:tcPr>
          <w:p w14:paraId="1A63B0BA" w14:textId="77777777" w:rsidR="00A050C5" w:rsidRPr="00A01A9D" w:rsidRDefault="00A050C5" w:rsidP="002129F9">
            <w:pPr>
              <w:jc w:val="right"/>
              <w:rPr>
                <w:rFonts w:ascii="Calibri" w:hAnsi="Calibri"/>
                <w:b/>
                <w:bCs/>
                <w:i/>
                <w:iCs/>
                <w:color w:val="000000"/>
                <w:sz w:val="20"/>
                <w:szCs w:val="20"/>
              </w:rPr>
            </w:pPr>
            <w:r>
              <w:rPr>
                <w:rFonts w:ascii="Calibri" w:hAnsi="Calibri"/>
                <w:b/>
                <w:bCs/>
                <w:i/>
                <w:iCs/>
                <w:color w:val="000000"/>
                <w:sz w:val="20"/>
                <w:szCs w:val="20"/>
              </w:rPr>
              <w:t>9,451</w:t>
            </w:r>
          </w:p>
        </w:tc>
      </w:tr>
      <w:tr w:rsidR="00A050C5" w:rsidRPr="005F1775" w14:paraId="2B7234A5" w14:textId="77777777" w:rsidTr="002129F9">
        <w:trPr>
          <w:trHeight w:val="421"/>
        </w:trPr>
        <w:tc>
          <w:tcPr>
            <w:tcW w:w="5000" w:type="pct"/>
            <w:gridSpan w:val="7"/>
            <w:shd w:val="clear" w:color="auto" w:fill="auto"/>
            <w:vAlign w:val="center"/>
            <w:hideMark/>
          </w:tcPr>
          <w:p w14:paraId="23E985F5" w14:textId="77777777" w:rsidR="00A050C5" w:rsidRDefault="00A050C5" w:rsidP="002129F9">
            <w:pPr>
              <w:spacing w:after="60"/>
              <w:ind w:left="86" w:hanging="86"/>
              <w:rPr>
                <w:rFonts w:ascii="Calibri" w:hAnsi="Calibri"/>
                <w:color w:val="000000"/>
                <w:sz w:val="16"/>
                <w:szCs w:val="16"/>
              </w:rPr>
            </w:pPr>
            <w:r w:rsidRPr="005F1775">
              <w:rPr>
                <w:rFonts w:ascii="Calibri" w:hAnsi="Calibri"/>
                <w:i/>
                <w:iCs/>
                <w:color w:val="000000"/>
                <w:sz w:val="16"/>
                <w:szCs w:val="16"/>
              </w:rPr>
              <w:t>Note</w:t>
            </w:r>
            <w:r w:rsidRPr="005F1775">
              <w:rPr>
                <w:rFonts w:ascii="Calibri" w:hAnsi="Calibri"/>
                <w:color w:val="000000"/>
                <w:sz w:val="16"/>
                <w:szCs w:val="16"/>
              </w:rPr>
              <w:t xml:space="preserve">: </w:t>
            </w:r>
            <w:r w:rsidRPr="00A843E9">
              <w:rPr>
                <w:rFonts w:ascii="Calibri" w:hAnsi="Calibri"/>
                <w:color w:val="000000"/>
                <w:sz w:val="16"/>
                <w:szCs w:val="16"/>
              </w:rPr>
              <w:t xml:space="preserve">Total Burden Requested in this Submission </w:t>
            </w:r>
            <w:r w:rsidRPr="005F1775">
              <w:rPr>
                <w:rFonts w:ascii="Calibri" w:hAnsi="Calibri"/>
                <w:color w:val="000000"/>
                <w:sz w:val="16"/>
                <w:szCs w:val="16"/>
              </w:rPr>
              <w:t xml:space="preserve">includes </w:t>
            </w:r>
            <w:r>
              <w:rPr>
                <w:rFonts w:ascii="Calibri" w:hAnsi="Calibri"/>
                <w:color w:val="000000"/>
                <w:sz w:val="16"/>
                <w:szCs w:val="16"/>
              </w:rPr>
              <w:t xml:space="preserve">the already approved </w:t>
            </w:r>
            <w:r w:rsidRPr="005F1775">
              <w:rPr>
                <w:rFonts w:ascii="Calibri" w:hAnsi="Calibri"/>
                <w:color w:val="000000"/>
                <w:sz w:val="16"/>
                <w:szCs w:val="16"/>
              </w:rPr>
              <w:t>burden associated with ICILS 2018 recruitment and pre-assessment activities</w:t>
            </w:r>
            <w:r>
              <w:rPr>
                <w:rFonts w:ascii="Calibri" w:hAnsi="Calibri"/>
                <w:color w:val="000000"/>
                <w:sz w:val="16"/>
                <w:szCs w:val="16"/>
              </w:rPr>
              <w:t>, as well as the data collection</w:t>
            </w:r>
            <w:r w:rsidRPr="005F1775">
              <w:rPr>
                <w:rFonts w:ascii="Calibri" w:hAnsi="Calibri"/>
                <w:color w:val="000000"/>
                <w:sz w:val="16"/>
                <w:szCs w:val="16"/>
              </w:rPr>
              <w:t xml:space="preserve"> </w:t>
            </w:r>
            <w:r>
              <w:rPr>
                <w:rFonts w:ascii="Calibri" w:hAnsi="Calibri"/>
                <w:color w:val="000000"/>
                <w:sz w:val="16"/>
                <w:szCs w:val="16"/>
              </w:rPr>
              <w:t xml:space="preserve">burden </w:t>
            </w:r>
            <w:r w:rsidRPr="005F1775">
              <w:rPr>
                <w:rFonts w:ascii="Calibri" w:hAnsi="Calibri"/>
                <w:color w:val="000000"/>
                <w:sz w:val="16"/>
                <w:szCs w:val="16"/>
              </w:rPr>
              <w:t xml:space="preserve">(items in </w:t>
            </w:r>
            <w:r>
              <w:rPr>
                <w:rFonts w:ascii="Calibri" w:hAnsi="Calibri"/>
                <w:color w:val="000000"/>
                <w:sz w:val="16"/>
                <w:szCs w:val="16"/>
              </w:rPr>
              <w:t>black font</w:t>
            </w:r>
            <w:r w:rsidRPr="005F1775">
              <w:rPr>
                <w:rFonts w:ascii="Calibri" w:hAnsi="Calibri"/>
                <w:color w:val="000000"/>
                <w:sz w:val="16"/>
                <w:szCs w:val="16"/>
              </w:rPr>
              <w:t>). Total student burden does not include the ti</w:t>
            </w:r>
            <w:r>
              <w:rPr>
                <w:rFonts w:ascii="Calibri" w:hAnsi="Calibri"/>
                <w:color w:val="000000"/>
                <w:sz w:val="16"/>
                <w:szCs w:val="16"/>
              </w:rPr>
              <w:t xml:space="preserve">me for the cognitive assessment </w:t>
            </w:r>
            <w:r w:rsidRPr="005F1775">
              <w:rPr>
                <w:rFonts w:ascii="Calibri" w:hAnsi="Calibri"/>
                <w:color w:val="000000"/>
                <w:sz w:val="16"/>
                <w:szCs w:val="16"/>
              </w:rPr>
              <w:t xml:space="preserve">and its associated instructions </w:t>
            </w:r>
            <w:r>
              <w:rPr>
                <w:rFonts w:ascii="Calibri" w:hAnsi="Calibri"/>
                <w:color w:val="000000"/>
                <w:sz w:val="16"/>
                <w:szCs w:val="16"/>
              </w:rPr>
              <w:t xml:space="preserve">(in gray font). </w:t>
            </w:r>
            <w:r w:rsidRPr="00A050C5">
              <w:rPr>
                <w:rFonts w:ascii="Calibri" w:hAnsi="Calibri"/>
                <w:color w:val="0000CC"/>
                <w:sz w:val="16"/>
                <w:szCs w:val="16"/>
              </w:rPr>
              <w:t>Minutes per respondent for School Recruitment include time for the second-tier recruitment effort.</w:t>
            </w:r>
          </w:p>
          <w:p w14:paraId="50C4DD7F" w14:textId="77777777" w:rsidR="00A050C5" w:rsidRPr="005F1775" w:rsidRDefault="00A050C5" w:rsidP="002129F9">
            <w:pPr>
              <w:ind w:left="90" w:hanging="90"/>
              <w:rPr>
                <w:rFonts w:ascii="Calibri" w:hAnsi="Calibri"/>
                <w:i/>
                <w:iCs/>
                <w:color w:val="000000"/>
                <w:sz w:val="16"/>
                <w:szCs w:val="16"/>
              </w:rPr>
            </w:pPr>
            <w:r w:rsidRPr="00A050C5">
              <w:rPr>
                <w:rFonts w:ascii="Calibri" w:hAnsi="Calibri"/>
                <w:color w:val="0000CC"/>
                <w:sz w:val="16"/>
                <w:szCs w:val="16"/>
              </w:rPr>
              <w:t>* Satisfactory sampling participation rate includes a final unweighted school response rate of at least 50% of original schools and at least 85% of original plus replacement schools, with original school sample as the denominator.</w:t>
            </w:r>
          </w:p>
        </w:tc>
      </w:tr>
    </w:tbl>
    <w:p w14:paraId="139FEC93" w14:textId="77777777" w:rsidR="00EF317E" w:rsidRPr="0002306F" w:rsidRDefault="00EF317E" w:rsidP="00A050C5">
      <w:pPr>
        <w:rPr>
          <w:sz w:val="20"/>
          <w:szCs w:val="20"/>
        </w:rPr>
      </w:pPr>
    </w:p>
    <w:p w14:paraId="01E79FD4" w14:textId="77777777" w:rsidR="00A050C5" w:rsidRPr="00014EC8" w:rsidRDefault="00A050C5" w:rsidP="0002306F">
      <w:pPr>
        <w:widowControl w:val="0"/>
        <w:spacing w:after="240" w:line="276" w:lineRule="auto"/>
      </w:pPr>
      <w:r>
        <w:t xml:space="preserve">When an originally sampled school decides in final stages of recruitment not to participate, recruitment for a replacement school for that school may begin. Replacement schools are contacted only after an original school’s final refusal, and only in order to meet satisfactory participation rates. </w:t>
      </w:r>
    </w:p>
    <w:p w14:paraId="0C282821" w14:textId="6A10C385" w:rsidR="00EF317E" w:rsidRDefault="00EF317E" w:rsidP="0002306F">
      <w:pPr>
        <w:spacing w:after="240" w:line="276" w:lineRule="auto"/>
      </w:pPr>
      <w:r>
        <w:t>The burden table has been update</w:t>
      </w:r>
      <w:r w:rsidR="00A050C5">
        <w:t>d</w:t>
      </w:r>
      <w:r>
        <w:t xml:space="preserve"> to account for replacement schools. Our expected response rate of original schools has declined and we are planning to activate up to 120 replacement schools, now shown in the burden table. These revisions do not affect the </w:t>
      </w:r>
      <w:r w:rsidR="00A050C5">
        <w:t xml:space="preserve">total </w:t>
      </w:r>
      <w:r>
        <w:t xml:space="preserve">estimated </w:t>
      </w:r>
      <w:r w:rsidR="00A050C5">
        <w:t xml:space="preserve">response </w:t>
      </w:r>
      <w:r>
        <w:t>burden.</w:t>
      </w:r>
    </w:p>
    <w:p w14:paraId="02DE5FD5" w14:textId="65EA4B83" w:rsidR="00A050C5" w:rsidRDefault="00A050C5" w:rsidP="0002306F">
      <w:pPr>
        <w:spacing w:after="240" w:line="276" w:lineRule="auto"/>
      </w:pPr>
      <w:r>
        <w:rPr>
          <w:b/>
        </w:rPr>
        <w:t>Cost to Federal Government</w:t>
      </w:r>
      <w:r>
        <w:t>: The following text shown in blue font has been added in Section A.14 (</w:t>
      </w:r>
      <w:r w:rsidRPr="00A050C5">
        <w:t>Annualized Cost to Federal Government</w:t>
      </w:r>
      <w:r>
        <w:t>; p.11):</w:t>
      </w:r>
    </w:p>
    <w:tbl>
      <w:tblPr>
        <w:tblStyle w:val="TableGrid"/>
        <w:tblW w:w="5000" w:type="pct"/>
        <w:tblLook w:val="04A0" w:firstRow="1" w:lastRow="0" w:firstColumn="1" w:lastColumn="0" w:noHBand="0" w:noVBand="1"/>
      </w:tblPr>
      <w:tblGrid>
        <w:gridCol w:w="7398"/>
        <w:gridCol w:w="3330"/>
      </w:tblGrid>
      <w:tr w:rsidR="0002306F" w:rsidRPr="003C2103" w14:paraId="78930352" w14:textId="77777777" w:rsidTr="002129F9">
        <w:tc>
          <w:tcPr>
            <w:tcW w:w="3448" w:type="pct"/>
          </w:tcPr>
          <w:p w14:paraId="5D8FEFF9" w14:textId="77777777" w:rsidR="0002306F" w:rsidRPr="003A3E63" w:rsidRDefault="0002306F" w:rsidP="002129F9">
            <w:pPr>
              <w:pStyle w:val="P1-StandPara"/>
              <w:spacing w:line="240" w:lineRule="auto"/>
              <w:ind w:firstLine="0"/>
              <w:jc w:val="left"/>
              <w:rPr>
                <w:b/>
                <w:sz w:val="20"/>
              </w:rPr>
            </w:pPr>
            <w:r w:rsidRPr="003A3E63">
              <w:rPr>
                <w:b/>
                <w:sz w:val="20"/>
              </w:rPr>
              <w:t>Components with breakdown</w:t>
            </w:r>
          </w:p>
        </w:tc>
        <w:tc>
          <w:tcPr>
            <w:tcW w:w="1552" w:type="pct"/>
          </w:tcPr>
          <w:p w14:paraId="75F5FA5F" w14:textId="77777777" w:rsidR="0002306F" w:rsidRPr="003A3E63" w:rsidRDefault="0002306F" w:rsidP="002129F9">
            <w:pPr>
              <w:pStyle w:val="P1-StandPara"/>
              <w:spacing w:line="240" w:lineRule="auto"/>
              <w:ind w:firstLine="0"/>
              <w:jc w:val="right"/>
              <w:rPr>
                <w:b/>
                <w:sz w:val="20"/>
              </w:rPr>
            </w:pPr>
            <w:r w:rsidRPr="003A3E63">
              <w:rPr>
                <w:b/>
                <w:sz w:val="20"/>
              </w:rPr>
              <w:t>Estimated costs</w:t>
            </w:r>
          </w:p>
        </w:tc>
      </w:tr>
      <w:tr w:rsidR="0002306F" w:rsidRPr="00AB0A27" w14:paraId="425A281E" w14:textId="77777777" w:rsidTr="002129F9">
        <w:tc>
          <w:tcPr>
            <w:tcW w:w="3448" w:type="pct"/>
            <w:shd w:val="clear" w:color="auto" w:fill="F2F2F2" w:themeFill="background1" w:themeFillShade="F2"/>
            <w:vAlign w:val="bottom"/>
          </w:tcPr>
          <w:p w14:paraId="3AF367E3" w14:textId="77777777" w:rsidR="0002306F" w:rsidRPr="003A3E63" w:rsidRDefault="0002306F" w:rsidP="002129F9">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FIELD TEST (2017)</w:t>
            </w:r>
          </w:p>
        </w:tc>
        <w:tc>
          <w:tcPr>
            <w:tcW w:w="1552" w:type="pct"/>
            <w:shd w:val="clear" w:color="auto" w:fill="F2F2F2" w:themeFill="background1" w:themeFillShade="F2"/>
            <w:vAlign w:val="bottom"/>
          </w:tcPr>
          <w:p w14:paraId="26E53620" w14:textId="77777777" w:rsidR="0002306F" w:rsidRPr="003A3E63" w:rsidRDefault="0002306F" w:rsidP="002129F9">
            <w:pPr>
              <w:pStyle w:val="P1-StandPara"/>
              <w:spacing w:line="240" w:lineRule="auto"/>
              <w:ind w:firstLine="0"/>
              <w:jc w:val="right"/>
              <w:rPr>
                <w:rFonts w:ascii="Calibri" w:hAnsi="Calibri"/>
                <w:color w:val="7F7F7F" w:themeColor="text1" w:themeTint="80"/>
                <w:sz w:val="20"/>
              </w:rPr>
            </w:pPr>
          </w:p>
        </w:tc>
      </w:tr>
      <w:tr w:rsidR="0002306F" w:rsidRPr="00AB0A27" w14:paraId="21EC2AEB" w14:textId="77777777" w:rsidTr="002129F9">
        <w:tc>
          <w:tcPr>
            <w:tcW w:w="3448" w:type="pct"/>
            <w:shd w:val="clear" w:color="auto" w:fill="auto"/>
            <w:vAlign w:val="bottom"/>
          </w:tcPr>
          <w:p w14:paraId="17C1CD1C" w14:textId="77777777" w:rsidR="0002306F" w:rsidRPr="003A3E63" w:rsidRDefault="0002306F" w:rsidP="002129F9">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Recruitment</w:t>
            </w:r>
          </w:p>
        </w:tc>
        <w:tc>
          <w:tcPr>
            <w:tcW w:w="1552" w:type="pct"/>
            <w:shd w:val="clear" w:color="auto" w:fill="auto"/>
            <w:vAlign w:val="bottom"/>
          </w:tcPr>
          <w:p w14:paraId="00E66638" w14:textId="77777777" w:rsidR="0002306F" w:rsidRPr="003A3E63" w:rsidRDefault="0002306F" w:rsidP="002129F9">
            <w:pPr>
              <w:pStyle w:val="P1-StandPara"/>
              <w:spacing w:line="240" w:lineRule="auto"/>
              <w:ind w:firstLine="0"/>
              <w:jc w:val="right"/>
              <w:rPr>
                <w:rFonts w:ascii="Calibri" w:hAnsi="Calibri"/>
                <w:color w:val="7F7F7F" w:themeColor="text1" w:themeTint="80"/>
                <w:sz w:val="20"/>
              </w:rPr>
            </w:pPr>
            <w:r w:rsidRPr="003A3E63">
              <w:rPr>
                <w:rFonts w:ascii="Calibri" w:hAnsi="Calibri"/>
                <w:color w:val="7F7F7F" w:themeColor="text1" w:themeTint="80"/>
                <w:sz w:val="20"/>
              </w:rPr>
              <w:t xml:space="preserve"> 125,000</w:t>
            </w:r>
          </w:p>
        </w:tc>
      </w:tr>
      <w:tr w:rsidR="0002306F" w:rsidRPr="00AB0A27" w14:paraId="636A9299" w14:textId="77777777" w:rsidTr="002129F9">
        <w:tc>
          <w:tcPr>
            <w:tcW w:w="3448" w:type="pct"/>
            <w:shd w:val="clear" w:color="auto" w:fill="auto"/>
            <w:vAlign w:val="bottom"/>
          </w:tcPr>
          <w:p w14:paraId="7C37322A" w14:textId="77777777" w:rsidR="0002306F" w:rsidRPr="003A3E63" w:rsidRDefault="0002306F" w:rsidP="002129F9">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Preparations (e.g., adapting instruments, sampling)</w:t>
            </w:r>
          </w:p>
        </w:tc>
        <w:tc>
          <w:tcPr>
            <w:tcW w:w="1552" w:type="pct"/>
            <w:shd w:val="clear" w:color="auto" w:fill="auto"/>
            <w:vAlign w:val="bottom"/>
          </w:tcPr>
          <w:p w14:paraId="6C8C74D2" w14:textId="77777777" w:rsidR="0002306F" w:rsidRPr="003A3E63" w:rsidRDefault="0002306F" w:rsidP="002129F9">
            <w:pPr>
              <w:pStyle w:val="P1-StandPara"/>
              <w:spacing w:line="240" w:lineRule="auto"/>
              <w:ind w:firstLine="0"/>
              <w:jc w:val="right"/>
              <w:rPr>
                <w:rFonts w:ascii="Calibri" w:hAnsi="Calibri"/>
                <w:color w:val="7F7F7F" w:themeColor="text1" w:themeTint="80"/>
                <w:sz w:val="20"/>
              </w:rPr>
            </w:pPr>
            <w:r w:rsidRPr="003A3E63">
              <w:rPr>
                <w:rFonts w:ascii="Calibri" w:hAnsi="Calibri"/>
                <w:color w:val="7F7F7F" w:themeColor="text1" w:themeTint="80"/>
                <w:sz w:val="20"/>
              </w:rPr>
              <w:t xml:space="preserve"> 307,650 </w:t>
            </w:r>
          </w:p>
        </w:tc>
      </w:tr>
      <w:tr w:rsidR="0002306F" w:rsidRPr="00AB0A27" w14:paraId="304BC930" w14:textId="77777777" w:rsidTr="002129F9">
        <w:tc>
          <w:tcPr>
            <w:tcW w:w="3448" w:type="pct"/>
            <w:shd w:val="clear" w:color="auto" w:fill="auto"/>
            <w:vAlign w:val="bottom"/>
          </w:tcPr>
          <w:p w14:paraId="0A86F098" w14:textId="77777777" w:rsidR="0002306F" w:rsidRPr="003A3E63" w:rsidRDefault="0002306F" w:rsidP="002129F9">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Data collection, scoring, and coding</w:t>
            </w:r>
          </w:p>
        </w:tc>
        <w:tc>
          <w:tcPr>
            <w:tcW w:w="1552" w:type="pct"/>
            <w:shd w:val="clear" w:color="auto" w:fill="auto"/>
            <w:vAlign w:val="bottom"/>
          </w:tcPr>
          <w:p w14:paraId="75C8B81B" w14:textId="77777777" w:rsidR="0002306F" w:rsidRPr="003A3E63" w:rsidRDefault="0002306F" w:rsidP="002129F9">
            <w:pPr>
              <w:pStyle w:val="P1-StandPara"/>
              <w:spacing w:line="240" w:lineRule="auto"/>
              <w:ind w:firstLine="0"/>
              <w:jc w:val="right"/>
              <w:rPr>
                <w:rFonts w:ascii="Calibri" w:hAnsi="Calibri"/>
                <w:bCs/>
                <w:color w:val="7F7F7F" w:themeColor="text1" w:themeTint="80"/>
                <w:sz w:val="20"/>
              </w:rPr>
            </w:pPr>
            <w:r w:rsidRPr="003A3E63">
              <w:rPr>
                <w:rFonts w:ascii="Calibri" w:hAnsi="Calibri"/>
                <w:b/>
                <w:bCs/>
                <w:color w:val="7F7F7F" w:themeColor="text1" w:themeTint="80"/>
                <w:sz w:val="20"/>
              </w:rPr>
              <w:t xml:space="preserve"> </w:t>
            </w:r>
            <w:r w:rsidRPr="003A3E63">
              <w:rPr>
                <w:rFonts w:ascii="Calibri" w:hAnsi="Calibri"/>
                <w:bCs/>
                <w:color w:val="7F7F7F" w:themeColor="text1" w:themeTint="80"/>
                <w:sz w:val="20"/>
              </w:rPr>
              <w:t xml:space="preserve">712,643 </w:t>
            </w:r>
          </w:p>
        </w:tc>
      </w:tr>
      <w:tr w:rsidR="0002306F" w:rsidRPr="00646493" w14:paraId="75D248F5" w14:textId="77777777" w:rsidTr="002129F9">
        <w:tc>
          <w:tcPr>
            <w:tcW w:w="3448" w:type="pct"/>
            <w:shd w:val="clear" w:color="auto" w:fill="F2F2F2" w:themeFill="background1" w:themeFillShade="F2"/>
            <w:vAlign w:val="bottom"/>
          </w:tcPr>
          <w:p w14:paraId="66720722" w14:textId="77777777" w:rsidR="0002306F" w:rsidRPr="003A3E63" w:rsidRDefault="0002306F" w:rsidP="002129F9">
            <w:pPr>
              <w:pStyle w:val="P1-StandPara"/>
              <w:spacing w:line="240" w:lineRule="auto"/>
              <w:ind w:firstLine="0"/>
              <w:jc w:val="left"/>
              <w:rPr>
                <w:rFonts w:ascii="Calibri" w:hAnsi="Calibri"/>
                <w:color w:val="000000"/>
                <w:sz w:val="20"/>
              </w:rPr>
            </w:pPr>
            <w:r w:rsidRPr="003A3E63">
              <w:rPr>
                <w:rFonts w:ascii="Calibri" w:hAnsi="Calibri"/>
                <w:color w:val="000000"/>
                <w:sz w:val="20"/>
              </w:rPr>
              <w:t>MAIN STUDY (2018)</w:t>
            </w:r>
          </w:p>
        </w:tc>
        <w:tc>
          <w:tcPr>
            <w:tcW w:w="1552" w:type="pct"/>
            <w:shd w:val="clear" w:color="auto" w:fill="F2F2F2" w:themeFill="background1" w:themeFillShade="F2"/>
            <w:vAlign w:val="bottom"/>
          </w:tcPr>
          <w:p w14:paraId="3F88953E" w14:textId="77777777" w:rsidR="0002306F" w:rsidRPr="003A3E63" w:rsidRDefault="0002306F" w:rsidP="002129F9">
            <w:pPr>
              <w:pStyle w:val="P1-StandPara"/>
              <w:spacing w:line="240" w:lineRule="auto"/>
              <w:ind w:firstLine="0"/>
              <w:jc w:val="right"/>
              <w:rPr>
                <w:rFonts w:ascii="Calibri" w:hAnsi="Calibri"/>
                <w:b/>
                <w:bCs/>
                <w:color w:val="000000"/>
                <w:sz w:val="20"/>
              </w:rPr>
            </w:pPr>
          </w:p>
        </w:tc>
      </w:tr>
      <w:tr w:rsidR="0002306F" w:rsidRPr="00626F97" w14:paraId="0F6F4827" w14:textId="77777777" w:rsidTr="002129F9">
        <w:tc>
          <w:tcPr>
            <w:tcW w:w="3448" w:type="pct"/>
            <w:shd w:val="clear" w:color="auto" w:fill="auto"/>
            <w:vAlign w:val="bottom"/>
          </w:tcPr>
          <w:p w14:paraId="1F45CC40" w14:textId="77777777" w:rsidR="0002306F" w:rsidRPr="003A3E63" w:rsidRDefault="0002306F" w:rsidP="002129F9">
            <w:pPr>
              <w:pStyle w:val="P1-StandPara"/>
              <w:spacing w:line="240" w:lineRule="auto"/>
              <w:ind w:firstLine="0"/>
              <w:jc w:val="left"/>
              <w:rPr>
                <w:color w:val="7F7F7F" w:themeColor="text1" w:themeTint="80"/>
                <w:sz w:val="20"/>
              </w:rPr>
            </w:pPr>
            <w:r w:rsidRPr="003A3E63">
              <w:rPr>
                <w:rFonts w:ascii="Calibri" w:hAnsi="Calibri"/>
                <w:color w:val="7F7F7F" w:themeColor="text1" w:themeTint="80"/>
                <w:sz w:val="20"/>
              </w:rPr>
              <w:t xml:space="preserve"> Recruitment</w:t>
            </w:r>
          </w:p>
        </w:tc>
        <w:tc>
          <w:tcPr>
            <w:tcW w:w="1552" w:type="pct"/>
            <w:shd w:val="clear" w:color="auto" w:fill="auto"/>
            <w:vAlign w:val="bottom"/>
          </w:tcPr>
          <w:p w14:paraId="53B986A5" w14:textId="77777777" w:rsidR="0002306F" w:rsidRPr="003A3E63" w:rsidRDefault="0002306F" w:rsidP="002129F9">
            <w:pPr>
              <w:pStyle w:val="P1-StandPara"/>
              <w:spacing w:line="240" w:lineRule="auto"/>
              <w:ind w:firstLine="0"/>
              <w:jc w:val="right"/>
              <w:rPr>
                <w:color w:val="7F7F7F" w:themeColor="text1" w:themeTint="80"/>
                <w:sz w:val="20"/>
              </w:rPr>
            </w:pPr>
            <w:r w:rsidRPr="003A3E63">
              <w:rPr>
                <w:rFonts w:ascii="Calibri" w:hAnsi="Calibri"/>
                <w:color w:val="7F7F7F" w:themeColor="text1" w:themeTint="80"/>
                <w:sz w:val="20"/>
              </w:rPr>
              <w:t xml:space="preserve"> 149,885 </w:t>
            </w:r>
          </w:p>
        </w:tc>
      </w:tr>
      <w:tr w:rsidR="0002306F" w:rsidRPr="00626F97" w14:paraId="3EEC65BE" w14:textId="77777777" w:rsidTr="002129F9">
        <w:tc>
          <w:tcPr>
            <w:tcW w:w="3448" w:type="pct"/>
            <w:shd w:val="clear" w:color="auto" w:fill="auto"/>
            <w:vAlign w:val="bottom"/>
          </w:tcPr>
          <w:p w14:paraId="3B2FBC56" w14:textId="77777777" w:rsidR="0002306F" w:rsidRPr="003A3E63" w:rsidRDefault="0002306F" w:rsidP="002129F9">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Preparations (e.g., adapting instruments, sampling)</w:t>
            </w:r>
          </w:p>
        </w:tc>
        <w:tc>
          <w:tcPr>
            <w:tcW w:w="1552" w:type="pct"/>
            <w:shd w:val="clear" w:color="auto" w:fill="auto"/>
            <w:vAlign w:val="bottom"/>
          </w:tcPr>
          <w:p w14:paraId="3159039D" w14:textId="77777777" w:rsidR="0002306F" w:rsidRPr="003A3E63" w:rsidRDefault="0002306F" w:rsidP="002129F9">
            <w:pPr>
              <w:pStyle w:val="P1-StandPara"/>
              <w:spacing w:line="240" w:lineRule="auto"/>
              <w:ind w:firstLine="0"/>
              <w:jc w:val="right"/>
              <w:rPr>
                <w:rFonts w:ascii="Calibri" w:hAnsi="Calibri"/>
                <w:color w:val="7F7F7F" w:themeColor="text1" w:themeTint="80"/>
                <w:sz w:val="20"/>
              </w:rPr>
            </w:pPr>
            <w:r w:rsidRPr="003A3E63">
              <w:rPr>
                <w:rFonts w:ascii="Calibri" w:hAnsi="Calibri"/>
                <w:color w:val="7F7F7F" w:themeColor="text1" w:themeTint="80"/>
                <w:sz w:val="20"/>
              </w:rPr>
              <w:t xml:space="preserve">451,217 </w:t>
            </w:r>
          </w:p>
        </w:tc>
      </w:tr>
      <w:tr w:rsidR="0002306F" w:rsidRPr="0002306F" w14:paraId="7DEEC1E7" w14:textId="77777777" w:rsidTr="002129F9">
        <w:tc>
          <w:tcPr>
            <w:tcW w:w="3448" w:type="pct"/>
            <w:shd w:val="clear" w:color="auto" w:fill="auto"/>
            <w:vAlign w:val="bottom"/>
          </w:tcPr>
          <w:p w14:paraId="0E07FD59" w14:textId="77777777" w:rsidR="0002306F" w:rsidRPr="0002306F" w:rsidRDefault="0002306F" w:rsidP="002129F9">
            <w:pPr>
              <w:pStyle w:val="P1-StandPara"/>
              <w:spacing w:line="240" w:lineRule="auto"/>
              <w:ind w:firstLine="0"/>
              <w:jc w:val="left"/>
              <w:rPr>
                <w:rFonts w:ascii="Calibri" w:hAnsi="Calibri"/>
                <w:color w:val="0000CC"/>
                <w:sz w:val="20"/>
              </w:rPr>
            </w:pPr>
            <w:r w:rsidRPr="0002306F">
              <w:rPr>
                <w:rFonts w:ascii="Calibri" w:hAnsi="Calibri"/>
                <w:color w:val="0000CC"/>
                <w:sz w:val="20"/>
              </w:rPr>
              <w:t xml:space="preserve"> Second-tier recruitment</w:t>
            </w:r>
          </w:p>
        </w:tc>
        <w:tc>
          <w:tcPr>
            <w:tcW w:w="1552" w:type="pct"/>
            <w:shd w:val="clear" w:color="auto" w:fill="auto"/>
            <w:vAlign w:val="bottom"/>
          </w:tcPr>
          <w:p w14:paraId="638EF235" w14:textId="77777777" w:rsidR="0002306F" w:rsidRPr="0002306F" w:rsidRDefault="0002306F" w:rsidP="002129F9">
            <w:pPr>
              <w:pStyle w:val="P1-StandPara"/>
              <w:spacing w:line="240" w:lineRule="auto"/>
              <w:ind w:firstLine="0"/>
              <w:jc w:val="right"/>
              <w:rPr>
                <w:rFonts w:ascii="Calibri" w:hAnsi="Calibri"/>
                <w:color w:val="0000CC"/>
                <w:sz w:val="20"/>
              </w:rPr>
            </w:pPr>
            <w:r w:rsidRPr="0002306F">
              <w:rPr>
                <w:rFonts w:ascii="Calibri" w:hAnsi="Calibri"/>
                <w:color w:val="0000CC"/>
                <w:sz w:val="20"/>
              </w:rPr>
              <w:t>31,000</w:t>
            </w:r>
          </w:p>
        </w:tc>
      </w:tr>
      <w:tr w:rsidR="0002306F" w:rsidRPr="00646493" w14:paraId="6015F79C" w14:textId="77777777" w:rsidTr="002129F9">
        <w:tc>
          <w:tcPr>
            <w:tcW w:w="3448" w:type="pct"/>
            <w:vAlign w:val="bottom"/>
          </w:tcPr>
          <w:p w14:paraId="4B91B547" w14:textId="77777777" w:rsidR="0002306F" w:rsidRPr="003A3E63" w:rsidRDefault="0002306F" w:rsidP="002129F9">
            <w:pPr>
              <w:pStyle w:val="P1-StandPara"/>
              <w:spacing w:line="240" w:lineRule="auto"/>
              <w:ind w:firstLine="0"/>
              <w:jc w:val="left"/>
              <w:rPr>
                <w:rFonts w:ascii="Calibri" w:hAnsi="Calibri"/>
                <w:sz w:val="20"/>
              </w:rPr>
            </w:pPr>
            <w:r w:rsidRPr="003A3E63">
              <w:rPr>
                <w:rFonts w:ascii="Calibri" w:hAnsi="Calibri"/>
                <w:sz w:val="20"/>
              </w:rPr>
              <w:t xml:space="preserve"> Data collection, scoring, and coding</w:t>
            </w:r>
          </w:p>
        </w:tc>
        <w:tc>
          <w:tcPr>
            <w:tcW w:w="1552" w:type="pct"/>
            <w:vAlign w:val="bottom"/>
          </w:tcPr>
          <w:p w14:paraId="2FE43019" w14:textId="77777777" w:rsidR="0002306F" w:rsidRPr="003A3E63" w:rsidRDefault="0002306F" w:rsidP="002129F9">
            <w:pPr>
              <w:pStyle w:val="P1-StandPara"/>
              <w:spacing w:line="240" w:lineRule="auto"/>
              <w:ind w:firstLine="0"/>
              <w:jc w:val="right"/>
              <w:rPr>
                <w:rFonts w:ascii="Calibri" w:hAnsi="Calibri"/>
                <w:sz w:val="20"/>
              </w:rPr>
            </w:pPr>
            <w:r w:rsidRPr="003A3E63">
              <w:rPr>
                <w:rFonts w:ascii="Calibri" w:hAnsi="Calibri"/>
                <w:sz w:val="20"/>
              </w:rPr>
              <w:t xml:space="preserve"> 2,837,231 </w:t>
            </w:r>
          </w:p>
        </w:tc>
      </w:tr>
      <w:tr w:rsidR="0002306F" w:rsidRPr="00340CBB" w14:paraId="5E3B695E" w14:textId="77777777" w:rsidTr="002129F9">
        <w:tc>
          <w:tcPr>
            <w:tcW w:w="3448" w:type="pct"/>
            <w:vAlign w:val="bottom"/>
          </w:tcPr>
          <w:p w14:paraId="45C91548" w14:textId="77777777" w:rsidR="0002306F" w:rsidRPr="003A3E63" w:rsidRDefault="0002306F" w:rsidP="002129F9">
            <w:pPr>
              <w:pStyle w:val="P1-StandPara"/>
              <w:spacing w:line="240" w:lineRule="auto"/>
              <w:ind w:firstLine="0"/>
              <w:jc w:val="left"/>
              <w:rPr>
                <w:rFonts w:ascii="Calibri" w:hAnsi="Calibri"/>
                <w:b/>
                <w:sz w:val="20"/>
              </w:rPr>
            </w:pPr>
            <w:r w:rsidRPr="003A3E63">
              <w:rPr>
                <w:rFonts w:ascii="Calibri" w:hAnsi="Calibri"/>
                <w:b/>
                <w:sz w:val="20"/>
              </w:rPr>
              <w:t>Current package components</w:t>
            </w:r>
          </w:p>
        </w:tc>
        <w:tc>
          <w:tcPr>
            <w:tcW w:w="1552" w:type="pct"/>
            <w:vAlign w:val="bottom"/>
          </w:tcPr>
          <w:p w14:paraId="4E423D6D" w14:textId="68EEB7EA" w:rsidR="0002306F" w:rsidRPr="003A3E63" w:rsidRDefault="0002306F" w:rsidP="0002306F">
            <w:pPr>
              <w:jc w:val="right"/>
              <w:rPr>
                <w:rFonts w:ascii="Calibri" w:hAnsi="Calibri"/>
                <w:b/>
                <w:bCs/>
                <w:sz w:val="20"/>
                <w:szCs w:val="20"/>
              </w:rPr>
            </w:pPr>
            <w:r w:rsidRPr="0002306F">
              <w:rPr>
                <w:rFonts w:ascii="Calibri" w:hAnsi="Calibri"/>
                <w:b/>
                <w:strike/>
                <w:sz w:val="20"/>
                <w:szCs w:val="20"/>
              </w:rPr>
              <w:t>2,837,231</w:t>
            </w:r>
            <w:r>
              <w:rPr>
                <w:rFonts w:ascii="Calibri" w:hAnsi="Calibri"/>
                <w:b/>
                <w:sz w:val="20"/>
                <w:szCs w:val="20"/>
              </w:rPr>
              <w:t xml:space="preserve"> </w:t>
            </w:r>
            <w:r w:rsidRPr="0002306F">
              <w:rPr>
                <w:rFonts w:ascii="Calibri" w:hAnsi="Calibri"/>
                <w:b/>
                <w:color w:val="0000CC"/>
                <w:sz w:val="20"/>
                <w:szCs w:val="20"/>
              </w:rPr>
              <w:t>2,868,231</w:t>
            </w:r>
          </w:p>
        </w:tc>
      </w:tr>
      <w:tr w:rsidR="0002306F" w:rsidRPr="00646493" w14:paraId="181C439E" w14:textId="77777777" w:rsidTr="002129F9">
        <w:tc>
          <w:tcPr>
            <w:tcW w:w="3448" w:type="pct"/>
            <w:shd w:val="clear" w:color="auto" w:fill="D9D9D9" w:themeFill="background1" w:themeFillShade="D9"/>
            <w:vAlign w:val="bottom"/>
          </w:tcPr>
          <w:p w14:paraId="28463522" w14:textId="77777777" w:rsidR="0002306F" w:rsidRPr="003A3E63" w:rsidRDefault="0002306F" w:rsidP="002129F9">
            <w:pPr>
              <w:pStyle w:val="P1-StandPara"/>
              <w:spacing w:line="240" w:lineRule="auto"/>
              <w:ind w:firstLine="0"/>
              <w:jc w:val="left"/>
              <w:rPr>
                <w:b/>
                <w:color w:val="7F7F7F" w:themeColor="text1" w:themeTint="80"/>
                <w:sz w:val="20"/>
              </w:rPr>
            </w:pPr>
            <w:r w:rsidRPr="003A3E63">
              <w:rPr>
                <w:rFonts w:ascii="Calibri" w:hAnsi="Calibri"/>
                <w:b/>
                <w:color w:val="000000"/>
                <w:sz w:val="20"/>
              </w:rPr>
              <w:t>Grand total</w:t>
            </w:r>
          </w:p>
        </w:tc>
        <w:tc>
          <w:tcPr>
            <w:tcW w:w="1552" w:type="pct"/>
            <w:shd w:val="clear" w:color="auto" w:fill="D9D9D9" w:themeFill="background1" w:themeFillShade="D9"/>
            <w:vAlign w:val="bottom"/>
          </w:tcPr>
          <w:p w14:paraId="2871281A" w14:textId="3DC66229" w:rsidR="0002306F" w:rsidRPr="003A3E63" w:rsidRDefault="0002306F" w:rsidP="0002306F">
            <w:pPr>
              <w:jc w:val="right"/>
              <w:rPr>
                <w:b/>
                <w:color w:val="7F7F7F" w:themeColor="text1" w:themeTint="80"/>
                <w:sz w:val="20"/>
                <w:szCs w:val="20"/>
              </w:rPr>
            </w:pPr>
            <w:r w:rsidRPr="0002306F">
              <w:rPr>
                <w:rFonts w:ascii="Calibri" w:hAnsi="Calibri"/>
                <w:b/>
                <w:bCs/>
                <w:strike/>
                <w:color w:val="000000"/>
                <w:sz w:val="20"/>
                <w:szCs w:val="20"/>
              </w:rPr>
              <w:t>$4,583,626</w:t>
            </w:r>
            <w:r>
              <w:rPr>
                <w:rFonts w:ascii="Calibri" w:hAnsi="Calibri"/>
                <w:b/>
                <w:bCs/>
                <w:color w:val="000000"/>
                <w:sz w:val="20"/>
                <w:szCs w:val="20"/>
              </w:rPr>
              <w:t xml:space="preserve"> </w:t>
            </w:r>
            <w:r w:rsidRPr="0002306F">
              <w:rPr>
                <w:rFonts w:ascii="Calibri" w:hAnsi="Calibri"/>
                <w:b/>
                <w:bCs/>
                <w:color w:val="0000CC"/>
                <w:sz w:val="20"/>
                <w:szCs w:val="20"/>
              </w:rPr>
              <w:t>$4,614,626</w:t>
            </w:r>
          </w:p>
        </w:tc>
      </w:tr>
    </w:tbl>
    <w:p w14:paraId="68E969E2" w14:textId="77777777" w:rsidR="0002306F" w:rsidRDefault="0002306F" w:rsidP="00EF317E">
      <w:pPr>
        <w:spacing w:line="276" w:lineRule="auto"/>
      </w:pPr>
    </w:p>
    <w:p w14:paraId="76F6610D" w14:textId="728AE813" w:rsidR="0002306F" w:rsidRDefault="0002306F" w:rsidP="0002306F">
      <w:pPr>
        <w:spacing w:after="240" w:line="276" w:lineRule="auto"/>
      </w:pPr>
      <w:r>
        <w:t>The increased second-tier school recruitment incentives ($600 more per school for 50 schools plus additional recruitment materials) add $31,000 to the total cost to the federal government for ICILS 2018.</w:t>
      </w:r>
    </w:p>
    <w:p w14:paraId="510F9B2E" w14:textId="75803F60" w:rsidR="0002306F" w:rsidRDefault="007D7F00" w:rsidP="0002306F">
      <w:pPr>
        <w:spacing w:after="240" w:line="276" w:lineRule="auto"/>
      </w:pPr>
      <w:r>
        <w:rPr>
          <w:b/>
        </w:rPr>
        <w:t>Schedule Plans</w:t>
      </w:r>
      <w:r w:rsidR="0002306F">
        <w:t>: The following text shown in blue font has been added in Section A.16 (</w:t>
      </w:r>
      <w:r w:rsidR="0002306F" w:rsidRPr="0002306F">
        <w:t>Plans for Tabulation and Publication</w:t>
      </w:r>
      <w:r w:rsidR="0002306F">
        <w:t xml:space="preserve">; p.11) to reflect </w:t>
      </w:r>
      <w:r w:rsidR="00186675">
        <w:t>greater detail of the ICILS 2018 main study recruitment schedule</w:t>
      </w:r>
      <w:r w:rsidR="0002306F">
        <w:t>:</w:t>
      </w:r>
    </w:p>
    <w:p w14:paraId="4958228B" w14:textId="77777777" w:rsidR="0002306F" w:rsidRPr="00807F4D" w:rsidRDefault="0002306F" w:rsidP="0002306F">
      <w:pPr>
        <w:pStyle w:val="P1-StandPara"/>
        <w:keepNext/>
        <w:spacing w:line="240" w:lineRule="auto"/>
        <w:ind w:firstLine="0"/>
        <w:jc w:val="left"/>
      </w:pPr>
      <w:r w:rsidRPr="003D6A50">
        <w:rPr>
          <w:b/>
        </w:rPr>
        <w:t xml:space="preserve">Table </w:t>
      </w:r>
      <w:r>
        <w:rPr>
          <w:b/>
        </w:rPr>
        <w:t>A.2</w:t>
      </w:r>
      <w:r w:rsidRPr="003D6A50">
        <w:rPr>
          <w:b/>
        </w:rPr>
        <w:t xml:space="preserve">. </w:t>
      </w:r>
      <w:r>
        <w:rPr>
          <w:b/>
        </w:rPr>
        <w:t>Schedule of Activities</w:t>
      </w:r>
      <w:r w:rsidRPr="003D6A50">
        <w:rPr>
          <w:b/>
        </w:rPr>
        <w:t xml:space="preserve"> for </w:t>
      </w:r>
      <w:r>
        <w:rPr>
          <w:b/>
        </w:rPr>
        <w:t>ICILS 2018 Field Test and Main Study</w:t>
      </w:r>
      <w:r w:rsidRPr="003D6A50">
        <w:rPr>
          <w:b/>
        </w:rPr>
        <w:t>.</w:t>
      </w:r>
    </w:p>
    <w:tbl>
      <w:tblPr>
        <w:tblStyle w:val="TableGrid"/>
        <w:tblW w:w="5000" w:type="pct"/>
        <w:tblLook w:val="04A0" w:firstRow="1" w:lastRow="0" w:firstColumn="1" w:lastColumn="0" w:noHBand="0" w:noVBand="1"/>
      </w:tblPr>
      <w:tblGrid>
        <w:gridCol w:w="3347"/>
        <w:gridCol w:w="7381"/>
      </w:tblGrid>
      <w:tr w:rsidR="0002306F" w:rsidRPr="00851A3D" w14:paraId="57740BF1" w14:textId="77777777" w:rsidTr="002129F9">
        <w:tc>
          <w:tcPr>
            <w:tcW w:w="1560" w:type="pct"/>
          </w:tcPr>
          <w:p w14:paraId="5532032A" w14:textId="77777777" w:rsidR="0002306F" w:rsidRPr="003D5F53" w:rsidRDefault="0002306F" w:rsidP="002129F9">
            <w:pPr>
              <w:pStyle w:val="P1-StandPara"/>
              <w:keepNext/>
              <w:spacing w:line="276" w:lineRule="auto"/>
              <w:ind w:firstLine="0"/>
              <w:jc w:val="left"/>
              <w:rPr>
                <w:b/>
                <w:sz w:val="20"/>
              </w:rPr>
            </w:pPr>
            <w:r w:rsidRPr="003D5F53">
              <w:rPr>
                <w:b/>
                <w:sz w:val="20"/>
              </w:rPr>
              <w:t>Dates</w:t>
            </w:r>
          </w:p>
        </w:tc>
        <w:tc>
          <w:tcPr>
            <w:tcW w:w="3440" w:type="pct"/>
          </w:tcPr>
          <w:p w14:paraId="7AB045D6" w14:textId="77777777" w:rsidR="0002306F" w:rsidRPr="003D5F53" w:rsidRDefault="0002306F" w:rsidP="002129F9">
            <w:pPr>
              <w:pStyle w:val="P1-StandPara"/>
              <w:keepNext/>
              <w:spacing w:line="276" w:lineRule="auto"/>
              <w:ind w:firstLine="0"/>
              <w:jc w:val="left"/>
              <w:rPr>
                <w:b/>
                <w:sz w:val="20"/>
              </w:rPr>
            </w:pPr>
            <w:r w:rsidRPr="003D5F53">
              <w:rPr>
                <w:b/>
                <w:sz w:val="20"/>
              </w:rPr>
              <w:t>Activity</w:t>
            </w:r>
          </w:p>
        </w:tc>
      </w:tr>
      <w:tr w:rsidR="0002306F" w14:paraId="77B0CC13" w14:textId="77777777" w:rsidTr="002129F9">
        <w:tc>
          <w:tcPr>
            <w:tcW w:w="1560" w:type="pct"/>
          </w:tcPr>
          <w:p w14:paraId="19FAF74B" w14:textId="77777777" w:rsidR="0002306F" w:rsidRPr="00A33E32" w:rsidRDefault="0002306F" w:rsidP="002129F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April—December 2016</w:t>
            </w:r>
          </w:p>
        </w:tc>
        <w:tc>
          <w:tcPr>
            <w:tcW w:w="3440" w:type="pct"/>
          </w:tcPr>
          <w:p w14:paraId="4BEDAA73" w14:textId="77777777" w:rsidR="0002306F" w:rsidRPr="00A33E32" w:rsidRDefault="0002306F" w:rsidP="002129F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Prepare data collection manuals, forms, assessment materials, questionnaires</w:t>
            </w:r>
          </w:p>
        </w:tc>
      </w:tr>
      <w:tr w:rsidR="0002306F" w14:paraId="7866A275" w14:textId="77777777" w:rsidTr="002129F9">
        <w:tc>
          <w:tcPr>
            <w:tcW w:w="1560" w:type="pct"/>
          </w:tcPr>
          <w:p w14:paraId="5491EDFC" w14:textId="77777777" w:rsidR="0002306F" w:rsidRPr="00A33E32" w:rsidRDefault="0002306F" w:rsidP="002129F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October 2016—December 2016</w:t>
            </w:r>
          </w:p>
        </w:tc>
        <w:tc>
          <w:tcPr>
            <w:tcW w:w="3440" w:type="pct"/>
          </w:tcPr>
          <w:p w14:paraId="7D63CAC3" w14:textId="77777777" w:rsidR="0002306F" w:rsidRPr="00A33E32" w:rsidRDefault="0002306F" w:rsidP="002129F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Contact and gain cooperation of states, districts, and schools for field test</w:t>
            </w:r>
          </w:p>
        </w:tc>
      </w:tr>
      <w:tr w:rsidR="0002306F" w14:paraId="6DE5BEC2" w14:textId="77777777" w:rsidTr="002129F9">
        <w:tc>
          <w:tcPr>
            <w:tcW w:w="1560" w:type="pct"/>
          </w:tcPr>
          <w:p w14:paraId="147359DE" w14:textId="77777777" w:rsidR="0002306F" w:rsidRPr="00A33E32" w:rsidRDefault="0002306F" w:rsidP="002129F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December 2016—March 2017</w:t>
            </w:r>
          </w:p>
        </w:tc>
        <w:tc>
          <w:tcPr>
            <w:tcW w:w="3440" w:type="pct"/>
          </w:tcPr>
          <w:p w14:paraId="284B5AC3" w14:textId="77777777" w:rsidR="0002306F" w:rsidRPr="00A33E32" w:rsidRDefault="0002306F" w:rsidP="002129F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Select student samples</w:t>
            </w:r>
          </w:p>
        </w:tc>
      </w:tr>
      <w:tr w:rsidR="0002306F" w14:paraId="3C3222DA" w14:textId="77777777" w:rsidTr="002129F9">
        <w:tc>
          <w:tcPr>
            <w:tcW w:w="1560" w:type="pct"/>
          </w:tcPr>
          <w:p w14:paraId="21D4031A" w14:textId="77777777" w:rsidR="0002306F" w:rsidRPr="003D5F53" w:rsidRDefault="0002306F" w:rsidP="002129F9">
            <w:pPr>
              <w:pStyle w:val="P1-StandPara"/>
              <w:keepNext/>
              <w:spacing w:line="276" w:lineRule="auto"/>
              <w:ind w:firstLine="0"/>
              <w:jc w:val="left"/>
              <w:rPr>
                <w:sz w:val="20"/>
              </w:rPr>
            </w:pPr>
            <w:r w:rsidRPr="003D5F53">
              <w:rPr>
                <w:sz w:val="20"/>
              </w:rPr>
              <w:t>Ma</w:t>
            </w:r>
            <w:r>
              <w:rPr>
                <w:sz w:val="20"/>
              </w:rPr>
              <w:t>y/June</w:t>
            </w:r>
            <w:r w:rsidRPr="003D5F53">
              <w:rPr>
                <w:sz w:val="20"/>
              </w:rPr>
              <w:t xml:space="preserve"> 201</w:t>
            </w:r>
            <w:r>
              <w:rPr>
                <w:sz w:val="20"/>
              </w:rPr>
              <w:t>7 ( and through January 2018 for operations testing only)</w:t>
            </w:r>
          </w:p>
        </w:tc>
        <w:tc>
          <w:tcPr>
            <w:tcW w:w="3440" w:type="pct"/>
          </w:tcPr>
          <w:p w14:paraId="5D87C234" w14:textId="77777777" w:rsidR="0002306F" w:rsidRPr="003D5F53" w:rsidRDefault="0002306F" w:rsidP="002129F9">
            <w:pPr>
              <w:pStyle w:val="P1-StandPara"/>
              <w:keepNext/>
              <w:spacing w:line="276" w:lineRule="auto"/>
              <w:ind w:firstLine="0"/>
              <w:jc w:val="left"/>
              <w:rPr>
                <w:sz w:val="20"/>
              </w:rPr>
            </w:pPr>
            <w:r w:rsidRPr="003D5F53">
              <w:rPr>
                <w:sz w:val="20"/>
              </w:rPr>
              <w:t>Collect field test data</w:t>
            </w:r>
          </w:p>
        </w:tc>
      </w:tr>
      <w:tr w:rsidR="0002306F" w:rsidRPr="00E15D4C" w14:paraId="78B02867" w14:textId="77777777" w:rsidTr="002129F9">
        <w:tc>
          <w:tcPr>
            <w:tcW w:w="1560" w:type="pct"/>
          </w:tcPr>
          <w:p w14:paraId="6A6FD67E" w14:textId="77777777" w:rsidR="0002306F" w:rsidRPr="00E15D4C" w:rsidRDefault="0002306F" w:rsidP="002129F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July 2017—October 2017</w:t>
            </w:r>
          </w:p>
        </w:tc>
        <w:tc>
          <w:tcPr>
            <w:tcW w:w="3440" w:type="pct"/>
          </w:tcPr>
          <w:p w14:paraId="5F847CAF" w14:textId="77777777" w:rsidR="0002306F" w:rsidRPr="00E15D4C" w:rsidRDefault="0002306F" w:rsidP="002129F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Deliver raw data to international sponsoring organization</w:t>
            </w:r>
          </w:p>
        </w:tc>
      </w:tr>
      <w:tr w:rsidR="0002306F" w:rsidRPr="00E15D4C" w14:paraId="324C4101" w14:textId="77777777" w:rsidTr="002129F9">
        <w:tc>
          <w:tcPr>
            <w:tcW w:w="1560" w:type="pct"/>
          </w:tcPr>
          <w:p w14:paraId="190AE7AA" w14:textId="77777777" w:rsidR="0002306F" w:rsidRPr="00E15D4C" w:rsidRDefault="0002306F" w:rsidP="002129F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August 2017—November 2017</w:t>
            </w:r>
          </w:p>
        </w:tc>
        <w:tc>
          <w:tcPr>
            <w:tcW w:w="3440" w:type="pct"/>
          </w:tcPr>
          <w:p w14:paraId="52661BFB" w14:textId="77777777" w:rsidR="0002306F" w:rsidRPr="00E15D4C" w:rsidRDefault="0002306F" w:rsidP="002129F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Review field test results</w:t>
            </w:r>
          </w:p>
        </w:tc>
      </w:tr>
      <w:tr w:rsidR="0002306F" w14:paraId="0A584C23" w14:textId="77777777" w:rsidTr="002129F9">
        <w:tc>
          <w:tcPr>
            <w:tcW w:w="1560" w:type="pct"/>
          </w:tcPr>
          <w:p w14:paraId="32668E84" w14:textId="77777777" w:rsidR="0002306F" w:rsidRPr="003D5F53" w:rsidRDefault="0002306F" w:rsidP="002129F9">
            <w:pPr>
              <w:pStyle w:val="P1-StandPara"/>
              <w:keepNext/>
              <w:spacing w:line="276" w:lineRule="auto"/>
              <w:ind w:firstLine="0"/>
              <w:jc w:val="left"/>
              <w:rPr>
                <w:sz w:val="20"/>
              </w:rPr>
            </w:pPr>
            <w:r w:rsidRPr="003D5F53">
              <w:rPr>
                <w:sz w:val="20"/>
              </w:rPr>
              <w:t>March 201</w:t>
            </w:r>
            <w:r>
              <w:rPr>
                <w:sz w:val="20"/>
              </w:rPr>
              <w:t>7</w:t>
            </w:r>
            <w:r w:rsidRPr="003D5F53">
              <w:rPr>
                <w:sz w:val="20"/>
              </w:rPr>
              <w:t>—</w:t>
            </w:r>
            <w:r>
              <w:rPr>
                <w:sz w:val="20"/>
              </w:rPr>
              <w:t>May</w:t>
            </w:r>
            <w:r w:rsidRPr="003D5F53">
              <w:rPr>
                <w:sz w:val="20"/>
              </w:rPr>
              <w:t xml:space="preserve"> 201</w:t>
            </w:r>
            <w:r>
              <w:rPr>
                <w:sz w:val="20"/>
              </w:rPr>
              <w:t>8</w:t>
            </w:r>
          </w:p>
        </w:tc>
        <w:tc>
          <w:tcPr>
            <w:tcW w:w="3440" w:type="pct"/>
          </w:tcPr>
          <w:p w14:paraId="23763EEA" w14:textId="77777777" w:rsidR="0002306F" w:rsidRPr="003D5F53" w:rsidRDefault="0002306F" w:rsidP="002129F9">
            <w:pPr>
              <w:pStyle w:val="P1-StandPara"/>
              <w:keepNext/>
              <w:spacing w:line="276" w:lineRule="auto"/>
              <w:ind w:firstLine="0"/>
              <w:jc w:val="left"/>
              <w:rPr>
                <w:sz w:val="20"/>
              </w:rPr>
            </w:pPr>
            <w:r w:rsidRPr="003D5F53">
              <w:rPr>
                <w:sz w:val="20"/>
              </w:rPr>
              <w:t>Prepare for the main study/recruit schools</w:t>
            </w:r>
          </w:p>
        </w:tc>
      </w:tr>
      <w:tr w:rsidR="0002306F" w:rsidRPr="0002306F" w14:paraId="00DA7490" w14:textId="77777777" w:rsidTr="002129F9">
        <w:tc>
          <w:tcPr>
            <w:tcW w:w="1560" w:type="pct"/>
          </w:tcPr>
          <w:p w14:paraId="786D85DF" w14:textId="77777777" w:rsidR="0002306F" w:rsidRPr="0002306F" w:rsidRDefault="0002306F" w:rsidP="002129F9">
            <w:pPr>
              <w:pStyle w:val="P1-StandPara"/>
              <w:keepNext/>
              <w:spacing w:line="276" w:lineRule="auto"/>
              <w:ind w:left="270" w:firstLine="0"/>
              <w:jc w:val="left"/>
              <w:rPr>
                <w:color w:val="0000CC"/>
                <w:sz w:val="20"/>
              </w:rPr>
            </w:pPr>
            <w:r w:rsidRPr="0002306F">
              <w:rPr>
                <w:color w:val="0000CC"/>
                <w:sz w:val="20"/>
              </w:rPr>
              <w:t>April 2017</w:t>
            </w:r>
          </w:p>
        </w:tc>
        <w:tc>
          <w:tcPr>
            <w:tcW w:w="3440" w:type="pct"/>
          </w:tcPr>
          <w:p w14:paraId="1CB5ADD5" w14:textId="77777777" w:rsidR="0002306F" w:rsidRPr="0002306F" w:rsidRDefault="0002306F" w:rsidP="002129F9">
            <w:pPr>
              <w:pStyle w:val="P1-StandPara"/>
              <w:keepNext/>
              <w:spacing w:line="276" w:lineRule="auto"/>
              <w:ind w:firstLine="0"/>
              <w:jc w:val="left"/>
              <w:rPr>
                <w:color w:val="0000CC"/>
                <w:sz w:val="20"/>
              </w:rPr>
            </w:pPr>
            <w:r w:rsidRPr="0002306F">
              <w:rPr>
                <w:color w:val="0000CC"/>
                <w:sz w:val="20"/>
              </w:rPr>
              <w:t>Begin to contact and gain cooperation of state education agencies with sampled schools</w:t>
            </w:r>
          </w:p>
        </w:tc>
      </w:tr>
      <w:tr w:rsidR="0002306F" w:rsidRPr="0002306F" w14:paraId="0477ED6C" w14:textId="77777777" w:rsidTr="002129F9">
        <w:tc>
          <w:tcPr>
            <w:tcW w:w="1560" w:type="pct"/>
          </w:tcPr>
          <w:p w14:paraId="57B663EB" w14:textId="77777777" w:rsidR="0002306F" w:rsidRPr="0002306F" w:rsidRDefault="0002306F" w:rsidP="002129F9">
            <w:pPr>
              <w:pStyle w:val="P1-StandPara"/>
              <w:keepNext/>
              <w:spacing w:line="276" w:lineRule="auto"/>
              <w:ind w:left="270" w:firstLine="0"/>
              <w:jc w:val="left"/>
              <w:rPr>
                <w:color w:val="0000CC"/>
                <w:sz w:val="20"/>
              </w:rPr>
            </w:pPr>
            <w:r w:rsidRPr="0002306F">
              <w:rPr>
                <w:color w:val="0000CC"/>
                <w:sz w:val="20"/>
              </w:rPr>
              <w:t>May 2017</w:t>
            </w:r>
          </w:p>
        </w:tc>
        <w:tc>
          <w:tcPr>
            <w:tcW w:w="3440" w:type="pct"/>
          </w:tcPr>
          <w:p w14:paraId="0B2423A3" w14:textId="77777777" w:rsidR="0002306F" w:rsidRPr="0002306F" w:rsidRDefault="0002306F" w:rsidP="002129F9">
            <w:pPr>
              <w:pStyle w:val="P1-StandPara"/>
              <w:keepNext/>
              <w:spacing w:line="276" w:lineRule="auto"/>
              <w:ind w:firstLine="0"/>
              <w:jc w:val="left"/>
              <w:rPr>
                <w:color w:val="0000CC"/>
                <w:sz w:val="20"/>
              </w:rPr>
            </w:pPr>
            <w:r w:rsidRPr="0002306F">
              <w:rPr>
                <w:color w:val="0000CC"/>
                <w:sz w:val="20"/>
              </w:rPr>
              <w:t>Begin to contact and gain cooperation of school districts with sampled schools</w:t>
            </w:r>
          </w:p>
        </w:tc>
      </w:tr>
      <w:tr w:rsidR="0002306F" w:rsidRPr="0002306F" w14:paraId="5C5C94DC" w14:textId="77777777" w:rsidTr="002129F9">
        <w:tc>
          <w:tcPr>
            <w:tcW w:w="1560" w:type="pct"/>
          </w:tcPr>
          <w:p w14:paraId="07DC0D79" w14:textId="77777777" w:rsidR="0002306F" w:rsidRPr="0002306F" w:rsidRDefault="0002306F" w:rsidP="002129F9">
            <w:pPr>
              <w:pStyle w:val="P1-StandPara"/>
              <w:keepNext/>
              <w:spacing w:line="276" w:lineRule="auto"/>
              <w:ind w:left="270" w:firstLine="0"/>
              <w:jc w:val="left"/>
              <w:rPr>
                <w:color w:val="0000CC"/>
                <w:sz w:val="20"/>
              </w:rPr>
            </w:pPr>
            <w:r w:rsidRPr="0002306F">
              <w:rPr>
                <w:color w:val="0000CC"/>
                <w:sz w:val="20"/>
              </w:rPr>
              <w:t>October 2017</w:t>
            </w:r>
          </w:p>
        </w:tc>
        <w:tc>
          <w:tcPr>
            <w:tcW w:w="3440" w:type="pct"/>
          </w:tcPr>
          <w:p w14:paraId="1FFD8824" w14:textId="77777777" w:rsidR="0002306F" w:rsidRPr="0002306F" w:rsidRDefault="0002306F" w:rsidP="002129F9">
            <w:pPr>
              <w:pStyle w:val="P1-StandPara"/>
              <w:keepNext/>
              <w:spacing w:line="276" w:lineRule="auto"/>
              <w:ind w:firstLine="0"/>
              <w:jc w:val="left"/>
              <w:rPr>
                <w:color w:val="0000CC"/>
                <w:sz w:val="20"/>
              </w:rPr>
            </w:pPr>
            <w:r w:rsidRPr="0002306F">
              <w:rPr>
                <w:color w:val="0000CC"/>
                <w:sz w:val="20"/>
              </w:rPr>
              <w:t>Resume school contacts</w:t>
            </w:r>
          </w:p>
        </w:tc>
      </w:tr>
      <w:tr w:rsidR="0002306F" w14:paraId="033D9554" w14:textId="77777777" w:rsidTr="002129F9">
        <w:tc>
          <w:tcPr>
            <w:tcW w:w="1560" w:type="pct"/>
          </w:tcPr>
          <w:p w14:paraId="66C79635" w14:textId="77777777" w:rsidR="0002306F" w:rsidRPr="003D5F53" w:rsidRDefault="0002306F" w:rsidP="002129F9">
            <w:pPr>
              <w:pStyle w:val="P1-StandPara"/>
              <w:keepNext/>
              <w:spacing w:line="276" w:lineRule="auto"/>
              <w:ind w:firstLine="0"/>
              <w:jc w:val="left"/>
              <w:rPr>
                <w:sz w:val="20"/>
              </w:rPr>
            </w:pPr>
            <w:r>
              <w:rPr>
                <w:sz w:val="20"/>
              </w:rPr>
              <w:t>March</w:t>
            </w:r>
            <w:r w:rsidRPr="003D5F53">
              <w:rPr>
                <w:sz w:val="20"/>
              </w:rPr>
              <w:t xml:space="preserve"> 201</w:t>
            </w:r>
            <w:r>
              <w:rPr>
                <w:sz w:val="20"/>
              </w:rPr>
              <w:t>8</w:t>
            </w:r>
            <w:r w:rsidRPr="003D5F53">
              <w:rPr>
                <w:sz w:val="20"/>
              </w:rPr>
              <w:t>—</w:t>
            </w:r>
            <w:r>
              <w:rPr>
                <w:sz w:val="20"/>
              </w:rPr>
              <w:t>May</w:t>
            </w:r>
            <w:r w:rsidRPr="003D5F53">
              <w:rPr>
                <w:sz w:val="20"/>
              </w:rPr>
              <w:t xml:space="preserve"> 201</w:t>
            </w:r>
            <w:r>
              <w:rPr>
                <w:sz w:val="20"/>
              </w:rPr>
              <w:t>8</w:t>
            </w:r>
          </w:p>
        </w:tc>
        <w:tc>
          <w:tcPr>
            <w:tcW w:w="3440" w:type="pct"/>
          </w:tcPr>
          <w:p w14:paraId="11DA6ABD" w14:textId="77777777" w:rsidR="0002306F" w:rsidRPr="003D5F53" w:rsidRDefault="0002306F" w:rsidP="002129F9">
            <w:pPr>
              <w:pStyle w:val="P1-StandPara"/>
              <w:keepNext/>
              <w:spacing w:line="276" w:lineRule="auto"/>
              <w:ind w:firstLine="0"/>
              <w:jc w:val="left"/>
              <w:rPr>
                <w:sz w:val="20"/>
              </w:rPr>
            </w:pPr>
            <w:r w:rsidRPr="003D5F53">
              <w:rPr>
                <w:sz w:val="20"/>
              </w:rPr>
              <w:t>Collect main study data</w:t>
            </w:r>
          </w:p>
        </w:tc>
      </w:tr>
      <w:tr w:rsidR="0002306F" w14:paraId="160C76FA" w14:textId="77777777" w:rsidTr="002129F9">
        <w:tc>
          <w:tcPr>
            <w:tcW w:w="1560" w:type="pct"/>
          </w:tcPr>
          <w:p w14:paraId="6C96619F" w14:textId="77777777" w:rsidR="0002306F" w:rsidRPr="003D5F53" w:rsidRDefault="0002306F" w:rsidP="002129F9">
            <w:pPr>
              <w:pStyle w:val="P1-StandPara"/>
              <w:keepNext/>
              <w:spacing w:line="276" w:lineRule="auto"/>
              <w:ind w:firstLine="0"/>
              <w:jc w:val="left"/>
              <w:rPr>
                <w:sz w:val="20"/>
              </w:rPr>
            </w:pPr>
            <w:r w:rsidRPr="003D5F53">
              <w:rPr>
                <w:sz w:val="20"/>
              </w:rPr>
              <w:t>June 201</w:t>
            </w:r>
            <w:r>
              <w:rPr>
                <w:sz w:val="20"/>
              </w:rPr>
              <w:t>9</w:t>
            </w:r>
          </w:p>
        </w:tc>
        <w:tc>
          <w:tcPr>
            <w:tcW w:w="3440" w:type="pct"/>
          </w:tcPr>
          <w:p w14:paraId="602C141D" w14:textId="77777777" w:rsidR="0002306F" w:rsidRPr="003D5F53" w:rsidRDefault="0002306F" w:rsidP="002129F9">
            <w:pPr>
              <w:pStyle w:val="P1-StandPara"/>
              <w:keepNext/>
              <w:spacing w:line="276" w:lineRule="auto"/>
              <w:ind w:firstLine="0"/>
              <w:jc w:val="left"/>
              <w:rPr>
                <w:sz w:val="20"/>
              </w:rPr>
            </w:pPr>
            <w:r w:rsidRPr="003D5F53">
              <w:rPr>
                <w:sz w:val="20"/>
              </w:rPr>
              <w:t>Receive final data files from international sponsors</w:t>
            </w:r>
          </w:p>
        </w:tc>
      </w:tr>
      <w:tr w:rsidR="0002306F" w14:paraId="2C690D2C" w14:textId="77777777" w:rsidTr="002129F9">
        <w:tc>
          <w:tcPr>
            <w:tcW w:w="1560" w:type="pct"/>
          </w:tcPr>
          <w:p w14:paraId="773D1182" w14:textId="77777777" w:rsidR="0002306F" w:rsidRPr="003D5F53" w:rsidRDefault="0002306F" w:rsidP="002129F9">
            <w:pPr>
              <w:pStyle w:val="P1-StandPara"/>
              <w:spacing w:line="276" w:lineRule="auto"/>
              <w:ind w:firstLine="0"/>
              <w:jc w:val="left"/>
              <w:rPr>
                <w:sz w:val="20"/>
              </w:rPr>
            </w:pPr>
            <w:r w:rsidRPr="003D5F53">
              <w:rPr>
                <w:sz w:val="20"/>
              </w:rPr>
              <w:t>June 201</w:t>
            </w:r>
            <w:r>
              <w:rPr>
                <w:sz w:val="20"/>
              </w:rPr>
              <w:t>9</w:t>
            </w:r>
            <w:r w:rsidRPr="003D5F53">
              <w:rPr>
                <w:sz w:val="20"/>
              </w:rPr>
              <w:t>—</w:t>
            </w:r>
            <w:r>
              <w:rPr>
                <w:sz w:val="20"/>
              </w:rPr>
              <w:t>November</w:t>
            </w:r>
            <w:r w:rsidRPr="003D5F53">
              <w:rPr>
                <w:sz w:val="20"/>
              </w:rPr>
              <w:t xml:space="preserve"> 201</w:t>
            </w:r>
            <w:r>
              <w:rPr>
                <w:sz w:val="20"/>
              </w:rPr>
              <w:t>9</w:t>
            </w:r>
          </w:p>
        </w:tc>
        <w:tc>
          <w:tcPr>
            <w:tcW w:w="3440" w:type="pct"/>
          </w:tcPr>
          <w:p w14:paraId="7CD5AD5F" w14:textId="77777777" w:rsidR="0002306F" w:rsidRPr="003D5F53" w:rsidRDefault="0002306F" w:rsidP="002129F9">
            <w:pPr>
              <w:pStyle w:val="P1-StandPara"/>
              <w:spacing w:line="276" w:lineRule="auto"/>
              <w:ind w:firstLine="0"/>
              <w:jc w:val="left"/>
              <w:rPr>
                <w:sz w:val="20"/>
              </w:rPr>
            </w:pPr>
            <w:r w:rsidRPr="003D5F53">
              <w:rPr>
                <w:sz w:val="20"/>
              </w:rPr>
              <w:t>Produce report</w:t>
            </w:r>
          </w:p>
        </w:tc>
      </w:tr>
    </w:tbl>
    <w:p w14:paraId="0C919D9C" w14:textId="77777777" w:rsidR="0002306F" w:rsidRPr="0002306F" w:rsidRDefault="0002306F" w:rsidP="0002306F">
      <w:pPr>
        <w:rPr>
          <w:sz w:val="20"/>
          <w:szCs w:val="20"/>
        </w:rPr>
      </w:pPr>
    </w:p>
    <w:p w14:paraId="4FB1066D" w14:textId="25C3480F" w:rsidR="0002306F" w:rsidRPr="004325D1" w:rsidRDefault="0002306F" w:rsidP="0002306F">
      <w:pPr>
        <w:spacing w:after="240" w:line="276" w:lineRule="auto"/>
        <w:rPr>
          <w:b/>
          <w:u w:val="single"/>
        </w:rPr>
      </w:pPr>
      <w:r w:rsidRPr="004325D1">
        <w:rPr>
          <w:b/>
          <w:u w:val="single"/>
        </w:rPr>
        <w:t xml:space="preserve">Revisions to </w:t>
      </w:r>
      <w:r>
        <w:rPr>
          <w:b/>
          <w:u w:val="single"/>
        </w:rPr>
        <w:t>Appendix</w:t>
      </w:r>
      <w:r w:rsidRPr="004325D1">
        <w:rPr>
          <w:b/>
          <w:u w:val="single"/>
        </w:rPr>
        <w:t xml:space="preserve"> A</w:t>
      </w:r>
      <w:r>
        <w:rPr>
          <w:b/>
          <w:u w:val="single"/>
        </w:rPr>
        <w:t xml:space="preserve"> (</w:t>
      </w:r>
      <w:r w:rsidRPr="0002306F">
        <w:rPr>
          <w:b/>
          <w:u w:val="single"/>
        </w:rPr>
        <w:t>Recruitment Materials</w:t>
      </w:r>
      <w:r>
        <w:rPr>
          <w:b/>
          <w:u w:val="single"/>
        </w:rPr>
        <w:t>)</w:t>
      </w:r>
    </w:p>
    <w:p w14:paraId="7658FB1C" w14:textId="540C2E79" w:rsidR="00186675" w:rsidRDefault="00186675" w:rsidP="00186675">
      <w:pPr>
        <w:widowControl w:val="0"/>
        <w:spacing w:after="240" w:line="276" w:lineRule="auto"/>
      </w:pPr>
      <w:r>
        <w:t>T</w:t>
      </w:r>
      <w:r w:rsidR="00A422EE">
        <w:t>o reflect the heightened need for their participation and the higher incentives being offered, t</w:t>
      </w:r>
      <w:r>
        <w:t xml:space="preserve">he </w:t>
      </w:r>
      <w:r w:rsidRPr="00186675">
        <w:t>School District ICILS Main Study Letter</w:t>
      </w:r>
      <w:r>
        <w:t xml:space="preserve"> [</w:t>
      </w:r>
      <w:r w:rsidR="00A422EE">
        <w:t>First-Tier/</w:t>
      </w:r>
      <w:r w:rsidR="00A422EE" w:rsidRPr="00186675">
        <w:rPr>
          <w:color w:val="C00000"/>
        </w:rPr>
        <w:t>Second-</w:t>
      </w:r>
      <w:r w:rsidR="00A422EE">
        <w:rPr>
          <w:color w:val="C00000"/>
        </w:rPr>
        <w:t>T</w:t>
      </w:r>
      <w:r w:rsidR="00A422EE" w:rsidRPr="00186675">
        <w:rPr>
          <w:color w:val="C00000"/>
        </w:rPr>
        <w:t>ier</w:t>
      </w:r>
      <w:r>
        <w:t xml:space="preserve">] (p.4), the </w:t>
      </w:r>
      <w:r w:rsidRPr="00186675">
        <w:t>School ICILS Main Study Letter</w:t>
      </w:r>
      <w:r>
        <w:t xml:space="preserve"> </w:t>
      </w:r>
      <w:r w:rsidR="00A422EE">
        <w:t>[First-Tier/</w:t>
      </w:r>
      <w:r w:rsidRPr="00186675">
        <w:rPr>
          <w:color w:val="C00000"/>
        </w:rPr>
        <w:t>Second-</w:t>
      </w:r>
      <w:r w:rsidR="00A422EE">
        <w:rPr>
          <w:color w:val="C00000"/>
        </w:rPr>
        <w:t>T</w:t>
      </w:r>
      <w:r w:rsidRPr="00186675">
        <w:rPr>
          <w:color w:val="C00000"/>
        </w:rPr>
        <w:t>ier</w:t>
      </w:r>
      <w:r>
        <w:t>] (p.5</w:t>
      </w:r>
      <w:r w:rsidR="007B0C11">
        <w:t>-6</w:t>
      </w:r>
      <w:r>
        <w:t xml:space="preserve">), and the </w:t>
      </w:r>
      <w:r w:rsidRPr="00186675">
        <w:t>Teacher Questionnaire ICILS Main Study Letter</w:t>
      </w:r>
      <w:r>
        <w:t xml:space="preserve"> [</w:t>
      </w:r>
      <w:r w:rsidR="00A422EE">
        <w:t>First-Tier/</w:t>
      </w:r>
      <w:r w:rsidR="00A422EE" w:rsidRPr="00186675">
        <w:rPr>
          <w:color w:val="C00000"/>
        </w:rPr>
        <w:t>Second-</w:t>
      </w:r>
      <w:r w:rsidR="00A422EE">
        <w:rPr>
          <w:color w:val="C00000"/>
        </w:rPr>
        <w:t>T</w:t>
      </w:r>
      <w:r w:rsidR="00A422EE" w:rsidRPr="00186675">
        <w:rPr>
          <w:color w:val="C00000"/>
        </w:rPr>
        <w:t>ier</w:t>
      </w:r>
      <w:r>
        <w:t>] (p.</w:t>
      </w:r>
      <w:r w:rsidR="007B0C11">
        <w:t>7</w:t>
      </w:r>
      <w:r>
        <w:t>) were amended with text in maroon font to reflect how the letters that will be sent to</w:t>
      </w:r>
      <w:r w:rsidR="00A422EE">
        <w:t>:</w:t>
      </w:r>
      <w:r>
        <w:t xml:space="preserve"> n</w:t>
      </w:r>
      <w:r w:rsidRPr="00186675">
        <w:t>ew replacement schools to be activated in April 2018</w:t>
      </w:r>
      <w:r w:rsidR="00A422EE">
        <w:t>;</w:t>
      </w:r>
      <w:r>
        <w:t xml:space="preserve"> their respective school districts (if these districts have not been already contacted for other ICILS 2018 schools)</w:t>
      </w:r>
      <w:r w:rsidR="00A422EE">
        <w:t>;</w:t>
      </w:r>
      <w:r>
        <w:t xml:space="preserve"> and to all teachers in </w:t>
      </w:r>
      <w:r w:rsidR="00A422EE">
        <w:t xml:space="preserve">all </w:t>
      </w:r>
      <w:r>
        <w:t xml:space="preserve">second-tier schools will differ from the letters sent </w:t>
      </w:r>
      <w:r w:rsidR="00A422EE">
        <w:t xml:space="preserve">thus far (during the first-tier of ICILS 2018 recruitment) </w:t>
      </w:r>
      <w:r>
        <w:t>to school dis</w:t>
      </w:r>
      <w:r w:rsidR="00A422EE">
        <w:t>tricts, schools, and teachers</w:t>
      </w:r>
      <w:r>
        <w:t>.</w:t>
      </w:r>
    </w:p>
    <w:p w14:paraId="3E11A253" w14:textId="725FC7AC" w:rsidR="00A422EE" w:rsidRDefault="00186675" w:rsidP="00A422EE">
      <w:pPr>
        <w:widowControl w:val="0"/>
        <w:spacing w:after="240" w:line="276" w:lineRule="auto"/>
      </w:pPr>
      <w:r>
        <w:t xml:space="preserve">Additionally, we added the </w:t>
      </w:r>
      <w:r w:rsidR="00A422EE">
        <w:t>Second-</w:t>
      </w:r>
      <w:r w:rsidR="00A422EE" w:rsidRPr="00186675">
        <w:t>Tier</w:t>
      </w:r>
      <w:r w:rsidR="00A422EE">
        <w:t xml:space="preserve"> School </w:t>
      </w:r>
      <w:r w:rsidRPr="00186675">
        <w:t xml:space="preserve">ICILS Main Study </w:t>
      </w:r>
      <w:r w:rsidR="00A422EE" w:rsidRPr="00186675">
        <w:t>Recruitment Letter</w:t>
      </w:r>
      <w:r w:rsidR="00A422EE">
        <w:t xml:space="preserve"> </w:t>
      </w:r>
      <w:r>
        <w:t>[</w:t>
      </w:r>
      <w:r w:rsidR="00A422EE" w:rsidRPr="00A422EE">
        <w:rPr>
          <w:color w:val="009600"/>
        </w:rPr>
        <w:t>to participating schools with no follow-through</w:t>
      </w:r>
      <w:r w:rsidR="00A422EE">
        <w:t>/</w:t>
      </w:r>
      <w:r w:rsidR="00A422EE" w:rsidRPr="00A422EE">
        <w:rPr>
          <w:color w:val="0000CC"/>
        </w:rPr>
        <w:t>to non-participating schools with no final refusal</w:t>
      </w:r>
      <w:r>
        <w:t>]</w:t>
      </w:r>
      <w:r w:rsidRPr="00186675">
        <w:t xml:space="preserve"> </w:t>
      </w:r>
      <w:r>
        <w:t>(p.</w:t>
      </w:r>
      <w:r w:rsidR="00DD4263">
        <w:t>37</w:t>
      </w:r>
      <w:r>
        <w:t>) that will be sent to</w:t>
      </w:r>
      <w:r w:rsidR="00A422EE">
        <w:t>:</w:t>
      </w:r>
      <w:r>
        <w:t xml:space="preserve"> </w:t>
      </w:r>
      <w:r w:rsidR="00A422EE">
        <w:t xml:space="preserve">(a) </w:t>
      </w:r>
      <w:r w:rsidR="00A422EE" w:rsidRPr="00A422EE">
        <w:t xml:space="preserve">participating schools with no follow-through </w:t>
      </w:r>
      <w:r w:rsidR="00A422EE">
        <w:t xml:space="preserve">(i.e., schools </w:t>
      </w:r>
      <w:r w:rsidR="00A422EE" w:rsidRPr="00A422EE">
        <w:t xml:space="preserve">that have accepted participation but are </w:t>
      </w:r>
      <w:r w:rsidR="00A422EE">
        <w:t xml:space="preserve">still </w:t>
      </w:r>
      <w:r w:rsidR="00A422EE" w:rsidRPr="00A422EE">
        <w:t>not following through</w:t>
      </w:r>
      <w:r w:rsidR="00A422EE">
        <w:t>) and (b)</w:t>
      </w:r>
      <w:r w:rsidR="00A422EE" w:rsidRPr="00A422EE">
        <w:t xml:space="preserve"> non-participating schools with no final refusal</w:t>
      </w:r>
      <w:r w:rsidR="00A422EE">
        <w:t xml:space="preserve"> (i.e., schools </w:t>
      </w:r>
      <w:r w:rsidR="00A422EE" w:rsidRPr="00A422EE">
        <w:t>that are pending</w:t>
      </w:r>
      <w:r w:rsidR="00A422EE">
        <w:t xml:space="preserve">, </w:t>
      </w:r>
      <w:r w:rsidR="00A422EE" w:rsidRPr="00A422EE">
        <w:t xml:space="preserve">have not responded, </w:t>
      </w:r>
      <w:r w:rsidR="00A422EE">
        <w:t>or</w:t>
      </w:r>
      <w:r w:rsidR="00A422EE" w:rsidRPr="00A422EE">
        <w:t xml:space="preserve"> are not final refusals</w:t>
      </w:r>
      <w:r w:rsidR="00A422EE">
        <w:t>).</w:t>
      </w:r>
    </w:p>
    <w:p w14:paraId="5708AD12" w14:textId="02E475F1" w:rsidR="00A422EE" w:rsidRDefault="00A422EE" w:rsidP="00A422EE">
      <w:pPr>
        <w:widowControl w:val="0"/>
        <w:spacing w:after="240" w:line="276" w:lineRule="auto"/>
      </w:pPr>
      <w:r>
        <w:t>The second-tier letters will be sent starting in April 2018 and through the end of ICILS 2018 data collection in May 2018.</w:t>
      </w:r>
    </w:p>
    <w:sectPr w:rsidR="00A422EE" w:rsidSect="00CE4136">
      <w:footerReference w:type="default" r:id="rId12"/>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D145E" w14:textId="77777777" w:rsidR="00D16A47" w:rsidRDefault="00D16A47" w:rsidP="00D95812">
      <w:r>
        <w:separator/>
      </w:r>
    </w:p>
  </w:endnote>
  <w:endnote w:type="continuationSeparator" w:id="0">
    <w:p w14:paraId="197E9374" w14:textId="77777777" w:rsidR="00D16A47" w:rsidRDefault="00D16A47"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6D2107E7" w:rsidR="00B949B2" w:rsidRDefault="00B949B2" w:rsidP="00A62F14">
        <w:pPr>
          <w:pStyle w:val="Footer"/>
          <w:jc w:val="center"/>
        </w:pPr>
        <w:r>
          <w:fldChar w:fldCharType="begin"/>
        </w:r>
        <w:r>
          <w:instrText xml:space="preserve"> PAGE   \* MERGEFORMAT </w:instrText>
        </w:r>
        <w:r>
          <w:fldChar w:fldCharType="separate"/>
        </w:r>
        <w:r w:rsidR="00443B6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8F4AF" w14:textId="77777777" w:rsidR="00D16A47" w:rsidRDefault="00D16A47" w:rsidP="00D95812">
      <w:r>
        <w:separator/>
      </w:r>
    </w:p>
  </w:footnote>
  <w:footnote w:type="continuationSeparator" w:id="0">
    <w:p w14:paraId="27E2802F" w14:textId="77777777" w:rsidR="00D16A47" w:rsidRDefault="00D16A47"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335D9D"/>
    <w:multiLevelType w:val="hybridMultilevel"/>
    <w:tmpl w:val="2AFA06E6"/>
    <w:lvl w:ilvl="0" w:tplc="0409000F">
      <w:start w:val="1"/>
      <w:numFmt w:val="decimal"/>
      <w:lvlText w:val="%1."/>
      <w:lvlJc w:val="left"/>
      <w:pPr>
        <w:ind w:left="62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9">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9">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186950"/>
    <w:multiLevelType w:val="hybridMultilevel"/>
    <w:tmpl w:val="ECEE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5">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6">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F337145"/>
    <w:multiLevelType w:val="hybridMultilevel"/>
    <w:tmpl w:val="7BEA3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2">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4">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3FD7104"/>
    <w:multiLevelType w:val="hybridMultilevel"/>
    <w:tmpl w:val="878EEA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1">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9"/>
  </w:num>
  <w:num w:numId="2">
    <w:abstractNumId w:val="61"/>
  </w:num>
  <w:num w:numId="3">
    <w:abstractNumId w:val="97"/>
  </w:num>
  <w:num w:numId="4">
    <w:abstractNumId w:val="27"/>
  </w:num>
  <w:num w:numId="5">
    <w:abstractNumId w:val="35"/>
  </w:num>
  <w:num w:numId="6">
    <w:abstractNumId w:val="73"/>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7"/>
  </w:num>
  <w:num w:numId="11">
    <w:abstractNumId w:val="58"/>
  </w:num>
  <w:num w:numId="12">
    <w:abstractNumId w:val="8"/>
  </w:num>
  <w:num w:numId="13">
    <w:abstractNumId w:val="99"/>
  </w:num>
  <w:num w:numId="14">
    <w:abstractNumId w:val="42"/>
  </w:num>
  <w:num w:numId="15">
    <w:abstractNumId w:val="55"/>
  </w:num>
  <w:num w:numId="16">
    <w:abstractNumId w:val="90"/>
  </w:num>
  <w:num w:numId="17">
    <w:abstractNumId w:val="69"/>
  </w:num>
  <w:num w:numId="18">
    <w:abstractNumId w:val="20"/>
  </w:num>
  <w:num w:numId="19">
    <w:abstractNumId w:val="3"/>
  </w:num>
  <w:num w:numId="20">
    <w:abstractNumId w:val="44"/>
  </w:num>
  <w:num w:numId="21">
    <w:abstractNumId w:val="26"/>
  </w:num>
  <w:num w:numId="22">
    <w:abstractNumId w:val="57"/>
  </w:num>
  <w:num w:numId="23">
    <w:abstractNumId w:val="18"/>
  </w:num>
  <w:num w:numId="24">
    <w:abstractNumId w:val="67"/>
  </w:num>
  <w:num w:numId="25">
    <w:abstractNumId w:val="16"/>
  </w:num>
  <w:num w:numId="26">
    <w:abstractNumId w:val="59"/>
  </w:num>
  <w:num w:numId="27">
    <w:abstractNumId w:val="19"/>
  </w:num>
  <w:num w:numId="28">
    <w:abstractNumId w:val="86"/>
  </w:num>
  <w:num w:numId="29">
    <w:abstractNumId w:val="29"/>
  </w:num>
  <w:num w:numId="30">
    <w:abstractNumId w:val="28"/>
  </w:num>
  <w:num w:numId="31">
    <w:abstractNumId w:val="46"/>
  </w:num>
  <w:num w:numId="32">
    <w:abstractNumId w:val="5"/>
  </w:num>
  <w:num w:numId="33">
    <w:abstractNumId w:val="12"/>
  </w:num>
  <w:num w:numId="34">
    <w:abstractNumId w:val="30"/>
  </w:num>
  <w:num w:numId="35">
    <w:abstractNumId w:val="106"/>
  </w:num>
  <w:num w:numId="36">
    <w:abstractNumId w:val="31"/>
  </w:num>
  <w:num w:numId="37">
    <w:abstractNumId w:val="14"/>
  </w:num>
  <w:num w:numId="38">
    <w:abstractNumId w:val="4"/>
  </w:num>
  <w:num w:numId="39">
    <w:abstractNumId w:val="23"/>
  </w:num>
  <w:num w:numId="40">
    <w:abstractNumId w:val="111"/>
  </w:num>
  <w:num w:numId="41">
    <w:abstractNumId w:val="78"/>
  </w:num>
  <w:num w:numId="42">
    <w:abstractNumId w:val="103"/>
  </w:num>
  <w:num w:numId="43">
    <w:abstractNumId w:val="54"/>
  </w:num>
  <w:num w:numId="44">
    <w:abstractNumId w:val="41"/>
  </w:num>
  <w:num w:numId="45">
    <w:abstractNumId w:val="38"/>
  </w:num>
  <w:num w:numId="46">
    <w:abstractNumId w:val="45"/>
  </w:num>
  <w:num w:numId="47">
    <w:abstractNumId w:val="56"/>
  </w:num>
  <w:num w:numId="48">
    <w:abstractNumId w:val="7"/>
  </w:num>
  <w:num w:numId="49">
    <w:abstractNumId w:val="10"/>
  </w:num>
  <w:num w:numId="50">
    <w:abstractNumId w:val="102"/>
  </w:num>
  <w:num w:numId="51">
    <w:abstractNumId w:val="93"/>
  </w:num>
  <w:num w:numId="52">
    <w:abstractNumId w:val="108"/>
  </w:num>
  <w:num w:numId="53">
    <w:abstractNumId w:val="94"/>
  </w:num>
  <w:num w:numId="54">
    <w:abstractNumId w:val="100"/>
  </w:num>
  <w:num w:numId="55">
    <w:abstractNumId w:val="83"/>
  </w:num>
  <w:num w:numId="56">
    <w:abstractNumId w:val="64"/>
  </w:num>
  <w:num w:numId="57">
    <w:abstractNumId w:val="68"/>
  </w:num>
  <w:num w:numId="58">
    <w:abstractNumId w:val="49"/>
  </w:num>
  <w:num w:numId="59">
    <w:abstractNumId w:val="74"/>
  </w:num>
  <w:num w:numId="60">
    <w:abstractNumId w:val="52"/>
  </w:num>
  <w:num w:numId="61">
    <w:abstractNumId w:val="11"/>
  </w:num>
  <w:num w:numId="62">
    <w:abstractNumId w:val="71"/>
  </w:num>
  <w:num w:numId="63">
    <w:abstractNumId w:val="104"/>
  </w:num>
  <w:num w:numId="64">
    <w:abstractNumId w:val="88"/>
  </w:num>
  <w:num w:numId="65">
    <w:abstractNumId w:val="47"/>
  </w:num>
  <w:num w:numId="66">
    <w:abstractNumId w:val="21"/>
  </w:num>
  <w:num w:numId="67">
    <w:abstractNumId w:val="36"/>
  </w:num>
  <w:num w:numId="68">
    <w:abstractNumId w:val="75"/>
  </w:num>
  <w:num w:numId="69">
    <w:abstractNumId w:val="40"/>
  </w:num>
  <w:num w:numId="70">
    <w:abstractNumId w:val="48"/>
  </w:num>
  <w:num w:numId="71">
    <w:abstractNumId w:val="43"/>
  </w:num>
  <w:num w:numId="72">
    <w:abstractNumId w:val="95"/>
  </w:num>
  <w:num w:numId="73">
    <w:abstractNumId w:val="62"/>
  </w:num>
  <w:num w:numId="74">
    <w:abstractNumId w:val="50"/>
  </w:num>
  <w:num w:numId="75">
    <w:abstractNumId w:val="81"/>
  </w:num>
  <w:num w:numId="76">
    <w:abstractNumId w:val="65"/>
  </w:num>
  <w:num w:numId="77">
    <w:abstractNumId w:val="76"/>
  </w:num>
  <w:num w:numId="78">
    <w:abstractNumId w:val="110"/>
  </w:num>
  <w:num w:numId="79">
    <w:abstractNumId w:val="15"/>
  </w:num>
  <w:num w:numId="80">
    <w:abstractNumId w:val="82"/>
  </w:num>
  <w:num w:numId="81">
    <w:abstractNumId w:val="9"/>
  </w:num>
  <w:num w:numId="82">
    <w:abstractNumId w:val="17"/>
  </w:num>
  <w:num w:numId="83">
    <w:abstractNumId w:val="89"/>
  </w:num>
  <w:num w:numId="84">
    <w:abstractNumId w:val="112"/>
  </w:num>
  <w:num w:numId="85">
    <w:abstractNumId w:val="25"/>
  </w:num>
  <w:num w:numId="86">
    <w:abstractNumId w:val="1"/>
  </w:num>
  <w:num w:numId="87">
    <w:abstractNumId w:val="92"/>
  </w:num>
  <w:num w:numId="88">
    <w:abstractNumId w:val="84"/>
  </w:num>
  <w:num w:numId="89">
    <w:abstractNumId w:val="70"/>
  </w:num>
  <w:num w:numId="90">
    <w:abstractNumId w:val="34"/>
  </w:num>
  <w:num w:numId="91">
    <w:abstractNumId w:val="24"/>
  </w:num>
  <w:num w:numId="92">
    <w:abstractNumId w:val="63"/>
  </w:num>
  <w:num w:numId="93">
    <w:abstractNumId w:val="53"/>
  </w:num>
  <w:num w:numId="94">
    <w:abstractNumId w:val="2"/>
  </w:num>
  <w:num w:numId="95">
    <w:abstractNumId w:val="60"/>
  </w:num>
  <w:num w:numId="96">
    <w:abstractNumId w:val="39"/>
  </w:num>
  <w:num w:numId="97">
    <w:abstractNumId w:val="77"/>
  </w:num>
  <w:num w:numId="98">
    <w:abstractNumId w:val="79"/>
  </w:num>
  <w:num w:numId="99">
    <w:abstractNumId w:val="37"/>
  </w:num>
  <w:num w:numId="100">
    <w:abstractNumId w:val="96"/>
  </w:num>
  <w:num w:numId="101">
    <w:abstractNumId w:val="72"/>
  </w:num>
  <w:num w:numId="102">
    <w:abstractNumId w:val="33"/>
  </w:num>
  <w:num w:numId="103">
    <w:abstractNumId w:val="98"/>
  </w:num>
  <w:num w:numId="104">
    <w:abstractNumId w:val="91"/>
  </w:num>
  <w:num w:numId="105">
    <w:abstractNumId w:val="22"/>
  </w:num>
  <w:num w:numId="106">
    <w:abstractNumId w:val="107"/>
  </w:num>
  <w:num w:numId="107">
    <w:abstractNumId w:val="85"/>
  </w:num>
  <w:num w:numId="108">
    <w:abstractNumId w:val="101"/>
  </w:num>
  <w:num w:numId="109">
    <w:abstractNumId w:val="13"/>
  </w:num>
  <w:num w:numId="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2"/>
  </w:num>
  <w:num w:numId="112">
    <w:abstractNumId w:val="66"/>
  </w:num>
  <w:num w:numId="113">
    <w:abstractNumId w:val="80"/>
  </w:num>
  <w:num w:numId="114">
    <w:abstractNumId w:val="5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736"/>
    <w:rsid w:val="000118A8"/>
    <w:rsid w:val="00011DFE"/>
    <w:rsid w:val="000143B3"/>
    <w:rsid w:val="0002306F"/>
    <w:rsid w:val="000274F9"/>
    <w:rsid w:val="00030CEF"/>
    <w:rsid w:val="000325D6"/>
    <w:rsid w:val="00037545"/>
    <w:rsid w:val="000472CB"/>
    <w:rsid w:val="00047E1B"/>
    <w:rsid w:val="00052A95"/>
    <w:rsid w:val="00054BF9"/>
    <w:rsid w:val="00065129"/>
    <w:rsid w:val="000840C6"/>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32D2"/>
    <w:rsid w:val="0012410E"/>
    <w:rsid w:val="00124B56"/>
    <w:rsid w:val="00132F57"/>
    <w:rsid w:val="00135C78"/>
    <w:rsid w:val="00135C86"/>
    <w:rsid w:val="00136A62"/>
    <w:rsid w:val="0016137B"/>
    <w:rsid w:val="001642E4"/>
    <w:rsid w:val="0016575E"/>
    <w:rsid w:val="00172B0F"/>
    <w:rsid w:val="0018373A"/>
    <w:rsid w:val="00186675"/>
    <w:rsid w:val="001911FB"/>
    <w:rsid w:val="00194B81"/>
    <w:rsid w:val="001A64D0"/>
    <w:rsid w:val="001B745E"/>
    <w:rsid w:val="001D0BB9"/>
    <w:rsid w:val="001E3760"/>
    <w:rsid w:val="001F0D1C"/>
    <w:rsid w:val="001F56AC"/>
    <w:rsid w:val="0020593B"/>
    <w:rsid w:val="002117F0"/>
    <w:rsid w:val="00211DBA"/>
    <w:rsid w:val="002128B7"/>
    <w:rsid w:val="00216221"/>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86A4C"/>
    <w:rsid w:val="002A30C5"/>
    <w:rsid w:val="002C14DB"/>
    <w:rsid w:val="002C77A2"/>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4948"/>
    <w:rsid w:val="003C606D"/>
    <w:rsid w:val="003C7A74"/>
    <w:rsid w:val="0040030B"/>
    <w:rsid w:val="0041125B"/>
    <w:rsid w:val="004215BE"/>
    <w:rsid w:val="00421900"/>
    <w:rsid w:val="00423348"/>
    <w:rsid w:val="004247AE"/>
    <w:rsid w:val="00431457"/>
    <w:rsid w:val="004325D1"/>
    <w:rsid w:val="00436BF9"/>
    <w:rsid w:val="00437877"/>
    <w:rsid w:val="00443B6A"/>
    <w:rsid w:val="004467B8"/>
    <w:rsid w:val="00453101"/>
    <w:rsid w:val="004538B4"/>
    <w:rsid w:val="0045403B"/>
    <w:rsid w:val="00456912"/>
    <w:rsid w:val="00456C8C"/>
    <w:rsid w:val="00460714"/>
    <w:rsid w:val="004618DA"/>
    <w:rsid w:val="0046446C"/>
    <w:rsid w:val="00466227"/>
    <w:rsid w:val="00472DF9"/>
    <w:rsid w:val="00476192"/>
    <w:rsid w:val="00476CC2"/>
    <w:rsid w:val="004801F9"/>
    <w:rsid w:val="00480AED"/>
    <w:rsid w:val="0048337A"/>
    <w:rsid w:val="00484E98"/>
    <w:rsid w:val="004859A2"/>
    <w:rsid w:val="00493429"/>
    <w:rsid w:val="004975C8"/>
    <w:rsid w:val="004A7724"/>
    <w:rsid w:val="004A7E99"/>
    <w:rsid w:val="004B5F67"/>
    <w:rsid w:val="004C7AF5"/>
    <w:rsid w:val="004D617B"/>
    <w:rsid w:val="004F1690"/>
    <w:rsid w:val="004F3EEE"/>
    <w:rsid w:val="004F6714"/>
    <w:rsid w:val="00503D04"/>
    <w:rsid w:val="00515BDE"/>
    <w:rsid w:val="005166FA"/>
    <w:rsid w:val="00517B36"/>
    <w:rsid w:val="0052606F"/>
    <w:rsid w:val="00531B06"/>
    <w:rsid w:val="00534558"/>
    <w:rsid w:val="00537535"/>
    <w:rsid w:val="005455B4"/>
    <w:rsid w:val="0054660E"/>
    <w:rsid w:val="00546FA2"/>
    <w:rsid w:val="00565FA6"/>
    <w:rsid w:val="005671A1"/>
    <w:rsid w:val="0057414B"/>
    <w:rsid w:val="005807B4"/>
    <w:rsid w:val="00580AA3"/>
    <w:rsid w:val="00581D91"/>
    <w:rsid w:val="00591B35"/>
    <w:rsid w:val="005938FF"/>
    <w:rsid w:val="005A2164"/>
    <w:rsid w:val="005A6139"/>
    <w:rsid w:val="005A6D60"/>
    <w:rsid w:val="005B0D9E"/>
    <w:rsid w:val="005B1A4B"/>
    <w:rsid w:val="005B731E"/>
    <w:rsid w:val="005B756C"/>
    <w:rsid w:val="005C232E"/>
    <w:rsid w:val="005C64AA"/>
    <w:rsid w:val="005E12D1"/>
    <w:rsid w:val="005E1D5B"/>
    <w:rsid w:val="005F0D72"/>
    <w:rsid w:val="005F19D4"/>
    <w:rsid w:val="005F32FE"/>
    <w:rsid w:val="005F73D9"/>
    <w:rsid w:val="005F7BAC"/>
    <w:rsid w:val="006004F7"/>
    <w:rsid w:val="00601603"/>
    <w:rsid w:val="006022B0"/>
    <w:rsid w:val="006112E6"/>
    <w:rsid w:val="006125B7"/>
    <w:rsid w:val="00632F17"/>
    <w:rsid w:val="00636EEB"/>
    <w:rsid w:val="0064498F"/>
    <w:rsid w:val="00646C9F"/>
    <w:rsid w:val="0065284F"/>
    <w:rsid w:val="0065345A"/>
    <w:rsid w:val="0065489A"/>
    <w:rsid w:val="00656314"/>
    <w:rsid w:val="006625B1"/>
    <w:rsid w:val="0066610C"/>
    <w:rsid w:val="00673447"/>
    <w:rsid w:val="00684BE7"/>
    <w:rsid w:val="00684C7F"/>
    <w:rsid w:val="00690F52"/>
    <w:rsid w:val="006A1D7B"/>
    <w:rsid w:val="006A1E11"/>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4162"/>
    <w:rsid w:val="0073779F"/>
    <w:rsid w:val="00737CDD"/>
    <w:rsid w:val="0074127D"/>
    <w:rsid w:val="00742006"/>
    <w:rsid w:val="00750799"/>
    <w:rsid w:val="00751AA8"/>
    <w:rsid w:val="00757544"/>
    <w:rsid w:val="00761BB1"/>
    <w:rsid w:val="007646D5"/>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0C11"/>
    <w:rsid w:val="007B229A"/>
    <w:rsid w:val="007B4003"/>
    <w:rsid w:val="007B599E"/>
    <w:rsid w:val="007B6565"/>
    <w:rsid w:val="007C12AF"/>
    <w:rsid w:val="007C174B"/>
    <w:rsid w:val="007C463E"/>
    <w:rsid w:val="007D6CB9"/>
    <w:rsid w:val="007D7E7D"/>
    <w:rsid w:val="007D7F00"/>
    <w:rsid w:val="007E07AA"/>
    <w:rsid w:val="007E3935"/>
    <w:rsid w:val="007E3E1E"/>
    <w:rsid w:val="007F54A2"/>
    <w:rsid w:val="007F7405"/>
    <w:rsid w:val="00801D97"/>
    <w:rsid w:val="00816FB9"/>
    <w:rsid w:val="008217A2"/>
    <w:rsid w:val="00821B21"/>
    <w:rsid w:val="00823303"/>
    <w:rsid w:val="0082422E"/>
    <w:rsid w:val="008254DC"/>
    <w:rsid w:val="00844024"/>
    <w:rsid w:val="008474E8"/>
    <w:rsid w:val="00852BD4"/>
    <w:rsid w:val="00854F1A"/>
    <w:rsid w:val="00861C08"/>
    <w:rsid w:val="008648CC"/>
    <w:rsid w:val="008649A1"/>
    <w:rsid w:val="00893729"/>
    <w:rsid w:val="008969D3"/>
    <w:rsid w:val="008B7591"/>
    <w:rsid w:val="008C4C66"/>
    <w:rsid w:val="008D0718"/>
    <w:rsid w:val="00902D1F"/>
    <w:rsid w:val="00906BED"/>
    <w:rsid w:val="00911A3E"/>
    <w:rsid w:val="00913A5F"/>
    <w:rsid w:val="0092586D"/>
    <w:rsid w:val="00926718"/>
    <w:rsid w:val="00927913"/>
    <w:rsid w:val="00932737"/>
    <w:rsid w:val="009336F8"/>
    <w:rsid w:val="0094283D"/>
    <w:rsid w:val="009517FA"/>
    <w:rsid w:val="009520F3"/>
    <w:rsid w:val="00952A2D"/>
    <w:rsid w:val="0095328C"/>
    <w:rsid w:val="0096083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5041"/>
    <w:rsid w:val="009D6AD9"/>
    <w:rsid w:val="009F0949"/>
    <w:rsid w:val="009F4D60"/>
    <w:rsid w:val="009F750D"/>
    <w:rsid w:val="009F7EF1"/>
    <w:rsid w:val="00A050C5"/>
    <w:rsid w:val="00A07576"/>
    <w:rsid w:val="00A16C0F"/>
    <w:rsid w:val="00A226E6"/>
    <w:rsid w:val="00A237A5"/>
    <w:rsid w:val="00A2739D"/>
    <w:rsid w:val="00A41EDC"/>
    <w:rsid w:val="00A422EE"/>
    <w:rsid w:val="00A5397E"/>
    <w:rsid w:val="00A56F61"/>
    <w:rsid w:val="00A5747F"/>
    <w:rsid w:val="00A62F14"/>
    <w:rsid w:val="00A6569A"/>
    <w:rsid w:val="00A72CC6"/>
    <w:rsid w:val="00A73D5F"/>
    <w:rsid w:val="00A754E4"/>
    <w:rsid w:val="00A758A8"/>
    <w:rsid w:val="00AA3C57"/>
    <w:rsid w:val="00AB2CBC"/>
    <w:rsid w:val="00AC2420"/>
    <w:rsid w:val="00AE0429"/>
    <w:rsid w:val="00AE0592"/>
    <w:rsid w:val="00AF20AB"/>
    <w:rsid w:val="00AF2374"/>
    <w:rsid w:val="00B03CBD"/>
    <w:rsid w:val="00B219ED"/>
    <w:rsid w:val="00B43FC2"/>
    <w:rsid w:val="00B52B0B"/>
    <w:rsid w:val="00B541C5"/>
    <w:rsid w:val="00B62B07"/>
    <w:rsid w:val="00B67990"/>
    <w:rsid w:val="00B67A9F"/>
    <w:rsid w:val="00B70B61"/>
    <w:rsid w:val="00B71FBD"/>
    <w:rsid w:val="00B7296C"/>
    <w:rsid w:val="00B7380F"/>
    <w:rsid w:val="00B84EF9"/>
    <w:rsid w:val="00B90D1D"/>
    <w:rsid w:val="00B940B7"/>
    <w:rsid w:val="00B949B2"/>
    <w:rsid w:val="00BA465B"/>
    <w:rsid w:val="00BA6EFA"/>
    <w:rsid w:val="00BB18BE"/>
    <w:rsid w:val="00BC0F67"/>
    <w:rsid w:val="00BD34F0"/>
    <w:rsid w:val="00BE22C2"/>
    <w:rsid w:val="00BE55D5"/>
    <w:rsid w:val="00BF3C0F"/>
    <w:rsid w:val="00C002C3"/>
    <w:rsid w:val="00C00953"/>
    <w:rsid w:val="00C12D32"/>
    <w:rsid w:val="00C16B8B"/>
    <w:rsid w:val="00C2216E"/>
    <w:rsid w:val="00C22BE3"/>
    <w:rsid w:val="00C26381"/>
    <w:rsid w:val="00C3076B"/>
    <w:rsid w:val="00C33B57"/>
    <w:rsid w:val="00C34041"/>
    <w:rsid w:val="00C368AB"/>
    <w:rsid w:val="00C36E53"/>
    <w:rsid w:val="00C415BC"/>
    <w:rsid w:val="00C41EE3"/>
    <w:rsid w:val="00C54EE3"/>
    <w:rsid w:val="00C56B25"/>
    <w:rsid w:val="00C61549"/>
    <w:rsid w:val="00C63810"/>
    <w:rsid w:val="00C732F7"/>
    <w:rsid w:val="00C84416"/>
    <w:rsid w:val="00CA243C"/>
    <w:rsid w:val="00CA4F40"/>
    <w:rsid w:val="00CB337E"/>
    <w:rsid w:val="00CE4136"/>
    <w:rsid w:val="00CE6852"/>
    <w:rsid w:val="00CE774E"/>
    <w:rsid w:val="00D02BBF"/>
    <w:rsid w:val="00D03A78"/>
    <w:rsid w:val="00D0686D"/>
    <w:rsid w:val="00D13DDB"/>
    <w:rsid w:val="00D16A47"/>
    <w:rsid w:val="00D17BFD"/>
    <w:rsid w:val="00D2318A"/>
    <w:rsid w:val="00D2420A"/>
    <w:rsid w:val="00D32E8F"/>
    <w:rsid w:val="00D344B0"/>
    <w:rsid w:val="00D421F9"/>
    <w:rsid w:val="00D45A19"/>
    <w:rsid w:val="00D50529"/>
    <w:rsid w:val="00D53AA6"/>
    <w:rsid w:val="00D55884"/>
    <w:rsid w:val="00D56B23"/>
    <w:rsid w:val="00D65F50"/>
    <w:rsid w:val="00D759B1"/>
    <w:rsid w:val="00D855B0"/>
    <w:rsid w:val="00D86DA3"/>
    <w:rsid w:val="00D90872"/>
    <w:rsid w:val="00D95812"/>
    <w:rsid w:val="00D9625E"/>
    <w:rsid w:val="00D97F2C"/>
    <w:rsid w:val="00DA2764"/>
    <w:rsid w:val="00DB2607"/>
    <w:rsid w:val="00DB5965"/>
    <w:rsid w:val="00DB7207"/>
    <w:rsid w:val="00DC2399"/>
    <w:rsid w:val="00DC4558"/>
    <w:rsid w:val="00DC6588"/>
    <w:rsid w:val="00DD356B"/>
    <w:rsid w:val="00DD4263"/>
    <w:rsid w:val="00DD4844"/>
    <w:rsid w:val="00DE2284"/>
    <w:rsid w:val="00DE237A"/>
    <w:rsid w:val="00DE5AFC"/>
    <w:rsid w:val="00E06AD3"/>
    <w:rsid w:val="00E077C6"/>
    <w:rsid w:val="00E11C89"/>
    <w:rsid w:val="00E1280F"/>
    <w:rsid w:val="00E13099"/>
    <w:rsid w:val="00E247DC"/>
    <w:rsid w:val="00E301AF"/>
    <w:rsid w:val="00E32C04"/>
    <w:rsid w:val="00E32D59"/>
    <w:rsid w:val="00E519AF"/>
    <w:rsid w:val="00E529ED"/>
    <w:rsid w:val="00E566CA"/>
    <w:rsid w:val="00E60748"/>
    <w:rsid w:val="00E675EE"/>
    <w:rsid w:val="00E73352"/>
    <w:rsid w:val="00E7352A"/>
    <w:rsid w:val="00E90069"/>
    <w:rsid w:val="00E912EF"/>
    <w:rsid w:val="00E9547F"/>
    <w:rsid w:val="00EA170F"/>
    <w:rsid w:val="00EA4821"/>
    <w:rsid w:val="00EA4B90"/>
    <w:rsid w:val="00EA59DA"/>
    <w:rsid w:val="00EA61D2"/>
    <w:rsid w:val="00EA7DBC"/>
    <w:rsid w:val="00EB2529"/>
    <w:rsid w:val="00EB45AA"/>
    <w:rsid w:val="00EC16B4"/>
    <w:rsid w:val="00ED2504"/>
    <w:rsid w:val="00EE3350"/>
    <w:rsid w:val="00EE45DD"/>
    <w:rsid w:val="00EF317E"/>
    <w:rsid w:val="00F049A3"/>
    <w:rsid w:val="00F12432"/>
    <w:rsid w:val="00F14656"/>
    <w:rsid w:val="00F21641"/>
    <w:rsid w:val="00F32120"/>
    <w:rsid w:val="00F353F2"/>
    <w:rsid w:val="00F4157C"/>
    <w:rsid w:val="00F424D4"/>
    <w:rsid w:val="00F4367A"/>
    <w:rsid w:val="00F45EB8"/>
    <w:rsid w:val="00F51265"/>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paragraph" w:styleId="NormalWeb">
    <w:name w:val="Normal (Web)"/>
    <w:basedOn w:val="Normal"/>
    <w:uiPriority w:val="99"/>
    <w:unhideWhenUsed/>
    <w:rsid w:val="00EF317E"/>
    <w:rPr>
      <w:rFonts w:eastAsiaTheme="minorHAnsi"/>
    </w:rPr>
  </w:style>
  <w:style w:type="paragraph" w:customStyle="1" w:styleId="P1-StandPara">
    <w:name w:val="P1-Stand Para"/>
    <w:uiPriority w:val="99"/>
    <w:rsid w:val="00EF317E"/>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EF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paragraph" w:styleId="NormalWeb">
    <w:name w:val="Normal (Web)"/>
    <w:basedOn w:val="Normal"/>
    <w:uiPriority w:val="99"/>
    <w:unhideWhenUsed/>
    <w:rsid w:val="00EF317E"/>
    <w:rPr>
      <w:rFonts w:eastAsiaTheme="minorHAnsi"/>
    </w:rPr>
  </w:style>
  <w:style w:type="paragraph" w:customStyle="1" w:styleId="P1-StandPara">
    <w:name w:val="P1-Stand Para"/>
    <w:uiPriority w:val="99"/>
    <w:rsid w:val="00EF317E"/>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EF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9203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2017-01-28T20:35:00Z</cp:lastPrinted>
  <dcterms:created xsi:type="dcterms:W3CDTF">2018-04-12T11:10:00Z</dcterms:created>
  <dcterms:modified xsi:type="dcterms:W3CDTF">2018-04-12T11:10:00Z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