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3D604"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3053D605" w14:textId="77777777" w:rsidR="001C75B2" w:rsidRDefault="001C75B2" w:rsidP="008647BA">
      <w:pPr>
        <w:jc w:val="center"/>
      </w:pPr>
      <w:r>
        <w:t>FEDERAL ENERGY REGULATORY COMMISSION</w:t>
      </w:r>
    </w:p>
    <w:p w14:paraId="3053D606" w14:textId="77777777" w:rsidR="001C75B2" w:rsidRDefault="001C75B2" w:rsidP="001C75B2"/>
    <w:p w14:paraId="3053D607" w14:textId="77777777" w:rsidR="001C75B2" w:rsidRPr="003B5E20" w:rsidRDefault="001C75B2" w:rsidP="008647BA">
      <w:pPr>
        <w:jc w:val="center"/>
      </w:pPr>
      <w:r>
        <w:t>[</w:t>
      </w:r>
      <w:r w:rsidRPr="003B5E20">
        <w:t>Docket No. IC</w:t>
      </w:r>
      <w:r w:rsidR="003B5E20" w:rsidRPr="003B5E20">
        <w:t>18</w:t>
      </w:r>
      <w:r w:rsidRPr="003B5E20">
        <w:t>-</w:t>
      </w:r>
      <w:r w:rsidR="003B5E20" w:rsidRPr="003B5E20">
        <w:t>9</w:t>
      </w:r>
      <w:r w:rsidRPr="003B5E20">
        <w:t>-00</w:t>
      </w:r>
      <w:r w:rsidR="00172C34" w:rsidRPr="003B5E20">
        <w:t>0</w:t>
      </w:r>
      <w:r w:rsidRPr="003B5E20">
        <w:t>]</w:t>
      </w:r>
    </w:p>
    <w:p w14:paraId="3053D608" w14:textId="77777777" w:rsidR="001C75B2" w:rsidRPr="003B5E20" w:rsidRDefault="001C75B2" w:rsidP="001C75B2"/>
    <w:p w14:paraId="3053D609" w14:textId="77777777" w:rsidR="001C75B2" w:rsidRPr="003B5E20" w:rsidRDefault="001C75B2" w:rsidP="008024B2">
      <w:pPr>
        <w:jc w:val="center"/>
      </w:pPr>
      <w:r w:rsidRPr="003B5E20">
        <w:t>COMMISSION INFORMATION COLLECTION ACTIVITIES (FERC</w:t>
      </w:r>
      <w:r w:rsidR="003B5E20" w:rsidRPr="003B5E20">
        <w:t>-725X</w:t>
      </w:r>
      <w:r w:rsidR="008024B2" w:rsidRPr="003B5E20">
        <w:t>);</w:t>
      </w:r>
      <w:r w:rsidRPr="003B5E20">
        <w:t xml:space="preserve"> COMMENT REQUEST</w:t>
      </w:r>
      <w:r w:rsidR="00B2244D" w:rsidRPr="003B5E20">
        <w:t xml:space="preserve">  </w:t>
      </w:r>
    </w:p>
    <w:p w14:paraId="3053D60A" w14:textId="77777777" w:rsidR="001C75B2" w:rsidRPr="003B5E20" w:rsidRDefault="001C75B2" w:rsidP="001C75B2"/>
    <w:p w14:paraId="3053D60C" w14:textId="48349088" w:rsidR="001C75B2" w:rsidRDefault="00B94D0D" w:rsidP="00B94D0D">
      <w:pPr>
        <w:jc w:val="center"/>
      </w:pPr>
      <w:r w:rsidRPr="00B94D0D">
        <w:t>(April 19, 2018)</w:t>
      </w:r>
    </w:p>
    <w:p w14:paraId="2399852E" w14:textId="77777777" w:rsidR="00B94D0D" w:rsidRPr="00B94D0D" w:rsidRDefault="00B94D0D" w:rsidP="00B94D0D"/>
    <w:p w14:paraId="3053D60D" w14:textId="77777777" w:rsidR="001C75B2" w:rsidRDefault="008024B2" w:rsidP="00C0217E">
      <w:pPr>
        <w:spacing w:line="480" w:lineRule="auto"/>
      </w:pPr>
      <w:r w:rsidRPr="00C0217E">
        <w:rPr>
          <w:b/>
        </w:rPr>
        <w:t>AGENCY:</w:t>
      </w:r>
      <w:r>
        <w:t xml:space="preserve">  </w:t>
      </w:r>
      <w:r w:rsidR="001C75B2">
        <w:t>Federal Energy Regulatory Commission.</w:t>
      </w:r>
    </w:p>
    <w:p w14:paraId="3053D60E" w14:textId="77777777" w:rsidR="001C75B2" w:rsidRDefault="008024B2" w:rsidP="00C0217E">
      <w:pPr>
        <w:spacing w:line="480" w:lineRule="auto"/>
      </w:pPr>
      <w:r w:rsidRPr="00C0217E">
        <w:rPr>
          <w:b/>
        </w:rPr>
        <w:t>ACTION:</w:t>
      </w:r>
      <w:r>
        <w:t xml:space="preserve">  </w:t>
      </w:r>
      <w:r w:rsidR="00B87F46">
        <w:t>C</w:t>
      </w:r>
      <w:r w:rsidR="00E94542">
        <w:t>omment request.</w:t>
      </w:r>
    </w:p>
    <w:p w14:paraId="3053D60F" w14:textId="77777777" w:rsidR="001C75B2"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253DB">
        <w:t>,</w:t>
      </w:r>
      <w:r w:rsidR="000253DB" w:rsidRPr="000253DB">
        <w:rPr>
          <w:szCs w:val="26"/>
        </w:rPr>
        <w:t xml:space="preserve"> </w:t>
      </w:r>
      <w:r w:rsidR="001F0E50">
        <w:t>44 U</w:t>
      </w:r>
      <w:r w:rsidR="000253DB" w:rsidRPr="000253DB">
        <w:t>SC 3507</w:t>
      </w:r>
      <w:r w:rsidR="006F53CD">
        <w:t>(a)(1)(D)</w:t>
      </w:r>
      <w:r w:rsidR="00172C34">
        <w:t>,</w:t>
      </w:r>
      <w:r>
        <w:t xml:space="preserve"> the Federal Energy Regulatory Commission (Commission or FERC) </w:t>
      </w:r>
      <w:r w:rsidR="00172C34">
        <w:t>is</w:t>
      </w:r>
      <w:r>
        <w:t xml:space="preserve"> submitt</w:t>
      </w:r>
      <w:r w:rsidR="00172C34">
        <w:t>ing</w:t>
      </w:r>
      <w:r>
        <w:t xml:space="preserve"> </w:t>
      </w:r>
      <w:r w:rsidR="001F0E50">
        <w:t>its</w:t>
      </w:r>
      <w:r>
        <w:t xml:space="preserve"> information collection</w:t>
      </w:r>
      <w:r w:rsidR="00CC2DF1">
        <w:t xml:space="preserve"> </w:t>
      </w:r>
      <w:r w:rsidR="003B5E20">
        <w:t>FERC-725X (</w:t>
      </w:r>
      <w:r w:rsidR="003B5E20" w:rsidRPr="00636D0B">
        <w:t>Mandatory Reliability Standards: Voltage and Reactive (VAR) Standards</w:t>
      </w:r>
      <w:r w:rsidR="003B5E20">
        <w:t xml:space="preserve">) </w:t>
      </w:r>
      <w:r>
        <w:t xml:space="preserve">to the Office of Management and Budget (OMB) for review of the information collection requirements.  Any interested person may file comments directly with OMB and should address a copy of those comments to the Commission as explained below.  The Commission </w:t>
      </w:r>
      <w:r w:rsidR="001F0E50">
        <w:t xml:space="preserve">previously </w:t>
      </w:r>
      <w:r>
        <w:t xml:space="preserve">issued a Notice in the </w:t>
      </w:r>
      <w:r w:rsidRPr="003B5E20">
        <w:t>Federal Register (</w:t>
      </w:r>
      <w:r w:rsidR="003B5E20" w:rsidRPr="003B5E20">
        <w:t>83</w:t>
      </w:r>
      <w:r w:rsidR="00CC2DF1" w:rsidRPr="003B5E20">
        <w:t xml:space="preserve"> </w:t>
      </w:r>
      <w:r w:rsidRPr="003B5E20">
        <w:t xml:space="preserve">FR </w:t>
      </w:r>
      <w:r w:rsidR="003B5E20" w:rsidRPr="003B5E20">
        <w:t>5416</w:t>
      </w:r>
      <w:r w:rsidRPr="003B5E20">
        <w:t xml:space="preserve">, </w:t>
      </w:r>
      <w:r w:rsidR="003B5E20" w:rsidRPr="003B5E20">
        <w:t>2/7/2018</w:t>
      </w:r>
      <w:r w:rsidRPr="003B5E20">
        <w:t xml:space="preserve">) requesting public comments.  </w:t>
      </w:r>
      <w:r w:rsidR="001F0E50" w:rsidRPr="003B5E20">
        <w:t>The Commission</w:t>
      </w:r>
      <w:r w:rsidRPr="003B5E20">
        <w:t xml:space="preserve"> received no comments on the FERC</w:t>
      </w:r>
      <w:r w:rsidR="003B5E20" w:rsidRPr="003B5E20">
        <w:t>-725X</w:t>
      </w:r>
      <w:r w:rsidRPr="003B5E20">
        <w:t xml:space="preserve"> and </w:t>
      </w:r>
      <w:r w:rsidR="00172C34" w:rsidRPr="003B5E20">
        <w:t>is making</w:t>
      </w:r>
      <w:r w:rsidR="00B2244D" w:rsidRPr="003B5E20">
        <w:t xml:space="preserve"> this notation in its submittal</w:t>
      </w:r>
      <w:r w:rsidRPr="003B5E20">
        <w:t xml:space="preserve"> to OMB</w:t>
      </w:r>
      <w:r w:rsidR="003B5E20" w:rsidRPr="003B5E20">
        <w:t>.</w:t>
      </w:r>
    </w:p>
    <w:p w14:paraId="3053D610" w14:textId="542E136E" w:rsidR="001C75B2" w:rsidRDefault="001C75B2" w:rsidP="00C0217E">
      <w:pPr>
        <w:spacing w:line="480" w:lineRule="auto"/>
      </w:pPr>
      <w:r w:rsidRPr="00F04F4C">
        <w:rPr>
          <w:b/>
        </w:rPr>
        <w:t>DATE:</w:t>
      </w:r>
      <w:r w:rsidR="00EA3F0A">
        <w:rPr>
          <w:b/>
        </w:rPr>
        <w:t xml:space="preserve"> </w:t>
      </w:r>
      <w:r>
        <w:t xml:space="preserve"> Comments on the collection of information are due by [</w:t>
      </w:r>
      <w:r w:rsidR="00B94D0D" w:rsidRPr="00B94D0D">
        <w:rPr>
          <w:b/>
        </w:rPr>
        <w:t>Insert date that is</w:t>
      </w:r>
      <w:r w:rsidR="00B94D0D">
        <w:t xml:space="preserve"> </w:t>
      </w:r>
      <w:r w:rsidRPr="003B5E20">
        <w:rPr>
          <w:b/>
        </w:rPr>
        <w:t>30 days after publication of this Notice in the Federal Register</w:t>
      </w:r>
      <w:r>
        <w:t xml:space="preserve">].   </w:t>
      </w:r>
    </w:p>
    <w:p w14:paraId="3053D611" w14:textId="60D408FE" w:rsidR="00121C3B" w:rsidRDefault="001C75B2" w:rsidP="00B2244D">
      <w:pPr>
        <w:spacing w:line="480" w:lineRule="auto"/>
      </w:pPr>
      <w:r w:rsidRPr="00F04F4C">
        <w:rPr>
          <w:b/>
        </w:rPr>
        <w:t>ADDRESSES:</w:t>
      </w:r>
      <w:r>
        <w:t xml:space="preserve"> </w:t>
      </w:r>
      <w:r w:rsidR="00EA3F0A">
        <w:t xml:space="preserve"> </w:t>
      </w:r>
      <w:r w:rsidR="00EA4BD0">
        <w:t xml:space="preserve">Comments </w:t>
      </w:r>
      <w:r w:rsidR="00121C3B">
        <w:t>filed with OMB</w:t>
      </w:r>
      <w:r w:rsidR="00EA4BD0">
        <w:t xml:space="preserve">, </w:t>
      </w:r>
      <w:r w:rsidR="00121C3B">
        <w:t>identified b</w:t>
      </w:r>
      <w:r w:rsidR="00121C3B" w:rsidRPr="003B5E20">
        <w:t xml:space="preserve">y the OMB Control No. </w:t>
      </w:r>
      <w:r w:rsidR="003B5E20" w:rsidRPr="003B5E20">
        <w:t>1902-0278</w:t>
      </w:r>
      <w:r w:rsidR="00EA4BD0" w:rsidRPr="003B5E20">
        <w:t>,</w:t>
      </w:r>
      <w:r w:rsidR="00121C3B" w:rsidRPr="003B5E20">
        <w:t xml:space="preserve"> </w:t>
      </w:r>
      <w:r w:rsidR="00157960" w:rsidRPr="003B5E20">
        <w:t>should</w:t>
      </w:r>
      <w:r w:rsidR="00EA4BD0" w:rsidRPr="003B5E20">
        <w:t xml:space="preserve"> be sent via email</w:t>
      </w:r>
      <w:r w:rsidR="00644093" w:rsidRPr="003B5E20">
        <w:t xml:space="preserve"> to the Office of Information</w:t>
      </w:r>
      <w:r w:rsidR="00644093">
        <w:t xml:space="preserve"> and Regulatory Affairs</w:t>
      </w:r>
      <w:r w:rsidR="006615E1">
        <w:t xml:space="preserve">: </w:t>
      </w:r>
      <w:hyperlink r:id="rId13" w:history="1">
        <w:r w:rsidR="006615E1" w:rsidRPr="00866BB4">
          <w:rPr>
            <w:rStyle w:val="Hyperlink"/>
          </w:rPr>
          <w:t>oira_submission@omb.gov</w:t>
        </w:r>
      </w:hyperlink>
      <w:r w:rsidR="006615E1">
        <w:t>.  Attention: Federal Energy Regulatory Commission Desk Officer.</w:t>
      </w:r>
      <w:r w:rsidR="00775D65">
        <w:t xml:space="preserve">  The Desk Officer may also be reached via telephone a</w:t>
      </w:r>
      <w:r w:rsidR="008F5806">
        <w:t>t 202-395-</w:t>
      </w:r>
      <w:r w:rsidR="002E75BF">
        <w:t>8528</w:t>
      </w:r>
      <w:r w:rsidR="00B2244D">
        <w:t>.</w:t>
      </w:r>
    </w:p>
    <w:p w14:paraId="3053D612" w14:textId="77777777" w:rsidR="00775D65" w:rsidRDefault="00095258" w:rsidP="00775D65">
      <w:pPr>
        <w:spacing w:line="480" w:lineRule="auto"/>
        <w:ind w:firstLine="720"/>
      </w:pPr>
      <w:r>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3B5E20" w:rsidRPr="003B5E20">
        <w:t>IC18-9</w:t>
      </w:r>
      <w:r w:rsidR="003178F3" w:rsidRPr="003B5E20">
        <w:t>-00</w:t>
      </w:r>
      <w:r w:rsidR="00172C34" w:rsidRPr="003B5E20">
        <w:t>0</w:t>
      </w:r>
      <w:r w:rsidR="003178F3" w:rsidRPr="003B5E20">
        <w:t>,</w:t>
      </w:r>
      <w:r w:rsidRPr="003B5E20">
        <w:t xml:space="preserve"> </w:t>
      </w:r>
      <w:r w:rsidR="00775D65" w:rsidRPr="003B5E20">
        <w:t>by</w:t>
      </w:r>
      <w:r w:rsidR="00775D65">
        <w:t xml:space="preserve"> either of the following methods:</w:t>
      </w:r>
    </w:p>
    <w:p w14:paraId="3053D613"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4" w:history="1">
        <w:r w:rsidRPr="0057675D">
          <w:rPr>
            <w:rStyle w:val="Hyperlink"/>
          </w:rPr>
          <w:t>http://www.ferc.gov/docs-filing/efiling.asp</w:t>
        </w:r>
      </w:hyperlink>
      <w:r>
        <w:t xml:space="preserve">.  </w:t>
      </w:r>
    </w:p>
    <w:p w14:paraId="3053D614"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3053D615"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3053D616" w14:textId="77777777" w:rsidR="00775D65" w:rsidRPr="003B5E20"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3B5E20">
          <w:rPr>
            <w:rStyle w:val="Hyperlink"/>
          </w:rPr>
          <w:t>http://www.ferc.gov/docs-filing/docs-filing.asp</w:t>
        </w:r>
      </w:hyperlink>
      <w:r w:rsidRPr="003B5E20">
        <w:t xml:space="preserve">. </w:t>
      </w:r>
      <w:r w:rsidR="00095258" w:rsidRPr="003B5E20">
        <w:t xml:space="preserve"> </w:t>
      </w:r>
    </w:p>
    <w:p w14:paraId="3053D617" w14:textId="77777777" w:rsidR="001C75B2" w:rsidRDefault="001C75B2" w:rsidP="00C0217E">
      <w:pPr>
        <w:spacing w:line="480" w:lineRule="auto"/>
      </w:pPr>
      <w:r w:rsidRPr="003B5E20">
        <w:rPr>
          <w:b/>
        </w:rPr>
        <w:t>FOR FURTHER INFORMATION:</w:t>
      </w:r>
      <w:r w:rsidRPr="003B5E20">
        <w:t xml:space="preserve">   </w:t>
      </w:r>
      <w:smartTag w:uri="urn:schemas-microsoft-com:office:smarttags" w:element="PersonName">
        <w:r w:rsidRPr="003B5E20">
          <w:t>Ellen Brown</w:t>
        </w:r>
      </w:smartTag>
      <w:r w:rsidRPr="003B5E20">
        <w:t xml:space="preserve"> may be reached by e-mail at </w:t>
      </w:r>
      <w:hyperlink r:id="rId17" w:history="1">
        <w:r w:rsidR="00822C8E" w:rsidRPr="003B5E20">
          <w:rPr>
            <w:rStyle w:val="Hyperlink"/>
          </w:rPr>
          <w:t>DataClearance@FERC.gov</w:t>
        </w:r>
      </w:hyperlink>
      <w:r w:rsidRPr="003B5E20">
        <w:t>, by telephone at (202) 502-8663, and by fax at (202) 273-</w:t>
      </w:r>
      <w:r>
        <w:t xml:space="preserve">0873. </w:t>
      </w:r>
    </w:p>
    <w:p w14:paraId="3053D618" w14:textId="77777777" w:rsidR="003820D6" w:rsidRDefault="003820D6" w:rsidP="003820D6">
      <w:pPr>
        <w:spacing w:line="480" w:lineRule="auto"/>
      </w:pPr>
      <w:r w:rsidRPr="001C3703">
        <w:rPr>
          <w:b/>
        </w:rPr>
        <w:t>SUPPLEMENTARY INFORMATION:</w:t>
      </w:r>
      <w:r>
        <w:t xml:space="preserve">  </w:t>
      </w:r>
    </w:p>
    <w:p w14:paraId="3053D619" w14:textId="77777777" w:rsidR="003820D6" w:rsidRPr="003B5E20" w:rsidRDefault="003820D6" w:rsidP="003820D6">
      <w:pPr>
        <w:spacing w:line="480" w:lineRule="auto"/>
      </w:pPr>
      <w:r>
        <w:rPr>
          <w:i/>
        </w:rPr>
        <w:t xml:space="preserve">Title: </w:t>
      </w:r>
      <w:r w:rsidR="003B5E20" w:rsidRPr="00636D0B">
        <w:t>FERC-725X, Mandatory Reliability Standards: Voltage and Reactive (VAR) Standards</w:t>
      </w:r>
    </w:p>
    <w:p w14:paraId="3053D61A" w14:textId="77777777" w:rsidR="00FD3E49" w:rsidRDefault="003820D6" w:rsidP="003820D6">
      <w:pPr>
        <w:spacing w:line="480" w:lineRule="auto"/>
      </w:pPr>
      <w:r>
        <w:rPr>
          <w:i/>
        </w:rPr>
        <w:t>OMB Control No.:</w:t>
      </w:r>
      <w:r w:rsidR="003575F3">
        <w:rPr>
          <w:i/>
        </w:rPr>
        <w:t xml:space="preserve"> </w:t>
      </w:r>
      <w:r w:rsidR="003B5E20">
        <w:t>1902-0278</w:t>
      </w:r>
    </w:p>
    <w:p w14:paraId="3053D61B" w14:textId="77777777" w:rsidR="003820D6" w:rsidRDefault="003820D6" w:rsidP="003820D6">
      <w:pPr>
        <w:spacing w:line="480" w:lineRule="auto"/>
      </w:pPr>
      <w:r>
        <w:rPr>
          <w:i/>
        </w:rPr>
        <w:lastRenderedPageBreak/>
        <w:t>Type of Request:</w:t>
      </w:r>
      <w:r>
        <w:t xml:space="preserve"> </w:t>
      </w:r>
      <w:r w:rsidR="009E030D">
        <w:t xml:space="preserve">Three-year extension of </w:t>
      </w:r>
      <w:r w:rsidR="009E030D" w:rsidRPr="003B5E20">
        <w:t xml:space="preserve">the </w:t>
      </w:r>
      <w:r w:rsidR="003B5E20" w:rsidRPr="003B5E20">
        <w:t>FERC-725X</w:t>
      </w:r>
      <w:r w:rsidR="009E030D" w:rsidRPr="003B5E20">
        <w:t xml:space="preserve"> information collection requirements with no changes to the reporting requirements.</w:t>
      </w:r>
    </w:p>
    <w:p w14:paraId="3053D61C" w14:textId="159D7D62" w:rsidR="003B5E20" w:rsidRDefault="003820D6" w:rsidP="003B5E20">
      <w:pPr>
        <w:pStyle w:val="Default"/>
        <w:spacing w:line="480" w:lineRule="auto"/>
        <w:rPr>
          <w:sz w:val="26"/>
          <w:szCs w:val="26"/>
        </w:rPr>
      </w:pPr>
      <w:r>
        <w:rPr>
          <w:i/>
        </w:rPr>
        <w:t xml:space="preserve">Abstract: </w:t>
      </w:r>
      <w:r w:rsidR="004721F3">
        <w:rPr>
          <w:i/>
        </w:rPr>
        <w:t xml:space="preserve"> </w:t>
      </w:r>
      <w:r w:rsidR="003B5E20" w:rsidRPr="00D02553">
        <w:rPr>
          <w:sz w:val="26"/>
          <w:szCs w:val="26"/>
        </w:rPr>
        <w:t>Pursuant to Section 215 of the Federal Power Act (FPA), NERC established the Voltage and Reactive (“VAR”) group of Reliability Standards, which consists of two continent-wide Reliability Standards, VAR-001-</w:t>
      </w:r>
      <w:r w:rsidR="003B5E20">
        <w:rPr>
          <w:sz w:val="26"/>
          <w:szCs w:val="26"/>
        </w:rPr>
        <w:t>4</w:t>
      </w:r>
      <w:r w:rsidR="003B5E20" w:rsidRPr="00D02553">
        <w:rPr>
          <w:sz w:val="26"/>
          <w:szCs w:val="26"/>
        </w:rPr>
        <w:t xml:space="preserve"> and VAR-002-</w:t>
      </w:r>
      <w:r w:rsidR="003B5E20">
        <w:rPr>
          <w:sz w:val="26"/>
          <w:szCs w:val="26"/>
        </w:rPr>
        <w:t>3</w:t>
      </w:r>
      <w:r w:rsidR="00740CF4">
        <w:rPr>
          <w:rStyle w:val="FootnoteReference"/>
        </w:rPr>
        <w:footnoteReference w:id="1"/>
      </w:r>
      <w:r w:rsidR="003B5E20" w:rsidRPr="00D02553">
        <w:rPr>
          <w:sz w:val="26"/>
          <w:szCs w:val="26"/>
        </w:rPr>
        <w:t>.  These two standards were designed to maintain voltage stability on the Bulk-Power System, protect transmission, generation, distribution, and customer equipment, and support the reliable operation of the Bulk-Power System.  Voltage stability is the ability of a power system to maintain acceptable voltage levels throughout the system under normal operating conditions and following a disturbance.  Failure to maintain acceptable voltage levels (i.e., voltage levels become too high or too low) may cause violations of System Operating Limits (“SOLs”) and Interconnection Reliability Operating Limits (“IROLs”), result</w:t>
      </w:r>
      <w:r w:rsidR="009E222D">
        <w:rPr>
          <w:sz w:val="26"/>
          <w:szCs w:val="26"/>
        </w:rPr>
        <w:t>ing</w:t>
      </w:r>
      <w:r w:rsidR="003B5E20" w:rsidRPr="00D02553">
        <w:rPr>
          <w:sz w:val="26"/>
          <w:szCs w:val="26"/>
        </w:rPr>
        <w:t xml:space="preserve"> in damage to Bulk-Power System equipment, and thereby threaten the reliable operation of the Bulk-Power System.</w:t>
      </w:r>
    </w:p>
    <w:p w14:paraId="3053D61D" w14:textId="77777777" w:rsidR="003B5E20" w:rsidRPr="001C7EE4" w:rsidRDefault="003B5E20" w:rsidP="003B5E20">
      <w:pPr>
        <w:pStyle w:val="Default"/>
        <w:spacing w:line="480" w:lineRule="auto"/>
        <w:rPr>
          <w:sz w:val="26"/>
          <w:szCs w:val="26"/>
        </w:rPr>
      </w:pPr>
    </w:p>
    <w:p w14:paraId="470DD05E" w14:textId="03721763" w:rsidR="0002075A" w:rsidRDefault="003B5E20" w:rsidP="003B5E20">
      <w:pPr>
        <w:pStyle w:val="Default"/>
        <w:spacing w:line="480" w:lineRule="auto"/>
        <w:rPr>
          <w:sz w:val="26"/>
          <w:szCs w:val="26"/>
        </w:rPr>
      </w:pPr>
      <w:r w:rsidRPr="00D02553">
        <w:rPr>
          <w:b/>
          <w:sz w:val="26"/>
          <w:szCs w:val="26"/>
        </w:rPr>
        <w:t>Reliability Standard VAR-001-4</w:t>
      </w:r>
      <w:r w:rsidRPr="00D02553">
        <w:rPr>
          <w:rStyle w:val="FootnoteReference"/>
          <w:b w:val="0"/>
        </w:rPr>
        <w:footnoteReference w:id="2"/>
      </w:r>
    </w:p>
    <w:p w14:paraId="3053D61E" w14:textId="12335442" w:rsidR="003B5E20" w:rsidRDefault="0002075A" w:rsidP="003B5E20">
      <w:pPr>
        <w:pStyle w:val="Default"/>
        <w:spacing w:line="480" w:lineRule="auto"/>
        <w:rPr>
          <w:sz w:val="26"/>
          <w:szCs w:val="26"/>
        </w:rPr>
      </w:pPr>
      <w:r>
        <w:rPr>
          <w:sz w:val="26"/>
          <w:szCs w:val="26"/>
        </w:rPr>
        <w:t>Reliability Standard VAR-001-4 contains the following requirements</w:t>
      </w:r>
      <w:r w:rsidR="003B5E20" w:rsidRPr="00D02553">
        <w:rPr>
          <w:sz w:val="26"/>
          <w:szCs w:val="26"/>
        </w:rPr>
        <w:t xml:space="preserve"> </w:t>
      </w:r>
    </w:p>
    <w:p w14:paraId="3053D61F" w14:textId="77777777" w:rsidR="003B5E20" w:rsidRDefault="003B5E20" w:rsidP="003B5E20">
      <w:pPr>
        <w:pStyle w:val="Default"/>
        <w:numPr>
          <w:ilvl w:val="0"/>
          <w:numId w:val="5"/>
        </w:numPr>
        <w:spacing w:line="480" w:lineRule="auto"/>
        <w:rPr>
          <w:sz w:val="26"/>
          <w:szCs w:val="26"/>
        </w:rPr>
      </w:pPr>
      <w:r w:rsidRPr="00D02553">
        <w:rPr>
          <w:sz w:val="26"/>
          <w:szCs w:val="26"/>
        </w:rPr>
        <w:t xml:space="preserve">Specify a system-wide voltage schedule (which is either a range or a target value with an associated tolerance band) as part of its plan to operate within SOLs and IROLs, and to provide the voltage schedule to its Reliability Coordinator and adjacent Transmission Operators upon request (Requirement R1); </w:t>
      </w:r>
    </w:p>
    <w:p w14:paraId="3053D620" w14:textId="77777777" w:rsidR="003B5E20" w:rsidRDefault="003B5E20" w:rsidP="003B5E20">
      <w:pPr>
        <w:pStyle w:val="Default"/>
        <w:numPr>
          <w:ilvl w:val="0"/>
          <w:numId w:val="5"/>
        </w:numPr>
        <w:spacing w:line="480" w:lineRule="auto"/>
        <w:rPr>
          <w:sz w:val="26"/>
          <w:szCs w:val="26"/>
        </w:rPr>
      </w:pPr>
      <w:r w:rsidRPr="000909AC">
        <w:rPr>
          <w:sz w:val="26"/>
          <w:szCs w:val="26"/>
        </w:rPr>
        <w:t>Schedule sufficient reactive resources to regulate voltage level</w:t>
      </w:r>
      <w:r>
        <w:rPr>
          <w:sz w:val="26"/>
          <w:szCs w:val="26"/>
        </w:rPr>
        <w:t>s (Requirement R2);</w:t>
      </w:r>
    </w:p>
    <w:p w14:paraId="3053D621" w14:textId="77777777" w:rsidR="003B5E20" w:rsidRDefault="003B5E20" w:rsidP="003B5E20">
      <w:pPr>
        <w:pStyle w:val="Default"/>
        <w:numPr>
          <w:ilvl w:val="0"/>
          <w:numId w:val="5"/>
        </w:numPr>
        <w:spacing w:line="480" w:lineRule="auto"/>
        <w:rPr>
          <w:sz w:val="26"/>
          <w:szCs w:val="26"/>
        </w:rPr>
      </w:pPr>
      <w:r w:rsidRPr="000909AC">
        <w:rPr>
          <w:sz w:val="26"/>
          <w:szCs w:val="26"/>
        </w:rPr>
        <w:t>Operate or direct the operation of devices to regulate transmission voltage and r</w:t>
      </w:r>
      <w:r>
        <w:rPr>
          <w:sz w:val="26"/>
          <w:szCs w:val="26"/>
        </w:rPr>
        <w:t>eactive flows (Requirement R3);</w:t>
      </w:r>
    </w:p>
    <w:p w14:paraId="3053D622" w14:textId="77777777" w:rsidR="003B5E20" w:rsidRDefault="003B5E20" w:rsidP="003B5E20">
      <w:pPr>
        <w:pStyle w:val="Default"/>
        <w:numPr>
          <w:ilvl w:val="0"/>
          <w:numId w:val="5"/>
        </w:numPr>
        <w:spacing w:line="480" w:lineRule="auto"/>
        <w:rPr>
          <w:sz w:val="26"/>
          <w:szCs w:val="26"/>
        </w:rPr>
      </w:pPr>
      <w:r w:rsidRPr="000909AC">
        <w:rPr>
          <w:sz w:val="26"/>
          <w:szCs w:val="26"/>
        </w:rPr>
        <w:t>Develop a set of criteria to exempt generators from certain requirements under Reliability Standard VAR-002-3 related to voltage or Reactive Power schedules, automatic voltage regulations, and</w:t>
      </w:r>
      <w:r>
        <w:rPr>
          <w:sz w:val="26"/>
          <w:szCs w:val="26"/>
        </w:rPr>
        <w:t xml:space="preserve"> notification (Requirement R4);</w:t>
      </w:r>
    </w:p>
    <w:p w14:paraId="3053D623" w14:textId="77777777" w:rsidR="003B5E20" w:rsidRDefault="003B5E20" w:rsidP="003B5E20">
      <w:pPr>
        <w:pStyle w:val="Default"/>
        <w:numPr>
          <w:ilvl w:val="0"/>
          <w:numId w:val="5"/>
        </w:numPr>
        <w:spacing w:line="480" w:lineRule="auto"/>
        <w:rPr>
          <w:sz w:val="26"/>
          <w:szCs w:val="26"/>
        </w:rPr>
      </w:pPr>
      <w:r w:rsidRPr="000909AC">
        <w:rPr>
          <w:sz w:val="26"/>
          <w:szCs w:val="26"/>
        </w:rPr>
        <w:t>Specify a voltage or Reactive Power schedule (which is either a range or a target value with an associated tolerance band) for generators at either the high or low voltage side of the generator step-up transformer, provide the schedule to the associated Generator Operator, direct the Generator Operator to comply with that schedule in automatic voltage control mode, provide the Generator Operator the notification requirements for deviating from the schedule, and, if requested, provide the Generator Operator the criteria used to develop the schedule (Requirement R5); and</w:t>
      </w:r>
    </w:p>
    <w:p w14:paraId="3053D624" w14:textId="77777777" w:rsidR="003B5E20" w:rsidRDefault="003B5E20" w:rsidP="003B5E20">
      <w:pPr>
        <w:pStyle w:val="Default"/>
        <w:numPr>
          <w:ilvl w:val="0"/>
          <w:numId w:val="5"/>
        </w:numPr>
        <w:spacing w:line="480" w:lineRule="auto"/>
        <w:rPr>
          <w:sz w:val="26"/>
          <w:szCs w:val="26"/>
        </w:rPr>
      </w:pPr>
      <w:r w:rsidRPr="000909AC">
        <w:rPr>
          <w:sz w:val="26"/>
          <w:szCs w:val="26"/>
        </w:rPr>
        <w:t xml:space="preserve">Communicate step-up transformer tap changes, the time frame for completion, and the justification for these changes to Generator Owners (Requirement R6). </w:t>
      </w:r>
    </w:p>
    <w:p w14:paraId="3053D625" w14:textId="77777777" w:rsidR="003B5E20" w:rsidRPr="001C7EE4" w:rsidRDefault="003B5E20" w:rsidP="003B5E20">
      <w:pPr>
        <w:pStyle w:val="Default"/>
        <w:spacing w:line="480" w:lineRule="auto"/>
        <w:rPr>
          <w:sz w:val="26"/>
          <w:szCs w:val="26"/>
        </w:rPr>
      </w:pPr>
    </w:p>
    <w:p w14:paraId="3053D626" w14:textId="77777777" w:rsidR="003B5E20" w:rsidRDefault="003B5E20" w:rsidP="003B5E20">
      <w:pPr>
        <w:pStyle w:val="Default"/>
        <w:spacing w:line="480" w:lineRule="auto"/>
        <w:rPr>
          <w:b/>
          <w:sz w:val="26"/>
          <w:szCs w:val="26"/>
        </w:rPr>
      </w:pPr>
      <w:r w:rsidRPr="00D02553">
        <w:rPr>
          <w:b/>
          <w:sz w:val="26"/>
          <w:szCs w:val="26"/>
        </w:rPr>
        <w:t>Reliability Standard VAR-002-</w:t>
      </w:r>
      <w:r>
        <w:rPr>
          <w:b/>
          <w:sz w:val="26"/>
          <w:szCs w:val="26"/>
        </w:rPr>
        <w:t>3</w:t>
      </w:r>
      <w:r>
        <w:rPr>
          <w:rStyle w:val="FootnoteReference"/>
          <w:b w:val="0"/>
        </w:rPr>
        <w:footnoteReference w:id="3"/>
      </w:r>
      <w:r>
        <w:rPr>
          <w:b/>
          <w:sz w:val="26"/>
          <w:szCs w:val="26"/>
        </w:rPr>
        <w:t>:</w:t>
      </w:r>
    </w:p>
    <w:p w14:paraId="23A3B9ED" w14:textId="026C948F" w:rsidR="0002075A" w:rsidRPr="00D02553" w:rsidRDefault="0002075A" w:rsidP="003B5E20">
      <w:pPr>
        <w:pStyle w:val="Default"/>
        <w:spacing w:line="480" w:lineRule="auto"/>
        <w:rPr>
          <w:sz w:val="26"/>
          <w:szCs w:val="26"/>
        </w:rPr>
      </w:pPr>
      <w:r>
        <w:rPr>
          <w:sz w:val="26"/>
          <w:szCs w:val="26"/>
        </w:rPr>
        <w:t>Reliability Standard VAR-002-3 contains the following requirements:</w:t>
      </w:r>
    </w:p>
    <w:p w14:paraId="3053D627" w14:textId="77777777" w:rsidR="003B5E20" w:rsidRDefault="003B5E20" w:rsidP="003B5E20">
      <w:pPr>
        <w:pStyle w:val="Default"/>
        <w:numPr>
          <w:ilvl w:val="0"/>
          <w:numId w:val="6"/>
        </w:numPr>
        <w:spacing w:line="480" w:lineRule="auto"/>
        <w:rPr>
          <w:sz w:val="26"/>
          <w:szCs w:val="26"/>
        </w:rPr>
      </w:pPr>
      <w:r w:rsidRPr="00D02553">
        <w:rPr>
          <w:sz w:val="26"/>
          <w:szCs w:val="26"/>
        </w:rPr>
        <w:t>Operate each of its generators connected to the interconnected transmission system in automatic voltage control mode or in a different control mode as instructed by the Transmission Operator, unless the Generator Operator (1) is exempted pursuant to the criteria developed under VAR-001-4, Requirement R4, or (2) makes certain notifications to the Transmission Operator specifying the reasons it cann</w:t>
      </w:r>
      <w:r>
        <w:rPr>
          <w:sz w:val="26"/>
          <w:szCs w:val="26"/>
        </w:rPr>
        <w:t>ot so operate (Requirement R1);</w:t>
      </w:r>
    </w:p>
    <w:p w14:paraId="3053D628" w14:textId="14931BF8" w:rsidR="003B5E20" w:rsidRDefault="003B5E20" w:rsidP="003B5E20">
      <w:pPr>
        <w:pStyle w:val="Default"/>
        <w:numPr>
          <w:ilvl w:val="0"/>
          <w:numId w:val="6"/>
        </w:numPr>
        <w:spacing w:line="480" w:lineRule="auto"/>
        <w:rPr>
          <w:sz w:val="26"/>
          <w:szCs w:val="26"/>
        </w:rPr>
      </w:pPr>
      <w:r w:rsidRPr="000909AC">
        <w:rPr>
          <w:sz w:val="26"/>
          <w:szCs w:val="26"/>
        </w:rPr>
        <w:t xml:space="preserve">Maintain the Transmission Operator’s generator voltage or Reactive Power schedule, unless the Generator Operator (1) is exempted pursuant to the criteria developed under VAR-001-4, Requirement R4, or (2) complies with the notification requirements for deviations as established by the Transmission Owner pursuant to </w:t>
      </w:r>
      <w:r w:rsidR="00BD30F3">
        <w:rPr>
          <w:sz w:val="26"/>
          <w:szCs w:val="26"/>
        </w:rPr>
        <w:t xml:space="preserve"> Requirement R5 in </w:t>
      </w:r>
      <w:r w:rsidRPr="000909AC">
        <w:rPr>
          <w:sz w:val="26"/>
          <w:szCs w:val="26"/>
        </w:rPr>
        <w:t>VAR-001-4</w:t>
      </w:r>
      <w:r>
        <w:rPr>
          <w:sz w:val="26"/>
          <w:szCs w:val="26"/>
        </w:rPr>
        <w:t xml:space="preserve"> (Requirement R2);</w:t>
      </w:r>
    </w:p>
    <w:p w14:paraId="3053D629" w14:textId="763E1666" w:rsidR="003B5E20" w:rsidRDefault="003B5E20" w:rsidP="003B5E20">
      <w:pPr>
        <w:pStyle w:val="Default"/>
        <w:numPr>
          <w:ilvl w:val="0"/>
          <w:numId w:val="6"/>
        </w:numPr>
        <w:spacing w:line="480" w:lineRule="auto"/>
        <w:rPr>
          <w:sz w:val="26"/>
          <w:szCs w:val="26"/>
        </w:rPr>
      </w:pPr>
      <w:r w:rsidRPr="001C366D">
        <w:rPr>
          <w:sz w:val="26"/>
          <w:szCs w:val="26"/>
        </w:rPr>
        <w:t>Notify the Transmission Operator of a change in status of its voltage controlling device within 30 minutes, unless the status is restored within that ti</w:t>
      </w:r>
      <w:r>
        <w:rPr>
          <w:sz w:val="26"/>
          <w:szCs w:val="26"/>
        </w:rPr>
        <w:t xml:space="preserve">me period (Requirement R3); </w:t>
      </w:r>
    </w:p>
    <w:p w14:paraId="3053D62A" w14:textId="77777777" w:rsidR="003B5E20" w:rsidRDefault="003B5E20" w:rsidP="003B5E20">
      <w:pPr>
        <w:pStyle w:val="Default"/>
        <w:numPr>
          <w:ilvl w:val="0"/>
          <w:numId w:val="6"/>
        </w:numPr>
        <w:spacing w:line="480" w:lineRule="auto"/>
        <w:rPr>
          <w:sz w:val="26"/>
          <w:szCs w:val="26"/>
        </w:rPr>
      </w:pPr>
      <w:r w:rsidRPr="001C366D">
        <w:rPr>
          <w:sz w:val="26"/>
          <w:szCs w:val="26"/>
        </w:rPr>
        <w:t>Notify the Transmission Operator of a change in reactive capability due to factors other than those described in VAR-002-3, Requirement R3 within 30 minutes unless the capability has been restored during tha</w:t>
      </w:r>
      <w:r>
        <w:rPr>
          <w:sz w:val="26"/>
          <w:szCs w:val="26"/>
        </w:rPr>
        <w:t>t time period (Requirement R4).</w:t>
      </w:r>
    </w:p>
    <w:p w14:paraId="3053D62B" w14:textId="77777777" w:rsidR="003B5E20" w:rsidRDefault="003B5E20" w:rsidP="003B5E20">
      <w:pPr>
        <w:pStyle w:val="Default"/>
        <w:numPr>
          <w:ilvl w:val="0"/>
          <w:numId w:val="6"/>
        </w:numPr>
        <w:spacing w:line="480" w:lineRule="auto"/>
        <w:rPr>
          <w:sz w:val="26"/>
          <w:szCs w:val="26"/>
        </w:rPr>
      </w:pPr>
      <w:r w:rsidRPr="001C366D">
        <w:rPr>
          <w:sz w:val="26"/>
          <w:szCs w:val="26"/>
        </w:rPr>
        <w:t>Provide information on its step-up transformers and auxiliary transformers within 30 days of a request from the Transmission Operator or Transmissio</w:t>
      </w:r>
      <w:r>
        <w:rPr>
          <w:sz w:val="26"/>
          <w:szCs w:val="26"/>
        </w:rPr>
        <w:t>n Planner (Requirement R5); and</w:t>
      </w:r>
    </w:p>
    <w:p w14:paraId="3053D62C" w14:textId="77777777" w:rsidR="003820D6" w:rsidRPr="003B5E20" w:rsidRDefault="003B5E20" w:rsidP="003820D6">
      <w:pPr>
        <w:pStyle w:val="Default"/>
        <w:numPr>
          <w:ilvl w:val="0"/>
          <w:numId w:val="6"/>
        </w:numPr>
        <w:spacing w:line="480" w:lineRule="auto"/>
        <w:rPr>
          <w:sz w:val="26"/>
          <w:szCs w:val="26"/>
        </w:rPr>
      </w:pPr>
      <w:r w:rsidRPr="001C366D">
        <w:rPr>
          <w:sz w:val="26"/>
          <w:szCs w:val="26"/>
        </w:rPr>
        <w:t>Comply with the Transmission Operator’s step-up transformer tap change directives unless compliance would violate safety, an equipment rating, or applicable laws, rules or regulations (Requirement R6).</w:t>
      </w:r>
    </w:p>
    <w:p w14:paraId="3053D62D" w14:textId="6AA4A5C0" w:rsidR="003820D6" w:rsidRPr="009537F4" w:rsidRDefault="003820D6" w:rsidP="003820D6">
      <w:pPr>
        <w:spacing w:line="480" w:lineRule="auto"/>
      </w:pPr>
      <w:r>
        <w:rPr>
          <w:i/>
        </w:rPr>
        <w:t xml:space="preserve">Type of Respondents: </w:t>
      </w:r>
      <w:r w:rsidR="003B5E20">
        <w:rPr>
          <w:szCs w:val="26"/>
        </w:rPr>
        <w:t>Generator o</w:t>
      </w:r>
      <w:r w:rsidR="002E75BF">
        <w:rPr>
          <w:szCs w:val="26"/>
        </w:rPr>
        <w:t>perators</w:t>
      </w:r>
      <w:r w:rsidR="003B5E20">
        <w:rPr>
          <w:szCs w:val="26"/>
        </w:rPr>
        <w:t xml:space="preserve"> and transmission operators.</w:t>
      </w:r>
      <w:r w:rsidR="003B5E20">
        <w:t xml:space="preserve"> </w:t>
      </w:r>
      <w:r>
        <w:t xml:space="preserve"> </w:t>
      </w:r>
    </w:p>
    <w:p w14:paraId="3053D62E" w14:textId="77777777" w:rsidR="005535D4" w:rsidRDefault="005535D4" w:rsidP="005535D4">
      <w:pPr>
        <w:spacing w:line="480" w:lineRule="auto"/>
      </w:pPr>
      <w:r>
        <w:rPr>
          <w:i/>
        </w:rPr>
        <w:t>Estimate of Annual Burden</w:t>
      </w:r>
      <w:r>
        <w:rPr>
          <w:rStyle w:val="FootnoteReference"/>
          <w:i/>
        </w:rPr>
        <w:footnoteReference w:id="4"/>
      </w:r>
      <w:r>
        <w:rPr>
          <w:i/>
        </w:rPr>
        <w:t xml:space="preserve">: </w:t>
      </w:r>
      <w: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3B5E20" w:rsidRPr="00D77538" w14:paraId="3053D630" w14:textId="77777777" w:rsidTr="00AA5342">
        <w:trPr>
          <w:cantSplit/>
        </w:trPr>
        <w:tc>
          <w:tcPr>
            <w:tcW w:w="5000" w:type="pct"/>
            <w:gridSpan w:val="7"/>
            <w:tcBorders>
              <w:bottom w:val="single" w:sz="4" w:space="0" w:color="auto"/>
            </w:tcBorders>
            <w:shd w:val="clear" w:color="auto" w:fill="D9D9D9"/>
          </w:tcPr>
          <w:p w14:paraId="3053D62F" w14:textId="77777777" w:rsidR="003B5E20" w:rsidRPr="006A60CF" w:rsidRDefault="003B5E20" w:rsidP="00AA5342">
            <w:pPr>
              <w:jc w:val="center"/>
              <w:rPr>
                <w:rFonts w:eastAsia="Calibri"/>
                <w:b/>
                <w:sz w:val="20"/>
                <w:szCs w:val="20"/>
              </w:rPr>
            </w:pPr>
            <w:r w:rsidRPr="00414789">
              <w:rPr>
                <w:rFonts w:eastAsia="Calibri"/>
                <w:b/>
                <w:sz w:val="20"/>
                <w:szCs w:val="20"/>
              </w:rPr>
              <w:t>FERC-725X, Mandatory Reliability Standards: Voltage and Reactive (VAR) Standards</w:t>
            </w:r>
          </w:p>
        </w:tc>
      </w:tr>
      <w:tr w:rsidR="003B5E20" w:rsidRPr="00D77538" w14:paraId="3053D63D" w14:textId="77777777" w:rsidTr="00AA5342">
        <w:trPr>
          <w:cantSplit/>
        </w:trPr>
        <w:tc>
          <w:tcPr>
            <w:tcW w:w="878" w:type="pct"/>
            <w:shd w:val="clear" w:color="auto" w:fill="D9D9D9"/>
          </w:tcPr>
          <w:p w14:paraId="3053D631" w14:textId="77777777" w:rsidR="003B5E20" w:rsidRPr="006A60CF" w:rsidRDefault="003B5E20" w:rsidP="00AA5342">
            <w:pPr>
              <w:jc w:val="center"/>
              <w:rPr>
                <w:rFonts w:eastAsia="Calibri"/>
                <w:b/>
                <w:sz w:val="20"/>
                <w:szCs w:val="20"/>
              </w:rPr>
            </w:pPr>
          </w:p>
        </w:tc>
        <w:tc>
          <w:tcPr>
            <w:tcW w:w="746" w:type="pct"/>
            <w:shd w:val="clear" w:color="auto" w:fill="D9D9D9"/>
            <w:vAlign w:val="bottom"/>
          </w:tcPr>
          <w:p w14:paraId="3053D632" w14:textId="77777777" w:rsidR="003B5E20" w:rsidRPr="006A60CF" w:rsidRDefault="003B5E20" w:rsidP="00AA5342">
            <w:pPr>
              <w:jc w:val="center"/>
              <w:rPr>
                <w:rFonts w:eastAsia="Calibri"/>
                <w:b/>
                <w:sz w:val="20"/>
                <w:szCs w:val="20"/>
              </w:rPr>
            </w:pPr>
            <w:r w:rsidRPr="006A60CF">
              <w:rPr>
                <w:rFonts w:eastAsia="Calibri"/>
                <w:b/>
                <w:sz w:val="20"/>
                <w:szCs w:val="20"/>
              </w:rPr>
              <w:t>Number of Respondents</w:t>
            </w:r>
            <w:r>
              <w:rPr>
                <w:rStyle w:val="FootnoteReference"/>
                <w:rFonts w:eastAsia="Calibri"/>
                <w:b w:val="0"/>
              </w:rPr>
              <w:footnoteReference w:id="5"/>
            </w:r>
            <w:r w:rsidRPr="006A60CF">
              <w:rPr>
                <w:rFonts w:eastAsia="Calibri"/>
                <w:b/>
                <w:sz w:val="20"/>
                <w:szCs w:val="20"/>
              </w:rPr>
              <w:br/>
              <w:t>(1)</w:t>
            </w:r>
          </w:p>
        </w:tc>
        <w:tc>
          <w:tcPr>
            <w:tcW w:w="746" w:type="pct"/>
            <w:shd w:val="clear" w:color="auto" w:fill="D9D9D9"/>
            <w:vAlign w:val="bottom"/>
          </w:tcPr>
          <w:p w14:paraId="3053D633" w14:textId="77777777" w:rsidR="003B5E20" w:rsidRPr="006A60CF" w:rsidRDefault="003B5E20" w:rsidP="00AA5342">
            <w:pPr>
              <w:jc w:val="center"/>
              <w:rPr>
                <w:rFonts w:eastAsia="Calibri"/>
                <w:b/>
                <w:sz w:val="20"/>
                <w:szCs w:val="20"/>
              </w:rPr>
            </w:pPr>
            <w:r w:rsidRPr="006A60CF">
              <w:rPr>
                <w:rFonts w:eastAsia="Calibri"/>
                <w:b/>
                <w:sz w:val="20"/>
                <w:szCs w:val="20"/>
              </w:rPr>
              <w:t>Annual Number of Responses per Respondent</w:t>
            </w:r>
          </w:p>
          <w:p w14:paraId="3053D634" w14:textId="77777777" w:rsidR="003B5E20" w:rsidRPr="006A60CF" w:rsidRDefault="003B5E20" w:rsidP="00AA5342">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3053D635" w14:textId="77777777" w:rsidR="003B5E20" w:rsidRPr="006A60CF" w:rsidRDefault="003B5E20" w:rsidP="00AA5342">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3053D636" w14:textId="77777777" w:rsidR="003B5E20" w:rsidRPr="006A60CF" w:rsidRDefault="003B5E20" w:rsidP="00AA5342">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Pr>
                <w:rStyle w:val="FootnoteReference"/>
                <w:rFonts w:eastAsia="Calibri"/>
                <w:b w:val="0"/>
              </w:rPr>
              <w:footnoteReference w:id="6"/>
            </w:r>
          </w:p>
          <w:p w14:paraId="3053D637" w14:textId="77777777" w:rsidR="003B5E20" w:rsidRPr="006A60CF" w:rsidRDefault="003B5E20" w:rsidP="00AA5342">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3053D638" w14:textId="77777777" w:rsidR="003B5E20" w:rsidRPr="006A60CF" w:rsidRDefault="003B5E20" w:rsidP="00AA5342">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3053D639" w14:textId="77777777" w:rsidR="003B5E20" w:rsidRPr="006A60CF" w:rsidRDefault="003B5E20" w:rsidP="00AA5342">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3053D63A" w14:textId="77777777" w:rsidR="003B5E20" w:rsidRPr="006A60CF" w:rsidRDefault="003B5E20" w:rsidP="00AA5342">
            <w:pPr>
              <w:jc w:val="center"/>
              <w:rPr>
                <w:rFonts w:eastAsia="Calibri"/>
                <w:b/>
                <w:sz w:val="20"/>
                <w:szCs w:val="20"/>
              </w:rPr>
            </w:pPr>
            <w:r w:rsidRPr="006A60CF">
              <w:rPr>
                <w:rFonts w:eastAsia="Calibri"/>
                <w:b/>
                <w:sz w:val="20"/>
                <w:szCs w:val="20"/>
              </w:rPr>
              <w:t>Cost per Respondent</w:t>
            </w:r>
          </w:p>
          <w:p w14:paraId="3053D63B" w14:textId="77777777" w:rsidR="003B5E20" w:rsidRPr="006A60CF" w:rsidRDefault="003B5E20" w:rsidP="00AA5342">
            <w:pPr>
              <w:jc w:val="center"/>
              <w:rPr>
                <w:rFonts w:eastAsia="Calibri"/>
                <w:b/>
                <w:sz w:val="20"/>
                <w:szCs w:val="20"/>
              </w:rPr>
            </w:pPr>
            <w:r w:rsidRPr="006A60CF">
              <w:rPr>
                <w:rFonts w:eastAsia="Calibri"/>
                <w:b/>
                <w:sz w:val="20"/>
                <w:szCs w:val="20"/>
              </w:rPr>
              <w:t xml:space="preserve"> ($)</w:t>
            </w:r>
          </w:p>
          <w:p w14:paraId="3053D63C" w14:textId="77777777" w:rsidR="003B5E20" w:rsidRPr="006A60CF" w:rsidRDefault="003B5E20" w:rsidP="00AA5342">
            <w:pPr>
              <w:jc w:val="center"/>
              <w:rPr>
                <w:rFonts w:eastAsia="Calibri"/>
                <w:b/>
                <w:sz w:val="20"/>
                <w:szCs w:val="20"/>
              </w:rPr>
            </w:pPr>
            <w:r w:rsidRPr="006A60CF">
              <w:rPr>
                <w:rFonts w:eastAsia="Calibri"/>
                <w:b/>
                <w:sz w:val="20"/>
                <w:szCs w:val="20"/>
              </w:rPr>
              <w:t>(5)÷(1)</w:t>
            </w:r>
          </w:p>
        </w:tc>
      </w:tr>
      <w:tr w:rsidR="003B5E20" w:rsidRPr="00D77538" w14:paraId="3053D649" w14:textId="77777777" w:rsidTr="00AA5342">
        <w:trPr>
          <w:cantSplit/>
        </w:trPr>
        <w:tc>
          <w:tcPr>
            <w:tcW w:w="878" w:type="pct"/>
          </w:tcPr>
          <w:p w14:paraId="3053D63E" w14:textId="77777777" w:rsidR="003B5E20" w:rsidRDefault="003B5E20" w:rsidP="00AA5342">
            <w:pPr>
              <w:rPr>
                <w:rFonts w:eastAsia="Calibri"/>
                <w:sz w:val="20"/>
                <w:szCs w:val="20"/>
              </w:rPr>
            </w:pPr>
            <w:r>
              <w:rPr>
                <w:rFonts w:eastAsia="Calibri"/>
                <w:sz w:val="20"/>
                <w:szCs w:val="20"/>
              </w:rPr>
              <w:t>VAR-001-4</w:t>
            </w:r>
          </w:p>
          <w:p w14:paraId="3053D63F" w14:textId="274331EA" w:rsidR="003B5E20" w:rsidRPr="006A60CF" w:rsidRDefault="003B5E20" w:rsidP="00AA5342">
            <w:pPr>
              <w:rPr>
                <w:rFonts w:eastAsia="Calibri"/>
                <w:sz w:val="20"/>
                <w:szCs w:val="20"/>
              </w:rPr>
            </w:pPr>
            <w:r>
              <w:rPr>
                <w:rFonts w:eastAsia="Calibri"/>
                <w:sz w:val="20"/>
                <w:szCs w:val="20"/>
              </w:rPr>
              <w:t>(Requirement R1</w:t>
            </w:r>
            <w:r w:rsidR="002E75BF">
              <w:rPr>
                <w:rFonts w:eastAsia="Calibri"/>
                <w:sz w:val="20"/>
                <w:szCs w:val="20"/>
              </w:rPr>
              <w:t>-R6</w:t>
            </w:r>
            <w:r>
              <w:rPr>
                <w:rFonts w:eastAsia="Calibri"/>
                <w:sz w:val="20"/>
                <w:szCs w:val="20"/>
              </w:rPr>
              <w:t>)</w:t>
            </w:r>
          </w:p>
        </w:tc>
        <w:tc>
          <w:tcPr>
            <w:tcW w:w="746" w:type="pct"/>
          </w:tcPr>
          <w:p w14:paraId="3053D640" w14:textId="77777777" w:rsidR="003B5E20" w:rsidRPr="006A60CF" w:rsidRDefault="003B5E20" w:rsidP="00AA5342">
            <w:pPr>
              <w:jc w:val="right"/>
              <w:rPr>
                <w:rFonts w:eastAsia="Calibri"/>
                <w:sz w:val="20"/>
                <w:szCs w:val="20"/>
              </w:rPr>
            </w:pPr>
            <w:r>
              <w:rPr>
                <w:rFonts w:eastAsia="Calibri"/>
                <w:sz w:val="20"/>
                <w:szCs w:val="20"/>
              </w:rPr>
              <w:t>181 (TOP)</w:t>
            </w:r>
          </w:p>
          <w:p w14:paraId="3053D641" w14:textId="77777777" w:rsidR="003B5E20" w:rsidRPr="006A60CF" w:rsidRDefault="003B5E20" w:rsidP="00AA5342">
            <w:pPr>
              <w:jc w:val="right"/>
              <w:rPr>
                <w:rFonts w:eastAsia="Calibri"/>
                <w:sz w:val="20"/>
                <w:szCs w:val="20"/>
              </w:rPr>
            </w:pPr>
          </w:p>
        </w:tc>
        <w:tc>
          <w:tcPr>
            <w:tcW w:w="746" w:type="pct"/>
          </w:tcPr>
          <w:p w14:paraId="3053D642" w14:textId="77777777" w:rsidR="003B5E20" w:rsidRPr="006A60CF" w:rsidRDefault="003B5E20" w:rsidP="00AA5342">
            <w:pPr>
              <w:jc w:val="right"/>
              <w:rPr>
                <w:rFonts w:eastAsia="Calibri"/>
                <w:sz w:val="20"/>
                <w:szCs w:val="20"/>
              </w:rPr>
            </w:pPr>
            <w:r>
              <w:rPr>
                <w:rFonts w:eastAsia="Calibri"/>
                <w:sz w:val="20"/>
                <w:szCs w:val="20"/>
              </w:rPr>
              <w:t>1</w:t>
            </w:r>
          </w:p>
        </w:tc>
        <w:tc>
          <w:tcPr>
            <w:tcW w:w="703" w:type="pct"/>
          </w:tcPr>
          <w:p w14:paraId="3053D643" w14:textId="77777777" w:rsidR="003B5E20" w:rsidRPr="006A60CF" w:rsidRDefault="003B5E20" w:rsidP="00AA5342">
            <w:pPr>
              <w:jc w:val="right"/>
              <w:rPr>
                <w:rFonts w:eastAsia="Calibri"/>
                <w:sz w:val="20"/>
                <w:szCs w:val="20"/>
              </w:rPr>
            </w:pPr>
            <w:r>
              <w:rPr>
                <w:rFonts w:eastAsia="Calibri"/>
                <w:sz w:val="20"/>
                <w:szCs w:val="20"/>
              </w:rPr>
              <w:t>181</w:t>
            </w:r>
          </w:p>
        </w:tc>
        <w:tc>
          <w:tcPr>
            <w:tcW w:w="654" w:type="pct"/>
          </w:tcPr>
          <w:p w14:paraId="3053D644" w14:textId="77777777" w:rsidR="003B5E20" w:rsidRPr="006A60CF" w:rsidRDefault="003B5E20" w:rsidP="00AA5342">
            <w:pPr>
              <w:jc w:val="right"/>
              <w:rPr>
                <w:rFonts w:eastAsia="Calibri"/>
                <w:sz w:val="20"/>
                <w:szCs w:val="20"/>
              </w:rPr>
            </w:pPr>
            <w:r>
              <w:rPr>
                <w:rFonts w:eastAsia="Calibri"/>
                <w:sz w:val="20"/>
                <w:szCs w:val="20"/>
              </w:rPr>
              <w:t>160 hrs.;</w:t>
            </w:r>
          </w:p>
          <w:p w14:paraId="3053D645" w14:textId="77777777" w:rsidR="003B5E20" w:rsidRPr="006A60CF" w:rsidRDefault="003B5E20" w:rsidP="00AA5342">
            <w:pPr>
              <w:jc w:val="right"/>
              <w:rPr>
                <w:rFonts w:eastAsia="Calibri"/>
                <w:sz w:val="20"/>
                <w:szCs w:val="20"/>
              </w:rPr>
            </w:pPr>
            <w:r>
              <w:rPr>
                <w:rFonts w:eastAsia="Calibri"/>
                <w:sz w:val="20"/>
                <w:szCs w:val="20"/>
              </w:rPr>
              <w:t>$10,899.20</w:t>
            </w:r>
          </w:p>
        </w:tc>
        <w:tc>
          <w:tcPr>
            <w:tcW w:w="657" w:type="pct"/>
          </w:tcPr>
          <w:p w14:paraId="3053D646" w14:textId="77777777" w:rsidR="003B5E20" w:rsidRPr="006A60CF" w:rsidRDefault="003B5E20" w:rsidP="00AA5342">
            <w:pPr>
              <w:jc w:val="right"/>
              <w:rPr>
                <w:rFonts w:eastAsia="Calibri"/>
                <w:sz w:val="20"/>
                <w:szCs w:val="20"/>
              </w:rPr>
            </w:pPr>
            <w:r>
              <w:rPr>
                <w:rFonts w:eastAsia="Calibri"/>
                <w:sz w:val="20"/>
                <w:szCs w:val="20"/>
              </w:rPr>
              <w:t xml:space="preserve"> 28,960 hrs.;</w:t>
            </w:r>
          </w:p>
          <w:p w14:paraId="3053D647" w14:textId="77777777" w:rsidR="003B5E20" w:rsidRPr="006A60CF" w:rsidRDefault="003B5E20" w:rsidP="00AA5342">
            <w:pPr>
              <w:jc w:val="right"/>
              <w:rPr>
                <w:rFonts w:eastAsia="Calibri"/>
                <w:sz w:val="20"/>
                <w:szCs w:val="20"/>
              </w:rPr>
            </w:pPr>
            <w:r>
              <w:rPr>
                <w:rFonts w:eastAsia="Calibri"/>
                <w:sz w:val="20"/>
                <w:szCs w:val="20"/>
              </w:rPr>
              <w:t>$1,972,755</w:t>
            </w:r>
            <w:r w:rsidRPr="006A60CF">
              <w:rPr>
                <w:rFonts w:eastAsia="Calibri"/>
                <w:sz w:val="20"/>
                <w:szCs w:val="20"/>
              </w:rPr>
              <w:t xml:space="preserve"> </w:t>
            </w:r>
          </w:p>
        </w:tc>
        <w:tc>
          <w:tcPr>
            <w:tcW w:w="616" w:type="pct"/>
          </w:tcPr>
          <w:p w14:paraId="3053D648" w14:textId="77777777" w:rsidR="003B5E20" w:rsidRPr="006A60CF" w:rsidRDefault="003B5E20" w:rsidP="00AA5342">
            <w:pPr>
              <w:jc w:val="right"/>
              <w:rPr>
                <w:rFonts w:eastAsia="Calibri"/>
                <w:sz w:val="20"/>
                <w:szCs w:val="20"/>
              </w:rPr>
            </w:pPr>
            <w:r>
              <w:rPr>
                <w:rFonts w:eastAsia="Calibri"/>
                <w:sz w:val="20"/>
                <w:szCs w:val="20"/>
              </w:rPr>
              <w:t>$10,899.20</w:t>
            </w:r>
          </w:p>
        </w:tc>
      </w:tr>
      <w:tr w:rsidR="003B5E20" w:rsidRPr="00D77538" w14:paraId="3053D654" w14:textId="77777777" w:rsidTr="00AA5342">
        <w:trPr>
          <w:cantSplit/>
        </w:trPr>
        <w:tc>
          <w:tcPr>
            <w:tcW w:w="878" w:type="pct"/>
          </w:tcPr>
          <w:p w14:paraId="3053D64A" w14:textId="77777777" w:rsidR="003B5E20" w:rsidRDefault="003B5E20" w:rsidP="00AA5342">
            <w:pPr>
              <w:rPr>
                <w:rFonts w:eastAsia="Calibri"/>
                <w:sz w:val="20"/>
                <w:szCs w:val="20"/>
              </w:rPr>
            </w:pPr>
            <w:r>
              <w:rPr>
                <w:rFonts w:eastAsia="Calibri"/>
                <w:sz w:val="20"/>
                <w:szCs w:val="20"/>
              </w:rPr>
              <w:t>VAR-002-3</w:t>
            </w:r>
          </w:p>
          <w:p w14:paraId="3053D64B" w14:textId="77777777" w:rsidR="003B5E20" w:rsidRDefault="003B5E20" w:rsidP="00AA5342">
            <w:pPr>
              <w:rPr>
                <w:rFonts w:eastAsia="Calibri"/>
                <w:sz w:val="20"/>
                <w:szCs w:val="20"/>
              </w:rPr>
            </w:pPr>
            <w:r>
              <w:rPr>
                <w:rFonts w:eastAsia="Calibri"/>
                <w:sz w:val="20"/>
                <w:szCs w:val="20"/>
              </w:rPr>
              <w:t>(Requirement R1)</w:t>
            </w:r>
          </w:p>
        </w:tc>
        <w:tc>
          <w:tcPr>
            <w:tcW w:w="746" w:type="pct"/>
          </w:tcPr>
          <w:p w14:paraId="3053D64C" w14:textId="77777777" w:rsidR="003B5E20" w:rsidRDefault="003B5E20" w:rsidP="00AA5342">
            <w:pPr>
              <w:jc w:val="right"/>
              <w:rPr>
                <w:rFonts w:eastAsia="Calibri"/>
                <w:sz w:val="20"/>
                <w:szCs w:val="20"/>
              </w:rPr>
            </w:pPr>
            <w:r>
              <w:rPr>
                <w:rFonts w:eastAsia="Calibri"/>
                <w:sz w:val="20"/>
                <w:szCs w:val="20"/>
              </w:rPr>
              <w:t>944 (GOP)</w:t>
            </w:r>
          </w:p>
        </w:tc>
        <w:tc>
          <w:tcPr>
            <w:tcW w:w="746" w:type="pct"/>
          </w:tcPr>
          <w:p w14:paraId="3053D64D" w14:textId="77777777" w:rsidR="003B5E20" w:rsidRDefault="003B5E20" w:rsidP="00AA5342">
            <w:pPr>
              <w:jc w:val="right"/>
              <w:rPr>
                <w:rFonts w:eastAsia="Calibri"/>
                <w:sz w:val="20"/>
                <w:szCs w:val="20"/>
              </w:rPr>
            </w:pPr>
            <w:r>
              <w:rPr>
                <w:rFonts w:eastAsia="Calibri"/>
                <w:sz w:val="20"/>
                <w:szCs w:val="20"/>
              </w:rPr>
              <w:t>1</w:t>
            </w:r>
          </w:p>
        </w:tc>
        <w:tc>
          <w:tcPr>
            <w:tcW w:w="703" w:type="pct"/>
          </w:tcPr>
          <w:p w14:paraId="3053D64E" w14:textId="77777777" w:rsidR="003B5E20" w:rsidRDefault="003B5E20" w:rsidP="00AA5342">
            <w:pPr>
              <w:jc w:val="right"/>
              <w:rPr>
                <w:rFonts w:eastAsia="Calibri"/>
                <w:sz w:val="20"/>
                <w:szCs w:val="20"/>
              </w:rPr>
            </w:pPr>
            <w:r>
              <w:rPr>
                <w:rFonts w:eastAsia="Calibri"/>
                <w:sz w:val="20"/>
                <w:szCs w:val="20"/>
              </w:rPr>
              <w:t>944</w:t>
            </w:r>
          </w:p>
        </w:tc>
        <w:tc>
          <w:tcPr>
            <w:tcW w:w="654" w:type="pct"/>
          </w:tcPr>
          <w:p w14:paraId="3053D64F" w14:textId="77777777" w:rsidR="003B5E20" w:rsidRDefault="003B5E20" w:rsidP="00AA5342">
            <w:pPr>
              <w:jc w:val="right"/>
              <w:rPr>
                <w:rFonts w:eastAsia="Calibri"/>
                <w:sz w:val="20"/>
                <w:szCs w:val="20"/>
              </w:rPr>
            </w:pPr>
            <w:r>
              <w:rPr>
                <w:rFonts w:eastAsia="Calibri"/>
                <w:sz w:val="20"/>
                <w:szCs w:val="20"/>
              </w:rPr>
              <w:t>80 hrs.;</w:t>
            </w:r>
          </w:p>
          <w:p w14:paraId="3053D650" w14:textId="77777777" w:rsidR="003B5E20" w:rsidRDefault="003B5E20" w:rsidP="00AA5342">
            <w:pPr>
              <w:jc w:val="right"/>
              <w:rPr>
                <w:rFonts w:eastAsia="Calibri"/>
                <w:sz w:val="20"/>
                <w:szCs w:val="20"/>
              </w:rPr>
            </w:pPr>
            <w:r>
              <w:rPr>
                <w:rFonts w:eastAsia="Calibri"/>
                <w:sz w:val="20"/>
                <w:szCs w:val="20"/>
              </w:rPr>
              <w:t>$5,449.60</w:t>
            </w:r>
          </w:p>
        </w:tc>
        <w:tc>
          <w:tcPr>
            <w:tcW w:w="657" w:type="pct"/>
          </w:tcPr>
          <w:p w14:paraId="3053D651" w14:textId="77777777" w:rsidR="003B5E20" w:rsidRDefault="003B5E20" w:rsidP="00AA5342">
            <w:pPr>
              <w:jc w:val="right"/>
              <w:rPr>
                <w:rFonts w:eastAsia="Calibri"/>
                <w:sz w:val="20"/>
                <w:szCs w:val="20"/>
              </w:rPr>
            </w:pPr>
            <w:r>
              <w:rPr>
                <w:rFonts w:eastAsia="Calibri"/>
                <w:sz w:val="20"/>
                <w:szCs w:val="20"/>
              </w:rPr>
              <w:t>75,520 hrs.;</w:t>
            </w:r>
          </w:p>
          <w:p w14:paraId="3053D652" w14:textId="77777777" w:rsidR="003B5E20" w:rsidRDefault="003B5E20" w:rsidP="00AA5342">
            <w:pPr>
              <w:jc w:val="right"/>
              <w:rPr>
                <w:rFonts w:eastAsia="Calibri"/>
                <w:sz w:val="20"/>
                <w:szCs w:val="20"/>
              </w:rPr>
            </w:pPr>
            <w:r>
              <w:rPr>
                <w:rFonts w:eastAsia="Calibri"/>
                <w:sz w:val="20"/>
                <w:szCs w:val="20"/>
              </w:rPr>
              <w:t>$5,144,422</w:t>
            </w:r>
          </w:p>
        </w:tc>
        <w:tc>
          <w:tcPr>
            <w:tcW w:w="616" w:type="pct"/>
          </w:tcPr>
          <w:p w14:paraId="3053D653" w14:textId="77777777" w:rsidR="003B5E20" w:rsidRPr="006A60CF" w:rsidRDefault="003B5E20" w:rsidP="00AA5342">
            <w:pPr>
              <w:jc w:val="right"/>
              <w:rPr>
                <w:rFonts w:eastAsia="Calibri"/>
                <w:sz w:val="20"/>
                <w:szCs w:val="20"/>
              </w:rPr>
            </w:pPr>
            <w:r>
              <w:rPr>
                <w:rFonts w:eastAsia="Calibri"/>
                <w:sz w:val="20"/>
                <w:szCs w:val="20"/>
              </w:rPr>
              <w:t>$5,449.60</w:t>
            </w:r>
          </w:p>
        </w:tc>
      </w:tr>
      <w:tr w:rsidR="003B5E20" w:rsidRPr="00D77538" w14:paraId="3053D660" w14:textId="77777777" w:rsidTr="00AA5342">
        <w:trPr>
          <w:cantSplit/>
        </w:trPr>
        <w:tc>
          <w:tcPr>
            <w:tcW w:w="878" w:type="pct"/>
          </w:tcPr>
          <w:p w14:paraId="3053D655" w14:textId="77777777" w:rsidR="003B5E20" w:rsidRDefault="003B5E20" w:rsidP="00AA5342">
            <w:pPr>
              <w:rPr>
                <w:rFonts w:eastAsia="Calibri"/>
                <w:sz w:val="20"/>
                <w:szCs w:val="20"/>
              </w:rPr>
            </w:pPr>
            <w:r>
              <w:rPr>
                <w:rFonts w:eastAsia="Calibri"/>
                <w:sz w:val="20"/>
                <w:szCs w:val="20"/>
              </w:rPr>
              <w:t>VAR-002-3</w:t>
            </w:r>
          </w:p>
          <w:p w14:paraId="3053D656" w14:textId="192CC2C5" w:rsidR="003B5E20" w:rsidRDefault="003B5E20" w:rsidP="00AA5342">
            <w:pPr>
              <w:rPr>
                <w:rFonts w:eastAsia="Calibri"/>
                <w:sz w:val="20"/>
                <w:szCs w:val="20"/>
              </w:rPr>
            </w:pPr>
            <w:r>
              <w:rPr>
                <w:rFonts w:eastAsia="Calibri"/>
                <w:sz w:val="20"/>
                <w:szCs w:val="20"/>
              </w:rPr>
              <w:t>(Requirement R2</w:t>
            </w:r>
            <w:r w:rsidR="0002075A">
              <w:rPr>
                <w:rFonts w:eastAsia="Calibri"/>
                <w:sz w:val="20"/>
                <w:szCs w:val="20"/>
              </w:rPr>
              <w:t>-R6</w:t>
            </w:r>
            <w:r>
              <w:rPr>
                <w:rFonts w:eastAsia="Calibri"/>
                <w:sz w:val="20"/>
                <w:szCs w:val="20"/>
              </w:rPr>
              <w:t>)</w:t>
            </w:r>
          </w:p>
        </w:tc>
        <w:tc>
          <w:tcPr>
            <w:tcW w:w="746" w:type="pct"/>
          </w:tcPr>
          <w:p w14:paraId="3053D657" w14:textId="77777777" w:rsidR="003B5E20" w:rsidRDefault="003B5E20" w:rsidP="00AA5342">
            <w:pPr>
              <w:jc w:val="right"/>
              <w:rPr>
                <w:rFonts w:eastAsia="Calibri"/>
                <w:sz w:val="20"/>
                <w:szCs w:val="20"/>
              </w:rPr>
            </w:pPr>
            <w:r>
              <w:rPr>
                <w:rFonts w:eastAsia="Calibri"/>
                <w:sz w:val="20"/>
                <w:szCs w:val="20"/>
              </w:rPr>
              <w:t>944 (GOP)</w:t>
            </w:r>
          </w:p>
        </w:tc>
        <w:tc>
          <w:tcPr>
            <w:tcW w:w="746" w:type="pct"/>
          </w:tcPr>
          <w:p w14:paraId="3053D658" w14:textId="77777777" w:rsidR="003B5E20" w:rsidRDefault="003B5E20" w:rsidP="00AA5342">
            <w:pPr>
              <w:jc w:val="right"/>
              <w:rPr>
                <w:rFonts w:eastAsia="Calibri"/>
                <w:sz w:val="20"/>
                <w:szCs w:val="20"/>
              </w:rPr>
            </w:pPr>
            <w:r>
              <w:rPr>
                <w:rFonts w:eastAsia="Calibri"/>
                <w:sz w:val="20"/>
                <w:szCs w:val="20"/>
              </w:rPr>
              <w:t>1</w:t>
            </w:r>
          </w:p>
        </w:tc>
        <w:tc>
          <w:tcPr>
            <w:tcW w:w="703" w:type="pct"/>
          </w:tcPr>
          <w:p w14:paraId="3053D659" w14:textId="77777777" w:rsidR="003B5E20" w:rsidRDefault="003B5E20" w:rsidP="00AA5342">
            <w:pPr>
              <w:jc w:val="right"/>
              <w:rPr>
                <w:rFonts w:eastAsia="Calibri"/>
                <w:sz w:val="20"/>
                <w:szCs w:val="20"/>
              </w:rPr>
            </w:pPr>
            <w:r>
              <w:rPr>
                <w:rFonts w:eastAsia="Calibri"/>
                <w:sz w:val="20"/>
                <w:szCs w:val="20"/>
              </w:rPr>
              <w:t>944</w:t>
            </w:r>
          </w:p>
        </w:tc>
        <w:tc>
          <w:tcPr>
            <w:tcW w:w="654" w:type="pct"/>
          </w:tcPr>
          <w:p w14:paraId="3053D65A" w14:textId="77777777" w:rsidR="003B5E20" w:rsidRDefault="003B5E20" w:rsidP="00AA5342">
            <w:pPr>
              <w:jc w:val="right"/>
              <w:rPr>
                <w:rFonts w:eastAsia="Calibri"/>
                <w:sz w:val="20"/>
                <w:szCs w:val="20"/>
              </w:rPr>
            </w:pPr>
            <w:r>
              <w:rPr>
                <w:rFonts w:eastAsia="Calibri"/>
                <w:sz w:val="20"/>
                <w:szCs w:val="20"/>
              </w:rPr>
              <w:t>120 hrs.;</w:t>
            </w:r>
          </w:p>
          <w:p w14:paraId="3053D65B" w14:textId="77777777" w:rsidR="003B5E20" w:rsidRDefault="003B5E20" w:rsidP="00AA5342">
            <w:pPr>
              <w:jc w:val="right"/>
              <w:rPr>
                <w:rFonts w:eastAsia="Calibri"/>
                <w:sz w:val="20"/>
                <w:szCs w:val="20"/>
              </w:rPr>
            </w:pPr>
            <w:r>
              <w:rPr>
                <w:rFonts w:eastAsia="Calibri"/>
                <w:sz w:val="20"/>
                <w:szCs w:val="20"/>
              </w:rPr>
              <w:t>$8,174.40</w:t>
            </w:r>
          </w:p>
          <w:p w14:paraId="3053D65C" w14:textId="77777777" w:rsidR="003B5E20" w:rsidRDefault="003B5E20" w:rsidP="00AA5342">
            <w:pPr>
              <w:jc w:val="right"/>
              <w:rPr>
                <w:rFonts w:eastAsia="Calibri"/>
                <w:sz w:val="20"/>
                <w:szCs w:val="20"/>
              </w:rPr>
            </w:pPr>
          </w:p>
        </w:tc>
        <w:tc>
          <w:tcPr>
            <w:tcW w:w="657" w:type="pct"/>
          </w:tcPr>
          <w:p w14:paraId="3053D65D" w14:textId="77777777" w:rsidR="003B5E20" w:rsidRDefault="003B5E20" w:rsidP="00AA5342">
            <w:pPr>
              <w:jc w:val="right"/>
              <w:rPr>
                <w:rFonts w:eastAsia="Calibri"/>
                <w:sz w:val="20"/>
                <w:szCs w:val="20"/>
              </w:rPr>
            </w:pPr>
            <w:r>
              <w:rPr>
                <w:rFonts w:eastAsia="Calibri"/>
                <w:sz w:val="20"/>
                <w:szCs w:val="20"/>
              </w:rPr>
              <w:t>113,280 hrs.;</w:t>
            </w:r>
          </w:p>
          <w:p w14:paraId="3053D65E" w14:textId="77777777" w:rsidR="003B5E20" w:rsidRDefault="003B5E20" w:rsidP="00AA5342">
            <w:pPr>
              <w:jc w:val="right"/>
              <w:rPr>
                <w:rFonts w:eastAsia="Calibri"/>
                <w:sz w:val="20"/>
                <w:szCs w:val="20"/>
              </w:rPr>
            </w:pPr>
            <w:r>
              <w:rPr>
                <w:rFonts w:eastAsia="Calibri"/>
                <w:sz w:val="20"/>
                <w:szCs w:val="20"/>
              </w:rPr>
              <w:t>$7,716,634</w:t>
            </w:r>
          </w:p>
        </w:tc>
        <w:tc>
          <w:tcPr>
            <w:tcW w:w="616" w:type="pct"/>
          </w:tcPr>
          <w:p w14:paraId="3053D65F" w14:textId="77777777" w:rsidR="003B5E20" w:rsidRPr="006A60CF" w:rsidRDefault="003B5E20" w:rsidP="00AA5342">
            <w:pPr>
              <w:jc w:val="right"/>
              <w:rPr>
                <w:rFonts w:eastAsia="Calibri"/>
                <w:sz w:val="20"/>
                <w:szCs w:val="20"/>
              </w:rPr>
            </w:pPr>
            <w:r>
              <w:rPr>
                <w:rFonts w:eastAsia="Calibri"/>
                <w:sz w:val="20"/>
                <w:szCs w:val="20"/>
              </w:rPr>
              <w:t>$8,174.40</w:t>
            </w:r>
          </w:p>
        </w:tc>
      </w:tr>
      <w:tr w:rsidR="003B5E20" w:rsidRPr="00D77538" w14:paraId="3053D668" w14:textId="77777777" w:rsidTr="00AA5342">
        <w:trPr>
          <w:cantSplit/>
          <w:trHeight w:val="485"/>
        </w:trPr>
        <w:tc>
          <w:tcPr>
            <w:tcW w:w="878" w:type="pct"/>
            <w:tcBorders>
              <w:bottom w:val="single" w:sz="4" w:space="0" w:color="auto"/>
            </w:tcBorders>
          </w:tcPr>
          <w:p w14:paraId="3053D661" w14:textId="77777777" w:rsidR="003B5E20" w:rsidRPr="006A60CF" w:rsidRDefault="003B5E20" w:rsidP="00AA5342">
            <w:pPr>
              <w:rPr>
                <w:rFonts w:eastAsia="Calibri"/>
                <w:b/>
                <w:sz w:val="20"/>
                <w:szCs w:val="20"/>
              </w:rPr>
            </w:pPr>
            <w:r w:rsidRPr="006A60CF">
              <w:rPr>
                <w:rFonts w:eastAsia="Calibri"/>
                <w:b/>
                <w:sz w:val="20"/>
                <w:szCs w:val="20"/>
              </w:rPr>
              <w:t>TOTAL</w:t>
            </w:r>
          </w:p>
        </w:tc>
        <w:tc>
          <w:tcPr>
            <w:tcW w:w="1492" w:type="pct"/>
            <w:gridSpan w:val="2"/>
            <w:tcBorders>
              <w:bottom w:val="single" w:sz="4" w:space="0" w:color="auto"/>
            </w:tcBorders>
            <w:shd w:val="clear" w:color="auto" w:fill="D9D9D9"/>
          </w:tcPr>
          <w:p w14:paraId="3053D662" w14:textId="77777777" w:rsidR="003B5E20" w:rsidRPr="006A60CF" w:rsidRDefault="003B5E20" w:rsidP="00AA5342">
            <w:pPr>
              <w:jc w:val="right"/>
              <w:rPr>
                <w:rFonts w:eastAsia="Calibri"/>
                <w:sz w:val="20"/>
                <w:szCs w:val="20"/>
              </w:rPr>
            </w:pPr>
          </w:p>
        </w:tc>
        <w:tc>
          <w:tcPr>
            <w:tcW w:w="703" w:type="pct"/>
            <w:tcBorders>
              <w:bottom w:val="single" w:sz="4" w:space="0" w:color="auto"/>
            </w:tcBorders>
            <w:shd w:val="clear" w:color="auto" w:fill="auto"/>
          </w:tcPr>
          <w:p w14:paraId="3053D663" w14:textId="49779A7B" w:rsidR="003B5E20" w:rsidRPr="006A60CF" w:rsidRDefault="0002075A" w:rsidP="00AA5342">
            <w:pPr>
              <w:jc w:val="right"/>
              <w:rPr>
                <w:rFonts w:eastAsia="Calibri"/>
                <w:b/>
                <w:sz w:val="20"/>
                <w:szCs w:val="20"/>
              </w:rPr>
            </w:pPr>
            <w:r>
              <w:rPr>
                <w:rFonts w:eastAsia="Calibri"/>
                <w:b/>
                <w:sz w:val="20"/>
                <w:szCs w:val="20"/>
              </w:rPr>
              <w:t>2,069</w:t>
            </w:r>
          </w:p>
        </w:tc>
        <w:tc>
          <w:tcPr>
            <w:tcW w:w="654" w:type="pct"/>
            <w:tcBorders>
              <w:bottom w:val="single" w:sz="4" w:space="0" w:color="auto"/>
            </w:tcBorders>
            <w:shd w:val="clear" w:color="auto" w:fill="D9D9D9"/>
          </w:tcPr>
          <w:p w14:paraId="3053D664" w14:textId="77777777" w:rsidR="003B5E20" w:rsidRPr="006A60CF" w:rsidRDefault="003B5E20" w:rsidP="00AA5342">
            <w:pPr>
              <w:jc w:val="right"/>
              <w:rPr>
                <w:rFonts w:eastAsia="Calibri"/>
                <w:sz w:val="20"/>
                <w:szCs w:val="20"/>
              </w:rPr>
            </w:pPr>
          </w:p>
        </w:tc>
        <w:tc>
          <w:tcPr>
            <w:tcW w:w="657" w:type="pct"/>
            <w:tcBorders>
              <w:bottom w:val="single" w:sz="4" w:space="0" w:color="auto"/>
            </w:tcBorders>
          </w:tcPr>
          <w:p w14:paraId="3053D665" w14:textId="77777777" w:rsidR="003B5E20" w:rsidRPr="006A60CF" w:rsidRDefault="003B5E20" w:rsidP="00AA5342">
            <w:pPr>
              <w:jc w:val="right"/>
              <w:rPr>
                <w:rFonts w:eastAsia="Calibri"/>
                <w:b/>
                <w:sz w:val="20"/>
                <w:szCs w:val="20"/>
              </w:rPr>
            </w:pPr>
            <w:r>
              <w:rPr>
                <w:rFonts w:eastAsia="Calibri"/>
                <w:b/>
                <w:sz w:val="20"/>
                <w:szCs w:val="20"/>
              </w:rPr>
              <w:t>217,760 hrs.;</w:t>
            </w:r>
          </w:p>
          <w:p w14:paraId="3053D666" w14:textId="77777777" w:rsidR="003B5E20" w:rsidRPr="006A60CF" w:rsidRDefault="003B5E20" w:rsidP="00AA5342">
            <w:pPr>
              <w:jc w:val="right"/>
              <w:rPr>
                <w:rFonts w:eastAsia="Calibri"/>
                <w:b/>
                <w:sz w:val="20"/>
                <w:szCs w:val="20"/>
              </w:rPr>
            </w:pPr>
            <w:r>
              <w:rPr>
                <w:rFonts w:eastAsia="Calibri"/>
                <w:b/>
                <w:sz w:val="20"/>
                <w:szCs w:val="20"/>
              </w:rPr>
              <w:t>$14,833,811</w:t>
            </w:r>
          </w:p>
        </w:tc>
        <w:tc>
          <w:tcPr>
            <w:tcW w:w="616" w:type="pct"/>
            <w:tcBorders>
              <w:bottom w:val="single" w:sz="4" w:space="0" w:color="auto"/>
            </w:tcBorders>
            <w:shd w:val="clear" w:color="auto" w:fill="D9D9D9"/>
          </w:tcPr>
          <w:p w14:paraId="3053D667" w14:textId="77777777" w:rsidR="003B5E20" w:rsidRPr="006A60CF" w:rsidRDefault="003B5E20" w:rsidP="00AA5342">
            <w:pPr>
              <w:jc w:val="right"/>
              <w:rPr>
                <w:rFonts w:eastAsia="Calibri"/>
                <w:b/>
                <w:sz w:val="20"/>
                <w:szCs w:val="20"/>
              </w:rPr>
            </w:pPr>
          </w:p>
        </w:tc>
      </w:tr>
    </w:tbl>
    <w:p w14:paraId="3053D669" w14:textId="77777777" w:rsidR="005535D4" w:rsidRDefault="005535D4" w:rsidP="002E3314">
      <w:pPr>
        <w:spacing w:line="480" w:lineRule="auto"/>
        <w:ind w:firstLine="720"/>
      </w:pPr>
    </w:p>
    <w:p w14:paraId="3053D66A" w14:textId="77777777" w:rsidR="001C75B2"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6363417B" w14:textId="01B1A25D" w:rsidR="00B94D0D" w:rsidRDefault="00B94D0D" w:rsidP="00B94D0D"/>
    <w:p w14:paraId="16559660" w14:textId="2DFDB403" w:rsidR="00B94D0D" w:rsidRDefault="00B94D0D" w:rsidP="00B94D0D"/>
    <w:p w14:paraId="78EF95F4" w14:textId="69F99E17" w:rsidR="00B94D0D" w:rsidRPr="00B94D0D" w:rsidRDefault="00B94D0D" w:rsidP="00B94D0D">
      <w:pPr>
        <w:ind w:firstLine="2174"/>
        <w:jc w:val="center"/>
      </w:pPr>
      <w:r w:rsidRPr="00B94D0D">
        <w:t>Kimberly D. Bose,</w:t>
      </w:r>
    </w:p>
    <w:p w14:paraId="46B6269F" w14:textId="2832D410" w:rsidR="00B94D0D" w:rsidRPr="00B94D0D" w:rsidRDefault="00B94D0D" w:rsidP="00B94D0D">
      <w:pPr>
        <w:ind w:firstLine="2174"/>
        <w:jc w:val="center"/>
      </w:pPr>
      <w:r w:rsidRPr="00B94D0D">
        <w:t>Secretary.</w:t>
      </w:r>
    </w:p>
    <w:p w14:paraId="478B3A6B" w14:textId="77777777" w:rsidR="00B94D0D" w:rsidRDefault="00B94D0D" w:rsidP="00B94D0D"/>
    <w:sectPr w:rsidR="00B94D0D" w:rsidSect="00190EB5">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59D1E" w14:textId="77777777" w:rsidR="0064733D" w:rsidRDefault="0064733D">
      <w:r>
        <w:separator/>
      </w:r>
    </w:p>
  </w:endnote>
  <w:endnote w:type="continuationSeparator" w:id="0">
    <w:p w14:paraId="0766D027" w14:textId="77777777" w:rsidR="0064733D" w:rsidRDefault="0064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737E9" w14:textId="77777777" w:rsidR="0064733D" w:rsidRDefault="0064733D">
      <w:r>
        <w:separator/>
      </w:r>
    </w:p>
  </w:footnote>
  <w:footnote w:type="continuationSeparator" w:id="0">
    <w:p w14:paraId="559672B3" w14:textId="77777777" w:rsidR="0064733D" w:rsidRDefault="0064733D">
      <w:r>
        <w:continuationSeparator/>
      </w:r>
    </w:p>
  </w:footnote>
  <w:footnote w:id="1">
    <w:p w14:paraId="4FFFD53B" w14:textId="0C6E3176" w:rsidR="00740CF4" w:rsidRPr="002E75BF" w:rsidRDefault="00740CF4">
      <w:pPr>
        <w:pStyle w:val="FootnoteText"/>
        <w:rPr>
          <w:sz w:val="20"/>
        </w:rPr>
      </w:pPr>
      <w:r w:rsidRPr="002E75BF">
        <w:rPr>
          <w:rStyle w:val="FootnoteReference"/>
          <w:sz w:val="20"/>
          <w:szCs w:val="20"/>
        </w:rPr>
        <w:footnoteRef/>
      </w:r>
      <w:r w:rsidRPr="002E75BF">
        <w:rPr>
          <w:sz w:val="20"/>
          <w:vertAlign w:val="superscript"/>
        </w:rPr>
        <w:t xml:space="preserve"> </w:t>
      </w:r>
      <w:r w:rsidRPr="002E75BF">
        <w:rPr>
          <w:sz w:val="20"/>
        </w:rPr>
        <w:t>FERC approved these standards in the Order in Docket No. RD14-11-000 (</w:t>
      </w:r>
      <w:r w:rsidR="002E75BF">
        <w:rPr>
          <w:sz w:val="20"/>
        </w:rPr>
        <w:t>issued</w:t>
      </w:r>
      <w:r w:rsidRPr="002E75BF">
        <w:rPr>
          <w:sz w:val="20"/>
        </w:rPr>
        <w:t xml:space="preserve"> on 8/1/2014).</w:t>
      </w:r>
    </w:p>
  </w:footnote>
  <w:footnote w:id="2">
    <w:p w14:paraId="3053D678" w14:textId="7A6C27FF" w:rsidR="003B5E20" w:rsidRPr="002E75BF" w:rsidRDefault="003B5E20" w:rsidP="003B5E20">
      <w:pPr>
        <w:pStyle w:val="FootnoteText"/>
        <w:rPr>
          <w:sz w:val="20"/>
        </w:rPr>
      </w:pPr>
      <w:r w:rsidRPr="002E75BF">
        <w:rPr>
          <w:rStyle w:val="FootnoteReference"/>
          <w:sz w:val="20"/>
          <w:szCs w:val="20"/>
        </w:rPr>
        <w:footnoteRef/>
      </w:r>
      <w:r w:rsidRPr="002E75BF">
        <w:rPr>
          <w:sz w:val="20"/>
        </w:rPr>
        <w:t xml:space="preserve"> Applies to </w:t>
      </w:r>
      <w:r w:rsidR="00210A0A">
        <w:rPr>
          <w:sz w:val="20"/>
        </w:rPr>
        <w:t>generation</w:t>
      </w:r>
      <w:r w:rsidRPr="002E75BF">
        <w:rPr>
          <w:sz w:val="20"/>
        </w:rPr>
        <w:t xml:space="preserve"> operators only</w:t>
      </w:r>
    </w:p>
  </w:footnote>
  <w:footnote w:id="3">
    <w:p w14:paraId="3053D679" w14:textId="77777777" w:rsidR="003B5E20" w:rsidRPr="002E75BF" w:rsidRDefault="003B5E20" w:rsidP="003B5E20">
      <w:pPr>
        <w:pStyle w:val="FootnoteText"/>
        <w:rPr>
          <w:sz w:val="20"/>
        </w:rPr>
      </w:pPr>
      <w:r w:rsidRPr="002E75BF">
        <w:rPr>
          <w:rStyle w:val="FootnoteReference"/>
          <w:sz w:val="20"/>
          <w:szCs w:val="20"/>
        </w:rPr>
        <w:footnoteRef/>
      </w:r>
      <w:r w:rsidRPr="002E75BF">
        <w:rPr>
          <w:sz w:val="20"/>
        </w:rPr>
        <w:t xml:space="preserve"> Applies to transmission operators only.</w:t>
      </w:r>
    </w:p>
  </w:footnote>
  <w:footnote w:id="4">
    <w:p w14:paraId="3053D67A" w14:textId="7A909118" w:rsidR="005535D4" w:rsidRPr="002E75BF" w:rsidRDefault="005535D4" w:rsidP="005535D4">
      <w:pPr>
        <w:pStyle w:val="FootnoteText"/>
        <w:rPr>
          <w:sz w:val="20"/>
        </w:rPr>
      </w:pPr>
      <w:r w:rsidRPr="002E75BF">
        <w:rPr>
          <w:rStyle w:val="FootnoteReference"/>
          <w:sz w:val="20"/>
          <w:szCs w:val="20"/>
        </w:rPr>
        <w:footnoteRef/>
      </w:r>
      <w:r w:rsidRPr="002E75BF">
        <w:rPr>
          <w:sz w:val="20"/>
        </w:rPr>
        <w:t xml:space="preserve"> </w:t>
      </w:r>
      <w:r w:rsidR="00E86FD9" w:rsidRPr="002E75BF">
        <w:rPr>
          <w:sz w:val="20"/>
        </w:rPr>
        <w:t>“Burden”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5">
    <w:p w14:paraId="3053D67B" w14:textId="77777777" w:rsidR="003B5E20" w:rsidRPr="002E75BF" w:rsidRDefault="003B5E20" w:rsidP="003B5E20">
      <w:pPr>
        <w:pStyle w:val="FootnoteText"/>
        <w:rPr>
          <w:sz w:val="20"/>
        </w:rPr>
      </w:pPr>
      <w:r w:rsidRPr="002E75BF">
        <w:rPr>
          <w:rStyle w:val="FootnoteReference"/>
          <w:sz w:val="20"/>
          <w:szCs w:val="20"/>
        </w:rPr>
        <w:footnoteRef/>
      </w:r>
      <w:r w:rsidRPr="002E75BF">
        <w:rPr>
          <w:sz w:val="20"/>
        </w:rPr>
        <w:t xml:space="preserve"> TOP = transmission operator; GOP = generator operators.</w:t>
      </w:r>
    </w:p>
  </w:footnote>
  <w:footnote w:id="6">
    <w:p w14:paraId="3053D67C" w14:textId="77777777" w:rsidR="003B5E20" w:rsidRPr="002E75BF" w:rsidRDefault="003B5E20" w:rsidP="003B5E20">
      <w:pPr>
        <w:pStyle w:val="FootnoteText"/>
        <w:rPr>
          <w:sz w:val="20"/>
        </w:rPr>
      </w:pPr>
      <w:r w:rsidRPr="002E75BF">
        <w:rPr>
          <w:rStyle w:val="FootnoteReference"/>
          <w:sz w:val="20"/>
          <w:szCs w:val="20"/>
        </w:rPr>
        <w:footnoteRef/>
      </w:r>
      <w:r w:rsidRPr="002E75BF">
        <w:rPr>
          <w:sz w:val="20"/>
        </w:rPr>
        <w:t xml:space="preserve"> The estimate for hourly cost is $68.12/hour.  This figure is the average salary plus benefits for an electrical engineer (Occupation Code: 17-2071) from the Bureau of Labor Statistics at </w:t>
      </w:r>
      <w:hyperlink r:id="rId1" w:history="1">
        <w:r w:rsidRPr="002E75BF">
          <w:rPr>
            <w:rStyle w:val="Hyperlink"/>
            <w:sz w:val="20"/>
          </w:rPr>
          <w:t>https://www.bls.gov/oes/current/naics2_22.htm</w:t>
        </w:r>
      </w:hyperlink>
      <w:r w:rsidRPr="002E75BF">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3D674"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D675"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3D676"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61AB">
      <w:rPr>
        <w:rStyle w:val="PageNumber"/>
        <w:noProof/>
      </w:rPr>
      <w:t>2</w:t>
    </w:r>
    <w:r>
      <w:rPr>
        <w:rStyle w:val="PageNumber"/>
      </w:rPr>
      <w:fldChar w:fldCharType="end"/>
    </w:r>
  </w:p>
  <w:p w14:paraId="3053D677" w14:textId="77777777" w:rsidR="009A6D11" w:rsidRDefault="009A6D11" w:rsidP="0096632C">
    <w:pPr>
      <w:pStyle w:val="Header"/>
      <w:ind w:right="360"/>
    </w:pPr>
    <w:r>
      <w:t>Docket No</w:t>
    </w:r>
    <w:r w:rsidRPr="003B5E20">
      <w:t xml:space="preserve">. </w:t>
    </w:r>
    <w:r w:rsidR="003B5E20" w:rsidRPr="003B5E20">
      <w:t>IC18-9</w:t>
    </w:r>
    <w:r w:rsidRPr="003B5E20">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37D95106"/>
    <w:multiLevelType w:val="hybridMultilevel"/>
    <w:tmpl w:val="3772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154DF"/>
    <w:rsid w:val="0002075A"/>
    <w:rsid w:val="000253DB"/>
    <w:rsid w:val="00036FEC"/>
    <w:rsid w:val="00041471"/>
    <w:rsid w:val="00043468"/>
    <w:rsid w:val="000436E9"/>
    <w:rsid w:val="0006335A"/>
    <w:rsid w:val="00072256"/>
    <w:rsid w:val="00072448"/>
    <w:rsid w:val="00080D5F"/>
    <w:rsid w:val="000838BE"/>
    <w:rsid w:val="000854B7"/>
    <w:rsid w:val="00093E92"/>
    <w:rsid w:val="00095258"/>
    <w:rsid w:val="000A27CA"/>
    <w:rsid w:val="000A5308"/>
    <w:rsid w:val="000B723A"/>
    <w:rsid w:val="000C56A4"/>
    <w:rsid w:val="000D3639"/>
    <w:rsid w:val="000D5216"/>
    <w:rsid w:val="000F3E00"/>
    <w:rsid w:val="00103D50"/>
    <w:rsid w:val="00114B14"/>
    <w:rsid w:val="00121C3B"/>
    <w:rsid w:val="001240FD"/>
    <w:rsid w:val="00125F00"/>
    <w:rsid w:val="00141742"/>
    <w:rsid w:val="0014501C"/>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5E0A"/>
    <w:rsid w:val="001B40FA"/>
    <w:rsid w:val="001B49BD"/>
    <w:rsid w:val="001C3324"/>
    <w:rsid w:val="001C4D3A"/>
    <w:rsid w:val="001C5D46"/>
    <w:rsid w:val="001C75B2"/>
    <w:rsid w:val="001E3ECE"/>
    <w:rsid w:val="001E69DB"/>
    <w:rsid w:val="001F0B06"/>
    <w:rsid w:val="001F0E50"/>
    <w:rsid w:val="001F2664"/>
    <w:rsid w:val="001F47CB"/>
    <w:rsid w:val="00204D0F"/>
    <w:rsid w:val="00210A0A"/>
    <w:rsid w:val="002265E9"/>
    <w:rsid w:val="00252CD0"/>
    <w:rsid w:val="002677D6"/>
    <w:rsid w:val="00285E62"/>
    <w:rsid w:val="0028677A"/>
    <w:rsid w:val="0029476E"/>
    <w:rsid w:val="00296592"/>
    <w:rsid w:val="002A6174"/>
    <w:rsid w:val="002B62A0"/>
    <w:rsid w:val="002C0ECB"/>
    <w:rsid w:val="002C23E9"/>
    <w:rsid w:val="002E2667"/>
    <w:rsid w:val="002E3314"/>
    <w:rsid w:val="002E75BF"/>
    <w:rsid w:val="002F1283"/>
    <w:rsid w:val="002F5FB8"/>
    <w:rsid w:val="003178F3"/>
    <w:rsid w:val="00317A96"/>
    <w:rsid w:val="00321EB8"/>
    <w:rsid w:val="00323139"/>
    <w:rsid w:val="00335092"/>
    <w:rsid w:val="00341866"/>
    <w:rsid w:val="00356E26"/>
    <w:rsid w:val="003575F3"/>
    <w:rsid w:val="00366669"/>
    <w:rsid w:val="00370763"/>
    <w:rsid w:val="00374409"/>
    <w:rsid w:val="00381700"/>
    <w:rsid w:val="003820D6"/>
    <w:rsid w:val="00386BED"/>
    <w:rsid w:val="003A1D7A"/>
    <w:rsid w:val="003B5E20"/>
    <w:rsid w:val="003C1644"/>
    <w:rsid w:val="003C1F91"/>
    <w:rsid w:val="003D0480"/>
    <w:rsid w:val="003D6813"/>
    <w:rsid w:val="003F32A9"/>
    <w:rsid w:val="00407456"/>
    <w:rsid w:val="00414715"/>
    <w:rsid w:val="004230B0"/>
    <w:rsid w:val="00423C49"/>
    <w:rsid w:val="0042785C"/>
    <w:rsid w:val="00432C41"/>
    <w:rsid w:val="0044362C"/>
    <w:rsid w:val="00445DDF"/>
    <w:rsid w:val="00453F74"/>
    <w:rsid w:val="00455A33"/>
    <w:rsid w:val="00470106"/>
    <w:rsid w:val="004721F3"/>
    <w:rsid w:val="0047321C"/>
    <w:rsid w:val="004757BF"/>
    <w:rsid w:val="004855F2"/>
    <w:rsid w:val="00487256"/>
    <w:rsid w:val="00490E50"/>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35D4"/>
    <w:rsid w:val="00556AC8"/>
    <w:rsid w:val="005665D1"/>
    <w:rsid w:val="0058734A"/>
    <w:rsid w:val="005916D2"/>
    <w:rsid w:val="00592AD7"/>
    <w:rsid w:val="00594550"/>
    <w:rsid w:val="005953A4"/>
    <w:rsid w:val="005A02C5"/>
    <w:rsid w:val="005A6D8E"/>
    <w:rsid w:val="005B0E46"/>
    <w:rsid w:val="005C7047"/>
    <w:rsid w:val="005D0272"/>
    <w:rsid w:val="005E6B6B"/>
    <w:rsid w:val="005F533D"/>
    <w:rsid w:val="006070B9"/>
    <w:rsid w:val="00617E46"/>
    <w:rsid w:val="0062025E"/>
    <w:rsid w:val="00625882"/>
    <w:rsid w:val="006276C9"/>
    <w:rsid w:val="006400D4"/>
    <w:rsid w:val="00644093"/>
    <w:rsid w:val="0064733D"/>
    <w:rsid w:val="0065768D"/>
    <w:rsid w:val="006615E1"/>
    <w:rsid w:val="0068483B"/>
    <w:rsid w:val="0069142C"/>
    <w:rsid w:val="00695504"/>
    <w:rsid w:val="006A2074"/>
    <w:rsid w:val="006A2801"/>
    <w:rsid w:val="006A4D89"/>
    <w:rsid w:val="006B4821"/>
    <w:rsid w:val="006C57B1"/>
    <w:rsid w:val="006D4F8F"/>
    <w:rsid w:val="006D549E"/>
    <w:rsid w:val="006E6000"/>
    <w:rsid w:val="006E7FB0"/>
    <w:rsid w:val="006F2699"/>
    <w:rsid w:val="006F4A80"/>
    <w:rsid w:val="006F53CD"/>
    <w:rsid w:val="006F77BE"/>
    <w:rsid w:val="0070048D"/>
    <w:rsid w:val="00703DFC"/>
    <w:rsid w:val="0070558B"/>
    <w:rsid w:val="00710A04"/>
    <w:rsid w:val="0071251E"/>
    <w:rsid w:val="00720B54"/>
    <w:rsid w:val="00720E07"/>
    <w:rsid w:val="00725908"/>
    <w:rsid w:val="0072643A"/>
    <w:rsid w:val="00740CF4"/>
    <w:rsid w:val="00760AC9"/>
    <w:rsid w:val="00764A91"/>
    <w:rsid w:val="0076589D"/>
    <w:rsid w:val="00766823"/>
    <w:rsid w:val="007726D7"/>
    <w:rsid w:val="00773856"/>
    <w:rsid w:val="00775D65"/>
    <w:rsid w:val="0078241C"/>
    <w:rsid w:val="007957B9"/>
    <w:rsid w:val="007A46B4"/>
    <w:rsid w:val="007A5C4A"/>
    <w:rsid w:val="007B03E0"/>
    <w:rsid w:val="007D2400"/>
    <w:rsid w:val="007D4A4A"/>
    <w:rsid w:val="007E52AC"/>
    <w:rsid w:val="007E6973"/>
    <w:rsid w:val="007E699A"/>
    <w:rsid w:val="007E7573"/>
    <w:rsid w:val="007F4F94"/>
    <w:rsid w:val="007F7E3C"/>
    <w:rsid w:val="008024B2"/>
    <w:rsid w:val="00804E53"/>
    <w:rsid w:val="00822C8E"/>
    <w:rsid w:val="00827DA2"/>
    <w:rsid w:val="0083270A"/>
    <w:rsid w:val="00834B9E"/>
    <w:rsid w:val="00841CCE"/>
    <w:rsid w:val="00852671"/>
    <w:rsid w:val="0085538F"/>
    <w:rsid w:val="00855434"/>
    <w:rsid w:val="0085560E"/>
    <w:rsid w:val="008647BA"/>
    <w:rsid w:val="00865E72"/>
    <w:rsid w:val="0087254C"/>
    <w:rsid w:val="008814F7"/>
    <w:rsid w:val="00891E91"/>
    <w:rsid w:val="00893FB3"/>
    <w:rsid w:val="008956A4"/>
    <w:rsid w:val="008B5814"/>
    <w:rsid w:val="008D7DF2"/>
    <w:rsid w:val="008E4CB7"/>
    <w:rsid w:val="008F5806"/>
    <w:rsid w:val="00906BFB"/>
    <w:rsid w:val="009124A0"/>
    <w:rsid w:val="009131BC"/>
    <w:rsid w:val="0091686D"/>
    <w:rsid w:val="00924B80"/>
    <w:rsid w:val="00937BCD"/>
    <w:rsid w:val="00944ACD"/>
    <w:rsid w:val="00956FF9"/>
    <w:rsid w:val="00961DAE"/>
    <w:rsid w:val="0096632C"/>
    <w:rsid w:val="00967943"/>
    <w:rsid w:val="0097434D"/>
    <w:rsid w:val="00977E05"/>
    <w:rsid w:val="00991D87"/>
    <w:rsid w:val="00994B38"/>
    <w:rsid w:val="009A61E8"/>
    <w:rsid w:val="009A6D11"/>
    <w:rsid w:val="009B7DFA"/>
    <w:rsid w:val="009E030D"/>
    <w:rsid w:val="009E1DA1"/>
    <w:rsid w:val="009E222D"/>
    <w:rsid w:val="009F4AB4"/>
    <w:rsid w:val="009F71DC"/>
    <w:rsid w:val="00A038F0"/>
    <w:rsid w:val="00A0763E"/>
    <w:rsid w:val="00A15BF1"/>
    <w:rsid w:val="00A34319"/>
    <w:rsid w:val="00A34518"/>
    <w:rsid w:val="00A35158"/>
    <w:rsid w:val="00A4355D"/>
    <w:rsid w:val="00A43DCA"/>
    <w:rsid w:val="00A51FCA"/>
    <w:rsid w:val="00A536DA"/>
    <w:rsid w:val="00A56980"/>
    <w:rsid w:val="00A60681"/>
    <w:rsid w:val="00A72F11"/>
    <w:rsid w:val="00A96311"/>
    <w:rsid w:val="00A9631E"/>
    <w:rsid w:val="00AA7819"/>
    <w:rsid w:val="00AB0A99"/>
    <w:rsid w:val="00AB20D8"/>
    <w:rsid w:val="00AB58C3"/>
    <w:rsid w:val="00AC4CC5"/>
    <w:rsid w:val="00AC7480"/>
    <w:rsid w:val="00AE0995"/>
    <w:rsid w:val="00AE61AB"/>
    <w:rsid w:val="00AF06CA"/>
    <w:rsid w:val="00AF4F93"/>
    <w:rsid w:val="00B018B9"/>
    <w:rsid w:val="00B2244D"/>
    <w:rsid w:val="00B3254F"/>
    <w:rsid w:val="00B33628"/>
    <w:rsid w:val="00B337D1"/>
    <w:rsid w:val="00B4431A"/>
    <w:rsid w:val="00B460AF"/>
    <w:rsid w:val="00B62B35"/>
    <w:rsid w:val="00B710EA"/>
    <w:rsid w:val="00B75595"/>
    <w:rsid w:val="00B806DB"/>
    <w:rsid w:val="00B81BC5"/>
    <w:rsid w:val="00B835C5"/>
    <w:rsid w:val="00B87F46"/>
    <w:rsid w:val="00B94D0D"/>
    <w:rsid w:val="00B97BC8"/>
    <w:rsid w:val="00BB1C54"/>
    <w:rsid w:val="00BC1B93"/>
    <w:rsid w:val="00BD0A6B"/>
    <w:rsid w:val="00BD15D4"/>
    <w:rsid w:val="00BD30F3"/>
    <w:rsid w:val="00BD69E2"/>
    <w:rsid w:val="00BE4331"/>
    <w:rsid w:val="00BF144D"/>
    <w:rsid w:val="00BF7982"/>
    <w:rsid w:val="00C01B8E"/>
    <w:rsid w:val="00C0217E"/>
    <w:rsid w:val="00C0487E"/>
    <w:rsid w:val="00C1080B"/>
    <w:rsid w:val="00C14CA1"/>
    <w:rsid w:val="00C209EA"/>
    <w:rsid w:val="00C20BA6"/>
    <w:rsid w:val="00C211B3"/>
    <w:rsid w:val="00C3310F"/>
    <w:rsid w:val="00C33BBC"/>
    <w:rsid w:val="00C36E5D"/>
    <w:rsid w:val="00C41350"/>
    <w:rsid w:val="00C446C7"/>
    <w:rsid w:val="00C4788A"/>
    <w:rsid w:val="00C63FEE"/>
    <w:rsid w:val="00C70D6C"/>
    <w:rsid w:val="00C71F08"/>
    <w:rsid w:val="00C856C1"/>
    <w:rsid w:val="00C936A0"/>
    <w:rsid w:val="00C950B8"/>
    <w:rsid w:val="00C9728E"/>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225FB"/>
    <w:rsid w:val="00D23599"/>
    <w:rsid w:val="00D33436"/>
    <w:rsid w:val="00D43998"/>
    <w:rsid w:val="00D47828"/>
    <w:rsid w:val="00D579BC"/>
    <w:rsid w:val="00D63C82"/>
    <w:rsid w:val="00D67693"/>
    <w:rsid w:val="00D70310"/>
    <w:rsid w:val="00D76C1B"/>
    <w:rsid w:val="00D77890"/>
    <w:rsid w:val="00D87C24"/>
    <w:rsid w:val="00D90CBF"/>
    <w:rsid w:val="00D90F48"/>
    <w:rsid w:val="00D9166B"/>
    <w:rsid w:val="00D92CB4"/>
    <w:rsid w:val="00D93E95"/>
    <w:rsid w:val="00D94313"/>
    <w:rsid w:val="00DA6F3C"/>
    <w:rsid w:val="00DB44CE"/>
    <w:rsid w:val="00DC09DD"/>
    <w:rsid w:val="00DC0CCD"/>
    <w:rsid w:val="00DD02E8"/>
    <w:rsid w:val="00DD3E84"/>
    <w:rsid w:val="00DF281F"/>
    <w:rsid w:val="00DF3DC8"/>
    <w:rsid w:val="00DF57D1"/>
    <w:rsid w:val="00E027CE"/>
    <w:rsid w:val="00E0745C"/>
    <w:rsid w:val="00E102DA"/>
    <w:rsid w:val="00E2091C"/>
    <w:rsid w:val="00E310B1"/>
    <w:rsid w:val="00E35ECB"/>
    <w:rsid w:val="00E4230F"/>
    <w:rsid w:val="00E436DC"/>
    <w:rsid w:val="00E43FF3"/>
    <w:rsid w:val="00E52021"/>
    <w:rsid w:val="00E521EB"/>
    <w:rsid w:val="00E57F5B"/>
    <w:rsid w:val="00E57FC8"/>
    <w:rsid w:val="00E60318"/>
    <w:rsid w:val="00E6445A"/>
    <w:rsid w:val="00E6573E"/>
    <w:rsid w:val="00E86FD9"/>
    <w:rsid w:val="00E92ACF"/>
    <w:rsid w:val="00E94542"/>
    <w:rsid w:val="00E9701C"/>
    <w:rsid w:val="00EA07A3"/>
    <w:rsid w:val="00EA26F9"/>
    <w:rsid w:val="00EA3F0A"/>
    <w:rsid w:val="00EA4BD0"/>
    <w:rsid w:val="00EA5739"/>
    <w:rsid w:val="00EB6628"/>
    <w:rsid w:val="00EB6EE6"/>
    <w:rsid w:val="00EC4610"/>
    <w:rsid w:val="00EC7372"/>
    <w:rsid w:val="00EE4F64"/>
    <w:rsid w:val="00EE5F32"/>
    <w:rsid w:val="00F02B46"/>
    <w:rsid w:val="00F04F4C"/>
    <w:rsid w:val="00F04F98"/>
    <w:rsid w:val="00F05061"/>
    <w:rsid w:val="00F133AE"/>
    <w:rsid w:val="00F137D5"/>
    <w:rsid w:val="00F15EB8"/>
    <w:rsid w:val="00F168B6"/>
    <w:rsid w:val="00F17D46"/>
    <w:rsid w:val="00F2283B"/>
    <w:rsid w:val="00F239CB"/>
    <w:rsid w:val="00F252DC"/>
    <w:rsid w:val="00F31331"/>
    <w:rsid w:val="00F33CC9"/>
    <w:rsid w:val="00F34211"/>
    <w:rsid w:val="00F4212C"/>
    <w:rsid w:val="00F500B7"/>
    <w:rsid w:val="00F567F0"/>
    <w:rsid w:val="00F619B0"/>
    <w:rsid w:val="00F62C6E"/>
    <w:rsid w:val="00F63C6E"/>
    <w:rsid w:val="00F72A15"/>
    <w:rsid w:val="00F730F8"/>
    <w:rsid w:val="00F75289"/>
    <w:rsid w:val="00F80272"/>
    <w:rsid w:val="00FA1560"/>
    <w:rsid w:val="00FA2A52"/>
    <w:rsid w:val="00FB1597"/>
    <w:rsid w:val="00FB5088"/>
    <w:rsid w:val="00FC5E3E"/>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053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link w:val="FootnoteText"/>
    <w:rsid w:val="009A6D11"/>
    <w:rPr>
      <w:sz w:val="22"/>
    </w:rPr>
  </w:style>
  <w:style w:type="paragraph" w:customStyle="1" w:styleId="Default">
    <w:name w:val="Default"/>
    <w:rsid w:val="003B5E20"/>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link w:val="FootnoteText"/>
    <w:rsid w:val="009A6D11"/>
    <w:rPr>
      <w:sz w:val="22"/>
    </w:rPr>
  </w:style>
  <w:style w:type="paragraph" w:customStyle="1" w:styleId="Default">
    <w:name w:val="Default"/>
    <w:rsid w:val="003B5E20"/>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B452E-F0FB-4934-8680-9084575B1751}">
  <ds:schemaRefs>
    <ds:schemaRef ds:uri="http://schemas.microsoft.com/sharepoint/v3/contenttype/forms"/>
  </ds:schemaRefs>
</ds:datastoreItem>
</file>

<file path=customXml/itemProps2.xml><?xml version="1.0" encoding="utf-8"?>
<ds:datastoreItem xmlns:ds="http://schemas.openxmlformats.org/officeDocument/2006/customXml" ds:itemID="{DAD6207C-43E2-41D2-9B6A-C2C5AE821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ECC9C-5298-465B-B716-8AA447EEB3D3}">
  <ds:schemaRefs>
    <ds:schemaRef ds:uri="Microsoft.SharePoint.Taxonomy.ContentTypeSync"/>
  </ds:schemaRefs>
</ds:datastoreItem>
</file>

<file path=customXml/itemProps4.xml><?xml version="1.0" encoding="utf-8"?>
<ds:datastoreItem xmlns:ds="http://schemas.openxmlformats.org/officeDocument/2006/customXml" ds:itemID="{2FF0DC5B-A2E7-4E04-AB83-236D0EAD43C6}">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BE173FAD-E042-48BF-9EA8-A9934B04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8840</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2018-04-26T19:21:00Z</dcterms:created>
  <dcterms:modified xsi:type="dcterms:W3CDTF">2018-04-26T19:21:00Z</dcterms:modified>
  <cp:category/>
  <dc:identifier/>
  <cp:contentStatus/>
  <cp:version/>
</cp:coreProperties>
</file>