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cs="Arial"/>
          <w:noProof/>
        </w:rPr>
        <w:id w:val="37707067"/>
        <w:docPartObj>
          <w:docPartGallery w:val="Cover Pages"/>
        </w:docPartObj>
      </w:sdtPr>
      <w:sdtEndPr>
        <w:rPr>
          <w:noProof w:val="0"/>
        </w:rPr>
      </w:sdtEndPr>
      <w:sdtContent>
        <w:p w14:paraId="50DDB0FA" w14:textId="6E48F8B7" w:rsidR="00D001E4" w:rsidRPr="002E0255" w:rsidRDefault="00CC5283">
          <w:pPr>
            <w:rPr>
              <w:rFonts w:cs="Arial"/>
              <w:noProof/>
            </w:rPr>
          </w:pPr>
          <w:r w:rsidRPr="002E0255">
            <w:rPr>
              <w:rFonts w:cs="Arial"/>
              <w:noProof/>
            </w:rPr>
            <w:drawing>
              <wp:anchor distT="0" distB="0" distL="114300" distR="114300" simplePos="0" relativeHeight="251675647" behindDoc="0" locked="0" layoutInCell="1" allowOverlap="1" wp14:anchorId="0D3E4435" wp14:editId="4A1527EF">
                <wp:simplePos x="0" y="0"/>
                <wp:positionH relativeFrom="column">
                  <wp:posOffset>6350</wp:posOffset>
                </wp:positionH>
                <wp:positionV relativeFrom="paragraph">
                  <wp:posOffset>103836</wp:posOffset>
                </wp:positionV>
                <wp:extent cx="3175000" cy="609600"/>
                <wp:effectExtent l="0" t="0" r="6350" b="0"/>
                <wp:wrapThrough wrapText="bothSides">
                  <wp:wrapPolygon edited="0">
                    <wp:start x="0" y="0"/>
                    <wp:lineTo x="0" y="20925"/>
                    <wp:lineTo x="21514" y="20925"/>
                    <wp:lineTo x="21514" y="0"/>
                    <wp:lineTo x="0" y="0"/>
                  </wp:wrapPolygon>
                </wp:wrapThrough>
                <wp:docPr id="5" name="Picture 4" descr="eia_logo_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a_logo_tagline.png"/>
                        <pic:cNvPicPr/>
                      </pic:nvPicPr>
                      <pic:blipFill>
                        <a:blip r:embed="rId10" cstate="print"/>
                        <a:stretch>
                          <a:fillRect/>
                        </a:stretch>
                      </pic:blipFill>
                      <pic:spPr>
                        <a:xfrm>
                          <a:off x="0" y="0"/>
                          <a:ext cx="3175000" cy="609600"/>
                        </a:xfrm>
                        <a:prstGeom prst="rect">
                          <a:avLst/>
                        </a:prstGeom>
                      </pic:spPr>
                    </pic:pic>
                  </a:graphicData>
                </a:graphic>
              </wp:anchor>
            </w:drawing>
          </w:r>
          <w:r w:rsidR="00711414" w:rsidRPr="002E0255">
            <w:rPr>
              <w:rFonts w:cs="Arial"/>
              <w:noProof/>
            </w:rPr>
            <mc:AlternateContent>
              <mc:Choice Requires="wps">
                <w:drawing>
                  <wp:anchor distT="0" distB="0" distL="114300" distR="114300" simplePos="0" relativeHeight="251676672" behindDoc="1" locked="0" layoutInCell="1" allowOverlap="1" wp14:anchorId="387FCE3A" wp14:editId="007A84B0">
                    <wp:simplePos x="0" y="0"/>
                    <wp:positionH relativeFrom="column">
                      <wp:posOffset>-450850</wp:posOffset>
                    </wp:positionH>
                    <wp:positionV relativeFrom="paragraph">
                      <wp:posOffset>0</wp:posOffset>
                    </wp:positionV>
                    <wp:extent cx="6858000" cy="45720"/>
                    <wp:effectExtent l="0" t="0" r="3175" b="1905"/>
                    <wp:wrapThrough wrapText="bothSides">
                      <wp:wrapPolygon edited="0">
                        <wp:start x="-36" y="0"/>
                        <wp:lineTo x="-36" y="18600"/>
                        <wp:lineTo x="21600" y="18600"/>
                        <wp:lineTo x="21600" y="0"/>
                        <wp:lineTo x="-36" y="0"/>
                      </wp:wrapPolygon>
                    </wp:wrapThrough>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
                            </a:xfrm>
                            <a:prstGeom prst="rect">
                              <a:avLst/>
                            </a:prstGeom>
                            <a:solidFill>
                              <a:srgbClr val="0C95D3"/>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738523" id="Rectangle 27" o:spid="_x0000_s1026" style="position:absolute;margin-left:-35.5pt;margin-top:0;width:540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" fillcolor="#0c95d3" stroked="f" strokecolor="#f2f2f2 [3041]" strokeweight="3pt">
                    <v:shadow color="#50191f [1608]" opacity=".5" offset="1pt"/>
                    <w10:wrap type="through"/>
                  </v:rect>
                </w:pict>
              </mc:Fallback>
            </mc:AlternateContent>
          </w:r>
          <w:r w:rsidR="00711414" w:rsidRPr="002E0255">
            <w:rPr>
              <w:rFonts w:cs="Arial"/>
              <w:noProof/>
            </w:rPr>
            <mc:AlternateContent>
              <mc:Choice Requires="wps">
                <w:drawing>
                  <wp:anchor distT="0" distB="0" distL="114300" distR="114300" simplePos="0" relativeHeight="251678720" behindDoc="0" locked="0" layoutInCell="1" allowOverlap="1" wp14:anchorId="1F340BC9" wp14:editId="2AB4DA6A">
                    <wp:simplePos x="0" y="0"/>
                    <wp:positionH relativeFrom="margin">
                      <wp:posOffset>-450850</wp:posOffset>
                    </wp:positionH>
                    <wp:positionV relativeFrom="margin">
                      <wp:posOffset>838200</wp:posOffset>
                    </wp:positionV>
                    <wp:extent cx="6858000" cy="0"/>
                    <wp:effectExtent l="6350" t="9525" r="12700" b="9525"/>
                    <wp:wrapSquare wrapText="bothSides"/>
                    <wp:docPr id="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7E8E9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type w14:anchorId="69B63DA8" id="_x0000_t32" coordsize="21600,21600" o:spt="32" o:oned="t" path="m,l21600,21600e" filled="f">
                    <v:path arrowok="t" fillok="f" o:connecttype="none"/>
                    <o:lock v:ext="edit" shapetype="t"/>
                  </v:shapetype>
                  <v:shape id="AutoShape 28" o:spid="_x0000_s1026" type="#_x0000_t32" style="position:absolute;margin-left:-35.5pt;margin-top:66pt;width:540pt;height:0;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" strokecolor="#7e8e9a">
                    <w10:wrap type="square" anchorx="margin" anchory="margin"/>
                  </v:shape>
                </w:pict>
              </mc:Fallback>
            </mc:AlternateContent>
          </w:r>
        </w:p>
        <w:p w14:paraId="63DB3CC3" w14:textId="77777777" w:rsidR="00041909" w:rsidRPr="002E0255" w:rsidRDefault="001F3A8F" w:rsidP="00D928FD">
          <w:pPr>
            <w:ind w:left="1080"/>
            <w:rPr>
              <w:rFonts w:cs="Arial"/>
            </w:rPr>
          </w:pPr>
          <w:r w:rsidRPr="002E0255">
            <w:rPr>
              <w:rFonts w:cs="Arial"/>
              <w:noProof/>
            </w:rPr>
            <w:softHyphen/>
          </w:r>
          <w:r w:rsidRPr="002E0255">
            <w:rPr>
              <w:rFonts w:cs="Arial"/>
              <w:noProof/>
            </w:rPr>
            <w:softHyphen/>
          </w:r>
          <w:r w:rsidRPr="002E0255">
            <w:rPr>
              <w:rFonts w:cs="Arial"/>
              <w:noProof/>
            </w:rPr>
            <w:softHyphen/>
          </w:r>
        </w:p>
      </w:sdtContent>
    </w:sdt>
    <w:p w14:paraId="6CB6EBCA" w14:textId="77777777" w:rsidR="00D928FD" w:rsidRPr="002E0255" w:rsidRDefault="00D928FD" w:rsidP="00D928FD">
      <w:pPr>
        <w:rPr>
          <w:rFonts w:cs="Arial"/>
        </w:rPr>
      </w:pPr>
    </w:p>
    <w:p w14:paraId="40809440" w14:textId="0ACAA274" w:rsidR="00711414" w:rsidRPr="002E0255" w:rsidRDefault="004051D6" w:rsidP="00711414">
      <w:pPr>
        <w:spacing w:line="240" w:lineRule="auto"/>
        <w:ind w:left="90"/>
        <w:rPr>
          <w:rFonts w:asciiTheme="majorHAnsi" w:hAnsiTheme="majorHAnsi" w:cstheme="majorHAnsi"/>
          <w:color w:val="139CD8"/>
          <w:sz w:val="56"/>
          <w:szCs w:val="52"/>
        </w:rPr>
      </w:pPr>
      <w:r w:rsidRPr="002E0255">
        <w:rPr>
          <w:rFonts w:asciiTheme="majorHAnsi" w:hAnsiTheme="majorHAnsi" w:cstheme="majorHAnsi"/>
          <w:color w:val="139CD8"/>
          <w:sz w:val="56"/>
          <w:szCs w:val="52"/>
        </w:rPr>
        <w:t>Supporting Statement for Uranium Data Program</w:t>
      </w:r>
    </w:p>
    <w:p w14:paraId="6E6B5397" w14:textId="09C54A1F" w:rsidR="007210EB" w:rsidRPr="002E0255" w:rsidRDefault="0035496A" w:rsidP="00D928FD">
      <w:pPr>
        <w:rPr>
          <w:rFonts w:ascii="Times New Roman" w:eastAsiaTheme="majorEastAsia" w:hAnsi="Times New Roman" w:cs="Times New Roman"/>
          <w:b/>
          <w:bCs/>
          <w:sz w:val="44"/>
          <w:szCs w:val="44"/>
        </w:rPr>
      </w:pPr>
      <w:r>
        <w:rPr>
          <w:rFonts w:ascii="Times New Roman" w:eastAsiaTheme="majorEastAsia" w:hAnsi="Times New Roman" w:cs="Times New Roman"/>
          <w:b/>
          <w:bCs/>
          <w:noProof/>
          <w:sz w:val="44"/>
          <w:szCs w:val="44"/>
        </w:rPr>
        <mc:AlternateContent>
          <mc:Choice Requires="wps">
            <w:drawing>
              <wp:anchor distT="0" distB="0" distL="114300" distR="114300" simplePos="0" relativeHeight="251694080" behindDoc="0" locked="0" layoutInCell="1" allowOverlap="1" wp14:anchorId="70B946E0" wp14:editId="18BA3206">
                <wp:simplePos x="0" y="0"/>
                <wp:positionH relativeFrom="column">
                  <wp:posOffset>0</wp:posOffset>
                </wp:positionH>
                <wp:positionV relativeFrom="paragraph">
                  <wp:posOffset>394970</wp:posOffset>
                </wp:positionV>
                <wp:extent cx="6400800" cy="0"/>
                <wp:effectExtent l="0" t="0" r="19050" b="19050"/>
                <wp:wrapNone/>
                <wp:docPr id="11" name="Straight Connector 11"/>
                <wp:cNvGraphicFramePr/>
                <a:graphic xmlns:a="http://schemas.openxmlformats.org/drawingml/2006/main">
                  <a:graphicData uri="http://schemas.microsoft.com/office/word/2010/wordprocessingShape">
                    <wps:wsp>
                      <wps:cNvCnPr/>
                      <wps:spPr bwMode="auto">
                        <a:xfrm>
                          <a:off x="0" y="0"/>
                          <a:ext cx="6400800" cy="0"/>
                        </a:xfrm>
                        <a:prstGeom prst="line">
                          <a:avLst/>
                        </a:prstGeom>
                        <a:solidFill>
                          <a:schemeClr val="accent1"/>
                        </a:solidFill>
                        <a:ln w="9525" cap="flat" cmpd="sng" algn="ctr">
                          <a:solidFill>
                            <a:schemeClr val="tx1"/>
                          </a:solidFill>
                          <a:prstDash val="solid"/>
                          <a:round/>
                          <a:headEnd type="none" w="med" len="med"/>
                          <a:tailEnd type="none" w="med" len="med"/>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xmlns:w15="http://schemas.microsoft.com/office/word/2012/wordml">
            <w:pict>
              <v:line w14:anchorId="2B4F9523" id="Straight Connector 11"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1.1pt" to="7in,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" filled="t" fillcolor="#0096d7 [3204]" strokecolor="black [3213]"/>
            </w:pict>
          </mc:Fallback>
        </mc:AlternateContent>
      </w:r>
      <w:r w:rsidR="007210EB" w:rsidRPr="002E0255">
        <w:rPr>
          <w:rFonts w:ascii="Times New Roman" w:eastAsiaTheme="majorEastAsia" w:hAnsi="Times New Roman" w:cs="Times New Roman"/>
          <w:b/>
          <w:bCs/>
          <w:sz w:val="44"/>
          <w:szCs w:val="44"/>
        </w:rPr>
        <w:t>Part A: Justification</w:t>
      </w:r>
    </w:p>
    <w:p w14:paraId="464F385A" w14:textId="39575D50" w:rsidR="00711414" w:rsidRPr="002E0255" w:rsidRDefault="007210EB" w:rsidP="00D928FD">
      <w:pPr>
        <w:rPr>
          <w:rFonts w:ascii="Times New Roman" w:hAnsi="Times New Roman" w:cs="Times New Roman"/>
          <w:b/>
          <w:sz w:val="36"/>
          <w:szCs w:val="36"/>
        </w:rPr>
      </w:pPr>
      <w:r w:rsidRPr="002E0255">
        <w:rPr>
          <w:rFonts w:ascii="Times New Roman" w:eastAsiaTheme="majorEastAsia" w:hAnsi="Times New Roman" w:cs="Times New Roman"/>
          <w:noProof/>
          <w:color w:val="0082BE" w:themeColor="text2" w:themeTint="BF"/>
          <w:sz w:val="32"/>
          <w:szCs w:val="44"/>
        </w:rPr>
        <mc:AlternateContent>
          <mc:Choice Requires="wps">
            <w:drawing>
              <wp:anchor distT="0" distB="0" distL="114300" distR="114300" simplePos="0" relativeHeight="251693056" behindDoc="0" locked="0" layoutInCell="1" allowOverlap="1" wp14:anchorId="5C30E5BB" wp14:editId="767E097E">
                <wp:simplePos x="0" y="0"/>
                <wp:positionH relativeFrom="margin">
                  <wp:posOffset>0</wp:posOffset>
                </wp:positionH>
                <wp:positionV relativeFrom="margin">
                  <wp:posOffset>3038475</wp:posOffset>
                </wp:positionV>
                <wp:extent cx="6019800" cy="329565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329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98970" w14:textId="1D3A4759" w:rsidR="00E26E7A" w:rsidRDefault="00E26E7A" w:rsidP="00FB6BF3">
                            <w:pPr>
                              <w:rPr>
                                <w:i/>
                                <w:sz w:val="28"/>
                                <w:szCs w:val="28"/>
                              </w:rPr>
                            </w:pPr>
                            <w:r w:rsidRPr="002E0255">
                              <w:rPr>
                                <w:sz w:val="28"/>
                                <w:szCs w:val="28"/>
                              </w:rPr>
                              <w:t>Form EIA-851A</w:t>
                            </w:r>
                            <w:r w:rsidRPr="0059212D">
                              <w:rPr>
                                <w:i/>
                                <w:sz w:val="28"/>
                                <w:szCs w:val="28"/>
                              </w:rPr>
                              <w:t xml:space="preserve"> </w:t>
                            </w:r>
                            <w:r>
                              <w:rPr>
                                <w:i/>
                                <w:sz w:val="28"/>
                                <w:szCs w:val="28"/>
                              </w:rPr>
                              <w:t>Domestic Uranium Production Report (Annual)</w:t>
                            </w:r>
                          </w:p>
                          <w:p w14:paraId="655A4283" w14:textId="5FCFDC13" w:rsidR="00E26E7A" w:rsidRDefault="00E26E7A" w:rsidP="00FB6BF3">
                            <w:pPr>
                              <w:rPr>
                                <w:i/>
                                <w:sz w:val="28"/>
                                <w:szCs w:val="28"/>
                              </w:rPr>
                            </w:pPr>
                            <w:r w:rsidRPr="002E0255">
                              <w:rPr>
                                <w:sz w:val="28"/>
                                <w:szCs w:val="28"/>
                              </w:rPr>
                              <w:t>Form EIA-851Q</w:t>
                            </w:r>
                            <w:r>
                              <w:rPr>
                                <w:i/>
                                <w:sz w:val="28"/>
                                <w:szCs w:val="28"/>
                              </w:rPr>
                              <w:t xml:space="preserve"> Domestic Uranium Production Report (Quarterly)</w:t>
                            </w:r>
                          </w:p>
                          <w:p w14:paraId="52B6779A" w14:textId="443AAE54" w:rsidR="00E26E7A" w:rsidRPr="0059212D" w:rsidRDefault="00E26E7A" w:rsidP="00FB6BF3">
                            <w:pPr>
                              <w:rPr>
                                <w:i/>
                                <w:sz w:val="28"/>
                                <w:szCs w:val="28"/>
                              </w:rPr>
                            </w:pPr>
                            <w:r w:rsidRPr="002E0255">
                              <w:rPr>
                                <w:sz w:val="28"/>
                                <w:szCs w:val="28"/>
                              </w:rPr>
                              <w:t>Form EIA-858</w:t>
                            </w:r>
                            <w:r>
                              <w:rPr>
                                <w:i/>
                                <w:sz w:val="28"/>
                                <w:szCs w:val="28"/>
                              </w:rPr>
                              <w:t xml:space="preserve"> Uranium Marketing Annual Survey</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0;margin-top:239.25pt;width:474pt;height:259.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X97uQIAALg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" filled="f" stroked="f">
                <v:textbox inset="0">
                  <w:txbxContent>
                    <w:p w14:paraId="27398970" w14:textId="1D3A4759" w:rsidR="00E26E7A" w:rsidRDefault="00E26E7A" w:rsidP="00FB6BF3">
                      <w:pPr>
                        <w:rPr>
                          <w:i/>
                          <w:sz w:val="28"/>
                          <w:szCs w:val="28"/>
                        </w:rPr>
                      </w:pPr>
                      <w:r w:rsidRPr="002E0255">
                        <w:rPr>
                          <w:sz w:val="28"/>
                          <w:szCs w:val="28"/>
                        </w:rPr>
                        <w:t>Form EIA-851A</w:t>
                      </w:r>
                      <w:r w:rsidRPr="0059212D">
                        <w:rPr>
                          <w:i/>
                          <w:sz w:val="28"/>
                          <w:szCs w:val="28"/>
                        </w:rPr>
                        <w:t xml:space="preserve"> </w:t>
                      </w:r>
                      <w:r>
                        <w:rPr>
                          <w:i/>
                          <w:sz w:val="28"/>
                          <w:szCs w:val="28"/>
                        </w:rPr>
                        <w:t>Domestic Uranium Production Report (Annual)</w:t>
                      </w:r>
                    </w:p>
                    <w:p w14:paraId="655A4283" w14:textId="5FCFDC13" w:rsidR="00E26E7A" w:rsidRDefault="00E26E7A" w:rsidP="00FB6BF3">
                      <w:pPr>
                        <w:rPr>
                          <w:i/>
                          <w:sz w:val="28"/>
                          <w:szCs w:val="28"/>
                        </w:rPr>
                      </w:pPr>
                      <w:r w:rsidRPr="002E0255">
                        <w:rPr>
                          <w:sz w:val="28"/>
                          <w:szCs w:val="28"/>
                        </w:rPr>
                        <w:t>Form EIA-851Q</w:t>
                      </w:r>
                      <w:r>
                        <w:rPr>
                          <w:i/>
                          <w:sz w:val="28"/>
                          <w:szCs w:val="28"/>
                        </w:rPr>
                        <w:t xml:space="preserve"> Domestic Uranium Production Report (Quarterly)</w:t>
                      </w:r>
                    </w:p>
                    <w:p w14:paraId="52B6779A" w14:textId="443AAE54" w:rsidR="00E26E7A" w:rsidRPr="0059212D" w:rsidRDefault="00E26E7A" w:rsidP="00FB6BF3">
                      <w:pPr>
                        <w:rPr>
                          <w:i/>
                          <w:sz w:val="28"/>
                          <w:szCs w:val="28"/>
                        </w:rPr>
                      </w:pPr>
                      <w:r w:rsidRPr="002E0255">
                        <w:rPr>
                          <w:sz w:val="28"/>
                          <w:szCs w:val="28"/>
                        </w:rPr>
                        <w:t>Form EIA-858</w:t>
                      </w:r>
                      <w:r>
                        <w:rPr>
                          <w:i/>
                          <w:sz w:val="28"/>
                          <w:szCs w:val="28"/>
                        </w:rPr>
                        <w:t xml:space="preserve"> Uranium Marketing Annual Survey</w:t>
                      </w:r>
                    </w:p>
                  </w:txbxContent>
                </v:textbox>
                <w10:wrap type="square" anchorx="margin" anchory="margin"/>
              </v:shape>
            </w:pict>
          </mc:Fallback>
        </mc:AlternateContent>
      </w:r>
      <w:r w:rsidR="00711414" w:rsidRPr="002E0255">
        <w:rPr>
          <w:rFonts w:ascii="Times New Roman" w:hAnsi="Times New Roman" w:cs="Times New Roman"/>
          <w:b/>
          <w:sz w:val="36"/>
          <w:szCs w:val="36"/>
        </w:rPr>
        <w:t>OMB No. 1905-</w:t>
      </w:r>
      <w:r w:rsidR="004051D6" w:rsidRPr="002E0255">
        <w:rPr>
          <w:rFonts w:ascii="Times New Roman" w:hAnsi="Times New Roman" w:cs="Times New Roman"/>
          <w:b/>
          <w:sz w:val="36"/>
          <w:szCs w:val="36"/>
        </w:rPr>
        <w:t>0160</w:t>
      </w:r>
    </w:p>
    <w:p w14:paraId="6831C037" w14:textId="25EE4BCB" w:rsidR="001F3A8F" w:rsidRPr="002E0255" w:rsidRDefault="001465AA" w:rsidP="00711414">
      <w:pPr>
        <w:rPr>
          <w:rFonts w:cs="Arial"/>
          <w:i/>
          <w:sz w:val="28"/>
          <w:szCs w:val="28"/>
        </w:rPr>
      </w:pPr>
      <w:r w:rsidRPr="002E0255">
        <w:rPr>
          <w:rFonts w:cs="Arial"/>
          <w:noProof/>
        </w:rPr>
        <w:lastRenderedPageBreak/>
        <mc:AlternateContent>
          <mc:Choice Requires="wps">
            <w:drawing>
              <wp:anchor distT="0" distB="0" distL="114300" distR="114300" simplePos="0" relativeHeight="251689984" behindDoc="1" locked="0" layoutInCell="1" allowOverlap="1" wp14:anchorId="1786D336" wp14:editId="539E7D1F">
                <wp:simplePos x="0" y="0"/>
                <wp:positionH relativeFrom="margin">
                  <wp:posOffset>-457200</wp:posOffset>
                </wp:positionH>
                <wp:positionV relativeFrom="paragraph">
                  <wp:posOffset>4855845</wp:posOffset>
                </wp:positionV>
                <wp:extent cx="6858000" cy="64008"/>
                <wp:effectExtent l="0" t="0" r="0" b="0"/>
                <wp:wrapThrough wrapText="bothSides">
                  <wp:wrapPolygon edited="0">
                    <wp:start x="0" y="0"/>
                    <wp:lineTo x="0" y="12960"/>
                    <wp:lineTo x="21540" y="12960"/>
                    <wp:lineTo x="21540" y="0"/>
                    <wp:lineTo x="0" y="0"/>
                  </wp:wrapPolygon>
                </wp:wrapThrough>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4008"/>
                        </a:xfrm>
                        <a:prstGeom prst="rect">
                          <a:avLst/>
                        </a:prstGeom>
                        <a:solidFill>
                          <a:srgbClr val="0C95D3"/>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rect w14:anchorId="08F171DD" id="Rectangle 34" o:spid="_x0000_s1026" style="position:absolute;margin-left:-36pt;margin-top:382.35pt;width:540pt;height:5.05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" fillcolor="#0c95d3" stroked="f" strokecolor="#f2f2f2 [3041]" strokeweight="3pt">
                <v:shadow color="#50191f [1608]" opacity=".5" offset="1pt"/>
                <w10:wrap type="through" anchorx="margin"/>
              </v:rect>
            </w:pict>
          </mc:Fallback>
        </mc:AlternateContent>
      </w:r>
      <w:r w:rsidR="00EE2CAF" w:rsidRPr="002E0255">
        <w:rPr>
          <w:rFonts w:cs="Arial"/>
          <w:noProof/>
        </w:rPr>
        <mc:AlternateContent>
          <mc:Choice Requires="wps">
            <w:drawing>
              <wp:anchor distT="0" distB="0" distL="114300" distR="114300" simplePos="0" relativeHeight="251681792" behindDoc="0" locked="0" layoutInCell="1" allowOverlap="1" wp14:anchorId="7B764571" wp14:editId="03530008">
                <wp:simplePos x="0" y="0"/>
                <wp:positionH relativeFrom="margin">
                  <wp:posOffset>95250</wp:posOffset>
                </wp:positionH>
                <wp:positionV relativeFrom="margin">
                  <wp:posOffset>6477000</wp:posOffset>
                </wp:positionV>
                <wp:extent cx="2377440" cy="497205"/>
                <wp:effectExtent l="0" t="0" r="0" b="0"/>
                <wp:wrapSquare wrapText="bothSides"/>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4F512" w14:textId="4A619FDD" w:rsidR="00E26E7A" w:rsidRPr="009818F9" w:rsidRDefault="00E26E7A">
                            <w:pPr>
                              <w:rPr>
                                <w:color w:val="A6A6A6" w:themeColor="background1" w:themeShade="A6"/>
                                <w:sz w:val="36"/>
                              </w:rPr>
                            </w:pPr>
                            <w:r>
                              <w:rPr>
                                <w:color w:val="A6A6A6" w:themeColor="background1" w:themeShade="A6"/>
                                <w:sz w:val="36"/>
                              </w:rPr>
                              <w:t>August 9, 2018</w:t>
                            </w:r>
                          </w:p>
                        </w:txbxContent>
                      </wps:txbx>
                      <wps:bodyPr rot="0" vert="horz" wrap="square" lIns="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30" o:spid="_x0000_s1027" type="#_x0000_t202" style="position:absolute;margin-left:7.5pt;margin-top:510pt;width:187.2pt;height:39.1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" filled="f" stroked="f">
                <v:textbox style="mso-fit-shape-to-text:t" inset="0">
                  <w:txbxContent>
                    <w:p w14:paraId="3CD4F512" w14:textId="4A619FDD" w:rsidR="00E26E7A" w:rsidRPr="009818F9" w:rsidRDefault="00E26E7A">
                      <w:pPr>
                        <w:rPr>
                          <w:color w:val="A6A6A6" w:themeColor="background1" w:themeShade="A6"/>
                          <w:sz w:val="36"/>
                        </w:rPr>
                      </w:pPr>
                      <w:r>
                        <w:rPr>
                          <w:color w:val="A6A6A6" w:themeColor="background1" w:themeShade="A6"/>
                          <w:sz w:val="36"/>
                        </w:rPr>
                        <w:t>August 9, 2018</w:t>
                      </w:r>
                    </w:p>
                  </w:txbxContent>
                </v:textbox>
                <w10:wrap type="square" anchorx="margin" anchory="margin"/>
              </v:shape>
            </w:pict>
          </mc:Fallback>
        </mc:AlternateContent>
      </w:r>
      <w:r w:rsidR="00FB6BF3" w:rsidRPr="002E0255">
        <w:rPr>
          <w:rFonts w:cs="Arial"/>
          <w:noProof/>
        </w:rPr>
        <w:t xml:space="preserve"> </w:t>
      </w:r>
      <w:r w:rsidR="00711414" w:rsidRPr="002E0255">
        <w:rPr>
          <w:rFonts w:cs="Arial"/>
          <w:noProof/>
        </w:rPr>
        <mc:AlternateContent>
          <mc:Choice Requires="wps">
            <w:drawing>
              <wp:anchor distT="0" distB="0" distL="114300" distR="114300" simplePos="0" relativeHeight="251680768" behindDoc="0" locked="0" layoutInCell="1" allowOverlap="1" wp14:anchorId="2234EFAD" wp14:editId="63DB7F3D">
                <wp:simplePos x="0" y="0"/>
                <wp:positionH relativeFrom="margin">
                  <wp:posOffset>-76200</wp:posOffset>
                </wp:positionH>
                <wp:positionV relativeFrom="paragraph">
                  <wp:posOffset>688340</wp:posOffset>
                </wp:positionV>
                <wp:extent cx="6438900" cy="709930"/>
                <wp:effectExtent l="0" t="635" r="0" b="3810"/>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70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1D535" w14:textId="77777777" w:rsidR="00E26E7A" w:rsidRPr="00AA3D91" w:rsidRDefault="00E26E7A" w:rsidP="00D001E4">
                            <w:pPr>
                              <w:spacing w:line="240" w:lineRule="auto"/>
                              <w:ind w:left="90"/>
                              <w:rPr>
                                <w:sz w:val="52"/>
                                <w:szCs w:val="52"/>
                              </w:rPr>
                            </w:pPr>
                          </w:p>
                        </w:txbxContent>
                      </wps:txbx>
                      <wps:bodyPr rot="0" vert="horz" wrap="square" lIns="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28" type="#_x0000_t202" style="position:absolute;margin-left:-6pt;margin-top:54.2pt;width:507pt;height:55.9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W0PvAIAAL0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" filled="f" stroked="f">
                <v:textbox inset="0">
                  <w:txbxContent>
                    <w:p w14:paraId="0581D535" w14:textId="77777777" w:rsidR="00E26E7A" w:rsidRPr="00AA3D91" w:rsidRDefault="00E26E7A" w:rsidP="00D001E4">
                      <w:pPr>
                        <w:spacing w:line="240" w:lineRule="auto"/>
                        <w:ind w:left="90"/>
                        <w:rPr>
                          <w:sz w:val="52"/>
                          <w:szCs w:val="52"/>
                        </w:rPr>
                      </w:pPr>
                    </w:p>
                  </w:txbxContent>
                </v:textbox>
                <w10:wrap anchorx="margin"/>
              </v:shape>
            </w:pict>
          </mc:Fallback>
        </mc:AlternateContent>
      </w:r>
      <w:r w:rsidR="002556F3" w:rsidRPr="002E0255">
        <w:rPr>
          <w:rFonts w:cs="Arial"/>
          <w:noProof/>
        </w:rPr>
        <w:drawing>
          <wp:anchor distT="0" distB="0" distL="114300" distR="114300" simplePos="0" relativeHeight="251658752" behindDoc="0" locked="0" layoutInCell="1" allowOverlap="1" wp14:anchorId="76AD2B43" wp14:editId="6C619CF4">
            <wp:simplePos x="0" y="0"/>
            <wp:positionH relativeFrom="page">
              <wp:posOffset>717550</wp:posOffset>
            </wp:positionH>
            <wp:positionV relativeFrom="page">
              <wp:posOffset>7950200</wp:posOffset>
            </wp:positionV>
            <wp:extent cx="6343650" cy="647700"/>
            <wp:effectExtent l="19050" t="0" r="0" b="0"/>
            <wp:wrapThrough wrapText="bothSides">
              <wp:wrapPolygon edited="0">
                <wp:start x="-65" y="0"/>
                <wp:lineTo x="-65" y="20965"/>
                <wp:lineTo x="21600" y="20965"/>
                <wp:lineTo x="21600" y="0"/>
                <wp:lineTo x="-65" y="0"/>
              </wp:wrapPolygon>
            </wp:wrapThrough>
            <wp:docPr id="7" name="Picture 5" descr="report_title_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itle_bottom.png"/>
                    <pic:cNvPicPr/>
                  </pic:nvPicPr>
                  <pic:blipFill>
                    <a:blip r:embed="rId11" cstate="print"/>
                    <a:srcRect/>
                    <a:stretch>
                      <a:fillRect/>
                    </a:stretch>
                  </pic:blipFill>
                  <pic:spPr>
                    <a:xfrm>
                      <a:off x="0" y="0"/>
                      <a:ext cx="6343650" cy="647700"/>
                    </a:xfrm>
                    <a:prstGeom prst="rect">
                      <a:avLst/>
                    </a:prstGeom>
                  </pic:spPr>
                </pic:pic>
              </a:graphicData>
            </a:graphic>
          </wp:anchor>
        </w:drawing>
      </w:r>
      <w:r w:rsidR="00711414" w:rsidRPr="002E0255">
        <w:rPr>
          <w:rFonts w:cs="Arial"/>
          <w:noProof/>
          <w:color w:val="A6A6A6" w:themeColor="background1" w:themeShade="A6"/>
        </w:rPr>
        <mc:AlternateContent>
          <mc:Choice Requires="wps">
            <w:drawing>
              <wp:anchor distT="0" distB="0" distL="114300" distR="114300" simplePos="0" relativeHeight="251691008" behindDoc="0" locked="0" layoutInCell="1" allowOverlap="1" wp14:anchorId="77CF20F7" wp14:editId="6030AC53">
                <wp:simplePos x="0" y="0"/>
                <wp:positionH relativeFrom="margin">
                  <wp:posOffset>0</wp:posOffset>
                </wp:positionH>
                <wp:positionV relativeFrom="margin">
                  <wp:posOffset>7975600</wp:posOffset>
                </wp:positionV>
                <wp:extent cx="2717800" cy="609600"/>
                <wp:effectExtent l="0" t="3175" r="0" b="0"/>
                <wp:wrapSquare wrapText="bothSides"/>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DA478" w14:textId="77777777" w:rsidR="00E26E7A" w:rsidRPr="008F4CBD" w:rsidRDefault="00E26E7A" w:rsidP="00D300F4">
                            <w:pPr>
                              <w:kinsoku w:val="0"/>
                              <w:overflowPunct w:val="0"/>
                              <w:spacing w:after="0"/>
                              <w:rPr>
                                <w:rFonts w:ascii="Times New Roman" w:eastAsia="+mn-ea" w:hAnsi="Times New Roman" w:cs="Times New Roman"/>
                                <w:i/>
                                <w:iCs/>
                                <w:color w:val="808080" w:themeColor="background1" w:themeShade="80"/>
                                <w:kern w:val="24"/>
                                <w:sz w:val="20"/>
                                <w:szCs w:val="24"/>
                              </w:rPr>
                            </w:pPr>
                            <w:r w:rsidRPr="002556F3">
                              <w:rPr>
                                <w:rFonts w:ascii="Times New Roman" w:eastAsia="+mn-ea" w:hAnsi="Times New Roman" w:cs="Times New Roman"/>
                                <w:i/>
                                <w:iCs/>
                                <w:color w:val="808080" w:themeColor="background1" w:themeShade="80"/>
                                <w:kern w:val="24"/>
                                <w:sz w:val="20"/>
                                <w:szCs w:val="24"/>
                              </w:rPr>
                              <w:t>In</w:t>
                            </w:r>
                            <w:r w:rsidRPr="008F4CBD">
                              <w:rPr>
                                <w:rFonts w:ascii="Times New Roman" w:eastAsia="+mn-ea" w:hAnsi="Times New Roman" w:cs="Times New Roman"/>
                                <w:i/>
                                <w:iCs/>
                                <w:color w:val="808080" w:themeColor="background1" w:themeShade="80"/>
                                <w:kern w:val="24"/>
                                <w:sz w:val="20"/>
                                <w:szCs w:val="24"/>
                              </w:rPr>
                              <w:t>dependent Statistics &amp; Analysis</w:t>
                            </w:r>
                          </w:p>
                          <w:p w14:paraId="46EB5833" w14:textId="77777777" w:rsidR="00E26E7A" w:rsidRPr="008F4CBD" w:rsidRDefault="00E26E7A" w:rsidP="002556F3">
                            <w:pPr>
                              <w:spacing w:before="40" w:after="0"/>
                              <w:rPr>
                                <w:rFonts w:eastAsia="Times New Roman"/>
                                <w:color w:val="808080" w:themeColor="background1" w:themeShade="80"/>
                                <w:sz w:val="20"/>
                              </w:rPr>
                            </w:pPr>
                            <w:r w:rsidRPr="008F4CBD">
                              <w:rPr>
                                <w:color w:val="808080" w:themeColor="background1" w:themeShade="80"/>
                                <w:kern w:val="24"/>
                                <w:sz w:val="20"/>
                              </w:rPr>
                              <w:t>www.eia.gov</w:t>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29" type="#_x0000_t202" style="position:absolute;margin-left:0;margin-top:628pt;width:214pt;height:48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" filled="f" stroked="f">
                <v:textbox inset="0,,0">
                  <w:txbxContent>
                    <w:p w14:paraId="1A8DA478" w14:textId="77777777" w:rsidR="00E26E7A" w:rsidRPr="008F4CBD" w:rsidRDefault="00E26E7A" w:rsidP="00D300F4">
                      <w:pPr>
                        <w:kinsoku w:val="0"/>
                        <w:overflowPunct w:val="0"/>
                        <w:spacing w:after="0"/>
                        <w:rPr>
                          <w:rFonts w:ascii="Times New Roman" w:eastAsia="+mn-ea" w:hAnsi="Times New Roman" w:cs="Times New Roman"/>
                          <w:i/>
                          <w:iCs/>
                          <w:color w:val="808080" w:themeColor="background1" w:themeShade="80"/>
                          <w:kern w:val="24"/>
                          <w:sz w:val="20"/>
                          <w:szCs w:val="24"/>
                        </w:rPr>
                      </w:pPr>
                      <w:r w:rsidRPr="002556F3">
                        <w:rPr>
                          <w:rFonts w:ascii="Times New Roman" w:eastAsia="+mn-ea" w:hAnsi="Times New Roman" w:cs="Times New Roman"/>
                          <w:i/>
                          <w:iCs/>
                          <w:color w:val="808080" w:themeColor="background1" w:themeShade="80"/>
                          <w:kern w:val="24"/>
                          <w:sz w:val="20"/>
                          <w:szCs w:val="24"/>
                        </w:rPr>
                        <w:t>In</w:t>
                      </w:r>
                      <w:r w:rsidRPr="008F4CBD">
                        <w:rPr>
                          <w:rFonts w:ascii="Times New Roman" w:eastAsia="+mn-ea" w:hAnsi="Times New Roman" w:cs="Times New Roman"/>
                          <w:i/>
                          <w:iCs/>
                          <w:color w:val="808080" w:themeColor="background1" w:themeShade="80"/>
                          <w:kern w:val="24"/>
                          <w:sz w:val="20"/>
                          <w:szCs w:val="24"/>
                        </w:rPr>
                        <w:t>dependent Statistics &amp; Analysis</w:t>
                      </w:r>
                    </w:p>
                    <w:p w14:paraId="46EB5833" w14:textId="77777777" w:rsidR="00E26E7A" w:rsidRPr="008F4CBD" w:rsidRDefault="00E26E7A" w:rsidP="002556F3">
                      <w:pPr>
                        <w:spacing w:before="40" w:after="0"/>
                        <w:rPr>
                          <w:rFonts w:eastAsia="Times New Roman"/>
                          <w:color w:val="808080" w:themeColor="background1" w:themeShade="80"/>
                          <w:sz w:val="20"/>
                        </w:rPr>
                      </w:pPr>
                      <w:r w:rsidRPr="008F4CBD">
                        <w:rPr>
                          <w:color w:val="808080" w:themeColor="background1" w:themeShade="80"/>
                          <w:kern w:val="24"/>
                          <w:sz w:val="20"/>
                        </w:rPr>
                        <w:t>www.eia.gov</w:t>
                      </w:r>
                    </w:p>
                  </w:txbxContent>
                </v:textbox>
                <w10:wrap type="square" anchorx="margin" anchory="margin"/>
              </v:shape>
            </w:pict>
          </mc:Fallback>
        </mc:AlternateContent>
      </w:r>
      <w:r w:rsidR="00711414" w:rsidRPr="002E0255">
        <w:rPr>
          <w:rFonts w:cs="Arial"/>
          <w:noProof/>
          <w:color w:val="A6A6A6" w:themeColor="background1" w:themeShade="A6"/>
        </w:rPr>
        <mc:AlternateContent>
          <mc:Choice Requires="wps">
            <w:drawing>
              <wp:anchor distT="0" distB="0" distL="114300" distR="114300" simplePos="0" relativeHeight="251692032" behindDoc="0" locked="0" layoutInCell="1" allowOverlap="1" wp14:anchorId="464FCB16" wp14:editId="7E2EEA26">
                <wp:simplePos x="0" y="0"/>
                <wp:positionH relativeFrom="margin">
                  <wp:posOffset>3270250</wp:posOffset>
                </wp:positionH>
                <wp:positionV relativeFrom="margin">
                  <wp:posOffset>7975600</wp:posOffset>
                </wp:positionV>
                <wp:extent cx="2717800" cy="609600"/>
                <wp:effectExtent l="3175" t="3175" r="3175" b="0"/>
                <wp:wrapSquare wrapText="bothSides"/>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F252D" w14:textId="77777777" w:rsidR="00E26E7A" w:rsidRPr="008F4CBD" w:rsidRDefault="00E26E7A" w:rsidP="002556F3">
                            <w:pPr>
                              <w:spacing w:after="0"/>
                              <w:jc w:val="right"/>
                              <w:rPr>
                                <w:color w:val="808080" w:themeColor="background1" w:themeShade="80"/>
                                <w:kern w:val="24"/>
                                <w:sz w:val="20"/>
                              </w:rPr>
                            </w:pPr>
                            <w:r w:rsidRPr="008F4CBD">
                              <w:rPr>
                                <w:color w:val="808080" w:themeColor="background1" w:themeShade="80"/>
                                <w:kern w:val="24"/>
                                <w:sz w:val="20"/>
                              </w:rPr>
                              <w:t>U.S. Department of Energy</w:t>
                            </w:r>
                          </w:p>
                          <w:p w14:paraId="4711F422" w14:textId="77777777" w:rsidR="00E26E7A" w:rsidRPr="008F4CBD" w:rsidRDefault="00E26E7A" w:rsidP="002556F3">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30" type="#_x0000_t202" style="position:absolute;margin-left:257.5pt;margin-top:628pt;width:214pt;height:48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" filled="f" stroked="f">
                <v:textbox inset="0">
                  <w:txbxContent>
                    <w:p w14:paraId="130F252D" w14:textId="77777777" w:rsidR="00E26E7A" w:rsidRPr="008F4CBD" w:rsidRDefault="00E26E7A" w:rsidP="002556F3">
                      <w:pPr>
                        <w:spacing w:after="0"/>
                        <w:jc w:val="right"/>
                        <w:rPr>
                          <w:color w:val="808080" w:themeColor="background1" w:themeShade="80"/>
                          <w:kern w:val="24"/>
                          <w:sz w:val="20"/>
                        </w:rPr>
                      </w:pPr>
                      <w:r w:rsidRPr="008F4CBD">
                        <w:rPr>
                          <w:color w:val="808080" w:themeColor="background1" w:themeShade="80"/>
                          <w:kern w:val="24"/>
                          <w:sz w:val="20"/>
                        </w:rPr>
                        <w:t>U.S. Department of Energy</w:t>
                      </w:r>
                    </w:p>
                    <w:p w14:paraId="4711F422" w14:textId="77777777" w:rsidR="00E26E7A" w:rsidRPr="008F4CBD" w:rsidRDefault="00E26E7A" w:rsidP="002556F3">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v:textbox>
                <w10:wrap type="square" anchorx="margin" anchory="margin"/>
              </v:shape>
            </w:pict>
          </mc:Fallback>
        </mc:AlternateContent>
      </w:r>
      <w:r w:rsidR="001F3A8F" w:rsidRPr="002E0255">
        <w:rPr>
          <w:rFonts w:cs="Arial"/>
        </w:rPr>
        <w:br w:type="page"/>
      </w:r>
    </w:p>
    <w:p w14:paraId="57A7F0EB" w14:textId="77777777" w:rsidR="00755C3D" w:rsidRPr="002E0255" w:rsidRDefault="00755C3D" w:rsidP="00D928FD">
      <w:pPr>
        <w:rPr>
          <w:rFonts w:cs="Arial"/>
        </w:rPr>
        <w:sectPr w:rsidR="00755C3D" w:rsidRPr="002E0255" w:rsidSect="001F3A8F">
          <w:headerReference w:type="default" r:id="rId12"/>
          <w:footerReference w:type="default" r:id="rId13"/>
          <w:footnotePr>
            <w:pos w:val="beneathText"/>
          </w:footnotePr>
          <w:type w:val="continuous"/>
          <w:pgSz w:w="12240" w:h="15840"/>
          <w:pgMar w:top="1440" w:right="1440" w:bottom="1440" w:left="1440" w:header="720" w:footer="720" w:gutter="0"/>
          <w:pgNumType w:fmt="lowerRoman" w:start="1"/>
          <w:cols w:space="720"/>
          <w:titlePg/>
          <w:docGrid w:linePitch="360"/>
        </w:sectPr>
      </w:pPr>
    </w:p>
    <w:sdt>
      <w:sdtPr>
        <w:rPr>
          <w:rFonts w:eastAsiaTheme="minorHAnsi" w:cstheme="minorBidi"/>
          <w:b w:val="0"/>
          <w:bCs w:val="0"/>
          <w:color w:val="000000"/>
          <w:sz w:val="22"/>
          <w:szCs w:val="22"/>
          <w14:textFill>
            <w14:solidFill>
              <w14:srgbClr w14:val="000000">
                <w14:lumMod w14:val="75000"/>
                <w14:lumOff w14:val="25000"/>
              </w14:srgbClr>
            </w14:solidFill>
          </w14:textFill>
        </w:rPr>
        <w:id w:val="819469860"/>
        <w:docPartObj>
          <w:docPartGallery w:val="Table of Contents"/>
          <w:docPartUnique/>
        </w:docPartObj>
      </w:sdtPr>
      <w:sdtEndPr>
        <w:rPr>
          <w:noProof/>
        </w:rPr>
      </w:sdtEndPr>
      <w:sdtContent>
        <w:p w14:paraId="60D259A3" w14:textId="77777777" w:rsidR="0059212D" w:rsidRPr="002E0255" w:rsidRDefault="0059212D" w:rsidP="00246A05">
          <w:pPr>
            <w:pStyle w:val="TOCHeading"/>
          </w:pPr>
          <w:r w:rsidRPr="002E0255">
            <w:t>Table of Contents</w:t>
          </w:r>
        </w:p>
        <w:p w14:paraId="185759BA" w14:textId="4D0769F2" w:rsidR="00EB7235" w:rsidRDefault="0059212D">
          <w:pPr>
            <w:pStyle w:val="TOC1"/>
            <w:rPr>
              <w:rFonts w:eastAsiaTheme="minorEastAsia"/>
              <w:noProof/>
              <w:color w:val="auto"/>
            </w:rPr>
          </w:pPr>
          <w:r w:rsidRPr="002E0255">
            <w:rPr>
              <w:rFonts w:cs="Arial"/>
            </w:rPr>
            <w:fldChar w:fldCharType="begin"/>
          </w:r>
          <w:r w:rsidRPr="002E0255">
            <w:rPr>
              <w:rFonts w:cs="Arial"/>
            </w:rPr>
            <w:instrText xml:space="preserve"> TOC \o "1-3" \h \z \u </w:instrText>
          </w:r>
          <w:r w:rsidRPr="002E0255">
            <w:rPr>
              <w:rFonts w:cs="Arial"/>
            </w:rPr>
            <w:fldChar w:fldCharType="separate"/>
          </w:r>
          <w:hyperlink w:anchor="_Toc495398091" w:history="1">
            <w:r w:rsidR="00EB7235" w:rsidRPr="007057B9">
              <w:rPr>
                <w:rStyle w:val="Hyperlink"/>
                <w:noProof/>
              </w:rPr>
              <w:t>Part A: Justification</w:t>
            </w:r>
            <w:r w:rsidR="00EB7235">
              <w:rPr>
                <w:noProof/>
                <w:webHidden/>
              </w:rPr>
              <w:tab/>
            </w:r>
            <w:r w:rsidR="00EB7235">
              <w:rPr>
                <w:noProof/>
                <w:webHidden/>
              </w:rPr>
              <w:fldChar w:fldCharType="begin"/>
            </w:r>
            <w:r w:rsidR="00EB7235">
              <w:rPr>
                <w:noProof/>
                <w:webHidden/>
              </w:rPr>
              <w:instrText xml:space="preserve"> PAGEREF _Toc495398091 \h </w:instrText>
            </w:r>
            <w:r w:rsidR="00EB7235">
              <w:rPr>
                <w:noProof/>
                <w:webHidden/>
              </w:rPr>
            </w:r>
            <w:r w:rsidR="00EB7235">
              <w:rPr>
                <w:noProof/>
                <w:webHidden/>
              </w:rPr>
              <w:fldChar w:fldCharType="separate"/>
            </w:r>
            <w:r w:rsidR="00E26E7A">
              <w:rPr>
                <w:noProof/>
                <w:webHidden/>
              </w:rPr>
              <w:t>2</w:t>
            </w:r>
            <w:r w:rsidR="00EB7235">
              <w:rPr>
                <w:noProof/>
                <w:webHidden/>
              </w:rPr>
              <w:fldChar w:fldCharType="end"/>
            </w:r>
          </w:hyperlink>
        </w:p>
        <w:p w14:paraId="6A19EDBD" w14:textId="30783CAF" w:rsidR="00EB7235" w:rsidRDefault="00374F48">
          <w:pPr>
            <w:pStyle w:val="TOC2"/>
            <w:rPr>
              <w:rFonts w:eastAsiaTheme="minorEastAsia"/>
              <w:noProof/>
              <w:color w:val="auto"/>
            </w:rPr>
          </w:pPr>
          <w:hyperlink w:anchor="_Toc495398092" w:history="1">
            <w:r w:rsidR="00EB7235" w:rsidRPr="007057B9">
              <w:rPr>
                <w:rStyle w:val="Hyperlink"/>
                <w:rFonts w:cs="Arial"/>
                <w:noProof/>
              </w:rPr>
              <w:t>Introduction</w:t>
            </w:r>
            <w:r w:rsidR="00EB7235">
              <w:rPr>
                <w:noProof/>
                <w:webHidden/>
              </w:rPr>
              <w:tab/>
            </w:r>
            <w:r w:rsidR="00EB7235">
              <w:rPr>
                <w:noProof/>
                <w:webHidden/>
              </w:rPr>
              <w:fldChar w:fldCharType="begin"/>
            </w:r>
            <w:r w:rsidR="00EB7235">
              <w:rPr>
                <w:noProof/>
                <w:webHidden/>
              </w:rPr>
              <w:instrText xml:space="preserve"> PAGEREF _Toc495398092 \h </w:instrText>
            </w:r>
            <w:r w:rsidR="00EB7235">
              <w:rPr>
                <w:noProof/>
                <w:webHidden/>
              </w:rPr>
            </w:r>
            <w:r w:rsidR="00EB7235">
              <w:rPr>
                <w:noProof/>
                <w:webHidden/>
              </w:rPr>
              <w:fldChar w:fldCharType="separate"/>
            </w:r>
            <w:r w:rsidR="00E26E7A">
              <w:rPr>
                <w:noProof/>
                <w:webHidden/>
              </w:rPr>
              <w:t>2</w:t>
            </w:r>
            <w:r w:rsidR="00EB7235">
              <w:rPr>
                <w:noProof/>
                <w:webHidden/>
              </w:rPr>
              <w:fldChar w:fldCharType="end"/>
            </w:r>
          </w:hyperlink>
        </w:p>
        <w:p w14:paraId="7FC25C33" w14:textId="0FBCE244" w:rsidR="00EB7235" w:rsidRDefault="00374F48">
          <w:pPr>
            <w:pStyle w:val="TOC2"/>
            <w:rPr>
              <w:rFonts w:eastAsiaTheme="minorEastAsia"/>
              <w:noProof/>
              <w:color w:val="auto"/>
            </w:rPr>
          </w:pPr>
          <w:hyperlink w:anchor="_Toc495398093" w:history="1">
            <w:r w:rsidR="00EB7235" w:rsidRPr="007057B9">
              <w:rPr>
                <w:rStyle w:val="Hyperlink"/>
                <w:rFonts w:cs="Arial"/>
                <w:noProof/>
              </w:rPr>
              <w:t>A.1. Legal Justification</w:t>
            </w:r>
            <w:r w:rsidR="00EB7235">
              <w:rPr>
                <w:noProof/>
                <w:webHidden/>
              </w:rPr>
              <w:tab/>
            </w:r>
            <w:r w:rsidR="00EB7235">
              <w:rPr>
                <w:noProof/>
                <w:webHidden/>
              </w:rPr>
              <w:fldChar w:fldCharType="begin"/>
            </w:r>
            <w:r w:rsidR="00EB7235">
              <w:rPr>
                <w:noProof/>
                <w:webHidden/>
              </w:rPr>
              <w:instrText xml:space="preserve"> PAGEREF _Toc495398093 \h </w:instrText>
            </w:r>
            <w:r w:rsidR="00EB7235">
              <w:rPr>
                <w:noProof/>
                <w:webHidden/>
              </w:rPr>
            </w:r>
            <w:r w:rsidR="00EB7235">
              <w:rPr>
                <w:noProof/>
                <w:webHidden/>
              </w:rPr>
              <w:fldChar w:fldCharType="separate"/>
            </w:r>
            <w:r w:rsidR="00E26E7A">
              <w:rPr>
                <w:noProof/>
                <w:webHidden/>
              </w:rPr>
              <w:t>2</w:t>
            </w:r>
            <w:r w:rsidR="00EB7235">
              <w:rPr>
                <w:noProof/>
                <w:webHidden/>
              </w:rPr>
              <w:fldChar w:fldCharType="end"/>
            </w:r>
          </w:hyperlink>
        </w:p>
        <w:p w14:paraId="5E5809FC" w14:textId="5C40F244" w:rsidR="00EB7235" w:rsidRDefault="00374F48">
          <w:pPr>
            <w:pStyle w:val="TOC2"/>
            <w:rPr>
              <w:rFonts w:eastAsiaTheme="minorEastAsia"/>
              <w:noProof/>
              <w:color w:val="auto"/>
            </w:rPr>
          </w:pPr>
          <w:hyperlink w:anchor="_Toc495398094" w:history="1">
            <w:r w:rsidR="00EB7235" w:rsidRPr="007057B9">
              <w:rPr>
                <w:rStyle w:val="Hyperlink"/>
                <w:rFonts w:cs="Arial"/>
                <w:noProof/>
              </w:rPr>
              <w:t>A.2. Needs and Uses of Data</w:t>
            </w:r>
            <w:r w:rsidR="00EB7235">
              <w:rPr>
                <w:noProof/>
                <w:webHidden/>
              </w:rPr>
              <w:tab/>
            </w:r>
            <w:r w:rsidR="00EB7235">
              <w:rPr>
                <w:noProof/>
                <w:webHidden/>
              </w:rPr>
              <w:fldChar w:fldCharType="begin"/>
            </w:r>
            <w:r w:rsidR="00EB7235">
              <w:rPr>
                <w:noProof/>
                <w:webHidden/>
              </w:rPr>
              <w:instrText xml:space="preserve"> PAGEREF _Toc495398094 \h </w:instrText>
            </w:r>
            <w:r w:rsidR="00EB7235">
              <w:rPr>
                <w:noProof/>
                <w:webHidden/>
              </w:rPr>
            </w:r>
            <w:r w:rsidR="00EB7235">
              <w:rPr>
                <w:noProof/>
                <w:webHidden/>
              </w:rPr>
              <w:fldChar w:fldCharType="separate"/>
            </w:r>
            <w:r w:rsidR="00E26E7A">
              <w:rPr>
                <w:noProof/>
                <w:webHidden/>
              </w:rPr>
              <w:t>4</w:t>
            </w:r>
            <w:r w:rsidR="00EB7235">
              <w:rPr>
                <w:noProof/>
                <w:webHidden/>
              </w:rPr>
              <w:fldChar w:fldCharType="end"/>
            </w:r>
          </w:hyperlink>
        </w:p>
        <w:p w14:paraId="7283F351" w14:textId="0FA3ED0A" w:rsidR="00EB7235" w:rsidRDefault="00374F48">
          <w:pPr>
            <w:pStyle w:val="TOC2"/>
            <w:rPr>
              <w:rFonts w:eastAsiaTheme="minorEastAsia"/>
              <w:noProof/>
              <w:color w:val="auto"/>
            </w:rPr>
          </w:pPr>
          <w:hyperlink w:anchor="_Toc495398095" w:history="1">
            <w:r w:rsidR="00EB7235" w:rsidRPr="007057B9">
              <w:rPr>
                <w:rStyle w:val="Hyperlink"/>
                <w:rFonts w:cs="Arial"/>
                <w:noProof/>
              </w:rPr>
              <w:t>A.3. Use of Technology</w:t>
            </w:r>
            <w:r w:rsidR="00EB7235">
              <w:rPr>
                <w:noProof/>
                <w:webHidden/>
              </w:rPr>
              <w:tab/>
            </w:r>
            <w:r w:rsidR="00EB7235">
              <w:rPr>
                <w:noProof/>
                <w:webHidden/>
              </w:rPr>
              <w:fldChar w:fldCharType="begin"/>
            </w:r>
            <w:r w:rsidR="00EB7235">
              <w:rPr>
                <w:noProof/>
                <w:webHidden/>
              </w:rPr>
              <w:instrText xml:space="preserve"> PAGEREF _Toc495398095 \h </w:instrText>
            </w:r>
            <w:r w:rsidR="00EB7235">
              <w:rPr>
                <w:noProof/>
                <w:webHidden/>
              </w:rPr>
            </w:r>
            <w:r w:rsidR="00EB7235">
              <w:rPr>
                <w:noProof/>
                <w:webHidden/>
              </w:rPr>
              <w:fldChar w:fldCharType="separate"/>
            </w:r>
            <w:r w:rsidR="00E26E7A">
              <w:rPr>
                <w:noProof/>
                <w:webHidden/>
              </w:rPr>
              <w:t>6</w:t>
            </w:r>
            <w:r w:rsidR="00EB7235">
              <w:rPr>
                <w:noProof/>
                <w:webHidden/>
              </w:rPr>
              <w:fldChar w:fldCharType="end"/>
            </w:r>
          </w:hyperlink>
        </w:p>
        <w:p w14:paraId="4B1A6469" w14:textId="4D1A5060" w:rsidR="00EB7235" w:rsidRDefault="00374F48">
          <w:pPr>
            <w:pStyle w:val="TOC2"/>
            <w:rPr>
              <w:rFonts w:eastAsiaTheme="minorEastAsia"/>
              <w:noProof/>
              <w:color w:val="auto"/>
            </w:rPr>
          </w:pPr>
          <w:hyperlink w:anchor="_Toc495398096" w:history="1">
            <w:r w:rsidR="00EB7235" w:rsidRPr="007057B9">
              <w:rPr>
                <w:rStyle w:val="Hyperlink"/>
                <w:rFonts w:cs="Arial"/>
                <w:noProof/>
              </w:rPr>
              <w:t>A.4. Efforts to Identify Duplication</w:t>
            </w:r>
            <w:r w:rsidR="00EB7235">
              <w:rPr>
                <w:noProof/>
                <w:webHidden/>
              </w:rPr>
              <w:tab/>
            </w:r>
            <w:r w:rsidR="00EB7235">
              <w:rPr>
                <w:noProof/>
                <w:webHidden/>
              </w:rPr>
              <w:fldChar w:fldCharType="begin"/>
            </w:r>
            <w:r w:rsidR="00EB7235">
              <w:rPr>
                <w:noProof/>
                <w:webHidden/>
              </w:rPr>
              <w:instrText xml:space="preserve"> PAGEREF _Toc495398096 \h </w:instrText>
            </w:r>
            <w:r w:rsidR="00EB7235">
              <w:rPr>
                <w:noProof/>
                <w:webHidden/>
              </w:rPr>
            </w:r>
            <w:r w:rsidR="00EB7235">
              <w:rPr>
                <w:noProof/>
                <w:webHidden/>
              </w:rPr>
              <w:fldChar w:fldCharType="separate"/>
            </w:r>
            <w:r w:rsidR="00E26E7A">
              <w:rPr>
                <w:noProof/>
                <w:webHidden/>
              </w:rPr>
              <w:t>6</w:t>
            </w:r>
            <w:r w:rsidR="00EB7235">
              <w:rPr>
                <w:noProof/>
                <w:webHidden/>
              </w:rPr>
              <w:fldChar w:fldCharType="end"/>
            </w:r>
          </w:hyperlink>
        </w:p>
        <w:p w14:paraId="4E8ADEE5" w14:textId="1EC95ED8" w:rsidR="00EB7235" w:rsidRDefault="00374F48">
          <w:pPr>
            <w:pStyle w:val="TOC2"/>
            <w:rPr>
              <w:rFonts w:eastAsiaTheme="minorEastAsia"/>
              <w:noProof/>
              <w:color w:val="auto"/>
            </w:rPr>
          </w:pPr>
          <w:hyperlink w:anchor="_Toc495398097" w:history="1">
            <w:r w:rsidR="00EB7235" w:rsidRPr="007057B9">
              <w:rPr>
                <w:rStyle w:val="Hyperlink"/>
                <w:rFonts w:cs="Arial"/>
                <w:noProof/>
              </w:rPr>
              <w:t>A.5. Provisions for Reducing Burden on Small Businesses</w:t>
            </w:r>
            <w:r w:rsidR="00EB7235">
              <w:rPr>
                <w:noProof/>
                <w:webHidden/>
              </w:rPr>
              <w:tab/>
            </w:r>
            <w:r w:rsidR="00EB7235">
              <w:rPr>
                <w:noProof/>
                <w:webHidden/>
              </w:rPr>
              <w:fldChar w:fldCharType="begin"/>
            </w:r>
            <w:r w:rsidR="00EB7235">
              <w:rPr>
                <w:noProof/>
                <w:webHidden/>
              </w:rPr>
              <w:instrText xml:space="preserve"> PAGEREF _Toc495398097 \h </w:instrText>
            </w:r>
            <w:r w:rsidR="00EB7235">
              <w:rPr>
                <w:noProof/>
                <w:webHidden/>
              </w:rPr>
            </w:r>
            <w:r w:rsidR="00EB7235">
              <w:rPr>
                <w:noProof/>
                <w:webHidden/>
              </w:rPr>
              <w:fldChar w:fldCharType="separate"/>
            </w:r>
            <w:r w:rsidR="00E26E7A">
              <w:rPr>
                <w:noProof/>
                <w:webHidden/>
              </w:rPr>
              <w:t>7</w:t>
            </w:r>
            <w:r w:rsidR="00EB7235">
              <w:rPr>
                <w:noProof/>
                <w:webHidden/>
              </w:rPr>
              <w:fldChar w:fldCharType="end"/>
            </w:r>
          </w:hyperlink>
        </w:p>
        <w:p w14:paraId="4095CD5C" w14:textId="26829096" w:rsidR="00EB7235" w:rsidRDefault="00374F48">
          <w:pPr>
            <w:pStyle w:val="TOC2"/>
            <w:rPr>
              <w:rFonts w:eastAsiaTheme="minorEastAsia"/>
              <w:noProof/>
              <w:color w:val="auto"/>
            </w:rPr>
          </w:pPr>
          <w:hyperlink w:anchor="_Toc495398098" w:history="1">
            <w:r w:rsidR="00EB7235" w:rsidRPr="007057B9">
              <w:rPr>
                <w:rStyle w:val="Hyperlink"/>
                <w:rFonts w:cs="Arial"/>
                <w:noProof/>
              </w:rPr>
              <w:t>A.6. Consequences of Less-Frequent Reporting</w:t>
            </w:r>
            <w:r w:rsidR="00EB7235">
              <w:rPr>
                <w:noProof/>
                <w:webHidden/>
              </w:rPr>
              <w:tab/>
            </w:r>
            <w:r w:rsidR="00EB7235">
              <w:rPr>
                <w:noProof/>
                <w:webHidden/>
              </w:rPr>
              <w:fldChar w:fldCharType="begin"/>
            </w:r>
            <w:r w:rsidR="00EB7235">
              <w:rPr>
                <w:noProof/>
                <w:webHidden/>
              </w:rPr>
              <w:instrText xml:space="preserve"> PAGEREF _Toc495398098 \h </w:instrText>
            </w:r>
            <w:r w:rsidR="00EB7235">
              <w:rPr>
                <w:noProof/>
                <w:webHidden/>
              </w:rPr>
            </w:r>
            <w:r w:rsidR="00EB7235">
              <w:rPr>
                <w:noProof/>
                <w:webHidden/>
              </w:rPr>
              <w:fldChar w:fldCharType="separate"/>
            </w:r>
            <w:r w:rsidR="00E26E7A">
              <w:rPr>
                <w:noProof/>
                <w:webHidden/>
              </w:rPr>
              <w:t>7</w:t>
            </w:r>
            <w:r w:rsidR="00EB7235">
              <w:rPr>
                <w:noProof/>
                <w:webHidden/>
              </w:rPr>
              <w:fldChar w:fldCharType="end"/>
            </w:r>
          </w:hyperlink>
        </w:p>
        <w:p w14:paraId="4DF417EA" w14:textId="2E483F83" w:rsidR="00EB7235" w:rsidRDefault="00374F48">
          <w:pPr>
            <w:pStyle w:val="TOC2"/>
            <w:rPr>
              <w:rFonts w:eastAsiaTheme="minorEastAsia"/>
              <w:noProof/>
              <w:color w:val="auto"/>
            </w:rPr>
          </w:pPr>
          <w:hyperlink w:anchor="_Toc495398099" w:history="1">
            <w:r w:rsidR="00EB7235" w:rsidRPr="007057B9">
              <w:rPr>
                <w:rStyle w:val="Hyperlink"/>
                <w:rFonts w:cs="Arial"/>
                <w:noProof/>
              </w:rPr>
              <w:t>A.7. Compliance with 5 CFR §1320.5</w:t>
            </w:r>
            <w:r w:rsidR="00EB7235">
              <w:rPr>
                <w:noProof/>
                <w:webHidden/>
              </w:rPr>
              <w:tab/>
            </w:r>
            <w:r w:rsidR="00EB7235">
              <w:rPr>
                <w:noProof/>
                <w:webHidden/>
              </w:rPr>
              <w:fldChar w:fldCharType="begin"/>
            </w:r>
            <w:r w:rsidR="00EB7235">
              <w:rPr>
                <w:noProof/>
                <w:webHidden/>
              </w:rPr>
              <w:instrText xml:space="preserve"> PAGEREF _Toc495398099 \h </w:instrText>
            </w:r>
            <w:r w:rsidR="00EB7235">
              <w:rPr>
                <w:noProof/>
                <w:webHidden/>
              </w:rPr>
            </w:r>
            <w:r w:rsidR="00EB7235">
              <w:rPr>
                <w:noProof/>
                <w:webHidden/>
              </w:rPr>
              <w:fldChar w:fldCharType="separate"/>
            </w:r>
            <w:r w:rsidR="00E26E7A">
              <w:rPr>
                <w:noProof/>
                <w:webHidden/>
              </w:rPr>
              <w:t>8</w:t>
            </w:r>
            <w:r w:rsidR="00EB7235">
              <w:rPr>
                <w:noProof/>
                <w:webHidden/>
              </w:rPr>
              <w:fldChar w:fldCharType="end"/>
            </w:r>
          </w:hyperlink>
        </w:p>
        <w:p w14:paraId="28464F84" w14:textId="24B96387" w:rsidR="00EB7235" w:rsidRDefault="00374F48">
          <w:pPr>
            <w:pStyle w:val="TOC2"/>
            <w:rPr>
              <w:rFonts w:eastAsiaTheme="minorEastAsia"/>
              <w:noProof/>
              <w:color w:val="auto"/>
            </w:rPr>
          </w:pPr>
          <w:hyperlink w:anchor="_Toc495398100" w:history="1">
            <w:r w:rsidR="00EB7235" w:rsidRPr="007057B9">
              <w:rPr>
                <w:rStyle w:val="Hyperlink"/>
                <w:rFonts w:cs="Arial"/>
                <w:noProof/>
              </w:rPr>
              <w:t>A.8. Summary of Consultations Outside of the Agency</w:t>
            </w:r>
            <w:r w:rsidR="00EB7235">
              <w:rPr>
                <w:noProof/>
                <w:webHidden/>
              </w:rPr>
              <w:tab/>
            </w:r>
            <w:r w:rsidR="00EB7235">
              <w:rPr>
                <w:noProof/>
                <w:webHidden/>
              </w:rPr>
              <w:fldChar w:fldCharType="begin"/>
            </w:r>
            <w:r w:rsidR="00EB7235">
              <w:rPr>
                <w:noProof/>
                <w:webHidden/>
              </w:rPr>
              <w:instrText xml:space="preserve"> PAGEREF _Toc495398100 \h </w:instrText>
            </w:r>
            <w:r w:rsidR="00EB7235">
              <w:rPr>
                <w:noProof/>
                <w:webHidden/>
              </w:rPr>
            </w:r>
            <w:r w:rsidR="00EB7235">
              <w:rPr>
                <w:noProof/>
                <w:webHidden/>
              </w:rPr>
              <w:fldChar w:fldCharType="separate"/>
            </w:r>
            <w:r w:rsidR="00E26E7A">
              <w:rPr>
                <w:noProof/>
                <w:webHidden/>
              </w:rPr>
              <w:t>8</w:t>
            </w:r>
            <w:r w:rsidR="00EB7235">
              <w:rPr>
                <w:noProof/>
                <w:webHidden/>
              </w:rPr>
              <w:fldChar w:fldCharType="end"/>
            </w:r>
          </w:hyperlink>
        </w:p>
        <w:p w14:paraId="2C6536D3" w14:textId="772BEAD6" w:rsidR="00EB7235" w:rsidRDefault="00374F48">
          <w:pPr>
            <w:pStyle w:val="TOC2"/>
            <w:rPr>
              <w:rFonts w:eastAsiaTheme="minorEastAsia"/>
              <w:noProof/>
              <w:color w:val="auto"/>
            </w:rPr>
          </w:pPr>
          <w:hyperlink w:anchor="_Toc495398101" w:history="1">
            <w:r w:rsidR="00EB7235" w:rsidRPr="007057B9">
              <w:rPr>
                <w:rStyle w:val="Hyperlink"/>
                <w:rFonts w:cs="Arial"/>
                <w:noProof/>
              </w:rPr>
              <w:t>A.9. Payments or Gifts to Respondents</w:t>
            </w:r>
            <w:r w:rsidR="00EB7235">
              <w:rPr>
                <w:noProof/>
                <w:webHidden/>
              </w:rPr>
              <w:tab/>
            </w:r>
            <w:r w:rsidR="00EB7235">
              <w:rPr>
                <w:noProof/>
                <w:webHidden/>
              </w:rPr>
              <w:fldChar w:fldCharType="begin"/>
            </w:r>
            <w:r w:rsidR="00EB7235">
              <w:rPr>
                <w:noProof/>
                <w:webHidden/>
              </w:rPr>
              <w:instrText xml:space="preserve"> PAGEREF _Toc495398101 \h </w:instrText>
            </w:r>
            <w:r w:rsidR="00EB7235">
              <w:rPr>
                <w:noProof/>
                <w:webHidden/>
              </w:rPr>
            </w:r>
            <w:r w:rsidR="00EB7235">
              <w:rPr>
                <w:noProof/>
                <w:webHidden/>
              </w:rPr>
              <w:fldChar w:fldCharType="separate"/>
            </w:r>
            <w:r w:rsidR="00E26E7A">
              <w:rPr>
                <w:noProof/>
                <w:webHidden/>
              </w:rPr>
              <w:t>9</w:t>
            </w:r>
            <w:r w:rsidR="00EB7235">
              <w:rPr>
                <w:noProof/>
                <w:webHidden/>
              </w:rPr>
              <w:fldChar w:fldCharType="end"/>
            </w:r>
          </w:hyperlink>
        </w:p>
        <w:p w14:paraId="41F4F526" w14:textId="6ADD07CE" w:rsidR="00EB7235" w:rsidRDefault="00374F48">
          <w:pPr>
            <w:pStyle w:val="TOC2"/>
            <w:rPr>
              <w:rFonts w:eastAsiaTheme="minorEastAsia"/>
              <w:noProof/>
              <w:color w:val="auto"/>
            </w:rPr>
          </w:pPr>
          <w:hyperlink w:anchor="_Toc495398102" w:history="1">
            <w:r w:rsidR="00EB7235" w:rsidRPr="007057B9">
              <w:rPr>
                <w:rStyle w:val="Hyperlink"/>
                <w:rFonts w:cs="Arial"/>
                <w:noProof/>
              </w:rPr>
              <w:t>A.10. Provisions for Protection of Information</w:t>
            </w:r>
            <w:r w:rsidR="00EB7235">
              <w:rPr>
                <w:noProof/>
                <w:webHidden/>
              </w:rPr>
              <w:tab/>
            </w:r>
            <w:r w:rsidR="00EB7235">
              <w:rPr>
                <w:noProof/>
                <w:webHidden/>
              </w:rPr>
              <w:fldChar w:fldCharType="begin"/>
            </w:r>
            <w:r w:rsidR="00EB7235">
              <w:rPr>
                <w:noProof/>
                <w:webHidden/>
              </w:rPr>
              <w:instrText xml:space="preserve"> PAGEREF _Toc495398102 \h </w:instrText>
            </w:r>
            <w:r w:rsidR="00EB7235">
              <w:rPr>
                <w:noProof/>
                <w:webHidden/>
              </w:rPr>
            </w:r>
            <w:r w:rsidR="00EB7235">
              <w:rPr>
                <w:noProof/>
                <w:webHidden/>
              </w:rPr>
              <w:fldChar w:fldCharType="separate"/>
            </w:r>
            <w:r w:rsidR="00E26E7A">
              <w:rPr>
                <w:noProof/>
                <w:webHidden/>
              </w:rPr>
              <w:t>9</w:t>
            </w:r>
            <w:r w:rsidR="00EB7235">
              <w:rPr>
                <w:noProof/>
                <w:webHidden/>
              </w:rPr>
              <w:fldChar w:fldCharType="end"/>
            </w:r>
          </w:hyperlink>
        </w:p>
        <w:p w14:paraId="6D6D8AFE" w14:textId="3C81519D" w:rsidR="00EB7235" w:rsidRDefault="00374F48">
          <w:pPr>
            <w:pStyle w:val="TOC2"/>
            <w:rPr>
              <w:rFonts w:eastAsiaTheme="minorEastAsia"/>
              <w:noProof/>
              <w:color w:val="auto"/>
            </w:rPr>
          </w:pPr>
          <w:hyperlink w:anchor="_Toc495398103" w:history="1">
            <w:r w:rsidR="00EB7235" w:rsidRPr="007057B9">
              <w:rPr>
                <w:rStyle w:val="Hyperlink"/>
                <w:rFonts w:cs="Arial"/>
                <w:noProof/>
              </w:rPr>
              <w:t>A.11. Justification for Sensitive Questions</w:t>
            </w:r>
            <w:r w:rsidR="00EB7235">
              <w:rPr>
                <w:noProof/>
                <w:webHidden/>
              </w:rPr>
              <w:tab/>
            </w:r>
            <w:r w:rsidR="00EB7235">
              <w:rPr>
                <w:noProof/>
                <w:webHidden/>
              </w:rPr>
              <w:fldChar w:fldCharType="begin"/>
            </w:r>
            <w:r w:rsidR="00EB7235">
              <w:rPr>
                <w:noProof/>
                <w:webHidden/>
              </w:rPr>
              <w:instrText xml:space="preserve"> PAGEREF _Toc495398103 \h </w:instrText>
            </w:r>
            <w:r w:rsidR="00EB7235">
              <w:rPr>
                <w:noProof/>
                <w:webHidden/>
              </w:rPr>
            </w:r>
            <w:r w:rsidR="00EB7235">
              <w:rPr>
                <w:noProof/>
                <w:webHidden/>
              </w:rPr>
              <w:fldChar w:fldCharType="separate"/>
            </w:r>
            <w:r w:rsidR="00E26E7A">
              <w:rPr>
                <w:noProof/>
                <w:webHidden/>
              </w:rPr>
              <w:t>9</w:t>
            </w:r>
            <w:r w:rsidR="00EB7235">
              <w:rPr>
                <w:noProof/>
                <w:webHidden/>
              </w:rPr>
              <w:fldChar w:fldCharType="end"/>
            </w:r>
          </w:hyperlink>
        </w:p>
        <w:p w14:paraId="1E7A2A76" w14:textId="4824BD8A" w:rsidR="00EB7235" w:rsidRDefault="00374F48">
          <w:pPr>
            <w:pStyle w:val="TOC2"/>
            <w:rPr>
              <w:rFonts w:eastAsiaTheme="minorEastAsia"/>
              <w:noProof/>
              <w:color w:val="auto"/>
            </w:rPr>
          </w:pPr>
          <w:hyperlink w:anchor="_Toc495398104" w:history="1">
            <w:r w:rsidR="00EB7235" w:rsidRPr="007057B9">
              <w:rPr>
                <w:rStyle w:val="Hyperlink"/>
                <w:rFonts w:cs="Arial"/>
                <w:noProof/>
              </w:rPr>
              <w:t>A.12. Estimate of Respondent Burden Hours and Cost</w:t>
            </w:r>
            <w:r w:rsidR="00EB7235">
              <w:rPr>
                <w:noProof/>
                <w:webHidden/>
              </w:rPr>
              <w:tab/>
            </w:r>
            <w:r w:rsidR="00EB7235">
              <w:rPr>
                <w:noProof/>
                <w:webHidden/>
              </w:rPr>
              <w:fldChar w:fldCharType="begin"/>
            </w:r>
            <w:r w:rsidR="00EB7235">
              <w:rPr>
                <w:noProof/>
                <w:webHidden/>
              </w:rPr>
              <w:instrText xml:space="preserve"> PAGEREF _Toc495398104 \h </w:instrText>
            </w:r>
            <w:r w:rsidR="00EB7235">
              <w:rPr>
                <w:noProof/>
                <w:webHidden/>
              </w:rPr>
            </w:r>
            <w:r w:rsidR="00EB7235">
              <w:rPr>
                <w:noProof/>
                <w:webHidden/>
              </w:rPr>
              <w:fldChar w:fldCharType="separate"/>
            </w:r>
            <w:r w:rsidR="00E26E7A">
              <w:rPr>
                <w:noProof/>
                <w:webHidden/>
              </w:rPr>
              <w:t>10</w:t>
            </w:r>
            <w:r w:rsidR="00EB7235">
              <w:rPr>
                <w:noProof/>
                <w:webHidden/>
              </w:rPr>
              <w:fldChar w:fldCharType="end"/>
            </w:r>
          </w:hyperlink>
        </w:p>
        <w:p w14:paraId="4FBBB1D4" w14:textId="4488383D" w:rsidR="00EB7235" w:rsidRDefault="00374F48">
          <w:pPr>
            <w:pStyle w:val="TOC2"/>
            <w:rPr>
              <w:rFonts w:eastAsiaTheme="minorEastAsia"/>
              <w:noProof/>
              <w:color w:val="auto"/>
            </w:rPr>
          </w:pPr>
          <w:hyperlink w:anchor="_Toc495398105" w:history="1">
            <w:r w:rsidR="00EB7235" w:rsidRPr="007057B9">
              <w:rPr>
                <w:rStyle w:val="Hyperlink"/>
                <w:rFonts w:cs="Arial"/>
                <w:noProof/>
              </w:rPr>
              <w:t>A.13. Annual Cost to the Federal Government</w:t>
            </w:r>
            <w:r w:rsidR="00EB7235">
              <w:rPr>
                <w:noProof/>
                <w:webHidden/>
              </w:rPr>
              <w:tab/>
            </w:r>
            <w:r w:rsidR="00EB7235">
              <w:rPr>
                <w:noProof/>
                <w:webHidden/>
              </w:rPr>
              <w:fldChar w:fldCharType="begin"/>
            </w:r>
            <w:r w:rsidR="00EB7235">
              <w:rPr>
                <w:noProof/>
                <w:webHidden/>
              </w:rPr>
              <w:instrText xml:space="preserve"> PAGEREF _Toc495398105 \h </w:instrText>
            </w:r>
            <w:r w:rsidR="00EB7235">
              <w:rPr>
                <w:noProof/>
                <w:webHidden/>
              </w:rPr>
            </w:r>
            <w:r w:rsidR="00EB7235">
              <w:rPr>
                <w:noProof/>
                <w:webHidden/>
              </w:rPr>
              <w:fldChar w:fldCharType="separate"/>
            </w:r>
            <w:r w:rsidR="00E26E7A">
              <w:rPr>
                <w:noProof/>
                <w:webHidden/>
              </w:rPr>
              <w:t>10</w:t>
            </w:r>
            <w:r w:rsidR="00EB7235">
              <w:rPr>
                <w:noProof/>
                <w:webHidden/>
              </w:rPr>
              <w:fldChar w:fldCharType="end"/>
            </w:r>
          </w:hyperlink>
        </w:p>
        <w:p w14:paraId="6EA1FE5C" w14:textId="02A51307" w:rsidR="00EB7235" w:rsidRDefault="00374F48">
          <w:pPr>
            <w:pStyle w:val="TOC2"/>
            <w:rPr>
              <w:rFonts w:eastAsiaTheme="minorEastAsia"/>
              <w:noProof/>
              <w:color w:val="auto"/>
            </w:rPr>
          </w:pPr>
          <w:hyperlink w:anchor="_Toc495398106" w:history="1">
            <w:r w:rsidR="00EB7235" w:rsidRPr="007057B9">
              <w:rPr>
                <w:rStyle w:val="Hyperlink"/>
                <w:rFonts w:cs="Arial"/>
                <w:noProof/>
              </w:rPr>
              <w:t>A.14. Changes in Burden</w:t>
            </w:r>
            <w:r w:rsidR="00EB7235">
              <w:rPr>
                <w:noProof/>
                <w:webHidden/>
              </w:rPr>
              <w:tab/>
            </w:r>
            <w:r w:rsidR="00EB7235">
              <w:rPr>
                <w:noProof/>
                <w:webHidden/>
              </w:rPr>
              <w:fldChar w:fldCharType="begin"/>
            </w:r>
            <w:r w:rsidR="00EB7235">
              <w:rPr>
                <w:noProof/>
                <w:webHidden/>
              </w:rPr>
              <w:instrText xml:space="preserve"> PAGEREF _Toc495398106 \h </w:instrText>
            </w:r>
            <w:r w:rsidR="00EB7235">
              <w:rPr>
                <w:noProof/>
                <w:webHidden/>
              </w:rPr>
            </w:r>
            <w:r w:rsidR="00EB7235">
              <w:rPr>
                <w:noProof/>
                <w:webHidden/>
              </w:rPr>
              <w:fldChar w:fldCharType="separate"/>
            </w:r>
            <w:r w:rsidR="00E26E7A">
              <w:rPr>
                <w:noProof/>
                <w:webHidden/>
              </w:rPr>
              <w:t>10</w:t>
            </w:r>
            <w:r w:rsidR="00EB7235">
              <w:rPr>
                <w:noProof/>
                <w:webHidden/>
              </w:rPr>
              <w:fldChar w:fldCharType="end"/>
            </w:r>
          </w:hyperlink>
        </w:p>
        <w:p w14:paraId="57A80249" w14:textId="38E26596" w:rsidR="00EB7235" w:rsidRDefault="00374F48">
          <w:pPr>
            <w:pStyle w:val="TOC2"/>
            <w:rPr>
              <w:rFonts w:eastAsiaTheme="minorEastAsia"/>
              <w:noProof/>
              <w:color w:val="auto"/>
            </w:rPr>
          </w:pPr>
          <w:hyperlink w:anchor="_Toc495398107" w:history="1">
            <w:r w:rsidR="00EB7235" w:rsidRPr="007057B9">
              <w:rPr>
                <w:rStyle w:val="Hyperlink"/>
                <w:rFonts w:cs="Arial"/>
                <w:noProof/>
              </w:rPr>
              <w:t>A.15. Reasons for Changes in Burden</w:t>
            </w:r>
            <w:r w:rsidR="00EB7235">
              <w:rPr>
                <w:noProof/>
                <w:webHidden/>
              </w:rPr>
              <w:tab/>
            </w:r>
            <w:r w:rsidR="00EB7235">
              <w:rPr>
                <w:noProof/>
                <w:webHidden/>
              </w:rPr>
              <w:fldChar w:fldCharType="begin"/>
            </w:r>
            <w:r w:rsidR="00EB7235">
              <w:rPr>
                <w:noProof/>
                <w:webHidden/>
              </w:rPr>
              <w:instrText xml:space="preserve"> PAGEREF _Toc495398107 \h </w:instrText>
            </w:r>
            <w:r w:rsidR="00EB7235">
              <w:rPr>
                <w:noProof/>
                <w:webHidden/>
              </w:rPr>
            </w:r>
            <w:r w:rsidR="00EB7235">
              <w:rPr>
                <w:noProof/>
                <w:webHidden/>
              </w:rPr>
              <w:fldChar w:fldCharType="separate"/>
            </w:r>
            <w:r w:rsidR="00E26E7A">
              <w:rPr>
                <w:noProof/>
                <w:webHidden/>
              </w:rPr>
              <w:t>12</w:t>
            </w:r>
            <w:r w:rsidR="00EB7235">
              <w:rPr>
                <w:noProof/>
                <w:webHidden/>
              </w:rPr>
              <w:fldChar w:fldCharType="end"/>
            </w:r>
          </w:hyperlink>
        </w:p>
        <w:p w14:paraId="636C95E4" w14:textId="605FF4C5" w:rsidR="00EB7235" w:rsidRDefault="00374F48">
          <w:pPr>
            <w:pStyle w:val="TOC2"/>
            <w:rPr>
              <w:rFonts w:eastAsiaTheme="minorEastAsia"/>
              <w:noProof/>
              <w:color w:val="auto"/>
            </w:rPr>
          </w:pPr>
          <w:hyperlink w:anchor="_Toc495398108" w:history="1">
            <w:r w:rsidR="00EB7235" w:rsidRPr="007057B9">
              <w:rPr>
                <w:rStyle w:val="Hyperlink"/>
                <w:rFonts w:cs="Arial"/>
                <w:noProof/>
              </w:rPr>
              <w:t>A.16. Collection, Tabulation, and Publication Plans</w:t>
            </w:r>
            <w:r w:rsidR="00EB7235">
              <w:rPr>
                <w:noProof/>
                <w:webHidden/>
              </w:rPr>
              <w:tab/>
            </w:r>
            <w:r w:rsidR="00EB7235">
              <w:rPr>
                <w:noProof/>
                <w:webHidden/>
              </w:rPr>
              <w:fldChar w:fldCharType="begin"/>
            </w:r>
            <w:r w:rsidR="00EB7235">
              <w:rPr>
                <w:noProof/>
                <w:webHidden/>
              </w:rPr>
              <w:instrText xml:space="preserve"> PAGEREF _Toc495398108 \h </w:instrText>
            </w:r>
            <w:r w:rsidR="00EB7235">
              <w:rPr>
                <w:noProof/>
                <w:webHidden/>
              </w:rPr>
            </w:r>
            <w:r w:rsidR="00EB7235">
              <w:rPr>
                <w:noProof/>
                <w:webHidden/>
              </w:rPr>
              <w:fldChar w:fldCharType="separate"/>
            </w:r>
            <w:r w:rsidR="00E26E7A">
              <w:rPr>
                <w:noProof/>
                <w:webHidden/>
              </w:rPr>
              <w:t>12</w:t>
            </w:r>
            <w:r w:rsidR="00EB7235">
              <w:rPr>
                <w:noProof/>
                <w:webHidden/>
              </w:rPr>
              <w:fldChar w:fldCharType="end"/>
            </w:r>
          </w:hyperlink>
        </w:p>
        <w:p w14:paraId="57BF30D5" w14:textId="5C3E1C21" w:rsidR="00EB7235" w:rsidRDefault="00374F48">
          <w:pPr>
            <w:pStyle w:val="TOC2"/>
            <w:rPr>
              <w:rFonts w:eastAsiaTheme="minorEastAsia"/>
              <w:noProof/>
              <w:color w:val="auto"/>
            </w:rPr>
          </w:pPr>
          <w:hyperlink w:anchor="_Toc495398109" w:history="1">
            <w:r w:rsidR="00EB7235" w:rsidRPr="007057B9">
              <w:rPr>
                <w:rStyle w:val="Hyperlink"/>
                <w:rFonts w:cs="Arial"/>
                <w:noProof/>
              </w:rPr>
              <w:t>A.17. OMB Number and Expiration Date</w:t>
            </w:r>
            <w:r w:rsidR="00EB7235">
              <w:rPr>
                <w:noProof/>
                <w:webHidden/>
              </w:rPr>
              <w:tab/>
            </w:r>
            <w:r w:rsidR="00EB7235">
              <w:rPr>
                <w:noProof/>
                <w:webHidden/>
              </w:rPr>
              <w:fldChar w:fldCharType="begin"/>
            </w:r>
            <w:r w:rsidR="00EB7235">
              <w:rPr>
                <w:noProof/>
                <w:webHidden/>
              </w:rPr>
              <w:instrText xml:space="preserve"> PAGEREF _Toc495398109 \h </w:instrText>
            </w:r>
            <w:r w:rsidR="00EB7235">
              <w:rPr>
                <w:noProof/>
                <w:webHidden/>
              </w:rPr>
            </w:r>
            <w:r w:rsidR="00EB7235">
              <w:rPr>
                <w:noProof/>
                <w:webHidden/>
              </w:rPr>
              <w:fldChar w:fldCharType="separate"/>
            </w:r>
            <w:r w:rsidR="00E26E7A">
              <w:rPr>
                <w:noProof/>
                <w:webHidden/>
              </w:rPr>
              <w:t>13</w:t>
            </w:r>
            <w:r w:rsidR="00EB7235">
              <w:rPr>
                <w:noProof/>
                <w:webHidden/>
              </w:rPr>
              <w:fldChar w:fldCharType="end"/>
            </w:r>
          </w:hyperlink>
        </w:p>
        <w:p w14:paraId="5CC12F86" w14:textId="55CA13C6" w:rsidR="00EB7235" w:rsidRDefault="00374F48">
          <w:pPr>
            <w:pStyle w:val="TOC2"/>
            <w:rPr>
              <w:rFonts w:eastAsiaTheme="minorEastAsia"/>
              <w:noProof/>
              <w:color w:val="auto"/>
            </w:rPr>
          </w:pPr>
          <w:hyperlink w:anchor="_Toc495398110" w:history="1">
            <w:r w:rsidR="00EB7235" w:rsidRPr="007057B9">
              <w:rPr>
                <w:rStyle w:val="Hyperlink"/>
                <w:rFonts w:cs="Arial"/>
                <w:noProof/>
              </w:rPr>
              <w:t>A.18. Certification Statement</w:t>
            </w:r>
            <w:r w:rsidR="00EB7235">
              <w:rPr>
                <w:noProof/>
                <w:webHidden/>
              </w:rPr>
              <w:tab/>
            </w:r>
            <w:r w:rsidR="00EB7235">
              <w:rPr>
                <w:noProof/>
                <w:webHidden/>
              </w:rPr>
              <w:fldChar w:fldCharType="begin"/>
            </w:r>
            <w:r w:rsidR="00EB7235">
              <w:rPr>
                <w:noProof/>
                <w:webHidden/>
              </w:rPr>
              <w:instrText xml:space="preserve"> PAGEREF _Toc495398110 \h </w:instrText>
            </w:r>
            <w:r w:rsidR="00EB7235">
              <w:rPr>
                <w:noProof/>
                <w:webHidden/>
              </w:rPr>
            </w:r>
            <w:r w:rsidR="00EB7235">
              <w:rPr>
                <w:noProof/>
                <w:webHidden/>
              </w:rPr>
              <w:fldChar w:fldCharType="separate"/>
            </w:r>
            <w:r w:rsidR="00E26E7A">
              <w:rPr>
                <w:noProof/>
                <w:webHidden/>
              </w:rPr>
              <w:t>13</w:t>
            </w:r>
            <w:r w:rsidR="00EB7235">
              <w:rPr>
                <w:noProof/>
                <w:webHidden/>
              </w:rPr>
              <w:fldChar w:fldCharType="end"/>
            </w:r>
          </w:hyperlink>
        </w:p>
        <w:p w14:paraId="7B99B3C9" w14:textId="77777777" w:rsidR="0059212D" w:rsidRPr="002E0255" w:rsidRDefault="0059212D">
          <w:pPr>
            <w:rPr>
              <w:rFonts w:cs="Arial"/>
            </w:rPr>
          </w:pPr>
          <w:r w:rsidRPr="002E0255">
            <w:rPr>
              <w:rFonts w:cs="Arial"/>
              <w:b/>
              <w:bCs/>
              <w:noProof/>
            </w:rPr>
            <w:fldChar w:fldCharType="end"/>
          </w:r>
        </w:p>
      </w:sdtContent>
    </w:sdt>
    <w:p w14:paraId="52932D0A" w14:textId="77777777" w:rsidR="001F3A8F" w:rsidRPr="002E0255" w:rsidRDefault="001F3A8F" w:rsidP="00D928FD">
      <w:pPr>
        <w:rPr>
          <w:rFonts w:cs="Arial"/>
        </w:rPr>
      </w:pPr>
    </w:p>
    <w:p w14:paraId="7333BEC2" w14:textId="77777777" w:rsidR="00D928FD" w:rsidRPr="002E0255" w:rsidRDefault="00D928FD" w:rsidP="00D928FD">
      <w:pPr>
        <w:rPr>
          <w:rFonts w:cs="Arial"/>
        </w:rPr>
        <w:sectPr w:rsidR="00D928FD" w:rsidRPr="002E0255" w:rsidSect="00725453">
          <w:footerReference w:type="first" r:id="rId14"/>
          <w:footnotePr>
            <w:pos w:val="beneathText"/>
          </w:footnotePr>
          <w:type w:val="continuous"/>
          <w:pgSz w:w="12240" w:h="15840"/>
          <w:pgMar w:top="1440" w:right="1440" w:bottom="1440" w:left="1440" w:header="720" w:footer="720" w:gutter="0"/>
          <w:pgNumType w:fmt="lowerRoman" w:start="1"/>
          <w:cols w:space="720"/>
          <w:docGrid w:linePitch="360"/>
        </w:sectPr>
      </w:pPr>
    </w:p>
    <w:p w14:paraId="232A086C" w14:textId="77777777" w:rsidR="00041909" w:rsidRPr="002E0255" w:rsidRDefault="00041909" w:rsidP="00836D62">
      <w:pPr>
        <w:spacing w:line="240" w:lineRule="auto"/>
        <w:rPr>
          <w:rFonts w:cs="Arial"/>
        </w:rPr>
        <w:sectPr w:rsidR="00041909" w:rsidRPr="002E0255" w:rsidSect="00725453">
          <w:footerReference w:type="first" r:id="rId15"/>
          <w:footnotePr>
            <w:pos w:val="beneathText"/>
          </w:footnotePr>
          <w:type w:val="continuous"/>
          <w:pgSz w:w="12240" w:h="15840"/>
          <w:pgMar w:top="1440" w:right="1440" w:bottom="1440" w:left="1440" w:header="720" w:footer="720" w:gutter="0"/>
          <w:pgNumType w:fmt="lowerRoman"/>
          <w:cols w:space="720"/>
          <w:docGrid w:linePitch="360"/>
        </w:sectPr>
      </w:pPr>
    </w:p>
    <w:p w14:paraId="1E91D919" w14:textId="77777777" w:rsidR="000569C2" w:rsidRPr="00246A05" w:rsidRDefault="000569C2" w:rsidP="00246A05">
      <w:pPr>
        <w:pStyle w:val="Heading1"/>
      </w:pPr>
      <w:bookmarkStart w:id="1" w:name="_Toc495398091"/>
      <w:r w:rsidRPr="00246A05">
        <w:t>Part A: Justification</w:t>
      </w:r>
      <w:bookmarkEnd w:id="1"/>
    </w:p>
    <w:p w14:paraId="5C4260F5" w14:textId="77777777" w:rsidR="008C734C" w:rsidRPr="002E0255" w:rsidRDefault="008C734C" w:rsidP="00844524">
      <w:pPr>
        <w:pStyle w:val="Heading2"/>
        <w:rPr>
          <w:rFonts w:cs="Arial"/>
        </w:rPr>
      </w:pPr>
      <w:bookmarkStart w:id="2" w:name="_Toc495398092"/>
      <w:r w:rsidRPr="002E0255">
        <w:rPr>
          <w:rFonts w:cs="Arial"/>
        </w:rPr>
        <w:t>Introdu</w:t>
      </w:r>
      <w:r w:rsidR="00844524" w:rsidRPr="002E0255">
        <w:rPr>
          <w:rFonts w:cs="Arial"/>
        </w:rPr>
        <w:t>ction</w:t>
      </w:r>
      <w:bookmarkEnd w:id="2"/>
    </w:p>
    <w:p w14:paraId="798E7EC7" w14:textId="64EBE493" w:rsidR="00E27FBA" w:rsidRPr="002E0255" w:rsidRDefault="00E27FBA" w:rsidP="00E27FBA">
      <w:pPr>
        <w:rPr>
          <w:rFonts w:eastAsiaTheme="minorEastAsia" w:cs="Arial"/>
        </w:rPr>
      </w:pPr>
      <w:r w:rsidRPr="002E0255">
        <w:rPr>
          <w:rFonts w:eastAsiaTheme="minorEastAsia" w:cs="Arial"/>
        </w:rPr>
        <w:t>The U.S. Energy Information Administration (EIA) is the statistical and analytical agency within the U.S. Department of Energy (DOE). It collects, analyzes, and disseminates independent and impartial energy information to promote sound policymaking, efficient markets, and public understanding regarding energy and its interaction with the economy and the environment</w:t>
      </w:r>
      <w:r w:rsidR="00DF520F" w:rsidRPr="002E0255">
        <w:rPr>
          <w:rFonts w:eastAsiaTheme="minorEastAsia" w:cs="Arial"/>
        </w:rPr>
        <w:t xml:space="preserve">. </w:t>
      </w:r>
    </w:p>
    <w:p w14:paraId="6AA28815" w14:textId="0DF412E6" w:rsidR="001465AA" w:rsidRPr="002E0255" w:rsidRDefault="001465AA" w:rsidP="001465AA">
      <w:pPr>
        <w:rPr>
          <w:rFonts w:cs="Arial"/>
        </w:rPr>
      </w:pPr>
      <w:r w:rsidRPr="002E0255">
        <w:rPr>
          <w:rFonts w:cs="Arial"/>
        </w:rPr>
        <w:t xml:space="preserve">EIA is requesting a three-year extension with </w:t>
      </w:r>
      <w:r w:rsidR="007426CC">
        <w:rPr>
          <w:rFonts w:cs="Arial"/>
        </w:rPr>
        <w:t xml:space="preserve">a reduction in burden and </w:t>
      </w:r>
      <w:r w:rsidRPr="002E0255">
        <w:rPr>
          <w:rFonts w:cs="Arial"/>
        </w:rPr>
        <w:t>no changes to Form</w:t>
      </w:r>
      <w:r w:rsidR="00540A07">
        <w:rPr>
          <w:rFonts w:cs="Arial"/>
        </w:rPr>
        <w:t>s</w:t>
      </w:r>
      <w:r w:rsidRPr="002E0255">
        <w:rPr>
          <w:rFonts w:cs="Arial"/>
        </w:rPr>
        <w:t xml:space="preserve"> EIA-851A, EIA-851Q, and EIA-858.</w:t>
      </w:r>
    </w:p>
    <w:p w14:paraId="589688C8" w14:textId="10903DDA" w:rsidR="00F9269B" w:rsidRPr="005D6109" w:rsidRDefault="00E27FBA" w:rsidP="00F9269B">
      <w:pPr>
        <w:rPr>
          <w:rFonts w:eastAsiaTheme="minorEastAsia" w:cs="Arial"/>
        </w:rPr>
      </w:pPr>
      <w:r w:rsidRPr="002E0255">
        <w:rPr>
          <w:rFonts w:eastAsiaTheme="minorEastAsia" w:cs="Arial"/>
        </w:rPr>
        <w:t xml:space="preserve">The uranium surveys discussed constitute EIA’s </w:t>
      </w:r>
      <w:r w:rsidRPr="002E0255">
        <w:rPr>
          <w:rFonts w:eastAsiaTheme="minorEastAsia" w:cs="Arial"/>
          <w:i/>
        </w:rPr>
        <w:t>Uranium Data Program</w:t>
      </w:r>
      <w:r w:rsidRPr="002E0255">
        <w:rPr>
          <w:rFonts w:eastAsiaTheme="minorEastAsia" w:cs="Arial"/>
        </w:rPr>
        <w:t xml:space="preserve"> (UDP) and are part of EIA’s comprehensive energy data program</w:t>
      </w:r>
      <w:r w:rsidR="00DF520F" w:rsidRPr="002E0255">
        <w:rPr>
          <w:rFonts w:eastAsiaTheme="minorEastAsia" w:cs="Arial"/>
        </w:rPr>
        <w:t xml:space="preserve">. </w:t>
      </w:r>
      <w:r w:rsidRPr="002E0255">
        <w:rPr>
          <w:rFonts w:eastAsiaTheme="minorEastAsia" w:cs="Arial"/>
        </w:rPr>
        <w:t>The sur</w:t>
      </w:r>
      <w:r w:rsidR="000C2ABB" w:rsidRPr="00115AD2">
        <w:rPr>
          <w:rFonts w:eastAsiaTheme="minorEastAsia" w:cs="Arial"/>
        </w:rPr>
        <w:t xml:space="preserve">veys </w:t>
      </w:r>
      <w:r w:rsidRPr="002E0255">
        <w:rPr>
          <w:rFonts w:eastAsiaTheme="minorEastAsia" w:cs="Arial"/>
        </w:rPr>
        <w:t>coll</w:t>
      </w:r>
      <w:r w:rsidR="000C2ABB" w:rsidRPr="00115AD2">
        <w:rPr>
          <w:rFonts w:eastAsiaTheme="minorEastAsia" w:cs="Arial"/>
        </w:rPr>
        <w:t>ect</w:t>
      </w:r>
      <w:r w:rsidRPr="002E0255">
        <w:rPr>
          <w:rFonts w:eastAsiaTheme="minorEastAsia" w:cs="Arial"/>
        </w:rPr>
        <w:t xml:space="preserve"> </w:t>
      </w:r>
      <w:r w:rsidR="00216074" w:rsidRPr="00115AD2">
        <w:rPr>
          <w:rFonts w:eastAsiaTheme="minorEastAsia" w:cs="Arial"/>
        </w:rPr>
        <w:t xml:space="preserve">statistical </w:t>
      </w:r>
      <w:r w:rsidRPr="002E0255">
        <w:rPr>
          <w:rFonts w:eastAsiaTheme="minorEastAsia" w:cs="Arial"/>
        </w:rPr>
        <w:t>data on domestic uranium supply and demand activities including production, exploration and development, trade, purchases</w:t>
      </w:r>
      <w:r w:rsidR="00540A07">
        <w:rPr>
          <w:rFonts w:eastAsiaTheme="minorEastAsia" w:cs="Arial"/>
        </w:rPr>
        <w:t>,</w:t>
      </w:r>
      <w:r w:rsidRPr="002E0255">
        <w:rPr>
          <w:rFonts w:eastAsiaTheme="minorEastAsia" w:cs="Arial"/>
        </w:rPr>
        <w:t xml:space="preserve"> and sales available to the U.S</w:t>
      </w:r>
      <w:r w:rsidR="00DF520F" w:rsidRPr="002E0255">
        <w:rPr>
          <w:rFonts w:eastAsiaTheme="minorEastAsia" w:cs="Arial"/>
        </w:rPr>
        <w:t xml:space="preserve">. </w:t>
      </w:r>
      <w:r w:rsidRPr="002E0255">
        <w:rPr>
          <w:rFonts w:eastAsiaTheme="minorEastAsia" w:cs="Arial"/>
        </w:rPr>
        <w:t xml:space="preserve">The </w:t>
      </w:r>
      <w:r w:rsidR="00216074" w:rsidRPr="005D6109">
        <w:rPr>
          <w:rFonts w:eastAsiaTheme="minorEastAsia" w:cs="Arial"/>
        </w:rPr>
        <w:t>UDP</w:t>
      </w:r>
      <w:r w:rsidRPr="002E0255">
        <w:rPr>
          <w:rFonts w:eastAsiaTheme="minorEastAsia" w:cs="Arial"/>
        </w:rPr>
        <w:t xml:space="preserve"> surveys are:</w:t>
      </w:r>
    </w:p>
    <w:p w14:paraId="08D205FC" w14:textId="1A20B486" w:rsidR="00F8358A" w:rsidRPr="002E0255" w:rsidRDefault="00115AD2" w:rsidP="002E0255">
      <w:pPr>
        <w:pStyle w:val="ListParagraph"/>
        <w:rPr>
          <w:b w:val="0"/>
        </w:rPr>
      </w:pPr>
      <w:r w:rsidRPr="002E0255">
        <w:rPr>
          <w:rFonts w:eastAsiaTheme="minorEastAsia"/>
          <w:b w:val="0"/>
          <w:bCs w:val="0"/>
        </w:rPr>
        <w:t xml:space="preserve">Form EIA-851A </w:t>
      </w:r>
      <w:r w:rsidRPr="002E0255">
        <w:rPr>
          <w:rFonts w:eastAsiaTheme="minorEastAsia"/>
          <w:b w:val="0"/>
          <w:bCs w:val="0"/>
          <w:i/>
        </w:rPr>
        <w:t>Domestic Uranium Production Report (Annual)</w:t>
      </w:r>
      <w:r w:rsidR="00540A07" w:rsidRPr="002E0255">
        <w:rPr>
          <w:rFonts w:eastAsiaTheme="minorEastAsia"/>
          <w:b w:val="0"/>
          <w:bCs w:val="0"/>
          <w:i/>
        </w:rPr>
        <w:t>,</w:t>
      </w:r>
      <w:r w:rsidRPr="002E0255">
        <w:rPr>
          <w:rFonts w:eastAsiaTheme="minorEastAsia"/>
          <w:b w:val="0"/>
          <w:bCs w:val="0"/>
        </w:rPr>
        <w:t xml:space="preserve"> </w:t>
      </w:r>
      <w:r w:rsidRPr="002E0255">
        <w:rPr>
          <w:b w:val="0"/>
          <w:bCs w:val="0"/>
        </w:rPr>
        <w:t>collects annual data from the U.S. uranium industry on uranium milling and pr</w:t>
      </w:r>
      <w:r w:rsidR="00F9269B" w:rsidRPr="002E0255">
        <w:rPr>
          <w:b w:val="0"/>
          <w:bCs w:val="0"/>
        </w:rPr>
        <w:t xml:space="preserve">ocessing, uranium feed sources, </w:t>
      </w:r>
      <w:r w:rsidRPr="002E0255">
        <w:rPr>
          <w:b w:val="0"/>
          <w:bCs w:val="0"/>
        </w:rPr>
        <w:t>uranium mining, employment, drilling, exp</w:t>
      </w:r>
      <w:r w:rsidR="00F9269B" w:rsidRPr="002E0255">
        <w:rPr>
          <w:b w:val="0"/>
          <w:bCs w:val="0"/>
        </w:rPr>
        <w:t xml:space="preserve">enditures, and uranium reserves. </w:t>
      </w:r>
    </w:p>
    <w:p w14:paraId="4516704C" w14:textId="73BA26FC" w:rsidR="00F8358A" w:rsidRPr="002E0255" w:rsidRDefault="00115AD2" w:rsidP="002E0255">
      <w:pPr>
        <w:pStyle w:val="ListParagraph"/>
        <w:rPr>
          <w:b w:val="0"/>
        </w:rPr>
      </w:pPr>
      <w:r w:rsidRPr="002E0255">
        <w:rPr>
          <w:rFonts w:eastAsiaTheme="minorEastAsia"/>
          <w:b w:val="0"/>
          <w:bCs w:val="0"/>
        </w:rPr>
        <w:t xml:space="preserve">Form EIA-851Q </w:t>
      </w:r>
      <w:r w:rsidRPr="002E0255">
        <w:rPr>
          <w:rFonts w:eastAsiaTheme="minorEastAsia"/>
          <w:b w:val="0"/>
          <w:bCs w:val="0"/>
          <w:i/>
        </w:rPr>
        <w:t>Domestic Uranium Production Report (Quarterly)</w:t>
      </w:r>
      <w:r w:rsidR="00540A07" w:rsidRPr="002E0255">
        <w:rPr>
          <w:rFonts w:eastAsiaTheme="minorEastAsia"/>
          <w:b w:val="0"/>
          <w:bCs w:val="0"/>
          <w:i/>
        </w:rPr>
        <w:t>,</w:t>
      </w:r>
      <w:r w:rsidRPr="002E0255">
        <w:rPr>
          <w:rFonts w:eastAsiaTheme="minorEastAsia"/>
          <w:b w:val="0"/>
          <w:bCs w:val="0"/>
        </w:rPr>
        <w:t xml:space="preserve"> </w:t>
      </w:r>
      <w:r w:rsidRPr="002E0255">
        <w:rPr>
          <w:b w:val="0"/>
          <w:bCs w:val="0"/>
        </w:rPr>
        <w:t>collects data from the U.S. uranium industry on uranium production and sources (mines and other) on a quarterly basis.</w:t>
      </w:r>
    </w:p>
    <w:p w14:paraId="5043FDD9" w14:textId="47767520" w:rsidR="00275AC7" w:rsidRPr="002E0255" w:rsidRDefault="00115AD2" w:rsidP="002E0255">
      <w:pPr>
        <w:pStyle w:val="ListParagraph"/>
      </w:pPr>
      <w:r w:rsidRPr="002E0255">
        <w:rPr>
          <w:rFonts w:eastAsiaTheme="minorEastAsia"/>
          <w:b w:val="0"/>
          <w:bCs w:val="0"/>
        </w:rPr>
        <w:t xml:space="preserve">Form EIA-858 </w:t>
      </w:r>
      <w:r w:rsidRPr="002E0255">
        <w:rPr>
          <w:rFonts w:eastAsiaTheme="minorEastAsia"/>
          <w:b w:val="0"/>
          <w:bCs w:val="0"/>
          <w:i/>
        </w:rPr>
        <w:t>Uranium Marketing Annual Survey</w:t>
      </w:r>
      <w:r w:rsidR="00540A07" w:rsidRPr="002E0255">
        <w:rPr>
          <w:rFonts w:eastAsiaTheme="minorEastAsia"/>
          <w:b w:val="0"/>
          <w:bCs w:val="0"/>
          <w:i/>
        </w:rPr>
        <w:t>,</w:t>
      </w:r>
      <w:r w:rsidRPr="002E0255">
        <w:rPr>
          <w:rFonts w:eastAsiaTheme="minorEastAsia"/>
          <w:b w:val="0"/>
          <w:bCs w:val="0"/>
        </w:rPr>
        <w:t xml:space="preserve"> </w:t>
      </w:r>
      <w:r w:rsidRPr="002E0255">
        <w:rPr>
          <w:b w:val="0"/>
          <w:bCs w:val="0"/>
        </w:rPr>
        <w:t>collects annual data from the U.S. uranium market on uranium contracts and deliveries, inventories, enrichment services purchased, uranium in fuel assemblies, feed deliveries to enrichers, and unfilled market requirements. Uranium deliveries, feed deliveries to enrichers, and unfilled market requirements are reported both for the current reporting year and for the following ten years.</w:t>
      </w:r>
    </w:p>
    <w:p w14:paraId="4D72C462" w14:textId="77777777" w:rsidR="003254EF" w:rsidRPr="002E0255" w:rsidRDefault="003254EF" w:rsidP="00E92097">
      <w:pPr>
        <w:rPr>
          <w:szCs w:val="24"/>
        </w:rPr>
      </w:pPr>
    </w:p>
    <w:p w14:paraId="46E4C6E2" w14:textId="77777777" w:rsidR="008C734C" w:rsidRPr="002E0255" w:rsidRDefault="008C734C" w:rsidP="008C734C">
      <w:pPr>
        <w:pStyle w:val="Heading2"/>
        <w:rPr>
          <w:rFonts w:cs="Arial"/>
        </w:rPr>
      </w:pPr>
      <w:bookmarkStart w:id="3" w:name="_Toc495398093"/>
      <w:r w:rsidRPr="002E0255">
        <w:rPr>
          <w:rFonts w:cs="Arial"/>
        </w:rPr>
        <w:t>A.1. Legal Justification</w:t>
      </w:r>
      <w:bookmarkEnd w:id="3"/>
    </w:p>
    <w:p w14:paraId="7F2756D7" w14:textId="1E6E39E2" w:rsidR="00115AD2" w:rsidRDefault="00E67C45" w:rsidP="00E67C45">
      <w:pPr>
        <w:rPr>
          <w:rFonts w:cs="Arial"/>
        </w:rPr>
      </w:pPr>
      <w:r w:rsidRPr="002E0255">
        <w:rPr>
          <w:rFonts w:cs="Arial"/>
        </w:rPr>
        <w:t>The authority for this mandatory data collection is provided by the following provisions:</w:t>
      </w:r>
    </w:p>
    <w:p w14:paraId="6495EA54" w14:textId="77777777" w:rsidR="008419B8" w:rsidRPr="002E0255" w:rsidRDefault="008419B8" w:rsidP="00B96A84">
      <w:pPr>
        <w:pStyle w:val="ListParagraph"/>
        <w:numPr>
          <w:ilvl w:val="0"/>
          <w:numId w:val="11"/>
        </w:numPr>
        <w:rPr>
          <w:b w:val="0"/>
        </w:rPr>
      </w:pPr>
      <w:r w:rsidRPr="002E0255">
        <w:rPr>
          <w:b w:val="0"/>
        </w:rPr>
        <w:t>15 U.S.C. §772(b) states:</w:t>
      </w:r>
    </w:p>
    <w:p w14:paraId="664B8CCD" w14:textId="77777777" w:rsidR="008419B8" w:rsidRPr="002E0255" w:rsidRDefault="008419B8" w:rsidP="00B96A84">
      <w:pPr>
        <w:pStyle w:val="ListParagraph"/>
        <w:numPr>
          <w:ilvl w:val="1"/>
          <w:numId w:val="11"/>
        </w:numPr>
        <w:rPr>
          <w:b w:val="0"/>
        </w:rPr>
      </w:pPr>
      <w:r w:rsidRPr="002E0255">
        <w:rPr>
          <w:b w:val="0"/>
        </w:rPr>
        <w:t>"All persons owning or operating facilities or business premises who are engaged in any phase of energy supply or major energy consumption shall make available to the Administrator such information and periodic reports, records, documents, and other data, relating to the purposes of this Act, including full identification of all data and projections as to source, time and methodology of development; as the Administrator may prescribe by regulation or order as necessary or appropriate for the proper exercise of functions under this chapter."</w:t>
      </w:r>
    </w:p>
    <w:p w14:paraId="7B659113" w14:textId="77777777" w:rsidR="008419B8" w:rsidRPr="002E0255" w:rsidRDefault="008419B8" w:rsidP="00B96A84">
      <w:pPr>
        <w:pStyle w:val="ListParagraph"/>
        <w:numPr>
          <w:ilvl w:val="0"/>
          <w:numId w:val="11"/>
        </w:numPr>
        <w:rPr>
          <w:b w:val="0"/>
        </w:rPr>
      </w:pPr>
      <w:r w:rsidRPr="002E0255">
        <w:rPr>
          <w:b w:val="0"/>
        </w:rPr>
        <w:t>15 U.S.C. §764(b) states that to the extent authorized by subsection (a), the Administrator shall:</w:t>
      </w:r>
    </w:p>
    <w:p w14:paraId="027B88BB" w14:textId="77777777" w:rsidR="008419B8" w:rsidRPr="002E0255" w:rsidRDefault="008419B8" w:rsidP="00B96A84">
      <w:pPr>
        <w:pStyle w:val="ListParagraph"/>
        <w:numPr>
          <w:ilvl w:val="1"/>
          <w:numId w:val="11"/>
        </w:numPr>
        <w:rPr>
          <w:b w:val="0"/>
        </w:rPr>
      </w:pPr>
      <w:r w:rsidRPr="002E0255">
        <w:rPr>
          <w:b w:val="0"/>
        </w:rPr>
        <w:t>(1) advise the President and the Congress with respect to the establishment of a comprehensive national energy policy in relation to the energy matters for which the Administration has responsibility, and, in coordination with the Secretary of State, the integration of domestic and foreign policies relating to energy resource management;</w:t>
      </w:r>
    </w:p>
    <w:p w14:paraId="5839271A" w14:textId="77777777" w:rsidR="008419B8" w:rsidRPr="002E0255" w:rsidRDefault="008419B8" w:rsidP="00B96A84">
      <w:pPr>
        <w:pStyle w:val="ListParagraph"/>
        <w:numPr>
          <w:ilvl w:val="1"/>
          <w:numId w:val="11"/>
        </w:numPr>
        <w:rPr>
          <w:b w:val="0"/>
        </w:rPr>
      </w:pPr>
      <w:r w:rsidRPr="002E0255">
        <w:rPr>
          <w:b w:val="0"/>
        </w:rPr>
        <w:t>(2) assess the adequacy of energy resources to meet demands in the immediate and longer range future for all sectors of the economy and for the general public;</w:t>
      </w:r>
    </w:p>
    <w:p w14:paraId="239E00FE" w14:textId="77777777" w:rsidR="008419B8" w:rsidRPr="002E0255" w:rsidRDefault="008419B8" w:rsidP="00B96A84">
      <w:pPr>
        <w:pStyle w:val="ListParagraph"/>
        <w:numPr>
          <w:ilvl w:val="1"/>
          <w:numId w:val="11"/>
        </w:numPr>
        <w:rPr>
          <w:b w:val="0"/>
        </w:rPr>
      </w:pPr>
      <w:r w:rsidRPr="002E0255">
        <w:rPr>
          <w:b w:val="0"/>
        </w:rPr>
        <w:t>(3) develop effective arrangements for the participation of State and local governments in the resolution of energy problems;</w:t>
      </w:r>
    </w:p>
    <w:p w14:paraId="7F98D401" w14:textId="77777777" w:rsidR="008419B8" w:rsidRPr="002E0255" w:rsidRDefault="008419B8" w:rsidP="00B96A84">
      <w:pPr>
        <w:pStyle w:val="ListParagraph"/>
        <w:numPr>
          <w:ilvl w:val="1"/>
          <w:numId w:val="11"/>
        </w:numPr>
        <w:rPr>
          <w:b w:val="0"/>
        </w:rPr>
      </w:pPr>
      <w:r w:rsidRPr="002E0255">
        <w:rPr>
          <w:b w:val="0"/>
        </w:rPr>
        <w:t>(4) develop plans and programs for dealing with energy production shortages; …</w:t>
      </w:r>
    </w:p>
    <w:p w14:paraId="250A325C" w14:textId="77777777" w:rsidR="008419B8" w:rsidRPr="002E0255" w:rsidRDefault="008419B8" w:rsidP="00B96A84">
      <w:pPr>
        <w:pStyle w:val="ListParagraph"/>
        <w:numPr>
          <w:ilvl w:val="1"/>
          <w:numId w:val="11"/>
        </w:numPr>
        <w:rPr>
          <w:b w:val="0"/>
        </w:rPr>
      </w:pPr>
      <w:r w:rsidRPr="002E0255">
        <w:rPr>
          <w:b w:val="0"/>
        </w:rPr>
        <w:t>(5) promote stability in energy prices to the consumer, promote free and open competition in all aspects of the energy field, prevent unreasonable profits within the various segments of the energy industry, and promote free enterprise;</w:t>
      </w:r>
    </w:p>
    <w:p w14:paraId="133AC0FA" w14:textId="77777777" w:rsidR="008419B8" w:rsidRDefault="008419B8" w:rsidP="00B96A84">
      <w:pPr>
        <w:pStyle w:val="ListParagraph"/>
        <w:numPr>
          <w:ilvl w:val="1"/>
          <w:numId w:val="11"/>
        </w:numPr>
        <w:rPr>
          <w:b w:val="0"/>
        </w:rPr>
      </w:pPr>
      <w:r w:rsidRPr="002E0255">
        <w:rPr>
          <w:b w:val="0"/>
        </w:rPr>
        <w:t>(6) assure that energy programs are designed and implemented in a fair and efficient manner so as to minimize hardship and inequity while assuring that the priority needs of the Nation are met;</w:t>
      </w:r>
    </w:p>
    <w:p w14:paraId="59AF245C" w14:textId="6F9E948E" w:rsidR="00716B29" w:rsidRDefault="00716B29" w:rsidP="00B96A84">
      <w:pPr>
        <w:pStyle w:val="ListParagraph"/>
        <w:numPr>
          <w:ilvl w:val="1"/>
          <w:numId w:val="11"/>
        </w:numPr>
        <w:rPr>
          <w:b w:val="0"/>
        </w:rPr>
      </w:pPr>
      <w:r>
        <w:rPr>
          <w:b w:val="0"/>
        </w:rPr>
        <w:t xml:space="preserve">(7) develop and oversee the implementation of equitable voluntary and mandatory energy conservation programs and promote efficiencies in the use of energy resources; </w:t>
      </w:r>
    </w:p>
    <w:p w14:paraId="31B5F144" w14:textId="2BF583EA" w:rsidR="00716B29" w:rsidRPr="002E0255" w:rsidRDefault="00716B29" w:rsidP="00B96A84">
      <w:pPr>
        <w:pStyle w:val="ListParagraph"/>
        <w:numPr>
          <w:ilvl w:val="1"/>
          <w:numId w:val="11"/>
        </w:numPr>
        <w:rPr>
          <w:b w:val="0"/>
        </w:rPr>
      </w:pPr>
      <w:r>
        <w:rPr>
          <w:b w:val="0"/>
        </w:rPr>
        <w:t>(8) develop and recommend policies on the import and export of energy resources;</w:t>
      </w:r>
    </w:p>
    <w:p w14:paraId="5009EA38" w14:textId="77777777" w:rsidR="008419B8" w:rsidRDefault="008419B8" w:rsidP="00B96A84">
      <w:pPr>
        <w:pStyle w:val="ListParagraph"/>
        <w:numPr>
          <w:ilvl w:val="1"/>
          <w:numId w:val="11"/>
        </w:numPr>
        <w:rPr>
          <w:b w:val="0"/>
        </w:rPr>
      </w:pPr>
      <w:r w:rsidRPr="002E0255">
        <w:rPr>
          <w:b w:val="0"/>
        </w:rPr>
        <w:t xml:space="preserve">(9) collect, evaluate, assemble, and analyze energy information on reserves, production, demand, and related economic data; </w:t>
      </w:r>
    </w:p>
    <w:p w14:paraId="31D0003D" w14:textId="5F3C9822" w:rsidR="004F114C" w:rsidRDefault="004F114C" w:rsidP="00B96A84">
      <w:pPr>
        <w:pStyle w:val="ListParagraph"/>
        <w:numPr>
          <w:ilvl w:val="1"/>
          <w:numId w:val="11"/>
        </w:numPr>
        <w:rPr>
          <w:b w:val="0"/>
        </w:rPr>
      </w:pPr>
      <w:r>
        <w:rPr>
          <w:b w:val="0"/>
        </w:rPr>
        <w:t>(10) work with business, labor, consumer and other interests and obtain their cooperation;</w:t>
      </w:r>
    </w:p>
    <w:p w14:paraId="13A5EB32" w14:textId="179177B6" w:rsidR="004F114C" w:rsidRPr="002E0255" w:rsidRDefault="004F114C" w:rsidP="00B96A84">
      <w:pPr>
        <w:pStyle w:val="ListParagraph"/>
        <w:numPr>
          <w:ilvl w:val="1"/>
          <w:numId w:val="11"/>
        </w:numPr>
        <w:rPr>
          <w:b w:val="0"/>
        </w:rPr>
      </w:pPr>
      <w:r>
        <w:rPr>
          <w:b w:val="0"/>
        </w:rPr>
        <w:t>(11) in administering any pricing authority, provide by rule, for equitable allocation of all component costs of producing propane gas. Such rules may require that (a) only those costs directly related to the production of propane may be allocated by any producer to such gas for purposes of establishing any price for propane, and (b) prices for propane shall be based on the prices for propane in effect on May 15, 1973. The Administrator shall not allow costs attributable to changes in ownership and movement of propane gas where, in the opinion of the Administrator, changes in ownership and movement occur primarily for the purpose of establishing a higher price;</w:t>
      </w:r>
    </w:p>
    <w:p w14:paraId="276B576A" w14:textId="77777777" w:rsidR="008419B8" w:rsidRPr="002E0255" w:rsidRDefault="008419B8" w:rsidP="00B96A84">
      <w:pPr>
        <w:pStyle w:val="ListParagraph"/>
        <w:numPr>
          <w:ilvl w:val="1"/>
          <w:numId w:val="11"/>
        </w:numPr>
        <w:rPr>
          <w:b w:val="0"/>
        </w:rPr>
      </w:pPr>
      <w:r w:rsidRPr="002E0255">
        <w:rPr>
          <w:b w:val="0"/>
        </w:rPr>
        <w:t>(12) perform such other functions as may be prescribed by law."</w:t>
      </w:r>
    </w:p>
    <w:p w14:paraId="5C0534A7" w14:textId="77777777" w:rsidR="008419B8" w:rsidRPr="002E0255" w:rsidRDefault="008419B8" w:rsidP="00B96A84">
      <w:pPr>
        <w:pStyle w:val="ListParagraph"/>
        <w:numPr>
          <w:ilvl w:val="0"/>
          <w:numId w:val="11"/>
        </w:numPr>
        <w:rPr>
          <w:b w:val="0"/>
        </w:rPr>
      </w:pPr>
      <w:r w:rsidRPr="002E0255">
        <w:rPr>
          <w:b w:val="0"/>
        </w:rPr>
        <w:t>As the authority for invoking subsection (b), above, 15 U.S.C. §764(a) states:</w:t>
      </w:r>
    </w:p>
    <w:p w14:paraId="4EC1DEE2" w14:textId="77777777" w:rsidR="008419B8" w:rsidRPr="002E0255" w:rsidRDefault="008419B8" w:rsidP="00B96A84">
      <w:pPr>
        <w:pStyle w:val="ListParagraph"/>
        <w:numPr>
          <w:ilvl w:val="1"/>
          <w:numId w:val="11"/>
        </w:numPr>
        <w:rPr>
          <w:b w:val="0"/>
        </w:rPr>
      </w:pPr>
      <w:r w:rsidRPr="002E0255">
        <w:rPr>
          <w:b w:val="0"/>
        </w:rPr>
        <w:t>”Subject to the provisions and procedures set forth in this Act, the [Secretary] shall be responsible for such actions as are taken to assure that adequate provision is made to meet the energy needs of the Nation. To that end, he shall make such plans and direct and conduct such programs related to the production, conservation, use, control, distribution, rationing, and allocation of all forms of energy as are appropriate in connection with only those authorities or functions-</w:t>
      </w:r>
    </w:p>
    <w:p w14:paraId="7E90535F" w14:textId="77777777" w:rsidR="008419B8" w:rsidRDefault="008419B8" w:rsidP="00B96A84">
      <w:pPr>
        <w:pStyle w:val="ListParagraph"/>
        <w:numPr>
          <w:ilvl w:val="2"/>
          <w:numId w:val="11"/>
        </w:numPr>
        <w:rPr>
          <w:b w:val="0"/>
        </w:rPr>
      </w:pPr>
      <w:r w:rsidRPr="002E0255">
        <w:rPr>
          <w:b w:val="0"/>
        </w:rPr>
        <w:t>(1) specifically transferred to or vested in him by or pursuant to this chapter;</w:t>
      </w:r>
    </w:p>
    <w:p w14:paraId="5647387D" w14:textId="054EEEAD" w:rsidR="00791224" w:rsidRPr="002E0255" w:rsidRDefault="00791224" w:rsidP="00B96A84">
      <w:pPr>
        <w:pStyle w:val="ListParagraph"/>
        <w:numPr>
          <w:ilvl w:val="2"/>
          <w:numId w:val="11"/>
        </w:numPr>
        <w:rPr>
          <w:b w:val="0"/>
        </w:rPr>
      </w:pPr>
      <w:r>
        <w:rPr>
          <w:b w:val="0"/>
        </w:rPr>
        <w:t>(2) delegated to him by the President pursuant to specific authority vested in the President by law; and</w:t>
      </w:r>
    </w:p>
    <w:p w14:paraId="01DB6A76" w14:textId="1268DC15" w:rsidR="008419B8" w:rsidRPr="002E0255" w:rsidRDefault="008419B8" w:rsidP="00B96A84">
      <w:pPr>
        <w:pStyle w:val="ListParagraph"/>
        <w:numPr>
          <w:ilvl w:val="2"/>
          <w:numId w:val="11"/>
        </w:numPr>
        <w:rPr>
          <w:b w:val="0"/>
        </w:rPr>
      </w:pPr>
      <w:r w:rsidRPr="002E0255">
        <w:rPr>
          <w:b w:val="0"/>
        </w:rPr>
        <w:t>(</w:t>
      </w:r>
      <w:r w:rsidR="00791224">
        <w:rPr>
          <w:b w:val="0"/>
        </w:rPr>
        <w:t>3</w:t>
      </w:r>
      <w:r w:rsidRPr="002E0255">
        <w:rPr>
          <w:b w:val="0"/>
        </w:rPr>
        <w:t>) otherwise specifically vested in the Administrator by the Congress."</w:t>
      </w:r>
    </w:p>
    <w:p w14:paraId="598FE996" w14:textId="77777777" w:rsidR="008419B8" w:rsidRPr="002E0255" w:rsidRDefault="008419B8" w:rsidP="00B96A84">
      <w:pPr>
        <w:pStyle w:val="ListParagraph"/>
        <w:numPr>
          <w:ilvl w:val="0"/>
          <w:numId w:val="11"/>
        </w:numPr>
        <w:rPr>
          <w:b w:val="0"/>
        </w:rPr>
      </w:pPr>
      <w:r w:rsidRPr="002E0255">
        <w:rPr>
          <w:b w:val="0"/>
        </w:rPr>
        <w:t>Additional authority for this information collection is provided by 15 U.S.C. §790(a) which states;</w:t>
      </w:r>
    </w:p>
    <w:p w14:paraId="01010C98" w14:textId="77777777" w:rsidR="008419B8" w:rsidRPr="002E0255" w:rsidRDefault="008419B8" w:rsidP="00B96A84">
      <w:pPr>
        <w:pStyle w:val="ListParagraph"/>
        <w:numPr>
          <w:ilvl w:val="1"/>
          <w:numId w:val="11"/>
        </w:numPr>
        <w:rPr>
          <w:b w:val="0"/>
        </w:rPr>
      </w:pPr>
      <w:r w:rsidRPr="002E0255">
        <w:rPr>
          <w:b w:val="0"/>
        </w:rPr>
        <w:t>“It shall be the duty of the Director to establish a National Energy Information System… [which] shall contain such information as is required to provide a description of and facilitate analysis of energy supply and consumption within and affecting the United States on the basis of such geographic areas and economic sectors as may be appropriate… to meet adequately the needs of…”</w:t>
      </w:r>
    </w:p>
    <w:p w14:paraId="204CD952" w14:textId="77777777" w:rsidR="008419B8" w:rsidRPr="002E0255" w:rsidRDefault="008419B8" w:rsidP="00B96A84">
      <w:pPr>
        <w:pStyle w:val="ListParagraph"/>
        <w:numPr>
          <w:ilvl w:val="2"/>
          <w:numId w:val="11"/>
        </w:numPr>
        <w:rPr>
          <w:b w:val="0"/>
        </w:rPr>
      </w:pPr>
      <w:r w:rsidRPr="002E0255">
        <w:rPr>
          <w:b w:val="0"/>
        </w:rPr>
        <w:t>(1) the Department of Energy in carrying out its lawful functions;</w:t>
      </w:r>
    </w:p>
    <w:p w14:paraId="3F39D7D0" w14:textId="77777777" w:rsidR="008419B8" w:rsidRPr="002E0255" w:rsidRDefault="008419B8" w:rsidP="00B96A84">
      <w:pPr>
        <w:pStyle w:val="ListParagraph"/>
        <w:numPr>
          <w:ilvl w:val="2"/>
          <w:numId w:val="11"/>
        </w:numPr>
        <w:rPr>
          <w:b w:val="0"/>
        </w:rPr>
      </w:pPr>
      <w:r w:rsidRPr="002E0255">
        <w:rPr>
          <w:b w:val="0"/>
        </w:rPr>
        <w:t>(2) the Congress;</w:t>
      </w:r>
    </w:p>
    <w:p w14:paraId="29190E4F" w14:textId="77777777" w:rsidR="008419B8" w:rsidRPr="002E0255" w:rsidRDefault="008419B8" w:rsidP="00B96A84">
      <w:pPr>
        <w:pStyle w:val="ListParagraph"/>
        <w:numPr>
          <w:ilvl w:val="2"/>
          <w:numId w:val="11"/>
        </w:numPr>
        <w:rPr>
          <w:b w:val="0"/>
        </w:rPr>
      </w:pPr>
      <w:r w:rsidRPr="002E0255">
        <w:rPr>
          <w:b w:val="0"/>
        </w:rPr>
        <w:t>(3) other officers and employees of the United States in whom have been vested, or to whom have been delegated energy-related policy decision-making responsibilities;</w:t>
      </w:r>
    </w:p>
    <w:p w14:paraId="4146B049" w14:textId="77777777" w:rsidR="008419B8" w:rsidRPr="002E0255" w:rsidRDefault="008419B8" w:rsidP="00B96A84">
      <w:pPr>
        <w:pStyle w:val="ListParagraph"/>
        <w:numPr>
          <w:ilvl w:val="2"/>
          <w:numId w:val="11"/>
        </w:numPr>
        <w:rPr>
          <w:b w:val="0"/>
        </w:rPr>
      </w:pPr>
      <w:r w:rsidRPr="002E0255">
        <w:rPr>
          <w:b w:val="0"/>
        </w:rPr>
        <w:t>(4) the States to the extent required by the Natural Gas Act [15 U.S.C. §717 et seq.] and the Federal Power Act [16 U.S.C. §791a et seq.].</w:t>
      </w:r>
    </w:p>
    <w:p w14:paraId="4FE5B437" w14:textId="77777777" w:rsidR="008419B8" w:rsidRPr="002E0255" w:rsidRDefault="008419B8" w:rsidP="00B96A84">
      <w:pPr>
        <w:pStyle w:val="ListParagraph"/>
        <w:numPr>
          <w:ilvl w:val="1"/>
          <w:numId w:val="11"/>
        </w:numPr>
        <w:rPr>
          <w:b w:val="0"/>
        </w:rPr>
      </w:pPr>
      <w:r w:rsidRPr="002E0255">
        <w:rPr>
          <w:b w:val="0"/>
        </w:rPr>
        <w:t>"At a minimum, the System shall contain such energy information as is necessary to carry out the Administration's statistical and forecasting activities, and shall include… such energy information as is required to define and permit analysis of;</w:t>
      </w:r>
    </w:p>
    <w:p w14:paraId="3A3F77B3" w14:textId="77777777" w:rsidR="008419B8" w:rsidRPr="002E0255" w:rsidRDefault="008419B8" w:rsidP="00B96A84">
      <w:pPr>
        <w:pStyle w:val="ListParagraph"/>
        <w:numPr>
          <w:ilvl w:val="2"/>
          <w:numId w:val="11"/>
        </w:numPr>
        <w:rPr>
          <w:b w:val="0"/>
        </w:rPr>
      </w:pPr>
      <w:r w:rsidRPr="002E0255">
        <w:rPr>
          <w:b w:val="0"/>
        </w:rPr>
        <w:t>(1) the institutional structure of the energy supply system including patterns of ownership and control of mineral fuel and non-mineral energy resources and the production, distribution, and marketing of mineral fuels and electricity;</w:t>
      </w:r>
    </w:p>
    <w:p w14:paraId="2FDFE013" w14:textId="77777777" w:rsidR="008419B8" w:rsidRDefault="008419B8" w:rsidP="00B96A84">
      <w:pPr>
        <w:pStyle w:val="ListParagraph"/>
        <w:numPr>
          <w:ilvl w:val="2"/>
          <w:numId w:val="11"/>
        </w:numPr>
        <w:rPr>
          <w:b w:val="0"/>
        </w:rPr>
      </w:pPr>
      <w:r w:rsidRPr="002E0255">
        <w:rPr>
          <w:b w:val="0"/>
        </w:rPr>
        <w:t>(2) the consumption of mineral fuels, non-mineral energy resources, and electricity by such classes, sectors, and regions as may be appropriate for the purposes of this chapter;</w:t>
      </w:r>
    </w:p>
    <w:p w14:paraId="7903FF91" w14:textId="4B4ED476" w:rsidR="00791224" w:rsidRDefault="00791224" w:rsidP="00B96A84">
      <w:pPr>
        <w:pStyle w:val="ListParagraph"/>
        <w:numPr>
          <w:ilvl w:val="2"/>
          <w:numId w:val="11"/>
        </w:numPr>
        <w:rPr>
          <w:b w:val="0"/>
        </w:rPr>
      </w:pPr>
      <w:r>
        <w:rPr>
          <w:b w:val="0"/>
        </w:rPr>
        <w:t>(3) the sensitivity of energy resource reserves, exploration, development, production, transportation, and consumption to economic factors, environmental constraints, technological improvements, and suitability of alternate energy sources;</w:t>
      </w:r>
    </w:p>
    <w:p w14:paraId="179BB3D6" w14:textId="138CE025" w:rsidR="00791224" w:rsidRPr="002E0255" w:rsidRDefault="00791224" w:rsidP="00B96A84">
      <w:pPr>
        <w:pStyle w:val="ListParagraph"/>
        <w:numPr>
          <w:ilvl w:val="2"/>
          <w:numId w:val="11"/>
        </w:numPr>
        <w:rPr>
          <w:b w:val="0"/>
        </w:rPr>
      </w:pPr>
      <w:r>
        <w:rPr>
          <w:b w:val="0"/>
        </w:rPr>
        <w:t>(4) the comparability of energy information and statistics that are supplied by different sources;</w:t>
      </w:r>
    </w:p>
    <w:p w14:paraId="3AA40EC5" w14:textId="77777777" w:rsidR="008419B8" w:rsidRPr="002E0255" w:rsidRDefault="008419B8" w:rsidP="00B96A84">
      <w:pPr>
        <w:pStyle w:val="ListParagraph"/>
        <w:numPr>
          <w:ilvl w:val="2"/>
          <w:numId w:val="11"/>
        </w:numPr>
        <w:rPr>
          <w:b w:val="0"/>
        </w:rPr>
      </w:pPr>
      <w:r w:rsidRPr="002E0255">
        <w:rPr>
          <w:b w:val="0"/>
        </w:rPr>
        <w:t>(5) industrial, labor, and regional impacts of changes in patterns of energy supply and consumption;</w:t>
      </w:r>
    </w:p>
    <w:p w14:paraId="7984F640" w14:textId="77777777" w:rsidR="008419B8" w:rsidRPr="003932DC" w:rsidRDefault="008419B8" w:rsidP="002E0255">
      <w:pPr>
        <w:pStyle w:val="ListParagraph"/>
        <w:numPr>
          <w:ilvl w:val="2"/>
          <w:numId w:val="11"/>
        </w:numPr>
      </w:pPr>
      <w:r w:rsidRPr="002E0255">
        <w:rPr>
          <w:b w:val="0"/>
        </w:rPr>
        <w:t>(6) international aspects, economic and otherwise, of the evolving energy situation; and</w:t>
      </w:r>
    </w:p>
    <w:p w14:paraId="014A498A" w14:textId="7CE7E770" w:rsidR="00F9269B" w:rsidRPr="008419B8" w:rsidRDefault="008419B8" w:rsidP="002E0255">
      <w:pPr>
        <w:pStyle w:val="ListParagraph"/>
        <w:numPr>
          <w:ilvl w:val="2"/>
          <w:numId w:val="11"/>
        </w:numPr>
      </w:pPr>
      <w:r w:rsidRPr="002E0255">
        <w:rPr>
          <w:b w:val="0"/>
        </w:rPr>
        <w:t>(7) long-term relationships between energy supply and consumption in the United States and world communities.”</w:t>
      </w:r>
    </w:p>
    <w:p w14:paraId="06B8CB3A" w14:textId="77777777" w:rsidR="008C734C" w:rsidRPr="002E0255" w:rsidRDefault="008C734C" w:rsidP="00A41763">
      <w:pPr>
        <w:rPr>
          <w:rFonts w:cs="Arial"/>
        </w:rPr>
      </w:pPr>
    </w:p>
    <w:p w14:paraId="7A591CA6" w14:textId="77777777" w:rsidR="008C734C" w:rsidRPr="002E0255" w:rsidRDefault="008C734C" w:rsidP="008C734C">
      <w:pPr>
        <w:pStyle w:val="Heading2"/>
        <w:rPr>
          <w:rFonts w:cs="Arial"/>
        </w:rPr>
      </w:pPr>
      <w:bookmarkStart w:id="4" w:name="_Toc495398094"/>
      <w:r w:rsidRPr="002E0255">
        <w:rPr>
          <w:rFonts w:cs="Arial"/>
        </w:rPr>
        <w:t>A.2. Needs and Uses of Data</w:t>
      </w:r>
      <w:bookmarkEnd w:id="4"/>
    </w:p>
    <w:p w14:paraId="32A715D4" w14:textId="2F9DA6A9" w:rsidR="00ED761A" w:rsidRPr="002E0255" w:rsidRDefault="00ED761A" w:rsidP="002E0255">
      <w:r w:rsidRPr="002E0255">
        <w:rPr>
          <w:rFonts w:cs="Arial"/>
        </w:rPr>
        <w:t>EIA</w:t>
      </w:r>
      <w:r w:rsidR="007210EB">
        <w:rPr>
          <w:rFonts w:cs="Arial"/>
        </w:rPr>
        <w:t>’s</w:t>
      </w:r>
      <w:r w:rsidRPr="002E0255">
        <w:rPr>
          <w:rFonts w:cs="Arial"/>
        </w:rPr>
        <w:t xml:space="preserve"> </w:t>
      </w:r>
      <w:r w:rsidRPr="002E0255">
        <w:rPr>
          <w:rFonts w:cs="Arial"/>
          <w:i/>
        </w:rPr>
        <w:t>Uranium Data Program</w:t>
      </w:r>
      <w:r w:rsidRPr="002E0255">
        <w:rPr>
          <w:rFonts w:cs="Arial"/>
        </w:rPr>
        <w:t xml:space="preserve"> collect</w:t>
      </w:r>
      <w:r w:rsidR="006724AE">
        <w:rPr>
          <w:rFonts w:cs="Arial"/>
        </w:rPr>
        <w:t>s</w:t>
      </w:r>
      <w:r w:rsidR="007634ED">
        <w:rPr>
          <w:rFonts w:cs="Arial"/>
        </w:rPr>
        <w:t xml:space="preserve"> </w:t>
      </w:r>
      <w:r w:rsidRPr="002E0255">
        <w:rPr>
          <w:rFonts w:cs="Arial"/>
        </w:rPr>
        <w:t>data on domestic uranium supply and demand activities, including production, exploration and development, trade, and purchases and sales available to the U.S</w:t>
      </w:r>
      <w:r w:rsidR="00DF520F" w:rsidRPr="002E0255">
        <w:rPr>
          <w:rFonts w:cs="Arial"/>
        </w:rPr>
        <w:t xml:space="preserve">. </w:t>
      </w:r>
      <w:r w:rsidRPr="002E0255">
        <w:rPr>
          <w:rFonts w:cs="Arial"/>
        </w:rPr>
        <w:t xml:space="preserve">The </w:t>
      </w:r>
      <w:r w:rsidR="007634ED">
        <w:rPr>
          <w:rFonts w:cs="Arial"/>
        </w:rPr>
        <w:t>users</w:t>
      </w:r>
      <w:r w:rsidR="007634ED" w:rsidRPr="002E0255">
        <w:rPr>
          <w:rFonts w:cs="Arial"/>
        </w:rPr>
        <w:t xml:space="preserve"> </w:t>
      </w:r>
      <w:r w:rsidRPr="002E0255">
        <w:rPr>
          <w:rFonts w:cs="Arial"/>
        </w:rPr>
        <w:t>for these data includes the Congress</w:t>
      </w:r>
      <w:r w:rsidR="006005E9">
        <w:rPr>
          <w:rFonts w:cs="Arial"/>
        </w:rPr>
        <w:t xml:space="preserve"> and Congressional staff</w:t>
      </w:r>
      <w:r w:rsidRPr="002E0255">
        <w:rPr>
          <w:rFonts w:cs="Arial"/>
        </w:rPr>
        <w:t>,</w:t>
      </w:r>
      <w:r w:rsidR="00F0686C">
        <w:rPr>
          <w:rFonts w:cs="Arial"/>
        </w:rPr>
        <w:t xml:space="preserve"> the Congressional Research Service, Nuclear Regulatory Commission,</w:t>
      </w:r>
      <w:r w:rsidRPr="002E0255">
        <w:rPr>
          <w:rFonts w:cs="Arial"/>
        </w:rPr>
        <w:t xml:space="preserve"> </w:t>
      </w:r>
      <w:r w:rsidR="006005E9">
        <w:rPr>
          <w:rFonts w:cs="Arial"/>
        </w:rPr>
        <w:t xml:space="preserve">Department of Energy’s Office of Nuclear Energy, </w:t>
      </w:r>
      <w:r w:rsidRPr="002E0255">
        <w:rPr>
          <w:rFonts w:cs="Arial"/>
        </w:rPr>
        <w:t>the nuclear and uranium industry, and the publ</w:t>
      </w:r>
      <w:r w:rsidR="006724AE">
        <w:rPr>
          <w:rFonts w:cs="Arial"/>
        </w:rPr>
        <w:t>ic</w:t>
      </w:r>
      <w:r w:rsidR="00DF520F" w:rsidRPr="002E0255">
        <w:rPr>
          <w:rFonts w:cs="Arial"/>
        </w:rPr>
        <w:t>.</w:t>
      </w:r>
      <w:r w:rsidR="00F0686C">
        <w:rPr>
          <w:rFonts w:cs="Arial"/>
        </w:rPr>
        <w:t xml:space="preserve"> There are Executive Branch agencies who collect data related to the uranium industry who also rely on UDP (listed on page 6).</w:t>
      </w:r>
    </w:p>
    <w:p w14:paraId="64F1E172" w14:textId="577FBF8C" w:rsidR="00ED761A" w:rsidRPr="002E0255" w:rsidRDefault="00ED761A" w:rsidP="00ED761A">
      <w:pPr>
        <w:rPr>
          <w:rFonts w:cs="Arial"/>
        </w:rPr>
      </w:pPr>
      <w:r w:rsidRPr="002E0255">
        <w:rPr>
          <w:rFonts w:cs="Arial"/>
        </w:rPr>
        <w:t>The data collected on Form EIA-851A</w:t>
      </w:r>
      <w:r w:rsidR="00CE0BB1">
        <w:rPr>
          <w:rFonts w:cs="Arial"/>
        </w:rPr>
        <w:t xml:space="preserve"> </w:t>
      </w:r>
      <w:r w:rsidR="00CE0BB1" w:rsidRPr="00695959">
        <w:rPr>
          <w:i/>
        </w:rPr>
        <w:t>Domestic Uranium Production Report (Annual)</w:t>
      </w:r>
      <w:r w:rsidR="00540A07">
        <w:rPr>
          <w:i/>
        </w:rPr>
        <w:t>,</w:t>
      </w:r>
      <w:r w:rsidRPr="002E0255">
        <w:rPr>
          <w:rFonts w:cs="Arial"/>
        </w:rPr>
        <w:t xml:space="preserve"> are used to publish annual</w:t>
      </w:r>
      <w:r w:rsidR="00254F6A">
        <w:rPr>
          <w:rFonts w:cs="Arial"/>
        </w:rPr>
        <w:t xml:space="preserve"> information on</w:t>
      </w:r>
      <w:r w:rsidRPr="002E0255">
        <w:rPr>
          <w:rFonts w:cs="Arial"/>
        </w:rPr>
        <w:t>:</w:t>
      </w:r>
    </w:p>
    <w:p w14:paraId="2E62ACC7" w14:textId="77777777" w:rsidR="00ED761A" w:rsidRPr="002E0255" w:rsidRDefault="00ED761A" w:rsidP="002E0255">
      <w:pPr>
        <w:pStyle w:val="ListParagraph"/>
        <w:rPr>
          <w:b w:val="0"/>
        </w:rPr>
      </w:pPr>
      <w:r w:rsidRPr="002E0255">
        <w:rPr>
          <w:b w:val="0"/>
        </w:rPr>
        <w:t>Exploration and development drilling activities in the U.S. uranium production industry including data on number of holes and drilling footage;</w:t>
      </w:r>
    </w:p>
    <w:p w14:paraId="1A8B2A62" w14:textId="77777777" w:rsidR="00ED761A" w:rsidRPr="002E0255" w:rsidRDefault="00ED761A" w:rsidP="002E0255">
      <w:pPr>
        <w:pStyle w:val="ListParagraph"/>
        <w:rPr>
          <w:b w:val="0"/>
        </w:rPr>
      </w:pPr>
      <w:r w:rsidRPr="002E0255">
        <w:rPr>
          <w:b w:val="0"/>
        </w:rPr>
        <w:t>U.S. uranium mine production and number of operating mines;</w:t>
      </w:r>
    </w:p>
    <w:p w14:paraId="67E5AE24" w14:textId="77777777" w:rsidR="00ED761A" w:rsidRPr="002E0255" w:rsidRDefault="00ED761A" w:rsidP="002E0255">
      <w:pPr>
        <w:pStyle w:val="ListParagraph"/>
        <w:rPr>
          <w:b w:val="0"/>
        </w:rPr>
      </w:pPr>
      <w:r w:rsidRPr="002E0255">
        <w:rPr>
          <w:b w:val="0"/>
        </w:rPr>
        <w:t>Activities at U.S. uranium mills, heap leach, and in-situ leach plants including uranium concentrate production and shipments;</w:t>
      </w:r>
    </w:p>
    <w:p w14:paraId="71569249" w14:textId="77777777" w:rsidR="00ED761A" w:rsidRPr="002E0255" w:rsidRDefault="00ED761A" w:rsidP="002E0255">
      <w:pPr>
        <w:pStyle w:val="ListParagraph"/>
        <w:rPr>
          <w:b w:val="0"/>
        </w:rPr>
      </w:pPr>
      <w:r w:rsidRPr="002E0255">
        <w:rPr>
          <w:b w:val="0"/>
        </w:rPr>
        <w:t>Owner, location, capacity, and operating status of existing and planned uranium concentrate facilities;</w:t>
      </w:r>
    </w:p>
    <w:p w14:paraId="2136FA59" w14:textId="62DAC0FE" w:rsidR="00ED761A" w:rsidRPr="002E0255" w:rsidRDefault="00ED761A" w:rsidP="002E0255">
      <w:pPr>
        <w:pStyle w:val="ListParagraph"/>
        <w:rPr>
          <w:b w:val="0"/>
        </w:rPr>
      </w:pPr>
      <w:r w:rsidRPr="002E0255">
        <w:rPr>
          <w:b w:val="0"/>
        </w:rPr>
        <w:t>Employment in the U.S. uranium production industry by exploration, mining, milling, processing, and reclamation categories</w:t>
      </w:r>
      <w:r w:rsidR="007634ED" w:rsidRPr="002E0255">
        <w:rPr>
          <w:b w:val="0"/>
        </w:rPr>
        <w:t>,</w:t>
      </w:r>
      <w:r w:rsidRPr="002E0255">
        <w:rPr>
          <w:b w:val="0"/>
        </w:rPr>
        <w:t xml:space="preserve"> and by </w:t>
      </w:r>
      <w:r w:rsidR="00392F0C" w:rsidRPr="002E0255">
        <w:rPr>
          <w:b w:val="0"/>
        </w:rPr>
        <w:t>s</w:t>
      </w:r>
      <w:r w:rsidRPr="002E0255">
        <w:rPr>
          <w:b w:val="0"/>
        </w:rPr>
        <w:t>tate;</w:t>
      </w:r>
    </w:p>
    <w:p w14:paraId="552EFDAD" w14:textId="77777777" w:rsidR="00ED761A" w:rsidRPr="002E0255" w:rsidRDefault="00ED761A" w:rsidP="002E0255">
      <w:pPr>
        <w:pStyle w:val="ListParagraph"/>
        <w:rPr>
          <w:b w:val="0"/>
        </w:rPr>
      </w:pPr>
      <w:r w:rsidRPr="002E0255">
        <w:rPr>
          <w:b w:val="0"/>
        </w:rPr>
        <w:t>Expenditures for land, exploration, drilling, production, and reclamation in the U.S. uranium production industry;</w:t>
      </w:r>
    </w:p>
    <w:p w14:paraId="06C6AB6B" w14:textId="7D2AB533" w:rsidR="00ED761A" w:rsidRPr="002E0255" w:rsidRDefault="00ED761A" w:rsidP="002E0255">
      <w:pPr>
        <w:pStyle w:val="ListParagraph"/>
        <w:rPr>
          <w:b w:val="0"/>
        </w:rPr>
      </w:pPr>
      <w:r w:rsidRPr="002E0255">
        <w:rPr>
          <w:b w:val="0"/>
        </w:rPr>
        <w:t xml:space="preserve">U.S. uranium reserve estimates by mining method, </w:t>
      </w:r>
      <w:r w:rsidR="00392F0C" w:rsidRPr="002E0255">
        <w:rPr>
          <w:b w:val="0"/>
        </w:rPr>
        <w:t>s</w:t>
      </w:r>
      <w:r w:rsidRPr="002E0255">
        <w:rPr>
          <w:b w:val="0"/>
        </w:rPr>
        <w:t>tate, and status.</w:t>
      </w:r>
    </w:p>
    <w:p w14:paraId="0EAAEBFC" w14:textId="77777777" w:rsidR="00ED761A" w:rsidRPr="002E0255" w:rsidRDefault="00ED761A" w:rsidP="002E0255">
      <w:pPr>
        <w:pStyle w:val="ListParagraph"/>
        <w:rPr>
          <w:b w:val="0"/>
        </w:rPr>
      </w:pPr>
      <w:r w:rsidRPr="002E0255">
        <w:rPr>
          <w:b w:val="0"/>
        </w:rPr>
        <w:t xml:space="preserve">U.S. questionnaire input to the </w:t>
      </w:r>
      <w:r w:rsidRPr="002E0255">
        <w:rPr>
          <w:b w:val="0"/>
          <w:i/>
        </w:rPr>
        <w:t xml:space="preserve">Uranium Resources, Production and Demand </w:t>
      </w:r>
      <w:r w:rsidRPr="002E0255">
        <w:rPr>
          <w:b w:val="0"/>
        </w:rPr>
        <w:t>“Red Book” (OECD/Nuclear Energy Agency and International Atomic Energy Agency);</w:t>
      </w:r>
    </w:p>
    <w:p w14:paraId="4E2BDA4B" w14:textId="77777777" w:rsidR="00ED761A" w:rsidRPr="002E0255" w:rsidRDefault="00ED761A" w:rsidP="002E0255">
      <w:pPr>
        <w:pStyle w:val="ListParagraph"/>
        <w:rPr>
          <w:b w:val="0"/>
        </w:rPr>
      </w:pPr>
      <w:r w:rsidRPr="002E0255">
        <w:rPr>
          <w:b w:val="0"/>
        </w:rPr>
        <w:t xml:space="preserve">U.S. questionnaire input to the </w:t>
      </w:r>
      <w:r w:rsidRPr="002E0255">
        <w:rPr>
          <w:b w:val="0"/>
          <w:i/>
        </w:rPr>
        <w:t>Nuclear Energy Data</w:t>
      </w:r>
      <w:r w:rsidRPr="002E0255">
        <w:rPr>
          <w:b w:val="0"/>
        </w:rPr>
        <w:t xml:space="preserve"> “Brown Book” (OECD/Nuclear Energy Agency);</w:t>
      </w:r>
    </w:p>
    <w:p w14:paraId="03624E7C" w14:textId="77777777" w:rsidR="00ED761A" w:rsidRPr="002E0255" w:rsidRDefault="00ED761A" w:rsidP="002E0255">
      <w:pPr>
        <w:pStyle w:val="ListParagraph"/>
        <w:rPr>
          <w:b w:val="0"/>
        </w:rPr>
      </w:pPr>
      <w:r w:rsidRPr="002E0255">
        <w:rPr>
          <w:b w:val="0"/>
        </w:rPr>
        <w:t xml:space="preserve">U.S. input for the </w:t>
      </w:r>
      <w:r w:rsidRPr="002E0255">
        <w:rPr>
          <w:b w:val="0"/>
          <w:i/>
          <w:iCs/>
          <w:color w:val="000000"/>
        </w:rPr>
        <w:t>U.S. Country Nuclear Power Profile</w:t>
      </w:r>
      <w:r w:rsidRPr="002E0255">
        <w:rPr>
          <w:b w:val="0"/>
        </w:rPr>
        <w:t xml:space="preserve"> (International Atomic Energy Agency);</w:t>
      </w:r>
    </w:p>
    <w:p w14:paraId="6D69995A" w14:textId="441F950D" w:rsidR="00ED761A" w:rsidRPr="002E0255" w:rsidRDefault="0051620E" w:rsidP="002E0255">
      <w:pPr>
        <w:pStyle w:val="ListParagraph"/>
      </w:pPr>
      <w:r w:rsidRPr="002E0255">
        <w:rPr>
          <w:b w:val="0"/>
        </w:rPr>
        <w:t>In March 2012, EIA</w:t>
      </w:r>
      <w:r w:rsidR="00ED761A" w:rsidRPr="002E0255">
        <w:rPr>
          <w:b w:val="0"/>
        </w:rPr>
        <w:t xml:space="preserve"> </w:t>
      </w:r>
      <w:r w:rsidRPr="002E0255">
        <w:rPr>
          <w:b w:val="0"/>
        </w:rPr>
        <w:t xml:space="preserve">and U.S. Geological Survey (USGS) entered </w:t>
      </w:r>
      <w:r w:rsidR="007634ED" w:rsidRPr="002E0255">
        <w:rPr>
          <w:b w:val="0"/>
        </w:rPr>
        <w:t xml:space="preserve">into </w:t>
      </w:r>
      <w:r w:rsidRPr="002E0255">
        <w:rPr>
          <w:b w:val="0"/>
        </w:rPr>
        <w:t xml:space="preserve">a </w:t>
      </w:r>
      <w:r w:rsidR="00ED761A" w:rsidRPr="002E0255">
        <w:rPr>
          <w:b w:val="0"/>
        </w:rPr>
        <w:t>Confidential Information Protection and Statistical Efficiency Act of 2002 (CIPSEA) Information Access Agreement</w:t>
      </w:r>
      <w:r w:rsidRPr="002E0255">
        <w:rPr>
          <w:b w:val="0"/>
        </w:rPr>
        <w:t xml:space="preserve"> </w:t>
      </w:r>
      <w:r w:rsidR="00ED761A" w:rsidRPr="002E0255">
        <w:rPr>
          <w:b w:val="0"/>
        </w:rPr>
        <w:t>to support USGS studies</w:t>
      </w:r>
      <w:r w:rsidR="007D57FE" w:rsidRPr="002E0255">
        <w:rPr>
          <w:b w:val="0"/>
        </w:rPr>
        <w:t>.</w:t>
      </w:r>
      <w:r w:rsidRPr="002E0255">
        <w:rPr>
          <w:b w:val="0"/>
        </w:rPr>
        <w:t xml:space="preserve"> This agreement allows</w:t>
      </w:r>
      <w:r w:rsidR="007D57FE" w:rsidRPr="002E0255">
        <w:rPr>
          <w:b w:val="0"/>
        </w:rPr>
        <w:t xml:space="preserve"> individually-identifiable information submitted to EIA to be shared with USGS</w:t>
      </w:r>
      <w:r w:rsidRPr="002E0255">
        <w:rPr>
          <w:b w:val="0"/>
        </w:rPr>
        <w:t xml:space="preserve"> for statistical purposes only</w:t>
      </w:r>
      <w:r w:rsidR="007D57FE" w:rsidRPr="002E0255">
        <w:rPr>
          <w:b w:val="0"/>
        </w:rPr>
        <w:t>.</w:t>
      </w:r>
      <w:r w:rsidR="00ED761A" w:rsidRPr="002E0255">
        <w:rPr>
          <w:b w:val="0"/>
        </w:rPr>
        <w:t xml:space="preserve"> Form EIA-851A data </w:t>
      </w:r>
      <w:r w:rsidR="007D57FE" w:rsidRPr="002E0255">
        <w:rPr>
          <w:b w:val="0"/>
        </w:rPr>
        <w:t xml:space="preserve">is </w:t>
      </w:r>
      <w:r w:rsidR="00ED761A" w:rsidRPr="002E0255">
        <w:rPr>
          <w:b w:val="0"/>
        </w:rPr>
        <w:t>used by the USGS to calculate grade/tonnage curves</w:t>
      </w:r>
      <w:r w:rsidRPr="002E0255">
        <w:rPr>
          <w:b w:val="0"/>
        </w:rPr>
        <w:t xml:space="preserve"> of existing uranium </w:t>
      </w:r>
      <w:r w:rsidR="007D57FE" w:rsidRPr="002E0255">
        <w:rPr>
          <w:b w:val="0"/>
        </w:rPr>
        <w:t>resources including</w:t>
      </w:r>
      <w:r w:rsidR="00ED761A" w:rsidRPr="002E0255">
        <w:rPr>
          <w:b w:val="0"/>
        </w:rPr>
        <w:t xml:space="preserve"> undiscovered uranium resources</w:t>
      </w:r>
      <w:r w:rsidR="00DF520F" w:rsidRPr="002E0255">
        <w:rPr>
          <w:b w:val="0"/>
        </w:rPr>
        <w:t>.</w:t>
      </w:r>
      <w:r w:rsidR="00DF520F" w:rsidRPr="002E0255">
        <w:t xml:space="preserve"> </w:t>
      </w:r>
    </w:p>
    <w:p w14:paraId="072CF547" w14:textId="5AE44556" w:rsidR="00ED761A" w:rsidRPr="007C4DC8" w:rsidRDefault="00ED761A" w:rsidP="00ED761A">
      <w:pPr>
        <w:rPr>
          <w:rFonts w:cs="Arial"/>
        </w:rPr>
      </w:pPr>
      <w:r w:rsidRPr="002E0255">
        <w:rPr>
          <w:rFonts w:cs="Arial"/>
          <w:szCs w:val="24"/>
        </w:rPr>
        <w:t>The data collected on Form EIA-851Q</w:t>
      </w:r>
      <w:r w:rsidR="00CE0BB1">
        <w:rPr>
          <w:rFonts w:cs="Arial"/>
          <w:szCs w:val="24"/>
        </w:rPr>
        <w:t xml:space="preserve"> </w:t>
      </w:r>
      <w:r w:rsidR="00CE0BB1" w:rsidRPr="00695959">
        <w:rPr>
          <w:i/>
        </w:rPr>
        <w:t>Domestic Uranium Production Report (Quarterly)</w:t>
      </w:r>
      <w:r w:rsidR="00E70625">
        <w:rPr>
          <w:i/>
        </w:rPr>
        <w:t>,</w:t>
      </w:r>
      <w:r w:rsidRPr="002E0255">
        <w:rPr>
          <w:rFonts w:cs="Arial"/>
          <w:szCs w:val="24"/>
        </w:rPr>
        <w:t xml:space="preserve"> are used </w:t>
      </w:r>
      <w:r w:rsidRPr="00C526E4">
        <w:rPr>
          <w:rFonts w:cs="Arial"/>
        </w:rPr>
        <w:t>to publish quarterly</w:t>
      </w:r>
      <w:r w:rsidR="00254F6A" w:rsidRPr="007C4DC8">
        <w:rPr>
          <w:rFonts w:cs="Arial"/>
        </w:rPr>
        <w:t xml:space="preserve"> information on</w:t>
      </w:r>
      <w:r w:rsidRPr="007C4DC8">
        <w:rPr>
          <w:rFonts w:cs="Arial"/>
        </w:rPr>
        <w:t>:</w:t>
      </w:r>
    </w:p>
    <w:p w14:paraId="62CA67B4" w14:textId="77777777" w:rsidR="00ED761A" w:rsidRPr="00C526E4" w:rsidRDefault="00ED761A" w:rsidP="002E0255">
      <w:pPr>
        <w:pStyle w:val="ListParagraph"/>
        <w:rPr>
          <w:b w:val="0"/>
        </w:rPr>
      </w:pPr>
      <w:r w:rsidRPr="00C526E4">
        <w:rPr>
          <w:b w:val="0"/>
        </w:rPr>
        <w:t>U.S. production of uranium concentrate from ore and/or solutions from different methods of mining, including in-situ leaching, open pit, underground, heap leach, and other sources;</w:t>
      </w:r>
    </w:p>
    <w:p w14:paraId="09F9461A" w14:textId="77777777" w:rsidR="00ED761A" w:rsidRPr="00C526E4" w:rsidRDefault="00ED761A" w:rsidP="002E0255">
      <w:pPr>
        <w:pStyle w:val="ListParagraph"/>
        <w:rPr>
          <w:b w:val="0"/>
        </w:rPr>
      </w:pPr>
      <w:r w:rsidRPr="00C526E4">
        <w:rPr>
          <w:b w:val="0"/>
        </w:rPr>
        <w:t>Number of U.S. uranium facilities producing uranium concentrate;</w:t>
      </w:r>
    </w:p>
    <w:p w14:paraId="3B030187" w14:textId="77777777" w:rsidR="00ED761A" w:rsidRPr="00C526E4" w:rsidRDefault="00ED761A" w:rsidP="002E0255">
      <w:pPr>
        <w:pStyle w:val="ListParagraph"/>
      </w:pPr>
      <w:r w:rsidRPr="00C526E4">
        <w:rPr>
          <w:b w:val="0"/>
        </w:rPr>
        <w:t>Owner, location, capacity, and operating status of existing and planned uranium concentrate processing facilities.</w:t>
      </w:r>
    </w:p>
    <w:p w14:paraId="7D5E66B7" w14:textId="0244C82A" w:rsidR="00ED761A" w:rsidRPr="00FF48CA" w:rsidRDefault="00ED761A" w:rsidP="00ED761A">
      <w:pPr>
        <w:rPr>
          <w:rFonts w:cs="Arial"/>
        </w:rPr>
      </w:pPr>
      <w:r w:rsidRPr="00FF48CA">
        <w:rPr>
          <w:rFonts w:cs="Arial"/>
        </w:rPr>
        <w:t>The data collected on Form EIA-858</w:t>
      </w:r>
      <w:r w:rsidR="00CE0BB1" w:rsidRPr="00FF48CA">
        <w:rPr>
          <w:rFonts w:cs="Arial"/>
        </w:rPr>
        <w:t xml:space="preserve"> </w:t>
      </w:r>
      <w:r w:rsidR="00CE0BB1" w:rsidRPr="00C526E4">
        <w:rPr>
          <w:i/>
        </w:rPr>
        <w:t>Uranium Marketing Annual Survey</w:t>
      </w:r>
      <w:r w:rsidR="00E70625">
        <w:rPr>
          <w:i/>
        </w:rPr>
        <w:t>,</w:t>
      </w:r>
      <w:r w:rsidRPr="00FF48CA">
        <w:rPr>
          <w:rFonts w:cs="Arial"/>
        </w:rPr>
        <w:t xml:space="preserve"> are used to publish annual</w:t>
      </w:r>
      <w:r w:rsidR="00254F6A" w:rsidRPr="00FF48CA">
        <w:rPr>
          <w:rFonts w:cs="Arial"/>
        </w:rPr>
        <w:t xml:space="preserve"> information on</w:t>
      </w:r>
      <w:r w:rsidRPr="00FF48CA">
        <w:rPr>
          <w:rFonts w:cs="Arial"/>
        </w:rPr>
        <w:t>:</w:t>
      </w:r>
    </w:p>
    <w:p w14:paraId="2997700B" w14:textId="49293DFD" w:rsidR="00ED761A" w:rsidRPr="00C526E4" w:rsidRDefault="00BD493D" w:rsidP="002E0255">
      <w:pPr>
        <w:pStyle w:val="ListParagraph"/>
        <w:rPr>
          <w:b w:val="0"/>
        </w:rPr>
      </w:pPr>
      <w:r>
        <w:rPr>
          <w:b w:val="0"/>
        </w:rPr>
        <w:t>Sellers</w:t>
      </w:r>
      <w:r w:rsidR="00E24F24" w:rsidRPr="00C526E4">
        <w:rPr>
          <w:b w:val="0"/>
        </w:rPr>
        <w:t xml:space="preserve"> and </w:t>
      </w:r>
      <w:r w:rsidR="00ED761A" w:rsidRPr="00C526E4">
        <w:rPr>
          <w:b w:val="0"/>
        </w:rPr>
        <w:t>the origin countries of any uranium and enrichment services purchased or imported into the United States by owners or operators of any U.S. civilian nuclear power reactors;</w:t>
      </w:r>
    </w:p>
    <w:p w14:paraId="31B22FB0" w14:textId="6B46FB4F" w:rsidR="00ED761A" w:rsidRPr="00C526E4" w:rsidRDefault="00BD493D" w:rsidP="002E0255">
      <w:pPr>
        <w:pStyle w:val="ListParagraph"/>
        <w:rPr>
          <w:b w:val="0"/>
        </w:rPr>
      </w:pPr>
      <w:r>
        <w:rPr>
          <w:b w:val="0"/>
        </w:rPr>
        <w:t>U</w:t>
      </w:r>
      <w:r w:rsidR="00ED761A" w:rsidRPr="00C526E4">
        <w:rPr>
          <w:b w:val="0"/>
        </w:rPr>
        <w:t>ranium marketing activities in the United States, including quantities, prices and origins of uranium transactions and enrichment services, contract and material types, domestic and foreign purchases and sales, origin and destinations of enrichment feed deliveries, quantity of uranium loaded into U.S. civilian nuclear power reactors, and uranium inventories;</w:t>
      </w:r>
    </w:p>
    <w:p w14:paraId="1BDC36AD" w14:textId="77777777" w:rsidR="00ED761A" w:rsidRPr="00C526E4" w:rsidRDefault="00ED761A" w:rsidP="002E0255">
      <w:pPr>
        <w:pStyle w:val="ListParagraph"/>
        <w:rPr>
          <w:b w:val="0"/>
        </w:rPr>
      </w:pPr>
      <w:r w:rsidRPr="00C526E4">
        <w:rPr>
          <w:b w:val="0"/>
        </w:rPr>
        <w:t>Data on U.S. uranium market requirements, including future contracted deliveries (filled requirements), unfilled market requirements, and projected enrichment feed deliveries;</w:t>
      </w:r>
    </w:p>
    <w:p w14:paraId="6A2A461D" w14:textId="77777777" w:rsidR="00ED761A" w:rsidRPr="00C526E4" w:rsidRDefault="00ED761A" w:rsidP="002E0255">
      <w:pPr>
        <w:pStyle w:val="ListParagraph"/>
        <w:rPr>
          <w:b w:val="0"/>
        </w:rPr>
      </w:pPr>
      <w:r w:rsidRPr="00C526E4">
        <w:rPr>
          <w:b w:val="0"/>
        </w:rPr>
        <w:t xml:space="preserve">U.S. questionnaire input to the </w:t>
      </w:r>
      <w:r w:rsidRPr="00C526E4">
        <w:rPr>
          <w:b w:val="0"/>
          <w:i/>
        </w:rPr>
        <w:t xml:space="preserve">Uranium Resources, Production and Demand </w:t>
      </w:r>
      <w:r w:rsidRPr="00C526E4">
        <w:rPr>
          <w:b w:val="0"/>
        </w:rPr>
        <w:t>“Red Book” (OECD/Nuclear Energy Agency and International Atomic Energy Agency);</w:t>
      </w:r>
    </w:p>
    <w:p w14:paraId="72D0BA5F" w14:textId="77777777" w:rsidR="00ED761A" w:rsidRPr="00C526E4" w:rsidRDefault="00ED761A" w:rsidP="002E0255">
      <w:pPr>
        <w:pStyle w:val="ListParagraph"/>
        <w:rPr>
          <w:b w:val="0"/>
        </w:rPr>
      </w:pPr>
      <w:r w:rsidRPr="00C526E4">
        <w:rPr>
          <w:b w:val="0"/>
        </w:rPr>
        <w:t xml:space="preserve">U.S. questionnaire input to the </w:t>
      </w:r>
      <w:r w:rsidRPr="00C526E4">
        <w:rPr>
          <w:b w:val="0"/>
          <w:i/>
        </w:rPr>
        <w:t>Nuclear Energy Data</w:t>
      </w:r>
      <w:r w:rsidRPr="00C526E4">
        <w:rPr>
          <w:b w:val="0"/>
        </w:rPr>
        <w:t xml:space="preserve"> “Brown Book” (OECD/Nuclear Energy Agency);</w:t>
      </w:r>
    </w:p>
    <w:p w14:paraId="4C8AC7AC" w14:textId="77777777" w:rsidR="00ED761A" w:rsidRPr="00C526E4" w:rsidRDefault="00ED761A" w:rsidP="002E0255">
      <w:pPr>
        <w:pStyle w:val="ListParagraph"/>
      </w:pPr>
      <w:r w:rsidRPr="00C526E4">
        <w:rPr>
          <w:b w:val="0"/>
        </w:rPr>
        <w:t xml:space="preserve">U.S. input for the </w:t>
      </w:r>
      <w:r w:rsidRPr="00C526E4">
        <w:rPr>
          <w:b w:val="0"/>
          <w:i/>
          <w:iCs/>
          <w:color w:val="000000"/>
        </w:rPr>
        <w:t>U.S. Country Nuclear Power Profile</w:t>
      </w:r>
      <w:r w:rsidRPr="00C526E4">
        <w:rPr>
          <w:b w:val="0"/>
        </w:rPr>
        <w:t xml:space="preserve"> (International Atomic Energy Agency).</w:t>
      </w:r>
    </w:p>
    <w:p w14:paraId="031AE063" w14:textId="77777777" w:rsidR="00D2158F" w:rsidRPr="00FF48CA" w:rsidRDefault="00D2158F" w:rsidP="00D2158F">
      <w:pPr>
        <w:rPr>
          <w:rFonts w:cs="Arial"/>
        </w:rPr>
      </w:pPr>
      <w:r w:rsidRPr="00FF48CA">
        <w:rPr>
          <w:rFonts w:cs="Arial"/>
        </w:rPr>
        <w:t>Data from UDP surveys appear in EIA reports, including the following:</w:t>
      </w:r>
    </w:p>
    <w:p w14:paraId="391EF3B5" w14:textId="77777777" w:rsidR="00D2158F" w:rsidRPr="00C526E4" w:rsidRDefault="00D2158F" w:rsidP="002E0255">
      <w:pPr>
        <w:pStyle w:val="ListParagraph"/>
        <w:numPr>
          <w:ilvl w:val="0"/>
          <w:numId w:val="10"/>
        </w:numPr>
        <w:rPr>
          <w:b w:val="0"/>
        </w:rPr>
      </w:pPr>
      <w:r w:rsidRPr="00C526E4">
        <w:rPr>
          <w:b w:val="0"/>
        </w:rPr>
        <w:t>Domestic Uranium Production Report – Annual</w:t>
      </w:r>
    </w:p>
    <w:p w14:paraId="73783401" w14:textId="77777777" w:rsidR="00D2158F" w:rsidRPr="00FF48CA" w:rsidRDefault="00374F48" w:rsidP="002E0255">
      <w:pPr>
        <w:pStyle w:val="ListParagraph"/>
        <w:numPr>
          <w:ilvl w:val="1"/>
          <w:numId w:val="10"/>
        </w:numPr>
        <w:rPr>
          <w:b w:val="0"/>
          <w:u w:val="single"/>
        </w:rPr>
      </w:pPr>
      <w:hyperlink r:id="rId16" w:history="1">
        <w:r w:rsidR="00D2158F" w:rsidRPr="00FF48CA">
          <w:rPr>
            <w:rFonts w:eastAsiaTheme="minorEastAsia"/>
            <w:b w:val="0"/>
            <w:color w:val="0000FF"/>
            <w:u w:val="single"/>
          </w:rPr>
          <w:t>http://www.eia.gov/uranium/production/annual/</w:t>
        </w:r>
      </w:hyperlink>
    </w:p>
    <w:p w14:paraId="6570059E" w14:textId="77777777" w:rsidR="00D2158F" w:rsidRPr="007C4DC8" w:rsidRDefault="00D2158F" w:rsidP="002E0255">
      <w:pPr>
        <w:pStyle w:val="ListParagraph"/>
        <w:numPr>
          <w:ilvl w:val="0"/>
          <w:numId w:val="10"/>
        </w:numPr>
        <w:rPr>
          <w:b w:val="0"/>
        </w:rPr>
      </w:pPr>
      <w:r w:rsidRPr="00C526E4">
        <w:rPr>
          <w:b w:val="0"/>
        </w:rPr>
        <w:t>D</w:t>
      </w:r>
      <w:r w:rsidRPr="007C4DC8">
        <w:rPr>
          <w:b w:val="0"/>
        </w:rPr>
        <w:t>omestic Uranium Production Report – Quarterly</w:t>
      </w:r>
    </w:p>
    <w:p w14:paraId="159476F6" w14:textId="77777777" w:rsidR="00D2158F" w:rsidRPr="00FF48CA" w:rsidRDefault="00374F48" w:rsidP="002E0255">
      <w:pPr>
        <w:pStyle w:val="ListParagraph"/>
        <w:numPr>
          <w:ilvl w:val="1"/>
          <w:numId w:val="10"/>
        </w:numPr>
        <w:rPr>
          <w:rFonts w:eastAsiaTheme="minorEastAsia"/>
          <w:b w:val="0"/>
          <w:color w:val="0000FF"/>
          <w:u w:val="single"/>
        </w:rPr>
      </w:pPr>
      <w:hyperlink r:id="rId17" w:history="1">
        <w:r w:rsidR="00D2158F" w:rsidRPr="00FF48CA">
          <w:rPr>
            <w:rFonts w:eastAsiaTheme="minorEastAsia"/>
            <w:b w:val="0"/>
            <w:color w:val="0000FF"/>
            <w:u w:val="single"/>
          </w:rPr>
          <w:t>http://www.eia.gov/uranium/production/quarterly/</w:t>
        </w:r>
      </w:hyperlink>
    </w:p>
    <w:p w14:paraId="7BA478CE" w14:textId="77777777" w:rsidR="00D2158F" w:rsidRPr="007C4DC8" w:rsidRDefault="00D2158F" w:rsidP="002E0255">
      <w:pPr>
        <w:pStyle w:val="ListParagraph"/>
        <w:numPr>
          <w:ilvl w:val="0"/>
          <w:numId w:val="10"/>
        </w:numPr>
        <w:rPr>
          <w:b w:val="0"/>
        </w:rPr>
      </w:pPr>
      <w:r w:rsidRPr="00C526E4">
        <w:rPr>
          <w:b w:val="0"/>
        </w:rPr>
        <w:t>U</w:t>
      </w:r>
      <w:r w:rsidRPr="007C4DC8">
        <w:rPr>
          <w:b w:val="0"/>
        </w:rPr>
        <w:t>ranium Marketing Annual Report</w:t>
      </w:r>
    </w:p>
    <w:p w14:paraId="6FBB74F0" w14:textId="77777777" w:rsidR="00D2158F" w:rsidRPr="00FF48CA" w:rsidRDefault="00D2158F" w:rsidP="002E0255">
      <w:pPr>
        <w:pStyle w:val="ListParagraph"/>
        <w:numPr>
          <w:ilvl w:val="1"/>
          <w:numId w:val="10"/>
        </w:numPr>
        <w:rPr>
          <w:rFonts w:eastAsiaTheme="minorEastAsia"/>
          <w:b w:val="0"/>
          <w:color w:val="0000FF"/>
          <w:u w:val="single"/>
        </w:rPr>
      </w:pPr>
      <w:r w:rsidRPr="00FF48CA">
        <w:rPr>
          <w:rFonts w:eastAsiaTheme="minorEastAsia"/>
          <w:b w:val="0"/>
          <w:color w:val="0000FF"/>
          <w:u w:val="single"/>
        </w:rPr>
        <w:t xml:space="preserve"> </w:t>
      </w:r>
      <w:hyperlink r:id="rId18" w:history="1">
        <w:r w:rsidR="006C70A0" w:rsidRPr="00FF48CA">
          <w:rPr>
            <w:rFonts w:eastAsiaTheme="minorEastAsia"/>
            <w:b w:val="0"/>
            <w:color w:val="0000FF"/>
            <w:u w:val="single"/>
          </w:rPr>
          <w:t>http://www.eia.gov/uranium/marketing/</w:t>
        </w:r>
      </w:hyperlink>
      <w:r w:rsidR="006C70A0" w:rsidRPr="00FF48CA">
        <w:rPr>
          <w:rFonts w:eastAsiaTheme="minorEastAsia"/>
          <w:b w:val="0"/>
          <w:color w:val="0000FF"/>
          <w:u w:val="single"/>
        </w:rPr>
        <w:t xml:space="preserve"> </w:t>
      </w:r>
    </w:p>
    <w:p w14:paraId="05821001" w14:textId="115A6C46" w:rsidR="00D2158F" w:rsidRPr="002E0255" w:rsidRDefault="00CA0B23" w:rsidP="002E0255">
      <w:r w:rsidRPr="00C86E15">
        <w:t xml:space="preserve"> </w:t>
      </w:r>
    </w:p>
    <w:p w14:paraId="69ACB0BB" w14:textId="1A6F0FD4" w:rsidR="008C734C" w:rsidRPr="002E0255" w:rsidRDefault="008C734C" w:rsidP="008C734C">
      <w:pPr>
        <w:pStyle w:val="Heading2"/>
        <w:rPr>
          <w:rFonts w:cs="Arial"/>
        </w:rPr>
      </w:pPr>
      <w:bookmarkStart w:id="5" w:name="_Toc495398095"/>
      <w:r w:rsidRPr="002E0255">
        <w:rPr>
          <w:rFonts w:cs="Arial"/>
        </w:rPr>
        <w:t>A.</w:t>
      </w:r>
      <w:r w:rsidR="00A41763" w:rsidRPr="002E0255">
        <w:rPr>
          <w:rFonts w:cs="Arial"/>
        </w:rPr>
        <w:t xml:space="preserve">3. </w:t>
      </w:r>
      <w:r w:rsidRPr="002E0255">
        <w:rPr>
          <w:rFonts w:cs="Arial"/>
        </w:rPr>
        <w:t>Use of Technology</w:t>
      </w:r>
      <w:bookmarkEnd w:id="5"/>
    </w:p>
    <w:p w14:paraId="2104E2E2" w14:textId="1D23F44C" w:rsidR="00BD3F00" w:rsidRPr="002E0255" w:rsidRDefault="00904312" w:rsidP="00BD3F00">
      <w:pPr>
        <w:rPr>
          <w:rFonts w:cs="Arial"/>
        </w:rPr>
      </w:pPr>
      <w:r>
        <w:rPr>
          <w:rFonts w:cs="Arial"/>
        </w:rPr>
        <w:t>S</w:t>
      </w:r>
      <w:r w:rsidR="00BD3F00" w:rsidRPr="002E0255">
        <w:rPr>
          <w:rFonts w:cs="Arial"/>
        </w:rPr>
        <w:t xml:space="preserve">urveys in the </w:t>
      </w:r>
      <w:r w:rsidR="00BD3F00" w:rsidRPr="002E0255">
        <w:rPr>
          <w:rFonts w:cs="Arial"/>
          <w:i/>
        </w:rPr>
        <w:t>Uranium Data Program</w:t>
      </w:r>
      <w:r w:rsidR="00BD3F00" w:rsidRPr="002E0255">
        <w:rPr>
          <w:rFonts w:cs="Arial"/>
        </w:rPr>
        <w:t xml:space="preserve"> use Internet-based data collection systems as the primary means of data collection. The majority of contact with respondents (e.g., notification that a survey has opened for a collection cycle) is performed using email.</w:t>
      </w:r>
    </w:p>
    <w:p w14:paraId="5380AF9F" w14:textId="0CF02F01" w:rsidR="00BD3F00" w:rsidRPr="002E0255" w:rsidRDefault="00BD3F00" w:rsidP="00BD3F00">
      <w:pPr>
        <w:spacing w:before="100" w:beforeAutospacing="1"/>
        <w:rPr>
          <w:rFonts w:cs="Arial"/>
        </w:rPr>
      </w:pPr>
      <w:r w:rsidRPr="002E0255">
        <w:rPr>
          <w:rFonts w:cs="Arial"/>
        </w:rPr>
        <w:t xml:space="preserve">Internet data collection </w:t>
      </w:r>
      <w:r w:rsidR="00BD493D">
        <w:rPr>
          <w:rFonts w:cs="Arial"/>
        </w:rPr>
        <w:t>is</w:t>
      </w:r>
      <w:r w:rsidRPr="002E0255">
        <w:rPr>
          <w:rFonts w:cs="Arial"/>
        </w:rPr>
        <w:t xml:space="preserve"> the </w:t>
      </w:r>
      <w:r w:rsidR="00261604">
        <w:rPr>
          <w:rFonts w:cs="Arial"/>
        </w:rPr>
        <w:t xml:space="preserve">primary collection mode for </w:t>
      </w:r>
      <w:r w:rsidR="00904312">
        <w:rPr>
          <w:rFonts w:cs="Arial"/>
        </w:rPr>
        <w:t>UDP</w:t>
      </w:r>
      <w:r w:rsidRPr="002E0255">
        <w:rPr>
          <w:rFonts w:cs="Arial"/>
        </w:rPr>
        <w:t xml:space="preserve"> surveys. The Internet-based systems allow respondents to enter their data directly into the EIA databases, which reduces the time needed for data collection and processing. The systems</w:t>
      </w:r>
      <w:r w:rsidR="00904312">
        <w:rPr>
          <w:rFonts w:cs="Arial"/>
        </w:rPr>
        <w:t xml:space="preserve"> automatically</w:t>
      </w:r>
      <w:r w:rsidRPr="002E0255">
        <w:rPr>
          <w:rFonts w:cs="Arial"/>
        </w:rPr>
        <w:t xml:space="preserve"> identify data that fail edit specifications prior to submission, allow</w:t>
      </w:r>
      <w:r w:rsidR="00904312">
        <w:rPr>
          <w:rFonts w:cs="Arial"/>
        </w:rPr>
        <w:t>ing</w:t>
      </w:r>
      <w:r w:rsidRPr="002E0255">
        <w:rPr>
          <w:rFonts w:cs="Arial"/>
        </w:rPr>
        <w:t xml:space="preserve"> respondents to make necessary corrections or explain unusual situations impacting the reported data. This data editing process reduces respondent burden by reducing the number of times a respondent must resubmit forms prior to acceptance by EIA. It also improves the timeliness of reporting the information to the public. The only equipment and software </w:t>
      </w:r>
      <w:r w:rsidR="00904312">
        <w:rPr>
          <w:rFonts w:cs="Arial"/>
        </w:rPr>
        <w:t xml:space="preserve">required of </w:t>
      </w:r>
      <w:r w:rsidRPr="002E0255">
        <w:rPr>
          <w:rFonts w:cs="Arial"/>
        </w:rPr>
        <w:t>the respondent</w:t>
      </w:r>
      <w:r w:rsidR="00904312">
        <w:rPr>
          <w:rFonts w:cs="Arial"/>
        </w:rPr>
        <w:t>s</w:t>
      </w:r>
      <w:r w:rsidRPr="002E0255">
        <w:rPr>
          <w:rFonts w:cs="Arial"/>
        </w:rPr>
        <w:t xml:space="preserve"> </w:t>
      </w:r>
      <w:r w:rsidR="00904312">
        <w:rPr>
          <w:rFonts w:cs="Arial"/>
        </w:rPr>
        <w:t>are a</w:t>
      </w:r>
      <w:r w:rsidRPr="002E0255">
        <w:rPr>
          <w:rFonts w:cs="Arial"/>
        </w:rPr>
        <w:t xml:space="preserve"> connection to the Internet and a standard industry web browser.</w:t>
      </w:r>
    </w:p>
    <w:p w14:paraId="0ADE5775" w14:textId="77777777" w:rsidR="008C734C" w:rsidRPr="002E0255" w:rsidRDefault="008C734C" w:rsidP="00A41763">
      <w:pPr>
        <w:rPr>
          <w:rFonts w:cs="Arial"/>
        </w:rPr>
      </w:pPr>
    </w:p>
    <w:p w14:paraId="0ECDDE2D" w14:textId="77777777" w:rsidR="008C734C" w:rsidRPr="002E0255" w:rsidRDefault="008C734C" w:rsidP="008C734C">
      <w:pPr>
        <w:pStyle w:val="Heading2"/>
        <w:rPr>
          <w:rFonts w:cs="Arial"/>
        </w:rPr>
      </w:pPr>
      <w:bookmarkStart w:id="6" w:name="_Toc495398096"/>
      <w:r w:rsidRPr="002E0255">
        <w:rPr>
          <w:rFonts w:cs="Arial"/>
        </w:rPr>
        <w:t>A.</w:t>
      </w:r>
      <w:r w:rsidR="00A41763" w:rsidRPr="002E0255">
        <w:rPr>
          <w:rFonts w:cs="Arial"/>
        </w:rPr>
        <w:t xml:space="preserve">4. </w:t>
      </w:r>
      <w:r w:rsidRPr="002E0255">
        <w:rPr>
          <w:rFonts w:cs="Arial"/>
        </w:rPr>
        <w:t>Efforts to Identify Duplication</w:t>
      </w:r>
      <w:bookmarkEnd w:id="6"/>
    </w:p>
    <w:p w14:paraId="04FDDBA1" w14:textId="0D894FA5" w:rsidR="00904312" w:rsidRDefault="00700014" w:rsidP="00700014">
      <w:pPr>
        <w:rPr>
          <w:rFonts w:cs="Arial"/>
        </w:rPr>
      </w:pPr>
      <w:r w:rsidRPr="002E0255">
        <w:rPr>
          <w:rFonts w:cs="Arial"/>
        </w:rPr>
        <w:t xml:space="preserve">EIA is the only principal statistical agency that collects and/or maintains uranium data in the </w:t>
      </w:r>
      <w:r w:rsidR="00392F0C">
        <w:rPr>
          <w:rFonts w:cs="Arial"/>
        </w:rPr>
        <w:t>f</w:t>
      </w:r>
      <w:r w:rsidRPr="002E0255">
        <w:rPr>
          <w:rFonts w:cs="Arial"/>
        </w:rPr>
        <w:t xml:space="preserve">ederal </w:t>
      </w:r>
      <w:r w:rsidR="00392F0C">
        <w:rPr>
          <w:rFonts w:cs="Arial"/>
        </w:rPr>
        <w:t>g</w:t>
      </w:r>
      <w:r w:rsidRPr="002E0255">
        <w:rPr>
          <w:rFonts w:cs="Arial"/>
        </w:rPr>
        <w:t>overnment.</w:t>
      </w:r>
      <w:r w:rsidR="004C67CF" w:rsidRPr="004C67CF">
        <w:rPr>
          <w:rFonts w:cs="Arial"/>
        </w:rPr>
        <w:t xml:space="preserve"> </w:t>
      </w:r>
      <w:r w:rsidR="004C67CF" w:rsidRPr="008E7B7D">
        <w:rPr>
          <w:rFonts w:cs="Arial"/>
        </w:rPr>
        <w:t>The data collected on the</w:t>
      </w:r>
      <w:r w:rsidR="004C67CF">
        <w:rPr>
          <w:rFonts w:cs="Arial"/>
        </w:rPr>
        <w:t xml:space="preserve"> UDP</w:t>
      </w:r>
      <w:r w:rsidR="004C67CF" w:rsidRPr="008E7B7D">
        <w:rPr>
          <w:rFonts w:cs="Arial"/>
        </w:rPr>
        <w:t xml:space="preserve"> surveys are unique. Although limited amounts </w:t>
      </w:r>
      <w:r w:rsidR="00735131">
        <w:rPr>
          <w:rFonts w:cs="Arial"/>
        </w:rPr>
        <w:t xml:space="preserve">of </w:t>
      </w:r>
      <w:r w:rsidR="004C67CF" w:rsidRPr="008E7B7D">
        <w:rPr>
          <w:rFonts w:cs="Arial"/>
        </w:rPr>
        <w:t xml:space="preserve">similar data may be available from other </w:t>
      </w:r>
      <w:r w:rsidR="00392F0C">
        <w:rPr>
          <w:rFonts w:cs="Arial"/>
        </w:rPr>
        <w:t>f</w:t>
      </w:r>
      <w:r w:rsidR="004C67CF" w:rsidRPr="008E7B7D">
        <w:rPr>
          <w:rFonts w:cs="Arial"/>
        </w:rPr>
        <w:t>ederal agencies, industry, and private sources, those data collections are not reasonable alternatives for the data sets obtained through the UDP surveys.</w:t>
      </w:r>
    </w:p>
    <w:p w14:paraId="13D65C74" w14:textId="19DF581A" w:rsidR="00700014" w:rsidRPr="002E0255" w:rsidRDefault="00700014" w:rsidP="00700014">
      <w:pPr>
        <w:rPr>
          <w:rFonts w:cs="Arial"/>
          <w:szCs w:val="24"/>
        </w:rPr>
      </w:pPr>
      <w:r w:rsidRPr="002E0255">
        <w:rPr>
          <w:rFonts w:cs="Arial"/>
          <w:szCs w:val="24"/>
        </w:rPr>
        <w:t xml:space="preserve">Non-statistical agencies that collect and/or maintain uranium data in the U.S. Federal Government include: </w:t>
      </w:r>
    </w:p>
    <w:p w14:paraId="21A599F8" w14:textId="77777777" w:rsidR="00700014" w:rsidRPr="002E0255" w:rsidRDefault="00700014" w:rsidP="002E0255">
      <w:pPr>
        <w:pStyle w:val="ListParagraph"/>
        <w:rPr>
          <w:b w:val="0"/>
        </w:rPr>
      </w:pPr>
      <w:r w:rsidRPr="002E0255">
        <w:rPr>
          <w:b w:val="0"/>
        </w:rPr>
        <w:t>Department of Commerce, Bureau of Industry and Security (BIS), U.S. Additional Protocol (AP)</w:t>
      </w:r>
    </w:p>
    <w:p w14:paraId="6910920A" w14:textId="77777777" w:rsidR="00700014" w:rsidRPr="002E0255" w:rsidRDefault="00700014" w:rsidP="002E0255">
      <w:pPr>
        <w:pStyle w:val="ListParagraph"/>
        <w:rPr>
          <w:b w:val="0"/>
        </w:rPr>
      </w:pPr>
      <w:r w:rsidRPr="002E0255">
        <w:rPr>
          <w:b w:val="0"/>
        </w:rPr>
        <w:t>Department of Commerce, International Trade Administration (ITA)</w:t>
      </w:r>
    </w:p>
    <w:p w14:paraId="3BBF6665" w14:textId="77777777" w:rsidR="00700014" w:rsidRPr="002E0255" w:rsidRDefault="00700014" w:rsidP="002E0255">
      <w:pPr>
        <w:pStyle w:val="ListParagraph"/>
        <w:rPr>
          <w:b w:val="0"/>
        </w:rPr>
      </w:pPr>
      <w:r w:rsidRPr="002E0255">
        <w:rPr>
          <w:b w:val="0"/>
        </w:rPr>
        <w:t>Department of Energy, Office of Environmental Management (EM)</w:t>
      </w:r>
    </w:p>
    <w:p w14:paraId="38C80596" w14:textId="77777777" w:rsidR="00700014" w:rsidRPr="002E0255" w:rsidRDefault="00700014" w:rsidP="002E0255">
      <w:pPr>
        <w:pStyle w:val="ListParagraph"/>
        <w:rPr>
          <w:b w:val="0"/>
        </w:rPr>
      </w:pPr>
      <w:r w:rsidRPr="002E0255">
        <w:rPr>
          <w:b w:val="0"/>
        </w:rPr>
        <w:t>Department of Energy, Office of Legacy Management (LM)</w:t>
      </w:r>
    </w:p>
    <w:p w14:paraId="6C8B1D9C" w14:textId="77777777" w:rsidR="00700014" w:rsidRPr="002E0255" w:rsidRDefault="00700014" w:rsidP="002E0255">
      <w:pPr>
        <w:pStyle w:val="ListParagraph"/>
        <w:rPr>
          <w:b w:val="0"/>
        </w:rPr>
      </w:pPr>
      <w:r w:rsidRPr="002E0255">
        <w:rPr>
          <w:b w:val="0"/>
        </w:rPr>
        <w:t>Department of Energy, Office of Nuclear Energy (NE)</w:t>
      </w:r>
    </w:p>
    <w:p w14:paraId="2FFBECDF" w14:textId="77777777" w:rsidR="00700014" w:rsidRPr="002E0255" w:rsidRDefault="00700014" w:rsidP="002E0255">
      <w:pPr>
        <w:pStyle w:val="ListParagraph"/>
        <w:rPr>
          <w:b w:val="0"/>
        </w:rPr>
      </w:pPr>
      <w:r w:rsidRPr="002E0255">
        <w:rPr>
          <w:b w:val="0"/>
        </w:rPr>
        <w:t>Department of Energy, National Nuclear Security Administration (NNSA), Nuclear Materials Management &amp; Safeguard System (NMMSS)</w:t>
      </w:r>
    </w:p>
    <w:p w14:paraId="6EBB02F2" w14:textId="77777777" w:rsidR="00700014" w:rsidRPr="002E0255" w:rsidRDefault="00700014" w:rsidP="002E0255">
      <w:pPr>
        <w:pStyle w:val="ListParagraph"/>
        <w:rPr>
          <w:b w:val="0"/>
        </w:rPr>
      </w:pPr>
      <w:r w:rsidRPr="002E0255">
        <w:rPr>
          <w:b w:val="0"/>
        </w:rPr>
        <w:t>Department of the Interior, Bureau of Land Management (BLM)</w:t>
      </w:r>
    </w:p>
    <w:p w14:paraId="176CF940" w14:textId="77777777" w:rsidR="00700014" w:rsidRPr="002E0255" w:rsidRDefault="00700014" w:rsidP="002E0255">
      <w:pPr>
        <w:pStyle w:val="ListParagraph"/>
        <w:rPr>
          <w:b w:val="0"/>
        </w:rPr>
      </w:pPr>
      <w:r w:rsidRPr="002E0255">
        <w:rPr>
          <w:b w:val="0"/>
        </w:rPr>
        <w:t>Environmental Protection Agency (EPA)</w:t>
      </w:r>
    </w:p>
    <w:p w14:paraId="4AA2BF20" w14:textId="77777777" w:rsidR="00700014" w:rsidRPr="002E0255" w:rsidRDefault="00700014" w:rsidP="002E0255">
      <w:pPr>
        <w:pStyle w:val="ListParagraph"/>
        <w:rPr>
          <w:b w:val="0"/>
        </w:rPr>
      </w:pPr>
      <w:r w:rsidRPr="002E0255">
        <w:rPr>
          <w:b w:val="0"/>
        </w:rPr>
        <w:t>Nuclear Regulatory Commission (NRC)</w:t>
      </w:r>
    </w:p>
    <w:p w14:paraId="608B1546" w14:textId="77777777" w:rsidR="00700014" w:rsidRPr="002E0255" w:rsidRDefault="00700014" w:rsidP="002E0255">
      <w:pPr>
        <w:pStyle w:val="ListParagraph"/>
        <w:rPr>
          <w:b w:val="0"/>
        </w:rPr>
      </w:pPr>
      <w:r w:rsidRPr="002E0255">
        <w:rPr>
          <w:b w:val="0"/>
        </w:rPr>
        <w:t>U.S. Geological Survey (USGS)</w:t>
      </w:r>
    </w:p>
    <w:p w14:paraId="52BC18C9" w14:textId="77777777" w:rsidR="00700014" w:rsidRPr="002E0255" w:rsidRDefault="00700014" w:rsidP="002E0255">
      <w:pPr>
        <w:pStyle w:val="ListParagraph"/>
      </w:pPr>
      <w:r w:rsidRPr="002E0255">
        <w:rPr>
          <w:b w:val="0"/>
        </w:rPr>
        <w:t>U.S. International Trade Commission (US ITC)</w:t>
      </w:r>
    </w:p>
    <w:p w14:paraId="150FC89D" w14:textId="1594217C" w:rsidR="00A41763" w:rsidRPr="00627A14" w:rsidRDefault="00700014" w:rsidP="00700014">
      <w:pPr>
        <w:rPr>
          <w:rFonts w:cs="Arial"/>
        </w:rPr>
      </w:pPr>
      <w:r w:rsidRPr="002E0255">
        <w:rPr>
          <w:rFonts w:cs="Arial"/>
        </w:rPr>
        <w:t>EIA evaluated the above sources of publicly available uranium data and found no other source as comprehensive, timely, or detailed as the data collected on Form</w:t>
      </w:r>
      <w:r w:rsidR="00254F6A">
        <w:rPr>
          <w:rFonts w:cs="Arial"/>
        </w:rPr>
        <w:t>s</w:t>
      </w:r>
      <w:r w:rsidRPr="002E0255">
        <w:rPr>
          <w:rFonts w:cs="Arial"/>
        </w:rPr>
        <w:t xml:space="preserve"> EIA-851A, </w:t>
      </w:r>
      <w:r w:rsidR="00254F6A">
        <w:rPr>
          <w:rFonts w:cs="Arial"/>
        </w:rPr>
        <w:t>E</w:t>
      </w:r>
      <w:r w:rsidRPr="002E0255">
        <w:rPr>
          <w:rFonts w:cs="Arial"/>
        </w:rPr>
        <w:t xml:space="preserve">IA-851Q, and </w:t>
      </w:r>
      <w:r w:rsidR="00254F6A">
        <w:rPr>
          <w:rFonts w:cs="Arial"/>
        </w:rPr>
        <w:t>E</w:t>
      </w:r>
      <w:r w:rsidRPr="002E0255">
        <w:rPr>
          <w:rFonts w:cs="Arial"/>
        </w:rPr>
        <w:t>IA-858</w:t>
      </w:r>
      <w:r w:rsidR="00DF520F" w:rsidRPr="002E0255">
        <w:rPr>
          <w:rFonts w:cs="Arial"/>
        </w:rPr>
        <w:t>.</w:t>
      </w:r>
      <w:r w:rsidR="00F0686C">
        <w:rPr>
          <w:rFonts w:cs="Arial"/>
        </w:rPr>
        <w:t xml:space="preserve"> EIA</w:t>
      </w:r>
      <w:r w:rsidR="006005E9">
        <w:rPr>
          <w:rFonts w:cs="Arial"/>
        </w:rPr>
        <w:t xml:space="preserve"> also reviewed three major private sector sources of nuclear information and data; TradeTech, UxC, and </w:t>
      </w:r>
      <w:r w:rsidR="006005E9" w:rsidRPr="00261604">
        <w:rPr>
          <w:rFonts w:cs="Arial"/>
        </w:rPr>
        <w:t>World Nuclear News</w:t>
      </w:r>
      <w:r w:rsidR="006C2B87" w:rsidRPr="00261604">
        <w:rPr>
          <w:rFonts w:cs="Arial"/>
        </w:rPr>
        <w:t xml:space="preserve"> (WNN)</w:t>
      </w:r>
      <w:r w:rsidR="006005E9" w:rsidRPr="00261604">
        <w:rPr>
          <w:rFonts w:cs="Arial"/>
        </w:rPr>
        <w:t>.</w:t>
      </w:r>
      <w:r w:rsidR="00F0686C" w:rsidRPr="00261604">
        <w:rPr>
          <w:rFonts w:cs="Arial"/>
        </w:rPr>
        <w:t xml:space="preserve"> </w:t>
      </w:r>
      <w:r w:rsidR="006005E9" w:rsidRPr="00261604">
        <w:rPr>
          <w:rFonts w:cs="Arial"/>
        </w:rPr>
        <w:t>TradeTech</w:t>
      </w:r>
      <w:r w:rsidR="00184C1E" w:rsidRPr="00261604">
        <w:rPr>
          <w:rFonts w:cs="Arial"/>
        </w:rPr>
        <w:t xml:space="preserve"> only </w:t>
      </w:r>
      <w:r w:rsidR="00181A11" w:rsidRPr="00261604">
        <w:rPr>
          <w:rFonts w:cs="Arial"/>
        </w:rPr>
        <w:t>makes public</w:t>
      </w:r>
      <w:r w:rsidR="00184C1E" w:rsidRPr="00261604">
        <w:rPr>
          <w:rFonts w:cs="Arial"/>
        </w:rPr>
        <w:t xml:space="preserve"> a North American Uranium spot price.</w:t>
      </w:r>
      <w:r w:rsidR="006005E9" w:rsidRPr="00261604">
        <w:rPr>
          <w:rFonts w:cs="Arial"/>
        </w:rPr>
        <w:t xml:space="preserve"> UxC</w:t>
      </w:r>
      <w:r w:rsidR="00184C1E" w:rsidRPr="00261604">
        <w:rPr>
          <w:rFonts w:cs="Arial"/>
        </w:rPr>
        <w:t xml:space="preserve"> </w:t>
      </w:r>
      <w:r w:rsidR="00181A11" w:rsidRPr="00261604">
        <w:rPr>
          <w:rFonts w:cs="Arial"/>
        </w:rPr>
        <w:t>makes public</w:t>
      </w:r>
      <w:r w:rsidR="006005E9" w:rsidRPr="00261604">
        <w:rPr>
          <w:rFonts w:cs="Arial"/>
        </w:rPr>
        <w:t xml:space="preserve"> spot </w:t>
      </w:r>
      <w:r w:rsidR="00184C1E" w:rsidRPr="00261604">
        <w:rPr>
          <w:rFonts w:cs="Arial"/>
        </w:rPr>
        <w:t>prices for U</w:t>
      </w:r>
      <w:r w:rsidR="00184C1E" w:rsidRPr="00261604">
        <w:rPr>
          <w:rFonts w:cs="Arial"/>
          <w:vertAlign w:val="subscript"/>
        </w:rPr>
        <w:t>3</w:t>
      </w:r>
      <w:r w:rsidR="00184C1E" w:rsidRPr="00261604">
        <w:rPr>
          <w:rFonts w:cs="Arial"/>
        </w:rPr>
        <w:t>O</w:t>
      </w:r>
      <w:r w:rsidR="00184C1E" w:rsidRPr="00261604">
        <w:rPr>
          <w:rFonts w:cs="Arial"/>
          <w:vertAlign w:val="subscript"/>
        </w:rPr>
        <w:t>8</w:t>
      </w:r>
      <w:r w:rsidR="00616BB3" w:rsidRPr="00261604">
        <w:rPr>
          <w:rFonts w:cs="Arial"/>
          <w:vertAlign w:val="subscript"/>
        </w:rPr>
        <w:t xml:space="preserve"> </w:t>
      </w:r>
      <w:r w:rsidR="00616BB3" w:rsidRPr="00261604">
        <w:rPr>
          <w:rFonts w:cs="Arial"/>
        </w:rPr>
        <w:t>(uranium concentrate)</w:t>
      </w:r>
      <w:r w:rsidR="00184C1E" w:rsidRPr="00261604">
        <w:rPr>
          <w:rFonts w:cs="Arial"/>
        </w:rPr>
        <w:t>, UF</w:t>
      </w:r>
      <w:r w:rsidR="00184C1E" w:rsidRPr="00261604">
        <w:rPr>
          <w:rFonts w:cs="Arial"/>
          <w:vertAlign w:val="subscript"/>
        </w:rPr>
        <w:t>6</w:t>
      </w:r>
      <w:r w:rsidR="00616BB3" w:rsidRPr="00261604">
        <w:rPr>
          <w:rFonts w:cs="Arial"/>
          <w:vertAlign w:val="subscript"/>
        </w:rPr>
        <w:t xml:space="preserve"> </w:t>
      </w:r>
      <w:r w:rsidR="00616BB3" w:rsidRPr="00261604">
        <w:rPr>
          <w:rFonts w:cs="Arial"/>
        </w:rPr>
        <w:t>(converted uranium)</w:t>
      </w:r>
      <w:r w:rsidR="00184C1E" w:rsidRPr="00261604">
        <w:rPr>
          <w:rFonts w:cs="Arial"/>
        </w:rPr>
        <w:t xml:space="preserve"> and enrichment services for both North American and European Union markets.</w:t>
      </w:r>
      <w:r w:rsidR="00181A11" w:rsidRPr="00261604">
        <w:rPr>
          <w:rFonts w:cs="Arial"/>
        </w:rPr>
        <w:t xml:space="preserve"> UXC updates U</w:t>
      </w:r>
      <w:r w:rsidR="00181A11" w:rsidRPr="00261604">
        <w:rPr>
          <w:rFonts w:cs="Arial"/>
          <w:vertAlign w:val="subscript"/>
        </w:rPr>
        <w:t>3</w:t>
      </w:r>
      <w:r w:rsidR="00181A11" w:rsidRPr="00261604">
        <w:rPr>
          <w:rFonts w:cs="Arial"/>
        </w:rPr>
        <w:t>O</w:t>
      </w:r>
      <w:r w:rsidR="00181A11" w:rsidRPr="00261604">
        <w:rPr>
          <w:rFonts w:cs="Arial"/>
          <w:vertAlign w:val="subscript"/>
        </w:rPr>
        <w:t>8</w:t>
      </w:r>
      <w:r w:rsidR="00181A11" w:rsidRPr="00261604">
        <w:rPr>
          <w:rFonts w:cs="Arial"/>
        </w:rPr>
        <w:t xml:space="preserve"> prices weekly and updates prices for UF</w:t>
      </w:r>
      <w:r w:rsidR="00181A11" w:rsidRPr="00261604">
        <w:rPr>
          <w:rFonts w:cs="Arial"/>
          <w:vertAlign w:val="subscript"/>
        </w:rPr>
        <w:t>6</w:t>
      </w:r>
      <w:r w:rsidR="00181A11" w:rsidRPr="00261604">
        <w:rPr>
          <w:rFonts w:cs="Arial"/>
        </w:rPr>
        <w:t xml:space="preserve"> and enrichment services on a monthly basis.</w:t>
      </w:r>
      <w:r w:rsidR="006005E9" w:rsidRPr="00261604">
        <w:rPr>
          <w:rFonts w:cs="Arial"/>
        </w:rPr>
        <w:t xml:space="preserve"> </w:t>
      </w:r>
      <w:r w:rsidR="00616BB3" w:rsidRPr="00261604">
        <w:rPr>
          <w:rFonts w:cs="Arial"/>
        </w:rPr>
        <w:t>WNN</w:t>
      </w:r>
      <w:r w:rsidR="006005E9" w:rsidRPr="00261604">
        <w:rPr>
          <w:rFonts w:cs="Arial"/>
        </w:rPr>
        <w:t xml:space="preserve"> is a news provider only. </w:t>
      </w:r>
      <w:r w:rsidRPr="00261604">
        <w:rPr>
          <w:rFonts w:cs="Arial"/>
        </w:rPr>
        <w:t>EIA</w:t>
      </w:r>
      <w:r w:rsidR="00995E65" w:rsidRPr="00261604">
        <w:rPr>
          <w:rFonts w:cs="Arial"/>
        </w:rPr>
        <w:t>’s</w:t>
      </w:r>
      <w:r w:rsidRPr="00261604">
        <w:rPr>
          <w:rFonts w:cs="Arial"/>
        </w:rPr>
        <w:t xml:space="preserve"> </w:t>
      </w:r>
      <w:r w:rsidR="007426CC" w:rsidRPr="00261604">
        <w:rPr>
          <w:rFonts w:cs="Arial"/>
        </w:rPr>
        <w:t xml:space="preserve">uranium </w:t>
      </w:r>
      <w:r w:rsidR="007F46C8" w:rsidRPr="00261604">
        <w:rPr>
          <w:rFonts w:cs="Arial"/>
        </w:rPr>
        <w:t>report</w:t>
      </w:r>
      <w:r w:rsidRPr="00261604">
        <w:rPr>
          <w:rFonts w:cs="Arial"/>
        </w:rPr>
        <w:t xml:space="preserve">s </w:t>
      </w:r>
      <w:r w:rsidR="007F46C8" w:rsidRPr="00261604">
        <w:rPr>
          <w:rFonts w:cs="Arial"/>
        </w:rPr>
        <w:t>publish</w:t>
      </w:r>
      <w:r w:rsidRPr="00261604">
        <w:rPr>
          <w:rFonts w:cs="Arial"/>
        </w:rPr>
        <w:t xml:space="preserve"> </w:t>
      </w:r>
      <w:r w:rsidR="007426CC" w:rsidRPr="00261604">
        <w:rPr>
          <w:rFonts w:cs="Arial"/>
        </w:rPr>
        <w:t>d</w:t>
      </w:r>
      <w:r w:rsidR="007426CC" w:rsidRPr="00261604">
        <w:rPr>
          <w:rFonts w:cs="Arial"/>
          <w:shd w:val="clear" w:color="auto" w:fill="FFFFFF"/>
        </w:rPr>
        <w:t xml:space="preserve">ata on </w:t>
      </w:r>
      <w:r w:rsidR="006C2B87" w:rsidRPr="00261604">
        <w:rPr>
          <w:rFonts w:cs="Arial"/>
          <w:shd w:val="clear" w:color="auto" w:fill="FFFFFF"/>
        </w:rPr>
        <w:t xml:space="preserve">(1) </w:t>
      </w:r>
      <w:r w:rsidR="007426CC" w:rsidRPr="00261604">
        <w:rPr>
          <w:rFonts w:cs="Arial"/>
          <w:shd w:val="clear" w:color="auto" w:fill="FFFFFF"/>
        </w:rPr>
        <w:t xml:space="preserve">uranium milling and processing, </w:t>
      </w:r>
      <w:r w:rsidR="006C2B87" w:rsidRPr="00261604">
        <w:rPr>
          <w:rFonts w:cs="Arial"/>
          <w:shd w:val="clear" w:color="auto" w:fill="FFFFFF"/>
        </w:rPr>
        <w:t xml:space="preserve">(2) </w:t>
      </w:r>
      <w:r w:rsidR="007426CC" w:rsidRPr="00261604">
        <w:rPr>
          <w:rFonts w:cs="Arial"/>
          <w:shd w:val="clear" w:color="auto" w:fill="FFFFFF"/>
        </w:rPr>
        <w:t xml:space="preserve">uranium feed sources, </w:t>
      </w:r>
      <w:r w:rsidR="006C2B87" w:rsidRPr="00261604">
        <w:rPr>
          <w:rFonts w:cs="Arial"/>
          <w:shd w:val="clear" w:color="auto" w:fill="FFFFFF"/>
        </w:rPr>
        <w:t xml:space="preserve">(3) </w:t>
      </w:r>
      <w:r w:rsidR="007426CC" w:rsidRPr="00261604">
        <w:rPr>
          <w:rFonts w:cs="Arial"/>
          <w:shd w:val="clear" w:color="auto" w:fill="FFFFFF"/>
        </w:rPr>
        <w:t xml:space="preserve">employment, </w:t>
      </w:r>
      <w:r w:rsidR="006C2B87" w:rsidRPr="00261604">
        <w:rPr>
          <w:rFonts w:cs="Arial"/>
          <w:shd w:val="clear" w:color="auto" w:fill="FFFFFF"/>
        </w:rPr>
        <w:t xml:space="preserve">(4) </w:t>
      </w:r>
      <w:r w:rsidR="007426CC" w:rsidRPr="00261604">
        <w:rPr>
          <w:rFonts w:cs="Arial"/>
          <w:shd w:val="clear" w:color="auto" w:fill="FFFFFF"/>
        </w:rPr>
        <w:t xml:space="preserve">drilling, </w:t>
      </w:r>
      <w:r w:rsidR="006C2B87" w:rsidRPr="00261604">
        <w:rPr>
          <w:rFonts w:cs="Arial"/>
          <w:shd w:val="clear" w:color="auto" w:fill="FFFFFF"/>
        </w:rPr>
        <w:t xml:space="preserve">(5) </w:t>
      </w:r>
      <w:r w:rsidR="007426CC" w:rsidRPr="00261604">
        <w:rPr>
          <w:rFonts w:cs="Arial"/>
          <w:shd w:val="clear" w:color="auto" w:fill="FFFFFF"/>
        </w:rPr>
        <w:t xml:space="preserve">expenditures (for drilling, production ,and land/other), </w:t>
      </w:r>
      <w:r w:rsidR="006C2B87" w:rsidRPr="00261604">
        <w:rPr>
          <w:rFonts w:cs="Arial"/>
          <w:shd w:val="clear" w:color="auto" w:fill="FFFFFF"/>
        </w:rPr>
        <w:t xml:space="preserve">(6) </w:t>
      </w:r>
      <w:r w:rsidR="007426CC" w:rsidRPr="00261604">
        <w:rPr>
          <w:rFonts w:cs="Arial"/>
          <w:shd w:val="clear" w:color="auto" w:fill="FFFFFF"/>
        </w:rPr>
        <w:t xml:space="preserve">uranium mining, </w:t>
      </w:r>
      <w:r w:rsidR="006C2B87" w:rsidRPr="00261604">
        <w:rPr>
          <w:rFonts w:cs="Arial"/>
          <w:shd w:val="clear" w:color="auto" w:fill="FFFFFF"/>
        </w:rPr>
        <w:t xml:space="preserve">(7) </w:t>
      </w:r>
      <w:r w:rsidR="007426CC" w:rsidRPr="00261604">
        <w:rPr>
          <w:rFonts w:cs="Arial"/>
          <w:shd w:val="clear" w:color="auto" w:fill="FFFFFF"/>
        </w:rPr>
        <w:t xml:space="preserve">contracts, </w:t>
      </w:r>
      <w:r w:rsidR="006C2B87" w:rsidRPr="00261604">
        <w:rPr>
          <w:rFonts w:cs="Arial"/>
          <w:shd w:val="clear" w:color="auto" w:fill="FFFFFF"/>
        </w:rPr>
        <w:t xml:space="preserve">(8) </w:t>
      </w:r>
      <w:r w:rsidR="007426CC" w:rsidRPr="00261604">
        <w:rPr>
          <w:rFonts w:cs="Arial"/>
          <w:shd w:val="clear" w:color="auto" w:fill="FFFFFF"/>
        </w:rPr>
        <w:t xml:space="preserve">deliveries (during the report year and projected for the next ten years), </w:t>
      </w:r>
      <w:r w:rsidR="006C2B87" w:rsidRPr="00261604">
        <w:rPr>
          <w:rFonts w:cs="Arial"/>
          <w:shd w:val="clear" w:color="auto" w:fill="FFFFFF"/>
        </w:rPr>
        <w:t xml:space="preserve">(9) </w:t>
      </w:r>
      <w:r w:rsidR="007426CC" w:rsidRPr="00261604">
        <w:rPr>
          <w:rFonts w:cs="Arial"/>
          <w:shd w:val="clear" w:color="auto" w:fill="FFFFFF"/>
        </w:rPr>
        <w:t xml:space="preserve">enrichment services purchased, </w:t>
      </w:r>
      <w:r w:rsidR="006C2B87" w:rsidRPr="00261604">
        <w:rPr>
          <w:rFonts w:cs="Arial"/>
          <w:shd w:val="clear" w:color="auto" w:fill="FFFFFF"/>
        </w:rPr>
        <w:t xml:space="preserve">(10) </w:t>
      </w:r>
      <w:r w:rsidR="007426CC" w:rsidRPr="00261604">
        <w:rPr>
          <w:rFonts w:cs="Arial"/>
          <w:shd w:val="clear" w:color="auto" w:fill="FFFFFF"/>
        </w:rPr>
        <w:t xml:space="preserve">inventories, </w:t>
      </w:r>
      <w:r w:rsidR="006C2B87" w:rsidRPr="00261604">
        <w:rPr>
          <w:rFonts w:cs="Arial"/>
          <w:shd w:val="clear" w:color="auto" w:fill="FFFFFF"/>
        </w:rPr>
        <w:t xml:space="preserve">(11) </w:t>
      </w:r>
      <w:r w:rsidR="007426CC" w:rsidRPr="00261604">
        <w:rPr>
          <w:rFonts w:cs="Arial"/>
          <w:shd w:val="clear" w:color="auto" w:fill="FFFFFF"/>
        </w:rPr>
        <w:t xml:space="preserve">use in fuel assemblies, </w:t>
      </w:r>
      <w:r w:rsidR="006C2B87" w:rsidRPr="00261604">
        <w:rPr>
          <w:rFonts w:cs="Arial"/>
          <w:shd w:val="clear" w:color="auto" w:fill="FFFFFF"/>
        </w:rPr>
        <w:t xml:space="preserve">(12) </w:t>
      </w:r>
      <w:r w:rsidR="007426CC" w:rsidRPr="00261604">
        <w:rPr>
          <w:rFonts w:cs="Arial"/>
          <w:shd w:val="clear" w:color="auto" w:fill="FFFFFF"/>
        </w:rPr>
        <w:t xml:space="preserve">feed deliveries to enrichers (during the report year and projected for the next ten years), and </w:t>
      </w:r>
      <w:r w:rsidR="006C2B87" w:rsidRPr="00261604">
        <w:rPr>
          <w:rFonts w:cs="Arial"/>
          <w:shd w:val="clear" w:color="auto" w:fill="FFFFFF"/>
        </w:rPr>
        <w:t xml:space="preserve">(13) </w:t>
      </w:r>
      <w:r w:rsidR="007426CC" w:rsidRPr="00261604">
        <w:rPr>
          <w:rFonts w:cs="Arial"/>
          <w:shd w:val="clear" w:color="auto" w:fill="FFFFFF"/>
        </w:rPr>
        <w:t>unfilled market requirements for the next ten years</w:t>
      </w:r>
      <w:r w:rsidR="007426CC" w:rsidRPr="00261604">
        <w:rPr>
          <w:rFonts w:cs="Arial"/>
        </w:rPr>
        <w:t>. This data exists nowhere else and is a direct result of EIA’s</w:t>
      </w:r>
      <w:r w:rsidR="00995E65" w:rsidRPr="00261604">
        <w:rPr>
          <w:rFonts w:cs="Arial"/>
        </w:rPr>
        <w:t xml:space="preserve"> mandatory data collection authority</w:t>
      </w:r>
      <w:r w:rsidR="003911A2" w:rsidRPr="00261604">
        <w:rPr>
          <w:rFonts w:cs="Arial"/>
        </w:rPr>
        <w:t>.</w:t>
      </w:r>
    </w:p>
    <w:p w14:paraId="198FF09A" w14:textId="77777777" w:rsidR="008C734C" w:rsidRPr="002E0255" w:rsidRDefault="008C734C" w:rsidP="00A41763">
      <w:pPr>
        <w:rPr>
          <w:rFonts w:cs="Arial"/>
        </w:rPr>
      </w:pPr>
    </w:p>
    <w:p w14:paraId="420DF4F3" w14:textId="77777777" w:rsidR="008C734C" w:rsidRPr="002E0255" w:rsidRDefault="008C734C" w:rsidP="008C734C">
      <w:pPr>
        <w:pStyle w:val="Heading2"/>
        <w:rPr>
          <w:rFonts w:cs="Arial"/>
        </w:rPr>
      </w:pPr>
      <w:bookmarkStart w:id="7" w:name="_Toc495398097"/>
      <w:r w:rsidRPr="002E0255">
        <w:rPr>
          <w:rFonts w:cs="Arial"/>
        </w:rPr>
        <w:t>A.</w:t>
      </w:r>
      <w:r w:rsidR="00A41763" w:rsidRPr="002E0255">
        <w:rPr>
          <w:rFonts w:cs="Arial"/>
        </w:rPr>
        <w:t xml:space="preserve">5. </w:t>
      </w:r>
      <w:r w:rsidRPr="002E0255">
        <w:rPr>
          <w:rFonts w:cs="Arial"/>
        </w:rPr>
        <w:t>Provisions for Reducing Burden on Small Businesses</w:t>
      </w:r>
      <w:bookmarkEnd w:id="7"/>
      <w:r w:rsidRPr="002E0255">
        <w:rPr>
          <w:rFonts w:cs="Arial"/>
        </w:rPr>
        <w:t xml:space="preserve"> </w:t>
      </w:r>
    </w:p>
    <w:p w14:paraId="040B5CCC" w14:textId="53163350" w:rsidR="00EA331B" w:rsidRDefault="00C368F9" w:rsidP="00C368F9">
      <w:pPr>
        <w:spacing w:before="120"/>
        <w:rPr>
          <w:rFonts w:cs="Arial"/>
        </w:rPr>
      </w:pPr>
      <w:r w:rsidRPr="002E0255">
        <w:rPr>
          <w:rFonts w:cs="Arial"/>
          <w:color w:val="000000"/>
        </w:rPr>
        <w:t>To the extent possible</w:t>
      </w:r>
      <w:r w:rsidR="00EA331B">
        <w:rPr>
          <w:rFonts w:cs="Arial"/>
          <w:color w:val="000000"/>
        </w:rPr>
        <w:t>,</w:t>
      </w:r>
      <w:r w:rsidRPr="002E0255">
        <w:rPr>
          <w:rFonts w:cs="Arial"/>
          <w:color w:val="000000"/>
        </w:rPr>
        <w:t xml:space="preserve"> EIA designs its data surveys so that small operations are not unduly affected</w:t>
      </w:r>
      <w:r w:rsidR="00DF520F" w:rsidRPr="002E0255">
        <w:rPr>
          <w:rFonts w:cs="Arial"/>
          <w:color w:val="000000"/>
        </w:rPr>
        <w:t xml:space="preserve">. </w:t>
      </w:r>
      <w:r w:rsidRPr="002E0255">
        <w:rPr>
          <w:rFonts w:cs="Arial"/>
        </w:rPr>
        <w:t>This</w:t>
      </w:r>
      <w:r w:rsidR="00FC00CA">
        <w:rPr>
          <w:rFonts w:cs="Arial"/>
        </w:rPr>
        <w:t xml:space="preserve"> is especially important to </w:t>
      </w:r>
      <w:r w:rsidRPr="002E0255">
        <w:rPr>
          <w:rFonts w:cs="Arial"/>
        </w:rPr>
        <w:t xml:space="preserve">UDP as small business constitute a sizeable </w:t>
      </w:r>
      <w:r w:rsidR="00EA331B">
        <w:rPr>
          <w:rFonts w:cs="Arial"/>
        </w:rPr>
        <w:t>portion</w:t>
      </w:r>
      <w:r w:rsidRPr="002E0255">
        <w:rPr>
          <w:rFonts w:cs="Arial"/>
        </w:rPr>
        <w:t xml:space="preserve"> of the U.S. uranium industry</w:t>
      </w:r>
      <w:r w:rsidR="00DF520F" w:rsidRPr="002E0255">
        <w:rPr>
          <w:rFonts w:cs="Arial"/>
        </w:rPr>
        <w:t xml:space="preserve">. </w:t>
      </w:r>
      <w:r w:rsidR="00EA331B">
        <w:rPr>
          <w:rFonts w:cs="Arial"/>
        </w:rPr>
        <w:t>S</w:t>
      </w:r>
      <w:r w:rsidRPr="002E0255">
        <w:rPr>
          <w:rFonts w:cs="Arial"/>
        </w:rPr>
        <w:t>mall firms participate in a limited or full range of industry activities from land acquisition through exploration, drilling, mining, milling, processing, conversion, and U.S. market broker/traders</w:t>
      </w:r>
      <w:r w:rsidR="00DF520F" w:rsidRPr="002E0255">
        <w:rPr>
          <w:rFonts w:cs="Arial"/>
        </w:rPr>
        <w:t xml:space="preserve">. </w:t>
      </w:r>
      <w:r w:rsidR="00EA331B">
        <w:rPr>
          <w:rFonts w:cs="Arial"/>
        </w:rPr>
        <w:t xml:space="preserve">To minimize burden, </w:t>
      </w:r>
      <w:r w:rsidR="00EA331B" w:rsidRPr="00CC1866">
        <w:rPr>
          <w:rFonts w:cs="Arial"/>
        </w:rPr>
        <w:t xml:space="preserve">UDP survey forms only request data for items that are normally recorded in </w:t>
      </w:r>
      <w:r w:rsidR="003A7F21">
        <w:rPr>
          <w:rFonts w:cs="Arial"/>
        </w:rPr>
        <w:t>the ordinary course of their business operations</w:t>
      </w:r>
      <w:r w:rsidR="00EA331B" w:rsidRPr="00CC1866">
        <w:rPr>
          <w:rFonts w:cs="Arial"/>
        </w:rPr>
        <w:t xml:space="preserve">. </w:t>
      </w:r>
      <w:r w:rsidR="00EA331B">
        <w:rPr>
          <w:rFonts w:cs="Arial"/>
        </w:rPr>
        <w:t>Because of this,</w:t>
      </w:r>
      <w:r w:rsidR="00EA331B" w:rsidRPr="00CC1866">
        <w:rPr>
          <w:rFonts w:cs="Arial"/>
        </w:rPr>
        <w:t xml:space="preserve"> EIA anticipates that little time will be required of small companies </w:t>
      </w:r>
      <w:r w:rsidR="00EA331B">
        <w:rPr>
          <w:rFonts w:cs="Arial"/>
        </w:rPr>
        <w:t>to</w:t>
      </w:r>
      <w:r w:rsidR="00EA331B" w:rsidRPr="00CC1866">
        <w:rPr>
          <w:rFonts w:cs="Arial"/>
        </w:rPr>
        <w:t xml:space="preserve"> prepa</w:t>
      </w:r>
      <w:r w:rsidR="00EA331B">
        <w:rPr>
          <w:rFonts w:cs="Arial"/>
        </w:rPr>
        <w:t xml:space="preserve">re </w:t>
      </w:r>
      <w:r w:rsidR="00EA331B" w:rsidRPr="00CC1866">
        <w:rPr>
          <w:rFonts w:cs="Arial"/>
        </w:rPr>
        <w:t xml:space="preserve">their responses. </w:t>
      </w:r>
      <w:r w:rsidR="00EA331B" w:rsidRPr="00CC1866">
        <w:rPr>
          <w:rFonts w:cs="Arial"/>
          <w:color w:val="000000"/>
        </w:rPr>
        <w:t xml:space="preserve">The use of electronic data collection </w:t>
      </w:r>
      <w:r w:rsidR="00EA331B" w:rsidRPr="00CC1866">
        <w:rPr>
          <w:rFonts w:cs="Arial"/>
        </w:rPr>
        <w:t xml:space="preserve">is </w:t>
      </w:r>
      <w:r w:rsidR="00EA331B" w:rsidRPr="00CC1866">
        <w:rPr>
          <w:rFonts w:cs="Arial"/>
          <w:color w:val="000000"/>
        </w:rPr>
        <w:t>also intended to reduce the response burden on small business.</w:t>
      </w:r>
    </w:p>
    <w:p w14:paraId="00F6E648" w14:textId="77777777" w:rsidR="008C734C" w:rsidRPr="002E0255" w:rsidRDefault="008C734C" w:rsidP="002E0255">
      <w:pPr>
        <w:spacing w:before="120"/>
        <w:rPr>
          <w:rFonts w:cs="Arial"/>
        </w:rPr>
      </w:pPr>
    </w:p>
    <w:p w14:paraId="1AED1A05" w14:textId="77777777" w:rsidR="008C734C" w:rsidRPr="002E0255" w:rsidRDefault="008C734C" w:rsidP="008C734C">
      <w:pPr>
        <w:pStyle w:val="Heading2"/>
        <w:rPr>
          <w:rFonts w:cs="Arial"/>
        </w:rPr>
      </w:pPr>
      <w:bookmarkStart w:id="8" w:name="_Toc495398098"/>
      <w:r w:rsidRPr="002E0255">
        <w:rPr>
          <w:rFonts w:cs="Arial"/>
        </w:rPr>
        <w:t>A.</w:t>
      </w:r>
      <w:r w:rsidR="00A41763" w:rsidRPr="002E0255">
        <w:rPr>
          <w:rFonts w:cs="Arial"/>
        </w:rPr>
        <w:t xml:space="preserve">6. </w:t>
      </w:r>
      <w:r w:rsidRPr="002E0255">
        <w:rPr>
          <w:rFonts w:cs="Arial"/>
        </w:rPr>
        <w:t>Consequences of Less-Frequent Reporting</w:t>
      </w:r>
      <w:bookmarkEnd w:id="8"/>
    </w:p>
    <w:p w14:paraId="150BFEB2" w14:textId="054C3B47" w:rsidR="00A41763" w:rsidRPr="002E0255" w:rsidRDefault="00995E65" w:rsidP="00A41763">
      <w:pPr>
        <w:rPr>
          <w:rFonts w:cs="Arial"/>
        </w:rPr>
      </w:pPr>
      <w:r>
        <w:rPr>
          <w:rFonts w:cs="Arial"/>
        </w:rPr>
        <w:t>EIA conducted a</w:t>
      </w:r>
      <w:r w:rsidR="00514440">
        <w:rPr>
          <w:rFonts w:cs="Arial"/>
        </w:rPr>
        <w:t xml:space="preserve"> customer satisfaction</w:t>
      </w:r>
      <w:r>
        <w:rPr>
          <w:rFonts w:cs="Arial"/>
        </w:rPr>
        <w:t xml:space="preserve"> survey</w:t>
      </w:r>
      <w:r w:rsidR="00514440">
        <w:rPr>
          <w:rFonts w:cs="Arial"/>
        </w:rPr>
        <w:t xml:space="preserve"> in the summer of 2017</w:t>
      </w:r>
      <w:r>
        <w:rPr>
          <w:rFonts w:cs="Arial"/>
        </w:rPr>
        <w:t xml:space="preserve"> </w:t>
      </w:r>
      <w:r w:rsidR="00514440">
        <w:rPr>
          <w:rFonts w:cs="Arial"/>
        </w:rPr>
        <w:t xml:space="preserve">to determine if it could discontinue the quarterly </w:t>
      </w:r>
      <w:r>
        <w:rPr>
          <w:rFonts w:cs="Arial"/>
        </w:rPr>
        <w:t xml:space="preserve">EIA-851Q. The results of this survey were strongly in favor of continuing the quarterly collection and publication of uranium production data. Industry relies on this </w:t>
      </w:r>
      <w:r w:rsidR="0064643E">
        <w:rPr>
          <w:rFonts w:cs="Arial"/>
        </w:rPr>
        <w:t xml:space="preserve">quarterly </w:t>
      </w:r>
      <w:r>
        <w:rPr>
          <w:rFonts w:cs="Arial"/>
        </w:rPr>
        <w:t>data as an indicator of current market conditions throughout the year in between the more comprehensive annual reports published in May or June of each year.</w:t>
      </w:r>
      <w:r w:rsidR="00C2761D" w:rsidRPr="002E0255">
        <w:rPr>
          <w:rFonts w:cs="Arial"/>
        </w:rPr>
        <w:t xml:space="preserve"> </w:t>
      </w:r>
    </w:p>
    <w:p w14:paraId="0836BF95" w14:textId="77777777" w:rsidR="008C734C" w:rsidRPr="002E0255" w:rsidRDefault="008C734C" w:rsidP="00A41763">
      <w:pPr>
        <w:rPr>
          <w:rFonts w:cs="Arial"/>
        </w:rPr>
      </w:pPr>
    </w:p>
    <w:p w14:paraId="376068D8" w14:textId="77777777" w:rsidR="008C734C" w:rsidRPr="002E0255" w:rsidRDefault="008C734C" w:rsidP="008C734C">
      <w:pPr>
        <w:pStyle w:val="Heading2"/>
        <w:rPr>
          <w:rFonts w:cs="Arial"/>
        </w:rPr>
      </w:pPr>
      <w:bookmarkStart w:id="9" w:name="_Toc495398099"/>
      <w:r w:rsidRPr="002E0255">
        <w:rPr>
          <w:rFonts w:cs="Arial"/>
        </w:rPr>
        <w:t>A.</w:t>
      </w:r>
      <w:r w:rsidR="00A41763" w:rsidRPr="002E0255">
        <w:rPr>
          <w:rFonts w:cs="Arial"/>
        </w:rPr>
        <w:t xml:space="preserve">7. </w:t>
      </w:r>
      <w:r w:rsidRPr="002E0255">
        <w:rPr>
          <w:rFonts w:cs="Arial"/>
        </w:rPr>
        <w:t xml:space="preserve">Compliance with 5 CFR </w:t>
      </w:r>
      <w:r w:rsidR="009E3ACF">
        <w:rPr>
          <w:rFonts w:cs="Arial"/>
        </w:rPr>
        <w:t>§</w:t>
      </w:r>
      <w:r w:rsidRPr="002E0255">
        <w:rPr>
          <w:rFonts w:cs="Arial"/>
        </w:rPr>
        <w:t>1320.5</w:t>
      </w:r>
      <w:bookmarkEnd w:id="9"/>
    </w:p>
    <w:p w14:paraId="08A30106" w14:textId="0D0F478E" w:rsidR="0024783A" w:rsidRPr="002E0255" w:rsidRDefault="0024783A" w:rsidP="0024783A">
      <w:pPr>
        <w:rPr>
          <w:rFonts w:cs="Arial"/>
        </w:rPr>
      </w:pPr>
      <w:r w:rsidRPr="002E0255">
        <w:rPr>
          <w:rFonts w:cs="Arial"/>
        </w:rPr>
        <w:t xml:space="preserve">The </w:t>
      </w:r>
      <w:r w:rsidR="00455C13" w:rsidRPr="002E0255">
        <w:rPr>
          <w:rFonts w:cs="Arial"/>
        </w:rPr>
        <w:t xml:space="preserve">UDP </w:t>
      </w:r>
      <w:r w:rsidRPr="002E0255">
        <w:rPr>
          <w:rFonts w:cs="Arial"/>
        </w:rPr>
        <w:t xml:space="preserve">surveys are operated in accordance with 5 CFR </w:t>
      </w:r>
      <w:r w:rsidR="00CA40D0">
        <w:rPr>
          <w:rFonts w:cs="Arial"/>
        </w:rPr>
        <w:t>§</w:t>
      </w:r>
      <w:r w:rsidRPr="002E0255">
        <w:rPr>
          <w:rFonts w:cs="Arial"/>
        </w:rPr>
        <w:t xml:space="preserve">1320.5. </w:t>
      </w:r>
    </w:p>
    <w:p w14:paraId="706AF72D" w14:textId="77777777" w:rsidR="008C734C" w:rsidRPr="002E0255" w:rsidRDefault="008C734C" w:rsidP="00A41763">
      <w:pPr>
        <w:rPr>
          <w:rFonts w:cs="Arial"/>
          <w:b/>
          <w:bCs/>
        </w:rPr>
      </w:pPr>
    </w:p>
    <w:p w14:paraId="52997BCC" w14:textId="77777777" w:rsidR="008C734C" w:rsidRPr="002E0255" w:rsidRDefault="008C734C" w:rsidP="008C734C">
      <w:pPr>
        <w:pStyle w:val="Heading2"/>
        <w:rPr>
          <w:rFonts w:cs="Arial"/>
        </w:rPr>
      </w:pPr>
      <w:bookmarkStart w:id="10" w:name="_Toc495398100"/>
      <w:r w:rsidRPr="002E0255">
        <w:rPr>
          <w:rFonts w:cs="Arial"/>
        </w:rPr>
        <w:t>A.</w:t>
      </w:r>
      <w:r w:rsidR="00A41763" w:rsidRPr="002E0255">
        <w:rPr>
          <w:rFonts w:cs="Arial"/>
        </w:rPr>
        <w:t xml:space="preserve">8. </w:t>
      </w:r>
      <w:r w:rsidRPr="002E0255">
        <w:rPr>
          <w:rFonts w:cs="Arial"/>
        </w:rPr>
        <w:t>Summary of Consultations Outside of the Agency</w:t>
      </w:r>
      <w:bookmarkEnd w:id="10"/>
    </w:p>
    <w:p w14:paraId="3EC35C13" w14:textId="3751C97E" w:rsidR="00557FD7" w:rsidRDefault="00285AA0" w:rsidP="00A43FB0">
      <w:pPr>
        <w:rPr>
          <w:rFonts w:cs="Arial"/>
          <w:bCs/>
        </w:rPr>
      </w:pPr>
      <w:r w:rsidRPr="002E0255">
        <w:rPr>
          <w:rFonts w:cs="Arial"/>
          <w:bCs/>
        </w:rPr>
        <w:t>On August 23, 2017, EIA launched a Uranium Customer Satisfaction Survey on its website</w:t>
      </w:r>
      <w:r w:rsidR="00DF520F" w:rsidRPr="002E0255">
        <w:rPr>
          <w:rFonts w:cs="Arial"/>
          <w:bCs/>
        </w:rPr>
        <w:t xml:space="preserve">. </w:t>
      </w:r>
      <w:r w:rsidRPr="002E0255">
        <w:rPr>
          <w:rFonts w:cs="Arial"/>
          <w:bCs/>
        </w:rPr>
        <w:t>The survey</w:t>
      </w:r>
      <w:r w:rsidR="00944C87">
        <w:rPr>
          <w:rFonts w:cs="Arial"/>
          <w:bCs/>
        </w:rPr>
        <w:t xml:space="preserve"> </w:t>
      </w:r>
      <w:r w:rsidRPr="002E0255">
        <w:rPr>
          <w:rFonts w:cs="Arial"/>
          <w:bCs/>
        </w:rPr>
        <w:t>requested stakeholder input into the uses of EIA’s uranium data</w:t>
      </w:r>
      <w:r w:rsidR="002E795D">
        <w:rPr>
          <w:rFonts w:cs="Arial"/>
          <w:bCs/>
        </w:rPr>
        <w:t xml:space="preserve">, </w:t>
      </w:r>
      <w:r w:rsidR="00117BDC">
        <w:rPr>
          <w:rFonts w:cs="Arial"/>
          <w:bCs/>
        </w:rPr>
        <w:t>other</w:t>
      </w:r>
      <w:r w:rsidR="00117BDC" w:rsidRPr="00A41738">
        <w:rPr>
          <w:rFonts w:cs="Arial"/>
          <w:bCs/>
        </w:rPr>
        <w:t xml:space="preserve"> sources of similar data</w:t>
      </w:r>
      <w:r w:rsidR="00117BDC">
        <w:rPr>
          <w:rFonts w:cs="Arial"/>
          <w:bCs/>
        </w:rPr>
        <w:t xml:space="preserve">, and </w:t>
      </w:r>
      <w:r w:rsidR="002E795D">
        <w:rPr>
          <w:rFonts w:cs="Arial"/>
          <w:bCs/>
        </w:rPr>
        <w:t>what</w:t>
      </w:r>
      <w:r w:rsidR="00117BDC">
        <w:rPr>
          <w:rFonts w:cs="Arial"/>
          <w:bCs/>
        </w:rPr>
        <w:t xml:space="preserve"> </w:t>
      </w:r>
      <w:r w:rsidR="002E795D">
        <w:rPr>
          <w:rFonts w:cs="Arial"/>
          <w:bCs/>
        </w:rPr>
        <w:t>frequency of</w:t>
      </w:r>
      <w:r w:rsidRPr="002E0255">
        <w:rPr>
          <w:rFonts w:cs="Arial"/>
          <w:bCs/>
        </w:rPr>
        <w:t xml:space="preserve"> uranium data</w:t>
      </w:r>
      <w:r w:rsidR="00117BDC">
        <w:rPr>
          <w:rFonts w:cs="Arial"/>
          <w:bCs/>
        </w:rPr>
        <w:t xml:space="preserve"> publication</w:t>
      </w:r>
      <w:r w:rsidRPr="002E0255">
        <w:rPr>
          <w:rFonts w:cs="Arial"/>
          <w:bCs/>
        </w:rPr>
        <w:t xml:space="preserve"> was </w:t>
      </w:r>
      <w:r w:rsidR="00254F6A">
        <w:rPr>
          <w:rFonts w:cs="Arial"/>
          <w:bCs/>
        </w:rPr>
        <w:t xml:space="preserve">necessary </w:t>
      </w:r>
      <w:r w:rsidRPr="002E0255">
        <w:rPr>
          <w:rFonts w:cs="Arial"/>
          <w:bCs/>
        </w:rPr>
        <w:t>to meet th</w:t>
      </w:r>
      <w:r w:rsidR="00944C87">
        <w:rPr>
          <w:rFonts w:cs="Arial"/>
          <w:bCs/>
        </w:rPr>
        <w:t>eir needs</w:t>
      </w:r>
      <w:r w:rsidR="002E795D" w:rsidRPr="00931CEF">
        <w:rPr>
          <w:rFonts w:cs="Arial"/>
          <w:bCs/>
        </w:rPr>
        <w:t xml:space="preserve"> (annual, semi-annual, or quarterly)</w:t>
      </w:r>
      <w:r w:rsidR="00DF520F" w:rsidRPr="002E0255">
        <w:rPr>
          <w:rFonts w:cs="Arial"/>
          <w:bCs/>
        </w:rPr>
        <w:t>.</w:t>
      </w:r>
      <w:r w:rsidRPr="002E0255">
        <w:rPr>
          <w:rFonts w:cs="Arial"/>
          <w:bCs/>
        </w:rPr>
        <w:t xml:space="preserve"> Email notices</w:t>
      </w:r>
      <w:r w:rsidR="002E795D">
        <w:rPr>
          <w:rFonts w:cs="Arial"/>
          <w:bCs/>
        </w:rPr>
        <w:t xml:space="preserve"> soliciting</w:t>
      </w:r>
      <w:r w:rsidR="00944C87">
        <w:rPr>
          <w:rFonts w:cs="Arial"/>
          <w:bCs/>
        </w:rPr>
        <w:t xml:space="preserve"> input</w:t>
      </w:r>
      <w:r w:rsidRPr="002E0255">
        <w:rPr>
          <w:rFonts w:cs="Arial"/>
          <w:bCs/>
        </w:rPr>
        <w:t xml:space="preserve"> were sent to </w:t>
      </w:r>
      <w:r w:rsidR="00B87BF5" w:rsidRPr="002E0255">
        <w:rPr>
          <w:rFonts w:cs="Arial"/>
          <w:bCs/>
        </w:rPr>
        <w:t>all</w:t>
      </w:r>
      <w:r w:rsidR="002E795D">
        <w:rPr>
          <w:rFonts w:cs="Arial"/>
          <w:bCs/>
        </w:rPr>
        <w:t xml:space="preserve"> </w:t>
      </w:r>
      <w:r w:rsidR="00B87BF5" w:rsidRPr="002E0255">
        <w:rPr>
          <w:rFonts w:cs="Arial"/>
          <w:bCs/>
        </w:rPr>
        <w:t xml:space="preserve">respondents </w:t>
      </w:r>
      <w:r w:rsidR="00944C87">
        <w:rPr>
          <w:rFonts w:cs="Arial"/>
          <w:bCs/>
        </w:rPr>
        <w:t>of</w:t>
      </w:r>
      <w:r w:rsidR="00B87BF5" w:rsidRPr="002E0255">
        <w:rPr>
          <w:rFonts w:cs="Arial"/>
          <w:bCs/>
        </w:rPr>
        <w:t xml:space="preserve"> the uranium forms</w:t>
      </w:r>
      <w:r w:rsidR="002E795D">
        <w:rPr>
          <w:rFonts w:cs="Arial"/>
          <w:bCs/>
        </w:rPr>
        <w:t xml:space="preserve"> and</w:t>
      </w:r>
      <w:r w:rsidR="00B87BF5" w:rsidRPr="002E0255">
        <w:rPr>
          <w:rFonts w:cs="Arial"/>
          <w:bCs/>
        </w:rPr>
        <w:t xml:space="preserve"> trade publications</w:t>
      </w:r>
      <w:r w:rsidR="002E795D">
        <w:rPr>
          <w:rFonts w:cs="Arial"/>
          <w:bCs/>
        </w:rPr>
        <w:t>.</w:t>
      </w:r>
      <w:r w:rsidRPr="002E0255">
        <w:rPr>
          <w:rFonts w:cs="Arial"/>
          <w:bCs/>
        </w:rPr>
        <w:t xml:space="preserve"> National Mining Association and Uranium Producers of America were</w:t>
      </w:r>
      <w:r w:rsidR="002E795D">
        <w:rPr>
          <w:rFonts w:cs="Arial"/>
          <w:bCs/>
        </w:rPr>
        <w:t xml:space="preserve"> also</w:t>
      </w:r>
      <w:r w:rsidRPr="002E0255">
        <w:rPr>
          <w:rFonts w:cs="Arial"/>
          <w:bCs/>
        </w:rPr>
        <w:t xml:space="preserve"> contacted for input</w:t>
      </w:r>
      <w:r w:rsidR="00DF520F" w:rsidRPr="002E0255">
        <w:rPr>
          <w:rFonts w:cs="Arial"/>
          <w:bCs/>
        </w:rPr>
        <w:t>.</w:t>
      </w:r>
      <w:r w:rsidR="00944C87" w:rsidRPr="00944C87">
        <w:rPr>
          <w:rFonts w:cs="Arial"/>
          <w:bCs/>
        </w:rPr>
        <w:t xml:space="preserve"> </w:t>
      </w:r>
      <w:r w:rsidR="00D53597">
        <w:rPr>
          <w:rFonts w:cs="Arial"/>
          <w:bCs/>
        </w:rPr>
        <w:t>128</w:t>
      </w:r>
      <w:r w:rsidR="00944C87">
        <w:rPr>
          <w:rFonts w:cs="Arial"/>
          <w:bCs/>
        </w:rPr>
        <w:t xml:space="preserve"> res</w:t>
      </w:r>
      <w:r w:rsidR="00D53597">
        <w:rPr>
          <w:rFonts w:cs="Arial"/>
          <w:bCs/>
        </w:rPr>
        <w:t>ponses were received</w:t>
      </w:r>
      <w:r w:rsidR="00DF520F" w:rsidRPr="002E0255">
        <w:rPr>
          <w:rFonts w:cs="Arial"/>
          <w:bCs/>
        </w:rPr>
        <w:t>.</w:t>
      </w:r>
      <w:r w:rsidR="00D53597">
        <w:rPr>
          <w:rFonts w:cs="Arial"/>
          <w:bCs/>
        </w:rPr>
        <w:t xml:space="preserve"> </w:t>
      </w:r>
      <w:r w:rsidR="00117BDC">
        <w:rPr>
          <w:rFonts w:cs="Arial"/>
          <w:bCs/>
        </w:rPr>
        <w:t xml:space="preserve">51% of the participants reported using </w:t>
      </w:r>
      <w:r w:rsidR="00117BDC" w:rsidRPr="00865A81">
        <w:rPr>
          <w:rFonts w:cs="Arial"/>
          <w:bCs/>
        </w:rPr>
        <w:t>UDP</w:t>
      </w:r>
      <w:r w:rsidR="00117BDC">
        <w:rPr>
          <w:rFonts w:cs="Arial"/>
          <w:bCs/>
        </w:rPr>
        <w:t xml:space="preserve"> data for assessing domestic supply conditions and planning future nuclear fuel purchases. 80% of participants stated that they do not use an alternative data series. Participants that used an alternative data series named</w:t>
      </w:r>
      <w:r w:rsidR="00BE6168">
        <w:rPr>
          <w:rFonts w:cs="Arial"/>
          <w:bCs/>
        </w:rPr>
        <w:t xml:space="preserve"> private services that use</w:t>
      </w:r>
      <w:r w:rsidR="00117BDC">
        <w:rPr>
          <w:rFonts w:cs="Arial"/>
          <w:bCs/>
        </w:rPr>
        <w:t xml:space="preserve"> EIA data</w:t>
      </w:r>
      <w:r w:rsidR="0098221A">
        <w:rPr>
          <w:rFonts w:cs="Arial"/>
          <w:bCs/>
        </w:rPr>
        <w:t xml:space="preserve"> as part of their proprietary analyses</w:t>
      </w:r>
      <w:r w:rsidR="00117BDC">
        <w:rPr>
          <w:rFonts w:cs="Arial"/>
          <w:bCs/>
        </w:rPr>
        <w:t>.</w:t>
      </w:r>
      <w:r w:rsidR="00862083">
        <w:rPr>
          <w:rFonts w:cs="Arial"/>
          <w:bCs/>
        </w:rPr>
        <w:t xml:space="preserve"> </w:t>
      </w:r>
      <w:r w:rsidR="00862083" w:rsidRPr="006D22F3">
        <w:rPr>
          <w:rFonts w:cs="Arial"/>
          <w:bCs/>
        </w:rPr>
        <w:t xml:space="preserve">The </w:t>
      </w:r>
      <w:r w:rsidR="00862083">
        <w:rPr>
          <w:rFonts w:cs="Arial"/>
          <w:bCs/>
        </w:rPr>
        <w:t xml:space="preserve">majority of </w:t>
      </w:r>
      <w:r w:rsidR="00862083" w:rsidRPr="006D22F3">
        <w:rPr>
          <w:rFonts w:cs="Arial"/>
          <w:bCs/>
        </w:rPr>
        <w:t>responses support</w:t>
      </w:r>
      <w:r w:rsidR="00862083">
        <w:rPr>
          <w:rFonts w:cs="Arial"/>
          <w:bCs/>
        </w:rPr>
        <w:t>ed</w:t>
      </w:r>
      <w:r w:rsidR="00862083" w:rsidRPr="006D22F3">
        <w:rPr>
          <w:rFonts w:cs="Arial"/>
          <w:bCs/>
        </w:rPr>
        <w:t xml:space="preserve"> cont</w:t>
      </w:r>
      <w:r w:rsidR="00862083">
        <w:rPr>
          <w:rFonts w:cs="Arial"/>
          <w:bCs/>
        </w:rPr>
        <w:t>inued collection of</w:t>
      </w:r>
      <w:r w:rsidR="00862083" w:rsidRPr="006D22F3">
        <w:rPr>
          <w:rFonts w:cs="Arial"/>
          <w:bCs/>
        </w:rPr>
        <w:t xml:space="preserve"> </w:t>
      </w:r>
      <w:r w:rsidR="00D53597">
        <w:rPr>
          <w:rFonts w:cs="Arial"/>
          <w:bCs/>
        </w:rPr>
        <w:t>quarterly data</w:t>
      </w:r>
      <w:r w:rsidR="00862083" w:rsidRPr="006D22F3">
        <w:rPr>
          <w:rFonts w:cs="Arial"/>
          <w:bCs/>
        </w:rPr>
        <w:t xml:space="preserve">. </w:t>
      </w:r>
      <w:r w:rsidR="00862083">
        <w:rPr>
          <w:rFonts w:cs="Arial"/>
          <w:bCs/>
        </w:rPr>
        <w:t>Additionally, letter</w:t>
      </w:r>
      <w:r w:rsidR="00402B78">
        <w:rPr>
          <w:rFonts w:cs="Arial"/>
          <w:bCs/>
        </w:rPr>
        <w:t>s</w:t>
      </w:r>
      <w:r w:rsidR="00862083">
        <w:rPr>
          <w:rFonts w:cs="Arial"/>
          <w:bCs/>
        </w:rPr>
        <w:t xml:space="preserve"> from Uranium Producers of America </w:t>
      </w:r>
      <w:r w:rsidR="00402B78">
        <w:rPr>
          <w:rFonts w:cs="Arial"/>
          <w:bCs/>
        </w:rPr>
        <w:t xml:space="preserve">and </w:t>
      </w:r>
      <w:r w:rsidR="00402B78">
        <w:rPr>
          <w:color w:val="000000"/>
        </w:rPr>
        <w:t>TradeTech, a company that provides uranium market analysis for their clients, were</w:t>
      </w:r>
      <w:r w:rsidR="00862083">
        <w:rPr>
          <w:rFonts w:cs="Arial"/>
          <w:bCs/>
        </w:rPr>
        <w:t xml:space="preserve"> received </w:t>
      </w:r>
      <w:r w:rsidR="00B85019">
        <w:rPr>
          <w:rFonts w:cs="Arial"/>
          <w:bCs/>
        </w:rPr>
        <w:t>urging</w:t>
      </w:r>
      <w:r w:rsidR="00862083">
        <w:rPr>
          <w:rFonts w:cs="Arial"/>
          <w:bCs/>
        </w:rPr>
        <w:t xml:space="preserve"> EIA to continue publication of quarterly uranium production data.</w:t>
      </w:r>
    </w:p>
    <w:p w14:paraId="05F2DA1B" w14:textId="2547683A" w:rsidR="0018176A" w:rsidRDefault="00557FD7" w:rsidP="00A43FB0">
      <w:pPr>
        <w:rPr>
          <w:rFonts w:cs="Arial"/>
          <w:bCs/>
        </w:rPr>
      </w:pPr>
      <w:r>
        <w:rPr>
          <w:rFonts w:cs="Arial"/>
          <w:bCs/>
        </w:rPr>
        <w:t xml:space="preserve">On December 6, 2017, EIA conducted an </w:t>
      </w:r>
      <w:r w:rsidR="00E02A36">
        <w:rPr>
          <w:rFonts w:cs="Arial"/>
          <w:bCs/>
        </w:rPr>
        <w:t>o</w:t>
      </w:r>
      <w:r>
        <w:rPr>
          <w:rFonts w:cs="Arial"/>
          <w:bCs/>
        </w:rPr>
        <w:t xml:space="preserve">utreach </w:t>
      </w:r>
      <w:r w:rsidR="00E02A36">
        <w:rPr>
          <w:rFonts w:cs="Arial"/>
          <w:bCs/>
        </w:rPr>
        <w:t>s</w:t>
      </w:r>
      <w:r>
        <w:rPr>
          <w:rFonts w:cs="Arial"/>
          <w:bCs/>
        </w:rPr>
        <w:t xml:space="preserve">ession via both WebEx and </w:t>
      </w:r>
      <w:r w:rsidR="00E02A36">
        <w:rPr>
          <w:rFonts w:cs="Arial"/>
          <w:bCs/>
        </w:rPr>
        <w:t>i</w:t>
      </w:r>
      <w:r>
        <w:rPr>
          <w:rFonts w:cs="Arial"/>
          <w:bCs/>
        </w:rPr>
        <w:t>n-</w:t>
      </w:r>
      <w:r w:rsidR="00E02A36">
        <w:rPr>
          <w:rFonts w:cs="Arial"/>
          <w:bCs/>
        </w:rPr>
        <w:t>p</w:t>
      </w:r>
      <w:r>
        <w:rPr>
          <w:rFonts w:cs="Arial"/>
          <w:bCs/>
        </w:rPr>
        <w:t>erson attendance options. Invitations were extended to respondents, relevant trade associations and other stakeholders know</w:t>
      </w:r>
      <w:r w:rsidR="00B85019">
        <w:rPr>
          <w:rFonts w:cs="Arial"/>
          <w:bCs/>
        </w:rPr>
        <w:t>n</w:t>
      </w:r>
      <w:r>
        <w:rPr>
          <w:rFonts w:cs="Arial"/>
          <w:bCs/>
        </w:rPr>
        <w:t xml:space="preserve"> to EIA. </w:t>
      </w:r>
      <w:r w:rsidR="0018176A">
        <w:rPr>
          <w:rFonts w:cs="Arial"/>
          <w:bCs/>
        </w:rPr>
        <w:t>Eight</w:t>
      </w:r>
      <w:r w:rsidR="0018176A" w:rsidRPr="0018176A">
        <w:rPr>
          <w:rFonts w:cs="Arial"/>
          <w:bCs/>
        </w:rPr>
        <w:t xml:space="preserve"> parties participated via WebEx. EIA’s presentation covered the uses and purposes of the </w:t>
      </w:r>
      <w:r w:rsidR="0018176A">
        <w:rPr>
          <w:rFonts w:cs="Arial"/>
          <w:bCs/>
        </w:rPr>
        <w:t>forms that comprise the UDP</w:t>
      </w:r>
      <w:r w:rsidR="0018176A" w:rsidRPr="0018176A">
        <w:rPr>
          <w:rFonts w:cs="Arial"/>
          <w:bCs/>
        </w:rPr>
        <w:t>. As no changes were proposed in the 60 Day Federal Register Notice (FRN), none were discussed.</w:t>
      </w:r>
      <w:r w:rsidR="0048703E">
        <w:rPr>
          <w:rFonts w:cs="Arial"/>
          <w:bCs/>
        </w:rPr>
        <w:t xml:space="preserve"> Ur-Energy raised </w:t>
      </w:r>
      <w:r w:rsidR="00FF6395">
        <w:rPr>
          <w:rFonts w:cs="Arial"/>
          <w:bCs/>
        </w:rPr>
        <w:t>some</w:t>
      </w:r>
      <w:r w:rsidR="0048703E">
        <w:rPr>
          <w:rFonts w:cs="Arial"/>
          <w:bCs/>
        </w:rPr>
        <w:t xml:space="preserve"> issue</w:t>
      </w:r>
      <w:r w:rsidR="00FF6395">
        <w:rPr>
          <w:rFonts w:cs="Arial"/>
          <w:bCs/>
        </w:rPr>
        <w:t>s</w:t>
      </w:r>
      <w:r w:rsidR="0048703E">
        <w:rPr>
          <w:rFonts w:cs="Arial"/>
          <w:bCs/>
        </w:rPr>
        <w:t xml:space="preserve"> (filed </w:t>
      </w:r>
      <w:r w:rsidR="00FF6395">
        <w:rPr>
          <w:rFonts w:cs="Arial"/>
          <w:bCs/>
        </w:rPr>
        <w:t>as a</w:t>
      </w:r>
      <w:r w:rsidR="0048703E">
        <w:rPr>
          <w:rFonts w:cs="Arial"/>
          <w:bCs/>
        </w:rPr>
        <w:t xml:space="preserve"> written comment</w:t>
      </w:r>
      <w:r w:rsidR="00FF6395">
        <w:rPr>
          <w:rFonts w:cs="Arial"/>
          <w:bCs/>
        </w:rPr>
        <w:t xml:space="preserve"> and</w:t>
      </w:r>
      <w:r w:rsidR="0048703E">
        <w:rPr>
          <w:rFonts w:cs="Arial"/>
          <w:bCs/>
        </w:rPr>
        <w:t xml:space="preserve"> discussed below) which were</w:t>
      </w:r>
      <w:r w:rsidR="00FF6395">
        <w:rPr>
          <w:rFonts w:cs="Arial"/>
          <w:bCs/>
        </w:rPr>
        <w:t xml:space="preserve"> reviewed and </w:t>
      </w:r>
      <w:r w:rsidR="0048703E">
        <w:rPr>
          <w:rFonts w:cs="Arial"/>
          <w:bCs/>
        </w:rPr>
        <w:t>discussed.</w:t>
      </w:r>
    </w:p>
    <w:p w14:paraId="11BF35CA" w14:textId="3C3BEB12" w:rsidR="00194888" w:rsidRDefault="0092177C" w:rsidP="00A43FB0">
      <w:r>
        <w:rPr>
          <w:rFonts w:cs="Arial"/>
          <w:bCs/>
        </w:rPr>
        <w:t xml:space="preserve">EIA received one written comment in response to the 60 Day FRN from Ur-Energy. </w:t>
      </w:r>
      <w:r w:rsidR="00C33223">
        <w:rPr>
          <w:rFonts w:cs="Arial"/>
          <w:bCs/>
        </w:rPr>
        <w:t xml:space="preserve">The </w:t>
      </w:r>
      <w:r w:rsidR="00806384">
        <w:rPr>
          <w:rFonts w:cs="Arial"/>
          <w:bCs/>
        </w:rPr>
        <w:t>comment encouraged EIA to</w:t>
      </w:r>
      <w:r w:rsidR="008306B5">
        <w:rPr>
          <w:rFonts w:cs="Arial"/>
          <w:bCs/>
        </w:rPr>
        <w:t>:</w:t>
      </w:r>
      <w:r w:rsidR="00806384">
        <w:rPr>
          <w:rFonts w:cs="Arial"/>
          <w:bCs/>
        </w:rPr>
        <w:t xml:space="preserve"> separate the reported produced pounds by primary mine production and mill production</w:t>
      </w:r>
      <w:r w:rsidR="00FF6395">
        <w:rPr>
          <w:rFonts w:cs="Arial"/>
          <w:bCs/>
        </w:rPr>
        <w:t>;</w:t>
      </w:r>
      <w:r w:rsidR="00194888" w:rsidRPr="00194888">
        <w:rPr>
          <w:rFonts w:cs="Arial"/>
          <w:bCs/>
        </w:rPr>
        <w:t xml:space="preserve"> </w:t>
      </w:r>
      <w:r w:rsidR="00194888">
        <w:rPr>
          <w:rFonts w:cs="Arial"/>
          <w:bCs/>
        </w:rPr>
        <w:t>collect and report on a complete spectrum of resource/reserves to date;</w:t>
      </w:r>
      <w:r w:rsidR="00806384">
        <w:rPr>
          <w:rFonts w:cs="Arial"/>
          <w:bCs/>
        </w:rPr>
        <w:t xml:space="preserve"> and to verify that facilities reported in capacity for uranium mines/mills could start production within six months.</w:t>
      </w:r>
      <w:r w:rsidR="00D32A70">
        <w:rPr>
          <w:rFonts w:cs="Arial"/>
          <w:bCs/>
        </w:rPr>
        <w:t xml:space="preserve"> EIA held additional conversations on these issues with Ur-Energy on January 30, 2018.</w:t>
      </w:r>
      <w:r w:rsidR="00C526E4">
        <w:rPr>
          <w:rFonts w:cs="Arial"/>
          <w:bCs/>
        </w:rPr>
        <w:t xml:space="preserve"> </w:t>
      </w:r>
      <w:r w:rsidR="00A073FA">
        <w:rPr>
          <w:rFonts w:cs="Arial"/>
          <w:bCs/>
        </w:rPr>
        <w:t>In response to the comment, EIA state</w:t>
      </w:r>
      <w:r w:rsidR="00194888">
        <w:rPr>
          <w:rFonts w:cs="Arial"/>
          <w:bCs/>
        </w:rPr>
        <w:t>d</w:t>
      </w:r>
      <w:r w:rsidR="00A073FA">
        <w:rPr>
          <w:rFonts w:cs="Arial"/>
          <w:bCs/>
        </w:rPr>
        <w:t xml:space="preserve"> it will take several months to determine how to definitively address these issues.</w:t>
      </w:r>
      <w:r w:rsidR="00C526E4">
        <w:rPr>
          <w:rFonts w:cs="Arial"/>
          <w:bCs/>
        </w:rPr>
        <w:t xml:space="preserve"> </w:t>
      </w:r>
      <w:r w:rsidR="00194888">
        <w:t>EIA cannot report the amount of uranium produced from milling without revealing the data for an individual entity. This would violate CIPSEA data protection terms</w:t>
      </w:r>
      <w:r w:rsidR="00995E65">
        <w:t xml:space="preserve"> by disclosing the production at one respondent facility</w:t>
      </w:r>
      <w:r w:rsidR="0064643E">
        <w:t xml:space="preserve"> which, is the only facility of its type in the U.S</w:t>
      </w:r>
      <w:r w:rsidR="00194888">
        <w:t xml:space="preserve">. EIA has added text to its uranium production publication that alerts readers to the issue and directs readers to relevant filings with the U.S. Securities and Exchange Commission. </w:t>
      </w:r>
    </w:p>
    <w:p w14:paraId="1CF67505" w14:textId="003084B9" w:rsidR="00194888" w:rsidRDefault="00194888" w:rsidP="00A43FB0">
      <w:pPr>
        <w:rPr>
          <w:rFonts w:cs="Arial"/>
          <w:bCs/>
        </w:rPr>
      </w:pPr>
      <w:r>
        <w:t>EIA currently collects information on the Reasonably Assured Resources available to each active mining and exploration operation.</w:t>
      </w:r>
      <w:r w:rsidR="00C526E4">
        <w:t xml:space="preserve"> </w:t>
      </w:r>
      <w:r>
        <w:t xml:space="preserve">It is not practical for EIA to develop and publish national estimates of uranium reserves on its own. </w:t>
      </w:r>
      <w:r w:rsidR="00A073FA">
        <w:rPr>
          <w:rFonts w:cs="Arial"/>
          <w:bCs/>
        </w:rPr>
        <w:t>EIA will track the</w:t>
      </w:r>
      <w:r>
        <w:rPr>
          <w:rFonts w:cs="Arial"/>
          <w:bCs/>
        </w:rPr>
        <w:t xml:space="preserve"> current</w:t>
      </w:r>
      <w:r w:rsidR="00A073FA">
        <w:rPr>
          <w:rFonts w:cs="Arial"/>
          <w:bCs/>
        </w:rPr>
        <w:t xml:space="preserve"> work </w:t>
      </w:r>
      <w:r>
        <w:rPr>
          <w:rFonts w:cs="Arial"/>
          <w:bCs/>
        </w:rPr>
        <w:t>of</w:t>
      </w:r>
      <w:r w:rsidR="00A073FA">
        <w:rPr>
          <w:rFonts w:cs="Arial"/>
          <w:bCs/>
        </w:rPr>
        <w:t xml:space="preserve"> the Securities and Exchange Commission </w:t>
      </w:r>
      <w:r>
        <w:rPr>
          <w:rFonts w:cs="Arial"/>
          <w:bCs/>
        </w:rPr>
        <w:t>to</w:t>
      </w:r>
      <w:r w:rsidR="00A073FA">
        <w:rPr>
          <w:rFonts w:cs="Arial"/>
          <w:bCs/>
        </w:rPr>
        <w:t xml:space="preserve"> </w:t>
      </w:r>
      <w:r>
        <w:rPr>
          <w:rFonts w:cs="Arial"/>
          <w:bCs/>
        </w:rPr>
        <w:t>define</w:t>
      </w:r>
      <w:r w:rsidR="00A073FA">
        <w:rPr>
          <w:rFonts w:cs="Arial"/>
          <w:bCs/>
        </w:rPr>
        <w:t xml:space="preserve"> uranium reserves and consult with U.S. Geological Survey on the availability of national uranium reserve estimates.</w:t>
      </w:r>
      <w:r w:rsidR="00940D1A">
        <w:rPr>
          <w:rFonts w:cs="Arial"/>
          <w:bCs/>
        </w:rPr>
        <w:t xml:space="preserve"> </w:t>
      </w:r>
    </w:p>
    <w:p w14:paraId="678348EF" w14:textId="3291EE2A" w:rsidR="00194888" w:rsidRDefault="00194888" w:rsidP="00A43FB0">
      <w:pPr>
        <w:rPr>
          <w:rFonts w:cs="Arial"/>
          <w:bCs/>
        </w:rPr>
      </w:pPr>
      <w:r>
        <w:t>EIA will investigate whether it is practical for respondents to report the length of time it would take to bring inactive facilities back into operation.</w:t>
      </w:r>
    </w:p>
    <w:p w14:paraId="5C885E2C" w14:textId="0F6EC258" w:rsidR="00A43FB0" w:rsidRPr="002E0255" w:rsidRDefault="00940D1A" w:rsidP="00A43FB0">
      <w:pPr>
        <w:rPr>
          <w:rFonts w:cs="Arial"/>
          <w:bCs/>
          <w:i/>
        </w:rPr>
      </w:pPr>
      <w:r>
        <w:rPr>
          <w:rFonts w:cs="Arial"/>
          <w:bCs/>
        </w:rPr>
        <w:t>Because of the amount of time this research is expected to take, EIA will proceed with the current no-change clearance. EIA will begin to conduct the research and consultations discussed above.</w:t>
      </w:r>
      <w:r w:rsidR="00FF6395">
        <w:rPr>
          <w:rFonts w:cs="Arial"/>
          <w:bCs/>
        </w:rPr>
        <w:t xml:space="preserve"> B</w:t>
      </w:r>
      <w:r>
        <w:rPr>
          <w:rFonts w:cs="Arial"/>
          <w:bCs/>
        </w:rPr>
        <w:t xml:space="preserve">ased on the results of this work, EIA </w:t>
      </w:r>
      <w:r w:rsidR="00E77D5F">
        <w:rPr>
          <w:rFonts w:cs="Arial"/>
          <w:bCs/>
        </w:rPr>
        <w:t>may</w:t>
      </w:r>
      <w:r>
        <w:rPr>
          <w:rFonts w:cs="Arial"/>
          <w:bCs/>
        </w:rPr>
        <w:t xml:space="preserve"> propose</w:t>
      </w:r>
      <w:r w:rsidR="00E77D5F">
        <w:rPr>
          <w:rFonts w:cs="Arial"/>
          <w:bCs/>
        </w:rPr>
        <w:t xml:space="preserve"> modified surveys</w:t>
      </w:r>
      <w:r>
        <w:rPr>
          <w:rFonts w:cs="Arial"/>
          <w:bCs/>
        </w:rPr>
        <w:t xml:space="preserve"> for OMB approval</w:t>
      </w:r>
      <w:r w:rsidR="00E77D5F">
        <w:rPr>
          <w:rFonts w:cs="Arial"/>
          <w:bCs/>
        </w:rPr>
        <w:t>.</w:t>
      </w:r>
    </w:p>
    <w:p w14:paraId="76919353" w14:textId="77777777" w:rsidR="008C734C" w:rsidRPr="002E0255" w:rsidRDefault="008C734C" w:rsidP="00A41763">
      <w:pPr>
        <w:rPr>
          <w:rFonts w:cs="Arial"/>
          <w:b/>
          <w:bCs/>
        </w:rPr>
      </w:pPr>
    </w:p>
    <w:p w14:paraId="49CDD315" w14:textId="77777777" w:rsidR="008C734C" w:rsidRPr="002E0255" w:rsidRDefault="008C734C" w:rsidP="008C734C">
      <w:pPr>
        <w:pStyle w:val="Heading2"/>
        <w:rPr>
          <w:rFonts w:cs="Arial"/>
        </w:rPr>
      </w:pPr>
      <w:bookmarkStart w:id="11" w:name="_Toc495398101"/>
      <w:r w:rsidRPr="002E0255">
        <w:rPr>
          <w:rFonts w:cs="Arial"/>
        </w:rPr>
        <w:t>A.</w:t>
      </w:r>
      <w:r w:rsidR="00A41763" w:rsidRPr="002E0255">
        <w:rPr>
          <w:rFonts w:cs="Arial"/>
        </w:rPr>
        <w:t xml:space="preserve">9. </w:t>
      </w:r>
      <w:r w:rsidRPr="002E0255">
        <w:rPr>
          <w:rFonts w:cs="Arial"/>
        </w:rPr>
        <w:t>Payments or Gifts to Respondents</w:t>
      </w:r>
      <w:bookmarkEnd w:id="11"/>
      <w:r w:rsidRPr="002E0255">
        <w:rPr>
          <w:rFonts w:cs="Arial"/>
        </w:rPr>
        <w:t xml:space="preserve"> </w:t>
      </w:r>
    </w:p>
    <w:p w14:paraId="7827B740" w14:textId="2695709B" w:rsidR="003F6583" w:rsidRPr="002E0255" w:rsidRDefault="003F6583" w:rsidP="003F6583">
      <w:pPr>
        <w:rPr>
          <w:rFonts w:cs="Arial"/>
          <w:bCs/>
          <w:u w:val="single"/>
        </w:rPr>
      </w:pPr>
      <w:r w:rsidRPr="002E0255">
        <w:rPr>
          <w:rFonts w:cs="Arial"/>
          <w:bCs/>
        </w:rPr>
        <w:t xml:space="preserve">There will not be any payments made or gifts given to respondents as an incentive to complete the </w:t>
      </w:r>
      <w:r w:rsidR="00862083">
        <w:rPr>
          <w:rFonts w:cs="Arial"/>
          <w:bCs/>
          <w:i/>
        </w:rPr>
        <w:t>Uranium Data Program</w:t>
      </w:r>
      <w:r w:rsidRPr="002E0255">
        <w:rPr>
          <w:rFonts w:cs="Arial"/>
          <w:bCs/>
        </w:rPr>
        <w:t xml:space="preserve"> surveys.</w:t>
      </w:r>
    </w:p>
    <w:p w14:paraId="26ADFE4C" w14:textId="77777777" w:rsidR="008C734C" w:rsidRPr="002E0255" w:rsidRDefault="008C734C" w:rsidP="00A41763">
      <w:pPr>
        <w:rPr>
          <w:rFonts w:cs="Arial"/>
          <w:b/>
          <w:bCs/>
        </w:rPr>
      </w:pPr>
    </w:p>
    <w:p w14:paraId="7C0180BF" w14:textId="77777777" w:rsidR="008C734C" w:rsidRPr="002E0255" w:rsidRDefault="008C734C" w:rsidP="008C734C">
      <w:pPr>
        <w:pStyle w:val="Heading2"/>
        <w:rPr>
          <w:rFonts w:cs="Arial"/>
        </w:rPr>
      </w:pPr>
      <w:bookmarkStart w:id="12" w:name="_Toc495398102"/>
      <w:r w:rsidRPr="002E0255">
        <w:rPr>
          <w:rFonts w:cs="Arial"/>
        </w:rPr>
        <w:t>A.</w:t>
      </w:r>
      <w:r w:rsidR="00A41763" w:rsidRPr="002E0255">
        <w:rPr>
          <w:rFonts w:cs="Arial"/>
        </w:rPr>
        <w:t xml:space="preserve">10. </w:t>
      </w:r>
      <w:r w:rsidRPr="002E0255">
        <w:rPr>
          <w:rFonts w:cs="Arial"/>
        </w:rPr>
        <w:t>Provisions for Protection of Information</w:t>
      </w:r>
      <w:bookmarkEnd w:id="12"/>
      <w:r w:rsidRPr="002E0255">
        <w:rPr>
          <w:rFonts w:cs="Arial"/>
        </w:rPr>
        <w:t xml:space="preserve"> </w:t>
      </w:r>
    </w:p>
    <w:p w14:paraId="0C2D18D6" w14:textId="534FB2B4" w:rsidR="00E76009" w:rsidRDefault="00E76009" w:rsidP="00E7600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rPr>
      </w:pPr>
      <w:bookmarkStart w:id="13" w:name="OLE_LINK7"/>
      <w:bookmarkStart w:id="14" w:name="OLE_LINK8"/>
      <w:r w:rsidRPr="002E0255">
        <w:rPr>
          <w:rFonts w:cs="Arial"/>
        </w:rPr>
        <w:t>For Form</w:t>
      </w:r>
      <w:r w:rsidR="00254F6A">
        <w:rPr>
          <w:rFonts w:cs="Arial"/>
        </w:rPr>
        <w:t>s</w:t>
      </w:r>
      <w:r w:rsidRPr="002E0255">
        <w:rPr>
          <w:rFonts w:cs="Arial"/>
        </w:rPr>
        <w:t xml:space="preserve"> EIA-851A</w:t>
      </w:r>
      <w:r w:rsidR="005B5CB4">
        <w:rPr>
          <w:rFonts w:cs="Arial"/>
        </w:rPr>
        <w:t xml:space="preserve">, </w:t>
      </w:r>
      <w:r w:rsidR="00254F6A">
        <w:rPr>
          <w:rFonts w:cs="Arial"/>
        </w:rPr>
        <w:t>E</w:t>
      </w:r>
      <w:r w:rsidRPr="002E0255">
        <w:rPr>
          <w:rFonts w:cs="Arial"/>
        </w:rPr>
        <w:t>IA-851Q,</w:t>
      </w:r>
      <w:r w:rsidR="005B5CB4">
        <w:rPr>
          <w:rFonts w:cs="Arial"/>
        </w:rPr>
        <w:t xml:space="preserve"> and EIA-858</w:t>
      </w:r>
      <w:r w:rsidRPr="002E0255">
        <w:rPr>
          <w:rFonts w:cs="Arial"/>
        </w:rPr>
        <w:t xml:space="preserve"> the CIPSEA confidentiality pledge </w:t>
      </w:r>
      <w:r w:rsidR="005B5CB4">
        <w:rPr>
          <w:rFonts w:cs="Arial"/>
        </w:rPr>
        <w:t>is</w:t>
      </w:r>
      <w:r w:rsidRPr="002E0255">
        <w:rPr>
          <w:rFonts w:cs="Arial"/>
        </w:rPr>
        <w:t>:</w:t>
      </w:r>
    </w:p>
    <w:p w14:paraId="6C3CB3FF" w14:textId="5C861611" w:rsidR="00756F5E" w:rsidRPr="00EE4D46" w:rsidRDefault="00756F5E" w:rsidP="00756F5E">
      <w:pPr>
        <w:rPr>
          <w:i/>
          <w:iCs/>
        </w:rPr>
      </w:pPr>
      <w:r w:rsidRPr="00EE4D46">
        <w:rPr>
          <w:bCs/>
          <w:i/>
          <w:color w:val="000000"/>
        </w:rPr>
        <w:t xml:space="preserve">The items RESPONDENT IDENTIFICATION Company Name and all of ITEM X: FACILITY INFORMATION on Form EIA-XXX </w:t>
      </w:r>
      <w:r w:rsidRPr="00EE4D46">
        <w:rPr>
          <w:i/>
          <w:iCs/>
        </w:rPr>
        <w:t>will be considered public information and may be publicly released in company or individually identifiable form.</w:t>
      </w:r>
    </w:p>
    <w:p w14:paraId="609A8857" w14:textId="4C89E56A" w:rsidR="005B5CB4" w:rsidRPr="00003535" w:rsidRDefault="00756F5E" w:rsidP="005B5CB4">
      <w:pPr>
        <w:rPr>
          <w:i/>
        </w:rPr>
      </w:pPr>
      <w:r>
        <w:rPr>
          <w:i/>
        </w:rPr>
        <w:t xml:space="preserve"> </w:t>
      </w:r>
      <w:r w:rsidR="005B5CB4" w:rsidRPr="00003535">
        <w:rPr>
          <w:i/>
        </w:rPr>
        <w:t>The information you provide on Form EIA-XXX will be used for statistical purposes only and is confidential by law. In accordance with the Confidential Information Protection and Statistical Efficiency Act of 2002 and other applicable Federal laws, your responses will not be disclosed in identifiable form without your consent. Per the Federal Cybersecurity Enhancement Act of 2015, Federal information systems are protected from malicious activities through cybersecurity screening of transmitted data. Every EIA employee, as well as every agent, is subject to a jail term, a fine, or both if he or she makes public ANY identifiable information you reported.</w:t>
      </w:r>
    </w:p>
    <w:bookmarkEnd w:id="13"/>
    <w:bookmarkEnd w:id="14"/>
    <w:p w14:paraId="74E31A51" w14:textId="77777777" w:rsidR="00F056C3" w:rsidRPr="002E0255" w:rsidRDefault="00F056C3" w:rsidP="00A41763">
      <w:pPr>
        <w:rPr>
          <w:rFonts w:cs="Arial"/>
          <w:b/>
          <w:bCs/>
        </w:rPr>
      </w:pPr>
    </w:p>
    <w:p w14:paraId="47759CC0" w14:textId="77777777" w:rsidR="00F056C3" w:rsidRPr="002E0255" w:rsidRDefault="00F056C3" w:rsidP="00F056C3">
      <w:pPr>
        <w:pStyle w:val="Heading2"/>
        <w:rPr>
          <w:rFonts w:cs="Arial"/>
        </w:rPr>
      </w:pPr>
      <w:bookmarkStart w:id="15" w:name="_Toc495398103"/>
      <w:r w:rsidRPr="002E0255">
        <w:rPr>
          <w:rFonts w:cs="Arial"/>
        </w:rPr>
        <w:t>A.</w:t>
      </w:r>
      <w:r w:rsidR="00A41763" w:rsidRPr="002E0255">
        <w:rPr>
          <w:rFonts w:cs="Arial"/>
        </w:rPr>
        <w:t xml:space="preserve">11. </w:t>
      </w:r>
      <w:r w:rsidRPr="002E0255">
        <w:rPr>
          <w:rFonts w:cs="Arial"/>
        </w:rPr>
        <w:t>Justification for Sensitive Questions</w:t>
      </w:r>
      <w:bookmarkEnd w:id="15"/>
      <w:r w:rsidRPr="002E0255">
        <w:rPr>
          <w:rFonts w:cs="Arial"/>
        </w:rPr>
        <w:t xml:space="preserve"> </w:t>
      </w:r>
    </w:p>
    <w:p w14:paraId="060B3DF5" w14:textId="77777777" w:rsidR="004857F1" w:rsidRPr="002E0255" w:rsidRDefault="004857F1" w:rsidP="004857F1">
      <w:pPr>
        <w:rPr>
          <w:rFonts w:cs="Arial"/>
          <w:bCs/>
        </w:rPr>
      </w:pPr>
      <w:r w:rsidRPr="002E0255">
        <w:rPr>
          <w:rFonts w:cs="Arial"/>
          <w:bCs/>
        </w:rPr>
        <w:t>There are no questions of a sensitive nature.</w:t>
      </w:r>
    </w:p>
    <w:p w14:paraId="78548910" w14:textId="3EF2F7EC" w:rsidR="00F82E40" w:rsidRDefault="00F82E40">
      <w:pPr>
        <w:spacing w:line="240" w:lineRule="auto"/>
        <w:rPr>
          <w:rFonts w:cs="Arial"/>
          <w:b/>
          <w:bCs/>
        </w:rPr>
      </w:pPr>
      <w:r>
        <w:rPr>
          <w:rFonts w:cs="Arial"/>
          <w:b/>
          <w:bCs/>
        </w:rPr>
        <w:br w:type="page"/>
      </w:r>
    </w:p>
    <w:p w14:paraId="5E1B1955" w14:textId="77777777" w:rsidR="00F056C3" w:rsidRPr="002E0255" w:rsidRDefault="00F056C3" w:rsidP="00F056C3">
      <w:pPr>
        <w:pStyle w:val="Heading2"/>
        <w:rPr>
          <w:rFonts w:cs="Arial"/>
        </w:rPr>
      </w:pPr>
      <w:bookmarkStart w:id="16" w:name="_Toc495398104"/>
      <w:r w:rsidRPr="002E0255">
        <w:rPr>
          <w:rFonts w:cs="Arial"/>
        </w:rPr>
        <w:t>A.</w:t>
      </w:r>
      <w:r w:rsidR="00A41763" w:rsidRPr="002E0255">
        <w:rPr>
          <w:rFonts w:cs="Arial"/>
        </w:rPr>
        <w:t xml:space="preserve">12. </w:t>
      </w:r>
      <w:r w:rsidRPr="002E0255">
        <w:rPr>
          <w:rFonts w:cs="Arial"/>
        </w:rPr>
        <w:t>Estimate of Respondent Burden Hours and Cost</w:t>
      </w:r>
      <w:bookmarkEnd w:id="16"/>
      <w:r w:rsidRPr="002E0255">
        <w:rPr>
          <w:rFonts w:cs="Arial"/>
        </w:rPr>
        <w:t xml:space="preserve"> </w:t>
      </w:r>
    </w:p>
    <w:p w14:paraId="0E80F238" w14:textId="77777777" w:rsidR="00FA30AE" w:rsidRDefault="00746EB9" w:rsidP="00746EB9">
      <w:pPr>
        <w:rPr>
          <w:rFonts w:cs="Arial"/>
          <w:bCs/>
        </w:rPr>
      </w:pPr>
      <w:bookmarkStart w:id="17" w:name="_Toc459210196"/>
      <w:r w:rsidRPr="002E0255">
        <w:rPr>
          <w:rFonts w:cs="Arial"/>
          <w:bCs/>
        </w:rPr>
        <w:t xml:space="preserve">The total annual burden is estimated to be </w:t>
      </w:r>
      <w:r w:rsidRPr="002E0255">
        <w:rPr>
          <w:rFonts w:cs="Arial"/>
          <w:b/>
          <w:bCs/>
        </w:rPr>
        <w:t>1,20</w:t>
      </w:r>
      <w:r w:rsidR="00445560" w:rsidRPr="002E0255">
        <w:rPr>
          <w:rFonts w:cs="Arial"/>
          <w:b/>
          <w:bCs/>
        </w:rPr>
        <w:t>0</w:t>
      </w:r>
      <w:r w:rsidRPr="002E0255">
        <w:rPr>
          <w:rFonts w:cs="Arial"/>
          <w:b/>
          <w:bCs/>
        </w:rPr>
        <w:t xml:space="preserve"> hours </w:t>
      </w:r>
      <w:r w:rsidRPr="002E0255">
        <w:rPr>
          <w:rFonts w:cs="Arial"/>
          <w:bCs/>
        </w:rPr>
        <w:t>(see Table A1, below)</w:t>
      </w:r>
      <w:bookmarkEnd w:id="17"/>
      <w:r w:rsidR="00DF520F" w:rsidRPr="002E0255">
        <w:rPr>
          <w:rFonts w:cs="Arial"/>
          <w:bCs/>
        </w:rPr>
        <w:t xml:space="preserve">. </w:t>
      </w:r>
      <w:r w:rsidRPr="002E0255">
        <w:rPr>
          <w:rFonts w:cs="Arial"/>
          <w:bCs/>
        </w:rPr>
        <w:t>Based on the</w:t>
      </w:r>
      <w:r w:rsidR="00833E08">
        <w:rPr>
          <w:rFonts w:cs="Arial"/>
          <w:bCs/>
        </w:rPr>
        <w:t xml:space="preserve"> estimated rate of $75.69</w:t>
      </w:r>
      <w:r w:rsidRPr="002E0255">
        <w:rPr>
          <w:rFonts w:cs="Arial"/>
          <w:bCs/>
        </w:rPr>
        <w:t xml:space="preserve"> per hour for employees who would complete these forms, the total annual respondent cost for all forms is estimated to be</w:t>
      </w:r>
      <w:r w:rsidR="00FA30AE">
        <w:rPr>
          <w:rFonts w:cs="Arial"/>
          <w:bCs/>
        </w:rPr>
        <w:t xml:space="preserve"> $90,828.</w:t>
      </w:r>
    </w:p>
    <w:p w14:paraId="50A7A8B8" w14:textId="527525EB" w:rsidR="00746EB9" w:rsidRPr="002E0255" w:rsidRDefault="00FA30AE" w:rsidP="00746EB9">
      <w:pPr>
        <w:rPr>
          <w:rFonts w:cs="Arial"/>
          <w:bCs/>
        </w:rPr>
      </w:pPr>
      <w:r>
        <w:rPr>
          <w:rFonts w:cs="Arial"/>
          <w:bCs/>
        </w:rPr>
        <w:t>The equation for calculating the burden cost is</w:t>
      </w:r>
    </w:p>
    <w:p w14:paraId="758F3CF5" w14:textId="7564518A" w:rsidR="0022773F" w:rsidRDefault="0022773F" w:rsidP="00746EB9">
      <w:pPr>
        <w:rPr>
          <w:rFonts w:cs="Arial"/>
          <w:bCs/>
        </w:rPr>
      </w:pPr>
      <w:r>
        <w:rPr>
          <w:rFonts w:cs="Arial"/>
          <w:bCs/>
        </w:rPr>
        <w:t>(hourly rate) x (hours per year) = (annual respondent burden)</w:t>
      </w:r>
      <w:r w:rsidR="00FA30AE">
        <w:rPr>
          <w:rFonts w:cs="Arial"/>
          <w:bCs/>
        </w:rPr>
        <w:t>; or</w:t>
      </w:r>
    </w:p>
    <w:p w14:paraId="4B0088B0" w14:textId="24990216" w:rsidR="00746EB9" w:rsidRPr="002E0255" w:rsidRDefault="00746EB9" w:rsidP="00746EB9">
      <w:pPr>
        <w:rPr>
          <w:rFonts w:cs="Arial"/>
          <w:bCs/>
        </w:rPr>
      </w:pPr>
      <w:r w:rsidRPr="002E0255">
        <w:rPr>
          <w:rFonts w:cs="Arial"/>
          <w:bCs/>
        </w:rPr>
        <w:t>$7</w:t>
      </w:r>
      <w:r w:rsidR="00833E08">
        <w:rPr>
          <w:rFonts w:cs="Arial"/>
          <w:bCs/>
        </w:rPr>
        <w:t>5</w:t>
      </w:r>
      <w:r w:rsidRPr="002E0255">
        <w:rPr>
          <w:rFonts w:cs="Arial"/>
          <w:bCs/>
        </w:rPr>
        <w:t>.6</w:t>
      </w:r>
      <w:r w:rsidR="00833E08">
        <w:rPr>
          <w:rFonts w:cs="Arial"/>
          <w:bCs/>
        </w:rPr>
        <w:t>9</w:t>
      </w:r>
      <w:r w:rsidRPr="002E0255">
        <w:rPr>
          <w:rFonts w:cs="Arial"/>
          <w:bCs/>
        </w:rPr>
        <w:t>/hour x 1,20</w:t>
      </w:r>
      <w:r w:rsidR="00884A0B" w:rsidRPr="002E0255">
        <w:rPr>
          <w:rFonts w:cs="Arial"/>
          <w:bCs/>
        </w:rPr>
        <w:t>0</w:t>
      </w:r>
      <w:r w:rsidR="00833E08">
        <w:rPr>
          <w:rFonts w:cs="Arial"/>
          <w:bCs/>
        </w:rPr>
        <w:t xml:space="preserve"> hours/year = $90,828</w:t>
      </w:r>
      <w:r w:rsidR="00FA30AE">
        <w:rPr>
          <w:rFonts w:cs="Arial"/>
          <w:bCs/>
        </w:rPr>
        <w:t>.</w:t>
      </w:r>
    </w:p>
    <w:p w14:paraId="2CF41647" w14:textId="733C861B" w:rsidR="00407BD7" w:rsidRPr="002E0255" w:rsidRDefault="00746EB9" w:rsidP="00746EB9">
      <w:pPr>
        <w:rPr>
          <w:rFonts w:cs="Arial"/>
          <w:bCs/>
        </w:rPr>
      </w:pPr>
      <w:r w:rsidRPr="002E0255">
        <w:rPr>
          <w:rFonts w:cs="Arial"/>
          <w:bCs/>
        </w:rPr>
        <w:t>An average cost per hour of $7</w:t>
      </w:r>
      <w:r w:rsidR="00833E08">
        <w:rPr>
          <w:rFonts w:cs="Arial"/>
          <w:bCs/>
        </w:rPr>
        <w:t>5</w:t>
      </w:r>
      <w:r w:rsidRPr="002E0255">
        <w:rPr>
          <w:rFonts w:cs="Arial"/>
          <w:bCs/>
        </w:rPr>
        <w:t>.6</w:t>
      </w:r>
      <w:r w:rsidR="00833E08">
        <w:rPr>
          <w:rFonts w:cs="Arial"/>
          <w:bCs/>
        </w:rPr>
        <w:t>9</w:t>
      </w:r>
      <w:r w:rsidRPr="002E0255">
        <w:rPr>
          <w:rFonts w:cs="Arial"/>
          <w:bCs/>
        </w:rPr>
        <w:t xml:space="preserve"> is used because that is the average loaded (salary plus benefits) cost for an EIA employee assigned to data survey work. EIA assumes that the survey respondent workforce completing surveys for EIA is comparable with EIA workforce.</w:t>
      </w:r>
    </w:p>
    <w:bookmarkStart w:id="18" w:name="_MON_1569381349"/>
    <w:bookmarkEnd w:id="18"/>
    <w:p w14:paraId="49C69A17" w14:textId="34EB242B" w:rsidR="009A00F4" w:rsidRDefault="00B415EA" w:rsidP="00A41763">
      <w:pPr>
        <w:rPr>
          <w:rFonts w:cs="Arial"/>
          <w:b/>
          <w:bCs/>
        </w:rPr>
      </w:pPr>
      <w:r>
        <w:rPr>
          <w:b/>
          <w:bCs/>
        </w:rPr>
        <w:object w:dxaOrig="10251" w:dyaOrig="2526" w14:anchorId="7219A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8pt;height:113.8pt" o:ole="">
            <v:imagedata r:id="rId19" o:title=""/>
          </v:shape>
          <o:OLEObject Type="Embed" ProgID="Excel.Sheet.12" ShapeID="_x0000_i1025" DrawAspect="Content" ObjectID="_1595397036" r:id="rId20"/>
        </w:object>
      </w:r>
    </w:p>
    <w:p w14:paraId="27A6C7E9" w14:textId="77777777" w:rsidR="002E249B" w:rsidRPr="002E0255" w:rsidRDefault="002E249B" w:rsidP="00A41763">
      <w:pPr>
        <w:rPr>
          <w:rFonts w:cs="Arial"/>
          <w:b/>
          <w:bCs/>
        </w:rPr>
      </w:pPr>
    </w:p>
    <w:p w14:paraId="6312472F" w14:textId="77777777" w:rsidR="00300790" w:rsidRPr="002E0255" w:rsidRDefault="00300790" w:rsidP="00300790">
      <w:pPr>
        <w:pStyle w:val="Heading2"/>
        <w:rPr>
          <w:rFonts w:cs="Arial"/>
        </w:rPr>
      </w:pPr>
      <w:bookmarkStart w:id="19" w:name="_Toc495398105"/>
      <w:r w:rsidRPr="002E0255">
        <w:rPr>
          <w:rFonts w:cs="Arial"/>
        </w:rPr>
        <w:t>A.13. Annual Cost to the Federal Government</w:t>
      </w:r>
      <w:bookmarkEnd w:id="19"/>
    </w:p>
    <w:p w14:paraId="0130FDFD" w14:textId="49389134" w:rsidR="00CD26CD" w:rsidRDefault="00300790" w:rsidP="009C53B1">
      <w:pPr>
        <w:rPr>
          <w:rFonts w:cs="Arial"/>
          <w:szCs w:val="24"/>
        </w:rPr>
      </w:pPr>
      <w:r w:rsidRPr="002E0255">
        <w:rPr>
          <w:rFonts w:cs="Arial"/>
        </w:rPr>
        <w:t xml:space="preserve">The </w:t>
      </w:r>
      <w:r w:rsidR="0005755A">
        <w:rPr>
          <w:rFonts w:cs="Arial"/>
        </w:rPr>
        <w:t xml:space="preserve">ongoing </w:t>
      </w:r>
      <w:r w:rsidRPr="002E0255">
        <w:rPr>
          <w:rFonts w:cs="Arial"/>
        </w:rPr>
        <w:t xml:space="preserve">annual costs of the UDP data collection to the </w:t>
      </w:r>
      <w:r w:rsidR="00392F0C">
        <w:rPr>
          <w:rFonts w:cs="Arial"/>
        </w:rPr>
        <w:t>f</w:t>
      </w:r>
      <w:r w:rsidRPr="002E0255">
        <w:rPr>
          <w:rFonts w:cs="Arial"/>
        </w:rPr>
        <w:t xml:space="preserve">ederal </w:t>
      </w:r>
      <w:r w:rsidR="00392F0C">
        <w:rPr>
          <w:rFonts w:cs="Arial"/>
        </w:rPr>
        <w:t>g</w:t>
      </w:r>
      <w:r w:rsidRPr="002E0255">
        <w:rPr>
          <w:rFonts w:cs="Arial"/>
        </w:rPr>
        <w:t xml:space="preserve">overnment, including </w:t>
      </w:r>
      <w:bookmarkStart w:id="20" w:name="_Toc495398106"/>
      <w:r w:rsidR="00737B02">
        <w:rPr>
          <w:rFonts w:cs="Arial"/>
        </w:rPr>
        <w:t>survey frame maintenance, data collection, data processing, report publication and systems maintenance totals $93,856.</w:t>
      </w:r>
    </w:p>
    <w:bookmarkStart w:id="21" w:name="_MON_1595325334"/>
    <w:bookmarkEnd w:id="21"/>
    <w:p w14:paraId="4AB86FBF" w14:textId="7490A0E9" w:rsidR="00737B02" w:rsidRDefault="00E26E7A" w:rsidP="009C53B1">
      <w:pPr>
        <w:rPr>
          <w:rFonts w:cs="Arial"/>
          <w:szCs w:val="24"/>
        </w:rPr>
      </w:pPr>
      <w:r>
        <w:rPr>
          <w:rFonts w:cs="Arial"/>
          <w:szCs w:val="24"/>
        </w:rPr>
        <w:object w:dxaOrig="9393" w:dyaOrig="2082" w14:anchorId="32B1BDFE">
          <v:shape id="_x0000_i1026" type="#_x0000_t75" style="width:469.65pt;height:104.1pt" o:ole="">
            <v:imagedata r:id="rId21" o:title=""/>
          </v:shape>
          <o:OLEObject Type="Embed" ProgID="Excel.Sheet.12" ShapeID="_x0000_i1026" DrawAspect="Content" ObjectID="_1595397037" r:id="rId22"/>
        </w:object>
      </w:r>
    </w:p>
    <w:p w14:paraId="79BB3AD9" w14:textId="77777777" w:rsidR="00F51C25" w:rsidRPr="009C53B1" w:rsidRDefault="00F51C25" w:rsidP="009C53B1">
      <w:pPr>
        <w:rPr>
          <w:rFonts w:cs="Arial"/>
          <w:szCs w:val="24"/>
        </w:rPr>
      </w:pPr>
    </w:p>
    <w:p w14:paraId="2E59D0E8" w14:textId="77777777" w:rsidR="00F51C25" w:rsidRDefault="00F51C25" w:rsidP="00300790">
      <w:pPr>
        <w:pStyle w:val="Heading2"/>
        <w:rPr>
          <w:rFonts w:cs="Arial"/>
        </w:rPr>
        <w:sectPr w:rsidR="00F51C25" w:rsidSect="00C526E4">
          <w:headerReference w:type="even" r:id="rId23"/>
          <w:headerReference w:type="default" r:id="rId24"/>
          <w:footerReference w:type="even" r:id="rId25"/>
          <w:headerReference w:type="first" r:id="rId26"/>
          <w:footerReference w:type="first" r:id="rId27"/>
          <w:pgSz w:w="12240" w:h="15840"/>
          <w:pgMar w:top="1440" w:right="1440" w:bottom="1440" w:left="1440" w:header="720" w:footer="720" w:gutter="0"/>
          <w:cols w:space="720"/>
          <w:docGrid w:linePitch="360"/>
        </w:sectPr>
      </w:pPr>
    </w:p>
    <w:p w14:paraId="5BE9FC14" w14:textId="6E5E2FB9" w:rsidR="00300790" w:rsidRPr="002E0255" w:rsidRDefault="00300790" w:rsidP="00300790">
      <w:pPr>
        <w:pStyle w:val="Heading2"/>
        <w:rPr>
          <w:rFonts w:cs="Arial"/>
        </w:rPr>
      </w:pPr>
      <w:r w:rsidRPr="002E0255">
        <w:rPr>
          <w:rFonts w:cs="Arial"/>
        </w:rPr>
        <w:t>A.14. Changes in Burden</w:t>
      </w:r>
      <w:bookmarkEnd w:id="20"/>
      <w:r w:rsidRPr="002E0255">
        <w:rPr>
          <w:rFonts w:cs="Arial"/>
        </w:rPr>
        <w:t xml:space="preserve"> </w:t>
      </w:r>
    </w:p>
    <w:p w14:paraId="3A7884A6" w14:textId="2C4FEEAF" w:rsidR="00300790" w:rsidRPr="00E55C19" w:rsidRDefault="00300790" w:rsidP="00300790">
      <w:pPr>
        <w:rPr>
          <w:rFonts w:cs="Arial"/>
          <w:bCs/>
        </w:rPr>
      </w:pPr>
      <w:r w:rsidRPr="002E0255">
        <w:rPr>
          <w:rFonts w:cs="Arial"/>
          <w:bCs/>
        </w:rPr>
        <w:t xml:space="preserve">There is </w:t>
      </w:r>
      <w:r w:rsidR="001C667A" w:rsidRPr="002E0255">
        <w:rPr>
          <w:rFonts w:cs="Arial"/>
          <w:bCs/>
        </w:rPr>
        <w:t xml:space="preserve">a slight change in estimated burden due to changes in the number of respondents. The number of respondents for Form EIA-851A has </w:t>
      </w:r>
      <w:r w:rsidR="00A51CFB">
        <w:rPr>
          <w:rFonts w:cs="Arial"/>
          <w:bCs/>
        </w:rPr>
        <w:t>decreased</w:t>
      </w:r>
      <w:r w:rsidR="00A51CFB" w:rsidRPr="002E0255">
        <w:rPr>
          <w:rFonts w:cs="Arial"/>
          <w:bCs/>
        </w:rPr>
        <w:t xml:space="preserve"> </w:t>
      </w:r>
      <w:r w:rsidR="001C667A" w:rsidRPr="002E0255">
        <w:rPr>
          <w:rFonts w:cs="Arial"/>
          <w:bCs/>
        </w:rPr>
        <w:t>from 53 to 48. The number of respondents for Form EIA-</w:t>
      </w:r>
      <w:r w:rsidR="00392F0C">
        <w:rPr>
          <w:rFonts w:cs="Arial"/>
          <w:bCs/>
        </w:rPr>
        <w:t>851Q</w:t>
      </w:r>
      <w:r w:rsidR="00A51CFB">
        <w:rPr>
          <w:rFonts w:cs="Arial"/>
          <w:bCs/>
        </w:rPr>
        <w:t xml:space="preserve"> </w:t>
      </w:r>
      <w:r w:rsidR="001C667A" w:rsidRPr="002E0255">
        <w:rPr>
          <w:rFonts w:cs="Arial"/>
          <w:bCs/>
        </w:rPr>
        <w:t xml:space="preserve">has </w:t>
      </w:r>
      <w:r w:rsidR="00A51CFB">
        <w:rPr>
          <w:rFonts w:cs="Arial"/>
          <w:bCs/>
        </w:rPr>
        <w:t>increased</w:t>
      </w:r>
      <w:r w:rsidR="00A51CFB" w:rsidRPr="002E0255">
        <w:rPr>
          <w:rFonts w:cs="Arial"/>
          <w:bCs/>
        </w:rPr>
        <w:t xml:space="preserve"> </w:t>
      </w:r>
      <w:r w:rsidR="001C667A" w:rsidRPr="002E0255">
        <w:rPr>
          <w:rFonts w:cs="Arial"/>
          <w:bCs/>
        </w:rPr>
        <w:t xml:space="preserve">from 14 to 15. The number of respondents for Form EIA-858 has </w:t>
      </w:r>
      <w:r w:rsidR="00A51CFB">
        <w:rPr>
          <w:rFonts w:cs="Arial"/>
          <w:bCs/>
        </w:rPr>
        <w:t xml:space="preserve">increased </w:t>
      </w:r>
      <w:r w:rsidR="001C667A" w:rsidRPr="002E0255">
        <w:rPr>
          <w:rFonts w:cs="Arial"/>
          <w:bCs/>
        </w:rPr>
        <w:t>from 60 to 61. The total change in burden for all respondents has decreased from 1,207 hours to 1,200 hours.</w:t>
      </w:r>
      <w:r w:rsidRPr="002E0255">
        <w:rPr>
          <w:rFonts w:cs="Arial"/>
          <w:b/>
          <w:bCs/>
        </w:rPr>
        <w:t xml:space="preserve"> </w:t>
      </w:r>
    </w:p>
    <w:bookmarkStart w:id="22" w:name="_MON_1566376226"/>
    <w:bookmarkEnd w:id="22"/>
    <w:p w14:paraId="6CAEE529" w14:textId="2E66C504" w:rsidR="00300790" w:rsidRPr="002E0255" w:rsidRDefault="00B415EA" w:rsidP="00300790">
      <w:pPr>
        <w:spacing w:line="240" w:lineRule="auto"/>
        <w:rPr>
          <w:rFonts w:eastAsiaTheme="majorEastAsia" w:cs="Arial"/>
          <w:b/>
          <w:color w:val="1396D8"/>
          <w:sz w:val="28"/>
          <w:szCs w:val="26"/>
        </w:rPr>
        <w:sectPr w:rsidR="00300790" w:rsidRPr="002E0255" w:rsidSect="00F51C25">
          <w:pgSz w:w="15840" w:h="12240" w:orient="landscape"/>
          <w:pgMar w:top="1440" w:right="1440" w:bottom="1440" w:left="1440" w:header="720" w:footer="720" w:gutter="0"/>
          <w:cols w:space="720"/>
          <w:docGrid w:linePitch="360"/>
        </w:sectPr>
      </w:pPr>
      <w:r>
        <w:rPr>
          <w:b/>
          <w:bCs/>
        </w:rPr>
        <w:object w:dxaOrig="18820" w:dyaOrig="5623" w14:anchorId="5441245E">
          <v:shape id="_x0000_i1027" type="#_x0000_t75" style="width:690.7pt;height:208.35pt" o:ole="">
            <v:imagedata r:id="rId28" o:title=""/>
          </v:shape>
          <o:OLEObject Type="Embed" ProgID="Excel.Sheet.12" ShapeID="_x0000_i1027" DrawAspect="Content" ObjectID="_1595397038" r:id="rId29"/>
        </w:object>
      </w:r>
    </w:p>
    <w:p w14:paraId="0C9A4A7D" w14:textId="77777777" w:rsidR="006D42EC" w:rsidRDefault="00300790" w:rsidP="006D42EC">
      <w:pPr>
        <w:pStyle w:val="Heading2"/>
        <w:rPr>
          <w:rFonts w:cs="Arial"/>
        </w:rPr>
      </w:pPr>
      <w:bookmarkStart w:id="23" w:name="_Toc495398107"/>
      <w:r w:rsidRPr="002E0255">
        <w:rPr>
          <w:rFonts w:cs="Arial"/>
        </w:rPr>
        <w:t>A</w:t>
      </w:r>
      <w:r w:rsidR="00F056C3" w:rsidRPr="002E0255">
        <w:rPr>
          <w:rFonts w:cs="Arial"/>
        </w:rPr>
        <w:t>.</w:t>
      </w:r>
      <w:r w:rsidR="00A41763" w:rsidRPr="002E0255">
        <w:rPr>
          <w:rFonts w:cs="Arial"/>
        </w:rPr>
        <w:t xml:space="preserve">15. </w:t>
      </w:r>
      <w:r w:rsidR="006D42EC" w:rsidRPr="002E0255">
        <w:rPr>
          <w:rFonts w:cs="Arial"/>
        </w:rPr>
        <w:t>Reasons for Changes in Burden</w:t>
      </w:r>
      <w:bookmarkEnd w:id="23"/>
    </w:p>
    <w:tbl>
      <w:tblPr>
        <w:tblW w:w="9360" w:type="dxa"/>
        <w:jc w:val="center"/>
        <w:tblLayout w:type="fixed"/>
        <w:tblCellMar>
          <w:left w:w="115" w:type="dxa"/>
          <w:right w:w="115" w:type="dxa"/>
        </w:tblCellMar>
        <w:tblLook w:val="04A0" w:firstRow="1" w:lastRow="0" w:firstColumn="1" w:lastColumn="0" w:noHBand="0" w:noVBand="1"/>
      </w:tblPr>
      <w:tblGrid>
        <w:gridCol w:w="1872"/>
        <w:gridCol w:w="1872"/>
        <w:gridCol w:w="1872"/>
        <w:gridCol w:w="1872"/>
        <w:gridCol w:w="1872"/>
      </w:tblGrid>
      <w:tr w:rsidR="00A2682D" w14:paraId="57758BD9" w14:textId="77777777" w:rsidTr="00FF48CA">
        <w:trPr>
          <w:trHeight w:val="360"/>
          <w:jc w:val="center"/>
        </w:trPr>
        <w:tc>
          <w:tcPr>
            <w:tcW w:w="9360" w:type="dxa"/>
            <w:gridSpan w:val="5"/>
            <w:noWrap/>
            <w:vAlign w:val="bottom"/>
          </w:tcPr>
          <w:p w14:paraId="18A8CBB6" w14:textId="77777777" w:rsidR="00A2682D" w:rsidRDefault="00A2682D">
            <w:pPr>
              <w:spacing w:after="0" w:line="240" w:lineRule="auto"/>
              <w:jc w:val="center"/>
            </w:pPr>
            <w:r>
              <w:br w:type="page"/>
            </w:r>
          </w:p>
          <w:p w14:paraId="1E9BBB84" w14:textId="18DB2527" w:rsidR="00A2682D" w:rsidRPr="004E1712" w:rsidRDefault="00A2682D">
            <w:pPr>
              <w:spacing w:after="0" w:line="240" w:lineRule="auto"/>
              <w:jc w:val="center"/>
              <w:rPr>
                <w:rFonts w:cs="Arial"/>
                <w:b/>
                <w:color w:val="0070C0"/>
                <w:sz w:val="28"/>
                <w:szCs w:val="28"/>
              </w:rPr>
            </w:pPr>
            <w:r w:rsidRPr="004E1712">
              <w:rPr>
                <w:rFonts w:cs="Arial"/>
                <w:b/>
                <w:color w:val="0070C0"/>
                <w:sz w:val="24"/>
                <w:szCs w:val="28"/>
              </w:rPr>
              <w:t>Table A</w:t>
            </w:r>
            <w:r w:rsidR="00B415EA">
              <w:rPr>
                <w:rFonts w:cs="Arial"/>
                <w:b/>
                <w:color w:val="0070C0"/>
                <w:sz w:val="24"/>
                <w:szCs w:val="28"/>
              </w:rPr>
              <w:t>4</w:t>
            </w:r>
            <w:r w:rsidRPr="004E1712">
              <w:rPr>
                <w:rFonts w:cs="Arial"/>
                <w:b/>
                <w:color w:val="0070C0"/>
                <w:sz w:val="24"/>
                <w:szCs w:val="28"/>
              </w:rPr>
              <w:t>. ICR Summary of Burden</w:t>
            </w:r>
          </w:p>
        </w:tc>
      </w:tr>
      <w:tr w:rsidR="00A2682D" w14:paraId="7E1091DF" w14:textId="77777777" w:rsidTr="00FF48CA">
        <w:trPr>
          <w:trHeight w:val="510"/>
          <w:jc w:val="center"/>
        </w:trPr>
        <w:tc>
          <w:tcPr>
            <w:tcW w:w="9360"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5382D5F4" w14:textId="77777777" w:rsidR="00A2682D" w:rsidRDefault="00A2682D">
            <w:pPr>
              <w:spacing w:after="0" w:line="240" w:lineRule="auto"/>
              <w:jc w:val="center"/>
              <w:rPr>
                <w:rFonts w:ascii="Calibri" w:hAnsi="Calibri" w:cs="Arial"/>
                <w:b/>
                <w:bCs/>
                <w:color w:val="FFFFFF"/>
                <w:sz w:val="20"/>
                <w:szCs w:val="20"/>
              </w:rPr>
            </w:pPr>
            <w:r>
              <w:rPr>
                <w:rFonts w:ascii="Calibri" w:hAnsi="Calibri" w:cs="Arial"/>
                <w:b/>
                <w:bCs/>
                <w:color w:val="FFFFFF"/>
                <w:sz w:val="20"/>
                <w:szCs w:val="20"/>
              </w:rPr>
              <w:t> </w:t>
            </w:r>
          </w:p>
        </w:tc>
        <w:tc>
          <w:tcPr>
            <w:tcW w:w="9360" w:type="dxa"/>
            <w:tcBorders>
              <w:top w:val="single" w:sz="4" w:space="0" w:color="auto"/>
              <w:left w:val="nil"/>
              <w:bottom w:val="single" w:sz="4" w:space="0" w:color="auto"/>
              <w:right w:val="single" w:sz="4" w:space="0" w:color="auto"/>
            </w:tcBorders>
            <w:shd w:val="clear" w:color="auto" w:fill="00B0F0"/>
            <w:vAlign w:val="center"/>
            <w:hideMark/>
          </w:tcPr>
          <w:p w14:paraId="5D56CE7A" w14:textId="77777777" w:rsidR="00A2682D" w:rsidRDefault="00A2682D">
            <w:pPr>
              <w:spacing w:after="0" w:line="240" w:lineRule="auto"/>
              <w:jc w:val="center"/>
              <w:rPr>
                <w:rFonts w:ascii="Calibri" w:hAnsi="Calibri" w:cs="Arial"/>
                <w:b/>
                <w:bCs/>
                <w:sz w:val="20"/>
                <w:szCs w:val="20"/>
              </w:rPr>
            </w:pPr>
            <w:r>
              <w:rPr>
                <w:rFonts w:ascii="Calibri" w:hAnsi="Calibri" w:cs="Arial"/>
                <w:b/>
                <w:bCs/>
                <w:sz w:val="20"/>
                <w:szCs w:val="20"/>
              </w:rPr>
              <w:t>Requested</w:t>
            </w:r>
          </w:p>
        </w:tc>
        <w:tc>
          <w:tcPr>
            <w:tcW w:w="9360" w:type="dxa"/>
            <w:tcBorders>
              <w:top w:val="single" w:sz="4" w:space="0" w:color="auto"/>
              <w:left w:val="nil"/>
              <w:bottom w:val="single" w:sz="4" w:space="0" w:color="auto"/>
              <w:right w:val="single" w:sz="4" w:space="0" w:color="auto"/>
            </w:tcBorders>
            <w:shd w:val="clear" w:color="auto" w:fill="00B0F0"/>
            <w:vAlign w:val="center"/>
            <w:hideMark/>
          </w:tcPr>
          <w:p w14:paraId="663BFA2E" w14:textId="77777777" w:rsidR="00A2682D" w:rsidRDefault="00A2682D">
            <w:pPr>
              <w:spacing w:after="0" w:line="240" w:lineRule="auto"/>
              <w:jc w:val="center"/>
              <w:rPr>
                <w:rFonts w:ascii="Calibri" w:hAnsi="Calibri" w:cs="Arial"/>
                <w:b/>
                <w:bCs/>
                <w:sz w:val="20"/>
                <w:szCs w:val="20"/>
              </w:rPr>
            </w:pPr>
            <w:r>
              <w:rPr>
                <w:rFonts w:ascii="Calibri" w:hAnsi="Calibri" w:cs="Arial"/>
                <w:b/>
                <w:bCs/>
                <w:sz w:val="20"/>
                <w:szCs w:val="20"/>
              </w:rPr>
              <w:t>Program Change Due to Agency Discretion</w:t>
            </w:r>
          </w:p>
        </w:tc>
        <w:tc>
          <w:tcPr>
            <w:tcW w:w="9360" w:type="dxa"/>
            <w:tcBorders>
              <w:top w:val="single" w:sz="4" w:space="0" w:color="auto"/>
              <w:left w:val="nil"/>
              <w:bottom w:val="single" w:sz="4" w:space="0" w:color="auto"/>
              <w:right w:val="single" w:sz="4" w:space="0" w:color="auto"/>
            </w:tcBorders>
            <w:shd w:val="clear" w:color="auto" w:fill="00B0F0"/>
            <w:vAlign w:val="center"/>
            <w:hideMark/>
          </w:tcPr>
          <w:p w14:paraId="25F9AB14" w14:textId="77777777" w:rsidR="00A2682D" w:rsidRDefault="00A2682D">
            <w:pPr>
              <w:spacing w:after="0" w:line="240" w:lineRule="auto"/>
              <w:jc w:val="center"/>
              <w:rPr>
                <w:rFonts w:ascii="Calibri" w:hAnsi="Calibri" w:cs="Arial"/>
                <w:b/>
                <w:bCs/>
                <w:sz w:val="20"/>
                <w:szCs w:val="20"/>
              </w:rPr>
            </w:pPr>
            <w:r>
              <w:rPr>
                <w:rFonts w:ascii="Calibri" w:hAnsi="Calibri" w:cs="Arial"/>
                <w:b/>
                <w:bCs/>
                <w:sz w:val="20"/>
                <w:szCs w:val="20"/>
              </w:rPr>
              <w:t>Change Due to Adjustment in Agency Estimate</w:t>
            </w:r>
          </w:p>
        </w:tc>
        <w:tc>
          <w:tcPr>
            <w:tcW w:w="9360" w:type="dxa"/>
            <w:tcBorders>
              <w:top w:val="single" w:sz="4" w:space="0" w:color="auto"/>
              <w:left w:val="nil"/>
              <w:bottom w:val="single" w:sz="4" w:space="0" w:color="auto"/>
              <w:right w:val="single" w:sz="4" w:space="0" w:color="auto"/>
            </w:tcBorders>
            <w:shd w:val="clear" w:color="auto" w:fill="00B0F0"/>
            <w:vAlign w:val="center"/>
            <w:hideMark/>
          </w:tcPr>
          <w:p w14:paraId="7624D51C" w14:textId="77777777" w:rsidR="00A2682D" w:rsidRDefault="00A2682D">
            <w:pPr>
              <w:spacing w:after="0" w:line="240" w:lineRule="auto"/>
              <w:jc w:val="center"/>
              <w:rPr>
                <w:rFonts w:ascii="Calibri" w:hAnsi="Calibri" w:cs="Arial"/>
                <w:b/>
                <w:bCs/>
                <w:sz w:val="20"/>
                <w:szCs w:val="20"/>
              </w:rPr>
            </w:pPr>
            <w:r>
              <w:rPr>
                <w:rFonts w:ascii="Calibri" w:hAnsi="Calibri" w:cs="Arial"/>
                <w:b/>
                <w:bCs/>
                <w:sz w:val="20"/>
                <w:szCs w:val="20"/>
              </w:rPr>
              <w:t>Previously Approved</w:t>
            </w:r>
          </w:p>
        </w:tc>
      </w:tr>
      <w:tr w:rsidR="00A2682D" w14:paraId="357783CF" w14:textId="77777777" w:rsidTr="00FF48CA">
        <w:trPr>
          <w:trHeight w:val="525"/>
          <w:jc w:val="center"/>
        </w:trPr>
        <w:tc>
          <w:tcPr>
            <w:tcW w:w="9360" w:type="dxa"/>
            <w:tcBorders>
              <w:top w:val="nil"/>
              <w:left w:val="single" w:sz="4" w:space="0" w:color="auto"/>
              <w:bottom w:val="single" w:sz="4" w:space="0" w:color="auto"/>
              <w:right w:val="single" w:sz="4" w:space="0" w:color="auto"/>
            </w:tcBorders>
            <w:vAlign w:val="center"/>
            <w:hideMark/>
          </w:tcPr>
          <w:p w14:paraId="5CB91E35" w14:textId="77777777" w:rsidR="00A2682D" w:rsidRDefault="00A2682D">
            <w:pPr>
              <w:spacing w:after="0" w:line="240" w:lineRule="auto"/>
              <w:rPr>
                <w:rFonts w:ascii="Calibri" w:hAnsi="Calibri" w:cs="Arial"/>
                <w:color w:val="576170"/>
                <w:sz w:val="20"/>
                <w:szCs w:val="20"/>
              </w:rPr>
            </w:pPr>
            <w:r>
              <w:rPr>
                <w:rFonts w:ascii="Calibri" w:hAnsi="Calibri" w:cs="Arial"/>
                <w:color w:val="576170"/>
                <w:sz w:val="20"/>
                <w:szCs w:val="20"/>
              </w:rPr>
              <w:t>Total Number of Responses</w:t>
            </w:r>
          </w:p>
        </w:tc>
        <w:tc>
          <w:tcPr>
            <w:tcW w:w="9360" w:type="dxa"/>
            <w:tcBorders>
              <w:top w:val="nil"/>
              <w:left w:val="nil"/>
              <w:bottom w:val="single" w:sz="4" w:space="0" w:color="auto"/>
              <w:right w:val="single" w:sz="4" w:space="0" w:color="auto"/>
            </w:tcBorders>
            <w:vAlign w:val="center"/>
            <w:hideMark/>
          </w:tcPr>
          <w:p w14:paraId="44C8BD62" w14:textId="40F94AE0" w:rsidR="00A2682D" w:rsidRDefault="00A2682D" w:rsidP="00A2682D">
            <w:pPr>
              <w:spacing w:after="0" w:line="240" w:lineRule="auto"/>
              <w:rPr>
                <w:rFonts w:ascii="Calibri" w:hAnsi="Calibri" w:cs="Arial"/>
                <w:color w:val="576170"/>
                <w:sz w:val="20"/>
                <w:szCs w:val="20"/>
              </w:rPr>
            </w:pPr>
            <w:r>
              <w:rPr>
                <w:rFonts w:ascii="Calibri" w:hAnsi="Calibri" w:cs="Arial"/>
                <w:color w:val="576170"/>
                <w:sz w:val="20"/>
                <w:szCs w:val="20"/>
              </w:rPr>
              <w:t>169</w:t>
            </w:r>
          </w:p>
        </w:tc>
        <w:tc>
          <w:tcPr>
            <w:tcW w:w="9360" w:type="dxa"/>
            <w:tcBorders>
              <w:top w:val="nil"/>
              <w:left w:val="nil"/>
              <w:bottom w:val="single" w:sz="4" w:space="0" w:color="auto"/>
              <w:right w:val="single" w:sz="4" w:space="0" w:color="auto"/>
            </w:tcBorders>
            <w:vAlign w:val="center"/>
            <w:hideMark/>
          </w:tcPr>
          <w:p w14:paraId="6416222E" w14:textId="77777777" w:rsidR="00A2682D" w:rsidRDefault="00A2682D">
            <w:pPr>
              <w:spacing w:after="0" w:line="240" w:lineRule="auto"/>
              <w:rPr>
                <w:rFonts w:ascii="Calibri" w:hAnsi="Calibri" w:cs="Arial"/>
                <w:color w:val="576170"/>
                <w:sz w:val="20"/>
                <w:szCs w:val="20"/>
              </w:rPr>
            </w:pPr>
            <w:r>
              <w:rPr>
                <w:rFonts w:ascii="Calibri" w:hAnsi="Calibri" w:cs="Arial"/>
                <w:color w:val="576170"/>
                <w:sz w:val="20"/>
                <w:szCs w:val="20"/>
              </w:rPr>
              <w:t>0</w:t>
            </w:r>
          </w:p>
        </w:tc>
        <w:tc>
          <w:tcPr>
            <w:tcW w:w="9360" w:type="dxa"/>
            <w:tcBorders>
              <w:top w:val="nil"/>
              <w:left w:val="nil"/>
              <w:bottom w:val="single" w:sz="4" w:space="0" w:color="auto"/>
              <w:right w:val="single" w:sz="4" w:space="0" w:color="auto"/>
            </w:tcBorders>
            <w:vAlign w:val="center"/>
            <w:hideMark/>
          </w:tcPr>
          <w:p w14:paraId="402A26C9" w14:textId="77777777" w:rsidR="00A2682D" w:rsidRDefault="00A2682D">
            <w:pPr>
              <w:spacing w:after="0" w:line="240" w:lineRule="auto"/>
              <w:rPr>
                <w:rFonts w:ascii="Calibri" w:hAnsi="Calibri" w:cs="Arial"/>
                <w:color w:val="576170"/>
                <w:sz w:val="20"/>
                <w:szCs w:val="20"/>
              </w:rPr>
            </w:pPr>
            <w:r>
              <w:rPr>
                <w:rFonts w:ascii="Calibri" w:hAnsi="Calibri" w:cs="Arial"/>
                <w:color w:val="576170"/>
                <w:sz w:val="20"/>
                <w:szCs w:val="20"/>
              </w:rPr>
              <w:t>0</w:t>
            </w:r>
          </w:p>
        </w:tc>
        <w:tc>
          <w:tcPr>
            <w:tcW w:w="9360" w:type="dxa"/>
            <w:tcBorders>
              <w:top w:val="nil"/>
              <w:left w:val="nil"/>
              <w:bottom w:val="single" w:sz="4" w:space="0" w:color="auto"/>
              <w:right w:val="single" w:sz="4" w:space="0" w:color="auto"/>
            </w:tcBorders>
            <w:vAlign w:val="center"/>
            <w:hideMark/>
          </w:tcPr>
          <w:p w14:paraId="2C1ED253" w14:textId="014BBA87" w:rsidR="00A2682D" w:rsidRDefault="00A2682D">
            <w:pPr>
              <w:spacing w:after="0" w:line="240" w:lineRule="auto"/>
              <w:rPr>
                <w:rFonts w:ascii="Calibri" w:hAnsi="Calibri" w:cs="Arial"/>
                <w:color w:val="576170"/>
                <w:sz w:val="20"/>
                <w:szCs w:val="20"/>
              </w:rPr>
            </w:pPr>
            <w:r>
              <w:rPr>
                <w:rFonts w:ascii="Calibri" w:hAnsi="Calibri" w:cs="Arial"/>
                <w:color w:val="576170"/>
                <w:sz w:val="20"/>
                <w:szCs w:val="20"/>
              </w:rPr>
              <w:t>169</w:t>
            </w:r>
          </w:p>
        </w:tc>
      </w:tr>
      <w:tr w:rsidR="00A2682D" w14:paraId="7E32BAAF" w14:textId="77777777" w:rsidTr="00FF48CA">
        <w:trPr>
          <w:trHeight w:val="525"/>
          <w:jc w:val="center"/>
        </w:trPr>
        <w:tc>
          <w:tcPr>
            <w:tcW w:w="9360" w:type="dxa"/>
            <w:tcBorders>
              <w:top w:val="nil"/>
              <w:left w:val="single" w:sz="4" w:space="0" w:color="auto"/>
              <w:bottom w:val="single" w:sz="4" w:space="0" w:color="auto"/>
              <w:right w:val="single" w:sz="4" w:space="0" w:color="auto"/>
            </w:tcBorders>
            <w:vAlign w:val="center"/>
            <w:hideMark/>
          </w:tcPr>
          <w:p w14:paraId="450864E1" w14:textId="77777777" w:rsidR="00A2682D" w:rsidRDefault="00A2682D">
            <w:pPr>
              <w:spacing w:after="0" w:line="240" w:lineRule="auto"/>
              <w:rPr>
                <w:rFonts w:ascii="Calibri" w:hAnsi="Calibri" w:cs="Arial"/>
                <w:color w:val="576170"/>
                <w:sz w:val="20"/>
                <w:szCs w:val="20"/>
              </w:rPr>
            </w:pPr>
            <w:r>
              <w:rPr>
                <w:rFonts w:ascii="Calibri" w:hAnsi="Calibri" w:cs="Arial"/>
                <w:color w:val="576170"/>
                <w:sz w:val="20"/>
                <w:szCs w:val="20"/>
              </w:rPr>
              <w:t>Total Time Burden (Hr)</w:t>
            </w:r>
          </w:p>
        </w:tc>
        <w:tc>
          <w:tcPr>
            <w:tcW w:w="9360" w:type="dxa"/>
            <w:tcBorders>
              <w:top w:val="nil"/>
              <w:left w:val="nil"/>
              <w:bottom w:val="single" w:sz="4" w:space="0" w:color="auto"/>
              <w:right w:val="single" w:sz="4" w:space="0" w:color="auto"/>
            </w:tcBorders>
            <w:vAlign w:val="center"/>
            <w:hideMark/>
          </w:tcPr>
          <w:p w14:paraId="6E12ECEB" w14:textId="4CF3D32D" w:rsidR="00A2682D" w:rsidRDefault="00A2682D" w:rsidP="00A2682D">
            <w:pPr>
              <w:spacing w:after="0" w:line="240" w:lineRule="auto"/>
              <w:rPr>
                <w:rFonts w:ascii="Calibri" w:hAnsi="Calibri" w:cs="Arial"/>
                <w:color w:val="576170"/>
                <w:sz w:val="20"/>
                <w:szCs w:val="20"/>
              </w:rPr>
            </w:pPr>
            <w:r>
              <w:rPr>
                <w:rFonts w:ascii="Calibri" w:hAnsi="Calibri" w:cs="Arial"/>
                <w:color w:val="576170"/>
                <w:sz w:val="20"/>
                <w:szCs w:val="20"/>
              </w:rPr>
              <w:t>1,200</w:t>
            </w:r>
          </w:p>
        </w:tc>
        <w:tc>
          <w:tcPr>
            <w:tcW w:w="9360" w:type="dxa"/>
            <w:tcBorders>
              <w:top w:val="nil"/>
              <w:left w:val="nil"/>
              <w:bottom w:val="single" w:sz="4" w:space="0" w:color="auto"/>
              <w:right w:val="single" w:sz="4" w:space="0" w:color="auto"/>
            </w:tcBorders>
            <w:vAlign w:val="center"/>
            <w:hideMark/>
          </w:tcPr>
          <w:p w14:paraId="6717E3C3" w14:textId="24E62082" w:rsidR="00A2682D" w:rsidRDefault="00A2682D">
            <w:pPr>
              <w:spacing w:after="0" w:line="240" w:lineRule="auto"/>
              <w:rPr>
                <w:rFonts w:ascii="Calibri" w:hAnsi="Calibri" w:cs="Arial"/>
                <w:color w:val="576170"/>
                <w:sz w:val="20"/>
                <w:szCs w:val="20"/>
              </w:rPr>
            </w:pPr>
            <w:r>
              <w:rPr>
                <w:rFonts w:ascii="Calibri" w:hAnsi="Calibri" w:cs="Arial"/>
                <w:color w:val="576170"/>
                <w:sz w:val="20"/>
                <w:szCs w:val="20"/>
              </w:rPr>
              <w:t>0 </w:t>
            </w:r>
          </w:p>
        </w:tc>
        <w:tc>
          <w:tcPr>
            <w:tcW w:w="9360" w:type="dxa"/>
            <w:tcBorders>
              <w:top w:val="nil"/>
              <w:left w:val="nil"/>
              <w:bottom w:val="single" w:sz="4" w:space="0" w:color="auto"/>
              <w:right w:val="single" w:sz="4" w:space="0" w:color="auto"/>
            </w:tcBorders>
            <w:vAlign w:val="center"/>
            <w:hideMark/>
          </w:tcPr>
          <w:p w14:paraId="1A899B5D" w14:textId="4F7379D9" w:rsidR="00A2682D" w:rsidRDefault="00A2682D">
            <w:pPr>
              <w:spacing w:after="0" w:line="240" w:lineRule="auto"/>
              <w:rPr>
                <w:rFonts w:ascii="Calibri" w:hAnsi="Calibri" w:cs="Arial"/>
                <w:color w:val="576170"/>
                <w:sz w:val="20"/>
                <w:szCs w:val="20"/>
              </w:rPr>
            </w:pPr>
            <w:r>
              <w:rPr>
                <w:rFonts w:ascii="Calibri" w:hAnsi="Calibri" w:cs="Arial"/>
                <w:color w:val="576170"/>
                <w:sz w:val="20"/>
                <w:szCs w:val="20"/>
              </w:rPr>
              <w:t>-7</w:t>
            </w:r>
          </w:p>
        </w:tc>
        <w:tc>
          <w:tcPr>
            <w:tcW w:w="9360" w:type="dxa"/>
            <w:tcBorders>
              <w:top w:val="nil"/>
              <w:left w:val="nil"/>
              <w:bottom w:val="single" w:sz="4" w:space="0" w:color="auto"/>
              <w:right w:val="single" w:sz="4" w:space="0" w:color="auto"/>
            </w:tcBorders>
            <w:vAlign w:val="center"/>
            <w:hideMark/>
          </w:tcPr>
          <w:p w14:paraId="2C1A0B5D" w14:textId="7FAA9B71" w:rsidR="00A2682D" w:rsidRDefault="00A2682D">
            <w:pPr>
              <w:spacing w:after="0" w:line="240" w:lineRule="auto"/>
              <w:rPr>
                <w:rFonts w:ascii="Calibri" w:hAnsi="Calibri" w:cs="Arial"/>
                <w:color w:val="576170"/>
                <w:sz w:val="20"/>
                <w:szCs w:val="20"/>
              </w:rPr>
            </w:pPr>
            <w:r>
              <w:rPr>
                <w:rFonts w:ascii="Calibri" w:hAnsi="Calibri" w:cs="Arial"/>
                <w:color w:val="576170"/>
                <w:sz w:val="20"/>
                <w:szCs w:val="20"/>
              </w:rPr>
              <w:t>1,207</w:t>
            </w:r>
          </w:p>
        </w:tc>
      </w:tr>
    </w:tbl>
    <w:p w14:paraId="116878D0" w14:textId="10EFE9B0" w:rsidR="00A2682D" w:rsidRPr="00A2682D" w:rsidRDefault="00A2682D" w:rsidP="009B0284">
      <w:pPr>
        <w:spacing w:after="0"/>
      </w:pPr>
    </w:p>
    <w:p w14:paraId="7D062828" w14:textId="7730D967" w:rsidR="0075746C" w:rsidRPr="0075746C" w:rsidRDefault="00C45115" w:rsidP="0075746C">
      <w:r>
        <w:t xml:space="preserve">The frame for </w:t>
      </w:r>
      <w:r w:rsidR="00682E97">
        <w:t xml:space="preserve">Form </w:t>
      </w:r>
      <w:r w:rsidR="0075746C" w:rsidRPr="0075746C">
        <w:t xml:space="preserve">EIA-851A </w:t>
      </w:r>
      <w:r>
        <w:t>declined by</w:t>
      </w:r>
      <w:r w:rsidR="0075746C" w:rsidRPr="0075746C">
        <w:t xml:space="preserve"> five respondents </w:t>
      </w:r>
      <w:r w:rsidR="000C49F9">
        <w:t>because these five co</w:t>
      </w:r>
      <w:r w:rsidR="00BD26F8">
        <w:t xml:space="preserve">mpanies are no longer exploring or holding land for </w:t>
      </w:r>
      <w:r w:rsidR="000C49F9">
        <w:t>uranium</w:t>
      </w:r>
      <w:r w:rsidR="00BD26F8">
        <w:t xml:space="preserve"> production d</w:t>
      </w:r>
      <w:r w:rsidR="0075746C" w:rsidRPr="0075746C">
        <w:t xml:space="preserve">ue to </w:t>
      </w:r>
      <w:r w:rsidR="000C49F9">
        <w:t xml:space="preserve">low prices in uranium </w:t>
      </w:r>
      <w:r w:rsidR="0075746C" w:rsidRPr="0075746C">
        <w:t>market</w:t>
      </w:r>
      <w:r w:rsidR="000C49F9">
        <w:t>s</w:t>
      </w:r>
      <w:r w:rsidR="0075746C" w:rsidRPr="0075746C">
        <w:t xml:space="preserve">. EIA-851A covers exploration and production companies and five respondents are no longer in the uranium exploration and production business because the price of uranium is too low for them to support these activities. </w:t>
      </w:r>
      <w:r w:rsidR="0075746C">
        <w:t xml:space="preserve">The five respondents do not complete any other </w:t>
      </w:r>
      <w:r w:rsidR="009B0CE0">
        <w:t xml:space="preserve">EIA </w:t>
      </w:r>
      <w:r w:rsidR="0075746C">
        <w:t xml:space="preserve">surveys. </w:t>
      </w:r>
      <w:r w:rsidR="0075746C" w:rsidRPr="0075746C">
        <w:t>One company that</w:t>
      </w:r>
      <w:r w:rsidR="00E87563">
        <w:t xml:space="preserve"> already reports on EIA-851A</w:t>
      </w:r>
      <w:r w:rsidR="0075746C" w:rsidRPr="0075746C">
        <w:t xml:space="preserve"> is developing a uranium production facility </w:t>
      </w:r>
      <w:r w:rsidR="00E87563">
        <w:t>was</w:t>
      </w:r>
      <w:r w:rsidR="0075746C" w:rsidRPr="0075746C">
        <w:t xml:space="preserve"> added to EIA-851Q. This is a quarterly survey, so the number of annual responses increases by 4, 1 respondent x 4 quarterly surveys. An additional uranium trader was added to EIA-858’s frame since the last clearance. </w:t>
      </w:r>
    </w:p>
    <w:p w14:paraId="35B673A6" w14:textId="77777777" w:rsidR="00687AA5" w:rsidRPr="002E0255" w:rsidRDefault="00687AA5" w:rsidP="00A41763">
      <w:pPr>
        <w:rPr>
          <w:rFonts w:cs="Arial"/>
        </w:rPr>
      </w:pPr>
    </w:p>
    <w:p w14:paraId="4BDAE2A9" w14:textId="77777777" w:rsidR="00F056C3" w:rsidRPr="002E0255" w:rsidRDefault="00F056C3" w:rsidP="00F056C3">
      <w:pPr>
        <w:pStyle w:val="Heading2"/>
        <w:rPr>
          <w:rFonts w:cs="Arial"/>
        </w:rPr>
      </w:pPr>
      <w:bookmarkStart w:id="24" w:name="_Toc495398108"/>
      <w:r w:rsidRPr="002E0255">
        <w:rPr>
          <w:rFonts w:cs="Arial"/>
        </w:rPr>
        <w:t>A.</w:t>
      </w:r>
      <w:r w:rsidR="00A41763" w:rsidRPr="002E0255">
        <w:rPr>
          <w:rFonts w:cs="Arial"/>
        </w:rPr>
        <w:t xml:space="preserve">16. </w:t>
      </w:r>
      <w:r w:rsidRPr="002E0255">
        <w:rPr>
          <w:rFonts w:cs="Arial"/>
        </w:rPr>
        <w:t>Collection, Tabulation, and Publication Plans</w:t>
      </w:r>
      <w:bookmarkEnd w:id="24"/>
      <w:r w:rsidRPr="002E0255">
        <w:rPr>
          <w:rFonts w:cs="Arial"/>
        </w:rPr>
        <w:t xml:space="preserve"> </w:t>
      </w:r>
    </w:p>
    <w:p w14:paraId="273641EA" w14:textId="4684D415" w:rsidR="00B244CB" w:rsidRPr="002E0255" w:rsidRDefault="00B244CB" w:rsidP="00B244C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rPr>
      </w:pPr>
      <w:r w:rsidRPr="002E0255">
        <w:rPr>
          <w:rFonts w:cs="Arial"/>
        </w:rPr>
        <w:t>The data collected on the UDP forms will be aggregated in EIA reports and made available on the EIA website</w:t>
      </w:r>
      <w:r w:rsidR="00DF520F" w:rsidRPr="002E0255">
        <w:rPr>
          <w:rFonts w:cs="Arial"/>
        </w:rPr>
        <w:t xml:space="preserve">. </w:t>
      </w:r>
      <w:r w:rsidR="001005FC">
        <w:rPr>
          <w:rFonts w:cs="Arial"/>
        </w:rPr>
        <w:t>Paper submissions, if any, have the same due dates as online submissions.</w:t>
      </w:r>
    </w:p>
    <w:p w14:paraId="678B83A6" w14:textId="7FC54BA3" w:rsidR="00B244CB" w:rsidRPr="002E0255" w:rsidRDefault="00EE759E" w:rsidP="00EE759E">
      <w:pPr>
        <w:pStyle w:val="Caption"/>
      </w:pPr>
      <w:bookmarkStart w:id="25" w:name="_Toc524420604"/>
      <w:r w:rsidRPr="004E1712">
        <w:t>Table A</w:t>
      </w:r>
      <w:r>
        <w:t>5. UDP collection and publishing schedule</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1170"/>
        <w:gridCol w:w="1260"/>
        <w:gridCol w:w="1170"/>
        <w:gridCol w:w="4703"/>
        <w:gridCol w:w="1170"/>
      </w:tblGrid>
      <w:tr w:rsidR="00B244CB" w:rsidRPr="00246A05" w14:paraId="30014CE2" w14:textId="77777777" w:rsidTr="00EE759E">
        <w:trPr>
          <w:trHeight w:val="620"/>
          <w:tblHeader/>
        </w:trPr>
        <w:tc>
          <w:tcPr>
            <w:tcW w:w="715" w:type="dxa"/>
            <w:shd w:val="clear" w:color="auto" w:fill="00B0F0"/>
            <w:vAlign w:val="center"/>
          </w:tcPr>
          <w:bookmarkEnd w:id="25"/>
          <w:p w14:paraId="6E4668BE" w14:textId="77777777" w:rsidR="00B244CB" w:rsidRPr="002E0255" w:rsidRDefault="00B244CB" w:rsidP="005240CC">
            <w:pPr>
              <w:spacing w:before="120" w:after="120"/>
              <w:jc w:val="center"/>
              <w:rPr>
                <w:rFonts w:cs="Arial"/>
                <w:b/>
                <w:bCs/>
              </w:rPr>
            </w:pPr>
            <w:r w:rsidRPr="002E0255">
              <w:rPr>
                <w:rFonts w:cs="Arial"/>
                <w:b/>
                <w:bCs/>
              </w:rPr>
              <w:t>Form</w:t>
            </w:r>
          </w:p>
        </w:tc>
        <w:tc>
          <w:tcPr>
            <w:tcW w:w="1170" w:type="dxa"/>
            <w:shd w:val="clear" w:color="auto" w:fill="00B0F0"/>
            <w:vAlign w:val="center"/>
          </w:tcPr>
          <w:p w14:paraId="1E2D4161" w14:textId="77777777" w:rsidR="00B244CB" w:rsidRPr="002E0255" w:rsidRDefault="00B244CB" w:rsidP="005240CC">
            <w:pPr>
              <w:spacing w:before="120" w:after="120"/>
              <w:jc w:val="center"/>
              <w:rPr>
                <w:rFonts w:cs="Arial"/>
                <w:b/>
                <w:bCs/>
              </w:rPr>
            </w:pPr>
            <w:r w:rsidRPr="002E0255">
              <w:rPr>
                <w:rFonts w:cs="Arial"/>
                <w:b/>
                <w:bCs/>
              </w:rPr>
              <w:t>Start Date</w:t>
            </w:r>
          </w:p>
        </w:tc>
        <w:tc>
          <w:tcPr>
            <w:tcW w:w="1260" w:type="dxa"/>
            <w:tcBorders>
              <w:bottom w:val="single" w:sz="4" w:space="0" w:color="auto"/>
            </w:tcBorders>
            <w:shd w:val="clear" w:color="auto" w:fill="00B0F0"/>
            <w:vAlign w:val="center"/>
          </w:tcPr>
          <w:p w14:paraId="4931DF8F" w14:textId="77777777" w:rsidR="00B244CB" w:rsidRPr="002E0255" w:rsidRDefault="00B244CB" w:rsidP="006823B2">
            <w:pPr>
              <w:spacing w:before="120" w:after="120"/>
              <w:jc w:val="center"/>
              <w:rPr>
                <w:rFonts w:cs="Arial"/>
                <w:b/>
                <w:bCs/>
              </w:rPr>
            </w:pPr>
            <w:r w:rsidRPr="002E0255">
              <w:rPr>
                <w:rFonts w:cs="Arial"/>
                <w:b/>
                <w:bCs/>
              </w:rPr>
              <w:t>Due Date</w:t>
            </w:r>
          </w:p>
        </w:tc>
        <w:tc>
          <w:tcPr>
            <w:tcW w:w="1170" w:type="dxa"/>
            <w:shd w:val="clear" w:color="auto" w:fill="00B0F0"/>
            <w:vAlign w:val="center"/>
          </w:tcPr>
          <w:p w14:paraId="195A4911" w14:textId="77777777" w:rsidR="00B244CB" w:rsidRPr="002E0255" w:rsidRDefault="00B244CB" w:rsidP="000C2ABB">
            <w:pPr>
              <w:spacing w:before="120" w:after="120"/>
              <w:jc w:val="center"/>
              <w:rPr>
                <w:rFonts w:cs="Arial"/>
                <w:b/>
                <w:bCs/>
              </w:rPr>
            </w:pPr>
            <w:r w:rsidRPr="002E0255">
              <w:rPr>
                <w:rFonts w:cs="Arial"/>
                <w:b/>
                <w:bCs/>
              </w:rPr>
              <w:t>Period</w:t>
            </w:r>
          </w:p>
        </w:tc>
        <w:tc>
          <w:tcPr>
            <w:tcW w:w="4703" w:type="dxa"/>
            <w:shd w:val="clear" w:color="auto" w:fill="00B0F0"/>
            <w:vAlign w:val="center"/>
          </w:tcPr>
          <w:p w14:paraId="37B1DC08" w14:textId="77777777" w:rsidR="00B244CB" w:rsidRPr="002E0255" w:rsidRDefault="00B244CB" w:rsidP="000C2ABB">
            <w:pPr>
              <w:pStyle w:val="z-BottomofForm"/>
              <w:spacing w:before="120" w:after="120"/>
              <w:rPr>
                <w:rFonts w:asciiTheme="minorHAnsi" w:hAnsiTheme="minorHAnsi" w:cs="Arial"/>
                <w:bCs/>
                <w:sz w:val="22"/>
                <w:szCs w:val="22"/>
              </w:rPr>
            </w:pPr>
            <w:r w:rsidRPr="002E0255">
              <w:rPr>
                <w:rFonts w:asciiTheme="minorHAnsi" w:hAnsiTheme="minorHAnsi" w:cs="Arial"/>
                <w:bCs/>
                <w:sz w:val="22"/>
                <w:szCs w:val="22"/>
              </w:rPr>
              <w:t>Publications</w:t>
            </w:r>
          </w:p>
        </w:tc>
        <w:tc>
          <w:tcPr>
            <w:tcW w:w="1170" w:type="dxa"/>
            <w:shd w:val="clear" w:color="auto" w:fill="00B0F0"/>
            <w:vAlign w:val="center"/>
          </w:tcPr>
          <w:p w14:paraId="3D52E3FE" w14:textId="77777777" w:rsidR="00B244CB" w:rsidRPr="002E0255" w:rsidRDefault="00B244CB" w:rsidP="000C2ABB">
            <w:pPr>
              <w:spacing w:before="120" w:after="120"/>
              <w:jc w:val="center"/>
              <w:rPr>
                <w:rFonts w:cs="Arial"/>
                <w:b/>
                <w:bCs/>
              </w:rPr>
            </w:pPr>
            <w:r w:rsidRPr="002E0255">
              <w:rPr>
                <w:rFonts w:cs="Arial"/>
                <w:b/>
                <w:bCs/>
              </w:rPr>
              <w:t>On EIA website</w:t>
            </w:r>
          </w:p>
        </w:tc>
      </w:tr>
      <w:tr w:rsidR="00B244CB" w:rsidRPr="00246A05" w14:paraId="3FFCB68C" w14:textId="77777777" w:rsidTr="002E0255">
        <w:trPr>
          <w:trHeight w:val="259"/>
        </w:trPr>
        <w:tc>
          <w:tcPr>
            <w:tcW w:w="715" w:type="dxa"/>
          </w:tcPr>
          <w:p w14:paraId="3CEF4A20" w14:textId="77777777" w:rsidR="00B244CB" w:rsidRPr="002E0255" w:rsidRDefault="00B244CB" w:rsidP="00FF69E9">
            <w:pPr>
              <w:spacing w:before="120" w:after="120"/>
              <w:rPr>
                <w:rFonts w:cs="Arial"/>
              </w:rPr>
            </w:pPr>
            <w:r w:rsidRPr="002E0255">
              <w:rPr>
                <w:rFonts w:cs="Arial"/>
              </w:rPr>
              <w:t>EIA-851A</w:t>
            </w:r>
          </w:p>
        </w:tc>
        <w:tc>
          <w:tcPr>
            <w:tcW w:w="1170" w:type="dxa"/>
          </w:tcPr>
          <w:p w14:paraId="42FB872A" w14:textId="11846DC5" w:rsidR="00B244CB" w:rsidRPr="002E0255" w:rsidRDefault="00B244CB" w:rsidP="00FF69E9">
            <w:pPr>
              <w:spacing w:before="120" w:after="120"/>
              <w:rPr>
                <w:rFonts w:cs="Arial"/>
              </w:rPr>
            </w:pPr>
            <w:r w:rsidRPr="002E0255">
              <w:rPr>
                <w:rFonts w:cs="Arial"/>
              </w:rPr>
              <w:t>January 2</w:t>
            </w:r>
            <w:r w:rsidR="00C526E4">
              <w:rPr>
                <w:rFonts w:cs="Arial"/>
              </w:rPr>
              <w:t xml:space="preserve"> </w:t>
            </w:r>
          </w:p>
        </w:tc>
        <w:tc>
          <w:tcPr>
            <w:tcW w:w="1260" w:type="dxa"/>
          </w:tcPr>
          <w:p w14:paraId="467D326B" w14:textId="77777777" w:rsidR="00B244CB" w:rsidRPr="002E0255" w:rsidRDefault="00B244CB" w:rsidP="00FF69E9">
            <w:pPr>
              <w:spacing w:before="120" w:after="120"/>
              <w:rPr>
                <w:rFonts w:cs="Arial"/>
              </w:rPr>
            </w:pPr>
            <w:r w:rsidRPr="002E0255">
              <w:rPr>
                <w:rFonts w:cs="Arial"/>
              </w:rPr>
              <w:t>March 1</w:t>
            </w:r>
          </w:p>
        </w:tc>
        <w:tc>
          <w:tcPr>
            <w:tcW w:w="1170" w:type="dxa"/>
          </w:tcPr>
          <w:p w14:paraId="4C041CBF" w14:textId="77777777" w:rsidR="00B244CB" w:rsidRPr="002E0255" w:rsidRDefault="00B244CB" w:rsidP="00FF69E9">
            <w:pPr>
              <w:spacing w:before="120" w:after="120"/>
              <w:rPr>
                <w:rFonts w:cs="Arial"/>
              </w:rPr>
            </w:pPr>
            <w:r w:rsidRPr="002E0255">
              <w:rPr>
                <w:rFonts w:cs="Arial"/>
              </w:rPr>
              <w:t>Annual</w:t>
            </w:r>
          </w:p>
        </w:tc>
        <w:tc>
          <w:tcPr>
            <w:tcW w:w="4703" w:type="dxa"/>
          </w:tcPr>
          <w:p w14:paraId="54CF981D" w14:textId="77777777" w:rsidR="00B244CB" w:rsidRPr="002E0255" w:rsidRDefault="00B244CB" w:rsidP="00FF69E9">
            <w:pPr>
              <w:spacing w:before="120" w:after="120"/>
              <w:rPr>
                <w:rFonts w:cs="Arial"/>
                <w:color w:val="FF0000"/>
              </w:rPr>
            </w:pPr>
            <w:r w:rsidRPr="002E0255">
              <w:rPr>
                <w:rFonts w:cs="Arial"/>
                <w:i/>
              </w:rPr>
              <w:t xml:space="preserve">Domestic Uranium Production Report – Annual </w:t>
            </w:r>
            <w:hyperlink r:id="rId30" w:history="1">
              <w:r w:rsidRPr="002E0255">
                <w:rPr>
                  <w:rStyle w:val="Hyperlink"/>
                  <w:rFonts w:cs="Arial"/>
                </w:rPr>
                <w:t>http://www.eia.gov/uranium/production/annual/</w:t>
              </w:r>
            </w:hyperlink>
          </w:p>
        </w:tc>
        <w:tc>
          <w:tcPr>
            <w:tcW w:w="1170" w:type="dxa"/>
          </w:tcPr>
          <w:p w14:paraId="3B0B6A60" w14:textId="77777777" w:rsidR="00B244CB" w:rsidRPr="002E0255" w:rsidRDefault="00B244CB" w:rsidP="00FF69E9">
            <w:pPr>
              <w:spacing w:before="120" w:after="120"/>
              <w:rPr>
                <w:rFonts w:cs="Arial"/>
              </w:rPr>
            </w:pPr>
            <w:r w:rsidRPr="002E0255">
              <w:rPr>
                <w:rFonts w:cs="Arial"/>
              </w:rPr>
              <w:t>May</w:t>
            </w:r>
          </w:p>
        </w:tc>
      </w:tr>
      <w:tr w:rsidR="00B244CB" w:rsidRPr="00246A05" w14:paraId="65F07490" w14:textId="77777777" w:rsidTr="002E0255">
        <w:trPr>
          <w:trHeight w:val="259"/>
        </w:trPr>
        <w:tc>
          <w:tcPr>
            <w:tcW w:w="715" w:type="dxa"/>
          </w:tcPr>
          <w:p w14:paraId="5CF3F23F" w14:textId="77777777" w:rsidR="00B244CB" w:rsidRPr="002E0255" w:rsidRDefault="00B244CB" w:rsidP="00FF69E9">
            <w:pPr>
              <w:spacing w:before="120" w:after="120"/>
              <w:rPr>
                <w:rFonts w:cs="Arial"/>
              </w:rPr>
            </w:pPr>
            <w:r w:rsidRPr="002E0255">
              <w:rPr>
                <w:rFonts w:cs="Arial"/>
              </w:rPr>
              <w:t>EIA-851Q</w:t>
            </w:r>
          </w:p>
        </w:tc>
        <w:tc>
          <w:tcPr>
            <w:tcW w:w="1170" w:type="dxa"/>
          </w:tcPr>
          <w:p w14:paraId="15A14F7A" w14:textId="77777777" w:rsidR="00B244CB" w:rsidRPr="002E0255" w:rsidRDefault="00B244CB" w:rsidP="00FF69E9">
            <w:pPr>
              <w:spacing w:before="120" w:after="120"/>
              <w:rPr>
                <w:rFonts w:cs="Arial"/>
              </w:rPr>
            </w:pPr>
            <w:r w:rsidRPr="002E0255">
              <w:rPr>
                <w:rFonts w:cs="Arial"/>
              </w:rPr>
              <w:t>January 2;</w:t>
            </w:r>
          </w:p>
          <w:p w14:paraId="6872C712" w14:textId="77777777" w:rsidR="00B244CB" w:rsidRPr="002E0255" w:rsidRDefault="00B244CB" w:rsidP="00FF69E9">
            <w:pPr>
              <w:spacing w:before="120" w:after="120"/>
              <w:rPr>
                <w:rFonts w:cs="Arial"/>
              </w:rPr>
            </w:pPr>
            <w:r w:rsidRPr="002E0255">
              <w:rPr>
                <w:rFonts w:cs="Arial"/>
              </w:rPr>
              <w:t>April 1;</w:t>
            </w:r>
          </w:p>
          <w:p w14:paraId="164BEFE2" w14:textId="77777777" w:rsidR="00B244CB" w:rsidRPr="002E0255" w:rsidRDefault="00B244CB" w:rsidP="00FF69E9">
            <w:pPr>
              <w:spacing w:before="120" w:after="120"/>
              <w:rPr>
                <w:rFonts w:cs="Arial"/>
              </w:rPr>
            </w:pPr>
            <w:r w:rsidRPr="002E0255">
              <w:rPr>
                <w:rFonts w:cs="Arial"/>
              </w:rPr>
              <w:t>July 1;</w:t>
            </w:r>
          </w:p>
          <w:p w14:paraId="7A3E6B9E" w14:textId="77777777" w:rsidR="00B244CB" w:rsidRPr="002E0255" w:rsidRDefault="00B244CB" w:rsidP="00FF69E9">
            <w:pPr>
              <w:spacing w:before="120" w:after="120"/>
              <w:rPr>
                <w:rFonts w:cs="Arial"/>
              </w:rPr>
            </w:pPr>
            <w:r w:rsidRPr="002E0255">
              <w:rPr>
                <w:rFonts w:cs="Arial"/>
              </w:rPr>
              <w:t>October 1</w:t>
            </w:r>
          </w:p>
        </w:tc>
        <w:tc>
          <w:tcPr>
            <w:tcW w:w="1260" w:type="dxa"/>
          </w:tcPr>
          <w:p w14:paraId="47B38748" w14:textId="77777777" w:rsidR="00B244CB" w:rsidRPr="002E0255" w:rsidRDefault="00B244CB" w:rsidP="00FF69E9">
            <w:pPr>
              <w:spacing w:before="120" w:after="120"/>
              <w:rPr>
                <w:rFonts w:cs="Arial"/>
              </w:rPr>
            </w:pPr>
            <w:r w:rsidRPr="002E0255">
              <w:rPr>
                <w:rFonts w:cs="Arial"/>
              </w:rPr>
              <w:t>January 15;</w:t>
            </w:r>
          </w:p>
          <w:p w14:paraId="4D59AACC" w14:textId="77777777" w:rsidR="00B244CB" w:rsidRPr="002E0255" w:rsidRDefault="00B244CB" w:rsidP="00FF69E9">
            <w:pPr>
              <w:spacing w:before="120" w:after="120"/>
              <w:rPr>
                <w:rFonts w:cs="Arial"/>
              </w:rPr>
            </w:pPr>
            <w:r w:rsidRPr="002E0255">
              <w:rPr>
                <w:rFonts w:cs="Arial"/>
              </w:rPr>
              <w:t>April 15;</w:t>
            </w:r>
          </w:p>
          <w:p w14:paraId="03FA458E" w14:textId="77777777" w:rsidR="00B244CB" w:rsidRPr="002E0255" w:rsidRDefault="00B244CB" w:rsidP="00FF69E9">
            <w:pPr>
              <w:spacing w:before="120" w:after="120"/>
              <w:rPr>
                <w:rFonts w:cs="Arial"/>
              </w:rPr>
            </w:pPr>
            <w:r w:rsidRPr="002E0255">
              <w:rPr>
                <w:rFonts w:cs="Arial"/>
              </w:rPr>
              <w:t>July 15;</w:t>
            </w:r>
          </w:p>
          <w:p w14:paraId="334B0C36" w14:textId="77777777" w:rsidR="00B244CB" w:rsidRPr="002E0255" w:rsidRDefault="00B244CB" w:rsidP="00FF69E9">
            <w:pPr>
              <w:spacing w:before="120" w:after="120"/>
              <w:rPr>
                <w:rFonts w:cs="Arial"/>
              </w:rPr>
            </w:pPr>
            <w:r w:rsidRPr="002E0255">
              <w:rPr>
                <w:rFonts w:cs="Arial"/>
              </w:rPr>
              <w:t>October 15</w:t>
            </w:r>
          </w:p>
        </w:tc>
        <w:tc>
          <w:tcPr>
            <w:tcW w:w="1170" w:type="dxa"/>
          </w:tcPr>
          <w:p w14:paraId="61205339" w14:textId="77777777" w:rsidR="00B244CB" w:rsidRPr="002E0255" w:rsidRDefault="00B244CB" w:rsidP="00FF69E9">
            <w:pPr>
              <w:spacing w:before="120" w:after="120"/>
              <w:rPr>
                <w:rFonts w:cs="Arial"/>
              </w:rPr>
            </w:pPr>
            <w:r w:rsidRPr="002E0255">
              <w:rPr>
                <w:rFonts w:cs="Arial"/>
              </w:rPr>
              <w:t>Quarterly</w:t>
            </w:r>
          </w:p>
        </w:tc>
        <w:tc>
          <w:tcPr>
            <w:tcW w:w="4703" w:type="dxa"/>
          </w:tcPr>
          <w:p w14:paraId="3025A938" w14:textId="77777777" w:rsidR="00B244CB" w:rsidRPr="002E0255" w:rsidRDefault="00B244CB" w:rsidP="00FF69E9">
            <w:pPr>
              <w:spacing w:before="120" w:after="120"/>
              <w:rPr>
                <w:rFonts w:cs="Arial"/>
                <w:color w:val="FF0000"/>
              </w:rPr>
            </w:pPr>
            <w:r w:rsidRPr="002E0255">
              <w:rPr>
                <w:rFonts w:cs="Arial"/>
                <w:i/>
              </w:rPr>
              <w:t xml:space="preserve">Domestic Uranium Production Report - Quarterly </w:t>
            </w:r>
            <w:hyperlink r:id="rId31" w:history="1">
              <w:r w:rsidRPr="002E0255">
                <w:rPr>
                  <w:rStyle w:val="Hyperlink"/>
                  <w:rFonts w:cs="Arial"/>
                  <w:sz w:val="20"/>
                </w:rPr>
                <w:t>http://www.eia.gov/uranium/production/quarterly/</w:t>
              </w:r>
            </w:hyperlink>
          </w:p>
        </w:tc>
        <w:tc>
          <w:tcPr>
            <w:tcW w:w="1170" w:type="dxa"/>
          </w:tcPr>
          <w:p w14:paraId="2FD99852" w14:textId="77777777" w:rsidR="00B244CB" w:rsidRPr="002E0255" w:rsidRDefault="00B244CB" w:rsidP="00FF69E9">
            <w:pPr>
              <w:spacing w:before="120" w:after="120"/>
              <w:rPr>
                <w:rFonts w:cs="Arial"/>
              </w:rPr>
            </w:pPr>
            <w:r w:rsidRPr="002E0255">
              <w:rPr>
                <w:rFonts w:cs="Arial"/>
              </w:rPr>
              <w:t>February;</w:t>
            </w:r>
          </w:p>
          <w:p w14:paraId="49B5467F" w14:textId="77777777" w:rsidR="00B244CB" w:rsidRPr="002E0255" w:rsidRDefault="00B244CB" w:rsidP="00FF69E9">
            <w:pPr>
              <w:spacing w:before="120" w:after="120"/>
              <w:rPr>
                <w:rFonts w:cs="Arial"/>
              </w:rPr>
            </w:pPr>
            <w:r w:rsidRPr="002E0255">
              <w:rPr>
                <w:rFonts w:cs="Arial"/>
              </w:rPr>
              <w:t>May;</w:t>
            </w:r>
          </w:p>
          <w:p w14:paraId="4A5E65A1" w14:textId="77777777" w:rsidR="00B244CB" w:rsidRPr="002E0255" w:rsidRDefault="00B244CB" w:rsidP="00FF69E9">
            <w:pPr>
              <w:spacing w:before="120" w:after="120"/>
              <w:rPr>
                <w:rFonts w:cs="Arial"/>
              </w:rPr>
            </w:pPr>
            <w:r w:rsidRPr="002E0255">
              <w:rPr>
                <w:rFonts w:cs="Arial"/>
              </w:rPr>
              <w:t>August;</w:t>
            </w:r>
          </w:p>
          <w:p w14:paraId="226DB61E" w14:textId="77777777" w:rsidR="00B244CB" w:rsidRPr="002E0255" w:rsidRDefault="00B244CB" w:rsidP="00FF69E9">
            <w:pPr>
              <w:spacing w:before="120" w:after="120"/>
              <w:rPr>
                <w:rFonts w:cs="Arial"/>
              </w:rPr>
            </w:pPr>
            <w:r w:rsidRPr="002E0255">
              <w:rPr>
                <w:rFonts w:cs="Arial"/>
              </w:rPr>
              <w:t>November</w:t>
            </w:r>
          </w:p>
        </w:tc>
      </w:tr>
      <w:tr w:rsidR="00B244CB" w:rsidRPr="00246A05" w14:paraId="56A3E126" w14:textId="77777777" w:rsidTr="002E0255">
        <w:trPr>
          <w:trHeight w:val="259"/>
        </w:trPr>
        <w:tc>
          <w:tcPr>
            <w:tcW w:w="715" w:type="dxa"/>
          </w:tcPr>
          <w:p w14:paraId="54B4A615" w14:textId="77777777" w:rsidR="00B244CB" w:rsidRPr="002E0255" w:rsidRDefault="00B244CB" w:rsidP="00FF69E9">
            <w:pPr>
              <w:spacing w:before="120" w:after="120"/>
              <w:rPr>
                <w:rFonts w:cs="Arial"/>
              </w:rPr>
            </w:pPr>
            <w:r w:rsidRPr="002E0255">
              <w:rPr>
                <w:rFonts w:cs="Arial"/>
              </w:rPr>
              <w:t>EIA-858</w:t>
            </w:r>
          </w:p>
        </w:tc>
        <w:tc>
          <w:tcPr>
            <w:tcW w:w="1170" w:type="dxa"/>
          </w:tcPr>
          <w:p w14:paraId="31545171" w14:textId="2073C8E7" w:rsidR="00B244CB" w:rsidRPr="002E0255" w:rsidRDefault="00B244CB" w:rsidP="00FF69E9">
            <w:pPr>
              <w:spacing w:before="120" w:after="120"/>
              <w:rPr>
                <w:rFonts w:cs="Arial"/>
              </w:rPr>
            </w:pPr>
            <w:r w:rsidRPr="002E0255">
              <w:rPr>
                <w:rFonts w:cs="Arial"/>
              </w:rPr>
              <w:t>January 2</w:t>
            </w:r>
            <w:r w:rsidR="00C526E4">
              <w:rPr>
                <w:rFonts w:cs="Arial"/>
              </w:rPr>
              <w:t xml:space="preserve"> </w:t>
            </w:r>
          </w:p>
        </w:tc>
        <w:tc>
          <w:tcPr>
            <w:tcW w:w="1260" w:type="dxa"/>
          </w:tcPr>
          <w:p w14:paraId="0AC51F6A" w14:textId="77777777" w:rsidR="00B244CB" w:rsidRPr="002E0255" w:rsidRDefault="00B244CB" w:rsidP="00FF69E9">
            <w:pPr>
              <w:spacing w:before="120" w:after="120"/>
              <w:rPr>
                <w:rFonts w:cs="Arial"/>
              </w:rPr>
            </w:pPr>
            <w:r w:rsidRPr="002E0255">
              <w:rPr>
                <w:rFonts w:cs="Arial"/>
              </w:rPr>
              <w:t>March 1</w:t>
            </w:r>
          </w:p>
        </w:tc>
        <w:tc>
          <w:tcPr>
            <w:tcW w:w="1170" w:type="dxa"/>
          </w:tcPr>
          <w:p w14:paraId="4752E44C" w14:textId="77777777" w:rsidR="00B244CB" w:rsidRPr="002E0255" w:rsidRDefault="00B244CB" w:rsidP="00FF69E9">
            <w:pPr>
              <w:spacing w:before="120" w:after="120"/>
              <w:rPr>
                <w:rFonts w:cs="Arial"/>
              </w:rPr>
            </w:pPr>
            <w:r w:rsidRPr="002E0255">
              <w:rPr>
                <w:rFonts w:cs="Arial"/>
              </w:rPr>
              <w:t>Annual</w:t>
            </w:r>
          </w:p>
        </w:tc>
        <w:tc>
          <w:tcPr>
            <w:tcW w:w="4703" w:type="dxa"/>
          </w:tcPr>
          <w:p w14:paraId="520D19B1" w14:textId="77777777" w:rsidR="00B244CB" w:rsidRPr="002E0255" w:rsidRDefault="00B244CB" w:rsidP="00FF69E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rPr>
                <w:rStyle w:val="Hyperlink"/>
                <w:rFonts w:cs="Arial"/>
              </w:rPr>
            </w:pPr>
            <w:r w:rsidRPr="002E0255">
              <w:rPr>
                <w:rFonts w:cs="Arial"/>
                <w:i/>
              </w:rPr>
              <w:t xml:space="preserve">Uranium Marketing Annual Report </w:t>
            </w:r>
            <w:hyperlink r:id="rId32" w:history="1">
              <w:r w:rsidRPr="002E0255">
                <w:rPr>
                  <w:rStyle w:val="Hyperlink"/>
                  <w:rFonts w:cs="Arial"/>
                </w:rPr>
                <w:t>http://www.eia.gov/uranium/marketing/</w:t>
              </w:r>
            </w:hyperlink>
          </w:p>
          <w:p w14:paraId="5B9F6C39" w14:textId="77777777" w:rsidR="00B244CB" w:rsidRPr="002E0255" w:rsidRDefault="00B244CB" w:rsidP="00FF69E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rPr>
                <w:rFonts w:cs="Arial"/>
                <w:color w:val="FF0000"/>
              </w:rPr>
            </w:pPr>
            <w:r w:rsidRPr="002E0255">
              <w:rPr>
                <w:rFonts w:cs="Arial"/>
                <w:i/>
              </w:rPr>
              <w:t xml:space="preserve">Domestic Uranium Production Report – Annual </w:t>
            </w:r>
            <w:hyperlink r:id="rId33" w:history="1">
              <w:r w:rsidRPr="002E0255">
                <w:rPr>
                  <w:rStyle w:val="Hyperlink"/>
                  <w:rFonts w:cs="Arial"/>
                </w:rPr>
                <w:t>http://www.eia.gov/uranium/production/annual/</w:t>
              </w:r>
            </w:hyperlink>
          </w:p>
        </w:tc>
        <w:tc>
          <w:tcPr>
            <w:tcW w:w="1170" w:type="dxa"/>
          </w:tcPr>
          <w:p w14:paraId="0E07A725" w14:textId="77777777" w:rsidR="00B244CB" w:rsidRPr="002E0255" w:rsidRDefault="00B244CB" w:rsidP="00FF69E9">
            <w:pPr>
              <w:spacing w:before="120" w:after="120"/>
              <w:rPr>
                <w:rFonts w:cs="Arial"/>
              </w:rPr>
            </w:pPr>
            <w:r w:rsidRPr="002E0255">
              <w:rPr>
                <w:rFonts w:cs="Arial"/>
              </w:rPr>
              <w:t>May</w:t>
            </w:r>
          </w:p>
        </w:tc>
      </w:tr>
    </w:tbl>
    <w:p w14:paraId="68015D2C" w14:textId="77777777" w:rsidR="00F056C3" w:rsidRPr="002E0255" w:rsidRDefault="00F056C3" w:rsidP="00A41763">
      <w:pPr>
        <w:rPr>
          <w:rFonts w:cs="Arial"/>
        </w:rPr>
      </w:pPr>
    </w:p>
    <w:p w14:paraId="1760502E" w14:textId="77777777" w:rsidR="00F056C3" w:rsidRPr="002E0255" w:rsidRDefault="00F056C3" w:rsidP="00F056C3">
      <w:pPr>
        <w:pStyle w:val="Heading2"/>
        <w:rPr>
          <w:rFonts w:cs="Arial"/>
        </w:rPr>
      </w:pPr>
      <w:bookmarkStart w:id="26" w:name="_Toc495398109"/>
      <w:r w:rsidRPr="002E0255">
        <w:rPr>
          <w:rFonts w:cs="Arial"/>
        </w:rPr>
        <w:t>A.</w:t>
      </w:r>
      <w:r w:rsidR="00A41763" w:rsidRPr="002E0255">
        <w:rPr>
          <w:rFonts w:cs="Arial"/>
        </w:rPr>
        <w:t xml:space="preserve">17. </w:t>
      </w:r>
      <w:r w:rsidRPr="002E0255">
        <w:rPr>
          <w:rFonts w:cs="Arial"/>
        </w:rPr>
        <w:t>OMB Number and Expiration Date</w:t>
      </w:r>
      <w:bookmarkEnd w:id="26"/>
      <w:r w:rsidRPr="002E0255">
        <w:rPr>
          <w:rFonts w:cs="Arial"/>
        </w:rPr>
        <w:t xml:space="preserve"> </w:t>
      </w:r>
    </w:p>
    <w:p w14:paraId="64F0BD77" w14:textId="660EA74E" w:rsidR="00E70ECC" w:rsidRPr="002E0255" w:rsidRDefault="00E70ECC" w:rsidP="00E70ECC">
      <w:pPr>
        <w:rPr>
          <w:rFonts w:cs="Arial"/>
          <w:bCs/>
        </w:rPr>
      </w:pPr>
      <w:r w:rsidRPr="002E0255">
        <w:rPr>
          <w:rFonts w:cs="Arial"/>
          <w:bCs/>
        </w:rPr>
        <w:t>The OMB number 1905-0160 and expiration date will be displayed on the data collection form</w:t>
      </w:r>
      <w:r w:rsidR="00502408">
        <w:rPr>
          <w:rFonts w:cs="Arial"/>
          <w:bCs/>
        </w:rPr>
        <w:t>s</w:t>
      </w:r>
      <w:r w:rsidRPr="002E0255">
        <w:rPr>
          <w:rFonts w:cs="Arial"/>
          <w:bCs/>
        </w:rPr>
        <w:t xml:space="preserve"> and</w:t>
      </w:r>
      <w:r w:rsidR="00502408">
        <w:rPr>
          <w:rFonts w:cs="Arial"/>
          <w:bCs/>
        </w:rPr>
        <w:t xml:space="preserve"> </w:t>
      </w:r>
      <w:r w:rsidRPr="002E0255">
        <w:rPr>
          <w:rFonts w:cs="Arial"/>
          <w:bCs/>
        </w:rPr>
        <w:t>instructions.</w:t>
      </w:r>
    </w:p>
    <w:p w14:paraId="04E18383" w14:textId="77777777" w:rsidR="00F056C3" w:rsidRPr="002E0255" w:rsidRDefault="00F056C3" w:rsidP="00F056C3">
      <w:pPr>
        <w:pStyle w:val="Heading2"/>
        <w:rPr>
          <w:rFonts w:cs="Arial"/>
        </w:rPr>
      </w:pPr>
      <w:bookmarkStart w:id="27" w:name="_Toc495398110"/>
      <w:r w:rsidRPr="002E0255">
        <w:rPr>
          <w:rFonts w:cs="Arial"/>
        </w:rPr>
        <w:t>A.</w:t>
      </w:r>
      <w:r w:rsidR="00A41763" w:rsidRPr="002E0255">
        <w:rPr>
          <w:rFonts w:cs="Arial"/>
        </w:rPr>
        <w:t xml:space="preserve">18. </w:t>
      </w:r>
      <w:r w:rsidRPr="002E0255">
        <w:rPr>
          <w:rFonts w:cs="Arial"/>
        </w:rPr>
        <w:t>Certification Statement</w:t>
      </w:r>
      <w:bookmarkEnd w:id="27"/>
      <w:r w:rsidRPr="002E0255">
        <w:rPr>
          <w:rFonts w:cs="Arial"/>
        </w:rPr>
        <w:t xml:space="preserve"> </w:t>
      </w:r>
    </w:p>
    <w:p w14:paraId="67DD868D" w14:textId="56D2DC1D" w:rsidR="00D81DD4" w:rsidRPr="002E0255" w:rsidRDefault="00461358">
      <w:pPr>
        <w:rPr>
          <w:rFonts w:cs="Arial"/>
        </w:rPr>
      </w:pPr>
      <w:r w:rsidRPr="002E0255">
        <w:rPr>
          <w:rFonts w:cs="Arial"/>
        </w:rPr>
        <w:t xml:space="preserve">There are no exceptions to the certification statement identified in Item 19, "Certification for Paperwork Reduction Act Submissions," of OMB Form 83-I. This information collection request complies with 5 CFR </w:t>
      </w:r>
      <w:r w:rsidR="00F55DC0">
        <w:rPr>
          <w:rFonts w:cs="Arial"/>
        </w:rPr>
        <w:t>§</w:t>
      </w:r>
      <w:r w:rsidRPr="002E0255">
        <w:rPr>
          <w:rFonts w:cs="Arial"/>
        </w:rPr>
        <w:t>1320.9</w:t>
      </w:r>
      <w:r w:rsidR="00DF520F" w:rsidRPr="002E0255">
        <w:rPr>
          <w:rFonts w:cs="Arial"/>
        </w:rPr>
        <w:t>.</w:t>
      </w:r>
    </w:p>
    <w:sectPr w:rsidR="00D81DD4" w:rsidRPr="002E0255" w:rsidSect="00F91E4A">
      <w:headerReference w:type="even" r:id="rId34"/>
      <w:headerReference w:type="default" r:id="rId35"/>
      <w:footerReference w:type="even" r:id="rId36"/>
      <w:headerReference w:type="first" r:id="rId37"/>
      <w:footerReference w:type="firs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E7EA7" w14:textId="77777777" w:rsidR="00E26E7A" w:rsidRDefault="00E26E7A" w:rsidP="00536CE1">
      <w:pPr>
        <w:spacing w:after="0" w:line="240" w:lineRule="auto"/>
      </w:pPr>
      <w:r>
        <w:separator/>
      </w:r>
    </w:p>
  </w:endnote>
  <w:endnote w:type="continuationSeparator" w:id="0">
    <w:p w14:paraId="3FF7CA7E" w14:textId="77777777" w:rsidR="00E26E7A" w:rsidRDefault="00E26E7A" w:rsidP="00536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F63BE" w14:textId="38D5E145" w:rsidR="00E26E7A" w:rsidRPr="001F3A8F" w:rsidRDefault="00E26E7A" w:rsidP="00616E46">
    <w:pPr>
      <w:pStyle w:val="Footer"/>
      <w:tabs>
        <w:tab w:val="clear" w:pos="9720"/>
        <w:tab w:val="left" w:pos="8655"/>
      </w:tabs>
    </w:pPr>
    <w:r w:rsidRPr="00CB180D">
      <w:t>U.S. Energy Information Administration</w:t>
    </w:r>
    <w:r>
      <w:t xml:space="preserve">   </w:t>
    </w:r>
    <w:r w:rsidRPr="00CB180D">
      <w:t>|</w:t>
    </w:r>
    <w:r>
      <w:t xml:space="preserve">   Supporting Statement for Uranium Data Program </w:t>
    </w:r>
    <w:r>
      <w:tab/>
      <w:t xml:space="preserve"> </w:t>
    </w:r>
    <w:r>
      <w:fldChar w:fldCharType="begin"/>
    </w:r>
    <w:r>
      <w:instrText xml:space="preserve"> PAGE   \* MERGEFORMAT </w:instrText>
    </w:r>
    <w:r>
      <w:fldChar w:fldCharType="separate"/>
    </w:r>
    <w:r w:rsidR="003A7F21">
      <w:rPr>
        <w:noProof/>
      </w:rPr>
      <w:t>13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57E75" w14:textId="4790686E" w:rsidR="00E26E7A" w:rsidRDefault="00374F48" w:rsidP="00760677">
    <w:pPr>
      <w:pStyle w:val="Footer"/>
    </w:pPr>
    <w:sdt>
      <w:sdtPr>
        <w:id w:val="272451101"/>
        <w:docPartObj>
          <w:docPartGallery w:val="Page Numbers (Bottom of Page)"/>
          <w:docPartUnique/>
        </w:docPartObj>
      </w:sdtPr>
      <w:sdtEndPr/>
      <w:sdtContent>
        <w:r w:rsidR="00E26E7A" w:rsidRPr="00CB180D">
          <w:t>U.S. Energy Information Administration</w:t>
        </w:r>
        <w:r w:rsidR="00E26E7A">
          <w:t xml:space="preserve">   </w:t>
        </w:r>
        <w:r w:rsidR="00E26E7A" w:rsidRPr="00CB180D">
          <w:t>|</w:t>
        </w:r>
        <w:r w:rsidR="00E26E7A">
          <w:t xml:space="preserve">   Improving the Quality and Scope of EIA Data</w:t>
        </w:r>
        <w:r w:rsidR="00E26E7A" w:rsidRPr="00CB180D">
          <w:tab/>
        </w:r>
      </w:sdtContent>
    </w:sdt>
    <w:r w:rsidR="00E26E7A" w:rsidRPr="00760677">
      <w:t xml:space="preserve"> </w:t>
    </w:r>
    <w:r w:rsidR="00E26E7A">
      <w:fldChar w:fldCharType="begin"/>
    </w:r>
    <w:r w:rsidR="00E26E7A">
      <w:instrText xml:space="preserve"> PAGE   \* MERGEFORMAT </w:instrText>
    </w:r>
    <w:r w:rsidR="00E26E7A">
      <w:fldChar w:fldCharType="separate"/>
    </w:r>
    <w:r w:rsidR="00E26E7A">
      <w:rPr>
        <w:noProof/>
      </w:rPr>
      <w:t>i</w:t>
    </w:r>
    <w:r w:rsidR="00E26E7A">
      <w:rPr>
        <w:noProof/>
      </w:rPr>
      <w:fldChar w:fldCharType="end"/>
    </w:r>
  </w:p>
  <w:p w14:paraId="4F912233" w14:textId="77777777" w:rsidR="00E26E7A" w:rsidRDefault="00E26E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046EE" w14:textId="35787793" w:rsidR="00E26E7A" w:rsidRDefault="00374F48" w:rsidP="00760677">
    <w:pPr>
      <w:pStyle w:val="Footer"/>
    </w:pPr>
    <w:sdt>
      <w:sdtPr>
        <w:id w:val="-22715443"/>
        <w:docPartObj>
          <w:docPartGallery w:val="Page Numbers (Bottom of Page)"/>
          <w:docPartUnique/>
        </w:docPartObj>
      </w:sdtPr>
      <w:sdtEndPr/>
      <w:sdtContent>
        <w:r w:rsidR="00E26E7A" w:rsidRPr="00CB180D">
          <w:t>U.S. Energy Information Administration</w:t>
        </w:r>
        <w:r w:rsidR="00E26E7A">
          <w:t xml:space="preserve">   </w:t>
        </w:r>
        <w:r w:rsidR="00E26E7A" w:rsidRPr="00CB180D">
          <w:t>|</w:t>
        </w:r>
        <w:r w:rsidR="00E26E7A">
          <w:t xml:space="preserve">   Improving the Quality and Scope of EIA Data</w:t>
        </w:r>
        <w:r w:rsidR="00E26E7A" w:rsidRPr="00CB180D">
          <w:tab/>
        </w:r>
      </w:sdtContent>
    </w:sdt>
    <w:r w:rsidR="00E26E7A" w:rsidRPr="00760677">
      <w:t xml:space="preserve"> </w:t>
    </w:r>
    <w:r w:rsidR="00E26E7A">
      <w:fldChar w:fldCharType="begin"/>
    </w:r>
    <w:r w:rsidR="00E26E7A">
      <w:instrText xml:space="preserve"> PAGE   \* MERGEFORMAT </w:instrText>
    </w:r>
    <w:r w:rsidR="00E26E7A">
      <w:fldChar w:fldCharType="separate"/>
    </w:r>
    <w:r w:rsidR="00E26E7A">
      <w:rPr>
        <w:noProof/>
      </w:rPr>
      <w:t>ii</w:t>
    </w:r>
    <w:r w:rsidR="00E26E7A">
      <w:rPr>
        <w:noProof/>
      </w:rPr>
      <w:fldChar w:fldCharType="end"/>
    </w:r>
  </w:p>
  <w:p w14:paraId="1D9E14B2" w14:textId="77777777" w:rsidR="00E26E7A" w:rsidRDefault="00E26E7A" w:rsidP="0076067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470489"/>
      <w:docPartObj>
        <w:docPartGallery w:val="Page Numbers (Bottom of Page)"/>
        <w:docPartUnique/>
      </w:docPartObj>
    </w:sdtPr>
    <w:sdtEndPr/>
    <w:sdtContent>
      <w:p w14:paraId="62204E8C" w14:textId="6B75FAE3" w:rsidR="00E26E7A" w:rsidRDefault="00E26E7A" w:rsidP="00760677">
        <w:pPr>
          <w:pStyle w:val="Footer"/>
        </w:pPr>
        <w:r>
          <w:fldChar w:fldCharType="begin"/>
        </w:r>
        <w:r>
          <w:instrText xml:space="preserve"> PAGE   \* MERGEFORMAT </w:instrText>
        </w:r>
        <w:r>
          <w:fldChar w:fldCharType="separate"/>
        </w:r>
        <w:r>
          <w:rPr>
            <w:noProof/>
          </w:rPr>
          <w:t>14</w:t>
        </w:r>
        <w:r>
          <w:rPr>
            <w:noProof/>
          </w:rPr>
          <w:fldChar w:fldCharType="end"/>
        </w:r>
        <w:r>
          <w:tab/>
          <w:t xml:space="preserve">                                                                                 </w:t>
        </w:r>
        <w:r w:rsidRPr="00CB180D">
          <w:t>U.S. Energy Information Administration</w:t>
        </w:r>
        <w:r>
          <w:t xml:space="preserve">   </w:t>
        </w:r>
        <w:r w:rsidRPr="00CB180D">
          <w:t>|</w:t>
        </w:r>
        <w:r>
          <w:t xml:space="preserve">   </w:t>
        </w:r>
        <w:r w:rsidRPr="00CB180D">
          <w:t>Improving the Quality and Scope of EIA Data</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BC98E" w14:textId="79DABE6E" w:rsidR="00E26E7A" w:rsidRDefault="00374F48" w:rsidP="00760677">
    <w:pPr>
      <w:pStyle w:val="Footer"/>
    </w:pPr>
    <w:sdt>
      <w:sdtPr>
        <w:id w:val="395169075"/>
        <w:docPartObj>
          <w:docPartGallery w:val="Page Numbers (Bottom of Page)"/>
          <w:docPartUnique/>
        </w:docPartObj>
      </w:sdtPr>
      <w:sdtEndPr/>
      <w:sdtContent>
        <w:r w:rsidR="00E26E7A" w:rsidRPr="00CB180D">
          <w:t>U.S. Energy Information Administration</w:t>
        </w:r>
        <w:r w:rsidR="00E26E7A">
          <w:t xml:space="preserve">   </w:t>
        </w:r>
        <w:r w:rsidR="00E26E7A" w:rsidRPr="00CB180D">
          <w:t>|</w:t>
        </w:r>
        <w:r w:rsidR="00E26E7A">
          <w:t xml:space="preserve">   Improving the Quality and Scope of EIA Data</w:t>
        </w:r>
        <w:r w:rsidR="00E26E7A" w:rsidRPr="00CB180D">
          <w:tab/>
        </w:r>
      </w:sdtContent>
    </w:sdt>
    <w:r w:rsidR="00E26E7A" w:rsidRPr="00760677">
      <w:t xml:space="preserve"> </w:t>
    </w:r>
    <w:r w:rsidR="00E26E7A">
      <w:fldChar w:fldCharType="begin"/>
    </w:r>
    <w:r w:rsidR="00E26E7A">
      <w:instrText xml:space="preserve"> PAGE   \* MERGEFORMAT </w:instrText>
    </w:r>
    <w:r w:rsidR="00E26E7A">
      <w:fldChar w:fldCharType="separate"/>
    </w:r>
    <w:r w:rsidR="00E26E7A">
      <w:rPr>
        <w:noProof/>
      </w:rPr>
      <w:t>1</w:t>
    </w:r>
    <w:r w:rsidR="00E26E7A">
      <w:rPr>
        <w:noProof/>
      </w:rPr>
      <w:fldChar w:fldCharType="end"/>
    </w:r>
  </w:p>
  <w:p w14:paraId="60C04106" w14:textId="77777777" w:rsidR="00E26E7A" w:rsidRDefault="00E26E7A" w:rsidP="0076067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636824"/>
      <w:docPartObj>
        <w:docPartGallery w:val="Page Numbers (Bottom of Page)"/>
        <w:docPartUnique/>
      </w:docPartObj>
    </w:sdtPr>
    <w:sdtEndPr/>
    <w:sdtContent>
      <w:p w14:paraId="4F035589" w14:textId="41F7401C" w:rsidR="00E26E7A" w:rsidRDefault="00E26E7A" w:rsidP="00760677">
        <w:pPr>
          <w:pStyle w:val="Footer"/>
        </w:pPr>
        <w:r>
          <w:fldChar w:fldCharType="begin"/>
        </w:r>
        <w:r>
          <w:instrText xml:space="preserve"> PAGE   \* MERGEFORMAT </w:instrText>
        </w:r>
        <w:r>
          <w:fldChar w:fldCharType="separate"/>
        </w:r>
        <w:r>
          <w:rPr>
            <w:noProof/>
          </w:rPr>
          <w:t>14</w:t>
        </w:r>
        <w:r>
          <w:rPr>
            <w:noProof/>
          </w:rPr>
          <w:fldChar w:fldCharType="end"/>
        </w:r>
        <w:r>
          <w:tab/>
          <w:t xml:space="preserve">                                                                                 </w:t>
        </w:r>
        <w:r w:rsidRPr="00CB180D">
          <w:t>U.S. Energy Information Administration</w:t>
        </w:r>
        <w:r>
          <w:t xml:space="preserve">   </w:t>
        </w:r>
        <w:r w:rsidRPr="00CB180D">
          <w:t>|</w:t>
        </w:r>
        <w:r>
          <w:t xml:space="preserve">   </w:t>
        </w:r>
        <w:r w:rsidRPr="00CB180D">
          <w:t>Improving the Quality and Scope of EIA Data</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08AAD" w14:textId="2A2309C3" w:rsidR="00E26E7A" w:rsidRDefault="00374F48" w:rsidP="00760677">
    <w:pPr>
      <w:pStyle w:val="Footer"/>
    </w:pPr>
    <w:sdt>
      <w:sdtPr>
        <w:id w:val="-1505507132"/>
        <w:docPartObj>
          <w:docPartGallery w:val="Page Numbers (Bottom of Page)"/>
          <w:docPartUnique/>
        </w:docPartObj>
      </w:sdtPr>
      <w:sdtEndPr/>
      <w:sdtContent>
        <w:r w:rsidR="00E26E7A" w:rsidRPr="00CB180D">
          <w:t>U.S. Energy Information Administration</w:t>
        </w:r>
        <w:r w:rsidR="00E26E7A">
          <w:t xml:space="preserve">   </w:t>
        </w:r>
        <w:r w:rsidR="00E26E7A" w:rsidRPr="00CB180D">
          <w:t>|</w:t>
        </w:r>
        <w:r w:rsidR="00E26E7A">
          <w:t xml:space="preserve">   Improving the Quality and Scope of EIA Data</w:t>
        </w:r>
        <w:r w:rsidR="00E26E7A" w:rsidRPr="00CB180D">
          <w:tab/>
        </w:r>
      </w:sdtContent>
    </w:sdt>
    <w:r w:rsidR="00E26E7A" w:rsidRPr="00760677">
      <w:t xml:space="preserve"> </w:t>
    </w:r>
    <w:r w:rsidR="00E26E7A">
      <w:fldChar w:fldCharType="begin"/>
    </w:r>
    <w:r w:rsidR="00E26E7A">
      <w:instrText xml:space="preserve"> PAGE   \* MERGEFORMAT </w:instrText>
    </w:r>
    <w:r w:rsidR="00E26E7A">
      <w:fldChar w:fldCharType="separate"/>
    </w:r>
    <w:r w:rsidR="00E26E7A">
      <w:rPr>
        <w:noProof/>
      </w:rPr>
      <w:t>1</w:t>
    </w:r>
    <w:r w:rsidR="00E26E7A">
      <w:rPr>
        <w:noProof/>
      </w:rPr>
      <w:fldChar w:fldCharType="end"/>
    </w:r>
  </w:p>
  <w:p w14:paraId="7724DDBE" w14:textId="77777777" w:rsidR="00E26E7A" w:rsidRDefault="00E26E7A" w:rsidP="007606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DEB22F" w14:textId="77777777" w:rsidR="00E26E7A" w:rsidRDefault="00E26E7A" w:rsidP="00536CE1">
      <w:pPr>
        <w:spacing w:after="0" w:line="240" w:lineRule="auto"/>
      </w:pPr>
      <w:r>
        <w:separator/>
      </w:r>
    </w:p>
  </w:footnote>
  <w:footnote w:type="continuationSeparator" w:id="0">
    <w:p w14:paraId="2C3807AF" w14:textId="77777777" w:rsidR="00E26E7A" w:rsidRDefault="00E26E7A" w:rsidP="00536C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20E6C" w14:textId="77777777" w:rsidR="00E26E7A" w:rsidRDefault="00E26E7A" w:rsidP="00725453">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33FE3" w14:textId="77777777" w:rsidR="00E26E7A" w:rsidRPr="00373208" w:rsidRDefault="00E26E7A" w:rsidP="00041909">
    <w:pPr>
      <w:pStyle w:val="Header"/>
    </w:pPr>
    <w:r>
      <w:t>September 2011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EE155" w14:textId="563F8339" w:rsidR="00E26E7A" w:rsidRPr="00F8298C" w:rsidRDefault="00E26E7A" w:rsidP="00041909">
    <w:pPr>
      <w:pStyle w:val="Header"/>
    </w:pPr>
    <w:r>
      <w:t>August 2018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BE7CB" w14:textId="77777777" w:rsidR="00E26E7A" w:rsidRDefault="00E26E7A" w:rsidP="00041909">
    <w:pPr>
      <w:pStyle w:val="Header"/>
    </w:pPr>
    <w:r>
      <w:t>December 2011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EC862" w14:textId="77777777" w:rsidR="00E26E7A" w:rsidRPr="00373208" w:rsidRDefault="00E26E7A" w:rsidP="00041909">
    <w:pPr>
      <w:pStyle w:val="Header"/>
    </w:pPr>
    <w:r>
      <w:t>September 2011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CD115" w14:textId="57C87B32" w:rsidR="00E26E7A" w:rsidRPr="00F8298C" w:rsidRDefault="00E26E7A" w:rsidP="00041909">
    <w:pPr>
      <w:pStyle w:val="Header"/>
    </w:pPr>
    <w:r>
      <w:t>August 2018</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5EB0D" w14:textId="77777777" w:rsidR="00E26E7A" w:rsidRDefault="00E26E7A" w:rsidP="00041909">
    <w:pPr>
      <w:pStyle w:val="Header"/>
    </w:pPr>
    <w:r>
      <w:t>December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2D9626D0"/>
    <w:lvl w:ilvl="0">
      <w:start w:val="1"/>
      <w:numFmt w:val="decimal"/>
      <w:lvlText w:val="%1."/>
      <w:lvlJc w:val="left"/>
      <w:pPr>
        <w:tabs>
          <w:tab w:val="num" w:pos="720"/>
        </w:tabs>
        <w:ind w:left="720" w:hanging="360"/>
      </w:pPr>
    </w:lvl>
  </w:abstractNum>
  <w:abstractNum w:abstractNumId="1">
    <w:nsid w:val="FFFFFF81"/>
    <w:multiLevelType w:val="singleLevel"/>
    <w:tmpl w:val="2406447E"/>
    <w:lvl w:ilvl="0">
      <w:start w:val="1"/>
      <w:numFmt w:val="bullet"/>
      <w:pStyle w:val="ListBullet4"/>
      <w:lvlText w:val=""/>
      <w:lvlJc w:val="left"/>
      <w:pPr>
        <w:tabs>
          <w:tab w:val="num" w:pos="1440"/>
        </w:tabs>
        <w:ind w:left="1440" w:hanging="360"/>
      </w:pPr>
      <w:rPr>
        <w:rFonts w:ascii="Symbol" w:hAnsi="Symbol" w:hint="default"/>
      </w:rPr>
    </w:lvl>
  </w:abstractNum>
  <w:abstractNum w:abstractNumId="2">
    <w:nsid w:val="FFFFFF82"/>
    <w:multiLevelType w:val="singleLevel"/>
    <w:tmpl w:val="F948091A"/>
    <w:lvl w:ilvl="0">
      <w:start w:val="1"/>
      <w:numFmt w:val="bullet"/>
      <w:pStyle w:val="ListBullet3"/>
      <w:lvlText w:val=""/>
      <w:lvlJc w:val="left"/>
      <w:pPr>
        <w:tabs>
          <w:tab w:val="num" w:pos="1080"/>
        </w:tabs>
        <w:ind w:left="1080" w:hanging="360"/>
      </w:pPr>
      <w:rPr>
        <w:rFonts w:ascii="Symbol" w:hAnsi="Symbol" w:hint="default"/>
      </w:rPr>
    </w:lvl>
  </w:abstractNum>
  <w:abstractNum w:abstractNumId="3">
    <w:nsid w:val="FFFFFF83"/>
    <w:multiLevelType w:val="singleLevel"/>
    <w:tmpl w:val="5268DBE4"/>
    <w:lvl w:ilvl="0">
      <w:start w:val="1"/>
      <w:numFmt w:val="bullet"/>
      <w:pStyle w:val="ListBullet2"/>
      <w:lvlText w:val=""/>
      <w:lvlJc w:val="left"/>
      <w:pPr>
        <w:tabs>
          <w:tab w:val="num" w:pos="720"/>
        </w:tabs>
        <w:ind w:left="720" w:hanging="360"/>
      </w:pPr>
      <w:rPr>
        <w:rFonts w:ascii="Symbol" w:hAnsi="Symbol" w:hint="default"/>
      </w:rPr>
    </w:lvl>
  </w:abstractNum>
  <w:abstractNum w:abstractNumId="4">
    <w:nsid w:val="FFFFFF88"/>
    <w:multiLevelType w:val="singleLevel"/>
    <w:tmpl w:val="8220A528"/>
    <w:lvl w:ilvl="0">
      <w:start w:val="1"/>
      <w:numFmt w:val="decimal"/>
      <w:pStyle w:val="ListNumber"/>
      <w:lvlText w:val="%1."/>
      <w:lvlJc w:val="left"/>
      <w:pPr>
        <w:tabs>
          <w:tab w:val="num" w:pos="360"/>
        </w:tabs>
        <w:ind w:left="360" w:hanging="360"/>
      </w:pPr>
    </w:lvl>
  </w:abstractNum>
  <w:abstractNum w:abstractNumId="5">
    <w:nsid w:val="FFFFFF89"/>
    <w:multiLevelType w:val="singleLevel"/>
    <w:tmpl w:val="56A44888"/>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044B41"/>
    <w:multiLevelType w:val="hybridMultilevel"/>
    <w:tmpl w:val="6C185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1B47BD8"/>
    <w:multiLevelType w:val="multilevel"/>
    <w:tmpl w:val="1A4060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8">
    <w:nsid w:val="06360799"/>
    <w:multiLevelType w:val="hybridMultilevel"/>
    <w:tmpl w:val="474C9E16"/>
    <w:lvl w:ilvl="0" w:tplc="3BAC7F2A">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69F36C6"/>
    <w:multiLevelType w:val="multilevel"/>
    <w:tmpl w:val="E258FFEA"/>
    <w:lvl w:ilvl="0">
      <w:start w:val="1"/>
      <w:numFmt w:val="bullet"/>
      <w:lvlText w:val=""/>
      <w:lvlJc w:val="left"/>
      <w:pPr>
        <w:ind w:left="3960" w:hanging="360"/>
      </w:pPr>
      <w:rPr>
        <w:rFonts w:ascii="Symbol" w:hAnsi="Symbol" w:hint="default"/>
      </w:rPr>
    </w:lvl>
    <w:lvl w:ilvl="1">
      <w:start w:val="1"/>
      <w:numFmt w:val="bullet"/>
      <w:lvlText w:val=""/>
      <w:lvlJc w:val="left"/>
      <w:pPr>
        <w:ind w:left="4680" w:hanging="360"/>
      </w:pPr>
      <w:rPr>
        <w:rFonts w:ascii="Symbol" w:hAnsi="Symbol" w:hint="default"/>
      </w:rPr>
    </w:lvl>
    <w:lvl w:ilvl="2">
      <w:start w:val="1"/>
      <w:numFmt w:val="bullet"/>
      <w:lvlText w:val=""/>
      <w:lvlJc w:val="left"/>
      <w:pPr>
        <w:ind w:left="5400" w:hanging="360"/>
      </w:pPr>
      <w:rPr>
        <w:rFonts w:ascii="Symbol" w:hAnsi="Symbol" w:hint="default"/>
        <w:color w:val="auto"/>
      </w:rPr>
    </w:lvl>
    <w:lvl w:ilvl="3">
      <w:start w:val="1"/>
      <w:numFmt w:val="bullet"/>
      <w:lvlText w:val=""/>
      <w:lvlJc w:val="left"/>
      <w:pPr>
        <w:ind w:left="6120" w:hanging="360"/>
      </w:pPr>
      <w:rPr>
        <w:rFonts w:ascii="Symbol" w:hAnsi="Symbol" w:hint="default"/>
      </w:rPr>
    </w:lvl>
    <w:lvl w:ilvl="4">
      <w:start w:val="1"/>
      <w:numFmt w:val="bullet"/>
      <w:lvlText w:val=""/>
      <w:lvlJc w:val="left"/>
      <w:pPr>
        <w:ind w:left="6840" w:hanging="360"/>
      </w:pPr>
      <w:rPr>
        <w:rFonts w:ascii="Symbol" w:hAnsi="Symbol" w:hint="default"/>
        <w:color w:val="auto"/>
      </w:rPr>
    </w:lvl>
    <w:lvl w:ilvl="5">
      <w:start w:val="1"/>
      <w:numFmt w:val="bullet"/>
      <w:lvlText w:val=""/>
      <w:lvlJc w:val="left"/>
      <w:pPr>
        <w:ind w:left="7560" w:hanging="360"/>
      </w:pPr>
      <w:rPr>
        <w:rFonts w:ascii="Symbol" w:hAnsi="Symbol" w:hint="default"/>
      </w:rPr>
    </w:lvl>
    <w:lvl w:ilvl="6">
      <w:start w:val="1"/>
      <w:numFmt w:val="bullet"/>
      <w:lvlText w:val=""/>
      <w:lvlJc w:val="left"/>
      <w:pPr>
        <w:ind w:left="8280" w:hanging="360"/>
      </w:pPr>
      <w:rPr>
        <w:rFonts w:ascii="Symbol" w:hAnsi="Symbol" w:hint="default"/>
      </w:rPr>
    </w:lvl>
    <w:lvl w:ilvl="7">
      <w:start w:val="1"/>
      <w:numFmt w:val="bullet"/>
      <w:lvlText w:val=""/>
      <w:lvlJc w:val="left"/>
      <w:pPr>
        <w:ind w:left="9000" w:hanging="360"/>
      </w:pPr>
      <w:rPr>
        <w:rFonts w:ascii="Symbol" w:hAnsi="Symbol" w:hint="default"/>
      </w:rPr>
    </w:lvl>
    <w:lvl w:ilvl="8">
      <w:start w:val="1"/>
      <w:numFmt w:val="bullet"/>
      <w:lvlText w:val=""/>
      <w:lvlJc w:val="left"/>
      <w:pPr>
        <w:ind w:left="9720" w:hanging="360"/>
      </w:pPr>
      <w:rPr>
        <w:rFonts w:ascii="Symbol" w:hAnsi="Symbol" w:hint="default"/>
        <w:color w:val="auto"/>
      </w:rPr>
    </w:lvl>
  </w:abstractNum>
  <w:abstractNum w:abstractNumId="10">
    <w:nsid w:val="0AE64469"/>
    <w:multiLevelType w:val="hybridMultilevel"/>
    <w:tmpl w:val="46EE7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223D81"/>
    <w:multiLevelType w:val="hybridMultilevel"/>
    <w:tmpl w:val="DDEC2148"/>
    <w:lvl w:ilvl="0" w:tplc="32E020AA">
      <w:start w:val="1"/>
      <w:numFmt w:val="lowerLetter"/>
      <w:lvlText w:val="%1."/>
      <w:lvlJc w:val="left"/>
      <w:pPr>
        <w:ind w:left="720" w:hanging="360"/>
      </w:pPr>
    </w:lvl>
    <w:lvl w:ilvl="1" w:tplc="04090019">
      <w:start w:val="1"/>
      <w:numFmt w:val="lowerLetter"/>
      <w:lvlText w:val="%2."/>
      <w:lvlJc w:val="left"/>
      <w:pPr>
        <w:ind w:left="1440" w:hanging="360"/>
      </w:pPr>
    </w:lvl>
    <w:lvl w:ilvl="2" w:tplc="3AB80408">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D9F4B09"/>
    <w:multiLevelType w:val="hybridMultilevel"/>
    <w:tmpl w:val="D7AA2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2B370F"/>
    <w:multiLevelType w:val="hybridMultilevel"/>
    <w:tmpl w:val="1390FE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2E5FEF"/>
    <w:multiLevelType w:val="hybridMultilevel"/>
    <w:tmpl w:val="ACCCADBC"/>
    <w:lvl w:ilvl="0" w:tplc="3BAC7F2A">
      <w:start w:val="1"/>
      <w:numFmt w:val="lowerLetter"/>
      <w:lvlText w:val="%1."/>
      <w:lvlJc w:val="left"/>
      <w:pPr>
        <w:ind w:left="720" w:hanging="360"/>
      </w:pPr>
      <w:rPr>
        <w:rFonts w:hint="default"/>
      </w:rPr>
    </w:lvl>
    <w:lvl w:ilvl="1" w:tplc="930842E8">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322234"/>
    <w:multiLevelType w:val="hybridMultilevel"/>
    <w:tmpl w:val="BC3E0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52E411E"/>
    <w:multiLevelType w:val="hybridMultilevel"/>
    <w:tmpl w:val="BBC029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5E40BA9"/>
    <w:multiLevelType w:val="hybridMultilevel"/>
    <w:tmpl w:val="2C1C85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8A52D93"/>
    <w:multiLevelType w:val="hybridMultilevel"/>
    <w:tmpl w:val="54B284FE"/>
    <w:lvl w:ilvl="0" w:tplc="7870D7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B1D5657"/>
    <w:multiLevelType w:val="hybridMultilevel"/>
    <w:tmpl w:val="7854CAB8"/>
    <w:lvl w:ilvl="0" w:tplc="6BA86870">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1C36C91"/>
    <w:multiLevelType w:val="hybridMultilevel"/>
    <w:tmpl w:val="E92E33BE"/>
    <w:lvl w:ilvl="0" w:tplc="F6026A9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EE4A6D6">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30B0527"/>
    <w:multiLevelType w:val="hybridMultilevel"/>
    <w:tmpl w:val="105E42B6"/>
    <w:lvl w:ilvl="0" w:tplc="22C424DC">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017797"/>
    <w:multiLevelType w:val="hybridMultilevel"/>
    <w:tmpl w:val="DC727B4C"/>
    <w:lvl w:ilvl="0" w:tplc="F6026A9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CB40BAA">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2960F5"/>
    <w:multiLevelType w:val="hybridMultilevel"/>
    <w:tmpl w:val="9D147516"/>
    <w:lvl w:ilvl="0" w:tplc="F6026A9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CC07F8">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1820DD2"/>
    <w:multiLevelType w:val="hybridMultilevel"/>
    <w:tmpl w:val="C4CEA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CD4440"/>
    <w:multiLevelType w:val="hybridMultilevel"/>
    <w:tmpl w:val="21A4EDA6"/>
    <w:lvl w:ilvl="0" w:tplc="F6026A9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9C2E3250">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9467575"/>
    <w:multiLevelType w:val="hybridMultilevel"/>
    <w:tmpl w:val="E8ACD57E"/>
    <w:lvl w:ilvl="0" w:tplc="D714D54C">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9B58F606">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9AA63DD"/>
    <w:multiLevelType w:val="hybridMultilevel"/>
    <w:tmpl w:val="E31AE252"/>
    <w:lvl w:ilvl="0" w:tplc="22C424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AC838B0"/>
    <w:multiLevelType w:val="hybridMultilevel"/>
    <w:tmpl w:val="9F2CE984"/>
    <w:lvl w:ilvl="0" w:tplc="F34A085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F2D5C22"/>
    <w:multiLevelType w:val="hybridMultilevel"/>
    <w:tmpl w:val="73CCEA5C"/>
    <w:lvl w:ilvl="0" w:tplc="F6026A9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AC8A434">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FA02DBE"/>
    <w:multiLevelType w:val="hybridMultilevel"/>
    <w:tmpl w:val="1C4041CA"/>
    <w:lvl w:ilvl="0" w:tplc="389064A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FBF3DB3"/>
    <w:multiLevelType w:val="hybridMultilevel"/>
    <w:tmpl w:val="02C8F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8535084"/>
    <w:multiLevelType w:val="hybridMultilevel"/>
    <w:tmpl w:val="1DE4026C"/>
    <w:lvl w:ilvl="0" w:tplc="28547478">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D591FD5"/>
    <w:multiLevelType w:val="hybridMultilevel"/>
    <w:tmpl w:val="A9C09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E79505C"/>
    <w:multiLevelType w:val="hybridMultilevel"/>
    <w:tmpl w:val="8876A9A2"/>
    <w:lvl w:ilvl="0" w:tplc="5274B2E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13C4118"/>
    <w:multiLevelType w:val="hybridMultilevel"/>
    <w:tmpl w:val="0DBC5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6A3758D"/>
    <w:multiLevelType w:val="hybridMultilevel"/>
    <w:tmpl w:val="CCC4F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F300E85"/>
    <w:multiLevelType w:val="hybridMultilevel"/>
    <w:tmpl w:val="6B68E062"/>
    <w:lvl w:ilvl="0" w:tplc="22C424D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306F79"/>
    <w:multiLevelType w:val="hybridMultilevel"/>
    <w:tmpl w:val="4F3646CE"/>
    <w:lvl w:ilvl="0" w:tplc="0409000F">
      <w:start w:val="1"/>
      <w:numFmt w:val="decimal"/>
      <w:lvlText w:val="%1."/>
      <w:lvlJc w:val="left"/>
      <w:pPr>
        <w:ind w:left="720" w:hanging="360"/>
      </w:pPr>
    </w:lvl>
    <w:lvl w:ilvl="1" w:tplc="D4C2BF20">
      <w:numFmt w:val="bullet"/>
      <w:lvlText w:val="-"/>
      <w:lvlJc w:val="left"/>
      <w:pPr>
        <w:ind w:left="1440" w:hanging="360"/>
      </w:pPr>
      <w:rPr>
        <w:rFonts w:ascii="Calibri" w:eastAsiaTheme="minorHAnsi" w:hAnsi="Calibri" w:cs="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3E634F8"/>
    <w:multiLevelType w:val="hybridMultilevel"/>
    <w:tmpl w:val="9050C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7491C6A"/>
    <w:multiLevelType w:val="hybridMultilevel"/>
    <w:tmpl w:val="8A30E01E"/>
    <w:lvl w:ilvl="0" w:tplc="64F464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8560553"/>
    <w:multiLevelType w:val="hybridMultilevel"/>
    <w:tmpl w:val="DD98B8B0"/>
    <w:lvl w:ilvl="0" w:tplc="3BAC7F2A">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013BDB"/>
    <w:multiLevelType w:val="hybridMultilevel"/>
    <w:tmpl w:val="0CAA4766"/>
    <w:lvl w:ilvl="0" w:tplc="A75ACAC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F555F39"/>
    <w:multiLevelType w:val="hybridMultilevel"/>
    <w:tmpl w:val="D7F0D358"/>
    <w:lvl w:ilvl="0" w:tplc="561E4444">
      <w:start w:val="1"/>
      <w:numFmt w:val="lowerLetter"/>
      <w:lvlText w:val="%1."/>
      <w:lvlJc w:val="left"/>
      <w:pPr>
        <w:ind w:left="720" w:hanging="360"/>
      </w:pPr>
    </w:lvl>
    <w:lvl w:ilvl="1" w:tplc="5948B7AA">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F863061"/>
    <w:multiLevelType w:val="multilevel"/>
    <w:tmpl w:val="60BC842C"/>
    <w:lvl w:ilvl="0">
      <w:start w:val="1"/>
      <w:numFmt w:val="none"/>
      <w:suff w:val="nothing"/>
      <w:lvlText w:val=""/>
      <w:lvlJc w:val="left"/>
      <w:pPr>
        <w:ind w:left="0" w:firstLine="0"/>
      </w:pPr>
      <w:rPr>
        <w:rFonts w:hint="default"/>
      </w:rPr>
    </w:lvl>
    <w:lvl w:ilvl="1">
      <w:start w:val="1"/>
      <w:numFmt w:val="decimal"/>
      <w:lvlText w:val="%1"/>
      <w:lvlJc w:val="left"/>
      <w:pPr>
        <w:ind w:left="792" w:hanging="432"/>
      </w:pPr>
      <w:rPr>
        <w:rFonts w:hint="default"/>
      </w:rPr>
    </w:lvl>
    <w:lvl w:ilvl="2">
      <w:start w:val="1"/>
      <w:numFmt w:val="decimal"/>
      <w:lvlText w:val="%1"/>
      <w:lvlJc w:val="left"/>
      <w:pPr>
        <w:ind w:left="1224" w:hanging="504"/>
      </w:pPr>
      <w:rPr>
        <w:rFonts w:hint="default"/>
      </w:rPr>
    </w:lvl>
    <w:lvl w:ilvl="3">
      <w:start w:val="1"/>
      <w:numFmt w:val="decimal"/>
      <w:lvlText w:val="%1"/>
      <w:lvlJc w:val="left"/>
      <w:pPr>
        <w:ind w:left="1728" w:hanging="648"/>
      </w:pPr>
      <w:rPr>
        <w:rFonts w:hint="default"/>
      </w:rPr>
    </w:lvl>
    <w:lvl w:ilvl="4">
      <w:start w:val="1"/>
      <w:numFmt w:val="decimal"/>
      <w:lvlText w:val="%1"/>
      <w:lvlJc w:val="left"/>
      <w:pPr>
        <w:ind w:left="2232" w:hanging="792"/>
      </w:pPr>
      <w:rPr>
        <w:rFonts w:hint="default"/>
      </w:rPr>
    </w:lvl>
    <w:lvl w:ilvl="5">
      <w:start w:val="1"/>
      <w:numFmt w:val="decimal"/>
      <w:lvlText w:val="%1"/>
      <w:lvlJc w:val="left"/>
      <w:pPr>
        <w:ind w:left="2736" w:hanging="936"/>
      </w:pPr>
      <w:rPr>
        <w:rFonts w:hint="default"/>
      </w:rPr>
    </w:lvl>
    <w:lvl w:ilvl="6">
      <w:start w:val="1"/>
      <w:numFmt w:val="decimal"/>
      <w:lvlText w:val="%1"/>
      <w:lvlJc w:val="left"/>
      <w:pPr>
        <w:ind w:left="3240" w:hanging="1080"/>
      </w:pPr>
      <w:rPr>
        <w:rFonts w:hint="default"/>
      </w:rPr>
    </w:lvl>
    <w:lvl w:ilvl="7">
      <w:start w:val="1"/>
      <w:numFmt w:val="decimal"/>
      <w:lvlText w:val="%1"/>
      <w:lvlJc w:val="left"/>
      <w:pPr>
        <w:ind w:left="3744" w:hanging="1224"/>
      </w:pPr>
      <w:rPr>
        <w:rFonts w:hint="default"/>
      </w:rPr>
    </w:lvl>
    <w:lvl w:ilvl="8">
      <w:numFmt w:val="decimal"/>
      <w:lvlRestart w:val="0"/>
      <w:lvlText w:val="%1"/>
      <w:lvlJc w:val="left"/>
      <w:pPr>
        <w:ind w:left="4320" w:hanging="1440"/>
      </w:pPr>
      <w:rPr>
        <w:rFonts w:hint="default"/>
      </w:rPr>
    </w:lvl>
  </w:abstractNum>
  <w:abstractNum w:abstractNumId="45">
    <w:nsid w:val="71367B5D"/>
    <w:multiLevelType w:val="hybridMultilevel"/>
    <w:tmpl w:val="44B2ADAE"/>
    <w:lvl w:ilvl="0" w:tplc="F6026A9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98103CFE">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7BF224A"/>
    <w:multiLevelType w:val="hybridMultilevel"/>
    <w:tmpl w:val="8BFCCA18"/>
    <w:lvl w:ilvl="0" w:tplc="946426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888493A"/>
    <w:multiLevelType w:val="hybridMultilevel"/>
    <w:tmpl w:val="E3864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BF113D9"/>
    <w:multiLevelType w:val="hybridMultilevel"/>
    <w:tmpl w:val="38686606"/>
    <w:lvl w:ilvl="0" w:tplc="6FC2EA18">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7"/>
  </w:num>
  <w:num w:numId="4">
    <w:abstractNumId w:val="5"/>
  </w:num>
  <w:num w:numId="5">
    <w:abstractNumId w:val="3"/>
  </w:num>
  <w:num w:numId="6">
    <w:abstractNumId w:val="2"/>
  </w:num>
  <w:num w:numId="7">
    <w:abstractNumId w:val="1"/>
  </w:num>
  <w:num w:numId="8">
    <w:abstractNumId w:val="44"/>
  </w:num>
  <w:num w:numId="9">
    <w:abstractNumId w:val="46"/>
  </w:num>
  <w:num w:numId="10">
    <w:abstractNumId w:val="24"/>
  </w:num>
  <w:num w:numId="11">
    <w:abstractNumId w:val="11"/>
  </w:num>
  <w:num w:numId="12">
    <w:abstractNumId w:val="34"/>
  </w:num>
  <w:num w:numId="13">
    <w:abstractNumId w:val="36"/>
  </w:num>
  <w:num w:numId="14">
    <w:abstractNumId w:val="18"/>
  </w:num>
  <w:num w:numId="15">
    <w:abstractNumId w:val="0"/>
  </w:num>
  <w:num w:numId="16">
    <w:abstractNumId w:val="28"/>
  </w:num>
  <w:num w:numId="17">
    <w:abstractNumId w:val="38"/>
  </w:num>
  <w:num w:numId="18">
    <w:abstractNumId w:val="6"/>
  </w:num>
  <w:num w:numId="19">
    <w:abstractNumId w:val="16"/>
  </w:num>
  <w:num w:numId="20">
    <w:abstractNumId w:val="42"/>
  </w:num>
  <w:num w:numId="21">
    <w:abstractNumId w:val="12"/>
  </w:num>
  <w:num w:numId="22">
    <w:abstractNumId w:val="43"/>
  </w:num>
  <w:num w:numId="23">
    <w:abstractNumId w:val="14"/>
  </w:num>
  <w:num w:numId="24">
    <w:abstractNumId w:val="11"/>
    <w:lvlOverride w:ilvl="0">
      <w:startOverride w:val="1"/>
    </w:lvlOverride>
  </w:num>
  <w:num w:numId="25">
    <w:abstractNumId w:val="14"/>
    <w:lvlOverride w:ilvl="0">
      <w:startOverride w:val="1"/>
    </w:lvlOverride>
  </w:num>
  <w:num w:numId="26">
    <w:abstractNumId w:val="41"/>
  </w:num>
  <w:num w:numId="27">
    <w:abstractNumId w:val="8"/>
  </w:num>
  <w:num w:numId="28">
    <w:abstractNumId w:val="30"/>
  </w:num>
  <w:num w:numId="29">
    <w:abstractNumId w:val="30"/>
    <w:lvlOverride w:ilvl="0">
      <w:startOverride w:val="1"/>
    </w:lvlOverride>
  </w:num>
  <w:num w:numId="30">
    <w:abstractNumId w:val="48"/>
  </w:num>
  <w:num w:numId="31">
    <w:abstractNumId w:val="48"/>
    <w:lvlOverride w:ilvl="0">
      <w:startOverride w:val="1"/>
    </w:lvlOverride>
  </w:num>
  <w:num w:numId="32">
    <w:abstractNumId w:val="37"/>
  </w:num>
  <w:num w:numId="33">
    <w:abstractNumId w:val="40"/>
  </w:num>
  <w:num w:numId="34">
    <w:abstractNumId w:val="15"/>
  </w:num>
  <w:num w:numId="35">
    <w:abstractNumId w:val="21"/>
  </w:num>
  <w:num w:numId="36">
    <w:abstractNumId w:val="17"/>
  </w:num>
  <w:num w:numId="37">
    <w:abstractNumId w:val="31"/>
  </w:num>
  <w:num w:numId="38">
    <w:abstractNumId w:val="33"/>
  </w:num>
  <w:num w:numId="39">
    <w:abstractNumId w:val="39"/>
  </w:num>
  <w:num w:numId="40">
    <w:abstractNumId w:val="35"/>
  </w:num>
  <w:num w:numId="41">
    <w:abstractNumId w:val="47"/>
  </w:num>
  <w:num w:numId="42">
    <w:abstractNumId w:val="13"/>
  </w:num>
  <w:num w:numId="43">
    <w:abstractNumId w:val="19"/>
  </w:num>
  <w:num w:numId="44">
    <w:abstractNumId w:val="27"/>
  </w:num>
  <w:num w:numId="45">
    <w:abstractNumId w:val="22"/>
  </w:num>
  <w:num w:numId="46">
    <w:abstractNumId w:val="45"/>
  </w:num>
  <w:num w:numId="47">
    <w:abstractNumId w:val="20"/>
  </w:num>
  <w:num w:numId="48">
    <w:abstractNumId w:val="23"/>
  </w:num>
  <w:num w:numId="49">
    <w:abstractNumId w:val="25"/>
  </w:num>
  <w:num w:numId="50">
    <w:abstractNumId w:val="29"/>
  </w:num>
  <w:num w:numId="51">
    <w:abstractNumId w:val="26"/>
  </w:num>
  <w:num w:numId="52">
    <w:abstractNumId w:val="10"/>
  </w:num>
  <w:num w:numId="53">
    <w:abstractNumId w:val="32"/>
  </w:num>
  <w:num w:numId="54">
    <w:abstractNumId w:val="32"/>
  </w:num>
  <w:num w:numId="55">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formatting="1" w:enforcement="0"/>
  <w:styleLockTheme/>
  <w:styleLockQFSet/>
  <w:defaultTabStop w:val="720"/>
  <w:drawingGridHorizontalSpacing w:val="110"/>
  <w:displayHorizontalDrawingGridEvery w:val="2"/>
  <w:characterSpacingControl w:val="doNotCompress"/>
  <w:hdrShapeDefaults>
    <o:shapedefaults v:ext="edit" spidmax="30721" fill="f" fillcolor="white" stroke="f">
      <v:fill color="white" on="f"/>
      <v:stroke on="f"/>
    </o:shapedefaults>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ExMLI0NzG1MDEBUko6SsGpxcWZ+XkgBYa1AFtAhngsAAAA"/>
  </w:docVars>
  <w:rsids>
    <w:rsidRoot w:val="00A41763"/>
    <w:rsid w:val="0000019D"/>
    <w:rsid w:val="0000364C"/>
    <w:rsid w:val="00004135"/>
    <w:rsid w:val="000041A1"/>
    <w:rsid w:val="000053BB"/>
    <w:rsid w:val="00011B3F"/>
    <w:rsid w:val="00013373"/>
    <w:rsid w:val="000142E5"/>
    <w:rsid w:val="00015DA7"/>
    <w:rsid w:val="000248CE"/>
    <w:rsid w:val="00024E1E"/>
    <w:rsid w:val="00034A4B"/>
    <w:rsid w:val="000356B6"/>
    <w:rsid w:val="00041909"/>
    <w:rsid w:val="00046593"/>
    <w:rsid w:val="00047C08"/>
    <w:rsid w:val="0005401F"/>
    <w:rsid w:val="00055769"/>
    <w:rsid w:val="00056495"/>
    <w:rsid w:val="000569C2"/>
    <w:rsid w:val="00056EC3"/>
    <w:rsid w:val="0005755A"/>
    <w:rsid w:val="00062CFE"/>
    <w:rsid w:val="00067CD2"/>
    <w:rsid w:val="000703E8"/>
    <w:rsid w:val="0007129A"/>
    <w:rsid w:val="000768DF"/>
    <w:rsid w:val="000831C4"/>
    <w:rsid w:val="000844CA"/>
    <w:rsid w:val="000A10F0"/>
    <w:rsid w:val="000B2C22"/>
    <w:rsid w:val="000B3FBE"/>
    <w:rsid w:val="000B656D"/>
    <w:rsid w:val="000C28E1"/>
    <w:rsid w:val="000C2ABB"/>
    <w:rsid w:val="000C49F9"/>
    <w:rsid w:val="000C5311"/>
    <w:rsid w:val="000E2EF6"/>
    <w:rsid w:val="000F040A"/>
    <w:rsid w:val="000F05E8"/>
    <w:rsid w:val="000F10D9"/>
    <w:rsid w:val="001005FC"/>
    <w:rsid w:val="001034E8"/>
    <w:rsid w:val="00105190"/>
    <w:rsid w:val="00105467"/>
    <w:rsid w:val="00112A69"/>
    <w:rsid w:val="0011300C"/>
    <w:rsid w:val="0011541D"/>
    <w:rsid w:val="00115AD2"/>
    <w:rsid w:val="00117BDC"/>
    <w:rsid w:val="001221C9"/>
    <w:rsid w:val="00132F4A"/>
    <w:rsid w:val="0014050C"/>
    <w:rsid w:val="00140A62"/>
    <w:rsid w:val="001444C5"/>
    <w:rsid w:val="001465AA"/>
    <w:rsid w:val="00154192"/>
    <w:rsid w:val="00156658"/>
    <w:rsid w:val="00160BC8"/>
    <w:rsid w:val="00167425"/>
    <w:rsid w:val="001807A3"/>
    <w:rsid w:val="0018176A"/>
    <w:rsid w:val="00181A11"/>
    <w:rsid w:val="00181ED5"/>
    <w:rsid w:val="00184C1E"/>
    <w:rsid w:val="00185678"/>
    <w:rsid w:val="001947D5"/>
    <w:rsid w:val="00194888"/>
    <w:rsid w:val="001A6E1E"/>
    <w:rsid w:val="001B0E69"/>
    <w:rsid w:val="001B6585"/>
    <w:rsid w:val="001C201B"/>
    <w:rsid w:val="001C667A"/>
    <w:rsid w:val="001D03A8"/>
    <w:rsid w:val="001E658E"/>
    <w:rsid w:val="001F3A8F"/>
    <w:rsid w:val="002008B4"/>
    <w:rsid w:val="00201F24"/>
    <w:rsid w:val="00211421"/>
    <w:rsid w:val="002127CE"/>
    <w:rsid w:val="00212C03"/>
    <w:rsid w:val="00215842"/>
    <w:rsid w:val="00216074"/>
    <w:rsid w:val="002207DF"/>
    <w:rsid w:val="00220DC8"/>
    <w:rsid w:val="00221AC2"/>
    <w:rsid w:val="0022773F"/>
    <w:rsid w:val="00227E4B"/>
    <w:rsid w:val="0023015A"/>
    <w:rsid w:val="0023708A"/>
    <w:rsid w:val="00246A05"/>
    <w:rsid w:val="0024783A"/>
    <w:rsid w:val="0025022D"/>
    <w:rsid w:val="002530BB"/>
    <w:rsid w:val="00254F6A"/>
    <w:rsid w:val="002556F3"/>
    <w:rsid w:val="00260EDF"/>
    <w:rsid w:val="00261604"/>
    <w:rsid w:val="00264148"/>
    <w:rsid w:val="00274179"/>
    <w:rsid w:val="00275AC7"/>
    <w:rsid w:val="00282B5D"/>
    <w:rsid w:val="00285AA0"/>
    <w:rsid w:val="00294C01"/>
    <w:rsid w:val="002B0FD2"/>
    <w:rsid w:val="002C378C"/>
    <w:rsid w:val="002E0255"/>
    <w:rsid w:val="002E249B"/>
    <w:rsid w:val="002E3FD5"/>
    <w:rsid w:val="002E795D"/>
    <w:rsid w:val="002E7A38"/>
    <w:rsid w:val="00300790"/>
    <w:rsid w:val="00306516"/>
    <w:rsid w:val="00313179"/>
    <w:rsid w:val="003254EF"/>
    <w:rsid w:val="003378AA"/>
    <w:rsid w:val="00337BE8"/>
    <w:rsid w:val="003469CB"/>
    <w:rsid w:val="00350C8B"/>
    <w:rsid w:val="0035496A"/>
    <w:rsid w:val="00357A55"/>
    <w:rsid w:val="00363331"/>
    <w:rsid w:val="0036776A"/>
    <w:rsid w:val="00367DFF"/>
    <w:rsid w:val="00371E14"/>
    <w:rsid w:val="00373208"/>
    <w:rsid w:val="00374F48"/>
    <w:rsid w:val="003770B5"/>
    <w:rsid w:val="00383DB3"/>
    <w:rsid w:val="0038413D"/>
    <w:rsid w:val="003854B2"/>
    <w:rsid w:val="00385AE6"/>
    <w:rsid w:val="00385CD8"/>
    <w:rsid w:val="00387C8D"/>
    <w:rsid w:val="003911A2"/>
    <w:rsid w:val="00392DD0"/>
    <w:rsid w:val="00392F0C"/>
    <w:rsid w:val="003932DC"/>
    <w:rsid w:val="00396BCB"/>
    <w:rsid w:val="00397825"/>
    <w:rsid w:val="003A1073"/>
    <w:rsid w:val="003A10F3"/>
    <w:rsid w:val="003A3906"/>
    <w:rsid w:val="003A7F21"/>
    <w:rsid w:val="003B03A4"/>
    <w:rsid w:val="003B63BF"/>
    <w:rsid w:val="003C03EA"/>
    <w:rsid w:val="003C1E61"/>
    <w:rsid w:val="003C690C"/>
    <w:rsid w:val="003E40FA"/>
    <w:rsid w:val="003F24ED"/>
    <w:rsid w:val="003F528E"/>
    <w:rsid w:val="003F529E"/>
    <w:rsid w:val="003F6583"/>
    <w:rsid w:val="00402B78"/>
    <w:rsid w:val="004051D6"/>
    <w:rsid w:val="00405611"/>
    <w:rsid w:val="00407BD7"/>
    <w:rsid w:val="00426389"/>
    <w:rsid w:val="00426481"/>
    <w:rsid w:val="00432966"/>
    <w:rsid w:val="00443C69"/>
    <w:rsid w:val="00445560"/>
    <w:rsid w:val="004523D2"/>
    <w:rsid w:val="004540DE"/>
    <w:rsid w:val="00455C13"/>
    <w:rsid w:val="0045608E"/>
    <w:rsid w:val="0045662F"/>
    <w:rsid w:val="00461358"/>
    <w:rsid w:val="00466959"/>
    <w:rsid w:val="0047784B"/>
    <w:rsid w:val="004857F1"/>
    <w:rsid w:val="0048703E"/>
    <w:rsid w:val="004907A9"/>
    <w:rsid w:val="00490DFD"/>
    <w:rsid w:val="004946F0"/>
    <w:rsid w:val="00497C2A"/>
    <w:rsid w:val="004A3722"/>
    <w:rsid w:val="004B0B4D"/>
    <w:rsid w:val="004B1075"/>
    <w:rsid w:val="004B1F55"/>
    <w:rsid w:val="004B56D7"/>
    <w:rsid w:val="004C277B"/>
    <w:rsid w:val="004C67CF"/>
    <w:rsid w:val="004D05FB"/>
    <w:rsid w:val="004D29C7"/>
    <w:rsid w:val="004D3C59"/>
    <w:rsid w:val="004D4B3B"/>
    <w:rsid w:val="004E1712"/>
    <w:rsid w:val="004F114C"/>
    <w:rsid w:val="004F248C"/>
    <w:rsid w:val="004F2BF2"/>
    <w:rsid w:val="00502408"/>
    <w:rsid w:val="00504119"/>
    <w:rsid w:val="005065CF"/>
    <w:rsid w:val="00506BB4"/>
    <w:rsid w:val="0050705F"/>
    <w:rsid w:val="0051223E"/>
    <w:rsid w:val="00514440"/>
    <w:rsid w:val="00514FF1"/>
    <w:rsid w:val="0051620E"/>
    <w:rsid w:val="005170D3"/>
    <w:rsid w:val="00523885"/>
    <w:rsid w:val="005240CC"/>
    <w:rsid w:val="0052493A"/>
    <w:rsid w:val="0052783E"/>
    <w:rsid w:val="00535CAF"/>
    <w:rsid w:val="00536054"/>
    <w:rsid w:val="0053654B"/>
    <w:rsid w:val="00536CE1"/>
    <w:rsid w:val="00540A07"/>
    <w:rsid w:val="0054180D"/>
    <w:rsid w:val="00547B53"/>
    <w:rsid w:val="005515CD"/>
    <w:rsid w:val="00553580"/>
    <w:rsid w:val="00553AF4"/>
    <w:rsid w:val="00556651"/>
    <w:rsid w:val="00557FD7"/>
    <w:rsid w:val="00560EEF"/>
    <w:rsid w:val="00571D8F"/>
    <w:rsid w:val="0057367D"/>
    <w:rsid w:val="0058051E"/>
    <w:rsid w:val="00585BE3"/>
    <w:rsid w:val="0059212D"/>
    <w:rsid w:val="005A56C1"/>
    <w:rsid w:val="005B2B58"/>
    <w:rsid w:val="005B2F72"/>
    <w:rsid w:val="005B37D8"/>
    <w:rsid w:val="005B5CB4"/>
    <w:rsid w:val="005C00FA"/>
    <w:rsid w:val="005C2D89"/>
    <w:rsid w:val="005C30EF"/>
    <w:rsid w:val="005C485B"/>
    <w:rsid w:val="005D39D7"/>
    <w:rsid w:val="005D5956"/>
    <w:rsid w:val="005D6109"/>
    <w:rsid w:val="005D6F63"/>
    <w:rsid w:val="005D78B4"/>
    <w:rsid w:val="005E7203"/>
    <w:rsid w:val="005F4848"/>
    <w:rsid w:val="005F55C3"/>
    <w:rsid w:val="005F742C"/>
    <w:rsid w:val="006005E9"/>
    <w:rsid w:val="00603B26"/>
    <w:rsid w:val="00604AC9"/>
    <w:rsid w:val="006117F6"/>
    <w:rsid w:val="00616BB3"/>
    <w:rsid w:val="00616E46"/>
    <w:rsid w:val="0062008C"/>
    <w:rsid w:val="00620797"/>
    <w:rsid w:val="00623D0F"/>
    <w:rsid w:val="00626494"/>
    <w:rsid w:val="006270F7"/>
    <w:rsid w:val="00627A14"/>
    <w:rsid w:val="00630776"/>
    <w:rsid w:val="00641DE2"/>
    <w:rsid w:val="00643384"/>
    <w:rsid w:val="0064643E"/>
    <w:rsid w:val="0065406F"/>
    <w:rsid w:val="00654121"/>
    <w:rsid w:val="0065483F"/>
    <w:rsid w:val="00662F5F"/>
    <w:rsid w:val="00663EC4"/>
    <w:rsid w:val="006724AE"/>
    <w:rsid w:val="00677C5F"/>
    <w:rsid w:val="006823B2"/>
    <w:rsid w:val="00682E97"/>
    <w:rsid w:val="006858FB"/>
    <w:rsid w:val="00687AA5"/>
    <w:rsid w:val="006A0BC7"/>
    <w:rsid w:val="006A5DE4"/>
    <w:rsid w:val="006B31AC"/>
    <w:rsid w:val="006C0062"/>
    <w:rsid w:val="006C097E"/>
    <w:rsid w:val="006C2B87"/>
    <w:rsid w:val="006C2DC3"/>
    <w:rsid w:val="006C70A0"/>
    <w:rsid w:val="006D0439"/>
    <w:rsid w:val="006D38AE"/>
    <w:rsid w:val="006D42EC"/>
    <w:rsid w:val="006F4225"/>
    <w:rsid w:val="00700014"/>
    <w:rsid w:val="00704B7D"/>
    <w:rsid w:val="00710AAF"/>
    <w:rsid w:val="00711414"/>
    <w:rsid w:val="00716B29"/>
    <w:rsid w:val="00717222"/>
    <w:rsid w:val="007210EB"/>
    <w:rsid w:val="0072289B"/>
    <w:rsid w:val="00722DA1"/>
    <w:rsid w:val="00725453"/>
    <w:rsid w:val="00726DCA"/>
    <w:rsid w:val="00730DA0"/>
    <w:rsid w:val="00735131"/>
    <w:rsid w:val="00737591"/>
    <w:rsid w:val="00737B02"/>
    <w:rsid w:val="007426CC"/>
    <w:rsid w:val="007438F2"/>
    <w:rsid w:val="00744B94"/>
    <w:rsid w:val="00746EB9"/>
    <w:rsid w:val="007548E8"/>
    <w:rsid w:val="00755C3D"/>
    <w:rsid w:val="00756F5E"/>
    <w:rsid w:val="0075746C"/>
    <w:rsid w:val="007576EF"/>
    <w:rsid w:val="00760677"/>
    <w:rsid w:val="00761C12"/>
    <w:rsid w:val="007622F5"/>
    <w:rsid w:val="007634ED"/>
    <w:rsid w:val="007658BA"/>
    <w:rsid w:val="00776CF4"/>
    <w:rsid w:val="00784F89"/>
    <w:rsid w:val="00786336"/>
    <w:rsid w:val="00791224"/>
    <w:rsid w:val="007A0E7F"/>
    <w:rsid w:val="007A4378"/>
    <w:rsid w:val="007B23DC"/>
    <w:rsid w:val="007C3E8A"/>
    <w:rsid w:val="007C4DC8"/>
    <w:rsid w:val="007C5CE9"/>
    <w:rsid w:val="007D39CC"/>
    <w:rsid w:val="007D57FE"/>
    <w:rsid w:val="007D6AAF"/>
    <w:rsid w:val="007E5A11"/>
    <w:rsid w:val="007E73E6"/>
    <w:rsid w:val="007F1954"/>
    <w:rsid w:val="007F1FCA"/>
    <w:rsid w:val="007F21D7"/>
    <w:rsid w:val="007F46C8"/>
    <w:rsid w:val="00802D19"/>
    <w:rsid w:val="008057F8"/>
    <w:rsid w:val="00806384"/>
    <w:rsid w:val="00811730"/>
    <w:rsid w:val="00816F50"/>
    <w:rsid w:val="008213F9"/>
    <w:rsid w:val="00823697"/>
    <w:rsid w:val="008306B5"/>
    <w:rsid w:val="008307E1"/>
    <w:rsid w:val="00833E08"/>
    <w:rsid w:val="00836D62"/>
    <w:rsid w:val="008419B8"/>
    <w:rsid w:val="00844524"/>
    <w:rsid w:val="008500C1"/>
    <w:rsid w:val="00862083"/>
    <w:rsid w:val="00865A81"/>
    <w:rsid w:val="00867160"/>
    <w:rsid w:val="00867D79"/>
    <w:rsid w:val="0087205B"/>
    <w:rsid w:val="00874FB8"/>
    <w:rsid w:val="00884A0B"/>
    <w:rsid w:val="00892674"/>
    <w:rsid w:val="00895669"/>
    <w:rsid w:val="00896F18"/>
    <w:rsid w:val="00897946"/>
    <w:rsid w:val="008A0016"/>
    <w:rsid w:val="008A29C8"/>
    <w:rsid w:val="008A3276"/>
    <w:rsid w:val="008A3447"/>
    <w:rsid w:val="008B2DB0"/>
    <w:rsid w:val="008C734C"/>
    <w:rsid w:val="008D040A"/>
    <w:rsid w:val="008D7713"/>
    <w:rsid w:val="008E4BF2"/>
    <w:rsid w:val="008F4CBD"/>
    <w:rsid w:val="009017AD"/>
    <w:rsid w:val="00901BED"/>
    <w:rsid w:val="00902E08"/>
    <w:rsid w:val="00903C98"/>
    <w:rsid w:val="00904312"/>
    <w:rsid w:val="00905735"/>
    <w:rsid w:val="009129D4"/>
    <w:rsid w:val="009131B9"/>
    <w:rsid w:val="0091409C"/>
    <w:rsid w:val="0092177C"/>
    <w:rsid w:val="009226A8"/>
    <w:rsid w:val="00935805"/>
    <w:rsid w:val="0093636F"/>
    <w:rsid w:val="009368F3"/>
    <w:rsid w:val="00940D1A"/>
    <w:rsid w:val="00944C87"/>
    <w:rsid w:val="00947C42"/>
    <w:rsid w:val="00950489"/>
    <w:rsid w:val="00957DE9"/>
    <w:rsid w:val="009616F7"/>
    <w:rsid w:val="00962B2A"/>
    <w:rsid w:val="00965A44"/>
    <w:rsid w:val="00967D7C"/>
    <w:rsid w:val="009757AD"/>
    <w:rsid w:val="00975C3F"/>
    <w:rsid w:val="00980B6A"/>
    <w:rsid w:val="009818F9"/>
    <w:rsid w:val="0098221A"/>
    <w:rsid w:val="0098618F"/>
    <w:rsid w:val="00987C32"/>
    <w:rsid w:val="00991646"/>
    <w:rsid w:val="0099448B"/>
    <w:rsid w:val="0099534F"/>
    <w:rsid w:val="00995E65"/>
    <w:rsid w:val="00997347"/>
    <w:rsid w:val="009A00F4"/>
    <w:rsid w:val="009B0284"/>
    <w:rsid w:val="009B0CE0"/>
    <w:rsid w:val="009B19CE"/>
    <w:rsid w:val="009C202F"/>
    <w:rsid w:val="009C53B1"/>
    <w:rsid w:val="009C76BE"/>
    <w:rsid w:val="009C77F7"/>
    <w:rsid w:val="009D7276"/>
    <w:rsid w:val="009E3ACF"/>
    <w:rsid w:val="009E5ABC"/>
    <w:rsid w:val="009E5B9C"/>
    <w:rsid w:val="009F4ED1"/>
    <w:rsid w:val="00A00D3B"/>
    <w:rsid w:val="00A00D71"/>
    <w:rsid w:val="00A00EDF"/>
    <w:rsid w:val="00A073FA"/>
    <w:rsid w:val="00A21983"/>
    <w:rsid w:val="00A242C0"/>
    <w:rsid w:val="00A2682D"/>
    <w:rsid w:val="00A26A17"/>
    <w:rsid w:val="00A30169"/>
    <w:rsid w:val="00A312A3"/>
    <w:rsid w:val="00A33D9F"/>
    <w:rsid w:val="00A34910"/>
    <w:rsid w:val="00A37229"/>
    <w:rsid w:val="00A41763"/>
    <w:rsid w:val="00A418C9"/>
    <w:rsid w:val="00A43FB0"/>
    <w:rsid w:val="00A51CFB"/>
    <w:rsid w:val="00A61B54"/>
    <w:rsid w:val="00A62AB1"/>
    <w:rsid w:val="00A67BDC"/>
    <w:rsid w:val="00A72AA8"/>
    <w:rsid w:val="00A74C9B"/>
    <w:rsid w:val="00A93478"/>
    <w:rsid w:val="00A97FE7"/>
    <w:rsid w:val="00AA3FD0"/>
    <w:rsid w:val="00AA46CA"/>
    <w:rsid w:val="00AA7EFA"/>
    <w:rsid w:val="00AB25D5"/>
    <w:rsid w:val="00AB61B3"/>
    <w:rsid w:val="00AB6A1A"/>
    <w:rsid w:val="00AC323A"/>
    <w:rsid w:val="00AD6357"/>
    <w:rsid w:val="00AD7F81"/>
    <w:rsid w:val="00AE086D"/>
    <w:rsid w:val="00AE0F44"/>
    <w:rsid w:val="00AE4CA9"/>
    <w:rsid w:val="00AF367D"/>
    <w:rsid w:val="00AF45FD"/>
    <w:rsid w:val="00AF62ED"/>
    <w:rsid w:val="00B0326B"/>
    <w:rsid w:val="00B2386E"/>
    <w:rsid w:val="00B244CB"/>
    <w:rsid w:val="00B35E2A"/>
    <w:rsid w:val="00B415EA"/>
    <w:rsid w:val="00B4263D"/>
    <w:rsid w:val="00B4395A"/>
    <w:rsid w:val="00B56F49"/>
    <w:rsid w:val="00B57A15"/>
    <w:rsid w:val="00B61617"/>
    <w:rsid w:val="00B7442A"/>
    <w:rsid w:val="00B7625A"/>
    <w:rsid w:val="00B85019"/>
    <w:rsid w:val="00B86FAA"/>
    <w:rsid w:val="00B87BF5"/>
    <w:rsid w:val="00B96A84"/>
    <w:rsid w:val="00B97002"/>
    <w:rsid w:val="00BA3CBC"/>
    <w:rsid w:val="00BA7BEC"/>
    <w:rsid w:val="00BB2F70"/>
    <w:rsid w:val="00BB6CF4"/>
    <w:rsid w:val="00BC14C3"/>
    <w:rsid w:val="00BC1ABE"/>
    <w:rsid w:val="00BD26F8"/>
    <w:rsid w:val="00BD2F20"/>
    <w:rsid w:val="00BD3F00"/>
    <w:rsid w:val="00BD493D"/>
    <w:rsid w:val="00BD4F62"/>
    <w:rsid w:val="00BE4AFD"/>
    <w:rsid w:val="00BE6168"/>
    <w:rsid w:val="00BF108C"/>
    <w:rsid w:val="00C00590"/>
    <w:rsid w:val="00C04647"/>
    <w:rsid w:val="00C058CF"/>
    <w:rsid w:val="00C12551"/>
    <w:rsid w:val="00C211CD"/>
    <w:rsid w:val="00C25328"/>
    <w:rsid w:val="00C2761D"/>
    <w:rsid w:val="00C30189"/>
    <w:rsid w:val="00C33223"/>
    <w:rsid w:val="00C368F9"/>
    <w:rsid w:val="00C3744D"/>
    <w:rsid w:val="00C40036"/>
    <w:rsid w:val="00C43A84"/>
    <w:rsid w:val="00C4433A"/>
    <w:rsid w:val="00C45115"/>
    <w:rsid w:val="00C526E4"/>
    <w:rsid w:val="00C533EE"/>
    <w:rsid w:val="00C64137"/>
    <w:rsid w:val="00C658E4"/>
    <w:rsid w:val="00C702C5"/>
    <w:rsid w:val="00C7266E"/>
    <w:rsid w:val="00C76C66"/>
    <w:rsid w:val="00C82DF9"/>
    <w:rsid w:val="00C8340E"/>
    <w:rsid w:val="00C86E15"/>
    <w:rsid w:val="00C87190"/>
    <w:rsid w:val="00CA0B23"/>
    <w:rsid w:val="00CA1564"/>
    <w:rsid w:val="00CA1D73"/>
    <w:rsid w:val="00CA40D0"/>
    <w:rsid w:val="00CA7C8A"/>
    <w:rsid w:val="00CB188B"/>
    <w:rsid w:val="00CB44E8"/>
    <w:rsid w:val="00CB7978"/>
    <w:rsid w:val="00CC1D12"/>
    <w:rsid w:val="00CC3798"/>
    <w:rsid w:val="00CC5283"/>
    <w:rsid w:val="00CD26CD"/>
    <w:rsid w:val="00CD50F2"/>
    <w:rsid w:val="00CE0BB1"/>
    <w:rsid w:val="00CE42E9"/>
    <w:rsid w:val="00D001E4"/>
    <w:rsid w:val="00D00AA8"/>
    <w:rsid w:val="00D02778"/>
    <w:rsid w:val="00D06516"/>
    <w:rsid w:val="00D13D54"/>
    <w:rsid w:val="00D13E84"/>
    <w:rsid w:val="00D2158F"/>
    <w:rsid w:val="00D300F4"/>
    <w:rsid w:val="00D32486"/>
    <w:rsid w:val="00D32A70"/>
    <w:rsid w:val="00D3344B"/>
    <w:rsid w:val="00D37056"/>
    <w:rsid w:val="00D37ABB"/>
    <w:rsid w:val="00D400C6"/>
    <w:rsid w:val="00D40175"/>
    <w:rsid w:val="00D44F9D"/>
    <w:rsid w:val="00D53597"/>
    <w:rsid w:val="00D55243"/>
    <w:rsid w:val="00D62F90"/>
    <w:rsid w:val="00D63E74"/>
    <w:rsid w:val="00D715C4"/>
    <w:rsid w:val="00D81DD4"/>
    <w:rsid w:val="00D928FD"/>
    <w:rsid w:val="00DA5862"/>
    <w:rsid w:val="00DC1D71"/>
    <w:rsid w:val="00DC4850"/>
    <w:rsid w:val="00DC79E3"/>
    <w:rsid w:val="00DD51E1"/>
    <w:rsid w:val="00DE02CC"/>
    <w:rsid w:val="00DE0A34"/>
    <w:rsid w:val="00DE2D54"/>
    <w:rsid w:val="00DE6676"/>
    <w:rsid w:val="00DF4CC9"/>
    <w:rsid w:val="00DF520F"/>
    <w:rsid w:val="00E02A36"/>
    <w:rsid w:val="00E02BB0"/>
    <w:rsid w:val="00E03CE6"/>
    <w:rsid w:val="00E13716"/>
    <w:rsid w:val="00E24F24"/>
    <w:rsid w:val="00E266FF"/>
    <w:rsid w:val="00E26C29"/>
    <w:rsid w:val="00E26E7A"/>
    <w:rsid w:val="00E27661"/>
    <w:rsid w:val="00E27FBA"/>
    <w:rsid w:val="00E46770"/>
    <w:rsid w:val="00E47DB3"/>
    <w:rsid w:val="00E509A9"/>
    <w:rsid w:val="00E51F8B"/>
    <w:rsid w:val="00E5242A"/>
    <w:rsid w:val="00E53398"/>
    <w:rsid w:val="00E54529"/>
    <w:rsid w:val="00E55C19"/>
    <w:rsid w:val="00E66AE2"/>
    <w:rsid w:val="00E67C45"/>
    <w:rsid w:val="00E70625"/>
    <w:rsid w:val="00E70ECC"/>
    <w:rsid w:val="00E74DA4"/>
    <w:rsid w:val="00E76009"/>
    <w:rsid w:val="00E77D5F"/>
    <w:rsid w:val="00E77E6C"/>
    <w:rsid w:val="00E81B89"/>
    <w:rsid w:val="00E87563"/>
    <w:rsid w:val="00E91432"/>
    <w:rsid w:val="00E91B5A"/>
    <w:rsid w:val="00E92097"/>
    <w:rsid w:val="00EA331B"/>
    <w:rsid w:val="00EB7235"/>
    <w:rsid w:val="00ED6E45"/>
    <w:rsid w:val="00ED761A"/>
    <w:rsid w:val="00EE2CAF"/>
    <w:rsid w:val="00EE43E4"/>
    <w:rsid w:val="00EE4D46"/>
    <w:rsid w:val="00EE759E"/>
    <w:rsid w:val="00EE7FEF"/>
    <w:rsid w:val="00F001EA"/>
    <w:rsid w:val="00F056C3"/>
    <w:rsid w:val="00F0686C"/>
    <w:rsid w:val="00F16B90"/>
    <w:rsid w:val="00F17638"/>
    <w:rsid w:val="00F31AA5"/>
    <w:rsid w:val="00F34F19"/>
    <w:rsid w:val="00F44A21"/>
    <w:rsid w:val="00F5029D"/>
    <w:rsid w:val="00F51C25"/>
    <w:rsid w:val="00F55DC0"/>
    <w:rsid w:val="00F575F0"/>
    <w:rsid w:val="00F6664C"/>
    <w:rsid w:val="00F750E7"/>
    <w:rsid w:val="00F80AF1"/>
    <w:rsid w:val="00F8298C"/>
    <w:rsid w:val="00F82E40"/>
    <w:rsid w:val="00F8358A"/>
    <w:rsid w:val="00F90245"/>
    <w:rsid w:val="00F91E4A"/>
    <w:rsid w:val="00F920D9"/>
    <w:rsid w:val="00F9269B"/>
    <w:rsid w:val="00F94781"/>
    <w:rsid w:val="00FA30AE"/>
    <w:rsid w:val="00FA5388"/>
    <w:rsid w:val="00FB08E3"/>
    <w:rsid w:val="00FB6BF3"/>
    <w:rsid w:val="00FC00CA"/>
    <w:rsid w:val="00FC5E74"/>
    <w:rsid w:val="00FD397B"/>
    <w:rsid w:val="00FD4B01"/>
    <w:rsid w:val="00FD52F2"/>
    <w:rsid w:val="00FD7CDC"/>
    <w:rsid w:val="00FE0AE8"/>
    <w:rsid w:val="00FE58E0"/>
    <w:rsid w:val="00FE74D0"/>
    <w:rsid w:val="00FE7FDE"/>
    <w:rsid w:val="00FF1DCF"/>
    <w:rsid w:val="00FF48CA"/>
    <w:rsid w:val="00FF6395"/>
    <w:rsid w:val="00FF64E7"/>
    <w:rsid w:val="00FF6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fill="f" fillcolor="white" stroke="f">
      <v:fill color="white" on="f"/>
      <v:stroke on="f"/>
    </o:shapedefaults>
    <o:shapelayout v:ext="edit">
      <o:idmap v:ext="edit" data="1"/>
    </o:shapelayout>
  </w:shapeDefaults>
  <w:decimalSymbol w:val="."/>
  <w:listSeparator w:val=","/>
  <w14:docId w14:val="20686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1" w:unhideWhenUsed="0" w:qFormat="1"/>
    <w:lsdException w:name="heading 2" w:locked="0" w:uiPriority="1" w:qFormat="1"/>
    <w:lsdException w:name="heading 3" w:locked="0" w:uiPriority="1" w:qFormat="1"/>
    <w:lsdException w:name="heading 4" w:locked="0"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0" w:uiPriority="39" w:qFormat="1"/>
    <w:lsdException w:name="toc 2" w:locked="0" w:uiPriority="39" w:qFormat="1"/>
    <w:lsdException w:name="toc 3" w:locked="0" w:uiPriority="39" w:qFormat="1"/>
    <w:lsdException w:name="toc 4" w:locked="0" w:uiPriority="39" w:qFormat="1"/>
    <w:lsdException w:name="toc 5" w:uiPriority="39"/>
    <w:lsdException w:name="toc 6" w:uiPriority="39"/>
    <w:lsdException w:name="toc 7" w:uiPriority="39"/>
    <w:lsdException w:name="toc 8" w:uiPriority="39"/>
    <w:lsdException w:name="toc 9" w:uiPriority="39"/>
    <w:lsdException w:name="footnote text" w:locked="0" w:uiPriority="7" w:qFormat="1"/>
    <w:lsdException w:name="header" w:locked="0" w:qFormat="1"/>
    <w:lsdException w:name="footer" w:locked="0" w:qFormat="1"/>
    <w:lsdException w:name="caption" w:locked="0" w:uiPriority="0" w:qFormat="1"/>
    <w:lsdException w:name="table of figures" w:locked="0"/>
    <w:lsdException w:name="footnote reference" w:locked="0" w:uiPriority="8"/>
    <w:lsdException w:name="Title" w:semiHidden="0" w:uiPriority="10" w:unhideWhenUsed="0" w:qFormat="1"/>
    <w:lsdException w:name="Default Paragraph Font" w:locked="0" w:uiPriority="1"/>
    <w:lsdException w:name="Subtitle" w:uiPriority="11" w:unhideWhenUsed="0"/>
    <w:lsdException w:name="Date" w:qFormat="1"/>
    <w:lsdException w:name="Body Text First Indent" w:qFormat="1"/>
    <w:lsdException w:name="Note Heading" w:uiPriority="13" w:qFormat="1"/>
    <w:lsdException w:name="Body Text Indent 3" w:qFormat="1"/>
    <w:lsdException w:name="Hyperlink" w:locked="0" w:qFormat="1"/>
    <w:lsdException w:name="Strong" w:semiHidden="0" w:uiPriority="22" w:unhideWhenUsed="0" w:qFormat="1"/>
    <w:lsdException w:name="Emphasis" w:locked="0" w:semiHidden="0" w:uiPriority="5" w:unhideWhenUsed="0" w:qFormat="1"/>
    <w:lsdException w:name="HTML Top of Form" w:locked="0"/>
    <w:lsdException w:name="HTML Bottom of Form" w:locked="0" w:uiPriority="0"/>
    <w:lsdException w:name="Normal Table" w:locked="0"/>
    <w:lsdException w:name="No List" w:locked="0"/>
    <w:lsdException w:name="Table Grid" w:semiHidden="0" w:uiPriority="59" w:unhideWhenUsed="0"/>
    <w:lsdException w:name="Placeholder Text"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14"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locked="0" w:uiPriority="39" w:qFormat="1"/>
  </w:latentStyles>
  <w:style w:type="paragraph" w:default="1" w:styleId="Normal">
    <w:name w:val="Normal"/>
    <w:qFormat/>
    <w:rsid w:val="00C7266E"/>
    <w:pPr>
      <w:spacing w:line="300" w:lineRule="atLeast"/>
    </w:pPr>
  </w:style>
  <w:style w:type="paragraph" w:styleId="Heading1">
    <w:name w:val="heading 1"/>
    <w:basedOn w:val="Normal"/>
    <w:next w:val="Left05Indent"/>
    <w:link w:val="Heading1Char"/>
    <w:autoRedefine/>
    <w:uiPriority w:val="1"/>
    <w:qFormat/>
    <w:rsid w:val="00246A05"/>
    <w:pPr>
      <w:keepNext/>
      <w:keepLines/>
      <w:spacing w:after="120" w:line="380" w:lineRule="atLeast"/>
      <w:outlineLvl w:val="0"/>
    </w:pPr>
    <w:rPr>
      <w:rFonts w:eastAsiaTheme="majorEastAsia" w:cs="Arial"/>
      <w:b/>
      <w:bCs/>
      <w:color w:val="0082BE" w:themeColor="text2" w:themeTint="BF"/>
      <w:sz w:val="32"/>
      <w:szCs w:val="44"/>
    </w:rPr>
  </w:style>
  <w:style w:type="paragraph" w:styleId="Heading2">
    <w:name w:val="heading 2"/>
    <w:next w:val="Normal"/>
    <w:link w:val="Heading2Char"/>
    <w:autoRedefine/>
    <w:uiPriority w:val="1"/>
    <w:qFormat/>
    <w:rsid w:val="00F80AF1"/>
    <w:pPr>
      <w:keepNext/>
      <w:keepLines/>
      <w:spacing w:before="200" w:after="0"/>
      <w:outlineLvl w:val="1"/>
    </w:pPr>
    <w:rPr>
      <w:rFonts w:eastAsiaTheme="majorEastAsia" w:cstheme="majorBidi"/>
      <w:b/>
      <w:color w:val="1396D8"/>
      <w:sz w:val="28"/>
      <w:szCs w:val="26"/>
    </w:rPr>
  </w:style>
  <w:style w:type="paragraph" w:styleId="Heading3">
    <w:name w:val="heading 3"/>
    <w:basedOn w:val="Heading2"/>
    <w:next w:val="Normal"/>
    <w:link w:val="Heading3Char"/>
    <w:autoRedefine/>
    <w:uiPriority w:val="1"/>
    <w:qFormat/>
    <w:rsid w:val="00FD7CDC"/>
    <w:pPr>
      <w:outlineLvl w:val="2"/>
    </w:pPr>
    <w:rPr>
      <w:rFonts w:asciiTheme="majorHAnsi" w:hAnsiTheme="majorHAnsi"/>
      <w:bCs/>
      <w:i/>
      <w:color w:val="595959" w:themeColor="text1" w:themeTint="A6"/>
      <w:sz w:val="24"/>
    </w:rPr>
  </w:style>
  <w:style w:type="paragraph" w:styleId="Heading4">
    <w:name w:val="heading 4"/>
    <w:basedOn w:val="Heading3"/>
    <w:next w:val="Normal"/>
    <w:link w:val="Heading4Char"/>
    <w:autoRedefine/>
    <w:uiPriority w:val="1"/>
    <w:qFormat/>
    <w:rsid w:val="00112A69"/>
    <w:pPr>
      <w:numPr>
        <w:ilvl w:val="3"/>
      </w:numPr>
      <w:outlineLvl w:val="3"/>
    </w:pPr>
    <w:rPr>
      <w:rFonts w:asciiTheme="minorHAnsi" w:hAnsiTheme="minorHAnsi"/>
      <w:bCs w:val="0"/>
      <w:iCs/>
    </w:rPr>
  </w:style>
  <w:style w:type="paragraph" w:styleId="Heading5">
    <w:name w:val="heading 5"/>
    <w:basedOn w:val="Heading4"/>
    <w:next w:val="Normal"/>
    <w:link w:val="Heading5Char"/>
    <w:uiPriority w:val="9"/>
    <w:semiHidden/>
    <w:locked/>
    <w:rsid w:val="00112A69"/>
    <w:pPr>
      <w:numPr>
        <w:ilvl w:val="4"/>
      </w:numPr>
      <w:outlineLvl w:val="4"/>
    </w:pPr>
    <w:rPr>
      <w:sz w:val="20"/>
    </w:rPr>
  </w:style>
  <w:style w:type="paragraph" w:styleId="Heading6">
    <w:name w:val="heading 6"/>
    <w:basedOn w:val="Heading5"/>
    <w:next w:val="Normal"/>
    <w:link w:val="Heading6Char"/>
    <w:autoRedefine/>
    <w:uiPriority w:val="9"/>
    <w:semiHidden/>
    <w:locked/>
    <w:rsid w:val="00112A69"/>
    <w:pPr>
      <w:numPr>
        <w:ilvl w:val="5"/>
      </w:numPr>
      <w:outlineLvl w:val="5"/>
    </w:pPr>
    <w:rPr>
      <w:iCs w:val="0"/>
      <w:color w:val="666666"/>
    </w:rPr>
  </w:style>
  <w:style w:type="paragraph" w:styleId="Heading7">
    <w:name w:val="heading 7"/>
    <w:basedOn w:val="Normal"/>
    <w:next w:val="Normal"/>
    <w:link w:val="Heading7Char"/>
    <w:uiPriority w:val="9"/>
    <w:semiHidden/>
    <w:locked/>
    <w:rsid w:val="00112A69"/>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locked/>
    <w:rsid w:val="00112A69"/>
    <w:pPr>
      <w:keepNext/>
      <w:keepLines/>
      <w:numPr>
        <w:ilvl w:val="7"/>
        <w:numId w:val="3"/>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locked/>
    <w:rsid w:val="00112A69"/>
    <w:pPr>
      <w:keepNext/>
      <w:keepLines/>
      <w:numPr>
        <w:ilvl w:val="8"/>
        <w:numId w:val="3"/>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46A05"/>
    <w:rPr>
      <w:rFonts w:eastAsiaTheme="majorEastAsia" w:cs="Arial"/>
      <w:b/>
      <w:bCs/>
      <w:color w:val="0082BE" w:themeColor="text2" w:themeTint="BF"/>
      <w:sz w:val="32"/>
      <w:szCs w:val="44"/>
    </w:rPr>
  </w:style>
  <w:style w:type="paragraph" w:styleId="NoSpacing">
    <w:name w:val="No Spacing"/>
    <w:uiPriority w:val="2"/>
    <w:qFormat/>
    <w:rsid w:val="00112A69"/>
    <w:pPr>
      <w:spacing w:after="0"/>
      <w:jc w:val="both"/>
    </w:pPr>
  </w:style>
  <w:style w:type="character" w:customStyle="1" w:styleId="Heading2Char">
    <w:name w:val="Heading 2 Char"/>
    <w:basedOn w:val="DefaultParagraphFont"/>
    <w:link w:val="Heading2"/>
    <w:uiPriority w:val="1"/>
    <w:rsid w:val="00F80AF1"/>
    <w:rPr>
      <w:rFonts w:eastAsiaTheme="majorEastAsia" w:cstheme="majorBidi"/>
      <w:b/>
      <w:color w:val="1396D8"/>
      <w:sz w:val="28"/>
      <w:szCs w:val="26"/>
    </w:rPr>
  </w:style>
  <w:style w:type="character" w:customStyle="1" w:styleId="Heading3Char">
    <w:name w:val="Heading 3 Char"/>
    <w:basedOn w:val="DefaultParagraphFont"/>
    <w:link w:val="Heading3"/>
    <w:uiPriority w:val="1"/>
    <w:rsid w:val="00FD7CDC"/>
    <w:rPr>
      <w:rFonts w:asciiTheme="majorHAnsi" w:eastAsiaTheme="majorEastAsia" w:hAnsiTheme="majorHAnsi" w:cstheme="majorBidi"/>
      <w:b/>
      <w:bCs/>
      <w:i/>
      <w:color w:val="595959" w:themeColor="text1" w:themeTint="A6"/>
      <w:sz w:val="24"/>
      <w:szCs w:val="26"/>
    </w:rPr>
  </w:style>
  <w:style w:type="character" w:customStyle="1" w:styleId="Heading4Char">
    <w:name w:val="Heading 4 Char"/>
    <w:basedOn w:val="DefaultParagraphFont"/>
    <w:link w:val="Heading4"/>
    <w:uiPriority w:val="1"/>
    <w:rsid w:val="00E03CE6"/>
    <w:rPr>
      <w:rFonts w:eastAsiaTheme="majorEastAsia" w:cstheme="majorBidi"/>
      <w:b/>
      <w:i/>
      <w:iCs/>
      <w:color w:val="595959" w:themeColor="text1" w:themeTint="A6"/>
      <w:sz w:val="24"/>
      <w:szCs w:val="26"/>
    </w:rPr>
  </w:style>
  <w:style w:type="character" w:customStyle="1" w:styleId="Heading5Char">
    <w:name w:val="Heading 5 Char"/>
    <w:basedOn w:val="DefaultParagraphFont"/>
    <w:link w:val="Heading5"/>
    <w:uiPriority w:val="9"/>
    <w:semiHidden/>
    <w:rsid w:val="00D55243"/>
    <w:rPr>
      <w:rFonts w:eastAsiaTheme="majorEastAsia" w:cstheme="majorBidi"/>
      <w:b/>
      <w:i/>
      <w:iCs/>
      <w:color w:val="595959" w:themeColor="text1" w:themeTint="A6"/>
      <w:szCs w:val="26"/>
    </w:rPr>
  </w:style>
  <w:style w:type="character" w:customStyle="1" w:styleId="Heading6Char">
    <w:name w:val="Heading 6 Char"/>
    <w:basedOn w:val="DefaultParagraphFont"/>
    <w:link w:val="Heading6"/>
    <w:uiPriority w:val="9"/>
    <w:semiHidden/>
    <w:rsid w:val="00D55243"/>
    <w:rPr>
      <w:rFonts w:eastAsiaTheme="majorEastAsia" w:cstheme="majorBidi"/>
      <w:b/>
      <w:i/>
      <w:color w:val="666666"/>
      <w:szCs w:val="26"/>
    </w:rPr>
  </w:style>
  <w:style w:type="character" w:customStyle="1" w:styleId="Heading7Char">
    <w:name w:val="Heading 7 Char"/>
    <w:basedOn w:val="DefaultParagraphFont"/>
    <w:link w:val="Heading7"/>
    <w:uiPriority w:val="9"/>
    <w:semiHidden/>
    <w:rsid w:val="00D552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524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5243"/>
    <w:rPr>
      <w:rFonts w:asciiTheme="majorHAnsi" w:eastAsiaTheme="majorEastAsia" w:hAnsiTheme="majorHAnsi" w:cstheme="majorBidi"/>
      <w:i/>
      <w:iCs/>
      <w:color w:val="404040" w:themeColor="text1" w:themeTint="BF"/>
    </w:rPr>
  </w:style>
  <w:style w:type="paragraph" w:styleId="Caption">
    <w:name w:val="caption"/>
    <w:basedOn w:val="Normal"/>
    <w:next w:val="Normal"/>
    <w:autoRedefine/>
    <w:qFormat/>
    <w:rsid w:val="00EE759E"/>
    <w:pPr>
      <w:keepNext/>
      <w:spacing w:before="140" w:after="0" w:line="240" w:lineRule="auto"/>
      <w:jc w:val="center"/>
    </w:pPr>
    <w:rPr>
      <w:b/>
      <w:bCs/>
      <w:color w:val="1396D8"/>
      <w:szCs w:val="18"/>
    </w:rPr>
  </w:style>
  <w:style w:type="paragraph" w:styleId="Header">
    <w:name w:val="header"/>
    <w:basedOn w:val="Normal"/>
    <w:link w:val="HeaderChar"/>
    <w:autoRedefine/>
    <w:uiPriority w:val="99"/>
    <w:qFormat/>
    <w:rsid w:val="00041909"/>
    <w:pPr>
      <w:pBdr>
        <w:bottom w:val="single" w:sz="6" w:space="1" w:color="666666"/>
      </w:pBdr>
      <w:tabs>
        <w:tab w:val="center" w:pos="4680"/>
        <w:tab w:val="right" w:pos="9360"/>
      </w:tabs>
      <w:spacing w:after="0" w:line="240" w:lineRule="auto"/>
      <w:jc w:val="right"/>
    </w:pPr>
    <w:rPr>
      <w:i/>
    </w:rPr>
  </w:style>
  <w:style w:type="character" w:customStyle="1" w:styleId="HeaderChar">
    <w:name w:val="Header Char"/>
    <w:basedOn w:val="DefaultParagraphFont"/>
    <w:link w:val="Header"/>
    <w:uiPriority w:val="99"/>
    <w:rsid w:val="00041909"/>
    <w:rPr>
      <w:i/>
    </w:rPr>
  </w:style>
  <w:style w:type="paragraph" w:styleId="Footer">
    <w:name w:val="footer"/>
    <w:basedOn w:val="Normal"/>
    <w:link w:val="FooterChar"/>
    <w:autoRedefine/>
    <w:uiPriority w:val="99"/>
    <w:qFormat/>
    <w:rsid w:val="00760677"/>
    <w:pPr>
      <w:tabs>
        <w:tab w:val="center" w:pos="2160"/>
        <w:tab w:val="right" w:pos="9720"/>
      </w:tabs>
      <w:spacing w:after="0" w:line="240" w:lineRule="auto"/>
      <w:ind w:left="3600" w:hanging="3600"/>
    </w:pPr>
    <w:rPr>
      <w:sz w:val="16"/>
    </w:rPr>
  </w:style>
  <w:style w:type="character" w:customStyle="1" w:styleId="FooterChar">
    <w:name w:val="Footer Char"/>
    <w:basedOn w:val="DefaultParagraphFont"/>
    <w:link w:val="Footer"/>
    <w:uiPriority w:val="99"/>
    <w:rsid w:val="00760677"/>
    <w:rPr>
      <w:sz w:val="16"/>
    </w:rPr>
  </w:style>
  <w:style w:type="paragraph" w:styleId="NoteHeading">
    <w:name w:val="Note Heading"/>
    <w:aliases w:val="Note 1"/>
    <w:basedOn w:val="Normal"/>
    <w:next w:val="Normal"/>
    <w:link w:val="NoteHeadingChar"/>
    <w:uiPriority w:val="13"/>
    <w:qFormat/>
    <w:locked/>
    <w:rsid w:val="004C277B"/>
    <w:pPr>
      <w:pBdr>
        <w:top w:val="single" w:sz="18" w:space="6" w:color="C4ECFF" w:themeColor="accent1" w:themeTint="33"/>
        <w:left w:val="single" w:sz="18" w:space="10" w:color="C4ECFF" w:themeColor="accent1" w:themeTint="33"/>
        <w:bottom w:val="single" w:sz="18" w:space="6" w:color="C4ECFF" w:themeColor="accent1" w:themeTint="33"/>
        <w:right w:val="single" w:sz="18" w:space="10" w:color="C4ECFF" w:themeColor="accent1" w:themeTint="33"/>
      </w:pBdr>
      <w:shd w:val="clear" w:color="auto" w:fill="C4ECFF" w:themeFill="accent1" w:themeFillTint="33"/>
      <w:spacing w:before="120" w:after="120" w:line="240" w:lineRule="auto"/>
      <w:ind w:left="936" w:right="216"/>
      <w:jc w:val="both"/>
    </w:pPr>
    <w:rPr>
      <w:i/>
      <w:color w:val="0096D7" w:themeColor="accent1"/>
    </w:rPr>
  </w:style>
  <w:style w:type="character" w:customStyle="1" w:styleId="NoteHeadingChar">
    <w:name w:val="Note Heading Char"/>
    <w:aliases w:val="Note 1 Char"/>
    <w:basedOn w:val="DefaultParagraphFont"/>
    <w:link w:val="NoteHeading"/>
    <w:uiPriority w:val="13"/>
    <w:rsid w:val="004C277B"/>
    <w:rPr>
      <w:i/>
      <w:color w:val="0096D7" w:themeColor="accent1"/>
      <w:szCs w:val="22"/>
      <w:shd w:val="clear" w:color="auto" w:fill="C4ECFF" w:themeFill="accent1" w:themeFillTint="33"/>
    </w:rPr>
  </w:style>
  <w:style w:type="character" w:styleId="PageNumber">
    <w:name w:val="page number"/>
    <w:uiPriority w:val="99"/>
    <w:semiHidden/>
    <w:locked/>
    <w:rsid w:val="00112A69"/>
    <w:rPr>
      <w:rFonts w:eastAsiaTheme="minorEastAsia" w:cs="Arial"/>
      <w:sz w:val="16"/>
      <w:szCs w:val="16"/>
    </w:rPr>
  </w:style>
  <w:style w:type="character" w:styleId="Hyperlink">
    <w:name w:val="Hyperlink"/>
    <w:basedOn w:val="DefaultParagraphFont"/>
    <w:uiPriority w:val="99"/>
    <w:qFormat/>
    <w:rsid w:val="00677C5F"/>
    <w:rPr>
      <w:rFonts w:asciiTheme="minorHAnsi" w:hAnsiTheme="minorHAnsi"/>
      <w:color w:val="1396D8"/>
      <w:u w:val="single"/>
    </w:rPr>
  </w:style>
  <w:style w:type="paragraph" w:customStyle="1" w:styleId="Link">
    <w:name w:val="Link"/>
    <w:basedOn w:val="Normal"/>
    <w:link w:val="LinkChar"/>
    <w:autoRedefine/>
    <w:uiPriority w:val="11"/>
    <w:qFormat/>
    <w:rsid w:val="00112A69"/>
    <w:pPr>
      <w:spacing w:after="0" w:line="240" w:lineRule="auto"/>
    </w:pPr>
    <w:rPr>
      <w:rFonts w:eastAsia="Times New Roman" w:cs="Times New Roman"/>
      <w:color w:val="1396D8"/>
      <w:szCs w:val="24"/>
      <w:u w:val="single"/>
    </w:rPr>
  </w:style>
  <w:style w:type="character" w:customStyle="1" w:styleId="LinkChar">
    <w:name w:val="Link Char"/>
    <w:basedOn w:val="DefaultParagraphFont"/>
    <w:link w:val="Link"/>
    <w:uiPriority w:val="11"/>
    <w:rsid w:val="00D55243"/>
    <w:rPr>
      <w:rFonts w:eastAsia="Times New Roman" w:cs="Times New Roman"/>
      <w:color w:val="1396D8"/>
      <w:szCs w:val="24"/>
      <w:u w:val="single"/>
    </w:rPr>
  </w:style>
  <w:style w:type="character" w:styleId="IntenseReference">
    <w:name w:val="Intense Reference"/>
    <w:aliases w:val="Note 1 Bold"/>
    <w:basedOn w:val="DefaultParagraphFont"/>
    <w:uiPriority w:val="32"/>
    <w:locked/>
    <w:rsid w:val="00112A69"/>
    <w:rPr>
      <w:rFonts w:asciiTheme="minorHAnsi" w:hAnsiTheme="minorHAnsi"/>
      <w:b/>
      <w:bCs/>
      <w:smallCaps/>
      <w:color w:val="BD732A" w:themeColor="accent2"/>
      <w:spacing w:val="5"/>
      <w:sz w:val="20"/>
      <w:u w:val="none"/>
    </w:rPr>
  </w:style>
  <w:style w:type="paragraph" w:customStyle="1" w:styleId="BoldNote1">
    <w:name w:val="Bold Note 1"/>
    <w:basedOn w:val="NoteHeading"/>
    <w:uiPriority w:val="14"/>
    <w:qFormat/>
    <w:rsid w:val="00112A69"/>
    <w:rPr>
      <w:b/>
    </w:rPr>
  </w:style>
  <w:style w:type="paragraph" w:styleId="Quote">
    <w:name w:val="Quote"/>
    <w:basedOn w:val="Normal"/>
    <w:next w:val="Normal"/>
    <w:link w:val="QuoteChar"/>
    <w:uiPriority w:val="14"/>
    <w:qFormat/>
    <w:rsid w:val="00112A69"/>
    <w:pPr>
      <w:ind w:left="720" w:right="720"/>
    </w:pPr>
    <w:rPr>
      <w:iCs/>
      <w:color w:val="000000" w:themeColor="text1"/>
    </w:rPr>
  </w:style>
  <w:style w:type="character" w:customStyle="1" w:styleId="QuoteChar">
    <w:name w:val="Quote Char"/>
    <w:basedOn w:val="DefaultParagraphFont"/>
    <w:link w:val="Quote"/>
    <w:uiPriority w:val="14"/>
    <w:rsid w:val="00D55243"/>
    <w:rPr>
      <w:iCs/>
      <w:color w:val="000000" w:themeColor="text1"/>
    </w:rPr>
  </w:style>
  <w:style w:type="character" w:styleId="IntenseEmphasis">
    <w:name w:val="Intense Emphasis"/>
    <w:basedOn w:val="DefaultParagraphFont"/>
    <w:uiPriority w:val="5"/>
    <w:qFormat/>
    <w:locked/>
    <w:rsid w:val="00112A69"/>
    <w:rPr>
      <w:rFonts w:asciiTheme="minorHAnsi" w:hAnsiTheme="minorHAnsi"/>
      <w:b/>
      <w:bCs/>
      <w:i/>
      <w:iCs/>
      <w:color w:val="1396D8"/>
      <w:sz w:val="20"/>
    </w:rPr>
  </w:style>
  <w:style w:type="character" w:styleId="Emphasis">
    <w:name w:val="Emphasis"/>
    <w:basedOn w:val="DefaultParagraphFont"/>
    <w:uiPriority w:val="5"/>
    <w:qFormat/>
    <w:rsid w:val="00F80AF1"/>
    <w:rPr>
      <w:rFonts w:asciiTheme="minorHAnsi" w:hAnsiTheme="minorHAnsi"/>
      <w:b/>
      <w:iCs/>
      <w:sz w:val="22"/>
    </w:rPr>
  </w:style>
  <w:style w:type="paragraph" w:styleId="BodyText">
    <w:name w:val="Body Text"/>
    <w:basedOn w:val="Normal"/>
    <w:link w:val="BodyTextChar"/>
    <w:uiPriority w:val="99"/>
    <w:semiHidden/>
    <w:unhideWhenUsed/>
    <w:locked/>
    <w:rsid w:val="00015DA7"/>
    <w:pPr>
      <w:spacing w:after="120"/>
    </w:pPr>
  </w:style>
  <w:style w:type="character" w:customStyle="1" w:styleId="BodyTextChar">
    <w:name w:val="Body Text Char"/>
    <w:basedOn w:val="DefaultParagraphFont"/>
    <w:link w:val="BodyText"/>
    <w:uiPriority w:val="99"/>
    <w:semiHidden/>
    <w:rsid w:val="00015DA7"/>
    <w:rPr>
      <w:sz w:val="20"/>
    </w:rPr>
  </w:style>
  <w:style w:type="paragraph" w:styleId="BodyTextFirstIndent">
    <w:name w:val="Body Text First Indent"/>
    <w:aliases w:val="Style Left 0.5"/>
    <w:basedOn w:val="BodyText"/>
    <w:link w:val="BodyTextFirstIndentChar"/>
    <w:autoRedefine/>
    <w:uiPriority w:val="99"/>
    <w:semiHidden/>
    <w:qFormat/>
    <w:locked/>
    <w:rsid w:val="00112A69"/>
    <w:pPr>
      <w:spacing w:after="200"/>
      <w:ind w:left="720"/>
    </w:pPr>
  </w:style>
  <w:style w:type="character" w:customStyle="1" w:styleId="BodyTextFirstIndentChar">
    <w:name w:val="Body Text First Indent Char"/>
    <w:aliases w:val="Style Left 0.5 Char"/>
    <w:basedOn w:val="BodyTextChar"/>
    <w:link w:val="BodyTextFirstIndent"/>
    <w:uiPriority w:val="99"/>
    <w:semiHidden/>
    <w:rsid w:val="00E03CE6"/>
    <w:rPr>
      <w:sz w:val="20"/>
    </w:rPr>
  </w:style>
  <w:style w:type="paragraph" w:customStyle="1" w:styleId="Left05Indent">
    <w:name w:val="Left 0.5&quot; Indent"/>
    <w:basedOn w:val="BodyTextFirstIndent"/>
    <w:autoRedefine/>
    <w:semiHidden/>
    <w:qFormat/>
    <w:locked/>
    <w:rsid w:val="0099448B"/>
    <w:pPr>
      <w:ind w:left="360"/>
    </w:pPr>
    <w:rPr>
      <w:rFonts w:cs="Arial"/>
    </w:rPr>
  </w:style>
  <w:style w:type="paragraph" w:styleId="NormalWeb">
    <w:name w:val="Normal (Web)"/>
    <w:basedOn w:val="Normal"/>
    <w:uiPriority w:val="99"/>
    <w:semiHidden/>
    <w:unhideWhenUsed/>
    <w:locked/>
    <w:rsid w:val="00015DA7"/>
    <w:pPr>
      <w:spacing w:after="292" w:line="292" w:lineRule="atLeast"/>
    </w:pPr>
    <w:rPr>
      <w:rFonts w:ascii="Times New Roman" w:eastAsia="Times New Roman" w:hAnsi="Times New Roman" w:cs="Times New Roman"/>
      <w:sz w:val="23"/>
      <w:szCs w:val="23"/>
    </w:rPr>
  </w:style>
  <w:style w:type="paragraph" w:styleId="ListParagraph">
    <w:name w:val="List Paragraph"/>
    <w:basedOn w:val="Normal"/>
    <w:autoRedefine/>
    <w:uiPriority w:val="34"/>
    <w:qFormat/>
    <w:rsid w:val="00117BDC"/>
    <w:pPr>
      <w:numPr>
        <w:numId w:val="53"/>
      </w:numPr>
      <w:contextualSpacing/>
    </w:pPr>
    <w:rPr>
      <w:rFonts w:cs="Arial"/>
      <w:b/>
      <w:bCs/>
    </w:rPr>
  </w:style>
  <w:style w:type="paragraph" w:styleId="TOCHeading">
    <w:name w:val="TOC Heading"/>
    <w:basedOn w:val="Heading1"/>
    <w:next w:val="Normal"/>
    <w:autoRedefine/>
    <w:uiPriority w:val="39"/>
    <w:qFormat/>
    <w:rsid w:val="005B2B58"/>
    <w:pPr>
      <w:pBdr>
        <w:bottom w:val="single" w:sz="4" w:space="1" w:color="BFBFBF" w:themeColor="background1" w:themeShade="BF"/>
      </w:pBdr>
      <w:spacing w:before="480" w:line="240" w:lineRule="auto"/>
      <w:outlineLvl w:val="9"/>
    </w:pPr>
    <w:rPr>
      <w:color w:val="22BBFF" w:themeColor="accent1" w:themeTint="BF"/>
    </w:rPr>
  </w:style>
  <w:style w:type="paragraph" w:styleId="TOC1">
    <w:name w:val="toc 1"/>
    <w:basedOn w:val="Normal"/>
    <w:next w:val="Normal"/>
    <w:autoRedefine/>
    <w:uiPriority w:val="39"/>
    <w:qFormat/>
    <w:rsid w:val="00047C08"/>
    <w:pPr>
      <w:tabs>
        <w:tab w:val="left" w:pos="400"/>
        <w:tab w:val="right" w:leader="dot" w:pos="9350"/>
      </w:tabs>
      <w:spacing w:after="100"/>
    </w:pPr>
    <w:rPr>
      <w:color w:val="000000" w:themeColor="text1"/>
    </w:rPr>
  </w:style>
  <w:style w:type="paragraph" w:styleId="TOC2">
    <w:name w:val="toc 2"/>
    <w:basedOn w:val="TOC1"/>
    <w:next w:val="Normal"/>
    <w:autoRedefine/>
    <w:uiPriority w:val="39"/>
    <w:qFormat/>
    <w:rsid w:val="00227E4B"/>
    <w:pPr>
      <w:ind w:left="288"/>
    </w:pPr>
  </w:style>
  <w:style w:type="paragraph" w:styleId="TOC3">
    <w:name w:val="toc 3"/>
    <w:basedOn w:val="TOC2"/>
    <w:next w:val="Normal"/>
    <w:autoRedefine/>
    <w:uiPriority w:val="39"/>
    <w:qFormat/>
    <w:rsid w:val="00047C08"/>
    <w:pPr>
      <w:ind w:left="648"/>
    </w:pPr>
  </w:style>
  <w:style w:type="paragraph" w:styleId="BalloonText">
    <w:name w:val="Balloon Text"/>
    <w:basedOn w:val="Normal"/>
    <w:link w:val="BalloonTextChar"/>
    <w:uiPriority w:val="99"/>
    <w:semiHidden/>
    <w:locked/>
    <w:rsid w:val="00901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43"/>
    <w:rPr>
      <w:rFonts w:ascii="Tahoma" w:hAnsi="Tahoma" w:cs="Tahoma"/>
      <w:sz w:val="16"/>
      <w:szCs w:val="16"/>
    </w:rPr>
  </w:style>
  <w:style w:type="paragraph" w:customStyle="1" w:styleId="Boxtext">
    <w:name w:val="Box text"/>
    <w:basedOn w:val="BodyText"/>
    <w:uiPriority w:val="2"/>
    <w:qFormat/>
    <w:rsid w:val="00112A69"/>
    <w:pPr>
      <w:pBdr>
        <w:top w:val="single" w:sz="4" w:space="2" w:color="auto"/>
        <w:left w:val="single" w:sz="4" w:space="4" w:color="auto"/>
        <w:bottom w:val="single" w:sz="4" w:space="4" w:color="auto"/>
        <w:right w:val="single" w:sz="4" w:space="4" w:color="auto"/>
      </w:pBdr>
      <w:spacing w:before="120" w:after="80"/>
    </w:pPr>
    <w:rPr>
      <w:rFonts w:eastAsiaTheme="minorEastAsia" w:cs="Times New Roman"/>
    </w:rPr>
  </w:style>
  <w:style w:type="paragraph" w:styleId="BodyTextIndent3">
    <w:name w:val="Body Text Indent 3"/>
    <w:aliases w:val="Table Text .25 ndent"/>
    <w:basedOn w:val="Normal"/>
    <w:link w:val="BodyTextIndent3Char"/>
    <w:autoRedefine/>
    <w:uiPriority w:val="99"/>
    <w:semiHidden/>
    <w:qFormat/>
    <w:locked/>
    <w:rsid w:val="00112A69"/>
    <w:pPr>
      <w:framePr w:hSpace="180" w:wrap="around" w:vAnchor="text" w:hAnchor="margin" w:y="110"/>
      <w:spacing w:before="60" w:after="0" w:line="240" w:lineRule="auto"/>
      <w:ind w:left="187"/>
    </w:pPr>
    <w:rPr>
      <w:rFonts w:ascii="Arial" w:eastAsiaTheme="minorEastAsia" w:hAnsi="Arial" w:cs="Arial"/>
      <w:color w:val="000000"/>
      <w:sz w:val="16"/>
      <w:szCs w:val="16"/>
    </w:rPr>
  </w:style>
  <w:style w:type="character" w:customStyle="1" w:styleId="BodyTextIndent3Char">
    <w:name w:val="Body Text Indent 3 Char"/>
    <w:aliases w:val="Table Text .25 ndent Char"/>
    <w:basedOn w:val="DefaultParagraphFont"/>
    <w:link w:val="BodyTextIndent3"/>
    <w:uiPriority w:val="99"/>
    <w:semiHidden/>
    <w:rsid w:val="00E03CE6"/>
    <w:rPr>
      <w:rFonts w:ascii="Arial" w:eastAsiaTheme="minorEastAsia" w:hAnsi="Arial" w:cs="Arial"/>
      <w:color w:val="000000"/>
      <w:sz w:val="16"/>
      <w:szCs w:val="16"/>
    </w:rPr>
  </w:style>
  <w:style w:type="paragraph" w:styleId="FootnoteText">
    <w:name w:val="footnote text"/>
    <w:basedOn w:val="Normal"/>
    <w:link w:val="FootnoteTextChar"/>
    <w:autoRedefine/>
    <w:uiPriority w:val="7"/>
    <w:qFormat/>
    <w:rsid w:val="00C7266E"/>
    <w:pPr>
      <w:spacing w:after="0" w:line="240" w:lineRule="atLeast"/>
      <w:contextualSpacing/>
    </w:pPr>
    <w:rPr>
      <w:sz w:val="18"/>
    </w:rPr>
  </w:style>
  <w:style w:type="character" w:customStyle="1" w:styleId="FootnoteTextChar">
    <w:name w:val="Footnote Text Char"/>
    <w:basedOn w:val="DefaultParagraphFont"/>
    <w:link w:val="FootnoteText"/>
    <w:uiPriority w:val="7"/>
    <w:rsid w:val="00C7266E"/>
    <w:rPr>
      <w:sz w:val="18"/>
    </w:rPr>
  </w:style>
  <w:style w:type="character" w:styleId="FootnoteReference">
    <w:name w:val="footnote reference"/>
    <w:basedOn w:val="DefaultParagraphFont"/>
    <w:uiPriority w:val="8"/>
    <w:rsid w:val="00965A44"/>
    <w:rPr>
      <w:vertAlign w:val="superscript"/>
    </w:rPr>
  </w:style>
  <w:style w:type="paragraph" w:styleId="List">
    <w:name w:val="List"/>
    <w:basedOn w:val="Normal"/>
    <w:uiPriority w:val="99"/>
    <w:semiHidden/>
    <w:locked/>
    <w:rsid w:val="00112A69"/>
    <w:pPr>
      <w:ind w:left="360" w:hanging="360"/>
      <w:contextualSpacing/>
    </w:pPr>
  </w:style>
  <w:style w:type="paragraph" w:styleId="List2">
    <w:name w:val="List 2"/>
    <w:basedOn w:val="Normal"/>
    <w:uiPriority w:val="99"/>
    <w:semiHidden/>
    <w:locked/>
    <w:rsid w:val="00112A69"/>
    <w:pPr>
      <w:ind w:left="720" w:hanging="360"/>
      <w:contextualSpacing/>
    </w:pPr>
  </w:style>
  <w:style w:type="paragraph" w:styleId="List3">
    <w:name w:val="List 3"/>
    <w:basedOn w:val="Normal"/>
    <w:uiPriority w:val="99"/>
    <w:semiHidden/>
    <w:locked/>
    <w:rsid w:val="00112A69"/>
    <w:pPr>
      <w:ind w:left="1080" w:hanging="360"/>
      <w:contextualSpacing/>
    </w:pPr>
  </w:style>
  <w:style w:type="paragraph" w:styleId="List4">
    <w:name w:val="List 4"/>
    <w:basedOn w:val="Normal"/>
    <w:uiPriority w:val="99"/>
    <w:semiHidden/>
    <w:locked/>
    <w:rsid w:val="00112A69"/>
    <w:pPr>
      <w:ind w:left="1440" w:hanging="360"/>
      <w:contextualSpacing/>
    </w:pPr>
  </w:style>
  <w:style w:type="paragraph" w:styleId="List5">
    <w:name w:val="List 5"/>
    <w:basedOn w:val="Normal"/>
    <w:uiPriority w:val="99"/>
    <w:semiHidden/>
    <w:locked/>
    <w:rsid w:val="00112A69"/>
    <w:pPr>
      <w:ind w:left="1800" w:hanging="360"/>
      <w:contextualSpacing/>
    </w:pPr>
  </w:style>
  <w:style w:type="paragraph" w:styleId="ListBullet">
    <w:name w:val="List Bullet"/>
    <w:basedOn w:val="Normal"/>
    <w:uiPriority w:val="99"/>
    <w:semiHidden/>
    <w:locked/>
    <w:rsid w:val="00112A69"/>
    <w:pPr>
      <w:numPr>
        <w:numId w:val="4"/>
      </w:numPr>
      <w:contextualSpacing/>
    </w:pPr>
  </w:style>
  <w:style w:type="paragraph" w:styleId="ListBullet2">
    <w:name w:val="List Bullet 2"/>
    <w:basedOn w:val="Normal"/>
    <w:uiPriority w:val="99"/>
    <w:semiHidden/>
    <w:locked/>
    <w:rsid w:val="00112A69"/>
    <w:pPr>
      <w:numPr>
        <w:numId w:val="5"/>
      </w:numPr>
      <w:contextualSpacing/>
    </w:pPr>
  </w:style>
  <w:style w:type="paragraph" w:styleId="ListBullet3">
    <w:name w:val="List Bullet 3"/>
    <w:basedOn w:val="Normal"/>
    <w:uiPriority w:val="99"/>
    <w:semiHidden/>
    <w:locked/>
    <w:rsid w:val="00112A69"/>
    <w:pPr>
      <w:numPr>
        <w:numId w:val="6"/>
      </w:numPr>
      <w:contextualSpacing/>
    </w:pPr>
  </w:style>
  <w:style w:type="paragraph" w:styleId="ListBullet4">
    <w:name w:val="List Bullet 4"/>
    <w:basedOn w:val="Normal"/>
    <w:uiPriority w:val="99"/>
    <w:semiHidden/>
    <w:locked/>
    <w:rsid w:val="00112A69"/>
    <w:pPr>
      <w:numPr>
        <w:numId w:val="7"/>
      </w:numPr>
      <w:contextualSpacing/>
    </w:pPr>
  </w:style>
  <w:style w:type="paragraph" w:styleId="ListContinue2">
    <w:name w:val="List Continue 2"/>
    <w:basedOn w:val="Normal"/>
    <w:uiPriority w:val="99"/>
    <w:semiHidden/>
    <w:locked/>
    <w:rsid w:val="00112A69"/>
    <w:pPr>
      <w:spacing w:after="120"/>
      <w:ind w:left="720"/>
      <w:contextualSpacing/>
    </w:pPr>
  </w:style>
  <w:style w:type="paragraph" w:styleId="ListContinue4">
    <w:name w:val="List Continue 4"/>
    <w:basedOn w:val="Normal"/>
    <w:uiPriority w:val="99"/>
    <w:semiHidden/>
    <w:locked/>
    <w:rsid w:val="00112A69"/>
    <w:pPr>
      <w:spacing w:after="120"/>
      <w:ind w:left="1440"/>
      <w:contextualSpacing/>
    </w:pPr>
  </w:style>
  <w:style w:type="character" w:styleId="LineNumber">
    <w:name w:val="line number"/>
    <w:basedOn w:val="DefaultParagraphFont"/>
    <w:uiPriority w:val="99"/>
    <w:semiHidden/>
    <w:locked/>
    <w:rsid w:val="00112A69"/>
  </w:style>
  <w:style w:type="paragraph" w:styleId="Index1">
    <w:name w:val="index 1"/>
    <w:basedOn w:val="Normal"/>
    <w:next w:val="Normal"/>
    <w:autoRedefine/>
    <w:uiPriority w:val="99"/>
    <w:semiHidden/>
    <w:unhideWhenUsed/>
    <w:locked/>
    <w:rsid w:val="00E27661"/>
    <w:pPr>
      <w:spacing w:after="0" w:line="240" w:lineRule="auto"/>
      <w:ind w:left="200" w:hanging="200"/>
    </w:pPr>
  </w:style>
  <w:style w:type="paragraph" w:styleId="IndexHeading">
    <w:name w:val="index heading"/>
    <w:basedOn w:val="Normal"/>
    <w:next w:val="Index1"/>
    <w:uiPriority w:val="99"/>
    <w:semiHidden/>
    <w:locked/>
    <w:rsid w:val="00112A69"/>
    <w:rPr>
      <w:rFonts w:asciiTheme="majorHAnsi" w:eastAsiaTheme="majorEastAsia" w:hAnsiTheme="majorHAnsi" w:cstheme="majorBidi"/>
      <w:b/>
      <w:bCs/>
    </w:rPr>
  </w:style>
  <w:style w:type="paragraph" w:customStyle="1" w:styleId="Text">
    <w:name w:val="Text"/>
    <w:basedOn w:val="BodyTextIndent3"/>
    <w:autoRedefine/>
    <w:uiPriority w:val="99"/>
    <w:semiHidden/>
    <w:qFormat/>
    <w:locked/>
    <w:rsid w:val="00112A69"/>
    <w:pPr>
      <w:framePr w:wrap="around"/>
      <w:ind w:left="180"/>
    </w:pPr>
  </w:style>
  <w:style w:type="paragraph" w:customStyle="1" w:styleId="TableTextIndent25">
    <w:name w:val="Table Text Indent .25"/>
    <w:basedOn w:val="Normal"/>
    <w:next w:val="Normal"/>
    <w:autoRedefine/>
    <w:uiPriority w:val="99"/>
    <w:semiHidden/>
    <w:qFormat/>
    <w:locked/>
    <w:rsid w:val="00112A69"/>
    <w:pPr>
      <w:spacing w:before="60" w:after="0" w:line="240" w:lineRule="auto"/>
      <w:ind w:left="216"/>
    </w:pPr>
    <w:rPr>
      <w:sz w:val="16"/>
    </w:rPr>
  </w:style>
  <w:style w:type="paragraph" w:customStyle="1" w:styleId="BoldTableStyle">
    <w:name w:val="Bold Table Style"/>
    <w:basedOn w:val="Normal"/>
    <w:autoRedefine/>
    <w:semiHidden/>
    <w:qFormat/>
    <w:locked/>
    <w:rsid w:val="00112A69"/>
    <w:pPr>
      <w:framePr w:hSpace="180" w:wrap="around" w:vAnchor="text" w:hAnchor="margin" w:y="110"/>
      <w:spacing w:before="40" w:after="40" w:line="240" w:lineRule="auto"/>
    </w:pPr>
    <w:rPr>
      <w:rFonts w:eastAsiaTheme="minorEastAsia" w:cs="Arial"/>
      <w:b/>
      <w:color w:val="000000"/>
      <w:sz w:val="16"/>
      <w:szCs w:val="16"/>
    </w:rPr>
  </w:style>
  <w:style w:type="paragraph" w:styleId="TOC4">
    <w:name w:val="toc 4"/>
    <w:basedOn w:val="TOC3"/>
    <w:next w:val="Normal"/>
    <w:autoRedefine/>
    <w:uiPriority w:val="39"/>
    <w:qFormat/>
    <w:rsid w:val="00F575F0"/>
    <w:pPr>
      <w:ind w:left="1008"/>
    </w:pPr>
    <w:rPr>
      <w:noProof/>
    </w:rPr>
  </w:style>
  <w:style w:type="paragraph" w:styleId="ListNumber">
    <w:name w:val="List Number"/>
    <w:basedOn w:val="Normal"/>
    <w:uiPriority w:val="20"/>
    <w:locked/>
    <w:rsid w:val="00046593"/>
    <w:pPr>
      <w:numPr>
        <w:numId w:val="1"/>
      </w:numPr>
      <w:contextualSpacing/>
    </w:pPr>
  </w:style>
  <w:style w:type="table" w:customStyle="1" w:styleId="LightShading1">
    <w:name w:val="Light Shading1"/>
    <w:basedOn w:val="TableNormal"/>
    <w:uiPriority w:val="60"/>
    <w:locked/>
    <w:rsid w:val="00A00D7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rsid w:val="002207DF"/>
    <w:pPr>
      <w:spacing w:after="0"/>
    </w:pPr>
  </w:style>
  <w:style w:type="character" w:styleId="PlaceholderText">
    <w:name w:val="Placeholder Text"/>
    <w:basedOn w:val="DefaultParagraphFont"/>
    <w:uiPriority w:val="99"/>
    <w:semiHidden/>
    <w:locked/>
    <w:rsid w:val="002B0FD2"/>
    <w:rPr>
      <w:color w:val="808080"/>
    </w:rPr>
  </w:style>
  <w:style w:type="paragraph" w:styleId="Title">
    <w:name w:val="Title"/>
    <w:basedOn w:val="Normal"/>
    <w:next w:val="Normal"/>
    <w:link w:val="TitleChar"/>
    <w:autoRedefine/>
    <w:uiPriority w:val="99"/>
    <w:semiHidden/>
    <w:qFormat/>
    <w:locked/>
    <w:rsid w:val="002B0FD2"/>
    <w:pPr>
      <w:spacing w:after="360" w:line="240" w:lineRule="auto"/>
      <w:contextualSpacing/>
    </w:pPr>
    <w:rPr>
      <w:rFonts w:asciiTheme="majorHAnsi" w:eastAsiaTheme="majorEastAsia" w:hAnsiTheme="majorHAnsi" w:cstheme="majorBidi"/>
      <w:color w:val="139CD8"/>
      <w:spacing w:val="5"/>
      <w:kern w:val="28"/>
      <w:sz w:val="52"/>
      <w:szCs w:val="52"/>
    </w:rPr>
  </w:style>
  <w:style w:type="character" w:customStyle="1" w:styleId="TitleChar">
    <w:name w:val="Title Char"/>
    <w:basedOn w:val="DefaultParagraphFont"/>
    <w:link w:val="Title"/>
    <w:uiPriority w:val="99"/>
    <w:semiHidden/>
    <w:rsid w:val="00E03CE6"/>
    <w:rPr>
      <w:rFonts w:asciiTheme="majorHAnsi" w:eastAsiaTheme="majorEastAsia" w:hAnsiTheme="majorHAnsi" w:cstheme="majorBidi"/>
      <w:color w:val="139CD8"/>
      <w:spacing w:val="5"/>
      <w:kern w:val="28"/>
      <w:sz w:val="52"/>
      <w:szCs w:val="52"/>
    </w:rPr>
  </w:style>
  <w:style w:type="paragraph" w:styleId="Date">
    <w:name w:val="Date"/>
    <w:basedOn w:val="Normal"/>
    <w:next w:val="Normal"/>
    <w:link w:val="DateChar"/>
    <w:autoRedefine/>
    <w:uiPriority w:val="4"/>
    <w:qFormat/>
    <w:locked/>
    <w:rsid w:val="002B0FD2"/>
    <w:rPr>
      <w:color w:val="7E8E9A"/>
    </w:rPr>
  </w:style>
  <w:style w:type="character" w:customStyle="1" w:styleId="DateChar">
    <w:name w:val="Date Char"/>
    <w:basedOn w:val="DefaultParagraphFont"/>
    <w:link w:val="Date"/>
    <w:uiPriority w:val="4"/>
    <w:rsid w:val="00D55243"/>
    <w:rPr>
      <w:color w:val="7E8E9A"/>
      <w:sz w:val="22"/>
    </w:rPr>
  </w:style>
  <w:style w:type="table" w:styleId="ColorfulList-Accent3">
    <w:name w:val="Colorful List Accent 3"/>
    <w:basedOn w:val="TableNormal"/>
    <w:uiPriority w:val="72"/>
    <w:locked/>
    <w:rsid w:val="00D55243"/>
    <w:pPr>
      <w:spacing w:after="0"/>
    </w:pPr>
    <w:rPr>
      <w:color w:val="000000" w:themeColor="text1"/>
    </w:rPr>
    <w:tblPr>
      <w:tblStyleRowBandSize w:val="1"/>
      <w:tblStyleColBandSize w:val="1"/>
    </w:tblPr>
    <w:tcPr>
      <w:shd w:val="clear" w:color="auto" w:fill="EEF7E8" w:themeFill="accent3" w:themeFillTint="19"/>
    </w:tcPr>
    <w:tblStylePr w:type="firstRow">
      <w:rPr>
        <w:b/>
        <w:bCs/>
        <w:color w:val="FFFFFF" w:themeColor="background1"/>
      </w:rPr>
      <w:tblPr/>
      <w:tcPr>
        <w:tcBorders>
          <w:bottom w:val="single" w:sz="12" w:space="0" w:color="FFFFFF" w:themeColor="background1"/>
        </w:tcBorders>
        <w:shd w:val="clear" w:color="auto" w:fill="CD9F00" w:themeFill="accent4" w:themeFillShade="CC"/>
      </w:tcPr>
    </w:tblStylePr>
    <w:tblStylePr w:type="lastRow">
      <w:rPr>
        <w:b/>
        <w:bCs/>
        <w:color w:val="CD9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C5" w:themeFill="accent3" w:themeFillTint="3F"/>
      </w:tcPr>
    </w:tblStylePr>
    <w:tblStylePr w:type="band1Horz">
      <w:tblPr/>
      <w:tcPr>
        <w:shd w:val="clear" w:color="auto" w:fill="DDEFD0" w:themeFill="accent3" w:themeFillTint="33"/>
      </w:tcPr>
    </w:tblStylePr>
  </w:style>
  <w:style w:type="table" w:styleId="ColorfulGrid-Accent6">
    <w:name w:val="Colorful Grid Accent 6"/>
    <w:basedOn w:val="TableNormal"/>
    <w:uiPriority w:val="73"/>
    <w:locked/>
    <w:rsid w:val="00D55243"/>
    <w:pPr>
      <w:spacing w:after="0"/>
    </w:pPr>
    <w:rPr>
      <w:color w:val="000000" w:themeColor="text1"/>
    </w:rPr>
    <w:tblPr>
      <w:tblStyleRowBandSize w:val="1"/>
      <w:tblStyleColBandSize w:val="1"/>
      <w:tblBorders>
        <w:insideH w:val="single" w:sz="4" w:space="0" w:color="FFFFFF" w:themeColor="background1"/>
      </w:tblBorders>
    </w:tblPr>
    <w:tcPr>
      <w:shd w:val="clear" w:color="auto" w:fill="FBEAB2" w:themeFill="accent6" w:themeFillTint="33"/>
    </w:tcPr>
    <w:tblStylePr w:type="firstRow">
      <w:rPr>
        <w:b/>
        <w:bCs/>
      </w:rPr>
      <w:tblPr/>
      <w:tcPr>
        <w:shd w:val="clear" w:color="auto" w:fill="F7D565" w:themeFill="accent6" w:themeFillTint="66"/>
      </w:tcPr>
    </w:tblStylePr>
    <w:tblStylePr w:type="lastRow">
      <w:rPr>
        <w:b/>
        <w:bCs/>
        <w:color w:val="000000" w:themeColor="text1"/>
      </w:rPr>
      <w:tblPr/>
      <w:tcPr>
        <w:shd w:val="clear" w:color="auto" w:fill="F7D565" w:themeFill="accent6" w:themeFillTint="66"/>
      </w:tcPr>
    </w:tblStylePr>
    <w:tblStylePr w:type="firstCol">
      <w:rPr>
        <w:color w:val="FFFFFF" w:themeColor="background1"/>
      </w:rPr>
      <w:tblPr/>
      <w:tcPr>
        <w:shd w:val="clear" w:color="auto" w:fill="4C3B03" w:themeFill="accent6" w:themeFillShade="BF"/>
      </w:tcPr>
    </w:tblStylePr>
    <w:tblStylePr w:type="lastCol">
      <w:rPr>
        <w:color w:val="FFFFFF" w:themeColor="background1"/>
      </w:rPr>
      <w:tblPr/>
      <w:tcPr>
        <w:shd w:val="clear" w:color="auto" w:fill="4C3B03" w:themeFill="accent6" w:themeFillShade="BF"/>
      </w:tcPr>
    </w:tblStylePr>
    <w:tblStylePr w:type="band1Vert">
      <w:tblPr/>
      <w:tcPr>
        <w:shd w:val="clear" w:color="auto" w:fill="F5CB3F" w:themeFill="accent6" w:themeFillTint="7F"/>
      </w:tcPr>
    </w:tblStylePr>
    <w:tblStylePr w:type="band1Horz">
      <w:tblPr/>
      <w:tcPr>
        <w:shd w:val="clear" w:color="auto" w:fill="F5CB3F" w:themeFill="accent6" w:themeFillTint="7F"/>
      </w:tcPr>
    </w:tblStylePr>
  </w:style>
  <w:style w:type="table" w:styleId="TableGrid">
    <w:name w:val="Table Grid"/>
    <w:basedOn w:val="TableNormal"/>
    <w:uiPriority w:val="59"/>
    <w:locked/>
    <w:rsid w:val="00FB08E3"/>
    <w:pPr>
      <w:spacing w:after="0"/>
      <w:jc w:val="right"/>
    </w:pPr>
    <w:rPr>
      <w:sz w:val="18"/>
    </w:rPr>
    <w:tblPr>
      <w:tblStyleRowBandSize w:val="1"/>
      <w:tblStyleColBandSize w:val="1"/>
    </w:tblPr>
    <w:tblStylePr w:type="firstRow">
      <w:pPr>
        <w:jc w:val="right"/>
      </w:pPr>
      <w:rPr>
        <w:b/>
      </w:rPr>
      <w:tblPr/>
      <w:tcPr>
        <w:tcBorders>
          <w:bottom w:val="single" w:sz="18" w:space="0" w:color="0096D7" w:themeColor="accent1"/>
        </w:tcBorders>
        <w:vAlign w:val="bottom"/>
      </w:tcPr>
    </w:tblStylePr>
    <w:tblStylePr w:type="lastRow">
      <w:rPr>
        <w:b w:val="0"/>
      </w:rPr>
      <w:tblPr/>
      <w:tcPr>
        <w:tcBorders>
          <w:top w:val="single" w:sz="12" w:space="0" w:color="0096D7"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rsid w:val="00E509A9"/>
  </w:style>
  <w:style w:type="character" w:styleId="Strong">
    <w:name w:val="Strong"/>
    <w:basedOn w:val="DefaultParagraphFont"/>
    <w:uiPriority w:val="22"/>
    <w:qFormat/>
    <w:locked/>
    <w:rsid w:val="00677C5F"/>
    <w:rPr>
      <w:b/>
      <w:bCs/>
    </w:rPr>
  </w:style>
  <w:style w:type="character" w:styleId="FollowedHyperlink">
    <w:name w:val="FollowedHyperlink"/>
    <w:basedOn w:val="DefaultParagraphFont"/>
    <w:uiPriority w:val="99"/>
    <w:semiHidden/>
    <w:unhideWhenUsed/>
    <w:locked/>
    <w:rsid w:val="006C70A0"/>
    <w:rPr>
      <w:color w:val="5D9732" w:themeColor="followedHyperlink"/>
      <w:u w:val="single"/>
    </w:rPr>
  </w:style>
  <w:style w:type="paragraph" w:styleId="z-BottomofForm">
    <w:name w:val="HTML Bottom of Form"/>
    <w:basedOn w:val="Normal"/>
    <w:link w:val="z-BottomofFormChar"/>
    <w:rsid w:val="00B244CB"/>
    <w:pPr>
      <w:spacing w:after="0" w:line="240" w:lineRule="auto"/>
      <w:jc w:val="center"/>
    </w:pPr>
    <w:rPr>
      <w:rFonts w:ascii="Times New Roman" w:eastAsia="Times New Roman" w:hAnsi="Times New Roman" w:cs="Times New Roman"/>
      <w:b/>
      <w:sz w:val="20"/>
      <w:szCs w:val="20"/>
    </w:rPr>
  </w:style>
  <w:style w:type="character" w:customStyle="1" w:styleId="z-BottomofFormChar">
    <w:name w:val="z-Bottom of Form Char"/>
    <w:basedOn w:val="DefaultParagraphFont"/>
    <w:link w:val="z-BottomofForm"/>
    <w:rsid w:val="00B244CB"/>
    <w:rPr>
      <w:rFonts w:ascii="Times New Roman" w:eastAsia="Times New Roman" w:hAnsi="Times New Roman" w:cs="Times New Roman"/>
      <w:b/>
      <w:sz w:val="20"/>
      <w:szCs w:val="20"/>
    </w:rPr>
  </w:style>
  <w:style w:type="character" w:styleId="CommentReference">
    <w:name w:val="annotation reference"/>
    <w:basedOn w:val="DefaultParagraphFont"/>
    <w:uiPriority w:val="99"/>
    <w:semiHidden/>
    <w:unhideWhenUsed/>
    <w:locked/>
    <w:rsid w:val="000C2ABB"/>
    <w:rPr>
      <w:sz w:val="16"/>
      <w:szCs w:val="16"/>
    </w:rPr>
  </w:style>
  <w:style w:type="paragraph" w:styleId="CommentText">
    <w:name w:val="annotation text"/>
    <w:basedOn w:val="Normal"/>
    <w:link w:val="CommentTextChar"/>
    <w:uiPriority w:val="99"/>
    <w:semiHidden/>
    <w:unhideWhenUsed/>
    <w:locked/>
    <w:rsid w:val="000C2ABB"/>
    <w:pPr>
      <w:spacing w:line="240" w:lineRule="auto"/>
    </w:pPr>
    <w:rPr>
      <w:sz w:val="20"/>
      <w:szCs w:val="20"/>
    </w:rPr>
  </w:style>
  <w:style w:type="character" w:customStyle="1" w:styleId="CommentTextChar">
    <w:name w:val="Comment Text Char"/>
    <w:basedOn w:val="DefaultParagraphFont"/>
    <w:link w:val="CommentText"/>
    <w:uiPriority w:val="99"/>
    <w:semiHidden/>
    <w:rsid w:val="000C2ABB"/>
    <w:rPr>
      <w:sz w:val="20"/>
      <w:szCs w:val="20"/>
    </w:rPr>
  </w:style>
  <w:style w:type="paragraph" w:styleId="CommentSubject">
    <w:name w:val="annotation subject"/>
    <w:basedOn w:val="CommentText"/>
    <w:next w:val="CommentText"/>
    <w:link w:val="CommentSubjectChar"/>
    <w:uiPriority w:val="99"/>
    <w:semiHidden/>
    <w:unhideWhenUsed/>
    <w:locked/>
    <w:rsid w:val="000C2ABB"/>
    <w:rPr>
      <w:b/>
      <w:bCs/>
    </w:rPr>
  </w:style>
  <w:style w:type="character" w:customStyle="1" w:styleId="CommentSubjectChar">
    <w:name w:val="Comment Subject Char"/>
    <w:basedOn w:val="CommentTextChar"/>
    <w:link w:val="CommentSubject"/>
    <w:uiPriority w:val="99"/>
    <w:semiHidden/>
    <w:rsid w:val="000C2ABB"/>
    <w:rPr>
      <w:b/>
      <w:bCs/>
      <w:sz w:val="20"/>
      <w:szCs w:val="20"/>
    </w:rPr>
  </w:style>
  <w:style w:type="paragraph" w:styleId="Revision">
    <w:name w:val="Revision"/>
    <w:hidden/>
    <w:uiPriority w:val="99"/>
    <w:semiHidden/>
    <w:rsid w:val="000C2ABB"/>
    <w:pPr>
      <w:spacing w:after="0"/>
    </w:pPr>
  </w:style>
  <w:style w:type="paragraph" w:styleId="PlainText">
    <w:name w:val="Plain Text"/>
    <w:basedOn w:val="Normal"/>
    <w:link w:val="PlainTextChar"/>
    <w:uiPriority w:val="99"/>
    <w:semiHidden/>
    <w:unhideWhenUsed/>
    <w:locked/>
    <w:rsid w:val="00CD50F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D50F2"/>
    <w:rPr>
      <w:rFonts w:ascii="Calibri" w:hAnsi="Calibri"/>
      <w:szCs w:val="21"/>
    </w:rPr>
  </w:style>
  <w:style w:type="table" w:customStyle="1" w:styleId="GridTable4Accent1">
    <w:name w:val="Grid Table 4 Accent 1"/>
    <w:basedOn w:val="TableNormal"/>
    <w:uiPriority w:val="49"/>
    <w:rsid w:val="00D06516"/>
    <w:pPr>
      <w:spacing w:after="0"/>
    </w:pPr>
    <w:tblPr>
      <w:tblStyleRowBandSize w:val="1"/>
      <w:tblStyleColBandSize w:val="1"/>
      <w:tblBorders>
        <w:top w:val="single" w:sz="4" w:space="0" w:color="4EC8FF" w:themeColor="accent1" w:themeTint="99"/>
        <w:left w:val="single" w:sz="4" w:space="0" w:color="4EC8FF" w:themeColor="accent1" w:themeTint="99"/>
        <w:bottom w:val="single" w:sz="4" w:space="0" w:color="4EC8FF" w:themeColor="accent1" w:themeTint="99"/>
        <w:right w:val="single" w:sz="4" w:space="0" w:color="4EC8FF" w:themeColor="accent1" w:themeTint="99"/>
        <w:insideH w:val="single" w:sz="4" w:space="0" w:color="4EC8FF" w:themeColor="accent1" w:themeTint="99"/>
        <w:insideV w:val="single" w:sz="4" w:space="0" w:color="4EC8FF" w:themeColor="accent1" w:themeTint="99"/>
      </w:tblBorders>
    </w:tblPr>
    <w:tblStylePr w:type="firstRow">
      <w:rPr>
        <w:b/>
        <w:bCs/>
        <w:color w:val="FFFFFF" w:themeColor="background1"/>
      </w:rPr>
      <w:tblPr/>
      <w:tcPr>
        <w:tcBorders>
          <w:top w:val="single" w:sz="4" w:space="0" w:color="0096D7" w:themeColor="accent1"/>
          <w:left w:val="single" w:sz="4" w:space="0" w:color="0096D7" w:themeColor="accent1"/>
          <w:bottom w:val="single" w:sz="4" w:space="0" w:color="0096D7" w:themeColor="accent1"/>
          <w:right w:val="single" w:sz="4" w:space="0" w:color="0096D7" w:themeColor="accent1"/>
          <w:insideH w:val="nil"/>
          <w:insideV w:val="nil"/>
        </w:tcBorders>
        <w:shd w:val="clear" w:color="auto" w:fill="0096D7" w:themeFill="accent1"/>
      </w:tcPr>
    </w:tblStylePr>
    <w:tblStylePr w:type="lastRow">
      <w:rPr>
        <w:b/>
        <w:bCs/>
      </w:rPr>
      <w:tblPr/>
      <w:tcPr>
        <w:tcBorders>
          <w:top w:val="double" w:sz="4" w:space="0" w:color="0096D7" w:themeColor="accent1"/>
        </w:tcBorders>
      </w:tcPr>
    </w:tblStylePr>
    <w:tblStylePr w:type="firstCol">
      <w:rPr>
        <w:b/>
        <w:bCs/>
      </w:rPr>
    </w:tblStylePr>
    <w:tblStylePr w:type="lastCol">
      <w:rPr>
        <w:b/>
        <w:bCs/>
      </w:rPr>
    </w:tblStylePr>
    <w:tblStylePr w:type="band1Vert">
      <w:tblPr/>
      <w:tcPr>
        <w:shd w:val="clear" w:color="auto" w:fill="C4ECFF" w:themeFill="accent1" w:themeFillTint="33"/>
      </w:tcPr>
    </w:tblStylePr>
    <w:tblStylePr w:type="band1Horz">
      <w:tblPr/>
      <w:tcPr>
        <w:shd w:val="clear" w:color="auto" w:fill="C4ECFF"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1" w:unhideWhenUsed="0" w:qFormat="1"/>
    <w:lsdException w:name="heading 2" w:locked="0" w:uiPriority="1" w:qFormat="1"/>
    <w:lsdException w:name="heading 3" w:locked="0" w:uiPriority="1" w:qFormat="1"/>
    <w:lsdException w:name="heading 4" w:locked="0"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0" w:uiPriority="39" w:qFormat="1"/>
    <w:lsdException w:name="toc 2" w:locked="0" w:uiPriority="39" w:qFormat="1"/>
    <w:lsdException w:name="toc 3" w:locked="0" w:uiPriority="39" w:qFormat="1"/>
    <w:lsdException w:name="toc 4" w:locked="0" w:uiPriority="39" w:qFormat="1"/>
    <w:lsdException w:name="toc 5" w:uiPriority="39"/>
    <w:lsdException w:name="toc 6" w:uiPriority="39"/>
    <w:lsdException w:name="toc 7" w:uiPriority="39"/>
    <w:lsdException w:name="toc 8" w:uiPriority="39"/>
    <w:lsdException w:name="toc 9" w:uiPriority="39"/>
    <w:lsdException w:name="footnote text" w:locked="0" w:uiPriority="7" w:qFormat="1"/>
    <w:lsdException w:name="header" w:locked="0" w:qFormat="1"/>
    <w:lsdException w:name="footer" w:locked="0" w:qFormat="1"/>
    <w:lsdException w:name="caption" w:locked="0" w:uiPriority="0" w:qFormat="1"/>
    <w:lsdException w:name="table of figures" w:locked="0"/>
    <w:lsdException w:name="footnote reference" w:locked="0" w:uiPriority="8"/>
    <w:lsdException w:name="Title" w:semiHidden="0" w:uiPriority="10" w:unhideWhenUsed="0" w:qFormat="1"/>
    <w:lsdException w:name="Default Paragraph Font" w:locked="0" w:uiPriority="1"/>
    <w:lsdException w:name="Subtitle" w:uiPriority="11" w:unhideWhenUsed="0"/>
    <w:lsdException w:name="Date" w:qFormat="1"/>
    <w:lsdException w:name="Body Text First Indent" w:qFormat="1"/>
    <w:lsdException w:name="Note Heading" w:uiPriority="13" w:qFormat="1"/>
    <w:lsdException w:name="Body Text Indent 3" w:qFormat="1"/>
    <w:lsdException w:name="Hyperlink" w:locked="0" w:qFormat="1"/>
    <w:lsdException w:name="Strong" w:semiHidden="0" w:uiPriority="22" w:unhideWhenUsed="0" w:qFormat="1"/>
    <w:lsdException w:name="Emphasis" w:locked="0" w:semiHidden="0" w:uiPriority="5" w:unhideWhenUsed="0" w:qFormat="1"/>
    <w:lsdException w:name="HTML Top of Form" w:locked="0"/>
    <w:lsdException w:name="HTML Bottom of Form" w:locked="0" w:uiPriority="0"/>
    <w:lsdException w:name="Normal Table" w:locked="0"/>
    <w:lsdException w:name="No List" w:locked="0"/>
    <w:lsdException w:name="Table Grid" w:semiHidden="0" w:uiPriority="59" w:unhideWhenUsed="0"/>
    <w:lsdException w:name="Placeholder Text"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14"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locked="0" w:uiPriority="39" w:qFormat="1"/>
  </w:latentStyles>
  <w:style w:type="paragraph" w:default="1" w:styleId="Normal">
    <w:name w:val="Normal"/>
    <w:qFormat/>
    <w:rsid w:val="00C7266E"/>
    <w:pPr>
      <w:spacing w:line="300" w:lineRule="atLeast"/>
    </w:pPr>
  </w:style>
  <w:style w:type="paragraph" w:styleId="Heading1">
    <w:name w:val="heading 1"/>
    <w:basedOn w:val="Normal"/>
    <w:next w:val="Left05Indent"/>
    <w:link w:val="Heading1Char"/>
    <w:autoRedefine/>
    <w:uiPriority w:val="1"/>
    <w:qFormat/>
    <w:rsid w:val="00246A05"/>
    <w:pPr>
      <w:keepNext/>
      <w:keepLines/>
      <w:spacing w:after="120" w:line="380" w:lineRule="atLeast"/>
      <w:outlineLvl w:val="0"/>
    </w:pPr>
    <w:rPr>
      <w:rFonts w:eastAsiaTheme="majorEastAsia" w:cs="Arial"/>
      <w:b/>
      <w:bCs/>
      <w:color w:val="0082BE" w:themeColor="text2" w:themeTint="BF"/>
      <w:sz w:val="32"/>
      <w:szCs w:val="44"/>
    </w:rPr>
  </w:style>
  <w:style w:type="paragraph" w:styleId="Heading2">
    <w:name w:val="heading 2"/>
    <w:next w:val="Normal"/>
    <w:link w:val="Heading2Char"/>
    <w:autoRedefine/>
    <w:uiPriority w:val="1"/>
    <w:qFormat/>
    <w:rsid w:val="00F80AF1"/>
    <w:pPr>
      <w:keepNext/>
      <w:keepLines/>
      <w:spacing w:before="200" w:after="0"/>
      <w:outlineLvl w:val="1"/>
    </w:pPr>
    <w:rPr>
      <w:rFonts w:eastAsiaTheme="majorEastAsia" w:cstheme="majorBidi"/>
      <w:b/>
      <w:color w:val="1396D8"/>
      <w:sz w:val="28"/>
      <w:szCs w:val="26"/>
    </w:rPr>
  </w:style>
  <w:style w:type="paragraph" w:styleId="Heading3">
    <w:name w:val="heading 3"/>
    <w:basedOn w:val="Heading2"/>
    <w:next w:val="Normal"/>
    <w:link w:val="Heading3Char"/>
    <w:autoRedefine/>
    <w:uiPriority w:val="1"/>
    <w:qFormat/>
    <w:rsid w:val="00FD7CDC"/>
    <w:pPr>
      <w:outlineLvl w:val="2"/>
    </w:pPr>
    <w:rPr>
      <w:rFonts w:asciiTheme="majorHAnsi" w:hAnsiTheme="majorHAnsi"/>
      <w:bCs/>
      <w:i/>
      <w:color w:val="595959" w:themeColor="text1" w:themeTint="A6"/>
      <w:sz w:val="24"/>
    </w:rPr>
  </w:style>
  <w:style w:type="paragraph" w:styleId="Heading4">
    <w:name w:val="heading 4"/>
    <w:basedOn w:val="Heading3"/>
    <w:next w:val="Normal"/>
    <w:link w:val="Heading4Char"/>
    <w:autoRedefine/>
    <w:uiPriority w:val="1"/>
    <w:qFormat/>
    <w:rsid w:val="00112A69"/>
    <w:pPr>
      <w:numPr>
        <w:ilvl w:val="3"/>
      </w:numPr>
      <w:outlineLvl w:val="3"/>
    </w:pPr>
    <w:rPr>
      <w:rFonts w:asciiTheme="minorHAnsi" w:hAnsiTheme="minorHAnsi"/>
      <w:bCs w:val="0"/>
      <w:iCs/>
    </w:rPr>
  </w:style>
  <w:style w:type="paragraph" w:styleId="Heading5">
    <w:name w:val="heading 5"/>
    <w:basedOn w:val="Heading4"/>
    <w:next w:val="Normal"/>
    <w:link w:val="Heading5Char"/>
    <w:uiPriority w:val="9"/>
    <w:semiHidden/>
    <w:locked/>
    <w:rsid w:val="00112A69"/>
    <w:pPr>
      <w:numPr>
        <w:ilvl w:val="4"/>
      </w:numPr>
      <w:outlineLvl w:val="4"/>
    </w:pPr>
    <w:rPr>
      <w:sz w:val="20"/>
    </w:rPr>
  </w:style>
  <w:style w:type="paragraph" w:styleId="Heading6">
    <w:name w:val="heading 6"/>
    <w:basedOn w:val="Heading5"/>
    <w:next w:val="Normal"/>
    <w:link w:val="Heading6Char"/>
    <w:autoRedefine/>
    <w:uiPriority w:val="9"/>
    <w:semiHidden/>
    <w:locked/>
    <w:rsid w:val="00112A69"/>
    <w:pPr>
      <w:numPr>
        <w:ilvl w:val="5"/>
      </w:numPr>
      <w:outlineLvl w:val="5"/>
    </w:pPr>
    <w:rPr>
      <w:iCs w:val="0"/>
      <w:color w:val="666666"/>
    </w:rPr>
  </w:style>
  <w:style w:type="paragraph" w:styleId="Heading7">
    <w:name w:val="heading 7"/>
    <w:basedOn w:val="Normal"/>
    <w:next w:val="Normal"/>
    <w:link w:val="Heading7Char"/>
    <w:uiPriority w:val="9"/>
    <w:semiHidden/>
    <w:locked/>
    <w:rsid w:val="00112A69"/>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locked/>
    <w:rsid w:val="00112A69"/>
    <w:pPr>
      <w:keepNext/>
      <w:keepLines/>
      <w:numPr>
        <w:ilvl w:val="7"/>
        <w:numId w:val="3"/>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locked/>
    <w:rsid w:val="00112A69"/>
    <w:pPr>
      <w:keepNext/>
      <w:keepLines/>
      <w:numPr>
        <w:ilvl w:val="8"/>
        <w:numId w:val="3"/>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46A05"/>
    <w:rPr>
      <w:rFonts w:eastAsiaTheme="majorEastAsia" w:cs="Arial"/>
      <w:b/>
      <w:bCs/>
      <w:color w:val="0082BE" w:themeColor="text2" w:themeTint="BF"/>
      <w:sz w:val="32"/>
      <w:szCs w:val="44"/>
    </w:rPr>
  </w:style>
  <w:style w:type="paragraph" w:styleId="NoSpacing">
    <w:name w:val="No Spacing"/>
    <w:uiPriority w:val="2"/>
    <w:qFormat/>
    <w:rsid w:val="00112A69"/>
    <w:pPr>
      <w:spacing w:after="0"/>
      <w:jc w:val="both"/>
    </w:pPr>
  </w:style>
  <w:style w:type="character" w:customStyle="1" w:styleId="Heading2Char">
    <w:name w:val="Heading 2 Char"/>
    <w:basedOn w:val="DefaultParagraphFont"/>
    <w:link w:val="Heading2"/>
    <w:uiPriority w:val="1"/>
    <w:rsid w:val="00F80AF1"/>
    <w:rPr>
      <w:rFonts w:eastAsiaTheme="majorEastAsia" w:cstheme="majorBidi"/>
      <w:b/>
      <w:color w:val="1396D8"/>
      <w:sz w:val="28"/>
      <w:szCs w:val="26"/>
    </w:rPr>
  </w:style>
  <w:style w:type="character" w:customStyle="1" w:styleId="Heading3Char">
    <w:name w:val="Heading 3 Char"/>
    <w:basedOn w:val="DefaultParagraphFont"/>
    <w:link w:val="Heading3"/>
    <w:uiPriority w:val="1"/>
    <w:rsid w:val="00FD7CDC"/>
    <w:rPr>
      <w:rFonts w:asciiTheme="majorHAnsi" w:eastAsiaTheme="majorEastAsia" w:hAnsiTheme="majorHAnsi" w:cstheme="majorBidi"/>
      <w:b/>
      <w:bCs/>
      <w:i/>
      <w:color w:val="595959" w:themeColor="text1" w:themeTint="A6"/>
      <w:sz w:val="24"/>
      <w:szCs w:val="26"/>
    </w:rPr>
  </w:style>
  <w:style w:type="character" w:customStyle="1" w:styleId="Heading4Char">
    <w:name w:val="Heading 4 Char"/>
    <w:basedOn w:val="DefaultParagraphFont"/>
    <w:link w:val="Heading4"/>
    <w:uiPriority w:val="1"/>
    <w:rsid w:val="00E03CE6"/>
    <w:rPr>
      <w:rFonts w:eastAsiaTheme="majorEastAsia" w:cstheme="majorBidi"/>
      <w:b/>
      <w:i/>
      <w:iCs/>
      <w:color w:val="595959" w:themeColor="text1" w:themeTint="A6"/>
      <w:sz w:val="24"/>
      <w:szCs w:val="26"/>
    </w:rPr>
  </w:style>
  <w:style w:type="character" w:customStyle="1" w:styleId="Heading5Char">
    <w:name w:val="Heading 5 Char"/>
    <w:basedOn w:val="DefaultParagraphFont"/>
    <w:link w:val="Heading5"/>
    <w:uiPriority w:val="9"/>
    <w:semiHidden/>
    <w:rsid w:val="00D55243"/>
    <w:rPr>
      <w:rFonts w:eastAsiaTheme="majorEastAsia" w:cstheme="majorBidi"/>
      <w:b/>
      <w:i/>
      <w:iCs/>
      <w:color w:val="595959" w:themeColor="text1" w:themeTint="A6"/>
      <w:szCs w:val="26"/>
    </w:rPr>
  </w:style>
  <w:style w:type="character" w:customStyle="1" w:styleId="Heading6Char">
    <w:name w:val="Heading 6 Char"/>
    <w:basedOn w:val="DefaultParagraphFont"/>
    <w:link w:val="Heading6"/>
    <w:uiPriority w:val="9"/>
    <w:semiHidden/>
    <w:rsid w:val="00D55243"/>
    <w:rPr>
      <w:rFonts w:eastAsiaTheme="majorEastAsia" w:cstheme="majorBidi"/>
      <w:b/>
      <w:i/>
      <w:color w:val="666666"/>
      <w:szCs w:val="26"/>
    </w:rPr>
  </w:style>
  <w:style w:type="character" w:customStyle="1" w:styleId="Heading7Char">
    <w:name w:val="Heading 7 Char"/>
    <w:basedOn w:val="DefaultParagraphFont"/>
    <w:link w:val="Heading7"/>
    <w:uiPriority w:val="9"/>
    <w:semiHidden/>
    <w:rsid w:val="00D552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524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5243"/>
    <w:rPr>
      <w:rFonts w:asciiTheme="majorHAnsi" w:eastAsiaTheme="majorEastAsia" w:hAnsiTheme="majorHAnsi" w:cstheme="majorBidi"/>
      <w:i/>
      <w:iCs/>
      <w:color w:val="404040" w:themeColor="text1" w:themeTint="BF"/>
    </w:rPr>
  </w:style>
  <w:style w:type="paragraph" w:styleId="Caption">
    <w:name w:val="caption"/>
    <w:basedOn w:val="Normal"/>
    <w:next w:val="Normal"/>
    <w:autoRedefine/>
    <w:qFormat/>
    <w:rsid w:val="00EE759E"/>
    <w:pPr>
      <w:keepNext/>
      <w:spacing w:before="140" w:after="0" w:line="240" w:lineRule="auto"/>
      <w:jc w:val="center"/>
    </w:pPr>
    <w:rPr>
      <w:b/>
      <w:bCs/>
      <w:color w:val="1396D8"/>
      <w:szCs w:val="18"/>
    </w:rPr>
  </w:style>
  <w:style w:type="paragraph" w:styleId="Header">
    <w:name w:val="header"/>
    <w:basedOn w:val="Normal"/>
    <w:link w:val="HeaderChar"/>
    <w:autoRedefine/>
    <w:uiPriority w:val="99"/>
    <w:qFormat/>
    <w:rsid w:val="00041909"/>
    <w:pPr>
      <w:pBdr>
        <w:bottom w:val="single" w:sz="6" w:space="1" w:color="666666"/>
      </w:pBdr>
      <w:tabs>
        <w:tab w:val="center" w:pos="4680"/>
        <w:tab w:val="right" w:pos="9360"/>
      </w:tabs>
      <w:spacing w:after="0" w:line="240" w:lineRule="auto"/>
      <w:jc w:val="right"/>
    </w:pPr>
    <w:rPr>
      <w:i/>
    </w:rPr>
  </w:style>
  <w:style w:type="character" w:customStyle="1" w:styleId="HeaderChar">
    <w:name w:val="Header Char"/>
    <w:basedOn w:val="DefaultParagraphFont"/>
    <w:link w:val="Header"/>
    <w:uiPriority w:val="99"/>
    <w:rsid w:val="00041909"/>
    <w:rPr>
      <w:i/>
    </w:rPr>
  </w:style>
  <w:style w:type="paragraph" w:styleId="Footer">
    <w:name w:val="footer"/>
    <w:basedOn w:val="Normal"/>
    <w:link w:val="FooterChar"/>
    <w:autoRedefine/>
    <w:uiPriority w:val="99"/>
    <w:qFormat/>
    <w:rsid w:val="00760677"/>
    <w:pPr>
      <w:tabs>
        <w:tab w:val="center" w:pos="2160"/>
        <w:tab w:val="right" w:pos="9720"/>
      </w:tabs>
      <w:spacing w:after="0" w:line="240" w:lineRule="auto"/>
      <w:ind w:left="3600" w:hanging="3600"/>
    </w:pPr>
    <w:rPr>
      <w:sz w:val="16"/>
    </w:rPr>
  </w:style>
  <w:style w:type="character" w:customStyle="1" w:styleId="FooterChar">
    <w:name w:val="Footer Char"/>
    <w:basedOn w:val="DefaultParagraphFont"/>
    <w:link w:val="Footer"/>
    <w:uiPriority w:val="99"/>
    <w:rsid w:val="00760677"/>
    <w:rPr>
      <w:sz w:val="16"/>
    </w:rPr>
  </w:style>
  <w:style w:type="paragraph" w:styleId="NoteHeading">
    <w:name w:val="Note Heading"/>
    <w:aliases w:val="Note 1"/>
    <w:basedOn w:val="Normal"/>
    <w:next w:val="Normal"/>
    <w:link w:val="NoteHeadingChar"/>
    <w:uiPriority w:val="13"/>
    <w:qFormat/>
    <w:locked/>
    <w:rsid w:val="004C277B"/>
    <w:pPr>
      <w:pBdr>
        <w:top w:val="single" w:sz="18" w:space="6" w:color="C4ECFF" w:themeColor="accent1" w:themeTint="33"/>
        <w:left w:val="single" w:sz="18" w:space="10" w:color="C4ECFF" w:themeColor="accent1" w:themeTint="33"/>
        <w:bottom w:val="single" w:sz="18" w:space="6" w:color="C4ECFF" w:themeColor="accent1" w:themeTint="33"/>
        <w:right w:val="single" w:sz="18" w:space="10" w:color="C4ECFF" w:themeColor="accent1" w:themeTint="33"/>
      </w:pBdr>
      <w:shd w:val="clear" w:color="auto" w:fill="C4ECFF" w:themeFill="accent1" w:themeFillTint="33"/>
      <w:spacing w:before="120" w:after="120" w:line="240" w:lineRule="auto"/>
      <w:ind w:left="936" w:right="216"/>
      <w:jc w:val="both"/>
    </w:pPr>
    <w:rPr>
      <w:i/>
      <w:color w:val="0096D7" w:themeColor="accent1"/>
    </w:rPr>
  </w:style>
  <w:style w:type="character" w:customStyle="1" w:styleId="NoteHeadingChar">
    <w:name w:val="Note Heading Char"/>
    <w:aliases w:val="Note 1 Char"/>
    <w:basedOn w:val="DefaultParagraphFont"/>
    <w:link w:val="NoteHeading"/>
    <w:uiPriority w:val="13"/>
    <w:rsid w:val="004C277B"/>
    <w:rPr>
      <w:i/>
      <w:color w:val="0096D7" w:themeColor="accent1"/>
      <w:szCs w:val="22"/>
      <w:shd w:val="clear" w:color="auto" w:fill="C4ECFF" w:themeFill="accent1" w:themeFillTint="33"/>
    </w:rPr>
  </w:style>
  <w:style w:type="character" w:styleId="PageNumber">
    <w:name w:val="page number"/>
    <w:uiPriority w:val="99"/>
    <w:semiHidden/>
    <w:locked/>
    <w:rsid w:val="00112A69"/>
    <w:rPr>
      <w:rFonts w:eastAsiaTheme="minorEastAsia" w:cs="Arial"/>
      <w:sz w:val="16"/>
      <w:szCs w:val="16"/>
    </w:rPr>
  </w:style>
  <w:style w:type="character" w:styleId="Hyperlink">
    <w:name w:val="Hyperlink"/>
    <w:basedOn w:val="DefaultParagraphFont"/>
    <w:uiPriority w:val="99"/>
    <w:qFormat/>
    <w:rsid w:val="00677C5F"/>
    <w:rPr>
      <w:rFonts w:asciiTheme="minorHAnsi" w:hAnsiTheme="minorHAnsi"/>
      <w:color w:val="1396D8"/>
      <w:u w:val="single"/>
    </w:rPr>
  </w:style>
  <w:style w:type="paragraph" w:customStyle="1" w:styleId="Link">
    <w:name w:val="Link"/>
    <w:basedOn w:val="Normal"/>
    <w:link w:val="LinkChar"/>
    <w:autoRedefine/>
    <w:uiPriority w:val="11"/>
    <w:qFormat/>
    <w:rsid w:val="00112A69"/>
    <w:pPr>
      <w:spacing w:after="0" w:line="240" w:lineRule="auto"/>
    </w:pPr>
    <w:rPr>
      <w:rFonts w:eastAsia="Times New Roman" w:cs="Times New Roman"/>
      <w:color w:val="1396D8"/>
      <w:szCs w:val="24"/>
      <w:u w:val="single"/>
    </w:rPr>
  </w:style>
  <w:style w:type="character" w:customStyle="1" w:styleId="LinkChar">
    <w:name w:val="Link Char"/>
    <w:basedOn w:val="DefaultParagraphFont"/>
    <w:link w:val="Link"/>
    <w:uiPriority w:val="11"/>
    <w:rsid w:val="00D55243"/>
    <w:rPr>
      <w:rFonts w:eastAsia="Times New Roman" w:cs="Times New Roman"/>
      <w:color w:val="1396D8"/>
      <w:szCs w:val="24"/>
      <w:u w:val="single"/>
    </w:rPr>
  </w:style>
  <w:style w:type="character" w:styleId="IntenseReference">
    <w:name w:val="Intense Reference"/>
    <w:aliases w:val="Note 1 Bold"/>
    <w:basedOn w:val="DefaultParagraphFont"/>
    <w:uiPriority w:val="32"/>
    <w:locked/>
    <w:rsid w:val="00112A69"/>
    <w:rPr>
      <w:rFonts w:asciiTheme="minorHAnsi" w:hAnsiTheme="minorHAnsi"/>
      <w:b/>
      <w:bCs/>
      <w:smallCaps/>
      <w:color w:val="BD732A" w:themeColor="accent2"/>
      <w:spacing w:val="5"/>
      <w:sz w:val="20"/>
      <w:u w:val="none"/>
    </w:rPr>
  </w:style>
  <w:style w:type="paragraph" w:customStyle="1" w:styleId="BoldNote1">
    <w:name w:val="Bold Note 1"/>
    <w:basedOn w:val="NoteHeading"/>
    <w:uiPriority w:val="14"/>
    <w:qFormat/>
    <w:rsid w:val="00112A69"/>
    <w:rPr>
      <w:b/>
    </w:rPr>
  </w:style>
  <w:style w:type="paragraph" w:styleId="Quote">
    <w:name w:val="Quote"/>
    <w:basedOn w:val="Normal"/>
    <w:next w:val="Normal"/>
    <w:link w:val="QuoteChar"/>
    <w:uiPriority w:val="14"/>
    <w:qFormat/>
    <w:rsid w:val="00112A69"/>
    <w:pPr>
      <w:ind w:left="720" w:right="720"/>
    </w:pPr>
    <w:rPr>
      <w:iCs/>
      <w:color w:val="000000" w:themeColor="text1"/>
    </w:rPr>
  </w:style>
  <w:style w:type="character" w:customStyle="1" w:styleId="QuoteChar">
    <w:name w:val="Quote Char"/>
    <w:basedOn w:val="DefaultParagraphFont"/>
    <w:link w:val="Quote"/>
    <w:uiPriority w:val="14"/>
    <w:rsid w:val="00D55243"/>
    <w:rPr>
      <w:iCs/>
      <w:color w:val="000000" w:themeColor="text1"/>
    </w:rPr>
  </w:style>
  <w:style w:type="character" w:styleId="IntenseEmphasis">
    <w:name w:val="Intense Emphasis"/>
    <w:basedOn w:val="DefaultParagraphFont"/>
    <w:uiPriority w:val="5"/>
    <w:qFormat/>
    <w:locked/>
    <w:rsid w:val="00112A69"/>
    <w:rPr>
      <w:rFonts w:asciiTheme="minorHAnsi" w:hAnsiTheme="minorHAnsi"/>
      <w:b/>
      <w:bCs/>
      <w:i/>
      <w:iCs/>
      <w:color w:val="1396D8"/>
      <w:sz w:val="20"/>
    </w:rPr>
  </w:style>
  <w:style w:type="character" w:styleId="Emphasis">
    <w:name w:val="Emphasis"/>
    <w:basedOn w:val="DefaultParagraphFont"/>
    <w:uiPriority w:val="5"/>
    <w:qFormat/>
    <w:rsid w:val="00F80AF1"/>
    <w:rPr>
      <w:rFonts w:asciiTheme="minorHAnsi" w:hAnsiTheme="minorHAnsi"/>
      <w:b/>
      <w:iCs/>
      <w:sz w:val="22"/>
    </w:rPr>
  </w:style>
  <w:style w:type="paragraph" w:styleId="BodyText">
    <w:name w:val="Body Text"/>
    <w:basedOn w:val="Normal"/>
    <w:link w:val="BodyTextChar"/>
    <w:uiPriority w:val="99"/>
    <w:semiHidden/>
    <w:unhideWhenUsed/>
    <w:locked/>
    <w:rsid w:val="00015DA7"/>
    <w:pPr>
      <w:spacing w:after="120"/>
    </w:pPr>
  </w:style>
  <w:style w:type="character" w:customStyle="1" w:styleId="BodyTextChar">
    <w:name w:val="Body Text Char"/>
    <w:basedOn w:val="DefaultParagraphFont"/>
    <w:link w:val="BodyText"/>
    <w:uiPriority w:val="99"/>
    <w:semiHidden/>
    <w:rsid w:val="00015DA7"/>
    <w:rPr>
      <w:sz w:val="20"/>
    </w:rPr>
  </w:style>
  <w:style w:type="paragraph" w:styleId="BodyTextFirstIndent">
    <w:name w:val="Body Text First Indent"/>
    <w:aliases w:val="Style Left 0.5"/>
    <w:basedOn w:val="BodyText"/>
    <w:link w:val="BodyTextFirstIndentChar"/>
    <w:autoRedefine/>
    <w:uiPriority w:val="99"/>
    <w:semiHidden/>
    <w:qFormat/>
    <w:locked/>
    <w:rsid w:val="00112A69"/>
    <w:pPr>
      <w:spacing w:after="200"/>
      <w:ind w:left="720"/>
    </w:pPr>
  </w:style>
  <w:style w:type="character" w:customStyle="1" w:styleId="BodyTextFirstIndentChar">
    <w:name w:val="Body Text First Indent Char"/>
    <w:aliases w:val="Style Left 0.5 Char"/>
    <w:basedOn w:val="BodyTextChar"/>
    <w:link w:val="BodyTextFirstIndent"/>
    <w:uiPriority w:val="99"/>
    <w:semiHidden/>
    <w:rsid w:val="00E03CE6"/>
    <w:rPr>
      <w:sz w:val="20"/>
    </w:rPr>
  </w:style>
  <w:style w:type="paragraph" w:customStyle="1" w:styleId="Left05Indent">
    <w:name w:val="Left 0.5&quot; Indent"/>
    <w:basedOn w:val="BodyTextFirstIndent"/>
    <w:autoRedefine/>
    <w:semiHidden/>
    <w:qFormat/>
    <w:locked/>
    <w:rsid w:val="0099448B"/>
    <w:pPr>
      <w:ind w:left="360"/>
    </w:pPr>
    <w:rPr>
      <w:rFonts w:cs="Arial"/>
    </w:rPr>
  </w:style>
  <w:style w:type="paragraph" w:styleId="NormalWeb">
    <w:name w:val="Normal (Web)"/>
    <w:basedOn w:val="Normal"/>
    <w:uiPriority w:val="99"/>
    <w:semiHidden/>
    <w:unhideWhenUsed/>
    <w:locked/>
    <w:rsid w:val="00015DA7"/>
    <w:pPr>
      <w:spacing w:after="292" w:line="292" w:lineRule="atLeast"/>
    </w:pPr>
    <w:rPr>
      <w:rFonts w:ascii="Times New Roman" w:eastAsia="Times New Roman" w:hAnsi="Times New Roman" w:cs="Times New Roman"/>
      <w:sz w:val="23"/>
      <w:szCs w:val="23"/>
    </w:rPr>
  </w:style>
  <w:style w:type="paragraph" w:styleId="ListParagraph">
    <w:name w:val="List Paragraph"/>
    <w:basedOn w:val="Normal"/>
    <w:autoRedefine/>
    <w:uiPriority w:val="34"/>
    <w:qFormat/>
    <w:rsid w:val="00117BDC"/>
    <w:pPr>
      <w:numPr>
        <w:numId w:val="53"/>
      </w:numPr>
      <w:contextualSpacing/>
    </w:pPr>
    <w:rPr>
      <w:rFonts w:cs="Arial"/>
      <w:b/>
      <w:bCs/>
    </w:rPr>
  </w:style>
  <w:style w:type="paragraph" w:styleId="TOCHeading">
    <w:name w:val="TOC Heading"/>
    <w:basedOn w:val="Heading1"/>
    <w:next w:val="Normal"/>
    <w:autoRedefine/>
    <w:uiPriority w:val="39"/>
    <w:qFormat/>
    <w:rsid w:val="005B2B58"/>
    <w:pPr>
      <w:pBdr>
        <w:bottom w:val="single" w:sz="4" w:space="1" w:color="BFBFBF" w:themeColor="background1" w:themeShade="BF"/>
      </w:pBdr>
      <w:spacing w:before="480" w:line="240" w:lineRule="auto"/>
      <w:outlineLvl w:val="9"/>
    </w:pPr>
    <w:rPr>
      <w:color w:val="22BBFF" w:themeColor="accent1" w:themeTint="BF"/>
    </w:rPr>
  </w:style>
  <w:style w:type="paragraph" w:styleId="TOC1">
    <w:name w:val="toc 1"/>
    <w:basedOn w:val="Normal"/>
    <w:next w:val="Normal"/>
    <w:autoRedefine/>
    <w:uiPriority w:val="39"/>
    <w:qFormat/>
    <w:rsid w:val="00047C08"/>
    <w:pPr>
      <w:tabs>
        <w:tab w:val="left" w:pos="400"/>
        <w:tab w:val="right" w:leader="dot" w:pos="9350"/>
      </w:tabs>
      <w:spacing w:after="100"/>
    </w:pPr>
    <w:rPr>
      <w:color w:val="000000" w:themeColor="text1"/>
    </w:rPr>
  </w:style>
  <w:style w:type="paragraph" w:styleId="TOC2">
    <w:name w:val="toc 2"/>
    <w:basedOn w:val="TOC1"/>
    <w:next w:val="Normal"/>
    <w:autoRedefine/>
    <w:uiPriority w:val="39"/>
    <w:qFormat/>
    <w:rsid w:val="00227E4B"/>
    <w:pPr>
      <w:ind w:left="288"/>
    </w:pPr>
  </w:style>
  <w:style w:type="paragraph" w:styleId="TOC3">
    <w:name w:val="toc 3"/>
    <w:basedOn w:val="TOC2"/>
    <w:next w:val="Normal"/>
    <w:autoRedefine/>
    <w:uiPriority w:val="39"/>
    <w:qFormat/>
    <w:rsid w:val="00047C08"/>
    <w:pPr>
      <w:ind w:left="648"/>
    </w:pPr>
  </w:style>
  <w:style w:type="paragraph" w:styleId="BalloonText">
    <w:name w:val="Balloon Text"/>
    <w:basedOn w:val="Normal"/>
    <w:link w:val="BalloonTextChar"/>
    <w:uiPriority w:val="99"/>
    <w:semiHidden/>
    <w:locked/>
    <w:rsid w:val="00901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43"/>
    <w:rPr>
      <w:rFonts w:ascii="Tahoma" w:hAnsi="Tahoma" w:cs="Tahoma"/>
      <w:sz w:val="16"/>
      <w:szCs w:val="16"/>
    </w:rPr>
  </w:style>
  <w:style w:type="paragraph" w:customStyle="1" w:styleId="Boxtext">
    <w:name w:val="Box text"/>
    <w:basedOn w:val="BodyText"/>
    <w:uiPriority w:val="2"/>
    <w:qFormat/>
    <w:rsid w:val="00112A69"/>
    <w:pPr>
      <w:pBdr>
        <w:top w:val="single" w:sz="4" w:space="2" w:color="auto"/>
        <w:left w:val="single" w:sz="4" w:space="4" w:color="auto"/>
        <w:bottom w:val="single" w:sz="4" w:space="4" w:color="auto"/>
        <w:right w:val="single" w:sz="4" w:space="4" w:color="auto"/>
      </w:pBdr>
      <w:spacing w:before="120" w:after="80"/>
    </w:pPr>
    <w:rPr>
      <w:rFonts w:eastAsiaTheme="minorEastAsia" w:cs="Times New Roman"/>
    </w:rPr>
  </w:style>
  <w:style w:type="paragraph" w:styleId="BodyTextIndent3">
    <w:name w:val="Body Text Indent 3"/>
    <w:aliases w:val="Table Text .25 ndent"/>
    <w:basedOn w:val="Normal"/>
    <w:link w:val="BodyTextIndent3Char"/>
    <w:autoRedefine/>
    <w:uiPriority w:val="99"/>
    <w:semiHidden/>
    <w:qFormat/>
    <w:locked/>
    <w:rsid w:val="00112A69"/>
    <w:pPr>
      <w:framePr w:hSpace="180" w:wrap="around" w:vAnchor="text" w:hAnchor="margin" w:y="110"/>
      <w:spacing w:before="60" w:after="0" w:line="240" w:lineRule="auto"/>
      <w:ind w:left="187"/>
    </w:pPr>
    <w:rPr>
      <w:rFonts w:ascii="Arial" w:eastAsiaTheme="minorEastAsia" w:hAnsi="Arial" w:cs="Arial"/>
      <w:color w:val="000000"/>
      <w:sz w:val="16"/>
      <w:szCs w:val="16"/>
    </w:rPr>
  </w:style>
  <w:style w:type="character" w:customStyle="1" w:styleId="BodyTextIndent3Char">
    <w:name w:val="Body Text Indent 3 Char"/>
    <w:aliases w:val="Table Text .25 ndent Char"/>
    <w:basedOn w:val="DefaultParagraphFont"/>
    <w:link w:val="BodyTextIndent3"/>
    <w:uiPriority w:val="99"/>
    <w:semiHidden/>
    <w:rsid w:val="00E03CE6"/>
    <w:rPr>
      <w:rFonts w:ascii="Arial" w:eastAsiaTheme="minorEastAsia" w:hAnsi="Arial" w:cs="Arial"/>
      <w:color w:val="000000"/>
      <w:sz w:val="16"/>
      <w:szCs w:val="16"/>
    </w:rPr>
  </w:style>
  <w:style w:type="paragraph" w:styleId="FootnoteText">
    <w:name w:val="footnote text"/>
    <w:basedOn w:val="Normal"/>
    <w:link w:val="FootnoteTextChar"/>
    <w:autoRedefine/>
    <w:uiPriority w:val="7"/>
    <w:qFormat/>
    <w:rsid w:val="00C7266E"/>
    <w:pPr>
      <w:spacing w:after="0" w:line="240" w:lineRule="atLeast"/>
      <w:contextualSpacing/>
    </w:pPr>
    <w:rPr>
      <w:sz w:val="18"/>
    </w:rPr>
  </w:style>
  <w:style w:type="character" w:customStyle="1" w:styleId="FootnoteTextChar">
    <w:name w:val="Footnote Text Char"/>
    <w:basedOn w:val="DefaultParagraphFont"/>
    <w:link w:val="FootnoteText"/>
    <w:uiPriority w:val="7"/>
    <w:rsid w:val="00C7266E"/>
    <w:rPr>
      <w:sz w:val="18"/>
    </w:rPr>
  </w:style>
  <w:style w:type="character" w:styleId="FootnoteReference">
    <w:name w:val="footnote reference"/>
    <w:basedOn w:val="DefaultParagraphFont"/>
    <w:uiPriority w:val="8"/>
    <w:rsid w:val="00965A44"/>
    <w:rPr>
      <w:vertAlign w:val="superscript"/>
    </w:rPr>
  </w:style>
  <w:style w:type="paragraph" w:styleId="List">
    <w:name w:val="List"/>
    <w:basedOn w:val="Normal"/>
    <w:uiPriority w:val="99"/>
    <w:semiHidden/>
    <w:locked/>
    <w:rsid w:val="00112A69"/>
    <w:pPr>
      <w:ind w:left="360" w:hanging="360"/>
      <w:contextualSpacing/>
    </w:pPr>
  </w:style>
  <w:style w:type="paragraph" w:styleId="List2">
    <w:name w:val="List 2"/>
    <w:basedOn w:val="Normal"/>
    <w:uiPriority w:val="99"/>
    <w:semiHidden/>
    <w:locked/>
    <w:rsid w:val="00112A69"/>
    <w:pPr>
      <w:ind w:left="720" w:hanging="360"/>
      <w:contextualSpacing/>
    </w:pPr>
  </w:style>
  <w:style w:type="paragraph" w:styleId="List3">
    <w:name w:val="List 3"/>
    <w:basedOn w:val="Normal"/>
    <w:uiPriority w:val="99"/>
    <w:semiHidden/>
    <w:locked/>
    <w:rsid w:val="00112A69"/>
    <w:pPr>
      <w:ind w:left="1080" w:hanging="360"/>
      <w:contextualSpacing/>
    </w:pPr>
  </w:style>
  <w:style w:type="paragraph" w:styleId="List4">
    <w:name w:val="List 4"/>
    <w:basedOn w:val="Normal"/>
    <w:uiPriority w:val="99"/>
    <w:semiHidden/>
    <w:locked/>
    <w:rsid w:val="00112A69"/>
    <w:pPr>
      <w:ind w:left="1440" w:hanging="360"/>
      <w:contextualSpacing/>
    </w:pPr>
  </w:style>
  <w:style w:type="paragraph" w:styleId="List5">
    <w:name w:val="List 5"/>
    <w:basedOn w:val="Normal"/>
    <w:uiPriority w:val="99"/>
    <w:semiHidden/>
    <w:locked/>
    <w:rsid w:val="00112A69"/>
    <w:pPr>
      <w:ind w:left="1800" w:hanging="360"/>
      <w:contextualSpacing/>
    </w:pPr>
  </w:style>
  <w:style w:type="paragraph" w:styleId="ListBullet">
    <w:name w:val="List Bullet"/>
    <w:basedOn w:val="Normal"/>
    <w:uiPriority w:val="99"/>
    <w:semiHidden/>
    <w:locked/>
    <w:rsid w:val="00112A69"/>
    <w:pPr>
      <w:numPr>
        <w:numId w:val="4"/>
      </w:numPr>
      <w:contextualSpacing/>
    </w:pPr>
  </w:style>
  <w:style w:type="paragraph" w:styleId="ListBullet2">
    <w:name w:val="List Bullet 2"/>
    <w:basedOn w:val="Normal"/>
    <w:uiPriority w:val="99"/>
    <w:semiHidden/>
    <w:locked/>
    <w:rsid w:val="00112A69"/>
    <w:pPr>
      <w:numPr>
        <w:numId w:val="5"/>
      </w:numPr>
      <w:contextualSpacing/>
    </w:pPr>
  </w:style>
  <w:style w:type="paragraph" w:styleId="ListBullet3">
    <w:name w:val="List Bullet 3"/>
    <w:basedOn w:val="Normal"/>
    <w:uiPriority w:val="99"/>
    <w:semiHidden/>
    <w:locked/>
    <w:rsid w:val="00112A69"/>
    <w:pPr>
      <w:numPr>
        <w:numId w:val="6"/>
      </w:numPr>
      <w:contextualSpacing/>
    </w:pPr>
  </w:style>
  <w:style w:type="paragraph" w:styleId="ListBullet4">
    <w:name w:val="List Bullet 4"/>
    <w:basedOn w:val="Normal"/>
    <w:uiPriority w:val="99"/>
    <w:semiHidden/>
    <w:locked/>
    <w:rsid w:val="00112A69"/>
    <w:pPr>
      <w:numPr>
        <w:numId w:val="7"/>
      </w:numPr>
      <w:contextualSpacing/>
    </w:pPr>
  </w:style>
  <w:style w:type="paragraph" w:styleId="ListContinue2">
    <w:name w:val="List Continue 2"/>
    <w:basedOn w:val="Normal"/>
    <w:uiPriority w:val="99"/>
    <w:semiHidden/>
    <w:locked/>
    <w:rsid w:val="00112A69"/>
    <w:pPr>
      <w:spacing w:after="120"/>
      <w:ind w:left="720"/>
      <w:contextualSpacing/>
    </w:pPr>
  </w:style>
  <w:style w:type="paragraph" w:styleId="ListContinue4">
    <w:name w:val="List Continue 4"/>
    <w:basedOn w:val="Normal"/>
    <w:uiPriority w:val="99"/>
    <w:semiHidden/>
    <w:locked/>
    <w:rsid w:val="00112A69"/>
    <w:pPr>
      <w:spacing w:after="120"/>
      <w:ind w:left="1440"/>
      <w:contextualSpacing/>
    </w:pPr>
  </w:style>
  <w:style w:type="character" w:styleId="LineNumber">
    <w:name w:val="line number"/>
    <w:basedOn w:val="DefaultParagraphFont"/>
    <w:uiPriority w:val="99"/>
    <w:semiHidden/>
    <w:locked/>
    <w:rsid w:val="00112A69"/>
  </w:style>
  <w:style w:type="paragraph" w:styleId="Index1">
    <w:name w:val="index 1"/>
    <w:basedOn w:val="Normal"/>
    <w:next w:val="Normal"/>
    <w:autoRedefine/>
    <w:uiPriority w:val="99"/>
    <w:semiHidden/>
    <w:unhideWhenUsed/>
    <w:locked/>
    <w:rsid w:val="00E27661"/>
    <w:pPr>
      <w:spacing w:after="0" w:line="240" w:lineRule="auto"/>
      <w:ind w:left="200" w:hanging="200"/>
    </w:pPr>
  </w:style>
  <w:style w:type="paragraph" w:styleId="IndexHeading">
    <w:name w:val="index heading"/>
    <w:basedOn w:val="Normal"/>
    <w:next w:val="Index1"/>
    <w:uiPriority w:val="99"/>
    <w:semiHidden/>
    <w:locked/>
    <w:rsid w:val="00112A69"/>
    <w:rPr>
      <w:rFonts w:asciiTheme="majorHAnsi" w:eastAsiaTheme="majorEastAsia" w:hAnsiTheme="majorHAnsi" w:cstheme="majorBidi"/>
      <w:b/>
      <w:bCs/>
    </w:rPr>
  </w:style>
  <w:style w:type="paragraph" w:customStyle="1" w:styleId="Text">
    <w:name w:val="Text"/>
    <w:basedOn w:val="BodyTextIndent3"/>
    <w:autoRedefine/>
    <w:uiPriority w:val="99"/>
    <w:semiHidden/>
    <w:qFormat/>
    <w:locked/>
    <w:rsid w:val="00112A69"/>
    <w:pPr>
      <w:framePr w:wrap="around"/>
      <w:ind w:left="180"/>
    </w:pPr>
  </w:style>
  <w:style w:type="paragraph" w:customStyle="1" w:styleId="TableTextIndent25">
    <w:name w:val="Table Text Indent .25"/>
    <w:basedOn w:val="Normal"/>
    <w:next w:val="Normal"/>
    <w:autoRedefine/>
    <w:uiPriority w:val="99"/>
    <w:semiHidden/>
    <w:qFormat/>
    <w:locked/>
    <w:rsid w:val="00112A69"/>
    <w:pPr>
      <w:spacing w:before="60" w:after="0" w:line="240" w:lineRule="auto"/>
      <w:ind w:left="216"/>
    </w:pPr>
    <w:rPr>
      <w:sz w:val="16"/>
    </w:rPr>
  </w:style>
  <w:style w:type="paragraph" w:customStyle="1" w:styleId="BoldTableStyle">
    <w:name w:val="Bold Table Style"/>
    <w:basedOn w:val="Normal"/>
    <w:autoRedefine/>
    <w:semiHidden/>
    <w:qFormat/>
    <w:locked/>
    <w:rsid w:val="00112A69"/>
    <w:pPr>
      <w:framePr w:hSpace="180" w:wrap="around" w:vAnchor="text" w:hAnchor="margin" w:y="110"/>
      <w:spacing w:before="40" w:after="40" w:line="240" w:lineRule="auto"/>
    </w:pPr>
    <w:rPr>
      <w:rFonts w:eastAsiaTheme="minorEastAsia" w:cs="Arial"/>
      <w:b/>
      <w:color w:val="000000"/>
      <w:sz w:val="16"/>
      <w:szCs w:val="16"/>
    </w:rPr>
  </w:style>
  <w:style w:type="paragraph" w:styleId="TOC4">
    <w:name w:val="toc 4"/>
    <w:basedOn w:val="TOC3"/>
    <w:next w:val="Normal"/>
    <w:autoRedefine/>
    <w:uiPriority w:val="39"/>
    <w:qFormat/>
    <w:rsid w:val="00F575F0"/>
    <w:pPr>
      <w:ind w:left="1008"/>
    </w:pPr>
    <w:rPr>
      <w:noProof/>
    </w:rPr>
  </w:style>
  <w:style w:type="paragraph" w:styleId="ListNumber">
    <w:name w:val="List Number"/>
    <w:basedOn w:val="Normal"/>
    <w:uiPriority w:val="20"/>
    <w:locked/>
    <w:rsid w:val="00046593"/>
    <w:pPr>
      <w:numPr>
        <w:numId w:val="1"/>
      </w:numPr>
      <w:contextualSpacing/>
    </w:pPr>
  </w:style>
  <w:style w:type="table" w:customStyle="1" w:styleId="LightShading1">
    <w:name w:val="Light Shading1"/>
    <w:basedOn w:val="TableNormal"/>
    <w:uiPriority w:val="60"/>
    <w:locked/>
    <w:rsid w:val="00A00D7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rsid w:val="002207DF"/>
    <w:pPr>
      <w:spacing w:after="0"/>
    </w:pPr>
  </w:style>
  <w:style w:type="character" w:styleId="PlaceholderText">
    <w:name w:val="Placeholder Text"/>
    <w:basedOn w:val="DefaultParagraphFont"/>
    <w:uiPriority w:val="99"/>
    <w:semiHidden/>
    <w:locked/>
    <w:rsid w:val="002B0FD2"/>
    <w:rPr>
      <w:color w:val="808080"/>
    </w:rPr>
  </w:style>
  <w:style w:type="paragraph" w:styleId="Title">
    <w:name w:val="Title"/>
    <w:basedOn w:val="Normal"/>
    <w:next w:val="Normal"/>
    <w:link w:val="TitleChar"/>
    <w:autoRedefine/>
    <w:uiPriority w:val="99"/>
    <w:semiHidden/>
    <w:qFormat/>
    <w:locked/>
    <w:rsid w:val="002B0FD2"/>
    <w:pPr>
      <w:spacing w:after="360" w:line="240" w:lineRule="auto"/>
      <w:contextualSpacing/>
    </w:pPr>
    <w:rPr>
      <w:rFonts w:asciiTheme="majorHAnsi" w:eastAsiaTheme="majorEastAsia" w:hAnsiTheme="majorHAnsi" w:cstheme="majorBidi"/>
      <w:color w:val="139CD8"/>
      <w:spacing w:val="5"/>
      <w:kern w:val="28"/>
      <w:sz w:val="52"/>
      <w:szCs w:val="52"/>
    </w:rPr>
  </w:style>
  <w:style w:type="character" w:customStyle="1" w:styleId="TitleChar">
    <w:name w:val="Title Char"/>
    <w:basedOn w:val="DefaultParagraphFont"/>
    <w:link w:val="Title"/>
    <w:uiPriority w:val="99"/>
    <w:semiHidden/>
    <w:rsid w:val="00E03CE6"/>
    <w:rPr>
      <w:rFonts w:asciiTheme="majorHAnsi" w:eastAsiaTheme="majorEastAsia" w:hAnsiTheme="majorHAnsi" w:cstheme="majorBidi"/>
      <w:color w:val="139CD8"/>
      <w:spacing w:val="5"/>
      <w:kern w:val="28"/>
      <w:sz w:val="52"/>
      <w:szCs w:val="52"/>
    </w:rPr>
  </w:style>
  <w:style w:type="paragraph" w:styleId="Date">
    <w:name w:val="Date"/>
    <w:basedOn w:val="Normal"/>
    <w:next w:val="Normal"/>
    <w:link w:val="DateChar"/>
    <w:autoRedefine/>
    <w:uiPriority w:val="4"/>
    <w:qFormat/>
    <w:locked/>
    <w:rsid w:val="002B0FD2"/>
    <w:rPr>
      <w:color w:val="7E8E9A"/>
    </w:rPr>
  </w:style>
  <w:style w:type="character" w:customStyle="1" w:styleId="DateChar">
    <w:name w:val="Date Char"/>
    <w:basedOn w:val="DefaultParagraphFont"/>
    <w:link w:val="Date"/>
    <w:uiPriority w:val="4"/>
    <w:rsid w:val="00D55243"/>
    <w:rPr>
      <w:color w:val="7E8E9A"/>
      <w:sz w:val="22"/>
    </w:rPr>
  </w:style>
  <w:style w:type="table" w:styleId="ColorfulList-Accent3">
    <w:name w:val="Colorful List Accent 3"/>
    <w:basedOn w:val="TableNormal"/>
    <w:uiPriority w:val="72"/>
    <w:locked/>
    <w:rsid w:val="00D55243"/>
    <w:pPr>
      <w:spacing w:after="0"/>
    </w:pPr>
    <w:rPr>
      <w:color w:val="000000" w:themeColor="text1"/>
    </w:rPr>
    <w:tblPr>
      <w:tblStyleRowBandSize w:val="1"/>
      <w:tblStyleColBandSize w:val="1"/>
    </w:tblPr>
    <w:tcPr>
      <w:shd w:val="clear" w:color="auto" w:fill="EEF7E8" w:themeFill="accent3" w:themeFillTint="19"/>
    </w:tcPr>
    <w:tblStylePr w:type="firstRow">
      <w:rPr>
        <w:b/>
        <w:bCs/>
        <w:color w:val="FFFFFF" w:themeColor="background1"/>
      </w:rPr>
      <w:tblPr/>
      <w:tcPr>
        <w:tcBorders>
          <w:bottom w:val="single" w:sz="12" w:space="0" w:color="FFFFFF" w:themeColor="background1"/>
        </w:tcBorders>
        <w:shd w:val="clear" w:color="auto" w:fill="CD9F00" w:themeFill="accent4" w:themeFillShade="CC"/>
      </w:tcPr>
    </w:tblStylePr>
    <w:tblStylePr w:type="lastRow">
      <w:rPr>
        <w:b/>
        <w:bCs/>
        <w:color w:val="CD9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C5" w:themeFill="accent3" w:themeFillTint="3F"/>
      </w:tcPr>
    </w:tblStylePr>
    <w:tblStylePr w:type="band1Horz">
      <w:tblPr/>
      <w:tcPr>
        <w:shd w:val="clear" w:color="auto" w:fill="DDEFD0" w:themeFill="accent3" w:themeFillTint="33"/>
      </w:tcPr>
    </w:tblStylePr>
  </w:style>
  <w:style w:type="table" w:styleId="ColorfulGrid-Accent6">
    <w:name w:val="Colorful Grid Accent 6"/>
    <w:basedOn w:val="TableNormal"/>
    <w:uiPriority w:val="73"/>
    <w:locked/>
    <w:rsid w:val="00D55243"/>
    <w:pPr>
      <w:spacing w:after="0"/>
    </w:pPr>
    <w:rPr>
      <w:color w:val="000000" w:themeColor="text1"/>
    </w:rPr>
    <w:tblPr>
      <w:tblStyleRowBandSize w:val="1"/>
      <w:tblStyleColBandSize w:val="1"/>
      <w:tblBorders>
        <w:insideH w:val="single" w:sz="4" w:space="0" w:color="FFFFFF" w:themeColor="background1"/>
      </w:tblBorders>
    </w:tblPr>
    <w:tcPr>
      <w:shd w:val="clear" w:color="auto" w:fill="FBEAB2" w:themeFill="accent6" w:themeFillTint="33"/>
    </w:tcPr>
    <w:tblStylePr w:type="firstRow">
      <w:rPr>
        <w:b/>
        <w:bCs/>
      </w:rPr>
      <w:tblPr/>
      <w:tcPr>
        <w:shd w:val="clear" w:color="auto" w:fill="F7D565" w:themeFill="accent6" w:themeFillTint="66"/>
      </w:tcPr>
    </w:tblStylePr>
    <w:tblStylePr w:type="lastRow">
      <w:rPr>
        <w:b/>
        <w:bCs/>
        <w:color w:val="000000" w:themeColor="text1"/>
      </w:rPr>
      <w:tblPr/>
      <w:tcPr>
        <w:shd w:val="clear" w:color="auto" w:fill="F7D565" w:themeFill="accent6" w:themeFillTint="66"/>
      </w:tcPr>
    </w:tblStylePr>
    <w:tblStylePr w:type="firstCol">
      <w:rPr>
        <w:color w:val="FFFFFF" w:themeColor="background1"/>
      </w:rPr>
      <w:tblPr/>
      <w:tcPr>
        <w:shd w:val="clear" w:color="auto" w:fill="4C3B03" w:themeFill="accent6" w:themeFillShade="BF"/>
      </w:tcPr>
    </w:tblStylePr>
    <w:tblStylePr w:type="lastCol">
      <w:rPr>
        <w:color w:val="FFFFFF" w:themeColor="background1"/>
      </w:rPr>
      <w:tblPr/>
      <w:tcPr>
        <w:shd w:val="clear" w:color="auto" w:fill="4C3B03" w:themeFill="accent6" w:themeFillShade="BF"/>
      </w:tcPr>
    </w:tblStylePr>
    <w:tblStylePr w:type="band1Vert">
      <w:tblPr/>
      <w:tcPr>
        <w:shd w:val="clear" w:color="auto" w:fill="F5CB3F" w:themeFill="accent6" w:themeFillTint="7F"/>
      </w:tcPr>
    </w:tblStylePr>
    <w:tblStylePr w:type="band1Horz">
      <w:tblPr/>
      <w:tcPr>
        <w:shd w:val="clear" w:color="auto" w:fill="F5CB3F" w:themeFill="accent6" w:themeFillTint="7F"/>
      </w:tcPr>
    </w:tblStylePr>
  </w:style>
  <w:style w:type="table" w:styleId="TableGrid">
    <w:name w:val="Table Grid"/>
    <w:basedOn w:val="TableNormal"/>
    <w:uiPriority w:val="59"/>
    <w:locked/>
    <w:rsid w:val="00FB08E3"/>
    <w:pPr>
      <w:spacing w:after="0"/>
      <w:jc w:val="right"/>
    </w:pPr>
    <w:rPr>
      <w:sz w:val="18"/>
    </w:rPr>
    <w:tblPr>
      <w:tblStyleRowBandSize w:val="1"/>
      <w:tblStyleColBandSize w:val="1"/>
    </w:tblPr>
    <w:tblStylePr w:type="firstRow">
      <w:pPr>
        <w:jc w:val="right"/>
      </w:pPr>
      <w:rPr>
        <w:b/>
      </w:rPr>
      <w:tblPr/>
      <w:tcPr>
        <w:tcBorders>
          <w:bottom w:val="single" w:sz="18" w:space="0" w:color="0096D7" w:themeColor="accent1"/>
        </w:tcBorders>
        <w:vAlign w:val="bottom"/>
      </w:tcPr>
    </w:tblStylePr>
    <w:tblStylePr w:type="lastRow">
      <w:rPr>
        <w:b w:val="0"/>
      </w:rPr>
      <w:tblPr/>
      <w:tcPr>
        <w:tcBorders>
          <w:top w:val="single" w:sz="12" w:space="0" w:color="0096D7"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rsid w:val="00E509A9"/>
  </w:style>
  <w:style w:type="character" w:styleId="Strong">
    <w:name w:val="Strong"/>
    <w:basedOn w:val="DefaultParagraphFont"/>
    <w:uiPriority w:val="22"/>
    <w:qFormat/>
    <w:locked/>
    <w:rsid w:val="00677C5F"/>
    <w:rPr>
      <w:b/>
      <w:bCs/>
    </w:rPr>
  </w:style>
  <w:style w:type="character" w:styleId="FollowedHyperlink">
    <w:name w:val="FollowedHyperlink"/>
    <w:basedOn w:val="DefaultParagraphFont"/>
    <w:uiPriority w:val="99"/>
    <w:semiHidden/>
    <w:unhideWhenUsed/>
    <w:locked/>
    <w:rsid w:val="006C70A0"/>
    <w:rPr>
      <w:color w:val="5D9732" w:themeColor="followedHyperlink"/>
      <w:u w:val="single"/>
    </w:rPr>
  </w:style>
  <w:style w:type="paragraph" w:styleId="z-BottomofForm">
    <w:name w:val="HTML Bottom of Form"/>
    <w:basedOn w:val="Normal"/>
    <w:link w:val="z-BottomofFormChar"/>
    <w:rsid w:val="00B244CB"/>
    <w:pPr>
      <w:spacing w:after="0" w:line="240" w:lineRule="auto"/>
      <w:jc w:val="center"/>
    </w:pPr>
    <w:rPr>
      <w:rFonts w:ascii="Times New Roman" w:eastAsia="Times New Roman" w:hAnsi="Times New Roman" w:cs="Times New Roman"/>
      <w:b/>
      <w:sz w:val="20"/>
      <w:szCs w:val="20"/>
    </w:rPr>
  </w:style>
  <w:style w:type="character" w:customStyle="1" w:styleId="z-BottomofFormChar">
    <w:name w:val="z-Bottom of Form Char"/>
    <w:basedOn w:val="DefaultParagraphFont"/>
    <w:link w:val="z-BottomofForm"/>
    <w:rsid w:val="00B244CB"/>
    <w:rPr>
      <w:rFonts w:ascii="Times New Roman" w:eastAsia="Times New Roman" w:hAnsi="Times New Roman" w:cs="Times New Roman"/>
      <w:b/>
      <w:sz w:val="20"/>
      <w:szCs w:val="20"/>
    </w:rPr>
  </w:style>
  <w:style w:type="character" w:styleId="CommentReference">
    <w:name w:val="annotation reference"/>
    <w:basedOn w:val="DefaultParagraphFont"/>
    <w:uiPriority w:val="99"/>
    <w:semiHidden/>
    <w:unhideWhenUsed/>
    <w:locked/>
    <w:rsid w:val="000C2ABB"/>
    <w:rPr>
      <w:sz w:val="16"/>
      <w:szCs w:val="16"/>
    </w:rPr>
  </w:style>
  <w:style w:type="paragraph" w:styleId="CommentText">
    <w:name w:val="annotation text"/>
    <w:basedOn w:val="Normal"/>
    <w:link w:val="CommentTextChar"/>
    <w:uiPriority w:val="99"/>
    <w:semiHidden/>
    <w:unhideWhenUsed/>
    <w:locked/>
    <w:rsid w:val="000C2ABB"/>
    <w:pPr>
      <w:spacing w:line="240" w:lineRule="auto"/>
    </w:pPr>
    <w:rPr>
      <w:sz w:val="20"/>
      <w:szCs w:val="20"/>
    </w:rPr>
  </w:style>
  <w:style w:type="character" w:customStyle="1" w:styleId="CommentTextChar">
    <w:name w:val="Comment Text Char"/>
    <w:basedOn w:val="DefaultParagraphFont"/>
    <w:link w:val="CommentText"/>
    <w:uiPriority w:val="99"/>
    <w:semiHidden/>
    <w:rsid w:val="000C2ABB"/>
    <w:rPr>
      <w:sz w:val="20"/>
      <w:szCs w:val="20"/>
    </w:rPr>
  </w:style>
  <w:style w:type="paragraph" w:styleId="CommentSubject">
    <w:name w:val="annotation subject"/>
    <w:basedOn w:val="CommentText"/>
    <w:next w:val="CommentText"/>
    <w:link w:val="CommentSubjectChar"/>
    <w:uiPriority w:val="99"/>
    <w:semiHidden/>
    <w:unhideWhenUsed/>
    <w:locked/>
    <w:rsid w:val="000C2ABB"/>
    <w:rPr>
      <w:b/>
      <w:bCs/>
    </w:rPr>
  </w:style>
  <w:style w:type="character" w:customStyle="1" w:styleId="CommentSubjectChar">
    <w:name w:val="Comment Subject Char"/>
    <w:basedOn w:val="CommentTextChar"/>
    <w:link w:val="CommentSubject"/>
    <w:uiPriority w:val="99"/>
    <w:semiHidden/>
    <w:rsid w:val="000C2ABB"/>
    <w:rPr>
      <w:b/>
      <w:bCs/>
      <w:sz w:val="20"/>
      <w:szCs w:val="20"/>
    </w:rPr>
  </w:style>
  <w:style w:type="paragraph" w:styleId="Revision">
    <w:name w:val="Revision"/>
    <w:hidden/>
    <w:uiPriority w:val="99"/>
    <w:semiHidden/>
    <w:rsid w:val="000C2ABB"/>
    <w:pPr>
      <w:spacing w:after="0"/>
    </w:pPr>
  </w:style>
  <w:style w:type="paragraph" w:styleId="PlainText">
    <w:name w:val="Plain Text"/>
    <w:basedOn w:val="Normal"/>
    <w:link w:val="PlainTextChar"/>
    <w:uiPriority w:val="99"/>
    <w:semiHidden/>
    <w:unhideWhenUsed/>
    <w:locked/>
    <w:rsid w:val="00CD50F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D50F2"/>
    <w:rPr>
      <w:rFonts w:ascii="Calibri" w:hAnsi="Calibri"/>
      <w:szCs w:val="21"/>
    </w:rPr>
  </w:style>
  <w:style w:type="table" w:customStyle="1" w:styleId="GridTable4Accent1">
    <w:name w:val="Grid Table 4 Accent 1"/>
    <w:basedOn w:val="TableNormal"/>
    <w:uiPriority w:val="49"/>
    <w:rsid w:val="00D06516"/>
    <w:pPr>
      <w:spacing w:after="0"/>
    </w:pPr>
    <w:tblPr>
      <w:tblStyleRowBandSize w:val="1"/>
      <w:tblStyleColBandSize w:val="1"/>
      <w:tblBorders>
        <w:top w:val="single" w:sz="4" w:space="0" w:color="4EC8FF" w:themeColor="accent1" w:themeTint="99"/>
        <w:left w:val="single" w:sz="4" w:space="0" w:color="4EC8FF" w:themeColor="accent1" w:themeTint="99"/>
        <w:bottom w:val="single" w:sz="4" w:space="0" w:color="4EC8FF" w:themeColor="accent1" w:themeTint="99"/>
        <w:right w:val="single" w:sz="4" w:space="0" w:color="4EC8FF" w:themeColor="accent1" w:themeTint="99"/>
        <w:insideH w:val="single" w:sz="4" w:space="0" w:color="4EC8FF" w:themeColor="accent1" w:themeTint="99"/>
        <w:insideV w:val="single" w:sz="4" w:space="0" w:color="4EC8FF" w:themeColor="accent1" w:themeTint="99"/>
      </w:tblBorders>
    </w:tblPr>
    <w:tblStylePr w:type="firstRow">
      <w:rPr>
        <w:b/>
        <w:bCs/>
        <w:color w:val="FFFFFF" w:themeColor="background1"/>
      </w:rPr>
      <w:tblPr/>
      <w:tcPr>
        <w:tcBorders>
          <w:top w:val="single" w:sz="4" w:space="0" w:color="0096D7" w:themeColor="accent1"/>
          <w:left w:val="single" w:sz="4" w:space="0" w:color="0096D7" w:themeColor="accent1"/>
          <w:bottom w:val="single" w:sz="4" w:space="0" w:color="0096D7" w:themeColor="accent1"/>
          <w:right w:val="single" w:sz="4" w:space="0" w:color="0096D7" w:themeColor="accent1"/>
          <w:insideH w:val="nil"/>
          <w:insideV w:val="nil"/>
        </w:tcBorders>
        <w:shd w:val="clear" w:color="auto" w:fill="0096D7" w:themeFill="accent1"/>
      </w:tcPr>
    </w:tblStylePr>
    <w:tblStylePr w:type="lastRow">
      <w:rPr>
        <w:b/>
        <w:bCs/>
      </w:rPr>
      <w:tblPr/>
      <w:tcPr>
        <w:tcBorders>
          <w:top w:val="double" w:sz="4" w:space="0" w:color="0096D7" w:themeColor="accent1"/>
        </w:tcBorders>
      </w:tcPr>
    </w:tblStylePr>
    <w:tblStylePr w:type="firstCol">
      <w:rPr>
        <w:b/>
        <w:bCs/>
      </w:rPr>
    </w:tblStylePr>
    <w:tblStylePr w:type="lastCol">
      <w:rPr>
        <w:b/>
        <w:bCs/>
      </w:rPr>
    </w:tblStylePr>
    <w:tblStylePr w:type="band1Vert">
      <w:tblPr/>
      <w:tcPr>
        <w:shd w:val="clear" w:color="auto" w:fill="C4ECFF" w:themeFill="accent1" w:themeFillTint="33"/>
      </w:tcPr>
    </w:tblStylePr>
    <w:tblStylePr w:type="band1Horz">
      <w:tblPr/>
      <w:tcPr>
        <w:shd w:val="clear" w:color="auto" w:fill="C4ECFF"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88383">
      <w:bodyDiv w:val="1"/>
      <w:marLeft w:val="0"/>
      <w:marRight w:val="0"/>
      <w:marTop w:val="0"/>
      <w:marBottom w:val="0"/>
      <w:divBdr>
        <w:top w:val="none" w:sz="0" w:space="0" w:color="auto"/>
        <w:left w:val="none" w:sz="0" w:space="0" w:color="auto"/>
        <w:bottom w:val="none" w:sz="0" w:space="0" w:color="auto"/>
        <w:right w:val="none" w:sz="0" w:space="0" w:color="auto"/>
      </w:divBdr>
    </w:div>
    <w:div w:id="105077035">
      <w:bodyDiv w:val="1"/>
      <w:marLeft w:val="0"/>
      <w:marRight w:val="0"/>
      <w:marTop w:val="0"/>
      <w:marBottom w:val="0"/>
      <w:divBdr>
        <w:top w:val="none" w:sz="0" w:space="0" w:color="auto"/>
        <w:left w:val="none" w:sz="0" w:space="0" w:color="auto"/>
        <w:bottom w:val="none" w:sz="0" w:space="0" w:color="auto"/>
        <w:right w:val="none" w:sz="0" w:space="0" w:color="auto"/>
      </w:divBdr>
    </w:div>
    <w:div w:id="163906382">
      <w:bodyDiv w:val="1"/>
      <w:marLeft w:val="0"/>
      <w:marRight w:val="0"/>
      <w:marTop w:val="0"/>
      <w:marBottom w:val="0"/>
      <w:divBdr>
        <w:top w:val="none" w:sz="0" w:space="0" w:color="auto"/>
        <w:left w:val="none" w:sz="0" w:space="0" w:color="auto"/>
        <w:bottom w:val="none" w:sz="0" w:space="0" w:color="auto"/>
        <w:right w:val="none" w:sz="0" w:space="0" w:color="auto"/>
      </w:divBdr>
    </w:div>
    <w:div w:id="187641461">
      <w:bodyDiv w:val="1"/>
      <w:marLeft w:val="0"/>
      <w:marRight w:val="0"/>
      <w:marTop w:val="0"/>
      <w:marBottom w:val="0"/>
      <w:divBdr>
        <w:top w:val="none" w:sz="0" w:space="0" w:color="auto"/>
        <w:left w:val="none" w:sz="0" w:space="0" w:color="auto"/>
        <w:bottom w:val="none" w:sz="0" w:space="0" w:color="auto"/>
        <w:right w:val="none" w:sz="0" w:space="0" w:color="auto"/>
      </w:divBdr>
    </w:div>
    <w:div w:id="234512455">
      <w:bodyDiv w:val="1"/>
      <w:marLeft w:val="0"/>
      <w:marRight w:val="0"/>
      <w:marTop w:val="0"/>
      <w:marBottom w:val="0"/>
      <w:divBdr>
        <w:top w:val="none" w:sz="0" w:space="0" w:color="auto"/>
        <w:left w:val="none" w:sz="0" w:space="0" w:color="auto"/>
        <w:bottom w:val="none" w:sz="0" w:space="0" w:color="auto"/>
        <w:right w:val="none" w:sz="0" w:space="0" w:color="auto"/>
      </w:divBdr>
    </w:div>
    <w:div w:id="250704288">
      <w:bodyDiv w:val="1"/>
      <w:marLeft w:val="0"/>
      <w:marRight w:val="0"/>
      <w:marTop w:val="0"/>
      <w:marBottom w:val="0"/>
      <w:divBdr>
        <w:top w:val="none" w:sz="0" w:space="0" w:color="auto"/>
        <w:left w:val="none" w:sz="0" w:space="0" w:color="auto"/>
        <w:bottom w:val="none" w:sz="0" w:space="0" w:color="auto"/>
        <w:right w:val="none" w:sz="0" w:space="0" w:color="auto"/>
      </w:divBdr>
    </w:div>
    <w:div w:id="335571170">
      <w:bodyDiv w:val="1"/>
      <w:marLeft w:val="0"/>
      <w:marRight w:val="0"/>
      <w:marTop w:val="0"/>
      <w:marBottom w:val="0"/>
      <w:divBdr>
        <w:top w:val="none" w:sz="0" w:space="0" w:color="auto"/>
        <w:left w:val="none" w:sz="0" w:space="0" w:color="auto"/>
        <w:bottom w:val="none" w:sz="0" w:space="0" w:color="auto"/>
        <w:right w:val="none" w:sz="0" w:space="0" w:color="auto"/>
      </w:divBdr>
    </w:div>
    <w:div w:id="339814673">
      <w:bodyDiv w:val="1"/>
      <w:marLeft w:val="0"/>
      <w:marRight w:val="0"/>
      <w:marTop w:val="0"/>
      <w:marBottom w:val="0"/>
      <w:divBdr>
        <w:top w:val="none" w:sz="0" w:space="0" w:color="auto"/>
        <w:left w:val="none" w:sz="0" w:space="0" w:color="auto"/>
        <w:bottom w:val="none" w:sz="0" w:space="0" w:color="auto"/>
        <w:right w:val="none" w:sz="0" w:space="0" w:color="auto"/>
      </w:divBdr>
    </w:div>
    <w:div w:id="341320118">
      <w:bodyDiv w:val="1"/>
      <w:marLeft w:val="0"/>
      <w:marRight w:val="0"/>
      <w:marTop w:val="0"/>
      <w:marBottom w:val="0"/>
      <w:divBdr>
        <w:top w:val="none" w:sz="0" w:space="0" w:color="auto"/>
        <w:left w:val="none" w:sz="0" w:space="0" w:color="auto"/>
        <w:bottom w:val="none" w:sz="0" w:space="0" w:color="auto"/>
        <w:right w:val="none" w:sz="0" w:space="0" w:color="auto"/>
      </w:divBdr>
    </w:div>
    <w:div w:id="343021889">
      <w:bodyDiv w:val="1"/>
      <w:marLeft w:val="0"/>
      <w:marRight w:val="0"/>
      <w:marTop w:val="0"/>
      <w:marBottom w:val="0"/>
      <w:divBdr>
        <w:top w:val="none" w:sz="0" w:space="0" w:color="auto"/>
        <w:left w:val="none" w:sz="0" w:space="0" w:color="auto"/>
        <w:bottom w:val="none" w:sz="0" w:space="0" w:color="auto"/>
        <w:right w:val="none" w:sz="0" w:space="0" w:color="auto"/>
      </w:divBdr>
    </w:div>
    <w:div w:id="347684504">
      <w:bodyDiv w:val="1"/>
      <w:marLeft w:val="0"/>
      <w:marRight w:val="0"/>
      <w:marTop w:val="0"/>
      <w:marBottom w:val="0"/>
      <w:divBdr>
        <w:top w:val="none" w:sz="0" w:space="0" w:color="auto"/>
        <w:left w:val="none" w:sz="0" w:space="0" w:color="auto"/>
        <w:bottom w:val="none" w:sz="0" w:space="0" w:color="auto"/>
        <w:right w:val="none" w:sz="0" w:space="0" w:color="auto"/>
      </w:divBdr>
    </w:div>
    <w:div w:id="364253291">
      <w:bodyDiv w:val="1"/>
      <w:marLeft w:val="0"/>
      <w:marRight w:val="0"/>
      <w:marTop w:val="0"/>
      <w:marBottom w:val="0"/>
      <w:divBdr>
        <w:top w:val="none" w:sz="0" w:space="0" w:color="auto"/>
        <w:left w:val="none" w:sz="0" w:space="0" w:color="auto"/>
        <w:bottom w:val="none" w:sz="0" w:space="0" w:color="auto"/>
        <w:right w:val="none" w:sz="0" w:space="0" w:color="auto"/>
      </w:divBdr>
    </w:div>
    <w:div w:id="443424165">
      <w:bodyDiv w:val="1"/>
      <w:marLeft w:val="0"/>
      <w:marRight w:val="0"/>
      <w:marTop w:val="0"/>
      <w:marBottom w:val="0"/>
      <w:divBdr>
        <w:top w:val="none" w:sz="0" w:space="0" w:color="auto"/>
        <w:left w:val="none" w:sz="0" w:space="0" w:color="auto"/>
        <w:bottom w:val="none" w:sz="0" w:space="0" w:color="auto"/>
        <w:right w:val="none" w:sz="0" w:space="0" w:color="auto"/>
      </w:divBdr>
    </w:div>
    <w:div w:id="468868123">
      <w:bodyDiv w:val="1"/>
      <w:marLeft w:val="0"/>
      <w:marRight w:val="0"/>
      <w:marTop w:val="0"/>
      <w:marBottom w:val="0"/>
      <w:divBdr>
        <w:top w:val="none" w:sz="0" w:space="0" w:color="auto"/>
        <w:left w:val="none" w:sz="0" w:space="0" w:color="auto"/>
        <w:bottom w:val="none" w:sz="0" w:space="0" w:color="auto"/>
        <w:right w:val="none" w:sz="0" w:space="0" w:color="auto"/>
      </w:divBdr>
    </w:div>
    <w:div w:id="479076218">
      <w:bodyDiv w:val="1"/>
      <w:marLeft w:val="0"/>
      <w:marRight w:val="0"/>
      <w:marTop w:val="0"/>
      <w:marBottom w:val="0"/>
      <w:divBdr>
        <w:top w:val="none" w:sz="0" w:space="0" w:color="auto"/>
        <w:left w:val="none" w:sz="0" w:space="0" w:color="auto"/>
        <w:bottom w:val="none" w:sz="0" w:space="0" w:color="auto"/>
        <w:right w:val="none" w:sz="0" w:space="0" w:color="auto"/>
      </w:divBdr>
      <w:divsChild>
        <w:div w:id="866480587">
          <w:marLeft w:val="0"/>
          <w:marRight w:val="0"/>
          <w:marTop w:val="0"/>
          <w:marBottom w:val="0"/>
          <w:divBdr>
            <w:top w:val="none" w:sz="0" w:space="0" w:color="auto"/>
            <w:left w:val="none" w:sz="0" w:space="0" w:color="auto"/>
            <w:bottom w:val="none" w:sz="0" w:space="0" w:color="auto"/>
            <w:right w:val="none" w:sz="0" w:space="0" w:color="auto"/>
          </w:divBdr>
          <w:divsChild>
            <w:div w:id="1725057898">
              <w:marLeft w:val="0"/>
              <w:marRight w:val="0"/>
              <w:marTop w:val="125"/>
              <w:marBottom w:val="0"/>
              <w:divBdr>
                <w:top w:val="single" w:sz="8" w:space="6" w:color="666666"/>
                <w:left w:val="none" w:sz="0" w:space="0" w:color="auto"/>
                <w:bottom w:val="none" w:sz="0" w:space="0" w:color="auto"/>
                <w:right w:val="none" w:sz="0" w:space="0" w:color="auto"/>
              </w:divBdr>
            </w:div>
          </w:divsChild>
        </w:div>
      </w:divsChild>
    </w:div>
    <w:div w:id="483550707">
      <w:bodyDiv w:val="1"/>
      <w:marLeft w:val="0"/>
      <w:marRight w:val="0"/>
      <w:marTop w:val="0"/>
      <w:marBottom w:val="0"/>
      <w:divBdr>
        <w:top w:val="none" w:sz="0" w:space="0" w:color="auto"/>
        <w:left w:val="none" w:sz="0" w:space="0" w:color="auto"/>
        <w:bottom w:val="none" w:sz="0" w:space="0" w:color="auto"/>
        <w:right w:val="none" w:sz="0" w:space="0" w:color="auto"/>
      </w:divBdr>
    </w:div>
    <w:div w:id="517699683">
      <w:bodyDiv w:val="1"/>
      <w:marLeft w:val="0"/>
      <w:marRight w:val="0"/>
      <w:marTop w:val="0"/>
      <w:marBottom w:val="0"/>
      <w:divBdr>
        <w:top w:val="none" w:sz="0" w:space="0" w:color="auto"/>
        <w:left w:val="none" w:sz="0" w:space="0" w:color="auto"/>
        <w:bottom w:val="none" w:sz="0" w:space="0" w:color="auto"/>
        <w:right w:val="none" w:sz="0" w:space="0" w:color="auto"/>
      </w:divBdr>
    </w:div>
    <w:div w:id="523061490">
      <w:bodyDiv w:val="1"/>
      <w:marLeft w:val="0"/>
      <w:marRight w:val="0"/>
      <w:marTop w:val="0"/>
      <w:marBottom w:val="0"/>
      <w:divBdr>
        <w:top w:val="none" w:sz="0" w:space="0" w:color="auto"/>
        <w:left w:val="none" w:sz="0" w:space="0" w:color="auto"/>
        <w:bottom w:val="none" w:sz="0" w:space="0" w:color="auto"/>
        <w:right w:val="none" w:sz="0" w:space="0" w:color="auto"/>
      </w:divBdr>
    </w:div>
    <w:div w:id="562834981">
      <w:bodyDiv w:val="1"/>
      <w:marLeft w:val="0"/>
      <w:marRight w:val="0"/>
      <w:marTop w:val="0"/>
      <w:marBottom w:val="0"/>
      <w:divBdr>
        <w:top w:val="none" w:sz="0" w:space="0" w:color="auto"/>
        <w:left w:val="none" w:sz="0" w:space="0" w:color="auto"/>
        <w:bottom w:val="none" w:sz="0" w:space="0" w:color="auto"/>
        <w:right w:val="none" w:sz="0" w:space="0" w:color="auto"/>
      </w:divBdr>
    </w:div>
    <w:div w:id="571240497">
      <w:bodyDiv w:val="1"/>
      <w:marLeft w:val="0"/>
      <w:marRight w:val="0"/>
      <w:marTop w:val="0"/>
      <w:marBottom w:val="0"/>
      <w:divBdr>
        <w:top w:val="none" w:sz="0" w:space="0" w:color="auto"/>
        <w:left w:val="none" w:sz="0" w:space="0" w:color="auto"/>
        <w:bottom w:val="none" w:sz="0" w:space="0" w:color="auto"/>
        <w:right w:val="none" w:sz="0" w:space="0" w:color="auto"/>
      </w:divBdr>
    </w:div>
    <w:div w:id="577128761">
      <w:bodyDiv w:val="1"/>
      <w:marLeft w:val="0"/>
      <w:marRight w:val="0"/>
      <w:marTop w:val="0"/>
      <w:marBottom w:val="0"/>
      <w:divBdr>
        <w:top w:val="none" w:sz="0" w:space="0" w:color="auto"/>
        <w:left w:val="none" w:sz="0" w:space="0" w:color="auto"/>
        <w:bottom w:val="none" w:sz="0" w:space="0" w:color="auto"/>
        <w:right w:val="none" w:sz="0" w:space="0" w:color="auto"/>
      </w:divBdr>
    </w:div>
    <w:div w:id="583804854">
      <w:bodyDiv w:val="1"/>
      <w:marLeft w:val="0"/>
      <w:marRight w:val="0"/>
      <w:marTop w:val="0"/>
      <w:marBottom w:val="0"/>
      <w:divBdr>
        <w:top w:val="none" w:sz="0" w:space="0" w:color="auto"/>
        <w:left w:val="none" w:sz="0" w:space="0" w:color="auto"/>
        <w:bottom w:val="none" w:sz="0" w:space="0" w:color="auto"/>
        <w:right w:val="none" w:sz="0" w:space="0" w:color="auto"/>
      </w:divBdr>
    </w:div>
    <w:div w:id="603344179">
      <w:bodyDiv w:val="1"/>
      <w:marLeft w:val="0"/>
      <w:marRight w:val="0"/>
      <w:marTop w:val="0"/>
      <w:marBottom w:val="0"/>
      <w:divBdr>
        <w:top w:val="none" w:sz="0" w:space="0" w:color="auto"/>
        <w:left w:val="none" w:sz="0" w:space="0" w:color="auto"/>
        <w:bottom w:val="none" w:sz="0" w:space="0" w:color="auto"/>
        <w:right w:val="none" w:sz="0" w:space="0" w:color="auto"/>
      </w:divBdr>
    </w:div>
    <w:div w:id="613636376">
      <w:bodyDiv w:val="1"/>
      <w:marLeft w:val="0"/>
      <w:marRight w:val="0"/>
      <w:marTop w:val="0"/>
      <w:marBottom w:val="0"/>
      <w:divBdr>
        <w:top w:val="none" w:sz="0" w:space="0" w:color="auto"/>
        <w:left w:val="none" w:sz="0" w:space="0" w:color="auto"/>
        <w:bottom w:val="none" w:sz="0" w:space="0" w:color="auto"/>
        <w:right w:val="none" w:sz="0" w:space="0" w:color="auto"/>
      </w:divBdr>
    </w:div>
    <w:div w:id="623122762">
      <w:bodyDiv w:val="1"/>
      <w:marLeft w:val="0"/>
      <w:marRight w:val="0"/>
      <w:marTop w:val="0"/>
      <w:marBottom w:val="0"/>
      <w:divBdr>
        <w:top w:val="none" w:sz="0" w:space="0" w:color="auto"/>
        <w:left w:val="none" w:sz="0" w:space="0" w:color="auto"/>
        <w:bottom w:val="none" w:sz="0" w:space="0" w:color="auto"/>
        <w:right w:val="none" w:sz="0" w:space="0" w:color="auto"/>
      </w:divBdr>
    </w:div>
    <w:div w:id="741760865">
      <w:bodyDiv w:val="1"/>
      <w:marLeft w:val="0"/>
      <w:marRight w:val="0"/>
      <w:marTop w:val="0"/>
      <w:marBottom w:val="0"/>
      <w:divBdr>
        <w:top w:val="none" w:sz="0" w:space="0" w:color="auto"/>
        <w:left w:val="none" w:sz="0" w:space="0" w:color="auto"/>
        <w:bottom w:val="none" w:sz="0" w:space="0" w:color="auto"/>
        <w:right w:val="none" w:sz="0" w:space="0" w:color="auto"/>
      </w:divBdr>
    </w:div>
    <w:div w:id="800999263">
      <w:bodyDiv w:val="1"/>
      <w:marLeft w:val="0"/>
      <w:marRight w:val="0"/>
      <w:marTop w:val="0"/>
      <w:marBottom w:val="0"/>
      <w:divBdr>
        <w:top w:val="none" w:sz="0" w:space="0" w:color="auto"/>
        <w:left w:val="none" w:sz="0" w:space="0" w:color="auto"/>
        <w:bottom w:val="none" w:sz="0" w:space="0" w:color="auto"/>
        <w:right w:val="none" w:sz="0" w:space="0" w:color="auto"/>
      </w:divBdr>
    </w:div>
    <w:div w:id="802045184">
      <w:bodyDiv w:val="1"/>
      <w:marLeft w:val="0"/>
      <w:marRight w:val="0"/>
      <w:marTop w:val="0"/>
      <w:marBottom w:val="0"/>
      <w:divBdr>
        <w:top w:val="none" w:sz="0" w:space="0" w:color="auto"/>
        <w:left w:val="none" w:sz="0" w:space="0" w:color="auto"/>
        <w:bottom w:val="none" w:sz="0" w:space="0" w:color="auto"/>
        <w:right w:val="none" w:sz="0" w:space="0" w:color="auto"/>
      </w:divBdr>
    </w:div>
    <w:div w:id="806044680">
      <w:bodyDiv w:val="1"/>
      <w:marLeft w:val="0"/>
      <w:marRight w:val="0"/>
      <w:marTop w:val="0"/>
      <w:marBottom w:val="0"/>
      <w:divBdr>
        <w:top w:val="none" w:sz="0" w:space="0" w:color="auto"/>
        <w:left w:val="none" w:sz="0" w:space="0" w:color="auto"/>
        <w:bottom w:val="none" w:sz="0" w:space="0" w:color="auto"/>
        <w:right w:val="none" w:sz="0" w:space="0" w:color="auto"/>
      </w:divBdr>
    </w:div>
    <w:div w:id="809785599">
      <w:bodyDiv w:val="1"/>
      <w:marLeft w:val="0"/>
      <w:marRight w:val="0"/>
      <w:marTop w:val="0"/>
      <w:marBottom w:val="0"/>
      <w:divBdr>
        <w:top w:val="none" w:sz="0" w:space="0" w:color="auto"/>
        <w:left w:val="none" w:sz="0" w:space="0" w:color="auto"/>
        <w:bottom w:val="none" w:sz="0" w:space="0" w:color="auto"/>
        <w:right w:val="none" w:sz="0" w:space="0" w:color="auto"/>
      </w:divBdr>
    </w:div>
    <w:div w:id="827719720">
      <w:bodyDiv w:val="1"/>
      <w:marLeft w:val="0"/>
      <w:marRight w:val="0"/>
      <w:marTop w:val="0"/>
      <w:marBottom w:val="0"/>
      <w:divBdr>
        <w:top w:val="none" w:sz="0" w:space="0" w:color="auto"/>
        <w:left w:val="none" w:sz="0" w:space="0" w:color="auto"/>
        <w:bottom w:val="none" w:sz="0" w:space="0" w:color="auto"/>
        <w:right w:val="none" w:sz="0" w:space="0" w:color="auto"/>
      </w:divBdr>
    </w:div>
    <w:div w:id="867375915">
      <w:bodyDiv w:val="1"/>
      <w:marLeft w:val="0"/>
      <w:marRight w:val="0"/>
      <w:marTop w:val="0"/>
      <w:marBottom w:val="0"/>
      <w:divBdr>
        <w:top w:val="none" w:sz="0" w:space="0" w:color="auto"/>
        <w:left w:val="none" w:sz="0" w:space="0" w:color="auto"/>
        <w:bottom w:val="none" w:sz="0" w:space="0" w:color="auto"/>
        <w:right w:val="none" w:sz="0" w:space="0" w:color="auto"/>
      </w:divBdr>
    </w:div>
    <w:div w:id="884754839">
      <w:bodyDiv w:val="1"/>
      <w:marLeft w:val="0"/>
      <w:marRight w:val="0"/>
      <w:marTop w:val="0"/>
      <w:marBottom w:val="0"/>
      <w:divBdr>
        <w:top w:val="none" w:sz="0" w:space="0" w:color="auto"/>
        <w:left w:val="none" w:sz="0" w:space="0" w:color="auto"/>
        <w:bottom w:val="none" w:sz="0" w:space="0" w:color="auto"/>
        <w:right w:val="none" w:sz="0" w:space="0" w:color="auto"/>
      </w:divBdr>
    </w:div>
    <w:div w:id="890195221">
      <w:bodyDiv w:val="1"/>
      <w:marLeft w:val="0"/>
      <w:marRight w:val="0"/>
      <w:marTop w:val="0"/>
      <w:marBottom w:val="0"/>
      <w:divBdr>
        <w:top w:val="none" w:sz="0" w:space="0" w:color="auto"/>
        <w:left w:val="none" w:sz="0" w:space="0" w:color="auto"/>
        <w:bottom w:val="none" w:sz="0" w:space="0" w:color="auto"/>
        <w:right w:val="none" w:sz="0" w:space="0" w:color="auto"/>
      </w:divBdr>
    </w:div>
    <w:div w:id="962074558">
      <w:bodyDiv w:val="1"/>
      <w:marLeft w:val="0"/>
      <w:marRight w:val="0"/>
      <w:marTop w:val="0"/>
      <w:marBottom w:val="0"/>
      <w:divBdr>
        <w:top w:val="none" w:sz="0" w:space="0" w:color="auto"/>
        <w:left w:val="none" w:sz="0" w:space="0" w:color="auto"/>
        <w:bottom w:val="none" w:sz="0" w:space="0" w:color="auto"/>
        <w:right w:val="none" w:sz="0" w:space="0" w:color="auto"/>
      </w:divBdr>
    </w:div>
    <w:div w:id="1068042666">
      <w:bodyDiv w:val="1"/>
      <w:marLeft w:val="0"/>
      <w:marRight w:val="0"/>
      <w:marTop w:val="0"/>
      <w:marBottom w:val="0"/>
      <w:divBdr>
        <w:top w:val="none" w:sz="0" w:space="0" w:color="auto"/>
        <w:left w:val="none" w:sz="0" w:space="0" w:color="auto"/>
        <w:bottom w:val="none" w:sz="0" w:space="0" w:color="auto"/>
        <w:right w:val="none" w:sz="0" w:space="0" w:color="auto"/>
      </w:divBdr>
    </w:div>
    <w:div w:id="1070540137">
      <w:bodyDiv w:val="1"/>
      <w:marLeft w:val="0"/>
      <w:marRight w:val="0"/>
      <w:marTop w:val="0"/>
      <w:marBottom w:val="0"/>
      <w:divBdr>
        <w:top w:val="none" w:sz="0" w:space="0" w:color="auto"/>
        <w:left w:val="none" w:sz="0" w:space="0" w:color="auto"/>
        <w:bottom w:val="none" w:sz="0" w:space="0" w:color="auto"/>
        <w:right w:val="none" w:sz="0" w:space="0" w:color="auto"/>
      </w:divBdr>
    </w:div>
    <w:div w:id="1193618531">
      <w:bodyDiv w:val="1"/>
      <w:marLeft w:val="0"/>
      <w:marRight w:val="0"/>
      <w:marTop w:val="0"/>
      <w:marBottom w:val="0"/>
      <w:divBdr>
        <w:top w:val="none" w:sz="0" w:space="0" w:color="auto"/>
        <w:left w:val="none" w:sz="0" w:space="0" w:color="auto"/>
        <w:bottom w:val="none" w:sz="0" w:space="0" w:color="auto"/>
        <w:right w:val="none" w:sz="0" w:space="0" w:color="auto"/>
      </w:divBdr>
    </w:div>
    <w:div w:id="1249660238">
      <w:bodyDiv w:val="1"/>
      <w:marLeft w:val="0"/>
      <w:marRight w:val="0"/>
      <w:marTop w:val="0"/>
      <w:marBottom w:val="0"/>
      <w:divBdr>
        <w:top w:val="none" w:sz="0" w:space="0" w:color="auto"/>
        <w:left w:val="none" w:sz="0" w:space="0" w:color="auto"/>
        <w:bottom w:val="none" w:sz="0" w:space="0" w:color="auto"/>
        <w:right w:val="none" w:sz="0" w:space="0" w:color="auto"/>
      </w:divBdr>
    </w:div>
    <w:div w:id="1308437928">
      <w:bodyDiv w:val="1"/>
      <w:marLeft w:val="0"/>
      <w:marRight w:val="0"/>
      <w:marTop w:val="0"/>
      <w:marBottom w:val="0"/>
      <w:divBdr>
        <w:top w:val="none" w:sz="0" w:space="0" w:color="auto"/>
        <w:left w:val="none" w:sz="0" w:space="0" w:color="auto"/>
        <w:bottom w:val="none" w:sz="0" w:space="0" w:color="auto"/>
        <w:right w:val="none" w:sz="0" w:space="0" w:color="auto"/>
      </w:divBdr>
    </w:div>
    <w:div w:id="1345211228">
      <w:bodyDiv w:val="1"/>
      <w:marLeft w:val="0"/>
      <w:marRight w:val="0"/>
      <w:marTop w:val="0"/>
      <w:marBottom w:val="0"/>
      <w:divBdr>
        <w:top w:val="none" w:sz="0" w:space="0" w:color="auto"/>
        <w:left w:val="none" w:sz="0" w:space="0" w:color="auto"/>
        <w:bottom w:val="none" w:sz="0" w:space="0" w:color="auto"/>
        <w:right w:val="none" w:sz="0" w:space="0" w:color="auto"/>
      </w:divBdr>
    </w:div>
    <w:div w:id="1355035345">
      <w:bodyDiv w:val="1"/>
      <w:marLeft w:val="0"/>
      <w:marRight w:val="0"/>
      <w:marTop w:val="0"/>
      <w:marBottom w:val="0"/>
      <w:divBdr>
        <w:top w:val="none" w:sz="0" w:space="0" w:color="auto"/>
        <w:left w:val="none" w:sz="0" w:space="0" w:color="auto"/>
        <w:bottom w:val="none" w:sz="0" w:space="0" w:color="auto"/>
        <w:right w:val="none" w:sz="0" w:space="0" w:color="auto"/>
      </w:divBdr>
    </w:div>
    <w:div w:id="1374649581">
      <w:bodyDiv w:val="1"/>
      <w:marLeft w:val="0"/>
      <w:marRight w:val="0"/>
      <w:marTop w:val="0"/>
      <w:marBottom w:val="0"/>
      <w:divBdr>
        <w:top w:val="none" w:sz="0" w:space="0" w:color="auto"/>
        <w:left w:val="none" w:sz="0" w:space="0" w:color="auto"/>
        <w:bottom w:val="none" w:sz="0" w:space="0" w:color="auto"/>
        <w:right w:val="none" w:sz="0" w:space="0" w:color="auto"/>
      </w:divBdr>
    </w:div>
    <w:div w:id="1382097448">
      <w:bodyDiv w:val="1"/>
      <w:marLeft w:val="0"/>
      <w:marRight w:val="0"/>
      <w:marTop w:val="0"/>
      <w:marBottom w:val="0"/>
      <w:divBdr>
        <w:top w:val="none" w:sz="0" w:space="0" w:color="auto"/>
        <w:left w:val="none" w:sz="0" w:space="0" w:color="auto"/>
        <w:bottom w:val="none" w:sz="0" w:space="0" w:color="auto"/>
        <w:right w:val="none" w:sz="0" w:space="0" w:color="auto"/>
      </w:divBdr>
    </w:div>
    <w:div w:id="1390759981">
      <w:bodyDiv w:val="1"/>
      <w:marLeft w:val="0"/>
      <w:marRight w:val="0"/>
      <w:marTop w:val="0"/>
      <w:marBottom w:val="0"/>
      <w:divBdr>
        <w:top w:val="none" w:sz="0" w:space="0" w:color="auto"/>
        <w:left w:val="none" w:sz="0" w:space="0" w:color="auto"/>
        <w:bottom w:val="none" w:sz="0" w:space="0" w:color="auto"/>
        <w:right w:val="none" w:sz="0" w:space="0" w:color="auto"/>
      </w:divBdr>
    </w:div>
    <w:div w:id="1402102140">
      <w:bodyDiv w:val="1"/>
      <w:marLeft w:val="0"/>
      <w:marRight w:val="0"/>
      <w:marTop w:val="0"/>
      <w:marBottom w:val="0"/>
      <w:divBdr>
        <w:top w:val="none" w:sz="0" w:space="0" w:color="auto"/>
        <w:left w:val="none" w:sz="0" w:space="0" w:color="auto"/>
        <w:bottom w:val="none" w:sz="0" w:space="0" w:color="auto"/>
        <w:right w:val="none" w:sz="0" w:space="0" w:color="auto"/>
      </w:divBdr>
    </w:div>
    <w:div w:id="1478381395">
      <w:bodyDiv w:val="1"/>
      <w:marLeft w:val="0"/>
      <w:marRight w:val="0"/>
      <w:marTop w:val="0"/>
      <w:marBottom w:val="0"/>
      <w:divBdr>
        <w:top w:val="none" w:sz="0" w:space="0" w:color="auto"/>
        <w:left w:val="none" w:sz="0" w:space="0" w:color="auto"/>
        <w:bottom w:val="none" w:sz="0" w:space="0" w:color="auto"/>
        <w:right w:val="none" w:sz="0" w:space="0" w:color="auto"/>
      </w:divBdr>
    </w:div>
    <w:div w:id="1535968415">
      <w:bodyDiv w:val="1"/>
      <w:marLeft w:val="0"/>
      <w:marRight w:val="0"/>
      <w:marTop w:val="0"/>
      <w:marBottom w:val="0"/>
      <w:divBdr>
        <w:top w:val="none" w:sz="0" w:space="0" w:color="auto"/>
        <w:left w:val="none" w:sz="0" w:space="0" w:color="auto"/>
        <w:bottom w:val="none" w:sz="0" w:space="0" w:color="auto"/>
        <w:right w:val="none" w:sz="0" w:space="0" w:color="auto"/>
      </w:divBdr>
    </w:div>
    <w:div w:id="1615743633">
      <w:bodyDiv w:val="1"/>
      <w:marLeft w:val="0"/>
      <w:marRight w:val="0"/>
      <w:marTop w:val="0"/>
      <w:marBottom w:val="0"/>
      <w:divBdr>
        <w:top w:val="none" w:sz="0" w:space="0" w:color="auto"/>
        <w:left w:val="none" w:sz="0" w:space="0" w:color="auto"/>
        <w:bottom w:val="none" w:sz="0" w:space="0" w:color="auto"/>
        <w:right w:val="none" w:sz="0" w:space="0" w:color="auto"/>
      </w:divBdr>
    </w:div>
    <w:div w:id="1646740385">
      <w:bodyDiv w:val="1"/>
      <w:marLeft w:val="0"/>
      <w:marRight w:val="0"/>
      <w:marTop w:val="0"/>
      <w:marBottom w:val="0"/>
      <w:divBdr>
        <w:top w:val="none" w:sz="0" w:space="0" w:color="auto"/>
        <w:left w:val="none" w:sz="0" w:space="0" w:color="auto"/>
        <w:bottom w:val="none" w:sz="0" w:space="0" w:color="auto"/>
        <w:right w:val="none" w:sz="0" w:space="0" w:color="auto"/>
      </w:divBdr>
    </w:div>
    <w:div w:id="1655571971">
      <w:bodyDiv w:val="1"/>
      <w:marLeft w:val="0"/>
      <w:marRight w:val="0"/>
      <w:marTop w:val="0"/>
      <w:marBottom w:val="0"/>
      <w:divBdr>
        <w:top w:val="none" w:sz="0" w:space="0" w:color="auto"/>
        <w:left w:val="none" w:sz="0" w:space="0" w:color="auto"/>
        <w:bottom w:val="none" w:sz="0" w:space="0" w:color="auto"/>
        <w:right w:val="none" w:sz="0" w:space="0" w:color="auto"/>
      </w:divBdr>
    </w:div>
    <w:div w:id="1701053799">
      <w:bodyDiv w:val="1"/>
      <w:marLeft w:val="0"/>
      <w:marRight w:val="0"/>
      <w:marTop w:val="0"/>
      <w:marBottom w:val="0"/>
      <w:divBdr>
        <w:top w:val="none" w:sz="0" w:space="0" w:color="auto"/>
        <w:left w:val="none" w:sz="0" w:space="0" w:color="auto"/>
        <w:bottom w:val="none" w:sz="0" w:space="0" w:color="auto"/>
        <w:right w:val="none" w:sz="0" w:space="0" w:color="auto"/>
      </w:divBdr>
    </w:div>
    <w:div w:id="1715544069">
      <w:bodyDiv w:val="1"/>
      <w:marLeft w:val="0"/>
      <w:marRight w:val="0"/>
      <w:marTop w:val="0"/>
      <w:marBottom w:val="0"/>
      <w:divBdr>
        <w:top w:val="none" w:sz="0" w:space="0" w:color="auto"/>
        <w:left w:val="none" w:sz="0" w:space="0" w:color="auto"/>
        <w:bottom w:val="none" w:sz="0" w:space="0" w:color="auto"/>
        <w:right w:val="none" w:sz="0" w:space="0" w:color="auto"/>
      </w:divBdr>
    </w:div>
    <w:div w:id="1719815735">
      <w:bodyDiv w:val="1"/>
      <w:marLeft w:val="0"/>
      <w:marRight w:val="0"/>
      <w:marTop w:val="0"/>
      <w:marBottom w:val="0"/>
      <w:divBdr>
        <w:top w:val="none" w:sz="0" w:space="0" w:color="auto"/>
        <w:left w:val="none" w:sz="0" w:space="0" w:color="auto"/>
        <w:bottom w:val="none" w:sz="0" w:space="0" w:color="auto"/>
        <w:right w:val="none" w:sz="0" w:space="0" w:color="auto"/>
      </w:divBdr>
    </w:div>
    <w:div w:id="1732581147">
      <w:bodyDiv w:val="1"/>
      <w:marLeft w:val="0"/>
      <w:marRight w:val="0"/>
      <w:marTop w:val="0"/>
      <w:marBottom w:val="0"/>
      <w:divBdr>
        <w:top w:val="none" w:sz="0" w:space="0" w:color="auto"/>
        <w:left w:val="none" w:sz="0" w:space="0" w:color="auto"/>
        <w:bottom w:val="none" w:sz="0" w:space="0" w:color="auto"/>
        <w:right w:val="none" w:sz="0" w:space="0" w:color="auto"/>
      </w:divBdr>
    </w:div>
    <w:div w:id="1771194752">
      <w:bodyDiv w:val="1"/>
      <w:marLeft w:val="0"/>
      <w:marRight w:val="0"/>
      <w:marTop w:val="0"/>
      <w:marBottom w:val="0"/>
      <w:divBdr>
        <w:top w:val="none" w:sz="0" w:space="0" w:color="auto"/>
        <w:left w:val="none" w:sz="0" w:space="0" w:color="auto"/>
        <w:bottom w:val="none" w:sz="0" w:space="0" w:color="auto"/>
        <w:right w:val="none" w:sz="0" w:space="0" w:color="auto"/>
      </w:divBdr>
    </w:div>
    <w:div w:id="1790667053">
      <w:bodyDiv w:val="1"/>
      <w:marLeft w:val="0"/>
      <w:marRight w:val="0"/>
      <w:marTop w:val="0"/>
      <w:marBottom w:val="0"/>
      <w:divBdr>
        <w:top w:val="none" w:sz="0" w:space="0" w:color="auto"/>
        <w:left w:val="none" w:sz="0" w:space="0" w:color="auto"/>
        <w:bottom w:val="none" w:sz="0" w:space="0" w:color="auto"/>
        <w:right w:val="none" w:sz="0" w:space="0" w:color="auto"/>
      </w:divBdr>
    </w:div>
    <w:div w:id="1793356520">
      <w:bodyDiv w:val="1"/>
      <w:marLeft w:val="0"/>
      <w:marRight w:val="0"/>
      <w:marTop w:val="0"/>
      <w:marBottom w:val="0"/>
      <w:divBdr>
        <w:top w:val="none" w:sz="0" w:space="0" w:color="auto"/>
        <w:left w:val="none" w:sz="0" w:space="0" w:color="auto"/>
        <w:bottom w:val="none" w:sz="0" w:space="0" w:color="auto"/>
        <w:right w:val="none" w:sz="0" w:space="0" w:color="auto"/>
      </w:divBdr>
    </w:div>
    <w:div w:id="1878622013">
      <w:bodyDiv w:val="1"/>
      <w:marLeft w:val="0"/>
      <w:marRight w:val="0"/>
      <w:marTop w:val="0"/>
      <w:marBottom w:val="0"/>
      <w:divBdr>
        <w:top w:val="none" w:sz="0" w:space="0" w:color="auto"/>
        <w:left w:val="none" w:sz="0" w:space="0" w:color="auto"/>
        <w:bottom w:val="none" w:sz="0" w:space="0" w:color="auto"/>
        <w:right w:val="none" w:sz="0" w:space="0" w:color="auto"/>
      </w:divBdr>
    </w:div>
    <w:div w:id="1917979690">
      <w:bodyDiv w:val="1"/>
      <w:marLeft w:val="0"/>
      <w:marRight w:val="0"/>
      <w:marTop w:val="0"/>
      <w:marBottom w:val="0"/>
      <w:divBdr>
        <w:top w:val="none" w:sz="0" w:space="0" w:color="auto"/>
        <w:left w:val="none" w:sz="0" w:space="0" w:color="auto"/>
        <w:bottom w:val="none" w:sz="0" w:space="0" w:color="auto"/>
        <w:right w:val="none" w:sz="0" w:space="0" w:color="auto"/>
      </w:divBdr>
    </w:div>
    <w:div w:id="1933469558">
      <w:bodyDiv w:val="1"/>
      <w:marLeft w:val="0"/>
      <w:marRight w:val="0"/>
      <w:marTop w:val="0"/>
      <w:marBottom w:val="0"/>
      <w:divBdr>
        <w:top w:val="none" w:sz="0" w:space="0" w:color="auto"/>
        <w:left w:val="none" w:sz="0" w:space="0" w:color="auto"/>
        <w:bottom w:val="none" w:sz="0" w:space="0" w:color="auto"/>
        <w:right w:val="none" w:sz="0" w:space="0" w:color="auto"/>
      </w:divBdr>
    </w:div>
    <w:div w:id="1946763245">
      <w:bodyDiv w:val="1"/>
      <w:marLeft w:val="0"/>
      <w:marRight w:val="0"/>
      <w:marTop w:val="0"/>
      <w:marBottom w:val="0"/>
      <w:divBdr>
        <w:top w:val="none" w:sz="0" w:space="0" w:color="auto"/>
        <w:left w:val="none" w:sz="0" w:space="0" w:color="auto"/>
        <w:bottom w:val="none" w:sz="0" w:space="0" w:color="auto"/>
        <w:right w:val="none" w:sz="0" w:space="0" w:color="auto"/>
      </w:divBdr>
    </w:div>
    <w:div w:id="1948543027">
      <w:bodyDiv w:val="1"/>
      <w:marLeft w:val="0"/>
      <w:marRight w:val="0"/>
      <w:marTop w:val="0"/>
      <w:marBottom w:val="0"/>
      <w:divBdr>
        <w:top w:val="none" w:sz="0" w:space="0" w:color="auto"/>
        <w:left w:val="none" w:sz="0" w:space="0" w:color="auto"/>
        <w:bottom w:val="none" w:sz="0" w:space="0" w:color="auto"/>
        <w:right w:val="none" w:sz="0" w:space="0" w:color="auto"/>
      </w:divBdr>
    </w:div>
    <w:div w:id="1971128916">
      <w:bodyDiv w:val="1"/>
      <w:marLeft w:val="0"/>
      <w:marRight w:val="0"/>
      <w:marTop w:val="0"/>
      <w:marBottom w:val="0"/>
      <w:divBdr>
        <w:top w:val="none" w:sz="0" w:space="0" w:color="auto"/>
        <w:left w:val="none" w:sz="0" w:space="0" w:color="auto"/>
        <w:bottom w:val="none" w:sz="0" w:space="0" w:color="auto"/>
        <w:right w:val="none" w:sz="0" w:space="0" w:color="auto"/>
      </w:divBdr>
    </w:div>
    <w:div w:id="2027442359">
      <w:bodyDiv w:val="1"/>
      <w:marLeft w:val="0"/>
      <w:marRight w:val="0"/>
      <w:marTop w:val="0"/>
      <w:marBottom w:val="0"/>
      <w:divBdr>
        <w:top w:val="none" w:sz="0" w:space="0" w:color="auto"/>
        <w:left w:val="none" w:sz="0" w:space="0" w:color="auto"/>
        <w:bottom w:val="none" w:sz="0" w:space="0" w:color="auto"/>
        <w:right w:val="none" w:sz="0" w:space="0" w:color="auto"/>
      </w:divBdr>
    </w:div>
    <w:div w:id="2033263050">
      <w:bodyDiv w:val="1"/>
      <w:marLeft w:val="0"/>
      <w:marRight w:val="0"/>
      <w:marTop w:val="0"/>
      <w:marBottom w:val="0"/>
      <w:divBdr>
        <w:top w:val="none" w:sz="0" w:space="0" w:color="auto"/>
        <w:left w:val="none" w:sz="0" w:space="0" w:color="auto"/>
        <w:bottom w:val="none" w:sz="0" w:space="0" w:color="auto"/>
        <w:right w:val="none" w:sz="0" w:space="0" w:color="auto"/>
      </w:divBdr>
    </w:div>
    <w:div w:id="2075621463">
      <w:bodyDiv w:val="1"/>
      <w:marLeft w:val="0"/>
      <w:marRight w:val="0"/>
      <w:marTop w:val="0"/>
      <w:marBottom w:val="0"/>
      <w:divBdr>
        <w:top w:val="none" w:sz="0" w:space="0" w:color="auto"/>
        <w:left w:val="none" w:sz="0" w:space="0" w:color="auto"/>
        <w:bottom w:val="none" w:sz="0" w:space="0" w:color="auto"/>
        <w:right w:val="none" w:sz="0" w:space="0" w:color="auto"/>
      </w:divBdr>
    </w:div>
    <w:div w:id="209230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eia.gov/uranium/marketing/" TargetMode="External"/><Relationship Id="rId26" Type="http://schemas.openxmlformats.org/officeDocument/2006/relationships/header" Target="header4.xm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4.emf"/><Relationship Id="rId34"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www.eia.gov/uranium/production/quarterly/" TargetMode="External"/><Relationship Id="rId25" Type="http://schemas.openxmlformats.org/officeDocument/2006/relationships/footer" Target="footer4.xml"/><Relationship Id="rId33" Type="http://schemas.openxmlformats.org/officeDocument/2006/relationships/hyperlink" Target="http://www.eia.gov/uranium/production/annual/" TargetMode="External"/><Relationship Id="rId38"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http://www.eia.gov/uranium/production/annual/" TargetMode="External"/><Relationship Id="rId20" Type="http://schemas.openxmlformats.org/officeDocument/2006/relationships/package" Target="embeddings/Microsoft_Excel_Worksheet1.xlsx"/><Relationship Id="rId29" Type="http://schemas.openxmlformats.org/officeDocument/2006/relationships/package" Target="embeddings/Microsoft_Excel_Worksheet3.xlsx"/><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3.xml"/><Relationship Id="rId32" Type="http://schemas.openxmlformats.org/officeDocument/2006/relationships/hyperlink" Target="http://www.eia.gov/uranium/marketing/" TargetMode="External"/><Relationship Id="rId37" Type="http://schemas.openxmlformats.org/officeDocument/2006/relationships/header" Target="header7.xml"/><Relationship Id="rId40"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header" Target="header2.xml"/><Relationship Id="rId28" Type="http://schemas.openxmlformats.org/officeDocument/2006/relationships/image" Target="media/image5.emf"/><Relationship Id="rId36" Type="http://schemas.openxmlformats.org/officeDocument/2006/relationships/footer" Target="footer6.xml"/><Relationship Id="rId10" Type="http://schemas.openxmlformats.org/officeDocument/2006/relationships/image" Target="media/image1.png"/><Relationship Id="rId19" Type="http://schemas.openxmlformats.org/officeDocument/2006/relationships/image" Target="media/image3.emf"/><Relationship Id="rId31" Type="http://schemas.openxmlformats.org/officeDocument/2006/relationships/hyperlink" Target="http://www.eia.gov/uranium/production/quarter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package" Target="embeddings/Microsoft_Excel_Worksheet2.xlsx"/><Relationship Id="rId27" Type="http://schemas.openxmlformats.org/officeDocument/2006/relationships/footer" Target="footer5.xml"/><Relationship Id="rId30" Type="http://schemas.openxmlformats.org/officeDocument/2006/relationships/hyperlink" Target="http://www.eia.gov/uranium/production/annual/" TargetMode="External"/><Relationship Id="rId35" Type="http://schemas.openxmlformats.org/officeDocument/2006/relationships/header" Target="header6.xml"/></Relationships>
</file>

<file path=word/theme/theme1.xml><?xml version="1.0" encoding="utf-8"?>
<a:theme xmlns:a="http://schemas.openxmlformats.org/drawingml/2006/main" name="eia">
  <a:themeElements>
    <a:clrScheme name="EIA">
      <a:dk1>
        <a:srgbClr val="000000"/>
      </a:dk1>
      <a:lt1>
        <a:srgbClr val="FFFFFF"/>
      </a:lt1>
      <a:dk2>
        <a:srgbClr val="003953"/>
      </a:dk2>
      <a:lt2>
        <a:srgbClr val="333333"/>
      </a:lt2>
      <a:accent1>
        <a:srgbClr val="0096D7"/>
      </a:accent1>
      <a:accent2>
        <a:srgbClr val="BD732A"/>
      </a:accent2>
      <a:accent3>
        <a:srgbClr val="5D9732"/>
      </a:accent3>
      <a:accent4>
        <a:srgbClr val="FFC702"/>
      </a:accent4>
      <a:accent5>
        <a:srgbClr val="A33340"/>
      </a:accent5>
      <a:accent6>
        <a:srgbClr val="675005"/>
      </a:accent6>
      <a:hlink>
        <a:srgbClr val="0096D7"/>
      </a:hlink>
      <a:folHlink>
        <a:srgbClr val="5D9732"/>
      </a:folHlink>
    </a:clrScheme>
    <a:fontScheme name="EIA 1">
      <a:majorFont>
        <a:latin typeface="Times New Roman"/>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lnDef>
    <a:txDef>
      <a:spPr bwMode="auto">
        <a:noFill/>
        <a:ln w="9525">
          <a:noFill/>
          <a:miter lim="800000"/>
          <a:headEnd/>
          <a:tailEnd/>
        </a:ln>
      </a:spPr>
      <a:bodyPr lIns="0" tIns="0" rIns="0">
        <a:prstTxWarp prst="textNoShape">
          <a:avLst/>
        </a:prstTxWarp>
      </a:bodyPr>
      <a:lstStyle>
        <a:defPPr eaLnBrk="0" hangingPunct="0">
          <a:defRPr sz="1600" i="1" dirty="0" smtClean="0">
            <a:solidFill>
              <a:srgbClr val="333333"/>
            </a:solidFill>
            <a:latin typeface="Times New Roman" charset="0"/>
            <a:ea typeface="Times New Roman" charset="0"/>
            <a:cs typeface="Times New Roman" charset="0"/>
          </a:defRPr>
        </a:defPPr>
      </a:lstStyle>
    </a:tx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88D8A1-49CC-44F9-8B07-B7D48A7BA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4265</Words>
  <Characters>24311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upporting Statement for Uranium Data Progra</dc:title>
  <dc:subject>mproving the Quality and Scope of EIA Dat</dc:subject>
  <dc:creator/>
  <cp:keywords/>
  <dc:description/>
  <cp:lastModifiedBy/>
  <cp:revision>1</cp:revision>
  <dcterms:created xsi:type="dcterms:W3CDTF">2018-08-10T13:04:00Z</dcterms:created>
  <dcterms:modified xsi:type="dcterms:W3CDTF">2018-08-10T13:04:00Z</dcterms:modified>
</cp:coreProperties>
</file>