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5EC6E" w14:textId="77777777" w:rsidR="00642B6A" w:rsidRPr="00642B6A" w:rsidRDefault="00642B6A" w:rsidP="00642B6A">
      <w:pPr>
        <w:suppressAutoHyphens/>
        <w:jc w:val="center"/>
        <w:rPr>
          <w:rFonts w:eastAsia="Times New Roman" w:cs="Times New Roman"/>
          <w:b/>
          <w:szCs w:val="24"/>
        </w:rPr>
      </w:pPr>
      <w:r w:rsidRPr="00642B6A">
        <w:rPr>
          <w:rFonts w:eastAsia="Times New Roman" w:cs="Times New Roman"/>
          <w:b/>
          <w:szCs w:val="24"/>
        </w:rPr>
        <w:t>SUPPORTING STATEMENT FOR NEW AND</w:t>
      </w:r>
    </w:p>
    <w:p w14:paraId="5A55EC6F" w14:textId="77777777" w:rsidR="00642B6A" w:rsidRPr="00642B6A" w:rsidRDefault="00642B6A" w:rsidP="00642B6A">
      <w:pPr>
        <w:suppressAutoHyphens/>
        <w:spacing w:after="240"/>
        <w:jc w:val="center"/>
        <w:rPr>
          <w:rFonts w:eastAsia="Times New Roman" w:cs="Times New Roman"/>
          <w:b/>
          <w:szCs w:val="24"/>
        </w:rPr>
      </w:pPr>
      <w:r w:rsidRPr="00642B6A">
        <w:rPr>
          <w:rFonts w:eastAsia="Times New Roman" w:cs="Times New Roman"/>
          <w:b/>
          <w:szCs w:val="24"/>
        </w:rPr>
        <w:t>REVISED INFORMATION COLLECTIONS</w:t>
      </w:r>
    </w:p>
    <w:p w14:paraId="5A55EC71" w14:textId="1CCCA45B" w:rsidR="00D12FEB" w:rsidRPr="00642B6A" w:rsidRDefault="00642B6A" w:rsidP="00CB0776">
      <w:pPr>
        <w:tabs>
          <w:tab w:val="center" w:pos="4680"/>
        </w:tabs>
        <w:suppressAutoHyphens/>
        <w:spacing w:after="240"/>
        <w:jc w:val="center"/>
        <w:rPr>
          <w:rFonts w:eastAsia="Times New Roman" w:cs="Times New Roman"/>
          <w:b/>
          <w:szCs w:val="24"/>
        </w:rPr>
      </w:pPr>
      <w:bookmarkStart w:id="0" w:name="_GoBack"/>
      <w:r w:rsidRPr="00642B6A">
        <w:rPr>
          <w:rFonts w:eastAsia="Times New Roman" w:cs="Times New Roman"/>
          <w:b/>
          <w:szCs w:val="24"/>
        </w:rPr>
        <w:t xml:space="preserve">OMB CONTROL NUMBER </w:t>
      </w:r>
      <w:r w:rsidRPr="00D23D7B">
        <w:rPr>
          <w:rFonts w:eastAsia="Times New Roman" w:cs="Times New Roman"/>
          <w:b/>
          <w:szCs w:val="24"/>
        </w:rPr>
        <w:t>3038-</w:t>
      </w:r>
      <w:r w:rsidR="00FE58F8">
        <w:rPr>
          <w:rFonts w:eastAsia="Times New Roman" w:cs="Times New Roman"/>
          <w:b/>
          <w:szCs w:val="24"/>
        </w:rPr>
        <w:t>0052</w:t>
      </w:r>
    </w:p>
    <w:bookmarkEnd w:id="0"/>
    <w:p w14:paraId="6B515A0B" w14:textId="77777777" w:rsidR="005F3881" w:rsidRDefault="005F3881" w:rsidP="00642B6A">
      <w:pPr>
        <w:spacing w:after="240"/>
        <w:outlineLvl w:val="0"/>
        <w:rPr>
          <w:rFonts w:eastAsia="Times New Roman" w:cs="Times New Roman"/>
          <w:b/>
          <w:szCs w:val="24"/>
        </w:rPr>
      </w:pPr>
    </w:p>
    <w:p w14:paraId="5A55EC72" w14:textId="77777777" w:rsidR="00642B6A" w:rsidRPr="00642B6A" w:rsidRDefault="00642B6A" w:rsidP="00642B6A">
      <w:pPr>
        <w:spacing w:after="240"/>
        <w:outlineLvl w:val="0"/>
        <w:rPr>
          <w:rFonts w:eastAsia="Times New Roman" w:cs="Times New Roman"/>
          <w:b/>
          <w:szCs w:val="24"/>
        </w:rPr>
      </w:pPr>
      <w:r w:rsidRPr="00642B6A">
        <w:rPr>
          <w:rFonts w:eastAsia="Times New Roman" w:cs="Times New Roman"/>
          <w:b/>
          <w:szCs w:val="24"/>
        </w:rPr>
        <w:t>Justification</w:t>
      </w:r>
    </w:p>
    <w:p w14:paraId="5A55EC73" w14:textId="77777777" w:rsidR="00642B6A" w:rsidRPr="00642B6A" w:rsidRDefault="00642B6A" w:rsidP="00D945B5">
      <w:pPr>
        <w:tabs>
          <w:tab w:val="left" w:pos="-720"/>
          <w:tab w:val="left" w:pos="0"/>
        </w:tabs>
        <w:spacing w:after="240"/>
        <w:ind w:left="720" w:hanging="720"/>
        <w:jc w:val="both"/>
        <w:rPr>
          <w:rFonts w:eastAsia="Times New Roman" w:cs="Times New Roman"/>
          <w:szCs w:val="24"/>
        </w:rPr>
      </w:pPr>
      <w:r w:rsidRPr="00642B6A">
        <w:rPr>
          <w:rFonts w:eastAsia="Times New Roman" w:cs="Times New Roman"/>
          <w:b/>
          <w:szCs w:val="24"/>
        </w:rPr>
        <w:t>1.</w:t>
      </w:r>
      <w:r w:rsidRPr="00642B6A">
        <w:rPr>
          <w:rFonts w:eastAsia="Times New Roman" w:cs="Times New Roman"/>
          <w:b/>
          <w:szCs w:val="24"/>
        </w:rPr>
        <w:tab/>
        <w:t xml:space="preserve">Explain the circumstances that make the collection of information necessary.  Identify any legal or administrative requirements that necessitate the collection.  </w:t>
      </w:r>
      <w:r w:rsidRPr="00D23D7B">
        <w:rPr>
          <w:rFonts w:eastAsia="Times New Roman" w:cs="Times New Roman"/>
          <w:b/>
          <w:szCs w:val="24"/>
        </w:rPr>
        <w:t>Attach a copy of the appropriate</w:t>
      </w:r>
      <w:r w:rsidRPr="00642B6A">
        <w:rPr>
          <w:rFonts w:eastAsia="Times New Roman" w:cs="Times New Roman"/>
          <w:b/>
          <w:szCs w:val="24"/>
        </w:rPr>
        <w:t xml:space="preserve"> section of each statute and regulation mandating or authorizing the collection of information.</w:t>
      </w:r>
    </w:p>
    <w:p w14:paraId="547E0016" w14:textId="47D2A239" w:rsidR="00082089" w:rsidRDefault="00082089" w:rsidP="00082089">
      <w:pPr>
        <w:ind w:firstLine="720"/>
        <w:rPr>
          <w:rFonts w:eastAsia="PMingLiU" w:cs="Times New Roman"/>
          <w:szCs w:val="24"/>
        </w:rPr>
      </w:pPr>
      <w:r>
        <w:rPr>
          <w:rFonts w:eastAsia="PMingLiU" w:cs="Times New Roman"/>
          <w:szCs w:val="24"/>
        </w:rPr>
        <w:t>D</w:t>
      </w:r>
      <w:r w:rsidRPr="00082089">
        <w:rPr>
          <w:rFonts w:eastAsia="PMingLiU" w:cs="Times New Roman"/>
          <w:szCs w:val="24"/>
          <w:lang w:eastAsia="zh-TW"/>
        </w:rPr>
        <w:t xml:space="preserve">erivatives markets have transitioned from the manual processes to highly automated trading and trade matching systems.  Modern DCMs and DCM market participants, in particular, are characterized by a wide array of algorithmic and electronic systems for the generation, transmission, management, and execution of orders, as well as systems used to confirm transactions, communicate market data, and link markets and market participants through high-speed networks.  </w:t>
      </w:r>
      <w:r w:rsidRPr="00082089">
        <w:rPr>
          <w:rFonts w:eastAsia="PMingLiU" w:cs="Times New Roman"/>
          <w:szCs w:val="24"/>
        </w:rPr>
        <w:t>While technologies have evolved, the underlying functions of derivatives markets remain the same, as do the Commission’s responsibilities under the Commodity Exchange Act (the “CEA” or “Act”).  Through proposed Regulation AT, the Commission is taking its next steps in ensuring that its regulatory standards and industry practices properly address current and foreseeable risks arising from automated trading, and promote responsible innovation and fair competition among markets and market participants</w:t>
      </w:r>
      <w:r>
        <w:rPr>
          <w:rFonts w:eastAsia="PMingLiU" w:cs="Times New Roman"/>
          <w:szCs w:val="24"/>
        </w:rPr>
        <w:t>.</w:t>
      </w:r>
    </w:p>
    <w:p w14:paraId="00D63E69" w14:textId="77777777" w:rsidR="00082089" w:rsidRDefault="00082089" w:rsidP="00082089">
      <w:pPr>
        <w:ind w:firstLine="720"/>
        <w:rPr>
          <w:rFonts w:eastAsia="PMingLiU" w:cs="Times New Roman"/>
          <w:szCs w:val="24"/>
        </w:rPr>
      </w:pPr>
    </w:p>
    <w:p w14:paraId="09F56BFA" w14:textId="76A645F6" w:rsidR="00082089" w:rsidRPr="008D0711" w:rsidRDefault="00082089" w:rsidP="00082089">
      <w:pPr>
        <w:ind w:firstLine="720"/>
        <w:rPr>
          <w:rFonts w:eastAsia="PMingLiU" w:cs="Times New Roman"/>
          <w:lang w:val="en"/>
        </w:rPr>
      </w:pPr>
      <w:r w:rsidRPr="004049D0">
        <w:rPr>
          <w:rFonts w:eastAsia="PMingLiU" w:cs="Times New Roman"/>
          <w:szCs w:val="24"/>
        </w:rPr>
        <w:t>The proposed regulations</w:t>
      </w:r>
      <w:r>
        <w:rPr>
          <w:rFonts w:eastAsia="PMingLiU" w:cs="Times New Roman"/>
          <w:szCs w:val="24"/>
        </w:rPr>
        <w:t xml:space="preserve"> are intended to prevent and mitigate risks arising from algorithmic trading activity, increase transparency around DCMs electronic trade matching platforms and the use of self-trade prevention tools on DCMs, and foster transparency with respect to DCM programs and activities, including market maker and trading incentive programs, that have become more prominent as automated trading becomes the dominant market model.  The obligations created by the proposed rules are essential to avoid prevent </w:t>
      </w:r>
      <w:r w:rsidRPr="004049D0">
        <w:rPr>
          <w:rFonts w:eastAsia="PMingLiU" w:cs="Times New Roman"/>
          <w:lang w:val="en"/>
        </w:rPr>
        <w:t>disruptions to market inte</w:t>
      </w:r>
      <w:r w:rsidRPr="008D0711">
        <w:rPr>
          <w:rFonts w:eastAsia="PMingLiU" w:cs="Times New Roman"/>
          <w:lang w:val="en"/>
        </w:rPr>
        <w:t>grity, avoid</w:t>
      </w:r>
      <w:r w:rsidRPr="008D0711">
        <w:rPr>
          <w:rFonts w:eastAsia="PMingLiU" w:cs="Times New Roman"/>
          <w:szCs w:val="24"/>
        </w:rPr>
        <w:t xml:space="preserve"> systemic risk and promote </w:t>
      </w:r>
      <w:r w:rsidRPr="008D0711">
        <w:rPr>
          <w:rFonts w:eastAsia="PMingLiU" w:cs="Times New Roman"/>
          <w:lang w:val="en"/>
        </w:rPr>
        <w:t xml:space="preserve">responsible innovation and fair competition among boards of trade, other markets and market </w:t>
      </w:r>
      <w:r w:rsidRPr="008D0711">
        <w:rPr>
          <w:rFonts w:eastAsia="PMingLiU" w:cs="Times New Roman"/>
          <w:szCs w:val="24"/>
          <w:lang w:val="en"/>
        </w:rPr>
        <w:t xml:space="preserve">participants.  </w:t>
      </w:r>
    </w:p>
    <w:p w14:paraId="614303AF" w14:textId="77777777" w:rsidR="00082089" w:rsidRDefault="00082089" w:rsidP="00FE58F8">
      <w:pPr>
        <w:ind w:firstLine="720"/>
        <w:rPr>
          <w:rFonts w:eastAsia="PMingLiU" w:cs="Times New Roman"/>
          <w:szCs w:val="24"/>
        </w:rPr>
      </w:pPr>
    </w:p>
    <w:p w14:paraId="63CA259D" w14:textId="7748AE3E" w:rsidR="00FE58F8" w:rsidRDefault="00FE58F8" w:rsidP="00FE58F8">
      <w:pPr>
        <w:tabs>
          <w:tab w:val="left" w:pos="-720"/>
        </w:tabs>
        <w:suppressAutoHyphens/>
        <w:ind w:firstLine="720"/>
      </w:pPr>
      <w:r>
        <w:rPr>
          <w:rFonts w:eastAsia="PMingLiU" w:cs="Times New Roman"/>
          <w:szCs w:val="24"/>
        </w:rPr>
        <w:t xml:space="preserve">The Commission is seeking to amend control number 3038-0052.  </w:t>
      </w:r>
      <w:r>
        <w:t>The regulations governing designated contract markets (DCMs) were adopted pursuant to the requirements of the Commodity Futures Modernization Act of 2000 (CFMA).</w:t>
      </w:r>
      <w:r>
        <w:rPr>
          <w:rStyle w:val="FootnoteReference"/>
        </w:rPr>
        <w:footnoteReference w:id="2"/>
      </w:r>
      <w:r>
        <w:t xml:space="preserve">  Part 38 of the Commission’s regulations governs the activities of DCMs.  The information collected pursuant to Part 38 is necessary for the Commission to evaluate whether entities operating as, or applying to become DCMs, comply with Part 38 requirements.  Collection 3038-0052 was created in response to the Part 38 regulatory requirements for DCMs. </w:t>
      </w:r>
    </w:p>
    <w:p w14:paraId="06424EBC" w14:textId="77777777" w:rsidR="00FE58F8" w:rsidRDefault="00FE58F8" w:rsidP="004049D0">
      <w:pPr>
        <w:ind w:firstLine="720"/>
        <w:rPr>
          <w:rFonts w:eastAsia="PMingLiU" w:cs="Times New Roman"/>
          <w:szCs w:val="24"/>
        </w:rPr>
      </w:pPr>
    </w:p>
    <w:p w14:paraId="181671E0" w14:textId="77777777" w:rsidR="00FE58F8" w:rsidRDefault="00FE58F8" w:rsidP="004049D0">
      <w:pPr>
        <w:ind w:firstLine="720"/>
        <w:rPr>
          <w:rFonts w:eastAsia="PMingLiU" w:cs="Times New Roman"/>
          <w:szCs w:val="24"/>
        </w:rPr>
      </w:pPr>
    </w:p>
    <w:p w14:paraId="0694A36A" w14:textId="2D84ACD1" w:rsidR="00CB0776" w:rsidRDefault="00FE58F8" w:rsidP="00FE58F8">
      <w:pPr>
        <w:ind w:firstLine="720"/>
        <w:rPr>
          <w:rFonts w:eastAsia="PMingLiU" w:cs="Times New Roman"/>
          <w:szCs w:val="24"/>
        </w:rPr>
      </w:pPr>
      <w:r>
        <w:rPr>
          <w:rFonts w:eastAsia="PMingLiU" w:cs="Times New Roman"/>
          <w:szCs w:val="24"/>
        </w:rPr>
        <w:t>In addition, t</w:t>
      </w:r>
      <w:r w:rsidR="00BF2E68" w:rsidRPr="004049D0">
        <w:rPr>
          <w:rFonts w:eastAsia="PMingLiU" w:cs="Times New Roman"/>
          <w:szCs w:val="24"/>
        </w:rPr>
        <w:t xml:space="preserve">his </w:t>
      </w:r>
      <w:r>
        <w:rPr>
          <w:rFonts w:eastAsia="PMingLiU" w:cs="Times New Roman"/>
          <w:szCs w:val="24"/>
        </w:rPr>
        <w:t xml:space="preserve">revised information </w:t>
      </w:r>
      <w:r w:rsidR="00BF2E68" w:rsidRPr="004049D0">
        <w:rPr>
          <w:rFonts w:eastAsia="PMingLiU" w:cs="Times New Roman"/>
          <w:szCs w:val="24"/>
        </w:rPr>
        <w:t xml:space="preserve">collection is necessary to implement </w:t>
      </w:r>
      <w:r w:rsidR="00082089">
        <w:rPr>
          <w:rFonts w:eastAsia="PMingLiU" w:cs="Times New Roman"/>
          <w:szCs w:val="24"/>
        </w:rPr>
        <w:t>the following</w:t>
      </w:r>
      <w:r w:rsidR="00BF2E68" w:rsidRPr="004049D0">
        <w:rPr>
          <w:rFonts w:eastAsia="PMingLiU" w:cs="Times New Roman"/>
          <w:szCs w:val="24"/>
        </w:rPr>
        <w:t xml:space="preserve"> provisions of </w:t>
      </w:r>
      <w:r w:rsidR="00B6544D" w:rsidRPr="004049D0">
        <w:rPr>
          <w:rFonts w:eastAsia="Times New Roman" w:cs="Times New Roman"/>
          <w:szCs w:val="24"/>
        </w:rPr>
        <w:t xml:space="preserve">the </w:t>
      </w:r>
      <w:r w:rsidR="00D56B0E" w:rsidRPr="004049D0">
        <w:rPr>
          <w:rFonts w:eastAsia="Times New Roman" w:cs="Times New Roman"/>
          <w:szCs w:val="24"/>
        </w:rPr>
        <w:t>Act</w:t>
      </w:r>
      <w:r w:rsidR="00B6544D" w:rsidRPr="004049D0">
        <w:rPr>
          <w:rFonts w:eastAsia="Times New Roman" w:cs="Times New Roman"/>
          <w:szCs w:val="24"/>
        </w:rPr>
        <w:t xml:space="preserve">.  </w:t>
      </w:r>
      <w:r w:rsidR="004049D0" w:rsidRPr="004049D0">
        <w:rPr>
          <w:rFonts w:eastAsia="PMingLiU" w:cs="Times New Roman"/>
          <w:szCs w:val="24"/>
        </w:rPr>
        <w:t>Section 3(b)  provides that it is the purpose of the Act to</w:t>
      </w:r>
      <w:r w:rsidR="004049D0" w:rsidRPr="004049D0">
        <w:rPr>
          <w:rFonts w:eastAsia="PMingLiU" w:cs="Times New Roman"/>
          <w:lang w:val="en"/>
        </w:rPr>
        <w:t xml:space="preserve"> deter and prevent price manipulation or any other disruptions to market integrity; to ensure the financial integrity of all transactions subject to this chapter and the avoidance of systemic risk; to protect all market participants from fraudulent or other abusive sales practices and misuses of customer assets; and to promote responsible innovation and fair competition among boards of trade, other markets and market </w:t>
      </w:r>
      <w:r w:rsidR="004049D0" w:rsidRPr="004049D0">
        <w:rPr>
          <w:rFonts w:eastAsia="PMingLiU" w:cs="Times New Roman"/>
          <w:szCs w:val="24"/>
          <w:lang w:val="en"/>
        </w:rPr>
        <w:t>participa</w:t>
      </w:r>
      <w:r w:rsidR="004049D0" w:rsidRPr="00D23D7B">
        <w:rPr>
          <w:rFonts w:eastAsia="PMingLiU" w:cs="Times New Roman"/>
          <w:szCs w:val="24"/>
          <w:lang w:val="en"/>
        </w:rPr>
        <w:t xml:space="preserve">nts.  </w:t>
      </w:r>
      <w:r w:rsidR="00BF2E68" w:rsidRPr="00D23D7B">
        <w:rPr>
          <w:rFonts w:eastAsia="PMingLiU" w:cs="Times New Roman"/>
          <w:szCs w:val="24"/>
        </w:rPr>
        <w:t xml:space="preserve">Section 8a(5) provides the </w:t>
      </w:r>
      <w:r w:rsidR="00B6544D" w:rsidRPr="00D23D7B">
        <w:rPr>
          <w:rFonts w:eastAsia="PMingLiU" w:cs="Times New Roman"/>
          <w:szCs w:val="24"/>
        </w:rPr>
        <w:t>Commission</w:t>
      </w:r>
      <w:r w:rsidR="00BF2E68" w:rsidRPr="00D23D7B">
        <w:rPr>
          <w:rFonts w:eastAsia="PMingLiU" w:cs="Times New Roman"/>
          <w:szCs w:val="24"/>
        </w:rPr>
        <w:t xml:space="preserve"> with authority to promulgate rules as reasonably necessary to effectuate any of the provisions or to accomplish</w:t>
      </w:r>
      <w:r w:rsidR="00B6544D" w:rsidRPr="00D23D7B">
        <w:rPr>
          <w:rFonts w:eastAsia="PMingLiU" w:cs="Times New Roman"/>
          <w:szCs w:val="24"/>
        </w:rPr>
        <w:t xml:space="preserve"> any of the purposes of the Act. </w:t>
      </w:r>
      <w:r w:rsidR="00BF2E68" w:rsidRPr="00D23D7B">
        <w:rPr>
          <w:rFonts w:eastAsia="PMingLiU" w:cs="Times New Roman"/>
          <w:szCs w:val="24"/>
        </w:rPr>
        <w:t xml:space="preserve"> </w:t>
      </w:r>
      <w:r w:rsidR="00B6544D" w:rsidRPr="00D23D7B">
        <w:rPr>
          <w:rFonts w:eastAsia="PMingLiU" w:cs="Times New Roman"/>
          <w:szCs w:val="24"/>
        </w:rPr>
        <w:t xml:space="preserve">Section </w:t>
      </w:r>
      <w:r w:rsidR="00546BED" w:rsidRPr="00D23D7B">
        <w:rPr>
          <w:rStyle w:val="st"/>
          <w:rFonts w:cs="Times New Roman"/>
          <w:color w:val="222222"/>
          <w:lang w:val="en"/>
        </w:rPr>
        <w:t>4c(a)(6)</w:t>
      </w:r>
      <w:r w:rsidR="00546BED" w:rsidRPr="00D23D7B">
        <w:rPr>
          <w:rFonts w:eastAsia="PMingLiU" w:cs="Times New Roman"/>
          <w:szCs w:val="24"/>
        </w:rPr>
        <w:t xml:space="preserve"> of the Act</w:t>
      </w:r>
      <w:r w:rsidR="00B6544D" w:rsidRPr="00D23D7B">
        <w:rPr>
          <w:rFonts w:eastAsia="PMingLiU" w:cs="Times New Roman"/>
          <w:szCs w:val="24"/>
        </w:rPr>
        <w:t xml:space="preserve"> provides rulemaking authority to prohibit</w:t>
      </w:r>
      <w:r w:rsidR="00D56B0E" w:rsidRPr="00D23D7B">
        <w:rPr>
          <w:rFonts w:eastAsia="PMingLiU" w:cs="Times New Roman"/>
          <w:szCs w:val="24"/>
        </w:rPr>
        <w:t xml:space="preserve"> disruptive trading practices.  </w:t>
      </w:r>
    </w:p>
    <w:p w14:paraId="3A5172B7" w14:textId="77777777" w:rsidR="00FE58F8" w:rsidRDefault="00FE58F8" w:rsidP="00FE58F8">
      <w:pPr>
        <w:ind w:firstLine="720"/>
        <w:rPr>
          <w:rFonts w:eastAsia="PMingLiU" w:cs="Times New Roman"/>
          <w:szCs w:val="24"/>
        </w:rPr>
      </w:pPr>
    </w:p>
    <w:p w14:paraId="6C5A2597" w14:textId="4D8F610B" w:rsidR="00FE58F8" w:rsidRPr="000B6BBD" w:rsidRDefault="00FE58F8" w:rsidP="000B6BBD">
      <w:pPr>
        <w:tabs>
          <w:tab w:val="left" w:pos="-720"/>
        </w:tabs>
        <w:suppressAutoHyphens/>
      </w:pPr>
      <w:r>
        <w:tab/>
        <w:t xml:space="preserve">This collection </w:t>
      </w:r>
      <w:r w:rsidR="000B6BBD">
        <w:t xml:space="preserve">revises control number 3038-0052 with respect to the following specific existing Part 38 provisions: </w:t>
      </w:r>
      <w:r w:rsidR="000B6BBD">
        <w:rPr>
          <w:rFonts w:cs="Times New Roman"/>
        </w:rPr>
        <w:t>§§</w:t>
      </w:r>
      <w:r w:rsidR="000B6BBD">
        <w:t xml:space="preserve"> 38.401 and 38.5.  </w:t>
      </w:r>
    </w:p>
    <w:p w14:paraId="5BCD8F09" w14:textId="0AFEBC00" w:rsidR="001C1A68" w:rsidRPr="00F56608" w:rsidRDefault="001C1A68" w:rsidP="00D945B5">
      <w:pPr>
        <w:autoSpaceDE w:val="0"/>
        <w:autoSpaceDN w:val="0"/>
        <w:adjustRightInd w:val="0"/>
        <w:jc w:val="both"/>
        <w:rPr>
          <w:rFonts w:eastAsia="PMingLiU"/>
          <w:bCs/>
        </w:rPr>
      </w:pPr>
    </w:p>
    <w:p w14:paraId="5731FE46" w14:textId="23795E8E" w:rsidR="00D14EFB" w:rsidRPr="00FE58F8" w:rsidRDefault="00AA2F92" w:rsidP="00FE58F8">
      <w:pPr>
        <w:autoSpaceDE w:val="0"/>
        <w:autoSpaceDN w:val="0"/>
        <w:adjustRightInd w:val="0"/>
        <w:ind w:firstLine="720"/>
        <w:rPr>
          <w:rFonts w:eastAsia="Calibri" w:cs="Times New Roman"/>
          <w:szCs w:val="24"/>
          <w:lang w:val="en"/>
        </w:rPr>
      </w:pPr>
      <w:r>
        <w:rPr>
          <w:rFonts w:eastAsia="PMingLiU"/>
        </w:rPr>
        <w:t>Existing</w:t>
      </w:r>
      <w:r w:rsidRPr="00170AA9">
        <w:rPr>
          <w:rFonts w:eastAsia="PMingLiU"/>
        </w:rPr>
        <w:t xml:space="preserve"> § 38.401</w:t>
      </w:r>
      <w:r>
        <w:rPr>
          <w:rFonts w:eastAsia="PMingLiU"/>
        </w:rPr>
        <w:t xml:space="preserve"> </w:t>
      </w:r>
      <w:r w:rsidRPr="00170AA9">
        <w:rPr>
          <w:rFonts w:eastAsia="PMingLiU"/>
        </w:rPr>
        <w:t>requires DCMs to have procedures, arrangements, and resources for disclosing to the Commission, market participants, and the public accurate information on</w:t>
      </w:r>
      <w:r>
        <w:rPr>
          <w:rFonts w:eastAsia="PMingLiU"/>
        </w:rPr>
        <w:t xml:space="preserve">, among other things, </w:t>
      </w:r>
      <w:r w:rsidRPr="00170AA9">
        <w:rPr>
          <w:rFonts w:eastAsia="PMingLiU"/>
        </w:rPr>
        <w:t xml:space="preserve">the rules and specifications concerning the operation of the DCM’s electronic matching platform or trade execution facility.  </w:t>
      </w:r>
      <w:r w:rsidR="00AC5B6C">
        <w:rPr>
          <w:rFonts w:eastAsia="PMingLiU"/>
        </w:rPr>
        <w:t>Amended</w:t>
      </w:r>
      <w:r>
        <w:rPr>
          <w:rFonts w:eastAsia="PMingLiU"/>
        </w:rPr>
        <w:t xml:space="preserve"> </w:t>
      </w:r>
      <w:r w:rsidRPr="00170AA9">
        <w:rPr>
          <w:rFonts w:eastAsia="PMingLiU"/>
        </w:rPr>
        <w:t xml:space="preserve">§ 38.401 </w:t>
      </w:r>
      <w:r w:rsidR="00AC5B6C">
        <w:rPr>
          <w:rFonts w:eastAsia="PMingLiU"/>
        </w:rPr>
        <w:t>would</w:t>
      </w:r>
      <w:r w:rsidRPr="00170AA9">
        <w:rPr>
          <w:rFonts w:eastAsia="PMingLiU"/>
        </w:rPr>
        <w:t xml:space="preserve"> extend the disclosure requirements to cover certain attributes of the operation of electronic matching platforms.</w:t>
      </w:r>
      <w:r>
        <w:rPr>
          <w:rFonts w:eastAsia="PMingLiU"/>
        </w:rPr>
        <w:t xml:space="preserve">  Specifically, proposed</w:t>
      </w:r>
      <w:r w:rsidRPr="00170AA9">
        <w:rPr>
          <w:rFonts w:eastAsia="PMingLiU"/>
        </w:rPr>
        <w:t xml:space="preserve"> </w:t>
      </w:r>
      <w:r w:rsidRPr="00170AA9">
        <w:rPr>
          <w:rFonts w:eastAsia="PMingLiU" w:cs="Times New Roman"/>
        </w:rPr>
        <w:t>§</w:t>
      </w:r>
      <w:r>
        <w:rPr>
          <w:rFonts w:eastAsia="PMingLiU"/>
        </w:rPr>
        <w:t xml:space="preserve"> 38.401(a)(1)(iii)</w:t>
      </w:r>
      <w:r w:rsidR="00AC5B6C">
        <w:rPr>
          <w:rFonts w:eastAsia="PMingLiU"/>
        </w:rPr>
        <w:t xml:space="preserve"> would</w:t>
      </w:r>
      <w:r w:rsidRPr="00170AA9">
        <w:rPr>
          <w:rFonts w:eastAsia="PMingLiU"/>
        </w:rPr>
        <w:t xml:space="preserve"> require DCMs to disclose to the Commission, market participants and the public accurate information pertaining to </w:t>
      </w:r>
      <w:r w:rsidRPr="00170AA9">
        <w:rPr>
          <w:rFonts w:eastAsia="Calibri" w:cs="Times New Roman"/>
          <w:szCs w:val="24"/>
        </w:rPr>
        <w:t>rules or specifications pertaining to the operation of the electronic matching platform or trade execution facility, including but not limited to those pertaining to the operation of its electronic matching platform that materially affect the time, priority, price, or quantity of execution, or the ability to cancel, modify, or limit display of market participant orders.</w:t>
      </w:r>
      <w:r>
        <w:rPr>
          <w:rFonts w:eastAsia="Calibri" w:cs="Times New Roman"/>
          <w:szCs w:val="24"/>
        </w:rPr>
        <w:t xml:space="preserve">  Proposed </w:t>
      </w:r>
      <w:r w:rsidRPr="00170AA9">
        <w:rPr>
          <w:rFonts w:eastAsia="PMingLiU" w:cs="Times New Roman"/>
        </w:rPr>
        <w:t>§</w:t>
      </w:r>
      <w:r>
        <w:rPr>
          <w:rFonts w:eastAsia="PMingLiU"/>
        </w:rPr>
        <w:t xml:space="preserve"> 38.401(a)(iv)</w:t>
      </w:r>
      <w:r w:rsidR="00AC5B6C">
        <w:rPr>
          <w:rFonts w:eastAsia="PMingLiU"/>
        </w:rPr>
        <w:t xml:space="preserve"> would require</w:t>
      </w:r>
      <w:r>
        <w:rPr>
          <w:rFonts w:eastAsia="PMingLiU"/>
        </w:rPr>
        <w:t xml:space="preserve"> DCMs to</w:t>
      </w:r>
      <w:r w:rsidRPr="00170AA9">
        <w:rPr>
          <w:rFonts w:eastAsia="PMingLiU"/>
        </w:rPr>
        <w:t xml:space="preserve"> disclose to all market participants </w:t>
      </w:r>
      <w:r w:rsidRPr="00170AA9">
        <w:rPr>
          <w:rFonts w:eastAsia="Calibri" w:cs="Times New Roman"/>
          <w:szCs w:val="24"/>
        </w:rPr>
        <w:t>any known attributes of the electronic matching platform, other than those already disclosed in rules or specifications under section (a)(1)(iii), that materially affect the time, priority, price, or quantity of execution of market participant orders, the ability to cancel, modify, or limit display of market participant orders, or the dissemination of real-time market data to market participants, including but not limited to latencies or other variability in the electronic matching platform and the transmission of message acknowledgements, order confirmations, or trade confirmations, or dissemination of market data.</w:t>
      </w:r>
      <w:r w:rsidR="007F00B6">
        <w:rPr>
          <w:rFonts w:eastAsia="Calibri" w:cs="Times New Roman"/>
          <w:szCs w:val="24"/>
        </w:rPr>
        <w:t xml:space="preserve"> </w:t>
      </w:r>
      <w:r>
        <w:rPr>
          <w:rFonts w:eastAsia="PMingLiU"/>
        </w:rPr>
        <w:t xml:space="preserve"> </w:t>
      </w:r>
      <w:r w:rsidR="00AC5B6C">
        <w:rPr>
          <w:rFonts w:eastAsia="PMingLiU"/>
        </w:rPr>
        <w:t>Proposed</w:t>
      </w:r>
      <w:r>
        <w:rPr>
          <w:rFonts w:eastAsia="PMingLiU"/>
        </w:rPr>
        <w:t xml:space="preserve"> </w:t>
      </w:r>
      <w:r w:rsidRPr="00170AA9">
        <w:rPr>
          <w:rFonts w:eastAsia="PMingLiU" w:cs="Times New Roman"/>
        </w:rPr>
        <w:t>§</w:t>
      </w:r>
      <w:r>
        <w:rPr>
          <w:rFonts w:eastAsia="PMingLiU"/>
        </w:rPr>
        <w:t xml:space="preserve"> 38.401(c)(3) requires</w:t>
      </w:r>
      <w:r w:rsidRPr="00170AA9">
        <w:rPr>
          <w:rFonts w:eastAsia="PMingLiU"/>
        </w:rPr>
        <w:t xml:space="preserve"> that a DCM, </w:t>
      </w:r>
      <w:r w:rsidRPr="00170AA9">
        <w:rPr>
          <w:rFonts w:eastAsia="Calibri" w:cs="Times New Roman"/>
          <w:szCs w:val="24"/>
          <w:lang w:val="en"/>
        </w:rPr>
        <w:t xml:space="preserve">in making available on its website information pursuant to paragraphs (a)(1)(iii) and (iv) of </w:t>
      </w:r>
      <w:r w:rsidRPr="00170AA9">
        <w:rPr>
          <w:rFonts w:eastAsia="PMingLiU" w:cs="Times New Roman"/>
        </w:rPr>
        <w:t>§</w:t>
      </w:r>
      <w:r w:rsidRPr="00170AA9">
        <w:rPr>
          <w:rFonts w:eastAsia="PMingLiU"/>
        </w:rPr>
        <w:t xml:space="preserve"> 38.401(c)</w:t>
      </w:r>
      <w:r w:rsidRPr="00170AA9">
        <w:rPr>
          <w:rFonts w:eastAsia="Calibri" w:cs="Times New Roman"/>
          <w:szCs w:val="24"/>
          <w:lang w:val="en"/>
        </w:rPr>
        <w:t xml:space="preserve">, must place such information and submissions on its website within a reasonable time, but no later than 10 business days, following the identification of or changes to such attributes.  </w:t>
      </w:r>
      <w:r w:rsidR="00B1574B" w:rsidRPr="00B1574B">
        <w:rPr>
          <w:rFonts w:eastAsia="PMingLiU"/>
        </w:rPr>
        <w:t xml:space="preserve"> </w:t>
      </w:r>
    </w:p>
    <w:p w14:paraId="3D41AE00" w14:textId="77777777" w:rsidR="00B1574B" w:rsidRDefault="00B1574B" w:rsidP="00B1574B">
      <w:pPr>
        <w:autoSpaceDE w:val="0"/>
        <w:autoSpaceDN w:val="0"/>
        <w:adjustRightInd w:val="0"/>
        <w:jc w:val="both"/>
        <w:rPr>
          <w:rFonts w:eastAsia="PMingLiU"/>
          <w:bCs/>
        </w:rPr>
      </w:pPr>
    </w:p>
    <w:p w14:paraId="5A55EC7B" w14:textId="3D9F9B41" w:rsidR="00C032F4" w:rsidRDefault="000B6BBD" w:rsidP="00FE58F8">
      <w:pPr>
        <w:autoSpaceDE w:val="0"/>
        <w:autoSpaceDN w:val="0"/>
        <w:adjustRightInd w:val="0"/>
        <w:ind w:firstLine="720"/>
        <w:rPr>
          <w:lang w:eastAsia="zh-TW"/>
        </w:rPr>
      </w:pPr>
      <w:r>
        <w:rPr>
          <w:rFonts w:eastAsia="PMingLiU"/>
        </w:rPr>
        <w:t xml:space="preserve">Proposed </w:t>
      </w:r>
      <w:r>
        <w:rPr>
          <w:rFonts w:eastAsia="PMingLiU" w:cs="Times New Roman"/>
        </w:rPr>
        <w:t>§</w:t>
      </w:r>
      <w:r>
        <w:rPr>
          <w:rFonts w:eastAsia="PMingLiU"/>
        </w:rPr>
        <w:t xml:space="preserve"> 40.26</w:t>
      </w:r>
      <w:r w:rsidRPr="00A9694D">
        <w:rPr>
          <w:lang w:eastAsia="zh-TW"/>
        </w:rPr>
        <w:t xml:space="preserve"> is a more targeted iteration of existing § 38.5, which requires a DCM to file with the Commission such “information related to its business as a designated contract market” as the Commission may require.  Section 38.5 also requires a DCM upon request by the Commission or the director of DMO to file “a written demonstration” that the DCM “is in compliance with one or more core principles as specified in the request” or “satisfies its obligations under the Act,” including “supporting data, information and documents.”</w:t>
      </w:r>
      <w:r>
        <w:rPr>
          <w:lang w:eastAsia="zh-TW"/>
        </w:rPr>
        <w:t xml:space="preserve">  </w:t>
      </w:r>
      <w:r w:rsidRPr="00A9694D">
        <w:rPr>
          <w:lang w:eastAsia="zh-TW"/>
        </w:rPr>
        <w:t xml:space="preserve">Proposed § 40.26 does not alter a DCM’s existing obligations under § 38.5, but rather makes clear that Commission and DMO information requests may pertain specifically to market-maker and </w:t>
      </w:r>
      <w:r w:rsidRPr="00A9694D">
        <w:rPr>
          <w:lang w:eastAsia="zh-TW"/>
        </w:rPr>
        <w:lastRenderedPageBreak/>
        <w:t xml:space="preserve">trading incentive programs.  </w:t>
      </w:r>
      <w:r w:rsidR="00B1574B" w:rsidRPr="00B1574B">
        <w:rPr>
          <w:rFonts w:eastAsia="PMingLiU"/>
        </w:rPr>
        <w:t xml:space="preserve">Proposed </w:t>
      </w:r>
      <w:r w:rsidR="00B1574B" w:rsidRPr="000B6BBD">
        <w:rPr>
          <w:rFonts w:eastAsia="PMingLiU"/>
        </w:rPr>
        <w:t>§ 40.26</w:t>
      </w:r>
      <w:r w:rsidR="00B1574B" w:rsidRPr="00B1574B">
        <w:rPr>
          <w:rFonts w:eastAsia="PMingLiU"/>
        </w:rPr>
        <w:t xml:space="preserve"> would require that, upon request by the Commission or the Director of the Division of Market Oversight, a DCM must provide such information and data as may be requested regarding participation in market maker or trading incentive programs offered by the DCM, including but not limited to, individual program agreements, names of program participants, benchmarks achieved by program participants, and payments or other benefits conferred upon program participants.</w:t>
      </w:r>
      <w:r w:rsidR="00D85C82">
        <w:rPr>
          <w:rStyle w:val="FootnoteReference"/>
          <w:rFonts w:eastAsia="PMingLiU"/>
        </w:rPr>
        <w:footnoteReference w:id="3"/>
      </w:r>
      <w:r w:rsidR="00FE58F8">
        <w:rPr>
          <w:rFonts w:eastAsia="PMingLiU"/>
        </w:rPr>
        <w:t xml:space="preserve">  </w:t>
      </w:r>
    </w:p>
    <w:p w14:paraId="237C1471" w14:textId="77777777" w:rsidR="008F6F03" w:rsidRDefault="008F6F03" w:rsidP="00D85C82">
      <w:pPr>
        <w:autoSpaceDE w:val="0"/>
        <w:autoSpaceDN w:val="0"/>
        <w:adjustRightInd w:val="0"/>
        <w:rPr>
          <w:lang w:eastAsia="zh-TW"/>
        </w:rPr>
      </w:pPr>
    </w:p>
    <w:p w14:paraId="5D4DC482" w14:textId="77777777" w:rsidR="00FE58F8" w:rsidRPr="00FE58F8" w:rsidRDefault="00FE58F8" w:rsidP="00FE58F8">
      <w:pPr>
        <w:autoSpaceDE w:val="0"/>
        <w:autoSpaceDN w:val="0"/>
        <w:adjustRightInd w:val="0"/>
        <w:ind w:firstLine="720"/>
        <w:rPr>
          <w:rFonts w:eastAsia="PMingLiU"/>
        </w:rPr>
      </w:pPr>
    </w:p>
    <w:p w14:paraId="004A3F56" w14:textId="661477AB" w:rsidR="002E0580" w:rsidRPr="000B6BBD" w:rsidRDefault="00642B6A" w:rsidP="000B6BBD">
      <w:pPr>
        <w:tabs>
          <w:tab w:val="left" w:pos="-720"/>
        </w:tabs>
        <w:spacing w:after="240"/>
        <w:ind w:left="720" w:hanging="720"/>
        <w:jc w:val="both"/>
        <w:rPr>
          <w:rFonts w:eastAsia="Times New Roman" w:cs="Times New Roman"/>
          <w:b/>
          <w:szCs w:val="24"/>
        </w:rPr>
      </w:pPr>
      <w:r w:rsidRPr="00B86819">
        <w:rPr>
          <w:rFonts w:eastAsia="Times New Roman" w:cs="Times New Roman"/>
          <w:b/>
          <w:szCs w:val="24"/>
        </w:rPr>
        <w:t>2.</w:t>
      </w:r>
      <w:r w:rsidRPr="00B86819">
        <w:rPr>
          <w:rFonts w:eastAsia="Times New Roman" w:cs="Times New Roman"/>
          <w:b/>
          <w:szCs w:val="24"/>
        </w:rPr>
        <w:tab/>
        <w:t>Indicate how, by whom, and for what purpose the data would be used.  Except for a new collection, indicate the actual use the agency has made of the information recei</w:t>
      </w:r>
      <w:r w:rsidR="002E0580">
        <w:rPr>
          <w:rFonts w:eastAsia="Times New Roman" w:cs="Times New Roman"/>
          <w:b/>
          <w:szCs w:val="24"/>
        </w:rPr>
        <w:t>ved from the current collection.</w:t>
      </w:r>
    </w:p>
    <w:p w14:paraId="083C482C" w14:textId="02AD1E30" w:rsidR="00777A51" w:rsidRDefault="00777A51" w:rsidP="001C1A68">
      <w:pPr>
        <w:autoSpaceDE w:val="0"/>
        <w:autoSpaceDN w:val="0"/>
        <w:adjustRightInd w:val="0"/>
        <w:ind w:firstLine="720"/>
        <w:rPr>
          <w:rFonts w:eastAsia="PMingLiU" w:cs="Times New Roman"/>
        </w:rPr>
      </w:pPr>
      <w:r>
        <w:rPr>
          <w:rFonts w:eastAsia="PMingLiU" w:cs="Times New Roman"/>
        </w:rPr>
        <w:t>The Commission will continue to use all information previously collected under OMB Control Number 3038-0052.</w:t>
      </w:r>
      <w:r w:rsidR="000C2981">
        <w:rPr>
          <w:rFonts w:eastAsia="PMingLiU" w:cs="Times New Roman"/>
        </w:rPr>
        <w:t xml:space="preserve">  </w:t>
      </w:r>
    </w:p>
    <w:p w14:paraId="6B1E40E9" w14:textId="77777777" w:rsidR="000C2981" w:rsidRDefault="000C2981" w:rsidP="001C1A68">
      <w:pPr>
        <w:autoSpaceDE w:val="0"/>
        <w:autoSpaceDN w:val="0"/>
        <w:adjustRightInd w:val="0"/>
        <w:ind w:firstLine="720"/>
        <w:rPr>
          <w:rFonts w:eastAsia="PMingLiU" w:cs="Times New Roman"/>
        </w:rPr>
      </w:pPr>
    </w:p>
    <w:p w14:paraId="3406483A" w14:textId="74A744C8" w:rsidR="007F00B6" w:rsidRPr="00430FCE" w:rsidRDefault="000C2981" w:rsidP="00430FCE">
      <w:pPr>
        <w:autoSpaceDE w:val="0"/>
        <w:autoSpaceDN w:val="0"/>
        <w:adjustRightInd w:val="0"/>
        <w:ind w:firstLine="720"/>
        <w:rPr>
          <w:rFonts w:eastAsia="PMingLiU" w:cs="Times New Roman"/>
          <w:b/>
        </w:rPr>
      </w:pPr>
      <w:r>
        <w:rPr>
          <w:rFonts w:eastAsia="PMingLiU" w:cs="Times New Roman"/>
        </w:rPr>
        <w:t>With respect to</w:t>
      </w:r>
      <w:r w:rsidR="00430FCE">
        <w:rPr>
          <w:rFonts w:eastAsia="PMingLiU" w:cs="Times New Roman"/>
          <w:b/>
        </w:rPr>
        <w:t xml:space="preserve"> </w:t>
      </w:r>
      <w:r w:rsidR="00430FCE" w:rsidRPr="00430FCE">
        <w:rPr>
          <w:rFonts w:eastAsia="PMingLiU" w:cs="Times New Roman"/>
        </w:rPr>
        <w:t>proposed</w:t>
      </w:r>
      <w:r w:rsidR="00430FCE">
        <w:rPr>
          <w:rFonts w:eastAsia="PMingLiU" w:cs="Times New Roman"/>
          <w:b/>
        </w:rPr>
        <w:t xml:space="preserve"> </w:t>
      </w:r>
      <w:r w:rsidR="007F00B6" w:rsidRPr="004B7B89">
        <w:rPr>
          <w:rFonts w:eastAsia="PMingLiU" w:cs="Times New Roman"/>
          <w:b/>
        </w:rPr>
        <w:t>§§</w:t>
      </w:r>
      <w:r w:rsidR="007F00B6" w:rsidRPr="004B7B89">
        <w:rPr>
          <w:rFonts w:eastAsia="PMingLiU"/>
          <w:b/>
        </w:rPr>
        <w:t xml:space="preserve"> 38.401(a)</w:t>
      </w:r>
      <w:r w:rsidR="007F00B6">
        <w:rPr>
          <w:rFonts w:eastAsia="PMingLiU"/>
          <w:b/>
        </w:rPr>
        <w:t>(1)(iii) and (iv)</w:t>
      </w:r>
      <w:r w:rsidR="007F00B6" w:rsidRPr="004B7B89">
        <w:rPr>
          <w:rFonts w:eastAsia="PMingLiU"/>
          <w:b/>
        </w:rPr>
        <w:t xml:space="preserve"> and 38.401(c)</w:t>
      </w:r>
      <w:r w:rsidR="007F00B6">
        <w:rPr>
          <w:rFonts w:eastAsia="PMingLiU"/>
          <w:b/>
        </w:rPr>
        <w:t>(3)</w:t>
      </w:r>
      <w:r w:rsidR="00430FCE">
        <w:rPr>
          <w:rFonts w:eastAsia="PMingLiU"/>
        </w:rPr>
        <w:t>, t</w:t>
      </w:r>
      <w:r w:rsidR="001C1A68">
        <w:t>his data disclosed by DCMs</w:t>
      </w:r>
      <w:r w:rsidR="007F00B6">
        <w:t xml:space="preserve"> </w:t>
      </w:r>
      <w:r w:rsidR="006D0819">
        <w:t>to the Commission and</w:t>
      </w:r>
      <w:r w:rsidR="007F00B6">
        <w:t xml:space="preserve"> market participants </w:t>
      </w:r>
      <w:r w:rsidR="001C1A68">
        <w:t>would</w:t>
      </w:r>
      <w:r w:rsidR="007F00B6">
        <w:t xml:space="preserve"> ensure that each market participant has ready access to information that explains the existence and operation of any attribute within an electronic matching platform or trade execution facility that will impact how a market participant experiences the market.  The proposed amendments recognize that the structure, architecture, mechanics, characteristics, attributes, or other elements of an electronic matching platform or trade execution facility—elements that are under the design control of the DCM—may </w:t>
      </w:r>
      <w:r w:rsidR="007F00B6" w:rsidDel="00360D4E">
        <w:t>affect how market participant orders are received or executed.</w:t>
      </w:r>
      <w:r w:rsidR="007F00B6">
        <w:t xml:space="preserve">  </w:t>
      </w:r>
    </w:p>
    <w:p w14:paraId="75984FA8" w14:textId="77777777" w:rsidR="002E0580" w:rsidRDefault="002E0580" w:rsidP="002E0580">
      <w:pPr>
        <w:autoSpaceDE w:val="0"/>
        <w:autoSpaceDN w:val="0"/>
        <w:adjustRightInd w:val="0"/>
        <w:jc w:val="both"/>
        <w:rPr>
          <w:rFonts w:eastAsia="PMingLiU"/>
        </w:rPr>
      </w:pPr>
    </w:p>
    <w:p w14:paraId="2A876AE1" w14:textId="1C05AB03" w:rsidR="005B7F59" w:rsidRPr="00E60439" w:rsidRDefault="00430FCE" w:rsidP="00E60439">
      <w:pPr>
        <w:autoSpaceDE w:val="0"/>
        <w:autoSpaceDN w:val="0"/>
        <w:adjustRightInd w:val="0"/>
        <w:ind w:firstLine="720"/>
        <w:rPr>
          <w:rFonts w:eastAsia="PMingLiU"/>
        </w:rPr>
      </w:pPr>
      <w:r w:rsidRPr="00430FCE">
        <w:rPr>
          <w:rFonts w:eastAsia="PMingLiU"/>
          <w:lang w:eastAsia="zh-TW"/>
        </w:rPr>
        <w:t>With respect to proposed</w:t>
      </w:r>
      <w:r>
        <w:rPr>
          <w:rFonts w:eastAsia="PMingLiU"/>
          <w:b/>
          <w:lang w:eastAsia="zh-TW"/>
        </w:rPr>
        <w:t xml:space="preserve"> </w:t>
      </w:r>
      <w:r w:rsidR="002E0580" w:rsidRPr="004B7B89">
        <w:rPr>
          <w:rFonts w:eastAsia="PMingLiU"/>
          <w:b/>
          <w:lang w:eastAsia="zh-TW"/>
        </w:rPr>
        <w:t xml:space="preserve">§ </w:t>
      </w:r>
      <w:r w:rsidR="00207ED0">
        <w:rPr>
          <w:rFonts w:eastAsia="PMingLiU"/>
          <w:b/>
          <w:lang w:eastAsia="zh-TW"/>
        </w:rPr>
        <w:t>40.26</w:t>
      </w:r>
      <w:r>
        <w:rPr>
          <w:rFonts w:eastAsia="PMingLiU"/>
          <w:lang w:eastAsia="zh-TW"/>
        </w:rPr>
        <w:t>, t</w:t>
      </w:r>
      <w:r w:rsidR="00207ED0">
        <w:rPr>
          <w:rFonts w:eastAsia="PMingLiU"/>
          <w:lang w:eastAsia="zh-TW"/>
        </w:rPr>
        <w:t xml:space="preserve">he </w:t>
      </w:r>
      <w:r w:rsidR="00D14EFB" w:rsidRPr="006A19C0">
        <w:rPr>
          <w:rFonts w:eastAsia="PMingLiU"/>
        </w:rPr>
        <w:t xml:space="preserve">Commission </w:t>
      </w:r>
      <w:r w:rsidR="00207ED0">
        <w:rPr>
          <w:rFonts w:eastAsia="PMingLiU"/>
        </w:rPr>
        <w:t>will use</w:t>
      </w:r>
      <w:r w:rsidR="00D14EFB">
        <w:rPr>
          <w:rFonts w:eastAsia="PMingLiU"/>
        </w:rPr>
        <w:t xml:space="preserve"> the data to determine whether </w:t>
      </w:r>
      <w:r w:rsidR="00207ED0">
        <w:rPr>
          <w:rFonts w:eastAsia="PMingLiU"/>
        </w:rPr>
        <w:t>market marker and trading incentive</w:t>
      </w:r>
      <w:r w:rsidR="00D14EFB">
        <w:rPr>
          <w:rFonts w:eastAsia="PMingLiU"/>
        </w:rPr>
        <w:t xml:space="preserve"> programs</w:t>
      </w:r>
      <w:r w:rsidR="00D14EFB" w:rsidRPr="006A19C0">
        <w:rPr>
          <w:rFonts w:eastAsia="PMingLiU"/>
        </w:rPr>
        <w:t xml:space="preserve"> may potentially lead to abusive trading practices in violation of DCM and Commission rules</w:t>
      </w:r>
      <w:r w:rsidR="00D14EFB">
        <w:rPr>
          <w:rFonts w:eastAsia="PMingLiU"/>
        </w:rPr>
        <w:t>.</w:t>
      </w:r>
      <w:r w:rsidR="00D14EFB" w:rsidRPr="006A19C0">
        <w:rPr>
          <w:rFonts w:eastAsia="PMingLiU"/>
        </w:rPr>
        <w:t xml:space="preserve"> </w:t>
      </w:r>
      <w:r w:rsidR="00D14EFB">
        <w:rPr>
          <w:rFonts w:eastAsia="PMingLiU"/>
        </w:rPr>
        <w:t xml:space="preserve"> </w:t>
      </w:r>
    </w:p>
    <w:p w14:paraId="6C621312" w14:textId="77777777" w:rsidR="000822F9" w:rsidRPr="00B86819" w:rsidRDefault="000822F9" w:rsidP="001577B2">
      <w:pPr>
        <w:rPr>
          <w:rFonts w:eastAsia="Times New Roman" w:cs="Times New Roman"/>
          <w:color w:val="000000"/>
          <w:szCs w:val="24"/>
        </w:rPr>
      </w:pPr>
    </w:p>
    <w:p w14:paraId="5A55EC81" w14:textId="77777777" w:rsidR="00642B6A" w:rsidRPr="00642B6A" w:rsidRDefault="00642B6A" w:rsidP="00FE503D">
      <w:pPr>
        <w:keepNext/>
        <w:tabs>
          <w:tab w:val="left" w:pos="-720"/>
          <w:tab w:val="left" w:pos="0"/>
        </w:tabs>
        <w:spacing w:after="240"/>
        <w:ind w:left="720" w:hanging="720"/>
        <w:jc w:val="both"/>
        <w:rPr>
          <w:rFonts w:eastAsia="Times New Roman" w:cs="Times New Roman"/>
          <w:b/>
          <w:szCs w:val="24"/>
        </w:rPr>
      </w:pPr>
      <w:r w:rsidRPr="00B86819">
        <w:rPr>
          <w:rFonts w:eastAsia="Times New Roman" w:cs="Times New Roman"/>
          <w:b/>
          <w:szCs w:val="24"/>
        </w:rPr>
        <w:t>3.</w:t>
      </w:r>
      <w:r w:rsidRPr="00B86819">
        <w:rPr>
          <w:rFonts w:eastAsia="Times New Roman" w:cs="Times New Roman"/>
          <w:b/>
          <w:szCs w:val="24"/>
        </w:rPr>
        <w:tab/>
        <w:t>Describe whether, and to what extent, the collection of information involves the use of automated, electronic, mechanical, or other technological collection techniques or other</w:t>
      </w:r>
      <w:r w:rsidRPr="00642B6A">
        <w:rPr>
          <w:rFonts w:eastAsia="Times New Roman" w:cs="Times New Roman"/>
          <w:b/>
          <w:szCs w:val="24"/>
        </w:rPr>
        <w:t xml:space="preserve"> forms of information technology, e.g. permitting electronic submission of responses, and the basis for the decision for adopting this means of collection.  Also describe any consideration of using information technology to reduce burden.</w:t>
      </w:r>
    </w:p>
    <w:p w14:paraId="76BD57E3" w14:textId="573EA656" w:rsidR="00AD2AF1" w:rsidRDefault="00836741" w:rsidP="00D945B5">
      <w:pPr>
        <w:tabs>
          <w:tab w:val="left" w:pos="-720"/>
          <w:tab w:val="left" w:pos="0"/>
        </w:tabs>
        <w:spacing w:after="240"/>
        <w:jc w:val="both"/>
        <w:rPr>
          <w:rFonts w:eastAsia="Times New Roman" w:cs="Times New Roman"/>
          <w:szCs w:val="24"/>
        </w:rPr>
      </w:pPr>
      <w:r>
        <w:rPr>
          <w:rFonts w:eastAsia="Times New Roman" w:cs="Times New Roman"/>
          <w:szCs w:val="24"/>
        </w:rPr>
        <w:tab/>
        <w:t>The collection</w:t>
      </w:r>
      <w:r w:rsidR="00A051AF">
        <w:rPr>
          <w:rFonts w:eastAsia="Times New Roman" w:cs="Times New Roman"/>
          <w:szCs w:val="24"/>
        </w:rPr>
        <w:t>s</w:t>
      </w:r>
      <w:r w:rsidR="00642B6A" w:rsidRPr="00642B6A">
        <w:rPr>
          <w:rFonts w:eastAsia="Times New Roman" w:cs="Times New Roman"/>
          <w:szCs w:val="24"/>
        </w:rPr>
        <w:t xml:space="preserve"> of information </w:t>
      </w:r>
      <w:r w:rsidR="00A051AF">
        <w:rPr>
          <w:rFonts w:eastAsia="Times New Roman" w:cs="Times New Roman"/>
          <w:szCs w:val="24"/>
        </w:rPr>
        <w:t xml:space="preserve">described above </w:t>
      </w:r>
      <w:r w:rsidR="00642B6A" w:rsidRPr="00642B6A">
        <w:rPr>
          <w:rFonts w:eastAsia="Times New Roman" w:cs="Times New Roman"/>
          <w:szCs w:val="24"/>
        </w:rPr>
        <w:t>may be reported electronically</w:t>
      </w:r>
      <w:r w:rsidR="00430FCE">
        <w:rPr>
          <w:rFonts w:eastAsia="Times New Roman" w:cs="Times New Roman"/>
          <w:szCs w:val="24"/>
        </w:rPr>
        <w:t>, as electronic submissions to the CFTC or posting on DCM websites, as applicable</w:t>
      </w:r>
      <w:r w:rsidR="00642B6A" w:rsidRPr="00642B6A">
        <w:rPr>
          <w:rFonts w:eastAsia="Times New Roman" w:cs="Times New Roman"/>
          <w:szCs w:val="24"/>
        </w:rPr>
        <w:t xml:space="preserve">.  </w:t>
      </w:r>
    </w:p>
    <w:p w14:paraId="2A89D925" w14:textId="77777777" w:rsidR="00CB0776" w:rsidRPr="00642B6A" w:rsidRDefault="00CB0776" w:rsidP="00D945B5">
      <w:pPr>
        <w:tabs>
          <w:tab w:val="left" w:pos="-720"/>
          <w:tab w:val="left" w:pos="0"/>
        </w:tabs>
        <w:spacing w:after="240"/>
        <w:jc w:val="both"/>
        <w:rPr>
          <w:rFonts w:eastAsia="Times New Roman" w:cs="Times New Roman"/>
          <w:szCs w:val="24"/>
        </w:rPr>
      </w:pPr>
    </w:p>
    <w:p w14:paraId="70F970D4" w14:textId="07AE1DDB" w:rsidR="00A051AF" w:rsidRPr="000B6BBD" w:rsidRDefault="00642B6A" w:rsidP="000B6BB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lastRenderedPageBreak/>
        <w:t>4.</w:t>
      </w:r>
      <w:r w:rsidRPr="00642B6A">
        <w:rPr>
          <w:rFonts w:eastAsia="Times New Roman" w:cs="Times New Roman"/>
          <w:b/>
          <w:szCs w:val="24"/>
        </w:rPr>
        <w:tab/>
        <w:t>Describe efforts to identify duplication.  Show specifically why any similar information already available cannot be used or modified for use for the purposes described in Item 2 above.</w:t>
      </w:r>
    </w:p>
    <w:p w14:paraId="672CF912" w14:textId="51A7096E" w:rsidR="003B5288" w:rsidRPr="000B6BBD" w:rsidRDefault="00B73821" w:rsidP="00A051AF">
      <w:pPr>
        <w:tabs>
          <w:tab w:val="left" w:pos="-720"/>
        </w:tabs>
        <w:spacing w:after="240"/>
        <w:rPr>
          <w:rFonts w:eastAsia="PMingLiU"/>
          <w:bCs/>
        </w:rPr>
      </w:pPr>
      <w:r>
        <w:rPr>
          <w:rFonts w:eastAsia="Times New Roman" w:cs="Times New Roman"/>
          <w:szCs w:val="24"/>
        </w:rPr>
        <w:tab/>
      </w:r>
      <w:r w:rsidR="000B6BBD">
        <w:rPr>
          <w:rFonts w:eastAsia="Times New Roman" w:cs="Times New Roman"/>
          <w:szCs w:val="24"/>
        </w:rPr>
        <w:t xml:space="preserve">The </w:t>
      </w:r>
      <w:r w:rsidR="00207ED0">
        <w:rPr>
          <w:rFonts w:eastAsia="Times New Roman" w:cs="Times New Roman"/>
          <w:szCs w:val="24"/>
        </w:rPr>
        <w:t>information</w:t>
      </w:r>
      <w:r w:rsidR="000B6BBD">
        <w:rPr>
          <w:rFonts w:eastAsia="Times New Roman" w:cs="Times New Roman"/>
          <w:szCs w:val="24"/>
        </w:rPr>
        <w:t xml:space="preserve"> collection</w:t>
      </w:r>
      <w:r w:rsidR="00207ED0">
        <w:rPr>
          <w:rFonts w:eastAsia="Times New Roman" w:cs="Times New Roman"/>
          <w:szCs w:val="24"/>
        </w:rPr>
        <w:t xml:space="preserve"> pursuant to </w:t>
      </w:r>
      <w:r w:rsidR="00994CC8" w:rsidRPr="004B7B89">
        <w:rPr>
          <w:rFonts w:eastAsia="PMingLiU" w:cs="Times New Roman"/>
          <w:b/>
        </w:rPr>
        <w:t>§§</w:t>
      </w:r>
      <w:r w:rsidR="00994CC8" w:rsidRPr="004B7B89">
        <w:rPr>
          <w:rFonts w:eastAsia="PMingLiU"/>
          <w:b/>
        </w:rPr>
        <w:t xml:space="preserve"> 38.401(a)</w:t>
      </w:r>
      <w:r w:rsidR="00994CC8">
        <w:rPr>
          <w:rFonts w:eastAsia="PMingLiU"/>
          <w:b/>
        </w:rPr>
        <w:t>(1)(iii) and (iv)</w:t>
      </w:r>
      <w:r w:rsidR="00994CC8" w:rsidRPr="004B7B89">
        <w:rPr>
          <w:rFonts w:eastAsia="PMingLiU"/>
          <w:b/>
        </w:rPr>
        <w:t xml:space="preserve"> and 38.401(c)</w:t>
      </w:r>
      <w:r w:rsidR="00994CC8">
        <w:rPr>
          <w:rFonts w:eastAsia="PMingLiU"/>
          <w:b/>
        </w:rPr>
        <w:t>(3)</w:t>
      </w:r>
      <w:r w:rsidR="00207ED0">
        <w:rPr>
          <w:rFonts w:eastAsia="PMingLiU"/>
          <w:b/>
        </w:rPr>
        <w:t xml:space="preserve"> </w:t>
      </w:r>
      <w:r w:rsidR="00994CC8">
        <w:rPr>
          <w:rFonts w:eastAsia="PMingLiU"/>
          <w:bCs/>
        </w:rPr>
        <w:t>amend</w:t>
      </w:r>
      <w:r w:rsidR="00430FCE">
        <w:rPr>
          <w:rFonts w:eastAsia="PMingLiU"/>
          <w:bCs/>
        </w:rPr>
        <w:t>s</w:t>
      </w:r>
      <w:r w:rsidR="00994CC8">
        <w:rPr>
          <w:rFonts w:eastAsia="PMingLiU"/>
          <w:bCs/>
        </w:rPr>
        <w:t xml:space="preserve"> existing </w:t>
      </w:r>
      <w:r w:rsidR="00994CC8">
        <w:rPr>
          <w:rFonts w:eastAsia="PMingLiU" w:cs="Times New Roman"/>
          <w:bCs/>
        </w:rPr>
        <w:t>§</w:t>
      </w:r>
      <w:r w:rsidR="00994CC8">
        <w:rPr>
          <w:rFonts w:eastAsia="PMingLiU"/>
          <w:bCs/>
        </w:rPr>
        <w:t xml:space="preserve"> 38.401</w:t>
      </w:r>
      <w:r w:rsidR="00AA0863">
        <w:rPr>
          <w:rFonts w:eastAsia="PMingLiU"/>
          <w:bCs/>
        </w:rPr>
        <w:t xml:space="preserve"> to add new, additional disclosure requirements.  Accordingly, such requirements are not duplicative. </w:t>
      </w:r>
      <w:r w:rsidR="003B5288" w:rsidRPr="003B5288">
        <w:rPr>
          <w:rFonts w:eastAsia="PMingLiU"/>
          <w:lang w:eastAsia="zh-TW"/>
        </w:rPr>
        <w:t xml:space="preserve"> </w:t>
      </w:r>
    </w:p>
    <w:p w14:paraId="1BEB2B46" w14:textId="132C708A" w:rsidR="00B20669" w:rsidRDefault="00B20669" w:rsidP="00A051AF">
      <w:pPr>
        <w:tabs>
          <w:tab w:val="left" w:pos="-720"/>
        </w:tabs>
        <w:spacing w:after="240"/>
        <w:rPr>
          <w:rFonts w:eastAsia="Times New Roman" w:cs="Times New Roman"/>
          <w:b/>
          <w:szCs w:val="24"/>
        </w:rPr>
      </w:pPr>
      <w:r>
        <w:rPr>
          <w:rFonts w:eastAsia="PMingLiU"/>
          <w:bCs/>
        </w:rPr>
        <w:tab/>
        <w:t>The information</w:t>
      </w:r>
      <w:r w:rsidR="000B6BBD">
        <w:rPr>
          <w:rFonts w:eastAsia="PMingLiU"/>
          <w:bCs/>
        </w:rPr>
        <w:t xml:space="preserve"> collection</w:t>
      </w:r>
      <w:r>
        <w:rPr>
          <w:rFonts w:eastAsia="PMingLiU"/>
          <w:bCs/>
        </w:rPr>
        <w:t xml:space="preserve"> pursuant to</w:t>
      </w:r>
      <w:r w:rsidR="007C1FC8">
        <w:rPr>
          <w:rFonts w:eastAsia="Times New Roman" w:cs="Times New Roman"/>
          <w:b/>
          <w:szCs w:val="24"/>
        </w:rPr>
        <w:t xml:space="preserve"> </w:t>
      </w:r>
      <w:r w:rsidRPr="00555376">
        <w:rPr>
          <w:rFonts w:eastAsia="Times New Roman" w:cs="Times New Roman"/>
          <w:b/>
          <w:szCs w:val="24"/>
        </w:rPr>
        <w:t>§ 40.26</w:t>
      </w:r>
      <w:r w:rsidR="007C1FC8">
        <w:rPr>
          <w:rFonts w:eastAsia="Times New Roman" w:cs="Times New Roman"/>
          <w:b/>
          <w:szCs w:val="24"/>
        </w:rPr>
        <w:t xml:space="preserve"> </w:t>
      </w:r>
      <w:r w:rsidRPr="00B20669">
        <w:rPr>
          <w:rFonts w:eastAsia="PMingLiU"/>
          <w:lang w:eastAsia="zh-TW"/>
        </w:rPr>
        <w:t>serve</w:t>
      </w:r>
      <w:r w:rsidR="000B6BBD">
        <w:rPr>
          <w:rFonts w:eastAsia="PMingLiU"/>
          <w:lang w:eastAsia="zh-TW"/>
        </w:rPr>
        <w:t>s</w:t>
      </w:r>
      <w:r w:rsidRPr="00B20669">
        <w:rPr>
          <w:rFonts w:eastAsia="PMingLiU"/>
          <w:lang w:eastAsia="zh-TW"/>
        </w:rPr>
        <w:t xml:space="preserve"> in large part to emphasize existing regulatory requirements and Commission or staff authorities.  </w:t>
      </w:r>
      <w:r w:rsidR="003B5288" w:rsidRPr="003B5288">
        <w:rPr>
          <w:rFonts w:eastAsia="Times New Roman" w:cs="Times New Roman"/>
          <w:szCs w:val="24"/>
        </w:rPr>
        <w:t xml:space="preserve">The proposed </w:t>
      </w:r>
      <w:r w:rsidR="00430FCE">
        <w:rPr>
          <w:rFonts w:eastAsia="Times New Roman" w:cs="Times New Roman"/>
          <w:szCs w:val="24"/>
        </w:rPr>
        <w:t>rule is</w:t>
      </w:r>
      <w:r w:rsidR="003B5288" w:rsidRPr="003B5288">
        <w:rPr>
          <w:rFonts w:eastAsia="Times New Roman" w:cs="Times New Roman"/>
          <w:szCs w:val="24"/>
        </w:rPr>
        <w:t xml:space="preserve"> necessary to</w:t>
      </w:r>
      <w:r w:rsidR="003B5288">
        <w:rPr>
          <w:rFonts w:eastAsia="Times New Roman" w:cs="Times New Roman"/>
          <w:b/>
          <w:szCs w:val="24"/>
        </w:rPr>
        <w:t xml:space="preserve"> </w:t>
      </w:r>
      <w:r w:rsidR="003B5288" w:rsidRPr="00B20669">
        <w:rPr>
          <w:rFonts w:eastAsia="PMingLiU"/>
          <w:lang w:eastAsia="zh-TW"/>
        </w:rPr>
        <w:t xml:space="preserve">make clear that Commission and DMO information requests may pertain specifically to market-maker and trading incentive programs.  </w:t>
      </w:r>
    </w:p>
    <w:p w14:paraId="42F7F850" w14:textId="77777777" w:rsidR="00AA0863" w:rsidRPr="00642B6A" w:rsidRDefault="00AA0863" w:rsidP="00A051AF">
      <w:pPr>
        <w:tabs>
          <w:tab w:val="left" w:pos="-720"/>
        </w:tabs>
        <w:spacing w:after="240"/>
        <w:rPr>
          <w:rFonts w:eastAsia="Times New Roman" w:cs="Times New Roman"/>
          <w:szCs w:val="24"/>
        </w:rPr>
      </w:pPr>
    </w:p>
    <w:p w14:paraId="5A55EC85"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5.</w:t>
      </w:r>
      <w:r w:rsidRPr="00642B6A">
        <w:rPr>
          <w:rFonts w:eastAsia="Times New Roman" w:cs="Times New Roman"/>
          <w:b/>
          <w:szCs w:val="24"/>
        </w:rPr>
        <w:tab/>
        <w:t>If the collection of information involves small business or other small entities (Item 5 of OMB From 83-I), describe the methods used to minimize burden.</w:t>
      </w:r>
    </w:p>
    <w:p w14:paraId="2E04CDE4" w14:textId="1172B7E9" w:rsidR="00BD7D8C" w:rsidRPr="00BD7D8C" w:rsidRDefault="004D1B4F" w:rsidP="00527327">
      <w:pPr>
        <w:tabs>
          <w:tab w:val="left" w:pos="-720"/>
        </w:tabs>
        <w:spacing w:after="240"/>
        <w:rPr>
          <w:rFonts w:eastAsia="PMingLiU"/>
          <w:bCs/>
        </w:rPr>
      </w:pPr>
      <w:r>
        <w:rPr>
          <w:rFonts w:eastAsia="Times New Roman" w:cs="Times New Roman"/>
          <w:szCs w:val="24"/>
        </w:rPr>
        <w:tab/>
      </w:r>
      <w:r w:rsidR="00430FCE">
        <w:t>The required information collected under this OMB Control Number does not involve any small businesses or other small entities.  The Commission has established certain definitions of “small entities” to be used by the Commission in evaluating the impact of its rules on such entities in accordance with the Regulatory Flexibility Act (RFA).  The Commission previously determined that DCMs are not small entities for the purpose of the RFA.</w:t>
      </w:r>
    </w:p>
    <w:p w14:paraId="5A55EC87"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6.</w:t>
      </w:r>
      <w:r w:rsidRPr="00642B6A">
        <w:rPr>
          <w:rFonts w:eastAsia="Times New Roman" w:cs="Times New Roman"/>
          <w:b/>
          <w:szCs w:val="24"/>
        </w:rPr>
        <w:tab/>
        <w:t>Describe the consequence to the Federal Program or policy activities if the collection were conducted less frequently as well as any technical or legal obstacles to reducing burden.</w:t>
      </w:r>
    </w:p>
    <w:p w14:paraId="10A8FD92" w14:textId="28574E88" w:rsidR="00B743C4" w:rsidRDefault="00A8233C" w:rsidP="00B743C4">
      <w:pPr>
        <w:autoSpaceDE w:val="0"/>
        <w:autoSpaceDN w:val="0"/>
        <w:adjustRightInd w:val="0"/>
        <w:spacing w:after="120"/>
        <w:ind w:firstLine="720"/>
        <w:rPr>
          <w:rFonts w:eastAsia="PMingLiU" w:cs="Times New Roman"/>
          <w:szCs w:val="24"/>
          <w:lang w:val="en"/>
        </w:rPr>
      </w:pPr>
      <w:r w:rsidRPr="00A8233C">
        <w:t xml:space="preserve">The </w:t>
      </w:r>
      <w:r>
        <w:t xml:space="preserve">proposed frequency of collection requirements reflect the Commission’s balancing of </w:t>
      </w:r>
      <w:r w:rsidR="004F3AFA">
        <w:t xml:space="preserve">its goal </w:t>
      </w:r>
      <w:r>
        <w:t xml:space="preserve">increased </w:t>
      </w:r>
      <w:r w:rsidRPr="00A8233C">
        <w:rPr>
          <w:szCs w:val="28"/>
          <w:lang w:eastAsia="zh-TW"/>
        </w:rPr>
        <w:t xml:space="preserve">transparency and risk reduction against the burden placed on </w:t>
      </w:r>
      <w:r>
        <w:rPr>
          <w:szCs w:val="28"/>
          <w:lang w:eastAsia="zh-TW"/>
        </w:rPr>
        <w:t xml:space="preserve">the </w:t>
      </w:r>
      <w:r w:rsidR="004F3AFA">
        <w:rPr>
          <w:szCs w:val="28"/>
          <w:lang w:eastAsia="zh-TW"/>
        </w:rPr>
        <w:t>affected</w:t>
      </w:r>
      <w:r w:rsidRPr="00A8233C">
        <w:rPr>
          <w:szCs w:val="28"/>
          <w:lang w:eastAsia="zh-TW"/>
        </w:rPr>
        <w:t>.</w:t>
      </w:r>
      <w:r w:rsidR="004F3AFA">
        <w:rPr>
          <w:szCs w:val="28"/>
          <w:lang w:eastAsia="zh-TW"/>
        </w:rPr>
        <w:t xml:space="preserve"> </w:t>
      </w:r>
      <w:r w:rsidR="000B6BBD">
        <w:rPr>
          <w:szCs w:val="28"/>
          <w:lang w:eastAsia="zh-TW"/>
        </w:rPr>
        <w:t xml:space="preserve"> The</w:t>
      </w:r>
      <w:r>
        <w:rPr>
          <w:szCs w:val="28"/>
          <w:lang w:eastAsia="zh-TW"/>
        </w:rPr>
        <w:t xml:space="preserve"> frequency of collection </w:t>
      </w:r>
      <w:r w:rsidR="004F3AFA">
        <w:rPr>
          <w:szCs w:val="28"/>
          <w:lang w:eastAsia="zh-TW"/>
        </w:rPr>
        <w:t>depends</w:t>
      </w:r>
      <w:r w:rsidR="000B6BBD">
        <w:rPr>
          <w:szCs w:val="28"/>
          <w:lang w:eastAsia="zh-TW"/>
        </w:rPr>
        <w:t xml:space="preserve"> on the nature of a DCM’s </w:t>
      </w:r>
      <w:r>
        <w:rPr>
          <w:szCs w:val="28"/>
          <w:lang w:eastAsia="zh-TW"/>
        </w:rPr>
        <w:t>trading activit</w:t>
      </w:r>
      <w:r w:rsidR="000B6BBD">
        <w:rPr>
          <w:szCs w:val="28"/>
          <w:lang w:eastAsia="zh-TW"/>
        </w:rPr>
        <w:t xml:space="preserve">y, trading systems, or programs.  </w:t>
      </w:r>
      <w:r>
        <w:rPr>
          <w:rFonts w:cs="Times New Roman"/>
          <w:szCs w:val="28"/>
          <w:lang w:eastAsia="zh-TW"/>
        </w:rPr>
        <w:t xml:space="preserve">The Commission believes that </w:t>
      </w:r>
      <w:r w:rsidR="004F3AFA">
        <w:rPr>
          <w:rFonts w:cs="Times New Roman"/>
          <w:szCs w:val="28"/>
          <w:lang w:eastAsia="zh-TW"/>
        </w:rPr>
        <w:t>the requirements</w:t>
      </w:r>
      <w:r>
        <w:rPr>
          <w:szCs w:val="28"/>
          <w:lang w:eastAsia="zh-TW"/>
        </w:rPr>
        <w:t xml:space="preserve"> reflect the minimum reporting and disclosure that is necessary to </w:t>
      </w:r>
      <w:r w:rsidR="004F3AFA">
        <w:rPr>
          <w:szCs w:val="28"/>
          <w:lang w:eastAsia="zh-TW"/>
        </w:rPr>
        <w:t>achieve</w:t>
      </w:r>
      <w:r>
        <w:rPr>
          <w:szCs w:val="28"/>
          <w:lang w:eastAsia="zh-TW"/>
        </w:rPr>
        <w:t xml:space="preserve"> the Commission’s objectives</w:t>
      </w:r>
      <w:r w:rsidR="004F3AFA">
        <w:rPr>
          <w:szCs w:val="28"/>
          <w:lang w:eastAsia="zh-TW"/>
        </w:rPr>
        <w:t xml:space="preserve"> of</w:t>
      </w:r>
      <w:r w:rsidR="004F3AFA" w:rsidRPr="004F3AFA">
        <w:rPr>
          <w:rFonts w:eastAsia="PMingLiU" w:cs="Times New Roman"/>
          <w:szCs w:val="24"/>
        </w:rPr>
        <w:t xml:space="preserve"> </w:t>
      </w:r>
      <w:r w:rsidR="004F3AFA">
        <w:rPr>
          <w:rFonts w:eastAsia="PMingLiU" w:cs="Times New Roman"/>
          <w:szCs w:val="24"/>
        </w:rPr>
        <w:t xml:space="preserve">preventing </w:t>
      </w:r>
      <w:r w:rsidR="004F3AFA" w:rsidRPr="004049D0">
        <w:rPr>
          <w:rFonts w:eastAsia="PMingLiU" w:cs="Times New Roman"/>
          <w:lang w:val="en"/>
        </w:rPr>
        <w:t>disruptions to market inte</w:t>
      </w:r>
      <w:r w:rsidR="004F3AFA" w:rsidRPr="008D0711">
        <w:rPr>
          <w:rFonts w:eastAsia="PMingLiU" w:cs="Times New Roman"/>
          <w:lang w:val="en"/>
        </w:rPr>
        <w:t>grity, avoid</w:t>
      </w:r>
      <w:r w:rsidR="004F3AFA">
        <w:rPr>
          <w:rFonts w:eastAsia="PMingLiU" w:cs="Times New Roman"/>
          <w:lang w:val="en"/>
        </w:rPr>
        <w:t>ing</w:t>
      </w:r>
      <w:r w:rsidR="004F3AFA" w:rsidRPr="008D0711">
        <w:rPr>
          <w:rFonts w:eastAsia="PMingLiU" w:cs="Times New Roman"/>
          <w:szCs w:val="24"/>
        </w:rPr>
        <w:t xml:space="preserve"> </w:t>
      </w:r>
      <w:r w:rsidR="004F3AFA">
        <w:rPr>
          <w:rFonts w:eastAsia="PMingLiU" w:cs="Times New Roman"/>
          <w:szCs w:val="24"/>
        </w:rPr>
        <w:t>systemic risk and promoting</w:t>
      </w:r>
      <w:r w:rsidR="004F3AFA" w:rsidRPr="008D0711">
        <w:rPr>
          <w:rFonts w:eastAsia="PMingLiU" w:cs="Times New Roman"/>
          <w:szCs w:val="24"/>
        </w:rPr>
        <w:t xml:space="preserve"> </w:t>
      </w:r>
      <w:r w:rsidR="004F3AFA" w:rsidRPr="008D0711">
        <w:rPr>
          <w:rFonts w:eastAsia="PMingLiU" w:cs="Times New Roman"/>
          <w:lang w:val="en"/>
        </w:rPr>
        <w:t xml:space="preserve">responsible innovation and fair competition among boards of trade, other markets and market </w:t>
      </w:r>
      <w:r w:rsidR="004F3AFA" w:rsidRPr="008D0711">
        <w:rPr>
          <w:rFonts w:eastAsia="PMingLiU" w:cs="Times New Roman"/>
          <w:szCs w:val="24"/>
          <w:lang w:val="en"/>
        </w:rPr>
        <w:t xml:space="preserve">participants.  </w:t>
      </w:r>
    </w:p>
    <w:p w14:paraId="5A55EC8B" w14:textId="77777777" w:rsidR="00642B6A" w:rsidRPr="00642B6A" w:rsidRDefault="00642B6A" w:rsidP="00642B6A">
      <w:pPr>
        <w:ind w:firstLine="720"/>
        <w:rPr>
          <w:rFonts w:eastAsia="Times New Roman" w:cs="Times New Roman"/>
          <w:color w:val="000000"/>
          <w:szCs w:val="24"/>
        </w:rPr>
      </w:pPr>
    </w:p>
    <w:p w14:paraId="5A55EC8C"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7.</w:t>
      </w:r>
      <w:r w:rsidRPr="00642B6A">
        <w:rPr>
          <w:rFonts w:eastAsia="Times New Roman" w:cs="Times New Roman"/>
          <w:b/>
          <w:szCs w:val="24"/>
        </w:rPr>
        <w:tab/>
        <w:t>Explain any special circumstances that require the collection to be conducted in a manner:</w:t>
      </w:r>
    </w:p>
    <w:p w14:paraId="37FB3173" w14:textId="03500CE4" w:rsidR="00A668B2" w:rsidRPr="000B6BBD" w:rsidRDefault="00642B6A" w:rsidP="00102259">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report information to the agency more often than quarterly;</w:t>
      </w:r>
    </w:p>
    <w:p w14:paraId="20DB8D7D" w14:textId="49A7EA16" w:rsidR="00777A51" w:rsidRDefault="00777A51" w:rsidP="00642B6A">
      <w:pPr>
        <w:tabs>
          <w:tab w:val="left" w:pos="-720"/>
        </w:tabs>
        <w:spacing w:after="240"/>
        <w:rPr>
          <w:bCs/>
        </w:rPr>
      </w:pPr>
      <w:r>
        <w:rPr>
          <w:b/>
          <w:bCs/>
        </w:rPr>
        <w:tab/>
      </w:r>
      <w:r w:rsidR="00102259">
        <w:rPr>
          <w:bCs/>
        </w:rPr>
        <w:t xml:space="preserve">The Commission believes that changes to DCM electronic matching platforms relevant to its amendments to </w:t>
      </w:r>
      <w:r w:rsidR="00102259">
        <w:rPr>
          <w:rFonts w:cs="Times New Roman"/>
          <w:bCs/>
        </w:rPr>
        <w:t>§</w:t>
      </w:r>
      <w:r w:rsidR="00102259">
        <w:rPr>
          <w:bCs/>
        </w:rPr>
        <w:t xml:space="preserve"> 38.401 have the potential to impact market participants’ trading.  </w:t>
      </w:r>
      <w:r w:rsidR="00B743C4">
        <w:rPr>
          <w:bCs/>
        </w:rPr>
        <w:t xml:space="preserve">Unlike in the days of floor trading, the architecture of the matching engine is relevant to a market participant’s trading decisions.  </w:t>
      </w:r>
      <w:r w:rsidR="00102259">
        <w:rPr>
          <w:bCs/>
        </w:rPr>
        <w:t xml:space="preserve">Accordingly, to the extent </w:t>
      </w:r>
      <w:r>
        <w:rPr>
          <w:bCs/>
        </w:rPr>
        <w:t>any DCM</w:t>
      </w:r>
      <w:r w:rsidR="00102259">
        <w:rPr>
          <w:bCs/>
        </w:rPr>
        <w:t xml:space="preserve"> make</w:t>
      </w:r>
      <w:r>
        <w:rPr>
          <w:bCs/>
        </w:rPr>
        <w:t>s frequent</w:t>
      </w:r>
      <w:r w:rsidR="00102259">
        <w:rPr>
          <w:bCs/>
        </w:rPr>
        <w:t xml:space="preserve"> changes to </w:t>
      </w:r>
      <w:r w:rsidR="00102259">
        <w:rPr>
          <w:bCs/>
        </w:rPr>
        <w:lastRenderedPageBreak/>
        <w:t xml:space="preserve">their systems that implicate </w:t>
      </w:r>
      <w:r w:rsidR="00102259">
        <w:rPr>
          <w:rFonts w:cs="Times New Roman"/>
          <w:bCs/>
        </w:rPr>
        <w:t>§</w:t>
      </w:r>
      <w:r w:rsidR="00102259">
        <w:rPr>
          <w:bCs/>
        </w:rPr>
        <w:t xml:space="preserve"> 38.401 disclosure requirements, </w:t>
      </w:r>
      <w:r>
        <w:rPr>
          <w:bCs/>
        </w:rPr>
        <w:t>it is possible website</w:t>
      </w:r>
      <w:r w:rsidR="00102259">
        <w:rPr>
          <w:bCs/>
        </w:rPr>
        <w:t xml:space="preserve"> update</w:t>
      </w:r>
      <w:r>
        <w:rPr>
          <w:bCs/>
        </w:rPr>
        <w:t xml:space="preserve">s may occur </w:t>
      </w:r>
      <w:r w:rsidR="00102259">
        <w:rPr>
          <w:bCs/>
        </w:rPr>
        <w:t xml:space="preserve">more frequently than on a quarterly basis.  </w:t>
      </w:r>
    </w:p>
    <w:p w14:paraId="72B46099" w14:textId="634177E1" w:rsidR="00777A51" w:rsidRPr="00E60439" w:rsidRDefault="00777A51" w:rsidP="00777A51">
      <w:pPr>
        <w:tabs>
          <w:tab w:val="left" w:pos="-720"/>
        </w:tabs>
        <w:spacing w:after="240"/>
        <w:rPr>
          <w:rFonts w:eastAsia="PMingLiU"/>
        </w:rPr>
      </w:pPr>
      <w:r>
        <w:rPr>
          <w:bCs/>
        </w:rPr>
        <w:tab/>
        <w:t xml:space="preserve">As to </w:t>
      </w:r>
      <w:r>
        <w:rPr>
          <w:rFonts w:cs="Times New Roman"/>
          <w:bCs/>
        </w:rPr>
        <w:t>§</w:t>
      </w:r>
      <w:r>
        <w:rPr>
          <w:bCs/>
        </w:rPr>
        <w:t xml:space="preserve"> 40.26, the Commission’s inquiries concerning a DCM’s market maker or trading incentive program may occur more frequently than a quarterly basis, depending on the nature of a DCM’s programs and the Commission’s level of concern that any aspect of the program could </w:t>
      </w:r>
      <w:r w:rsidRPr="006A19C0">
        <w:rPr>
          <w:rFonts w:eastAsia="PMingLiU"/>
        </w:rPr>
        <w:t>potentially lead to abusive trading practices in violation of DCM and Commission rules</w:t>
      </w:r>
      <w:r>
        <w:rPr>
          <w:rFonts w:eastAsia="PMingLiU"/>
        </w:rPr>
        <w:t>.</w:t>
      </w:r>
      <w:r w:rsidRPr="006A19C0">
        <w:rPr>
          <w:rFonts w:eastAsia="PMingLiU"/>
        </w:rPr>
        <w:t xml:space="preserve"> </w:t>
      </w:r>
      <w:r>
        <w:rPr>
          <w:rFonts w:eastAsia="PMingLiU"/>
        </w:rPr>
        <w:t xml:space="preserve"> </w:t>
      </w:r>
    </w:p>
    <w:p w14:paraId="5A55EC8F"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szCs w:val="24"/>
        </w:rPr>
      </w:pPr>
      <w:r w:rsidRPr="00642B6A">
        <w:rPr>
          <w:rFonts w:eastAsia="Times New Roman" w:cs="Times New Roman"/>
          <w:b/>
          <w:szCs w:val="24"/>
        </w:rPr>
        <w:t xml:space="preserve">requiring respondents to prepare a written response to a collection of </w:t>
      </w:r>
      <w:r w:rsidRPr="003607A6">
        <w:rPr>
          <w:rFonts w:eastAsia="Times New Roman" w:cs="Times New Roman"/>
          <w:b/>
          <w:szCs w:val="24"/>
        </w:rPr>
        <w:t>information in fewer than 30 days after receipt of it:</w:t>
      </w:r>
    </w:p>
    <w:p w14:paraId="604E29D8" w14:textId="24F105C3" w:rsidR="00EA3010" w:rsidRDefault="00B91FAD" w:rsidP="00642B6A">
      <w:pPr>
        <w:tabs>
          <w:tab w:val="left" w:pos="-720"/>
          <w:tab w:val="left" w:pos="0"/>
          <w:tab w:val="left" w:pos="720"/>
        </w:tabs>
        <w:spacing w:after="240"/>
        <w:rPr>
          <w:rFonts w:eastAsia="Times New Roman" w:cs="Times New Roman"/>
          <w:szCs w:val="24"/>
        </w:rPr>
      </w:pPr>
      <w:r>
        <w:rPr>
          <w:rFonts w:eastAsia="Times New Roman" w:cs="Times New Roman"/>
          <w:b/>
          <w:szCs w:val="24"/>
        </w:rPr>
        <w:tab/>
      </w:r>
      <w:r w:rsidR="00EA3010">
        <w:t xml:space="preserve">In order for the Commission to adequately </w:t>
      </w:r>
      <w:r>
        <w:t xml:space="preserve">assess a DCM’s market maker or trading incentive program, </w:t>
      </w:r>
      <w:r w:rsidR="00EA3010">
        <w:t>a request for information</w:t>
      </w:r>
      <w:r>
        <w:t xml:space="preserve"> pursuant to </w:t>
      </w:r>
      <w:r>
        <w:rPr>
          <w:rFonts w:cs="Times New Roman"/>
          <w:bCs/>
        </w:rPr>
        <w:t>§</w:t>
      </w:r>
      <w:r>
        <w:rPr>
          <w:bCs/>
        </w:rPr>
        <w:t xml:space="preserve"> 40.26</w:t>
      </w:r>
      <w:r>
        <w:t xml:space="preserve"> </w:t>
      </w:r>
      <w:r w:rsidR="00EA3010">
        <w:t xml:space="preserve"> may require the collection and presentation of information in fewer than 30 days depending on the exigency of the situation.</w:t>
      </w:r>
    </w:p>
    <w:p w14:paraId="5A55EC91"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submit more tha</w:t>
      </w:r>
      <w:r w:rsidR="007F27F5">
        <w:rPr>
          <w:rFonts w:eastAsia="Times New Roman" w:cs="Times New Roman"/>
          <w:b/>
          <w:szCs w:val="24"/>
        </w:rPr>
        <w:t>n</w:t>
      </w:r>
      <w:r w:rsidRPr="00642B6A">
        <w:rPr>
          <w:rFonts w:eastAsia="Times New Roman" w:cs="Times New Roman"/>
          <w:b/>
          <w:szCs w:val="24"/>
        </w:rPr>
        <w:t xml:space="preserve"> an original and two copies of any document;</w:t>
      </w:r>
    </w:p>
    <w:p w14:paraId="5A55EC92" w14:textId="77777777" w:rsidR="00642B6A" w:rsidRPr="00642B6A" w:rsidRDefault="00747BF5" w:rsidP="005E0ED0">
      <w:pPr>
        <w:tabs>
          <w:tab w:val="left" w:pos="-720"/>
          <w:tab w:val="left" w:pos="0"/>
          <w:tab w:val="left" w:pos="720"/>
        </w:tabs>
        <w:spacing w:after="240"/>
        <w:rPr>
          <w:rFonts w:eastAsia="Times New Roman" w:cs="Times New Roman"/>
          <w:b/>
          <w:szCs w:val="24"/>
        </w:rPr>
      </w:pPr>
      <w:r>
        <w:rPr>
          <w:rFonts w:eastAsia="Times New Roman" w:cs="Times New Roman"/>
          <w:szCs w:val="24"/>
        </w:rPr>
        <w:tab/>
      </w:r>
      <w:r w:rsidR="00642B6A" w:rsidRPr="00642B6A">
        <w:rPr>
          <w:rFonts w:eastAsia="Times New Roman" w:cs="Times New Roman"/>
          <w:szCs w:val="24"/>
        </w:rPr>
        <w:t>Respondents are not required to submit more than an original and two copies of any documents to the Commission or third parties.</w:t>
      </w:r>
    </w:p>
    <w:p w14:paraId="5A55EC93" w14:textId="77777777" w:rsidR="00642B6A" w:rsidRPr="00642B6A" w:rsidRDefault="00642B6A" w:rsidP="00FE503D">
      <w:pPr>
        <w:numPr>
          <w:ilvl w:val="0"/>
          <w:numId w:val="1"/>
        </w:numPr>
        <w:tabs>
          <w:tab w:val="clear" w:pos="936"/>
          <w:tab w:val="left" w:pos="-720"/>
          <w:tab w:val="left" w:pos="0"/>
          <w:tab w:val="left" w:pos="720"/>
        </w:tabs>
        <w:spacing w:after="240"/>
        <w:ind w:left="1080" w:hanging="360"/>
        <w:rPr>
          <w:rFonts w:eastAsia="Times New Roman" w:cs="Times New Roman"/>
          <w:b/>
          <w:szCs w:val="24"/>
        </w:rPr>
      </w:pPr>
      <w:r w:rsidRPr="00642B6A">
        <w:rPr>
          <w:rFonts w:eastAsia="Times New Roman" w:cs="Times New Roman"/>
          <w:b/>
          <w:szCs w:val="24"/>
        </w:rPr>
        <w:t>requiring respondents to retain records other than health, medical, government contract, grant-in-aid, or tax records, for more than three years;</w:t>
      </w:r>
    </w:p>
    <w:p w14:paraId="0A320DE9" w14:textId="4EFEB8E0" w:rsidR="00B91FAD"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r>
      <w:r w:rsidR="00B91FAD">
        <w:t>DCMs are required to maintain records of all activities related to their business as a contract market, in a form and manner acceptable to the Commission, for a period of five years from the date thereof and shall be readily accessible during the first two years of the five year period, pursuant to Commission Regulation 1.31 and Core Principle 18 (Recordkeeping).  All such books and records are open to inspection by any representative of the Commission or the U.S. Department of Justice.</w:t>
      </w:r>
    </w:p>
    <w:p w14:paraId="5A55EC95"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in connection with a statistical survey, that is not designed to produce valid and reliable results that can be generalized to the universe of study; </w:t>
      </w:r>
    </w:p>
    <w:p w14:paraId="5A55EC96" w14:textId="77777777" w:rsidR="00642B6A" w:rsidRDefault="00642B6A" w:rsidP="00D945B5">
      <w:pPr>
        <w:tabs>
          <w:tab w:val="left" w:pos="-720"/>
          <w:tab w:val="left" w:pos="0"/>
          <w:tab w:val="left" w:pos="720"/>
        </w:tabs>
        <w:spacing w:after="240"/>
        <w:ind w:left="936" w:hanging="216"/>
        <w:contextualSpacing/>
        <w:rPr>
          <w:rFonts w:eastAsia="Times New Roman" w:cs="Times New Roman"/>
        </w:rPr>
      </w:pPr>
      <w:r w:rsidRPr="00642B6A">
        <w:rPr>
          <w:rFonts w:eastAsia="Times New Roman" w:cs="Times New Roman"/>
        </w:rPr>
        <w:t>Not applicable.</w:t>
      </w:r>
    </w:p>
    <w:p w14:paraId="5A55EC97" w14:textId="77777777" w:rsidR="00697065" w:rsidRPr="00642B6A" w:rsidRDefault="00697065" w:rsidP="00902356">
      <w:pPr>
        <w:tabs>
          <w:tab w:val="left" w:pos="-720"/>
          <w:tab w:val="left" w:pos="0"/>
          <w:tab w:val="left" w:pos="720"/>
        </w:tabs>
        <w:spacing w:after="240"/>
        <w:ind w:left="936"/>
        <w:contextualSpacing/>
        <w:rPr>
          <w:rFonts w:eastAsia="Times New Roman" w:cs="Times New Roman"/>
        </w:rPr>
      </w:pPr>
    </w:p>
    <w:p w14:paraId="5A55EC98" w14:textId="77777777" w:rsidR="00642B6A" w:rsidRPr="00642B6A" w:rsidRDefault="00642B6A" w:rsidP="00FE503D">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642B6A">
        <w:rPr>
          <w:rFonts w:eastAsia="Times New Roman" w:cs="Times New Roman"/>
          <w:b/>
          <w:szCs w:val="24"/>
        </w:rPr>
        <w:t>requiring the use of a statistical data classification that has not been reviewed and approved by OMB;</w:t>
      </w:r>
    </w:p>
    <w:p w14:paraId="5A55EC99" w14:textId="77777777"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14:paraId="5A55EC9A" w14:textId="77777777" w:rsidR="00642B6A" w:rsidRPr="003607A6"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w:t>
      </w:r>
      <w:r w:rsidRPr="003607A6">
        <w:rPr>
          <w:rFonts w:eastAsia="Times New Roman" w:cs="Times New Roman"/>
          <w:b/>
          <w:szCs w:val="24"/>
        </w:rPr>
        <w:t>other agencies for compatible confidential use; or</w:t>
      </w:r>
    </w:p>
    <w:p w14:paraId="5A55EC9B" w14:textId="77777777" w:rsidR="00642B6A" w:rsidRPr="00B86819" w:rsidRDefault="00642B6A" w:rsidP="00FE503D">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B86819">
        <w:rPr>
          <w:rFonts w:eastAsia="Times New Roman" w:cs="Times New Roman"/>
          <w:szCs w:val="24"/>
        </w:rPr>
        <w:tab/>
      </w:r>
      <w:r w:rsidRPr="00B86819">
        <w:rPr>
          <w:rFonts w:eastAsia="Times New Roman" w:cs="Times New Roman"/>
          <w:b/>
          <w:szCs w:val="24"/>
        </w:rPr>
        <w:t>The collection does not involv</w:t>
      </w:r>
      <w:r w:rsidR="00B86819" w:rsidRPr="00B86819">
        <w:rPr>
          <w:rFonts w:eastAsia="Times New Roman" w:cs="Times New Roman"/>
          <w:b/>
          <w:szCs w:val="24"/>
        </w:rPr>
        <w:t xml:space="preserve">e any pledge of confidentiality, </w:t>
      </w:r>
      <w:r w:rsidRPr="00B86819">
        <w:rPr>
          <w:rFonts w:eastAsia="Times New Roman" w:cs="Times New Roman"/>
          <w:b/>
          <w:szCs w:val="24"/>
        </w:rPr>
        <w:t xml:space="preserve">requiring respondents to submit proprietary trade secrets, or other confidential </w:t>
      </w:r>
      <w:r w:rsidRPr="00B86819">
        <w:rPr>
          <w:rFonts w:eastAsia="Times New Roman" w:cs="Times New Roman"/>
          <w:b/>
          <w:szCs w:val="24"/>
        </w:rPr>
        <w:lastRenderedPageBreak/>
        <w:t>information unless the agency can demonstrate that it has instituted procedures to protect the information's confidentiality to the extent permitted by law.</w:t>
      </w:r>
    </w:p>
    <w:p w14:paraId="5A55EC9C" w14:textId="77777777" w:rsidR="00642B6A" w:rsidRPr="00C9497A" w:rsidRDefault="00642B6A" w:rsidP="005E0ED0">
      <w:pPr>
        <w:tabs>
          <w:tab w:val="left" w:pos="-720"/>
          <w:tab w:val="left" w:pos="0"/>
          <w:tab w:val="left" w:pos="720"/>
        </w:tabs>
        <w:spacing w:after="240"/>
        <w:rPr>
          <w:rFonts w:eastAsia="Times New Roman" w:cs="Times New Roman"/>
          <w:b/>
          <w:szCs w:val="24"/>
        </w:rPr>
      </w:pPr>
      <w:r w:rsidRPr="00642B6A">
        <w:rPr>
          <w:rFonts w:eastAsia="Times New Roman" w:cs="Times New Roman"/>
          <w:szCs w:val="24"/>
        </w:rPr>
        <w:tab/>
        <w:t>The Commission has procedures to protect the confidentiality of an applicant’s or registrant’s data.  These are set forth in the Commission’s regulations at parts 145 and 147 of title 17 of the Code of Federal Regulations.</w:t>
      </w:r>
    </w:p>
    <w:p w14:paraId="5A55EC9D"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8.</w:t>
      </w:r>
      <w:r w:rsidRPr="00642B6A">
        <w:rPr>
          <w:rFonts w:eastAsia="Times New Roman" w:cs="Times New Roman"/>
          <w:b/>
          <w:szCs w:val="24"/>
        </w:rPr>
        <w:tab/>
        <w:t xml:space="preserve">If applicable, provide a copy and identify the date and page number of publication in the </w:t>
      </w:r>
      <w:r w:rsidRPr="00642B6A">
        <w:rPr>
          <w:rFonts w:eastAsia="Times New Roman" w:cs="Times New Roman"/>
          <w:b/>
          <w:i/>
          <w:szCs w:val="24"/>
        </w:rPr>
        <w:t>Federal Register</w:t>
      </w:r>
      <w:r w:rsidRPr="00642B6A">
        <w:rPr>
          <w:rFonts w:eastAsia="Times New Roman" w:cs="Times New Roman"/>
          <w:b/>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5A55EC9E" w14:textId="77777777" w:rsidR="00653547" w:rsidRDefault="00B86819" w:rsidP="005E0ED0">
      <w:pPr>
        <w:tabs>
          <w:tab w:val="left" w:pos="-720"/>
          <w:tab w:val="left" w:pos="0"/>
        </w:tabs>
        <w:overflowPunct w:val="0"/>
        <w:autoSpaceDE w:val="0"/>
        <w:autoSpaceDN w:val="0"/>
        <w:adjustRightInd w:val="0"/>
        <w:spacing w:after="240"/>
        <w:textAlignment w:val="baseline"/>
        <w:rPr>
          <w:rFonts w:eastAsia="Times New Roman" w:cs="Times New Roman"/>
          <w:szCs w:val="24"/>
        </w:rPr>
      </w:pPr>
      <w:r>
        <w:rPr>
          <w:rFonts w:eastAsia="Times New Roman" w:cs="Times New Roman"/>
          <w:szCs w:val="24"/>
        </w:rPr>
        <w:tab/>
      </w:r>
      <w:r w:rsidR="00554929" w:rsidRPr="00554929">
        <w:rPr>
          <w:rFonts w:eastAsia="Times New Roman" w:cs="Times New Roman"/>
          <w:szCs w:val="24"/>
        </w:rPr>
        <w:t xml:space="preserve">In the proposing Federal Register release, the Commission seeks public comment on any aspect of the proposed collection of information. </w:t>
      </w:r>
    </w:p>
    <w:p w14:paraId="40C53FDB" w14:textId="77777777" w:rsidR="00183707" w:rsidRPr="00642B6A" w:rsidRDefault="00183707" w:rsidP="005E0ED0">
      <w:pPr>
        <w:tabs>
          <w:tab w:val="left" w:pos="-720"/>
          <w:tab w:val="left" w:pos="0"/>
        </w:tabs>
        <w:overflowPunct w:val="0"/>
        <w:autoSpaceDE w:val="0"/>
        <w:autoSpaceDN w:val="0"/>
        <w:adjustRightInd w:val="0"/>
        <w:spacing w:after="240"/>
        <w:textAlignment w:val="baseline"/>
        <w:rPr>
          <w:rFonts w:eastAsia="Times New Roman" w:cs="Times New Roman"/>
          <w:szCs w:val="24"/>
        </w:rPr>
      </w:pPr>
    </w:p>
    <w:p w14:paraId="5A55EC9F"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9.</w:t>
      </w:r>
      <w:r w:rsidRPr="00642B6A">
        <w:rPr>
          <w:rFonts w:eastAsia="Times New Roman" w:cs="Times New Roman"/>
          <w:b/>
          <w:szCs w:val="24"/>
        </w:rPr>
        <w:tab/>
        <w:t>Explain any decision to provide any payment or gift to respondents, other than remuneration of contractors or grantees.</w:t>
      </w:r>
    </w:p>
    <w:p w14:paraId="2D063B1C" w14:textId="1BDAC67A" w:rsidR="00CB0776" w:rsidRDefault="0027708A" w:rsidP="005E0ED0">
      <w:pPr>
        <w:tabs>
          <w:tab w:val="left" w:pos="-720"/>
        </w:tabs>
        <w:spacing w:after="240"/>
        <w:rPr>
          <w:rFonts w:eastAsia="Times New Roman" w:cs="Times New Roman"/>
          <w:szCs w:val="24"/>
        </w:rPr>
      </w:pPr>
      <w:r>
        <w:rPr>
          <w:rFonts w:eastAsia="Times New Roman" w:cs="Times New Roman"/>
          <w:szCs w:val="24"/>
        </w:rPr>
        <w:tab/>
        <w:t>Not applicable.</w:t>
      </w:r>
      <w:r w:rsidR="002C7E70" w:rsidRPr="002C7E70">
        <w:t xml:space="preserve"> </w:t>
      </w:r>
      <w:r w:rsidR="002C7E70" w:rsidRPr="002C7E70">
        <w:rPr>
          <w:rFonts w:eastAsia="Times New Roman" w:cs="Times New Roman"/>
          <w:szCs w:val="24"/>
        </w:rPr>
        <w:t>The Commission has neither considered nor made any payment or gift to a respondent.</w:t>
      </w:r>
    </w:p>
    <w:p w14:paraId="5A55ECA1" w14:textId="77777777" w:rsidR="00642B6A" w:rsidRPr="00642B6A" w:rsidRDefault="00642B6A" w:rsidP="00FE503D">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10.</w:t>
      </w:r>
      <w:r w:rsidRPr="00642B6A">
        <w:rPr>
          <w:rFonts w:eastAsia="Times New Roman" w:cs="Times New Roman"/>
          <w:b/>
          <w:szCs w:val="24"/>
        </w:rPr>
        <w:tab/>
        <w:t>Describe any assurance of confidentiality provided to respondents and the basis for the assurance in statute, regulations, or agency policy.</w:t>
      </w:r>
    </w:p>
    <w:p w14:paraId="3FAA1761" w14:textId="32C2A6CF" w:rsidR="00183707" w:rsidRPr="00642B6A" w:rsidRDefault="00642B6A" w:rsidP="00CB0776">
      <w:pPr>
        <w:ind w:firstLine="720"/>
        <w:rPr>
          <w:rFonts w:eastAsia="Times New Roman" w:cs="Times New Roman"/>
          <w:szCs w:val="24"/>
        </w:rPr>
      </w:pPr>
      <w:r w:rsidRPr="00642B6A">
        <w:rPr>
          <w:rFonts w:eastAsia="Times New Roman" w:cs="Times New Roman"/>
          <w:szCs w:val="24"/>
        </w:rPr>
        <w:t xml:space="preserve">The Commission does not provide respondents with an assurance of confidentiality beyond that provided by applicable law.  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w:t>
      </w:r>
      <w:r w:rsidR="00E15E4F" w:rsidRPr="00E15E4F">
        <w:rPr>
          <w:rFonts w:eastAsia="Times New Roman" w:cs="Times New Roman"/>
          <w:szCs w:val="24"/>
        </w:rPr>
        <w:t>The Commission has procedures to protect the confidentiality of an applicant’s or registrant’s data.  These are set forth in the Commission’s regulations at parts 145 and 147 of title 17 of the Code of Federal Regulations.</w:t>
      </w:r>
    </w:p>
    <w:p w14:paraId="5A55ECA3" w14:textId="77777777" w:rsidR="00D945B5" w:rsidRDefault="00D945B5" w:rsidP="00642B6A">
      <w:pPr>
        <w:tabs>
          <w:tab w:val="left" w:pos="-720"/>
        </w:tabs>
        <w:spacing w:after="240"/>
        <w:rPr>
          <w:rFonts w:eastAsia="Times New Roman" w:cs="Times New Roman"/>
          <w:b/>
          <w:szCs w:val="24"/>
        </w:rPr>
      </w:pPr>
    </w:p>
    <w:p w14:paraId="5A55ECA4" w14:textId="77777777" w:rsidR="00642B6A" w:rsidRPr="00642B6A" w:rsidRDefault="00642B6A" w:rsidP="00FE503D">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11.</w:t>
      </w:r>
      <w:r w:rsidRPr="00642B6A">
        <w:rPr>
          <w:rFonts w:eastAsia="Times New Roman" w:cs="Times New Roman"/>
          <w:b/>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A55ECA5" w14:textId="77777777" w:rsidR="00642B6A" w:rsidRDefault="00642B6A" w:rsidP="005E0ED0">
      <w:pPr>
        <w:tabs>
          <w:tab w:val="left" w:pos="-720"/>
        </w:tabs>
        <w:suppressAutoHyphens/>
        <w:ind w:firstLine="720"/>
        <w:rPr>
          <w:rFonts w:eastAsia="Times New Roman" w:cs="Times New Roman"/>
          <w:szCs w:val="24"/>
        </w:rPr>
      </w:pPr>
      <w:r w:rsidRPr="00642B6A">
        <w:rPr>
          <w:rFonts w:eastAsia="Times New Roman" w:cs="Times New Roman"/>
          <w:szCs w:val="24"/>
        </w:rPr>
        <w:t>The regulations covered by this collection do not require the giving of sensitive information, as that term is used in Question 11.</w:t>
      </w:r>
    </w:p>
    <w:p w14:paraId="7B4FBB87" w14:textId="77777777" w:rsidR="00183707" w:rsidRDefault="00183707" w:rsidP="005E0ED0">
      <w:pPr>
        <w:tabs>
          <w:tab w:val="left" w:pos="-720"/>
        </w:tabs>
        <w:suppressAutoHyphens/>
        <w:ind w:firstLine="720"/>
        <w:rPr>
          <w:rFonts w:eastAsia="Times New Roman" w:cs="Times New Roman"/>
          <w:szCs w:val="24"/>
        </w:rPr>
      </w:pPr>
    </w:p>
    <w:p w14:paraId="5A55ECA6" w14:textId="77777777" w:rsidR="0027708A" w:rsidRPr="00642B6A" w:rsidRDefault="0027708A" w:rsidP="00642B6A">
      <w:pPr>
        <w:tabs>
          <w:tab w:val="left" w:pos="-720"/>
        </w:tabs>
        <w:suppressAutoHyphens/>
        <w:ind w:firstLine="720"/>
        <w:rPr>
          <w:rFonts w:eastAsia="Times New Roman" w:cs="Times New Roman"/>
          <w:szCs w:val="24"/>
        </w:rPr>
      </w:pPr>
    </w:p>
    <w:p w14:paraId="5A55ECA7" w14:textId="77777777" w:rsidR="00642B6A" w:rsidRPr="00642B6A" w:rsidRDefault="00642B6A" w:rsidP="00FE503D">
      <w:pPr>
        <w:tabs>
          <w:tab w:val="left" w:pos="-720"/>
          <w:tab w:val="left" w:pos="0"/>
        </w:tabs>
        <w:spacing w:after="240"/>
        <w:jc w:val="both"/>
        <w:rPr>
          <w:rFonts w:eastAsia="Times New Roman" w:cs="Times New Roman"/>
          <w:b/>
          <w:szCs w:val="24"/>
        </w:rPr>
      </w:pPr>
      <w:r w:rsidRPr="00642B6A">
        <w:rPr>
          <w:rFonts w:eastAsia="Times New Roman" w:cs="Times New Roman"/>
          <w:b/>
          <w:szCs w:val="24"/>
        </w:rPr>
        <w:t>12.</w:t>
      </w:r>
      <w:r w:rsidRPr="00642B6A">
        <w:rPr>
          <w:rFonts w:eastAsia="Times New Roman" w:cs="Times New Roman"/>
          <w:b/>
          <w:szCs w:val="24"/>
        </w:rPr>
        <w:tab/>
        <w:t>Provide estimates of the hour burden of the collection of information.  The Statement should:</w:t>
      </w:r>
    </w:p>
    <w:p w14:paraId="5A55ECA8" w14:textId="77777777" w:rsid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A55ECA9"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the request for approval covers more than one form, provide separate hour burden estimates for each form and aggregate the hour burdens in Item 13 of OMB Form 83-I.</w:t>
      </w:r>
    </w:p>
    <w:p w14:paraId="5A55ECAA"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14:paraId="5A55ECAB" w14:textId="65C48D3D" w:rsidR="00642B6A" w:rsidRDefault="00642B6A" w:rsidP="00FE503D">
      <w:pPr>
        <w:ind w:firstLine="720"/>
        <w:jc w:val="both"/>
      </w:pPr>
      <w:r w:rsidRPr="00642B6A">
        <w:rPr>
          <w:rFonts w:eastAsia="Times New Roman" w:cs="Times New Roman"/>
          <w:color w:val="000000"/>
          <w:szCs w:val="24"/>
        </w:rPr>
        <w:t>See Attachment A.</w:t>
      </w:r>
      <w:r w:rsidR="00B328FB" w:rsidRPr="00B328FB">
        <w:t xml:space="preserve"> </w:t>
      </w:r>
    </w:p>
    <w:p w14:paraId="3CDA1B56" w14:textId="77777777" w:rsidR="00183707" w:rsidRPr="00642B6A" w:rsidRDefault="00183707" w:rsidP="00FE503D">
      <w:pPr>
        <w:ind w:firstLine="720"/>
        <w:jc w:val="both"/>
        <w:rPr>
          <w:rFonts w:eastAsia="Times New Roman" w:cs="Times New Roman"/>
          <w:color w:val="000000"/>
          <w:szCs w:val="24"/>
        </w:rPr>
      </w:pPr>
    </w:p>
    <w:p w14:paraId="5A55ECAC" w14:textId="77777777" w:rsidR="00642B6A" w:rsidRPr="00642B6A" w:rsidRDefault="00642B6A" w:rsidP="00642B6A">
      <w:pPr>
        <w:ind w:firstLine="720"/>
        <w:rPr>
          <w:rFonts w:eastAsia="Times New Roman" w:cs="Times New Roman"/>
          <w:color w:val="000000"/>
          <w:szCs w:val="24"/>
        </w:rPr>
      </w:pPr>
    </w:p>
    <w:p w14:paraId="5A55ECAD" w14:textId="77777777" w:rsidR="00642B6A" w:rsidRPr="00642B6A" w:rsidRDefault="00642B6A" w:rsidP="00FE503D">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13.</w:t>
      </w:r>
      <w:r w:rsidRPr="00642B6A">
        <w:rPr>
          <w:rFonts w:eastAsia="Times New Roman" w:cs="Times New Roman"/>
          <w:b/>
          <w:szCs w:val="24"/>
        </w:rPr>
        <w:tab/>
        <w:t>Provide an estimate of the total annual cost burden to respondents or recordkeepers resulting from the collection of information.  (Do not include the cost of any hour burden shown in Items 12 and 14).</w:t>
      </w:r>
    </w:p>
    <w:p w14:paraId="5A55ECAE"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A55ECAF"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w:t>
      </w:r>
      <w:r w:rsidRPr="00642B6A">
        <w:rPr>
          <w:rFonts w:eastAsia="Times New Roman" w:cs="Times New Roman"/>
          <w:b/>
          <w:szCs w:val="24"/>
        </w:rPr>
        <w:lastRenderedPageBreak/>
        <w:t>ten), utilize the 60-day pre-OMB submission public comment process and use existing economic or regulatory impact analysis associated with the rulemaking containing the information collection, as appropriate.</w:t>
      </w:r>
    </w:p>
    <w:p w14:paraId="5A55ECB0"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069E742D" w14:textId="77777777" w:rsidR="00777A51" w:rsidRDefault="00777A51" w:rsidP="00777A51">
      <w:pPr>
        <w:jc w:val="both"/>
      </w:pPr>
    </w:p>
    <w:p w14:paraId="0A4A2B47" w14:textId="07DB9AFF" w:rsidR="00777A51" w:rsidRDefault="00777A51" w:rsidP="00777A51">
      <w:pPr>
        <w:ind w:left="360" w:firstLine="720"/>
        <w:jc w:val="both"/>
      </w:pPr>
      <w:r w:rsidRPr="00777A51">
        <w:rPr>
          <w:rFonts w:eastAsia="Times New Roman" w:cs="Times New Roman"/>
          <w:color w:val="000000"/>
          <w:szCs w:val="24"/>
        </w:rPr>
        <w:t>See Attachment A.</w:t>
      </w:r>
      <w:r w:rsidRPr="00B328FB">
        <w:t xml:space="preserve"> </w:t>
      </w:r>
    </w:p>
    <w:p w14:paraId="406B55DF" w14:textId="77777777" w:rsidR="005E0ED0" w:rsidRDefault="005E0ED0" w:rsidP="00FE503D">
      <w:pPr>
        <w:ind w:firstLine="720"/>
        <w:jc w:val="both"/>
        <w:rPr>
          <w:rFonts w:eastAsia="Times New Roman" w:cs="Times New Roman"/>
          <w:color w:val="000000"/>
          <w:szCs w:val="24"/>
        </w:rPr>
      </w:pPr>
    </w:p>
    <w:p w14:paraId="5A55ECB2" w14:textId="77777777" w:rsidR="00637711" w:rsidRPr="00642B6A" w:rsidRDefault="00637711" w:rsidP="00642B6A">
      <w:pPr>
        <w:ind w:firstLine="720"/>
        <w:rPr>
          <w:rFonts w:eastAsia="Times New Roman" w:cs="Times New Roman"/>
          <w:color w:val="000000"/>
          <w:szCs w:val="24"/>
        </w:rPr>
      </w:pPr>
    </w:p>
    <w:p w14:paraId="5A55ECB3" w14:textId="77777777" w:rsidR="00642B6A" w:rsidRPr="00642B6A" w:rsidRDefault="00642B6A" w:rsidP="00FE503D">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14.</w:t>
      </w:r>
      <w:r w:rsidRPr="00642B6A">
        <w:rPr>
          <w:rFonts w:eastAsia="Times New Roman" w:cs="Times New Roman"/>
          <w:b/>
          <w:szCs w:val="24"/>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14:paraId="16577E4C" w14:textId="1D54A75F" w:rsidR="00183707" w:rsidRPr="00642B6A" w:rsidRDefault="00642B6A" w:rsidP="005E0ED0">
      <w:pPr>
        <w:tabs>
          <w:tab w:val="left" w:pos="-720"/>
        </w:tabs>
        <w:spacing w:after="240"/>
        <w:rPr>
          <w:rFonts w:eastAsia="Times New Roman" w:cs="Times New Roman"/>
          <w:szCs w:val="24"/>
        </w:rPr>
      </w:pPr>
      <w:r w:rsidRPr="00642B6A">
        <w:rPr>
          <w:rFonts w:eastAsia="Times New Roman" w:cs="Times New Roman"/>
          <w:szCs w:val="24"/>
        </w:rPr>
        <w:tab/>
      </w:r>
      <w:r w:rsidR="00C9497A">
        <w:rPr>
          <w:rFonts w:eastAsia="Times New Roman" w:cs="Times New Roman"/>
          <w:szCs w:val="24"/>
        </w:rPr>
        <w:t>It is not anticipated that the final regulations will impose any additional costs to the Federal Government.</w:t>
      </w:r>
    </w:p>
    <w:p w14:paraId="5A55ECB5"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15.</w:t>
      </w:r>
      <w:r w:rsidRPr="00642B6A">
        <w:rPr>
          <w:rFonts w:eastAsia="Times New Roman" w:cs="Times New Roman"/>
          <w:b/>
          <w:szCs w:val="24"/>
        </w:rPr>
        <w:tab/>
        <w:t>Explain the reasons for any program changes or adjustments reported in Items 13 or 14 of the OMB Form 83-I.</w:t>
      </w:r>
    </w:p>
    <w:p w14:paraId="2F785EA5" w14:textId="0600A2DA" w:rsidR="00777A51" w:rsidRPr="007F00B6" w:rsidRDefault="005E0ED0" w:rsidP="00777A51">
      <w:pPr>
        <w:tabs>
          <w:tab w:val="left" w:pos="-720"/>
        </w:tabs>
        <w:spacing w:after="240"/>
        <w:jc w:val="both"/>
      </w:pPr>
      <w:r>
        <w:rPr>
          <w:rFonts w:eastAsia="Times New Roman" w:cs="Times New Roman"/>
          <w:szCs w:val="24"/>
        </w:rPr>
        <w:tab/>
      </w:r>
      <w:r w:rsidR="00385AAF">
        <w:rPr>
          <w:rFonts w:eastAsia="Times New Roman" w:cs="Times New Roman"/>
          <w:szCs w:val="24"/>
        </w:rPr>
        <w:t xml:space="preserve">The </w:t>
      </w:r>
      <w:r w:rsidR="00777A51">
        <w:rPr>
          <w:rFonts w:eastAsia="Times New Roman" w:cs="Times New Roman"/>
          <w:szCs w:val="24"/>
        </w:rPr>
        <w:t>additional information collection pursuant to amended § 38.401 is necessary to</w:t>
      </w:r>
      <w:r w:rsidR="00777A51">
        <w:t xml:space="preserve"> ensure that each market participant has ready access to information that explains the existence and operation of any attribute within an electronic matching platform or trade execution facility that will impact how a market participant experiences the market.  The proposed amendments recognize that the structure, architecture, mechanics, characteristics, attributes, or other elements of an electronic matching platform or trade execution facility—elements that are under the design control of the DCM—may </w:t>
      </w:r>
      <w:r w:rsidR="00777A51" w:rsidDel="00360D4E">
        <w:t>affect how market participant orders are received or executed.</w:t>
      </w:r>
      <w:r w:rsidR="00777A51">
        <w:t xml:space="preserve">  </w:t>
      </w:r>
    </w:p>
    <w:p w14:paraId="31E93069" w14:textId="289F7445" w:rsidR="00777A51" w:rsidRDefault="00777A51" w:rsidP="00FE503D">
      <w:pPr>
        <w:tabs>
          <w:tab w:val="left" w:pos="-720"/>
        </w:tabs>
        <w:spacing w:after="240"/>
        <w:jc w:val="both"/>
        <w:rPr>
          <w:rFonts w:eastAsia="PMingLiU" w:cs="Times New Roman"/>
          <w:szCs w:val="24"/>
          <w:lang w:val="en"/>
        </w:rPr>
      </w:pPr>
      <w:r>
        <w:rPr>
          <w:lang w:eastAsia="zh-TW"/>
        </w:rPr>
        <w:tab/>
      </w:r>
      <w:r w:rsidRPr="00A9694D">
        <w:rPr>
          <w:lang w:eastAsia="zh-TW"/>
        </w:rPr>
        <w:t xml:space="preserve">Proposed § 40.26 does not alter a DCM’s existing obligations under § 38.5, but rather makes clear that Commission and DMO information requests may pertain specifically to market-maker and trading incentive programs.  </w:t>
      </w:r>
    </w:p>
    <w:p w14:paraId="0ED5E867" w14:textId="77777777" w:rsidR="00777A51" w:rsidRPr="00CB0776" w:rsidRDefault="00777A51" w:rsidP="00FE503D">
      <w:pPr>
        <w:tabs>
          <w:tab w:val="left" w:pos="-720"/>
        </w:tabs>
        <w:spacing w:after="240"/>
        <w:jc w:val="both"/>
        <w:rPr>
          <w:rFonts w:eastAsia="PMingLiU" w:cs="Times New Roman"/>
          <w:szCs w:val="24"/>
          <w:lang w:val="en"/>
        </w:rPr>
      </w:pPr>
    </w:p>
    <w:p w14:paraId="5A55ECB7"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16.</w:t>
      </w:r>
      <w:r w:rsidRPr="00642B6A">
        <w:rPr>
          <w:rFonts w:eastAsia="Times New Roman" w:cs="Times New Roman"/>
          <w:b/>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14:paraId="2D0BEE7B" w14:textId="4D57175A" w:rsidR="00183707"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r w:rsidR="00FE503D">
        <w:rPr>
          <w:rFonts w:eastAsia="Times New Roman" w:cs="Times New Roman"/>
          <w:szCs w:val="24"/>
        </w:rPr>
        <w:t>This question d</w:t>
      </w:r>
      <w:r w:rsidRPr="00642B6A">
        <w:rPr>
          <w:rFonts w:eastAsia="Times New Roman" w:cs="Times New Roman"/>
          <w:szCs w:val="24"/>
        </w:rPr>
        <w:t>oes not apply.</w:t>
      </w:r>
    </w:p>
    <w:p w14:paraId="5A55ECB9"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lastRenderedPageBreak/>
        <w:t>17.</w:t>
      </w:r>
      <w:r w:rsidRPr="00642B6A">
        <w:rPr>
          <w:rFonts w:eastAsia="Times New Roman" w:cs="Times New Roman"/>
          <w:b/>
          <w:szCs w:val="24"/>
        </w:rPr>
        <w:tab/>
        <w:t>If seeking approval to not display the expiration date for OMB approval of the information collection, explain the reasons that display would be inappropriate.</w:t>
      </w:r>
    </w:p>
    <w:p w14:paraId="3DC8BAB4" w14:textId="5CFA2AB0" w:rsidR="00183707"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r w:rsidR="00FE503D">
        <w:rPr>
          <w:rFonts w:eastAsia="Times New Roman" w:cs="Times New Roman"/>
          <w:szCs w:val="24"/>
        </w:rPr>
        <w:t>This question does not</w:t>
      </w:r>
      <w:r w:rsidRPr="00642B6A">
        <w:rPr>
          <w:rFonts w:eastAsia="Times New Roman" w:cs="Times New Roman"/>
          <w:szCs w:val="24"/>
        </w:rPr>
        <w:t xml:space="preserve"> apply.</w:t>
      </w:r>
    </w:p>
    <w:p w14:paraId="5A55ECBB" w14:textId="77777777" w:rsidR="00642B6A" w:rsidRPr="00642B6A" w:rsidRDefault="00642B6A" w:rsidP="00FE503D">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18.</w:t>
      </w:r>
      <w:r w:rsidRPr="00642B6A">
        <w:rPr>
          <w:rFonts w:eastAsia="Times New Roman" w:cs="Times New Roman"/>
          <w:b/>
          <w:szCs w:val="24"/>
        </w:rPr>
        <w:tab/>
        <w:t>Explain each exception to the certification statement identified in Item 19, "Certification for Paperwork Reduction Act Submissions," of OMB Form 83-I.</w:t>
      </w:r>
    </w:p>
    <w:p w14:paraId="5A55ED68" w14:textId="5EE054BC" w:rsidR="00585718" w:rsidRDefault="00642B6A" w:rsidP="00CB0776">
      <w:pPr>
        <w:tabs>
          <w:tab w:val="left" w:pos="-720"/>
        </w:tabs>
        <w:spacing w:after="240"/>
        <w:rPr>
          <w:rFonts w:eastAsia="Times New Roman" w:cs="Times New Roman"/>
          <w:szCs w:val="24"/>
        </w:rPr>
      </w:pPr>
      <w:r w:rsidRPr="00642B6A">
        <w:rPr>
          <w:rFonts w:eastAsia="Times New Roman" w:cs="Times New Roman"/>
          <w:szCs w:val="24"/>
        </w:rPr>
        <w:tab/>
      </w:r>
      <w:r w:rsidR="00FE503D">
        <w:rPr>
          <w:rFonts w:eastAsia="Times New Roman" w:cs="Times New Roman"/>
          <w:szCs w:val="24"/>
        </w:rPr>
        <w:t>This question do</w:t>
      </w:r>
      <w:r w:rsidRPr="00642B6A">
        <w:rPr>
          <w:rFonts w:eastAsia="Times New Roman" w:cs="Times New Roman"/>
          <w:szCs w:val="24"/>
        </w:rPr>
        <w:t>es not apply.</w:t>
      </w:r>
    </w:p>
    <w:p w14:paraId="556B60CB" w14:textId="21BE47CB" w:rsidR="00DB2D73" w:rsidRDefault="00DB2D73" w:rsidP="00CB0776">
      <w:pPr>
        <w:tabs>
          <w:tab w:val="left" w:pos="-720"/>
        </w:tabs>
        <w:spacing w:after="240"/>
        <w:rPr>
          <w:rFonts w:eastAsia="Times New Roman" w:cs="Times New Roman"/>
          <w:szCs w:val="24"/>
        </w:rPr>
      </w:pPr>
    </w:p>
    <w:p w14:paraId="765EF612" w14:textId="77777777" w:rsidR="00DB2D73" w:rsidRDefault="00DB2D73">
      <w:pPr>
        <w:spacing w:after="200" w:line="276" w:lineRule="auto"/>
        <w:rPr>
          <w:rFonts w:eastAsia="Times New Roman" w:cs="Times New Roman"/>
          <w:szCs w:val="24"/>
        </w:rPr>
      </w:pPr>
      <w:r>
        <w:rPr>
          <w:rFonts w:eastAsia="Times New Roman" w:cs="Times New Roman"/>
          <w:szCs w:val="24"/>
        </w:rPr>
        <w:br w:type="page"/>
      </w:r>
    </w:p>
    <w:p w14:paraId="3580DB14" w14:textId="77777777" w:rsidR="00DB2D73" w:rsidRDefault="00DB2D73" w:rsidP="00DB2D73">
      <w:pPr>
        <w:tabs>
          <w:tab w:val="left" w:pos="-720"/>
        </w:tabs>
        <w:spacing w:after="240"/>
        <w:jc w:val="center"/>
        <w:rPr>
          <w:rFonts w:eastAsia="Times New Roman" w:cs="Times New Roman"/>
          <w:b/>
          <w:szCs w:val="24"/>
        </w:rPr>
      </w:pPr>
      <w:r>
        <w:rPr>
          <w:rFonts w:eastAsia="Times New Roman" w:cs="Times New Roman"/>
          <w:b/>
          <w:szCs w:val="24"/>
        </w:rPr>
        <w:lastRenderedPageBreak/>
        <w:t>Attachment A</w:t>
      </w:r>
    </w:p>
    <w:p w14:paraId="2B615A9E" w14:textId="77777777" w:rsidR="00DB2D73" w:rsidRDefault="00DB2D73" w:rsidP="00DB2D73">
      <w:pPr>
        <w:jc w:val="center"/>
        <w:rPr>
          <w:rFonts w:eastAsia="Times New Roman" w:cs="Times New Roman"/>
          <w:b/>
          <w:szCs w:val="24"/>
        </w:rPr>
      </w:pPr>
    </w:p>
    <w:p w14:paraId="285608D5" w14:textId="77777777" w:rsidR="002D4B3B" w:rsidRDefault="00DB2D73" w:rsidP="002D4B3B">
      <w:pPr>
        <w:jc w:val="center"/>
        <w:rPr>
          <w:rFonts w:eastAsia="Times New Roman" w:cs="Times New Roman"/>
          <w:b/>
          <w:szCs w:val="24"/>
        </w:rPr>
      </w:pPr>
      <w:r>
        <w:rPr>
          <w:rFonts w:eastAsia="Times New Roman" w:cs="Times New Roman"/>
          <w:b/>
          <w:szCs w:val="24"/>
        </w:rPr>
        <w:t>OMB Control Number 3038</w:t>
      </w:r>
      <w:r w:rsidR="002D4B3B">
        <w:rPr>
          <w:rFonts w:eastAsia="Times New Roman" w:cs="Times New Roman"/>
          <w:b/>
          <w:szCs w:val="24"/>
        </w:rPr>
        <w:t xml:space="preserve">-0052 </w:t>
      </w:r>
    </w:p>
    <w:p w14:paraId="4698892D" w14:textId="4689B4D6" w:rsidR="002D4B3B" w:rsidRDefault="002D4B3B" w:rsidP="002D4B3B">
      <w:pPr>
        <w:jc w:val="center"/>
        <w:rPr>
          <w:rFonts w:eastAsia="Times New Roman" w:cs="Times New Roman"/>
          <w:b/>
          <w:szCs w:val="24"/>
        </w:rPr>
      </w:pPr>
      <w:r>
        <w:rPr>
          <w:rFonts w:eastAsia="Times New Roman" w:cs="Times New Roman"/>
          <w:b/>
          <w:szCs w:val="24"/>
        </w:rPr>
        <w:t>Core Principles and Other Requirements for DCMs</w:t>
      </w:r>
    </w:p>
    <w:p w14:paraId="6BA226ED" w14:textId="77777777" w:rsidR="002D4B3B" w:rsidRDefault="002D4B3B" w:rsidP="00DB2D73">
      <w:pPr>
        <w:jc w:val="center"/>
        <w:rPr>
          <w:rFonts w:eastAsia="Times New Roman" w:cs="Times New Roman"/>
          <w:b/>
          <w:szCs w:val="24"/>
        </w:rPr>
      </w:pPr>
    </w:p>
    <w:p w14:paraId="15AEB061" w14:textId="77777777" w:rsidR="002D4B3B" w:rsidRDefault="002D4B3B" w:rsidP="00DB2D73">
      <w:pPr>
        <w:jc w:val="center"/>
        <w:rPr>
          <w:rFonts w:eastAsia="Times New Roman" w:cs="Times New Roman"/>
          <w:b/>
          <w:szCs w:val="24"/>
        </w:rPr>
      </w:pPr>
    </w:p>
    <w:p w14:paraId="78CDC4C0" w14:textId="77777777" w:rsidR="00DB2D73" w:rsidRDefault="00DB2D73" w:rsidP="00DB2D73">
      <w:pPr>
        <w:jc w:val="center"/>
        <w:rPr>
          <w:rFonts w:eastAsia="Times New Roman" w:cs="Times New Roman"/>
          <w:b/>
          <w:szCs w:val="24"/>
        </w:rPr>
      </w:pPr>
    </w:p>
    <w:p w14:paraId="0901F7A2" w14:textId="77777777" w:rsidR="00DB2D73" w:rsidRDefault="00DB2D73" w:rsidP="00DB2D73">
      <w:pPr>
        <w:jc w:val="center"/>
        <w:rPr>
          <w:rFonts w:eastAsia="Times New Roman" w:cs="Times New Roman"/>
          <w:szCs w:val="24"/>
        </w:rPr>
      </w:pPr>
      <w:r>
        <w:rPr>
          <w:rFonts w:eastAsia="Times New Roman" w:cs="Times New Roman"/>
          <w:szCs w:val="24"/>
        </w:rPr>
        <w:t xml:space="preserve">Reporting Burden </w:t>
      </w:r>
    </w:p>
    <w:p w14:paraId="2B85BB53" w14:textId="77777777" w:rsidR="00DB2D73" w:rsidRDefault="00DB2D73" w:rsidP="00DB2D73">
      <w:pPr>
        <w:jc w:val="center"/>
        <w:rPr>
          <w:rFonts w:eastAsia="Times New Roman" w:cs="Times New Roman"/>
          <w:szCs w:val="24"/>
        </w:rPr>
      </w:pPr>
    </w:p>
    <w:tbl>
      <w:tblPr>
        <w:tblW w:w="5900" w:type="pc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8"/>
        <w:gridCol w:w="1254"/>
        <w:gridCol w:w="1168"/>
        <w:gridCol w:w="1166"/>
        <w:gridCol w:w="1166"/>
        <w:gridCol w:w="988"/>
        <w:gridCol w:w="1166"/>
        <w:gridCol w:w="1078"/>
        <w:gridCol w:w="890"/>
        <w:gridCol w:w="1166"/>
      </w:tblGrid>
      <w:tr w:rsidR="00DB2D73" w14:paraId="7B8766D3" w14:textId="77777777" w:rsidTr="00DB2D73">
        <w:trPr>
          <w:trHeight w:val="1427"/>
        </w:trPr>
        <w:tc>
          <w:tcPr>
            <w:tcW w:w="556" w:type="pct"/>
            <w:tcBorders>
              <w:top w:val="single" w:sz="4" w:space="0" w:color="000000"/>
              <w:left w:val="single" w:sz="4" w:space="0" w:color="000000"/>
              <w:bottom w:val="single" w:sz="4" w:space="0" w:color="000000"/>
              <w:right w:val="single" w:sz="4" w:space="0" w:color="000000"/>
            </w:tcBorders>
            <w:hideMark/>
          </w:tcPr>
          <w:p w14:paraId="44701ED7"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w:t>
            </w:r>
          </w:p>
          <w:p w14:paraId="1C5C0715"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Regulation(s)</w:t>
            </w:r>
          </w:p>
        </w:tc>
        <w:tc>
          <w:tcPr>
            <w:tcW w:w="555" w:type="pct"/>
            <w:tcBorders>
              <w:top w:val="single" w:sz="4" w:space="0" w:color="000000"/>
              <w:left w:val="single" w:sz="4" w:space="0" w:color="000000"/>
              <w:bottom w:val="single" w:sz="4" w:space="0" w:color="000000"/>
              <w:right w:val="single" w:sz="4" w:space="0" w:color="000000"/>
            </w:tcBorders>
          </w:tcPr>
          <w:p w14:paraId="11887677"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w:t>
            </w:r>
          </w:p>
          <w:p w14:paraId="3B3571CC"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 xml:space="preserve">Estimated Number of Respondents </w:t>
            </w:r>
          </w:p>
          <w:p w14:paraId="0C5B6C4A"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p>
        </w:tc>
        <w:tc>
          <w:tcPr>
            <w:tcW w:w="517" w:type="pct"/>
            <w:tcBorders>
              <w:top w:val="single" w:sz="4" w:space="0" w:color="000000"/>
              <w:left w:val="single" w:sz="4" w:space="0" w:color="000000"/>
              <w:bottom w:val="single" w:sz="4" w:space="0" w:color="000000"/>
              <w:right w:val="single" w:sz="4" w:space="0" w:color="000000"/>
            </w:tcBorders>
            <w:hideMark/>
          </w:tcPr>
          <w:p w14:paraId="2A5609CF"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3.</w:t>
            </w:r>
          </w:p>
          <w:p w14:paraId="41C30325"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Estimated Number of Reports</w:t>
            </w:r>
          </w:p>
          <w:p w14:paraId="715C7E13"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by Each Respondent</w:t>
            </w:r>
          </w:p>
        </w:tc>
        <w:tc>
          <w:tcPr>
            <w:tcW w:w="516" w:type="pct"/>
            <w:tcBorders>
              <w:top w:val="single" w:sz="4" w:space="0" w:color="000000"/>
              <w:left w:val="single" w:sz="4" w:space="0" w:color="000000"/>
              <w:bottom w:val="single" w:sz="4" w:space="0" w:color="000000"/>
              <w:right w:val="single" w:sz="4" w:space="0" w:color="000000"/>
            </w:tcBorders>
            <w:hideMark/>
          </w:tcPr>
          <w:p w14:paraId="045DA4BA"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4.</w:t>
            </w:r>
          </w:p>
          <w:p w14:paraId="178536EF"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Estimated Average Number of Burden Hours per Response</w:t>
            </w:r>
          </w:p>
        </w:tc>
        <w:tc>
          <w:tcPr>
            <w:tcW w:w="516" w:type="pct"/>
            <w:tcBorders>
              <w:top w:val="single" w:sz="4" w:space="0" w:color="000000"/>
              <w:left w:val="single" w:sz="4" w:space="0" w:color="000000"/>
              <w:bottom w:val="single" w:sz="4" w:space="0" w:color="000000"/>
              <w:right w:val="single" w:sz="4" w:space="0" w:color="000000"/>
            </w:tcBorders>
            <w:hideMark/>
          </w:tcPr>
          <w:p w14:paraId="6C992D9D"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5.</w:t>
            </w:r>
          </w:p>
          <w:p w14:paraId="4B77C21E"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Annual  Number of Burden Hours per Respondent</w:t>
            </w:r>
          </w:p>
          <w:p w14:paraId="4C5EC9E5"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(3 x 4)</w:t>
            </w:r>
          </w:p>
        </w:tc>
        <w:tc>
          <w:tcPr>
            <w:tcW w:w="437" w:type="pct"/>
            <w:tcBorders>
              <w:top w:val="single" w:sz="4" w:space="0" w:color="000000"/>
              <w:left w:val="single" w:sz="4" w:space="0" w:color="000000"/>
              <w:bottom w:val="single" w:sz="4" w:space="0" w:color="000000"/>
              <w:right w:val="single" w:sz="4" w:space="0" w:color="000000"/>
            </w:tcBorders>
          </w:tcPr>
          <w:p w14:paraId="6B743D97"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 xml:space="preserve">6. </w:t>
            </w:r>
          </w:p>
          <w:p w14:paraId="656BBD2B"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Estimated Average Burden Hour Cost</w:t>
            </w:r>
          </w:p>
          <w:p w14:paraId="71450970"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p>
        </w:tc>
        <w:tc>
          <w:tcPr>
            <w:tcW w:w="516" w:type="pct"/>
            <w:tcBorders>
              <w:top w:val="single" w:sz="4" w:space="0" w:color="000000"/>
              <w:left w:val="single" w:sz="4" w:space="0" w:color="000000"/>
              <w:bottom w:val="single" w:sz="4" w:space="0" w:color="000000"/>
              <w:right w:val="single" w:sz="4" w:space="0" w:color="000000"/>
            </w:tcBorders>
            <w:hideMark/>
          </w:tcPr>
          <w:p w14:paraId="00880055" w14:textId="77777777" w:rsidR="00DB2D73" w:rsidRDefault="00DB2D73">
            <w:pPr>
              <w:spacing w:line="276" w:lineRule="auto"/>
              <w:jc w:val="center"/>
              <w:rPr>
                <w:rFonts w:ascii="Arial" w:hAnsi="Arial" w:cs="Arial"/>
                <w:b/>
                <w:sz w:val="16"/>
                <w:szCs w:val="16"/>
              </w:rPr>
            </w:pPr>
            <w:r>
              <w:rPr>
                <w:rFonts w:ascii="Arial" w:hAnsi="Arial" w:cs="Arial"/>
                <w:b/>
                <w:sz w:val="16"/>
                <w:szCs w:val="16"/>
              </w:rPr>
              <w:t>7.</w:t>
            </w:r>
          </w:p>
          <w:p w14:paraId="7C816D0E" w14:textId="77777777" w:rsidR="00DB2D73" w:rsidRDefault="00DB2D73">
            <w:pPr>
              <w:spacing w:line="276" w:lineRule="auto"/>
              <w:jc w:val="center"/>
              <w:rPr>
                <w:rFonts w:ascii="Arial" w:hAnsi="Arial" w:cs="Arial"/>
                <w:b/>
                <w:sz w:val="16"/>
                <w:szCs w:val="16"/>
              </w:rPr>
            </w:pPr>
            <w:r>
              <w:rPr>
                <w:rFonts w:ascii="Arial" w:hAnsi="Arial" w:cs="Arial"/>
                <w:b/>
                <w:sz w:val="16"/>
                <w:szCs w:val="16"/>
              </w:rPr>
              <w:t>Total Average Hour Burden Cost Per Respondent</w:t>
            </w:r>
          </w:p>
          <w:p w14:paraId="0C41AA6D" w14:textId="77777777" w:rsidR="00DB2D73" w:rsidRDefault="00DB2D73">
            <w:pPr>
              <w:spacing w:line="276" w:lineRule="auto"/>
              <w:jc w:val="center"/>
              <w:rPr>
                <w:rFonts w:ascii="Arial" w:hAnsi="Arial" w:cs="Arial"/>
                <w:b/>
                <w:sz w:val="16"/>
                <w:szCs w:val="16"/>
              </w:rPr>
            </w:pPr>
            <w:r>
              <w:rPr>
                <w:rFonts w:ascii="Arial" w:hAnsi="Arial" w:cs="Arial"/>
                <w:b/>
                <w:sz w:val="16"/>
                <w:szCs w:val="16"/>
              </w:rPr>
              <w:t>(5 x 6)</w:t>
            </w:r>
          </w:p>
        </w:tc>
        <w:tc>
          <w:tcPr>
            <w:tcW w:w="477" w:type="pct"/>
            <w:tcBorders>
              <w:top w:val="single" w:sz="4" w:space="0" w:color="000000"/>
              <w:left w:val="single" w:sz="4" w:space="0" w:color="000000"/>
              <w:bottom w:val="single" w:sz="4" w:space="0" w:color="000000"/>
              <w:right w:val="single" w:sz="4" w:space="0" w:color="000000"/>
            </w:tcBorders>
            <w:hideMark/>
          </w:tcPr>
          <w:p w14:paraId="4E33CBAC"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8.</w:t>
            </w:r>
          </w:p>
          <w:p w14:paraId="3419688A"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Total Annual</w:t>
            </w:r>
          </w:p>
          <w:p w14:paraId="4DCC54EB"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Responses</w:t>
            </w:r>
          </w:p>
          <w:p w14:paraId="32E28C98"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 x 3)</w:t>
            </w:r>
          </w:p>
        </w:tc>
        <w:tc>
          <w:tcPr>
            <w:tcW w:w="394" w:type="pct"/>
            <w:tcBorders>
              <w:top w:val="single" w:sz="4" w:space="0" w:color="000000"/>
              <w:left w:val="single" w:sz="4" w:space="0" w:color="000000"/>
              <w:bottom w:val="single" w:sz="4" w:space="0" w:color="000000"/>
              <w:right w:val="single" w:sz="4" w:space="0" w:color="000000"/>
            </w:tcBorders>
            <w:hideMark/>
          </w:tcPr>
          <w:p w14:paraId="3838792A"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9.</w:t>
            </w:r>
          </w:p>
          <w:p w14:paraId="698D00D8"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Total Annual  Number of Burden Hours</w:t>
            </w:r>
          </w:p>
          <w:p w14:paraId="61664E56"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 x 5)</w:t>
            </w:r>
          </w:p>
        </w:tc>
        <w:tc>
          <w:tcPr>
            <w:tcW w:w="516" w:type="pct"/>
            <w:tcBorders>
              <w:top w:val="single" w:sz="4" w:space="0" w:color="000000"/>
              <w:left w:val="single" w:sz="4" w:space="0" w:color="000000"/>
              <w:bottom w:val="single" w:sz="4" w:space="0" w:color="000000"/>
              <w:right w:val="single" w:sz="4" w:space="0" w:color="000000"/>
            </w:tcBorders>
            <w:hideMark/>
          </w:tcPr>
          <w:p w14:paraId="2CD81A5A"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10.</w:t>
            </w:r>
          </w:p>
          <w:p w14:paraId="7977B1C1"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Total Annual Burden Hour Cost of All Responses</w:t>
            </w:r>
          </w:p>
          <w:p w14:paraId="7FEB28C1"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 x 7)</w:t>
            </w:r>
          </w:p>
        </w:tc>
      </w:tr>
      <w:tr w:rsidR="00DB2D73" w14:paraId="1CA365CD" w14:textId="77777777" w:rsidTr="00DB2D73">
        <w:trPr>
          <w:trHeight w:val="1222"/>
        </w:trPr>
        <w:tc>
          <w:tcPr>
            <w:tcW w:w="556" w:type="pct"/>
            <w:tcBorders>
              <w:top w:val="single" w:sz="4" w:space="0" w:color="000000"/>
              <w:left w:val="single" w:sz="4" w:space="0" w:color="000000"/>
              <w:bottom w:val="single" w:sz="4" w:space="0" w:color="000000"/>
              <w:right w:val="single" w:sz="4" w:space="0" w:color="000000"/>
            </w:tcBorders>
            <w:hideMark/>
          </w:tcPr>
          <w:p w14:paraId="1480B074"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40.26</w:t>
            </w:r>
          </w:p>
        </w:tc>
        <w:tc>
          <w:tcPr>
            <w:tcW w:w="555" w:type="pct"/>
            <w:tcBorders>
              <w:top w:val="single" w:sz="4" w:space="0" w:color="000000"/>
              <w:left w:val="single" w:sz="4" w:space="0" w:color="000000"/>
              <w:bottom w:val="single" w:sz="4" w:space="0" w:color="000000"/>
              <w:right w:val="single" w:sz="4" w:space="0" w:color="000000"/>
            </w:tcBorders>
            <w:hideMark/>
          </w:tcPr>
          <w:p w14:paraId="27FE1919"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15</w:t>
            </w:r>
          </w:p>
        </w:tc>
        <w:tc>
          <w:tcPr>
            <w:tcW w:w="517" w:type="pct"/>
            <w:tcBorders>
              <w:top w:val="single" w:sz="4" w:space="0" w:color="000000"/>
              <w:left w:val="single" w:sz="4" w:space="0" w:color="000000"/>
              <w:bottom w:val="single" w:sz="4" w:space="0" w:color="000000"/>
              <w:right w:val="single" w:sz="4" w:space="0" w:color="000000"/>
            </w:tcBorders>
            <w:hideMark/>
          </w:tcPr>
          <w:p w14:paraId="5A15AE72"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0</w:t>
            </w:r>
            <w:r>
              <w:rPr>
                <w:rStyle w:val="FootnoteReference"/>
                <w:rFonts w:ascii="Arial" w:eastAsia="Times New Roman" w:hAnsi="Arial" w:cs="Times New Roman"/>
                <w:b/>
              </w:rPr>
              <w:footnoteReference w:id="4"/>
            </w:r>
          </w:p>
        </w:tc>
        <w:tc>
          <w:tcPr>
            <w:tcW w:w="516" w:type="pct"/>
            <w:tcBorders>
              <w:top w:val="single" w:sz="4" w:space="0" w:color="000000"/>
              <w:left w:val="single" w:sz="4" w:space="0" w:color="000000"/>
              <w:bottom w:val="single" w:sz="4" w:space="0" w:color="000000"/>
              <w:right w:val="single" w:sz="4" w:space="0" w:color="000000"/>
            </w:tcBorders>
            <w:hideMark/>
          </w:tcPr>
          <w:p w14:paraId="0CD22781"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0</w:t>
            </w:r>
          </w:p>
        </w:tc>
        <w:tc>
          <w:tcPr>
            <w:tcW w:w="516" w:type="pct"/>
            <w:tcBorders>
              <w:top w:val="single" w:sz="4" w:space="0" w:color="000000"/>
              <w:left w:val="single" w:sz="4" w:space="0" w:color="000000"/>
              <w:bottom w:val="single" w:sz="4" w:space="0" w:color="000000"/>
              <w:right w:val="single" w:sz="4" w:space="0" w:color="000000"/>
            </w:tcBorders>
            <w:hideMark/>
          </w:tcPr>
          <w:p w14:paraId="75423C67"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0</w:t>
            </w:r>
          </w:p>
        </w:tc>
        <w:tc>
          <w:tcPr>
            <w:tcW w:w="437" w:type="pct"/>
            <w:tcBorders>
              <w:top w:val="single" w:sz="4" w:space="0" w:color="000000"/>
              <w:left w:val="single" w:sz="4" w:space="0" w:color="000000"/>
              <w:bottom w:val="single" w:sz="4" w:space="0" w:color="000000"/>
              <w:right w:val="single" w:sz="4" w:space="0" w:color="000000"/>
            </w:tcBorders>
            <w:hideMark/>
          </w:tcPr>
          <w:p w14:paraId="091432A2"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0</w:t>
            </w:r>
          </w:p>
        </w:tc>
        <w:tc>
          <w:tcPr>
            <w:tcW w:w="516" w:type="pct"/>
            <w:tcBorders>
              <w:top w:val="single" w:sz="4" w:space="0" w:color="000000"/>
              <w:left w:val="single" w:sz="4" w:space="0" w:color="000000"/>
              <w:bottom w:val="single" w:sz="4" w:space="0" w:color="000000"/>
              <w:right w:val="single" w:sz="4" w:space="0" w:color="000000"/>
            </w:tcBorders>
            <w:hideMark/>
          </w:tcPr>
          <w:p w14:paraId="66E72407" w14:textId="77777777" w:rsidR="00DB2D73" w:rsidRDefault="00DB2D73">
            <w:pPr>
              <w:spacing w:line="276" w:lineRule="auto"/>
              <w:jc w:val="center"/>
              <w:rPr>
                <w:b/>
                <w:sz w:val="18"/>
                <w:szCs w:val="18"/>
              </w:rPr>
            </w:pPr>
            <w:r>
              <w:rPr>
                <w:b/>
                <w:sz w:val="18"/>
                <w:szCs w:val="18"/>
              </w:rPr>
              <w:t>0</w:t>
            </w:r>
          </w:p>
        </w:tc>
        <w:tc>
          <w:tcPr>
            <w:tcW w:w="477" w:type="pct"/>
            <w:tcBorders>
              <w:top w:val="single" w:sz="4" w:space="0" w:color="000000"/>
              <w:left w:val="single" w:sz="4" w:space="0" w:color="000000"/>
              <w:bottom w:val="single" w:sz="4" w:space="0" w:color="000000"/>
              <w:right w:val="single" w:sz="4" w:space="0" w:color="000000"/>
            </w:tcBorders>
            <w:hideMark/>
          </w:tcPr>
          <w:p w14:paraId="4C5DFCB4"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0</w:t>
            </w:r>
          </w:p>
        </w:tc>
        <w:tc>
          <w:tcPr>
            <w:tcW w:w="394" w:type="pct"/>
            <w:tcBorders>
              <w:top w:val="single" w:sz="4" w:space="0" w:color="000000"/>
              <w:left w:val="single" w:sz="4" w:space="0" w:color="000000"/>
              <w:bottom w:val="single" w:sz="4" w:space="0" w:color="000000"/>
              <w:right w:val="single" w:sz="4" w:space="0" w:color="000000"/>
            </w:tcBorders>
            <w:hideMark/>
          </w:tcPr>
          <w:p w14:paraId="4CB46F44"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0</w:t>
            </w:r>
          </w:p>
        </w:tc>
        <w:tc>
          <w:tcPr>
            <w:tcW w:w="516" w:type="pct"/>
            <w:tcBorders>
              <w:top w:val="single" w:sz="4" w:space="0" w:color="000000"/>
              <w:left w:val="single" w:sz="4" w:space="0" w:color="000000"/>
              <w:bottom w:val="single" w:sz="4" w:space="0" w:color="000000"/>
              <w:right w:val="single" w:sz="4" w:space="0" w:color="000000"/>
            </w:tcBorders>
            <w:hideMark/>
          </w:tcPr>
          <w:p w14:paraId="411D506E"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0</w:t>
            </w:r>
          </w:p>
        </w:tc>
      </w:tr>
    </w:tbl>
    <w:p w14:paraId="43853B25" w14:textId="77777777" w:rsidR="00DB2D73" w:rsidRDefault="00DB2D73" w:rsidP="00DB2D73">
      <w:pPr>
        <w:rPr>
          <w:rFonts w:eastAsia="Times New Roman" w:cs="Times New Roman"/>
          <w:szCs w:val="24"/>
        </w:rPr>
      </w:pPr>
    </w:p>
    <w:p w14:paraId="693AD3D4" w14:textId="77777777" w:rsidR="00DB2D73" w:rsidRDefault="00DB2D73" w:rsidP="00DB2D73">
      <w:pPr>
        <w:rPr>
          <w:rFonts w:eastAsia="Times New Roman" w:cs="Times New Roman"/>
          <w:szCs w:val="24"/>
        </w:rPr>
      </w:pPr>
    </w:p>
    <w:p w14:paraId="10DD609B" w14:textId="77777777" w:rsidR="00DB2D73" w:rsidRDefault="00DB2D73" w:rsidP="00DB2D73">
      <w:pPr>
        <w:jc w:val="center"/>
        <w:rPr>
          <w:rFonts w:eastAsia="Times New Roman" w:cs="Times New Roman"/>
          <w:szCs w:val="24"/>
        </w:rPr>
      </w:pPr>
    </w:p>
    <w:p w14:paraId="17CFE610" w14:textId="77777777" w:rsidR="00DB2D73" w:rsidRDefault="00DB2D73" w:rsidP="00DB2D73">
      <w:pPr>
        <w:jc w:val="center"/>
        <w:rPr>
          <w:rFonts w:eastAsia="Times New Roman" w:cs="Times New Roman"/>
          <w:szCs w:val="24"/>
        </w:rPr>
      </w:pPr>
      <w:r>
        <w:rPr>
          <w:rFonts w:eastAsia="Times New Roman" w:cs="Times New Roman"/>
          <w:szCs w:val="24"/>
        </w:rPr>
        <w:t xml:space="preserve">Third Party Reporting or Third Party Recordkeeping Burden </w:t>
      </w:r>
    </w:p>
    <w:p w14:paraId="1DB9BFCB" w14:textId="77777777" w:rsidR="00DB2D73" w:rsidRDefault="00DB2D73" w:rsidP="00DB2D73">
      <w:pPr>
        <w:jc w:val="center"/>
        <w:rPr>
          <w:rFonts w:eastAsia="Times New Roman" w:cs="Times New Roman"/>
          <w:szCs w:val="24"/>
        </w:rPr>
      </w:pPr>
    </w:p>
    <w:tbl>
      <w:tblPr>
        <w:tblW w:w="5900" w:type="pc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8"/>
        <w:gridCol w:w="1230"/>
        <w:gridCol w:w="1161"/>
        <w:gridCol w:w="1159"/>
        <w:gridCol w:w="1159"/>
        <w:gridCol w:w="981"/>
        <w:gridCol w:w="1159"/>
        <w:gridCol w:w="1071"/>
        <w:gridCol w:w="884"/>
        <w:gridCol w:w="1158"/>
      </w:tblGrid>
      <w:tr w:rsidR="00DB2D73" w14:paraId="519750B0" w14:textId="77777777" w:rsidTr="00DB2D73">
        <w:trPr>
          <w:trHeight w:val="1427"/>
        </w:trPr>
        <w:tc>
          <w:tcPr>
            <w:tcW w:w="595" w:type="pct"/>
            <w:tcBorders>
              <w:top w:val="single" w:sz="4" w:space="0" w:color="000000"/>
              <w:left w:val="single" w:sz="4" w:space="0" w:color="000000"/>
              <w:bottom w:val="single" w:sz="4" w:space="0" w:color="000000"/>
              <w:right w:val="single" w:sz="4" w:space="0" w:color="000000"/>
            </w:tcBorders>
            <w:hideMark/>
          </w:tcPr>
          <w:p w14:paraId="79FF8943"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w:t>
            </w:r>
          </w:p>
          <w:p w14:paraId="5B41CA39"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Regulation(s)</w:t>
            </w:r>
          </w:p>
        </w:tc>
        <w:tc>
          <w:tcPr>
            <w:tcW w:w="517" w:type="pct"/>
            <w:tcBorders>
              <w:top w:val="single" w:sz="4" w:space="0" w:color="000000"/>
              <w:left w:val="single" w:sz="4" w:space="0" w:color="000000"/>
              <w:bottom w:val="single" w:sz="4" w:space="0" w:color="000000"/>
              <w:right w:val="single" w:sz="4" w:space="0" w:color="000000"/>
            </w:tcBorders>
          </w:tcPr>
          <w:p w14:paraId="05F7C25B"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w:t>
            </w:r>
          </w:p>
          <w:p w14:paraId="0CE7C1C7"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 xml:space="preserve">Estimated Number of Respondents </w:t>
            </w:r>
          </w:p>
          <w:p w14:paraId="3201A2EB"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p>
        </w:tc>
        <w:tc>
          <w:tcPr>
            <w:tcW w:w="517" w:type="pct"/>
            <w:tcBorders>
              <w:top w:val="single" w:sz="4" w:space="0" w:color="000000"/>
              <w:left w:val="single" w:sz="4" w:space="0" w:color="000000"/>
              <w:bottom w:val="single" w:sz="4" w:space="0" w:color="000000"/>
              <w:right w:val="single" w:sz="4" w:space="0" w:color="000000"/>
            </w:tcBorders>
            <w:hideMark/>
          </w:tcPr>
          <w:p w14:paraId="03D3F0FC"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3.</w:t>
            </w:r>
          </w:p>
          <w:p w14:paraId="74D09E54"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Estimated Number of Reports</w:t>
            </w:r>
          </w:p>
          <w:p w14:paraId="0256F1DC"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by Each Respondent</w:t>
            </w:r>
          </w:p>
        </w:tc>
        <w:tc>
          <w:tcPr>
            <w:tcW w:w="516" w:type="pct"/>
            <w:tcBorders>
              <w:top w:val="single" w:sz="4" w:space="0" w:color="000000"/>
              <w:left w:val="single" w:sz="4" w:space="0" w:color="000000"/>
              <w:bottom w:val="single" w:sz="4" w:space="0" w:color="000000"/>
              <w:right w:val="single" w:sz="4" w:space="0" w:color="000000"/>
            </w:tcBorders>
            <w:hideMark/>
          </w:tcPr>
          <w:p w14:paraId="5C89236B"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4.</w:t>
            </w:r>
          </w:p>
          <w:p w14:paraId="142096F1"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Estimated Average Number of Burden Hours per Response</w:t>
            </w:r>
          </w:p>
        </w:tc>
        <w:tc>
          <w:tcPr>
            <w:tcW w:w="516" w:type="pct"/>
            <w:tcBorders>
              <w:top w:val="single" w:sz="4" w:space="0" w:color="000000"/>
              <w:left w:val="single" w:sz="4" w:space="0" w:color="000000"/>
              <w:bottom w:val="single" w:sz="4" w:space="0" w:color="000000"/>
              <w:right w:val="single" w:sz="4" w:space="0" w:color="000000"/>
            </w:tcBorders>
            <w:hideMark/>
          </w:tcPr>
          <w:p w14:paraId="414B6894"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5.</w:t>
            </w:r>
          </w:p>
          <w:p w14:paraId="04F7C51E"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Annual  Number of Burden Hours per Respondent</w:t>
            </w:r>
          </w:p>
          <w:p w14:paraId="3051D116"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(3 x 4)</w:t>
            </w:r>
          </w:p>
        </w:tc>
        <w:tc>
          <w:tcPr>
            <w:tcW w:w="437" w:type="pct"/>
            <w:tcBorders>
              <w:top w:val="single" w:sz="4" w:space="0" w:color="000000"/>
              <w:left w:val="single" w:sz="4" w:space="0" w:color="000000"/>
              <w:bottom w:val="single" w:sz="4" w:space="0" w:color="000000"/>
              <w:right w:val="single" w:sz="4" w:space="0" w:color="000000"/>
            </w:tcBorders>
          </w:tcPr>
          <w:p w14:paraId="4DCF13E1"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 xml:space="preserve">6. </w:t>
            </w:r>
          </w:p>
          <w:p w14:paraId="1C3A853E"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Estimated Average Burden Hour Cost</w:t>
            </w:r>
          </w:p>
          <w:p w14:paraId="0C166196"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p>
        </w:tc>
        <w:tc>
          <w:tcPr>
            <w:tcW w:w="516" w:type="pct"/>
            <w:tcBorders>
              <w:top w:val="single" w:sz="4" w:space="0" w:color="000000"/>
              <w:left w:val="single" w:sz="4" w:space="0" w:color="000000"/>
              <w:bottom w:val="single" w:sz="4" w:space="0" w:color="000000"/>
              <w:right w:val="single" w:sz="4" w:space="0" w:color="000000"/>
            </w:tcBorders>
            <w:hideMark/>
          </w:tcPr>
          <w:p w14:paraId="51AA6499" w14:textId="77777777" w:rsidR="00DB2D73" w:rsidRDefault="00DB2D73">
            <w:pPr>
              <w:spacing w:line="276" w:lineRule="auto"/>
              <w:jc w:val="center"/>
              <w:rPr>
                <w:rFonts w:ascii="Arial" w:hAnsi="Arial" w:cs="Arial"/>
                <w:b/>
                <w:sz w:val="16"/>
                <w:szCs w:val="16"/>
              </w:rPr>
            </w:pPr>
            <w:r>
              <w:rPr>
                <w:rFonts w:ascii="Arial" w:hAnsi="Arial" w:cs="Arial"/>
                <w:b/>
                <w:sz w:val="16"/>
                <w:szCs w:val="16"/>
              </w:rPr>
              <w:t>7.</w:t>
            </w:r>
          </w:p>
          <w:p w14:paraId="10E228C3" w14:textId="77777777" w:rsidR="00DB2D73" w:rsidRDefault="00DB2D73">
            <w:pPr>
              <w:spacing w:line="276" w:lineRule="auto"/>
              <w:jc w:val="center"/>
              <w:rPr>
                <w:rFonts w:ascii="Arial" w:hAnsi="Arial" w:cs="Arial"/>
                <w:b/>
                <w:sz w:val="16"/>
                <w:szCs w:val="16"/>
              </w:rPr>
            </w:pPr>
            <w:r>
              <w:rPr>
                <w:rFonts w:ascii="Arial" w:hAnsi="Arial" w:cs="Arial"/>
                <w:b/>
                <w:sz w:val="16"/>
                <w:szCs w:val="16"/>
              </w:rPr>
              <w:t>Total Average Hour Burden Cost Per Respondent</w:t>
            </w:r>
          </w:p>
          <w:p w14:paraId="4F4278E3" w14:textId="77777777" w:rsidR="00DB2D73" w:rsidRDefault="00DB2D73">
            <w:pPr>
              <w:spacing w:line="276" w:lineRule="auto"/>
              <w:jc w:val="center"/>
              <w:rPr>
                <w:rFonts w:ascii="Arial" w:hAnsi="Arial" w:cs="Arial"/>
                <w:b/>
                <w:sz w:val="16"/>
                <w:szCs w:val="16"/>
              </w:rPr>
            </w:pPr>
            <w:r>
              <w:rPr>
                <w:rFonts w:ascii="Arial" w:hAnsi="Arial" w:cs="Arial"/>
                <w:b/>
                <w:sz w:val="16"/>
                <w:szCs w:val="16"/>
              </w:rPr>
              <w:t>(5 x 6)</w:t>
            </w:r>
          </w:p>
        </w:tc>
        <w:tc>
          <w:tcPr>
            <w:tcW w:w="477" w:type="pct"/>
            <w:tcBorders>
              <w:top w:val="single" w:sz="4" w:space="0" w:color="000000"/>
              <w:left w:val="single" w:sz="4" w:space="0" w:color="000000"/>
              <w:bottom w:val="single" w:sz="4" w:space="0" w:color="000000"/>
              <w:right w:val="single" w:sz="4" w:space="0" w:color="000000"/>
            </w:tcBorders>
            <w:hideMark/>
          </w:tcPr>
          <w:p w14:paraId="44247135"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8.</w:t>
            </w:r>
          </w:p>
          <w:p w14:paraId="4517E8CD"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Total Annual</w:t>
            </w:r>
          </w:p>
          <w:p w14:paraId="414AE58D"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Responses</w:t>
            </w:r>
          </w:p>
          <w:p w14:paraId="71552D55"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 x 3)</w:t>
            </w:r>
          </w:p>
        </w:tc>
        <w:tc>
          <w:tcPr>
            <w:tcW w:w="394" w:type="pct"/>
            <w:tcBorders>
              <w:top w:val="single" w:sz="4" w:space="0" w:color="000000"/>
              <w:left w:val="single" w:sz="4" w:space="0" w:color="000000"/>
              <w:bottom w:val="single" w:sz="4" w:space="0" w:color="000000"/>
              <w:right w:val="single" w:sz="4" w:space="0" w:color="000000"/>
            </w:tcBorders>
            <w:hideMark/>
          </w:tcPr>
          <w:p w14:paraId="6BB91149"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9.</w:t>
            </w:r>
          </w:p>
          <w:p w14:paraId="35D8FDA7"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Total Annual  Number of Burden Hours</w:t>
            </w:r>
          </w:p>
          <w:p w14:paraId="6087CB4E"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 x 5)</w:t>
            </w:r>
          </w:p>
        </w:tc>
        <w:tc>
          <w:tcPr>
            <w:tcW w:w="515" w:type="pct"/>
            <w:tcBorders>
              <w:top w:val="single" w:sz="4" w:space="0" w:color="000000"/>
              <w:left w:val="single" w:sz="4" w:space="0" w:color="000000"/>
              <w:bottom w:val="single" w:sz="4" w:space="0" w:color="000000"/>
              <w:right w:val="single" w:sz="4" w:space="0" w:color="000000"/>
            </w:tcBorders>
            <w:hideMark/>
          </w:tcPr>
          <w:p w14:paraId="548F4ECB"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10.</w:t>
            </w:r>
          </w:p>
          <w:p w14:paraId="18CEAB53"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Total Annual Burden Hour Cost of All Responses</w:t>
            </w:r>
          </w:p>
          <w:p w14:paraId="4B8F4001"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 x 7)</w:t>
            </w:r>
          </w:p>
        </w:tc>
      </w:tr>
      <w:tr w:rsidR="00DB2D73" w14:paraId="3AA898AA" w14:textId="77777777" w:rsidTr="00DB2D73">
        <w:trPr>
          <w:trHeight w:val="977"/>
        </w:trPr>
        <w:tc>
          <w:tcPr>
            <w:tcW w:w="595" w:type="pct"/>
            <w:tcBorders>
              <w:top w:val="single" w:sz="4" w:space="0" w:color="000000"/>
              <w:left w:val="single" w:sz="4" w:space="0" w:color="000000"/>
              <w:bottom w:val="single" w:sz="4" w:space="0" w:color="000000"/>
              <w:right w:val="single" w:sz="4" w:space="0" w:color="000000"/>
            </w:tcBorders>
            <w:hideMark/>
          </w:tcPr>
          <w:p w14:paraId="34FF401D" w14:textId="77777777" w:rsidR="00DB2D73" w:rsidRDefault="00DB2D73">
            <w:pPr>
              <w:tabs>
                <w:tab w:val="left" w:pos="-720"/>
                <w:tab w:val="left" w:pos="0"/>
              </w:tabs>
              <w:suppressAutoHyphens/>
              <w:spacing w:line="276" w:lineRule="auto"/>
              <w:jc w:val="center"/>
              <w:rPr>
                <w:rFonts w:ascii="Arial" w:eastAsia="Times New Roman" w:hAnsi="Arial" w:cs="Arial"/>
                <w:b/>
                <w:sz w:val="16"/>
                <w:szCs w:val="16"/>
              </w:rPr>
            </w:pPr>
            <w:r>
              <w:rPr>
                <w:rFonts w:ascii="Arial" w:hAnsi="Arial" w:cs="Arial"/>
                <w:b/>
                <w:bCs/>
                <w:sz w:val="16"/>
                <w:szCs w:val="16"/>
              </w:rPr>
              <w:t>38.401(a) &amp; (c)</w:t>
            </w:r>
          </w:p>
        </w:tc>
        <w:tc>
          <w:tcPr>
            <w:tcW w:w="517" w:type="pct"/>
            <w:tcBorders>
              <w:top w:val="single" w:sz="4" w:space="0" w:color="000000"/>
              <w:left w:val="single" w:sz="4" w:space="0" w:color="000000"/>
              <w:bottom w:val="single" w:sz="4" w:space="0" w:color="000000"/>
              <w:right w:val="single" w:sz="4" w:space="0" w:color="000000"/>
            </w:tcBorders>
            <w:hideMark/>
          </w:tcPr>
          <w:p w14:paraId="3F4B59A6"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15</w:t>
            </w:r>
          </w:p>
        </w:tc>
        <w:tc>
          <w:tcPr>
            <w:tcW w:w="517" w:type="pct"/>
            <w:tcBorders>
              <w:top w:val="single" w:sz="4" w:space="0" w:color="000000"/>
              <w:left w:val="single" w:sz="4" w:space="0" w:color="000000"/>
              <w:bottom w:val="single" w:sz="4" w:space="0" w:color="000000"/>
              <w:right w:val="single" w:sz="4" w:space="0" w:color="000000"/>
            </w:tcBorders>
            <w:hideMark/>
          </w:tcPr>
          <w:p w14:paraId="48BB0939"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 xml:space="preserve">1 </w:t>
            </w:r>
            <w:r>
              <w:rPr>
                <w:rFonts w:ascii="Arial" w:eastAsia="Times New Roman" w:hAnsi="Arial" w:cs="Times New Roman"/>
                <w:sz w:val="16"/>
                <w:szCs w:val="16"/>
              </w:rPr>
              <w:t>(intermittent)</w:t>
            </w:r>
          </w:p>
        </w:tc>
        <w:tc>
          <w:tcPr>
            <w:tcW w:w="516" w:type="pct"/>
            <w:tcBorders>
              <w:top w:val="single" w:sz="4" w:space="0" w:color="000000"/>
              <w:left w:val="single" w:sz="4" w:space="0" w:color="000000"/>
              <w:bottom w:val="single" w:sz="4" w:space="0" w:color="000000"/>
              <w:right w:val="single" w:sz="4" w:space="0" w:color="000000"/>
            </w:tcBorders>
            <w:hideMark/>
          </w:tcPr>
          <w:p w14:paraId="4A5DBA54"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200</w:t>
            </w:r>
          </w:p>
        </w:tc>
        <w:tc>
          <w:tcPr>
            <w:tcW w:w="516" w:type="pct"/>
            <w:tcBorders>
              <w:top w:val="single" w:sz="4" w:space="0" w:color="000000"/>
              <w:left w:val="single" w:sz="4" w:space="0" w:color="000000"/>
              <w:bottom w:val="single" w:sz="4" w:space="0" w:color="000000"/>
              <w:right w:val="single" w:sz="4" w:space="0" w:color="000000"/>
            </w:tcBorders>
            <w:hideMark/>
          </w:tcPr>
          <w:p w14:paraId="08C21491"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200</w:t>
            </w:r>
          </w:p>
        </w:tc>
        <w:tc>
          <w:tcPr>
            <w:tcW w:w="437" w:type="pct"/>
            <w:tcBorders>
              <w:top w:val="single" w:sz="4" w:space="0" w:color="000000"/>
              <w:left w:val="single" w:sz="4" w:space="0" w:color="000000"/>
              <w:bottom w:val="single" w:sz="4" w:space="0" w:color="000000"/>
              <w:right w:val="single" w:sz="4" w:space="0" w:color="000000"/>
            </w:tcBorders>
            <w:hideMark/>
          </w:tcPr>
          <w:p w14:paraId="189BAF4F"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$96</w:t>
            </w:r>
            <w:r>
              <w:rPr>
                <w:rStyle w:val="FootnoteReference"/>
                <w:rFonts w:ascii="Arial" w:eastAsia="Times New Roman" w:hAnsi="Arial" w:cs="Times New Roman"/>
                <w:b/>
              </w:rPr>
              <w:footnoteReference w:id="5"/>
            </w:r>
          </w:p>
        </w:tc>
        <w:tc>
          <w:tcPr>
            <w:tcW w:w="516" w:type="pct"/>
            <w:tcBorders>
              <w:top w:val="single" w:sz="4" w:space="0" w:color="000000"/>
              <w:left w:val="single" w:sz="4" w:space="0" w:color="000000"/>
              <w:bottom w:val="single" w:sz="4" w:space="0" w:color="000000"/>
              <w:right w:val="single" w:sz="4" w:space="0" w:color="000000"/>
            </w:tcBorders>
            <w:hideMark/>
          </w:tcPr>
          <w:p w14:paraId="27A118C2" w14:textId="77777777" w:rsidR="00DB2D73" w:rsidRDefault="00DB2D73">
            <w:pPr>
              <w:spacing w:line="276" w:lineRule="auto"/>
              <w:jc w:val="center"/>
              <w:rPr>
                <w:rFonts w:ascii="Arial" w:hAnsi="Arial" w:cs="Arial"/>
                <w:b/>
                <w:sz w:val="16"/>
                <w:szCs w:val="16"/>
              </w:rPr>
            </w:pPr>
            <w:r>
              <w:rPr>
                <w:rFonts w:ascii="Arial" w:hAnsi="Arial" w:cs="Arial"/>
                <w:b/>
                <w:sz w:val="16"/>
                <w:szCs w:val="16"/>
              </w:rPr>
              <w:t>$19,200</w:t>
            </w:r>
          </w:p>
        </w:tc>
        <w:tc>
          <w:tcPr>
            <w:tcW w:w="477" w:type="pct"/>
            <w:tcBorders>
              <w:top w:val="single" w:sz="4" w:space="0" w:color="000000"/>
              <w:left w:val="single" w:sz="4" w:space="0" w:color="000000"/>
              <w:bottom w:val="single" w:sz="4" w:space="0" w:color="000000"/>
              <w:right w:val="single" w:sz="4" w:space="0" w:color="000000"/>
            </w:tcBorders>
            <w:hideMark/>
          </w:tcPr>
          <w:p w14:paraId="6A3F80A6"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15</w:t>
            </w:r>
          </w:p>
        </w:tc>
        <w:tc>
          <w:tcPr>
            <w:tcW w:w="394" w:type="pct"/>
            <w:tcBorders>
              <w:top w:val="single" w:sz="4" w:space="0" w:color="000000"/>
              <w:left w:val="single" w:sz="4" w:space="0" w:color="000000"/>
              <w:bottom w:val="single" w:sz="4" w:space="0" w:color="000000"/>
              <w:right w:val="single" w:sz="4" w:space="0" w:color="000000"/>
            </w:tcBorders>
            <w:hideMark/>
          </w:tcPr>
          <w:p w14:paraId="213746A9"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3,000</w:t>
            </w:r>
          </w:p>
        </w:tc>
        <w:tc>
          <w:tcPr>
            <w:tcW w:w="515" w:type="pct"/>
            <w:tcBorders>
              <w:top w:val="single" w:sz="4" w:space="0" w:color="000000"/>
              <w:left w:val="single" w:sz="4" w:space="0" w:color="000000"/>
              <w:bottom w:val="single" w:sz="4" w:space="0" w:color="000000"/>
              <w:right w:val="single" w:sz="4" w:space="0" w:color="000000"/>
            </w:tcBorders>
            <w:hideMark/>
          </w:tcPr>
          <w:p w14:paraId="609E7984" w14:textId="77777777" w:rsidR="00DB2D73" w:rsidRDefault="00DB2D73">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$288,000</w:t>
            </w:r>
          </w:p>
        </w:tc>
      </w:tr>
    </w:tbl>
    <w:p w14:paraId="70F5982F" w14:textId="77777777" w:rsidR="00DB2D73" w:rsidRDefault="00DB2D73" w:rsidP="00DB2D73">
      <w:pPr>
        <w:jc w:val="center"/>
        <w:rPr>
          <w:rFonts w:eastAsia="Times New Roman" w:cs="Times New Roman"/>
          <w:szCs w:val="24"/>
        </w:rPr>
      </w:pPr>
    </w:p>
    <w:p w14:paraId="18DC2888" w14:textId="77777777" w:rsidR="00DB2D73" w:rsidRDefault="00DB2D73" w:rsidP="00DB2D73">
      <w:pPr>
        <w:spacing w:after="200" w:line="276" w:lineRule="auto"/>
      </w:pPr>
      <w:r>
        <w:br w:type="page"/>
      </w:r>
    </w:p>
    <w:p w14:paraId="510B9AC9" w14:textId="77777777" w:rsidR="00DB2D73" w:rsidRDefault="00DB2D73" w:rsidP="00DB2D73">
      <w:pPr>
        <w:spacing w:line="480" w:lineRule="auto"/>
        <w:ind w:firstLine="720"/>
        <w:rPr>
          <w:szCs w:val="24"/>
        </w:rPr>
      </w:pPr>
      <w:r>
        <w:rPr>
          <w:szCs w:val="24"/>
        </w:rPr>
        <w:lastRenderedPageBreak/>
        <w:t>The following professions and hourly wages are referenced in the tables above.</w:t>
      </w:r>
      <w:r>
        <w:rPr>
          <w:szCs w:val="24"/>
          <w:vertAlign w:val="superscript"/>
        </w:rPr>
        <w:footnoteReference w:id="6"/>
      </w:r>
      <w:r>
        <w:rPr>
          <w:szCs w:val="24"/>
        </w:rPr>
        <w:t xml:space="preserve">  </w:t>
      </w:r>
    </w:p>
    <w:tbl>
      <w:tblPr>
        <w:tblStyle w:val="TableGrid"/>
        <w:tblW w:w="0" w:type="auto"/>
        <w:tblLayout w:type="fixed"/>
        <w:tblLook w:val="04A0" w:firstRow="1" w:lastRow="0" w:firstColumn="1" w:lastColumn="0" w:noHBand="0" w:noVBand="1"/>
      </w:tblPr>
      <w:tblGrid>
        <w:gridCol w:w="3168"/>
        <w:gridCol w:w="3060"/>
        <w:gridCol w:w="1890"/>
        <w:gridCol w:w="1415"/>
      </w:tblGrid>
      <w:tr w:rsidR="00DB2D73" w14:paraId="04BED8DB" w14:textId="77777777" w:rsidTr="00DB2D73">
        <w:trPr>
          <w:trHeight w:val="1034"/>
        </w:trPr>
        <w:tc>
          <w:tcPr>
            <w:tcW w:w="3168" w:type="dxa"/>
            <w:tcBorders>
              <w:top w:val="single" w:sz="4" w:space="0" w:color="auto"/>
              <w:left w:val="single" w:sz="4" w:space="0" w:color="auto"/>
              <w:bottom w:val="single" w:sz="4" w:space="0" w:color="auto"/>
              <w:right w:val="single" w:sz="4" w:space="0" w:color="auto"/>
            </w:tcBorders>
            <w:hideMark/>
          </w:tcPr>
          <w:p w14:paraId="453DDF65" w14:textId="77777777" w:rsidR="00DB2D73" w:rsidRDefault="00DB2D73">
            <w:pPr>
              <w:rPr>
                <w:rFonts w:ascii="Arial" w:hAnsi="Arial" w:cs="Arial"/>
                <w:b/>
                <w:sz w:val="16"/>
                <w:szCs w:val="16"/>
              </w:rPr>
            </w:pPr>
            <w:r>
              <w:rPr>
                <w:rFonts w:ascii="Arial" w:hAnsi="Arial" w:cs="Arial"/>
                <w:b/>
                <w:sz w:val="16"/>
                <w:szCs w:val="16"/>
              </w:rPr>
              <w:t>2013 SIFMA Report Profession and Code</w:t>
            </w:r>
          </w:p>
        </w:tc>
        <w:tc>
          <w:tcPr>
            <w:tcW w:w="3060" w:type="dxa"/>
            <w:tcBorders>
              <w:top w:val="single" w:sz="4" w:space="0" w:color="auto"/>
              <w:left w:val="single" w:sz="4" w:space="0" w:color="auto"/>
              <w:bottom w:val="single" w:sz="4" w:space="0" w:color="auto"/>
              <w:right w:val="single" w:sz="4" w:space="0" w:color="auto"/>
            </w:tcBorders>
            <w:hideMark/>
          </w:tcPr>
          <w:p w14:paraId="71AFFF61" w14:textId="77777777" w:rsidR="00DB2D73" w:rsidRDefault="00DB2D73">
            <w:pPr>
              <w:rPr>
                <w:rFonts w:ascii="Arial" w:hAnsi="Arial" w:cs="Arial"/>
                <w:b/>
                <w:sz w:val="16"/>
                <w:szCs w:val="16"/>
              </w:rPr>
            </w:pPr>
            <w:r>
              <w:rPr>
                <w:rFonts w:ascii="Arial" w:hAnsi="Arial" w:cs="Arial"/>
                <w:b/>
                <w:sz w:val="16"/>
                <w:szCs w:val="16"/>
              </w:rPr>
              <w:t>Description of Role in Related Matters</w:t>
            </w:r>
          </w:p>
        </w:tc>
        <w:tc>
          <w:tcPr>
            <w:tcW w:w="1890" w:type="dxa"/>
            <w:tcBorders>
              <w:top w:val="single" w:sz="4" w:space="0" w:color="auto"/>
              <w:left w:val="single" w:sz="4" w:space="0" w:color="auto"/>
              <w:bottom w:val="single" w:sz="4" w:space="0" w:color="auto"/>
              <w:right w:val="single" w:sz="4" w:space="0" w:color="auto"/>
            </w:tcBorders>
            <w:hideMark/>
          </w:tcPr>
          <w:p w14:paraId="07E51657" w14:textId="77777777" w:rsidR="00DB2D73" w:rsidRDefault="00DB2D73">
            <w:pPr>
              <w:rPr>
                <w:rFonts w:ascii="Arial" w:hAnsi="Arial" w:cs="Arial"/>
                <w:b/>
                <w:sz w:val="16"/>
                <w:szCs w:val="16"/>
              </w:rPr>
            </w:pPr>
            <w:r>
              <w:rPr>
                <w:rFonts w:ascii="Arial" w:hAnsi="Arial" w:cs="Arial"/>
                <w:b/>
                <w:sz w:val="16"/>
                <w:szCs w:val="16"/>
              </w:rPr>
              <w:t>Total mean 2012 compensation with bonus- 2013 SIFMA Report</w:t>
            </w:r>
          </w:p>
        </w:tc>
        <w:tc>
          <w:tcPr>
            <w:tcW w:w="1415" w:type="dxa"/>
            <w:tcBorders>
              <w:top w:val="single" w:sz="4" w:space="0" w:color="auto"/>
              <w:left w:val="single" w:sz="4" w:space="0" w:color="auto"/>
              <w:bottom w:val="single" w:sz="4" w:space="0" w:color="auto"/>
              <w:right w:val="single" w:sz="4" w:space="0" w:color="auto"/>
            </w:tcBorders>
            <w:hideMark/>
          </w:tcPr>
          <w:p w14:paraId="7A96C2DF" w14:textId="77777777" w:rsidR="00DB2D73" w:rsidRDefault="00DB2D73">
            <w:pPr>
              <w:rPr>
                <w:rFonts w:ascii="Arial" w:hAnsi="Arial" w:cs="Arial"/>
                <w:b/>
                <w:sz w:val="16"/>
                <w:szCs w:val="16"/>
              </w:rPr>
            </w:pPr>
            <w:r>
              <w:rPr>
                <w:rFonts w:ascii="Arial" w:hAnsi="Arial" w:cs="Arial"/>
                <w:b/>
                <w:sz w:val="16"/>
                <w:szCs w:val="16"/>
              </w:rPr>
              <w:t>Hourly wage rate (rounded)</w:t>
            </w:r>
            <w:r>
              <w:rPr>
                <w:rFonts w:ascii="Arial" w:hAnsi="Arial" w:cs="Arial"/>
                <w:b/>
                <w:sz w:val="16"/>
                <w:szCs w:val="16"/>
                <w:vertAlign w:val="superscript"/>
              </w:rPr>
              <w:footnoteReference w:id="7"/>
            </w:r>
            <w:r>
              <w:rPr>
                <w:rFonts w:ascii="Arial" w:hAnsi="Arial" w:cs="Arial"/>
                <w:b/>
                <w:sz w:val="16"/>
                <w:szCs w:val="16"/>
              </w:rPr>
              <w:t xml:space="preserve"> </w:t>
            </w:r>
          </w:p>
        </w:tc>
      </w:tr>
      <w:tr w:rsidR="00DB2D73" w14:paraId="1825331B" w14:textId="77777777" w:rsidTr="00DB2D73">
        <w:trPr>
          <w:trHeight w:val="572"/>
        </w:trPr>
        <w:tc>
          <w:tcPr>
            <w:tcW w:w="3168" w:type="dxa"/>
            <w:tcBorders>
              <w:top w:val="single" w:sz="4" w:space="0" w:color="auto"/>
              <w:left w:val="single" w:sz="4" w:space="0" w:color="auto"/>
              <w:bottom w:val="single" w:sz="4" w:space="0" w:color="auto"/>
              <w:right w:val="single" w:sz="4" w:space="0" w:color="auto"/>
            </w:tcBorders>
            <w:hideMark/>
          </w:tcPr>
          <w:p w14:paraId="2891F625" w14:textId="77777777" w:rsidR="00DB2D73" w:rsidRDefault="00DB2D73">
            <w:pPr>
              <w:rPr>
                <w:rFonts w:ascii="Arial" w:hAnsi="Arial" w:cs="Arial"/>
                <w:b/>
                <w:sz w:val="16"/>
                <w:szCs w:val="16"/>
              </w:rPr>
            </w:pPr>
            <w:r>
              <w:rPr>
                <w:rFonts w:ascii="Arial" w:hAnsi="Arial" w:cs="Arial"/>
                <w:b/>
                <w:sz w:val="16"/>
                <w:szCs w:val="16"/>
              </w:rPr>
              <w:t>Project Manager (1030)</w:t>
            </w:r>
          </w:p>
        </w:tc>
        <w:tc>
          <w:tcPr>
            <w:tcW w:w="3060" w:type="dxa"/>
            <w:tcBorders>
              <w:top w:val="single" w:sz="4" w:space="0" w:color="auto"/>
              <w:left w:val="single" w:sz="4" w:space="0" w:color="auto"/>
              <w:bottom w:val="single" w:sz="4" w:space="0" w:color="auto"/>
              <w:right w:val="single" w:sz="4" w:space="0" w:color="auto"/>
            </w:tcBorders>
            <w:hideMark/>
          </w:tcPr>
          <w:p w14:paraId="029C9FD8" w14:textId="77777777" w:rsidR="00DB2D73" w:rsidRDefault="00DB2D73">
            <w:pPr>
              <w:rPr>
                <w:rFonts w:ascii="Arial" w:hAnsi="Arial" w:cs="Arial"/>
                <w:b/>
                <w:sz w:val="16"/>
                <w:szCs w:val="16"/>
              </w:rPr>
            </w:pPr>
            <w:r>
              <w:rPr>
                <w:rFonts w:ascii="Arial" w:hAnsi="Arial" w:cs="Arial"/>
                <w:b/>
                <w:sz w:val="16"/>
                <w:szCs w:val="16"/>
              </w:rPr>
              <w:t>Project Manager</w:t>
            </w:r>
          </w:p>
        </w:tc>
        <w:tc>
          <w:tcPr>
            <w:tcW w:w="1890" w:type="dxa"/>
            <w:tcBorders>
              <w:top w:val="single" w:sz="4" w:space="0" w:color="auto"/>
              <w:left w:val="single" w:sz="4" w:space="0" w:color="auto"/>
              <w:bottom w:val="single" w:sz="4" w:space="0" w:color="auto"/>
              <w:right w:val="single" w:sz="4" w:space="0" w:color="auto"/>
            </w:tcBorders>
            <w:hideMark/>
          </w:tcPr>
          <w:p w14:paraId="4DACD000" w14:textId="77777777" w:rsidR="00DB2D73" w:rsidRDefault="00DB2D73">
            <w:pPr>
              <w:rPr>
                <w:rFonts w:ascii="Arial" w:hAnsi="Arial" w:cs="Arial"/>
                <w:b/>
                <w:sz w:val="16"/>
                <w:szCs w:val="16"/>
              </w:rPr>
            </w:pPr>
            <w:r>
              <w:rPr>
                <w:rFonts w:ascii="Arial" w:hAnsi="Arial" w:cs="Arial"/>
                <w:b/>
                <w:sz w:val="16"/>
                <w:szCs w:val="16"/>
              </w:rPr>
              <w:t>$97,138</w:t>
            </w:r>
            <w:r>
              <w:rPr>
                <w:rFonts w:ascii="Arial" w:hAnsi="Arial" w:cs="Arial"/>
                <w:b/>
                <w:sz w:val="16"/>
                <w:szCs w:val="16"/>
                <w:vertAlign w:val="superscript"/>
              </w:rPr>
              <w:footnoteReference w:id="8"/>
            </w:r>
          </w:p>
        </w:tc>
        <w:tc>
          <w:tcPr>
            <w:tcW w:w="1415" w:type="dxa"/>
            <w:tcBorders>
              <w:top w:val="single" w:sz="4" w:space="0" w:color="auto"/>
              <w:left w:val="single" w:sz="4" w:space="0" w:color="auto"/>
              <w:bottom w:val="single" w:sz="4" w:space="0" w:color="auto"/>
              <w:right w:val="single" w:sz="4" w:space="0" w:color="auto"/>
            </w:tcBorders>
            <w:hideMark/>
          </w:tcPr>
          <w:p w14:paraId="79B4621F" w14:textId="77777777" w:rsidR="00DB2D73" w:rsidRDefault="00DB2D73">
            <w:pPr>
              <w:rPr>
                <w:rFonts w:ascii="Arial" w:hAnsi="Arial" w:cs="Arial"/>
                <w:b/>
                <w:sz w:val="16"/>
                <w:szCs w:val="16"/>
              </w:rPr>
            </w:pPr>
            <w:r>
              <w:rPr>
                <w:rFonts w:ascii="Arial" w:hAnsi="Arial" w:cs="Arial"/>
                <w:b/>
                <w:sz w:val="16"/>
                <w:szCs w:val="16"/>
              </w:rPr>
              <w:t>$70</w:t>
            </w:r>
          </w:p>
        </w:tc>
      </w:tr>
      <w:tr w:rsidR="00DB2D73" w14:paraId="4FADA959" w14:textId="77777777" w:rsidTr="00DB2D73">
        <w:trPr>
          <w:trHeight w:val="554"/>
        </w:trPr>
        <w:tc>
          <w:tcPr>
            <w:tcW w:w="3168" w:type="dxa"/>
            <w:tcBorders>
              <w:top w:val="single" w:sz="4" w:space="0" w:color="auto"/>
              <w:left w:val="single" w:sz="4" w:space="0" w:color="auto"/>
              <w:bottom w:val="single" w:sz="4" w:space="0" w:color="auto"/>
              <w:right w:val="single" w:sz="4" w:space="0" w:color="auto"/>
            </w:tcBorders>
            <w:hideMark/>
          </w:tcPr>
          <w:p w14:paraId="66263F64" w14:textId="77777777" w:rsidR="00DB2D73" w:rsidRDefault="00DB2D73">
            <w:pPr>
              <w:rPr>
                <w:rFonts w:ascii="Arial" w:hAnsi="Arial" w:cs="Arial"/>
                <w:b/>
                <w:sz w:val="16"/>
                <w:szCs w:val="16"/>
              </w:rPr>
            </w:pPr>
            <w:r>
              <w:rPr>
                <w:rFonts w:ascii="Arial" w:hAnsi="Arial" w:cs="Arial"/>
                <w:b/>
                <w:sz w:val="16"/>
                <w:szCs w:val="16"/>
              </w:rPr>
              <w:t>Business Analyst (Intermediate) (602)</w:t>
            </w:r>
          </w:p>
        </w:tc>
        <w:tc>
          <w:tcPr>
            <w:tcW w:w="3060" w:type="dxa"/>
            <w:tcBorders>
              <w:top w:val="single" w:sz="4" w:space="0" w:color="auto"/>
              <w:left w:val="single" w:sz="4" w:space="0" w:color="auto"/>
              <w:bottom w:val="single" w:sz="4" w:space="0" w:color="auto"/>
              <w:right w:val="single" w:sz="4" w:space="0" w:color="auto"/>
            </w:tcBorders>
            <w:hideMark/>
          </w:tcPr>
          <w:p w14:paraId="645ABC16" w14:textId="77777777" w:rsidR="00DB2D73" w:rsidRDefault="00DB2D73">
            <w:pPr>
              <w:rPr>
                <w:rFonts w:ascii="Arial" w:hAnsi="Arial" w:cs="Arial"/>
                <w:b/>
                <w:sz w:val="16"/>
                <w:szCs w:val="16"/>
              </w:rPr>
            </w:pPr>
            <w:r>
              <w:rPr>
                <w:rFonts w:ascii="Arial" w:hAnsi="Arial" w:cs="Arial"/>
                <w:b/>
                <w:sz w:val="16"/>
                <w:szCs w:val="16"/>
              </w:rPr>
              <w:t>Business Analyst</w:t>
            </w:r>
          </w:p>
        </w:tc>
        <w:tc>
          <w:tcPr>
            <w:tcW w:w="1890" w:type="dxa"/>
            <w:tcBorders>
              <w:top w:val="single" w:sz="4" w:space="0" w:color="auto"/>
              <w:left w:val="single" w:sz="4" w:space="0" w:color="auto"/>
              <w:bottom w:val="single" w:sz="4" w:space="0" w:color="auto"/>
              <w:right w:val="single" w:sz="4" w:space="0" w:color="auto"/>
            </w:tcBorders>
            <w:hideMark/>
          </w:tcPr>
          <w:p w14:paraId="07EE9341" w14:textId="77777777" w:rsidR="00DB2D73" w:rsidRDefault="00DB2D73">
            <w:pPr>
              <w:rPr>
                <w:rFonts w:ascii="Arial" w:hAnsi="Arial" w:cs="Arial"/>
                <w:b/>
                <w:sz w:val="16"/>
                <w:szCs w:val="16"/>
              </w:rPr>
            </w:pPr>
            <w:r>
              <w:rPr>
                <w:rFonts w:ascii="Arial" w:hAnsi="Arial" w:cs="Arial"/>
                <w:b/>
                <w:sz w:val="16"/>
                <w:szCs w:val="16"/>
              </w:rPr>
              <w:t>$72,650</w:t>
            </w:r>
            <w:r>
              <w:rPr>
                <w:rFonts w:ascii="Arial" w:hAnsi="Arial" w:cs="Arial"/>
                <w:b/>
                <w:sz w:val="16"/>
                <w:szCs w:val="16"/>
                <w:vertAlign w:val="superscript"/>
              </w:rPr>
              <w:footnoteReference w:id="9"/>
            </w:r>
          </w:p>
        </w:tc>
        <w:tc>
          <w:tcPr>
            <w:tcW w:w="1415" w:type="dxa"/>
            <w:tcBorders>
              <w:top w:val="single" w:sz="4" w:space="0" w:color="auto"/>
              <w:left w:val="single" w:sz="4" w:space="0" w:color="auto"/>
              <w:bottom w:val="single" w:sz="4" w:space="0" w:color="auto"/>
              <w:right w:val="single" w:sz="4" w:space="0" w:color="auto"/>
            </w:tcBorders>
            <w:hideMark/>
          </w:tcPr>
          <w:p w14:paraId="6693D05F" w14:textId="77777777" w:rsidR="00DB2D73" w:rsidRDefault="00DB2D73">
            <w:pPr>
              <w:rPr>
                <w:rFonts w:ascii="Arial" w:hAnsi="Arial" w:cs="Arial"/>
                <w:b/>
                <w:sz w:val="16"/>
                <w:szCs w:val="16"/>
              </w:rPr>
            </w:pPr>
            <w:r>
              <w:rPr>
                <w:rFonts w:ascii="Arial" w:hAnsi="Arial" w:cs="Arial"/>
                <w:b/>
                <w:sz w:val="16"/>
                <w:szCs w:val="16"/>
              </w:rPr>
              <w:t>$52</w:t>
            </w:r>
          </w:p>
        </w:tc>
      </w:tr>
      <w:tr w:rsidR="00DB2D73" w14:paraId="626F8295" w14:textId="77777777" w:rsidTr="00DB2D73">
        <w:trPr>
          <w:trHeight w:val="572"/>
        </w:trPr>
        <w:tc>
          <w:tcPr>
            <w:tcW w:w="3168" w:type="dxa"/>
            <w:tcBorders>
              <w:top w:val="single" w:sz="4" w:space="0" w:color="auto"/>
              <w:left w:val="single" w:sz="4" w:space="0" w:color="auto"/>
              <w:bottom w:val="single" w:sz="4" w:space="0" w:color="auto"/>
              <w:right w:val="single" w:sz="4" w:space="0" w:color="auto"/>
            </w:tcBorders>
            <w:hideMark/>
          </w:tcPr>
          <w:p w14:paraId="54469731" w14:textId="77777777" w:rsidR="00DB2D73" w:rsidRDefault="00DB2D73">
            <w:pPr>
              <w:rPr>
                <w:rFonts w:ascii="Arial" w:hAnsi="Arial" w:cs="Arial"/>
                <w:b/>
                <w:sz w:val="16"/>
                <w:szCs w:val="16"/>
              </w:rPr>
            </w:pPr>
            <w:r>
              <w:rPr>
                <w:rFonts w:ascii="Arial" w:hAnsi="Arial" w:cs="Arial"/>
                <w:b/>
                <w:sz w:val="16"/>
                <w:szCs w:val="16"/>
              </w:rPr>
              <w:t>Business Analyst (Intermediate) (602)</w:t>
            </w:r>
          </w:p>
        </w:tc>
        <w:tc>
          <w:tcPr>
            <w:tcW w:w="3060" w:type="dxa"/>
            <w:tcBorders>
              <w:top w:val="single" w:sz="4" w:space="0" w:color="auto"/>
              <w:left w:val="single" w:sz="4" w:space="0" w:color="auto"/>
              <w:bottom w:val="single" w:sz="4" w:space="0" w:color="auto"/>
              <w:right w:val="single" w:sz="4" w:space="0" w:color="auto"/>
            </w:tcBorders>
            <w:hideMark/>
          </w:tcPr>
          <w:p w14:paraId="3323272A" w14:textId="77777777" w:rsidR="00DB2D73" w:rsidRDefault="00DB2D73">
            <w:pPr>
              <w:rPr>
                <w:rFonts w:ascii="Arial" w:hAnsi="Arial" w:cs="Arial"/>
                <w:b/>
                <w:sz w:val="16"/>
                <w:szCs w:val="16"/>
              </w:rPr>
            </w:pPr>
            <w:r>
              <w:rPr>
                <w:rFonts w:ascii="Arial" w:hAnsi="Arial" w:cs="Arial"/>
                <w:b/>
                <w:sz w:val="16"/>
                <w:szCs w:val="16"/>
              </w:rPr>
              <w:t>Tester</w:t>
            </w:r>
          </w:p>
        </w:tc>
        <w:tc>
          <w:tcPr>
            <w:tcW w:w="1890" w:type="dxa"/>
            <w:tcBorders>
              <w:top w:val="single" w:sz="4" w:space="0" w:color="auto"/>
              <w:left w:val="single" w:sz="4" w:space="0" w:color="auto"/>
              <w:bottom w:val="single" w:sz="4" w:space="0" w:color="auto"/>
              <w:right w:val="single" w:sz="4" w:space="0" w:color="auto"/>
            </w:tcBorders>
            <w:hideMark/>
          </w:tcPr>
          <w:p w14:paraId="66A25377" w14:textId="77777777" w:rsidR="00DB2D73" w:rsidRDefault="00DB2D73">
            <w:pPr>
              <w:rPr>
                <w:rFonts w:ascii="Arial" w:hAnsi="Arial" w:cs="Arial"/>
                <w:b/>
                <w:sz w:val="16"/>
                <w:szCs w:val="16"/>
              </w:rPr>
            </w:pPr>
            <w:r>
              <w:rPr>
                <w:rFonts w:ascii="Arial" w:hAnsi="Arial" w:cs="Arial"/>
                <w:b/>
                <w:sz w:val="16"/>
                <w:szCs w:val="16"/>
              </w:rPr>
              <w:t>$72,650</w:t>
            </w:r>
            <w:r>
              <w:rPr>
                <w:rFonts w:ascii="Arial" w:hAnsi="Arial" w:cs="Arial"/>
                <w:b/>
                <w:sz w:val="16"/>
                <w:szCs w:val="16"/>
                <w:vertAlign w:val="superscript"/>
              </w:rPr>
              <w:footnoteReference w:id="10"/>
            </w:r>
          </w:p>
        </w:tc>
        <w:tc>
          <w:tcPr>
            <w:tcW w:w="1415" w:type="dxa"/>
            <w:tcBorders>
              <w:top w:val="single" w:sz="4" w:space="0" w:color="auto"/>
              <w:left w:val="single" w:sz="4" w:space="0" w:color="auto"/>
              <w:bottom w:val="single" w:sz="4" w:space="0" w:color="auto"/>
              <w:right w:val="single" w:sz="4" w:space="0" w:color="auto"/>
            </w:tcBorders>
            <w:hideMark/>
          </w:tcPr>
          <w:p w14:paraId="7C68FAEE" w14:textId="77777777" w:rsidR="00DB2D73" w:rsidRDefault="00DB2D73">
            <w:pPr>
              <w:rPr>
                <w:rFonts w:ascii="Arial" w:hAnsi="Arial" w:cs="Arial"/>
                <w:b/>
                <w:sz w:val="16"/>
                <w:szCs w:val="16"/>
              </w:rPr>
            </w:pPr>
            <w:r>
              <w:rPr>
                <w:rFonts w:ascii="Arial" w:hAnsi="Arial" w:cs="Arial"/>
                <w:b/>
                <w:sz w:val="16"/>
                <w:szCs w:val="16"/>
              </w:rPr>
              <w:t>$52</w:t>
            </w:r>
          </w:p>
        </w:tc>
      </w:tr>
      <w:tr w:rsidR="00DB2D73" w14:paraId="05085EAB" w14:textId="77777777" w:rsidTr="00DB2D73">
        <w:trPr>
          <w:trHeight w:val="572"/>
        </w:trPr>
        <w:tc>
          <w:tcPr>
            <w:tcW w:w="3168" w:type="dxa"/>
            <w:tcBorders>
              <w:top w:val="single" w:sz="4" w:space="0" w:color="auto"/>
              <w:left w:val="single" w:sz="4" w:space="0" w:color="auto"/>
              <w:bottom w:val="single" w:sz="4" w:space="0" w:color="auto"/>
              <w:right w:val="single" w:sz="4" w:space="0" w:color="auto"/>
            </w:tcBorders>
            <w:hideMark/>
          </w:tcPr>
          <w:p w14:paraId="6AF16D5C" w14:textId="77777777" w:rsidR="00DB2D73" w:rsidRDefault="00DB2D73">
            <w:pPr>
              <w:rPr>
                <w:rFonts w:ascii="Arial" w:hAnsi="Arial" w:cs="Arial"/>
                <w:b/>
                <w:sz w:val="16"/>
                <w:szCs w:val="16"/>
              </w:rPr>
            </w:pPr>
            <w:r>
              <w:rPr>
                <w:rFonts w:ascii="Arial" w:hAnsi="Arial" w:cs="Arial"/>
                <w:b/>
                <w:sz w:val="16"/>
                <w:szCs w:val="16"/>
              </w:rPr>
              <w:t>Programmer Analyst (Senior) (1607)</w:t>
            </w:r>
          </w:p>
        </w:tc>
        <w:tc>
          <w:tcPr>
            <w:tcW w:w="3060" w:type="dxa"/>
            <w:tcBorders>
              <w:top w:val="single" w:sz="4" w:space="0" w:color="auto"/>
              <w:left w:val="single" w:sz="4" w:space="0" w:color="auto"/>
              <w:bottom w:val="single" w:sz="4" w:space="0" w:color="auto"/>
              <w:right w:val="single" w:sz="4" w:space="0" w:color="auto"/>
            </w:tcBorders>
            <w:hideMark/>
          </w:tcPr>
          <w:p w14:paraId="4AFD5D74" w14:textId="77777777" w:rsidR="00DB2D73" w:rsidRDefault="00DB2D73">
            <w:pPr>
              <w:rPr>
                <w:rFonts w:ascii="Arial" w:hAnsi="Arial" w:cs="Arial"/>
                <w:b/>
                <w:sz w:val="16"/>
                <w:szCs w:val="16"/>
              </w:rPr>
            </w:pPr>
            <w:r>
              <w:rPr>
                <w:rFonts w:ascii="Arial" w:hAnsi="Arial" w:cs="Arial"/>
                <w:b/>
                <w:sz w:val="16"/>
                <w:szCs w:val="16"/>
              </w:rPr>
              <w:t>Developer</w:t>
            </w:r>
          </w:p>
        </w:tc>
        <w:tc>
          <w:tcPr>
            <w:tcW w:w="1890" w:type="dxa"/>
            <w:tcBorders>
              <w:top w:val="single" w:sz="4" w:space="0" w:color="auto"/>
              <w:left w:val="single" w:sz="4" w:space="0" w:color="auto"/>
              <w:bottom w:val="single" w:sz="4" w:space="0" w:color="auto"/>
              <w:right w:val="single" w:sz="4" w:space="0" w:color="auto"/>
            </w:tcBorders>
            <w:hideMark/>
          </w:tcPr>
          <w:p w14:paraId="74F70EDE" w14:textId="77777777" w:rsidR="00DB2D73" w:rsidRDefault="00DB2D73">
            <w:pPr>
              <w:rPr>
                <w:rFonts w:ascii="Arial" w:hAnsi="Arial" w:cs="Arial"/>
                <w:b/>
                <w:sz w:val="16"/>
                <w:szCs w:val="16"/>
              </w:rPr>
            </w:pPr>
            <w:r>
              <w:rPr>
                <w:rFonts w:ascii="Arial" w:hAnsi="Arial" w:cs="Arial"/>
                <w:b/>
                <w:sz w:val="16"/>
                <w:szCs w:val="16"/>
              </w:rPr>
              <w:t>$103,851</w:t>
            </w:r>
            <w:r>
              <w:rPr>
                <w:rFonts w:ascii="Arial" w:hAnsi="Arial" w:cs="Arial"/>
                <w:b/>
                <w:sz w:val="16"/>
                <w:szCs w:val="16"/>
                <w:vertAlign w:val="superscript"/>
              </w:rPr>
              <w:footnoteReference w:id="11"/>
            </w:r>
          </w:p>
        </w:tc>
        <w:tc>
          <w:tcPr>
            <w:tcW w:w="1415" w:type="dxa"/>
            <w:tcBorders>
              <w:top w:val="single" w:sz="4" w:space="0" w:color="auto"/>
              <w:left w:val="single" w:sz="4" w:space="0" w:color="auto"/>
              <w:bottom w:val="single" w:sz="4" w:space="0" w:color="auto"/>
              <w:right w:val="single" w:sz="4" w:space="0" w:color="auto"/>
            </w:tcBorders>
            <w:hideMark/>
          </w:tcPr>
          <w:p w14:paraId="450251C9" w14:textId="77777777" w:rsidR="00DB2D73" w:rsidRDefault="00DB2D73">
            <w:pPr>
              <w:rPr>
                <w:rFonts w:ascii="Arial" w:hAnsi="Arial" w:cs="Arial"/>
                <w:b/>
                <w:sz w:val="16"/>
                <w:szCs w:val="16"/>
              </w:rPr>
            </w:pPr>
            <w:r>
              <w:rPr>
                <w:rFonts w:ascii="Arial" w:hAnsi="Arial" w:cs="Arial"/>
                <w:b/>
                <w:sz w:val="16"/>
                <w:szCs w:val="16"/>
              </w:rPr>
              <w:t>$75</w:t>
            </w:r>
          </w:p>
        </w:tc>
      </w:tr>
      <w:tr w:rsidR="00DB2D73" w14:paraId="221EBAA9" w14:textId="77777777" w:rsidTr="00DB2D73">
        <w:trPr>
          <w:trHeight w:val="554"/>
        </w:trPr>
        <w:tc>
          <w:tcPr>
            <w:tcW w:w="3168" w:type="dxa"/>
            <w:tcBorders>
              <w:top w:val="single" w:sz="4" w:space="0" w:color="auto"/>
              <w:left w:val="single" w:sz="4" w:space="0" w:color="auto"/>
              <w:bottom w:val="single" w:sz="4" w:space="0" w:color="auto"/>
              <w:right w:val="single" w:sz="4" w:space="0" w:color="auto"/>
            </w:tcBorders>
            <w:hideMark/>
          </w:tcPr>
          <w:p w14:paraId="2D248703" w14:textId="77777777" w:rsidR="00DB2D73" w:rsidRDefault="00DB2D73">
            <w:pPr>
              <w:rPr>
                <w:rFonts w:ascii="Arial" w:hAnsi="Arial" w:cs="Arial"/>
                <w:b/>
                <w:sz w:val="16"/>
                <w:szCs w:val="16"/>
              </w:rPr>
            </w:pPr>
            <w:r>
              <w:rPr>
                <w:rFonts w:ascii="Arial" w:hAnsi="Arial" w:cs="Arial"/>
                <w:b/>
                <w:sz w:val="16"/>
                <w:szCs w:val="16"/>
              </w:rPr>
              <w:t>Compliance Examiner (Senior) (409)</w:t>
            </w:r>
          </w:p>
        </w:tc>
        <w:tc>
          <w:tcPr>
            <w:tcW w:w="3060" w:type="dxa"/>
            <w:tcBorders>
              <w:top w:val="single" w:sz="4" w:space="0" w:color="auto"/>
              <w:left w:val="single" w:sz="4" w:space="0" w:color="auto"/>
              <w:bottom w:val="single" w:sz="4" w:space="0" w:color="auto"/>
              <w:right w:val="single" w:sz="4" w:space="0" w:color="auto"/>
            </w:tcBorders>
            <w:hideMark/>
          </w:tcPr>
          <w:p w14:paraId="6D5C3D1A" w14:textId="77777777" w:rsidR="00DB2D73" w:rsidRDefault="00DB2D73">
            <w:pPr>
              <w:rPr>
                <w:rFonts w:ascii="Arial" w:hAnsi="Arial" w:cs="Arial"/>
                <w:b/>
                <w:sz w:val="16"/>
                <w:szCs w:val="16"/>
              </w:rPr>
            </w:pPr>
            <w:r>
              <w:rPr>
                <w:rFonts w:ascii="Arial" w:hAnsi="Arial" w:cs="Arial"/>
                <w:b/>
                <w:sz w:val="16"/>
                <w:szCs w:val="16"/>
              </w:rPr>
              <w:t>Senior Compliance Examiner</w:t>
            </w:r>
          </w:p>
        </w:tc>
        <w:tc>
          <w:tcPr>
            <w:tcW w:w="1890" w:type="dxa"/>
            <w:tcBorders>
              <w:top w:val="single" w:sz="4" w:space="0" w:color="auto"/>
              <w:left w:val="single" w:sz="4" w:space="0" w:color="auto"/>
              <w:bottom w:val="single" w:sz="4" w:space="0" w:color="auto"/>
              <w:right w:val="single" w:sz="4" w:space="0" w:color="auto"/>
            </w:tcBorders>
            <w:hideMark/>
          </w:tcPr>
          <w:p w14:paraId="06A1056F" w14:textId="77777777" w:rsidR="00DB2D73" w:rsidRDefault="00DB2D73">
            <w:pPr>
              <w:rPr>
                <w:rFonts w:ascii="Arial" w:hAnsi="Arial" w:cs="Arial"/>
                <w:b/>
                <w:sz w:val="16"/>
                <w:szCs w:val="16"/>
              </w:rPr>
            </w:pPr>
            <w:r>
              <w:rPr>
                <w:rFonts w:ascii="Arial" w:hAnsi="Arial" w:cs="Arial"/>
                <w:b/>
                <w:sz w:val="16"/>
                <w:szCs w:val="16"/>
              </w:rPr>
              <w:t>$79,992</w:t>
            </w:r>
            <w:r>
              <w:rPr>
                <w:rFonts w:ascii="Arial" w:hAnsi="Arial" w:cs="Arial"/>
                <w:b/>
                <w:sz w:val="16"/>
                <w:szCs w:val="16"/>
                <w:vertAlign w:val="superscript"/>
              </w:rPr>
              <w:footnoteReference w:id="12"/>
            </w:r>
          </w:p>
        </w:tc>
        <w:tc>
          <w:tcPr>
            <w:tcW w:w="1415" w:type="dxa"/>
            <w:tcBorders>
              <w:top w:val="single" w:sz="4" w:space="0" w:color="auto"/>
              <w:left w:val="single" w:sz="4" w:space="0" w:color="auto"/>
              <w:bottom w:val="single" w:sz="4" w:space="0" w:color="auto"/>
              <w:right w:val="single" w:sz="4" w:space="0" w:color="auto"/>
            </w:tcBorders>
            <w:hideMark/>
          </w:tcPr>
          <w:p w14:paraId="6A5A37E2" w14:textId="77777777" w:rsidR="00DB2D73" w:rsidRDefault="00DB2D73">
            <w:pPr>
              <w:rPr>
                <w:rFonts w:ascii="Arial" w:hAnsi="Arial" w:cs="Arial"/>
                <w:b/>
                <w:sz w:val="16"/>
                <w:szCs w:val="16"/>
              </w:rPr>
            </w:pPr>
            <w:r>
              <w:rPr>
                <w:rFonts w:ascii="Arial" w:hAnsi="Arial" w:cs="Arial"/>
                <w:b/>
                <w:sz w:val="16"/>
                <w:szCs w:val="16"/>
              </w:rPr>
              <w:t>$58</w:t>
            </w:r>
          </w:p>
        </w:tc>
      </w:tr>
      <w:tr w:rsidR="00DB2D73" w14:paraId="7AC4A1C3" w14:textId="77777777" w:rsidTr="00DB2D73">
        <w:trPr>
          <w:trHeight w:val="572"/>
        </w:trPr>
        <w:tc>
          <w:tcPr>
            <w:tcW w:w="3168" w:type="dxa"/>
            <w:tcBorders>
              <w:top w:val="single" w:sz="4" w:space="0" w:color="auto"/>
              <w:left w:val="single" w:sz="4" w:space="0" w:color="auto"/>
              <w:bottom w:val="single" w:sz="4" w:space="0" w:color="auto"/>
              <w:right w:val="single" w:sz="4" w:space="0" w:color="auto"/>
            </w:tcBorders>
            <w:hideMark/>
          </w:tcPr>
          <w:p w14:paraId="0FEBABE8" w14:textId="77777777" w:rsidR="00DB2D73" w:rsidRDefault="00DB2D73">
            <w:pPr>
              <w:rPr>
                <w:rFonts w:ascii="Arial" w:hAnsi="Arial" w:cs="Arial"/>
                <w:b/>
                <w:sz w:val="16"/>
                <w:szCs w:val="16"/>
              </w:rPr>
            </w:pPr>
            <w:r>
              <w:rPr>
                <w:rFonts w:ascii="Arial" w:hAnsi="Arial" w:cs="Arial"/>
                <w:b/>
                <w:sz w:val="16"/>
                <w:szCs w:val="16"/>
              </w:rPr>
              <w:t>Compliance Specialist (Senior)</w:t>
            </w:r>
          </w:p>
          <w:p w14:paraId="5F2E93D5" w14:textId="77777777" w:rsidR="00DB2D73" w:rsidRDefault="00DB2D73">
            <w:pPr>
              <w:rPr>
                <w:rFonts w:ascii="Arial" w:hAnsi="Arial" w:cs="Arial"/>
                <w:b/>
                <w:sz w:val="16"/>
                <w:szCs w:val="16"/>
              </w:rPr>
            </w:pPr>
            <w:r>
              <w:rPr>
                <w:rFonts w:ascii="Arial" w:hAnsi="Arial" w:cs="Arial"/>
                <w:b/>
                <w:sz w:val="16"/>
                <w:szCs w:val="16"/>
              </w:rPr>
              <w:t>(406)</w:t>
            </w:r>
          </w:p>
        </w:tc>
        <w:tc>
          <w:tcPr>
            <w:tcW w:w="3060" w:type="dxa"/>
            <w:tcBorders>
              <w:top w:val="single" w:sz="4" w:space="0" w:color="auto"/>
              <w:left w:val="single" w:sz="4" w:space="0" w:color="auto"/>
              <w:bottom w:val="single" w:sz="4" w:space="0" w:color="auto"/>
              <w:right w:val="single" w:sz="4" w:space="0" w:color="auto"/>
            </w:tcBorders>
            <w:hideMark/>
          </w:tcPr>
          <w:p w14:paraId="18EA4732" w14:textId="77777777" w:rsidR="00DB2D73" w:rsidRDefault="00DB2D73">
            <w:pPr>
              <w:rPr>
                <w:rFonts w:ascii="Arial" w:hAnsi="Arial" w:cs="Arial"/>
                <w:b/>
                <w:sz w:val="16"/>
                <w:szCs w:val="16"/>
              </w:rPr>
            </w:pPr>
            <w:r>
              <w:rPr>
                <w:rFonts w:ascii="Arial" w:hAnsi="Arial" w:cs="Arial"/>
                <w:b/>
                <w:sz w:val="16"/>
                <w:szCs w:val="16"/>
              </w:rPr>
              <w:t>Senior Compliance Specialist</w:t>
            </w:r>
          </w:p>
        </w:tc>
        <w:tc>
          <w:tcPr>
            <w:tcW w:w="1890" w:type="dxa"/>
            <w:tcBorders>
              <w:top w:val="single" w:sz="4" w:space="0" w:color="auto"/>
              <w:left w:val="single" w:sz="4" w:space="0" w:color="auto"/>
              <w:bottom w:val="single" w:sz="4" w:space="0" w:color="auto"/>
              <w:right w:val="single" w:sz="4" w:space="0" w:color="auto"/>
            </w:tcBorders>
            <w:hideMark/>
          </w:tcPr>
          <w:p w14:paraId="6EBA0375" w14:textId="77777777" w:rsidR="00DB2D73" w:rsidRDefault="00DB2D73">
            <w:pPr>
              <w:rPr>
                <w:rFonts w:ascii="Arial" w:hAnsi="Arial" w:cs="Arial"/>
                <w:b/>
                <w:sz w:val="16"/>
                <w:szCs w:val="16"/>
              </w:rPr>
            </w:pPr>
            <w:r>
              <w:rPr>
                <w:rFonts w:ascii="Arial" w:hAnsi="Arial" w:cs="Arial"/>
                <w:b/>
                <w:sz w:val="16"/>
                <w:szCs w:val="16"/>
              </w:rPr>
              <w:t>$78,250</w:t>
            </w:r>
            <w:r>
              <w:rPr>
                <w:rFonts w:ascii="Arial" w:hAnsi="Arial" w:cs="Arial"/>
                <w:b/>
                <w:sz w:val="16"/>
                <w:szCs w:val="16"/>
                <w:vertAlign w:val="superscript"/>
              </w:rPr>
              <w:footnoteReference w:id="13"/>
            </w:r>
          </w:p>
        </w:tc>
        <w:tc>
          <w:tcPr>
            <w:tcW w:w="1415" w:type="dxa"/>
            <w:tcBorders>
              <w:top w:val="single" w:sz="4" w:space="0" w:color="auto"/>
              <w:left w:val="single" w:sz="4" w:space="0" w:color="auto"/>
              <w:bottom w:val="single" w:sz="4" w:space="0" w:color="auto"/>
              <w:right w:val="single" w:sz="4" w:space="0" w:color="auto"/>
            </w:tcBorders>
            <w:hideMark/>
          </w:tcPr>
          <w:p w14:paraId="7123857B" w14:textId="77777777" w:rsidR="00DB2D73" w:rsidRDefault="00DB2D73">
            <w:pPr>
              <w:rPr>
                <w:rFonts w:ascii="Arial" w:hAnsi="Arial" w:cs="Arial"/>
                <w:b/>
                <w:sz w:val="16"/>
                <w:szCs w:val="16"/>
              </w:rPr>
            </w:pPr>
            <w:r>
              <w:rPr>
                <w:rFonts w:ascii="Arial" w:hAnsi="Arial" w:cs="Arial"/>
                <w:b/>
                <w:sz w:val="16"/>
                <w:szCs w:val="16"/>
              </w:rPr>
              <w:t>$57</w:t>
            </w:r>
          </w:p>
        </w:tc>
      </w:tr>
      <w:tr w:rsidR="00DB2D73" w14:paraId="6B0E656A" w14:textId="77777777" w:rsidTr="00DB2D73">
        <w:trPr>
          <w:trHeight w:val="572"/>
        </w:trPr>
        <w:tc>
          <w:tcPr>
            <w:tcW w:w="3168" w:type="dxa"/>
            <w:tcBorders>
              <w:top w:val="single" w:sz="4" w:space="0" w:color="auto"/>
              <w:left w:val="single" w:sz="4" w:space="0" w:color="auto"/>
              <w:bottom w:val="single" w:sz="4" w:space="0" w:color="auto"/>
              <w:right w:val="single" w:sz="4" w:space="0" w:color="auto"/>
            </w:tcBorders>
            <w:hideMark/>
          </w:tcPr>
          <w:p w14:paraId="647EAD33" w14:textId="77777777" w:rsidR="00DB2D73" w:rsidRDefault="00DB2D73">
            <w:pPr>
              <w:rPr>
                <w:rFonts w:ascii="Arial" w:hAnsi="Arial" w:cs="Arial"/>
                <w:b/>
                <w:sz w:val="16"/>
                <w:szCs w:val="16"/>
              </w:rPr>
            </w:pPr>
            <w:r>
              <w:rPr>
                <w:rFonts w:ascii="Arial" w:hAnsi="Arial" w:cs="Arial"/>
                <w:b/>
                <w:sz w:val="16"/>
                <w:szCs w:val="16"/>
              </w:rPr>
              <w:t>Chief Compliance Officer (Mutual Funds/ Investment Advisory Services) (413)</w:t>
            </w:r>
          </w:p>
        </w:tc>
        <w:tc>
          <w:tcPr>
            <w:tcW w:w="3060" w:type="dxa"/>
            <w:tcBorders>
              <w:top w:val="single" w:sz="4" w:space="0" w:color="auto"/>
              <w:left w:val="single" w:sz="4" w:space="0" w:color="auto"/>
              <w:bottom w:val="single" w:sz="4" w:space="0" w:color="auto"/>
              <w:right w:val="single" w:sz="4" w:space="0" w:color="auto"/>
            </w:tcBorders>
            <w:hideMark/>
          </w:tcPr>
          <w:p w14:paraId="6AC76500" w14:textId="77777777" w:rsidR="00DB2D73" w:rsidRDefault="00DB2D73">
            <w:pPr>
              <w:rPr>
                <w:rFonts w:ascii="Arial" w:hAnsi="Arial" w:cs="Arial"/>
                <w:b/>
                <w:sz w:val="16"/>
                <w:szCs w:val="16"/>
              </w:rPr>
            </w:pPr>
            <w:r>
              <w:rPr>
                <w:rFonts w:ascii="Arial" w:hAnsi="Arial" w:cs="Arial"/>
                <w:b/>
                <w:sz w:val="16"/>
                <w:szCs w:val="16"/>
              </w:rPr>
              <w:t>Chief Compliance Officer</w:t>
            </w:r>
          </w:p>
        </w:tc>
        <w:tc>
          <w:tcPr>
            <w:tcW w:w="1890" w:type="dxa"/>
            <w:tcBorders>
              <w:top w:val="single" w:sz="4" w:space="0" w:color="auto"/>
              <w:left w:val="single" w:sz="4" w:space="0" w:color="auto"/>
              <w:bottom w:val="single" w:sz="4" w:space="0" w:color="auto"/>
              <w:right w:val="single" w:sz="4" w:space="0" w:color="auto"/>
            </w:tcBorders>
            <w:hideMark/>
          </w:tcPr>
          <w:p w14:paraId="7E7AAB48" w14:textId="77777777" w:rsidR="00DB2D73" w:rsidRDefault="00DB2D73">
            <w:pPr>
              <w:rPr>
                <w:rFonts w:ascii="Arial" w:hAnsi="Arial" w:cs="Arial"/>
                <w:b/>
                <w:sz w:val="16"/>
                <w:szCs w:val="16"/>
              </w:rPr>
            </w:pPr>
            <w:r>
              <w:rPr>
                <w:rFonts w:ascii="Arial" w:hAnsi="Arial" w:cs="Arial"/>
                <w:b/>
                <w:sz w:val="16"/>
                <w:szCs w:val="16"/>
              </w:rPr>
              <w:t>$192,367</w:t>
            </w:r>
            <w:r>
              <w:rPr>
                <w:rFonts w:ascii="Arial" w:hAnsi="Arial" w:cs="Arial"/>
                <w:b/>
                <w:sz w:val="16"/>
                <w:szCs w:val="16"/>
                <w:vertAlign w:val="superscript"/>
              </w:rPr>
              <w:footnoteReference w:id="14"/>
            </w:r>
          </w:p>
        </w:tc>
        <w:tc>
          <w:tcPr>
            <w:tcW w:w="1415" w:type="dxa"/>
            <w:tcBorders>
              <w:top w:val="single" w:sz="4" w:space="0" w:color="auto"/>
              <w:left w:val="single" w:sz="4" w:space="0" w:color="auto"/>
              <w:bottom w:val="single" w:sz="4" w:space="0" w:color="auto"/>
              <w:right w:val="single" w:sz="4" w:space="0" w:color="auto"/>
            </w:tcBorders>
            <w:hideMark/>
          </w:tcPr>
          <w:p w14:paraId="4309D3C8" w14:textId="77777777" w:rsidR="00DB2D73" w:rsidRDefault="00DB2D73">
            <w:pPr>
              <w:rPr>
                <w:rFonts w:ascii="Arial" w:hAnsi="Arial" w:cs="Arial"/>
                <w:b/>
                <w:sz w:val="16"/>
                <w:szCs w:val="16"/>
              </w:rPr>
            </w:pPr>
            <w:r>
              <w:rPr>
                <w:rFonts w:ascii="Arial" w:hAnsi="Arial" w:cs="Arial"/>
                <w:b/>
                <w:sz w:val="16"/>
                <w:szCs w:val="16"/>
              </w:rPr>
              <w:t>$139</w:t>
            </w:r>
          </w:p>
        </w:tc>
      </w:tr>
      <w:tr w:rsidR="00DB2D73" w14:paraId="29D8490F" w14:textId="77777777" w:rsidTr="00DB2D73">
        <w:trPr>
          <w:trHeight w:val="572"/>
        </w:trPr>
        <w:tc>
          <w:tcPr>
            <w:tcW w:w="3168" w:type="dxa"/>
            <w:tcBorders>
              <w:top w:val="single" w:sz="4" w:space="0" w:color="auto"/>
              <w:left w:val="single" w:sz="4" w:space="0" w:color="auto"/>
              <w:bottom w:val="single" w:sz="4" w:space="0" w:color="auto"/>
              <w:right w:val="single" w:sz="4" w:space="0" w:color="auto"/>
            </w:tcBorders>
            <w:hideMark/>
          </w:tcPr>
          <w:p w14:paraId="22557178" w14:textId="77777777" w:rsidR="00DB2D73" w:rsidRDefault="00DB2D73">
            <w:pPr>
              <w:rPr>
                <w:rFonts w:ascii="Arial" w:hAnsi="Arial" w:cs="Arial"/>
                <w:b/>
                <w:sz w:val="16"/>
                <w:szCs w:val="16"/>
              </w:rPr>
            </w:pPr>
            <w:r>
              <w:rPr>
                <w:rFonts w:ascii="Arial" w:hAnsi="Arial" w:cs="Arial"/>
                <w:b/>
                <w:sz w:val="16"/>
                <w:szCs w:val="16"/>
              </w:rPr>
              <w:t>Compliance Attorney (1103)</w:t>
            </w:r>
          </w:p>
        </w:tc>
        <w:tc>
          <w:tcPr>
            <w:tcW w:w="3060" w:type="dxa"/>
            <w:tcBorders>
              <w:top w:val="single" w:sz="4" w:space="0" w:color="auto"/>
              <w:left w:val="single" w:sz="4" w:space="0" w:color="auto"/>
              <w:bottom w:val="single" w:sz="4" w:space="0" w:color="auto"/>
              <w:right w:val="single" w:sz="4" w:space="0" w:color="auto"/>
            </w:tcBorders>
            <w:hideMark/>
          </w:tcPr>
          <w:p w14:paraId="42EEDA0A" w14:textId="77777777" w:rsidR="00DB2D73" w:rsidRDefault="00DB2D73">
            <w:pPr>
              <w:rPr>
                <w:rFonts w:ascii="Arial" w:hAnsi="Arial" w:cs="Arial"/>
                <w:b/>
                <w:sz w:val="16"/>
                <w:szCs w:val="16"/>
              </w:rPr>
            </w:pPr>
            <w:r>
              <w:rPr>
                <w:rFonts w:ascii="Arial" w:hAnsi="Arial" w:cs="Arial"/>
                <w:b/>
                <w:sz w:val="16"/>
                <w:szCs w:val="16"/>
              </w:rPr>
              <w:t>Compliance Attorney</w:t>
            </w:r>
          </w:p>
        </w:tc>
        <w:tc>
          <w:tcPr>
            <w:tcW w:w="1890" w:type="dxa"/>
            <w:tcBorders>
              <w:top w:val="single" w:sz="4" w:space="0" w:color="auto"/>
              <w:left w:val="single" w:sz="4" w:space="0" w:color="auto"/>
              <w:bottom w:val="single" w:sz="4" w:space="0" w:color="auto"/>
              <w:right w:val="single" w:sz="4" w:space="0" w:color="auto"/>
            </w:tcBorders>
            <w:hideMark/>
          </w:tcPr>
          <w:p w14:paraId="602F9C7B" w14:textId="77777777" w:rsidR="00DB2D73" w:rsidRDefault="00DB2D73">
            <w:pPr>
              <w:rPr>
                <w:rFonts w:ascii="Arial" w:hAnsi="Arial" w:cs="Arial"/>
                <w:b/>
                <w:sz w:val="16"/>
                <w:szCs w:val="16"/>
              </w:rPr>
            </w:pPr>
            <w:r>
              <w:rPr>
                <w:rFonts w:ascii="Arial" w:hAnsi="Arial" w:cs="Arial"/>
                <w:b/>
                <w:sz w:val="16"/>
                <w:szCs w:val="16"/>
              </w:rPr>
              <w:t>$133,059</w:t>
            </w:r>
            <w:r>
              <w:rPr>
                <w:rFonts w:ascii="Arial" w:hAnsi="Arial" w:cs="Arial"/>
                <w:b/>
                <w:sz w:val="16"/>
                <w:szCs w:val="16"/>
                <w:vertAlign w:val="superscript"/>
              </w:rPr>
              <w:footnoteReference w:id="15"/>
            </w:r>
          </w:p>
        </w:tc>
        <w:tc>
          <w:tcPr>
            <w:tcW w:w="1415" w:type="dxa"/>
            <w:tcBorders>
              <w:top w:val="single" w:sz="4" w:space="0" w:color="auto"/>
              <w:left w:val="single" w:sz="4" w:space="0" w:color="auto"/>
              <w:bottom w:val="single" w:sz="4" w:space="0" w:color="auto"/>
              <w:right w:val="single" w:sz="4" w:space="0" w:color="auto"/>
            </w:tcBorders>
            <w:hideMark/>
          </w:tcPr>
          <w:p w14:paraId="1D92F546" w14:textId="77777777" w:rsidR="00DB2D73" w:rsidRDefault="00DB2D73">
            <w:pPr>
              <w:rPr>
                <w:rFonts w:ascii="Arial" w:hAnsi="Arial" w:cs="Arial"/>
                <w:b/>
                <w:sz w:val="16"/>
                <w:szCs w:val="16"/>
              </w:rPr>
            </w:pPr>
            <w:r>
              <w:rPr>
                <w:rFonts w:ascii="Arial" w:hAnsi="Arial" w:cs="Arial"/>
                <w:b/>
                <w:sz w:val="16"/>
                <w:szCs w:val="16"/>
              </w:rPr>
              <w:t>$96</w:t>
            </w:r>
          </w:p>
        </w:tc>
      </w:tr>
    </w:tbl>
    <w:p w14:paraId="3E641D21" w14:textId="2772B38D" w:rsidR="00DB2D73" w:rsidRPr="00854AE1" w:rsidRDefault="00DB2D73" w:rsidP="00CB0776">
      <w:pPr>
        <w:tabs>
          <w:tab w:val="left" w:pos="-720"/>
        </w:tabs>
        <w:spacing w:after="240"/>
        <w:rPr>
          <w:rFonts w:eastAsia="Times New Roman" w:cs="Times New Roman"/>
          <w:szCs w:val="24"/>
        </w:rPr>
      </w:pPr>
    </w:p>
    <w:sectPr w:rsidR="00DB2D73" w:rsidRPr="00854AE1" w:rsidSect="00A1312B">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3C9D9" w14:textId="77777777" w:rsidR="00444A8C" w:rsidRDefault="00444A8C" w:rsidP="009C6DB4">
      <w:r>
        <w:separator/>
      </w:r>
    </w:p>
  </w:endnote>
  <w:endnote w:type="continuationSeparator" w:id="0">
    <w:p w14:paraId="4CB9E028" w14:textId="77777777" w:rsidR="00444A8C" w:rsidRDefault="00444A8C" w:rsidP="009C6DB4">
      <w:r>
        <w:continuationSeparator/>
      </w:r>
    </w:p>
  </w:endnote>
  <w:endnote w:type="continuationNotice" w:id="1">
    <w:p w14:paraId="55B90D1F" w14:textId="77777777" w:rsidR="00523488" w:rsidRDefault="00523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760245"/>
      <w:docPartObj>
        <w:docPartGallery w:val="Page Numbers (Bottom of Page)"/>
        <w:docPartUnique/>
      </w:docPartObj>
    </w:sdtPr>
    <w:sdtEndPr>
      <w:rPr>
        <w:noProof/>
      </w:rPr>
    </w:sdtEndPr>
    <w:sdtContent>
      <w:p w14:paraId="553D1698" w14:textId="329C02CB" w:rsidR="00A1312B" w:rsidRDefault="00A1312B">
        <w:pPr>
          <w:pStyle w:val="Footer"/>
          <w:jc w:val="center"/>
        </w:pPr>
        <w:r>
          <w:fldChar w:fldCharType="begin"/>
        </w:r>
        <w:r>
          <w:instrText xml:space="preserve"> PAGE   \* MERGEFORMAT </w:instrText>
        </w:r>
        <w:r>
          <w:fldChar w:fldCharType="separate"/>
        </w:r>
        <w:r w:rsidR="00A144CE">
          <w:rPr>
            <w:noProof/>
          </w:rPr>
          <w:t>2</w:t>
        </w:r>
        <w:r>
          <w:rPr>
            <w:noProof/>
          </w:rPr>
          <w:fldChar w:fldCharType="end"/>
        </w:r>
      </w:p>
    </w:sdtContent>
  </w:sdt>
  <w:p w14:paraId="792EB3B1" w14:textId="77777777" w:rsidR="00444A8C" w:rsidRDefault="00444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326C0" w14:textId="77777777" w:rsidR="00444A8C" w:rsidRDefault="00444A8C" w:rsidP="009C6DB4">
      <w:r>
        <w:separator/>
      </w:r>
    </w:p>
  </w:footnote>
  <w:footnote w:type="continuationSeparator" w:id="0">
    <w:p w14:paraId="25C5A6D5" w14:textId="77777777" w:rsidR="00444A8C" w:rsidRDefault="00444A8C" w:rsidP="009C6DB4">
      <w:r>
        <w:continuationSeparator/>
      </w:r>
    </w:p>
  </w:footnote>
  <w:footnote w:type="continuationNotice" w:id="1">
    <w:p w14:paraId="0C572866" w14:textId="77777777" w:rsidR="00523488" w:rsidRDefault="00523488"/>
  </w:footnote>
  <w:footnote w:id="2">
    <w:p w14:paraId="5D11EB6C" w14:textId="77777777" w:rsidR="00FE58F8" w:rsidRDefault="00FE58F8" w:rsidP="00FE58F8">
      <w:pPr>
        <w:pStyle w:val="FootnoteText"/>
        <w:rPr>
          <w:i/>
        </w:rPr>
      </w:pPr>
      <w:r>
        <w:rPr>
          <w:rStyle w:val="FootnoteReference"/>
        </w:rPr>
        <w:footnoteRef/>
      </w:r>
      <w:r>
        <w:t xml:space="preserve"> </w:t>
      </w:r>
      <w:r w:rsidRPr="0032454C">
        <w:t xml:space="preserve">7 U.S.C. 1 </w:t>
      </w:r>
      <w:r w:rsidRPr="0032454C">
        <w:rPr>
          <w:i/>
        </w:rPr>
        <w:t>et seq.</w:t>
      </w:r>
    </w:p>
    <w:p w14:paraId="138183F3" w14:textId="77777777" w:rsidR="00FE58F8" w:rsidRPr="0032454C" w:rsidRDefault="00FE58F8" w:rsidP="00FE58F8">
      <w:pPr>
        <w:pStyle w:val="FootnoteText"/>
        <w:rPr>
          <w:i/>
        </w:rPr>
      </w:pPr>
    </w:p>
  </w:footnote>
  <w:footnote w:id="3">
    <w:p w14:paraId="575BBC3A" w14:textId="77777777" w:rsidR="00D85C82" w:rsidRPr="008F6F03" w:rsidRDefault="00D85C82" w:rsidP="00D85C82">
      <w:pPr>
        <w:autoSpaceDE w:val="0"/>
        <w:autoSpaceDN w:val="0"/>
        <w:adjustRightInd w:val="0"/>
        <w:rPr>
          <w:rFonts w:eastAsia="PMingLiU" w:cs="Times New Roman"/>
          <w:szCs w:val="24"/>
        </w:rPr>
      </w:pPr>
      <w:r>
        <w:rPr>
          <w:rStyle w:val="FootnoteReference"/>
        </w:rPr>
        <w:footnoteRef/>
      </w:r>
      <w:r>
        <w:t xml:space="preserve"> </w:t>
      </w:r>
      <w:r w:rsidRPr="006F73C5">
        <w:rPr>
          <w:rFonts w:eastAsia="PMingLiU" w:cs="Times New Roman"/>
          <w:szCs w:val="24"/>
        </w:rPr>
        <w:t xml:space="preserve">Additional proposed regulations pursuant to Regulation AT requiring a collection of information are addressed in </w:t>
      </w:r>
      <w:r w:rsidRPr="006F73C5">
        <w:rPr>
          <w:rFonts w:cs="Times New Roman"/>
          <w:szCs w:val="24"/>
        </w:rPr>
        <w:t>separate OMB submissions</w:t>
      </w:r>
      <w:r>
        <w:rPr>
          <w:rFonts w:cs="Times New Roman"/>
          <w:szCs w:val="24"/>
        </w:rPr>
        <w:t xml:space="preserve"> </w:t>
      </w:r>
      <w:r w:rsidRPr="006F73C5">
        <w:rPr>
          <w:rFonts w:cs="Times New Roman"/>
          <w:szCs w:val="24"/>
        </w:rPr>
        <w:t xml:space="preserve">and supporting statements that </w:t>
      </w:r>
      <w:r w:rsidRPr="006F73C5">
        <w:rPr>
          <w:rFonts w:eastAsia="PMingLiU" w:cs="Times New Roman"/>
          <w:szCs w:val="24"/>
        </w:rPr>
        <w:t xml:space="preserve">amend existing or create new information collections.  </w:t>
      </w:r>
    </w:p>
    <w:p w14:paraId="2F13F42A" w14:textId="0679D3F2" w:rsidR="00D85C82" w:rsidRDefault="00D85C82">
      <w:pPr>
        <w:pStyle w:val="FootnoteText"/>
      </w:pPr>
    </w:p>
  </w:footnote>
  <w:footnote w:id="4">
    <w:p w14:paraId="69779AFD" w14:textId="77777777" w:rsidR="00DB2D73" w:rsidRDefault="00DB2D73" w:rsidP="00DB2D73">
      <w:pPr>
        <w:rPr>
          <w:rFonts w:ascii="Arial" w:hAnsi="Arial" w:cs="Arial"/>
          <w:sz w:val="16"/>
          <w:szCs w:val="16"/>
          <w:lang w:eastAsia="zh-TW"/>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lang w:eastAsia="zh-TW"/>
        </w:rPr>
        <w:t xml:space="preserve">§ 40.26 will impose no additional PRA burdens on DCMs as it is a more targeted iteration of existing § 38.5.   Proposed § 40.26 makes clear that Commission and DMO information requests may pertain specifically to market-maker and trading incentive programs.  It imposes no new obligation to provide information, and does not increase the frequency which information must be provided. </w:t>
      </w:r>
    </w:p>
    <w:p w14:paraId="2C81D43F" w14:textId="77777777" w:rsidR="00DB2D73" w:rsidRDefault="00DB2D73" w:rsidP="00DB2D73">
      <w:pPr>
        <w:pStyle w:val="FootnoteText"/>
        <w:rPr>
          <w:rFonts w:ascii="Arial" w:hAnsi="Arial" w:cs="Arial"/>
        </w:rPr>
      </w:pPr>
    </w:p>
  </w:footnote>
  <w:footnote w:id="5">
    <w:p w14:paraId="0BB843CA"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1 Compliance Attorney, working for 200 hours (200 x $96 = $19,200).</w:t>
      </w:r>
    </w:p>
  </w:footnote>
  <w:footnote w:id="6">
    <w:p w14:paraId="370D5A20"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The hourly wage rates are based on salaries and bonuses across different professions that are listed in the SIFMA Report on Management &amp; Professional Earnings in the Securities Industry 2013, modified to account for an 1800-hour work-year and multiplied by 1.3 to account for overhead and other benefits.  The SIFMA Report on Management &amp; Professional Earnings in the Securities Industry 2013 is available at http://www.sifma.org/research/item.aspx?id=8589940603.</w:t>
      </w:r>
    </w:p>
  </w:footnote>
  <w:footnote w:id="7">
    <w:p w14:paraId="16474AE1"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The hourly wage rate represents the total mean 2012 compensation with bonus divided by 1800 hours and multiplied by 1.3 to account for overhead and other benefits.</w:t>
      </w:r>
    </w:p>
  </w:footnote>
  <w:footnote w:id="8">
    <w:p w14:paraId="481057A1"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2013 SIFMA Report, </w:t>
      </w:r>
      <w:r>
        <w:rPr>
          <w:rFonts w:ascii="Arial" w:hAnsi="Arial" w:cs="Arial"/>
          <w:sz w:val="16"/>
          <w:szCs w:val="16"/>
          <w:u w:val="single"/>
        </w:rPr>
        <w:t>supra</w:t>
      </w:r>
      <w:r>
        <w:rPr>
          <w:rFonts w:ascii="Arial" w:hAnsi="Arial" w:cs="Arial"/>
          <w:sz w:val="16"/>
          <w:szCs w:val="16"/>
        </w:rPr>
        <w:t xml:space="preserve"> note 566, at 273.</w:t>
      </w:r>
    </w:p>
  </w:footnote>
  <w:footnote w:id="9">
    <w:p w14:paraId="35FE96AD"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.at 136.</w:t>
      </w:r>
    </w:p>
  </w:footnote>
  <w:footnote w:id="10">
    <w:p w14:paraId="02E746DD"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w:t>
      </w:r>
    </w:p>
  </w:footnote>
  <w:footnote w:id="11">
    <w:p w14:paraId="7D9641DB"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.at 395.</w:t>
      </w:r>
    </w:p>
  </w:footnote>
  <w:footnote w:id="12">
    <w:p w14:paraId="086969E6"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.at 113.</w:t>
      </w:r>
    </w:p>
  </w:footnote>
  <w:footnote w:id="13">
    <w:p w14:paraId="4F103FFF"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 at 104.</w:t>
      </w:r>
    </w:p>
  </w:footnote>
  <w:footnote w:id="14">
    <w:p w14:paraId="3D73F041" w14:textId="77777777" w:rsidR="00DB2D73" w:rsidRDefault="00DB2D73" w:rsidP="00DB2D73">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 at 119.</w:t>
      </w:r>
    </w:p>
  </w:footnote>
  <w:footnote w:id="15">
    <w:p w14:paraId="23D4C68E" w14:textId="77777777" w:rsidR="00DB2D73" w:rsidRDefault="00DB2D73" w:rsidP="00DB2D73">
      <w:pPr>
        <w:pStyle w:val="FootnoteText"/>
        <w:rPr>
          <w:rFonts w:cs="Times New Roman"/>
          <w:sz w:val="22"/>
          <w:szCs w:val="22"/>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 at 279.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73B34" w14:textId="0150E729" w:rsidR="00A1312B" w:rsidRPr="00A1312B" w:rsidRDefault="00A1312B">
    <w:pPr>
      <w:pStyle w:val="Header"/>
      <w:rPr>
        <w:b/>
      </w:rPr>
    </w:pPr>
    <w:r>
      <w:rPr>
        <w:b/>
      </w:rPr>
      <w:t>CONFIDENTIAL – ATTORNEY WORK PRODUCT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6C9A5" w14:textId="6AEC3B76" w:rsidR="00A1312B" w:rsidRPr="00A1312B" w:rsidRDefault="00A1312B">
    <w:pPr>
      <w:pStyle w:val="Header"/>
      <w:rPr>
        <w:b/>
      </w:rPr>
    </w:pPr>
    <w:r>
      <w:rPr>
        <w:b/>
      </w:rPr>
      <w:t>CONFIDENTIAL – ATTORNEY WORK PRODUCT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84E6B"/>
    <w:multiLevelType w:val="hybridMultilevel"/>
    <w:tmpl w:val="33025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DA5633"/>
    <w:multiLevelType w:val="hybridMultilevel"/>
    <w:tmpl w:val="E51CE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9742968"/>
    <w:multiLevelType w:val="hybridMultilevel"/>
    <w:tmpl w:val="60062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hideSpellingErrors/>
  <w:hideGrammaticalError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6A"/>
    <w:rsid w:val="000134EA"/>
    <w:rsid w:val="00042B78"/>
    <w:rsid w:val="000536ED"/>
    <w:rsid w:val="000576BF"/>
    <w:rsid w:val="000669B9"/>
    <w:rsid w:val="00072761"/>
    <w:rsid w:val="000803D6"/>
    <w:rsid w:val="00082089"/>
    <w:rsid w:val="000822F9"/>
    <w:rsid w:val="000835FF"/>
    <w:rsid w:val="00083F72"/>
    <w:rsid w:val="000B6BBD"/>
    <w:rsid w:val="000C2981"/>
    <w:rsid w:val="000C3307"/>
    <w:rsid w:val="000E0987"/>
    <w:rsid w:val="000F6FBD"/>
    <w:rsid w:val="00102259"/>
    <w:rsid w:val="00110B3D"/>
    <w:rsid w:val="00116FC7"/>
    <w:rsid w:val="0012080B"/>
    <w:rsid w:val="001577B2"/>
    <w:rsid w:val="001659CE"/>
    <w:rsid w:val="00170AA9"/>
    <w:rsid w:val="00176391"/>
    <w:rsid w:val="00180982"/>
    <w:rsid w:val="00183707"/>
    <w:rsid w:val="0018632D"/>
    <w:rsid w:val="001C1A68"/>
    <w:rsid w:val="001C524C"/>
    <w:rsid w:val="00200207"/>
    <w:rsid w:val="00207ED0"/>
    <w:rsid w:val="00212560"/>
    <w:rsid w:val="00214994"/>
    <w:rsid w:val="00233D65"/>
    <w:rsid w:val="00243435"/>
    <w:rsid w:val="0025084E"/>
    <w:rsid w:val="002600FA"/>
    <w:rsid w:val="00260C07"/>
    <w:rsid w:val="0027708A"/>
    <w:rsid w:val="002879E8"/>
    <w:rsid w:val="002A4D66"/>
    <w:rsid w:val="002A7308"/>
    <w:rsid w:val="002C7E70"/>
    <w:rsid w:val="002D0489"/>
    <w:rsid w:val="002D4B3B"/>
    <w:rsid w:val="002E0580"/>
    <w:rsid w:val="002E05BD"/>
    <w:rsid w:val="002F1E80"/>
    <w:rsid w:val="00307E70"/>
    <w:rsid w:val="00330DF8"/>
    <w:rsid w:val="00356A31"/>
    <w:rsid w:val="003607A6"/>
    <w:rsid w:val="003677B4"/>
    <w:rsid w:val="0037088D"/>
    <w:rsid w:val="0037312F"/>
    <w:rsid w:val="0037421B"/>
    <w:rsid w:val="003755F4"/>
    <w:rsid w:val="00385AAF"/>
    <w:rsid w:val="0038772F"/>
    <w:rsid w:val="003969BE"/>
    <w:rsid w:val="003B5288"/>
    <w:rsid w:val="003B5FAA"/>
    <w:rsid w:val="004049D0"/>
    <w:rsid w:val="00425685"/>
    <w:rsid w:val="00430FCE"/>
    <w:rsid w:val="00443D7B"/>
    <w:rsid w:val="00444A8C"/>
    <w:rsid w:val="0044799F"/>
    <w:rsid w:val="004514E2"/>
    <w:rsid w:val="004529E9"/>
    <w:rsid w:val="004649D6"/>
    <w:rsid w:val="00476AB6"/>
    <w:rsid w:val="00480A28"/>
    <w:rsid w:val="004917AF"/>
    <w:rsid w:val="004A5F11"/>
    <w:rsid w:val="004B07F1"/>
    <w:rsid w:val="004B7B89"/>
    <w:rsid w:val="004C2276"/>
    <w:rsid w:val="004D1B4F"/>
    <w:rsid w:val="004D3A5F"/>
    <w:rsid w:val="004D4BEA"/>
    <w:rsid w:val="004E43F0"/>
    <w:rsid w:val="004F3AFA"/>
    <w:rsid w:val="004F4C42"/>
    <w:rsid w:val="00523488"/>
    <w:rsid w:val="00525395"/>
    <w:rsid w:val="00527327"/>
    <w:rsid w:val="00546BED"/>
    <w:rsid w:val="005503C6"/>
    <w:rsid w:val="00554929"/>
    <w:rsid w:val="00555376"/>
    <w:rsid w:val="00557EF2"/>
    <w:rsid w:val="00577F1F"/>
    <w:rsid w:val="00585718"/>
    <w:rsid w:val="00596192"/>
    <w:rsid w:val="005B7F59"/>
    <w:rsid w:val="005D34A0"/>
    <w:rsid w:val="005E0ED0"/>
    <w:rsid w:val="005E41B2"/>
    <w:rsid w:val="005E4E5C"/>
    <w:rsid w:val="005F3881"/>
    <w:rsid w:val="00607D38"/>
    <w:rsid w:val="006243BC"/>
    <w:rsid w:val="0063622E"/>
    <w:rsid w:val="00637711"/>
    <w:rsid w:val="00640784"/>
    <w:rsid w:val="00642B6A"/>
    <w:rsid w:val="00653547"/>
    <w:rsid w:val="00667CD6"/>
    <w:rsid w:val="00697065"/>
    <w:rsid w:val="006A19C0"/>
    <w:rsid w:val="006B2A40"/>
    <w:rsid w:val="006D0819"/>
    <w:rsid w:val="007029A9"/>
    <w:rsid w:val="00703B41"/>
    <w:rsid w:val="00707AB0"/>
    <w:rsid w:val="00710C2F"/>
    <w:rsid w:val="00715F21"/>
    <w:rsid w:val="00731300"/>
    <w:rsid w:val="00740573"/>
    <w:rsid w:val="0074122B"/>
    <w:rsid w:val="00747BF5"/>
    <w:rsid w:val="00751B4D"/>
    <w:rsid w:val="00755826"/>
    <w:rsid w:val="00757795"/>
    <w:rsid w:val="0076443A"/>
    <w:rsid w:val="007713DE"/>
    <w:rsid w:val="007724B6"/>
    <w:rsid w:val="00772B9C"/>
    <w:rsid w:val="00777A51"/>
    <w:rsid w:val="0078471A"/>
    <w:rsid w:val="00793975"/>
    <w:rsid w:val="00796BCB"/>
    <w:rsid w:val="0079756B"/>
    <w:rsid w:val="007B1735"/>
    <w:rsid w:val="007B7CE3"/>
    <w:rsid w:val="007C1FC8"/>
    <w:rsid w:val="007C5B3F"/>
    <w:rsid w:val="007D0DFB"/>
    <w:rsid w:val="007D22E3"/>
    <w:rsid w:val="007E10D4"/>
    <w:rsid w:val="007F00B6"/>
    <w:rsid w:val="007F27F5"/>
    <w:rsid w:val="007F3179"/>
    <w:rsid w:val="0081737B"/>
    <w:rsid w:val="00836741"/>
    <w:rsid w:val="008435FA"/>
    <w:rsid w:val="00843603"/>
    <w:rsid w:val="00852DF4"/>
    <w:rsid w:val="00854AE1"/>
    <w:rsid w:val="0087450C"/>
    <w:rsid w:val="0088013C"/>
    <w:rsid w:val="00882745"/>
    <w:rsid w:val="008C3501"/>
    <w:rsid w:val="008D0156"/>
    <w:rsid w:val="008D0711"/>
    <w:rsid w:val="008F2F98"/>
    <w:rsid w:val="008F6D4A"/>
    <w:rsid w:val="008F6F03"/>
    <w:rsid w:val="00902356"/>
    <w:rsid w:val="009138D7"/>
    <w:rsid w:val="009309EC"/>
    <w:rsid w:val="009357CC"/>
    <w:rsid w:val="00963975"/>
    <w:rsid w:val="00994CC8"/>
    <w:rsid w:val="0099690D"/>
    <w:rsid w:val="00996B14"/>
    <w:rsid w:val="009B1E93"/>
    <w:rsid w:val="009B2F52"/>
    <w:rsid w:val="009C6DB4"/>
    <w:rsid w:val="009D00FB"/>
    <w:rsid w:val="009E7E00"/>
    <w:rsid w:val="00A051AF"/>
    <w:rsid w:val="00A1312B"/>
    <w:rsid w:val="00A144CE"/>
    <w:rsid w:val="00A257E3"/>
    <w:rsid w:val="00A34FBC"/>
    <w:rsid w:val="00A54471"/>
    <w:rsid w:val="00A60859"/>
    <w:rsid w:val="00A668B2"/>
    <w:rsid w:val="00A708B1"/>
    <w:rsid w:val="00A8233C"/>
    <w:rsid w:val="00A9272D"/>
    <w:rsid w:val="00AA0863"/>
    <w:rsid w:val="00AA2F92"/>
    <w:rsid w:val="00AB0E26"/>
    <w:rsid w:val="00AC2529"/>
    <w:rsid w:val="00AC59BE"/>
    <w:rsid w:val="00AC5B6C"/>
    <w:rsid w:val="00AD0B9F"/>
    <w:rsid w:val="00AD2AF1"/>
    <w:rsid w:val="00B1090B"/>
    <w:rsid w:val="00B1574B"/>
    <w:rsid w:val="00B20669"/>
    <w:rsid w:val="00B328FB"/>
    <w:rsid w:val="00B33652"/>
    <w:rsid w:val="00B6544D"/>
    <w:rsid w:val="00B6776C"/>
    <w:rsid w:val="00B73821"/>
    <w:rsid w:val="00B740CF"/>
    <w:rsid w:val="00B743C4"/>
    <w:rsid w:val="00B74CE1"/>
    <w:rsid w:val="00B85063"/>
    <w:rsid w:val="00B86819"/>
    <w:rsid w:val="00B91704"/>
    <w:rsid w:val="00B91FAD"/>
    <w:rsid w:val="00B9549F"/>
    <w:rsid w:val="00B978AF"/>
    <w:rsid w:val="00BA0A82"/>
    <w:rsid w:val="00BC71A3"/>
    <w:rsid w:val="00BD7D8C"/>
    <w:rsid w:val="00BE3923"/>
    <w:rsid w:val="00BE6AC8"/>
    <w:rsid w:val="00BF2E68"/>
    <w:rsid w:val="00C032F4"/>
    <w:rsid w:val="00C03FBF"/>
    <w:rsid w:val="00C173E1"/>
    <w:rsid w:val="00C2000F"/>
    <w:rsid w:val="00C23A3C"/>
    <w:rsid w:val="00C857A2"/>
    <w:rsid w:val="00C91CB5"/>
    <w:rsid w:val="00C9497A"/>
    <w:rsid w:val="00CA575A"/>
    <w:rsid w:val="00CB0776"/>
    <w:rsid w:val="00CF1C34"/>
    <w:rsid w:val="00CF4195"/>
    <w:rsid w:val="00D128BF"/>
    <w:rsid w:val="00D12FEB"/>
    <w:rsid w:val="00D14EFB"/>
    <w:rsid w:val="00D23D7B"/>
    <w:rsid w:val="00D24E31"/>
    <w:rsid w:val="00D25BD2"/>
    <w:rsid w:val="00D27AE8"/>
    <w:rsid w:val="00D37F72"/>
    <w:rsid w:val="00D46920"/>
    <w:rsid w:val="00D56B0E"/>
    <w:rsid w:val="00D85C82"/>
    <w:rsid w:val="00D945B5"/>
    <w:rsid w:val="00DA6954"/>
    <w:rsid w:val="00DB00E1"/>
    <w:rsid w:val="00DB1AD1"/>
    <w:rsid w:val="00DB2D73"/>
    <w:rsid w:val="00DB5503"/>
    <w:rsid w:val="00DB5682"/>
    <w:rsid w:val="00DB7297"/>
    <w:rsid w:val="00DD36CC"/>
    <w:rsid w:val="00DD51EE"/>
    <w:rsid w:val="00E015E1"/>
    <w:rsid w:val="00E07B0D"/>
    <w:rsid w:val="00E1358B"/>
    <w:rsid w:val="00E15E4F"/>
    <w:rsid w:val="00E3054F"/>
    <w:rsid w:val="00E446C6"/>
    <w:rsid w:val="00E60439"/>
    <w:rsid w:val="00E60FE3"/>
    <w:rsid w:val="00E73A61"/>
    <w:rsid w:val="00E8648F"/>
    <w:rsid w:val="00E87F36"/>
    <w:rsid w:val="00E87F90"/>
    <w:rsid w:val="00EA3010"/>
    <w:rsid w:val="00EB0FA7"/>
    <w:rsid w:val="00EB1831"/>
    <w:rsid w:val="00EC238C"/>
    <w:rsid w:val="00F02CC0"/>
    <w:rsid w:val="00F21958"/>
    <w:rsid w:val="00F21A24"/>
    <w:rsid w:val="00F378A6"/>
    <w:rsid w:val="00F4707F"/>
    <w:rsid w:val="00F56608"/>
    <w:rsid w:val="00F568E5"/>
    <w:rsid w:val="00F62536"/>
    <w:rsid w:val="00FA7B73"/>
    <w:rsid w:val="00FB0145"/>
    <w:rsid w:val="00FB68D6"/>
    <w:rsid w:val="00FC54D4"/>
    <w:rsid w:val="00FD6D7D"/>
    <w:rsid w:val="00FE1133"/>
    <w:rsid w:val="00FE503D"/>
    <w:rsid w:val="00FE58F8"/>
    <w:rsid w:val="00FE6FE8"/>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55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unhideWhenUsed/>
    <w:qFormat/>
    <w:rsid w:val="009C6DB4"/>
    <w:rPr>
      <w:sz w:val="20"/>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9C6DB4"/>
    <w:rPr>
      <w:rFonts w:ascii="Times New Roman" w:hAnsi="Times New Roman"/>
      <w:sz w:val="20"/>
      <w:szCs w:val="20"/>
    </w:rPr>
  </w:style>
  <w:style w:type="character" w:styleId="FootnoteReference">
    <w:name w:val="footnote reference"/>
    <w:aliases w:val="fr,Style 19,Style 16,Style 35,Style 39,Style 14,12"/>
    <w:uiPriority w:val="99"/>
    <w:qFormat/>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NoSpacing">
    <w:name w:val="No Spacing"/>
    <w:uiPriority w:val="1"/>
    <w:qFormat/>
    <w:rsid w:val="00214994"/>
    <w:pPr>
      <w:spacing w:after="0" w:line="480" w:lineRule="auto"/>
      <w:ind w:firstLine="720"/>
    </w:pPr>
    <w:rPr>
      <w:rFonts w:ascii="Times New Roman" w:eastAsia="PMingLiU" w:hAnsi="Times New Roman"/>
      <w:sz w:val="24"/>
      <w:szCs w:val="28"/>
      <w:lang w:eastAsia="zh-TW"/>
    </w:rPr>
  </w:style>
  <w:style w:type="paragraph" w:styleId="ListParagraph">
    <w:name w:val="List Paragraph"/>
    <w:basedOn w:val="Normal"/>
    <w:link w:val="ListParagraphChar"/>
    <w:uiPriority w:val="34"/>
    <w:qFormat/>
    <w:rsid w:val="007D0DFB"/>
    <w:pPr>
      <w:ind w:left="720"/>
      <w:contextualSpacing/>
    </w:pPr>
    <w:rPr>
      <w:rFonts w:eastAsia="PMingLiU"/>
    </w:rPr>
  </w:style>
  <w:style w:type="character" w:customStyle="1" w:styleId="ListParagraphChar">
    <w:name w:val="List Paragraph Char"/>
    <w:basedOn w:val="DefaultParagraphFont"/>
    <w:link w:val="ListParagraph"/>
    <w:uiPriority w:val="34"/>
    <w:locked/>
    <w:rsid w:val="007D0DFB"/>
    <w:rPr>
      <w:rFonts w:ascii="Times New Roman" w:eastAsia="PMingLiU" w:hAnsi="Times New Roman"/>
      <w:sz w:val="24"/>
    </w:rPr>
  </w:style>
  <w:style w:type="table" w:styleId="TableGrid">
    <w:name w:val="Table Grid"/>
    <w:basedOn w:val="TableNormal"/>
    <w:uiPriority w:val="59"/>
    <w:rsid w:val="005B7F59"/>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0573"/>
    <w:rPr>
      <w:color w:val="808080"/>
    </w:rPr>
  </w:style>
  <w:style w:type="character" w:customStyle="1" w:styleId="st">
    <w:name w:val="st"/>
    <w:basedOn w:val="DefaultParagraphFont"/>
    <w:rsid w:val="005234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unhideWhenUsed/>
    <w:qFormat/>
    <w:rsid w:val="009C6DB4"/>
    <w:rPr>
      <w:sz w:val="20"/>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9C6DB4"/>
    <w:rPr>
      <w:rFonts w:ascii="Times New Roman" w:hAnsi="Times New Roman"/>
      <w:sz w:val="20"/>
      <w:szCs w:val="20"/>
    </w:rPr>
  </w:style>
  <w:style w:type="character" w:styleId="FootnoteReference">
    <w:name w:val="footnote reference"/>
    <w:aliases w:val="fr,Style 19,Style 16,Style 35,Style 39,Style 14,12"/>
    <w:uiPriority w:val="99"/>
    <w:qFormat/>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NoSpacing">
    <w:name w:val="No Spacing"/>
    <w:uiPriority w:val="1"/>
    <w:qFormat/>
    <w:rsid w:val="00214994"/>
    <w:pPr>
      <w:spacing w:after="0" w:line="480" w:lineRule="auto"/>
      <w:ind w:firstLine="720"/>
    </w:pPr>
    <w:rPr>
      <w:rFonts w:ascii="Times New Roman" w:eastAsia="PMingLiU" w:hAnsi="Times New Roman"/>
      <w:sz w:val="24"/>
      <w:szCs w:val="28"/>
      <w:lang w:eastAsia="zh-TW"/>
    </w:rPr>
  </w:style>
  <w:style w:type="paragraph" w:styleId="ListParagraph">
    <w:name w:val="List Paragraph"/>
    <w:basedOn w:val="Normal"/>
    <w:link w:val="ListParagraphChar"/>
    <w:uiPriority w:val="34"/>
    <w:qFormat/>
    <w:rsid w:val="007D0DFB"/>
    <w:pPr>
      <w:ind w:left="720"/>
      <w:contextualSpacing/>
    </w:pPr>
    <w:rPr>
      <w:rFonts w:eastAsia="PMingLiU"/>
    </w:rPr>
  </w:style>
  <w:style w:type="character" w:customStyle="1" w:styleId="ListParagraphChar">
    <w:name w:val="List Paragraph Char"/>
    <w:basedOn w:val="DefaultParagraphFont"/>
    <w:link w:val="ListParagraph"/>
    <w:uiPriority w:val="34"/>
    <w:locked/>
    <w:rsid w:val="007D0DFB"/>
    <w:rPr>
      <w:rFonts w:ascii="Times New Roman" w:eastAsia="PMingLiU" w:hAnsi="Times New Roman"/>
      <w:sz w:val="24"/>
    </w:rPr>
  </w:style>
  <w:style w:type="table" w:styleId="TableGrid">
    <w:name w:val="Table Grid"/>
    <w:basedOn w:val="TableNormal"/>
    <w:uiPriority w:val="59"/>
    <w:rsid w:val="005B7F59"/>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0573"/>
    <w:rPr>
      <w:color w:val="808080"/>
    </w:rPr>
  </w:style>
  <w:style w:type="character" w:customStyle="1" w:styleId="st">
    <w:name w:val="st"/>
    <w:basedOn w:val="DefaultParagraphFont"/>
    <w:rsid w:val="00523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3901">
      <w:bodyDiv w:val="1"/>
      <w:marLeft w:val="0"/>
      <w:marRight w:val="0"/>
      <w:marTop w:val="0"/>
      <w:marBottom w:val="0"/>
      <w:divBdr>
        <w:top w:val="none" w:sz="0" w:space="0" w:color="auto"/>
        <w:left w:val="none" w:sz="0" w:space="0" w:color="auto"/>
        <w:bottom w:val="none" w:sz="0" w:space="0" w:color="auto"/>
        <w:right w:val="none" w:sz="0" w:space="0" w:color="auto"/>
      </w:divBdr>
    </w:div>
    <w:div w:id="176541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F89E720E0344DA53C3DBC19A6BE9D" ma:contentTypeVersion="6" ma:contentTypeDescription="Create a new document." ma:contentTypeScope="" ma:versionID="ea24db2484fb5f3eecb2d6cc5050e142">
  <xsd:schema xmlns:xsd="http://www.w3.org/2001/XMLSchema" xmlns:xs="http://www.w3.org/2001/XMLSchema" xmlns:p="http://schemas.microsoft.com/office/2006/metadata/properties" targetNamespace="http://schemas.microsoft.com/office/2006/metadata/properties" ma:root="true" ma:fieldsID="0989ca3770043d9c29d7fca024463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p:Policy xmlns:p="office.server.policy" id="" local="true">
  <p:Name>Document</p:Name>
  <p:Description/>
  <p:Statement/>
  <p:PolicyItems>
    <p:PolicyItem featureId="Microsoft.Office.RecordsManagement.PolicyFeatures.PolicyAudit" staticId="0x0101|8138272" UniqueId="7a5a4fd4-f5d3-4585-93b4-36b0ff5880a8">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48077-D7F4-4198-9FDB-828B96673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6AC032-9FBE-4E8B-8E3F-F9BA85F78F8C}">
  <ds:schemaRefs>
    <ds:schemaRef ds:uri="http://schemas.microsoft.com/sharepoint/v3/contenttype/forms"/>
  </ds:schemaRefs>
</ds:datastoreItem>
</file>

<file path=customXml/itemProps3.xml><?xml version="1.0" encoding="utf-8"?>
<ds:datastoreItem xmlns:ds="http://schemas.openxmlformats.org/officeDocument/2006/customXml" ds:itemID="{7EE4BBAC-0383-4C23-A4CF-F941855AE4BB}">
  <ds:schemaRef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81D2C41F-7866-415A-8E8B-00B7D3CB789C}">
  <ds:schemaRefs>
    <ds:schemaRef ds:uri="http://schemas.microsoft.com/office/2006/metadata/customXsn"/>
  </ds:schemaRefs>
</ds:datastoreItem>
</file>

<file path=customXml/itemProps5.xml><?xml version="1.0" encoding="utf-8"?>
<ds:datastoreItem xmlns:ds="http://schemas.openxmlformats.org/officeDocument/2006/customXml" ds:itemID="{CEBCFD39-2A4E-45A8-8A52-CB447C3413B8}">
  <ds:schemaRefs>
    <ds:schemaRef ds:uri="office.server.policy"/>
  </ds:schemaRefs>
</ds:datastoreItem>
</file>

<file path=customXml/itemProps6.xml><?xml version="1.0" encoding="utf-8"?>
<ds:datastoreItem xmlns:ds="http://schemas.openxmlformats.org/officeDocument/2006/customXml" ds:itemID="{D8D6FAD7-EB8E-4AD0-9725-431A6152AF10}">
  <ds:schemaRefs>
    <ds:schemaRef ds:uri="http://schemas.microsoft.com/sharepoint/events"/>
  </ds:schemaRefs>
</ds:datastoreItem>
</file>

<file path=customXml/itemProps7.xml><?xml version="1.0" encoding="utf-8"?>
<ds:datastoreItem xmlns:ds="http://schemas.openxmlformats.org/officeDocument/2006/customXml" ds:itemID="{0708E7DE-CE38-488B-B112-D20774E3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3615</Words>
  <Characters>20612</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Sample PRA Supporting Statement for Proposal</vt:lpstr>
    </vt:vector>
  </TitlesOfParts>
  <Company>CFTC</Company>
  <LinksUpToDate>false</LinksUpToDate>
  <CharactersWithSpaces>24179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PRA Supporting Statement for Proposal</dc:title>
  <dc:creator>WMcobb</dc:creator>
  <cp:lastModifiedBy>Hudson, Sheila</cp:lastModifiedBy>
  <cp:revision>2</cp:revision>
  <cp:lastPrinted>2015-09-28T14:21:00Z</cp:lastPrinted>
  <dcterms:created xsi:type="dcterms:W3CDTF">2015-12-01T13:45:00Z</dcterms:created>
  <dcterms:modified xsi:type="dcterms:W3CDTF">2015-12-01T13:45:00Z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0x0101002E0F89E720E0344DA53C3DBC19A6BE9D</vt:lpwstr>
  </property>
  <property fmtid="{D5CDD505-2E9C-101B-9397-08002B2CF9AE}" pid="3" name="CFTC Location">
    <vt:lpwstr>14;#All CFTC Locations|07b51532-ca12-475e-8433-c139a58bc2c8</vt:lpwstr>
  </property>
  <property fmtid="{D5CDD505-2E9C-101B-9397-08002B2CF9AE}" pid="4" name="CFTC Subject">
    <vt:lpwstr>104;#Legal|12e962f7-0af9-400d-a646-2af5c7b92277;#56;#Agency Operations|3495dd4b-79d7-41a6-8ce6-02dce84f79b0</vt:lpwstr>
  </property>
  <property fmtid="{D5CDD505-2E9C-101B-9397-08002B2CF9AE}" pid="5" name="TaxKeyword">
    <vt:lpwstr/>
  </property>
  <property fmtid="{D5CDD505-2E9C-101B-9397-08002B2CF9AE}" pid="6" name="CFTC Audience">
    <vt:lpwstr>13;#All CFTC Staff|4f9c852f-d497-40c4-b357-3897abf65c10</vt:lpwstr>
  </property>
  <property fmtid="{D5CDD505-2E9C-101B-9397-08002B2CF9AE}" pid="7" name="CFTC Type">
    <vt:lpwstr>15;#General|f4844b07-25eb-4c74-a1a4-15dd52f1d01d</vt:lpwstr>
  </property>
  <property fmtid="{D5CDD505-2E9C-101B-9397-08002B2CF9AE}" pid="8" name="CFTC Owner">
    <vt:lpwstr>73;#Office of the General Counsel|bd58875c-cb9d-447e-b8fd-b2672ffab719</vt:lpwstr>
  </property>
</Properties>
</file>