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F92" w:rsidRPr="00725F92" w:rsidRDefault="00725F92" w:rsidP="00725F92">
      <w:pPr>
        <w:tabs>
          <w:tab w:val="center" w:pos="4680"/>
        </w:tabs>
        <w:spacing w:after="0" w:line="240" w:lineRule="auto"/>
        <w:jc w:val="center"/>
        <w:rPr>
          <w:rFonts w:ascii="Times New Roman" w:hAnsi="Times New Roman" w:cs="Times New Roman"/>
          <w:sz w:val="24"/>
          <w:szCs w:val="24"/>
        </w:rPr>
      </w:pPr>
      <w:bookmarkStart w:id="0" w:name="_GoBack"/>
      <w:bookmarkEnd w:id="0"/>
      <w:r w:rsidRPr="00725F92">
        <w:rPr>
          <w:rFonts w:ascii="Times New Roman" w:hAnsi="Times New Roman" w:cs="Times New Roman"/>
          <w:sz w:val="24"/>
          <w:szCs w:val="24"/>
        </w:rPr>
        <w:t>SUPPORTING STATEMENT</w:t>
      </w:r>
    </w:p>
    <w:p w:rsidR="002850CA" w:rsidRDefault="002850CA" w:rsidP="00725F92">
      <w:pPr>
        <w:tabs>
          <w:tab w:val="center" w:pos="46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RECORDKEEPING REQUIREMENTS ASSOCIATED WITH </w:t>
      </w:r>
    </w:p>
    <w:p w:rsidR="00725F92" w:rsidRPr="00725F92" w:rsidRDefault="002850CA" w:rsidP="00725F92">
      <w:pPr>
        <w:tabs>
          <w:tab w:val="center" w:pos="46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REAL ESTATE APPRAISALS AND EVALUATIONS</w:t>
      </w:r>
    </w:p>
    <w:p w:rsidR="00725F92" w:rsidRPr="00725F92" w:rsidRDefault="002850CA" w:rsidP="00725F92">
      <w:pPr>
        <w:tabs>
          <w:tab w:val="center" w:pos="46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725F92" w:rsidRPr="00725F92">
        <w:rPr>
          <w:rFonts w:ascii="Times New Roman" w:hAnsi="Times New Roman" w:cs="Times New Roman"/>
          <w:sz w:val="24"/>
          <w:szCs w:val="24"/>
        </w:rPr>
        <w:t>OMB No. 3064</w:t>
      </w:r>
      <w:r w:rsidR="00725F92" w:rsidRPr="00725F92">
        <w:rPr>
          <w:rFonts w:ascii="Times New Roman" w:hAnsi="Times New Roman" w:cs="Times New Roman"/>
          <w:sz w:val="24"/>
          <w:szCs w:val="24"/>
        </w:rPr>
        <w:noBreakHyphen/>
        <w:t>0103</w:t>
      </w:r>
      <w:r>
        <w:rPr>
          <w:rFonts w:ascii="Times New Roman" w:hAnsi="Times New Roman" w:cs="Times New Roman"/>
          <w:sz w:val="24"/>
          <w:szCs w:val="24"/>
        </w:rPr>
        <w:t>)</w:t>
      </w:r>
    </w:p>
    <w:p w:rsidR="00725F92" w:rsidRPr="00725F92" w:rsidRDefault="00725F92" w:rsidP="00725F92">
      <w:pPr>
        <w:tabs>
          <w:tab w:val="left" w:pos="240"/>
          <w:tab w:val="left" w:pos="840"/>
          <w:tab w:val="left" w:pos="1440"/>
          <w:tab w:val="left" w:pos="2040"/>
          <w:tab w:val="left" w:pos="2640"/>
          <w:tab w:val="left" w:pos="3240"/>
          <w:tab w:val="left" w:pos="3840"/>
          <w:tab w:val="left" w:pos="4440"/>
        </w:tabs>
        <w:spacing w:after="0" w:line="240" w:lineRule="auto"/>
        <w:rPr>
          <w:rFonts w:ascii="Times New Roman" w:hAnsi="Times New Roman" w:cs="Times New Roman"/>
          <w:sz w:val="24"/>
          <w:szCs w:val="24"/>
        </w:rPr>
      </w:pPr>
    </w:p>
    <w:p w:rsidR="00725F92" w:rsidRPr="00725F92" w:rsidRDefault="00725F92" w:rsidP="00725F92">
      <w:pPr>
        <w:tabs>
          <w:tab w:val="left" w:pos="240"/>
          <w:tab w:val="left" w:pos="840"/>
          <w:tab w:val="left" w:pos="1440"/>
          <w:tab w:val="left" w:pos="2040"/>
          <w:tab w:val="left" w:pos="2640"/>
          <w:tab w:val="left" w:pos="3240"/>
          <w:tab w:val="left" w:pos="3840"/>
          <w:tab w:val="left" w:pos="4440"/>
        </w:tabs>
        <w:spacing w:after="0" w:line="240" w:lineRule="auto"/>
        <w:rPr>
          <w:rFonts w:ascii="Times New Roman" w:hAnsi="Times New Roman" w:cs="Times New Roman"/>
          <w:sz w:val="24"/>
          <w:szCs w:val="24"/>
        </w:rPr>
      </w:pPr>
      <w:r w:rsidRPr="00725F92">
        <w:rPr>
          <w:rFonts w:ascii="Times New Roman" w:hAnsi="Times New Roman" w:cs="Times New Roman"/>
          <w:sz w:val="24"/>
          <w:szCs w:val="24"/>
          <w:u w:val="single"/>
        </w:rPr>
        <w:t>INTRODUCTION</w:t>
      </w:r>
    </w:p>
    <w:p w:rsidR="00725F92" w:rsidRPr="00725F92" w:rsidRDefault="00725F92" w:rsidP="00725F92">
      <w:pPr>
        <w:tabs>
          <w:tab w:val="left" w:pos="240"/>
          <w:tab w:val="left" w:pos="840"/>
          <w:tab w:val="left" w:pos="1440"/>
          <w:tab w:val="left" w:pos="2040"/>
          <w:tab w:val="left" w:pos="2640"/>
          <w:tab w:val="left" w:pos="3240"/>
          <w:tab w:val="left" w:pos="3840"/>
          <w:tab w:val="left" w:pos="4440"/>
        </w:tabs>
        <w:spacing w:after="0" w:line="240" w:lineRule="auto"/>
        <w:rPr>
          <w:rFonts w:ascii="Times New Roman" w:hAnsi="Times New Roman" w:cs="Times New Roman"/>
          <w:sz w:val="24"/>
          <w:szCs w:val="24"/>
        </w:rPr>
      </w:pPr>
    </w:p>
    <w:p w:rsidR="00BC71D9" w:rsidRPr="00725F92" w:rsidRDefault="00725F92" w:rsidP="00675B5D">
      <w:pPr>
        <w:tabs>
          <w:tab w:val="left" w:pos="240"/>
          <w:tab w:val="left" w:pos="840"/>
          <w:tab w:val="left" w:pos="1440"/>
          <w:tab w:val="left" w:pos="2040"/>
          <w:tab w:val="left" w:pos="2640"/>
          <w:tab w:val="left" w:pos="3240"/>
          <w:tab w:val="left" w:pos="3840"/>
          <w:tab w:val="left" w:pos="4440"/>
        </w:tabs>
        <w:spacing w:after="0" w:line="240" w:lineRule="auto"/>
        <w:rPr>
          <w:rFonts w:ascii="Times New Roman" w:hAnsi="Times New Roman" w:cs="Times New Roman"/>
          <w:sz w:val="24"/>
          <w:szCs w:val="24"/>
        </w:rPr>
      </w:pPr>
      <w:r w:rsidRPr="00BC71D9">
        <w:rPr>
          <w:rFonts w:ascii="Times New Roman" w:hAnsi="Times New Roman" w:cs="Times New Roman"/>
          <w:sz w:val="24"/>
          <w:szCs w:val="24"/>
        </w:rPr>
        <w:t>This submission is b</w:t>
      </w:r>
      <w:r w:rsidR="002A442A" w:rsidRPr="00BC71D9">
        <w:rPr>
          <w:rFonts w:ascii="Times New Roman" w:hAnsi="Times New Roman" w:cs="Times New Roman"/>
          <w:sz w:val="24"/>
          <w:szCs w:val="24"/>
        </w:rPr>
        <w:t xml:space="preserve">eing made in connection with a </w:t>
      </w:r>
      <w:r w:rsidR="0086318F">
        <w:rPr>
          <w:rFonts w:ascii="Times New Roman" w:hAnsi="Times New Roman" w:cs="Times New Roman"/>
          <w:sz w:val="24"/>
          <w:szCs w:val="24"/>
        </w:rPr>
        <w:t>Final Rule</w:t>
      </w:r>
      <w:r w:rsidR="002A442A" w:rsidRPr="00BC71D9">
        <w:rPr>
          <w:rFonts w:ascii="Times New Roman" w:hAnsi="Times New Roman" w:cs="Times New Roman"/>
          <w:sz w:val="24"/>
          <w:szCs w:val="24"/>
        </w:rPr>
        <w:t xml:space="preserve"> </w:t>
      </w:r>
      <w:r w:rsidRPr="00BC71D9">
        <w:rPr>
          <w:rFonts w:ascii="Times New Roman" w:hAnsi="Times New Roman" w:cs="Times New Roman"/>
          <w:sz w:val="24"/>
          <w:szCs w:val="24"/>
        </w:rPr>
        <w:t xml:space="preserve">published in the </w:t>
      </w:r>
      <w:r w:rsidRPr="00675B5D">
        <w:rPr>
          <w:rFonts w:ascii="Times New Roman" w:hAnsi="Times New Roman" w:cs="Times New Roman"/>
          <w:i/>
          <w:sz w:val="24"/>
          <w:szCs w:val="24"/>
        </w:rPr>
        <w:t>Federal Register</w:t>
      </w:r>
      <w:r w:rsidRPr="00675B5D">
        <w:rPr>
          <w:rStyle w:val="FootnoteReference"/>
          <w:rFonts w:ascii="Times New Roman" w:hAnsi="Times New Roman" w:cs="Times New Roman"/>
          <w:sz w:val="24"/>
          <w:szCs w:val="24"/>
          <w:vertAlign w:val="superscript"/>
        </w:rPr>
        <w:footnoteReference w:id="1"/>
      </w:r>
      <w:r w:rsidR="006F4D80">
        <w:rPr>
          <w:rFonts w:ascii="Times New Roman" w:hAnsi="Times New Roman" w:cs="Times New Roman"/>
          <w:i/>
          <w:sz w:val="24"/>
          <w:szCs w:val="24"/>
        </w:rPr>
        <w:t xml:space="preserve"> </w:t>
      </w:r>
      <w:r w:rsidR="006F4D80">
        <w:rPr>
          <w:rFonts w:ascii="Times New Roman" w:hAnsi="Times New Roman" w:cs="Times New Roman"/>
          <w:sz w:val="24"/>
          <w:szCs w:val="24"/>
        </w:rPr>
        <w:t xml:space="preserve">amending current </w:t>
      </w:r>
      <w:r w:rsidR="00675B5D">
        <w:rPr>
          <w:rFonts w:ascii="Times New Roman" w:hAnsi="Times New Roman" w:cs="Times New Roman"/>
          <w:sz w:val="24"/>
          <w:szCs w:val="24"/>
        </w:rPr>
        <w:t xml:space="preserve">Part 323 </w:t>
      </w:r>
      <w:r w:rsidR="00675B5D" w:rsidRPr="00725F92">
        <w:rPr>
          <w:rFonts w:ascii="Times New Roman" w:hAnsi="Times New Roman" w:cs="Times New Roman"/>
          <w:sz w:val="24"/>
          <w:szCs w:val="24"/>
        </w:rPr>
        <w:t>of FDIC</w:t>
      </w:r>
      <w:r w:rsidR="00675B5D">
        <w:rPr>
          <w:rFonts w:ascii="Times New Roman" w:hAnsi="Times New Roman" w:cs="Times New Roman"/>
          <w:sz w:val="24"/>
          <w:szCs w:val="24"/>
        </w:rPr>
        <w:t>’</w:t>
      </w:r>
      <w:r w:rsidR="00675B5D" w:rsidRPr="00725F92">
        <w:rPr>
          <w:rFonts w:ascii="Times New Roman" w:hAnsi="Times New Roman" w:cs="Times New Roman"/>
          <w:sz w:val="24"/>
          <w:szCs w:val="24"/>
        </w:rPr>
        <w:t>s regulations</w:t>
      </w:r>
      <w:r w:rsidR="00675B5D" w:rsidRPr="00D36190">
        <w:rPr>
          <w:rStyle w:val="FootnoteReference"/>
          <w:rFonts w:ascii="Times New Roman" w:hAnsi="Times New Roman" w:cs="Times New Roman"/>
          <w:sz w:val="24"/>
          <w:szCs w:val="24"/>
          <w:vertAlign w:val="superscript"/>
        </w:rPr>
        <w:footnoteReference w:id="2"/>
      </w:r>
      <w:r w:rsidR="00675B5D" w:rsidRPr="00725F92">
        <w:rPr>
          <w:rFonts w:ascii="Times New Roman" w:hAnsi="Times New Roman" w:cs="Times New Roman"/>
          <w:sz w:val="24"/>
          <w:szCs w:val="24"/>
        </w:rPr>
        <w:t xml:space="preserve"> </w:t>
      </w:r>
      <w:r w:rsidR="006F4D80">
        <w:rPr>
          <w:rFonts w:ascii="Times New Roman" w:hAnsi="Times New Roman" w:cs="Times New Roman"/>
          <w:sz w:val="24"/>
          <w:szCs w:val="24"/>
        </w:rPr>
        <w:t xml:space="preserve">which </w:t>
      </w:r>
      <w:r w:rsidR="00BC71D9" w:rsidRPr="00725F92">
        <w:rPr>
          <w:rFonts w:ascii="Times New Roman" w:hAnsi="Times New Roman" w:cs="Times New Roman"/>
          <w:sz w:val="24"/>
          <w:szCs w:val="24"/>
        </w:rPr>
        <w:t>implements a portion of Title XI of the Financial Institutions Reform, Recovery, and Enforcement Act of 1989 (“FIRREA”).  Title XI of FIRREA is designed to provide protection for federal financial and public policy interests by requiring real estate appraisals used in connection with federally related transactions to be perfor</w:t>
      </w:r>
      <w:smartTag w:uri="urn:schemas-microsoft-com:office:smarttags" w:element="PersonName">
        <w:r w:rsidR="00BC71D9" w:rsidRPr="00725F92">
          <w:rPr>
            <w:rFonts w:ascii="Times New Roman" w:hAnsi="Times New Roman" w:cs="Times New Roman"/>
            <w:sz w:val="24"/>
            <w:szCs w:val="24"/>
          </w:rPr>
          <w:t>me</w:t>
        </w:r>
      </w:smartTag>
      <w:r w:rsidR="00BC71D9" w:rsidRPr="00725F92">
        <w:rPr>
          <w:rFonts w:ascii="Times New Roman" w:hAnsi="Times New Roman" w:cs="Times New Roman"/>
          <w:sz w:val="24"/>
          <w:szCs w:val="24"/>
        </w:rPr>
        <w:t>d in writing, in accordance with uniform standards, by an appraiser whose competency has been demonstrated and whose professional conduct will be subject to effective supervision.</w:t>
      </w:r>
    </w:p>
    <w:p w:rsidR="00BC71D9" w:rsidRPr="00725F92" w:rsidRDefault="00BC71D9" w:rsidP="00675B5D">
      <w:pPr>
        <w:tabs>
          <w:tab w:val="left" w:pos="240"/>
          <w:tab w:val="left" w:pos="840"/>
          <w:tab w:val="left" w:pos="1440"/>
          <w:tab w:val="left" w:pos="2040"/>
          <w:tab w:val="left" w:pos="2640"/>
          <w:tab w:val="left" w:pos="3240"/>
          <w:tab w:val="left" w:pos="3840"/>
          <w:tab w:val="left" w:pos="4440"/>
        </w:tabs>
        <w:spacing w:after="0" w:line="240" w:lineRule="auto"/>
        <w:rPr>
          <w:rFonts w:ascii="Times New Roman" w:hAnsi="Times New Roman" w:cs="Times New Roman"/>
          <w:sz w:val="24"/>
          <w:szCs w:val="24"/>
        </w:rPr>
      </w:pPr>
    </w:p>
    <w:p w:rsidR="00BC71D9" w:rsidRPr="00725F92" w:rsidRDefault="00BC71D9" w:rsidP="00121BE8">
      <w:pPr>
        <w:spacing w:after="0" w:line="240" w:lineRule="auto"/>
        <w:ind w:left="720" w:right="720"/>
        <w:jc w:val="both"/>
        <w:rPr>
          <w:rFonts w:ascii="Times New Roman" w:hAnsi="Times New Roman" w:cs="Times New Roman"/>
          <w:sz w:val="24"/>
          <w:szCs w:val="24"/>
        </w:rPr>
      </w:pPr>
      <w:r w:rsidRPr="00725F92">
        <w:rPr>
          <w:rFonts w:ascii="Times New Roman" w:hAnsi="Times New Roman" w:cs="Times New Roman"/>
          <w:sz w:val="24"/>
          <w:szCs w:val="24"/>
        </w:rPr>
        <w:t>Section 1110 of FIRREA mandates that the Federal financial institutions regulatory agencies (“Agencies”) prescribe appropriate standards for the performance of real estate appraisals in connection with federally related transactions under the jurisdiction of each agency.  The majority of the provisions of Part 323 are specifically mandated by FIRREA and do not represent discretionary require</w:t>
      </w:r>
      <w:smartTag w:uri="urn:schemas-microsoft-com:office:smarttags" w:element="PersonName">
        <w:r w:rsidRPr="00725F92">
          <w:rPr>
            <w:rFonts w:ascii="Times New Roman" w:hAnsi="Times New Roman" w:cs="Times New Roman"/>
            <w:sz w:val="24"/>
            <w:szCs w:val="24"/>
          </w:rPr>
          <w:t>me</w:t>
        </w:r>
      </w:smartTag>
      <w:r w:rsidRPr="00725F92">
        <w:rPr>
          <w:rFonts w:ascii="Times New Roman" w:hAnsi="Times New Roman" w:cs="Times New Roman"/>
          <w:sz w:val="24"/>
          <w:szCs w:val="24"/>
        </w:rPr>
        <w:t>nts.</w:t>
      </w:r>
    </w:p>
    <w:p w:rsidR="00BC71D9" w:rsidRDefault="00BC71D9" w:rsidP="00675B5D">
      <w:pPr>
        <w:pStyle w:val="Default"/>
        <w:rPr>
          <w:rFonts w:eastAsia="Calibri"/>
          <w:color w:val="000000" w:themeColor="text1"/>
        </w:rPr>
      </w:pPr>
    </w:p>
    <w:p w:rsidR="00BC71D9" w:rsidRDefault="00D36190" w:rsidP="00675B5D">
      <w:pPr>
        <w:pStyle w:val="Default"/>
      </w:pPr>
      <w:r>
        <w:rPr>
          <w:rFonts w:eastAsia="Calibri"/>
          <w:color w:val="000000" w:themeColor="text1"/>
        </w:rPr>
        <w:t xml:space="preserve">The current rule contains </w:t>
      </w:r>
      <w:r w:rsidR="00BC71D9" w:rsidRPr="0098214A">
        <w:rPr>
          <w:rFonts w:eastAsia="Calibri"/>
          <w:color w:val="000000" w:themeColor="text1"/>
        </w:rPr>
        <w:t>thresholds, which were es</w:t>
      </w:r>
      <w:r>
        <w:rPr>
          <w:rFonts w:eastAsia="Calibri"/>
          <w:color w:val="000000" w:themeColor="text1"/>
        </w:rPr>
        <w:t>tablished by rulemaking in 1994.</w:t>
      </w:r>
      <w:r w:rsidR="00BC71D9" w:rsidRPr="00BC71D9">
        <w:rPr>
          <w:rStyle w:val="FootnoteReference"/>
          <w:rFonts w:eastAsia="Calibri"/>
          <w:color w:val="000000" w:themeColor="text1"/>
          <w:vertAlign w:val="superscript"/>
        </w:rPr>
        <w:footnoteReference w:id="3"/>
      </w:r>
      <w:r w:rsidR="00BC71D9" w:rsidRPr="0098214A">
        <w:rPr>
          <w:rFonts w:eastAsia="Calibri"/>
          <w:color w:val="000000" w:themeColor="text1"/>
        </w:rPr>
        <w:t xml:space="preserve"> </w:t>
      </w:r>
      <w:r w:rsidR="00BF2334">
        <w:rPr>
          <w:rFonts w:eastAsia="Calibri"/>
          <w:color w:val="000000" w:themeColor="text1"/>
        </w:rPr>
        <w:t xml:space="preserve"> </w:t>
      </w:r>
      <w:r>
        <w:rPr>
          <w:rFonts w:eastAsia="Calibri"/>
          <w:color w:val="000000" w:themeColor="text1"/>
        </w:rPr>
        <w:t xml:space="preserve">Under the current rule, </w:t>
      </w:r>
      <w:r w:rsidR="00BC71D9" w:rsidRPr="0098214A">
        <w:rPr>
          <w:rFonts w:eastAsia="Calibri"/>
          <w:color w:val="000000" w:themeColor="text1"/>
        </w:rPr>
        <w:t>all real estate-related financial transactions with a transaction value</w:t>
      </w:r>
      <w:r w:rsidR="00BC71D9" w:rsidRPr="00BC71D9">
        <w:rPr>
          <w:rStyle w:val="FootnoteReference"/>
          <w:rFonts w:eastAsia="Calibri"/>
          <w:color w:val="000000" w:themeColor="text1"/>
          <w:vertAlign w:val="superscript"/>
        </w:rPr>
        <w:footnoteReference w:id="4"/>
      </w:r>
      <w:r w:rsidR="00BC71D9" w:rsidRPr="0098214A">
        <w:rPr>
          <w:rFonts w:eastAsia="Calibri"/>
          <w:color w:val="000000" w:themeColor="text1"/>
        </w:rPr>
        <w:t xml:space="preserve"> of $250,000 or less, as well as certain real estate-secured business loans (qualifying business loans)</w:t>
      </w:r>
      <w:r w:rsidRPr="00D36190">
        <w:rPr>
          <w:rFonts w:eastAsia="Calibri"/>
          <w:color w:val="000000" w:themeColor="text1"/>
          <w:vertAlign w:val="superscript"/>
        </w:rPr>
        <w:t xml:space="preserve"> </w:t>
      </w:r>
      <w:r w:rsidRPr="0098214A">
        <w:rPr>
          <w:rFonts w:eastAsia="Calibri"/>
          <w:color w:val="000000" w:themeColor="text1"/>
          <w:vertAlign w:val="superscript"/>
        </w:rPr>
        <w:footnoteReference w:id="5"/>
      </w:r>
      <w:r w:rsidR="00CD14F8">
        <w:rPr>
          <w:rFonts w:eastAsia="Calibri"/>
          <w:color w:val="000000" w:themeColor="text1"/>
        </w:rPr>
        <w:t xml:space="preserve"> </w:t>
      </w:r>
      <w:r w:rsidR="00BC71D9" w:rsidRPr="0098214A">
        <w:rPr>
          <w:rFonts w:eastAsia="Calibri"/>
          <w:color w:val="000000" w:themeColor="text1"/>
        </w:rPr>
        <w:t>with a transaction value of $1 million or less, do not require appraisals.</w:t>
      </w:r>
      <w:r w:rsidR="00BC71D9" w:rsidRPr="00675B5D">
        <w:rPr>
          <w:rStyle w:val="FootnoteReference"/>
          <w:rFonts w:eastAsia="Calibri"/>
          <w:color w:val="000000" w:themeColor="text1"/>
          <w:vertAlign w:val="superscript"/>
        </w:rPr>
        <w:footnoteReference w:id="6"/>
      </w:r>
      <w:r w:rsidR="00BC71D9" w:rsidRPr="00675B5D">
        <w:rPr>
          <w:rFonts w:eastAsia="Calibri"/>
          <w:color w:val="000000" w:themeColor="text1"/>
          <w:vertAlign w:val="superscript"/>
        </w:rPr>
        <w:t xml:space="preserve"> </w:t>
      </w:r>
      <w:r w:rsidR="00BC71D9" w:rsidRPr="0098214A">
        <w:rPr>
          <w:rFonts w:eastAsia="Calibri"/>
          <w:color w:val="000000" w:themeColor="text1"/>
        </w:rPr>
        <w:t xml:space="preserve"> </w:t>
      </w:r>
      <w:r w:rsidR="00BF2334">
        <w:rPr>
          <w:rFonts w:eastAsia="Calibri"/>
          <w:color w:val="000000" w:themeColor="text1"/>
        </w:rPr>
        <w:t xml:space="preserve">Instead, the financial institution may </w:t>
      </w:r>
      <w:r w:rsidR="00BC71D9" w:rsidRPr="00E77334">
        <w:rPr>
          <w:rFonts w:eastAsia="Calibri"/>
          <w:color w:val="000000" w:themeColor="text1"/>
        </w:rPr>
        <w:t xml:space="preserve">obtain an evaluation of the real property collateral that is consistent with safe and </w:t>
      </w:r>
      <w:r w:rsidR="00BC71D9" w:rsidRPr="00E77334">
        <w:rPr>
          <w:rFonts w:eastAsia="Calibri"/>
          <w:color w:val="000000" w:themeColor="text1"/>
        </w:rPr>
        <w:lastRenderedPageBreak/>
        <w:t>sound banking practices</w:t>
      </w:r>
      <w:r w:rsidR="00BF2334">
        <w:rPr>
          <w:rFonts w:eastAsia="Calibri"/>
          <w:color w:val="000000" w:themeColor="text1"/>
        </w:rPr>
        <w:t>.  In addition, the evaluation must contain</w:t>
      </w:r>
      <w:r w:rsidR="00BC71D9" w:rsidRPr="00E77334">
        <w:rPr>
          <w:rFonts w:eastAsia="Calibri"/>
          <w:color w:val="000000" w:themeColor="text1"/>
        </w:rPr>
        <w:t xml:space="preserve"> sufficient information and analysis to support the financial institution’s decision to engage in the transaction. </w:t>
      </w:r>
      <w:r w:rsidR="00BF2334" w:rsidRPr="00675B5D">
        <w:rPr>
          <w:rStyle w:val="FootnoteReference"/>
          <w:rFonts w:eastAsia="Calibri"/>
          <w:color w:val="000000" w:themeColor="text1"/>
          <w:vertAlign w:val="superscript"/>
        </w:rPr>
        <w:footnoteReference w:id="7"/>
      </w:r>
      <w:r w:rsidR="00BF2334" w:rsidRPr="00E77334">
        <w:rPr>
          <w:rFonts w:eastAsia="Calibri"/>
          <w:color w:val="000000" w:themeColor="text1"/>
        </w:rPr>
        <w:t xml:space="preserve"> </w:t>
      </w:r>
      <w:r w:rsidR="00BC71D9" w:rsidRPr="00E77334">
        <w:rPr>
          <w:rFonts w:eastAsia="Calibri"/>
          <w:color w:val="000000" w:themeColor="text1"/>
        </w:rPr>
        <w:t xml:space="preserve"> </w:t>
      </w:r>
    </w:p>
    <w:p w:rsidR="00BC71D9" w:rsidRDefault="00BC71D9" w:rsidP="00675B5D">
      <w:pPr>
        <w:spacing w:after="0" w:line="240" w:lineRule="auto"/>
        <w:contextualSpacing/>
        <w:rPr>
          <w:rFonts w:ascii="Times New Roman" w:hAnsi="Times New Roman" w:cs="Times New Roman"/>
          <w:color w:val="000000" w:themeColor="text1"/>
          <w:sz w:val="24"/>
          <w:szCs w:val="24"/>
        </w:rPr>
      </w:pPr>
    </w:p>
    <w:p w:rsidR="00BF2334" w:rsidRPr="00E01D9F" w:rsidRDefault="00BC71D9" w:rsidP="00675B5D">
      <w:pPr>
        <w:spacing w:after="0" w:line="240" w:lineRule="auto"/>
        <w:contextualSpacing/>
        <w:rPr>
          <w:rFonts w:ascii="Times New Roman" w:hAnsi="Times New Roman" w:cs="Times New Roman"/>
          <w:color w:val="000000" w:themeColor="text1"/>
          <w:sz w:val="24"/>
          <w:szCs w:val="24"/>
        </w:rPr>
      </w:pPr>
      <w:r w:rsidRPr="00BC71D9">
        <w:rPr>
          <w:rFonts w:ascii="Times New Roman" w:hAnsi="Times New Roman" w:cs="Times New Roman"/>
          <w:color w:val="000000" w:themeColor="text1"/>
          <w:sz w:val="24"/>
          <w:szCs w:val="24"/>
        </w:rPr>
        <w:t xml:space="preserve">The </w:t>
      </w:r>
      <w:r w:rsidR="000A7C1B">
        <w:rPr>
          <w:rFonts w:ascii="Times New Roman" w:hAnsi="Times New Roman" w:cs="Times New Roman"/>
          <w:color w:val="000000" w:themeColor="text1"/>
          <w:sz w:val="24"/>
          <w:szCs w:val="24"/>
        </w:rPr>
        <w:t>final rule</w:t>
      </w:r>
      <w:r w:rsidRPr="00BC71D9">
        <w:rPr>
          <w:rFonts w:ascii="Times New Roman" w:hAnsi="Times New Roman" w:cs="Times New Roman"/>
          <w:color w:val="000000" w:themeColor="text1"/>
          <w:sz w:val="24"/>
          <w:szCs w:val="24"/>
        </w:rPr>
        <w:t xml:space="preserve"> increase</w:t>
      </w:r>
      <w:r w:rsidR="00B47C7B">
        <w:rPr>
          <w:rFonts w:ascii="Times New Roman" w:hAnsi="Times New Roman" w:cs="Times New Roman"/>
          <w:color w:val="000000" w:themeColor="text1"/>
          <w:sz w:val="24"/>
          <w:szCs w:val="24"/>
        </w:rPr>
        <w:t>s</w:t>
      </w:r>
      <w:r w:rsidRPr="00BC71D9">
        <w:rPr>
          <w:rFonts w:ascii="Times New Roman" w:hAnsi="Times New Roman" w:cs="Times New Roman"/>
          <w:color w:val="000000" w:themeColor="text1"/>
          <w:sz w:val="24"/>
          <w:szCs w:val="24"/>
        </w:rPr>
        <w:t xml:space="preserve"> the threshold level at or below which appraisals would not be </w:t>
      </w:r>
      <w:r w:rsidRPr="00E01D9F">
        <w:rPr>
          <w:rFonts w:ascii="Times New Roman" w:hAnsi="Times New Roman" w:cs="Times New Roman"/>
          <w:color w:val="000000" w:themeColor="text1"/>
          <w:sz w:val="24"/>
          <w:szCs w:val="24"/>
        </w:rPr>
        <w:t>required for commercial real estate transactions from $250,000 to $</w:t>
      </w:r>
      <w:r w:rsidR="000A7C1B">
        <w:rPr>
          <w:rFonts w:ascii="Times New Roman" w:hAnsi="Times New Roman" w:cs="Times New Roman"/>
          <w:color w:val="000000" w:themeColor="text1"/>
          <w:sz w:val="24"/>
          <w:szCs w:val="24"/>
        </w:rPr>
        <w:t>5</w:t>
      </w:r>
      <w:r w:rsidRPr="00E01D9F">
        <w:rPr>
          <w:rFonts w:ascii="Times New Roman" w:hAnsi="Times New Roman" w:cs="Times New Roman"/>
          <w:color w:val="000000" w:themeColor="text1"/>
          <w:sz w:val="24"/>
          <w:szCs w:val="24"/>
        </w:rPr>
        <w:t xml:space="preserve">00,000.  For commercial real estate transactions with a value at or below the </w:t>
      </w:r>
      <w:r w:rsidR="00B47C7B">
        <w:rPr>
          <w:rFonts w:ascii="Times New Roman" w:hAnsi="Times New Roman" w:cs="Times New Roman"/>
          <w:color w:val="000000" w:themeColor="text1"/>
          <w:sz w:val="24"/>
          <w:szCs w:val="24"/>
        </w:rPr>
        <w:t>new</w:t>
      </w:r>
      <w:r w:rsidRPr="00E01D9F">
        <w:rPr>
          <w:rFonts w:ascii="Times New Roman" w:hAnsi="Times New Roman" w:cs="Times New Roman"/>
          <w:color w:val="000000" w:themeColor="text1"/>
          <w:sz w:val="24"/>
          <w:szCs w:val="24"/>
        </w:rPr>
        <w:t xml:space="preserve"> threshold, the amended rule </w:t>
      </w:r>
      <w:r w:rsidR="00A05F65">
        <w:rPr>
          <w:rFonts w:ascii="Times New Roman" w:hAnsi="Times New Roman" w:cs="Times New Roman"/>
          <w:color w:val="000000" w:themeColor="text1"/>
          <w:sz w:val="24"/>
          <w:szCs w:val="24"/>
        </w:rPr>
        <w:t>require</w:t>
      </w:r>
      <w:r w:rsidR="00B47C7B">
        <w:rPr>
          <w:rFonts w:ascii="Times New Roman" w:hAnsi="Times New Roman" w:cs="Times New Roman"/>
          <w:color w:val="000000" w:themeColor="text1"/>
          <w:sz w:val="24"/>
          <w:szCs w:val="24"/>
        </w:rPr>
        <w:t>s</w:t>
      </w:r>
      <w:r w:rsidR="00A05F65" w:rsidRPr="00E01D9F">
        <w:rPr>
          <w:rFonts w:ascii="Times New Roman" w:hAnsi="Times New Roman" w:cs="Times New Roman"/>
          <w:color w:val="000000" w:themeColor="text1"/>
          <w:sz w:val="24"/>
          <w:szCs w:val="24"/>
        </w:rPr>
        <w:t xml:space="preserve"> </w:t>
      </w:r>
      <w:r w:rsidR="00BF2334" w:rsidRPr="00E01D9F">
        <w:rPr>
          <w:rFonts w:ascii="Times New Roman" w:hAnsi="Times New Roman" w:cs="Times New Roman"/>
          <w:color w:val="000000" w:themeColor="text1"/>
          <w:sz w:val="24"/>
          <w:szCs w:val="24"/>
        </w:rPr>
        <w:t>an institution</w:t>
      </w:r>
      <w:r w:rsidRPr="00E01D9F">
        <w:rPr>
          <w:rFonts w:ascii="Times New Roman" w:hAnsi="Times New Roman" w:cs="Times New Roman"/>
          <w:color w:val="000000" w:themeColor="text1"/>
          <w:sz w:val="24"/>
          <w:szCs w:val="24"/>
        </w:rPr>
        <w:t xml:space="preserve"> to obtain an evaluation of the real property collateral</w:t>
      </w:r>
      <w:r w:rsidR="00E01D9F" w:rsidRPr="00E01D9F">
        <w:rPr>
          <w:rFonts w:ascii="Times New Roman" w:hAnsi="Times New Roman" w:cs="Times New Roman"/>
          <w:color w:val="000000" w:themeColor="text1"/>
          <w:sz w:val="24"/>
          <w:szCs w:val="24"/>
        </w:rPr>
        <w:t xml:space="preserve"> </w:t>
      </w:r>
      <w:r w:rsidR="00BF2334" w:rsidRPr="00E01D9F">
        <w:rPr>
          <w:rFonts w:ascii="Times New Roman" w:hAnsi="Times New Roman" w:cs="Times New Roman"/>
          <w:color w:val="000000" w:themeColor="text1"/>
          <w:sz w:val="24"/>
          <w:szCs w:val="24"/>
        </w:rPr>
        <w:t>in lieu of an appraisal</w:t>
      </w:r>
      <w:r w:rsidR="00E01D9F" w:rsidRPr="00E01D9F">
        <w:rPr>
          <w:rFonts w:ascii="Times New Roman" w:hAnsi="Times New Roman" w:cs="Times New Roman"/>
          <w:color w:val="000000" w:themeColor="text1"/>
          <w:sz w:val="24"/>
          <w:szCs w:val="24"/>
        </w:rPr>
        <w:t xml:space="preserve"> as long as such evaluation </w:t>
      </w:r>
      <w:r w:rsidRPr="00E01D9F">
        <w:rPr>
          <w:rFonts w:ascii="Times New Roman" w:hAnsi="Times New Roman" w:cs="Times New Roman"/>
          <w:color w:val="000000" w:themeColor="text1"/>
          <w:sz w:val="24"/>
          <w:szCs w:val="24"/>
        </w:rPr>
        <w:t>is consistent with safe and sound banking practices</w:t>
      </w:r>
      <w:r w:rsidR="00E01D9F" w:rsidRPr="00E01D9F">
        <w:rPr>
          <w:rFonts w:ascii="Times New Roman" w:hAnsi="Times New Roman" w:cs="Times New Roman"/>
          <w:color w:val="000000" w:themeColor="text1"/>
          <w:sz w:val="24"/>
          <w:szCs w:val="24"/>
        </w:rPr>
        <w:t xml:space="preserve"> and </w:t>
      </w:r>
      <w:r w:rsidR="00E01D9F" w:rsidRPr="00E01D9F">
        <w:rPr>
          <w:rFonts w:ascii="Times New Roman" w:eastAsia="Calibri" w:hAnsi="Times New Roman" w:cs="Times New Roman"/>
          <w:color w:val="000000" w:themeColor="text1"/>
          <w:sz w:val="24"/>
          <w:szCs w:val="24"/>
        </w:rPr>
        <w:t>contains sufficient information and analysis to support the financial institution’s decision to engage in the transaction</w:t>
      </w:r>
      <w:r w:rsidR="00643A12">
        <w:rPr>
          <w:rFonts w:ascii="Times New Roman" w:eastAsia="Calibri" w:hAnsi="Times New Roman" w:cs="Times New Roman"/>
          <w:color w:val="000000" w:themeColor="text1"/>
          <w:sz w:val="24"/>
          <w:szCs w:val="24"/>
        </w:rPr>
        <w:t>, which is consistent with the current appraisal threshold requirement</w:t>
      </w:r>
      <w:r w:rsidRPr="00E01D9F">
        <w:rPr>
          <w:rFonts w:ascii="Times New Roman" w:hAnsi="Times New Roman" w:cs="Times New Roman"/>
          <w:color w:val="000000" w:themeColor="text1"/>
          <w:sz w:val="24"/>
          <w:szCs w:val="24"/>
        </w:rPr>
        <w:t xml:space="preserve">.  </w:t>
      </w:r>
    </w:p>
    <w:p w:rsidR="00BF2334" w:rsidRDefault="00BF2334" w:rsidP="00675B5D">
      <w:pPr>
        <w:spacing w:after="0" w:line="240" w:lineRule="auto"/>
        <w:contextualSpacing/>
        <w:rPr>
          <w:rFonts w:ascii="Times New Roman" w:hAnsi="Times New Roman" w:cs="Times New Roman"/>
          <w:color w:val="000000" w:themeColor="text1"/>
          <w:sz w:val="24"/>
          <w:szCs w:val="24"/>
        </w:rPr>
      </w:pPr>
    </w:p>
    <w:p w:rsidR="00BC71D9" w:rsidRPr="00BC71D9" w:rsidRDefault="00E01D9F" w:rsidP="00BF233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The</w:t>
      </w:r>
      <w:r w:rsidRPr="00BC71D9">
        <w:rPr>
          <w:rFonts w:ascii="Times New Roman" w:hAnsi="Times New Roman" w:cs="Times New Roman"/>
          <w:sz w:val="24"/>
          <w:szCs w:val="24"/>
        </w:rPr>
        <w:t xml:space="preserve"> </w:t>
      </w:r>
      <w:r>
        <w:rPr>
          <w:rFonts w:ascii="Times New Roman" w:hAnsi="Times New Roman" w:cs="Times New Roman"/>
          <w:sz w:val="24"/>
          <w:szCs w:val="24"/>
        </w:rPr>
        <w:t>change in threshold amounts</w:t>
      </w:r>
      <w:r w:rsidRPr="00BC71D9">
        <w:rPr>
          <w:rFonts w:ascii="Times New Roman" w:hAnsi="Times New Roman" w:cs="Times New Roman"/>
          <w:sz w:val="24"/>
          <w:szCs w:val="24"/>
        </w:rPr>
        <w:t xml:space="preserve"> described in this </w:t>
      </w:r>
      <w:r w:rsidR="000A7C1B">
        <w:rPr>
          <w:rFonts w:ascii="Times New Roman" w:hAnsi="Times New Roman" w:cs="Times New Roman"/>
          <w:sz w:val="24"/>
          <w:szCs w:val="24"/>
        </w:rPr>
        <w:t>final rule</w:t>
      </w:r>
      <w:r w:rsidRPr="00BC71D9">
        <w:rPr>
          <w:rFonts w:ascii="Times New Roman" w:hAnsi="Times New Roman" w:cs="Times New Roman"/>
          <w:sz w:val="24"/>
          <w:szCs w:val="24"/>
        </w:rPr>
        <w:t xml:space="preserve"> </w:t>
      </w:r>
      <w:r w:rsidR="00B47C7B">
        <w:rPr>
          <w:rFonts w:ascii="Times New Roman" w:hAnsi="Times New Roman" w:cs="Times New Roman"/>
          <w:sz w:val="24"/>
          <w:szCs w:val="24"/>
        </w:rPr>
        <w:t>do</w:t>
      </w:r>
      <w:r w:rsidRPr="00BC71D9">
        <w:rPr>
          <w:rFonts w:ascii="Times New Roman" w:hAnsi="Times New Roman" w:cs="Times New Roman"/>
          <w:sz w:val="24"/>
          <w:szCs w:val="24"/>
        </w:rPr>
        <w:t xml:space="preserve"> not change the amount of </w:t>
      </w:r>
      <w:r>
        <w:rPr>
          <w:rFonts w:ascii="Times New Roman" w:hAnsi="Times New Roman" w:cs="Times New Roman"/>
          <w:sz w:val="24"/>
          <w:szCs w:val="24"/>
        </w:rPr>
        <w:t xml:space="preserve">burden under the Paperwork Reduction Act of 1995 (PRA); the </w:t>
      </w:r>
      <w:r w:rsidR="00BF2334">
        <w:rPr>
          <w:rFonts w:ascii="Times New Roman" w:hAnsi="Times New Roman" w:cs="Times New Roman"/>
          <w:sz w:val="24"/>
          <w:szCs w:val="24"/>
        </w:rPr>
        <w:t xml:space="preserve">recordkeeping burden </w:t>
      </w:r>
      <w:r w:rsidR="00675B5D" w:rsidRPr="00BC71D9">
        <w:rPr>
          <w:rFonts w:ascii="Times New Roman" w:hAnsi="Times New Roman" w:cs="Times New Roman"/>
          <w:sz w:val="24"/>
          <w:szCs w:val="24"/>
        </w:rPr>
        <w:t xml:space="preserve">required to document the review of an appraisal or an evaluation </w:t>
      </w:r>
      <w:r>
        <w:rPr>
          <w:rFonts w:ascii="Times New Roman" w:hAnsi="Times New Roman" w:cs="Times New Roman"/>
          <w:sz w:val="24"/>
          <w:szCs w:val="24"/>
        </w:rPr>
        <w:t>remain</w:t>
      </w:r>
      <w:r w:rsidR="00831CC1">
        <w:rPr>
          <w:rFonts w:ascii="Times New Roman" w:hAnsi="Times New Roman" w:cs="Times New Roman"/>
          <w:sz w:val="24"/>
          <w:szCs w:val="24"/>
        </w:rPr>
        <w:t>s</w:t>
      </w:r>
      <w:r w:rsidR="00675B5D" w:rsidRPr="00BC71D9">
        <w:rPr>
          <w:rFonts w:ascii="Times New Roman" w:hAnsi="Times New Roman" w:cs="Times New Roman"/>
          <w:sz w:val="24"/>
          <w:szCs w:val="24"/>
        </w:rPr>
        <w:t xml:space="preserve"> the same.  </w:t>
      </w:r>
      <w:r>
        <w:rPr>
          <w:rFonts w:ascii="Times New Roman" w:hAnsi="Times New Roman" w:cs="Times New Roman"/>
          <w:sz w:val="24"/>
          <w:szCs w:val="24"/>
        </w:rPr>
        <w:t xml:space="preserve">However, the </w:t>
      </w:r>
      <w:r w:rsidRPr="00BC71D9">
        <w:rPr>
          <w:rFonts w:ascii="Times New Roman" w:hAnsi="Times New Roman" w:cs="Times New Roman"/>
          <w:sz w:val="24"/>
          <w:szCs w:val="24"/>
        </w:rPr>
        <w:t xml:space="preserve">FDIC </w:t>
      </w:r>
      <w:r>
        <w:rPr>
          <w:rFonts w:ascii="Times New Roman" w:hAnsi="Times New Roman" w:cs="Times New Roman"/>
          <w:sz w:val="24"/>
          <w:szCs w:val="24"/>
        </w:rPr>
        <w:t xml:space="preserve">has reviewed its previous PRA submissions and has </w:t>
      </w:r>
      <w:r w:rsidR="003A2792">
        <w:rPr>
          <w:rFonts w:ascii="Times New Roman" w:hAnsi="Times New Roman" w:cs="Times New Roman"/>
          <w:sz w:val="24"/>
          <w:szCs w:val="24"/>
        </w:rPr>
        <w:t>updated its</w:t>
      </w:r>
      <w:r w:rsidRPr="00BC71D9">
        <w:rPr>
          <w:rFonts w:ascii="Times New Roman" w:hAnsi="Times New Roman" w:cs="Times New Roman"/>
          <w:sz w:val="24"/>
          <w:szCs w:val="24"/>
        </w:rPr>
        <w:t xml:space="preserve"> methodo</w:t>
      </w:r>
      <w:r w:rsidR="004775DF">
        <w:rPr>
          <w:rFonts w:ascii="Times New Roman" w:hAnsi="Times New Roman" w:cs="Times New Roman"/>
          <w:sz w:val="24"/>
          <w:szCs w:val="24"/>
        </w:rPr>
        <w:t xml:space="preserve">logy for calculating the burden.  </w:t>
      </w:r>
      <w:r w:rsidR="00675B5D" w:rsidRPr="00725F92">
        <w:rPr>
          <w:rFonts w:ascii="Times New Roman" w:hAnsi="Times New Roman" w:cs="Times New Roman"/>
          <w:sz w:val="24"/>
          <w:szCs w:val="24"/>
        </w:rPr>
        <w:t xml:space="preserve">The FDIC is </w:t>
      </w:r>
      <w:r>
        <w:rPr>
          <w:rFonts w:ascii="Times New Roman" w:hAnsi="Times New Roman" w:cs="Times New Roman"/>
          <w:sz w:val="24"/>
          <w:szCs w:val="24"/>
        </w:rPr>
        <w:t xml:space="preserve">therefore </w:t>
      </w:r>
      <w:r w:rsidR="00675B5D" w:rsidRPr="00725F92">
        <w:rPr>
          <w:rFonts w:ascii="Times New Roman" w:hAnsi="Times New Roman" w:cs="Times New Roman"/>
          <w:sz w:val="24"/>
          <w:szCs w:val="24"/>
        </w:rPr>
        <w:t xml:space="preserve">requesting OMB approval to </w:t>
      </w:r>
      <w:r>
        <w:rPr>
          <w:rFonts w:ascii="Times New Roman" w:hAnsi="Times New Roman" w:cs="Times New Roman"/>
          <w:sz w:val="24"/>
          <w:szCs w:val="24"/>
        </w:rPr>
        <w:t>revise</w:t>
      </w:r>
      <w:r w:rsidR="00675B5D" w:rsidRPr="00725F92">
        <w:rPr>
          <w:rFonts w:ascii="Times New Roman" w:hAnsi="Times New Roman" w:cs="Times New Roman"/>
          <w:sz w:val="24"/>
          <w:szCs w:val="24"/>
        </w:rPr>
        <w:t xml:space="preserve"> the currently approved collection of information, which expires on December 31, 2019.  </w:t>
      </w:r>
    </w:p>
    <w:p w:rsidR="00BC71D9" w:rsidRDefault="00BC71D9" w:rsidP="00675B5D">
      <w:pPr>
        <w:tabs>
          <w:tab w:val="left" w:pos="240"/>
          <w:tab w:val="left" w:pos="840"/>
          <w:tab w:val="left" w:pos="1440"/>
          <w:tab w:val="left" w:pos="2040"/>
          <w:tab w:val="left" w:pos="2640"/>
          <w:tab w:val="left" w:pos="3240"/>
          <w:tab w:val="left" w:pos="3840"/>
          <w:tab w:val="left" w:pos="4440"/>
        </w:tabs>
        <w:spacing w:after="0" w:line="240" w:lineRule="auto"/>
        <w:rPr>
          <w:rFonts w:ascii="Times New Roman" w:hAnsi="Times New Roman" w:cs="Times New Roman"/>
          <w:sz w:val="24"/>
          <w:szCs w:val="24"/>
        </w:rPr>
      </w:pPr>
    </w:p>
    <w:p w:rsidR="00725F92" w:rsidRPr="00725F92" w:rsidRDefault="00725F92" w:rsidP="00725F92">
      <w:pPr>
        <w:pStyle w:val="ListParagraph"/>
        <w:numPr>
          <w:ilvl w:val="0"/>
          <w:numId w:val="1"/>
        </w:numPr>
        <w:tabs>
          <w:tab w:val="left" w:pos="360"/>
        </w:tabs>
        <w:spacing w:after="0" w:line="240" w:lineRule="auto"/>
        <w:rPr>
          <w:rFonts w:ascii="Times New Roman" w:hAnsi="Times New Roman" w:cs="Times New Roman"/>
          <w:sz w:val="24"/>
          <w:szCs w:val="24"/>
        </w:rPr>
      </w:pPr>
      <w:r w:rsidRPr="00725F92">
        <w:rPr>
          <w:rFonts w:ascii="Times New Roman" w:hAnsi="Times New Roman" w:cs="Times New Roman"/>
          <w:sz w:val="24"/>
          <w:szCs w:val="24"/>
          <w:u w:val="single"/>
        </w:rPr>
        <w:t>JUSTIFICATION</w:t>
      </w:r>
    </w:p>
    <w:p w:rsidR="00725F92" w:rsidRPr="00725F92" w:rsidRDefault="00725F92" w:rsidP="00725F92">
      <w:pPr>
        <w:spacing w:after="0" w:line="240" w:lineRule="auto"/>
        <w:rPr>
          <w:rFonts w:ascii="Times New Roman" w:hAnsi="Times New Roman" w:cs="Times New Roman"/>
          <w:sz w:val="24"/>
          <w:szCs w:val="24"/>
        </w:rPr>
      </w:pPr>
    </w:p>
    <w:p w:rsidR="00725F92" w:rsidRPr="00725F92" w:rsidRDefault="00725F92" w:rsidP="00725F92">
      <w:pPr>
        <w:pStyle w:val="ListParagraph"/>
        <w:numPr>
          <w:ilvl w:val="0"/>
          <w:numId w:val="2"/>
        </w:numPr>
        <w:spacing w:after="0" w:line="240" w:lineRule="auto"/>
        <w:rPr>
          <w:rFonts w:ascii="Times New Roman" w:hAnsi="Times New Roman" w:cs="Times New Roman"/>
          <w:sz w:val="24"/>
          <w:szCs w:val="24"/>
        </w:rPr>
      </w:pPr>
      <w:r w:rsidRPr="00725F92">
        <w:rPr>
          <w:rFonts w:ascii="Times New Roman" w:hAnsi="Times New Roman" w:cs="Times New Roman"/>
          <w:sz w:val="24"/>
          <w:szCs w:val="24"/>
          <w:u w:val="single"/>
        </w:rPr>
        <w:t>Circumstances and Need</w:t>
      </w:r>
    </w:p>
    <w:p w:rsidR="00725F92" w:rsidRPr="00725F92" w:rsidRDefault="00725F92" w:rsidP="00725F92">
      <w:pPr>
        <w:spacing w:after="0" w:line="240" w:lineRule="auto"/>
        <w:rPr>
          <w:rFonts w:ascii="Times New Roman" w:hAnsi="Times New Roman" w:cs="Times New Roman"/>
          <w:sz w:val="24"/>
          <w:szCs w:val="24"/>
        </w:rPr>
      </w:pPr>
    </w:p>
    <w:p w:rsidR="00725F92" w:rsidRPr="00725F92" w:rsidRDefault="00725F92" w:rsidP="00121BE8">
      <w:pPr>
        <w:spacing w:after="0" w:line="240" w:lineRule="auto"/>
        <w:ind w:left="1440"/>
        <w:rPr>
          <w:rFonts w:ascii="Times New Roman" w:hAnsi="Times New Roman" w:cs="Times New Roman"/>
          <w:sz w:val="24"/>
          <w:szCs w:val="24"/>
        </w:rPr>
      </w:pPr>
      <w:r w:rsidRPr="00725F92">
        <w:rPr>
          <w:rFonts w:ascii="Times New Roman" w:hAnsi="Times New Roman" w:cs="Times New Roman"/>
          <w:sz w:val="24"/>
          <w:szCs w:val="24"/>
        </w:rPr>
        <w:t>Title XI of FIRREA was enacted to protect federal financial and public policy interests in real estate related transactions.  Many loans and other transactions entered into by federally insured financial institutions are collateralized by liens on real estate.  While repayment ability stands as the primary criteria for determining creditworthiness, the value of collateral provides some protection against loss.  Faulty, incompetent</w:t>
      </w:r>
      <w:r w:rsidR="00737F2B">
        <w:rPr>
          <w:rFonts w:ascii="Times New Roman" w:hAnsi="Times New Roman" w:cs="Times New Roman"/>
          <w:sz w:val="24"/>
          <w:szCs w:val="24"/>
        </w:rPr>
        <w:t>,</w:t>
      </w:r>
      <w:r w:rsidRPr="00725F92">
        <w:rPr>
          <w:rFonts w:ascii="Times New Roman" w:hAnsi="Times New Roman" w:cs="Times New Roman"/>
          <w:sz w:val="24"/>
          <w:szCs w:val="24"/>
        </w:rPr>
        <w:t xml:space="preserve"> or fraudulent appraisals of real estate have caused large loan losses, can contribute to the failure of financial institutions, and may result in losses to the </w:t>
      </w:r>
      <w:r w:rsidR="00C331C0">
        <w:rPr>
          <w:rFonts w:ascii="Times New Roman" w:hAnsi="Times New Roman" w:cs="Times New Roman"/>
          <w:sz w:val="24"/>
          <w:szCs w:val="24"/>
        </w:rPr>
        <w:t>Deposit Insurance Fund (DIF)</w:t>
      </w:r>
      <w:r w:rsidRPr="00725F92">
        <w:rPr>
          <w:rFonts w:ascii="Times New Roman" w:hAnsi="Times New Roman" w:cs="Times New Roman"/>
          <w:sz w:val="24"/>
          <w:szCs w:val="24"/>
        </w:rPr>
        <w:t xml:space="preserve">.  </w:t>
      </w:r>
    </w:p>
    <w:p w:rsidR="00725F92" w:rsidRPr="00725F92" w:rsidRDefault="00725F92" w:rsidP="00121BE8">
      <w:pPr>
        <w:spacing w:after="0" w:line="240" w:lineRule="auto"/>
        <w:ind w:left="1440"/>
        <w:rPr>
          <w:rFonts w:ascii="Times New Roman" w:hAnsi="Times New Roman" w:cs="Times New Roman"/>
          <w:sz w:val="24"/>
          <w:szCs w:val="24"/>
        </w:rPr>
      </w:pPr>
    </w:p>
    <w:p w:rsidR="00725F92" w:rsidRPr="00725F92" w:rsidRDefault="00725F92" w:rsidP="00121BE8">
      <w:pPr>
        <w:spacing w:after="0" w:line="240" w:lineRule="auto"/>
        <w:ind w:left="1440"/>
        <w:rPr>
          <w:rFonts w:ascii="Times New Roman" w:hAnsi="Times New Roman" w:cs="Times New Roman"/>
          <w:sz w:val="24"/>
          <w:szCs w:val="24"/>
        </w:rPr>
      </w:pPr>
      <w:r w:rsidRPr="00725F92">
        <w:rPr>
          <w:rFonts w:ascii="Times New Roman" w:hAnsi="Times New Roman" w:cs="Times New Roman"/>
          <w:sz w:val="24"/>
          <w:szCs w:val="24"/>
        </w:rPr>
        <w:t>FIRREA directs FDIC and other Agencies to prescribe appropriate standards for the performance of real estate appraisals in connection with federally related transactions under its jurisdiction.  It mandates that the regulations promulgated by the FDIC require, at a minimum, that appraisals conform to the standards of the Appraisal Standards Board of the Appraisal Foundation, and that they be in writing.  Moreover, the statute specifically authorizes FDIC to require compliance with additional appraisal standards if such additional standards are required in order to properly carry out its statutory mission.  FDIC has included additional standards in the rule to carry out the legislative intent that appraisals in federally related transactions provide accurate information that adequately reflects the market value of the real estate being appraised.  The information collection activities attributable to the rule are a direct consequence of the statutory requirements and the legislative intent.</w:t>
      </w:r>
    </w:p>
    <w:p w:rsidR="00725F92" w:rsidRPr="00725F92" w:rsidRDefault="00725F92" w:rsidP="00725F92">
      <w:pPr>
        <w:spacing w:after="0" w:line="240" w:lineRule="auto"/>
        <w:ind w:left="720"/>
        <w:rPr>
          <w:rFonts w:ascii="Times New Roman" w:hAnsi="Times New Roman" w:cs="Times New Roman"/>
          <w:sz w:val="24"/>
          <w:szCs w:val="24"/>
        </w:rPr>
      </w:pPr>
    </w:p>
    <w:p w:rsidR="00725F92" w:rsidRPr="00725F92" w:rsidRDefault="00725F92" w:rsidP="00725F92">
      <w:pPr>
        <w:pStyle w:val="ListParagraph"/>
        <w:numPr>
          <w:ilvl w:val="0"/>
          <w:numId w:val="2"/>
        </w:numPr>
        <w:spacing w:after="0" w:line="240" w:lineRule="auto"/>
        <w:rPr>
          <w:rFonts w:ascii="Times New Roman" w:hAnsi="Times New Roman" w:cs="Times New Roman"/>
          <w:sz w:val="24"/>
          <w:szCs w:val="24"/>
        </w:rPr>
      </w:pPr>
      <w:r w:rsidRPr="00725F92">
        <w:rPr>
          <w:rFonts w:ascii="Times New Roman" w:hAnsi="Times New Roman" w:cs="Times New Roman"/>
          <w:sz w:val="24"/>
          <w:szCs w:val="24"/>
          <w:u w:val="single"/>
        </w:rPr>
        <w:t>Use of Information Collected</w:t>
      </w:r>
    </w:p>
    <w:p w:rsidR="00725F92" w:rsidRPr="00725F92" w:rsidRDefault="00725F92" w:rsidP="00725F92">
      <w:pPr>
        <w:spacing w:after="0" w:line="240" w:lineRule="auto"/>
        <w:rPr>
          <w:rFonts w:ascii="Times New Roman" w:hAnsi="Times New Roman" w:cs="Times New Roman"/>
          <w:sz w:val="24"/>
          <w:szCs w:val="24"/>
        </w:rPr>
      </w:pPr>
    </w:p>
    <w:p w:rsidR="00725F92" w:rsidRPr="00725F92" w:rsidRDefault="00725F92" w:rsidP="00121BE8">
      <w:pPr>
        <w:spacing w:after="0" w:line="240" w:lineRule="auto"/>
        <w:ind w:left="1440"/>
        <w:rPr>
          <w:rFonts w:ascii="Times New Roman" w:hAnsi="Times New Roman" w:cs="Times New Roman"/>
          <w:sz w:val="24"/>
          <w:szCs w:val="24"/>
        </w:rPr>
      </w:pPr>
      <w:r w:rsidRPr="00725F92">
        <w:rPr>
          <w:rFonts w:ascii="Times New Roman" w:hAnsi="Times New Roman" w:cs="Times New Roman"/>
          <w:sz w:val="24"/>
          <w:szCs w:val="24"/>
        </w:rPr>
        <w:t xml:space="preserve">Each financial institution regulated by FDIC will use the information in connection with determining whether and upon what terms to enter into a federally related transaction, such as making a loan on commercial real estate or purchasing property for its operations. In addition, the FDIC will use this information in its examination of regulated institutions to ensure that extensions of credit made by the examined institution which are collateralized by real estate, and that permissible direct investments in real estate, are undertaken in accordance with safe and sound banking principles.  </w:t>
      </w:r>
    </w:p>
    <w:p w:rsidR="00725F92" w:rsidRPr="00725F92" w:rsidRDefault="00725F92" w:rsidP="00121BE8">
      <w:pPr>
        <w:spacing w:after="0" w:line="240" w:lineRule="auto"/>
        <w:ind w:left="1440"/>
        <w:rPr>
          <w:rFonts w:ascii="Times New Roman" w:hAnsi="Times New Roman" w:cs="Times New Roman"/>
          <w:sz w:val="24"/>
          <w:szCs w:val="24"/>
        </w:rPr>
      </w:pPr>
    </w:p>
    <w:p w:rsidR="00725F92" w:rsidRPr="00725F92" w:rsidRDefault="00725F92" w:rsidP="00121BE8">
      <w:pPr>
        <w:spacing w:after="0" w:line="240" w:lineRule="auto"/>
        <w:ind w:left="1440"/>
        <w:rPr>
          <w:rFonts w:ascii="Times New Roman" w:hAnsi="Times New Roman" w:cs="Times New Roman"/>
          <w:sz w:val="24"/>
          <w:szCs w:val="24"/>
        </w:rPr>
      </w:pPr>
      <w:r w:rsidRPr="00725F92">
        <w:rPr>
          <w:rFonts w:ascii="Times New Roman" w:hAnsi="Times New Roman" w:cs="Times New Roman"/>
          <w:sz w:val="24"/>
          <w:szCs w:val="24"/>
        </w:rPr>
        <w:t xml:space="preserve">The use of this information will help ensure that regulated institutions are not exposed to risk of loss from inadequate appraisals.  A regulated institution’s failure to engage in the information collection activities included in the regulation will, in some cases, (1) result in a violation of the provisions of Title XI, (2) impede the FDIC in carrying out its statutory obligation to ensure that its regulated institutions conduct their activities in accordance with safe and sound banking principles, and (3) increase the risk of loss to </w:t>
      </w:r>
      <w:r w:rsidR="00C331C0">
        <w:rPr>
          <w:rFonts w:ascii="Times New Roman" w:hAnsi="Times New Roman" w:cs="Times New Roman"/>
          <w:sz w:val="24"/>
          <w:szCs w:val="24"/>
        </w:rPr>
        <w:t>the DIF</w:t>
      </w:r>
      <w:r w:rsidRPr="00725F92">
        <w:rPr>
          <w:rFonts w:ascii="Times New Roman" w:hAnsi="Times New Roman" w:cs="Times New Roman"/>
          <w:sz w:val="24"/>
          <w:szCs w:val="24"/>
        </w:rPr>
        <w:t>.</w:t>
      </w:r>
    </w:p>
    <w:p w:rsidR="00725F92" w:rsidRPr="00725F92" w:rsidRDefault="00725F92" w:rsidP="00725F92">
      <w:pPr>
        <w:spacing w:after="0" w:line="240" w:lineRule="auto"/>
        <w:rPr>
          <w:rFonts w:ascii="Times New Roman" w:hAnsi="Times New Roman" w:cs="Times New Roman"/>
          <w:sz w:val="24"/>
          <w:szCs w:val="24"/>
        </w:rPr>
      </w:pPr>
    </w:p>
    <w:p w:rsidR="00725F92" w:rsidRPr="00725F92" w:rsidRDefault="00725F92" w:rsidP="00725F92">
      <w:pPr>
        <w:pStyle w:val="ListParagraph"/>
        <w:numPr>
          <w:ilvl w:val="0"/>
          <w:numId w:val="2"/>
        </w:numPr>
        <w:spacing w:after="0" w:line="240" w:lineRule="auto"/>
        <w:rPr>
          <w:rFonts w:ascii="Times New Roman" w:hAnsi="Times New Roman" w:cs="Times New Roman"/>
          <w:sz w:val="24"/>
          <w:szCs w:val="24"/>
        </w:rPr>
      </w:pPr>
      <w:r w:rsidRPr="00725F92">
        <w:rPr>
          <w:rFonts w:ascii="Times New Roman" w:hAnsi="Times New Roman" w:cs="Times New Roman"/>
          <w:sz w:val="24"/>
          <w:szCs w:val="24"/>
          <w:u w:val="single"/>
        </w:rPr>
        <w:t>Use of Technology to Reduce Burden</w:t>
      </w:r>
    </w:p>
    <w:p w:rsidR="00725F92" w:rsidRPr="00725F92" w:rsidRDefault="00725F92" w:rsidP="00725F92">
      <w:pPr>
        <w:spacing w:after="0" w:line="240" w:lineRule="auto"/>
        <w:ind w:left="720"/>
        <w:rPr>
          <w:rFonts w:ascii="Times New Roman" w:hAnsi="Times New Roman" w:cs="Times New Roman"/>
          <w:sz w:val="24"/>
          <w:szCs w:val="24"/>
        </w:rPr>
      </w:pPr>
    </w:p>
    <w:p w:rsidR="00725F92" w:rsidRPr="00725F92" w:rsidRDefault="00725F92" w:rsidP="00121BE8">
      <w:pPr>
        <w:spacing w:after="0" w:line="240" w:lineRule="auto"/>
        <w:ind w:left="1440"/>
        <w:rPr>
          <w:rFonts w:ascii="Times New Roman" w:hAnsi="Times New Roman" w:cs="Times New Roman"/>
          <w:sz w:val="24"/>
          <w:szCs w:val="24"/>
        </w:rPr>
      </w:pPr>
      <w:r w:rsidRPr="00725F92">
        <w:rPr>
          <w:rFonts w:ascii="Times New Roman" w:hAnsi="Times New Roman" w:cs="Times New Roman"/>
          <w:sz w:val="24"/>
          <w:szCs w:val="24"/>
        </w:rPr>
        <w:t xml:space="preserve">The use of improved information technology is not applicable to this collection of information since it only requires banks to maintain records of appraisals and evaluations that meet specific standards; no information in this collection is forwarded to the FDIC.  The banks are free to utilize any technology they wish in order to lessen the burden of maintaining the appraisal </w:t>
      </w:r>
      <w:r w:rsidR="00E01D9F">
        <w:rPr>
          <w:rFonts w:ascii="Times New Roman" w:hAnsi="Times New Roman" w:cs="Times New Roman"/>
          <w:sz w:val="24"/>
          <w:szCs w:val="24"/>
        </w:rPr>
        <w:t xml:space="preserve">and evaluation </w:t>
      </w:r>
      <w:r w:rsidRPr="00725F92">
        <w:rPr>
          <w:rFonts w:ascii="Times New Roman" w:hAnsi="Times New Roman" w:cs="Times New Roman"/>
          <w:sz w:val="24"/>
          <w:szCs w:val="24"/>
        </w:rPr>
        <w:t>records.</w:t>
      </w:r>
    </w:p>
    <w:p w:rsidR="00725F92" w:rsidRPr="00725F92" w:rsidRDefault="00725F92" w:rsidP="00725F92">
      <w:pPr>
        <w:spacing w:after="0" w:line="240" w:lineRule="auto"/>
        <w:rPr>
          <w:rFonts w:ascii="Times New Roman" w:hAnsi="Times New Roman" w:cs="Times New Roman"/>
          <w:sz w:val="24"/>
          <w:szCs w:val="24"/>
        </w:rPr>
      </w:pPr>
    </w:p>
    <w:p w:rsidR="00725F92" w:rsidRPr="00725F92" w:rsidRDefault="00725F92" w:rsidP="00725F92">
      <w:pPr>
        <w:pStyle w:val="ListParagraph"/>
        <w:numPr>
          <w:ilvl w:val="0"/>
          <w:numId w:val="2"/>
        </w:numPr>
        <w:spacing w:after="0" w:line="240" w:lineRule="auto"/>
        <w:rPr>
          <w:rFonts w:ascii="Times New Roman" w:hAnsi="Times New Roman" w:cs="Times New Roman"/>
          <w:sz w:val="24"/>
          <w:szCs w:val="24"/>
        </w:rPr>
      </w:pPr>
      <w:r w:rsidRPr="00725F92">
        <w:rPr>
          <w:rFonts w:ascii="Times New Roman" w:hAnsi="Times New Roman" w:cs="Times New Roman"/>
          <w:sz w:val="24"/>
          <w:szCs w:val="24"/>
          <w:u w:val="single"/>
        </w:rPr>
        <w:t>Efforts to Identify Duplication</w:t>
      </w:r>
    </w:p>
    <w:p w:rsidR="00725F92" w:rsidRPr="00725F92" w:rsidRDefault="00725F92" w:rsidP="00725F92">
      <w:pPr>
        <w:spacing w:after="0" w:line="240" w:lineRule="auto"/>
        <w:ind w:left="720"/>
        <w:rPr>
          <w:rFonts w:ascii="Times New Roman" w:hAnsi="Times New Roman" w:cs="Times New Roman"/>
          <w:sz w:val="24"/>
          <w:szCs w:val="24"/>
        </w:rPr>
      </w:pPr>
    </w:p>
    <w:p w:rsidR="00725F92" w:rsidRPr="00725F92" w:rsidRDefault="00725F92" w:rsidP="00121BE8">
      <w:pPr>
        <w:spacing w:after="0" w:line="240" w:lineRule="auto"/>
        <w:ind w:left="1440"/>
        <w:rPr>
          <w:rFonts w:ascii="Times New Roman" w:hAnsi="Times New Roman" w:cs="Times New Roman"/>
          <w:sz w:val="24"/>
          <w:szCs w:val="24"/>
        </w:rPr>
      </w:pPr>
      <w:r w:rsidRPr="00725F92">
        <w:rPr>
          <w:rFonts w:ascii="Times New Roman" w:hAnsi="Times New Roman" w:cs="Times New Roman"/>
          <w:sz w:val="24"/>
          <w:szCs w:val="24"/>
        </w:rPr>
        <w:t>There is no regulatory duplication; each appraisal and/or evaluation is unique to the individual property appraised.  No similar information is available to the regulated institution or the FDIC.</w:t>
      </w:r>
    </w:p>
    <w:p w:rsidR="00725F92" w:rsidRPr="00725F92" w:rsidRDefault="00725F92" w:rsidP="00725F92">
      <w:pPr>
        <w:spacing w:after="0" w:line="240" w:lineRule="auto"/>
        <w:ind w:left="720"/>
        <w:rPr>
          <w:rFonts w:ascii="Times New Roman" w:hAnsi="Times New Roman" w:cs="Times New Roman"/>
          <w:sz w:val="24"/>
          <w:szCs w:val="24"/>
        </w:rPr>
      </w:pPr>
    </w:p>
    <w:p w:rsidR="00725F92" w:rsidRPr="00725F92" w:rsidRDefault="00725F92" w:rsidP="00725F92">
      <w:pPr>
        <w:pStyle w:val="ListParagraph"/>
        <w:numPr>
          <w:ilvl w:val="0"/>
          <w:numId w:val="2"/>
        </w:numPr>
        <w:spacing w:after="0" w:line="240" w:lineRule="auto"/>
        <w:rPr>
          <w:rFonts w:ascii="Times New Roman" w:hAnsi="Times New Roman" w:cs="Times New Roman"/>
          <w:sz w:val="24"/>
          <w:szCs w:val="24"/>
        </w:rPr>
      </w:pPr>
      <w:r w:rsidRPr="00725F92">
        <w:rPr>
          <w:rFonts w:ascii="Times New Roman" w:hAnsi="Times New Roman" w:cs="Times New Roman"/>
          <w:sz w:val="24"/>
          <w:szCs w:val="24"/>
          <w:u w:val="single"/>
        </w:rPr>
        <w:t>Minimizing the Burden on Small Banks</w:t>
      </w:r>
    </w:p>
    <w:p w:rsidR="00725F92" w:rsidRPr="00725F92" w:rsidRDefault="00725F92" w:rsidP="00725F92">
      <w:pPr>
        <w:spacing w:after="0" w:line="240" w:lineRule="auto"/>
        <w:ind w:left="720"/>
        <w:rPr>
          <w:rFonts w:ascii="Times New Roman" w:hAnsi="Times New Roman" w:cs="Times New Roman"/>
          <w:sz w:val="24"/>
          <w:szCs w:val="24"/>
        </w:rPr>
      </w:pPr>
    </w:p>
    <w:p w:rsidR="00725F92" w:rsidRPr="00725F92" w:rsidRDefault="00725F92" w:rsidP="00121BE8">
      <w:pPr>
        <w:spacing w:after="0" w:line="240" w:lineRule="auto"/>
        <w:ind w:left="1440"/>
        <w:rPr>
          <w:rFonts w:ascii="Times New Roman" w:hAnsi="Times New Roman" w:cs="Times New Roman"/>
          <w:sz w:val="24"/>
          <w:szCs w:val="24"/>
        </w:rPr>
      </w:pPr>
      <w:r w:rsidRPr="00725F92">
        <w:rPr>
          <w:rFonts w:ascii="Times New Roman" w:hAnsi="Times New Roman" w:cs="Times New Roman"/>
          <w:sz w:val="24"/>
          <w:szCs w:val="24"/>
        </w:rPr>
        <w:t xml:space="preserve">The burden for this collection of information has been reduced to the minimum possible under the governing statute and in keeping with FDIC’s supervisory responsibilities.  Only the information necessary for regulated institutions to make an informed decision and for the FDIC to fulfill its statutory responsibilities for all institutions, regardless of size, is requested.  According to </w:t>
      </w:r>
      <w:r w:rsidRPr="00725F92">
        <w:rPr>
          <w:rFonts w:ascii="Times New Roman" w:hAnsi="Times New Roman" w:cs="Times New Roman"/>
          <w:color w:val="000000"/>
          <w:sz w:val="24"/>
          <w:szCs w:val="24"/>
        </w:rPr>
        <w:t xml:space="preserve">data reported as of </w:t>
      </w:r>
      <w:r w:rsidR="000A7C1B">
        <w:rPr>
          <w:rFonts w:ascii="Times New Roman" w:hAnsi="Times New Roman" w:cs="Times New Roman"/>
          <w:color w:val="000000"/>
          <w:sz w:val="24"/>
          <w:szCs w:val="24"/>
        </w:rPr>
        <w:t>September 30</w:t>
      </w:r>
      <w:r w:rsidRPr="00725F92">
        <w:rPr>
          <w:rFonts w:ascii="Times New Roman" w:hAnsi="Times New Roman" w:cs="Times New Roman"/>
          <w:color w:val="000000"/>
          <w:sz w:val="24"/>
          <w:szCs w:val="24"/>
        </w:rPr>
        <w:t>, 2017 in the Consolidated Reports of Condition and Income</w:t>
      </w:r>
      <w:r w:rsidRPr="00725F92">
        <w:rPr>
          <w:rStyle w:val="FootnoteReference"/>
          <w:rFonts w:ascii="Times New Roman" w:eastAsia="Calibri" w:hAnsi="Times New Roman" w:cs="Times New Roman"/>
          <w:color w:val="000000"/>
          <w:sz w:val="24"/>
          <w:szCs w:val="24"/>
          <w:vertAlign w:val="superscript"/>
        </w:rPr>
        <w:footnoteReference w:id="8"/>
      </w:r>
      <w:r w:rsidRPr="00725F92">
        <w:rPr>
          <w:rFonts w:ascii="Times New Roman" w:hAnsi="Times New Roman" w:cs="Times New Roman"/>
          <w:color w:val="000000"/>
          <w:sz w:val="24"/>
          <w:szCs w:val="24"/>
        </w:rPr>
        <w:t xml:space="preserve"> (Call Report)</w:t>
      </w:r>
      <w:r w:rsidRPr="00725F92">
        <w:rPr>
          <w:rFonts w:ascii="Times New Roman" w:hAnsi="Times New Roman" w:cs="Times New Roman"/>
          <w:sz w:val="24"/>
          <w:szCs w:val="24"/>
        </w:rPr>
        <w:t>, t</w:t>
      </w:r>
      <w:r w:rsidRPr="00725F92">
        <w:rPr>
          <w:rFonts w:ascii="Times New Roman" w:hAnsi="Times New Roman" w:cs="Times New Roman"/>
          <w:color w:val="000000"/>
          <w:sz w:val="24"/>
          <w:szCs w:val="24"/>
        </w:rPr>
        <w:t>he FDIC supervises 3,</w:t>
      </w:r>
      <w:r w:rsidR="000A7C1B">
        <w:rPr>
          <w:rFonts w:ascii="Times New Roman" w:hAnsi="Times New Roman" w:cs="Times New Roman"/>
          <w:color w:val="000000"/>
          <w:sz w:val="24"/>
          <w:szCs w:val="24"/>
        </w:rPr>
        <w:t>675</w:t>
      </w:r>
      <w:r w:rsidRPr="00725F92">
        <w:rPr>
          <w:rFonts w:ascii="Times New Roman" w:hAnsi="Times New Roman" w:cs="Times New Roman"/>
          <w:color w:val="000000"/>
          <w:sz w:val="24"/>
          <w:szCs w:val="24"/>
        </w:rPr>
        <w:t xml:space="preserve"> depository institutions, of which</w:t>
      </w:r>
      <w:r w:rsidR="00CF0C3B">
        <w:rPr>
          <w:rFonts w:ascii="Times New Roman" w:hAnsi="Times New Roman" w:cs="Times New Roman"/>
          <w:color w:val="000000"/>
          <w:sz w:val="24"/>
          <w:szCs w:val="24"/>
        </w:rPr>
        <w:t xml:space="preserve"> </w:t>
      </w:r>
      <w:r w:rsidR="000A7C1B">
        <w:rPr>
          <w:rFonts w:ascii="Times New Roman" w:hAnsi="Times New Roman" w:cs="Times New Roman"/>
          <w:color w:val="000000"/>
          <w:sz w:val="24"/>
          <w:szCs w:val="24"/>
        </w:rPr>
        <w:t>2,950</w:t>
      </w:r>
      <w:r w:rsidRPr="00725F92">
        <w:rPr>
          <w:rFonts w:ascii="Times New Roman" w:hAnsi="Times New Roman" w:cs="Times New Roman"/>
          <w:color w:val="000000"/>
          <w:sz w:val="24"/>
          <w:szCs w:val="24"/>
        </w:rPr>
        <w:t xml:space="preserve"> are defined as small banking entities by the terms of the Regulatory Flexibility Act.</w:t>
      </w:r>
      <w:r w:rsidRPr="00725F92">
        <w:rPr>
          <w:rStyle w:val="FootnoteReference"/>
          <w:rFonts w:ascii="Times New Roman" w:hAnsi="Times New Roman" w:cs="Times New Roman"/>
          <w:color w:val="000000"/>
          <w:sz w:val="24"/>
          <w:szCs w:val="24"/>
          <w:vertAlign w:val="superscript"/>
        </w:rPr>
        <w:footnoteReference w:id="9"/>
      </w:r>
      <w:r w:rsidRPr="00725F92">
        <w:rPr>
          <w:rFonts w:ascii="Times New Roman" w:hAnsi="Times New Roman" w:cs="Times New Roman"/>
          <w:color w:val="000000"/>
          <w:sz w:val="24"/>
          <w:szCs w:val="24"/>
          <w:vertAlign w:val="superscript"/>
        </w:rPr>
        <w:t xml:space="preserve"> </w:t>
      </w:r>
      <w:r w:rsidRPr="00725F92">
        <w:rPr>
          <w:rFonts w:ascii="Times New Roman" w:hAnsi="Times New Roman" w:cs="Times New Roman"/>
          <w:color w:val="000000"/>
          <w:sz w:val="24"/>
          <w:szCs w:val="24"/>
        </w:rPr>
        <w:t xml:space="preserve"> </w:t>
      </w:r>
      <w:r w:rsidR="000A7C1B">
        <w:rPr>
          <w:rFonts w:ascii="Times New Roman" w:hAnsi="Times New Roman" w:cs="Times New Roman"/>
          <w:color w:val="000000"/>
          <w:sz w:val="24"/>
          <w:szCs w:val="24"/>
        </w:rPr>
        <w:t xml:space="preserve">These 2,950 </w:t>
      </w:r>
      <w:r w:rsidRPr="00725F92">
        <w:rPr>
          <w:rFonts w:ascii="Times New Roman" w:hAnsi="Times New Roman" w:cs="Times New Roman"/>
          <w:color w:val="000000"/>
          <w:sz w:val="24"/>
          <w:szCs w:val="24"/>
        </w:rPr>
        <w:t xml:space="preserve">small entities reported holding some volume of real estate related financial transactions that meet the </w:t>
      </w:r>
      <w:r w:rsidR="00D529FF">
        <w:rPr>
          <w:rFonts w:ascii="Times New Roman" w:hAnsi="Times New Roman" w:cs="Times New Roman"/>
          <w:color w:val="000000"/>
          <w:sz w:val="24"/>
          <w:szCs w:val="24"/>
        </w:rPr>
        <w:t>final</w:t>
      </w:r>
      <w:r w:rsidRPr="00725F92">
        <w:rPr>
          <w:rFonts w:ascii="Times New Roman" w:hAnsi="Times New Roman" w:cs="Times New Roman"/>
          <w:color w:val="000000"/>
          <w:sz w:val="24"/>
          <w:szCs w:val="24"/>
        </w:rPr>
        <w:t xml:space="preserve"> rule’s definition of a commercial real estate transaction.</w:t>
      </w:r>
      <w:r w:rsidRPr="00725F92">
        <w:rPr>
          <w:rStyle w:val="FootnoteReference"/>
          <w:rFonts w:ascii="Times New Roman" w:hAnsi="Times New Roman" w:cs="Times New Roman"/>
          <w:color w:val="000000"/>
          <w:sz w:val="24"/>
          <w:szCs w:val="24"/>
          <w:vertAlign w:val="superscript"/>
        </w:rPr>
        <w:footnoteReference w:id="10"/>
      </w:r>
      <w:r w:rsidRPr="00725F92">
        <w:rPr>
          <w:rFonts w:ascii="Times New Roman" w:hAnsi="Times New Roman" w:cs="Times New Roman"/>
          <w:color w:val="000000"/>
          <w:sz w:val="24"/>
          <w:szCs w:val="24"/>
          <w:vertAlign w:val="superscript"/>
        </w:rPr>
        <w:t xml:space="preserve"> </w:t>
      </w:r>
      <w:r w:rsidRPr="00725F92">
        <w:rPr>
          <w:rFonts w:ascii="Times New Roman" w:hAnsi="Times New Roman" w:cs="Times New Roman"/>
          <w:color w:val="000000"/>
          <w:sz w:val="24"/>
          <w:szCs w:val="24"/>
        </w:rPr>
        <w:t xml:space="preserve"> Therefore, </w:t>
      </w:r>
      <w:r w:rsidR="000A7C1B">
        <w:rPr>
          <w:rFonts w:ascii="Times New Roman" w:hAnsi="Times New Roman" w:cs="Times New Roman"/>
          <w:color w:val="000000"/>
          <w:sz w:val="24"/>
          <w:szCs w:val="24"/>
        </w:rPr>
        <w:t>2,950</w:t>
      </w:r>
      <w:r w:rsidRPr="00725F92">
        <w:rPr>
          <w:rFonts w:ascii="Times New Roman" w:hAnsi="Times New Roman" w:cs="Times New Roman"/>
          <w:color w:val="000000"/>
          <w:sz w:val="24"/>
          <w:szCs w:val="24"/>
        </w:rPr>
        <w:t xml:space="preserve"> small entities could be affected by the </w:t>
      </w:r>
      <w:r w:rsidR="000A7C1B">
        <w:rPr>
          <w:rFonts w:ascii="Times New Roman" w:hAnsi="Times New Roman" w:cs="Times New Roman"/>
          <w:color w:val="000000"/>
          <w:sz w:val="24"/>
          <w:szCs w:val="24"/>
        </w:rPr>
        <w:t>final</w:t>
      </w:r>
      <w:r w:rsidRPr="00725F92">
        <w:rPr>
          <w:rFonts w:ascii="Times New Roman" w:hAnsi="Times New Roman" w:cs="Times New Roman"/>
          <w:color w:val="000000"/>
          <w:sz w:val="24"/>
          <w:szCs w:val="24"/>
        </w:rPr>
        <w:t xml:space="preserve"> rule.</w:t>
      </w:r>
    </w:p>
    <w:p w:rsidR="00725F92" w:rsidRPr="00725F92" w:rsidRDefault="00725F92" w:rsidP="00725F92">
      <w:pPr>
        <w:spacing w:after="0" w:line="240" w:lineRule="auto"/>
        <w:ind w:left="720"/>
        <w:rPr>
          <w:rFonts w:ascii="Times New Roman" w:hAnsi="Times New Roman" w:cs="Times New Roman"/>
          <w:sz w:val="24"/>
          <w:szCs w:val="24"/>
        </w:rPr>
      </w:pPr>
    </w:p>
    <w:p w:rsidR="00725F92" w:rsidRPr="00725F92" w:rsidRDefault="00725F92" w:rsidP="00725F92">
      <w:pPr>
        <w:pStyle w:val="ListParagraph"/>
        <w:numPr>
          <w:ilvl w:val="0"/>
          <w:numId w:val="2"/>
        </w:numPr>
        <w:spacing w:after="0" w:line="240" w:lineRule="auto"/>
        <w:rPr>
          <w:rFonts w:ascii="Times New Roman" w:hAnsi="Times New Roman" w:cs="Times New Roman"/>
          <w:sz w:val="24"/>
          <w:szCs w:val="24"/>
        </w:rPr>
      </w:pPr>
      <w:r w:rsidRPr="00725F92">
        <w:rPr>
          <w:rFonts w:ascii="Times New Roman" w:hAnsi="Times New Roman" w:cs="Times New Roman"/>
          <w:sz w:val="24"/>
          <w:szCs w:val="24"/>
          <w:u w:val="single"/>
        </w:rPr>
        <w:t>Consequences of Less Frequent Collection</w:t>
      </w:r>
    </w:p>
    <w:p w:rsidR="00725F92" w:rsidRPr="00725F92" w:rsidRDefault="00725F92" w:rsidP="00725F92">
      <w:pPr>
        <w:spacing w:after="0" w:line="240" w:lineRule="auto"/>
        <w:ind w:left="720"/>
        <w:rPr>
          <w:rFonts w:ascii="Times New Roman" w:hAnsi="Times New Roman" w:cs="Times New Roman"/>
          <w:sz w:val="24"/>
          <w:szCs w:val="24"/>
        </w:rPr>
      </w:pPr>
    </w:p>
    <w:p w:rsidR="00725F92" w:rsidRPr="00725F92" w:rsidRDefault="00725F92" w:rsidP="00121BE8">
      <w:pPr>
        <w:spacing w:after="0" w:line="240" w:lineRule="auto"/>
        <w:ind w:left="1440"/>
        <w:rPr>
          <w:rFonts w:ascii="Times New Roman" w:hAnsi="Times New Roman" w:cs="Times New Roman"/>
          <w:sz w:val="24"/>
          <w:szCs w:val="24"/>
        </w:rPr>
      </w:pPr>
      <w:r w:rsidRPr="00725F92">
        <w:rPr>
          <w:rFonts w:ascii="Times New Roman" w:hAnsi="Times New Roman" w:cs="Times New Roman"/>
          <w:sz w:val="24"/>
          <w:szCs w:val="24"/>
        </w:rPr>
        <w:t>The information is collected only as real estate related situations arise.  Less frequent collection is inconsistent with the underlying statute and would not promote safety and soundness for individual banks or the banking system.</w:t>
      </w:r>
    </w:p>
    <w:p w:rsidR="00725F92" w:rsidRPr="00725F92" w:rsidRDefault="00725F92" w:rsidP="00121BE8">
      <w:pPr>
        <w:spacing w:after="0" w:line="240" w:lineRule="auto"/>
        <w:ind w:left="1440"/>
        <w:rPr>
          <w:rFonts w:ascii="Times New Roman" w:hAnsi="Times New Roman" w:cs="Times New Roman"/>
          <w:sz w:val="24"/>
          <w:szCs w:val="24"/>
        </w:rPr>
      </w:pPr>
    </w:p>
    <w:p w:rsidR="00725F92" w:rsidRPr="00725F92" w:rsidRDefault="00725F92" w:rsidP="00725F92">
      <w:pPr>
        <w:pStyle w:val="ListParagraph"/>
        <w:numPr>
          <w:ilvl w:val="0"/>
          <w:numId w:val="2"/>
        </w:numPr>
        <w:tabs>
          <w:tab w:val="left" w:pos="540"/>
        </w:tabs>
        <w:spacing w:after="0" w:line="240" w:lineRule="auto"/>
        <w:rPr>
          <w:rFonts w:ascii="Times New Roman" w:hAnsi="Times New Roman" w:cs="Times New Roman"/>
          <w:sz w:val="24"/>
          <w:szCs w:val="24"/>
        </w:rPr>
      </w:pPr>
      <w:r w:rsidRPr="00725F92">
        <w:rPr>
          <w:rFonts w:ascii="Times New Roman" w:hAnsi="Times New Roman" w:cs="Times New Roman"/>
          <w:sz w:val="24"/>
          <w:szCs w:val="24"/>
          <w:u w:val="single"/>
        </w:rPr>
        <w:t>Special Circumstances</w:t>
      </w:r>
    </w:p>
    <w:p w:rsidR="00725F92" w:rsidRPr="00725F92" w:rsidRDefault="00725F92" w:rsidP="00725F92">
      <w:pPr>
        <w:spacing w:after="0" w:line="240" w:lineRule="auto"/>
        <w:ind w:left="720"/>
        <w:rPr>
          <w:rFonts w:ascii="Times New Roman" w:hAnsi="Times New Roman" w:cs="Times New Roman"/>
          <w:sz w:val="24"/>
          <w:szCs w:val="24"/>
        </w:rPr>
      </w:pPr>
    </w:p>
    <w:p w:rsidR="00725F92" w:rsidRPr="00725F92" w:rsidRDefault="002850CA" w:rsidP="00121BE8">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None</w:t>
      </w:r>
      <w:r w:rsidR="00725F92" w:rsidRPr="00725F92">
        <w:rPr>
          <w:rFonts w:ascii="Times New Roman" w:hAnsi="Times New Roman" w:cs="Times New Roman"/>
          <w:sz w:val="24"/>
          <w:szCs w:val="24"/>
        </w:rPr>
        <w:t xml:space="preserve">. </w:t>
      </w:r>
    </w:p>
    <w:p w:rsidR="00725F92" w:rsidRPr="00725F92" w:rsidRDefault="00725F92" w:rsidP="00725F92">
      <w:pPr>
        <w:spacing w:after="0" w:line="240" w:lineRule="auto"/>
        <w:ind w:left="720"/>
        <w:rPr>
          <w:rFonts w:ascii="Times New Roman" w:hAnsi="Times New Roman" w:cs="Times New Roman"/>
          <w:sz w:val="24"/>
          <w:szCs w:val="24"/>
        </w:rPr>
      </w:pPr>
    </w:p>
    <w:p w:rsidR="00725F92" w:rsidRPr="00725F92" w:rsidRDefault="00725F92" w:rsidP="00725F92">
      <w:pPr>
        <w:pStyle w:val="ListParagraph"/>
        <w:numPr>
          <w:ilvl w:val="0"/>
          <w:numId w:val="2"/>
        </w:numPr>
        <w:spacing w:after="0" w:line="240" w:lineRule="auto"/>
        <w:rPr>
          <w:rFonts w:ascii="Times New Roman" w:hAnsi="Times New Roman" w:cs="Times New Roman"/>
          <w:sz w:val="24"/>
          <w:szCs w:val="24"/>
        </w:rPr>
      </w:pPr>
      <w:r w:rsidRPr="00725F92">
        <w:rPr>
          <w:rFonts w:ascii="Times New Roman" w:hAnsi="Times New Roman" w:cs="Times New Roman"/>
          <w:sz w:val="24"/>
          <w:szCs w:val="24"/>
          <w:u w:val="single"/>
        </w:rPr>
        <w:t>Consultation with Persons Outside the FDIC</w:t>
      </w:r>
    </w:p>
    <w:p w:rsidR="00725F92" w:rsidRPr="00725F92" w:rsidRDefault="00725F92" w:rsidP="00725F92">
      <w:pPr>
        <w:spacing w:after="0" w:line="240" w:lineRule="auto"/>
        <w:ind w:left="720"/>
        <w:rPr>
          <w:rFonts w:ascii="Times New Roman" w:hAnsi="Times New Roman" w:cs="Times New Roman"/>
          <w:sz w:val="24"/>
          <w:szCs w:val="24"/>
        </w:rPr>
      </w:pPr>
    </w:p>
    <w:p w:rsidR="00725F92" w:rsidRDefault="001C693B" w:rsidP="00121BE8">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The</w:t>
      </w:r>
      <w:r w:rsidR="002A442A">
        <w:rPr>
          <w:rFonts w:ascii="Times New Roman" w:hAnsi="Times New Roman" w:cs="Times New Roman"/>
          <w:sz w:val="24"/>
          <w:szCs w:val="24"/>
        </w:rPr>
        <w:t xml:space="preserve"> NPRM </w:t>
      </w:r>
      <w:r>
        <w:rPr>
          <w:rFonts w:ascii="Times New Roman" w:hAnsi="Times New Roman" w:cs="Times New Roman"/>
          <w:sz w:val="24"/>
          <w:szCs w:val="24"/>
        </w:rPr>
        <w:t xml:space="preserve">was published in the </w:t>
      </w:r>
      <w:r>
        <w:rPr>
          <w:rFonts w:ascii="Times New Roman" w:hAnsi="Times New Roman" w:cs="Times New Roman"/>
          <w:i/>
          <w:sz w:val="24"/>
          <w:szCs w:val="24"/>
        </w:rPr>
        <w:t xml:space="preserve">Federal Register </w:t>
      </w:r>
      <w:r>
        <w:rPr>
          <w:rFonts w:ascii="Times New Roman" w:hAnsi="Times New Roman" w:cs="Times New Roman"/>
          <w:sz w:val="24"/>
          <w:szCs w:val="24"/>
        </w:rPr>
        <w:t xml:space="preserve">(82 FR </w:t>
      </w:r>
      <w:r w:rsidR="00AE0544">
        <w:rPr>
          <w:rFonts w:ascii="Times New Roman" w:hAnsi="Times New Roman" w:cs="Times New Roman"/>
          <w:sz w:val="24"/>
          <w:szCs w:val="24"/>
        </w:rPr>
        <w:t>35478</w:t>
      </w:r>
      <w:r>
        <w:rPr>
          <w:rFonts w:ascii="Times New Roman" w:hAnsi="Times New Roman" w:cs="Times New Roman"/>
          <w:sz w:val="24"/>
          <w:szCs w:val="24"/>
        </w:rPr>
        <w:t>, Jul</w:t>
      </w:r>
      <w:r w:rsidR="002A442A">
        <w:rPr>
          <w:rFonts w:ascii="Times New Roman" w:hAnsi="Times New Roman" w:cs="Times New Roman"/>
          <w:sz w:val="24"/>
          <w:szCs w:val="24"/>
        </w:rPr>
        <w:t>y 31, 2017</w:t>
      </w:r>
      <w:r>
        <w:rPr>
          <w:rFonts w:ascii="Times New Roman" w:hAnsi="Times New Roman" w:cs="Times New Roman"/>
          <w:sz w:val="24"/>
          <w:szCs w:val="24"/>
        </w:rPr>
        <w:t xml:space="preserve">).  </w:t>
      </w:r>
      <w:r w:rsidR="00725F92" w:rsidRPr="00725F92">
        <w:rPr>
          <w:rFonts w:ascii="Times New Roman" w:hAnsi="Times New Roman" w:cs="Times New Roman"/>
          <w:sz w:val="24"/>
          <w:szCs w:val="24"/>
        </w:rPr>
        <w:t xml:space="preserve"> </w:t>
      </w:r>
      <w:r w:rsidR="002A442A">
        <w:rPr>
          <w:rFonts w:ascii="Times New Roman" w:hAnsi="Times New Roman" w:cs="Times New Roman"/>
          <w:sz w:val="24"/>
          <w:szCs w:val="24"/>
        </w:rPr>
        <w:t xml:space="preserve">The comment period on the NPRM in connection with the </w:t>
      </w:r>
      <w:r>
        <w:rPr>
          <w:rFonts w:ascii="Times New Roman" w:hAnsi="Times New Roman" w:cs="Times New Roman"/>
          <w:sz w:val="24"/>
          <w:szCs w:val="24"/>
        </w:rPr>
        <w:t>PRA</w:t>
      </w:r>
      <w:r w:rsidR="002A442A">
        <w:rPr>
          <w:rFonts w:ascii="Times New Roman" w:hAnsi="Times New Roman" w:cs="Times New Roman"/>
          <w:sz w:val="24"/>
          <w:szCs w:val="24"/>
        </w:rPr>
        <w:t xml:space="preserve"> clos</w:t>
      </w:r>
      <w:r w:rsidR="000A7C1B">
        <w:rPr>
          <w:rFonts w:ascii="Times New Roman" w:hAnsi="Times New Roman" w:cs="Times New Roman"/>
          <w:sz w:val="24"/>
          <w:szCs w:val="24"/>
        </w:rPr>
        <w:t>ed</w:t>
      </w:r>
      <w:r w:rsidR="002A442A">
        <w:rPr>
          <w:rFonts w:ascii="Times New Roman" w:hAnsi="Times New Roman" w:cs="Times New Roman"/>
          <w:sz w:val="24"/>
          <w:szCs w:val="24"/>
        </w:rPr>
        <w:t xml:space="preserve"> on September </w:t>
      </w:r>
      <w:r w:rsidR="00AE0544">
        <w:rPr>
          <w:rFonts w:ascii="Times New Roman" w:hAnsi="Times New Roman" w:cs="Times New Roman"/>
          <w:sz w:val="24"/>
          <w:szCs w:val="24"/>
        </w:rPr>
        <w:t>29</w:t>
      </w:r>
      <w:r w:rsidR="002A442A">
        <w:rPr>
          <w:rFonts w:ascii="Times New Roman" w:hAnsi="Times New Roman" w:cs="Times New Roman"/>
          <w:sz w:val="24"/>
          <w:szCs w:val="24"/>
        </w:rPr>
        <w:t xml:space="preserve">, 2017.  </w:t>
      </w:r>
      <w:r w:rsidR="000A7C1B">
        <w:rPr>
          <w:rFonts w:ascii="Times New Roman" w:hAnsi="Times New Roman" w:cs="Times New Roman"/>
          <w:sz w:val="24"/>
          <w:szCs w:val="24"/>
        </w:rPr>
        <w:t>There were no comments which addressed the PRA.</w:t>
      </w:r>
    </w:p>
    <w:p w:rsidR="001C693B" w:rsidRPr="00725F92" w:rsidRDefault="001C693B" w:rsidP="00725F92">
      <w:pPr>
        <w:spacing w:after="0" w:line="240" w:lineRule="auto"/>
        <w:ind w:left="720"/>
        <w:rPr>
          <w:rFonts w:ascii="Times New Roman" w:hAnsi="Times New Roman" w:cs="Times New Roman"/>
          <w:sz w:val="24"/>
          <w:szCs w:val="24"/>
        </w:rPr>
      </w:pPr>
    </w:p>
    <w:p w:rsidR="00725F92" w:rsidRPr="00725F92" w:rsidRDefault="00725F92" w:rsidP="00725F92">
      <w:pPr>
        <w:pStyle w:val="ListParagraph"/>
        <w:numPr>
          <w:ilvl w:val="0"/>
          <w:numId w:val="2"/>
        </w:numPr>
        <w:spacing w:after="0" w:line="240" w:lineRule="auto"/>
        <w:rPr>
          <w:rFonts w:ascii="Times New Roman" w:hAnsi="Times New Roman" w:cs="Times New Roman"/>
          <w:sz w:val="24"/>
          <w:szCs w:val="24"/>
        </w:rPr>
      </w:pPr>
      <w:r w:rsidRPr="00725F92">
        <w:rPr>
          <w:rFonts w:ascii="Times New Roman" w:hAnsi="Times New Roman" w:cs="Times New Roman"/>
          <w:sz w:val="24"/>
          <w:szCs w:val="24"/>
          <w:u w:val="single"/>
        </w:rPr>
        <w:t>Payment or Gift to Respondents</w:t>
      </w:r>
    </w:p>
    <w:p w:rsidR="00725F92" w:rsidRPr="00725F92" w:rsidRDefault="00725F92" w:rsidP="00725F92">
      <w:pPr>
        <w:spacing w:after="0" w:line="240" w:lineRule="auto"/>
        <w:ind w:left="720"/>
        <w:rPr>
          <w:rFonts w:ascii="Times New Roman" w:hAnsi="Times New Roman" w:cs="Times New Roman"/>
          <w:sz w:val="24"/>
          <w:szCs w:val="24"/>
        </w:rPr>
      </w:pPr>
    </w:p>
    <w:p w:rsidR="00725F92" w:rsidRPr="00725F92" w:rsidRDefault="002850CA" w:rsidP="00121BE8">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None</w:t>
      </w:r>
      <w:r w:rsidR="00725F92" w:rsidRPr="00725F92">
        <w:rPr>
          <w:rFonts w:ascii="Times New Roman" w:hAnsi="Times New Roman" w:cs="Times New Roman"/>
          <w:sz w:val="24"/>
          <w:szCs w:val="24"/>
        </w:rPr>
        <w:t>.</w:t>
      </w:r>
    </w:p>
    <w:p w:rsidR="00725F92" w:rsidRPr="00725F92" w:rsidRDefault="00725F92" w:rsidP="00725F92">
      <w:pPr>
        <w:spacing w:after="0" w:line="240" w:lineRule="auto"/>
        <w:ind w:left="720"/>
        <w:rPr>
          <w:rFonts w:ascii="Times New Roman" w:hAnsi="Times New Roman" w:cs="Times New Roman"/>
          <w:sz w:val="24"/>
          <w:szCs w:val="24"/>
        </w:rPr>
      </w:pPr>
    </w:p>
    <w:p w:rsidR="00725F92" w:rsidRPr="00725F92" w:rsidRDefault="00725F92" w:rsidP="00725F92">
      <w:pPr>
        <w:pStyle w:val="ListParagraph"/>
        <w:numPr>
          <w:ilvl w:val="0"/>
          <w:numId w:val="2"/>
        </w:numPr>
        <w:spacing w:after="0" w:line="240" w:lineRule="auto"/>
        <w:rPr>
          <w:rFonts w:ascii="Times New Roman" w:hAnsi="Times New Roman" w:cs="Times New Roman"/>
          <w:sz w:val="24"/>
          <w:szCs w:val="24"/>
        </w:rPr>
      </w:pPr>
      <w:r w:rsidRPr="00725F92">
        <w:rPr>
          <w:rFonts w:ascii="Times New Roman" w:hAnsi="Times New Roman" w:cs="Times New Roman"/>
          <w:sz w:val="24"/>
          <w:szCs w:val="24"/>
          <w:u w:val="single"/>
        </w:rPr>
        <w:t>Confidentiality</w:t>
      </w:r>
    </w:p>
    <w:p w:rsidR="00725F92" w:rsidRPr="00725F92" w:rsidRDefault="00725F92" w:rsidP="00725F92">
      <w:pPr>
        <w:spacing w:after="0" w:line="240" w:lineRule="auto"/>
        <w:ind w:left="720"/>
        <w:rPr>
          <w:rFonts w:ascii="Times New Roman" w:hAnsi="Times New Roman" w:cs="Times New Roman"/>
          <w:sz w:val="24"/>
          <w:szCs w:val="24"/>
        </w:rPr>
      </w:pPr>
    </w:p>
    <w:p w:rsidR="00725F92" w:rsidRDefault="00725F92" w:rsidP="00121BE8">
      <w:pPr>
        <w:spacing w:after="0" w:line="240" w:lineRule="auto"/>
        <w:ind w:left="1440"/>
        <w:rPr>
          <w:rFonts w:ascii="Times New Roman" w:hAnsi="Times New Roman" w:cs="Times New Roman"/>
          <w:sz w:val="24"/>
          <w:szCs w:val="24"/>
        </w:rPr>
      </w:pPr>
      <w:r w:rsidRPr="00725F92">
        <w:rPr>
          <w:rFonts w:ascii="Times New Roman" w:hAnsi="Times New Roman" w:cs="Times New Roman"/>
          <w:sz w:val="24"/>
          <w:szCs w:val="24"/>
        </w:rPr>
        <w:t xml:space="preserve">The appraisal reports </w:t>
      </w:r>
      <w:r w:rsidR="001C693B">
        <w:rPr>
          <w:rFonts w:ascii="Times New Roman" w:hAnsi="Times New Roman" w:cs="Times New Roman"/>
          <w:sz w:val="24"/>
          <w:szCs w:val="24"/>
        </w:rPr>
        <w:t xml:space="preserve">and written evaluations </w:t>
      </w:r>
      <w:r w:rsidRPr="00725F92">
        <w:rPr>
          <w:rFonts w:ascii="Times New Roman" w:hAnsi="Times New Roman" w:cs="Times New Roman"/>
          <w:sz w:val="24"/>
          <w:szCs w:val="24"/>
        </w:rPr>
        <w:t>will become part of the bank’s loan file and as such no information is submitted directly to the FDIC.  The FDIC would have access to the information during an examination or on site investigation that would be accorded the same degree of confidentiality provided to all other bank records.</w:t>
      </w:r>
    </w:p>
    <w:p w:rsidR="00725F92" w:rsidRDefault="00725F92" w:rsidP="00725F92">
      <w:pPr>
        <w:spacing w:after="0" w:line="240" w:lineRule="auto"/>
        <w:ind w:left="720"/>
        <w:rPr>
          <w:rFonts w:ascii="Times New Roman" w:hAnsi="Times New Roman" w:cs="Times New Roman"/>
          <w:sz w:val="24"/>
          <w:szCs w:val="24"/>
        </w:rPr>
      </w:pPr>
    </w:p>
    <w:p w:rsidR="00725F92" w:rsidRPr="00725F92" w:rsidRDefault="00725F92" w:rsidP="00725F92">
      <w:pPr>
        <w:pStyle w:val="ListParagraph"/>
        <w:numPr>
          <w:ilvl w:val="0"/>
          <w:numId w:val="2"/>
        </w:numPr>
        <w:spacing w:after="0" w:line="240" w:lineRule="auto"/>
        <w:rPr>
          <w:rFonts w:ascii="Times New Roman" w:hAnsi="Times New Roman" w:cs="Times New Roman"/>
          <w:sz w:val="24"/>
          <w:szCs w:val="24"/>
        </w:rPr>
      </w:pPr>
      <w:r w:rsidRPr="00725F92">
        <w:rPr>
          <w:rFonts w:ascii="Times New Roman" w:hAnsi="Times New Roman" w:cs="Times New Roman"/>
          <w:sz w:val="24"/>
          <w:szCs w:val="24"/>
          <w:u w:val="single"/>
        </w:rPr>
        <w:t>Information of a Sensitive Nature</w:t>
      </w:r>
    </w:p>
    <w:p w:rsidR="00725F92" w:rsidRPr="00725F92" w:rsidRDefault="00725F92" w:rsidP="00725F92">
      <w:pPr>
        <w:spacing w:after="0" w:line="240" w:lineRule="auto"/>
        <w:ind w:left="720"/>
        <w:rPr>
          <w:rFonts w:ascii="Times New Roman" w:hAnsi="Times New Roman" w:cs="Times New Roman"/>
          <w:sz w:val="24"/>
          <w:szCs w:val="24"/>
        </w:rPr>
      </w:pPr>
    </w:p>
    <w:p w:rsidR="00AC7697" w:rsidRPr="00121BE8" w:rsidRDefault="00121BE8" w:rsidP="00121BE8">
      <w:pPr>
        <w:spacing w:after="0" w:line="240" w:lineRule="auto"/>
        <w:ind w:left="720" w:firstLine="720"/>
        <w:rPr>
          <w:rFonts w:ascii="Times New Roman" w:hAnsi="Times New Roman" w:cs="Times New Roman"/>
          <w:sz w:val="24"/>
          <w:szCs w:val="24"/>
        </w:rPr>
      </w:pPr>
      <w:r w:rsidRPr="00121BE8">
        <w:rPr>
          <w:rFonts w:ascii="Times New Roman" w:hAnsi="Times New Roman"/>
          <w:spacing w:val="-3"/>
          <w:sz w:val="24"/>
          <w:szCs w:val="24"/>
        </w:rPr>
        <w:t>This collection contains no sensitive information.</w:t>
      </w:r>
    </w:p>
    <w:p w:rsidR="00AC7697" w:rsidRDefault="00AC7697" w:rsidP="00725F92">
      <w:pPr>
        <w:spacing w:after="0" w:line="240" w:lineRule="auto"/>
        <w:ind w:left="720"/>
        <w:rPr>
          <w:rFonts w:ascii="Times New Roman" w:hAnsi="Times New Roman" w:cs="Times New Roman"/>
          <w:sz w:val="24"/>
          <w:szCs w:val="24"/>
        </w:rPr>
      </w:pPr>
    </w:p>
    <w:p w:rsidR="00725F92" w:rsidRPr="00AC7697" w:rsidRDefault="00725F92" w:rsidP="00725F92">
      <w:pPr>
        <w:pStyle w:val="ListParagraph"/>
        <w:numPr>
          <w:ilvl w:val="0"/>
          <w:numId w:val="2"/>
        </w:numPr>
        <w:spacing w:after="0" w:line="240" w:lineRule="auto"/>
        <w:rPr>
          <w:rFonts w:ascii="Times New Roman" w:hAnsi="Times New Roman" w:cs="Times New Roman"/>
          <w:sz w:val="24"/>
          <w:szCs w:val="24"/>
        </w:rPr>
      </w:pPr>
      <w:r w:rsidRPr="00725F92">
        <w:rPr>
          <w:rFonts w:ascii="Times New Roman" w:hAnsi="Times New Roman" w:cs="Times New Roman"/>
          <w:sz w:val="24"/>
          <w:szCs w:val="24"/>
          <w:u w:val="single"/>
        </w:rPr>
        <w:t>Estimate of Hour Burden and Annual Costs</w:t>
      </w:r>
    </w:p>
    <w:p w:rsidR="00AC7697" w:rsidRDefault="00AC7697" w:rsidP="00AC7697">
      <w:pPr>
        <w:spacing w:after="0" w:line="240" w:lineRule="auto"/>
        <w:rPr>
          <w:rFonts w:ascii="Times New Roman" w:hAnsi="Times New Roman" w:cs="Times New Roman"/>
          <w:sz w:val="24"/>
          <w:szCs w:val="24"/>
        </w:rPr>
      </w:pPr>
    </w:p>
    <w:p w:rsidR="00AC7697" w:rsidRDefault="00AC7697" w:rsidP="00121BE8">
      <w:pPr>
        <w:spacing w:after="0"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It is estimated that there are </w:t>
      </w:r>
      <w:r w:rsidR="000A7C1B">
        <w:rPr>
          <w:rFonts w:ascii="Times New Roman" w:hAnsi="Times New Roman" w:cs="Times New Roman"/>
          <w:sz w:val="24"/>
          <w:szCs w:val="24"/>
        </w:rPr>
        <w:t>3,675</w:t>
      </w:r>
      <w:r>
        <w:rPr>
          <w:rFonts w:ascii="Times New Roman" w:hAnsi="Times New Roman" w:cs="Times New Roman"/>
          <w:sz w:val="24"/>
          <w:szCs w:val="24"/>
        </w:rPr>
        <w:t xml:space="preserve"> institutions affected by this rule.  On average, e</w:t>
      </w:r>
      <w:r w:rsidR="000A7C1B">
        <w:rPr>
          <w:rFonts w:ascii="Times New Roman" w:hAnsi="Times New Roman" w:cs="Times New Roman"/>
          <w:sz w:val="24"/>
          <w:szCs w:val="24"/>
        </w:rPr>
        <w:t>ach institution will process 143</w:t>
      </w:r>
      <w:r>
        <w:rPr>
          <w:rFonts w:ascii="Times New Roman" w:hAnsi="Times New Roman" w:cs="Times New Roman"/>
          <w:sz w:val="24"/>
          <w:szCs w:val="24"/>
        </w:rPr>
        <w:t xml:space="preserve"> loans per year.  It will take a loan officer on average </w:t>
      </w:r>
      <w:r w:rsidRPr="00AC7697">
        <w:rPr>
          <w:rFonts w:ascii="Times New Roman" w:hAnsi="Times New Roman" w:cs="Times New Roman"/>
          <w:sz w:val="24"/>
          <w:szCs w:val="24"/>
        </w:rPr>
        <w:t xml:space="preserve">5 minutes </w:t>
      </w:r>
      <w:r>
        <w:rPr>
          <w:rFonts w:ascii="Times New Roman" w:hAnsi="Times New Roman" w:cs="Times New Roman"/>
          <w:sz w:val="24"/>
          <w:szCs w:val="24"/>
        </w:rPr>
        <w:t xml:space="preserve">to </w:t>
      </w:r>
      <w:r w:rsidR="004775DF">
        <w:rPr>
          <w:rFonts w:ascii="Times New Roman" w:hAnsi="Times New Roman" w:cs="Times New Roman"/>
          <w:sz w:val="24"/>
          <w:szCs w:val="24"/>
        </w:rPr>
        <w:t>document</w:t>
      </w:r>
      <w:r>
        <w:rPr>
          <w:rFonts w:ascii="Times New Roman" w:hAnsi="Times New Roman" w:cs="Times New Roman"/>
          <w:sz w:val="24"/>
          <w:szCs w:val="24"/>
        </w:rPr>
        <w:t xml:space="preserve"> the file for an appraisal or evaluation associated with each loan</w:t>
      </w:r>
      <w:r w:rsidRPr="00AC7697">
        <w:rPr>
          <w:rFonts w:ascii="Times New Roman" w:hAnsi="Times New Roman" w:cs="Times New Roman"/>
          <w:sz w:val="24"/>
          <w:szCs w:val="24"/>
        </w:rPr>
        <w:t xml:space="preserve">.   </w:t>
      </w:r>
    </w:p>
    <w:p w:rsidR="00AC7697" w:rsidRDefault="00AC7697" w:rsidP="00AC7697">
      <w:pPr>
        <w:spacing w:after="0" w:line="240" w:lineRule="auto"/>
        <w:ind w:left="720"/>
        <w:contextualSpacing/>
        <w:rPr>
          <w:rFonts w:ascii="Times New Roman" w:hAnsi="Times New Roman" w:cs="Times New Roman"/>
          <w:sz w:val="24"/>
          <w:szCs w:val="24"/>
        </w:rPr>
      </w:pPr>
    </w:p>
    <w:p w:rsidR="00AC7697" w:rsidRDefault="00AC7697" w:rsidP="00AC7697">
      <w:pPr>
        <w:tabs>
          <w:tab w:val="left" w:pos="-720"/>
          <w:tab w:val="left" w:pos="0"/>
          <w:tab w:val="left" w:pos="720"/>
          <w:tab w:val="left" w:pos="1440"/>
        </w:tabs>
        <w:suppressAutoHyphens/>
        <w:rPr>
          <w:rFonts w:ascii="Times New Roman" w:hAnsi="Times New Roman"/>
          <w:sz w:val="24"/>
        </w:rPr>
      </w:pPr>
      <w:r>
        <w:rPr>
          <w:rFonts w:ascii="Times New Roman" w:hAnsi="Times New Roman"/>
          <w:sz w:val="24"/>
        </w:rPr>
        <w:tab/>
      </w:r>
      <w:r>
        <w:rPr>
          <w:rFonts w:ascii="Times New Roman" w:hAnsi="Times New Roman"/>
          <w:sz w:val="24"/>
        </w:rPr>
        <w:tab/>
        <w:t>Number of Respondents:  3,</w:t>
      </w:r>
      <w:r w:rsidR="000A7C1B">
        <w:rPr>
          <w:rFonts w:ascii="Times New Roman" w:hAnsi="Times New Roman"/>
          <w:sz w:val="24"/>
        </w:rPr>
        <w:t>675</w:t>
      </w:r>
    </w:p>
    <w:p w:rsidR="00AC7697" w:rsidRDefault="00AC7697" w:rsidP="00AC7697">
      <w:pPr>
        <w:tabs>
          <w:tab w:val="left" w:pos="-720"/>
          <w:tab w:val="left" w:pos="0"/>
          <w:tab w:val="left" w:pos="720"/>
          <w:tab w:val="left" w:pos="1440"/>
        </w:tabs>
        <w:suppressAutoHyphens/>
        <w:rPr>
          <w:rFonts w:ascii="Times New Roman" w:hAnsi="Times New Roman"/>
          <w:sz w:val="24"/>
        </w:rPr>
      </w:pPr>
      <w:r>
        <w:rPr>
          <w:rFonts w:ascii="Times New Roman" w:hAnsi="Times New Roman"/>
          <w:sz w:val="24"/>
        </w:rPr>
        <w:tab/>
      </w:r>
      <w:r>
        <w:rPr>
          <w:rFonts w:ascii="Times New Roman" w:hAnsi="Times New Roman"/>
          <w:sz w:val="24"/>
        </w:rPr>
        <w:tab/>
        <w:t>Number o</w:t>
      </w:r>
      <w:r w:rsidR="000A7C1B">
        <w:rPr>
          <w:rFonts w:ascii="Times New Roman" w:hAnsi="Times New Roman"/>
          <w:sz w:val="24"/>
        </w:rPr>
        <w:t>f Responses per Respondent:  143</w:t>
      </w:r>
    </w:p>
    <w:p w:rsidR="00AC7697" w:rsidRDefault="00AC7697" w:rsidP="00AC7697">
      <w:pPr>
        <w:tabs>
          <w:tab w:val="left" w:pos="-720"/>
          <w:tab w:val="left" w:pos="0"/>
          <w:tab w:val="left" w:pos="720"/>
          <w:tab w:val="left" w:pos="1440"/>
        </w:tabs>
        <w:suppressAutoHyphens/>
        <w:rPr>
          <w:rFonts w:ascii="Times New Roman" w:hAnsi="Times New Roman"/>
          <w:sz w:val="24"/>
        </w:rPr>
      </w:pPr>
      <w:r>
        <w:rPr>
          <w:rFonts w:ascii="Times New Roman" w:hAnsi="Times New Roman"/>
          <w:sz w:val="24"/>
        </w:rPr>
        <w:tab/>
      </w:r>
      <w:r>
        <w:rPr>
          <w:rFonts w:ascii="Times New Roman" w:hAnsi="Times New Roman"/>
          <w:sz w:val="24"/>
        </w:rPr>
        <w:tab/>
        <w:t>Hours per Response:  5 minutes or .0833 hours</w:t>
      </w:r>
    </w:p>
    <w:p w:rsidR="00AC7697" w:rsidRDefault="00AC7697" w:rsidP="00AC7697">
      <w:pPr>
        <w:tabs>
          <w:tab w:val="left" w:pos="-720"/>
          <w:tab w:val="left" w:pos="0"/>
          <w:tab w:val="left" w:pos="720"/>
          <w:tab w:val="left" w:pos="1440"/>
        </w:tabs>
        <w:suppressAutoHyphens/>
        <w:rPr>
          <w:rFonts w:ascii="Times New Roman" w:hAnsi="Times New Roman"/>
          <w:sz w:val="24"/>
        </w:rPr>
      </w:pPr>
      <w:r>
        <w:rPr>
          <w:rFonts w:ascii="Times New Roman" w:hAnsi="Times New Roman"/>
          <w:sz w:val="24"/>
        </w:rPr>
        <w:tab/>
      </w:r>
      <w:r>
        <w:rPr>
          <w:rFonts w:ascii="Times New Roman" w:hAnsi="Times New Roman"/>
          <w:sz w:val="24"/>
        </w:rPr>
        <w:tab/>
        <w:t>Total Burden Hours:  43,</w:t>
      </w:r>
      <w:r w:rsidR="000A7C1B">
        <w:rPr>
          <w:rFonts w:ascii="Times New Roman" w:hAnsi="Times New Roman"/>
          <w:sz w:val="24"/>
        </w:rPr>
        <w:t>794</w:t>
      </w:r>
      <w:r>
        <w:rPr>
          <w:rFonts w:ascii="Times New Roman" w:hAnsi="Times New Roman"/>
          <w:sz w:val="24"/>
        </w:rPr>
        <w:t xml:space="preserve"> hours</w:t>
      </w:r>
    </w:p>
    <w:p w:rsidR="00AC7697" w:rsidRPr="00755715" w:rsidRDefault="00AC7697" w:rsidP="00AC7697">
      <w:pPr>
        <w:ind w:left="720" w:firstLine="720"/>
        <w:rPr>
          <w:rFonts w:ascii="Times New Roman" w:hAnsi="Times New Roman"/>
          <w:sz w:val="24"/>
          <w:szCs w:val="24"/>
        </w:rPr>
      </w:pPr>
      <w:r w:rsidRPr="00755715">
        <w:rPr>
          <w:rFonts w:ascii="Times New Roman" w:hAnsi="Times New Roman"/>
          <w:sz w:val="24"/>
          <w:szCs w:val="24"/>
        </w:rPr>
        <w:t xml:space="preserve">Cost: </w:t>
      </w:r>
      <w:r>
        <w:rPr>
          <w:rFonts w:ascii="Times New Roman" w:hAnsi="Times New Roman"/>
          <w:sz w:val="24"/>
          <w:szCs w:val="24"/>
        </w:rPr>
        <w:t>43,</w:t>
      </w:r>
      <w:r w:rsidR="000A7C1B">
        <w:rPr>
          <w:rFonts w:ascii="Times New Roman" w:hAnsi="Times New Roman"/>
          <w:sz w:val="24"/>
          <w:szCs w:val="24"/>
        </w:rPr>
        <w:t>794</w:t>
      </w:r>
      <w:r w:rsidRPr="00755715">
        <w:rPr>
          <w:rFonts w:ascii="Times New Roman" w:hAnsi="Times New Roman"/>
          <w:sz w:val="24"/>
          <w:szCs w:val="24"/>
        </w:rPr>
        <w:t xml:space="preserve"> hours X $</w:t>
      </w:r>
      <w:r w:rsidR="000A7C1B">
        <w:rPr>
          <w:rFonts w:ascii="Times New Roman" w:hAnsi="Times New Roman"/>
          <w:sz w:val="24"/>
          <w:szCs w:val="24"/>
        </w:rPr>
        <w:t>67.29</w:t>
      </w:r>
      <w:r w:rsidRPr="00755715">
        <w:rPr>
          <w:rFonts w:ascii="Times New Roman" w:hAnsi="Times New Roman"/>
          <w:sz w:val="24"/>
          <w:szCs w:val="24"/>
        </w:rPr>
        <w:t xml:space="preserve"> per hour</w:t>
      </w:r>
      <w:r w:rsidRPr="00AC7697">
        <w:rPr>
          <w:rStyle w:val="FootnoteReference"/>
          <w:rFonts w:ascii="Times New Roman" w:hAnsi="Times New Roman"/>
          <w:sz w:val="24"/>
          <w:vertAlign w:val="superscript"/>
        </w:rPr>
        <w:footnoteReference w:id="11"/>
      </w:r>
      <w:r w:rsidRPr="00755715">
        <w:rPr>
          <w:rFonts w:ascii="Times New Roman" w:hAnsi="Times New Roman"/>
          <w:sz w:val="24"/>
          <w:szCs w:val="24"/>
        </w:rPr>
        <w:t xml:space="preserve"> =   $</w:t>
      </w:r>
      <w:r w:rsidR="000A7C1B">
        <w:rPr>
          <w:rFonts w:ascii="Times New Roman" w:hAnsi="Times New Roman"/>
          <w:sz w:val="24"/>
          <w:szCs w:val="24"/>
        </w:rPr>
        <w:t>2,946,881.44</w:t>
      </w:r>
    </w:p>
    <w:p w:rsidR="00AC7697" w:rsidRPr="00AC7697" w:rsidRDefault="00AC7697" w:rsidP="00AC7697">
      <w:pPr>
        <w:spacing w:after="0" w:line="240" w:lineRule="auto"/>
        <w:ind w:left="720"/>
        <w:contextualSpacing/>
        <w:rPr>
          <w:rFonts w:ascii="Times New Roman" w:hAnsi="Times New Roman" w:cs="Times New Roman"/>
          <w:sz w:val="24"/>
          <w:szCs w:val="24"/>
        </w:rPr>
      </w:pPr>
    </w:p>
    <w:tbl>
      <w:tblPr>
        <w:tblW w:w="10232" w:type="dxa"/>
        <w:jc w:val="center"/>
        <w:tblInd w:w="93" w:type="dxa"/>
        <w:tblLook w:val="04A0" w:firstRow="1" w:lastRow="0" w:firstColumn="1" w:lastColumn="0" w:noHBand="0" w:noVBand="1"/>
      </w:tblPr>
      <w:tblGrid>
        <w:gridCol w:w="2820"/>
        <w:gridCol w:w="1427"/>
        <w:gridCol w:w="1239"/>
        <w:gridCol w:w="1160"/>
        <w:gridCol w:w="1120"/>
        <w:gridCol w:w="1100"/>
        <w:gridCol w:w="1366"/>
      </w:tblGrid>
      <w:tr w:rsidR="00AC7697" w:rsidRPr="00AC7697" w:rsidTr="00AC7697">
        <w:trPr>
          <w:trHeight w:val="288"/>
          <w:jc w:val="center"/>
        </w:trPr>
        <w:tc>
          <w:tcPr>
            <w:tcW w:w="10232"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AC7697" w:rsidRPr="00AC7697" w:rsidRDefault="00AC7697" w:rsidP="00AC7697">
            <w:pPr>
              <w:spacing w:after="0" w:line="240" w:lineRule="auto"/>
              <w:jc w:val="center"/>
              <w:rPr>
                <w:rFonts w:ascii="Times New Roman" w:eastAsia="Times New Roman" w:hAnsi="Times New Roman" w:cs="Times New Roman"/>
                <w:b/>
                <w:bCs/>
                <w:color w:val="000000"/>
                <w:sz w:val="20"/>
                <w:szCs w:val="20"/>
              </w:rPr>
            </w:pPr>
            <w:r w:rsidRPr="00AC7697">
              <w:rPr>
                <w:rFonts w:ascii="Times New Roman" w:eastAsia="Times New Roman" w:hAnsi="Times New Roman" w:cs="Times New Roman"/>
                <w:b/>
                <w:bCs/>
                <w:color w:val="000000"/>
                <w:sz w:val="20"/>
                <w:szCs w:val="20"/>
              </w:rPr>
              <w:t>2017 Summary of Annual Burden and Internal Cost (3064-0103)</w:t>
            </w:r>
          </w:p>
        </w:tc>
      </w:tr>
      <w:tr w:rsidR="00AC7697" w:rsidRPr="00AC7697" w:rsidTr="00AC7697">
        <w:trPr>
          <w:trHeight w:val="1056"/>
          <w:jc w:val="center"/>
        </w:trPr>
        <w:tc>
          <w:tcPr>
            <w:tcW w:w="28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AC7697" w:rsidRPr="00AC7697" w:rsidRDefault="00AC7697" w:rsidP="00AC7697">
            <w:pPr>
              <w:spacing w:after="0" w:line="240" w:lineRule="auto"/>
              <w:rPr>
                <w:rFonts w:ascii="Times New Roman" w:eastAsia="Times New Roman" w:hAnsi="Times New Roman" w:cs="Times New Roman"/>
                <w:color w:val="000000"/>
                <w:sz w:val="20"/>
                <w:szCs w:val="20"/>
              </w:rPr>
            </w:pPr>
            <w:r w:rsidRPr="00AC7697">
              <w:rPr>
                <w:rFonts w:ascii="Times New Roman" w:eastAsia="Times New Roman" w:hAnsi="Times New Roman" w:cs="Times New Roman"/>
                <w:color w:val="000000"/>
                <w:sz w:val="20"/>
                <w:szCs w:val="20"/>
              </w:rPr>
              <w:t> </w:t>
            </w:r>
          </w:p>
        </w:tc>
        <w:tc>
          <w:tcPr>
            <w:tcW w:w="1427" w:type="dxa"/>
            <w:tcBorders>
              <w:top w:val="single" w:sz="4" w:space="0" w:color="auto"/>
              <w:left w:val="nil"/>
              <w:bottom w:val="single" w:sz="4" w:space="0" w:color="auto"/>
              <w:right w:val="single" w:sz="4" w:space="0" w:color="auto"/>
            </w:tcBorders>
            <w:shd w:val="clear" w:color="auto" w:fill="auto"/>
            <w:vAlign w:val="center"/>
            <w:hideMark/>
          </w:tcPr>
          <w:p w:rsidR="00AC7697" w:rsidRPr="00AC7697" w:rsidRDefault="00AC7697" w:rsidP="00AC7697">
            <w:pPr>
              <w:spacing w:after="0" w:line="240" w:lineRule="auto"/>
              <w:jc w:val="center"/>
              <w:rPr>
                <w:rFonts w:ascii="Times New Roman" w:eastAsia="Times New Roman" w:hAnsi="Times New Roman" w:cs="Times New Roman"/>
                <w:color w:val="000000"/>
                <w:sz w:val="20"/>
                <w:szCs w:val="20"/>
              </w:rPr>
            </w:pPr>
            <w:r w:rsidRPr="00AC7697">
              <w:rPr>
                <w:rFonts w:ascii="Times New Roman" w:eastAsia="Times New Roman" w:hAnsi="Times New Roman" w:cs="Times New Roman"/>
                <w:color w:val="000000"/>
                <w:sz w:val="20"/>
                <w:szCs w:val="20"/>
              </w:rPr>
              <w:t>Type of Burden</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rsidR="00AC7697" w:rsidRPr="00AC7697" w:rsidRDefault="00AC7697" w:rsidP="00AC7697">
            <w:pPr>
              <w:spacing w:after="0" w:line="240" w:lineRule="auto"/>
              <w:jc w:val="center"/>
              <w:rPr>
                <w:rFonts w:ascii="Times New Roman" w:eastAsia="Times New Roman" w:hAnsi="Times New Roman" w:cs="Times New Roman"/>
                <w:color w:val="000000"/>
                <w:sz w:val="20"/>
                <w:szCs w:val="20"/>
              </w:rPr>
            </w:pPr>
            <w:r w:rsidRPr="00AC7697">
              <w:rPr>
                <w:rFonts w:ascii="Times New Roman" w:eastAsia="Times New Roman" w:hAnsi="Times New Roman" w:cs="Times New Roman"/>
                <w:color w:val="000000"/>
                <w:sz w:val="20"/>
                <w:szCs w:val="20"/>
              </w:rPr>
              <w:t>Estimated Number of Respondents</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AC7697" w:rsidRPr="00AC7697" w:rsidRDefault="00AC7697" w:rsidP="00AC7697">
            <w:pPr>
              <w:spacing w:after="0" w:line="240" w:lineRule="auto"/>
              <w:jc w:val="center"/>
              <w:rPr>
                <w:rFonts w:ascii="Times New Roman" w:eastAsia="Times New Roman" w:hAnsi="Times New Roman" w:cs="Times New Roman"/>
                <w:color w:val="000000"/>
                <w:sz w:val="20"/>
                <w:szCs w:val="20"/>
              </w:rPr>
            </w:pPr>
            <w:r w:rsidRPr="00AC7697">
              <w:rPr>
                <w:rFonts w:ascii="Times New Roman" w:eastAsia="Times New Roman" w:hAnsi="Times New Roman" w:cs="Times New Roman"/>
                <w:color w:val="000000"/>
                <w:sz w:val="20"/>
                <w:szCs w:val="20"/>
              </w:rPr>
              <w:t>Estimated Number of Responses</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AC7697" w:rsidRPr="00AC7697" w:rsidRDefault="00AC7697" w:rsidP="00AC7697">
            <w:pPr>
              <w:spacing w:after="0" w:line="240" w:lineRule="auto"/>
              <w:jc w:val="center"/>
              <w:rPr>
                <w:rFonts w:ascii="Times New Roman" w:eastAsia="Times New Roman" w:hAnsi="Times New Roman" w:cs="Times New Roman"/>
                <w:color w:val="000000"/>
                <w:sz w:val="20"/>
                <w:szCs w:val="20"/>
              </w:rPr>
            </w:pPr>
            <w:r w:rsidRPr="00AC7697">
              <w:rPr>
                <w:rFonts w:ascii="Times New Roman" w:eastAsia="Times New Roman" w:hAnsi="Times New Roman" w:cs="Times New Roman"/>
                <w:color w:val="000000"/>
                <w:sz w:val="20"/>
                <w:szCs w:val="20"/>
              </w:rPr>
              <w:t>Estimated Time per Response</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AC7697" w:rsidRPr="00AC7697" w:rsidRDefault="00AC7697" w:rsidP="00AC7697">
            <w:pPr>
              <w:spacing w:after="0" w:line="240" w:lineRule="auto"/>
              <w:jc w:val="center"/>
              <w:rPr>
                <w:rFonts w:ascii="Times New Roman" w:eastAsia="Times New Roman" w:hAnsi="Times New Roman" w:cs="Times New Roman"/>
                <w:color w:val="000000"/>
                <w:sz w:val="20"/>
                <w:szCs w:val="20"/>
              </w:rPr>
            </w:pPr>
            <w:r w:rsidRPr="00AC7697">
              <w:rPr>
                <w:rFonts w:ascii="Times New Roman" w:eastAsia="Times New Roman" w:hAnsi="Times New Roman" w:cs="Times New Roman"/>
                <w:color w:val="000000"/>
                <w:sz w:val="20"/>
                <w:szCs w:val="20"/>
              </w:rPr>
              <w:t>Frequency of Response</w:t>
            </w:r>
          </w:p>
        </w:tc>
        <w:tc>
          <w:tcPr>
            <w:tcW w:w="1366" w:type="dxa"/>
            <w:tcBorders>
              <w:top w:val="single" w:sz="4" w:space="0" w:color="auto"/>
              <w:left w:val="nil"/>
              <w:bottom w:val="single" w:sz="4" w:space="0" w:color="auto"/>
              <w:right w:val="single" w:sz="8" w:space="0" w:color="auto"/>
            </w:tcBorders>
            <w:shd w:val="clear" w:color="auto" w:fill="auto"/>
            <w:vAlign w:val="center"/>
            <w:hideMark/>
          </w:tcPr>
          <w:p w:rsidR="00AC7697" w:rsidRPr="00AC7697" w:rsidRDefault="00AC7697" w:rsidP="00AC7697">
            <w:pPr>
              <w:spacing w:after="0" w:line="240" w:lineRule="auto"/>
              <w:jc w:val="center"/>
              <w:rPr>
                <w:rFonts w:ascii="Times New Roman" w:eastAsia="Times New Roman" w:hAnsi="Times New Roman" w:cs="Times New Roman"/>
                <w:color w:val="000000"/>
                <w:sz w:val="20"/>
                <w:szCs w:val="20"/>
              </w:rPr>
            </w:pPr>
            <w:r w:rsidRPr="00AC7697">
              <w:rPr>
                <w:rFonts w:ascii="Times New Roman" w:eastAsia="Times New Roman" w:hAnsi="Times New Roman" w:cs="Times New Roman"/>
                <w:color w:val="000000"/>
                <w:sz w:val="20"/>
                <w:szCs w:val="20"/>
              </w:rPr>
              <w:t>Total Annual Estimated Burden</w:t>
            </w:r>
          </w:p>
        </w:tc>
      </w:tr>
      <w:tr w:rsidR="00AC7697" w:rsidRPr="00AC7697" w:rsidTr="00AC7697">
        <w:trPr>
          <w:trHeight w:val="792"/>
          <w:jc w:val="center"/>
        </w:trPr>
        <w:tc>
          <w:tcPr>
            <w:tcW w:w="2820" w:type="dxa"/>
            <w:tcBorders>
              <w:top w:val="nil"/>
              <w:left w:val="single" w:sz="8" w:space="0" w:color="auto"/>
              <w:bottom w:val="single" w:sz="4" w:space="0" w:color="auto"/>
              <w:right w:val="single" w:sz="4" w:space="0" w:color="auto"/>
            </w:tcBorders>
            <w:shd w:val="clear" w:color="auto" w:fill="auto"/>
            <w:vAlign w:val="center"/>
            <w:hideMark/>
          </w:tcPr>
          <w:p w:rsidR="00AC7697" w:rsidRPr="00AC7697" w:rsidRDefault="00AC7697" w:rsidP="00AC7697">
            <w:pPr>
              <w:spacing w:after="0" w:line="240" w:lineRule="auto"/>
              <w:rPr>
                <w:rFonts w:ascii="Times New Roman" w:eastAsia="Times New Roman" w:hAnsi="Times New Roman" w:cs="Times New Roman"/>
                <w:b/>
                <w:bCs/>
                <w:color w:val="000000"/>
                <w:sz w:val="20"/>
                <w:szCs w:val="20"/>
              </w:rPr>
            </w:pPr>
            <w:r w:rsidRPr="00AC7697">
              <w:rPr>
                <w:rFonts w:ascii="Times New Roman" w:eastAsia="Times New Roman" w:hAnsi="Times New Roman" w:cs="Times New Roman"/>
                <w:b/>
                <w:bCs/>
                <w:color w:val="000000"/>
                <w:sz w:val="20"/>
                <w:szCs w:val="20"/>
              </w:rPr>
              <w:t>Recordkeeping Requirements Associated with Real Estate Appraisals and Evaluations</w:t>
            </w:r>
          </w:p>
        </w:tc>
        <w:tc>
          <w:tcPr>
            <w:tcW w:w="1427" w:type="dxa"/>
            <w:tcBorders>
              <w:top w:val="nil"/>
              <w:left w:val="nil"/>
              <w:bottom w:val="single" w:sz="4" w:space="0" w:color="auto"/>
              <w:right w:val="single" w:sz="4" w:space="0" w:color="auto"/>
            </w:tcBorders>
            <w:shd w:val="clear" w:color="auto" w:fill="auto"/>
            <w:vAlign w:val="center"/>
            <w:hideMark/>
          </w:tcPr>
          <w:p w:rsidR="00AC7697" w:rsidRPr="00AC7697" w:rsidRDefault="00AC7697" w:rsidP="00AC7697">
            <w:pPr>
              <w:spacing w:after="0" w:line="240" w:lineRule="auto"/>
              <w:jc w:val="center"/>
              <w:rPr>
                <w:rFonts w:ascii="Times New Roman" w:eastAsia="Times New Roman" w:hAnsi="Times New Roman" w:cs="Times New Roman"/>
                <w:color w:val="000000"/>
                <w:sz w:val="20"/>
                <w:szCs w:val="20"/>
              </w:rPr>
            </w:pPr>
            <w:r w:rsidRPr="00AC7697">
              <w:rPr>
                <w:rFonts w:ascii="Times New Roman" w:eastAsia="Times New Roman" w:hAnsi="Times New Roman" w:cs="Times New Roman"/>
                <w:color w:val="000000"/>
                <w:sz w:val="20"/>
                <w:szCs w:val="20"/>
              </w:rPr>
              <w:t>Recordkeeping</w:t>
            </w:r>
          </w:p>
        </w:tc>
        <w:tc>
          <w:tcPr>
            <w:tcW w:w="1239" w:type="dxa"/>
            <w:tcBorders>
              <w:top w:val="nil"/>
              <w:left w:val="nil"/>
              <w:bottom w:val="single" w:sz="4" w:space="0" w:color="auto"/>
              <w:right w:val="single" w:sz="4" w:space="0" w:color="auto"/>
            </w:tcBorders>
            <w:shd w:val="clear" w:color="auto" w:fill="auto"/>
            <w:vAlign w:val="center"/>
            <w:hideMark/>
          </w:tcPr>
          <w:p w:rsidR="00AC7697" w:rsidRPr="00AC7697" w:rsidRDefault="00AC7697" w:rsidP="000A7C1B">
            <w:pPr>
              <w:spacing w:after="0" w:line="240" w:lineRule="auto"/>
              <w:jc w:val="center"/>
              <w:rPr>
                <w:rFonts w:ascii="Times New Roman" w:eastAsia="Times New Roman" w:hAnsi="Times New Roman" w:cs="Times New Roman"/>
                <w:color w:val="000000"/>
                <w:sz w:val="20"/>
                <w:szCs w:val="20"/>
              </w:rPr>
            </w:pPr>
            <w:r w:rsidRPr="00AC7697">
              <w:rPr>
                <w:rFonts w:ascii="Times New Roman" w:eastAsia="Times New Roman" w:hAnsi="Times New Roman" w:cs="Times New Roman"/>
                <w:color w:val="000000"/>
                <w:sz w:val="20"/>
                <w:szCs w:val="20"/>
              </w:rPr>
              <w:t>3,</w:t>
            </w:r>
            <w:r w:rsidR="000A7C1B">
              <w:rPr>
                <w:rFonts w:ascii="Times New Roman" w:eastAsia="Times New Roman" w:hAnsi="Times New Roman" w:cs="Times New Roman"/>
                <w:color w:val="000000"/>
                <w:sz w:val="20"/>
                <w:szCs w:val="20"/>
              </w:rPr>
              <w:t>675</w:t>
            </w:r>
          </w:p>
        </w:tc>
        <w:tc>
          <w:tcPr>
            <w:tcW w:w="1160" w:type="dxa"/>
            <w:tcBorders>
              <w:top w:val="nil"/>
              <w:left w:val="nil"/>
              <w:bottom w:val="single" w:sz="4" w:space="0" w:color="auto"/>
              <w:right w:val="single" w:sz="4" w:space="0" w:color="auto"/>
            </w:tcBorders>
            <w:shd w:val="clear" w:color="auto" w:fill="auto"/>
            <w:vAlign w:val="center"/>
            <w:hideMark/>
          </w:tcPr>
          <w:p w:rsidR="00AC7697" w:rsidRPr="00AC7697" w:rsidRDefault="000A7C1B" w:rsidP="00AC769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143</w:t>
            </w:r>
          </w:p>
        </w:tc>
        <w:tc>
          <w:tcPr>
            <w:tcW w:w="1120" w:type="dxa"/>
            <w:tcBorders>
              <w:top w:val="nil"/>
              <w:left w:val="nil"/>
              <w:bottom w:val="single" w:sz="4" w:space="0" w:color="auto"/>
              <w:right w:val="single" w:sz="4" w:space="0" w:color="auto"/>
            </w:tcBorders>
            <w:shd w:val="clear" w:color="auto" w:fill="auto"/>
            <w:vAlign w:val="center"/>
            <w:hideMark/>
          </w:tcPr>
          <w:p w:rsidR="00AC7697" w:rsidRPr="00AC7697" w:rsidRDefault="00AC7697" w:rsidP="00AC7697">
            <w:pPr>
              <w:spacing w:after="0" w:line="240" w:lineRule="auto"/>
              <w:jc w:val="center"/>
              <w:rPr>
                <w:rFonts w:ascii="Times New Roman" w:eastAsia="Times New Roman" w:hAnsi="Times New Roman" w:cs="Times New Roman"/>
                <w:color w:val="000000"/>
                <w:sz w:val="20"/>
                <w:szCs w:val="20"/>
              </w:rPr>
            </w:pPr>
            <w:r w:rsidRPr="00AC7697">
              <w:rPr>
                <w:rFonts w:ascii="Times New Roman" w:eastAsia="Times New Roman" w:hAnsi="Times New Roman" w:cs="Times New Roman"/>
                <w:color w:val="000000"/>
                <w:sz w:val="20"/>
                <w:szCs w:val="20"/>
              </w:rPr>
              <w:t>0.0833</w:t>
            </w:r>
          </w:p>
        </w:tc>
        <w:tc>
          <w:tcPr>
            <w:tcW w:w="1100" w:type="dxa"/>
            <w:tcBorders>
              <w:top w:val="nil"/>
              <w:left w:val="nil"/>
              <w:bottom w:val="single" w:sz="4" w:space="0" w:color="auto"/>
              <w:right w:val="single" w:sz="4" w:space="0" w:color="auto"/>
            </w:tcBorders>
            <w:shd w:val="clear" w:color="auto" w:fill="auto"/>
            <w:vAlign w:val="center"/>
            <w:hideMark/>
          </w:tcPr>
          <w:p w:rsidR="00AC7697" w:rsidRPr="00AC7697" w:rsidRDefault="00AC7697" w:rsidP="00AC7697">
            <w:pPr>
              <w:spacing w:after="0" w:line="240" w:lineRule="auto"/>
              <w:jc w:val="center"/>
              <w:rPr>
                <w:rFonts w:ascii="Times New Roman" w:eastAsia="Times New Roman" w:hAnsi="Times New Roman" w:cs="Times New Roman"/>
                <w:color w:val="000000"/>
                <w:sz w:val="20"/>
                <w:szCs w:val="20"/>
              </w:rPr>
            </w:pPr>
            <w:r w:rsidRPr="00AC7697">
              <w:rPr>
                <w:rFonts w:ascii="Times New Roman" w:eastAsia="Times New Roman" w:hAnsi="Times New Roman" w:cs="Times New Roman"/>
                <w:color w:val="000000"/>
                <w:sz w:val="20"/>
                <w:szCs w:val="20"/>
              </w:rPr>
              <w:t>On Occasion</w:t>
            </w:r>
          </w:p>
        </w:tc>
        <w:tc>
          <w:tcPr>
            <w:tcW w:w="1366" w:type="dxa"/>
            <w:tcBorders>
              <w:top w:val="nil"/>
              <w:left w:val="nil"/>
              <w:bottom w:val="single" w:sz="4" w:space="0" w:color="auto"/>
              <w:right w:val="single" w:sz="8" w:space="0" w:color="auto"/>
            </w:tcBorders>
            <w:shd w:val="clear" w:color="auto" w:fill="auto"/>
            <w:vAlign w:val="center"/>
            <w:hideMark/>
          </w:tcPr>
          <w:p w:rsidR="00AC7697" w:rsidRPr="00AC7697" w:rsidRDefault="00AC7697" w:rsidP="000A7C1B">
            <w:pPr>
              <w:spacing w:after="0" w:line="240" w:lineRule="auto"/>
              <w:jc w:val="center"/>
              <w:rPr>
                <w:rFonts w:ascii="Times New Roman" w:eastAsia="Times New Roman" w:hAnsi="Times New Roman" w:cs="Times New Roman"/>
                <w:color w:val="000000"/>
                <w:sz w:val="20"/>
                <w:szCs w:val="20"/>
              </w:rPr>
            </w:pPr>
            <w:r w:rsidRPr="00AC7697">
              <w:rPr>
                <w:rFonts w:ascii="Times New Roman" w:eastAsia="Times New Roman" w:hAnsi="Times New Roman" w:cs="Times New Roman"/>
                <w:color w:val="000000"/>
                <w:sz w:val="20"/>
                <w:szCs w:val="20"/>
              </w:rPr>
              <w:t>43,</w:t>
            </w:r>
            <w:r w:rsidR="000A7C1B">
              <w:rPr>
                <w:rFonts w:ascii="Times New Roman" w:eastAsia="Times New Roman" w:hAnsi="Times New Roman" w:cs="Times New Roman"/>
                <w:color w:val="000000"/>
                <w:sz w:val="20"/>
                <w:szCs w:val="20"/>
              </w:rPr>
              <w:t>794</w:t>
            </w:r>
          </w:p>
        </w:tc>
      </w:tr>
      <w:tr w:rsidR="00AC7697" w:rsidRPr="00AC7697" w:rsidTr="00AC7697">
        <w:trPr>
          <w:trHeight w:val="264"/>
          <w:jc w:val="center"/>
        </w:trPr>
        <w:tc>
          <w:tcPr>
            <w:tcW w:w="2820" w:type="dxa"/>
            <w:tcBorders>
              <w:top w:val="nil"/>
              <w:left w:val="single" w:sz="8" w:space="0" w:color="auto"/>
              <w:bottom w:val="single" w:sz="4" w:space="0" w:color="auto"/>
              <w:right w:val="single" w:sz="4" w:space="0" w:color="auto"/>
            </w:tcBorders>
            <w:shd w:val="clear" w:color="auto" w:fill="auto"/>
            <w:vAlign w:val="bottom"/>
            <w:hideMark/>
          </w:tcPr>
          <w:p w:rsidR="00AC7697" w:rsidRPr="00AC7697" w:rsidRDefault="00AC7697" w:rsidP="00AC7697">
            <w:pPr>
              <w:spacing w:after="0" w:line="240" w:lineRule="auto"/>
              <w:jc w:val="right"/>
              <w:rPr>
                <w:rFonts w:ascii="Times New Roman" w:eastAsia="Times New Roman" w:hAnsi="Times New Roman" w:cs="Times New Roman"/>
                <w:b/>
                <w:bCs/>
                <w:color w:val="000000"/>
                <w:sz w:val="20"/>
                <w:szCs w:val="20"/>
              </w:rPr>
            </w:pPr>
            <w:r w:rsidRPr="00AC7697">
              <w:rPr>
                <w:rFonts w:ascii="Times New Roman" w:eastAsia="Times New Roman" w:hAnsi="Times New Roman" w:cs="Times New Roman"/>
                <w:b/>
                <w:bCs/>
                <w:color w:val="000000"/>
                <w:sz w:val="20"/>
                <w:szCs w:val="20"/>
              </w:rPr>
              <w:t>TOTAL HOURLY BURDEN</w:t>
            </w:r>
          </w:p>
        </w:tc>
        <w:tc>
          <w:tcPr>
            <w:tcW w:w="1427" w:type="dxa"/>
            <w:tcBorders>
              <w:top w:val="nil"/>
              <w:left w:val="nil"/>
              <w:bottom w:val="single" w:sz="4" w:space="0" w:color="auto"/>
              <w:right w:val="single" w:sz="4" w:space="0" w:color="auto"/>
            </w:tcBorders>
            <w:shd w:val="clear" w:color="auto" w:fill="auto"/>
            <w:vAlign w:val="bottom"/>
            <w:hideMark/>
          </w:tcPr>
          <w:p w:rsidR="00AC7697" w:rsidRPr="00AC7697" w:rsidRDefault="00AC7697" w:rsidP="00AC7697">
            <w:pPr>
              <w:spacing w:after="0" w:line="240" w:lineRule="auto"/>
              <w:rPr>
                <w:rFonts w:ascii="Times New Roman" w:eastAsia="Times New Roman" w:hAnsi="Times New Roman" w:cs="Times New Roman"/>
                <w:color w:val="000000"/>
                <w:sz w:val="20"/>
                <w:szCs w:val="20"/>
              </w:rPr>
            </w:pPr>
            <w:r w:rsidRPr="00AC7697">
              <w:rPr>
                <w:rFonts w:ascii="Times New Roman" w:eastAsia="Times New Roman" w:hAnsi="Times New Roman" w:cs="Times New Roman"/>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rsidR="00AC7697" w:rsidRPr="00AC7697" w:rsidRDefault="00AC7697" w:rsidP="00AC7697">
            <w:pPr>
              <w:spacing w:after="0" w:line="240" w:lineRule="auto"/>
              <w:jc w:val="center"/>
              <w:rPr>
                <w:rFonts w:ascii="Times New Roman" w:eastAsia="Times New Roman" w:hAnsi="Times New Roman" w:cs="Times New Roman"/>
                <w:color w:val="000000"/>
                <w:sz w:val="20"/>
                <w:szCs w:val="20"/>
              </w:rPr>
            </w:pPr>
            <w:r w:rsidRPr="00AC7697">
              <w:rPr>
                <w:rFonts w:ascii="Times New Roman" w:eastAsia="Times New Roman" w:hAnsi="Times New Roman" w:cs="Times New Roman"/>
                <w:color w:val="000000"/>
                <w:sz w:val="20"/>
                <w:szCs w:val="20"/>
              </w:rPr>
              <w:t> </w:t>
            </w:r>
          </w:p>
        </w:tc>
        <w:tc>
          <w:tcPr>
            <w:tcW w:w="1160" w:type="dxa"/>
            <w:tcBorders>
              <w:top w:val="nil"/>
              <w:left w:val="nil"/>
              <w:bottom w:val="single" w:sz="4" w:space="0" w:color="auto"/>
              <w:right w:val="single" w:sz="4" w:space="0" w:color="auto"/>
            </w:tcBorders>
            <w:shd w:val="clear" w:color="auto" w:fill="auto"/>
            <w:noWrap/>
            <w:vAlign w:val="bottom"/>
            <w:hideMark/>
          </w:tcPr>
          <w:p w:rsidR="00AC7697" w:rsidRPr="00AC7697" w:rsidRDefault="00AC7697" w:rsidP="00AC7697">
            <w:pPr>
              <w:spacing w:after="0" w:line="240" w:lineRule="auto"/>
              <w:jc w:val="center"/>
              <w:rPr>
                <w:rFonts w:ascii="Times New Roman" w:eastAsia="Times New Roman" w:hAnsi="Times New Roman" w:cs="Times New Roman"/>
                <w:color w:val="000000"/>
                <w:sz w:val="20"/>
                <w:szCs w:val="20"/>
              </w:rPr>
            </w:pPr>
            <w:r w:rsidRPr="00AC7697">
              <w:rPr>
                <w:rFonts w:ascii="Times New Roman" w:eastAsia="Times New Roman" w:hAnsi="Times New Roman" w:cs="Times New Roman"/>
                <w:color w:val="000000"/>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rsidR="00AC7697" w:rsidRPr="00AC7697" w:rsidRDefault="00AC7697" w:rsidP="00AC7697">
            <w:pPr>
              <w:spacing w:after="0" w:line="240" w:lineRule="auto"/>
              <w:jc w:val="center"/>
              <w:rPr>
                <w:rFonts w:ascii="Times New Roman" w:eastAsia="Times New Roman" w:hAnsi="Times New Roman" w:cs="Times New Roman"/>
                <w:color w:val="000000"/>
                <w:sz w:val="20"/>
                <w:szCs w:val="20"/>
              </w:rPr>
            </w:pPr>
            <w:r w:rsidRPr="00AC7697">
              <w:rPr>
                <w:rFonts w:ascii="Times New Roman" w:eastAsia="Times New Roman" w:hAnsi="Times New Roman" w:cs="Times New Roman"/>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rsidR="00AC7697" w:rsidRPr="00AC7697" w:rsidRDefault="00AC7697" w:rsidP="00AC7697">
            <w:pPr>
              <w:spacing w:after="0" w:line="240" w:lineRule="auto"/>
              <w:jc w:val="center"/>
              <w:rPr>
                <w:rFonts w:ascii="Times New Roman" w:eastAsia="Times New Roman" w:hAnsi="Times New Roman" w:cs="Times New Roman"/>
                <w:color w:val="000000"/>
                <w:sz w:val="20"/>
                <w:szCs w:val="20"/>
              </w:rPr>
            </w:pPr>
            <w:r w:rsidRPr="00AC7697">
              <w:rPr>
                <w:rFonts w:ascii="Times New Roman" w:eastAsia="Times New Roman" w:hAnsi="Times New Roman" w:cs="Times New Roman"/>
                <w:color w:val="000000"/>
                <w:sz w:val="20"/>
                <w:szCs w:val="20"/>
              </w:rPr>
              <w:t> </w:t>
            </w:r>
          </w:p>
        </w:tc>
        <w:tc>
          <w:tcPr>
            <w:tcW w:w="1366" w:type="dxa"/>
            <w:tcBorders>
              <w:top w:val="nil"/>
              <w:left w:val="nil"/>
              <w:bottom w:val="single" w:sz="4" w:space="0" w:color="auto"/>
              <w:right w:val="single" w:sz="8" w:space="0" w:color="auto"/>
            </w:tcBorders>
            <w:shd w:val="clear" w:color="auto" w:fill="auto"/>
            <w:noWrap/>
            <w:vAlign w:val="bottom"/>
            <w:hideMark/>
          </w:tcPr>
          <w:p w:rsidR="00AC7697" w:rsidRPr="00AC7697" w:rsidRDefault="00AC7697" w:rsidP="000A7C1B">
            <w:pPr>
              <w:spacing w:after="0" w:line="240" w:lineRule="auto"/>
              <w:jc w:val="center"/>
              <w:rPr>
                <w:rFonts w:ascii="Times New Roman" w:eastAsia="Times New Roman" w:hAnsi="Times New Roman" w:cs="Times New Roman"/>
                <w:color w:val="000000"/>
                <w:sz w:val="20"/>
                <w:szCs w:val="20"/>
              </w:rPr>
            </w:pPr>
            <w:r w:rsidRPr="00AC7697">
              <w:rPr>
                <w:rFonts w:ascii="Times New Roman" w:eastAsia="Times New Roman" w:hAnsi="Times New Roman" w:cs="Times New Roman"/>
                <w:color w:val="000000"/>
                <w:sz w:val="20"/>
                <w:szCs w:val="20"/>
              </w:rPr>
              <w:t>43,</w:t>
            </w:r>
            <w:r w:rsidR="000A7C1B">
              <w:rPr>
                <w:rFonts w:ascii="Times New Roman" w:eastAsia="Times New Roman" w:hAnsi="Times New Roman" w:cs="Times New Roman"/>
                <w:color w:val="000000"/>
                <w:sz w:val="20"/>
                <w:szCs w:val="20"/>
              </w:rPr>
              <w:t>794</w:t>
            </w:r>
          </w:p>
        </w:tc>
      </w:tr>
      <w:tr w:rsidR="00AC7697" w:rsidRPr="00AC7697" w:rsidTr="00AC7697">
        <w:trPr>
          <w:trHeight w:val="264"/>
          <w:jc w:val="center"/>
        </w:trPr>
        <w:tc>
          <w:tcPr>
            <w:tcW w:w="2820" w:type="dxa"/>
            <w:tcBorders>
              <w:top w:val="nil"/>
              <w:left w:val="single" w:sz="8" w:space="0" w:color="auto"/>
              <w:bottom w:val="single" w:sz="4" w:space="0" w:color="auto"/>
              <w:right w:val="single" w:sz="4" w:space="0" w:color="auto"/>
            </w:tcBorders>
            <w:shd w:val="clear" w:color="auto" w:fill="auto"/>
            <w:vAlign w:val="bottom"/>
            <w:hideMark/>
          </w:tcPr>
          <w:p w:rsidR="00AC7697" w:rsidRPr="00AC7697" w:rsidRDefault="00AC7697" w:rsidP="00AC7697">
            <w:pPr>
              <w:spacing w:after="0" w:line="240" w:lineRule="auto"/>
              <w:jc w:val="right"/>
              <w:rPr>
                <w:rFonts w:ascii="Times New Roman" w:eastAsia="Times New Roman" w:hAnsi="Times New Roman" w:cs="Times New Roman"/>
                <w:color w:val="000000"/>
                <w:sz w:val="20"/>
                <w:szCs w:val="20"/>
              </w:rPr>
            </w:pPr>
            <w:r w:rsidRPr="00AC7697">
              <w:rPr>
                <w:rFonts w:ascii="Times New Roman" w:eastAsia="Times New Roman" w:hAnsi="Times New Roman" w:cs="Times New Roman"/>
                <w:color w:val="000000"/>
                <w:sz w:val="20"/>
                <w:szCs w:val="20"/>
              </w:rPr>
              <w:t>Internal Cost: Loan Officer</w:t>
            </w:r>
          </w:p>
        </w:tc>
        <w:tc>
          <w:tcPr>
            <w:tcW w:w="1427" w:type="dxa"/>
            <w:tcBorders>
              <w:top w:val="nil"/>
              <w:left w:val="nil"/>
              <w:bottom w:val="single" w:sz="4" w:space="0" w:color="auto"/>
              <w:right w:val="single" w:sz="4" w:space="0" w:color="auto"/>
            </w:tcBorders>
            <w:shd w:val="clear" w:color="auto" w:fill="auto"/>
            <w:vAlign w:val="bottom"/>
            <w:hideMark/>
          </w:tcPr>
          <w:p w:rsidR="00AC7697" w:rsidRPr="00AC7697" w:rsidRDefault="00AC7697" w:rsidP="000A7C1B">
            <w:pPr>
              <w:spacing w:after="0" w:line="240" w:lineRule="auto"/>
              <w:jc w:val="right"/>
              <w:rPr>
                <w:rFonts w:ascii="Times New Roman" w:eastAsia="Times New Roman" w:hAnsi="Times New Roman" w:cs="Times New Roman"/>
                <w:color w:val="000000"/>
                <w:sz w:val="20"/>
                <w:szCs w:val="20"/>
              </w:rPr>
            </w:pPr>
            <w:r w:rsidRPr="00AC7697">
              <w:rPr>
                <w:rFonts w:ascii="Times New Roman" w:eastAsia="Times New Roman" w:hAnsi="Times New Roman" w:cs="Times New Roman"/>
                <w:color w:val="000000"/>
                <w:sz w:val="20"/>
                <w:szCs w:val="20"/>
              </w:rPr>
              <w:t>$</w:t>
            </w:r>
            <w:r w:rsidR="000A7C1B">
              <w:rPr>
                <w:rFonts w:ascii="Times New Roman" w:eastAsia="Times New Roman" w:hAnsi="Times New Roman" w:cs="Times New Roman"/>
                <w:color w:val="000000"/>
                <w:sz w:val="20"/>
                <w:szCs w:val="20"/>
              </w:rPr>
              <w:t>67.29</w:t>
            </w:r>
          </w:p>
        </w:tc>
        <w:tc>
          <w:tcPr>
            <w:tcW w:w="1239" w:type="dxa"/>
            <w:tcBorders>
              <w:top w:val="nil"/>
              <w:left w:val="nil"/>
              <w:bottom w:val="single" w:sz="4" w:space="0" w:color="auto"/>
              <w:right w:val="single" w:sz="4" w:space="0" w:color="auto"/>
            </w:tcBorders>
            <w:shd w:val="clear" w:color="auto" w:fill="auto"/>
            <w:noWrap/>
            <w:vAlign w:val="bottom"/>
            <w:hideMark/>
          </w:tcPr>
          <w:p w:rsidR="00AC7697" w:rsidRPr="00AC7697" w:rsidRDefault="00AC7697" w:rsidP="00AC7697">
            <w:pPr>
              <w:spacing w:after="0" w:line="240" w:lineRule="auto"/>
              <w:jc w:val="center"/>
              <w:rPr>
                <w:rFonts w:ascii="Times New Roman" w:eastAsia="Times New Roman" w:hAnsi="Times New Roman" w:cs="Times New Roman"/>
                <w:color w:val="000000"/>
                <w:sz w:val="20"/>
                <w:szCs w:val="20"/>
              </w:rPr>
            </w:pPr>
            <w:r w:rsidRPr="00AC7697">
              <w:rPr>
                <w:rFonts w:ascii="Times New Roman" w:eastAsia="Times New Roman" w:hAnsi="Times New Roman" w:cs="Times New Roman"/>
                <w:color w:val="000000"/>
                <w:sz w:val="20"/>
                <w:szCs w:val="20"/>
              </w:rPr>
              <w:t> </w:t>
            </w:r>
          </w:p>
        </w:tc>
        <w:tc>
          <w:tcPr>
            <w:tcW w:w="1160" w:type="dxa"/>
            <w:tcBorders>
              <w:top w:val="nil"/>
              <w:left w:val="nil"/>
              <w:bottom w:val="single" w:sz="4" w:space="0" w:color="auto"/>
              <w:right w:val="single" w:sz="4" w:space="0" w:color="auto"/>
            </w:tcBorders>
            <w:shd w:val="clear" w:color="auto" w:fill="auto"/>
            <w:noWrap/>
            <w:vAlign w:val="bottom"/>
            <w:hideMark/>
          </w:tcPr>
          <w:p w:rsidR="00AC7697" w:rsidRPr="00AC7697" w:rsidRDefault="00AC7697" w:rsidP="00AC7697">
            <w:pPr>
              <w:spacing w:after="0" w:line="240" w:lineRule="auto"/>
              <w:jc w:val="center"/>
              <w:rPr>
                <w:rFonts w:ascii="Times New Roman" w:eastAsia="Times New Roman" w:hAnsi="Times New Roman" w:cs="Times New Roman"/>
                <w:color w:val="000000"/>
                <w:sz w:val="20"/>
                <w:szCs w:val="20"/>
              </w:rPr>
            </w:pPr>
            <w:r w:rsidRPr="00AC7697">
              <w:rPr>
                <w:rFonts w:ascii="Times New Roman" w:eastAsia="Times New Roman" w:hAnsi="Times New Roman" w:cs="Times New Roman"/>
                <w:color w:val="000000"/>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rsidR="00AC7697" w:rsidRPr="00AC7697" w:rsidRDefault="00AC7697" w:rsidP="00AC7697">
            <w:pPr>
              <w:spacing w:after="0" w:line="240" w:lineRule="auto"/>
              <w:jc w:val="center"/>
              <w:rPr>
                <w:rFonts w:ascii="Times New Roman" w:eastAsia="Times New Roman" w:hAnsi="Times New Roman" w:cs="Times New Roman"/>
                <w:color w:val="000000"/>
                <w:sz w:val="20"/>
                <w:szCs w:val="20"/>
              </w:rPr>
            </w:pPr>
            <w:r w:rsidRPr="00AC7697">
              <w:rPr>
                <w:rFonts w:ascii="Times New Roman" w:eastAsia="Times New Roman" w:hAnsi="Times New Roman" w:cs="Times New Roman"/>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rsidR="00AC7697" w:rsidRPr="00AC7697" w:rsidRDefault="00AC7697" w:rsidP="00AC7697">
            <w:pPr>
              <w:spacing w:after="0" w:line="240" w:lineRule="auto"/>
              <w:jc w:val="center"/>
              <w:rPr>
                <w:rFonts w:ascii="Times New Roman" w:eastAsia="Times New Roman" w:hAnsi="Times New Roman" w:cs="Times New Roman"/>
                <w:color w:val="000000"/>
                <w:sz w:val="20"/>
                <w:szCs w:val="20"/>
              </w:rPr>
            </w:pPr>
            <w:r w:rsidRPr="00AC7697">
              <w:rPr>
                <w:rFonts w:ascii="Times New Roman" w:eastAsia="Times New Roman" w:hAnsi="Times New Roman" w:cs="Times New Roman"/>
                <w:color w:val="000000"/>
                <w:sz w:val="20"/>
                <w:szCs w:val="20"/>
              </w:rPr>
              <w:t> </w:t>
            </w:r>
          </w:p>
        </w:tc>
        <w:tc>
          <w:tcPr>
            <w:tcW w:w="1366" w:type="dxa"/>
            <w:tcBorders>
              <w:top w:val="nil"/>
              <w:left w:val="nil"/>
              <w:bottom w:val="single" w:sz="4" w:space="0" w:color="auto"/>
              <w:right w:val="single" w:sz="8" w:space="0" w:color="auto"/>
            </w:tcBorders>
            <w:shd w:val="clear" w:color="auto" w:fill="auto"/>
            <w:noWrap/>
            <w:vAlign w:val="bottom"/>
            <w:hideMark/>
          </w:tcPr>
          <w:p w:rsidR="00AC7697" w:rsidRPr="00AC7697" w:rsidRDefault="00AC7697" w:rsidP="000A7C1B">
            <w:pPr>
              <w:spacing w:after="0" w:line="240" w:lineRule="auto"/>
              <w:jc w:val="center"/>
              <w:rPr>
                <w:rFonts w:ascii="Times New Roman" w:eastAsia="Times New Roman" w:hAnsi="Times New Roman" w:cs="Times New Roman"/>
                <w:color w:val="000000"/>
                <w:sz w:val="20"/>
                <w:szCs w:val="20"/>
              </w:rPr>
            </w:pPr>
            <w:r w:rsidRPr="00AC7697">
              <w:rPr>
                <w:rFonts w:ascii="Times New Roman" w:eastAsia="Times New Roman" w:hAnsi="Times New Roman" w:cs="Times New Roman"/>
                <w:color w:val="000000"/>
                <w:sz w:val="20"/>
                <w:szCs w:val="20"/>
              </w:rPr>
              <w:t>$</w:t>
            </w:r>
            <w:r w:rsidR="000A7C1B">
              <w:rPr>
                <w:rFonts w:ascii="Times New Roman" w:eastAsia="Times New Roman" w:hAnsi="Times New Roman" w:cs="Times New Roman"/>
                <w:color w:val="000000"/>
                <w:sz w:val="20"/>
                <w:szCs w:val="20"/>
              </w:rPr>
              <w:t>2,946,881.44</w:t>
            </w:r>
          </w:p>
        </w:tc>
      </w:tr>
      <w:tr w:rsidR="00AC7697" w:rsidRPr="00AC7697" w:rsidTr="00AC7697">
        <w:trPr>
          <w:trHeight w:val="264"/>
          <w:jc w:val="center"/>
        </w:trPr>
        <w:tc>
          <w:tcPr>
            <w:tcW w:w="2820" w:type="dxa"/>
            <w:tcBorders>
              <w:top w:val="nil"/>
              <w:left w:val="single" w:sz="8" w:space="0" w:color="auto"/>
              <w:bottom w:val="single" w:sz="4" w:space="0" w:color="auto"/>
              <w:right w:val="single" w:sz="4" w:space="0" w:color="auto"/>
            </w:tcBorders>
            <w:shd w:val="clear" w:color="auto" w:fill="auto"/>
            <w:vAlign w:val="bottom"/>
            <w:hideMark/>
          </w:tcPr>
          <w:p w:rsidR="00AC7697" w:rsidRPr="00AC7697" w:rsidRDefault="00AC7697" w:rsidP="00AC7697">
            <w:pPr>
              <w:spacing w:after="0" w:line="240" w:lineRule="auto"/>
              <w:jc w:val="right"/>
              <w:rPr>
                <w:rFonts w:ascii="Times New Roman" w:eastAsia="Times New Roman" w:hAnsi="Times New Roman" w:cs="Times New Roman"/>
                <w:b/>
                <w:bCs/>
                <w:color w:val="000000"/>
                <w:sz w:val="20"/>
                <w:szCs w:val="20"/>
              </w:rPr>
            </w:pPr>
            <w:r w:rsidRPr="00AC7697">
              <w:rPr>
                <w:rFonts w:ascii="Times New Roman" w:eastAsia="Times New Roman" w:hAnsi="Times New Roman" w:cs="Times New Roman"/>
                <w:b/>
                <w:bCs/>
                <w:color w:val="000000"/>
                <w:sz w:val="20"/>
                <w:szCs w:val="20"/>
              </w:rPr>
              <w:t>TOTAL INTERNAL COST</w:t>
            </w:r>
          </w:p>
        </w:tc>
        <w:tc>
          <w:tcPr>
            <w:tcW w:w="1427" w:type="dxa"/>
            <w:tcBorders>
              <w:top w:val="nil"/>
              <w:left w:val="nil"/>
              <w:bottom w:val="single" w:sz="4" w:space="0" w:color="auto"/>
              <w:right w:val="single" w:sz="4" w:space="0" w:color="auto"/>
            </w:tcBorders>
            <w:shd w:val="clear" w:color="auto" w:fill="auto"/>
            <w:vAlign w:val="bottom"/>
            <w:hideMark/>
          </w:tcPr>
          <w:p w:rsidR="00AC7697" w:rsidRPr="00AC7697" w:rsidRDefault="00AC7697" w:rsidP="00AC7697">
            <w:pPr>
              <w:spacing w:after="0" w:line="240" w:lineRule="auto"/>
              <w:jc w:val="right"/>
              <w:rPr>
                <w:rFonts w:ascii="Times New Roman" w:eastAsia="Times New Roman" w:hAnsi="Times New Roman" w:cs="Times New Roman"/>
                <w:color w:val="000000"/>
                <w:sz w:val="20"/>
                <w:szCs w:val="20"/>
              </w:rPr>
            </w:pPr>
            <w:r w:rsidRPr="00AC7697">
              <w:rPr>
                <w:rFonts w:ascii="Times New Roman" w:eastAsia="Times New Roman" w:hAnsi="Times New Roman" w:cs="Times New Roman"/>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rsidR="00AC7697" w:rsidRPr="00AC7697" w:rsidRDefault="00AC7697" w:rsidP="00AC7697">
            <w:pPr>
              <w:spacing w:after="0" w:line="240" w:lineRule="auto"/>
              <w:rPr>
                <w:rFonts w:ascii="Times New Roman" w:eastAsia="Times New Roman" w:hAnsi="Times New Roman" w:cs="Times New Roman"/>
                <w:color w:val="000000"/>
                <w:sz w:val="20"/>
                <w:szCs w:val="20"/>
              </w:rPr>
            </w:pPr>
            <w:r w:rsidRPr="00AC7697">
              <w:rPr>
                <w:rFonts w:ascii="Times New Roman" w:eastAsia="Times New Roman" w:hAnsi="Times New Roman" w:cs="Times New Roman"/>
                <w:color w:val="000000"/>
                <w:sz w:val="20"/>
                <w:szCs w:val="20"/>
              </w:rPr>
              <w:t> </w:t>
            </w:r>
          </w:p>
        </w:tc>
        <w:tc>
          <w:tcPr>
            <w:tcW w:w="1160" w:type="dxa"/>
            <w:tcBorders>
              <w:top w:val="nil"/>
              <w:left w:val="nil"/>
              <w:bottom w:val="single" w:sz="4" w:space="0" w:color="auto"/>
              <w:right w:val="single" w:sz="4" w:space="0" w:color="auto"/>
            </w:tcBorders>
            <w:shd w:val="clear" w:color="auto" w:fill="auto"/>
            <w:noWrap/>
            <w:vAlign w:val="bottom"/>
            <w:hideMark/>
          </w:tcPr>
          <w:p w:rsidR="00AC7697" w:rsidRPr="00AC7697" w:rsidRDefault="00AC7697" w:rsidP="00AC7697">
            <w:pPr>
              <w:spacing w:after="0" w:line="240" w:lineRule="auto"/>
              <w:rPr>
                <w:rFonts w:ascii="Times New Roman" w:eastAsia="Times New Roman" w:hAnsi="Times New Roman" w:cs="Times New Roman"/>
                <w:color w:val="000000"/>
                <w:sz w:val="20"/>
                <w:szCs w:val="20"/>
              </w:rPr>
            </w:pPr>
            <w:r w:rsidRPr="00AC7697">
              <w:rPr>
                <w:rFonts w:ascii="Times New Roman" w:eastAsia="Times New Roman" w:hAnsi="Times New Roman" w:cs="Times New Roman"/>
                <w:color w:val="000000"/>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rsidR="00AC7697" w:rsidRPr="00AC7697" w:rsidRDefault="00AC7697" w:rsidP="00AC7697">
            <w:pPr>
              <w:spacing w:after="0" w:line="240" w:lineRule="auto"/>
              <w:rPr>
                <w:rFonts w:ascii="Times New Roman" w:eastAsia="Times New Roman" w:hAnsi="Times New Roman" w:cs="Times New Roman"/>
                <w:color w:val="000000"/>
                <w:sz w:val="20"/>
                <w:szCs w:val="20"/>
              </w:rPr>
            </w:pPr>
            <w:r w:rsidRPr="00AC7697">
              <w:rPr>
                <w:rFonts w:ascii="Times New Roman" w:eastAsia="Times New Roman" w:hAnsi="Times New Roman" w:cs="Times New Roman"/>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rsidR="00AC7697" w:rsidRPr="00AC7697" w:rsidRDefault="00AC7697" w:rsidP="00AC7697">
            <w:pPr>
              <w:spacing w:after="0" w:line="240" w:lineRule="auto"/>
              <w:rPr>
                <w:rFonts w:ascii="Times New Roman" w:eastAsia="Times New Roman" w:hAnsi="Times New Roman" w:cs="Times New Roman"/>
                <w:color w:val="000000"/>
                <w:sz w:val="20"/>
                <w:szCs w:val="20"/>
              </w:rPr>
            </w:pPr>
            <w:r w:rsidRPr="00AC7697">
              <w:rPr>
                <w:rFonts w:ascii="Times New Roman" w:eastAsia="Times New Roman" w:hAnsi="Times New Roman" w:cs="Times New Roman"/>
                <w:color w:val="000000"/>
                <w:sz w:val="20"/>
                <w:szCs w:val="20"/>
              </w:rPr>
              <w:t> </w:t>
            </w:r>
          </w:p>
        </w:tc>
        <w:tc>
          <w:tcPr>
            <w:tcW w:w="1366" w:type="dxa"/>
            <w:tcBorders>
              <w:top w:val="nil"/>
              <w:left w:val="nil"/>
              <w:bottom w:val="single" w:sz="4" w:space="0" w:color="auto"/>
              <w:right w:val="single" w:sz="8" w:space="0" w:color="auto"/>
            </w:tcBorders>
            <w:shd w:val="clear" w:color="auto" w:fill="auto"/>
            <w:noWrap/>
            <w:vAlign w:val="bottom"/>
            <w:hideMark/>
          </w:tcPr>
          <w:p w:rsidR="00AC7697" w:rsidRPr="00AC7697" w:rsidRDefault="00AC7697" w:rsidP="000A7C1B">
            <w:pPr>
              <w:spacing w:after="0" w:line="240" w:lineRule="auto"/>
              <w:jc w:val="center"/>
              <w:rPr>
                <w:rFonts w:ascii="Times New Roman" w:eastAsia="Times New Roman" w:hAnsi="Times New Roman" w:cs="Times New Roman"/>
                <w:color w:val="000000"/>
                <w:sz w:val="20"/>
                <w:szCs w:val="20"/>
              </w:rPr>
            </w:pPr>
            <w:r w:rsidRPr="00AC7697">
              <w:rPr>
                <w:rFonts w:ascii="Times New Roman" w:eastAsia="Times New Roman" w:hAnsi="Times New Roman" w:cs="Times New Roman"/>
                <w:color w:val="000000"/>
                <w:sz w:val="20"/>
                <w:szCs w:val="20"/>
              </w:rPr>
              <w:t>$</w:t>
            </w:r>
            <w:r w:rsidR="000A7C1B">
              <w:rPr>
                <w:rFonts w:ascii="Times New Roman" w:eastAsia="Times New Roman" w:hAnsi="Times New Roman" w:cs="Times New Roman"/>
                <w:color w:val="000000"/>
                <w:sz w:val="20"/>
                <w:szCs w:val="20"/>
              </w:rPr>
              <w:t>2,946,881.44</w:t>
            </w:r>
          </w:p>
        </w:tc>
      </w:tr>
    </w:tbl>
    <w:p w:rsidR="00725F92" w:rsidRPr="00725F92" w:rsidRDefault="00725F92" w:rsidP="00725F92">
      <w:pPr>
        <w:pStyle w:val="Default"/>
        <w:ind w:left="720"/>
      </w:pPr>
    </w:p>
    <w:p w:rsidR="00AC7697" w:rsidRDefault="00AC7697" w:rsidP="00AC7697">
      <w:pPr>
        <w:pStyle w:val="ListParagraph"/>
        <w:spacing w:after="0" w:line="240" w:lineRule="auto"/>
        <w:rPr>
          <w:rFonts w:ascii="Times New Roman" w:hAnsi="Times New Roman" w:cs="Times New Roman"/>
          <w:sz w:val="24"/>
          <w:szCs w:val="24"/>
          <w:u w:val="single"/>
        </w:rPr>
      </w:pPr>
    </w:p>
    <w:p w:rsidR="00725F92" w:rsidRPr="00725F92" w:rsidRDefault="00725F92" w:rsidP="00725F92">
      <w:pPr>
        <w:pStyle w:val="ListParagraph"/>
        <w:numPr>
          <w:ilvl w:val="0"/>
          <w:numId w:val="2"/>
        </w:numPr>
        <w:spacing w:after="0" w:line="240" w:lineRule="auto"/>
        <w:rPr>
          <w:rFonts w:ascii="Times New Roman" w:hAnsi="Times New Roman" w:cs="Times New Roman"/>
          <w:sz w:val="24"/>
          <w:szCs w:val="24"/>
          <w:u w:val="single"/>
        </w:rPr>
      </w:pPr>
      <w:r w:rsidRPr="00725F92">
        <w:rPr>
          <w:rFonts w:ascii="Times New Roman" w:hAnsi="Times New Roman" w:cs="Times New Roman"/>
          <w:sz w:val="24"/>
          <w:szCs w:val="24"/>
          <w:u w:val="single"/>
        </w:rPr>
        <w:t>Capital, Start-Up and Maintenance Costs</w:t>
      </w:r>
    </w:p>
    <w:p w:rsidR="00725F92" w:rsidRPr="00725F92" w:rsidRDefault="00725F92" w:rsidP="00725F92">
      <w:pPr>
        <w:spacing w:after="0" w:line="240" w:lineRule="auto"/>
        <w:ind w:left="720" w:firstLine="720"/>
        <w:rPr>
          <w:rFonts w:ascii="Times New Roman" w:hAnsi="Times New Roman" w:cs="Times New Roman"/>
          <w:sz w:val="24"/>
          <w:szCs w:val="24"/>
          <w:u w:val="single"/>
        </w:rPr>
      </w:pPr>
    </w:p>
    <w:p w:rsidR="00725F92" w:rsidRDefault="002850CA" w:rsidP="00121BE8">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None</w:t>
      </w:r>
      <w:r w:rsidR="00725F92" w:rsidRPr="00725F92">
        <w:rPr>
          <w:rFonts w:ascii="Times New Roman" w:hAnsi="Times New Roman" w:cs="Times New Roman"/>
          <w:sz w:val="24"/>
          <w:szCs w:val="24"/>
        </w:rPr>
        <w:t>.</w:t>
      </w:r>
    </w:p>
    <w:p w:rsidR="00121BE8" w:rsidRDefault="00121BE8" w:rsidP="00121BE8">
      <w:pPr>
        <w:spacing w:after="0" w:line="240" w:lineRule="auto"/>
        <w:ind w:left="1440"/>
        <w:rPr>
          <w:rFonts w:ascii="Times New Roman" w:hAnsi="Times New Roman" w:cs="Times New Roman"/>
          <w:sz w:val="24"/>
          <w:szCs w:val="24"/>
        </w:rPr>
      </w:pPr>
    </w:p>
    <w:p w:rsidR="00725F92" w:rsidRPr="00725F92" w:rsidRDefault="00725F92" w:rsidP="00725F92">
      <w:pPr>
        <w:pStyle w:val="ListParagraph"/>
        <w:numPr>
          <w:ilvl w:val="0"/>
          <w:numId w:val="2"/>
        </w:numPr>
        <w:spacing w:after="0" w:line="240" w:lineRule="auto"/>
        <w:rPr>
          <w:rFonts w:ascii="Times New Roman" w:hAnsi="Times New Roman" w:cs="Times New Roman"/>
          <w:sz w:val="24"/>
          <w:szCs w:val="24"/>
        </w:rPr>
      </w:pPr>
      <w:r w:rsidRPr="00725F92">
        <w:rPr>
          <w:rFonts w:ascii="Times New Roman" w:hAnsi="Times New Roman" w:cs="Times New Roman"/>
          <w:sz w:val="24"/>
          <w:szCs w:val="24"/>
          <w:u w:val="single"/>
        </w:rPr>
        <w:t>Estimated Annual Cost to the Federal Government</w:t>
      </w:r>
    </w:p>
    <w:p w:rsidR="00725F92" w:rsidRPr="00725F92" w:rsidRDefault="00725F92" w:rsidP="00725F92">
      <w:pPr>
        <w:spacing w:after="0" w:line="240" w:lineRule="auto"/>
        <w:ind w:left="720" w:firstLine="720"/>
        <w:rPr>
          <w:rFonts w:ascii="Times New Roman" w:hAnsi="Times New Roman" w:cs="Times New Roman"/>
          <w:sz w:val="24"/>
          <w:szCs w:val="24"/>
        </w:rPr>
      </w:pPr>
    </w:p>
    <w:p w:rsidR="00725F92" w:rsidRPr="00725F92" w:rsidRDefault="002850CA" w:rsidP="00121BE8">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None</w:t>
      </w:r>
      <w:r w:rsidR="00725F92" w:rsidRPr="00725F92">
        <w:rPr>
          <w:rFonts w:ascii="Times New Roman" w:hAnsi="Times New Roman" w:cs="Times New Roman"/>
          <w:sz w:val="24"/>
          <w:szCs w:val="24"/>
        </w:rPr>
        <w:t>.</w:t>
      </w:r>
    </w:p>
    <w:p w:rsidR="00725F92" w:rsidRDefault="00725F92" w:rsidP="00725F92">
      <w:pPr>
        <w:spacing w:after="0" w:line="240" w:lineRule="auto"/>
        <w:ind w:left="720" w:firstLine="720"/>
        <w:rPr>
          <w:rFonts w:ascii="Times New Roman" w:hAnsi="Times New Roman" w:cs="Times New Roman"/>
          <w:sz w:val="24"/>
          <w:szCs w:val="24"/>
        </w:rPr>
      </w:pPr>
    </w:p>
    <w:p w:rsidR="004775DF" w:rsidRDefault="004775DF" w:rsidP="00725F92">
      <w:pPr>
        <w:spacing w:after="0" w:line="240" w:lineRule="auto"/>
        <w:ind w:left="720" w:firstLine="720"/>
        <w:rPr>
          <w:rFonts w:ascii="Times New Roman" w:hAnsi="Times New Roman" w:cs="Times New Roman"/>
          <w:sz w:val="24"/>
          <w:szCs w:val="24"/>
        </w:rPr>
      </w:pPr>
    </w:p>
    <w:p w:rsidR="004775DF" w:rsidRDefault="004775DF" w:rsidP="00725F92">
      <w:pPr>
        <w:spacing w:after="0" w:line="240" w:lineRule="auto"/>
        <w:ind w:left="720" w:firstLine="720"/>
        <w:rPr>
          <w:rFonts w:ascii="Times New Roman" w:hAnsi="Times New Roman" w:cs="Times New Roman"/>
          <w:sz w:val="24"/>
          <w:szCs w:val="24"/>
        </w:rPr>
      </w:pPr>
    </w:p>
    <w:p w:rsidR="00725F92" w:rsidRPr="00725F92" w:rsidRDefault="00725F92" w:rsidP="00725F92">
      <w:pPr>
        <w:pStyle w:val="ListParagraph"/>
        <w:numPr>
          <w:ilvl w:val="0"/>
          <w:numId w:val="2"/>
        </w:numPr>
        <w:spacing w:after="0" w:line="240" w:lineRule="auto"/>
        <w:rPr>
          <w:rFonts w:ascii="Times New Roman" w:hAnsi="Times New Roman" w:cs="Times New Roman"/>
          <w:sz w:val="24"/>
          <w:szCs w:val="24"/>
        </w:rPr>
      </w:pPr>
      <w:r w:rsidRPr="00725F92">
        <w:rPr>
          <w:rFonts w:ascii="Times New Roman" w:hAnsi="Times New Roman" w:cs="Times New Roman"/>
          <w:sz w:val="24"/>
          <w:szCs w:val="24"/>
          <w:u w:val="single"/>
        </w:rPr>
        <w:t>Reason for Change in Burden</w:t>
      </w:r>
    </w:p>
    <w:p w:rsidR="00725F92" w:rsidRPr="00725F92" w:rsidRDefault="00725F92" w:rsidP="00725F92">
      <w:pPr>
        <w:spacing w:after="0" w:line="240" w:lineRule="auto"/>
        <w:ind w:left="720" w:firstLine="720"/>
        <w:rPr>
          <w:rFonts w:ascii="Times New Roman" w:hAnsi="Times New Roman" w:cs="Times New Roman"/>
          <w:sz w:val="24"/>
          <w:szCs w:val="24"/>
        </w:rPr>
      </w:pPr>
    </w:p>
    <w:p w:rsidR="00AC7697" w:rsidRPr="00AC7697" w:rsidRDefault="00711475" w:rsidP="00121BE8">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The </w:t>
      </w:r>
      <w:r w:rsidR="000A7C1B">
        <w:rPr>
          <w:rFonts w:ascii="Times New Roman" w:hAnsi="Times New Roman" w:cs="Times New Roman"/>
          <w:sz w:val="24"/>
          <w:szCs w:val="24"/>
        </w:rPr>
        <w:t>198</w:t>
      </w:r>
      <w:r>
        <w:rPr>
          <w:rFonts w:ascii="Times New Roman" w:hAnsi="Times New Roman" w:cs="Times New Roman"/>
          <w:sz w:val="24"/>
          <w:szCs w:val="24"/>
        </w:rPr>
        <w:t xml:space="preserve"> reduction </w:t>
      </w:r>
      <w:r w:rsidR="00D529FF">
        <w:rPr>
          <w:rFonts w:ascii="Times New Roman" w:hAnsi="Times New Roman" w:cs="Times New Roman"/>
          <w:sz w:val="24"/>
          <w:szCs w:val="24"/>
        </w:rPr>
        <w:t>in</w:t>
      </w:r>
      <w:r>
        <w:rPr>
          <w:rFonts w:ascii="Times New Roman" w:hAnsi="Times New Roman" w:cs="Times New Roman"/>
          <w:sz w:val="24"/>
          <w:szCs w:val="24"/>
        </w:rPr>
        <w:t xml:space="preserve"> burden hours </w:t>
      </w:r>
      <w:r w:rsidR="00D529FF">
        <w:rPr>
          <w:rFonts w:ascii="Times New Roman" w:hAnsi="Times New Roman" w:cs="Times New Roman"/>
          <w:sz w:val="24"/>
          <w:szCs w:val="24"/>
        </w:rPr>
        <w:t xml:space="preserve">from the NPRM </w:t>
      </w:r>
      <w:r>
        <w:rPr>
          <w:rFonts w:ascii="Times New Roman" w:hAnsi="Times New Roman" w:cs="Times New Roman"/>
          <w:sz w:val="24"/>
          <w:szCs w:val="24"/>
        </w:rPr>
        <w:t xml:space="preserve">is the result of agency adjustment.  </w:t>
      </w:r>
      <w:r w:rsidR="00AC7697" w:rsidRPr="00AC7697">
        <w:rPr>
          <w:rFonts w:ascii="Times New Roman" w:hAnsi="Times New Roman" w:cs="Times New Roman"/>
          <w:sz w:val="24"/>
          <w:szCs w:val="24"/>
        </w:rPr>
        <w:t xml:space="preserve">While the </w:t>
      </w:r>
      <w:r w:rsidR="000A7C1B">
        <w:rPr>
          <w:rFonts w:ascii="Times New Roman" w:hAnsi="Times New Roman" w:cs="Times New Roman"/>
          <w:sz w:val="24"/>
          <w:szCs w:val="24"/>
        </w:rPr>
        <w:t>final</w:t>
      </w:r>
      <w:r w:rsidR="00AC7697" w:rsidRPr="00AC7697">
        <w:rPr>
          <w:rFonts w:ascii="Times New Roman" w:hAnsi="Times New Roman" w:cs="Times New Roman"/>
          <w:sz w:val="24"/>
          <w:szCs w:val="24"/>
        </w:rPr>
        <w:t xml:space="preserve"> </w:t>
      </w:r>
      <w:r w:rsidR="00B47C7B">
        <w:rPr>
          <w:rFonts w:ascii="Times New Roman" w:hAnsi="Times New Roman" w:cs="Times New Roman"/>
          <w:sz w:val="24"/>
          <w:szCs w:val="24"/>
        </w:rPr>
        <w:t>does</w:t>
      </w:r>
      <w:r w:rsidR="00AC7697" w:rsidRPr="00AC7697">
        <w:rPr>
          <w:rFonts w:ascii="Times New Roman" w:hAnsi="Times New Roman" w:cs="Times New Roman"/>
          <w:sz w:val="24"/>
          <w:szCs w:val="24"/>
        </w:rPr>
        <w:t xml:space="preserve"> not change the amount of time that institutions spend complying with the Title XI appraisal regulation, the </w:t>
      </w:r>
      <w:r w:rsidR="00AC7697">
        <w:rPr>
          <w:rFonts w:ascii="Times New Roman" w:hAnsi="Times New Roman" w:cs="Times New Roman"/>
          <w:sz w:val="24"/>
          <w:szCs w:val="24"/>
        </w:rPr>
        <w:t xml:space="preserve">FDIC is </w:t>
      </w:r>
      <w:r>
        <w:rPr>
          <w:rFonts w:ascii="Times New Roman" w:hAnsi="Times New Roman" w:cs="Times New Roman"/>
          <w:sz w:val="24"/>
          <w:szCs w:val="24"/>
        </w:rPr>
        <w:t>using 5 minutes, as opposed to the previously reported 45 minutes</w:t>
      </w:r>
      <w:r w:rsidR="00D529FF">
        <w:rPr>
          <w:rFonts w:ascii="Times New Roman" w:hAnsi="Times New Roman" w:cs="Times New Roman"/>
          <w:sz w:val="24"/>
          <w:szCs w:val="24"/>
        </w:rPr>
        <w:t xml:space="preserve"> (as reported in the last submission prior to the NPRM)</w:t>
      </w:r>
      <w:r>
        <w:rPr>
          <w:rFonts w:ascii="Times New Roman" w:hAnsi="Times New Roman" w:cs="Times New Roman"/>
          <w:sz w:val="24"/>
          <w:szCs w:val="24"/>
        </w:rPr>
        <w:t xml:space="preserve">, as the average time required to </w:t>
      </w:r>
      <w:r w:rsidR="003A2792">
        <w:rPr>
          <w:rFonts w:ascii="Times New Roman" w:hAnsi="Times New Roman" w:cs="Times New Roman"/>
          <w:sz w:val="24"/>
          <w:szCs w:val="24"/>
        </w:rPr>
        <w:t>document</w:t>
      </w:r>
      <w:r>
        <w:rPr>
          <w:rFonts w:ascii="Times New Roman" w:hAnsi="Times New Roman" w:cs="Times New Roman"/>
          <w:sz w:val="24"/>
          <w:szCs w:val="24"/>
        </w:rPr>
        <w:t xml:space="preserve"> the file for an appraisal or an evaluation.  </w:t>
      </w:r>
      <w:r w:rsidR="003A2792">
        <w:rPr>
          <w:rFonts w:ascii="Times New Roman" w:hAnsi="Times New Roman" w:cs="Times New Roman"/>
          <w:sz w:val="24"/>
          <w:szCs w:val="24"/>
        </w:rPr>
        <w:t>This updated</w:t>
      </w:r>
      <w:r w:rsidR="00AC7697" w:rsidRPr="00AC7697">
        <w:rPr>
          <w:rFonts w:ascii="Times New Roman" w:hAnsi="Times New Roman" w:cs="Times New Roman"/>
          <w:sz w:val="24"/>
          <w:szCs w:val="24"/>
        </w:rPr>
        <w:t xml:space="preserve"> methodology for calculating the burden of the in</w:t>
      </w:r>
      <w:r>
        <w:rPr>
          <w:rFonts w:ascii="Times New Roman" w:hAnsi="Times New Roman" w:cs="Times New Roman"/>
          <w:sz w:val="24"/>
          <w:szCs w:val="24"/>
        </w:rPr>
        <w:t xml:space="preserve">formation collection </w:t>
      </w:r>
      <w:r w:rsidR="003A2792">
        <w:rPr>
          <w:rFonts w:ascii="Times New Roman" w:hAnsi="Times New Roman" w:cs="Times New Roman"/>
          <w:sz w:val="24"/>
          <w:szCs w:val="24"/>
        </w:rPr>
        <w:t xml:space="preserve">is </w:t>
      </w:r>
      <w:r>
        <w:rPr>
          <w:rFonts w:ascii="Times New Roman" w:hAnsi="Times New Roman" w:cs="Times New Roman"/>
          <w:sz w:val="24"/>
          <w:szCs w:val="24"/>
        </w:rPr>
        <w:t xml:space="preserve">based on </w:t>
      </w:r>
      <w:r w:rsidR="003A2792">
        <w:rPr>
          <w:rFonts w:ascii="Times New Roman" w:hAnsi="Times New Roman" w:cs="Times New Roman"/>
          <w:sz w:val="24"/>
          <w:szCs w:val="24"/>
        </w:rPr>
        <w:t>current information, FDIC experience and advances in technology</w:t>
      </w:r>
      <w:r w:rsidR="00AC7697" w:rsidRPr="00AC7697">
        <w:rPr>
          <w:rFonts w:ascii="Times New Roman" w:hAnsi="Times New Roman" w:cs="Times New Roman"/>
          <w:sz w:val="24"/>
          <w:szCs w:val="24"/>
        </w:rPr>
        <w:t>.</w:t>
      </w:r>
      <w:r>
        <w:rPr>
          <w:rFonts w:ascii="Times New Roman" w:hAnsi="Times New Roman" w:cs="Times New Roman"/>
          <w:sz w:val="24"/>
          <w:szCs w:val="24"/>
        </w:rPr>
        <w:t xml:space="preserve">  </w:t>
      </w:r>
    </w:p>
    <w:p w:rsidR="00AC7697" w:rsidRDefault="00AC7697" w:rsidP="00725F92">
      <w:pPr>
        <w:spacing w:after="0" w:line="240" w:lineRule="auto"/>
        <w:ind w:left="720"/>
        <w:rPr>
          <w:rFonts w:ascii="Times New Roman" w:hAnsi="Times New Roman"/>
          <w:sz w:val="24"/>
          <w:szCs w:val="24"/>
        </w:rPr>
      </w:pPr>
    </w:p>
    <w:p w:rsidR="00725F92" w:rsidRPr="00725F92" w:rsidRDefault="00725F92" w:rsidP="00725F92">
      <w:pPr>
        <w:pStyle w:val="ListParagraph"/>
        <w:numPr>
          <w:ilvl w:val="0"/>
          <w:numId w:val="2"/>
        </w:numPr>
        <w:spacing w:after="0" w:line="240" w:lineRule="auto"/>
        <w:rPr>
          <w:rFonts w:ascii="Times New Roman" w:hAnsi="Times New Roman" w:cs="Times New Roman"/>
          <w:sz w:val="24"/>
          <w:szCs w:val="24"/>
        </w:rPr>
      </w:pPr>
      <w:r w:rsidRPr="00725F92">
        <w:rPr>
          <w:rFonts w:ascii="Times New Roman" w:hAnsi="Times New Roman" w:cs="Times New Roman"/>
          <w:sz w:val="24"/>
          <w:szCs w:val="24"/>
          <w:u w:val="single"/>
        </w:rPr>
        <w:t>Publication.</w:t>
      </w:r>
    </w:p>
    <w:p w:rsidR="00725F92" w:rsidRPr="00725F92" w:rsidRDefault="00725F92" w:rsidP="00725F92">
      <w:pPr>
        <w:spacing w:after="0" w:line="240" w:lineRule="auto"/>
        <w:ind w:left="240" w:firstLine="720"/>
        <w:rPr>
          <w:rFonts w:ascii="Times New Roman" w:hAnsi="Times New Roman" w:cs="Times New Roman"/>
          <w:sz w:val="24"/>
          <w:szCs w:val="24"/>
        </w:rPr>
      </w:pPr>
    </w:p>
    <w:p w:rsidR="002850CA" w:rsidRDefault="00725F92" w:rsidP="002850CA">
      <w:pPr>
        <w:tabs>
          <w:tab w:val="left" w:pos="-720"/>
        </w:tabs>
        <w:suppressAutoHyphens/>
        <w:ind w:left="1440"/>
        <w:rPr>
          <w:rFonts w:ascii="Times New Roman" w:hAnsi="Times New Roman"/>
          <w:sz w:val="24"/>
        </w:rPr>
      </w:pPr>
      <w:r w:rsidRPr="00725F92">
        <w:rPr>
          <w:rFonts w:ascii="Times New Roman" w:hAnsi="Times New Roman" w:cs="Times New Roman"/>
          <w:sz w:val="24"/>
          <w:szCs w:val="24"/>
        </w:rPr>
        <w:t xml:space="preserve">Not applicable.  </w:t>
      </w:r>
      <w:r w:rsidR="002850CA">
        <w:rPr>
          <w:rFonts w:ascii="Times New Roman" w:hAnsi="Times New Roman"/>
          <w:sz w:val="24"/>
        </w:rPr>
        <w:t xml:space="preserve">The information is not published. </w:t>
      </w:r>
    </w:p>
    <w:p w:rsidR="00725F92" w:rsidRPr="00725F92" w:rsidRDefault="00725F92" w:rsidP="00725F92">
      <w:pPr>
        <w:pStyle w:val="ListParagraph"/>
        <w:numPr>
          <w:ilvl w:val="0"/>
          <w:numId w:val="2"/>
        </w:numPr>
        <w:spacing w:after="0" w:line="240" w:lineRule="auto"/>
        <w:rPr>
          <w:rFonts w:ascii="Times New Roman" w:hAnsi="Times New Roman" w:cs="Times New Roman"/>
          <w:sz w:val="24"/>
          <w:szCs w:val="24"/>
          <w:u w:val="single"/>
        </w:rPr>
      </w:pPr>
      <w:r w:rsidRPr="00725F92">
        <w:rPr>
          <w:rFonts w:ascii="Times New Roman" w:hAnsi="Times New Roman" w:cs="Times New Roman"/>
          <w:sz w:val="24"/>
          <w:szCs w:val="24"/>
          <w:u w:val="single"/>
        </w:rPr>
        <w:t>Display of Expiration Dates</w:t>
      </w:r>
    </w:p>
    <w:p w:rsidR="00725F92" w:rsidRPr="00725F92" w:rsidRDefault="00725F92" w:rsidP="00725F92">
      <w:pPr>
        <w:spacing w:after="0" w:line="240" w:lineRule="auto"/>
        <w:ind w:left="540" w:firstLine="180"/>
        <w:rPr>
          <w:rFonts w:ascii="Times New Roman" w:hAnsi="Times New Roman" w:cs="Times New Roman"/>
          <w:sz w:val="24"/>
          <w:szCs w:val="24"/>
        </w:rPr>
      </w:pPr>
    </w:p>
    <w:p w:rsidR="00725F92" w:rsidRDefault="00121BE8" w:rsidP="00121BE8">
      <w:pPr>
        <w:spacing w:after="0" w:line="240" w:lineRule="auto"/>
        <w:ind w:left="720" w:firstLine="720"/>
        <w:rPr>
          <w:rFonts w:ascii="Times New Roman" w:hAnsi="Times New Roman"/>
          <w:sz w:val="24"/>
        </w:rPr>
      </w:pPr>
      <w:r>
        <w:rPr>
          <w:rFonts w:ascii="Times New Roman" w:hAnsi="Times New Roman"/>
          <w:sz w:val="24"/>
        </w:rPr>
        <w:t>Not applicable.</w:t>
      </w:r>
    </w:p>
    <w:p w:rsidR="00121BE8" w:rsidRPr="00725F92" w:rsidRDefault="00121BE8" w:rsidP="00121BE8">
      <w:pPr>
        <w:spacing w:after="0" w:line="240" w:lineRule="auto"/>
        <w:ind w:left="720" w:firstLine="720"/>
        <w:rPr>
          <w:rFonts w:ascii="Times New Roman" w:hAnsi="Times New Roman" w:cs="Times New Roman"/>
          <w:sz w:val="24"/>
          <w:szCs w:val="24"/>
        </w:rPr>
      </w:pPr>
    </w:p>
    <w:p w:rsidR="00725F92" w:rsidRPr="00725F92" w:rsidRDefault="00725F92" w:rsidP="00725F92">
      <w:pPr>
        <w:pStyle w:val="ListParagraph"/>
        <w:numPr>
          <w:ilvl w:val="0"/>
          <w:numId w:val="2"/>
        </w:numPr>
        <w:spacing w:after="0" w:line="240" w:lineRule="auto"/>
        <w:rPr>
          <w:rFonts w:ascii="Times New Roman" w:hAnsi="Times New Roman" w:cs="Times New Roman"/>
          <w:sz w:val="24"/>
          <w:szCs w:val="24"/>
        </w:rPr>
      </w:pPr>
      <w:r w:rsidRPr="00725F92">
        <w:rPr>
          <w:rFonts w:ascii="Times New Roman" w:hAnsi="Times New Roman" w:cs="Times New Roman"/>
          <w:sz w:val="24"/>
          <w:szCs w:val="24"/>
          <w:u w:val="single"/>
        </w:rPr>
        <w:t>Exceptions to Certification</w:t>
      </w:r>
    </w:p>
    <w:p w:rsidR="00725F92" w:rsidRPr="00725F92" w:rsidRDefault="00725F92" w:rsidP="00725F92">
      <w:pPr>
        <w:spacing w:after="0" w:line="240" w:lineRule="auto"/>
        <w:rPr>
          <w:rFonts w:ascii="Times New Roman" w:hAnsi="Times New Roman" w:cs="Times New Roman"/>
          <w:sz w:val="24"/>
          <w:szCs w:val="24"/>
        </w:rPr>
      </w:pPr>
    </w:p>
    <w:p w:rsidR="00725F92" w:rsidRPr="00725F92" w:rsidRDefault="00121BE8" w:rsidP="00121BE8">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None</w:t>
      </w:r>
      <w:r w:rsidR="00725F92" w:rsidRPr="00725F92">
        <w:rPr>
          <w:rFonts w:ascii="Times New Roman" w:hAnsi="Times New Roman" w:cs="Times New Roman"/>
          <w:sz w:val="24"/>
          <w:szCs w:val="24"/>
        </w:rPr>
        <w:t>.</w:t>
      </w:r>
    </w:p>
    <w:p w:rsidR="00725F92" w:rsidRPr="00725F92" w:rsidRDefault="00725F92" w:rsidP="00725F92">
      <w:pPr>
        <w:spacing w:after="0" w:line="240" w:lineRule="auto"/>
        <w:rPr>
          <w:rFonts w:ascii="Times New Roman" w:hAnsi="Times New Roman" w:cs="Times New Roman"/>
          <w:sz w:val="24"/>
          <w:szCs w:val="24"/>
        </w:rPr>
      </w:pPr>
    </w:p>
    <w:p w:rsidR="00121BE8" w:rsidRPr="00121BE8" w:rsidRDefault="00121BE8" w:rsidP="00121BE8">
      <w:pPr>
        <w:pStyle w:val="ListParagraph"/>
        <w:spacing w:after="0" w:line="240" w:lineRule="auto"/>
        <w:rPr>
          <w:rFonts w:ascii="Times New Roman" w:hAnsi="Times New Roman" w:cs="Times New Roman"/>
          <w:sz w:val="24"/>
          <w:szCs w:val="24"/>
        </w:rPr>
      </w:pPr>
    </w:p>
    <w:p w:rsidR="00725F92" w:rsidRPr="00725F92" w:rsidRDefault="00725F92" w:rsidP="00725F92">
      <w:pPr>
        <w:pStyle w:val="ListParagraph"/>
        <w:numPr>
          <w:ilvl w:val="0"/>
          <w:numId w:val="1"/>
        </w:numPr>
        <w:spacing w:after="0" w:line="240" w:lineRule="auto"/>
        <w:rPr>
          <w:rFonts w:ascii="Times New Roman" w:hAnsi="Times New Roman" w:cs="Times New Roman"/>
          <w:sz w:val="24"/>
          <w:szCs w:val="24"/>
        </w:rPr>
      </w:pPr>
      <w:r w:rsidRPr="00725F92">
        <w:rPr>
          <w:rFonts w:ascii="Times New Roman" w:hAnsi="Times New Roman" w:cs="Times New Roman"/>
          <w:sz w:val="24"/>
          <w:szCs w:val="24"/>
          <w:u w:val="single"/>
        </w:rPr>
        <w:t>Statistical Methods</w:t>
      </w:r>
    </w:p>
    <w:p w:rsidR="00725F92" w:rsidRPr="00725F92" w:rsidRDefault="00725F92" w:rsidP="00725F92">
      <w:pPr>
        <w:spacing w:after="0" w:line="240" w:lineRule="auto"/>
        <w:rPr>
          <w:rFonts w:ascii="Times New Roman" w:hAnsi="Times New Roman" w:cs="Times New Roman"/>
          <w:sz w:val="24"/>
          <w:szCs w:val="24"/>
        </w:rPr>
      </w:pPr>
    </w:p>
    <w:p w:rsidR="00725F92" w:rsidRPr="00725F92" w:rsidRDefault="00725F92" w:rsidP="00725F92">
      <w:pPr>
        <w:spacing w:after="0" w:line="240" w:lineRule="auto"/>
        <w:ind w:firstLine="720"/>
        <w:rPr>
          <w:rFonts w:ascii="Times New Roman" w:hAnsi="Times New Roman" w:cs="Times New Roman"/>
          <w:sz w:val="24"/>
          <w:szCs w:val="24"/>
        </w:rPr>
      </w:pPr>
      <w:r w:rsidRPr="00725F92">
        <w:rPr>
          <w:rFonts w:ascii="Times New Roman" w:hAnsi="Times New Roman" w:cs="Times New Roman"/>
          <w:sz w:val="24"/>
          <w:szCs w:val="24"/>
        </w:rPr>
        <w:t>Not applicable.</w:t>
      </w:r>
    </w:p>
    <w:p w:rsidR="00A90257" w:rsidRPr="00725F92" w:rsidRDefault="00A90257">
      <w:pPr>
        <w:rPr>
          <w:rFonts w:ascii="Times New Roman" w:hAnsi="Times New Roman" w:cs="Times New Roman"/>
          <w:sz w:val="24"/>
          <w:szCs w:val="24"/>
        </w:rPr>
      </w:pPr>
    </w:p>
    <w:sectPr w:rsidR="00A90257" w:rsidRPr="00725F9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007" w:rsidRDefault="00C12007" w:rsidP="00725F92">
      <w:pPr>
        <w:spacing w:after="0" w:line="240" w:lineRule="auto"/>
      </w:pPr>
      <w:r>
        <w:separator/>
      </w:r>
    </w:p>
  </w:endnote>
  <w:endnote w:type="continuationSeparator" w:id="0">
    <w:p w:rsidR="00C12007" w:rsidRDefault="00C12007" w:rsidP="00725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251" w:rsidRDefault="001542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9037315"/>
      <w:docPartObj>
        <w:docPartGallery w:val="Page Numbers (Bottom of Page)"/>
        <w:docPartUnique/>
      </w:docPartObj>
    </w:sdtPr>
    <w:sdtEndPr>
      <w:rPr>
        <w:rFonts w:ascii="Times New Roman" w:hAnsi="Times New Roman" w:cs="Times New Roman"/>
        <w:noProof/>
        <w:sz w:val="24"/>
        <w:szCs w:val="24"/>
      </w:rPr>
    </w:sdtEndPr>
    <w:sdtContent>
      <w:p w:rsidR="006F4D80" w:rsidRPr="006F4D80" w:rsidRDefault="006F4D80">
        <w:pPr>
          <w:pStyle w:val="Footer"/>
          <w:jc w:val="center"/>
          <w:rPr>
            <w:rFonts w:ascii="Times New Roman" w:hAnsi="Times New Roman" w:cs="Times New Roman"/>
            <w:sz w:val="24"/>
            <w:szCs w:val="24"/>
          </w:rPr>
        </w:pPr>
        <w:r w:rsidRPr="006F4D80">
          <w:rPr>
            <w:rFonts w:ascii="Times New Roman" w:hAnsi="Times New Roman" w:cs="Times New Roman"/>
            <w:sz w:val="24"/>
            <w:szCs w:val="24"/>
          </w:rPr>
          <w:fldChar w:fldCharType="begin"/>
        </w:r>
        <w:r w:rsidRPr="006F4D80">
          <w:rPr>
            <w:rFonts w:ascii="Times New Roman" w:hAnsi="Times New Roman" w:cs="Times New Roman"/>
            <w:sz w:val="24"/>
            <w:szCs w:val="24"/>
          </w:rPr>
          <w:instrText xml:space="preserve"> PAGE   \* MERGEFORMAT </w:instrText>
        </w:r>
        <w:r w:rsidRPr="006F4D80">
          <w:rPr>
            <w:rFonts w:ascii="Times New Roman" w:hAnsi="Times New Roman" w:cs="Times New Roman"/>
            <w:sz w:val="24"/>
            <w:szCs w:val="24"/>
          </w:rPr>
          <w:fldChar w:fldCharType="separate"/>
        </w:r>
        <w:r w:rsidR="00877DE9">
          <w:rPr>
            <w:rFonts w:ascii="Times New Roman" w:hAnsi="Times New Roman" w:cs="Times New Roman"/>
            <w:noProof/>
            <w:sz w:val="24"/>
            <w:szCs w:val="24"/>
          </w:rPr>
          <w:t>1</w:t>
        </w:r>
        <w:r w:rsidRPr="006F4D80">
          <w:rPr>
            <w:rFonts w:ascii="Times New Roman" w:hAnsi="Times New Roman" w:cs="Times New Roman"/>
            <w:noProof/>
            <w:sz w:val="24"/>
            <w:szCs w:val="24"/>
          </w:rPr>
          <w:fldChar w:fldCharType="end"/>
        </w:r>
      </w:p>
    </w:sdtContent>
  </w:sdt>
  <w:p w:rsidR="003B691B" w:rsidRDefault="003B69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251" w:rsidRDefault="001542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007" w:rsidRDefault="00C12007" w:rsidP="00725F92">
      <w:pPr>
        <w:spacing w:after="0" w:line="240" w:lineRule="auto"/>
      </w:pPr>
      <w:r>
        <w:separator/>
      </w:r>
    </w:p>
  </w:footnote>
  <w:footnote w:type="continuationSeparator" w:id="0">
    <w:p w:rsidR="00C12007" w:rsidRDefault="00C12007" w:rsidP="00725F92">
      <w:pPr>
        <w:spacing w:after="0" w:line="240" w:lineRule="auto"/>
      </w:pPr>
      <w:r>
        <w:continuationSeparator/>
      </w:r>
    </w:p>
  </w:footnote>
  <w:footnote w:id="1">
    <w:p w:rsidR="00725F92" w:rsidRDefault="00725F92" w:rsidP="00725F92">
      <w:pPr>
        <w:pStyle w:val="FootnoteText"/>
        <w:rPr>
          <w:sz w:val="24"/>
          <w:szCs w:val="24"/>
        </w:rPr>
      </w:pPr>
      <w:r w:rsidRPr="00EF7AE9">
        <w:rPr>
          <w:rStyle w:val="FootnoteReference"/>
          <w:vertAlign w:val="superscript"/>
        </w:rPr>
        <w:footnoteRef/>
      </w:r>
      <w:r w:rsidRPr="00EF7AE9">
        <w:rPr>
          <w:vertAlign w:val="superscript"/>
        </w:rPr>
        <w:t xml:space="preserve"> </w:t>
      </w:r>
      <w:r w:rsidRPr="00EF7AE9">
        <w:rPr>
          <w:u w:val="single"/>
        </w:rPr>
        <w:t xml:space="preserve">Real Estate Appraisals; </w:t>
      </w:r>
      <w:r w:rsidR="00D529FF">
        <w:rPr>
          <w:u w:val="single"/>
        </w:rPr>
        <w:t>Final Rule</w:t>
      </w:r>
      <w:r w:rsidRPr="00BA3B78">
        <w:t>,</w:t>
      </w:r>
      <w:r w:rsidRPr="00675B5D">
        <w:t xml:space="preserve"> </w:t>
      </w:r>
      <w:r w:rsidR="00D529FF">
        <w:t>83 FR 15019</w:t>
      </w:r>
      <w:r w:rsidRPr="00675B5D">
        <w:t xml:space="preserve"> (</w:t>
      </w:r>
      <w:r w:rsidR="00D529FF">
        <w:t>April 9, 2018</w:t>
      </w:r>
      <w:r w:rsidRPr="00675B5D">
        <w:t xml:space="preserve">). </w:t>
      </w:r>
      <w:r w:rsidR="00675B5D" w:rsidRPr="00675B5D">
        <w:t>The</w:t>
      </w:r>
      <w:r w:rsidR="00D529FF">
        <w:t xml:space="preserve"> final rule</w:t>
      </w:r>
      <w:r w:rsidR="00675B5D" w:rsidRPr="00675B5D">
        <w:t xml:space="preserve"> </w:t>
      </w:r>
      <w:r w:rsidR="00675B5D">
        <w:t xml:space="preserve">was issued </w:t>
      </w:r>
      <w:r w:rsidR="00675B5D" w:rsidRPr="00D36190">
        <w:t xml:space="preserve">by the FDIC, the </w:t>
      </w:r>
      <w:r w:rsidR="00675B5D" w:rsidRPr="00D36190">
        <w:rPr>
          <w:color w:val="000000" w:themeColor="text1"/>
        </w:rPr>
        <w:t>Office of the Comptroller of the Currency, Treasury and the Board of Governors of the Federal Reserve System</w:t>
      </w:r>
      <w:r w:rsidR="00EF7AE9">
        <w:rPr>
          <w:color w:val="000000" w:themeColor="text1"/>
        </w:rPr>
        <w:t>.</w:t>
      </w:r>
      <w:r w:rsidR="00675B5D" w:rsidRPr="00D36190">
        <w:rPr>
          <w:color w:val="000000" w:themeColor="text1"/>
        </w:rPr>
        <w:t xml:space="preserve"> </w:t>
      </w:r>
      <w:r w:rsidR="00D36190" w:rsidRPr="00D36190">
        <w:t xml:space="preserve">The FDIC </w:t>
      </w:r>
      <w:r w:rsidR="00D529FF">
        <w:t xml:space="preserve">issued this final rule </w:t>
      </w:r>
      <w:r w:rsidR="00D36190" w:rsidRPr="00D36190">
        <w:t xml:space="preserve">pursuant to </w:t>
      </w:r>
      <w:r w:rsidR="00D36190">
        <w:t xml:space="preserve">its authority under </w:t>
      </w:r>
      <w:r w:rsidR="00D36190" w:rsidRPr="00D36190">
        <w:t>12 U.S.C. 1818, 1819 and 1831p-1.</w:t>
      </w:r>
      <w:r w:rsidR="00D36190" w:rsidRPr="00675B5D">
        <w:rPr>
          <w:sz w:val="24"/>
          <w:szCs w:val="24"/>
        </w:rPr>
        <w:t xml:space="preserve"> </w:t>
      </w:r>
      <w:r w:rsidR="00D36190">
        <w:rPr>
          <w:sz w:val="24"/>
          <w:szCs w:val="24"/>
        </w:rPr>
        <w:t xml:space="preserve"> </w:t>
      </w:r>
    </w:p>
    <w:p w:rsidR="00E01D9F" w:rsidRPr="00675B5D" w:rsidRDefault="00E01D9F" w:rsidP="00725F92">
      <w:pPr>
        <w:pStyle w:val="FootnoteText"/>
      </w:pPr>
    </w:p>
  </w:footnote>
  <w:footnote w:id="2">
    <w:p w:rsidR="00675B5D" w:rsidRDefault="00675B5D">
      <w:pPr>
        <w:pStyle w:val="FootnoteText"/>
      </w:pPr>
      <w:r w:rsidRPr="00675B5D">
        <w:rPr>
          <w:rStyle w:val="FootnoteReference"/>
          <w:vertAlign w:val="superscript"/>
        </w:rPr>
        <w:footnoteRef/>
      </w:r>
      <w:r>
        <w:t xml:space="preserve"> </w:t>
      </w:r>
      <w:r w:rsidRPr="00675B5D">
        <w:t>12 CFR Part 323.</w:t>
      </w:r>
    </w:p>
    <w:p w:rsidR="00E01D9F" w:rsidRDefault="00E01D9F">
      <w:pPr>
        <w:pStyle w:val="FootnoteText"/>
      </w:pPr>
    </w:p>
  </w:footnote>
  <w:footnote w:id="3">
    <w:p w:rsidR="00BC71D9" w:rsidRDefault="00BC71D9" w:rsidP="00BC71D9">
      <w:pPr>
        <w:pStyle w:val="FootnoteText"/>
      </w:pPr>
      <w:r w:rsidRPr="00675B5D">
        <w:rPr>
          <w:rStyle w:val="FootnoteReference"/>
          <w:vertAlign w:val="superscript"/>
        </w:rPr>
        <w:footnoteRef/>
      </w:r>
      <w:r w:rsidRPr="000E1D5C">
        <w:t xml:space="preserve"> </w:t>
      </w:r>
      <w:r w:rsidRPr="000E1D5C">
        <w:rPr>
          <w:u w:val="single"/>
        </w:rPr>
        <w:t>See</w:t>
      </w:r>
      <w:r w:rsidRPr="000E1D5C">
        <w:t xml:space="preserve"> 59 FR 29482 (June 7, 1994).  </w:t>
      </w:r>
    </w:p>
    <w:p w:rsidR="00E01D9F" w:rsidRPr="000E1D5C" w:rsidRDefault="00E01D9F" w:rsidP="00BC71D9">
      <w:pPr>
        <w:pStyle w:val="FootnoteText"/>
      </w:pPr>
    </w:p>
  </w:footnote>
  <w:footnote w:id="4">
    <w:p w:rsidR="00BC71D9" w:rsidRDefault="00BC71D9" w:rsidP="00BC71D9">
      <w:pPr>
        <w:pStyle w:val="FootnoteText"/>
      </w:pPr>
      <w:r w:rsidRPr="00675B5D">
        <w:rPr>
          <w:rStyle w:val="FootnoteReference"/>
          <w:vertAlign w:val="superscript"/>
        </w:rPr>
        <w:footnoteRef/>
      </w:r>
      <w:r w:rsidRPr="000E1D5C">
        <w:t xml:space="preserve"> For loans and extensions of credit, the transaction value is the amount of the loan or extension of credit.  For sales, leases, purchases, investments in or exchanges of real property, the transaction value is the market value of the real property.  For the pooling of loans or interests in real property for resale or purchase, the transaction value is the amount of each such loan or the market value of each such real property, respectively.  </w:t>
      </w:r>
      <w:r w:rsidRPr="000E1D5C">
        <w:rPr>
          <w:u w:val="single"/>
        </w:rPr>
        <w:t>See</w:t>
      </w:r>
      <w:r w:rsidRPr="000E1D5C">
        <w:t xml:space="preserve"> CFR 323.2(m).</w:t>
      </w:r>
    </w:p>
    <w:p w:rsidR="00E01D9F" w:rsidRPr="000E1D5C" w:rsidRDefault="00E01D9F" w:rsidP="00BC71D9">
      <w:pPr>
        <w:pStyle w:val="FootnoteText"/>
      </w:pPr>
    </w:p>
  </w:footnote>
  <w:footnote w:id="5">
    <w:p w:rsidR="00D36190" w:rsidRDefault="00D36190" w:rsidP="00D36190">
      <w:pPr>
        <w:pStyle w:val="FootnoteText"/>
        <w:tabs>
          <w:tab w:val="left" w:pos="720"/>
        </w:tabs>
      </w:pPr>
      <w:r w:rsidRPr="00675B5D">
        <w:rPr>
          <w:rStyle w:val="FootnoteReference"/>
          <w:vertAlign w:val="superscript"/>
        </w:rPr>
        <w:footnoteRef/>
      </w:r>
      <w:r w:rsidRPr="00675B5D">
        <w:rPr>
          <w:vertAlign w:val="superscript"/>
        </w:rPr>
        <w:t xml:space="preserve"> </w:t>
      </w:r>
      <w:r>
        <w:rPr>
          <w:vertAlign w:val="superscript"/>
        </w:rPr>
        <w:t xml:space="preserve"> </w:t>
      </w:r>
      <w:r w:rsidRPr="0098214A">
        <w:rPr>
          <w:rFonts w:eastAsia="Calibri"/>
          <w:color w:val="000000" w:themeColor="text1"/>
        </w:rPr>
        <w:t>Qualifying business loans are business loans that are real estate-related financial transactions and that are not dependent on the sale of, or rental income derived from, real estate as the primary source of repayment.</w:t>
      </w:r>
      <w:r>
        <w:rPr>
          <w:rFonts w:eastAsia="Calibri"/>
          <w:color w:val="000000" w:themeColor="text1"/>
        </w:rPr>
        <w:t xml:space="preserve"> </w:t>
      </w:r>
      <w:r w:rsidRPr="000E1D5C">
        <w:t>12 CFR 323.3(a)(5).</w:t>
      </w:r>
    </w:p>
    <w:p w:rsidR="00E01D9F" w:rsidRPr="000E1D5C" w:rsidRDefault="00E01D9F" w:rsidP="00D36190">
      <w:pPr>
        <w:pStyle w:val="FootnoteText"/>
        <w:tabs>
          <w:tab w:val="left" w:pos="720"/>
        </w:tabs>
      </w:pPr>
    </w:p>
  </w:footnote>
  <w:footnote w:id="6">
    <w:p w:rsidR="00BC71D9" w:rsidRDefault="00BC71D9" w:rsidP="00BC71D9">
      <w:pPr>
        <w:pStyle w:val="FootnoteText"/>
      </w:pPr>
      <w:r w:rsidRPr="00675B5D">
        <w:rPr>
          <w:rStyle w:val="FootnoteReference"/>
          <w:vertAlign w:val="superscript"/>
        </w:rPr>
        <w:footnoteRef/>
      </w:r>
      <w:r w:rsidRPr="00675B5D">
        <w:rPr>
          <w:vertAlign w:val="superscript"/>
        </w:rPr>
        <w:t xml:space="preserve"> </w:t>
      </w:r>
      <w:r w:rsidRPr="000E1D5C">
        <w:rPr>
          <w:u w:val="single"/>
        </w:rPr>
        <w:t>See</w:t>
      </w:r>
      <w:r w:rsidRPr="000E1D5C">
        <w:t xml:space="preserve"> 12 CFR 323.3(a)(1) and (5).</w:t>
      </w:r>
    </w:p>
    <w:p w:rsidR="00E01D9F" w:rsidRPr="000E1D5C" w:rsidRDefault="00E01D9F" w:rsidP="00BC71D9">
      <w:pPr>
        <w:pStyle w:val="FootnoteText"/>
      </w:pPr>
    </w:p>
  </w:footnote>
  <w:footnote w:id="7">
    <w:p w:rsidR="00BF2334" w:rsidRDefault="00BF2334" w:rsidP="00BF2334">
      <w:pPr>
        <w:pStyle w:val="FootnoteText"/>
      </w:pPr>
      <w:r w:rsidRPr="00675B5D">
        <w:rPr>
          <w:rStyle w:val="FootnoteReference"/>
          <w:vertAlign w:val="superscript"/>
        </w:rPr>
        <w:footnoteRef/>
      </w:r>
      <w:r w:rsidRPr="000E1D5C">
        <w:t xml:space="preserve"> </w:t>
      </w:r>
      <w:r w:rsidRPr="000E1D5C">
        <w:rPr>
          <w:u w:val="single"/>
        </w:rPr>
        <w:t>See</w:t>
      </w:r>
      <w:r w:rsidRPr="000E1D5C">
        <w:t xml:space="preserve"> 12 CFR 323.3(b).</w:t>
      </w:r>
    </w:p>
    <w:p w:rsidR="00E01D9F" w:rsidRPr="0098214A" w:rsidRDefault="00E01D9F" w:rsidP="00BF2334">
      <w:pPr>
        <w:pStyle w:val="FootnoteText"/>
        <w:rPr>
          <w:sz w:val="24"/>
          <w:szCs w:val="24"/>
        </w:rPr>
      </w:pPr>
    </w:p>
  </w:footnote>
  <w:footnote w:id="8">
    <w:p w:rsidR="00725F92" w:rsidRDefault="00725F92" w:rsidP="00725F92">
      <w:pPr>
        <w:pStyle w:val="FootnoteText"/>
        <w:rPr>
          <w:rStyle w:val="Hyperlink"/>
        </w:rPr>
      </w:pPr>
      <w:r w:rsidRPr="002A442A">
        <w:rPr>
          <w:rStyle w:val="FootnoteReference"/>
          <w:rFonts w:eastAsia="Calibri"/>
          <w:vertAlign w:val="superscript"/>
        </w:rPr>
        <w:footnoteRef/>
      </w:r>
      <w:r w:rsidRPr="002A442A">
        <w:rPr>
          <w:vertAlign w:val="superscript"/>
        </w:rPr>
        <w:t xml:space="preserve"> </w:t>
      </w:r>
      <w:r w:rsidRPr="002A442A">
        <w:rPr>
          <w:color w:val="000000"/>
          <w:u w:val="single"/>
        </w:rPr>
        <w:t>See</w:t>
      </w:r>
      <w:r w:rsidRPr="002A442A">
        <w:rPr>
          <w:color w:val="000000"/>
        </w:rPr>
        <w:t xml:space="preserve"> </w:t>
      </w:r>
      <w:hyperlink r:id="rId1" w:history="1">
        <w:r w:rsidRPr="002A442A">
          <w:rPr>
            <w:rStyle w:val="Hyperlink"/>
          </w:rPr>
          <w:t>https://www.ffiec.gov/pdf/FFIEC_forms/FFIEC031_201703_f.pdf</w:t>
        </w:r>
      </w:hyperlink>
      <w:r w:rsidRPr="002A442A">
        <w:rPr>
          <w:rStyle w:val="Hyperlink"/>
        </w:rPr>
        <w:t>.</w:t>
      </w:r>
    </w:p>
    <w:p w:rsidR="00E01D9F" w:rsidRPr="002A442A" w:rsidRDefault="00E01D9F" w:rsidP="00725F92">
      <w:pPr>
        <w:pStyle w:val="FootnoteText"/>
      </w:pPr>
    </w:p>
  </w:footnote>
  <w:footnote w:id="9">
    <w:p w:rsidR="00725F92" w:rsidRDefault="00725F92" w:rsidP="00725F92">
      <w:pPr>
        <w:pStyle w:val="FootnoteText"/>
      </w:pPr>
      <w:r w:rsidRPr="00725F92">
        <w:rPr>
          <w:rStyle w:val="FootnoteReference"/>
          <w:vertAlign w:val="superscript"/>
        </w:rPr>
        <w:footnoteRef/>
      </w:r>
      <w:r w:rsidRPr="00725F92">
        <w:t xml:space="preserve"> 5 U.S.C. 601 </w:t>
      </w:r>
      <w:r w:rsidRPr="00725F92">
        <w:rPr>
          <w:u w:val="single"/>
        </w:rPr>
        <w:t>et seq</w:t>
      </w:r>
      <w:r w:rsidRPr="00725F92">
        <w:t>.</w:t>
      </w:r>
    </w:p>
    <w:p w:rsidR="00E01D9F" w:rsidRPr="00725F92" w:rsidRDefault="00E01D9F" w:rsidP="00725F92">
      <w:pPr>
        <w:pStyle w:val="FootnoteText"/>
      </w:pPr>
    </w:p>
  </w:footnote>
  <w:footnote w:id="10">
    <w:p w:rsidR="00725F92" w:rsidRDefault="00725F92" w:rsidP="00725F92">
      <w:pPr>
        <w:pStyle w:val="FootnoteText"/>
      </w:pPr>
      <w:r w:rsidRPr="00725F92">
        <w:rPr>
          <w:rStyle w:val="FootnoteReference"/>
          <w:vertAlign w:val="superscript"/>
        </w:rPr>
        <w:footnoteRef/>
      </w:r>
      <w:r w:rsidRPr="00725F92">
        <w:rPr>
          <w:vertAlign w:val="superscript"/>
        </w:rPr>
        <w:t xml:space="preserve">  </w:t>
      </w:r>
      <w:r w:rsidRPr="00725F92">
        <w:t>The definition of “Commercial Real Estate Transaction” largely capture</w:t>
      </w:r>
      <w:r w:rsidR="00B47C7B">
        <w:t>s</w:t>
      </w:r>
      <w:r w:rsidRPr="00725F92">
        <w:t xml:space="preserve"> the following four categories of loans secured by real estate in the Call Report (FFIEC 031; RCFD 1410), namely loans that are: (1) for construction, land development, and other land loans; (2) secured by farmland; (3) secured by residential properties with five or more units; or (4) secured by nonfarm nonresidential properties.  However, loans that provide both initial construction funding and permanent financing and are reported as construction, land development, and other land loans during the construction phase </w:t>
      </w:r>
      <w:r w:rsidR="00B47C7B">
        <w:t>are</w:t>
      </w:r>
      <w:r w:rsidRPr="00725F92">
        <w:t xml:space="preserve"> excluded from the definition.</w:t>
      </w:r>
    </w:p>
    <w:p w:rsidR="00E01D9F" w:rsidRPr="0098214A" w:rsidRDefault="00E01D9F" w:rsidP="00725F92">
      <w:pPr>
        <w:pStyle w:val="FootnoteText"/>
        <w:rPr>
          <w:sz w:val="24"/>
          <w:szCs w:val="24"/>
        </w:rPr>
      </w:pPr>
    </w:p>
  </w:footnote>
  <w:footnote w:id="11">
    <w:p w:rsidR="00AC7697" w:rsidRPr="000A7C1B" w:rsidRDefault="00AC7697" w:rsidP="00AC7697">
      <w:pPr>
        <w:pStyle w:val="FootnoteText"/>
      </w:pPr>
      <w:r w:rsidRPr="000A7C1B">
        <w:rPr>
          <w:rStyle w:val="FootnoteReference"/>
          <w:vertAlign w:val="superscript"/>
        </w:rPr>
        <w:footnoteRef/>
      </w:r>
      <w:r w:rsidRPr="000A7C1B">
        <w:t xml:space="preserve"> </w:t>
      </w:r>
      <w:r w:rsidR="000A7C1B" w:rsidRPr="000A7C1B">
        <w:t>The FDIC estimates that the average hourly compensation for a loan officer is $67.29 an hour.  The hourly compensation estimate is based on published compensation rates for Credit Counselors and Loan Officers ($43.40).  The estimate includes the September 2017 75th percentile hourly wage rate reported by the Bureau of Labor Statistics, National Industry-Specific Occupational Employment and Wage Estimates for the Depository Credit Intermediation sector.  The reported hourly wage rate is grossed up by 155.0 percent to account for non-monetary compensation as reported by the 3</w:t>
      </w:r>
      <w:r w:rsidR="000A7C1B" w:rsidRPr="000A7C1B">
        <w:rPr>
          <w:vertAlign w:val="superscript"/>
        </w:rPr>
        <w:t>rd</w:t>
      </w:r>
      <w:r w:rsidR="000A7C1B" w:rsidRPr="000A7C1B">
        <w:t xml:space="preserve"> Quarter 2017 Employer Costs for Employee Compensation Data.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251" w:rsidRDefault="001542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251" w:rsidRDefault="0015425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251" w:rsidRDefault="001542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564D1"/>
    <w:multiLevelType w:val="hybridMultilevel"/>
    <w:tmpl w:val="1054C5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CA68F9"/>
    <w:multiLevelType w:val="hybridMultilevel"/>
    <w:tmpl w:val="752A683A"/>
    <w:lvl w:ilvl="0" w:tplc="77660EAE">
      <w:start w:val="1"/>
      <w:numFmt w:val="decimal"/>
      <w:lvlText w:val="%1."/>
      <w:lvlJc w:val="left"/>
      <w:pPr>
        <w:ind w:left="720" w:firstLine="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F92"/>
    <w:rsid w:val="00057323"/>
    <w:rsid w:val="000A7C1B"/>
    <w:rsid w:val="00121BE8"/>
    <w:rsid w:val="00154251"/>
    <w:rsid w:val="001C693B"/>
    <w:rsid w:val="002850CA"/>
    <w:rsid w:val="002A442A"/>
    <w:rsid w:val="003A2792"/>
    <w:rsid w:val="003B691B"/>
    <w:rsid w:val="004775DF"/>
    <w:rsid w:val="00643A12"/>
    <w:rsid w:val="00675B5D"/>
    <w:rsid w:val="006F4D80"/>
    <w:rsid w:val="00711475"/>
    <w:rsid w:val="00725F92"/>
    <w:rsid w:val="007364BF"/>
    <w:rsid w:val="00737F2B"/>
    <w:rsid w:val="00831CC1"/>
    <w:rsid w:val="0086318F"/>
    <w:rsid w:val="00877DE9"/>
    <w:rsid w:val="008A2305"/>
    <w:rsid w:val="00A05F65"/>
    <w:rsid w:val="00A77932"/>
    <w:rsid w:val="00A90257"/>
    <w:rsid w:val="00AC7697"/>
    <w:rsid w:val="00AE0544"/>
    <w:rsid w:val="00B47C7B"/>
    <w:rsid w:val="00BA3B78"/>
    <w:rsid w:val="00BC71D9"/>
    <w:rsid w:val="00BF2334"/>
    <w:rsid w:val="00C12007"/>
    <w:rsid w:val="00C331C0"/>
    <w:rsid w:val="00CB3EDF"/>
    <w:rsid w:val="00CD14F8"/>
    <w:rsid w:val="00CF0C3B"/>
    <w:rsid w:val="00D36190"/>
    <w:rsid w:val="00D529FF"/>
    <w:rsid w:val="00D552FF"/>
    <w:rsid w:val="00E01D9F"/>
    <w:rsid w:val="00E50A35"/>
    <w:rsid w:val="00E7672B"/>
    <w:rsid w:val="00EF7AE9"/>
    <w:rsid w:val="00FF5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Footnote Reference Superscript,SUPERS,BVI fnr,Footnote symbol,Footnote,(Footnote Reference),Footnote reference number,note TESI,EN Footnote Reference,Voetnootverwijzing,Times 10 Point,Exposant 3 Point,Appel note de bas d,Style 19"/>
    <w:qFormat/>
    <w:rsid w:val="00725F92"/>
  </w:style>
  <w:style w:type="paragraph" w:styleId="FootnoteText">
    <w:name w:val="footnote text"/>
    <w:aliases w:val="Footnote Text Char Char,ft,fn,ALTS FOOTNOTE,Style 15,Style 40 Char Char,Style 40 Char,Footnote Text Char Char Char Char Char Char Char Char Char Char Char Char Char Char Char Char Char,Footnote Text Char1 Char Char,ORP Footnote,Car,Char"/>
    <w:basedOn w:val="Normal"/>
    <w:link w:val="FootnoteTextChar"/>
    <w:qFormat/>
    <w:rsid w:val="00725F9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ft Char,fn Char,ALTS FOOTNOTE Char,Style 15 Char,Style 40 Char Char Char,Style 40 Char Char1,Footnote Text Char Char Char Char Char Char Char Char Char Char Char Char Char Char Char Char Char Char,Car Char"/>
    <w:basedOn w:val="DefaultParagraphFont"/>
    <w:link w:val="FootnoteText"/>
    <w:rsid w:val="00725F92"/>
    <w:rPr>
      <w:rFonts w:ascii="Times New Roman" w:eastAsia="Times New Roman" w:hAnsi="Times New Roman" w:cs="Times New Roman"/>
      <w:sz w:val="20"/>
      <w:szCs w:val="20"/>
    </w:rPr>
  </w:style>
  <w:style w:type="paragraph" w:customStyle="1" w:styleId="Default">
    <w:name w:val="Default"/>
    <w:rsid w:val="00725F9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uiPriority w:val="99"/>
    <w:rsid w:val="00725F92"/>
    <w:rPr>
      <w:rFonts w:cs="Times New Roman"/>
      <w:color w:val="0000FF"/>
      <w:u w:val="single"/>
    </w:rPr>
  </w:style>
  <w:style w:type="character" w:styleId="FollowedHyperlink">
    <w:name w:val="FollowedHyperlink"/>
    <w:basedOn w:val="DefaultParagraphFont"/>
    <w:uiPriority w:val="99"/>
    <w:semiHidden/>
    <w:unhideWhenUsed/>
    <w:rsid w:val="00725F92"/>
    <w:rPr>
      <w:color w:val="800080" w:themeColor="followedHyperlink"/>
      <w:u w:val="single"/>
    </w:rPr>
  </w:style>
  <w:style w:type="paragraph" w:styleId="ListParagraph">
    <w:name w:val="List Paragraph"/>
    <w:basedOn w:val="Normal"/>
    <w:uiPriority w:val="34"/>
    <w:qFormat/>
    <w:rsid w:val="00725F92"/>
    <w:pPr>
      <w:ind w:left="720"/>
      <w:contextualSpacing/>
    </w:pPr>
  </w:style>
  <w:style w:type="paragraph" w:styleId="Header">
    <w:name w:val="header"/>
    <w:basedOn w:val="Normal"/>
    <w:link w:val="HeaderChar"/>
    <w:uiPriority w:val="99"/>
    <w:unhideWhenUsed/>
    <w:rsid w:val="003B69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691B"/>
  </w:style>
  <w:style w:type="paragraph" w:styleId="Footer">
    <w:name w:val="footer"/>
    <w:basedOn w:val="Normal"/>
    <w:link w:val="FooterChar"/>
    <w:uiPriority w:val="99"/>
    <w:unhideWhenUsed/>
    <w:rsid w:val="003B69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91B"/>
  </w:style>
  <w:style w:type="paragraph" w:styleId="BalloonText">
    <w:name w:val="Balloon Text"/>
    <w:basedOn w:val="Normal"/>
    <w:link w:val="BalloonTextChar"/>
    <w:uiPriority w:val="99"/>
    <w:semiHidden/>
    <w:unhideWhenUsed/>
    <w:rsid w:val="003B69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691B"/>
    <w:rPr>
      <w:rFonts w:ascii="Tahoma" w:hAnsi="Tahoma" w:cs="Tahoma"/>
      <w:sz w:val="16"/>
      <w:szCs w:val="16"/>
    </w:rPr>
  </w:style>
  <w:style w:type="character" w:styleId="CommentReference">
    <w:name w:val="annotation reference"/>
    <w:basedOn w:val="DefaultParagraphFont"/>
    <w:uiPriority w:val="99"/>
    <w:semiHidden/>
    <w:unhideWhenUsed/>
    <w:rsid w:val="00A05F65"/>
    <w:rPr>
      <w:sz w:val="16"/>
      <w:szCs w:val="16"/>
    </w:rPr>
  </w:style>
  <w:style w:type="paragraph" w:styleId="CommentText">
    <w:name w:val="annotation text"/>
    <w:basedOn w:val="Normal"/>
    <w:link w:val="CommentTextChar"/>
    <w:uiPriority w:val="99"/>
    <w:semiHidden/>
    <w:unhideWhenUsed/>
    <w:rsid w:val="00A05F65"/>
    <w:pPr>
      <w:spacing w:line="240" w:lineRule="auto"/>
    </w:pPr>
    <w:rPr>
      <w:sz w:val="20"/>
      <w:szCs w:val="20"/>
    </w:rPr>
  </w:style>
  <w:style w:type="character" w:customStyle="1" w:styleId="CommentTextChar">
    <w:name w:val="Comment Text Char"/>
    <w:basedOn w:val="DefaultParagraphFont"/>
    <w:link w:val="CommentText"/>
    <w:uiPriority w:val="99"/>
    <w:semiHidden/>
    <w:rsid w:val="00A05F65"/>
    <w:rPr>
      <w:sz w:val="20"/>
      <w:szCs w:val="20"/>
    </w:rPr>
  </w:style>
  <w:style w:type="paragraph" w:styleId="CommentSubject">
    <w:name w:val="annotation subject"/>
    <w:basedOn w:val="CommentText"/>
    <w:next w:val="CommentText"/>
    <w:link w:val="CommentSubjectChar"/>
    <w:uiPriority w:val="99"/>
    <w:semiHidden/>
    <w:unhideWhenUsed/>
    <w:rsid w:val="00A05F65"/>
    <w:rPr>
      <w:b/>
      <w:bCs/>
    </w:rPr>
  </w:style>
  <w:style w:type="character" w:customStyle="1" w:styleId="CommentSubjectChar">
    <w:name w:val="Comment Subject Char"/>
    <w:basedOn w:val="CommentTextChar"/>
    <w:link w:val="CommentSubject"/>
    <w:uiPriority w:val="99"/>
    <w:semiHidden/>
    <w:rsid w:val="00A05F6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Footnote Reference Superscript,SUPERS,BVI fnr,Footnote symbol,Footnote,(Footnote Reference),Footnote reference number,note TESI,EN Footnote Reference,Voetnootverwijzing,Times 10 Point,Exposant 3 Point,Appel note de bas d,Style 19"/>
    <w:qFormat/>
    <w:rsid w:val="00725F92"/>
  </w:style>
  <w:style w:type="paragraph" w:styleId="FootnoteText">
    <w:name w:val="footnote text"/>
    <w:aliases w:val="Footnote Text Char Char,ft,fn,ALTS FOOTNOTE,Style 15,Style 40 Char Char,Style 40 Char,Footnote Text Char Char Char Char Char Char Char Char Char Char Char Char Char Char Char Char Char,Footnote Text Char1 Char Char,ORP Footnote,Car,Char"/>
    <w:basedOn w:val="Normal"/>
    <w:link w:val="FootnoteTextChar"/>
    <w:qFormat/>
    <w:rsid w:val="00725F9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ft Char,fn Char,ALTS FOOTNOTE Char,Style 15 Char,Style 40 Char Char Char,Style 40 Char Char1,Footnote Text Char Char Char Char Char Char Char Char Char Char Char Char Char Char Char Char Char Char,Car Char"/>
    <w:basedOn w:val="DefaultParagraphFont"/>
    <w:link w:val="FootnoteText"/>
    <w:rsid w:val="00725F92"/>
    <w:rPr>
      <w:rFonts w:ascii="Times New Roman" w:eastAsia="Times New Roman" w:hAnsi="Times New Roman" w:cs="Times New Roman"/>
      <w:sz w:val="20"/>
      <w:szCs w:val="20"/>
    </w:rPr>
  </w:style>
  <w:style w:type="paragraph" w:customStyle="1" w:styleId="Default">
    <w:name w:val="Default"/>
    <w:rsid w:val="00725F9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uiPriority w:val="99"/>
    <w:rsid w:val="00725F92"/>
    <w:rPr>
      <w:rFonts w:cs="Times New Roman"/>
      <w:color w:val="0000FF"/>
      <w:u w:val="single"/>
    </w:rPr>
  </w:style>
  <w:style w:type="character" w:styleId="FollowedHyperlink">
    <w:name w:val="FollowedHyperlink"/>
    <w:basedOn w:val="DefaultParagraphFont"/>
    <w:uiPriority w:val="99"/>
    <w:semiHidden/>
    <w:unhideWhenUsed/>
    <w:rsid w:val="00725F92"/>
    <w:rPr>
      <w:color w:val="800080" w:themeColor="followedHyperlink"/>
      <w:u w:val="single"/>
    </w:rPr>
  </w:style>
  <w:style w:type="paragraph" w:styleId="ListParagraph">
    <w:name w:val="List Paragraph"/>
    <w:basedOn w:val="Normal"/>
    <w:uiPriority w:val="34"/>
    <w:qFormat/>
    <w:rsid w:val="00725F92"/>
    <w:pPr>
      <w:ind w:left="720"/>
      <w:contextualSpacing/>
    </w:pPr>
  </w:style>
  <w:style w:type="paragraph" w:styleId="Header">
    <w:name w:val="header"/>
    <w:basedOn w:val="Normal"/>
    <w:link w:val="HeaderChar"/>
    <w:uiPriority w:val="99"/>
    <w:unhideWhenUsed/>
    <w:rsid w:val="003B69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691B"/>
  </w:style>
  <w:style w:type="paragraph" w:styleId="Footer">
    <w:name w:val="footer"/>
    <w:basedOn w:val="Normal"/>
    <w:link w:val="FooterChar"/>
    <w:uiPriority w:val="99"/>
    <w:unhideWhenUsed/>
    <w:rsid w:val="003B69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91B"/>
  </w:style>
  <w:style w:type="paragraph" w:styleId="BalloonText">
    <w:name w:val="Balloon Text"/>
    <w:basedOn w:val="Normal"/>
    <w:link w:val="BalloonTextChar"/>
    <w:uiPriority w:val="99"/>
    <w:semiHidden/>
    <w:unhideWhenUsed/>
    <w:rsid w:val="003B69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691B"/>
    <w:rPr>
      <w:rFonts w:ascii="Tahoma" w:hAnsi="Tahoma" w:cs="Tahoma"/>
      <w:sz w:val="16"/>
      <w:szCs w:val="16"/>
    </w:rPr>
  </w:style>
  <w:style w:type="character" w:styleId="CommentReference">
    <w:name w:val="annotation reference"/>
    <w:basedOn w:val="DefaultParagraphFont"/>
    <w:uiPriority w:val="99"/>
    <w:semiHidden/>
    <w:unhideWhenUsed/>
    <w:rsid w:val="00A05F65"/>
    <w:rPr>
      <w:sz w:val="16"/>
      <w:szCs w:val="16"/>
    </w:rPr>
  </w:style>
  <w:style w:type="paragraph" w:styleId="CommentText">
    <w:name w:val="annotation text"/>
    <w:basedOn w:val="Normal"/>
    <w:link w:val="CommentTextChar"/>
    <w:uiPriority w:val="99"/>
    <w:semiHidden/>
    <w:unhideWhenUsed/>
    <w:rsid w:val="00A05F65"/>
    <w:pPr>
      <w:spacing w:line="240" w:lineRule="auto"/>
    </w:pPr>
    <w:rPr>
      <w:sz w:val="20"/>
      <w:szCs w:val="20"/>
    </w:rPr>
  </w:style>
  <w:style w:type="character" w:customStyle="1" w:styleId="CommentTextChar">
    <w:name w:val="Comment Text Char"/>
    <w:basedOn w:val="DefaultParagraphFont"/>
    <w:link w:val="CommentText"/>
    <w:uiPriority w:val="99"/>
    <w:semiHidden/>
    <w:rsid w:val="00A05F65"/>
    <w:rPr>
      <w:sz w:val="20"/>
      <w:szCs w:val="20"/>
    </w:rPr>
  </w:style>
  <w:style w:type="paragraph" w:styleId="CommentSubject">
    <w:name w:val="annotation subject"/>
    <w:basedOn w:val="CommentText"/>
    <w:next w:val="CommentText"/>
    <w:link w:val="CommentSubjectChar"/>
    <w:uiPriority w:val="99"/>
    <w:semiHidden/>
    <w:unhideWhenUsed/>
    <w:rsid w:val="00A05F65"/>
    <w:rPr>
      <w:b/>
      <w:bCs/>
    </w:rPr>
  </w:style>
  <w:style w:type="character" w:customStyle="1" w:styleId="CommentSubjectChar">
    <w:name w:val="Comment Subject Char"/>
    <w:basedOn w:val="CommentTextChar"/>
    <w:link w:val="CommentSubject"/>
    <w:uiPriority w:val="99"/>
    <w:semiHidden/>
    <w:rsid w:val="00A05F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423683">
      <w:bodyDiv w:val="1"/>
      <w:marLeft w:val="0"/>
      <w:marRight w:val="0"/>
      <w:marTop w:val="0"/>
      <w:marBottom w:val="0"/>
      <w:divBdr>
        <w:top w:val="none" w:sz="0" w:space="0" w:color="auto"/>
        <w:left w:val="none" w:sz="0" w:space="0" w:color="auto"/>
        <w:bottom w:val="none" w:sz="0" w:space="0" w:color="auto"/>
        <w:right w:val="none" w:sz="0" w:space="0" w:color="auto"/>
      </w:divBdr>
    </w:div>
    <w:div w:id="142823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fiec.gov/pdf/FFIEC_forms/FFIEC031_201703_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1567</Words>
  <Characters>8933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2018-04-12T14:21:00Z</dcterms:created>
  <dcterms:modified xsi:type="dcterms:W3CDTF">2018-04-12T14:21:00Z</dcterms:modified>
</cp:coreProperties>
</file>