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41" w:rsidRDefault="00A10641">
      <w:pPr>
        <w:suppressAutoHyphens/>
        <w:jc w:val="center"/>
        <w:rPr>
          <w:rFonts w:ascii="Times New Roman" w:hAnsi="Times New Roman"/>
        </w:rPr>
      </w:pPr>
      <w:bookmarkStart w:id="0" w:name="_GoBack"/>
      <w:bookmarkEnd w:id="0"/>
      <w:r>
        <w:rPr>
          <w:rFonts w:ascii="Times New Roman" w:hAnsi="Times New Roman"/>
        </w:rPr>
        <w:t>SUPPORTING STATEMENT</w:t>
      </w:r>
    </w:p>
    <w:p w:rsidR="00A10641" w:rsidRDefault="00A10641">
      <w:pPr>
        <w:suppressAutoHyphens/>
        <w:jc w:val="center"/>
        <w:rPr>
          <w:rFonts w:ascii="Times New Roman" w:hAnsi="Times New Roman"/>
        </w:rPr>
      </w:pPr>
      <w:r>
        <w:rPr>
          <w:rFonts w:ascii="Times New Roman" w:hAnsi="Times New Roman"/>
        </w:rPr>
        <w:t>NOTICE OF BRANCH CLOSURE</w:t>
      </w:r>
    </w:p>
    <w:p w:rsidR="00A10641" w:rsidRDefault="00A10641">
      <w:pPr>
        <w:suppressAutoHyphens/>
        <w:jc w:val="center"/>
        <w:rPr>
          <w:rFonts w:ascii="Times New Roman" w:hAnsi="Times New Roman"/>
        </w:rPr>
      </w:pPr>
      <w:r>
        <w:rPr>
          <w:rFonts w:ascii="Times New Roman" w:hAnsi="Times New Roman"/>
        </w:rPr>
        <w:t>(OMB No. 3064-0109)</w:t>
      </w:r>
    </w:p>
    <w:p w:rsidR="00A10641" w:rsidRDefault="00A10641">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u w:val="single"/>
        </w:rPr>
        <w:t>INTRODUCTION</w:t>
      </w:r>
    </w:p>
    <w:p w:rsidR="00A10641" w:rsidRDefault="00A10641">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rPr>
        <w:t>The Federal Deposit Insurance Corpora</w:t>
      </w:r>
      <w:r w:rsidR="00821F26">
        <w:rPr>
          <w:rFonts w:ascii="Times New Roman" w:hAnsi="Times New Roman"/>
        </w:rPr>
        <w:t xml:space="preserve">tion is requesting an extension, without change, </w:t>
      </w:r>
      <w:r>
        <w:rPr>
          <w:rFonts w:ascii="Times New Roman" w:hAnsi="Times New Roman"/>
        </w:rPr>
        <w:t>of the currently</w:t>
      </w:r>
      <w:r w:rsidR="00F856B0">
        <w:rPr>
          <w:rFonts w:ascii="Times New Roman" w:hAnsi="Times New Roman"/>
        </w:rPr>
        <w:t>-</w:t>
      </w:r>
      <w:r>
        <w:rPr>
          <w:rFonts w:ascii="Times New Roman" w:hAnsi="Times New Roman"/>
        </w:rPr>
        <w:t>approved information collection captioned above</w:t>
      </w:r>
      <w:r w:rsidR="00821F26">
        <w:rPr>
          <w:rFonts w:ascii="Times New Roman" w:hAnsi="Times New Roman"/>
        </w:rPr>
        <w:t>.</w:t>
      </w:r>
      <w:r>
        <w:rPr>
          <w:rFonts w:ascii="Times New Roman" w:hAnsi="Times New Roman"/>
        </w:rPr>
        <w:t xml:space="preserve">  The current clearance for the collection expires on </w:t>
      </w:r>
      <w:r w:rsidR="00B32BB8">
        <w:rPr>
          <w:rFonts w:ascii="Times New Roman" w:hAnsi="Times New Roman"/>
        </w:rPr>
        <w:t>July 31</w:t>
      </w:r>
      <w:r w:rsidR="00CB0D1A" w:rsidRPr="00CB70C1">
        <w:rPr>
          <w:rFonts w:ascii="Times New Roman" w:hAnsi="Times New Roman"/>
        </w:rPr>
        <w:t xml:space="preserve">, </w:t>
      </w:r>
      <w:r w:rsidR="00B32BB8">
        <w:rPr>
          <w:rFonts w:ascii="Times New Roman" w:hAnsi="Times New Roman"/>
        </w:rPr>
        <w:t>2018</w:t>
      </w:r>
      <w:r>
        <w:rPr>
          <w:rFonts w:ascii="Times New Roman" w:hAnsi="Times New Roman"/>
        </w:rPr>
        <w:t xml:space="preserve">.  </w:t>
      </w:r>
    </w:p>
    <w:p w:rsidR="00F856B0" w:rsidRDefault="00F856B0">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1.</w:t>
      </w:r>
      <w:r>
        <w:rPr>
          <w:rFonts w:ascii="Times New Roman" w:hAnsi="Times New Roman"/>
        </w:rPr>
        <w:tab/>
      </w:r>
      <w:r>
        <w:rPr>
          <w:rFonts w:ascii="Times New Roman" w:hAnsi="Times New Roman"/>
          <w:u w:val="single"/>
        </w:rPr>
        <w:t>Circumstances and Need</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Section 42 of the Federal Deposit Insurance Act mandates that an institution closing a branch notify its primary federal regulator not later than 90 days prior to the closing.  The statute also provides that a notice be posted on the premises of the branch for the 30</w:t>
      </w:r>
      <w:r>
        <w:rPr>
          <w:rFonts w:ascii="Times New Roman" w:hAnsi="Times New Roman"/>
        </w:rPr>
        <w:noBreakHyphen/>
        <w:t xml:space="preserve">day period immediately prior to the closing and that the customers be notified in a mailing at least 90 days prior to the closing.  Each insured depository institution </w:t>
      </w:r>
      <w:r w:rsidR="00B32BB8">
        <w:rPr>
          <w:rFonts w:ascii="Times New Roman" w:hAnsi="Times New Roman"/>
        </w:rPr>
        <w:t xml:space="preserve">that has one or more branches </w:t>
      </w:r>
      <w:r>
        <w:rPr>
          <w:rFonts w:ascii="Times New Roman" w:hAnsi="Times New Roman"/>
        </w:rPr>
        <w:t xml:space="preserve">is required to adopt </w:t>
      </w:r>
      <w:r w:rsidR="00B32BB8">
        <w:rPr>
          <w:rFonts w:ascii="Times New Roman" w:hAnsi="Times New Roman"/>
        </w:rPr>
        <w:t xml:space="preserve">a written policy </w:t>
      </w:r>
      <w:r>
        <w:rPr>
          <w:rFonts w:ascii="Times New Roman" w:hAnsi="Times New Roman"/>
        </w:rPr>
        <w:t>for branch closings.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 xml:space="preserve">This section charges the FDIC with the responsibility of enforcing the provisions and filing requirements.  To fulfill its statutory mandate, the FDIC in cooperation with other federal financial institution regulators developed an Interagency Policy Statement on Advance Notice of Branch Closings. </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2.</w:t>
      </w:r>
      <w:r>
        <w:rPr>
          <w:rFonts w:ascii="Times New Roman" w:hAnsi="Times New Roman"/>
        </w:rPr>
        <w:tab/>
      </w:r>
      <w:r>
        <w:rPr>
          <w:rFonts w:ascii="Times New Roman" w:hAnsi="Times New Roman"/>
          <w:u w:val="single"/>
        </w:rPr>
        <w:t>Use of Information Collected</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The information in the notices and in the policy statements is used by the FDIC as part of its oversight of an institution's record of serving the needs of its community.  Such information allows the FDIC to make judgments of the reasonableness of the bank's record of opening and closing offices.</w:t>
      </w:r>
    </w:p>
    <w:p w:rsidR="00A10641" w:rsidRDefault="00A10641">
      <w:pPr>
        <w:suppressAutoHyphens/>
        <w:ind w:left="1080" w:hanging="1080"/>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u w:val="single"/>
        </w:rPr>
        <w:t>Use of Technology to Reduce Burden</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The FDIC has an interactive website, FDIC</w:t>
      </w:r>
      <w:r>
        <w:rPr>
          <w:rFonts w:ascii="Times New Roman" w:hAnsi="Times New Roman"/>
          <w:i/>
        </w:rPr>
        <w:t>connect</w:t>
      </w:r>
      <w:r>
        <w:rPr>
          <w:rFonts w:ascii="Times New Roman" w:hAnsi="Times New Roman"/>
        </w:rPr>
        <w:t>, that allows insured institutions to submit certain filings to the FDIC electronically.</w:t>
      </w:r>
      <w:r>
        <w:rPr>
          <w:rFonts w:ascii="Times New Roman" w:hAnsi="Times New Roman"/>
        </w:rPr>
        <w:br w:type="page"/>
      </w:r>
    </w:p>
    <w:p w:rsidR="00A10641" w:rsidRDefault="00A10641">
      <w:pPr>
        <w:suppressAutoHyphens/>
        <w:ind w:left="1080" w:hanging="1080"/>
        <w:rPr>
          <w:rFonts w:ascii="Times New Roman" w:hAnsi="Times New Roman"/>
        </w:rPr>
      </w:pPr>
      <w:r>
        <w:rPr>
          <w:rFonts w:ascii="Times New Roman" w:hAnsi="Times New Roman"/>
        </w:rPr>
        <w:lastRenderedPageBreak/>
        <w:tab/>
        <w:t>4.</w:t>
      </w:r>
      <w:r>
        <w:rPr>
          <w:rFonts w:ascii="Times New Roman" w:hAnsi="Times New Roman"/>
        </w:rPr>
        <w:tab/>
      </w:r>
      <w:r>
        <w:rPr>
          <w:rFonts w:ascii="Times New Roman" w:hAnsi="Times New Roman"/>
          <w:u w:val="single"/>
        </w:rPr>
        <w:t>Efforts to Identify Duplication</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 xml:space="preserve">These collection requirements parallel the statutory language of Section 42.  The FDIC works closely with other Federal financial institution regulators to assure interpretation of the requirements is uniform and does not involve any duplicated information.  There is no similar information available to the FDIC. </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5.</w:t>
      </w:r>
      <w:r>
        <w:rPr>
          <w:rFonts w:ascii="Times New Roman" w:hAnsi="Times New Roman"/>
        </w:rPr>
        <w:tab/>
      </w:r>
      <w:r>
        <w:rPr>
          <w:rFonts w:ascii="Times New Roman" w:hAnsi="Times New Roman"/>
          <w:u w:val="single"/>
        </w:rPr>
        <w:t>Minimizing the Burden on Small Institutions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An exception has been granted to the requirement to formulate policies for branch closure for institutions that currently do not have a branch office.  All other institutions, regardless of size, must submit the same notices and formulate the same type polices.  The notice requirements parallel the statutory requirements of Section 42.</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6.</w:t>
      </w:r>
      <w:r>
        <w:rPr>
          <w:rFonts w:ascii="Times New Roman" w:hAnsi="Times New Roman"/>
        </w:rPr>
        <w:tab/>
      </w:r>
      <w:r>
        <w:rPr>
          <w:rFonts w:ascii="Times New Roman" w:hAnsi="Times New Roman"/>
          <w:u w:val="single"/>
        </w:rPr>
        <w:t>Consequence of Less Frequent Collection</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The collections in the interagency statement vary in frequency.  Some are one</w:t>
      </w:r>
      <w:r>
        <w:rPr>
          <w:rFonts w:ascii="Times New Roman" w:hAnsi="Times New Roman"/>
        </w:rPr>
        <w:noBreakHyphen/>
        <w:t xml:space="preserve">time </w:t>
      </w:r>
      <w:r w:rsidR="00B32BB8">
        <w:rPr>
          <w:rFonts w:ascii="Times New Roman" w:hAnsi="Times New Roman"/>
        </w:rPr>
        <w:t>recordkeeping requirements</w:t>
      </w:r>
      <w:r>
        <w:rPr>
          <w:rFonts w:ascii="Times New Roman" w:hAnsi="Times New Roman"/>
        </w:rPr>
        <w:t>; others are on occasion.  In every case, frequency is consistent with the statutory mandate.  Less frequent collection would result in non</w:t>
      </w:r>
      <w:r>
        <w:rPr>
          <w:rFonts w:ascii="Times New Roman" w:hAnsi="Times New Roman"/>
        </w:rPr>
        <w:noBreakHyphen/>
        <w:t>compliance with the law.</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7.</w:t>
      </w:r>
      <w:r>
        <w:rPr>
          <w:rFonts w:ascii="Times New Roman" w:hAnsi="Times New Roman"/>
        </w:rPr>
        <w:tab/>
      </w:r>
      <w:r>
        <w:rPr>
          <w:rFonts w:ascii="Times New Roman" w:hAnsi="Times New Roman"/>
          <w:u w:val="single"/>
        </w:rPr>
        <w:t>Special Circumstances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None.</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8.</w:t>
      </w:r>
      <w:r>
        <w:rPr>
          <w:rFonts w:ascii="Times New Roman" w:hAnsi="Times New Roman"/>
        </w:rPr>
        <w:tab/>
      </w:r>
      <w:r>
        <w:rPr>
          <w:rFonts w:ascii="Times New Roman" w:hAnsi="Times New Roman"/>
          <w:u w:val="single"/>
        </w:rPr>
        <w:t>Consultations with Persons Outside the FDIC</w:t>
      </w:r>
    </w:p>
    <w:p w:rsidR="00A10641" w:rsidRDefault="00A10641">
      <w:pPr>
        <w:suppressAutoHyphens/>
        <w:rPr>
          <w:rFonts w:ascii="Times New Roman" w:hAnsi="Times New Roman"/>
        </w:rPr>
      </w:pPr>
    </w:p>
    <w:p w:rsidR="005E1A91" w:rsidRPr="005E1A91" w:rsidRDefault="005E1A91" w:rsidP="005E1A91">
      <w:pPr>
        <w:suppressAutoHyphens/>
        <w:ind w:left="1440"/>
        <w:rPr>
          <w:rFonts w:ascii="Times New Roman" w:hAnsi="Times New Roman"/>
        </w:rPr>
      </w:pPr>
      <w:r w:rsidRPr="005E1A91">
        <w:rPr>
          <w:rFonts w:ascii="Times New Roman" w:hAnsi="Times New Roman"/>
        </w:rPr>
        <w:t xml:space="preserve">A 60-day notice seeking public comment on the </w:t>
      </w:r>
      <w:r w:rsidR="00AF65B5">
        <w:rPr>
          <w:rFonts w:ascii="Times New Roman" w:hAnsi="Times New Roman"/>
        </w:rPr>
        <w:t>FDIC’s</w:t>
      </w:r>
      <w:r w:rsidRPr="005E1A91">
        <w:rPr>
          <w:rFonts w:ascii="Times New Roman" w:hAnsi="Times New Roman"/>
        </w:rPr>
        <w:t xml:space="preserve"> renewal of the information collection was published on </w:t>
      </w:r>
      <w:r w:rsidR="003E7A05">
        <w:rPr>
          <w:rFonts w:ascii="Times New Roman" w:hAnsi="Times New Roman"/>
        </w:rPr>
        <w:t>April 30, 2018 (83 FR 18841)</w:t>
      </w:r>
      <w:r w:rsidRPr="005E1A91">
        <w:rPr>
          <w:rFonts w:ascii="Times New Roman" w:hAnsi="Times New Roman"/>
        </w:rPr>
        <w:t>.  No comments were received.</w:t>
      </w:r>
    </w:p>
    <w:p w:rsidR="00A10641" w:rsidRDefault="00A10641">
      <w:pPr>
        <w:suppressAutoHyphens/>
        <w:ind w:left="1440"/>
        <w:rPr>
          <w:rFonts w:ascii="Times New Roman" w:hAnsi="Times New Roman"/>
        </w:rPr>
      </w:pPr>
    </w:p>
    <w:p w:rsidR="00A10641" w:rsidRDefault="00A10641">
      <w:pPr>
        <w:numPr>
          <w:ilvl w:val="0"/>
          <w:numId w:val="1"/>
        </w:numPr>
        <w:suppressAutoHyphens/>
        <w:rPr>
          <w:rFonts w:ascii="Times New Roman" w:hAnsi="Times New Roman"/>
        </w:rPr>
      </w:pPr>
      <w:r>
        <w:rPr>
          <w:rFonts w:ascii="Times New Roman" w:hAnsi="Times New Roman"/>
          <w:u w:val="single"/>
        </w:rPr>
        <w:t>Payment or Gift to Respondents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None.</w:t>
      </w:r>
      <w:r>
        <w:rPr>
          <w:rFonts w:ascii="Times New Roman" w:hAnsi="Times New Roman"/>
        </w:rPr>
        <w:tab/>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10.</w:t>
      </w:r>
      <w:r>
        <w:rPr>
          <w:rFonts w:ascii="Times New Roman" w:hAnsi="Times New Roman"/>
        </w:rPr>
        <w:tab/>
      </w:r>
      <w:r>
        <w:rPr>
          <w:rFonts w:ascii="Times New Roman" w:hAnsi="Times New Roman"/>
          <w:u w:val="single"/>
        </w:rPr>
        <w:t>Confidentiality</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 xml:space="preserve">The information required in the interagency statement is generally available to the public; however, any information </w:t>
      </w:r>
      <w:r w:rsidR="00B32BB8">
        <w:rPr>
          <w:rFonts w:ascii="Times New Roman" w:hAnsi="Times New Roman"/>
        </w:rPr>
        <w:t>identified by an institution as confidential may be</w:t>
      </w:r>
      <w:r>
        <w:rPr>
          <w:rFonts w:ascii="Times New Roman" w:hAnsi="Times New Roman"/>
        </w:rPr>
        <w:t xml:space="preserve"> </w:t>
      </w:r>
      <w:r w:rsidR="005E1A91">
        <w:rPr>
          <w:rFonts w:ascii="Times New Roman" w:hAnsi="Times New Roman"/>
        </w:rPr>
        <w:t>kept private to the extent provided by law.</w:t>
      </w:r>
    </w:p>
    <w:p w:rsidR="00A10641" w:rsidRDefault="00A10641">
      <w:pPr>
        <w:suppressAutoHyphens/>
        <w:rPr>
          <w:rFonts w:ascii="Times New Roman" w:hAnsi="Times New Roman"/>
        </w:rPr>
      </w:pPr>
      <w:r>
        <w:rPr>
          <w:rFonts w:ascii="Times New Roman" w:hAnsi="Times New Roman"/>
        </w:rPr>
        <w:br w:type="page"/>
      </w:r>
      <w:r>
        <w:rPr>
          <w:rFonts w:ascii="Times New Roman" w:hAnsi="Times New Roman"/>
        </w:rPr>
        <w:tab/>
        <w:t>11.</w:t>
      </w:r>
      <w:r>
        <w:rPr>
          <w:rFonts w:ascii="Times New Roman" w:hAnsi="Times New Roman"/>
        </w:rPr>
        <w:tab/>
      </w:r>
      <w:r>
        <w:rPr>
          <w:rFonts w:ascii="Times New Roman" w:hAnsi="Times New Roman"/>
          <w:u w:val="single"/>
        </w:rPr>
        <w:t>Information of a Sensitive Nature</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r>
      <w:r>
        <w:rPr>
          <w:rFonts w:ascii="Times New Roman" w:hAnsi="Times New Roman"/>
        </w:rPr>
        <w:tab/>
        <w:t>No questions of a sensitive nature are included in the collections.</w:t>
      </w:r>
    </w:p>
    <w:p w:rsidR="00A10641" w:rsidRDefault="00A10641">
      <w:pPr>
        <w:suppressAutoHyphens/>
        <w:rPr>
          <w:rFonts w:ascii="Times New Roman" w:hAnsi="Times New Roman"/>
        </w:rPr>
      </w:pPr>
    </w:p>
    <w:p w:rsidR="00A10641" w:rsidRDefault="00A10641" w:rsidP="001A0299">
      <w:pPr>
        <w:suppressAutoHyphens/>
        <w:rPr>
          <w:rFonts w:ascii="Times New Roman" w:hAnsi="Times New Roman"/>
          <w:b/>
        </w:rPr>
      </w:pPr>
      <w:r>
        <w:rPr>
          <w:rFonts w:ascii="Times New Roman" w:hAnsi="Times New Roman"/>
        </w:rPr>
        <w:tab/>
        <w:t>12.</w:t>
      </w:r>
      <w:r>
        <w:rPr>
          <w:rFonts w:ascii="Times New Roman" w:hAnsi="Times New Roman"/>
        </w:rPr>
        <w:tab/>
      </w:r>
      <w:r>
        <w:rPr>
          <w:rFonts w:ascii="Times New Roman" w:hAnsi="Times New Roman"/>
          <w:u w:val="single"/>
        </w:rPr>
        <w:t>Estimates of Hour Burden and Annual Cost</w:t>
      </w:r>
    </w:p>
    <w:p w:rsidR="00A10641" w:rsidRDefault="00A10641">
      <w:pPr>
        <w:pStyle w:val="EndnoteText"/>
        <w:tabs>
          <w:tab w:val="left" w:pos="2280"/>
          <w:tab w:val="left" w:pos="3720"/>
          <w:tab w:val="left" w:pos="5160"/>
          <w:tab w:val="left" w:pos="6600"/>
          <w:tab w:val="left" w:pos="8040"/>
        </w:tabs>
        <w:suppressAutoHyphens/>
        <w:rPr>
          <w:rFonts w:ascii="Times New Roman" w:hAnsi="Times New Roman"/>
        </w:rPr>
      </w:pPr>
    </w:p>
    <w:tbl>
      <w:tblPr>
        <w:tblW w:w="9215" w:type="dxa"/>
        <w:jc w:val="center"/>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427"/>
        <w:gridCol w:w="1101"/>
        <w:gridCol w:w="1239"/>
        <w:gridCol w:w="1016"/>
        <w:gridCol w:w="1061"/>
        <w:gridCol w:w="1369"/>
      </w:tblGrid>
      <w:tr w:rsidR="003E7A05" w:rsidRPr="003E7A05" w:rsidTr="0071170C">
        <w:trPr>
          <w:trHeight w:val="612"/>
          <w:jc w:val="center"/>
        </w:trPr>
        <w:tc>
          <w:tcPr>
            <w:tcW w:w="2002" w:type="dxa"/>
            <w:shd w:val="clear" w:color="auto" w:fill="auto"/>
            <w:noWrap/>
            <w:vAlign w:val="bottom"/>
            <w:hideMark/>
          </w:tcPr>
          <w:p w:rsidR="003E7A05" w:rsidRPr="003E7A05" w:rsidRDefault="003E7A05" w:rsidP="003E7A05">
            <w:pPr>
              <w:widowControl/>
              <w:rPr>
                <w:rFonts w:ascii="Times New Roman" w:hAnsi="Times New Roman"/>
                <w:snapToGrid/>
                <w:color w:val="000000"/>
                <w:sz w:val="16"/>
                <w:szCs w:val="16"/>
              </w:rPr>
            </w:pPr>
            <w:r w:rsidRPr="003E7A05">
              <w:rPr>
                <w:rFonts w:ascii="Times New Roman" w:hAnsi="Times New Roman"/>
                <w:snapToGrid/>
                <w:color w:val="000000"/>
                <w:sz w:val="16"/>
                <w:szCs w:val="16"/>
              </w:rPr>
              <w:t> </w:t>
            </w:r>
          </w:p>
        </w:tc>
        <w:tc>
          <w:tcPr>
            <w:tcW w:w="1427"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szCs w:val="16"/>
              </w:rPr>
            </w:pPr>
            <w:r w:rsidRPr="003E7A05">
              <w:rPr>
                <w:rFonts w:ascii="Times New Roman" w:hAnsi="Times New Roman"/>
                <w:snapToGrid/>
                <w:color w:val="000000"/>
                <w:sz w:val="20"/>
                <w:szCs w:val="16"/>
              </w:rPr>
              <w:t>Type of Burden</w:t>
            </w:r>
          </w:p>
        </w:tc>
        <w:tc>
          <w:tcPr>
            <w:tcW w:w="1101"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szCs w:val="16"/>
              </w:rPr>
            </w:pPr>
            <w:r w:rsidRPr="003E7A05">
              <w:rPr>
                <w:rFonts w:ascii="Times New Roman" w:hAnsi="Times New Roman"/>
                <w:snapToGrid/>
                <w:color w:val="000000"/>
                <w:sz w:val="20"/>
                <w:szCs w:val="16"/>
              </w:rPr>
              <w:t>Obligation to Respond</w:t>
            </w:r>
          </w:p>
        </w:tc>
        <w:tc>
          <w:tcPr>
            <w:tcW w:w="1239"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szCs w:val="16"/>
              </w:rPr>
            </w:pPr>
            <w:r w:rsidRPr="003E7A05">
              <w:rPr>
                <w:rFonts w:ascii="Times New Roman" w:hAnsi="Times New Roman"/>
                <w:snapToGrid/>
                <w:color w:val="000000"/>
                <w:sz w:val="20"/>
                <w:szCs w:val="16"/>
              </w:rPr>
              <w:t>Estimated Number of Respondents</w:t>
            </w:r>
          </w:p>
        </w:tc>
        <w:tc>
          <w:tcPr>
            <w:tcW w:w="1016"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szCs w:val="16"/>
              </w:rPr>
            </w:pPr>
            <w:r w:rsidRPr="003E7A05">
              <w:rPr>
                <w:rFonts w:ascii="Times New Roman" w:hAnsi="Times New Roman"/>
                <w:snapToGrid/>
                <w:color w:val="000000"/>
                <w:sz w:val="20"/>
                <w:szCs w:val="16"/>
              </w:rPr>
              <w:t>Estimated Time per Response</w:t>
            </w:r>
          </w:p>
        </w:tc>
        <w:tc>
          <w:tcPr>
            <w:tcW w:w="1061"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szCs w:val="16"/>
              </w:rPr>
            </w:pPr>
            <w:r w:rsidRPr="003E7A05">
              <w:rPr>
                <w:rFonts w:ascii="Times New Roman" w:hAnsi="Times New Roman"/>
                <w:snapToGrid/>
                <w:color w:val="000000"/>
                <w:sz w:val="20"/>
                <w:szCs w:val="16"/>
              </w:rPr>
              <w:t>Frequency of Response</w:t>
            </w:r>
          </w:p>
        </w:tc>
        <w:tc>
          <w:tcPr>
            <w:tcW w:w="1369"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szCs w:val="16"/>
              </w:rPr>
            </w:pPr>
            <w:r w:rsidRPr="003E7A05">
              <w:rPr>
                <w:rFonts w:ascii="Times New Roman" w:hAnsi="Times New Roman"/>
                <w:snapToGrid/>
                <w:color w:val="000000"/>
                <w:sz w:val="20"/>
                <w:szCs w:val="16"/>
              </w:rPr>
              <w:t>Average Total Annual Estimated Burden</w:t>
            </w:r>
          </w:p>
        </w:tc>
      </w:tr>
      <w:tr w:rsidR="003E7A05" w:rsidRPr="003E7A05" w:rsidTr="0071170C">
        <w:trPr>
          <w:trHeight w:val="612"/>
          <w:jc w:val="center"/>
        </w:trPr>
        <w:tc>
          <w:tcPr>
            <w:tcW w:w="2002" w:type="dxa"/>
            <w:shd w:val="clear" w:color="auto" w:fill="auto"/>
            <w:vAlign w:val="center"/>
          </w:tcPr>
          <w:p w:rsidR="003E7A05" w:rsidRPr="003E7A05" w:rsidRDefault="003E7A05" w:rsidP="003E7A05">
            <w:pPr>
              <w:widowControl/>
              <w:rPr>
                <w:rFonts w:ascii="Times New Roman" w:hAnsi="Times New Roman"/>
                <w:bCs/>
                <w:snapToGrid/>
                <w:color w:val="000000"/>
                <w:sz w:val="20"/>
              </w:rPr>
            </w:pPr>
            <w:r w:rsidRPr="003E7A05">
              <w:rPr>
                <w:rFonts w:ascii="Times New Roman" w:hAnsi="Times New Roman"/>
                <w:bCs/>
                <w:snapToGrid/>
                <w:color w:val="000000"/>
                <w:sz w:val="20"/>
              </w:rPr>
              <w:t>Adoption of Closure Policy</w:t>
            </w:r>
          </w:p>
        </w:tc>
        <w:tc>
          <w:tcPr>
            <w:tcW w:w="1427"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Recordkeeping</w:t>
            </w:r>
          </w:p>
        </w:tc>
        <w:tc>
          <w:tcPr>
            <w:tcW w:w="1101"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Mandatory</w:t>
            </w:r>
          </w:p>
        </w:tc>
        <w:tc>
          <w:tcPr>
            <w:tcW w:w="1239"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23</w:t>
            </w:r>
          </w:p>
        </w:tc>
        <w:tc>
          <w:tcPr>
            <w:tcW w:w="1016"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8 hours</w:t>
            </w:r>
          </w:p>
        </w:tc>
        <w:tc>
          <w:tcPr>
            <w:tcW w:w="1061"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One time</w:t>
            </w:r>
          </w:p>
        </w:tc>
        <w:tc>
          <w:tcPr>
            <w:tcW w:w="1369" w:type="dxa"/>
            <w:shd w:val="clear" w:color="auto" w:fill="auto"/>
            <w:vAlign w:val="center"/>
            <w:hideMark/>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184 hours</w:t>
            </w:r>
          </w:p>
        </w:tc>
      </w:tr>
      <w:tr w:rsidR="003E7A05" w:rsidRPr="003E7A05" w:rsidTr="0071170C">
        <w:trPr>
          <w:trHeight w:val="612"/>
          <w:jc w:val="center"/>
        </w:trPr>
        <w:tc>
          <w:tcPr>
            <w:tcW w:w="2002" w:type="dxa"/>
            <w:shd w:val="clear" w:color="auto" w:fill="auto"/>
            <w:vAlign w:val="center"/>
          </w:tcPr>
          <w:p w:rsidR="003E7A05" w:rsidRPr="003E7A05" w:rsidRDefault="003E7A05" w:rsidP="003E7A05">
            <w:pPr>
              <w:widowControl/>
              <w:rPr>
                <w:rFonts w:ascii="Times New Roman" w:hAnsi="Times New Roman"/>
                <w:bCs/>
                <w:snapToGrid/>
                <w:color w:val="000000"/>
                <w:sz w:val="20"/>
              </w:rPr>
            </w:pPr>
            <w:r w:rsidRPr="003E7A05">
              <w:rPr>
                <w:rFonts w:ascii="Times New Roman" w:hAnsi="Times New Roman"/>
                <w:bCs/>
                <w:snapToGrid/>
                <w:color w:val="000000"/>
                <w:sz w:val="20"/>
              </w:rPr>
              <w:t>Notice of Closure</w:t>
            </w:r>
          </w:p>
        </w:tc>
        <w:tc>
          <w:tcPr>
            <w:tcW w:w="1427"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Disclosure</w:t>
            </w:r>
          </w:p>
        </w:tc>
        <w:tc>
          <w:tcPr>
            <w:tcW w:w="1101"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Mandatory</w:t>
            </w:r>
          </w:p>
        </w:tc>
        <w:tc>
          <w:tcPr>
            <w:tcW w:w="1239"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683</w:t>
            </w:r>
          </w:p>
        </w:tc>
        <w:tc>
          <w:tcPr>
            <w:tcW w:w="1016"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2 hours</w:t>
            </w:r>
          </w:p>
        </w:tc>
        <w:tc>
          <w:tcPr>
            <w:tcW w:w="1061"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 xml:space="preserve">On </w:t>
            </w:r>
            <w:r w:rsidR="00CE5C66">
              <w:rPr>
                <w:rFonts w:ascii="Times New Roman" w:hAnsi="Times New Roman"/>
                <w:snapToGrid/>
                <w:color w:val="000000"/>
                <w:sz w:val="20"/>
              </w:rPr>
              <w:t>occasion</w:t>
            </w:r>
          </w:p>
        </w:tc>
        <w:tc>
          <w:tcPr>
            <w:tcW w:w="1369"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1,366 hours</w:t>
            </w:r>
          </w:p>
        </w:tc>
      </w:tr>
      <w:tr w:rsidR="003E7A05" w:rsidRPr="003E7A05" w:rsidTr="0071170C">
        <w:trPr>
          <w:trHeight w:val="612"/>
          <w:jc w:val="center"/>
        </w:trPr>
        <w:tc>
          <w:tcPr>
            <w:tcW w:w="2002" w:type="dxa"/>
            <w:shd w:val="clear" w:color="auto" w:fill="auto"/>
            <w:vAlign w:val="center"/>
          </w:tcPr>
          <w:p w:rsidR="003E7A05" w:rsidRPr="003E7A05" w:rsidRDefault="003E7A05" w:rsidP="003E7A05">
            <w:pPr>
              <w:widowControl/>
              <w:rPr>
                <w:rFonts w:ascii="Times New Roman" w:hAnsi="Times New Roman"/>
                <w:b/>
                <w:bCs/>
                <w:snapToGrid/>
                <w:color w:val="000000"/>
                <w:sz w:val="20"/>
              </w:rPr>
            </w:pPr>
            <w:r w:rsidRPr="003E7A05">
              <w:rPr>
                <w:rFonts w:ascii="Times New Roman" w:hAnsi="Times New Roman"/>
                <w:b/>
                <w:bCs/>
                <w:snapToGrid/>
                <w:color w:val="000000"/>
                <w:sz w:val="20"/>
              </w:rPr>
              <w:t>Total Estimated Annual Burden</w:t>
            </w:r>
          </w:p>
        </w:tc>
        <w:tc>
          <w:tcPr>
            <w:tcW w:w="1427" w:type="dxa"/>
            <w:shd w:val="clear" w:color="auto" w:fill="auto"/>
            <w:vAlign w:val="center"/>
          </w:tcPr>
          <w:p w:rsidR="003E7A05" w:rsidRPr="003E7A05" w:rsidRDefault="003E7A05" w:rsidP="003E7A05">
            <w:pPr>
              <w:widowControl/>
              <w:jc w:val="center"/>
              <w:rPr>
                <w:rFonts w:ascii="Times New Roman" w:hAnsi="Times New Roman"/>
                <w:snapToGrid/>
                <w:color w:val="000000"/>
                <w:sz w:val="16"/>
                <w:szCs w:val="16"/>
              </w:rPr>
            </w:pPr>
          </w:p>
        </w:tc>
        <w:tc>
          <w:tcPr>
            <w:tcW w:w="1101" w:type="dxa"/>
            <w:shd w:val="clear" w:color="auto" w:fill="auto"/>
            <w:vAlign w:val="center"/>
          </w:tcPr>
          <w:p w:rsidR="003E7A05" w:rsidRPr="003E7A05" w:rsidRDefault="003E7A05" w:rsidP="003E7A05">
            <w:pPr>
              <w:widowControl/>
              <w:jc w:val="center"/>
              <w:rPr>
                <w:rFonts w:ascii="Times New Roman" w:hAnsi="Times New Roman"/>
                <w:snapToGrid/>
                <w:color w:val="000000"/>
                <w:sz w:val="16"/>
                <w:szCs w:val="16"/>
              </w:rPr>
            </w:pPr>
          </w:p>
        </w:tc>
        <w:tc>
          <w:tcPr>
            <w:tcW w:w="1239" w:type="dxa"/>
            <w:shd w:val="clear" w:color="auto" w:fill="auto"/>
            <w:vAlign w:val="center"/>
          </w:tcPr>
          <w:p w:rsidR="003E7A05" w:rsidRPr="003E7A05" w:rsidRDefault="003E7A05" w:rsidP="003E7A05">
            <w:pPr>
              <w:widowControl/>
              <w:jc w:val="center"/>
              <w:rPr>
                <w:rFonts w:ascii="Times New Roman" w:hAnsi="Times New Roman"/>
                <w:snapToGrid/>
                <w:color w:val="000000"/>
                <w:sz w:val="16"/>
                <w:szCs w:val="16"/>
              </w:rPr>
            </w:pPr>
          </w:p>
        </w:tc>
        <w:tc>
          <w:tcPr>
            <w:tcW w:w="1016" w:type="dxa"/>
            <w:shd w:val="clear" w:color="auto" w:fill="auto"/>
            <w:vAlign w:val="center"/>
          </w:tcPr>
          <w:p w:rsidR="003E7A05" w:rsidRPr="003E7A05" w:rsidRDefault="003E7A05" w:rsidP="003E7A05">
            <w:pPr>
              <w:widowControl/>
              <w:jc w:val="center"/>
              <w:rPr>
                <w:rFonts w:ascii="Times New Roman" w:hAnsi="Times New Roman"/>
                <w:snapToGrid/>
                <w:color w:val="000000"/>
                <w:sz w:val="16"/>
                <w:szCs w:val="16"/>
              </w:rPr>
            </w:pPr>
          </w:p>
        </w:tc>
        <w:tc>
          <w:tcPr>
            <w:tcW w:w="1061" w:type="dxa"/>
            <w:shd w:val="clear" w:color="auto" w:fill="auto"/>
            <w:vAlign w:val="center"/>
          </w:tcPr>
          <w:p w:rsidR="003E7A05" w:rsidRPr="003E7A05" w:rsidRDefault="003E7A05" w:rsidP="003E7A05">
            <w:pPr>
              <w:widowControl/>
              <w:jc w:val="center"/>
              <w:rPr>
                <w:rFonts w:ascii="Times New Roman" w:hAnsi="Times New Roman"/>
                <w:snapToGrid/>
                <w:color w:val="000000"/>
                <w:sz w:val="16"/>
                <w:szCs w:val="16"/>
              </w:rPr>
            </w:pPr>
          </w:p>
        </w:tc>
        <w:tc>
          <w:tcPr>
            <w:tcW w:w="1369" w:type="dxa"/>
            <w:shd w:val="clear" w:color="auto" w:fill="auto"/>
            <w:vAlign w:val="center"/>
          </w:tcPr>
          <w:p w:rsidR="003E7A05" w:rsidRPr="003E7A05" w:rsidRDefault="003E7A05" w:rsidP="003E7A05">
            <w:pPr>
              <w:widowControl/>
              <w:jc w:val="center"/>
              <w:rPr>
                <w:rFonts w:ascii="Times New Roman" w:hAnsi="Times New Roman"/>
                <w:snapToGrid/>
                <w:color w:val="000000"/>
                <w:sz w:val="20"/>
              </w:rPr>
            </w:pPr>
            <w:r w:rsidRPr="003E7A05">
              <w:rPr>
                <w:rFonts w:ascii="Times New Roman" w:hAnsi="Times New Roman"/>
                <w:snapToGrid/>
                <w:color w:val="000000"/>
                <w:sz w:val="20"/>
              </w:rPr>
              <w:t>1,550 hours</w:t>
            </w:r>
          </w:p>
        </w:tc>
      </w:tr>
    </w:tbl>
    <w:p w:rsidR="00A10641" w:rsidRDefault="00A10641">
      <w:pPr>
        <w:tabs>
          <w:tab w:val="left" w:pos="480"/>
          <w:tab w:val="left" w:pos="1080"/>
          <w:tab w:val="left" w:pos="1680"/>
        </w:tabs>
        <w:suppressAutoHyphens/>
        <w:ind w:left="1080"/>
        <w:rPr>
          <w:rFonts w:ascii="Times New Roman" w:hAnsi="Times New Roman"/>
        </w:rPr>
      </w:pPr>
    </w:p>
    <w:p w:rsidR="00A10641" w:rsidRDefault="00A70D79">
      <w:pPr>
        <w:tabs>
          <w:tab w:val="left" w:pos="480"/>
          <w:tab w:val="left" w:pos="1080"/>
          <w:tab w:val="left" w:pos="1680"/>
        </w:tabs>
        <w:suppressAutoHyphens/>
        <w:rPr>
          <w:rFonts w:ascii="Times New Roman" w:hAnsi="Times New Roman"/>
        </w:rPr>
      </w:pPr>
      <w:r>
        <w:rPr>
          <w:rFonts w:ascii="Times New Roman" w:hAnsi="Times New Roman"/>
        </w:rPr>
        <w:t>683</w:t>
      </w: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tab/>
        <w:t>Estimated cost</w:t>
      </w:r>
      <w:r w:rsidR="00D22383">
        <w:rPr>
          <w:rFonts w:ascii="Times New Roman" w:hAnsi="Times New Roman"/>
        </w:rPr>
        <w:t xml:space="preserve"> to respondents</w:t>
      </w:r>
      <w:r w:rsidR="00533183">
        <w:rPr>
          <w:rStyle w:val="FootnoteReference"/>
          <w:rFonts w:ascii="Times New Roman" w:hAnsi="Times New Roman"/>
        </w:rPr>
        <w:footnoteReference w:id="1"/>
      </w:r>
      <w:r w:rsidR="00D22383">
        <w:rPr>
          <w:rFonts w:ascii="Times New Roman" w:hAnsi="Times New Roman"/>
        </w:rPr>
        <w:t>:</w:t>
      </w:r>
    </w:p>
    <w:p w:rsidR="00D22383" w:rsidRDefault="00D22383">
      <w:pPr>
        <w:tabs>
          <w:tab w:val="left" w:pos="480"/>
          <w:tab w:val="left" w:pos="1080"/>
          <w:tab w:val="left" w:pos="1680"/>
        </w:tabs>
        <w:suppressAutoHyphens/>
        <w:rPr>
          <w:rFonts w:ascii="Times New Roman" w:hAnsi="Times New Roman"/>
        </w:rPr>
      </w:pPr>
    </w:p>
    <w:p w:rsidR="00D22383" w:rsidRDefault="00D22383">
      <w:pPr>
        <w:tabs>
          <w:tab w:val="left" w:pos="480"/>
          <w:tab w:val="left" w:pos="1080"/>
          <w:tab w:val="left" w:pos="1680"/>
        </w:tabs>
        <w:suppressAutoHyphens/>
        <w:rPr>
          <w:rFonts w:ascii="Times New Roman" w:hAnsi="Times New Roman"/>
        </w:rPr>
      </w:pPr>
      <w:r>
        <w:rPr>
          <w:rFonts w:ascii="Times New Roman" w:hAnsi="Times New Roman"/>
        </w:rPr>
        <w:tab/>
        <w:t>Office and Administrative Support – 50% X 1,550 hours X $27.89/hour  =</w:t>
      </w:r>
      <w:r w:rsidR="00533183">
        <w:rPr>
          <w:rFonts w:ascii="Times New Roman" w:hAnsi="Times New Roman"/>
        </w:rPr>
        <w:t xml:space="preserve"> $21,614.75</w:t>
      </w:r>
    </w:p>
    <w:p w:rsidR="00D22383" w:rsidRDefault="00D22383">
      <w:pPr>
        <w:tabs>
          <w:tab w:val="left" w:pos="480"/>
          <w:tab w:val="left" w:pos="1080"/>
          <w:tab w:val="left" w:pos="1680"/>
        </w:tabs>
        <w:suppressAutoHyphens/>
        <w:rPr>
          <w:rFonts w:ascii="Times New Roman" w:hAnsi="Times New Roman"/>
        </w:rPr>
      </w:pPr>
      <w:r>
        <w:rPr>
          <w:rFonts w:ascii="Times New Roman" w:hAnsi="Times New Roman"/>
        </w:rPr>
        <w:tab/>
        <w:t>Financial Managers – 30% X 1,550 hours X $90.46/hour  =</w:t>
      </w:r>
      <w:r w:rsidR="00533183">
        <w:rPr>
          <w:rFonts w:ascii="Times New Roman" w:hAnsi="Times New Roman"/>
        </w:rPr>
        <w:t xml:space="preserve"> $42,063.90</w:t>
      </w:r>
    </w:p>
    <w:p w:rsidR="00D22383" w:rsidRDefault="00D22383">
      <w:pPr>
        <w:tabs>
          <w:tab w:val="left" w:pos="480"/>
          <w:tab w:val="left" w:pos="1080"/>
          <w:tab w:val="left" w:pos="1680"/>
        </w:tabs>
        <w:suppressAutoHyphens/>
        <w:rPr>
          <w:rFonts w:ascii="Times New Roman" w:hAnsi="Times New Roman"/>
        </w:rPr>
      </w:pPr>
      <w:r>
        <w:rPr>
          <w:rFonts w:ascii="Times New Roman" w:hAnsi="Times New Roman"/>
        </w:rPr>
        <w:tab/>
        <w:t xml:space="preserve">Professional – 10% X 1,550 hours X $132.45/hour  = </w:t>
      </w:r>
      <w:r w:rsidR="00533183">
        <w:rPr>
          <w:rFonts w:ascii="Times New Roman" w:hAnsi="Times New Roman"/>
        </w:rPr>
        <w:t xml:space="preserve"> $20,529.75</w:t>
      </w:r>
    </w:p>
    <w:p w:rsidR="00D22383" w:rsidRDefault="00D22383">
      <w:pPr>
        <w:tabs>
          <w:tab w:val="left" w:pos="480"/>
          <w:tab w:val="left" w:pos="1080"/>
          <w:tab w:val="left" w:pos="1680"/>
        </w:tabs>
        <w:suppressAutoHyphens/>
        <w:rPr>
          <w:rFonts w:ascii="Times New Roman" w:hAnsi="Times New Roman"/>
        </w:rPr>
      </w:pPr>
      <w:r>
        <w:rPr>
          <w:rFonts w:ascii="Times New Roman" w:hAnsi="Times New Roman"/>
        </w:rPr>
        <w:tab/>
        <w:t xml:space="preserve">Executive – 10% X 1,550 hours X $160.14/hours = </w:t>
      </w:r>
      <w:r w:rsidR="00533183">
        <w:rPr>
          <w:rFonts w:ascii="Times New Roman" w:hAnsi="Times New Roman"/>
        </w:rPr>
        <w:t>$24,821.70</w:t>
      </w:r>
    </w:p>
    <w:p w:rsidR="00533183" w:rsidRDefault="00533183">
      <w:pPr>
        <w:tabs>
          <w:tab w:val="left" w:pos="480"/>
          <w:tab w:val="left" w:pos="1080"/>
          <w:tab w:val="left" w:pos="1680"/>
        </w:tabs>
        <w:suppressAutoHyphens/>
        <w:rPr>
          <w:rFonts w:ascii="Times New Roman" w:hAnsi="Times New Roman"/>
        </w:rPr>
      </w:pPr>
    </w:p>
    <w:p w:rsidR="00533183" w:rsidRDefault="00533183">
      <w:pPr>
        <w:tabs>
          <w:tab w:val="left" w:pos="480"/>
          <w:tab w:val="left" w:pos="1080"/>
          <w:tab w:val="left" w:pos="1680"/>
        </w:tabs>
        <w:suppressAutoHyphens/>
        <w:rPr>
          <w:rFonts w:ascii="Times New Roman" w:hAnsi="Times New Roman"/>
        </w:rPr>
      </w:pPr>
      <w:r>
        <w:rPr>
          <w:rFonts w:ascii="Times New Roman" w:hAnsi="Times New Roman"/>
        </w:rPr>
        <w:tab/>
        <w:t xml:space="preserve">Total estimated cost to respondents: </w:t>
      </w:r>
      <w:r w:rsidRPr="00533183">
        <w:rPr>
          <w:rFonts w:ascii="Times New Roman" w:hAnsi="Times New Roman"/>
          <w:u w:val="single"/>
        </w:rPr>
        <w:t>$109,030.10</w:t>
      </w:r>
    </w:p>
    <w:p w:rsidR="00A10641" w:rsidRDefault="00A10641">
      <w:pPr>
        <w:tabs>
          <w:tab w:val="left" w:pos="480"/>
          <w:tab w:val="left" w:pos="1080"/>
          <w:tab w:val="left" w:pos="1680"/>
        </w:tabs>
        <w:suppressAutoHyphens/>
        <w:ind w:left="1080"/>
        <w:rPr>
          <w:rFonts w:ascii="Times New Roman" w:hAnsi="Times New Roman"/>
        </w:rPr>
      </w:pPr>
    </w:p>
    <w:p w:rsidR="00A10641" w:rsidRDefault="00A10641">
      <w:pPr>
        <w:numPr>
          <w:ilvl w:val="0"/>
          <w:numId w:val="2"/>
        </w:numPr>
        <w:tabs>
          <w:tab w:val="left" w:pos="480"/>
          <w:tab w:val="left" w:pos="1680"/>
        </w:tabs>
        <w:suppressAutoHyphens/>
        <w:rPr>
          <w:rFonts w:ascii="Times New Roman" w:hAnsi="Times New Roman"/>
        </w:rPr>
      </w:pPr>
      <w:r>
        <w:rPr>
          <w:rFonts w:ascii="Times New Roman" w:hAnsi="Times New Roman"/>
          <w:u w:val="single"/>
        </w:rPr>
        <w:t>Capital, Start-Up and Maintenance Costs</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1080"/>
        <w:rPr>
          <w:rFonts w:ascii="Times New Roman" w:hAnsi="Times New Roman"/>
        </w:rPr>
      </w:pPr>
      <w:r>
        <w:rPr>
          <w:rFonts w:ascii="Times New Roman" w:hAnsi="Times New Roman"/>
        </w:rPr>
        <w:t>None.</w:t>
      </w:r>
    </w:p>
    <w:p w:rsidR="00A10641" w:rsidRDefault="00A10641">
      <w:pPr>
        <w:tabs>
          <w:tab w:val="left" w:pos="480"/>
          <w:tab w:val="left" w:pos="1080"/>
          <w:tab w:val="left" w:pos="1680"/>
        </w:tabs>
        <w:suppressAutoHyphens/>
        <w:rPr>
          <w:rFonts w:ascii="Times New Roman" w:hAnsi="Times New Roman"/>
        </w:rPr>
      </w:pPr>
    </w:p>
    <w:p w:rsidR="00A10641" w:rsidRDefault="00A10641">
      <w:pPr>
        <w:numPr>
          <w:ilvl w:val="0"/>
          <w:numId w:val="2"/>
        </w:numPr>
        <w:tabs>
          <w:tab w:val="left" w:pos="480"/>
          <w:tab w:val="left" w:pos="1680"/>
        </w:tabs>
        <w:suppressAutoHyphens/>
        <w:rPr>
          <w:rFonts w:ascii="Times New Roman" w:hAnsi="Times New Roman"/>
        </w:rPr>
      </w:pPr>
      <w:r>
        <w:rPr>
          <w:rFonts w:ascii="Times New Roman" w:hAnsi="Times New Roman"/>
          <w:u w:val="single"/>
        </w:rPr>
        <w:t>Estimated Annual Cost to the Federal Government</w:t>
      </w:r>
    </w:p>
    <w:p w:rsidR="00A10641" w:rsidRDefault="00A10641">
      <w:pPr>
        <w:tabs>
          <w:tab w:val="left" w:pos="480"/>
          <w:tab w:val="left" w:pos="1080"/>
          <w:tab w:val="left" w:pos="1680"/>
        </w:tabs>
        <w:suppressAutoHyphens/>
        <w:rPr>
          <w:rFonts w:ascii="Times New Roman" w:hAnsi="Times New Roman"/>
        </w:rPr>
      </w:pPr>
    </w:p>
    <w:p w:rsidR="00A10641" w:rsidRDefault="00CE5C66">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B32BB8">
        <w:rPr>
          <w:rFonts w:ascii="Times New Roman" w:hAnsi="Times New Roman"/>
        </w:rPr>
        <w:t>None.</w:t>
      </w:r>
      <w:r w:rsidR="00A10641">
        <w:rPr>
          <w:rFonts w:ascii="Times New Roman" w:hAnsi="Times New Roman"/>
        </w:rPr>
        <w:tab/>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48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A10641" w:rsidRDefault="00A10641">
      <w:pPr>
        <w:tabs>
          <w:tab w:val="left" w:pos="480"/>
          <w:tab w:val="left" w:pos="1080"/>
          <w:tab w:val="left" w:pos="1680"/>
        </w:tabs>
        <w:suppressAutoHyphens/>
        <w:ind w:left="480"/>
        <w:rPr>
          <w:rFonts w:ascii="Times New Roman" w:hAnsi="Times New Roman"/>
        </w:rPr>
      </w:pPr>
    </w:p>
    <w:p w:rsidR="00A10641" w:rsidRDefault="00B32BB8" w:rsidP="00F856B0">
      <w:pPr>
        <w:tabs>
          <w:tab w:val="left" w:pos="480"/>
          <w:tab w:val="left" w:pos="1080"/>
          <w:tab w:val="left" w:pos="1680"/>
        </w:tabs>
        <w:suppressAutoHyphens/>
        <w:ind w:left="960"/>
        <w:rPr>
          <w:rFonts w:ascii="Times New Roman" w:hAnsi="Times New Roman"/>
        </w:rPr>
      </w:pPr>
      <w:r>
        <w:rPr>
          <w:rFonts w:ascii="Times New Roman" w:hAnsi="Times New Roman"/>
        </w:rPr>
        <w:t xml:space="preserve">The </w:t>
      </w:r>
      <w:r w:rsidR="00CE5C66">
        <w:rPr>
          <w:rFonts w:ascii="Times New Roman" w:hAnsi="Times New Roman"/>
        </w:rPr>
        <w:t>increase</w:t>
      </w:r>
      <w:r>
        <w:rPr>
          <w:rFonts w:ascii="Times New Roman" w:hAnsi="Times New Roman"/>
        </w:rPr>
        <w:t xml:space="preserve"> </w:t>
      </w:r>
      <w:r w:rsidR="00CE5C66">
        <w:rPr>
          <w:rFonts w:ascii="Times New Roman" w:hAnsi="Times New Roman"/>
        </w:rPr>
        <w:t xml:space="preserve">in burden </w:t>
      </w:r>
      <w:r>
        <w:rPr>
          <w:rFonts w:ascii="Times New Roman" w:hAnsi="Times New Roman"/>
        </w:rPr>
        <w:t xml:space="preserve">is due to economic fluctuations.  The number of FDIC-supervised institutions has decreased </w:t>
      </w:r>
      <w:r w:rsidR="00CE5C66">
        <w:rPr>
          <w:rFonts w:ascii="Times New Roman" w:hAnsi="Times New Roman"/>
        </w:rPr>
        <w:t xml:space="preserve">and is reflected in the reduction in the estimated number of respondents required to adopt a branch closing policy. However, </w:t>
      </w:r>
      <w:r>
        <w:rPr>
          <w:rFonts w:ascii="Times New Roman" w:hAnsi="Times New Roman"/>
        </w:rPr>
        <w:t>the industry tren</w:t>
      </w:r>
      <w:r w:rsidR="00CE5C66">
        <w:rPr>
          <w:rFonts w:ascii="Times New Roman" w:hAnsi="Times New Roman"/>
        </w:rPr>
        <w:t>d</w:t>
      </w:r>
      <w:r>
        <w:rPr>
          <w:rFonts w:ascii="Times New Roman" w:hAnsi="Times New Roman"/>
        </w:rPr>
        <w:t xml:space="preserve"> has been to reduc</w:t>
      </w:r>
      <w:r w:rsidR="00CE5C66">
        <w:rPr>
          <w:rFonts w:ascii="Times New Roman" w:hAnsi="Times New Roman"/>
        </w:rPr>
        <w:t>e the number of brick and morta</w:t>
      </w:r>
      <w:r>
        <w:rPr>
          <w:rFonts w:ascii="Times New Roman" w:hAnsi="Times New Roman"/>
        </w:rPr>
        <w:t>r branches through closures or consolidations</w:t>
      </w:r>
      <w:r w:rsidR="00CE5C66">
        <w:rPr>
          <w:rFonts w:ascii="Times New Roman" w:hAnsi="Times New Roman"/>
        </w:rPr>
        <w:t xml:space="preserve"> which has resulted in an increase in the number of notices of branch closure filed</w:t>
      </w:r>
      <w:r w:rsidR="005323ED">
        <w:rPr>
          <w:rFonts w:ascii="Times New Roman" w:hAnsi="Times New Roman"/>
        </w:rPr>
        <w:t>.</w:t>
      </w:r>
      <w:r>
        <w:rPr>
          <w:rFonts w:ascii="Times New Roman" w:hAnsi="Times New Roman"/>
        </w:rPr>
        <w:t xml:space="preserve"> </w:t>
      </w:r>
    </w:p>
    <w:p w:rsidR="00F856B0" w:rsidRDefault="00F856B0" w:rsidP="00F856B0">
      <w:pPr>
        <w:tabs>
          <w:tab w:val="left" w:pos="480"/>
          <w:tab w:val="left" w:pos="1080"/>
          <w:tab w:val="left" w:pos="1680"/>
        </w:tabs>
        <w:suppressAutoHyphens/>
        <w:ind w:left="960"/>
        <w:rPr>
          <w:rFonts w:ascii="Times New Roman" w:hAnsi="Times New Roman"/>
        </w:rPr>
      </w:pPr>
    </w:p>
    <w:p w:rsidR="00A10641" w:rsidRDefault="00A10641">
      <w:pPr>
        <w:tabs>
          <w:tab w:val="left" w:pos="480"/>
          <w:tab w:val="left" w:pos="1080"/>
          <w:tab w:val="left" w:pos="1680"/>
        </w:tabs>
        <w:suppressAutoHyphens/>
        <w:ind w:left="480"/>
        <w:rPr>
          <w:rFonts w:ascii="Times New Roman" w:hAnsi="Times New Roman"/>
          <w:u w:val="single"/>
        </w:rPr>
      </w:pPr>
      <w:r>
        <w:rPr>
          <w:rFonts w:ascii="Times New Roman" w:hAnsi="Times New Roman"/>
        </w:rPr>
        <w:t>16.</w:t>
      </w:r>
      <w:r>
        <w:rPr>
          <w:rFonts w:ascii="Times New Roman" w:hAnsi="Times New Roman"/>
        </w:rPr>
        <w:tab/>
      </w:r>
      <w:r>
        <w:rPr>
          <w:rFonts w:ascii="Times New Roman" w:hAnsi="Times New Roman"/>
          <w:u w:val="single"/>
        </w:rPr>
        <w:t>Publication</w:t>
      </w:r>
    </w:p>
    <w:p w:rsidR="00A10641" w:rsidRDefault="00A10641">
      <w:pPr>
        <w:tabs>
          <w:tab w:val="left" w:pos="480"/>
          <w:tab w:val="left" w:pos="1080"/>
          <w:tab w:val="left" w:pos="1680"/>
        </w:tabs>
        <w:suppressAutoHyphens/>
        <w:ind w:left="480"/>
        <w:jc w:val="both"/>
        <w:rPr>
          <w:rFonts w:ascii="Times New Roman" w:hAnsi="Times New Roman"/>
        </w:rPr>
      </w:pPr>
    </w:p>
    <w:p w:rsidR="00A10641" w:rsidRDefault="00A10641">
      <w:pPr>
        <w:tabs>
          <w:tab w:val="left" w:pos="480"/>
          <w:tab w:val="left" w:pos="1080"/>
          <w:tab w:val="left" w:pos="1680"/>
        </w:tabs>
        <w:suppressAutoHyphens/>
        <w:ind w:left="960"/>
        <w:jc w:val="both"/>
        <w:rPr>
          <w:rFonts w:ascii="Times New Roman" w:hAnsi="Times New Roman"/>
        </w:rPr>
      </w:pPr>
      <w:r>
        <w:rPr>
          <w:rFonts w:ascii="Times New Roman" w:hAnsi="Times New Roman"/>
        </w:rPr>
        <w:t>Collections of information under the interagency statement are not published.</w:t>
      </w:r>
    </w:p>
    <w:p w:rsidR="00A10641" w:rsidRDefault="00A10641">
      <w:pPr>
        <w:tabs>
          <w:tab w:val="left" w:pos="480"/>
          <w:tab w:val="left" w:pos="1080"/>
          <w:tab w:val="left" w:pos="1680"/>
        </w:tabs>
        <w:suppressAutoHyphens/>
        <w:ind w:left="1560" w:hanging="480"/>
        <w:rPr>
          <w:rFonts w:ascii="Times New Roman" w:hAnsi="Times New Roman"/>
        </w:rPr>
      </w:pPr>
    </w:p>
    <w:p w:rsidR="00A10641" w:rsidRDefault="00CE5C66">
      <w:pPr>
        <w:numPr>
          <w:ilvl w:val="0"/>
          <w:numId w:val="3"/>
        </w:numPr>
        <w:tabs>
          <w:tab w:val="clear" w:pos="1080"/>
          <w:tab w:val="num" w:pos="960"/>
          <w:tab w:val="left" w:pos="1680"/>
        </w:tabs>
        <w:suppressAutoHyphens/>
        <w:ind w:left="960"/>
        <w:rPr>
          <w:rFonts w:ascii="Times New Roman" w:hAnsi="Times New Roman"/>
          <w:u w:val="single"/>
        </w:rPr>
      </w:pPr>
      <w:r>
        <w:rPr>
          <w:rFonts w:ascii="Times New Roman" w:hAnsi="Times New Roman"/>
          <w:u w:val="single"/>
        </w:rPr>
        <w:t xml:space="preserve">Exceptions to </w:t>
      </w:r>
      <w:r w:rsidR="00A10641">
        <w:rPr>
          <w:rFonts w:ascii="Times New Roman" w:hAnsi="Times New Roman"/>
          <w:u w:val="single"/>
        </w:rPr>
        <w:t>Display of Expiration Dates</w:t>
      </w:r>
    </w:p>
    <w:p w:rsidR="00A10641" w:rsidRDefault="00A10641">
      <w:pPr>
        <w:tabs>
          <w:tab w:val="left" w:pos="480"/>
          <w:tab w:val="left" w:pos="1080"/>
          <w:tab w:val="left" w:pos="1680"/>
        </w:tabs>
        <w:suppressAutoHyphens/>
        <w:rPr>
          <w:rFonts w:ascii="Times New Roman" w:hAnsi="Times New Roman"/>
          <w:u w:val="single"/>
        </w:rPr>
      </w:pPr>
    </w:p>
    <w:p w:rsidR="00A10641" w:rsidRDefault="00A10641">
      <w:pPr>
        <w:tabs>
          <w:tab w:val="left" w:pos="480"/>
          <w:tab w:val="left" w:pos="1080"/>
          <w:tab w:val="left" w:pos="1680"/>
        </w:tabs>
        <w:suppressAutoHyphens/>
        <w:ind w:left="960"/>
        <w:rPr>
          <w:rFonts w:ascii="Times New Roman" w:hAnsi="Times New Roman"/>
        </w:rPr>
      </w:pPr>
      <w:r>
        <w:rPr>
          <w:rFonts w:ascii="Times New Roman" w:hAnsi="Times New Roman"/>
        </w:rPr>
        <w:t>This collection of information is mandated by statute and is not implemented by regulation or collected through an instrument.</w:t>
      </w: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br w:type="page"/>
      </w:r>
    </w:p>
    <w:p w:rsidR="00A10641" w:rsidRDefault="00A10641">
      <w:pPr>
        <w:numPr>
          <w:ilvl w:val="0"/>
          <w:numId w:val="3"/>
        </w:numPr>
        <w:tabs>
          <w:tab w:val="clear" w:pos="1080"/>
          <w:tab w:val="num" w:pos="960"/>
          <w:tab w:val="left" w:pos="1680"/>
        </w:tabs>
        <w:suppressAutoHyphens/>
        <w:ind w:left="960"/>
        <w:rPr>
          <w:rFonts w:ascii="Times New Roman" w:hAnsi="Times New Roman"/>
        </w:rPr>
      </w:pPr>
      <w:r>
        <w:rPr>
          <w:rFonts w:ascii="Times New Roman" w:hAnsi="Times New Roman"/>
          <w:u w:val="single"/>
        </w:rPr>
        <w:t>Exceptions to Certification</w:t>
      </w:r>
    </w:p>
    <w:p w:rsidR="00A10641" w:rsidRDefault="00A10641">
      <w:pPr>
        <w:tabs>
          <w:tab w:val="left" w:pos="480"/>
          <w:tab w:val="left" w:pos="1080"/>
          <w:tab w:val="left" w:pos="1680"/>
        </w:tabs>
        <w:suppressAutoHyphens/>
        <w:rPr>
          <w:rFonts w:ascii="Times New Roman" w:hAnsi="Times New Roman"/>
        </w:rPr>
      </w:pPr>
    </w:p>
    <w:p w:rsidR="00A10641" w:rsidRDefault="001F0880">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A10641">
        <w:rPr>
          <w:rFonts w:ascii="Times New Roman" w:hAnsi="Times New Roman"/>
        </w:rPr>
        <w:t>None.</w:t>
      </w:r>
      <w:r w:rsidR="00A10641">
        <w:rPr>
          <w:rFonts w:ascii="Times New Roman" w:hAnsi="Times New Roman"/>
        </w:rPr>
        <w:tab/>
      </w:r>
    </w:p>
    <w:p w:rsidR="00A10641" w:rsidRDefault="00A10641">
      <w:pPr>
        <w:tabs>
          <w:tab w:val="left" w:pos="480"/>
          <w:tab w:val="left" w:pos="1080"/>
          <w:tab w:val="left" w:pos="1680"/>
        </w:tabs>
        <w:suppressAutoHyphens/>
        <w:ind w:left="1080"/>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480" w:hanging="480"/>
        <w:rPr>
          <w:rFonts w:ascii="Times New Roman" w:hAnsi="Times New Roman"/>
        </w:rPr>
      </w:pPr>
      <w:r>
        <w:rPr>
          <w:rFonts w:ascii="Times New Roman" w:hAnsi="Times New Roman"/>
        </w:rPr>
        <w:tab/>
        <w:t>Statistical methods are not employed in this collection.</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sectPr w:rsidR="00A1064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FC" w:rsidRDefault="008C4AFC">
      <w:pPr>
        <w:spacing w:line="20" w:lineRule="exact"/>
      </w:pPr>
    </w:p>
  </w:endnote>
  <w:endnote w:type="continuationSeparator" w:id="0">
    <w:p w:rsidR="008C4AFC" w:rsidRDefault="008C4AFC">
      <w:r>
        <w:t xml:space="preserve"> </w:t>
      </w:r>
    </w:p>
  </w:endnote>
  <w:endnote w:type="continuationNotice" w:id="1">
    <w:p w:rsidR="008C4AFC" w:rsidRDefault="008C4A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2DE" w:rsidRDefault="00377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F07D1">
      <w:rPr>
        <w:rStyle w:val="PageNumber"/>
        <w:rFonts w:ascii="Times New Roman" w:hAnsi="Times New Roman"/>
        <w:noProof/>
      </w:rPr>
      <w:t>1</w:t>
    </w:r>
    <w:r>
      <w:rPr>
        <w:rStyle w:val="PageNumber"/>
        <w:rFonts w:ascii="Times New Roman" w:hAnsi="Times New Roman"/>
      </w:rPr>
      <w:fldChar w:fldCharType="end"/>
    </w:r>
  </w:p>
  <w:p w:rsidR="003772DE" w:rsidRDefault="003772DE">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FC" w:rsidRDefault="008C4AFC">
      <w:r>
        <w:separator/>
      </w:r>
    </w:p>
  </w:footnote>
  <w:footnote w:type="continuationSeparator" w:id="0">
    <w:p w:rsidR="008C4AFC" w:rsidRDefault="008C4AFC">
      <w:r>
        <w:continuationSeparator/>
      </w:r>
    </w:p>
  </w:footnote>
  <w:footnote w:id="1">
    <w:p w:rsidR="00533183" w:rsidRPr="00533183" w:rsidRDefault="00533183">
      <w:pPr>
        <w:pStyle w:val="FootnoteText"/>
        <w:rPr>
          <w:rFonts w:ascii="Times New Roman" w:hAnsi="Times New Roman"/>
          <w:sz w:val="20"/>
        </w:rPr>
      </w:pPr>
      <w:r w:rsidRPr="00533183">
        <w:rPr>
          <w:rStyle w:val="FootnoteReference"/>
          <w:rFonts w:ascii="Times New Roman" w:hAnsi="Times New Roman"/>
          <w:sz w:val="20"/>
        </w:rPr>
        <w:footnoteRef/>
      </w:r>
      <w:r w:rsidRPr="00533183">
        <w:rPr>
          <w:rFonts w:ascii="Times New Roman" w:hAnsi="Times New Roman"/>
          <w:sz w:val="20"/>
        </w:rPr>
        <w:t xml:space="preserve"> The hourly</w:t>
      </w:r>
      <w:r>
        <w:rPr>
          <w:rFonts w:ascii="Times New Roman" w:hAnsi="Times New Roman"/>
          <w:sz w:val="20"/>
        </w:rPr>
        <w:t xml:space="preserve"> wage estimate reflects the hourly compensation for each job category in the Depository Credit Intermediation sector as of March 2018.  The estimate includes the May 2017 mean hourly wage reported by the Bureau of Labor Statistics, National Industry-Specific Occupational Employment and Wage Estimates.  This wage rate has been adjusted for changes in the Consumer Price Index for all Urb</w:t>
      </w:r>
      <w:r w:rsidR="00A3164F">
        <w:rPr>
          <w:rFonts w:ascii="Times New Roman" w:hAnsi="Times New Roman"/>
          <w:sz w:val="20"/>
        </w:rPr>
        <w:t>an Consumers between May 2017 an</w:t>
      </w:r>
      <w:r>
        <w:rPr>
          <w:rFonts w:ascii="Times New Roman" w:hAnsi="Times New Roman"/>
          <w:sz w:val="20"/>
        </w:rPr>
        <w:t>d March 2018 (2.28 percent) and grossed up by 55.03 percent</w:t>
      </w:r>
      <w:r w:rsidR="00A3164F">
        <w:rPr>
          <w:rFonts w:ascii="Times New Roman" w:hAnsi="Times New Roman"/>
          <w:sz w:val="20"/>
        </w:rPr>
        <w:t xml:space="preserve"> to account for non-monetary compensation as reported by the March 2018 Employer Costs for Employee Compensation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spacing w:after="380"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1">
    <w:nsid w:val="0B0A3E59"/>
    <w:multiLevelType w:val="singleLevel"/>
    <w:tmpl w:val="2EDE856C"/>
    <w:lvl w:ilvl="0">
      <w:start w:val="9"/>
      <w:numFmt w:val="decimal"/>
      <w:lvlText w:val="%1."/>
      <w:lvlJc w:val="left"/>
      <w:pPr>
        <w:tabs>
          <w:tab w:val="num" w:pos="1440"/>
        </w:tabs>
        <w:ind w:left="1440" w:hanging="660"/>
      </w:pPr>
      <w:rPr>
        <w:rFonts w:hint="default"/>
      </w:rPr>
    </w:lvl>
  </w:abstractNum>
  <w:abstractNum w:abstractNumId="2">
    <w:nsid w:val="2BD12CC3"/>
    <w:multiLevelType w:val="singleLevel"/>
    <w:tmpl w:val="E4A63036"/>
    <w:lvl w:ilvl="0">
      <w:start w:val="17"/>
      <w:numFmt w:val="decimal"/>
      <w:lvlText w:val="%1."/>
      <w:lvlJc w:val="left"/>
      <w:pPr>
        <w:tabs>
          <w:tab w:val="num" w:pos="1080"/>
        </w:tabs>
        <w:ind w:left="1080" w:hanging="480"/>
      </w:pPr>
      <w:rPr>
        <w:rFonts w:hint="default"/>
        <w:u w:val="none"/>
      </w:rPr>
    </w:lvl>
  </w:abstractNum>
  <w:abstractNum w:abstractNumId="3">
    <w:nsid w:val="778D34FB"/>
    <w:multiLevelType w:val="singleLevel"/>
    <w:tmpl w:val="77628284"/>
    <w:lvl w:ilvl="0">
      <w:start w:val="2"/>
      <w:numFmt w:val="decimal"/>
      <w:lvlText w:val="%1."/>
      <w:lvlJc w:val="left"/>
      <w:pPr>
        <w:tabs>
          <w:tab w:val="num" w:pos="480"/>
        </w:tabs>
        <w:ind w:left="480" w:hanging="48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B0"/>
    <w:rsid w:val="00016F47"/>
    <w:rsid w:val="0010443B"/>
    <w:rsid w:val="001A0299"/>
    <w:rsid w:val="001F0880"/>
    <w:rsid w:val="002E2F49"/>
    <w:rsid w:val="003772DE"/>
    <w:rsid w:val="003E7A05"/>
    <w:rsid w:val="00472470"/>
    <w:rsid w:val="005323ED"/>
    <w:rsid w:val="00533183"/>
    <w:rsid w:val="005D7C4F"/>
    <w:rsid w:val="005E1A91"/>
    <w:rsid w:val="00821F26"/>
    <w:rsid w:val="008C4AFC"/>
    <w:rsid w:val="00A10641"/>
    <w:rsid w:val="00A3164F"/>
    <w:rsid w:val="00A37A17"/>
    <w:rsid w:val="00A70D79"/>
    <w:rsid w:val="00AF65B5"/>
    <w:rsid w:val="00B32BB8"/>
    <w:rsid w:val="00CB0D1A"/>
    <w:rsid w:val="00CB70C1"/>
    <w:rsid w:val="00CE5C66"/>
    <w:rsid w:val="00D22383"/>
    <w:rsid w:val="00D73AB8"/>
    <w:rsid w:val="00DE18CF"/>
    <w:rsid w:val="00EF07D1"/>
    <w:rsid w:val="00F856B0"/>
    <w:rsid w:val="00FB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B70C1"/>
    <w:rPr>
      <w:rFonts w:ascii="Tahoma" w:hAnsi="Tahoma" w:cs="Tahoma"/>
      <w:sz w:val="16"/>
      <w:szCs w:val="16"/>
    </w:rPr>
  </w:style>
  <w:style w:type="character" w:customStyle="1" w:styleId="BalloonTextChar">
    <w:name w:val="Balloon Text Char"/>
    <w:link w:val="BalloonText"/>
    <w:rsid w:val="00CB70C1"/>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B70C1"/>
    <w:rPr>
      <w:rFonts w:ascii="Tahoma" w:hAnsi="Tahoma" w:cs="Tahoma"/>
      <w:sz w:val="16"/>
      <w:szCs w:val="16"/>
    </w:rPr>
  </w:style>
  <w:style w:type="character" w:customStyle="1" w:styleId="BalloonTextChar">
    <w:name w:val="Balloon Text Char"/>
    <w:link w:val="BalloonText"/>
    <w:rsid w:val="00CB70C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6163-9A2A-45BD-98C5-5D444742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2018-07-12T13:39:00Z</dcterms:created>
  <dcterms:modified xsi:type="dcterms:W3CDTF">2018-07-12T13:39:00Z</dcterms:modified>
</cp:coreProperties>
</file>