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11C" w:rsidRPr="00FC311C" w:rsidRDefault="00FC311C" w:rsidP="00FC311C">
      <w:pPr>
        <w:tabs>
          <w:tab w:val="left" w:pos="-1440"/>
          <w:tab w:val="left" w:pos="-720"/>
          <w:tab w:val="left" w:pos="0"/>
          <w:tab w:val="left" w:pos="432"/>
          <w:tab w:val="left" w:pos="720"/>
          <w:tab w:val="left" w:pos="1008"/>
          <w:tab w:val="left" w:pos="1440"/>
        </w:tabs>
        <w:suppressAutoHyphens/>
        <w:spacing w:after="0" w:line="240" w:lineRule="auto"/>
        <w:jc w:val="center"/>
        <w:rPr>
          <w:rFonts w:ascii="Times New Roman" w:eastAsia="Times New Roman" w:hAnsi="Times New Roman" w:cs="Times New Roman"/>
          <w:snapToGrid w:val="0"/>
          <w:sz w:val="24"/>
          <w:szCs w:val="24"/>
        </w:rPr>
      </w:pPr>
      <w:bookmarkStart w:id="0" w:name="_GoBack"/>
      <w:bookmarkEnd w:id="0"/>
      <w:r w:rsidRPr="00FC311C">
        <w:rPr>
          <w:rFonts w:ascii="Times New Roman" w:eastAsia="Times New Roman" w:hAnsi="Times New Roman" w:cs="Times New Roman"/>
          <w:snapToGrid w:val="0"/>
          <w:sz w:val="24"/>
          <w:szCs w:val="24"/>
        </w:rPr>
        <w:t>SUPPORTING STATEMENT</w:t>
      </w:r>
    </w:p>
    <w:p w:rsidR="00FC311C" w:rsidRPr="00FC311C" w:rsidRDefault="00FC311C" w:rsidP="00FC311C">
      <w:pPr>
        <w:tabs>
          <w:tab w:val="left" w:pos="-1440"/>
          <w:tab w:val="left" w:pos="-720"/>
          <w:tab w:val="left" w:pos="0"/>
          <w:tab w:val="left" w:pos="432"/>
          <w:tab w:val="left" w:pos="720"/>
          <w:tab w:val="left" w:pos="1008"/>
          <w:tab w:val="left" w:pos="1440"/>
        </w:tabs>
        <w:suppressAutoHyphens/>
        <w:spacing w:after="0" w:line="240" w:lineRule="auto"/>
        <w:jc w:val="center"/>
        <w:rPr>
          <w:rFonts w:ascii="Times New Roman" w:eastAsia="Times New Roman" w:hAnsi="Times New Roman" w:cs="Times New Roman"/>
          <w:snapToGrid w:val="0"/>
          <w:sz w:val="24"/>
          <w:szCs w:val="24"/>
        </w:rPr>
      </w:pPr>
      <w:r w:rsidRPr="00FC311C">
        <w:rPr>
          <w:rFonts w:ascii="Times New Roman" w:eastAsia="Times New Roman" w:hAnsi="Times New Roman" w:cs="Times New Roman"/>
          <w:snapToGrid w:val="0"/>
          <w:sz w:val="24"/>
          <w:szCs w:val="24"/>
        </w:rPr>
        <w:t xml:space="preserve">Credit Risk Retention </w:t>
      </w:r>
    </w:p>
    <w:p w:rsidR="00FC311C" w:rsidRPr="00FC311C" w:rsidRDefault="00FC311C" w:rsidP="00FC311C">
      <w:pPr>
        <w:tabs>
          <w:tab w:val="left" w:pos="-1440"/>
          <w:tab w:val="left" w:pos="-720"/>
          <w:tab w:val="left" w:pos="0"/>
          <w:tab w:val="left" w:pos="432"/>
          <w:tab w:val="left" w:pos="720"/>
          <w:tab w:val="left" w:pos="1008"/>
          <w:tab w:val="left" w:pos="1440"/>
        </w:tabs>
        <w:suppressAutoHyphens/>
        <w:spacing w:after="0" w:line="240" w:lineRule="auto"/>
        <w:jc w:val="center"/>
        <w:rPr>
          <w:rFonts w:ascii="Times New Roman" w:eastAsia="Times New Roman" w:hAnsi="Times New Roman" w:cs="Times New Roman"/>
          <w:snapToGrid w:val="0"/>
          <w:sz w:val="24"/>
          <w:szCs w:val="24"/>
        </w:rPr>
      </w:pPr>
      <w:r w:rsidRPr="00FC311C">
        <w:rPr>
          <w:rFonts w:ascii="Times New Roman" w:eastAsia="Times New Roman" w:hAnsi="Times New Roman" w:cs="Times New Roman"/>
          <w:snapToGrid w:val="0"/>
          <w:sz w:val="24"/>
          <w:szCs w:val="24"/>
        </w:rPr>
        <w:t xml:space="preserve"> (OMB No. 3064-0183)</w:t>
      </w:r>
    </w:p>
    <w:p w:rsidR="00FC311C" w:rsidRPr="00FC311C" w:rsidRDefault="00FC311C" w:rsidP="00FC311C">
      <w:pPr>
        <w:tabs>
          <w:tab w:val="left" w:pos="-1440"/>
          <w:tab w:val="left" w:pos="-720"/>
          <w:tab w:val="left" w:pos="0"/>
          <w:tab w:val="left" w:pos="432"/>
          <w:tab w:val="left" w:pos="720"/>
          <w:tab w:val="left" w:pos="1008"/>
          <w:tab w:val="left" w:pos="1440"/>
        </w:tabs>
        <w:suppressAutoHyphens/>
        <w:spacing w:after="0" w:line="240" w:lineRule="auto"/>
        <w:rPr>
          <w:rFonts w:ascii="Times New Roman" w:eastAsia="Times New Roman" w:hAnsi="Times New Roman" w:cs="Times New Roman"/>
          <w:snapToGrid w:val="0"/>
          <w:sz w:val="24"/>
          <w:szCs w:val="24"/>
        </w:rPr>
      </w:pPr>
    </w:p>
    <w:p w:rsidR="00FC311C" w:rsidRPr="00FC311C" w:rsidRDefault="00FC311C" w:rsidP="00FC311C">
      <w:pPr>
        <w:tabs>
          <w:tab w:val="left" w:pos="-1440"/>
          <w:tab w:val="left" w:pos="-720"/>
          <w:tab w:val="left" w:pos="0"/>
          <w:tab w:val="left" w:pos="432"/>
          <w:tab w:val="left" w:pos="720"/>
          <w:tab w:val="left" w:pos="1008"/>
          <w:tab w:val="left" w:pos="1440"/>
        </w:tabs>
        <w:suppressAutoHyphens/>
        <w:spacing w:after="0" w:line="240" w:lineRule="auto"/>
        <w:rPr>
          <w:rFonts w:ascii="Times New Roman" w:eastAsia="Times New Roman" w:hAnsi="Times New Roman" w:cs="Times New Roman"/>
          <w:snapToGrid w:val="0"/>
          <w:sz w:val="24"/>
          <w:szCs w:val="24"/>
        </w:rPr>
      </w:pPr>
      <w:r w:rsidRPr="00FC311C">
        <w:rPr>
          <w:rFonts w:ascii="Times New Roman" w:eastAsia="Times New Roman" w:hAnsi="Times New Roman" w:cs="Times New Roman"/>
          <w:b/>
          <w:snapToGrid w:val="0"/>
          <w:sz w:val="24"/>
          <w:szCs w:val="24"/>
          <w:u w:val="single"/>
        </w:rPr>
        <w:t>INTRODUCTION</w:t>
      </w:r>
    </w:p>
    <w:p w:rsidR="00FC311C" w:rsidRPr="00FC311C" w:rsidRDefault="00FC311C" w:rsidP="00FC311C">
      <w:pPr>
        <w:tabs>
          <w:tab w:val="left" w:pos="-1440"/>
          <w:tab w:val="left" w:pos="-720"/>
          <w:tab w:val="left" w:pos="0"/>
          <w:tab w:val="left" w:pos="432"/>
          <w:tab w:val="left" w:pos="720"/>
          <w:tab w:val="left" w:pos="1008"/>
          <w:tab w:val="left" w:pos="1440"/>
        </w:tabs>
        <w:suppressAutoHyphens/>
        <w:spacing w:after="0" w:line="240" w:lineRule="auto"/>
        <w:rPr>
          <w:rFonts w:ascii="Times New Roman" w:eastAsia="Times New Roman" w:hAnsi="Times New Roman" w:cs="Times New Roman"/>
          <w:snapToGrid w:val="0"/>
          <w:sz w:val="24"/>
          <w:szCs w:val="24"/>
        </w:rPr>
      </w:pPr>
    </w:p>
    <w:p w:rsidR="00FC311C" w:rsidRPr="00FC311C" w:rsidRDefault="00AA37F9" w:rsidP="00FC311C">
      <w:pPr>
        <w:tabs>
          <w:tab w:val="left" w:pos="-1440"/>
          <w:tab w:val="left" w:pos="-720"/>
          <w:tab w:val="left" w:pos="0"/>
          <w:tab w:val="left" w:pos="432"/>
          <w:tab w:val="left" w:pos="720"/>
          <w:tab w:val="left" w:pos="1008"/>
          <w:tab w:val="left" w:pos="1440"/>
        </w:tabs>
        <w:suppressAutoHyphens/>
        <w:spacing w:after="0" w:line="240" w:lineRule="auto"/>
        <w:rPr>
          <w:rFonts w:ascii="Times New Roman" w:eastAsia="Times New Roman" w:hAnsi="Times New Roman" w:cs="Times New Roman"/>
          <w:snapToGrid w:val="0"/>
          <w:sz w:val="24"/>
          <w:szCs w:val="24"/>
        </w:rPr>
      </w:pPr>
      <w:r w:rsidRPr="00AA37F9">
        <w:rPr>
          <w:rFonts w:ascii="Times New Roman" w:eastAsia="Times New Roman" w:hAnsi="Times New Roman" w:cs="Times New Roman"/>
          <w:snapToGrid w:val="0"/>
          <w:sz w:val="24"/>
          <w:szCs w:val="24"/>
        </w:rPr>
        <w:t xml:space="preserve">The FDIC </w:t>
      </w:r>
      <w:r>
        <w:rPr>
          <w:rFonts w:ascii="Times New Roman" w:eastAsia="Times New Roman" w:hAnsi="Times New Roman" w:cs="Times New Roman"/>
          <w:snapToGrid w:val="0"/>
          <w:sz w:val="24"/>
          <w:szCs w:val="24"/>
        </w:rPr>
        <w:t>is</w:t>
      </w:r>
      <w:r w:rsidRPr="00AA37F9">
        <w:rPr>
          <w:rFonts w:ascii="Times New Roman" w:eastAsia="Times New Roman" w:hAnsi="Times New Roman" w:cs="Times New Roman"/>
          <w:snapToGrid w:val="0"/>
          <w:sz w:val="24"/>
          <w:szCs w:val="24"/>
        </w:rPr>
        <w:t xml:space="preserve"> requesting approval from the OMB to extend, without change, a currently approved information collection (OMB Control No. 3064-0183) comprised of disclosure and recordkeeping requirements under the credit risk retention rule issued pursuant to section 15G of the Securities Exchange Act of 1934 (15 U.S.C. §§ 78o-11), as added by section 941 of the Dodd-Frank Wall Street Reform and Consumer Protection Act (“Dodd-Frank”), Pub. L. No.111-2-3, 124 Stat. 1376 (2010).  The Credit Risk Retention rule was jointly issued in 2015 by the Federal Deposit Insurance Corporation (“FDIC”), the Office of the Comptroller of the Currency (“OCC”), the Federal Reserve Board (“Board”), the Securities and Exchange Commission (“SEC”) and, with respect to the portions of the Rule addressing the securitization of residential mortgages, the Federal Housing Finance Agency (“FHFA”) and the Department of Housing and Urban Development (“HUD”).  The FDIC Credit Risk Retention rule is found at 12 CFR Part 373.</w:t>
      </w:r>
      <w:r w:rsidR="00FC311C" w:rsidRPr="00FC311C">
        <w:rPr>
          <w:rFonts w:ascii="Times New Roman" w:eastAsia="Times New Roman" w:hAnsi="Times New Roman" w:cs="Times New Roman"/>
          <w:snapToGrid w:val="0"/>
          <w:sz w:val="24"/>
          <w:szCs w:val="24"/>
        </w:rPr>
        <w:t xml:space="preserve">    </w:t>
      </w:r>
    </w:p>
    <w:p w:rsidR="00FC311C" w:rsidRPr="00FC311C" w:rsidRDefault="00FC311C" w:rsidP="00FC311C">
      <w:pPr>
        <w:tabs>
          <w:tab w:val="left" w:pos="-1440"/>
          <w:tab w:val="left" w:pos="-720"/>
          <w:tab w:val="left" w:pos="0"/>
          <w:tab w:val="left" w:pos="432"/>
          <w:tab w:val="left" w:pos="720"/>
          <w:tab w:val="left" w:pos="1008"/>
          <w:tab w:val="left" w:pos="1440"/>
        </w:tabs>
        <w:suppressAutoHyphens/>
        <w:spacing w:after="0" w:line="240" w:lineRule="auto"/>
        <w:rPr>
          <w:rFonts w:ascii="Times New Roman" w:eastAsia="Times New Roman" w:hAnsi="Times New Roman" w:cs="Times New Roman"/>
          <w:snapToGrid w:val="0"/>
          <w:sz w:val="24"/>
          <w:szCs w:val="24"/>
        </w:rPr>
      </w:pPr>
    </w:p>
    <w:p w:rsidR="00FC311C" w:rsidRPr="00FC311C" w:rsidRDefault="00FC311C" w:rsidP="00FC311C">
      <w:pPr>
        <w:keepNext/>
        <w:tabs>
          <w:tab w:val="left" w:pos="-1440"/>
          <w:tab w:val="left" w:pos="-720"/>
          <w:tab w:val="left" w:pos="0"/>
          <w:tab w:val="left" w:pos="432"/>
          <w:tab w:val="left" w:pos="720"/>
          <w:tab w:val="left" w:pos="1008"/>
          <w:tab w:val="left" w:pos="1440"/>
        </w:tabs>
        <w:suppressAutoHyphens/>
        <w:spacing w:after="0" w:line="240" w:lineRule="auto"/>
        <w:outlineLvl w:val="1"/>
        <w:rPr>
          <w:rFonts w:ascii="Times New Roman" w:eastAsia="Times New Roman" w:hAnsi="Times New Roman" w:cs="Times New Roman"/>
          <w:b/>
          <w:snapToGrid w:val="0"/>
          <w:sz w:val="24"/>
          <w:szCs w:val="20"/>
          <w:u w:val="single"/>
        </w:rPr>
      </w:pPr>
      <w:r w:rsidRPr="00FC311C">
        <w:rPr>
          <w:rFonts w:ascii="Times New Roman" w:eastAsia="Times New Roman" w:hAnsi="Times New Roman" w:cs="Times New Roman"/>
          <w:b/>
          <w:snapToGrid w:val="0"/>
          <w:sz w:val="24"/>
          <w:szCs w:val="20"/>
          <w:u w:val="single"/>
        </w:rPr>
        <w:t>JUSTIFICATION</w:t>
      </w:r>
    </w:p>
    <w:p w:rsidR="00FC311C" w:rsidRPr="00FC311C" w:rsidRDefault="00FC311C" w:rsidP="00FC311C">
      <w:pPr>
        <w:tabs>
          <w:tab w:val="left" w:pos="-1440"/>
          <w:tab w:val="left" w:pos="-720"/>
          <w:tab w:val="left" w:pos="0"/>
          <w:tab w:val="left" w:pos="432"/>
          <w:tab w:val="left" w:pos="720"/>
          <w:tab w:val="left" w:pos="1008"/>
          <w:tab w:val="left" w:pos="1440"/>
        </w:tabs>
        <w:suppressAutoHyphens/>
        <w:spacing w:after="0" w:line="240" w:lineRule="auto"/>
        <w:rPr>
          <w:rFonts w:ascii="Times New Roman" w:eastAsia="Times New Roman" w:hAnsi="Times New Roman" w:cs="Times New Roman"/>
          <w:snapToGrid w:val="0"/>
          <w:sz w:val="24"/>
          <w:szCs w:val="20"/>
        </w:rPr>
      </w:pPr>
    </w:p>
    <w:p w:rsidR="00FC311C" w:rsidRPr="00FC311C" w:rsidRDefault="00FC311C" w:rsidP="00FC311C">
      <w:pPr>
        <w:tabs>
          <w:tab w:val="left" w:pos="-1440"/>
          <w:tab w:val="left" w:pos="-720"/>
          <w:tab w:val="left" w:pos="0"/>
          <w:tab w:val="left" w:pos="432"/>
          <w:tab w:val="left" w:pos="720"/>
          <w:tab w:val="left" w:pos="1008"/>
          <w:tab w:val="left" w:pos="1440"/>
        </w:tabs>
        <w:suppressAutoHyphens/>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 xml:space="preserve">1.  </w:t>
      </w:r>
      <w:r w:rsidR="00FE2AC0" w:rsidRPr="00FE2AC0">
        <w:rPr>
          <w:rFonts w:ascii="Times New Roman" w:hAnsi="Times New Roman"/>
          <w:sz w:val="24"/>
          <w:u w:val="single"/>
        </w:rPr>
        <w:t>Circumstances the make the collection necessary</w:t>
      </w:r>
      <w:r w:rsidR="00FE2AC0">
        <w:rPr>
          <w:rFonts w:ascii="Times New Roman" w:hAnsi="Times New Roman"/>
          <w:u w:val="single"/>
        </w:rPr>
        <w:t>:</w:t>
      </w:r>
    </w:p>
    <w:p w:rsidR="00FC311C" w:rsidRPr="00FC311C" w:rsidRDefault="00FC311C" w:rsidP="00FC311C">
      <w:pPr>
        <w:tabs>
          <w:tab w:val="left" w:pos="-1440"/>
          <w:tab w:val="left" w:pos="-720"/>
          <w:tab w:val="left" w:pos="0"/>
          <w:tab w:val="left" w:pos="432"/>
          <w:tab w:val="left" w:pos="720"/>
          <w:tab w:val="left" w:pos="1008"/>
          <w:tab w:val="left" w:pos="1440"/>
        </w:tabs>
        <w:suppressAutoHyphens/>
        <w:spacing w:after="0" w:line="240" w:lineRule="auto"/>
        <w:rPr>
          <w:rFonts w:ascii="Times New Roman" w:eastAsia="Times New Roman" w:hAnsi="Times New Roman" w:cs="Times New Roman"/>
          <w:snapToGrid w:val="0"/>
          <w:sz w:val="24"/>
          <w:szCs w:val="20"/>
        </w:rPr>
      </w:pP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 xml:space="preserve">Section 941 requires the Board, the FDIC, the OCC (collectively, the “Federal banking agencies”), the Commission and, in the case of the securitization of any “residential mortgage asset,” together with HUD and FHFA, to jointly prescribe regulations that (i) require a securitizer to retain not less than five percent of the credit risk of any asset that the securitizer, through the issuance of an asset-backed security (“ABS”), transfers, sells or conveys to a third party, and (ii) prohibit a securitizer from directly or indirectly hedging or otherwise transferring the credit risk that the securitizer is required to retain under section 941 and the agencies’ implementing rules.  Exempted from the credit risk retention requirements of section 941 are certain types of securitization transactions, including ABS collateralized solely by qualified residential mortgages (“QRMs”), as that term is defined in the Rule.  In addition, section 941 provides that the agencies must permit a securitizer to retain less than five percent of the credit risk of residential mortgage loans, commercial real estate (“CRE”) loans, commercial loans and automobile loans that are transferred, sold or conveyed through the issuance of ABS by the securitizer, if the loans meet underwriting standards established by the Federal banking agencies.  </w:t>
      </w: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 xml:space="preserve">The Rule provides a menu of credit risk retention options from which securitizers can choose and sets out the standards, including disclosure and recordkeeping requirements, for each option; identifies the eligibility criteria, including certification and disclosure requirements, that must be met for ABS offerings to qualify for the QRM and other exemptions; specifies the underwriting standards for CRE loans, commercial loans and automobile loans, as well as disclosure, certification and recordkeeping requirements, that must be met for ABS issuances collateralized by such loans to qualify for reduced credit risk retention; and sets forth the circumstances under which retention obligations may be allocated by sponsors to originators, including disclosure and </w:t>
      </w:r>
      <w:r w:rsidRPr="00FC311C">
        <w:rPr>
          <w:rFonts w:ascii="Times New Roman" w:eastAsia="Times New Roman" w:hAnsi="Times New Roman" w:cs="Times New Roman"/>
          <w:snapToGrid w:val="0"/>
          <w:sz w:val="24"/>
          <w:szCs w:val="20"/>
        </w:rPr>
        <w:lastRenderedPageBreak/>
        <w:t>monitoring requirements.</w:t>
      </w: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
    <w:p w:rsidR="00FC311C" w:rsidRPr="00FC311C" w:rsidRDefault="00FC311C" w:rsidP="00FC311C">
      <w:pPr>
        <w:tabs>
          <w:tab w:val="left" w:pos="-1440"/>
          <w:tab w:val="left" w:pos="-720"/>
          <w:tab w:val="left" w:pos="0"/>
          <w:tab w:val="left" w:pos="432"/>
          <w:tab w:val="left" w:pos="720"/>
          <w:tab w:val="left" w:pos="1008"/>
          <w:tab w:val="left" w:pos="1440"/>
        </w:tabs>
        <w:suppressAutoHyphens/>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 xml:space="preserve">2.  </w:t>
      </w:r>
      <w:r w:rsidRPr="00FC311C">
        <w:rPr>
          <w:rFonts w:ascii="Times New Roman" w:eastAsia="Times New Roman" w:hAnsi="Times New Roman" w:cs="Times New Roman"/>
          <w:snapToGrid w:val="0"/>
          <w:sz w:val="24"/>
          <w:szCs w:val="20"/>
          <w:u w:val="single"/>
        </w:rPr>
        <w:t>Use of Information Collected</w:t>
      </w:r>
    </w:p>
    <w:p w:rsidR="00FC311C" w:rsidRPr="00FC311C" w:rsidRDefault="00FC311C" w:rsidP="00FC311C">
      <w:pPr>
        <w:tabs>
          <w:tab w:val="left" w:pos="-1440"/>
          <w:tab w:val="left" w:pos="-720"/>
          <w:tab w:val="left" w:pos="0"/>
          <w:tab w:val="left" w:pos="432"/>
          <w:tab w:val="left" w:pos="720"/>
          <w:tab w:val="left" w:pos="1008"/>
          <w:tab w:val="left" w:pos="1440"/>
        </w:tabs>
        <w:suppressAutoHyphens/>
        <w:spacing w:after="0" w:line="240" w:lineRule="auto"/>
        <w:rPr>
          <w:rFonts w:ascii="Times New Roman" w:eastAsia="Times New Roman" w:hAnsi="Times New Roman" w:cs="Times New Roman"/>
          <w:snapToGrid w:val="0"/>
          <w:sz w:val="24"/>
          <w:szCs w:val="20"/>
        </w:rPr>
      </w:pPr>
    </w:p>
    <w:p w:rsidR="00FC311C" w:rsidRPr="00FC311C" w:rsidRDefault="00FC311C" w:rsidP="00FC311C">
      <w:pPr>
        <w:tabs>
          <w:tab w:val="left" w:pos="-1440"/>
          <w:tab w:val="left" w:pos="-720"/>
          <w:tab w:val="left" w:pos="0"/>
          <w:tab w:val="left" w:pos="432"/>
          <w:tab w:val="left" w:pos="720"/>
          <w:tab w:val="left" w:pos="1008"/>
          <w:tab w:val="left" w:pos="1440"/>
        </w:tabs>
        <w:suppressAutoHyphens/>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 xml:space="preserve">The information collection requirements are found in sections _.4, _.5, _.6, _.7, _.8, _.9, _.10, _.11, _.13, _.15, _.16, _.17, _.18 and 19(g).  The recordkeeping requirements relate primarily to (i) the adoption and maintenance of various policies and procedures to ensure and monitor compliance with regulatory requirements and (ii) certifications, including as to the effectiveness of internal supervisory controls.  The required disclosures for each risk retention option are intended to provide investors with material information concerning the sponsor’s retained interest in a securitization transaction (e.g., the amount, form and nature of the retained interest, material assumptions and methodology, representations and warranties).  The agencies believe that the disclosure and recordkeeping requirements will enhance market discipline, help ensure the quality of the assets underlying a securitization, and assist investors in evaluating transactions.  Compliance with the information collections is mandatory, responses to the information collections will not be kept confidential and, with the exception of the recordkeeping requirements in sections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 xml:space="preserve">4(d),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 xml:space="preserve">5(k)(3) and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15(d), the Rule does not specify a mandatory retention period for the collections information.</w:t>
      </w:r>
    </w:p>
    <w:p w:rsidR="00FC311C" w:rsidRPr="00FC311C" w:rsidRDefault="00FC311C" w:rsidP="00FC311C">
      <w:pPr>
        <w:tabs>
          <w:tab w:val="left" w:pos="-1440"/>
          <w:tab w:val="left" w:pos="-720"/>
          <w:tab w:val="left" w:pos="0"/>
          <w:tab w:val="left" w:pos="432"/>
          <w:tab w:val="left" w:pos="720"/>
          <w:tab w:val="left" w:pos="1008"/>
          <w:tab w:val="left" w:pos="1440"/>
        </w:tabs>
        <w:suppressAutoHyphens/>
        <w:spacing w:after="0" w:line="240" w:lineRule="auto"/>
        <w:rPr>
          <w:rFonts w:ascii="Times New Roman" w:eastAsia="Times New Roman" w:hAnsi="Times New Roman" w:cs="Times New Roman"/>
          <w:snapToGrid w:val="0"/>
          <w:sz w:val="24"/>
          <w:szCs w:val="20"/>
        </w:rPr>
      </w:pPr>
    </w:p>
    <w:p w:rsidR="00FC311C" w:rsidRPr="00FC311C" w:rsidRDefault="00FC311C" w:rsidP="00FC311C">
      <w:pPr>
        <w:tabs>
          <w:tab w:val="left" w:pos="-1440"/>
          <w:tab w:val="left" w:pos="-720"/>
          <w:tab w:val="left" w:pos="0"/>
          <w:tab w:val="left" w:pos="432"/>
          <w:tab w:val="left" w:pos="720"/>
          <w:tab w:val="left" w:pos="1008"/>
          <w:tab w:val="left" w:pos="1440"/>
        </w:tabs>
        <w:suppressAutoHyphens/>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u w:val="single"/>
        </w:rPr>
        <w:t>Information Collected – Section-by-Section Analysis</w:t>
      </w:r>
    </w:p>
    <w:p w:rsidR="00FC311C" w:rsidRPr="00FC311C" w:rsidRDefault="00FC311C" w:rsidP="00FC311C">
      <w:pPr>
        <w:tabs>
          <w:tab w:val="left" w:pos="-1440"/>
          <w:tab w:val="left" w:pos="-720"/>
          <w:tab w:val="left" w:pos="0"/>
          <w:tab w:val="left" w:pos="432"/>
          <w:tab w:val="left" w:pos="720"/>
          <w:tab w:val="left" w:pos="1008"/>
          <w:tab w:val="left" w:pos="1440"/>
        </w:tabs>
        <w:suppressAutoHyphens/>
        <w:spacing w:after="0" w:line="240" w:lineRule="auto"/>
        <w:rPr>
          <w:rFonts w:ascii="Times New Roman" w:eastAsia="Times New Roman" w:hAnsi="Times New Roman" w:cs="Times New Roman"/>
          <w:snapToGrid w:val="0"/>
          <w:sz w:val="24"/>
          <w:szCs w:val="20"/>
        </w:rPr>
      </w:pP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b/>
          <w:i/>
          <w:snapToGrid w:val="0"/>
          <w:sz w:val="24"/>
          <w:szCs w:val="20"/>
        </w:rPr>
        <w:t xml:space="preserve">Standard Risk Retention.  </w:t>
      </w:r>
      <w:r w:rsidRPr="00FC311C">
        <w:rPr>
          <w:rFonts w:ascii="Times New Roman" w:eastAsia="Times New Roman" w:hAnsi="Times New Roman" w:cs="Times New Roman"/>
          <w:snapToGrid w:val="0"/>
          <w:sz w:val="24"/>
          <w:szCs w:val="20"/>
        </w:rPr>
        <w:t xml:space="preserve">Section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 xml:space="preserve">4 sets forth the conditions that must be met by sponsors electing to use the standard risk retention option, which may consist of an eligible vertical interest or an eligible horizontal residual interest, or any combination thereof.  Sections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 xml:space="preserve">4(c)(1) and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4(c)(2) specify the disclosures required with respect to eligible horizontal residual interests and eligible vertical interests, respectively.</w:t>
      </w: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A sponsor retaining any eligible horizontal residual interest (or funding a horizontal cash reserve account) is required to disclose:  the fair value (or a range of fair values and the method used to determine such range) of the eligible horizontal residual interest that the sponsor expects to retain at the closing of the securitization transaction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4(c)(1)(i)(A)); the material terms of the eligible horizontal residual interest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4(c)(1)(i)(B)); the methodology used to calculate the fair value (or range of fair values) of all classes of ABS interests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4(c)(1)(i)(C)); the key inputs and assumptions used in measuring the estimated total fair value (or range of fair values) of all classes of ABS interests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4(c)(1)(i)(D)); the reference data set or other historical information used to develop the key inputs and assumptions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4(c)(1)(i)(G)); the fair value of the eligible horizontal residual interest retained by the sponsor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4(c)(1)(ii)(A)); the fair value of the eligible horizontal residual interest required to be retained by the sponsor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4(c)(1)(ii)(B)); a description of any material differences between the methodology used in calculating the fair value disclosed prior to sale and the methodology used to calculate the fair value at the time of closing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4(c)(1)(ii)(C));  and the amount placed by the sponsor in the horizontal cash reserve account at closing, the fair value of the eligible horizontal residual interest that the sponsor is required to fund through such account, and a description of such account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4(c)(1)(iii)).</w:t>
      </w: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For eligible vertical interests, the sponsor is required to disclose:  the form of the eligible vertical interest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4(c)(2)(i)(A)); the percentage that the sponsor is required to retain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4(c)(2)(i)(B)); a description of the material terms of the vertical interest and the amount the sponsor expects to retain at closing(§</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4(c)(2)(i)(C)); and the amount of vertical interest retained by the sponsor at closing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4(c)(2)(ii)).</w:t>
      </w: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 xml:space="preserve">Section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4(d) requires a sponsor to retain the certifications and disclosures required in paragraphs (a) and (c) of this section in its records and the sponsor must provide the disclosure upon request to the Commission and the sponsor’s appropriate Federal banking agency, if any, until three years after no ABS interests are outstanding.</w:t>
      </w: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b/>
          <w:i/>
          <w:snapToGrid w:val="0"/>
          <w:sz w:val="24"/>
          <w:szCs w:val="20"/>
        </w:rPr>
        <w:t xml:space="preserve">Revolving Pool Securitizations.  </w:t>
      </w:r>
      <w:r w:rsidRPr="00FC311C">
        <w:rPr>
          <w:rFonts w:ascii="Times New Roman" w:eastAsia="Times New Roman" w:hAnsi="Times New Roman" w:cs="Times New Roman"/>
          <w:snapToGrid w:val="0"/>
          <w:sz w:val="24"/>
          <w:szCs w:val="20"/>
        </w:rPr>
        <w:t xml:space="preserve">Section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5 requires sponsors relying on the revolving pool securitization (or master trust) risk retention option to disclose:  the material terms of the seller’s interest and the percentage of the seller’s interest that the sponsor expects to retain at the closing of the transaction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5(k)(1)(i)); the percentage of the seller’s interest that the sponsor retained at closing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5(k)(1)(ii)); the material terms of any horizontal risk retention offsetting the seller’s interest under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5(g),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5(h) and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5(i)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5(k)(1)(iii)); and the fair value of any horizontal risk retention retained by the sponsor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5(k)(1)(iv)).  Additionally, a sponsor must retain the disclosures required by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5(k)(1) in its records and must provide the disclosures upon request to the Commission and the sponsor’s appropriate Federal banking agency, if any, until three years after no ABS interests are outstanding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5(k)(3)).</w:t>
      </w: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
    <w:p w:rsidR="00FC311C" w:rsidRPr="00FC311C" w:rsidRDefault="00FC311C" w:rsidP="00FC311C">
      <w:pPr>
        <w:spacing w:after="0" w:line="240" w:lineRule="auto"/>
        <w:contextualSpacing/>
        <w:rPr>
          <w:rFonts w:ascii="Times New Roman" w:eastAsia="Times New Roman" w:hAnsi="Times New Roman" w:cs="Times New Roman"/>
          <w:sz w:val="24"/>
          <w:szCs w:val="24"/>
        </w:rPr>
      </w:pPr>
      <w:r w:rsidRPr="00FC311C">
        <w:rPr>
          <w:rFonts w:ascii="Times New Roman" w:eastAsia="Times New Roman" w:hAnsi="Times New Roman" w:cs="Times New Roman"/>
          <w:b/>
          <w:i/>
          <w:sz w:val="24"/>
          <w:szCs w:val="24"/>
        </w:rPr>
        <w:t xml:space="preserve">Eligible ABCP Conduits.  </w:t>
      </w:r>
      <w:r w:rsidRPr="00FC311C">
        <w:rPr>
          <w:rFonts w:ascii="Times New Roman" w:eastAsia="Times New Roman" w:hAnsi="Times New Roman" w:cs="Times New Roman"/>
          <w:sz w:val="24"/>
          <w:szCs w:val="24"/>
        </w:rPr>
        <w:t xml:space="preserve">Section </w:t>
      </w:r>
      <w:r w:rsidR="00C03D32">
        <w:rPr>
          <w:rFonts w:ascii="Times New Roman" w:eastAsia="Times New Roman" w:hAnsi="Times New Roman" w:cs="Times New Roman"/>
          <w:sz w:val="24"/>
          <w:szCs w:val="24"/>
        </w:rPr>
        <w:t>373.</w:t>
      </w:r>
      <w:r w:rsidRPr="00FC311C">
        <w:rPr>
          <w:rFonts w:ascii="Times New Roman" w:eastAsia="Times New Roman" w:hAnsi="Times New Roman" w:cs="Times New Roman"/>
          <w:sz w:val="24"/>
          <w:szCs w:val="24"/>
        </w:rPr>
        <w:t>6 addresses the requirements for sponsors utilizing the eligible ABCP conduit risk retention option.  The requirements for the eligible ABCP conduit risk retention option include disclosure to each purchaser of ABCP and periodically to each holder of ABCP issued by the ABCP conduit of the name and form of organization of the regulated liquidity provider that provides liquidity coverage to the eligible ABCP conduit, including a description of the material terms of such liquidity coverage, and notice of any failure to fund; and with respect to each ABS interest held by the ABCP conduit, the asset class or brief description of the underlying securitized assets, the standard industrial category code for each originator-seller that retains an interest in the securitization transaction, and a description of the percentage amount and form of interest retained by each originator-seller (§</w:t>
      </w:r>
      <w:r w:rsidR="00C03D32">
        <w:rPr>
          <w:rFonts w:ascii="Times New Roman" w:eastAsia="Times New Roman" w:hAnsi="Times New Roman" w:cs="Times New Roman"/>
          <w:sz w:val="24"/>
          <w:szCs w:val="24"/>
        </w:rPr>
        <w:t>373.</w:t>
      </w:r>
      <w:r w:rsidRPr="00FC311C">
        <w:rPr>
          <w:rFonts w:ascii="Times New Roman" w:eastAsia="Times New Roman" w:hAnsi="Times New Roman" w:cs="Times New Roman"/>
          <w:sz w:val="24"/>
          <w:szCs w:val="24"/>
        </w:rPr>
        <w:t>6(d)(1)).  An ABCP conduit sponsor relying upon this section shall provide, upon request, to the Commission and the sponsor’s appropriate Federal banking agency, if any, the information required under §</w:t>
      </w:r>
      <w:r w:rsidR="00C03D32">
        <w:rPr>
          <w:rFonts w:ascii="Times New Roman" w:eastAsia="Times New Roman" w:hAnsi="Times New Roman" w:cs="Times New Roman"/>
          <w:sz w:val="24"/>
          <w:szCs w:val="24"/>
        </w:rPr>
        <w:t>373.</w:t>
      </w:r>
      <w:r w:rsidRPr="00FC311C">
        <w:rPr>
          <w:rFonts w:ascii="Times New Roman" w:eastAsia="Times New Roman" w:hAnsi="Times New Roman" w:cs="Times New Roman"/>
          <w:sz w:val="24"/>
          <w:szCs w:val="24"/>
        </w:rPr>
        <w:t>6(d)(1), in addition to the name and form of organization of each originator-seller that retains an interest in the securitization transaction (§</w:t>
      </w:r>
      <w:r w:rsidR="00C03D32">
        <w:rPr>
          <w:rFonts w:ascii="Times New Roman" w:eastAsia="Times New Roman" w:hAnsi="Times New Roman" w:cs="Times New Roman"/>
          <w:sz w:val="24"/>
          <w:szCs w:val="24"/>
        </w:rPr>
        <w:t>373.</w:t>
      </w:r>
      <w:r w:rsidRPr="00FC311C">
        <w:rPr>
          <w:rFonts w:ascii="Times New Roman" w:eastAsia="Times New Roman" w:hAnsi="Times New Roman" w:cs="Times New Roman"/>
          <w:sz w:val="24"/>
          <w:szCs w:val="24"/>
        </w:rPr>
        <w:t>6(d)(2)).</w:t>
      </w:r>
    </w:p>
    <w:p w:rsidR="00FC311C" w:rsidRPr="00FC311C" w:rsidRDefault="00FC311C" w:rsidP="00FC311C">
      <w:pPr>
        <w:spacing w:after="0" w:line="240" w:lineRule="auto"/>
        <w:contextualSpacing/>
        <w:rPr>
          <w:rFonts w:ascii="Times New Roman" w:eastAsia="Times New Roman" w:hAnsi="Times New Roman" w:cs="Times New Roman"/>
          <w:sz w:val="24"/>
          <w:szCs w:val="24"/>
        </w:rPr>
      </w:pPr>
    </w:p>
    <w:p w:rsidR="00FC311C" w:rsidRPr="00FC311C" w:rsidRDefault="00FC311C" w:rsidP="00FC311C">
      <w:pPr>
        <w:spacing w:after="0" w:line="240" w:lineRule="auto"/>
        <w:contextualSpacing/>
        <w:rPr>
          <w:rFonts w:ascii="Times New Roman" w:eastAsia="Times New Roman" w:hAnsi="Times New Roman" w:cs="Times New Roman"/>
          <w:sz w:val="24"/>
          <w:szCs w:val="24"/>
        </w:rPr>
      </w:pPr>
      <w:r w:rsidRPr="00FC311C">
        <w:rPr>
          <w:rFonts w:ascii="Times New Roman" w:eastAsia="Times New Roman" w:hAnsi="Times New Roman" w:cs="Times New Roman"/>
          <w:sz w:val="24"/>
          <w:szCs w:val="24"/>
        </w:rPr>
        <w:t>A sponsor relying on the eligible ABCP conduit risk retention option shall maintain and adhere to policies and procedures to monitor compliance by each originator-seller (§</w:t>
      </w:r>
      <w:r w:rsidR="00C03D32">
        <w:rPr>
          <w:rFonts w:ascii="Times New Roman" w:eastAsia="Times New Roman" w:hAnsi="Times New Roman" w:cs="Times New Roman"/>
          <w:sz w:val="24"/>
          <w:szCs w:val="24"/>
        </w:rPr>
        <w:t>373.</w:t>
      </w:r>
      <w:r w:rsidRPr="00FC311C">
        <w:rPr>
          <w:rFonts w:ascii="Times New Roman" w:eastAsia="Times New Roman" w:hAnsi="Times New Roman" w:cs="Times New Roman"/>
          <w:sz w:val="24"/>
          <w:szCs w:val="24"/>
        </w:rPr>
        <w:t>6(f)(2)(i)).  If the ABCP conduit sponsor determines that an originator-seller is no longer in compliance, the sponsor must promptly notify the holders of the ABCP and, upon request, the Commission and the sponsor’s appropriate Federal banking agency, in writing of the name and form of organization of any originator-seller that fails to retain, and the amount of ABS interests issued by an intermediate SPV of such originator-seller and held by the ABCP conduit (§</w:t>
      </w:r>
      <w:r w:rsidR="00C03D32">
        <w:rPr>
          <w:rFonts w:ascii="Times New Roman" w:eastAsia="Times New Roman" w:hAnsi="Times New Roman" w:cs="Times New Roman"/>
          <w:sz w:val="24"/>
          <w:szCs w:val="24"/>
        </w:rPr>
        <w:t>373.</w:t>
      </w:r>
      <w:r w:rsidRPr="00FC311C">
        <w:rPr>
          <w:rFonts w:ascii="Times New Roman" w:eastAsia="Times New Roman" w:hAnsi="Times New Roman" w:cs="Times New Roman"/>
          <w:sz w:val="24"/>
          <w:szCs w:val="24"/>
        </w:rPr>
        <w:t>6(f)(2)(ii)(A)(1)); the name and form of organization of any originator-seller that hedges, directly or indirectly through an intermediate SPV, its risk retention in violation of the rule, and the amount of ABS interests issued by an intermediate SPV of such originator-seller and held by the ABCP conduit (§</w:t>
      </w:r>
      <w:r w:rsidR="00C03D32">
        <w:rPr>
          <w:rFonts w:ascii="Times New Roman" w:eastAsia="Times New Roman" w:hAnsi="Times New Roman" w:cs="Times New Roman"/>
          <w:sz w:val="24"/>
          <w:szCs w:val="24"/>
        </w:rPr>
        <w:t>373.</w:t>
      </w:r>
      <w:r w:rsidRPr="00FC311C">
        <w:rPr>
          <w:rFonts w:ascii="Times New Roman" w:eastAsia="Times New Roman" w:hAnsi="Times New Roman" w:cs="Times New Roman"/>
          <w:sz w:val="24"/>
          <w:szCs w:val="24"/>
        </w:rPr>
        <w:t>6(f)(2)(ii)(A)(2)); and any remedial actions taken by the ABCP conduit sponsor or other party with respect to such ABS interests (§</w:t>
      </w:r>
      <w:r w:rsidR="00C03D32">
        <w:rPr>
          <w:rFonts w:ascii="Times New Roman" w:eastAsia="Times New Roman" w:hAnsi="Times New Roman" w:cs="Times New Roman"/>
          <w:sz w:val="24"/>
          <w:szCs w:val="24"/>
        </w:rPr>
        <w:t>373.</w:t>
      </w:r>
      <w:r w:rsidRPr="00FC311C">
        <w:rPr>
          <w:rFonts w:ascii="Times New Roman" w:eastAsia="Times New Roman" w:hAnsi="Times New Roman" w:cs="Times New Roman"/>
          <w:sz w:val="24"/>
          <w:szCs w:val="24"/>
        </w:rPr>
        <w:t>6(f)(2)(ii)(A)(3)).</w:t>
      </w:r>
    </w:p>
    <w:p w:rsidR="00FC311C" w:rsidRPr="00FC311C" w:rsidRDefault="00FC311C" w:rsidP="00FC311C">
      <w:pPr>
        <w:spacing w:after="0" w:line="240" w:lineRule="auto"/>
        <w:contextualSpacing/>
        <w:rPr>
          <w:rFonts w:ascii="Times New Roman" w:eastAsia="Times New Roman" w:hAnsi="Times New Roman" w:cs="Times New Roman"/>
          <w:sz w:val="24"/>
          <w:szCs w:val="24"/>
        </w:rPr>
      </w:pPr>
    </w:p>
    <w:p w:rsidR="00FC311C" w:rsidRPr="00FC311C" w:rsidRDefault="00FC311C" w:rsidP="00FC311C">
      <w:pPr>
        <w:spacing w:after="0" w:line="240" w:lineRule="auto"/>
        <w:contextualSpacing/>
        <w:rPr>
          <w:rFonts w:ascii="Times New Roman" w:eastAsia="Times New Roman" w:hAnsi="Times New Roman" w:cs="Times New Roman"/>
          <w:sz w:val="24"/>
          <w:szCs w:val="24"/>
        </w:rPr>
      </w:pPr>
      <w:r w:rsidRPr="00FC311C">
        <w:rPr>
          <w:rFonts w:ascii="Times New Roman" w:eastAsia="Times New Roman" w:hAnsi="Times New Roman" w:cs="Times New Roman"/>
          <w:b/>
          <w:i/>
          <w:sz w:val="24"/>
          <w:szCs w:val="24"/>
        </w:rPr>
        <w:t xml:space="preserve">Commercial Mortgage-Backed Securities.  </w:t>
      </w:r>
      <w:r w:rsidRPr="00FC311C">
        <w:rPr>
          <w:rFonts w:ascii="Times New Roman" w:eastAsia="Times New Roman" w:hAnsi="Times New Roman" w:cs="Times New Roman"/>
          <w:sz w:val="24"/>
          <w:szCs w:val="24"/>
        </w:rPr>
        <w:t xml:space="preserve">Section </w:t>
      </w:r>
      <w:r w:rsidR="00C03D32">
        <w:rPr>
          <w:rFonts w:ascii="Times New Roman" w:eastAsia="Times New Roman" w:hAnsi="Times New Roman" w:cs="Times New Roman"/>
          <w:sz w:val="24"/>
          <w:szCs w:val="24"/>
        </w:rPr>
        <w:t>373.</w:t>
      </w:r>
      <w:r w:rsidRPr="00FC311C">
        <w:rPr>
          <w:rFonts w:ascii="Times New Roman" w:eastAsia="Times New Roman" w:hAnsi="Times New Roman" w:cs="Times New Roman"/>
          <w:sz w:val="24"/>
          <w:szCs w:val="24"/>
        </w:rPr>
        <w:t>7 sets forth the requirements for sponsors relying on the commercial mortgage-backed securities (“CMBS”) risk retention option, and includes disclosures of:  the name and form of organization of each initial third-party purchaser (§</w:t>
      </w:r>
      <w:r w:rsidR="00C03D32">
        <w:rPr>
          <w:rFonts w:ascii="Times New Roman" w:eastAsia="Times New Roman" w:hAnsi="Times New Roman" w:cs="Times New Roman"/>
          <w:sz w:val="24"/>
          <w:szCs w:val="24"/>
        </w:rPr>
        <w:t>373.</w:t>
      </w:r>
      <w:r w:rsidRPr="00FC311C">
        <w:rPr>
          <w:rFonts w:ascii="Times New Roman" w:eastAsia="Times New Roman" w:hAnsi="Times New Roman" w:cs="Times New Roman"/>
          <w:sz w:val="24"/>
          <w:szCs w:val="24"/>
        </w:rPr>
        <w:t>7(b)(7)(i)); each initial third-party purchaser’s experience in investing in commercial mortgage-backed securities (§</w:t>
      </w:r>
      <w:r w:rsidR="00C03D32">
        <w:rPr>
          <w:rFonts w:ascii="Times New Roman" w:eastAsia="Times New Roman" w:hAnsi="Times New Roman" w:cs="Times New Roman"/>
          <w:sz w:val="24"/>
          <w:szCs w:val="24"/>
        </w:rPr>
        <w:t>373.</w:t>
      </w:r>
      <w:r w:rsidRPr="00FC311C">
        <w:rPr>
          <w:rFonts w:ascii="Times New Roman" w:eastAsia="Times New Roman" w:hAnsi="Times New Roman" w:cs="Times New Roman"/>
          <w:sz w:val="24"/>
          <w:szCs w:val="24"/>
        </w:rPr>
        <w:t>7(b)(7)(ii)); other material information (§</w:t>
      </w:r>
      <w:r w:rsidR="00C03D32">
        <w:rPr>
          <w:rFonts w:ascii="Times New Roman" w:eastAsia="Times New Roman" w:hAnsi="Times New Roman" w:cs="Times New Roman"/>
          <w:sz w:val="24"/>
          <w:szCs w:val="24"/>
        </w:rPr>
        <w:t>373.</w:t>
      </w:r>
      <w:r w:rsidRPr="00FC311C">
        <w:rPr>
          <w:rFonts w:ascii="Times New Roman" w:eastAsia="Times New Roman" w:hAnsi="Times New Roman" w:cs="Times New Roman"/>
          <w:sz w:val="24"/>
          <w:szCs w:val="24"/>
        </w:rPr>
        <w:t>7(b)(7)(iii)); the fair value and purchase price of the eligible horizontal residual interest retained by each third-party purchaser, and the fair value of the eligible horizontal residual interest that the sponsor would have retained if the sponsor had relied on retaining an eligible horizontal residual interest under the standard risk retention option (§</w:t>
      </w:r>
      <w:r w:rsidR="00C03D32">
        <w:rPr>
          <w:rFonts w:ascii="Times New Roman" w:eastAsia="Times New Roman" w:hAnsi="Times New Roman" w:cs="Times New Roman"/>
          <w:sz w:val="24"/>
          <w:szCs w:val="24"/>
        </w:rPr>
        <w:t>373.</w:t>
      </w:r>
      <w:r w:rsidRPr="00FC311C">
        <w:rPr>
          <w:rFonts w:ascii="Times New Roman" w:eastAsia="Times New Roman" w:hAnsi="Times New Roman" w:cs="Times New Roman"/>
          <w:sz w:val="24"/>
          <w:szCs w:val="24"/>
        </w:rPr>
        <w:t>7(b)(7)(iv) and (v)); a description of the material terms of the eligible horizontal residual interest retained by each initial third-party purchaser, including the same information as is required to be disclosed by sponsors retaining horizontal interests pursuant to §</w:t>
      </w:r>
      <w:r w:rsidR="00C03D32">
        <w:rPr>
          <w:rFonts w:ascii="Times New Roman" w:eastAsia="Times New Roman" w:hAnsi="Times New Roman" w:cs="Times New Roman"/>
          <w:sz w:val="24"/>
          <w:szCs w:val="24"/>
        </w:rPr>
        <w:t>373.</w:t>
      </w:r>
      <w:r w:rsidRPr="00FC311C">
        <w:rPr>
          <w:rFonts w:ascii="Times New Roman" w:eastAsia="Times New Roman" w:hAnsi="Times New Roman" w:cs="Times New Roman"/>
          <w:sz w:val="24"/>
          <w:szCs w:val="24"/>
        </w:rPr>
        <w:t>4 (§</w:t>
      </w:r>
      <w:r w:rsidR="00C03D32">
        <w:rPr>
          <w:rFonts w:ascii="Times New Roman" w:eastAsia="Times New Roman" w:hAnsi="Times New Roman" w:cs="Times New Roman"/>
          <w:sz w:val="24"/>
          <w:szCs w:val="24"/>
        </w:rPr>
        <w:t>373.</w:t>
      </w:r>
      <w:r w:rsidRPr="00FC311C">
        <w:rPr>
          <w:rFonts w:ascii="Times New Roman" w:eastAsia="Times New Roman" w:hAnsi="Times New Roman" w:cs="Times New Roman"/>
          <w:sz w:val="24"/>
          <w:szCs w:val="24"/>
        </w:rPr>
        <w:t>7(b)(7)(vi)); the material terms of the applicable transaction documents with respect to the Operating Advisor (§</w:t>
      </w:r>
      <w:r w:rsidR="00C03D32">
        <w:rPr>
          <w:rFonts w:ascii="Times New Roman" w:eastAsia="Times New Roman" w:hAnsi="Times New Roman" w:cs="Times New Roman"/>
          <w:sz w:val="24"/>
          <w:szCs w:val="24"/>
        </w:rPr>
        <w:t>373.</w:t>
      </w:r>
      <w:r w:rsidRPr="00FC311C">
        <w:rPr>
          <w:rFonts w:ascii="Times New Roman" w:eastAsia="Times New Roman" w:hAnsi="Times New Roman" w:cs="Times New Roman"/>
          <w:sz w:val="24"/>
          <w:szCs w:val="24"/>
        </w:rPr>
        <w:t>7(b)(7)(vii)); and representations and warranties concerning the securitized assets, a schedule of any securitized assets that are determined not to comply with such representations and warranties, and the factors used to determine that such securitized assets should be included in the pool notwithstanding that they did not comply with the representations and warranties (§</w:t>
      </w:r>
      <w:r w:rsidR="00C03D32">
        <w:rPr>
          <w:rFonts w:ascii="Times New Roman" w:eastAsia="Times New Roman" w:hAnsi="Times New Roman" w:cs="Times New Roman"/>
          <w:sz w:val="24"/>
          <w:szCs w:val="24"/>
        </w:rPr>
        <w:t>373.</w:t>
      </w:r>
      <w:r w:rsidRPr="00FC311C">
        <w:rPr>
          <w:rFonts w:ascii="Times New Roman" w:eastAsia="Times New Roman" w:hAnsi="Times New Roman" w:cs="Times New Roman"/>
          <w:sz w:val="24"/>
          <w:szCs w:val="24"/>
        </w:rPr>
        <w:t>7(b)(7)(viii)).  A sponsor relying on the CMBS risk retention option is also required to provide in the underlying securitization transaction documents certain provisions related to the Operating Advisor (§</w:t>
      </w:r>
      <w:r w:rsidR="00C03D32">
        <w:rPr>
          <w:rFonts w:ascii="Times New Roman" w:eastAsia="Times New Roman" w:hAnsi="Times New Roman" w:cs="Times New Roman"/>
          <w:sz w:val="24"/>
          <w:szCs w:val="24"/>
        </w:rPr>
        <w:t>373.</w:t>
      </w:r>
      <w:r w:rsidRPr="00FC311C">
        <w:rPr>
          <w:rFonts w:ascii="Times New Roman" w:eastAsia="Times New Roman" w:hAnsi="Times New Roman" w:cs="Times New Roman"/>
          <w:sz w:val="24"/>
          <w:szCs w:val="24"/>
        </w:rPr>
        <w:t>7(b)(6)), to maintain and adhere to policies and procedures to monitor compliance by third-party purchasers with regulatory requirements (§</w:t>
      </w:r>
      <w:r w:rsidR="00C03D32">
        <w:rPr>
          <w:rFonts w:ascii="Times New Roman" w:eastAsia="Times New Roman" w:hAnsi="Times New Roman" w:cs="Times New Roman"/>
          <w:sz w:val="24"/>
          <w:szCs w:val="24"/>
        </w:rPr>
        <w:t>373.</w:t>
      </w:r>
      <w:r w:rsidRPr="00FC311C">
        <w:rPr>
          <w:rFonts w:ascii="Times New Roman" w:eastAsia="Times New Roman" w:hAnsi="Times New Roman" w:cs="Times New Roman"/>
          <w:sz w:val="24"/>
          <w:szCs w:val="24"/>
        </w:rPr>
        <w:t>7(c)(2)(A)), and to notify the holders of the ABS interests in the event of noncompliance by a third-party purchaser with such regulatory requirements (§</w:t>
      </w:r>
      <w:r w:rsidR="00C03D32">
        <w:rPr>
          <w:rFonts w:ascii="Times New Roman" w:eastAsia="Times New Roman" w:hAnsi="Times New Roman" w:cs="Times New Roman"/>
          <w:sz w:val="24"/>
          <w:szCs w:val="24"/>
        </w:rPr>
        <w:t>373.</w:t>
      </w:r>
      <w:r w:rsidRPr="00FC311C">
        <w:rPr>
          <w:rFonts w:ascii="Times New Roman" w:eastAsia="Times New Roman" w:hAnsi="Times New Roman" w:cs="Times New Roman"/>
          <w:sz w:val="24"/>
          <w:szCs w:val="24"/>
        </w:rPr>
        <w:t>7(c)(2)(B)).</w:t>
      </w:r>
    </w:p>
    <w:p w:rsidR="00FC311C" w:rsidRPr="00FC311C" w:rsidRDefault="00FC311C" w:rsidP="00FC311C">
      <w:pPr>
        <w:spacing w:after="0" w:line="240" w:lineRule="auto"/>
        <w:contextualSpacing/>
        <w:rPr>
          <w:rFonts w:ascii="Times New Roman" w:eastAsia="Times New Roman" w:hAnsi="Times New Roman" w:cs="Times New Roman"/>
          <w:sz w:val="24"/>
          <w:szCs w:val="24"/>
        </w:rPr>
      </w:pPr>
    </w:p>
    <w:p w:rsidR="00FC311C" w:rsidRPr="00FC311C" w:rsidRDefault="00FC311C" w:rsidP="00FC311C">
      <w:pPr>
        <w:spacing w:after="0" w:line="240" w:lineRule="auto"/>
        <w:contextualSpacing/>
        <w:rPr>
          <w:rFonts w:ascii="Times New Roman" w:eastAsia="Times New Roman" w:hAnsi="Times New Roman" w:cs="Times New Roman"/>
          <w:sz w:val="24"/>
          <w:szCs w:val="24"/>
        </w:rPr>
      </w:pPr>
      <w:r w:rsidRPr="00FC311C">
        <w:rPr>
          <w:rFonts w:ascii="Times New Roman" w:eastAsia="Times New Roman" w:hAnsi="Times New Roman" w:cs="Times New Roman"/>
          <w:b/>
          <w:i/>
          <w:sz w:val="24"/>
          <w:szCs w:val="24"/>
        </w:rPr>
        <w:t xml:space="preserve">Fannie Mae and Freddie Mac ABS.  </w:t>
      </w:r>
      <w:r w:rsidRPr="00FC311C">
        <w:rPr>
          <w:rFonts w:ascii="Times New Roman" w:eastAsia="Times New Roman" w:hAnsi="Times New Roman" w:cs="Times New Roman"/>
          <w:sz w:val="24"/>
          <w:szCs w:val="24"/>
        </w:rPr>
        <w:t xml:space="preserve">Section </w:t>
      </w:r>
      <w:r w:rsidR="00C03D32">
        <w:rPr>
          <w:rFonts w:ascii="Times New Roman" w:eastAsia="Times New Roman" w:hAnsi="Times New Roman" w:cs="Times New Roman"/>
          <w:sz w:val="24"/>
          <w:szCs w:val="24"/>
        </w:rPr>
        <w:t>373.</w:t>
      </w:r>
      <w:r w:rsidRPr="00FC311C">
        <w:rPr>
          <w:rFonts w:ascii="Times New Roman" w:eastAsia="Times New Roman" w:hAnsi="Times New Roman" w:cs="Times New Roman"/>
          <w:sz w:val="24"/>
          <w:szCs w:val="24"/>
        </w:rPr>
        <w:t>8 requires that a sponsor relying on the Federal National Mortgage Association and Federal Home Loan Mortgage Corporation risk retention option must disclose a description of the manner in which it has met the credit risk retention requirements (§</w:t>
      </w:r>
      <w:r w:rsidR="00C03D32">
        <w:rPr>
          <w:rFonts w:ascii="Times New Roman" w:eastAsia="Times New Roman" w:hAnsi="Times New Roman" w:cs="Times New Roman"/>
          <w:sz w:val="24"/>
          <w:szCs w:val="24"/>
        </w:rPr>
        <w:t>373.</w:t>
      </w:r>
      <w:r w:rsidRPr="00FC311C">
        <w:rPr>
          <w:rFonts w:ascii="Times New Roman" w:eastAsia="Times New Roman" w:hAnsi="Times New Roman" w:cs="Times New Roman"/>
          <w:sz w:val="24"/>
          <w:szCs w:val="24"/>
        </w:rPr>
        <w:t>8(c)).</w:t>
      </w:r>
    </w:p>
    <w:p w:rsidR="00FC311C" w:rsidRPr="00FC311C" w:rsidRDefault="00FC311C" w:rsidP="00FC311C">
      <w:pPr>
        <w:spacing w:after="0" w:line="240" w:lineRule="auto"/>
        <w:contextualSpacing/>
        <w:rPr>
          <w:rFonts w:ascii="Times New Roman" w:eastAsia="Times New Roman" w:hAnsi="Times New Roman" w:cs="Times New Roman"/>
          <w:sz w:val="24"/>
          <w:szCs w:val="24"/>
        </w:rPr>
      </w:pPr>
    </w:p>
    <w:p w:rsidR="00FC311C" w:rsidRPr="00FC311C" w:rsidRDefault="00FC311C" w:rsidP="00FC311C">
      <w:pPr>
        <w:spacing w:after="0" w:line="240" w:lineRule="auto"/>
        <w:contextualSpacing/>
        <w:rPr>
          <w:rFonts w:ascii="Times New Roman" w:eastAsia="Times New Roman" w:hAnsi="Times New Roman" w:cs="Times New Roman"/>
          <w:sz w:val="24"/>
          <w:szCs w:val="24"/>
        </w:rPr>
      </w:pPr>
      <w:r w:rsidRPr="00FC311C">
        <w:rPr>
          <w:rFonts w:ascii="Times New Roman" w:eastAsia="Times New Roman" w:hAnsi="Times New Roman" w:cs="Times New Roman"/>
          <w:b/>
          <w:i/>
          <w:sz w:val="24"/>
          <w:szCs w:val="24"/>
        </w:rPr>
        <w:t xml:space="preserve">Open-Market CLOs.  </w:t>
      </w:r>
      <w:r w:rsidRPr="00FC311C">
        <w:rPr>
          <w:rFonts w:ascii="Times New Roman" w:eastAsia="Times New Roman" w:hAnsi="Times New Roman" w:cs="Times New Roman"/>
          <w:sz w:val="24"/>
          <w:szCs w:val="24"/>
        </w:rPr>
        <w:t xml:space="preserve">Section </w:t>
      </w:r>
      <w:r w:rsidR="00C03D32">
        <w:rPr>
          <w:rFonts w:ascii="Times New Roman" w:eastAsia="Times New Roman" w:hAnsi="Times New Roman" w:cs="Times New Roman"/>
          <w:sz w:val="24"/>
          <w:szCs w:val="24"/>
        </w:rPr>
        <w:t>373.</w:t>
      </w:r>
      <w:r w:rsidRPr="00FC311C">
        <w:rPr>
          <w:rFonts w:ascii="Times New Roman" w:eastAsia="Times New Roman" w:hAnsi="Times New Roman" w:cs="Times New Roman"/>
          <w:sz w:val="24"/>
          <w:szCs w:val="24"/>
        </w:rPr>
        <w:t>9 sets forth the requirements for sponsors relying on the open market CLO risk retention option, and includes disclosures of a complete list of, and certain information related to, every asset held by an open market CLO (§</w:t>
      </w:r>
      <w:r w:rsidR="00C03D32">
        <w:rPr>
          <w:rFonts w:ascii="Times New Roman" w:eastAsia="Times New Roman" w:hAnsi="Times New Roman" w:cs="Times New Roman"/>
          <w:sz w:val="24"/>
          <w:szCs w:val="24"/>
        </w:rPr>
        <w:t>373.</w:t>
      </w:r>
      <w:r w:rsidRPr="00FC311C">
        <w:rPr>
          <w:rFonts w:ascii="Times New Roman" w:eastAsia="Times New Roman" w:hAnsi="Times New Roman" w:cs="Times New Roman"/>
          <w:sz w:val="24"/>
          <w:szCs w:val="24"/>
        </w:rPr>
        <w:t>9(d)(1)), and the full legal name and form of organization of the CLO manager (§</w:t>
      </w:r>
      <w:r w:rsidR="00C03D32">
        <w:rPr>
          <w:rFonts w:ascii="Times New Roman" w:eastAsia="Times New Roman" w:hAnsi="Times New Roman" w:cs="Times New Roman"/>
          <w:sz w:val="24"/>
          <w:szCs w:val="24"/>
        </w:rPr>
        <w:t>373.</w:t>
      </w:r>
      <w:r w:rsidRPr="00FC311C">
        <w:rPr>
          <w:rFonts w:ascii="Times New Roman" w:eastAsia="Times New Roman" w:hAnsi="Times New Roman" w:cs="Times New Roman"/>
          <w:sz w:val="24"/>
          <w:szCs w:val="24"/>
        </w:rPr>
        <w:t>9(d)(2)).</w:t>
      </w:r>
    </w:p>
    <w:p w:rsidR="00FC311C" w:rsidRPr="00FC311C" w:rsidRDefault="00FC311C" w:rsidP="00FC311C">
      <w:pPr>
        <w:spacing w:after="0" w:line="240" w:lineRule="auto"/>
        <w:contextualSpacing/>
        <w:rPr>
          <w:rFonts w:ascii="Times New Roman" w:eastAsia="Times New Roman" w:hAnsi="Times New Roman" w:cs="Times New Roman"/>
          <w:sz w:val="24"/>
          <w:szCs w:val="24"/>
        </w:rPr>
      </w:pP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b/>
          <w:i/>
          <w:snapToGrid w:val="0"/>
          <w:sz w:val="24"/>
          <w:szCs w:val="20"/>
        </w:rPr>
        <w:t xml:space="preserve">Qualified Tender Option Bonds.  </w:t>
      </w:r>
      <w:r w:rsidRPr="00FC311C">
        <w:rPr>
          <w:rFonts w:ascii="Times New Roman" w:eastAsia="Times New Roman" w:hAnsi="Times New Roman" w:cs="Times New Roman"/>
          <w:snapToGrid w:val="0"/>
          <w:sz w:val="24"/>
          <w:szCs w:val="20"/>
        </w:rPr>
        <w:t xml:space="preserve">Section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10 sets forth the requirements for sponsors relying on the qualified tender option bond risk retention option, and includes disclosures of the name and form of organization of the qualified tender option bond entity, a description of the form and subordination features of the retained interest in accordance with the disclosure obligations in section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4(d), the fair value of any portion of the retained interest that is claimed by the sponsor as an eligible horizontal residual interest, and the percentage of ABS interests issued that is represented by any portion of the retained interest that is claimed by the sponsor as an eligible vertical interest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10(e)(1)-(4)).  In addition, to the extent any portion of the retained interest claimed by the sponsor is a municipal security held outside of the qualified tender option bond entity, the sponsor must disclose the name and form of organization of the qualified tender option bond entity, the identity of the issuer of the municipal securities, the face value of the municipal securities deposited into the qualified tender option bond entity, and the face value of the municipal securities retained outside of the qualified tender option bond entity by the sponsor or its majority-owned affiliates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10(e)(5)).</w:t>
      </w: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b/>
          <w:i/>
          <w:snapToGrid w:val="0"/>
          <w:sz w:val="24"/>
          <w:szCs w:val="20"/>
        </w:rPr>
        <w:t xml:space="preserve">Allocation to Originator.  </w:t>
      </w:r>
      <w:r w:rsidRPr="00FC311C">
        <w:rPr>
          <w:rFonts w:ascii="Times New Roman" w:eastAsia="Times New Roman" w:hAnsi="Times New Roman" w:cs="Times New Roman"/>
          <w:snapToGrid w:val="0"/>
          <w:sz w:val="24"/>
          <w:szCs w:val="20"/>
        </w:rPr>
        <w:t xml:space="preserve">Section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11 sets forth the conditions that apply when the sponsor of a securitization allocates to originators of securitized assets a portion of the credit risk the sponsor is required to retain, including disclosure of the name and form of organization of any originator that acquires and retains an interest in the transaction, a description of the form, amount and nature of such interest, and the method of payment for such interest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11(a)(2)).  A sponsor relying on this section is required to maintain and adhere to policies and procedures that are reasonably designed to monitor originator compliance with retention amount and hedging, transferring and pledging requirements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11(b)(2)(A)), and to promptly notify the holders of the ABS interests in the transaction in the event of originator non-compliance with such regulatory requirements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11(b)(2)(B)).</w:t>
      </w: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b/>
          <w:i/>
          <w:snapToGrid w:val="0"/>
          <w:sz w:val="24"/>
          <w:szCs w:val="20"/>
        </w:rPr>
        <w:t xml:space="preserve">QRM and Exempt 3-4 Unit Residential Mortgage Loans.  </w:t>
      </w:r>
      <w:r w:rsidRPr="00FC311C">
        <w:rPr>
          <w:rFonts w:ascii="Times New Roman" w:eastAsia="Times New Roman" w:hAnsi="Times New Roman" w:cs="Times New Roman"/>
          <w:snapToGrid w:val="0"/>
          <w:sz w:val="24"/>
          <w:szCs w:val="20"/>
        </w:rPr>
        <w:t xml:space="preserve">Sections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 xml:space="preserve">13 and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19(g) provide exemptions from the risk retention requirements for qualified residential mortgages and qualifying 3-to-4 unit residential mortgage loans that meet certain specified criteria, including that the depositor with respect to the securitization transaction certify that it has evaluated the effectiveness of its internal supervisory controls and concluded that the controls are effective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 xml:space="preserve">13(b)(4)(i) and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19(g)(2)), and that the sponsor provide a copy of the certification to potential investors prior to sale of ABS in the issuing entity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 xml:space="preserve">13(b)(4)(iii) and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19(g)(2)).  In addition,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 xml:space="preserve">13(c)(3) and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19(g)(3) provide that a sponsor that has relied upon either exemption will not lose the exemption if, after closing of the transaction, it is determined that one or more of the residential mortgage loans does not meet all of the criteria; provided that the depositor complies with certain specified requirements, including prompt notice to the holders of the ABS of any loan that is required to be repurchased by the sponsor, the amount of such repurchased loan, and the cause for such repurchase.</w:t>
      </w: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b/>
          <w:i/>
          <w:snapToGrid w:val="0"/>
          <w:sz w:val="24"/>
          <w:szCs w:val="20"/>
        </w:rPr>
        <w:t xml:space="preserve">Reduced Risk Retention for Qualifying Commercial, CRE and Automobile Loans.  </w:t>
      </w:r>
      <w:r w:rsidRPr="00FC311C">
        <w:rPr>
          <w:rFonts w:ascii="Times New Roman" w:eastAsia="Times New Roman" w:hAnsi="Times New Roman" w:cs="Times New Roman"/>
          <w:snapToGrid w:val="0"/>
          <w:sz w:val="24"/>
          <w:szCs w:val="20"/>
        </w:rPr>
        <w:t xml:space="preserve">Section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 xml:space="preserve">15 provides for zero percent risk retention for qualifying commercial loans that meet the criteria specified in Section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 xml:space="preserve">16, qualifying CRE loans that meet the criteria specified in Section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 xml:space="preserve">17, and qualifying automobile loans that meet the criteria specified in Section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 xml:space="preserve">18.  Section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15 also requires the sponsor to disclose a description of the manner in which the sponsor determined the aggregate risk retention requirement for any securitization transaction that includes both qualifying commercial loans, qualifying CRE loans, or qualifying automobile loans (“qualifying assets”) that are allocated zero percent risk retention and non-qualifying assets for which five percent retention is required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15(a)(4)).  In addition, the sponsor is required to disclose descriptions of the qualifying assets, and descriptions of the assets that are not qualifying assets, and the material differences between the group of qualifying assets and the group of assets that are not qualifying assets with respect to the composition of each group’s loan balances, loan terms, interest rates, borrower credit information, and characteristics of any loan collateral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15(b)(3)).  Additionally, a sponsor must retain the disclosures required in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15(a) and (b) in its records and must provide the disclosure upon request to the Commission and the sponsor’s appropriate Federal banking agency, if any, until three years after no ABS interests are outstanding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15(d)).</w:t>
      </w: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
    <w:p w:rsidR="00FC311C" w:rsidRPr="00FC311C" w:rsidRDefault="00FC311C" w:rsidP="00FC311C">
      <w:pPr>
        <w:widowControl w:val="0"/>
        <w:spacing w:after="0" w:line="240" w:lineRule="auto"/>
        <w:rPr>
          <w:rFonts w:ascii="Courier" w:eastAsia="Times New Roman" w:hAnsi="Courier" w:cs="Times New Roman"/>
          <w:snapToGrid w:val="0"/>
          <w:sz w:val="24"/>
          <w:szCs w:val="20"/>
        </w:rPr>
      </w:pPr>
      <w:r w:rsidRPr="00FC311C">
        <w:rPr>
          <w:rFonts w:ascii="Times New Roman" w:eastAsia="Times New Roman" w:hAnsi="Times New Roman" w:cs="Times New Roman"/>
          <w:b/>
          <w:i/>
          <w:snapToGrid w:val="0"/>
          <w:sz w:val="24"/>
          <w:szCs w:val="20"/>
        </w:rPr>
        <w:t>Underwriting Standards for Qualifying Commercial, CRE and Automobile Loans.</w:t>
      </w:r>
      <w:r w:rsidRPr="00FC311C">
        <w:rPr>
          <w:rFonts w:ascii="Times New Roman" w:eastAsia="Times New Roman" w:hAnsi="Times New Roman" w:cs="Times New Roman"/>
          <w:snapToGrid w:val="0"/>
          <w:sz w:val="24"/>
          <w:szCs w:val="20"/>
        </w:rPr>
        <w:t xml:space="preserve">  Sections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 xml:space="preserve">16,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 xml:space="preserve">17 and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18 each require that:  the depositor of the ABS certify that it has evaluated the effectiveness of its internal supervisory controls and concluded that its internal supervisory controls are effective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 xml:space="preserve">16(a)(8)(i),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 xml:space="preserve">17(a)(10)(i), and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18(a)(8)(i)); the sponsor is required to provide a copy of the certification to potential investors prior to the sale of ABS in the issuing entity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 xml:space="preserve">16(a)(8)(iii),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 xml:space="preserve">17(a)(10)(iii), and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18(a)(8)(iii)); and the sponsor must promptly notify the holders of the ABS of any loan included in the transaction that is required to be cured or repurchased by the sponsor, including the principal amount of such loan and the cause for such cure or repurchase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 xml:space="preserve">16(b)(3),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 xml:space="preserve">17(b)(3), and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18(b)(3)).  Additionally, a sponsor must retain the disclosures required in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 xml:space="preserve">16(a)(8),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 xml:space="preserve">17(a)(10) and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18(a)(8) in its records and must provide the disclosures upon request to the Commission and the sponsor’s appropriate Federal banking agency, if any, until three years after no ABS interests are outstanding (§</w:t>
      </w:r>
      <w:r w:rsidR="00C03D32">
        <w:rPr>
          <w:rFonts w:ascii="Times New Roman" w:eastAsia="Times New Roman" w:hAnsi="Times New Roman" w:cs="Times New Roman"/>
          <w:snapToGrid w:val="0"/>
          <w:sz w:val="24"/>
          <w:szCs w:val="20"/>
        </w:rPr>
        <w:t>373.</w:t>
      </w:r>
      <w:r w:rsidRPr="00FC311C">
        <w:rPr>
          <w:rFonts w:ascii="Times New Roman" w:eastAsia="Times New Roman" w:hAnsi="Times New Roman" w:cs="Times New Roman"/>
          <w:snapToGrid w:val="0"/>
          <w:sz w:val="24"/>
          <w:szCs w:val="20"/>
        </w:rPr>
        <w:t>15(d))</w:t>
      </w:r>
      <w:r w:rsidRPr="00FC311C">
        <w:rPr>
          <w:rFonts w:ascii="Courier" w:eastAsia="Times New Roman" w:hAnsi="Courier" w:cs="Times New Roman"/>
          <w:snapToGrid w:val="0"/>
          <w:sz w:val="24"/>
          <w:szCs w:val="20"/>
        </w:rPr>
        <w:t xml:space="preserve"> </w:t>
      </w:r>
    </w:p>
    <w:p w:rsidR="00FC311C" w:rsidRPr="00FC311C" w:rsidRDefault="00FC311C" w:rsidP="00FC311C">
      <w:pPr>
        <w:spacing w:after="0" w:line="240" w:lineRule="auto"/>
        <w:ind w:firstLine="720"/>
        <w:contextualSpacing/>
        <w:rPr>
          <w:rFonts w:ascii="Times New Roman" w:eastAsia="Times New Roman" w:hAnsi="Times New Roman" w:cs="Times New Roman"/>
          <w:sz w:val="24"/>
          <w:szCs w:val="24"/>
        </w:rPr>
      </w:pPr>
    </w:p>
    <w:p w:rsidR="00FC311C" w:rsidRPr="00FC311C" w:rsidRDefault="00FC311C" w:rsidP="00FC311C">
      <w:pPr>
        <w:tabs>
          <w:tab w:val="left" w:pos="-1440"/>
          <w:tab w:val="left" w:pos="-720"/>
          <w:tab w:val="left" w:pos="0"/>
          <w:tab w:val="left" w:pos="432"/>
          <w:tab w:val="left" w:pos="720"/>
          <w:tab w:val="left" w:pos="1008"/>
          <w:tab w:val="left" w:pos="1440"/>
        </w:tabs>
        <w:suppressAutoHyphens/>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 xml:space="preserve">3.  </w:t>
      </w:r>
      <w:r w:rsidR="00FE2AC0" w:rsidRPr="00FE2AC0">
        <w:rPr>
          <w:rFonts w:ascii="Times New Roman" w:eastAsia="Times New Roman" w:hAnsi="Times New Roman" w:cs="Times New Roman"/>
          <w:snapToGrid w:val="0"/>
          <w:sz w:val="24"/>
          <w:szCs w:val="20"/>
          <w:u w:val="single"/>
        </w:rPr>
        <w:t>Consideration of the use of improved information technology:</w:t>
      </w:r>
    </w:p>
    <w:p w:rsidR="00FC311C" w:rsidRPr="00FC311C" w:rsidRDefault="00FC311C" w:rsidP="00FC311C">
      <w:pPr>
        <w:tabs>
          <w:tab w:val="left" w:pos="-1440"/>
          <w:tab w:val="left" w:pos="-720"/>
          <w:tab w:val="left" w:pos="0"/>
          <w:tab w:val="left" w:pos="432"/>
          <w:tab w:val="left" w:pos="720"/>
          <w:tab w:val="left" w:pos="1008"/>
          <w:tab w:val="left" w:pos="1440"/>
        </w:tabs>
        <w:suppressAutoHyphens/>
        <w:spacing w:after="0" w:line="240" w:lineRule="auto"/>
        <w:rPr>
          <w:rFonts w:ascii="Times New Roman" w:eastAsia="Times New Roman" w:hAnsi="Times New Roman" w:cs="Times New Roman"/>
          <w:snapToGrid w:val="0"/>
          <w:sz w:val="24"/>
          <w:szCs w:val="20"/>
        </w:rPr>
      </w:pPr>
    </w:p>
    <w:p w:rsidR="00FC311C" w:rsidRPr="00FC311C" w:rsidRDefault="00FC311C" w:rsidP="00FC311C">
      <w:pPr>
        <w:widowControl w:val="0"/>
        <w:autoSpaceDE w:val="0"/>
        <w:autoSpaceDN w:val="0"/>
        <w:adjustRightInd w:val="0"/>
        <w:spacing w:after="0" w:line="240" w:lineRule="auto"/>
        <w:rPr>
          <w:rFonts w:ascii="Times New Roman" w:eastAsia="Times New Roman" w:hAnsi="Times New Roman" w:cs="Times New Roman"/>
          <w:snapToGrid w:val="0"/>
          <w:sz w:val="24"/>
          <w:szCs w:val="24"/>
        </w:rPr>
      </w:pPr>
      <w:r w:rsidRPr="00FC311C">
        <w:rPr>
          <w:rFonts w:ascii="Times New Roman" w:eastAsia="Times New Roman" w:hAnsi="Times New Roman" w:cs="Times New Roman"/>
          <w:snapToGrid w:val="0"/>
          <w:sz w:val="24"/>
          <w:szCs w:val="24"/>
        </w:rPr>
        <w:t>Sponsors may use technology to the extent feasible and/or desirable or appropriate to make the required disclosures and to maintain the required records.</w:t>
      </w:r>
    </w:p>
    <w:p w:rsidR="00FC311C" w:rsidRPr="00FC311C" w:rsidRDefault="00FC311C" w:rsidP="00FC311C">
      <w:pPr>
        <w:widowControl w:val="0"/>
        <w:autoSpaceDE w:val="0"/>
        <w:autoSpaceDN w:val="0"/>
        <w:adjustRightInd w:val="0"/>
        <w:spacing w:after="0" w:line="240" w:lineRule="auto"/>
        <w:rPr>
          <w:rFonts w:ascii="Times New Roman" w:eastAsia="Times New Roman" w:hAnsi="Times New Roman" w:cs="Times New Roman"/>
          <w:snapToGrid w:val="0"/>
          <w:sz w:val="24"/>
          <w:szCs w:val="20"/>
        </w:rPr>
      </w:pP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 xml:space="preserve">4.  </w:t>
      </w:r>
      <w:r w:rsidRPr="00FC311C">
        <w:rPr>
          <w:rFonts w:ascii="Times New Roman" w:eastAsia="Times New Roman" w:hAnsi="Times New Roman" w:cs="Times New Roman"/>
          <w:snapToGrid w:val="0"/>
          <w:sz w:val="24"/>
          <w:szCs w:val="20"/>
          <w:u w:val="single"/>
        </w:rPr>
        <w:t>Efforts to Identify Duplication</w:t>
      </w:r>
      <w:r w:rsidR="00AB4BBB">
        <w:rPr>
          <w:rFonts w:ascii="Times New Roman" w:eastAsia="Times New Roman" w:hAnsi="Times New Roman" w:cs="Times New Roman"/>
          <w:snapToGrid w:val="0"/>
          <w:sz w:val="24"/>
          <w:szCs w:val="20"/>
          <w:u w:val="single"/>
        </w:rPr>
        <w:t>:</w:t>
      </w: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4"/>
        </w:rPr>
      </w:pPr>
      <w:r w:rsidRPr="00FC311C">
        <w:rPr>
          <w:rFonts w:ascii="Times New Roman" w:eastAsia="Times New Roman" w:hAnsi="Times New Roman" w:cs="Times New Roman"/>
          <w:snapToGrid w:val="0"/>
          <w:sz w:val="24"/>
          <w:szCs w:val="24"/>
        </w:rPr>
        <w:t>The information collected is not duplicated elsewhere.</w:t>
      </w: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 xml:space="preserve">5.  </w:t>
      </w:r>
      <w:r w:rsidR="00995571" w:rsidRPr="00995571">
        <w:rPr>
          <w:rFonts w:ascii="Times New Roman" w:eastAsia="Times New Roman" w:hAnsi="Times New Roman" w:cs="Times New Roman"/>
          <w:snapToGrid w:val="0"/>
          <w:sz w:val="24"/>
          <w:szCs w:val="20"/>
          <w:u w:val="single"/>
        </w:rPr>
        <w:t>If the collection of information impacts small businesses or other small entities, describe any methods used to minimize burden:</w:t>
      </w:r>
      <w:r w:rsidRPr="00FC311C">
        <w:rPr>
          <w:rFonts w:ascii="Times New Roman" w:eastAsia="Times New Roman" w:hAnsi="Times New Roman" w:cs="Times New Roman"/>
          <w:snapToGrid w:val="0"/>
          <w:sz w:val="24"/>
          <w:szCs w:val="20"/>
          <w:u w:val="single"/>
        </w:rPr>
        <w:t xml:space="preserve">  </w:t>
      </w: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
    <w:p w:rsidR="00FC311C" w:rsidRPr="00995571" w:rsidRDefault="00995571" w:rsidP="00FC311C">
      <w:pPr>
        <w:widowControl w:val="0"/>
        <w:autoSpaceDE w:val="0"/>
        <w:autoSpaceDN w:val="0"/>
        <w:adjustRightInd w:val="0"/>
        <w:spacing w:after="0" w:line="240" w:lineRule="auto"/>
        <w:rPr>
          <w:rFonts w:ascii="Times New Roman" w:eastAsia="Times New Roman" w:hAnsi="Times New Roman" w:cs="Times New Roman"/>
          <w:snapToGrid w:val="0"/>
          <w:sz w:val="28"/>
          <w:szCs w:val="20"/>
        </w:rPr>
      </w:pPr>
      <w:r w:rsidRPr="00995571">
        <w:rPr>
          <w:rFonts w:ascii="Times New Roman" w:hAnsi="Times New Roman"/>
          <w:color w:val="000000"/>
          <w:sz w:val="24"/>
        </w:rPr>
        <w:t>There are no alternatives that would result in lowering the burden on small institutions, while still accomplishing the purpose of the rule.</w:t>
      </w:r>
    </w:p>
    <w:p w:rsidR="00FC311C" w:rsidRPr="00995571"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8"/>
          <w:szCs w:val="20"/>
        </w:rPr>
      </w:pP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 xml:space="preserve">6.  </w:t>
      </w:r>
      <w:r w:rsidRPr="00FC311C">
        <w:rPr>
          <w:rFonts w:ascii="Times New Roman" w:eastAsia="Times New Roman" w:hAnsi="Times New Roman" w:cs="Times New Roman"/>
          <w:snapToGrid w:val="0"/>
          <w:sz w:val="24"/>
          <w:szCs w:val="20"/>
          <w:u w:val="single"/>
        </w:rPr>
        <w:t>Consequences of Less Frequent Collection</w:t>
      </w: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The disclosure requirements are imposed on a per transaction basis as are the retention obligations.  Less frequent disclosures would not be adequate to allow investors to evaluate the investment potential of each transaction.  The requirement to develop policies and procedures to monitor compliance with regulatory requirements is a one-time burden, although the agencies expect that sponsors will review their policies and procedures as needed to reflect any changed conditions.</w:t>
      </w: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 xml:space="preserve">7.  </w:t>
      </w:r>
      <w:r w:rsidR="00995571" w:rsidRPr="00995571">
        <w:rPr>
          <w:rFonts w:ascii="Times New Roman" w:eastAsia="Times New Roman" w:hAnsi="Times New Roman" w:cs="Times New Roman"/>
          <w:snapToGrid w:val="0"/>
          <w:sz w:val="24"/>
          <w:szCs w:val="20"/>
          <w:u w:val="single"/>
        </w:rPr>
        <w:t>Special circumstances necessitating collection inconsistent with 5 CFR 1320.5(d)(2):</w:t>
      </w: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p>
    <w:p w:rsidR="00995571" w:rsidRPr="00995571" w:rsidRDefault="00995571" w:rsidP="00995571">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r w:rsidRPr="00995571">
        <w:rPr>
          <w:rFonts w:ascii="Times New Roman" w:eastAsia="Times New Roman" w:hAnsi="Times New Roman" w:cs="Times New Roman"/>
          <w:snapToGrid w:val="0"/>
          <w:sz w:val="24"/>
          <w:szCs w:val="20"/>
        </w:rPr>
        <w:t>There are no special circumstances. This information collection is conducted in accordance with the guidelines in 5 CFR 1320.5(d)(2).</w:t>
      </w: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u w:val="single"/>
        </w:rPr>
      </w:pPr>
      <w:r w:rsidRPr="00FC311C">
        <w:rPr>
          <w:rFonts w:ascii="Times New Roman" w:eastAsia="Times New Roman" w:hAnsi="Times New Roman" w:cs="Times New Roman"/>
          <w:snapToGrid w:val="0"/>
          <w:sz w:val="24"/>
          <w:szCs w:val="20"/>
        </w:rPr>
        <w:t xml:space="preserve">8.  </w:t>
      </w:r>
      <w:r w:rsidR="00995571" w:rsidRPr="00995571">
        <w:rPr>
          <w:rFonts w:ascii="Times New Roman" w:eastAsia="Times New Roman" w:hAnsi="Times New Roman" w:cs="Times New Roman"/>
          <w:snapToGrid w:val="0"/>
          <w:sz w:val="24"/>
          <w:szCs w:val="20"/>
          <w:u w:val="single"/>
        </w:rPr>
        <w:t>Efforts to Consult with Persons Outside the Agency:</w:t>
      </w: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u w:val="single"/>
        </w:rPr>
      </w:pPr>
    </w:p>
    <w:p w:rsidR="00FC311C" w:rsidRPr="00FC311C" w:rsidRDefault="00995571" w:rsidP="00FC311C">
      <w:pPr>
        <w:widowControl w:val="0"/>
        <w:spacing w:after="0" w:line="240" w:lineRule="auto"/>
        <w:rPr>
          <w:rFonts w:ascii="Times New Roman" w:eastAsia="Times New Roman" w:hAnsi="Times New Roman" w:cs="Times New Roman"/>
          <w:snapToGrid w:val="0"/>
          <w:sz w:val="24"/>
          <w:szCs w:val="20"/>
        </w:rPr>
      </w:pPr>
      <w:bookmarkStart w:id="1" w:name="OLE_LINK10"/>
      <w:bookmarkStart w:id="2" w:name="OLE_LINK11"/>
      <w:r w:rsidRPr="00995571">
        <w:rPr>
          <w:rFonts w:ascii="Times New Roman" w:eastAsia="Times New Roman" w:hAnsi="Times New Roman" w:cs="Times New Roman"/>
          <w:snapToGrid w:val="0"/>
          <w:sz w:val="24"/>
          <w:szCs w:val="24"/>
        </w:rPr>
        <w:t>A 60-day notice seeking public comment on the agencies renewal of the information collection was published on May 25, 2018 (83 FR 24306).  No comments were received.</w:t>
      </w:r>
    </w:p>
    <w:bookmarkEnd w:id="1"/>
    <w:bookmarkEnd w:id="2"/>
    <w:p w:rsidR="00BB1A68" w:rsidRDefault="00BB1A68"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 xml:space="preserve">9.  </w:t>
      </w:r>
      <w:r w:rsidRPr="00FC311C">
        <w:rPr>
          <w:rFonts w:ascii="Times New Roman" w:eastAsia="Times New Roman" w:hAnsi="Times New Roman" w:cs="Times New Roman"/>
          <w:snapToGrid w:val="0"/>
          <w:sz w:val="24"/>
          <w:szCs w:val="20"/>
          <w:u w:val="single"/>
        </w:rPr>
        <w:t>Payment or Gift to Respondents</w:t>
      </w:r>
      <w:r w:rsidR="00637A19">
        <w:rPr>
          <w:rFonts w:ascii="Times New Roman" w:eastAsia="Times New Roman" w:hAnsi="Times New Roman" w:cs="Times New Roman"/>
          <w:snapToGrid w:val="0"/>
          <w:sz w:val="24"/>
          <w:szCs w:val="20"/>
          <w:u w:val="single"/>
        </w:rPr>
        <w:t>:</w:t>
      </w: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No payments or gifts will be provided to respondents.</w:t>
      </w: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 xml:space="preserve">10.  </w:t>
      </w:r>
      <w:r w:rsidRPr="00FC311C">
        <w:rPr>
          <w:rFonts w:ascii="Times New Roman" w:eastAsia="Times New Roman" w:hAnsi="Times New Roman" w:cs="Times New Roman"/>
          <w:snapToGrid w:val="0"/>
          <w:sz w:val="24"/>
          <w:szCs w:val="20"/>
          <w:u w:val="single"/>
        </w:rPr>
        <w:t>Confidentiality</w:t>
      </w: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No assurances of confidentiality have been made in the Rule.</w:t>
      </w:r>
      <w:r w:rsidR="00BB1A68">
        <w:rPr>
          <w:rFonts w:ascii="Times New Roman" w:eastAsia="Times New Roman" w:hAnsi="Times New Roman" w:cs="Times New Roman"/>
          <w:snapToGrid w:val="0"/>
          <w:sz w:val="24"/>
          <w:szCs w:val="20"/>
        </w:rPr>
        <w:t xml:space="preserve"> </w:t>
      </w:r>
      <w:r w:rsidR="00BB1A68" w:rsidRPr="00BB1A68">
        <w:rPr>
          <w:rFonts w:ascii="Times New Roman" w:eastAsia="Times New Roman" w:hAnsi="Times New Roman" w:cs="Times New Roman"/>
          <w:snapToGrid w:val="0"/>
          <w:sz w:val="24"/>
          <w:szCs w:val="20"/>
        </w:rPr>
        <w:t>The information will be kept private to the extent permitted by law.</w:t>
      </w: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 xml:space="preserve">11.  </w:t>
      </w:r>
      <w:r w:rsidRPr="00FC311C">
        <w:rPr>
          <w:rFonts w:ascii="Times New Roman" w:eastAsia="Times New Roman" w:hAnsi="Times New Roman" w:cs="Times New Roman"/>
          <w:snapToGrid w:val="0"/>
          <w:sz w:val="24"/>
          <w:szCs w:val="20"/>
          <w:u w:val="single"/>
        </w:rPr>
        <w:t>Information of a Sensitive Nature</w:t>
      </w: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None of the information required to be disclosed or maintained is of a sensitive nature.</w:t>
      </w: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u w:val="single"/>
        </w:rPr>
      </w:pPr>
      <w:r w:rsidRPr="00FC311C">
        <w:rPr>
          <w:rFonts w:ascii="Times New Roman" w:eastAsia="Times New Roman" w:hAnsi="Times New Roman" w:cs="Times New Roman"/>
          <w:snapToGrid w:val="0"/>
          <w:sz w:val="24"/>
          <w:szCs w:val="20"/>
        </w:rPr>
        <w:t xml:space="preserve">12.  </w:t>
      </w:r>
      <w:r w:rsidR="00BB1A68" w:rsidRPr="00BB1A68">
        <w:rPr>
          <w:rFonts w:ascii="Times New Roman" w:eastAsia="Times New Roman" w:hAnsi="Times New Roman" w:cs="Times New Roman"/>
          <w:snapToGrid w:val="0"/>
          <w:sz w:val="24"/>
          <w:szCs w:val="20"/>
          <w:u w:val="single"/>
        </w:rPr>
        <w:t>Estimate of Annualized Burden:</w:t>
      </w: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u w:val="single"/>
        </w:rPr>
      </w:pPr>
    </w:p>
    <w:p w:rsidR="00BB1A68" w:rsidRDefault="00BB1A68" w:rsidP="00BB1A68">
      <w:pPr>
        <w:widowControl w:val="0"/>
        <w:spacing w:after="0" w:line="240" w:lineRule="auto"/>
        <w:rPr>
          <w:rFonts w:ascii="Times New Roman" w:eastAsia="Times New Roman" w:hAnsi="Times New Roman" w:cs="Times New Roman"/>
          <w:snapToGrid w:val="0"/>
          <w:sz w:val="24"/>
          <w:szCs w:val="20"/>
        </w:rPr>
      </w:pPr>
      <w:r w:rsidRPr="00BB1A68">
        <w:rPr>
          <w:rFonts w:ascii="Times New Roman" w:eastAsia="Times New Roman" w:hAnsi="Times New Roman" w:cs="Times New Roman"/>
          <w:snapToGrid w:val="0"/>
          <w:sz w:val="24"/>
          <w:szCs w:val="20"/>
        </w:rPr>
        <w:t>To determine the total paperwork burden for the requirements contained in the Credit Risk Retention Rule FDIC first estimated the universe of sponsors that would be required to comply with the disclosure and recordkeeping requirements.  FDIC estimates that approximately 270 unique sponsors conduct ABS offerings each year.  This estimate is based on the average number of ABS offerings from 2007 through 2017 reported by the ABS database Asset-Backed Alert for all non-CMBS transactions and by Commercial Mortgage Alert for all CMBS transactions.</w:t>
      </w:r>
      <w:r w:rsidRPr="00BB1A68">
        <w:rPr>
          <w:rFonts w:ascii="Times New Roman" w:eastAsia="Times New Roman" w:hAnsi="Times New Roman" w:cs="Times New Roman"/>
          <w:snapToGrid w:val="0"/>
          <w:sz w:val="24"/>
          <w:szCs w:val="20"/>
          <w:vertAlign w:val="superscript"/>
        </w:rPr>
        <w:footnoteReference w:id="1"/>
      </w:r>
      <w:r w:rsidRPr="00BB1A68">
        <w:rPr>
          <w:rFonts w:ascii="Times New Roman" w:eastAsia="Times New Roman" w:hAnsi="Times New Roman" w:cs="Times New Roman"/>
          <w:snapToGrid w:val="0"/>
          <w:sz w:val="24"/>
          <w:szCs w:val="20"/>
        </w:rPr>
        <w:t xml:space="preserve"> Of the 270 sponsors, the agencies assigned 8 percent of these sponsors to the Board, 12 percent to the FDIC, 13 percent to the OCC, and 67 percent to the Commission.</w:t>
      </w:r>
      <w:r w:rsidRPr="00BB1A68">
        <w:rPr>
          <w:rFonts w:ascii="Times New Roman" w:eastAsia="Times New Roman" w:hAnsi="Times New Roman" w:cs="Times New Roman"/>
          <w:snapToGrid w:val="0"/>
          <w:sz w:val="24"/>
          <w:szCs w:val="20"/>
          <w:vertAlign w:val="superscript"/>
        </w:rPr>
        <w:footnoteReference w:id="2"/>
      </w:r>
      <w:r>
        <w:rPr>
          <w:rFonts w:ascii="Times New Roman" w:eastAsia="Times New Roman" w:hAnsi="Times New Roman" w:cs="Times New Roman"/>
          <w:snapToGrid w:val="0"/>
          <w:sz w:val="24"/>
          <w:szCs w:val="20"/>
        </w:rPr>
        <w:t xml:space="preserve"> </w:t>
      </w:r>
    </w:p>
    <w:p w:rsidR="00BB1A68" w:rsidRPr="00BB1A68" w:rsidRDefault="00BB1A68" w:rsidP="00BB1A68">
      <w:pPr>
        <w:widowControl w:val="0"/>
        <w:spacing w:after="0" w:line="240" w:lineRule="auto"/>
        <w:rPr>
          <w:rFonts w:ascii="Times New Roman" w:eastAsia="Times New Roman" w:hAnsi="Times New Roman" w:cs="Times New Roman"/>
          <w:snapToGrid w:val="0"/>
          <w:sz w:val="24"/>
          <w:szCs w:val="20"/>
        </w:rPr>
      </w:pPr>
    </w:p>
    <w:p w:rsidR="00BB1A68" w:rsidRDefault="00BB1A68" w:rsidP="00BB1A68">
      <w:pPr>
        <w:widowControl w:val="0"/>
        <w:spacing w:after="0" w:line="240" w:lineRule="auto"/>
        <w:rPr>
          <w:rFonts w:ascii="Times New Roman" w:eastAsia="Times New Roman" w:hAnsi="Times New Roman" w:cs="Times New Roman"/>
          <w:snapToGrid w:val="0"/>
          <w:sz w:val="24"/>
          <w:szCs w:val="20"/>
        </w:rPr>
      </w:pPr>
      <w:r w:rsidRPr="00BB1A68">
        <w:rPr>
          <w:rFonts w:ascii="Times New Roman" w:eastAsia="Times New Roman" w:hAnsi="Times New Roman" w:cs="Times New Roman"/>
          <w:snapToGrid w:val="0"/>
          <w:sz w:val="24"/>
          <w:szCs w:val="20"/>
        </w:rPr>
        <w:t xml:space="preserve">Next, the FDIC estimates how many respondents keep records and make required disclosures by estimating the proportionate amount of offerings per year for each agency. </w:t>
      </w:r>
      <w:r w:rsidR="00EB249F">
        <w:rPr>
          <w:rFonts w:ascii="Times New Roman" w:eastAsia="Times New Roman" w:hAnsi="Times New Roman" w:cs="Times New Roman"/>
          <w:snapToGrid w:val="0"/>
          <w:sz w:val="24"/>
          <w:szCs w:val="20"/>
        </w:rPr>
        <w:t>T</w:t>
      </w:r>
      <w:r w:rsidRPr="00BB1A68">
        <w:rPr>
          <w:rFonts w:ascii="Times New Roman" w:eastAsia="Times New Roman" w:hAnsi="Times New Roman" w:cs="Times New Roman"/>
          <w:snapToGrid w:val="0"/>
          <w:sz w:val="24"/>
          <w:szCs w:val="20"/>
        </w:rPr>
        <w:t xml:space="preserve">he estimate </w:t>
      </w:r>
      <w:r w:rsidR="00EB249F">
        <w:rPr>
          <w:rFonts w:ascii="Times New Roman" w:eastAsia="Times New Roman" w:hAnsi="Times New Roman" w:cs="Times New Roman"/>
          <w:snapToGrid w:val="0"/>
          <w:sz w:val="24"/>
          <w:szCs w:val="20"/>
        </w:rPr>
        <w:t>is</w:t>
      </w:r>
      <w:r w:rsidRPr="00BB1A68">
        <w:rPr>
          <w:rFonts w:ascii="Times New Roman" w:eastAsia="Times New Roman" w:hAnsi="Times New Roman" w:cs="Times New Roman"/>
          <w:snapToGrid w:val="0"/>
          <w:sz w:val="24"/>
          <w:szCs w:val="20"/>
        </w:rPr>
        <w:t xml:space="preserve"> based on the average number of ABS offerings from 200</w:t>
      </w:r>
      <w:r w:rsidR="00EB249F">
        <w:rPr>
          <w:rFonts w:ascii="Times New Roman" w:eastAsia="Times New Roman" w:hAnsi="Times New Roman" w:cs="Times New Roman"/>
          <w:snapToGrid w:val="0"/>
          <w:sz w:val="24"/>
          <w:szCs w:val="20"/>
        </w:rPr>
        <w:t>7</w:t>
      </w:r>
      <w:r w:rsidRPr="00BB1A68">
        <w:rPr>
          <w:rFonts w:ascii="Times New Roman" w:eastAsia="Times New Roman" w:hAnsi="Times New Roman" w:cs="Times New Roman"/>
          <w:snapToGrid w:val="0"/>
          <w:sz w:val="24"/>
          <w:szCs w:val="20"/>
        </w:rPr>
        <w:t xml:space="preserve"> through 201</w:t>
      </w:r>
      <w:r w:rsidR="00EB249F">
        <w:rPr>
          <w:rFonts w:ascii="Times New Roman" w:eastAsia="Times New Roman" w:hAnsi="Times New Roman" w:cs="Times New Roman"/>
          <w:snapToGrid w:val="0"/>
          <w:sz w:val="24"/>
          <w:szCs w:val="20"/>
        </w:rPr>
        <w:t>7</w:t>
      </w:r>
      <w:r w:rsidRPr="00BB1A68">
        <w:rPr>
          <w:rFonts w:ascii="Times New Roman" w:eastAsia="Times New Roman" w:hAnsi="Times New Roman" w:cs="Times New Roman"/>
          <w:snapToGrid w:val="0"/>
          <w:sz w:val="24"/>
          <w:szCs w:val="20"/>
        </w:rPr>
        <w:t>.</w:t>
      </w:r>
      <w:r w:rsidR="00EB249F">
        <w:rPr>
          <w:rFonts w:ascii="Times New Roman" w:eastAsia="Times New Roman" w:hAnsi="Times New Roman" w:cs="Times New Roman"/>
          <w:snapToGrid w:val="0"/>
          <w:sz w:val="24"/>
          <w:szCs w:val="20"/>
        </w:rPr>
        <w:t xml:space="preserve">  T</w:t>
      </w:r>
      <w:r w:rsidRPr="00BB1A68">
        <w:rPr>
          <w:rFonts w:ascii="Times New Roman" w:eastAsia="Times New Roman" w:hAnsi="Times New Roman" w:cs="Times New Roman"/>
          <w:snapToGrid w:val="0"/>
          <w:sz w:val="24"/>
          <w:szCs w:val="20"/>
        </w:rPr>
        <w:t>he agencies estimate the total number of annual offerings per year to be 1,</w:t>
      </w:r>
      <w:r w:rsidR="00EB249F">
        <w:rPr>
          <w:rFonts w:ascii="Times New Roman" w:eastAsia="Times New Roman" w:hAnsi="Times New Roman" w:cs="Times New Roman"/>
          <w:snapToGrid w:val="0"/>
          <w:sz w:val="24"/>
          <w:szCs w:val="20"/>
        </w:rPr>
        <w:t>400</w:t>
      </w:r>
      <w:r w:rsidRPr="00BB1A68">
        <w:rPr>
          <w:rFonts w:ascii="Times New Roman" w:eastAsia="Times New Roman" w:hAnsi="Times New Roman" w:cs="Times New Roman"/>
          <w:snapToGrid w:val="0"/>
          <w:sz w:val="24"/>
          <w:szCs w:val="20"/>
          <w:vertAlign w:val="superscript"/>
        </w:rPr>
        <w:footnoteReference w:id="3"/>
      </w:r>
      <w:r w:rsidRPr="00BB1A68">
        <w:rPr>
          <w:rFonts w:ascii="Times New Roman" w:eastAsia="Times New Roman" w:hAnsi="Times New Roman" w:cs="Times New Roman"/>
          <w:snapToGrid w:val="0"/>
          <w:sz w:val="24"/>
          <w:szCs w:val="20"/>
        </w:rPr>
        <w:t xml:space="preserve"> </w:t>
      </w:r>
      <w:r w:rsidR="000337D5">
        <w:rPr>
          <w:rFonts w:ascii="Times New Roman" w:eastAsia="Times New Roman" w:hAnsi="Times New Roman" w:cs="Times New Roman"/>
          <w:snapToGrid w:val="0"/>
          <w:sz w:val="24"/>
          <w:szCs w:val="20"/>
        </w:rPr>
        <w:t>which results in</w:t>
      </w:r>
      <w:r w:rsidRPr="00BB1A68">
        <w:rPr>
          <w:rFonts w:ascii="Times New Roman" w:eastAsia="Times New Roman" w:hAnsi="Times New Roman" w:cs="Times New Roman"/>
          <w:snapToGrid w:val="0"/>
          <w:sz w:val="24"/>
          <w:szCs w:val="20"/>
        </w:rPr>
        <w:t xml:space="preserve"> the following estimates:</w:t>
      </w:r>
    </w:p>
    <w:p w:rsidR="00BB1A68" w:rsidRPr="00BB1A68" w:rsidRDefault="00BB1A68" w:rsidP="00BB1A68">
      <w:pPr>
        <w:widowControl w:val="0"/>
        <w:spacing w:after="0" w:line="240" w:lineRule="auto"/>
        <w:rPr>
          <w:rFonts w:ascii="Times New Roman" w:eastAsia="Times New Roman" w:hAnsi="Times New Roman" w:cs="Times New Roman"/>
          <w:snapToGrid w:val="0"/>
          <w:sz w:val="24"/>
          <w:szCs w:val="20"/>
        </w:rPr>
      </w:pPr>
    </w:p>
    <w:p w:rsidR="00BB1A68" w:rsidRPr="00BB1A68" w:rsidRDefault="00BB1A68" w:rsidP="000337D5">
      <w:pPr>
        <w:widowControl w:val="0"/>
        <w:numPr>
          <w:ilvl w:val="0"/>
          <w:numId w:val="2"/>
        </w:numPr>
        <w:spacing w:after="120" w:line="240" w:lineRule="auto"/>
        <w:rPr>
          <w:rFonts w:ascii="Times New Roman" w:eastAsia="Times New Roman" w:hAnsi="Times New Roman" w:cs="Times New Roman"/>
          <w:snapToGrid w:val="0"/>
          <w:sz w:val="24"/>
          <w:szCs w:val="20"/>
        </w:rPr>
      </w:pPr>
      <w:r w:rsidRPr="00BB1A68">
        <w:rPr>
          <w:rFonts w:ascii="Times New Roman" w:eastAsia="Times New Roman" w:hAnsi="Times New Roman" w:cs="Times New Roman"/>
          <w:snapToGrid w:val="0"/>
          <w:sz w:val="24"/>
          <w:szCs w:val="20"/>
        </w:rPr>
        <w:t xml:space="preserve">13 offerings per year will be subject to </w:t>
      </w:r>
      <w:r w:rsidRPr="00BB1A68">
        <w:rPr>
          <w:rFonts w:ascii="Times New Roman" w:eastAsia="Times New Roman" w:hAnsi="Times New Roman" w:cs="Times New Roman"/>
          <w:snapToGrid w:val="0"/>
          <w:sz w:val="24"/>
          <w:szCs w:val="20"/>
          <w:u w:val="single"/>
        </w:rPr>
        <w:t>disclosure and recordkeeping</w:t>
      </w:r>
      <w:r w:rsidRPr="00BB1A68">
        <w:rPr>
          <w:rFonts w:ascii="Times New Roman" w:eastAsia="Times New Roman" w:hAnsi="Times New Roman" w:cs="Times New Roman"/>
          <w:snapToGrid w:val="0"/>
          <w:sz w:val="24"/>
          <w:szCs w:val="20"/>
        </w:rPr>
        <w:t xml:space="preserve"> requirements under §_.11, which are divided equally among the four agencies (</w:t>
      </w:r>
      <w:r w:rsidRPr="00BB1A68">
        <w:rPr>
          <w:rFonts w:ascii="Times New Roman" w:eastAsia="Times New Roman" w:hAnsi="Times New Roman" w:cs="Times New Roman"/>
          <w:snapToGrid w:val="0"/>
          <w:sz w:val="24"/>
          <w:szCs w:val="20"/>
          <w:u w:val="single"/>
        </w:rPr>
        <w:t>i.e.</w:t>
      </w:r>
      <w:r w:rsidRPr="00BB1A68">
        <w:rPr>
          <w:rFonts w:ascii="Times New Roman" w:eastAsia="Times New Roman" w:hAnsi="Times New Roman" w:cs="Times New Roman"/>
          <w:snapToGrid w:val="0"/>
          <w:sz w:val="24"/>
          <w:szCs w:val="20"/>
        </w:rPr>
        <w:t xml:space="preserve">, </w:t>
      </w:r>
      <w:r w:rsidRPr="00BB1A68">
        <w:rPr>
          <w:rFonts w:ascii="Times New Roman" w:eastAsia="Times New Roman" w:hAnsi="Times New Roman" w:cs="Times New Roman"/>
          <w:snapToGrid w:val="0"/>
          <w:sz w:val="24"/>
          <w:szCs w:val="20"/>
          <w:u w:val="single"/>
        </w:rPr>
        <w:t>3.25 offerings per year per agency</w:t>
      </w:r>
      <w:r w:rsidRPr="00BB1A68">
        <w:rPr>
          <w:rFonts w:ascii="Times New Roman" w:eastAsia="Times New Roman" w:hAnsi="Times New Roman" w:cs="Times New Roman"/>
          <w:snapToGrid w:val="0"/>
          <w:sz w:val="24"/>
          <w:szCs w:val="20"/>
        </w:rPr>
        <w:t>);</w:t>
      </w:r>
    </w:p>
    <w:p w:rsidR="00BB1A68" w:rsidRPr="00BB1A68" w:rsidRDefault="00BB1A68" w:rsidP="000337D5">
      <w:pPr>
        <w:widowControl w:val="0"/>
        <w:numPr>
          <w:ilvl w:val="0"/>
          <w:numId w:val="2"/>
        </w:numPr>
        <w:spacing w:after="120" w:line="240" w:lineRule="auto"/>
        <w:rPr>
          <w:rFonts w:ascii="Times New Roman" w:eastAsia="Times New Roman" w:hAnsi="Times New Roman" w:cs="Times New Roman"/>
          <w:snapToGrid w:val="0"/>
          <w:sz w:val="24"/>
          <w:szCs w:val="20"/>
        </w:rPr>
      </w:pPr>
      <w:r w:rsidRPr="00BB1A68">
        <w:rPr>
          <w:rFonts w:ascii="Times New Roman" w:eastAsia="Times New Roman" w:hAnsi="Times New Roman" w:cs="Times New Roman"/>
          <w:snapToGrid w:val="0"/>
          <w:sz w:val="24"/>
          <w:szCs w:val="20"/>
        </w:rPr>
        <w:t xml:space="preserve">110 offerings per year will be subject to </w:t>
      </w:r>
      <w:r w:rsidRPr="00BB1A68">
        <w:rPr>
          <w:rFonts w:ascii="Times New Roman" w:eastAsia="Times New Roman" w:hAnsi="Times New Roman" w:cs="Times New Roman"/>
          <w:snapToGrid w:val="0"/>
          <w:sz w:val="24"/>
          <w:szCs w:val="20"/>
          <w:u w:val="single"/>
        </w:rPr>
        <w:t>disclosure and recordkeeping</w:t>
      </w:r>
      <w:r w:rsidRPr="00BB1A68">
        <w:rPr>
          <w:rFonts w:ascii="Times New Roman" w:eastAsia="Times New Roman" w:hAnsi="Times New Roman" w:cs="Times New Roman"/>
          <w:snapToGrid w:val="0"/>
          <w:sz w:val="24"/>
          <w:szCs w:val="20"/>
        </w:rPr>
        <w:t xml:space="preserve"> requirements under §§</w:t>
      </w:r>
      <w:r w:rsidR="00C03D32">
        <w:rPr>
          <w:rFonts w:ascii="Times New Roman" w:eastAsia="Times New Roman" w:hAnsi="Times New Roman" w:cs="Times New Roman"/>
          <w:snapToGrid w:val="0"/>
          <w:sz w:val="24"/>
          <w:szCs w:val="20"/>
        </w:rPr>
        <w:t>373</w:t>
      </w:r>
      <w:r w:rsidRPr="00BB1A68">
        <w:rPr>
          <w:rFonts w:ascii="Times New Roman" w:eastAsia="Times New Roman" w:hAnsi="Times New Roman" w:cs="Times New Roman"/>
          <w:snapToGrid w:val="0"/>
          <w:sz w:val="24"/>
          <w:szCs w:val="20"/>
        </w:rPr>
        <w:t xml:space="preserve">.13 and </w:t>
      </w:r>
      <w:r w:rsidR="00C03D32">
        <w:rPr>
          <w:rFonts w:ascii="Times New Roman" w:eastAsia="Times New Roman" w:hAnsi="Times New Roman" w:cs="Times New Roman"/>
          <w:snapToGrid w:val="0"/>
          <w:sz w:val="24"/>
          <w:szCs w:val="20"/>
        </w:rPr>
        <w:t>373.</w:t>
      </w:r>
      <w:r w:rsidRPr="00BB1A68">
        <w:rPr>
          <w:rFonts w:ascii="Times New Roman" w:eastAsia="Times New Roman" w:hAnsi="Times New Roman" w:cs="Times New Roman"/>
          <w:snapToGrid w:val="0"/>
          <w:sz w:val="24"/>
          <w:szCs w:val="20"/>
        </w:rPr>
        <w:t>19(g), which are divided proportionately among the agencies based on the entity percentages described above:</w:t>
      </w:r>
    </w:p>
    <w:p w:rsidR="00BB1A68" w:rsidRPr="00BB1A68" w:rsidRDefault="00BB1A68" w:rsidP="00BB1A68">
      <w:pPr>
        <w:widowControl w:val="0"/>
        <w:numPr>
          <w:ilvl w:val="1"/>
          <w:numId w:val="2"/>
        </w:numPr>
        <w:spacing w:after="0" w:line="240" w:lineRule="auto"/>
        <w:rPr>
          <w:rFonts w:ascii="Times New Roman" w:eastAsia="Times New Roman" w:hAnsi="Times New Roman" w:cs="Times New Roman"/>
          <w:snapToGrid w:val="0"/>
          <w:sz w:val="24"/>
          <w:szCs w:val="20"/>
        </w:rPr>
      </w:pPr>
      <w:r w:rsidRPr="00BB1A68">
        <w:rPr>
          <w:rFonts w:ascii="Times New Roman" w:eastAsia="Times New Roman" w:hAnsi="Times New Roman" w:cs="Times New Roman"/>
          <w:snapToGrid w:val="0"/>
          <w:sz w:val="24"/>
          <w:szCs w:val="20"/>
        </w:rPr>
        <w:t>Nine (9) offerings per year for the Board (8%);</w:t>
      </w:r>
    </w:p>
    <w:p w:rsidR="00BB1A68" w:rsidRPr="00BB1A68" w:rsidRDefault="00BB1A68" w:rsidP="00BB1A68">
      <w:pPr>
        <w:widowControl w:val="0"/>
        <w:numPr>
          <w:ilvl w:val="1"/>
          <w:numId w:val="2"/>
        </w:numPr>
        <w:spacing w:after="0" w:line="240" w:lineRule="auto"/>
        <w:rPr>
          <w:rFonts w:ascii="Times New Roman" w:eastAsia="Times New Roman" w:hAnsi="Times New Roman" w:cs="Times New Roman"/>
          <w:snapToGrid w:val="0"/>
          <w:sz w:val="24"/>
          <w:szCs w:val="20"/>
        </w:rPr>
      </w:pPr>
      <w:r w:rsidRPr="00BB1A68">
        <w:rPr>
          <w:rFonts w:ascii="Times New Roman" w:eastAsia="Times New Roman" w:hAnsi="Times New Roman" w:cs="Times New Roman"/>
          <w:snapToGrid w:val="0"/>
          <w:sz w:val="24"/>
          <w:szCs w:val="20"/>
          <w:u w:val="single"/>
        </w:rPr>
        <w:t>13 offerings per year for the FDIC (12%)</w:t>
      </w:r>
      <w:r w:rsidRPr="00BB1A68">
        <w:rPr>
          <w:rFonts w:ascii="Times New Roman" w:eastAsia="Times New Roman" w:hAnsi="Times New Roman" w:cs="Times New Roman"/>
          <w:snapToGrid w:val="0"/>
          <w:sz w:val="24"/>
          <w:szCs w:val="20"/>
        </w:rPr>
        <w:t>;</w:t>
      </w:r>
    </w:p>
    <w:p w:rsidR="00BB1A68" w:rsidRPr="00BB1A68" w:rsidRDefault="00BB1A68" w:rsidP="00BB1A68">
      <w:pPr>
        <w:widowControl w:val="0"/>
        <w:numPr>
          <w:ilvl w:val="1"/>
          <w:numId w:val="2"/>
        </w:numPr>
        <w:spacing w:after="0" w:line="240" w:lineRule="auto"/>
        <w:rPr>
          <w:rFonts w:ascii="Times New Roman" w:eastAsia="Times New Roman" w:hAnsi="Times New Roman" w:cs="Times New Roman"/>
          <w:snapToGrid w:val="0"/>
          <w:sz w:val="24"/>
          <w:szCs w:val="20"/>
        </w:rPr>
      </w:pPr>
      <w:r w:rsidRPr="00BB1A68">
        <w:rPr>
          <w:rFonts w:ascii="Times New Roman" w:eastAsia="Times New Roman" w:hAnsi="Times New Roman" w:cs="Times New Roman"/>
          <w:snapToGrid w:val="0"/>
          <w:sz w:val="24"/>
          <w:szCs w:val="20"/>
        </w:rPr>
        <w:t>14 offerings per year for the OCC (13%);</w:t>
      </w:r>
    </w:p>
    <w:p w:rsidR="00BB1A68" w:rsidRDefault="00BB1A68" w:rsidP="00BB1A68">
      <w:pPr>
        <w:widowControl w:val="0"/>
        <w:numPr>
          <w:ilvl w:val="1"/>
          <w:numId w:val="2"/>
        </w:numPr>
        <w:spacing w:after="0" w:line="240" w:lineRule="auto"/>
        <w:rPr>
          <w:rFonts w:ascii="Times New Roman" w:eastAsia="Times New Roman" w:hAnsi="Times New Roman" w:cs="Times New Roman"/>
          <w:snapToGrid w:val="0"/>
          <w:sz w:val="24"/>
          <w:szCs w:val="20"/>
        </w:rPr>
      </w:pPr>
      <w:r w:rsidRPr="00BB1A68">
        <w:rPr>
          <w:rFonts w:ascii="Times New Roman" w:eastAsia="Times New Roman" w:hAnsi="Times New Roman" w:cs="Times New Roman"/>
          <w:snapToGrid w:val="0"/>
          <w:sz w:val="24"/>
          <w:szCs w:val="20"/>
        </w:rPr>
        <w:t>74 offerings per year for the Commission (67%).</w:t>
      </w:r>
    </w:p>
    <w:p w:rsidR="000337D5" w:rsidRPr="00BB1A68" w:rsidRDefault="000337D5" w:rsidP="000337D5">
      <w:pPr>
        <w:widowControl w:val="0"/>
        <w:spacing w:after="0" w:line="240" w:lineRule="auto"/>
        <w:ind w:left="1080"/>
        <w:rPr>
          <w:rFonts w:ascii="Times New Roman" w:eastAsia="Times New Roman" w:hAnsi="Times New Roman" w:cs="Times New Roman"/>
          <w:snapToGrid w:val="0"/>
          <w:sz w:val="24"/>
          <w:szCs w:val="20"/>
        </w:rPr>
      </w:pPr>
    </w:p>
    <w:p w:rsidR="00BB1A68" w:rsidRPr="00BB1A68" w:rsidRDefault="00BB1A68" w:rsidP="000337D5">
      <w:pPr>
        <w:widowControl w:val="0"/>
        <w:numPr>
          <w:ilvl w:val="0"/>
          <w:numId w:val="2"/>
        </w:numPr>
        <w:spacing w:after="120" w:line="240" w:lineRule="auto"/>
        <w:rPr>
          <w:rFonts w:ascii="Times New Roman" w:eastAsia="Times New Roman" w:hAnsi="Times New Roman" w:cs="Times New Roman"/>
          <w:snapToGrid w:val="0"/>
          <w:sz w:val="24"/>
          <w:szCs w:val="20"/>
        </w:rPr>
      </w:pPr>
      <w:r w:rsidRPr="00BB1A68">
        <w:rPr>
          <w:rFonts w:ascii="Times New Roman" w:eastAsia="Times New Roman" w:hAnsi="Times New Roman" w:cs="Times New Roman"/>
          <w:snapToGrid w:val="0"/>
          <w:sz w:val="24"/>
          <w:szCs w:val="20"/>
        </w:rPr>
        <w:t xml:space="preserve">132 offerings per year will be subject to the </w:t>
      </w:r>
      <w:r w:rsidRPr="00BB1A68">
        <w:rPr>
          <w:rFonts w:ascii="Times New Roman" w:eastAsia="Times New Roman" w:hAnsi="Times New Roman" w:cs="Times New Roman"/>
          <w:snapToGrid w:val="0"/>
          <w:sz w:val="24"/>
          <w:szCs w:val="20"/>
          <w:u w:val="single"/>
        </w:rPr>
        <w:t>disclosure</w:t>
      </w:r>
      <w:r w:rsidRPr="00BB1A68">
        <w:rPr>
          <w:rFonts w:ascii="Times New Roman" w:eastAsia="Times New Roman" w:hAnsi="Times New Roman" w:cs="Times New Roman"/>
          <w:snapToGrid w:val="0"/>
          <w:sz w:val="24"/>
          <w:szCs w:val="20"/>
        </w:rPr>
        <w:t xml:space="preserve"> requirements under §</w:t>
      </w:r>
      <w:r w:rsidR="00C03D32">
        <w:rPr>
          <w:rFonts w:ascii="Times New Roman" w:eastAsia="Times New Roman" w:hAnsi="Times New Roman" w:cs="Times New Roman"/>
          <w:snapToGrid w:val="0"/>
          <w:sz w:val="24"/>
          <w:szCs w:val="20"/>
        </w:rPr>
        <w:t>373.</w:t>
      </w:r>
      <w:r w:rsidRPr="00BB1A68">
        <w:rPr>
          <w:rFonts w:ascii="Times New Roman" w:eastAsia="Times New Roman" w:hAnsi="Times New Roman" w:cs="Times New Roman"/>
          <w:snapToGrid w:val="0"/>
          <w:sz w:val="24"/>
          <w:szCs w:val="20"/>
        </w:rPr>
        <w:t>15, which are divided proportionately among the agencies based on the entity percentages described above:</w:t>
      </w:r>
    </w:p>
    <w:p w:rsidR="00BB1A68" w:rsidRPr="00BB1A68" w:rsidRDefault="00BB1A68" w:rsidP="00BB1A68">
      <w:pPr>
        <w:widowControl w:val="0"/>
        <w:numPr>
          <w:ilvl w:val="1"/>
          <w:numId w:val="2"/>
        </w:numPr>
        <w:spacing w:after="0" w:line="240" w:lineRule="auto"/>
        <w:rPr>
          <w:rFonts w:ascii="Times New Roman" w:eastAsia="Times New Roman" w:hAnsi="Times New Roman" w:cs="Times New Roman"/>
          <w:snapToGrid w:val="0"/>
          <w:sz w:val="24"/>
          <w:szCs w:val="20"/>
        </w:rPr>
      </w:pPr>
      <w:r w:rsidRPr="00BB1A68">
        <w:rPr>
          <w:rFonts w:ascii="Times New Roman" w:eastAsia="Times New Roman" w:hAnsi="Times New Roman" w:cs="Times New Roman"/>
          <w:snapToGrid w:val="0"/>
          <w:sz w:val="24"/>
          <w:szCs w:val="20"/>
        </w:rPr>
        <w:t>11 offerings per year for the Board (8%);</w:t>
      </w:r>
    </w:p>
    <w:p w:rsidR="00BB1A68" w:rsidRPr="00BB1A68" w:rsidRDefault="00BB1A68" w:rsidP="00BB1A68">
      <w:pPr>
        <w:widowControl w:val="0"/>
        <w:numPr>
          <w:ilvl w:val="1"/>
          <w:numId w:val="2"/>
        </w:numPr>
        <w:spacing w:after="0" w:line="240" w:lineRule="auto"/>
        <w:rPr>
          <w:rFonts w:ascii="Times New Roman" w:eastAsia="Times New Roman" w:hAnsi="Times New Roman" w:cs="Times New Roman"/>
          <w:snapToGrid w:val="0"/>
          <w:sz w:val="24"/>
          <w:szCs w:val="20"/>
        </w:rPr>
      </w:pPr>
      <w:r w:rsidRPr="00BB1A68">
        <w:rPr>
          <w:rFonts w:ascii="Times New Roman" w:eastAsia="Times New Roman" w:hAnsi="Times New Roman" w:cs="Times New Roman"/>
          <w:snapToGrid w:val="0"/>
          <w:sz w:val="24"/>
          <w:szCs w:val="20"/>
          <w:u w:val="single"/>
        </w:rPr>
        <w:t>16 offerings per year for the FDIC (12%)</w:t>
      </w:r>
      <w:r w:rsidRPr="00BB1A68">
        <w:rPr>
          <w:rFonts w:ascii="Times New Roman" w:eastAsia="Times New Roman" w:hAnsi="Times New Roman" w:cs="Times New Roman"/>
          <w:snapToGrid w:val="0"/>
          <w:sz w:val="24"/>
          <w:szCs w:val="20"/>
        </w:rPr>
        <w:t>;</w:t>
      </w:r>
    </w:p>
    <w:p w:rsidR="00BB1A68" w:rsidRPr="00BB1A68" w:rsidRDefault="00BB1A68" w:rsidP="00BB1A68">
      <w:pPr>
        <w:widowControl w:val="0"/>
        <w:numPr>
          <w:ilvl w:val="1"/>
          <w:numId w:val="2"/>
        </w:numPr>
        <w:spacing w:after="0" w:line="240" w:lineRule="auto"/>
        <w:rPr>
          <w:rFonts w:ascii="Times New Roman" w:eastAsia="Times New Roman" w:hAnsi="Times New Roman" w:cs="Times New Roman"/>
          <w:snapToGrid w:val="0"/>
          <w:sz w:val="24"/>
          <w:szCs w:val="20"/>
        </w:rPr>
      </w:pPr>
      <w:r w:rsidRPr="00BB1A68">
        <w:rPr>
          <w:rFonts w:ascii="Times New Roman" w:eastAsia="Times New Roman" w:hAnsi="Times New Roman" w:cs="Times New Roman"/>
          <w:snapToGrid w:val="0"/>
          <w:sz w:val="24"/>
          <w:szCs w:val="20"/>
        </w:rPr>
        <w:t>17 offerings per year for the OCC (13%);</w:t>
      </w:r>
    </w:p>
    <w:p w:rsidR="00BB1A68" w:rsidRDefault="00BB1A68" w:rsidP="00BB1A68">
      <w:pPr>
        <w:widowControl w:val="0"/>
        <w:numPr>
          <w:ilvl w:val="1"/>
          <w:numId w:val="2"/>
        </w:numPr>
        <w:spacing w:after="0" w:line="240" w:lineRule="auto"/>
        <w:rPr>
          <w:rFonts w:ascii="Times New Roman" w:eastAsia="Times New Roman" w:hAnsi="Times New Roman" w:cs="Times New Roman"/>
          <w:snapToGrid w:val="0"/>
          <w:sz w:val="24"/>
          <w:szCs w:val="20"/>
        </w:rPr>
      </w:pPr>
      <w:r w:rsidRPr="00BB1A68">
        <w:rPr>
          <w:rFonts w:ascii="Times New Roman" w:eastAsia="Times New Roman" w:hAnsi="Times New Roman" w:cs="Times New Roman"/>
          <w:snapToGrid w:val="0"/>
          <w:sz w:val="24"/>
          <w:szCs w:val="20"/>
        </w:rPr>
        <w:t>88 offerings per year for the Commission (67%).</w:t>
      </w:r>
    </w:p>
    <w:p w:rsidR="000337D5" w:rsidRPr="00BB1A68" w:rsidRDefault="000337D5" w:rsidP="000337D5">
      <w:pPr>
        <w:widowControl w:val="0"/>
        <w:spacing w:after="0" w:line="240" w:lineRule="auto"/>
        <w:ind w:left="1080"/>
        <w:rPr>
          <w:rFonts w:ascii="Times New Roman" w:eastAsia="Times New Roman" w:hAnsi="Times New Roman" w:cs="Times New Roman"/>
          <w:snapToGrid w:val="0"/>
          <w:sz w:val="24"/>
          <w:szCs w:val="20"/>
        </w:rPr>
      </w:pPr>
    </w:p>
    <w:p w:rsidR="00BB1A68" w:rsidRPr="00BB1A68" w:rsidRDefault="00BB1A68" w:rsidP="000337D5">
      <w:pPr>
        <w:widowControl w:val="0"/>
        <w:numPr>
          <w:ilvl w:val="0"/>
          <w:numId w:val="2"/>
        </w:numPr>
        <w:spacing w:after="120" w:line="240" w:lineRule="auto"/>
        <w:rPr>
          <w:rFonts w:ascii="Times New Roman" w:eastAsia="Times New Roman" w:hAnsi="Times New Roman" w:cs="Times New Roman"/>
          <w:snapToGrid w:val="0"/>
          <w:sz w:val="24"/>
          <w:szCs w:val="20"/>
        </w:rPr>
      </w:pPr>
      <w:r w:rsidRPr="00BB1A68">
        <w:rPr>
          <w:rFonts w:ascii="Times New Roman" w:eastAsia="Times New Roman" w:hAnsi="Times New Roman" w:cs="Times New Roman"/>
          <w:snapToGrid w:val="0"/>
          <w:sz w:val="24"/>
          <w:szCs w:val="20"/>
        </w:rPr>
        <w:t xml:space="preserve"> Of these 132 offerings per year, 44 offerings per year will be subject to </w:t>
      </w:r>
      <w:r w:rsidRPr="00BB1A68">
        <w:rPr>
          <w:rFonts w:ascii="Times New Roman" w:eastAsia="Times New Roman" w:hAnsi="Times New Roman" w:cs="Times New Roman"/>
          <w:snapToGrid w:val="0"/>
          <w:sz w:val="24"/>
          <w:szCs w:val="20"/>
          <w:u w:val="single"/>
        </w:rPr>
        <w:t>disclosure and recordkeeping</w:t>
      </w:r>
      <w:r w:rsidRPr="00BB1A68">
        <w:rPr>
          <w:rFonts w:ascii="Times New Roman" w:eastAsia="Times New Roman" w:hAnsi="Times New Roman" w:cs="Times New Roman"/>
          <w:snapToGrid w:val="0"/>
          <w:sz w:val="24"/>
          <w:szCs w:val="20"/>
        </w:rPr>
        <w:t xml:space="preserve"> requirements under §§</w:t>
      </w:r>
      <w:r w:rsidR="00C03D32">
        <w:rPr>
          <w:rFonts w:ascii="Times New Roman" w:eastAsia="Times New Roman" w:hAnsi="Times New Roman" w:cs="Times New Roman"/>
          <w:snapToGrid w:val="0"/>
          <w:sz w:val="24"/>
          <w:szCs w:val="20"/>
        </w:rPr>
        <w:t>373.</w:t>
      </w:r>
      <w:r w:rsidRPr="00BB1A68">
        <w:rPr>
          <w:rFonts w:ascii="Times New Roman" w:eastAsia="Times New Roman" w:hAnsi="Times New Roman" w:cs="Times New Roman"/>
          <w:snapToGrid w:val="0"/>
          <w:sz w:val="24"/>
          <w:szCs w:val="20"/>
        </w:rPr>
        <w:t xml:space="preserve">16, </w:t>
      </w:r>
      <w:r w:rsidR="00C03D32">
        <w:rPr>
          <w:rFonts w:ascii="Times New Roman" w:eastAsia="Times New Roman" w:hAnsi="Times New Roman" w:cs="Times New Roman"/>
          <w:snapToGrid w:val="0"/>
          <w:sz w:val="24"/>
          <w:szCs w:val="20"/>
        </w:rPr>
        <w:t>373.</w:t>
      </w:r>
      <w:r w:rsidRPr="00BB1A68">
        <w:rPr>
          <w:rFonts w:ascii="Times New Roman" w:eastAsia="Times New Roman" w:hAnsi="Times New Roman" w:cs="Times New Roman"/>
          <w:snapToGrid w:val="0"/>
          <w:sz w:val="24"/>
          <w:szCs w:val="20"/>
        </w:rPr>
        <w:t xml:space="preserve">17, and </w:t>
      </w:r>
      <w:r w:rsidR="00C03D32">
        <w:rPr>
          <w:rFonts w:ascii="Times New Roman" w:eastAsia="Times New Roman" w:hAnsi="Times New Roman" w:cs="Times New Roman"/>
          <w:snapToGrid w:val="0"/>
          <w:sz w:val="24"/>
          <w:szCs w:val="20"/>
        </w:rPr>
        <w:t>373.</w:t>
      </w:r>
      <w:r w:rsidRPr="00BB1A68">
        <w:rPr>
          <w:rFonts w:ascii="Times New Roman" w:eastAsia="Times New Roman" w:hAnsi="Times New Roman" w:cs="Times New Roman"/>
          <w:snapToGrid w:val="0"/>
          <w:sz w:val="24"/>
          <w:szCs w:val="20"/>
        </w:rPr>
        <w:t>18, respectively, which are divided proportionately among the agencies based on the entity percentages described above:</w:t>
      </w:r>
    </w:p>
    <w:p w:rsidR="00BB1A68" w:rsidRPr="00BB1A68" w:rsidRDefault="00BB1A68" w:rsidP="00BB1A68">
      <w:pPr>
        <w:widowControl w:val="0"/>
        <w:numPr>
          <w:ilvl w:val="1"/>
          <w:numId w:val="2"/>
        </w:numPr>
        <w:spacing w:after="0" w:line="240" w:lineRule="auto"/>
        <w:rPr>
          <w:rFonts w:ascii="Times New Roman" w:eastAsia="Times New Roman" w:hAnsi="Times New Roman" w:cs="Times New Roman"/>
          <w:snapToGrid w:val="0"/>
          <w:sz w:val="24"/>
          <w:szCs w:val="20"/>
        </w:rPr>
      </w:pPr>
      <w:r w:rsidRPr="00BB1A68">
        <w:rPr>
          <w:rFonts w:ascii="Times New Roman" w:eastAsia="Times New Roman" w:hAnsi="Times New Roman" w:cs="Times New Roman"/>
          <w:snapToGrid w:val="0"/>
          <w:sz w:val="24"/>
          <w:szCs w:val="20"/>
        </w:rPr>
        <w:t>4 offerings per year for each section for the Board (8%);</w:t>
      </w:r>
    </w:p>
    <w:p w:rsidR="00BB1A68" w:rsidRPr="00BB1A68" w:rsidRDefault="00BB1A68" w:rsidP="00BB1A68">
      <w:pPr>
        <w:widowControl w:val="0"/>
        <w:numPr>
          <w:ilvl w:val="1"/>
          <w:numId w:val="2"/>
        </w:numPr>
        <w:spacing w:after="0" w:line="240" w:lineRule="auto"/>
        <w:rPr>
          <w:rFonts w:ascii="Times New Roman" w:eastAsia="Times New Roman" w:hAnsi="Times New Roman" w:cs="Times New Roman"/>
          <w:snapToGrid w:val="0"/>
          <w:sz w:val="24"/>
          <w:szCs w:val="20"/>
        </w:rPr>
      </w:pPr>
      <w:r w:rsidRPr="0024436C">
        <w:rPr>
          <w:rFonts w:ascii="Times New Roman" w:eastAsia="Times New Roman" w:hAnsi="Times New Roman" w:cs="Times New Roman"/>
          <w:snapToGrid w:val="0"/>
          <w:sz w:val="24"/>
          <w:szCs w:val="20"/>
          <w:u w:val="single"/>
        </w:rPr>
        <w:t>6 offerings per year for each section for the FDIC (12%)</w:t>
      </w:r>
      <w:r w:rsidRPr="00BB1A68">
        <w:rPr>
          <w:rFonts w:ascii="Times New Roman" w:eastAsia="Times New Roman" w:hAnsi="Times New Roman" w:cs="Times New Roman"/>
          <w:snapToGrid w:val="0"/>
          <w:sz w:val="24"/>
          <w:szCs w:val="20"/>
        </w:rPr>
        <w:t>;</w:t>
      </w:r>
    </w:p>
    <w:p w:rsidR="00BB1A68" w:rsidRPr="00BB1A68" w:rsidRDefault="00BB1A68" w:rsidP="00BB1A68">
      <w:pPr>
        <w:widowControl w:val="0"/>
        <w:numPr>
          <w:ilvl w:val="1"/>
          <w:numId w:val="2"/>
        </w:numPr>
        <w:spacing w:after="0" w:line="240" w:lineRule="auto"/>
        <w:rPr>
          <w:rFonts w:ascii="Times New Roman" w:eastAsia="Times New Roman" w:hAnsi="Times New Roman" w:cs="Times New Roman"/>
          <w:snapToGrid w:val="0"/>
          <w:sz w:val="24"/>
          <w:szCs w:val="20"/>
        </w:rPr>
      </w:pPr>
      <w:r w:rsidRPr="00BB1A68">
        <w:rPr>
          <w:rFonts w:ascii="Times New Roman" w:eastAsia="Times New Roman" w:hAnsi="Times New Roman" w:cs="Times New Roman"/>
          <w:snapToGrid w:val="0"/>
          <w:sz w:val="24"/>
          <w:szCs w:val="20"/>
        </w:rPr>
        <w:t>6 offerings per year for each section for the OCC (13%);</w:t>
      </w:r>
    </w:p>
    <w:p w:rsidR="00BB1A68" w:rsidRDefault="00BB1A68" w:rsidP="00BB1A68">
      <w:pPr>
        <w:widowControl w:val="0"/>
        <w:numPr>
          <w:ilvl w:val="1"/>
          <w:numId w:val="2"/>
        </w:numPr>
        <w:spacing w:after="0" w:line="240" w:lineRule="auto"/>
        <w:rPr>
          <w:rFonts w:ascii="Times New Roman" w:eastAsia="Times New Roman" w:hAnsi="Times New Roman" w:cs="Times New Roman"/>
          <w:snapToGrid w:val="0"/>
          <w:sz w:val="24"/>
          <w:szCs w:val="20"/>
        </w:rPr>
      </w:pPr>
      <w:r w:rsidRPr="00BB1A68">
        <w:rPr>
          <w:rFonts w:ascii="Times New Roman" w:eastAsia="Times New Roman" w:hAnsi="Times New Roman" w:cs="Times New Roman"/>
          <w:snapToGrid w:val="0"/>
          <w:sz w:val="24"/>
          <w:szCs w:val="20"/>
        </w:rPr>
        <w:t>29 offerings per year for each section for the Commission (67%).</w:t>
      </w:r>
    </w:p>
    <w:p w:rsidR="004C5D93" w:rsidRPr="00BB1A68" w:rsidRDefault="004C5D93" w:rsidP="000337D5">
      <w:pPr>
        <w:widowControl w:val="0"/>
        <w:spacing w:after="0" w:line="240" w:lineRule="auto"/>
        <w:ind w:left="1080"/>
        <w:rPr>
          <w:rFonts w:ascii="Times New Roman" w:eastAsia="Times New Roman" w:hAnsi="Times New Roman" w:cs="Times New Roman"/>
          <w:snapToGrid w:val="0"/>
          <w:sz w:val="24"/>
          <w:szCs w:val="20"/>
        </w:rPr>
      </w:pPr>
    </w:p>
    <w:p w:rsidR="00BB1A68" w:rsidRPr="00BB1A68" w:rsidRDefault="00BB1A68" w:rsidP="00BB1A68">
      <w:pPr>
        <w:widowControl w:val="0"/>
        <w:spacing w:after="0" w:line="240" w:lineRule="auto"/>
        <w:rPr>
          <w:rFonts w:ascii="Times New Roman" w:eastAsia="Times New Roman" w:hAnsi="Times New Roman" w:cs="Times New Roman"/>
          <w:snapToGrid w:val="0"/>
          <w:sz w:val="24"/>
          <w:szCs w:val="20"/>
        </w:rPr>
      </w:pPr>
      <w:r w:rsidRPr="00BB1A68">
        <w:rPr>
          <w:rFonts w:ascii="Times New Roman" w:eastAsia="Times New Roman" w:hAnsi="Times New Roman" w:cs="Times New Roman"/>
          <w:snapToGrid w:val="0"/>
          <w:sz w:val="24"/>
          <w:szCs w:val="20"/>
        </w:rPr>
        <w:t>To obtain the estimated number of responses (equal to the number of offerings) for each option in subpart B of the rule, FDIC multiplied the number of offerings estimated to be subject to the base risk retention requirements (</w:t>
      </w:r>
      <w:r w:rsidRPr="00BB1A68">
        <w:rPr>
          <w:rFonts w:ascii="Times New Roman" w:eastAsia="Times New Roman" w:hAnsi="Times New Roman" w:cs="Times New Roman"/>
          <w:i/>
          <w:snapToGrid w:val="0"/>
          <w:sz w:val="24"/>
          <w:szCs w:val="20"/>
        </w:rPr>
        <w:t>i.e</w:t>
      </w:r>
      <w:r w:rsidRPr="00BB1A68">
        <w:rPr>
          <w:rFonts w:ascii="Times New Roman" w:eastAsia="Times New Roman" w:hAnsi="Times New Roman" w:cs="Times New Roman"/>
          <w:snapToGrid w:val="0"/>
          <w:sz w:val="24"/>
          <w:szCs w:val="20"/>
          <w:u w:val="single"/>
        </w:rPr>
        <w:t>.</w:t>
      </w:r>
      <w:r w:rsidRPr="00BB1A68">
        <w:rPr>
          <w:rFonts w:ascii="Times New Roman" w:eastAsia="Times New Roman" w:hAnsi="Times New Roman" w:cs="Times New Roman"/>
          <w:snapToGrid w:val="0"/>
          <w:sz w:val="24"/>
          <w:szCs w:val="20"/>
        </w:rPr>
        <w:t>, 1,158)</w:t>
      </w:r>
      <w:r w:rsidRPr="00BB1A68">
        <w:rPr>
          <w:rFonts w:ascii="Times New Roman" w:eastAsia="Times New Roman" w:hAnsi="Times New Roman" w:cs="Times New Roman"/>
          <w:snapToGrid w:val="0"/>
          <w:sz w:val="24"/>
          <w:szCs w:val="20"/>
          <w:vertAlign w:val="superscript"/>
        </w:rPr>
        <w:footnoteReference w:id="4"/>
      </w:r>
      <w:r w:rsidRPr="00BB1A68">
        <w:rPr>
          <w:rFonts w:ascii="Times New Roman" w:eastAsia="Times New Roman" w:hAnsi="Times New Roman" w:cs="Times New Roman"/>
          <w:snapToGrid w:val="0"/>
          <w:sz w:val="24"/>
          <w:szCs w:val="20"/>
        </w:rPr>
        <w:t xml:space="preserve"> by the sponsor percentages described above.  The result is the number of base risk retention offerings per year per agency.  For the FDIC, this was calculated by multiplying 1,158 offerings per year by 12 percent, which equals 139 offerings per year. This number was then divided by the number of base risk retention options under subpart B of the rule (</w:t>
      </w:r>
      <w:r w:rsidRPr="00BB1A68">
        <w:rPr>
          <w:rFonts w:ascii="Times New Roman" w:eastAsia="Times New Roman" w:hAnsi="Times New Roman" w:cs="Times New Roman"/>
          <w:i/>
          <w:snapToGrid w:val="0"/>
          <w:sz w:val="24"/>
          <w:szCs w:val="20"/>
        </w:rPr>
        <w:t>i.e.</w:t>
      </w:r>
      <w:r w:rsidRPr="00BB1A68">
        <w:rPr>
          <w:rFonts w:ascii="Times New Roman" w:eastAsia="Times New Roman" w:hAnsi="Times New Roman" w:cs="Times New Roman"/>
          <w:snapToGrid w:val="0"/>
          <w:sz w:val="24"/>
          <w:szCs w:val="20"/>
        </w:rPr>
        <w:t>, nine)</w:t>
      </w:r>
      <w:r w:rsidRPr="00BB1A68">
        <w:rPr>
          <w:rFonts w:ascii="Times New Roman" w:eastAsia="Times New Roman" w:hAnsi="Times New Roman" w:cs="Times New Roman"/>
          <w:snapToGrid w:val="0"/>
          <w:sz w:val="24"/>
          <w:szCs w:val="20"/>
          <w:vertAlign w:val="superscript"/>
        </w:rPr>
        <w:footnoteReference w:id="5"/>
      </w:r>
      <w:r w:rsidRPr="00BB1A68">
        <w:rPr>
          <w:rFonts w:ascii="Times New Roman" w:eastAsia="Times New Roman" w:hAnsi="Times New Roman" w:cs="Times New Roman"/>
          <w:snapToGrid w:val="0"/>
          <w:sz w:val="24"/>
          <w:szCs w:val="20"/>
        </w:rPr>
        <w:t xml:space="preserve"> to arrive at the estimate of the number of offerings per year per agency per base risk retention option.  For the FDIC, this was calculated by dividing 139 offerings per year by nine options, resulting in 15 offerings per year per base risk retention option.</w:t>
      </w:r>
    </w:p>
    <w:p w:rsidR="00BB1A68" w:rsidRPr="00BB1A68" w:rsidRDefault="00BB1A68" w:rsidP="00BB1A68">
      <w:pPr>
        <w:widowControl w:val="0"/>
        <w:spacing w:after="0" w:line="240" w:lineRule="auto"/>
        <w:rPr>
          <w:rFonts w:ascii="Times New Roman" w:eastAsia="Times New Roman" w:hAnsi="Times New Roman" w:cs="Times New Roman"/>
          <w:snapToGrid w:val="0"/>
          <w:sz w:val="24"/>
          <w:szCs w:val="20"/>
        </w:rPr>
      </w:pPr>
    </w:p>
    <w:p w:rsidR="00BB1A68" w:rsidRPr="00BB1A68" w:rsidRDefault="00BB1A68" w:rsidP="00BB1A68">
      <w:pPr>
        <w:widowControl w:val="0"/>
        <w:spacing w:after="0" w:line="240" w:lineRule="auto"/>
        <w:rPr>
          <w:rFonts w:ascii="Times New Roman" w:eastAsia="Times New Roman" w:hAnsi="Times New Roman" w:cs="Times New Roman"/>
          <w:snapToGrid w:val="0"/>
          <w:sz w:val="24"/>
          <w:szCs w:val="20"/>
        </w:rPr>
      </w:pPr>
      <w:r w:rsidRPr="00BB1A68">
        <w:rPr>
          <w:rFonts w:ascii="Times New Roman" w:eastAsia="Times New Roman" w:hAnsi="Times New Roman" w:cs="Times New Roman"/>
          <w:snapToGrid w:val="0"/>
          <w:sz w:val="24"/>
          <w:szCs w:val="20"/>
        </w:rPr>
        <w:t xml:space="preserve">The </w:t>
      </w:r>
      <w:r w:rsidR="000337D5">
        <w:rPr>
          <w:rFonts w:ascii="Times New Roman" w:eastAsia="Times New Roman" w:hAnsi="Times New Roman" w:cs="Times New Roman"/>
          <w:snapToGrid w:val="0"/>
          <w:sz w:val="24"/>
          <w:szCs w:val="20"/>
        </w:rPr>
        <w:t>agencies assume that</w:t>
      </w:r>
      <w:r w:rsidRPr="00BB1A68">
        <w:rPr>
          <w:rFonts w:ascii="Times New Roman" w:eastAsia="Times New Roman" w:hAnsi="Times New Roman" w:cs="Times New Roman"/>
          <w:snapToGrid w:val="0"/>
          <w:sz w:val="24"/>
          <w:szCs w:val="20"/>
        </w:rPr>
        <w:t xml:space="preserve"> 90% of institutions use the vertical interest form of risk retention while the remaining 10% use the combined vertical and horizontal form of risk retention. The burden tables above use </w:t>
      </w:r>
      <w:r w:rsidR="000337D5">
        <w:rPr>
          <w:rFonts w:ascii="Times New Roman" w:eastAsia="Times New Roman" w:hAnsi="Times New Roman" w:cs="Times New Roman"/>
          <w:snapToGrid w:val="0"/>
          <w:sz w:val="24"/>
          <w:szCs w:val="20"/>
        </w:rPr>
        <w:t>this</w:t>
      </w:r>
      <w:r w:rsidRPr="00BB1A68">
        <w:rPr>
          <w:rFonts w:ascii="Times New Roman" w:eastAsia="Times New Roman" w:hAnsi="Times New Roman" w:cs="Times New Roman"/>
          <w:snapToGrid w:val="0"/>
          <w:sz w:val="24"/>
          <w:szCs w:val="20"/>
        </w:rPr>
        <w:t xml:space="preserve"> allocation and of the 45 responses attributed to §373.4, we are allocating 40 (90%) to the vertical form of risk retention and 5 (10%) to the other two options (1 response to the horizontal form of risk retention and 4 responses to the combined vertical and horizontal form of risk retention.</w:t>
      </w:r>
    </w:p>
    <w:p w:rsidR="00BB1A68" w:rsidRPr="00BB1A68" w:rsidRDefault="00BB1A68" w:rsidP="00BB1A68">
      <w:pPr>
        <w:widowControl w:val="0"/>
        <w:spacing w:after="0" w:line="240" w:lineRule="auto"/>
        <w:rPr>
          <w:rFonts w:ascii="Times New Roman" w:eastAsia="Times New Roman" w:hAnsi="Times New Roman" w:cs="Times New Roman"/>
          <w:snapToGrid w:val="0"/>
          <w:sz w:val="24"/>
          <w:szCs w:val="20"/>
        </w:rPr>
      </w:pPr>
    </w:p>
    <w:p w:rsidR="00FC311C" w:rsidRPr="00FC311C" w:rsidRDefault="00BB1A68" w:rsidP="00BB1A68">
      <w:pPr>
        <w:widowControl w:val="0"/>
        <w:spacing w:after="0" w:line="240" w:lineRule="auto"/>
        <w:rPr>
          <w:rFonts w:ascii="Times New Roman" w:eastAsia="Times New Roman" w:hAnsi="Times New Roman" w:cs="Times New Roman"/>
          <w:snapToGrid w:val="0"/>
          <w:sz w:val="24"/>
          <w:szCs w:val="20"/>
        </w:rPr>
      </w:pPr>
      <w:r w:rsidRPr="00BB1A68">
        <w:rPr>
          <w:rFonts w:ascii="Times New Roman" w:eastAsia="Times New Roman" w:hAnsi="Times New Roman" w:cs="Times New Roman"/>
          <w:snapToGrid w:val="0"/>
          <w:sz w:val="24"/>
          <w:szCs w:val="20"/>
        </w:rPr>
        <w:t>The total estimated annual burden was then calculated by multiplying the number of offerings per year per section by the number of burden hours estimated for the respective section, then adding these subtotals together.  For example, under §373.10, the FDIC multiplied the estimated number of offerings per year for §373.10 (</w:t>
      </w:r>
      <w:r w:rsidRPr="00BB1A68">
        <w:rPr>
          <w:rFonts w:ascii="Times New Roman" w:eastAsia="Times New Roman" w:hAnsi="Times New Roman" w:cs="Times New Roman"/>
          <w:i/>
          <w:snapToGrid w:val="0"/>
          <w:sz w:val="24"/>
          <w:szCs w:val="20"/>
        </w:rPr>
        <w:t>i.e.</w:t>
      </w:r>
      <w:r w:rsidRPr="00BB1A68">
        <w:rPr>
          <w:rFonts w:ascii="Times New Roman" w:eastAsia="Times New Roman" w:hAnsi="Times New Roman" w:cs="Times New Roman"/>
          <w:snapToGrid w:val="0"/>
          <w:sz w:val="24"/>
          <w:szCs w:val="20"/>
        </w:rPr>
        <w:t>, 15 offerings per year) by the estimated annual frequency of the response for §373.10 of one response, and then by the disclosure burden hour estimate for §373.10 of 6.0 hours.  Thus, the estimated annual burden hours for respondents to which the FDIC accounts for the disclosure burden hours under §373.10 is 90 hours (15 * 1 * 6.0 hours = 90 hours).</w:t>
      </w: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
    <w:p w:rsidR="00FC311C" w:rsidRPr="00FC311C" w:rsidRDefault="00FC311C" w:rsidP="00FC311C">
      <w:pPr>
        <w:keepNext/>
        <w:widowControl w:val="0"/>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 xml:space="preserve">The following chart depicts the estimated total annual burden for FDIC allocated sponsors.  </w:t>
      </w:r>
    </w:p>
    <w:p w:rsidR="00FC311C" w:rsidRPr="00FC311C" w:rsidRDefault="00FC311C" w:rsidP="00FC311C">
      <w:pPr>
        <w:keepNext/>
        <w:widowControl w:val="0"/>
        <w:spacing w:after="0" w:line="240" w:lineRule="auto"/>
        <w:rPr>
          <w:rFonts w:ascii="Times New Roman" w:eastAsia="Times New Roman" w:hAnsi="Times New Roman" w:cs="Times New Roman"/>
          <w:snapToGrid w:val="0"/>
          <w:sz w:val="24"/>
          <w:szCs w:val="20"/>
        </w:rPr>
      </w:pPr>
    </w:p>
    <w:tbl>
      <w:tblPr>
        <w:tblStyle w:val="TableGrid2"/>
        <w:tblW w:w="0" w:type="auto"/>
        <w:tblLook w:val="04A0" w:firstRow="1" w:lastRow="0" w:firstColumn="1" w:lastColumn="0" w:noHBand="0" w:noVBand="1"/>
      </w:tblPr>
      <w:tblGrid>
        <w:gridCol w:w="3978"/>
        <w:gridCol w:w="1350"/>
        <w:gridCol w:w="1170"/>
        <w:gridCol w:w="1620"/>
        <w:gridCol w:w="1458"/>
      </w:tblGrid>
      <w:tr w:rsidR="00EB249F" w:rsidRPr="00EB249F" w:rsidTr="006D35B9">
        <w:tc>
          <w:tcPr>
            <w:tcW w:w="9576" w:type="dxa"/>
            <w:gridSpan w:val="5"/>
            <w:vAlign w:val="center"/>
          </w:tcPr>
          <w:p w:rsidR="00EB249F" w:rsidRPr="00EB249F" w:rsidRDefault="00EB249F" w:rsidP="00EB249F">
            <w:pPr>
              <w:jc w:val="center"/>
              <w:rPr>
                <w:sz w:val="28"/>
                <w:szCs w:val="28"/>
              </w:rPr>
            </w:pPr>
            <w:r w:rsidRPr="00EB249F">
              <w:rPr>
                <w:sz w:val="28"/>
                <w:szCs w:val="28"/>
              </w:rPr>
              <w:t>Disclosure Burden</w:t>
            </w:r>
          </w:p>
        </w:tc>
      </w:tr>
      <w:tr w:rsidR="00EB249F" w:rsidRPr="00EB249F" w:rsidTr="006D35B9">
        <w:tc>
          <w:tcPr>
            <w:tcW w:w="3978" w:type="dxa"/>
          </w:tcPr>
          <w:p w:rsidR="00EB249F" w:rsidRPr="00EB249F" w:rsidRDefault="00EB249F" w:rsidP="00EB249F"/>
        </w:tc>
        <w:tc>
          <w:tcPr>
            <w:tcW w:w="1350" w:type="dxa"/>
          </w:tcPr>
          <w:p w:rsidR="00EB249F" w:rsidRPr="00EB249F" w:rsidRDefault="00EB249F" w:rsidP="00EB249F">
            <w:pPr>
              <w:jc w:val="center"/>
            </w:pPr>
            <w:r w:rsidRPr="00EB249F">
              <w:t>Estimated No. of Offerings</w:t>
            </w:r>
          </w:p>
        </w:tc>
        <w:tc>
          <w:tcPr>
            <w:tcW w:w="1170" w:type="dxa"/>
          </w:tcPr>
          <w:p w:rsidR="00EB249F" w:rsidRPr="00EB249F" w:rsidRDefault="00EB249F" w:rsidP="00EB249F">
            <w:pPr>
              <w:jc w:val="center"/>
            </w:pPr>
            <w:r w:rsidRPr="00EB249F">
              <w:t>Estimated Annual Frequency</w:t>
            </w:r>
          </w:p>
        </w:tc>
        <w:tc>
          <w:tcPr>
            <w:tcW w:w="1620" w:type="dxa"/>
          </w:tcPr>
          <w:p w:rsidR="00EB249F" w:rsidRPr="00EB249F" w:rsidRDefault="00EB249F" w:rsidP="00EB249F">
            <w:pPr>
              <w:jc w:val="center"/>
            </w:pPr>
            <w:r w:rsidRPr="00EB249F">
              <w:t>Estimated Average Hours per Response</w:t>
            </w:r>
          </w:p>
        </w:tc>
        <w:tc>
          <w:tcPr>
            <w:tcW w:w="1458" w:type="dxa"/>
          </w:tcPr>
          <w:p w:rsidR="00EB249F" w:rsidRPr="00EB249F" w:rsidRDefault="00EB249F" w:rsidP="00EB249F">
            <w:pPr>
              <w:jc w:val="center"/>
            </w:pPr>
            <w:r w:rsidRPr="00EB249F">
              <w:t>Estimated Annual Burden Hours</w:t>
            </w:r>
          </w:p>
        </w:tc>
      </w:tr>
      <w:tr w:rsidR="00EB249F" w:rsidRPr="00EB249F" w:rsidTr="006D35B9">
        <w:tc>
          <w:tcPr>
            <w:tcW w:w="3978" w:type="dxa"/>
          </w:tcPr>
          <w:p w:rsidR="00EB249F" w:rsidRPr="00EB249F" w:rsidRDefault="00EB249F" w:rsidP="00EB249F">
            <w:r w:rsidRPr="00EB249F">
              <w:t>Subpart B</w:t>
            </w:r>
          </w:p>
        </w:tc>
        <w:tc>
          <w:tcPr>
            <w:tcW w:w="1350" w:type="dxa"/>
            <w:vAlign w:val="center"/>
          </w:tcPr>
          <w:p w:rsidR="00EB249F" w:rsidRPr="00EB249F" w:rsidRDefault="00EB249F" w:rsidP="00EB249F">
            <w:pPr>
              <w:jc w:val="center"/>
            </w:pPr>
          </w:p>
        </w:tc>
        <w:tc>
          <w:tcPr>
            <w:tcW w:w="1170" w:type="dxa"/>
            <w:vAlign w:val="center"/>
          </w:tcPr>
          <w:p w:rsidR="00EB249F" w:rsidRPr="00EB249F" w:rsidRDefault="00EB249F" w:rsidP="00EB249F">
            <w:pPr>
              <w:jc w:val="center"/>
            </w:pPr>
          </w:p>
        </w:tc>
        <w:tc>
          <w:tcPr>
            <w:tcW w:w="1620" w:type="dxa"/>
            <w:vAlign w:val="center"/>
          </w:tcPr>
          <w:p w:rsidR="00EB249F" w:rsidRPr="00EB249F" w:rsidRDefault="00EB249F" w:rsidP="00EB249F">
            <w:pPr>
              <w:jc w:val="center"/>
            </w:pPr>
          </w:p>
        </w:tc>
        <w:tc>
          <w:tcPr>
            <w:tcW w:w="1458" w:type="dxa"/>
            <w:vAlign w:val="center"/>
          </w:tcPr>
          <w:p w:rsidR="00EB249F" w:rsidRPr="00EB249F" w:rsidRDefault="00EB249F" w:rsidP="00EB249F">
            <w:pPr>
              <w:jc w:val="center"/>
            </w:pPr>
          </w:p>
        </w:tc>
      </w:tr>
      <w:tr w:rsidR="00EB249F" w:rsidRPr="00EB249F" w:rsidTr="006D35B9">
        <w:tc>
          <w:tcPr>
            <w:tcW w:w="3978" w:type="dxa"/>
          </w:tcPr>
          <w:p w:rsidR="00EB249F" w:rsidRPr="00EB249F" w:rsidRDefault="00EB249F" w:rsidP="00EB249F">
            <w:r w:rsidRPr="00EB249F">
              <w:t>§373.4 Standard Risk Retention – Horizontal Interest</w:t>
            </w:r>
          </w:p>
        </w:tc>
        <w:tc>
          <w:tcPr>
            <w:tcW w:w="1350" w:type="dxa"/>
            <w:vAlign w:val="center"/>
          </w:tcPr>
          <w:p w:rsidR="00EB249F" w:rsidRPr="00EB249F" w:rsidRDefault="00EB249F" w:rsidP="00EB249F">
            <w:pPr>
              <w:jc w:val="center"/>
            </w:pPr>
            <w:r w:rsidRPr="00EB249F">
              <w:t>1</w:t>
            </w:r>
          </w:p>
        </w:tc>
        <w:tc>
          <w:tcPr>
            <w:tcW w:w="1170" w:type="dxa"/>
            <w:vAlign w:val="center"/>
          </w:tcPr>
          <w:p w:rsidR="00EB249F" w:rsidRPr="00EB249F" w:rsidRDefault="00EB249F" w:rsidP="00EB249F">
            <w:pPr>
              <w:jc w:val="center"/>
            </w:pPr>
            <w:r w:rsidRPr="00EB249F">
              <w:t>1</w:t>
            </w:r>
          </w:p>
        </w:tc>
        <w:tc>
          <w:tcPr>
            <w:tcW w:w="1620" w:type="dxa"/>
            <w:vAlign w:val="center"/>
          </w:tcPr>
          <w:p w:rsidR="00EB249F" w:rsidRPr="00EB249F" w:rsidRDefault="00EB249F" w:rsidP="00EB249F">
            <w:pPr>
              <w:jc w:val="center"/>
            </w:pPr>
            <w:r w:rsidRPr="00EB249F">
              <w:t>5.5</w:t>
            </w:r>
          </w:p>
        </w:tc>
        <w:tc>
          <w:tcPr>
            <w:tcW w:w="1458" w:type="dxa"/>
            <w:vAlign w:val="center"/>
          </w:tcPr>
          <w:p w:rsidR="00EB249F" w:rsidRPr="00EB249F" w:rsidRDefault="00EB249F" w:rsidP="00EB249F">
            <w:pPr>
              <w:jc w:val="center"/>
            </w:pPr>
            <w:r w:rsidRPr="00EB249F">
              <w:t>5.5</w:t>
            </w:r>
          </w:p>
        </w:tc>
      </w:tr>
      <w:tr w:rsidR="00EB249F" w:rsidRPr="00EB249F" w:rsidTr="006D35B9">
        <w:tc>
          <w:tcPr>
            <w:tcW w:w="3978" w:type="dxa"/>
          </w:tcPr>
          <w:p w:rsidR="00EB249F" w:rsidRPr="00EB249F" w:rsidRDefault="00EB249F" w:rsidP="00EB249F">
            <w:r w:rsidRPr="00EB249F">
              <w:t>§373.4 Standard Risk Retention – Vertical Interest</w:t>
            </w:r>
          </w:p>
        </w:tc>
        <w:tc>
          <w:tcPr>
            <w:tcW w:w="1350" w:type="dxa"/>
            <w:vAlign w:val="center"/>
          </w:tcPr>
          <w:p w:rsidR="00EB249F" w:rsidRPr="00EB249F" w:rsidRDefault="00EB249F" w:rsidP="00EB249F">
            <w:pPr>
              <w:jc w:val="center"/>
            </w:pPr>
            <w:r w:rsidRPr="00EB249F">
              <w:t>40</w:t>
            </w:r>
          </w:p>
        </w:tc>
        <w:tc>
          <w:tcPr>
            <w:tcW w:w="1170" w:type="dxa"/>
            <w:vAlign w:val="center"/>
          </w:tcPr>
          <w:p w:rsidR="00EB249F" w:rsidRPr="00EB249F" w:rsidRDefault="00EB249F" w:rsidP="00EB249F">
            <w:pPr>
              <w:jc w:val="center"/>
            </w:pPr>
            <w:r w:rsidRPr="00EB249F">
              <w:t>1</w:t>
            </w:r>
          </w:p>
        </w:tc>
        <w:tc>
          <w:tcPr>
            <w:tcW w:w="1620" w:type="dxa"/>
            <w:vAlign w:val="center"/>
          </w:tcPr>
          <w:p w:rsidR="00EB249F" w:rsidRPr="00EB249F" w:rsidRDefault="00EB249F" w:rsidP="00EB249F">
            <w:pPr>
              <w:jc w:val="center"/>
            </w:pPr>
            <w:r w:rsidRPr="00EB249F">
              <w:t>2.0</w:t>
            </w:r>
          </w:p>
        </w:tc>
        <w:tc>
          <w:tcPr>
            <w:tcW w:w="1458" w:type="dxa"/>
            <w:vAlign w:val="center"/>
          </w:tcPr>
          <w:p w:rsidR="00EB249F" w:rsidRPr="00EB249F" w:rsidRDefault="00EB249F" w:rsidP="00EB249F">
            <w:pPr>
              <w:jc w:val="center"/>
            </w:pPr>
            <w:r w:rsidRPr="00EB249F">
              <w:t>80</w:t>
            </w:r>
          </w:p>
        </w:tc>
      </w:tr>
      <w:tr w:rsidR="00EB249F" w:rsidRPr="00EB249F" w:rsidTr="006D35B9">
        <w:tc>
          <w:tcPr>
            <w:tcW w:w="3978" w:type="dxa"/>
          </w:tcPr>
          <w:p w:rsidR="00EB249F" w:rsidRPr="00EB249F" w:rsidRDefault="00EB249F" w:rsidP="00EB249F">
            <w:r w:rsidRPr="00EB249F">
              <w:t>§373.4 Standard Risk Retention – Combined Interest</w:t>
            </w:r>
          </w:p>
        </w:tc>
        <w:tc>
          <w:tcPr>
            <w:tcW w:w="1350" w:type="dxa"/>
            <w:vAlign w:val="center"/>
          </w:tcPr>
          <w:p w:rsidR="00EB249F" w:rsidRPr="00EB249F" w:rsidRDefault="00EB249F" w:rsidP="00EB249F">
            <w:pPr>
              <w:jc w:val="center"/>
            </w:pPr>
            <w:r w:rsidRPr="00EB249F">
              <w:t>4</w:t>
            </w:r>
          </w:p>
        </w:tc>
        <w:tc>
          <w:tcPr>
            <w:tcW w:w="1170" w:type="dxa"/>
            <w:vAlign w:val="center"/>
          </w:tcPr>
          <w:p w:rsidR="00EB249F" w:rsidRPr="00EB249F" w:rsidRDefault="00EB249F" w:rsidP="00EB249F">
            <w:pPr>
              <w:jc w:val="center"/>
            </w:pPr>
            <w:r w:rsidRPr="00EB249F">
              <w:t>1</w:t>
            </w:r>
          </w:p>
        </w:tc>
        <w:tc>
          <w:tcPr>
            <w:tcW w:w="1620" w:type="dxa"/>
            <w:vAlign w:val="center"/>
          </w:tcPr>
          <w:p w:rsidR="00EB249F" w:rsidRPr="00EB249F" w:rsidRDefault="00EB249F" w:rsidP="00EB249F">
            <w:pPr>
              <w:jc w:val="center"/>
            </w:pPr>
            <w:r w:rsidRPr="00EB249F">
              <w:t>7.5</w:t>
            </w:r>
          </w:p>
        </w:tc>
        <w:tc>
          <w:tcPr>
            <w:tcW w:w="1458" w:type="dxa"/>
            <w:vAlign w:val="center"/>
          </w:tcPr>
          <w:p w:rsidR="00EB249F" w:rsidRPr="00EB249F" w:rsidRDefault="00EB249F" w:rsidP="00EB249F">
            <w:pPr>
              <w:jc w:val="center"/>
            </w:pPr>
            <w:r w:rsidRPr="00EB249F">
              <w:t>30</w:t>
            </w:r>
          </w:p>
        </w:tc>
      </w:tr>
      <w:tr w:rsidR="00EB249F" w:rsidRPr="00EB249F" w:rsidTr="006D35B9">
        <w:tc>
          <w:tcPr>
            <w:tcW w:w="3978" w:type="dxa"/>
          </w:tcPr>
          <w:p w:rsidR="00EB249F" w:rsidRPr="00EB249F" w:rsidRDefault="00EB249F" w:rsidP="00EB249F">
            <w:r w:rsidRPr="00EB249F">
              <w:t>§373.5 Revolving Master Trusts</w:t>
            </w:r>
          </w:p>
        </w:tc>
        <w:tc>
          <w:tcPr>
            <w:tcW w:w="1350" w:type="dxa"/>
            <w:vAlign w:val="center"/>
          </w:tcPr>
          <w:p w:rsidR="00EB249F" w:rsidRPr="00EB249F" w:rsidRDefault="00EB249F" w:rsidP="00EB249F">
            <w:pPr>
              <w:jc w:val="center"/>
            </w:pPr>
            <w:r w:rsidRPr="00EB249F">
              <w:t>15</w:t>
            </w:r>
          </w:p>
        </w:tc>
        <w:tc>
          <w:tcPr>
            <w:tcW w:w="1170" w:type="dxa"/>
            <w:vAlign w:val="center"/>
          </w:tcPr>
          <w:p w:rsidR="00EB249F" w:rsidRPr="00EB249F" w:rsidRDefault="00EB249F" w:rsidP="00EB249F">
            <w:pPr>
              <w:jc w:val="center"/>
            </w:pPr>
            <w:r w:rsidRPr="00EB249F">
              <w:t>1</w:t>
            </w:r>
          </w:p>
        </w:tc>
        <w:tc>
          <w:tcPr>
            <w:tcW w:w="1620" w:type="dxa"/>
            <w:vAlign w:val="center"/>
          </w:tcPr>
          <w:p w:rsidR="00EB249F" w:rsidRPr="00EB249F" w:rsidRDefault="00EB249F" w:rsidP="00EB249F">
            <w:pPr>
              <w:jc w:val="center"/>
            </w:pPr>
            <w:r w:rsidRPr="00EB249F">
              <w:t>7.0</w:t>
            </w:r>
          </w:p>
        </w:tc>
        <w:tc>
          <w:tcPr>
            <w:tcW w:w="1458" w:type="dxa"/>
            <w:vAlign w:val="center"/>
          </w:tcPr>
          <w:p w:rsidR="00EB249F" w:rsidRPr="00EB249F" w:rsidRDefault="00EB249F" w:rsidP="00EB249F">
            <w:pPr>
              <w:jc w:val="center"/>
            </w:pPr>
            <w:r w:rsidRPr="00EB249F">
              <w:t>105</w:t>
            </w:r>
          </w:p>
        </w:tc>
      </w:tr>
      <w:tr w:rsidR="00EB249F" w:rsidRPr="00EB249F" w:rsidTr="006D35B9">
        <w:tc>
          <w:tcPr>
            <w:tcW w:w="3978" w:type="dxa"/>
          </w:tcPr>
          <w:p w:rsidR="00EB249F" w:rsidRPr="00EB249F" w:rsidRDefault="00EB249F" w:rsidP="00EB249F">
            <w:r w:rsidRPr="00EB249F">
              <w:t>§373.6 Eligible ABCP Conduits</w:t>
            </w:r>
          </w:p>
        </w:tc>
        <w:tc>
          <w:tcPr>
            <w:tcW w:w="1350" w:type="dxa"/>
            <w:vAlign w:val="center"/>
          </w:tcPr>
          <w:p w:rsidR="00EB249F" w:rsidRPr="00EB249F" w:rsidRDefault="00EB249F" w:rsidP="00EB249F">
            <w:pPr>
              <w:jc w:val="center"/>
            </w:pPr>
            <w:r w:rsidRPr="00EB249F">
              <w:t>15</w:t>
            </w:r>
          </w:p>
        </w:tc>
        <w:tc>
          <w:tcPr>
            <w:tcW w:w="1170" w:type="dxa"/>
            <w:vAlign w:val="center"/>
          </w:tcPr>
          <w:p w:rsidR="00EB249F" w:rsidRPr="00EB249F" w:rsidRDefault="00EB249F" w:rsidP="00EB249F">
            <w:pPr>
              <w:jc w:val="center"/>
            </w:pPr>
            <w:r w:rsidRPr="00EB249F">
              <w:t>1</w:t>
            </w:r>
          </w:p>
        </w:tc>
        <w:tc>
          <w:tcPr>
            <w:tcW w:w="1620" w:type="dxa"/>
            <w:vAlign w:val="center"/>
          </w:tcPr>
          <w:p w:rsidR="00EB249F" w:rsidRPr="00EB249F" w:rsidRDefault="00EB249F" w:rsidP="00EB249F">
            <w:pPr>
              <w:jc w:val="center"/>
            </w:pPr>
            <w:r w:rsidRPr="00EB249F">
              <w:t>3.0</w:t>
            </w:r>
          </w:p>
        </w:tc>
        <w:tc>
          <w:tcPr>
            <w:tcW w:w="1458" w:type="dxa"/>
            <w:vAlign w:val="center"/>
          </w:tcPr>
          <w:p w:rsidR="00EB249F" w:rsidRPr="00EB249F" w:rsidRDefault="00EB249F" w:rsidP="00EB249F">
            <w:pPr>
              <w:jc w:val="center"/>
            </w:pPr>
            <w:r w:rsidRPr="00EB249F">
              <w:t>45</w:t>
            </w:r>
          </w:p>
        </w:tc>
      </w:tr>
      <w:tr w:rsidR="00EB249F" w:rsidRPr="00EB249F" w:rsidTr="006D35B9">
        <w:tc>
          <w:tcPr>
            <w:tcW w:w="3978" w:type="dxa"/>
          </w:tcPr>
          <w:p w:rsidR="00EB249F" w:rsidRPr="00EB249F" w:rsidRDefault="00EB249F" w:rsidP="00EB249F">
            <w:r w:rsidRPr="00EB249F">
              <w:t>§373.7 Commercial MBS</w:t>
            </w:r>
          </w:p>
        </w:tc>
        <w:tc>
          <w:tcPr>
            <w:tcW w:w="1350" w:type="dxa"/>
            <w:vAlign w:val="center"/>
          </w:tcPr>
          <w:p w:rsidR="00EB249F" w:rsidRPr="00EB249F" w:rsidRDefault="00EB249F" w:rsidP="00EB249F">
            <w:pPr>
              <w:jc w:val="center"/>
            </w:pPr>
            <w:r w:rsidRPr="00EB249F">
              <w:t>15</w:t>
            </w:r>
          </w:p>
        </w:tc>
        <w:tc>
          <w:tcPr>
            <w:tcW w:w="1170" w:type="dxa"/>
            <w:vAlign w:val="center"/>
          </w:tcPr>
          <w:p w:rsidR="00EB249F" w:rsidRPr="00EB249F" w:rsidRDefault="00EB249F" w:rsidP="00EB249F">
            <w:pPr>
              <w:jc w:val="center"/>
            </w:pPr>
            <w:r w:rsidRPr="00EB249F">
              <w:t>1</w:t>
            </w:r>
          </w:p>
        </w:tc>
        <w:tc>
          <w:tcPr>
            <w:tcW w:w="1620" w:type="dxa"/>
            <w:vAlign w:val="center"/>
          </w:tcPr>
          <w:p w:rsidR="00EB249F" w:rsidRPr="00EB249F" w:rsidRDefault="00EB249F" w:rsidP="00EB249F">
            <w:pPr>
              <w:jc w:val="center"/>
            </w:pPr>
            <w:r w:rsidRPr="00EB249F">
              <w:t>20.75</w:t>
            </w:r>
          </w:p>
        </w:tc>
        <w:tc>
          <w:tcPr>
            <w:tcW w:w="1458" w:type="dxa"/>
            <w:vAlign w:val="center"/>
          </w:tcPr>
          <w:p w:rsidR="00EB249F" w:rsidRPr="00EB249F" w:rsidRDefault="00EB249F" w:rsidP="00EB249F">
            <w:pPr>
              <w:jc w:val="center"/>
            </w:pPr>
            <w:r w:rsidRPr="00EB249F">
              <w:t>311.25</w:t>
            </w:r>
          </w:p>
        </w:tc>
      </w:tr>
      <w:tr w:rsidR="00EB249F" w:rsidRPr="00EB249F" w:rsidTr="006D35B9">
        <w:tc>
          <w:tcPr>
            <w:tcW w:w="3978" w:type="dxa"/>
          </w:tcPr>
          <w:p w:rsidR="00EB249F" w:rsidRPr="00EB249F" w:rsidRDefault="00EB249F" w:rsidP="00EB249F">
            <w:r w:rsidRPr="00EB249F">
              <w:t>§373.8 FNMA and FHLMC</w:t>
            </w:r>
          </w:p>
        </w:tc>
        <w:tc>
          <w:tcPr>
            <w:tcW w:w="1350" w:type="dxa"/>
            <w:vAlign w:val="center"/>
          </w:tcPr>
          <w:p w:rsidR="00EB249F" w:rsidRPr="00EB249F" w:rsidRDefault="00EB249F" w:rsidP="00EB249F">
            <w:pPr>
              <w:jc w:val="center"/>
            </w:pPr>
            <w:r w:rsidRPr="00EB249F">
              <w:t>15</w:t>
            </w:r>
          </w:p>
        </w:tc>
        <w:tc>
          <w:tcPr>
            <w:tcW w:w="1170" w:type="dxa"/>
            <w:vAlign w:val="center"/>
          </w:tcPr>
          <w:p w:rsidR="00EB249F" w:rsidRPr="00EB249F" w:rsidRDefault="00EB249F" w:rsidP="00EB249F">
            <w:pPr>
              <w:jc w:val="center"/>
            </w:pPr>
            <w:r w:rsidRPr="00EB249F">
              <w:t>1</w:t>
            </w:r>
          </w:p>
        </w:tc>
        <w:tc>
          <w:tcPr>
            <w:tcW w:w="1620" w:type="dxa"/>
            <w:vAlign w:val="center"/>
          </w:tcPr>
          <w:p w:rsidR="00EB249F" w:rsidRPr="00EB249F" w:rsidRDefault="00EB249F" w:rsidP="00EB249F">
            <w:pPr>
              <w:jc w:val="center"/>
            </w:pPr>
            <w:r w:rsidRPr="00EB249F">
              <w:t>1.5</w:t>
            </w:r>
          </w:p>
        </w:tc>
        <w:tc>
          <w:tcPr>
            <w:tcW w:w="1458" w:type="dxa"/>
            <w:vAlign w:val="center"/>
          </w:tcPr>
          <w:p w:rsidR="00EB249F" w:rsidRPr="00EB249F" w:rsidRDefault="00EB249F" w:rsidP="00EB249F">
            <w:pPr>
              <w:jc w:val="center"/>
            </w:pPr>
            <w:r w:rsidRPr="00EB249F">
              <w:t>22.5</w:t>
            </w:r>
          </w:p>
        </w:tc>
      </w:tr>
      <w:tr w:rsidR="00EB249F" w:rsidRPr="00EB249F" w:rsidTr="006D35B9">
        <w:tc>
          <w:tcPr>
            <w:tcW w:w="3978" w:type="dxa"/>
          </w:tcPr>
          <w:p w:rsidR="00EB249F" w:rsidRPr="00EB249F" w:rsidRDefault="00EB249F" w:rsidP="00EB249F">
            <w:r w:rsidRPr="00EB249F">
              <w:t>§373.9 Open Market CLOs</w:t>
            </w:r>
          </w:p>
        </w:tc>
        <w:tc>
          <w:tcPr>
            <w:tcW w:w="1350" w:type="dxa"/>
            <w:vAlign w:val="center"/>
          </w:tcPr>
          <w:p w:rsidR="00EB249F" w:rsidRPr="00EB249F" w:rsidRDefault="00EB249F" w:rsidP="00EB249F">
            <w:pPr>
              <w:jc w:val="center"/>
            </w:pPr>
            <w:r w:rsidRPr="00EB249F">
              <w:t>15</w:t>
            </w:r>
          </w:p>
        </w:tc>
        <w:tc>
          <w:tcPr>
            <w:tcW w:w="1170" w:type="dxa"/>
            <w:vAlign w:val="center"/>
          </w:tcPr>
          <w:p w:rsidR="00EB249F" w:rsidRPr="00EB249F" w:rsidRDefault="00EB249F" w:rsidP="00EB249F">
            <w:pPr>
              <w:jc w:val="center"/>
            </w:pPr>
            <w:r w:rsidRPr="00EB249F">
              <w:t>1</w:t>
            </w:r>
          </w:p>
        </w:tc>
        <w:tc>
          <w:tcPr>
            <w:tcW w:w="1620" w:type="dxa"/>
            <w:vAlign w:val="center"/>
          </w:tcPr>
          <w:p w:rsidR="00EB249F" w:rsidRPr="00EB249F" w:rsidRDefault="00EB249F" w:rsidP="00EB249F">
            <w:pPr>
              <w:jc w:val="center"/>
            </w:pPr>
            <w:r w:rsidRPr="00EB249F">
              <w:t>20.25</w:t>
            </w:r>
          </w:p>
        </w:tc>
        <w:tc>
          <w:tcPr>
            <w:tcW w:w="1458" w:type="dxa"/>
            <w:vAlign w:val="center"/>
          </w:tcPr>
          <w:p w:rsidR="00EB249F" w:rsidRPr="00EB249F" w:rsidRDefault="00EB249F" w:rsidP="00EB249F">
            <w:pPr>
              <w:jc w:val="center"/>
            </w:pPr>
            <w:r w:rsidRPr="00EB249F">
              <w:t>303.75</w:t>
            </w:r>
          </w:p>
        </w:tc>
      </w:tr>
      <w:tr w:rsidR="00EB249F" w:rsidRPr="00EB249F" w:rsidTr="006D35B9">
        <w:tc>
          <w:tcPr>
            <w:tcW w:w="3978" w:type="dxa"/>
          </w:tcPr>
          <w:p w:rsidR="00EB249F" w:rsidRPr="00EB249F" w:rsidRDefault="00EB249F" w:rsidP="00EB249F">
            <w:r w:rsidRPr="00EB249F">
              <w:t>§373.10 Qualified Tender Option Bonds</w:t>
            </w:r>
          </w:p>
        </w:tc>
        <w:tc>
          <w:tcPr>
            <w:tcW w:w="1350" w:type="dxa"/>
            <w:vAlign w:val="center"/>
          </w:tcPr>
          <w:p w:rsidR="00EB249F" w:rsidRPr="00EB249F" w:rsidRDefault="00EB249F" w:rsidP="00EB249F">
            <w:pPr>
              <w:jc w:val="center"/>
            </w:pPr>
            <w:r w:rsidRPr="00EB249F">
              <w:t>15</w:t>
            </w:r>
          </w:p>
        </w:tc>
        <w:tc>
          <w:tcPr>
            <w:tcW w:w="1170" w:type="dxa"/>
            <w:vAlign w:val="center"/>
          </w:tcPr>
          <w:p w:rsidR="00EB249F" w:rsidRPr="00EB249F" w:rsidRDefault="00EB249F" w:rsidP="00EB249F">
            <w:pPr>
              <w:jc w:val="center"/>
            </w:pPr>
            <w:r w:rsidRPr="00EB249F">
              <w:t>1</w:t>
            </w:r>
          </w:p>
        </w:tc>
        <w:tc>
          <w:tcPr>
            <w:tcW w:w="1620" w:type="dxa"/>
            <w:vAlign w:val="center"/>
          </w:tcPr>
          <w:p w:rsidR="00EB249F" w:rsidRPr="00EB249F" w:rsidRDefault="00EB249F" w:rsidP="00EB249F">
            <w:pPr>
              <w:jc w:val="center"/>
            </w:pPr>
            <w:r w:rsidRPr="00EB249F">
              <w:t>6.0</w:t>
            </w:r>
          </w:p>
        </w:tc>
        <w:tc>
          <w:tcPr>
            <w:tcW w:w="1458" w:type="dxa"/>
            <w:vAlign w:val="center"/>
          </w:tcPr>
          <w:p w:rsidR="00EB249F" w:rsidRPr="00EB249F" w:rsidRDefault="00EB249F" w:rsidP="00EB249F">
            <w:pPr>
              <w:jc w:val="center"/>
            </w:pPr>
            <w:r w:rsidRPr="00EB249F">
              <w:t>90</w:t>
            </w:r>
          </w:p>
        </w:tc>
      </w:tr>
      <w:tr w:rsidR="00EB249F" w:rsidRPr="00EB249F" w:rsidTr="006D35B9">
        <w:tc>
          <w:tcPr>
            <w:tcW w:w="3978" w:type="dxa"/>
          </w:tcPr>
          <w:p w:rsidR="00EB249F" w:rsidRPr="00EB249F" w:rsidRDefault="00EB249F" w:rsidP="00EB249F"/>
        </w:tc>
        <w:tc>
          <w:tcPr>
            <w:tcW w:w="1350" w:type="dxa"/>
            <w:vAlign w:val="center"/>
          </w:tcPr>
          <w:p w:rsidR="00EB249F" w:rsidRPr="00EB249F" w:rsidRDefault="00EB249F" w:rsidP="00EB249F">
            <w:pPr>
              <w:jc w:val="center"/>
            </w:pPr>
          </w:p>
        </w:tc>
        <w:tc>
          <w:tcPr>
            <w:tcW w:w="1170" w:type="dxa"/>
            <w:vAlign w:val="center"/>
          </w:tcPr>
          <w:p w:rsidR="00EB249F" w:rsidRPr="00EB249F" w:rsidRDefault="00EB249F" w:rsidP="00EB249F">
            <w:pPr>
              <w:jc w:val="center"/>
            </w:pPr>
          </w:p>
        </w:tc>
        <w:tc>
          <w:tcPr>
            <w:tcW w:w="1620" w:type="dxa"/>
            <w:vAlign w:val="center"/>
          </w:tcPr>
          <w:p w:rsidR="00EB249F" w:rsidRPr="00EB249F" w:rsidRDefault="00EB249F" w:rsidP="00EB249F">
            <w:pPr>
              <w:jc w:val="center"/>
            </w:pPr>
          </w:p>
        </w:tc>
        <w:tc>
          <w:tcPr>
            <w:tcW w:w="1458" w:type="dxa"/>
            <w:vAlign w:val="center"/>
          </w:tcPr>
          <w:p w:rsidR="00EB249F" w:rsidRPr="00EB249F" w:rsidRDefault="00EB249F" w:rsidP="00EB249F">
            <w:pPr>
              <w:jc w:val="center"/>
            </w:pPr>
          </w:p>
        </w:tc>
      </w:tr>
      <w:tr w:rsidR="00EB249F" w:rsidRPr="00EB249F" w:rsidTr="006D35B9">
        <w:tc>
          <w:tcPr>
            <w:tcW w:w="3978" w:type="dxa"/>
          </w:tcPr>
          <w:p w:rsidR="00EB249F" w:rsidRPr="00EB249F" w:rsidRDefault="00EB249F" w:rsidP="00EB249F">
            <w:r w:rsidRPr="00EB249F">
              <w:t>Subpart C</w:t>
            </w:r>
          </w:p>
        </w:tc>
        <w:tc>
          <w:tcPr>
            <w:tcW w:w="1350" w:type="dxa"/>
            <w:vAlign w:val="center"/>
          </w:tcPr>
          <w:p w:rsidR="00EB249F" w:rsidRPr="00EB249F" w:rsidRDefault="00EB249F" w:rsidP="00EB249F">
            <w:pPr>
              <w:jc w:val="center"/>
            </w:pPr>
          </w:p>
        </w:tc>
        <w:tc>
          <w:tcPr>
            <w:tcW w:w="1170" w:type="dxa"/>
            <w:vAlign w:val="center"/>
          </w:tcPr>
          <w:p w:rsidR="00EB249F" w:rsidRPr="00EB249F" w:rsidRDefault="00EB249F" w:rsidP="00EB249F">
            <w:pPr>
              <w:jc w:val="center"/>
            </w:pPr>
          </w:p>
        </w:tc>
        <w:tc>
          <w:tcPr>
            <w:tcW w:w="1620" w:type="dxa"/>
            <w:vAlign w:val="center"/>
          </w:tcPr>
          <w:p w:rsidR="00EB249F" w:rsidRPr="00EB249F" w:rsidRDefault="00EB249F" w:rsidP="00EB249F">
            <w:pPr>
              <w:jc w:val="center"/>
            </w:pPr>
          </w:p>
        </w:tc>
        <w:tc>
          <w:tcPr>
            <w:tcW w:w="1458" w:type="dxa"/>
            <w:vAlign w:val="center"/>
          </w:tcPr>
          <w:p w:rsidR="00EB249F" w:rsidRPr="00EB249F" w:rsidRDefault="00EB249F" w:rsidP="00EB249F">
            <w:pPr>
              <w:jc w:val="center"/>
            </w:pPr>
          </w:p>
        </w:tc>
      </w:tr>
      <w:tr w:rsidR="00EB249F" w:rsidRPr="00EB249F" w:rsidTr="006D35B9">
        <w:tc>
          <w:tcPr>
            <w:tcW w:w="3978" w:type="dxa"/>
          </w:tcPr>
          <w:p w:rsidR="00EB249F" w:rsidRPr="00EB249F" w:rsidRDefault="00EB249F" w:rsidP="00EB249F">
            <w:r w:rsidRPr="00EB249F">
              <w:t>§373.11 Allocation of Risk Retention to an Originator</w:t>
            </w:r>
          </w:p>
        </w:tc>
        <w:tc>
          <w:tcPr>
            <w:tcW w:w="1350" w:type="dxa"/>
            <w:vAlign w:val="center"/>
          </w:tcPr>
          <w:p w:rsidR="00EB249F" w:rsidRPr="00EB249F" w:rsidRDefault="00EB249F" w:rsidP="00EB249F">
            <w:pPr>
              <w:jc w:val="center"/>
            </w:pPr>
            <w:r w:rsidRPr="00EB249F">
              <w:t>3</w:t>
            </w:r>
          </w:p>
        </w:tc>
        <w:tc>
          <w:tcPr>
            <w:tcW w:w="1170" w:type="dxa"/>
            <w:vAlign w:val="center"/>
          </w:tcPr>
          <w:p w:rsidR="00EB249F" w:rsidRPr="00EB249F" w:rsidRDefault="00EB249F" w:rsidP="00EB249F">
            <w:pPr>
              <w:jc w:val="center"/>
            </w:pPr>
            <w:r w:rsidRPr="00EB249F">
              <w:t>1</w:t>
            </w:r>
          </w:p>
        </w:tc>
        <w:tc>
          <w:tcPr>
            <w:tcW w:w="1620" w:type="dxa"/>
            <w:vAlign w:val="center"/>
          </w:tcPr>
          <w:p w:rsidR="00EB249F" w:rsidRPr="00EB249F" w:rsidRDefault="00EB249F" w:rsidP="00EB249F">
            <w:pPr>
              <w:jc w:val="center"/>
            </w:pPr>
            <w:r w:rsidRPr="00EB249F">
              <w:t>2.5</w:t>
            </w:r>
          </w:p>
        </w:tc>
        <w:tc>
          <w:tcPr>
            <w:tcW w:w="1458" w:type="dxa"/>
            <w:vAlign w:val="center"/>
          </w:tcPr>
          <w:p w:rsidR="00EB249F" w:rsidRPr="00EB249F" w:rsidRDefault="00EB249F" w:rsidP="00EB249F">
            <w:pPr>
              <w:jc w:val="center"/>
            </w:pPr>
            <w:r w:rsidRPr="00EB249F">
              <w:t>7.5</w:t>
            </w:r>
          </w:p>
        </w:tc>
      </w:tr>
      <w:tr w:rsidR="00EB249F" w:rsidRPr="00EB249F" w:rsidTr="006D35B9">
        <w:tc>
          <w:tcPr>
            <w:tcW w:w="3978" w:type="dxa"/>
          </w:tcPr>
          <w:p w:rsidR="00EB249F" w:rsidRPr="00EB249F" w:rsidRDefault="00EB249F" w:rsidP="00EB249F"/>
        </w:tc>
        <w:tc>
          <w:tcPr>
            <w:tcW w:w="1350" w:type="dxa"/>
            <w:vAlign w:val="center"/>
          </w:tcPr>
          <w:p w:rsidR="00EB249F" w:rsidRPr="00EB249F" w:rsidRDefault="00EB249F" w:rsidP="00EB249F">
            <w:pPr>
              <w:jc w:val="center"/>
            </w:pPr>
          </w:p>
        </w:tc>
        <w:tc>
          <w:tcPr>
            <w:tcW w:w="1170" w:type="dxa"/>
            <w:vAlign w:val="center"/>
          </w:tcPr>
          <w:p w:rsidR="00EB249F" w:rsidRPr="00EB249F" w:rsidRDefault="00EB249F" w:rsidP="00EB249F">
            <w:pPr>
              <w:jc w:val="center"/>
            </w:pPr>
          </w:p>
        </w:tc>
        <w:tc>
          <w:tcPr>
            <w:tcW w:w="1620" w:type="dxa"/>
            <w:vAlign w:val="center"/>
          </w:tcPr>
          <w:p w:rsidR="00EB249F" w:rsidRPr="00EB249F" w:rsidRDefault="00EB249F" w:rsidP="00EB249F">
            <w:pPr>
              <w:jc w:val="center"/>
            </w:pPr>
          </w:p>
        </w:tc>
        <w:tc>
          <w:tcPr>
            <w:tcW w:w="1458" w:type="dxa"/>
            <w:vAlign w:val="center"/>
          </w:tcPr>
          <w:p w:rsidR="00EB249F" w:rsidRPr="00EB249F" w:rsidRDefault="00EB249F" w:rsidP="00EB249F">
            <w:pPr>
              <w:jc w:val="center"/>
            </w:pPr>
          </w:p>
        </w:tc>
      </w:tr>
      <w:tr w:rsidR="00EB249F" w:rsidRPr="00EB249F" w:rsidTr="006D35B9">
        <w:tc>
          <w:tcPr>
            <w:tcW w:w="3978" w:type="dxa"/>
          </w:tcPr>
          <w:p w:rsidR="00EB249F" w:rsidRPr="00EB249F" w:rsidRDefault="00EB249F" w:rsidP="00EB249F">
            <w:r w:rsidRPr="00EB249F">
              <w:t>Subpart D</w:t>
            </w:r>
          </w:p>
        </w:tc>
        <w:tc>
          <w:tcPr>
            <w:tcW w:w="1350" w:type="dxa"/>
            <w:vAlign w:val="center"/>
          </w:tcPr>
          <w:p w:rsidR="00EB249F" w:rsidRPr="00EB249F" w:rsidRDefault="00EB249F" w:rsidP="00EB249F">
            <w:pPr>
              <w:jc w:val="center"/>
            </w:pPr>
          </w:p>
        </w:tc>
        <w:tc>
          <w:tcPr>
            <w:tcW w:w="1170" w:type="dxa"/>
            <w:vAlign w:val="center"/>
          </w:tcPr>
          <w:p w:rsidR="00EB249F" w:rsidRPr="00EB249F" w:rsidRDefault="00EB249F" w:rsidP="00EB249F">
            <w:pPr>
              <w:jc w:val="center"/>
            </w:pPr>
          </w:p>
        </w:tc>
        <w:tc>
          <w:tcPr>
            <w:tcW w:w="1620" w:type="dxa"/>
            <w:vAlign w:val="center"/>
          </w:tcPr>
          <w:p w:rsidR="00EB249F" w:rsidRPr="00EB249F" w:rsidRDefault="00EB249F" w:rsidP="00EB249F">
            <w:pPr>
              <w:jc w:val="center"/>
            </w:pPr>
          </w:p>
        </w:tc>
        <w:tc>
          <w:tcPr>
            <w:tcW w:w="1458" w:type="dxa"/>
            <w:vAlign w:val="center"/>
          </w:tcPr>
          <w:p w:rsidR="00EB249F" w:rsidRPr="00EB249F" w:rsidRDefault="00EB249F" w:rsidP="00EB249F">
            <w:pPr>
              <w:jc w:val="center"/>
            </w:pPr>
          </w:p>
        </w:tc>
      </w:tr>
      <w:tr w:rsidR="00EB249F" w:rsidRPr="00EB249F" w:rsidTr="006D35B9">
        <w:tc>
          <w:tcPr>
            <w:tcW w:w="3978" w:type="dxa"/>
          </w:tcPr>
          <w:p w:rsidR="00EB249F" w:rsidRPr="00EB249F" w:rsidRDefault="00EB249F" w:rsidP="00EB249F">
            <w:r w:rsidRPr="00EB249F">
              <w:t>§373.13 and .19(g) Exemption for Qualified Residential Mortgages</w:t>
            </w:r>
          </w:p>
        </w:tc>
        <w:tc>
          <w:tcPr>
            <w:tcW w:w="1350" w:type="dxa"/>
            <w:vAlign w:val="center"/>
          </w:tcPr>
          <w:p w:rsidR="00EB249F" w:rsidRPr="00EB249F" w:rsidRDefault="00EB249F" w:rsidP="00EB249F">
            <w:pPr>
              <w:jc w:val="center"/>
            </w:pPr>
            <w:r w:rsidRPr="00EB249F">
              <w:t>13</w:t>
            </w:r>
          </w:p>
        </w:tc>
        <w:tc>
          <w:tcPr>
            <w:tcW w:w="1170" w:type="dxa"/>
            <w:vAlign w:val="center"/>
          </w:tcPr>
          <w:p w:rsidR="00EB249F" w:rsidRPr="00EB249F" w:rsidRDefault="00EB249F" w:rsidP="00EB249F">
            <w:pPr>
              <w:jc w:val="center"/>
            </w:pPr>
            <w:r w:rsidRPr="00EB249F">
              <w:t>1</w:t>
            </w:r>
          </w:p>
        </w:tc>
        <w:tc>
          <w:tcPr>
            <w:tcW w:w="1620" w:type="dxa"/>
            <w:vAlign w:val="center"/>
          </w:tcPr>
          <w:p w:rsidR="00EB249F" w:rsidRPr="00EB249F" w:rsidRDefault="00EB249F" w:rsidP="00EB249F">
            <w:pPr>
              <w:jc w:val="center"/>
            </w:pPr>
            <w:r w:rsidRPr="00EB249F">
              <w:t>1.25</w:t>
            </w:r>
          </w:p>
        </w:tc>
        <w:tc>
          <w:tcPr>
            <w:tcW w:w="1458" w:type="dxa"/>
            <w:vAlign w:val="center"/>
          </w:tcPr>
          <w:p w:rsidR="00EB249F" w:rsidRPr="00EB249F" w:rsidRDefault="00EB249F" w:rsidP="00EB249F">
            <w:pPr>
              <w:jc w:val="center"/>
            </w:pPr>
            <w:r w:rsidRPr="00EB249F">
              <w:t>16.25</w:t>
            </w:r>
          </w:p>
          <w:p w:rsidR="00EB249F" w:rsidRPr="00EB249F" w:rsidRDefault="00EB249F" w:rsidP="00EB249F">
            <w:pPr>
              <w:jc w:val="center"/>
            </w:pPr>
          </w:p>
        </w:tc>
      </w:tr>
      <w:tr w:rsidR="00EB249F" w:rsidRPr="00EB249F" w:rsidTr="006D35B9">
        <w:tc>
          <w:tcPr>
            <w:tcW w:w="3978" w:type="dxa"/>
          </w:tcPr>
          <w:p w:rsidR="00EB249F" w:rsidRPr="00EB249F" w:rsidRDefault="00EB249F" w:rsidP="00EB249F">
            <w:r w:rsidRPr="00EB249F">
              <w:t>§373.15 Exemption for Qualifying Commercial Loans, Commercial Real Estate and Automobile Loans</w:t>
            </w:r>
          </w:p>
        </w:tc>
        <w:tc>
          <w:tcPr>
            <w:tcW w:w="1350" w:type="dxa"/>
            <w:vAlign w:val="center"/>
          </w:tcPr>
          <w:p w:rsidR="00EB249F" w:rsidRPr="00EB249F" w:rsidRDefault="00EB249F" w:rsidP="00EB249F">
            <w:pPr>
              <w:jc w:val="center"/>
            </w:pPr>
            <w:r w:rsidRPr="00EB249F">
              <w:t>16</w:t>
            </w:r>
          </w:p>
        </w:tc>
        <w:tc>
          <w:tcPr>
            <w:tcW w:w="1170" w:type="dxa"/>
            <w:vAlign w:val="center"/>
          </w:tcPr>
          <w:p w:rsidR="00EB249F" w:rsidRPr="00EB249F" w:rsidRDefault="00EB249F" w:rsidP="00EB249F">
            <w:pPr>
              <w:jc w:val="center"/>
            </w:pPr>
            <w:r w:rsidRPr="00EB249F">
              <w:t>1</w:t>
            </w:r>
          </w:p>
        </w:tc>
        <w:tc>
          <w:tcPr>
            <w:tcW w:w="1620" w:type="dxa"/>
            <w:vAlign w:val="center"/>
          </w:tcPr>
          <w:p w:rsidR="00EB249F" w:rsidRPr="00EB249F" w:rsidRDefault="00EB249F" w:rsidP="00EB249F">
            <w:pPr>
              <w:jc w:val="center"/>
            </w:pPr>
            <w:r w:rsidRPr="00EB249F">
              <w:t>20.0</w:t>
            </w:r>
          </w:p>
        </w:tc>
        <w:tc>
          <w:tcPr>
            <w:tcW w:w="1458" w:type="dxa"/>
            <w:vAlign w:val="center"/>
          </w:tcPr>
          <w:p w:rsidR="00EB249F" w:rsidRPr="00EB249F" w:rsidRDefault="00EB249F" w:rsidP="00EB249F">
            <w:pPr>
              <w:jc w:val="center"/>
            </w:pPr>
            <w:r w:rsidRPr="00EB249F">
              <w:t>320</w:t>
            </w:r>
          </w:p>
        </w:tc>
      </w:tr>
      <w:tr w:rsidR="00EB249F" w:rsidRPr="00EB249F" w:rsidTr="006D35B9">
        <w:tc>
          <w:tcPr>
            <w:tcW w:w="3978" w:type="dxa"/>
          </w:tcPr>
          <w:p w:rsidR="00EB249F" w:rsidRPr="00EB249F" w:rsidRDefault="00EB249F" w:rsidP="00EB249F">
            <w:r w:rsidRPr="00EB249F">
              <w:t>§373.16 Underwriting Standards for Qualifying Commercial Loans</w:t>
            </w:r>
          </w:p>
        </w:tc>
        <w:tc>
          <w:tcPr>
            <w:tcW w:w="1350" w:type="dxa"/>
            <w:vAlign w:val="center"/>
          </w:tcPr>
          <w:p w:rsidR="00EB249F" w:rsidRPr="00EB249F" w:rsidRDefault="00EB249F" w:rsidP="00EB249F">
            <w:pPr>
              <w:jc w:val="center"/>
            </w:pPr>
            <w:r w:rsidRPr="00EB249F">
              <w:t>6</w:t>
            </w:r>
          </w:p>
        </w:tc>
        <w:tc>
          <w:tcPr>
            <w:tcW w:w="1170" w:type="dxa"/>
            <w:vAlign w:val="center"/>
          </w:tcPr>
          <w:p w:rsidR="00EB249F" w:rsidRPr="00EB249F" w:rsidRDefault="00EB249F" w:rsidP="00EB249F">
            <w:pPr>
              <w:jc w:val="center"/>
            </w:pPr>
            <w:r w:rsidRPr="00EB249F">
              <w:t>1</w:t>
            </w:r>
          </w:p>
        </w:tc>
        <w:tc>
          <w:tcPr>
            <w:tcW w:w="1620" w:type="dxa"/>
            <w:vAlign w:val="center"/>
          </w:tcPr>
          <w:p w:rsidR="00EB249F" w:rsidRPr="00EB249F" w:rsidRDefault="00EB249F" w:rsidP="00EB249F">
            <w:pPr>
              <w:jc w:val="center"/>
            </w:pPr>
            <w:r w:rsidRPr="00EB249F">
              <w:t>1.25</w:t>
            </w:r>
          </w:p>
        </w:tc>
        <w:tc>
          <w:tcPr>
            <w:tcW w:w="1458" w:type="dxa"/>
            <w:vAlign w:val="center"/>
          </w:tcPr>
          <w:p w:rsidR="00EB249F" w:rsidRPr="00EB249F" w:rsidRDefault="00EB249F" w:rsidP="00EB249F">
            <w:pPr>
              <w:jc w:val="center"/>
            </w:pPr>
            <w:r w:rsidRPr="00EB249F">
              <w:t>7.5</w:t>
            </w:r>
          </w:p>
        </w:tc>
      </w:tr>
      <w:tr w:rsidR="00EB249F" w:rsidRPr="00EB249F" w:rsidTr="006D35B9">
        <w:tc>
          <w:tcPr>
            <w:tcW w:w="3978" w:type="dxa"/>
          </w:tcPr>
          <w:p w:rsidR="00EB249F" w:rsidRPr="00EB249F" w:rsidRDefault="00EB249F" w:rsidP="00EB249F">
            <w:r w:rsidRPr="00EB249F">
              <w:t>§373.17 Underwriting Standards for Qualifying CRE Loans</w:t>
            </w:r>
          </w:p>
        </w:tc>
        <w:tc>
          <w:tcPr>
            <w:tcW w:w="1350" w:type="dxa"/>
            <w:vAlign w:val="center"/>
          </w:tcPr>
          <w:p w:rsidR="00EB249F" w:rsidRPr="00EB249F" w:rsidRDefault="00EB249F" w:rsidP="00EB249F">
            <w:pPr>
              <w:jc w:val="center"/>
            </w:pPr>
            <w:r w:rsidRPr="00EB249F">
              <w:t>6</w:t>
            </w:r>
          </w:p>
        </w:tc>
        <w:tc>
          <w:tcPr>
            <w:tcW w:w="1170" w:type="dxa"/>
            <w:vAlign w:val="center"/>
          </w:tcPr>
          <w:p w:rsidR="00EB249F" w:rsidRPr="00EB249F" w:rsidRDefault="00EB249F" w:rsidP="00EB249F">
            <w:pPr>
              <w:jc w:val="center"/>
            </w:pPr>
            <w:r w:rsidRPr="00EB249F">
              <w:t>1</w:t>
            </w:r>
          </w:p>
        </w:tc>
        <w:tc>
          <w:tcPr>
            <w:tcW w:w="1620" w:type="dxa"/>
            <w:vAlign w:val="center"/>
          </w:tcPr>
          <w:p w:rsidR="00EB249F" w:rsidRPr="00EB249F" w:rsidRDefault="00EB249F" w:rsidP="00EB249F">
            <w:pPr>
              <w:jc w:val="center"/>
            </w:pPr>
            <w:r w:rsidRPr="00EB249F">
              <w:t>1.25</w:t>
            </w:r>
          </w:p>
        </w:tc>
        <w:tc>
          <w:tcPr>
            <w:tcW w:w="1458" w:type="dxa"/>
            <w:vAlign w:val="center"/>
          </w:tcPr>
          <w:p w:rsidR="00EB249F" w:rsidRPr="00EB249F" w:rsidRDefault="00EB249F" w:rsidP="00EB249F">
            <w:pPr>
              <w:jc w:val="center"/>
            </w:pPr>
            <w:r w:rsidRPr="00EB249F">
              <w:t>7.5</w:t>
            </w:r>
          </w:p>
        </w:tc>
      </w:tr>
      <w:tr w:rsidR="00EB249F" w:rsidRPr="00EB249F" w:rsidTr="006D35B9">
        <w:tc>
          <w:tcPr>
            <w:tcW w:w="3978" w:type="dxa"/>
          </w:tcPr>
          <w:p w:rsidR="00EB249F" w:rsidRPr="00EB249F" w:rsidRDefault="00EB249F" w:rsidP="00EB249F">
            <w:r w:rsidRPr="00EB249F">
              <w:t>§373.18 Underwriting Standards for Qualifying Automobile Loans</w:t>
            </w:r>
          </w:p>
        </w:tc>
        <w:tc>
          <w:tcPr>
            <w:tcW w:w="1350" w:type="dxa"/>
            <w:vAlign w:val="center"/>
          </w:tcPr>
          <w:p w:rsidR="00EB249F" w:rsidRPr="00EB249F" w:rsidRDefault="00EB249F" w:rsidP="00EB249F">
            <w:pPr>
              <w:jc w:val="center"/>
            </w:pPr>
            <w:r w:rsidRPr="00EB249F">
              <w:t>6</w:t>
            </w:r>
          </w:p>
        </w:tc>
        <w:tc>
          <w:tcPr>
            <w:tcW w:w="1170" w:type="dxa"/>
            <w:vAlign w:val="center"/>
          </w:tcPr>
          <w:p w:rsidR="00EB249F" w:rsidRPr="00EB249F" w:rsidRDefault="00EB249F" w:rsidP="00EB249F">
            <w:pPr>
              <w:jc w:val="center"/>
            </w:pPr>
            <w:r w:rsidRPr="00EB249F">
              <w:t>1</w:t>
            </w:r>
          </w:p>
        </w:tc>
        <w:tc>
          <w:tcPr>
            <w:tcW w:w="1620" w:type="dxa"/>
            <w:vAlign w:val="center"/>
          </w:tcPr>
          <w:p w:rsidR="00EB249F" w:rsidRPr="00EB249F" w:rsidRDefault="00EB249F" w:rsidP="00EB249F">
            <w:pPr>
              <w:jc w:val="center"/>
            </w:pPr>
            <w:r w:rsidRPr="00EB249F">
              <w:t>1.25</w:t>
            </w:r>
          </w:p>
        </w:tc>
        <w:tc>
          <w:tcPr>
            <w:tcW w:w="1458" w:type="dxa"/>
            <w:vAlign w:val="center"/>
          </w:tcPr>
          <w:p w:rsidR="00EB249F" w:rsidRPr="00EB249F" w:rsidRDefault="00EB249F" w:rsidP="00EB249F">
            <w:pPr>
              <w:jc w:val="center"/>
            </w:pPr>
            <w:r w:rsidRPr="00EB249F">
              <w:t>7.5</w:t>
            </w:r>
          </w:p>
        </w:tc>
      </w:tr>
      <w:tr w:rsidR="00EB249F" w:rsidRPr="00EB249F" w:rsidTr="006D35B9">
        <w:tc>
          <w:tcPr>
            <w:tcW w:w="3978" w:type="dxa"/>
          </w:tcPr>
          <w:p w:rsidR="00EB249F" w:rsidRPr="00EB249F" w:rsidRDefault="00EB249F" w:rsidP="00EB249F">
            <w:pPr>
              <w:rPr>
                <w:b/>
              </w:rPr>
            </w:pPr>
            <w:r w:rsidRPr="00EB249F">
              <w:rPr>
                <w:b/>
              </w:rPr>
              <w:t>Total Estimated Disclosure Burden</w:t>
            </w:r>
          </w:p>
        </w:tc>
        <w:tc>
          <w:tcPr>
            <w:tcW w:w="1350" w:type="dxa"/>
            <w:vAlign w:val="center"/>
          </w:tcPr>
          <w:p w:rsidR="00EB249F" w:rsidRPr="00EB249F" w:rsidRDefault="00EB249F" w:rsidP="00EB249F">
            <w:pPr>
              <w:jc w:val="center"/>
            </w:pPr>
          </w:p>
        </w:tc>
        <w:tc>
          <w:tcPr>
            <w:tcW w:w="1170" w:type="dxa"/>
            <w:vAlign w:val="center"/>
          </w:tcPr>
          <w:p w:rsidR="00EB249F" w:rsidRPr="00EB249F" w:rsidRDefault="00EB249F" w:rsidP="00EB249F">
            <w:pPr>
              <w:jc w:val="center"/>
            </w:pPr>
          </w:p>
        </w:tc>
        <w:tc>
          <w:tcPr>
            <w:tcW w:w="1620" w:type="dxa"/>
            <w:vAlign w:val="center"/>
          </w:tcPr>
          <w:p w:rsidR="00EB249F" w:rsidRPr="00EB249F" w:rsidRDefault="00EB249F" w:rsidP="00EB249F">
            <w:pPr>
              <w:jc w:val="center"/>
            </w:pPr>
          </w:p>
        </w:tc>
        <w:tc>
          <w:tcPr>
            <w:tcW w:w="1458" w:type="dxa"/>
            <w:vAlign w:val="center"/>
          </w:tcPr>
          <w:p w:rsidR="00EB249F" w:rsidRPr="00EB249F" w:rsidRDefault="00EB249F" w:rsidP="00EB249F">
            <w:pPr>
              <w:jc w:val="center"/>
              <w:rPr>
                <w:b/>
              </w:rPr>
            </w:pPr>
            <w:r w:rsidRPr="00EB249F">
              <w:rPr>
                <w:b/>
              </w:rPr>
              <w:t>1,359.25</w:t>
            </w:r>
          </w:p>
        </w:tc>
      </w:tr>
    </w:tbl>
    <w:p w:rsidR="00FC311C" w:rsidRDefault="00FC311C" w:rsidP="00FC311C">
      <w:pPr>
        <w:widowControl w:val="0"/>
        <w:spacing w:after="0" w:line="240" w:lineRule="auto"/>
        <w:rPr>
          <w:rFonts w:ascii="Times New Roman" w:eastAsia="Times New Roman" w:hAnsi="Times New Roman" w:cs="Times New Roman"/>
          <w:snapToGrid w:val="0"/>
          <w:sz w:val="24"/>
          <w:szCs w:val="24"/>
        </w:rPr>
      </w:pPr>
    </w:p>
    <w:tbl>
      <w:tblPr>
        <w:tblStyle w:val="TableGrid3"/>
        <w:tblW w:w="0" w:type="auto"/>
        <w:tblLook w:val="04A0" w:firstRow="1" w:lastRow="0" w:firstColumn="1" w:lastColumn="0" w:noHBand="0" w:noVBand="1"/>
      </w:tblPr>
      <w:tblGrid>
        <w:gridCol w:w="3978"/>
        <w:gridCol w:w="1260"/>
        <w:gridCol w:w="1260"/>
        <w:gridCol w:w="1620"/>
        <w:gridCol w:w="1458"/>
      </w:tblGrid>
      <w:tr w:rsidR="00EB249F" w:rsidRPr="00EB249F" w:rsidTr="006D35B9">
        <w:tc>
          <w:tcPr>
            <w:tcW w:w="9576" w:type="dxa"/>
            <w:gridSpan w:val="5"/>
            <w:vAlign w:val="center"/>
          </w:tcPr>
          <w:p w:rsidR="00EB249F" w:rsidRPr="00EB249F" w:rsidRDefault="00EB249F" w:rsidP="00EB249F">
            <w:pPr>
              <w:jc w:val="center"/>
              <w:rPr>
                <w:sz w:val="28"/>
                <w:szCs w:val="28"/>
              </w:rPr>
            </w:pPr>
            <w:r w:rsidRPr="00EB249F">
              <w:rPr>
                <w:sz w:val="28"/>
                <w:szCs w:val="28"/>
              </w:rPr>
              <w:t>Recordkeeping Burden</w:t>
            </w:r>
          </w:p>
        </w:tc>
      </w:tr>
      <w:tr w:rsidR="00EB249F" w:rsidRPr="00EB249F" w:rsidTr="006D35B9">
        <w:tc>
          <w:tcPr>
            <w:tcW w:w="3978" w:type="dxa"/>
          </w:tcPr>
          <w:p w:rsidR="00EB249F" w:rsidRPr="00EB249F" w:rsidRDefault="00EB249F" w:rsidP="00EB249F"/>
        </w:tc>
        <w:tc>
          <w:tcPr>
            <w:tcW w:w="1260" w:type="dxa"/>
          </w:tcPr>
          <w:p w:rsidR="00EB249F" w:rsidRPr="00EB249F" w:rsidRDefault="00EB249F" w:rsidP="00EB249F">
            <w:pPr>
              <w:jc w:val="center"/>
            </w:pPr>
            <w:r w:rsidRPr="00EB249F">
              <w:t>Estimated No. of Offerings</w:t>
            </w:r>
          </w:p>
        </w:tc>
        <w:tc>
          <w:tcPr>
            <w:tcW w:w="1260" w:type="dxa"/>
          </w:tcPr>
          <w:p w:rsidR="00EB249F" w:rsidRPr="00EB249F" w:rsidRDefault="00EB249F" w:rsidP="00EB249F">
            <w:pPr>
              <w:jc w:val="center"/>
            </w:pPr>
            <w:r w:rsidRPr="00EB249F">
              <w:t>Estimated Annual Frequency</w:t>
            </w:r>
          </w:p>
        </w:tc>
        <w:tc>
          <w:tcPr>
            <w:tcW w:w="1620" w:type="dxa"/>
          </w:tcPr>
          <w:p w:rsidR="00EB249F" w:rsidRPr="00EB249F" w:rsidRDefault="00EB249F" w:rsidP="00EB249F">
            <w:pPr>
              <w:jc w:val="center"/>
            </w:pPr>
            <w:r w:rsidRPr="00EB249F">
              <w:t>Estimated Average Hours per Response</w:t>
            </w:r>
          </w:p>
        </w:tc>
        <w:tc>
          <w:tcPr>
            <w:tcW w:w="1458" w:type="dxa"/>
          </w:tcPr>
          <w:p w:rsidR="00EB249F" w:rsidRPr="00EB249F" w:rsidRDefault="00EB249F" w:rsidP="00EB249F">
            <w:pPr>
              <w:jc w:val="center"/>
            </w:pPr>
            <w:r w:rsidRPr="00EB249F">
              <w:t>Estimated Annual Burden Hours</w:t>
            </w:r>
          </w:p>
        </w:tc>
      </w:tr>
      <w:tr w:rsidR="00EB249F" w:rsidRPr="00EB249F" w:rsidTr="006D35B9">
        <w:tc>
          <w:tcPr>
            <w:tcW w:w="3978" w:type="dxa"/>
          </w:tcPr>
          <w:p w:rsidR="00EB249F" w:rsidRPr="00EB249F" w:rsidRDefault="00EB249F" w:rsidP="00EB249F">
            <w:r w:rsidRPr="00EB249F">
              <w:t>Subpart B</w:t>
            </w:r>
          </w:p>
        </w:tc>
        <w:tc>
          <w:tcPr>
            <w:tcW w:w="1260" w:type="dxa"/>
            <w:vAlign w:val="center"/>
          </w:tcPr>
          <w:p w:rsidR="00EB249F" w:rsidRPr="00EB249F" w:rsidRDefault="00EB249F" w:rsidP="00EB249F">
            <w:pPr>
              <w:jc w:val="center"/>
            </w:pPr>
          </w:p>
        </w:tc>
        <w:tc>
          <w:tcPr>
            <w:tcW w:w="1260" w:type="dxa"/>
            <w:vAlign w:val="center"/>
          </w:tcPr>
          <w:p w:rsidR="00EB249F" w:rsidRPr="00EB249F" w:rsidRDefault="00EB249F" w:rsidP="00EB249F">
            <w:pPr>
              <w:jc w:val="center"/>
            </w:pPr>
          </w:p>
        </w:tc>
        <w:tc>
          <w:tcPr>
            <w:tcW w:w="1620" w:type="dxa"/>
            <w:vAlign w:val="center"/>
          </w:tcPr>
          <w:p w:rsidR="00EB249F" w:rsidRPr="00EB249F" w:rsidRDefault="00EB249F" w:rsidP="00EB249F">
            <w:pPr>
              <w:jc w:val="center"/>
            </w:pPr>
          </w:p>
        </w:tc>
        <w:tc>
          <w:tcPr>
            <w:tcW w:w="1458" w:type="dxa"/>
            <w:vAlign w:val="center"/>
          </w:tcPr>
          <w:p w:rsidR="00EB249F" w:rsidRPr="00EB249F" w:rsidRDefault="00EB249F" w:rsidP="00EB249F">
            <w:pPr>
              <w:jc w:val="center"/>
            </w:pPr>
          </w:p>
        </w:tc>
      </w:tr>
      <w:tr w:rsidR="00EB249F" w:rsidRPr="00EB249F" w:rsidTr="006D35B9">
        <w:tc>
          <w:tcPr>
            <w:tcW w:w="3978" w:type="dxa"/>
          </w:tcPr>
          <w:p w:rsidR="00EB249F" w:rsidRPr="00EB249F" w:rsidRDefault="00EB249F" w:rsidP="00EB249F">
            <w:r w:rsidRPr="00EB249F">
              <w:t>§373.4 Standard Risk Retention – Horizontal Interest</w:t>
            </w:r>
          </w:p>
        </w:tc>
        <w:tc>
          <w:tcPr>
            <w:tcW w:w="1260" w:type="dxa"/>
            <w:vAlign w:val="center"/>
          </w:tcPr>
          <w:p w:rsidR="00EB249F" w:rsidRPr="00EB249F" w:rsidRDefault="00EB249F" w:rsidP="00EB249F">
            <w:pPr>
              <w:jc w:val="center"/>
            </w:pPr>
            <w:r w:rsidRPr="00EB249F">
              <w:t>1</w:t>
            </w:r>
          </w:p>
        </w:tc>
        <w:tc>
          <w:tcPr>
            <w:tcW w:w="1260" w:type="dxa"/>
            <w:vAlign w:val="center"/>
          </w:tcPr>
          <w:p w:rsidR="00EB249F" w:rsidRPr="00EB249F" w:rsidRDefault="00EB249F" w:rsidP="00EB249F">
            <w:pPr>
              <w:jc w:val="center"/>
            </w:pPr>
            <w:r w:rsidRPr="00EB249F">
              <w:t>1</w:t>
            </w:r>
          </w:p>
        </w:tc>
        <w:tc>
          <w:tcPr>
            <w:tcW w:w="1620" w:type="dxa"/>
            <w:vAlign w:val="center"/>
          </w:tcPr>
          <w:p w:rsidR="00EB249F" w:rsidRPr="00EB249F" w:rsidRDefault="00EB249F" w:rsidP="00EB249F">
            <w:pPr>
              <w:jc w:val="center"/>
            </w:pPr>
            <w:r w:rsidRPr="00EB249F">
              <w:t>0.5</w:t>
            </w:r>
          </w:p>
        </w:tc>
        <w:tc>
          <w:tcPr>
            <w:tcW w:w="1458" w:type="dxa"/>
            <w:vAlign w:val="center"/>
          </w:tcPr>
          <w:p w:rsidR="00EB249F" w:rsidRPr="00EB249F" w:rsidRDefault="00EB249F" w:rsidP="00EB249F">
            <w:pPr>
              <w:jc w:val="center"/>
            </w:pPr>
            <w:r w:rsidRPr="00EB249F">
              <w:t>0.5</w:t>
            </w:r>
          </w:p>
        </w:tc>
      </w:tr>
      <w:tr w:rsidR="00EB249F" w:rsidRPr="00EB249F" w:rsidTr="006D35B9">
        <w:tc>
          <w:tcPr>
            <w:tcW w:w="3978" w:type="dxa"/>
          </w:tcPr>
          <w:p w:rsidR="00EB249F" w:rsidRPr="00EB249F" w:rsidRDefault="00EB249F" w:rsidP="00EB249F">
            <w:r w:rsidRPr="00EB249F">
              <w:t>§373.4 Standard Risk Retention – Vertical Interest</w:t>
            </w:r>
          </w:p>
        </w:tc>
        <w:tc>
          <w:tcPr>
            <w:tcW w:w="1260" w:type="dxa"/>
            <w:vAlign w:val="center"/>
          </w:tcPr>
          <w:p w:rsidR="00EB249F" w:rsidRPr="00EB249F" w:rsidRDefault="00EB249F" w:rsidP="00EB249F">
            <w:pPr>
              <w:jc w:val="center"/>
            </w:pPr>
            <w:r w:rsidRPr="00EB249F">
              <w:t>40</w:t>
            </w:r>
          </w:p>
        </w:tc>
        <w:tc>
          <w:tcPr>
            <w:tcW w:w="1260" w:type="dxa"/>
            <w:vAlign w:val="center"/>
          </w:tcPr>
          <w:p w:rsidR="00EB249F" w:rsidRPr="00EB249F" w:rsidRDefault="00EB249F" w:rsidP="00EB249F">
            <w:pPr>
              <w:jc w:val="center"/>
            </w:pPr>
            <w:r w:rsidRPr="00EB249F">
              <w:t>1</w:t>
            </w:r>
          </w:p>
        </w:tc>
        <w:tc>
          <w:tcPr>
            <w:tcW w:w="1620" w:type="dxa"/>
            <w:vAlign w:val="center"/>
          </w:tcPr>
          <w:p w:rsidR="00EB249F" w:rsidRPr="00EB249F" w:rsidRDefault="00EB249F" w:rsidP="00EB249F">
            <w:pPr>
              <w:jc w:val="center"/>
            </w:pPr>
            <w:r w:rsidRPr="00EB249F">
              <w:t>0.5</w:t>
            </w:r>
          </w:p>
        </w:tc>
        <w:tc>
          <w:tcPr>
            <w:tcW w:w="1458" w:type="dxa"/>
            <w:vAlign w:val="center"/>
          </w:tcPr>
          <w:p w:rsidR="00EB249F" w:rsidRPr="00EB249F" w:rsidRDefault="00EB249F" w:rsidP="00EB249F">
            <w:pPr>
              <w:jc w:val="center"/>
            </w:pPr>
            <w:r w:rsidRPr="00EB249F">
              <w:t>20</w:t>
            </w:r>
          </w:p>
        </w:tc>
      </w:tr>
      <w:tr w:rsidR="00EB249F" w:rsidRPr="00EB249F" w:rsidTr="006D35B9">
        <w:tc>
          <w:tcPr>
            <w:tcW w:w="3978" w:type="dxa"/>
          </w:tcPr>
          <w:p w:rsidR="00EB249F" w:rsidRPr="00EB249F" w:rsidRDefault="00EB249F" w:rsidP="00EB249F">
            <w:r w:rsidRPr="00EB249F">
              <w:t>§373.4 Standard Risk Retention – Combined Interest</w:t>
            </w:r>
          </w:p>
        </w:tc>
        <w:tc>
          <w:tcPr>
            <w:tcW w:w="1260" w:type="dxa"/>
            <w:vAlign w:val="center"/>
          </w:tcPr>
          <w:p w:rsidR="00EB249F" w:rsidRPr="00EB249F" w:rsidRDefault="00EB249F" w:rsidP="00EB249F">
            <w:pPr>
              <w:jc w:val="center"/>
            </w:pPr>
            <w:r w:rsidRPr="00EB249F">
              <w:t>4</w:t>
            </w:r>
          </w:p>
        </w:tc>
        <w:tc>
          <w:tcPr>
            <w:tcW w:w="1260" w:type="dxa"/>
            <w:vAlign w:val="center"/>
          </w:tcPr>
          <w:p w:rsidR="00EB249F" w:rsidRPr="00EB249F" w:rsidRDefault="00EB249F" w:rsidP="00EB249F">
            <w:pPr>
              <w:jc w:val="center"/>
            </w:pPr>
            <w:r w:rsidRPr="00EB249F">
              <w:t>1</w:t>
            </w:r>
          </w:p>
        </w:tc>
        <w:tc>
          <w:tcPr>
            <w:tcW w:w="1620" w:type="dxa"/>
            <w:vAlign w:val="center"/>
          </w:tcPr>
          <w:p w:rsidR="00EB249F" w:rsidRPr="00EB249F" w:rsidRDefault="00EB249F" w:rsidP="00EB249F">
            <w:pPr>
              <w:jc w:val="center"/>
            </w:pPr>
            <w:r w:rsidRPr="00EB249F">
              <w:t>0.5</w:t>
            </w:r>
          </w:p>
        </w:tc>
        <w:tc>
          <w:tcPr>
            <w:tcW w:w="1458" w:type="dxa"/>
            <w:vAlign w:val="center"/>
          </w:tcPr>
          <w:p w:rsidR="00EB249F" w:rsidRPr="00EB249F" w:rsidRDefault="00EB249F" w:rsidP="00EB249F">
            <w:pPr>
              <w:jc w:val="center"/>
            </w:pPr>
            <w:r w:rsidRPr="00EB249F">
              <w:t>2</w:t>
            </w:r>
          </w:p>
        </w:tc>
      </w:tr>
      <w:tr w:rsidR="00EB249F" w:rsidRPr="00EB249F" w:rsidTr="006D35B9">
        <w:tc>
          <w:tcPr>
            <w:tcW w:w="3978" w:type="dxa"/>
          </w:tcPr>
          <w:p w:rsidR="00EB249F" w:rsidRPr="00EB249F" w:rsidRDefault="00EB249F" w:rsidP="00EB249F">
            <w:r w:rsidRPr="00EB249F">
              <w:t>§373.5 Revolving Master Trusts</w:t>
            </w:r>
          </w:p>
        </w:tc>
        <w:tc>
          <w:tcPr>
            <w:tcW w:w="1260" w:type="dxa"/>
            <w:vAlign w:val="center"/>
          </w:tcPr>
          <w:p w:rsidR="00EB249F" w:rsidRPr="00EB249F" w:rsidRDefault="00EB249F" w:rsidP="00EB249F">
            <w:pPr>
              <w:jc w:val="center"/>
            </w:pPr>
            <w:r w:rsidRPr="00EB249F">
              <w:t>15</w:t>
            </w:r>
          </w:p>
        </w:tc>
        <w:tc>
          <w:tcPr>
            <w:tcW w:w="1260" w:type="dxa"/>
            <w:vAlign w:val="center"/>
          </w:tcPr>
          <w:p w:rsidR="00EB249F" w:rsidRPr="00EB249F" w:rsidRDefault="00EB249F" w:rsidP="00EB249F">
            <w:pPr>
              <w:jc w:val="center"/>
            </w:pPr>
            <w:r w:rsidRPr="00EB249F">
              <w:t>1</w:t>
            </w:r>
          </w:p>
        </w:tc>
        <w:tc>
          <w:tcPr>
            <w:tcW w:w="1620" w:type="dxa"/>
            <w:vAlign w:val="center"/>
          </w:tcPr>
          <w:p w:rsidR="00EB249F" w:rsidRPr="00EB249F" w:rsidRDefault="00EB249F" w:rsidP="00EB249F">
            <w:pPr>
              <w:jc w:val="center"/>
            </w:pPr>
            <w:r w:rsidRPr="00EB249F">
              <w:t>0.5</w:t>
            </w:r>
          </w:p>
        </w:tc>
        <w:tc>
          <w:tcPr>
            <w:tcW w:w="1458" w:type="dxa"/>
            <w:vAlign w:val="center"/>
          </w:tcPr>
          <w:p w:rsidR="00EB249F" w:rsidRPr="00EB249F" w:rsidRDefault="00EB249F" w:rsidP="00EB249F">
            <w:pPr>
              <w:jc w:val="center"/>
            </w:pPr>
            <w:r w:rsidRPr="00EB249F">
              <w:t>7.5</w:t>
            </w:r>
          </w:p>
        </w:tc>
      </w:tr>
      <w:tr w:rsidR="00EB249F" w:rsidRPr="00EB249F" w:rsidTr="006D35B9">
        <w:tc>
          <w:tcPr>
            <w:tcW w:w="3978" w:type="dxa"/>
          </w:tcPr>
          <w:p w:rsidR="00EB249F" w:rsidRPr="00EB249F" w:rsidRDefault="00EB249F" w:rsidP="00EB249F">
            <w:r w:rsidRPr="00EB249F">
              <w:t>§373.6 Eligible ABCP Conduits</w:t>
            </w:r>
          </w:p>
        </w:tc>
        <w:tc>
          <w:tcPr>
            <w:tcW w:w="1260" w:type="dxa"/>
            <w:vAlign w:val="center"/>
          </w:tcPr>
          <w:p w:rsidR="00EB249F" w:rsidRPr="00EB249F" w:rsidRDefault="00EB249F" w:rsidP="00EB249F">
            <w:pPr>
              <w:jc w:val="center"/>
            </w:pPr>
            <w:r w:rsidRPr="00EB249F">
              <w:t>15</w:t>
            </w:r>
          </w:p>
        </w:tc>
        <w:tc>
          <w:tcPr>
            <w:tcW w:w="1260" w:type="dxa"/>
            <w:vAlign w:val="center"/>
          </w:tcPr>
          <w:p w:rsidR="00EB249F" w:rsidRPr="00EB249F" w:rsidRDefault="00EB249F" w:rsidP="00EB249F">
            <w:pPr>
              <w:jc w:val="center"/>
            </w:pPr>
            <w:r w:rsidRPr="00EB249F">
              <w:t>1</w:t>
            </w:r>
          </w:p>
        </w:tc>
        <w:tc>
          <w:tcPr>
            <w:tcW w:w="1620" w:type="dxa"/>
            <w:vAlign w:val="center"/>
          </w:tcPr>
          <w:p w:rsidR="00EB249F" w:rsidRPr="00EB249F" w:rsidRDefault="00EB249F" w:rsidP="00EB249F">
            <w:pPr>
              <w:jc w:val="center"/>
            </w:pPr>
            <w:r w:rsidRPr="00EB249F">
              <w:t>20.0</w:t>
            </w:r>
          </w:p>
        </w:tc>
        <w:tc>
          <w:tcPr>
            <w:tcW w:w="1458" w:type="dxa"/>
            <w:vAlign w:val="center"/>
          </w:tcPr>
          <w:p w:rsidR="00EB249F" w:rsidRPr="00EB249F" w:rsidRDefault="00EB249F" w:rsidP="00EB249F">
            <w:pPr>
              <w:jc w:val="center"/>
            </w:pPr>
            <w:r w:rsidRPr="00EB249F">
              <w:t>300</w:t>
            </w:r>
          </w:p>
        </w:tc>
      </w:tr>
      <w:tr w:rsidR="00EB249F" w:rsidRPr="00EB249F" w:rsidTr="006D35B9">
        <w:tc>
          <w:tcPr>
            <w:tcW w:w="3978" w:type="dxa"/>
          </w:tcPr>
          <w:p w:rsidR="00EB249F" w:rsidRPr="00EB249F" w:rsidRDefault="00EB249F" w:rsidP="00EB249F">
            <w:r w:rsidRPr="00EB249F">
              <w:t>§373.7 Commercial MBS</w:t>
            </w:r>
          </w:p>
        </w:tc>
        <w:tc>
          <w:tcPr>
            <w:tcW w:w="1260" w:type="dxa"/>
            <w:vAlign w:val="center"/>
          </w:tcPr>
          <w:p w:rsidR="00EB249F" w:rsidRPr="00EB249F" w:rsidRDefault="00EB249F" w:rsidP="00EB249F">
            <w:pPr>
              <w:jc w:val="center"/>
            </w:pPr>
            <w:r w:rsidRPr="00EB249F">
              <w:t>15</w:t>
            </w:r>
          </w:p>
        </w:tc>
        <w:tc>
          <w:tcPr>
            <w:tcW w:w="1260" w:type="dxa"/>
            <w:vAlign w:val="center"/>
          </w:tcPr>
          <w:p w:rsidR="00EB249F" w:rsidRPr="00EB249F" w:rsidRDefault="00EB249F" w:rsidP="00EB249F">
            <w:pPr>
              <w:jc w:val="center"/>
            </w:pPr>
            <w:r w:rsidRPr="00EB249F">
              <w:t>1</w:t>
            </w:r>
          </w:p>
        </w:tc>
        <w:tc>
          <w:tcPr>
            <w:tcW w:w="1620" w:type="dxa"/>
            <w:vAlign w:val="center"/>
          </w:tcPr>
          <w:p w:rsidR="00EB249F" w:rsidRPr="00EB249F" w:rsidRDefault="00EB249F" w:rsidP="00EB249F">
            <w:pPr>
              <w:jc w:val="center"/>
            </w:pPr>
            <w:r w:rsidRPr="00EB249F">
              <w:t>30.0</w:t>
            </w:r>
          </w:p>
        </w:tc>
        <w:tc>
          <w:tcPr>
            <w:tcW w:w="1458" w:type="dxa"/>
            <w:vAlign w:val="center"/>
          </w:tcPr>
          <w:p w:rsidR="00EB249F" w:rsidRPr="00EB249F" w:rsidRDefault="00EB249F" w:rsidP="00EB249F">
            <w:pPr>
              <w:jc w:val="center"/>
            </w:pPr>
            <w:r w:rsidRPr="00EB249F">
              <w:t>450</w:t>
            </w:r>
          </w:p>
        </w:tc>
      </w:tr>
      <w:tr w:rsidR="00EB249F" w:rsidRPr="00EB249F" w:rsidTr="006D35B9">
        <w:tc>
          <w:tcPr>
            <w:tcW w:w="3978" w:type="dxa"/>
          </w:tcPr>
          <w:p w:rsidR="00EB249F" w:rsidRPr="00EB249F" w:rsidRDefault="00EB249F" w:rsidP="00EB249F"/>
        </w:tc>
        <w:tc>
          <w:tcPr>
            <w:tcW w:w="1260" w:type="dxa"/>
            <w:vAlign w:val="center"/>
          </w:tcPr>
          <w:p w:rsidR="00EB249F" w:rsidRPr="00EB249F" w:rsidRDefault="00EB249F" w:rsidP="00EB249F">
            <w:pPr>
              <w:jc w:val="center"/>
            </w:pPr>
          </w:p>
        </w:tc>
        <w:tc>
          <w:tcPr>
            <w:tcW w:w="1260" w:type="dxa"/>
            <w:vAlign w:val="center"/>
          </w:tcPr>
          <w:p w:rsidR="00EB249F" w:rsidRPr="00EB249F" w:rsidRDefault="00EB249F" w:rsidP="00EB249F">
            <w:pPr>
              <w:jc w:val="center"/>
            </w:pPr>
          </w:p>
        </w:tc>
        <w:tc>
          <w:tcPr>
            <w:tcW w:w="1620" w:type="dxa"/>
            <w:vAlign w:val="center"/>
          </w:tcPr>
          <w:p w:rsidR="00EB249F" w:rsidRPr="00EB249F" w:rsidRDefault="00EB249F" w:rsidP="00EB249F">
            <w:pPr>
              <w:jc w:val="center"/>
            </w:pPr>
          </w:p>
        </w:tc>
        <w:tc>
          <w:tcPr>
            <w:tcW w:w="1458" w:type="dxa"/>
            <w:vAlign w:val="center"/>
          </w:tcPr>
          <w:p w:rsidR="00EB249F" w:rsidRPr="00EB249F" w:rsidRDefault="00EB249F" w:rsidP="00EB249F">
            <w:pPr>
              <w:jc w:val="center"/>
            </w:pPr>
          </w:p>
        </w:tc>
      </w:tr>
      <w:tr w:rsidR="00EB249F" w:rsidRPr="00EB249F" w:rsidTr="006D35B9">
        <w:tc>
          <w:tcPr>
            <w:tcW w:w="3978" w:type="dxa"/>
          </w:tcPr>
          <w:p w:rsidR="00EB249F" w:rsidRPr="00EB249F" w:rsidRDefault="00EB249F" w:rsidP="00EB249F">
            <w:r w:rsidRPr="00EB249F">
              <w:t>Subpart C</w:t>
            </w:r>
          </w:p>
        </w:tc>
        <w:tc>
          <w:tcPr>
            <w:tcW w:w="1260" w:type="dxa"/>
            <w:vAlign w:val="center"/>
          </w:tcPr>
          <w:p w:rsidR="00EB249F" w:rsidRPr="00EB249F" w:rsidRDefault="00EB249F" w:rsidP="00EB249F">
            <w:pPr>
              <w:jc w:val="center"/>
            </w:pPr>
          </w:p>
        </w:tc>
        <w:tc>
          <w:tcPr>
            <w:tcW w:w="1260" w:type="dxa"/>
            <w:vAlign w:val="center"/>
          </w:tcPr>
          <w:p w:rsidR="00EB249F" w:rsidRPr="00EB249F" w:rsidRDefault="00EB249F" w:rsidP="00EB249F">
            <w:pPr>
              <w:jc w:val="center"/>
            </w:pPr>
          </w:p>
        </w:tc>
        <w:tc>
          <w:tcPr>
            <w:tcW w:w="1620" w:type="dxa"/>
            <w:vAlign w:val="center"/>
          </w:tcPr>
          <w:p w:rsidR="00EB249F" w:rsidRPr="00EB249F" w:rsidRDefault="00EB249F" w:rsidP="00EB249F">
            <w:pPr>
              <w:jc w:val="center"/>
            </w:pPr>
          </w:p>
        </w:tc>
        <w:tc>
          <w:tcPr>
            <w:tcW w:w="1458" w:type="dxa"/>
            <w:vAlign w:val="center"/>
          </w:tcPr>
          <w:p w:rsidR="00EB249F" w:rsidRPr="00EB249F" w:rsidRDefault="00EB249F" w:rsidP="00EB249F">
            <w:pPr>
              <w:jc w:val="center"/>
            </w:pPr>
          </w:p>
        </w:tc>
      </w:tr>
      <w:tr w:rsidR="00EB249F" w:rsidRPr="00EB249F" w:rsidTr="006D35B9">
        <w:tc>
          <w:tcPr>
            <w:tcW w:w="3978" w:type="dxa"/>
          </w:tcPr>
          <w:p w:rsidR="00EB249F" w:rsidRPr="00EB249F" w:rsidRDefault="00EB249F" w:rsidP="00EB249F">
            <w:r w:rsidRPr="00EB249F">
              <w:t>§373.11 Allocation of Risk Retention to an Originator</w:t>
            </w:r>
          </w:p>
        </w:tc>
        <w:tc>
          <w:tcPr>
            <w:tcW w:w="1260" w:type="dxa"/>
            <w:vAlign w:val="center"/>
          </w:tcPr>
          <w:p w:rsidR="00EB249F" w:rsidRPr="00EB249F" w:rsidRDefault="00EB249F" w:rsidP="00EB249F">
            <w:pPr>
              <w:jc w:val="center"/>
            </w:pPr>
            <w:r w:rsidRPr="00EB249F">
              <w:t>3</w:t>
            </w:r>
          </w:p>
        </w:tc>
        <w:tc>
          <w:tcPr>
            <w:tcW w:w="1260" w:type="dxa"/>
            <w:vAlign w:val="center"/>
          </w:tcPr>
          <w:p w:rsidR="00EB249F" w:rsidRPr="00EB249F" w:rsidRDefault="00EB249F" w:rsidP="00EB249F">
            <w:pPr>
              <w:jc w:val="center"/>
            </w:pPr>
            <w:r w:rsidRPr="00EB249F">
              <w:t>1</w:t>
            </w:r>
          </w:p>
        </w:tc>
        <w:tc>
          <w:tcPr>
            <w:tcW w:w="1620" w:type="dxa"/>
            <w:vAlign w:val="center"/>
          </w:tcPr>
          <w:p w:rsidR="00EB249F" w:rsidRPr="00EB249F" w:rsidRDefault="00EB249F" w:rsidP="00EB249F">
            <w:pPr>
              <w:jc w:val="center"/>
            </w:pPr>
            <w:r w:rsidRPr="00EB249F">
              <w:t>20.0</w:t>
            </w:r>
          </w:p>
        </w:tc>
        <w:tc>
          <w:tcPr>
            <w:tcW w:w="1458" w:type="dxa"/>
            <w:vAlign w:val="center"/>
          </w:tcPr>
          <w:p w:rsidR="00EB249F" w:rsidRPr="00EB249F" w:rsidRDefault="00EB249F" w:rsidP="00EB249F">
            <w:pPr>
              <w:jc w:val="center"/>
            </w:pPr>
            <w:r w:rsidRPr="00EB249F">
              <w:t>60</w:t>
            </w:r>
          </w:p>
        </w:tc>
      </w:tr>
      <w:tr w:rsidR="00EB249F" w:rsidRPr="00EB249F" w:rsidTr="006D35B9">
        <w:tc>
          <w:tcPr>
            <w:tcW w:w="3978" w:type="dxa"/>
          </w:tcPr>
          <w:p w:rsidR="00EB249F" w:rsidRPr="00EB249F" w:rsidRDefault="00EB249F" w:rsidP="00EB249F"/>
        </w:tc>
        <w:tc>
          <w:tcPr>
            <w:tcW w:w="1260" w:type="dxa"/>
            <w:vAlign w:val="center"/>
          </w:tcPr>
          <w:p w:rsidR="00EB249F" w:rsidRPr="00EB249F" w:rsidRDefault="00EB249F" w:rsidP="00EB249F">
            <w:pPr>
              <w:jc w:val="center"/>
            </w:pPr>
          </w:p>
        </w:tc>
        <w:tc>
          <w:tcPr>
            <w:tcW w:w="1260" w:type="dxa"/>
            <w:vAlign w:val="center"/>
          </w:tcPr>
          <w:p w:rsidR="00EB249F" w:rsidRPr="00EB249F" w:rsidRDefault="00EB249F" w:rsidP="00EB249F">
            <w:pPr>
              <w:jc w:val="center"/>
            </w:pPr>
          </w:p>
        </w:tc>
        <w:tc>
          <w:tcPr>
            <w:tcW w:w="1620" w:type="dxa"/>
            <w:vAlign w:val="center"/>
          </w:tcPr>
          <w:p w:rsidR="00EB249F" w:rsidRPr="00EB249F" w:rsidRDefault="00EB249F" w:rsidP="00EB249F">
            <w:pPr>
              <w:jc w:val="center"/>
            </w:pPr>
          </w:p>
        </w:tc>
        <w:tc>
          <w:tcPr>
            <w:tcW w:w="1458" w:type="dxa"/>
            <w:vAlign w:val="center"/>
          </w:tcPr>
          <w:p w:rsidR="00EB249F" w:rsidRPr="00EB249F" w:rsidRDefault="00EB249F" w:rsidP="00EB249F">
            <w:pPr>
              <w:jc w:val="center"/>
            </w:pPr>
          </w:p>
        </w:tc>
      </w:tr>
      <w:tr w:rsidR="00EB249F" w:rsidRPr="00EB249F" w:rsidTr="006D35B9">
        <w:tc>
          <w:tcPr>
            <w:tcW w:w="3978" w:type="dxa"/>
          </w:tcPr>
          <w:p w:rsidR="00EB249F" w:rsidRPr="00EB249F" w:rsidRDefault="00EB249F" w:rsidP="00EB249F">
            <w:r w:rsidRPr="00EB249F">
              <w:t>Subpart D</w:t>
            </w:r>
          </w:p>
        </w:tc>
        <w:tc>
          <w:tcPr>
            <w:tcW w:w="1260" w:type="dxa"/>
            <w:vAlign w:val="center"/>
          </w:tcPr>
          <w:p w:rsidR="00EB249F" w:rsidRPr="00EB249F" w:rsidRDefault="00EB249F" w:rsidP="00EB249F">
            <w:pPr>
              <w:jc w:val="center"/>
            </w:pPr>
          </w:p>
        </w:tc>
        <w:tc>
          <w:tcPr>
            <w:tcW w:w="1260" w:type="dxa"/>
            <w:vAlign w:val="center"/>
          </w:tcPr>
          <w:p w:rsidR="00EB249F" w:rsidRPr="00EB249F" w:rsidRDefault="00EB249F" w:rsidP="00EB249F">
            <w:pPr>
              <w:jc w:val="center"/>
            </w:pPr>
          </w:p>
        </w:tc>
        <w:tc>
          <w:tcPr>
            <w:tcW w:w="1620" w:type="dxa"/>
            <w:vAlign w:val="center"/>
          </w:tcPr>
          <w:p w:rsidR="00EB249F" w:rsidRPr="00EB249F" w:rsidRDefault="00EB249F" w:rsidP="00EB249F">
            <w:pPr>
              <w:jc w:val="center"/>
            </w:pPr>
          </w:p>
        </w:tc>
        <w:tc>
          <w:tcPr>
            <w:tcW w:w="1458" w:type="dxa"/>
            <w:vAlign w:val="center"/>
          </w:tcPr>
          <w:p w:rsidR="00EB249F" w:rsidRPr="00EB249F" w:rsidRDefault="00EB249F" w:rsidP="00EB249F">
            <w:pPr>
              <w:jc w:val="center"/>
            </w:pPr>
          </w:p>
        </w:tc>
      </w:tr>
      <w:tr w:rsidR="00EB249F" w:rsidRPr="00EB249F" w:rsidTr="006D35B9">
        <w:tc>
          <w:tcPr>
            <w:tcW w:w="3978" w:type="dxa"/>
          </w:tcPr>
          <w:p w:rsidR="00EB249F" w:rsidRPr="00EB249F" w:rsidRDefault="00EB249F" w:rsidP="00EB249F">
            <w:r w:rsidRPr="00EB249F">
              <w:t>§373.13 and .19(g) Exemption for Qualified Residential Mortgages</w:t>
            </w:r>
          </w:p>
        </w:tc>
        <w:tc>
          <w:tcPr>
            <w:tcW w:w="1260" w:type="dxa"/>
            <w:vAlign w:val="center"/>
          </w:tcPr>
          <w:p w:rsidR="00EB249F" w:rsidRPr="00EB249F" w:rsidRDefault="00EB249F" w:rsidP="00EB249F">
            <w:pPr>
              <w:jc w:val="center"/>
            </w:pPr>
            <w:r w:rsidRPr="00EB249F">
              <w:t>13</w:t>
            </w:r>
          </w:p>
        </w:tc>
        <w:tc>
          <w:tcPr>
            <w:tcW w:w="1260" w:type="dxa"/>
            <w:vAlign w:val="center"/>
          </w:tcPr>
          <w:p w:rsidR="00EB249F" w:rsidRPr="00EB249F" w:rsidRDefault="00EB249F" w:rsidP="00EB249F">
            <w:pPr>
              <w:jc w:val="center"/>
            </w:pPr>
            <w:r w:rsidRPr="00EB249F">
              <w:t>1</w:t>
            </w:r>
          </w:p>
        </w:tc>
        <w:tc>
          <w:tcPr>
            <w:tcW w:w="1620" w:type="dxa"/>
            <w:vAlign w:val="center"/>
          </w:tcPr>
          <w:p w:rsidR="00EB249F" w:rsidRPr="00EB249F" w:rsidRDefault="00EB249F" w:rsidP="00EB249F">
            <w:pPr>
              <w:jc w:val="center"/>
            </w:pPr>
            <w:r w:rsidRPr="00EB249F">
              <w:t>40.0</w:t>
            </w:r>
          </w:p>
        </w:tc>
        <w:tc>
          <w:tcPr>
            <w:tcW w:w="1458" w:type="dxa"/>
            <w:vAlign w:val="center"/>
          </w:tcPr>
          <w:p w:rsidR="00EB249F" w:rsidRPr="00EB249F" w:rsidRDefault="00EB249F" w:rsidP="00EB249F">
            <w:pPr>
              <w:jc w:val="center"/>
            </w:pPr>
            <w:r w:rsidRPr="00EB249F">
              <w:t>520</w:t>
            </w:r>
          </w:p>
        </w:tc>
      </w:tr>
      <w:tr w:rsidR="00EB249F" w:rsidRPr="00EB249F" w:rsidTr="006D35B9">
        <w:tc>
          <w:tcPr>
            <w:tcW w:w="3978" w:type="dxa"/>
          </w:tcPr>
          <w:p w:rsidR="00EB249F" w:rsidRPr="00EB249F" w:rsidRDefault="00EB249F" w:rsidP="00EB249F">
            <w:r w:rsidRPr="00EB249F">
              <w:t>§373.15 Exemption for Qualifying Commercial Loans, Commercial Real Estate and Automobile Loans</w:t>
            </w:r>
          </w:p>
        </w:tc>
        <w:tc>
          <w:tcPr>
            <w:tcW w:w="1260" w:type="dxa"/>
            <w:vAlign w:val="center"/>
          </w:tcPr>
          <w:p w:rsidR="00EB249F" w:rsidRPr="00EB249F" w:rsidRDefault="00EB249F" w:rsidP="00EB249F">
            <w:pPr>
              <w:jc w:val="center"/>
            </w:pPr>
            <w:r w:rsidRPr="00EB249F">
              <w:t>16</w:t>
            </w:r>
          </w:p>
        </w:tc>
        <w:tc>
          <w:tcPr>
            <w:tcW w:w="1260" w:type="dxa"/>
            <w:vAlign w:val="center"/>
          </w:tcPr>
          <w:p w:rsidR="00EB249F" w:rsidRPr="00EB249F" w:rsidRDefault="00EB249F" w:rsidP="00EB249F">
            <w:pPr>
              <w:jc w:val="center"/>
            </w:pPr>
            <w:r w:rsidRPr="00EB249F">
              <w:t>1</w:t>
            </w:r>
          </w:p>
        </w:tc>
        <w:tc>
          <w:tcPr>
            <w:tcW w:w="1620" w:type="dxa"/>
            <w:vAlign w:val="center"/>
          </w:tcPr>
          <w:p w:rsidR="00EB249F" w:rsidRPr="00EB249F" w:rsidRDefault="00EB249F" w:rsidP="00EB249F">
            <w:pPr>
              <w:jc w:val="center"/>
            </w:pPr>
            <w:r w:rsidRPr="00EB249F">
              <w:t>0.5</w:t>
            </w:r>
          </w:p>
        </w:tc>
        <w:tc>
          <w:tcPr>
            <w:tcW w:w="1458" w:type="dxa"/>
            <w:vAlign w:val="center"/>
          </w:tcPr>
          <w:p w:rsidR="00EB249F" w:rsidRPr="00EB249F" w:rsidRDefault="00EB249F" w:rsidP="00EB249F">
            <w:pPr>
              <w:jc w:val="center"/>
            </w:pPr>
            <w:r w:rsidRPr="00EB249F">
              <w:t>8</w:t>
            </w:r>
          </w:p>
        </w:tc>
      </w:tr>
      <w:tr w:rsidR="00EB249F" w:rsidRPr="00EB249F" w:rsidTr="006D35B9">
        <w:tc>
          <w:tcPr>
            <w:tcW w:w="3978" w:type="dxa"/>
          </w:tcPr>
          <w:p w:rsidR="00EB249F" w:rsidRPr="00EB249F" w:rsidRDefault="00EB249F" w:rsidP="00EB249F">
            <w:r w:rsidRPr="00EB249F">
              <w:t>§373.16 Underwriting Standards for Qualifying Commercial Loans</w:t>
            </w:r>
          </w:p>
        </w:tc>
        <w:tc>
          <w:tcPr>
            <w:tcW w:w="1260" w:type="dxa"/>
            <w:vAlign w:val="center"/>
          </w:tcPr>
          <w:p w:rsidR="00EB249F" w:rsidRPr="00EB249F" w:rsidRDefault="00EB249F" w:rsidP="00EB249F">
            <w:pPr>
              <w:jc w:val="center"/>
            </w:pPr>
            <w:r w:rsidRPr="00EB249F">
              <w:t>6</w:t>
            </w:r>
          </w:p>
        </w:tc>
        <w:tc>
          <w:tcPr>
            <w:tcW w:w="1260" w:type="dxa"/>
            <w:vAlign w:val="center"/>
          </w:tcPr>
          <w:p w:rsidR="00EB249F" w:rsidRPr="00EB249F" w:rsidRDefault="00EB249F" w:rsidP="00EB249F">
            <w:pPr>
              <w:jc w:val="center"/>
            </w:pPr>
            <w:r w:rsidRPr="00EB249F">
              <w:t>1</w:t>
            </w:r>
          </w:p>
        </w:tc>
        <w:tc>
          <w:tcPr>
            <w:tcW w:w="1620" w:type="dxa"/>
            <w:vAlign w:val="center"/>
          </w:tcPr>
          <w:p w:rsidR="00EB249F" w:rsidRPr="00EB249F" w:rsidRDefault="00EB249F" w:rsidP="00EB249F">
            <w:pPr>
              <w:jc w:val="center"/>
            </w:pPr>
            <w:r w:rsidRPr="00EB249F">
              <w:t>40.0</w:t>
            </w:r>
          </w:p>
        </w:tc>
        <w:tc>
          <w:tcPr>
            <w:tcW w:w="1458" w:type="dxa"/>
            <w:vAlign w:val="center"/>
          </w:tcPr>
          <w:p w:rsidR="00EB249F" w:rsidRPr="00EB249F" w:rsidRDefault="00EB249F" w:rsidP="00EB249F">
            <w:pPr>
              <w:jc w:val="center"/>
            </w:pPr>
            <w:r w:rsidRPr="00EB249F">
              <w:t>240</w:t>
            </w:r>
          </w:p>
        </w:tc>
      </w:tr>
      <w:tr w:rsidR="00EB249F" w:rsidRPr="00EB249F" w:rsidTr="006D35B9">
        <w:tc>
          <w:tcPr>
            <w:tcW w:w="3978" w:type="dxa"/>
          </w:tcPr>
          <w:p w:rsidR="00EB249F" w:rsidRPr="00EB249F" w:rsidRDefault="00EB249F" w:rsidP="00EB249F">
            <w:r w:rsidRPr="00EB249F">
              <w:t>§373.17 Underwriting Standards for Qualifying CRE Loans</w:t>
            </w:r>
          </w:p>
        </w:tc>
        <w:tc>
          <w:tcPr>
            <w:tcW w:w="1260" w:type="dxa"/>
            <w:vAlign w:val="center"/>
          </w:tcPr>
          <w:p w:rsidR="00EB249F" w:rsidRPr="00EB249F" w:rsidRDefault="00EB249F" w:rsidP="00EB249F">
            <w:pPr>
              <w:jc w:val="center"/>
            </w:pPr>
            <w:r w:rsidRPr="00EB249F">
              <w:t>6</w:t>
            </w:r>
          </w:p>
        </w:tc>
        <w:tc>
          <w:tcPr>
            <w:tcW w:w="1260" w:type="dxa"/>
            <w:vAlign w:val="center"/>
          </w:tcPr>
          <w:p w:rsidR="00EB249F" w:rsidRPr="00EB249F" w:rsidRDefault="00EB249F" w:rsidP="00EB249F">
            <w:pPr>
              <w:jc w:val="center"/>
            </w:pPr>
            <w:r w:rsidRPr="00EB249F">
              <w:t>1</w:t>
            </w:r>
          </w:p>
        </w:tc>
        <w:tc>
          <w:tcPr>
            <w:tcW w:w="1620" w:type="dxa"/>
            <w:vAlign w:val="center"/>
          </w:tcPr>
          <w:p w:rsidR="00EB249F" w:rsidRPr="00EB249F" w:rsidRDefault="00EB249F" w:rsidP="00EB249F">
            <w:pPr>
              <w:jc w:val="center"/>
            </w:pPr>
            <w:r w:rsidRPr="00EB249F">
              <w:t>40.0</w:t>
            </w:r>
          </w:p>
        </w:tc>
        <w:tc>
          <w:tcPr>
            <w:tcW w:w="1458" w:type="dxa"/>
            <w:vAlign w:val="center"/>
          </w:tcPr>
          <w:p w:rsidR="00EB249F" w:rsidRPr="00EB249F" w:rsidRDefault="00EB249F" w:rsidP="00EB249F">
            <w:pPr>
              <w:jc w:val="center"/>
            </w:pPr>
            <w:r w:rsidRPr="00EB249F">
              <w:t>240</w:t>
            </w:r>
          </w:p>
        </w:tc>
      </w:tr>
      <w:tr w:rsidR="00EB249F" w:rsidRPr="00EB249F" w:rsidTr="006D35B9">
        <w:tc>
          <w:tcPr>
            <w:tcW w:w="3978" w:type="dxa"/>
          </w:tcPr>
          <w:p w:rsidR="00EB249F" w:rsidRPr="00EB249F" w:rsidRDefault="00EB249F" w:rsidP="00EB249F">
            <w:r w:rsidRPr="00EB249F">
              <w:t>§373.18 Underwriting Standards for Qualifying Automobile Loans</w:t>
            </w:r>
          </w:p>
        </w:tc>
        <w:tc>
          <w:tcPr>
            <w:tcW w:w="1260" w:type="dxa"/>
            <w:vAlign w:val="center"/>
          </w:tcPr>
          <w:p w:rsidR="00EB249F" w:rsidRPr="00EB249F" w:rsidRDefault="00EB249F" w:rsidP="00EB249F">
            <w:pPr>
              <w:jc w:val="center"/>
            </w:pPr>
            <w:r w:rsidRPr="00EB249F">
              <w:t>6</w:t>
            </w:r>
          </w:p>
        </w:tc>
        <w:tc>
          <w:tcPr>
            <w:tcW w:w="1260" w:type="dxa"/>
            <w:vAlign w:val="center"/>
          </w:tcPr>
          <w:p w:rsidR="00EB249F" w:rsidRPr="00EB249F" w:rsidRDefault="00EB249F" w:rsidP="00EB249F">
            <w:pPr>
              <w:jc w:val="center"/>
            </w:pPr>
            <w:r w:rsidRPr="00EB249F">
              <w:t>1</w:t>
            </w:r>
          </w:p>
        </w:tc>
        <w:tc>
          <w:tcPr>
            <w:tcW w:w="1620" w:type="dxa"/>
            <w:vAlign w:val="center"/>
          </w:tcPr>
          <w:p w:rsidR="00EB249F" w:rsidRPr="00EB249F" w:rsidRDefault="00EB249F" w:rsidP="00EB249F">
            <w:pPr>
              <w:jc w:val="center"/>
            </w:pPr>
            <w:r w:rsidRPr="00EB249F">
              <w:t>400</w:t>
            </w:r>
          </w:p>
        </w:tc>
        <w:tc>
          <w:tcPr>
            <w:tcW w:w="1458" w:type="dxa"/>
            <w:vAlign w:val="center"/>
          </w:tcPr>
          <w:p w:rsidR="00EB249F" w:rsidRPr="00EB249F" w:rsidRDefault="00EB249F" w:rsidP="00EB249F">
            <w:pPr>
              <w:jc w:val="center"/>
            </w:pPr>
            <w:r w:rsidRPr="00EB249F">
              <w:t>240</w:t>
            </w:r>
          </w:p>
        </w:tc>
      </w:tr>
      <w:tr w:rsidR="00EB249F" w:rsidRPr="00EB249F" w:rsidTr="006D35B9">
        <w:tc>
          <w:tcPr>
            <w:tcW w:w="3978" w:type="dxa"/>
            <w:tcBorders>
              <w:bottom w:val="single" w:sz="4" w:space="0" w:color="auto"/>
            </w:tcBorders>
          </w:tcPr>
          <w:p w:rsidR="00EB249F" w:rsidRPr="00EB249F" w:rsidRDefault="00EB249F" w:rsidP="00EB249F">
            <w:pPr>
              <w:rPr>
                <w:b/>
              </w:rPr>
            </w:pPr>
            <w:r w:rsidRPr="00EB249F">
              <w:rPr>
                <w:b/>
              </w:rPr>
              <w:t>Total Estimated Recordkeeping Burden</w:t>
            </w:r>
          </w:p>
        </w:tc>
        <w:tc>
          <w:tcPr>
            <w:tcW w:w="1260" w:type="dxa"/>
            <w:tcBorders>
              <w:bottom w:val="single" w:sz="4" w:space="0" w:color="auto"/>
            </w:tcBorders>
            <w:vAlign w:val="center"/>
          </w:tcPr>
          <w:p w:rsidR="00EB249F" w:rsidRPr="00EB249F" w:rsidRDefault="00EB249F" w:rsidP="00EB249F">
            <w:pPr>
              <w:jc w:val="center"/>
            </w:pPr>
          </w:p>
        </w:tc>
        <w:tc>
          <w:tcPr>
            <w:tcW w:w="1260" w:type="dxa"/>
            <w:tcBorders>
              <w:bottom w:val="single" w:sz="4" w:space="0" w:color="auto"/>
            </w:tcBorders>
            <w:vAlign w:val="center"/>
          </w:tcPr>
          <w:p w:rsidR="00EB249F" w:rsidRPr="00EB249F" w:rsidRDefault="00EB249F" w:rsidP="00EB249F">
            <w:pPr>
              <w:jc w:val="center"/>
            </w:pPr>
          </w:p>
        </w:tc>
        <w:tc>
          <w:tcPr>
            <w:tcW w:w="1620" w:type="dxa"/>
            <w:tcBorders>
              <w:bottom w:val="single" w:sz="4" w:space="0" w:color="auto"/>
            </w:tcBorders>
            <w:vAlign w:val="center"/>
          </w:tcPr>
          <w:p w:rsidR="00EB249F" w:rsidRPr="00EB249F" w:rsidRDefault="00EB249F" w:rsidP="00EB249F">
            <w:pPr>
              <w:jc w:val="center"/>
            </w:pPr>
          </w:p>
        </w:tc>
        <w:tc>
          <w:tcPr>
            <w:tcW w:w="1458" w:type="dxa"/>
            <w:tcBorders>
              <w:bottom w:val="single" w:sz="4" w:space="0" w:color="auto"/>
            </w:tcBorders>
            <w:vAlign w:val="center"/>
          </w:tcPr>
          <w:p w:rsidR="00EB249F" w:rsidRPr="00EB249F" w:rsidRDefault="00EB249F" w:rsidP="00EB249F">
            <w:pPr>
              <w:jc w:val="center"/>
              <w:rPr>
                <w:b/>
              </w:rPr>
            </w:pPr>
            <w:r w:rsidRPr="00EB249F">
              <w:rPr>
                <w:b/>
              </w:rPr>
              <w:t>2,088</w:t>
            </w:r>
          </w:p>
        </w:tc>
      </w:tr>
      <w:tr w:rsidR="00EB249F" w:rsidRPr="00EB249F" w:rsidTr="006D35B9">
        <w:tc>
          <w:tcPr>
            <w:tcW w:w="3978" w:type="dxa"/>
            <w:tcBorders>
              <w:right w:val="nil"/>
            </w:tcBorders>
          </w:tcPr>
          <w:p w:rsidR="00EB249F" w:rsidRPr="00EB249F" w:rsidRDefault="00EB249F" w:rsidP="00EB249F"/>
        </w:tc>
        <w:tc>
          <w:tcPr>
            <w:tcW w:w="1260" w:type="dxa"/>
            <w:tcBorders>
              <w:left w:val="nil"/>
              <w:right w:val="nil"/>
            </w:tcBorders>
            <w:vAlign w:val="center"/>
          </w:tcPr>
          <w:p w:rsidR="00EB249F" w:rsidRPr="00EB249F" w:rsidRDefault="00EB249F" w:rsidP="00EB249F">
            <w:pPr>
              <w:jc w:val="center"/>
            </w:pPr>
          </w:p>
        </w:tc>
        <w:tc>
          <w:tcPr>
            <w:tcW w:w="1260" w:type="dxa"/>
            <w:tcBorders>
              <w:left w:val="nil"/>
              <w:right w:val="nil"/>
            </w:tcBorders>
            <w:vAlign w:val="center"/>
          </w:tcPr>
          <w:p w:rsidR="00EB249F" w:rsidRPr="00EB249F" w:rsidRDefault="00EB249F" w:rsidP="00EB249F">
            <w:pPr>
              <w:jc w:val="center"/>
            </w:pPr>
          </w:p>
        </w:tc>
        <w:tc>
          <w:tcPr>
            <w:tcW w:w="1620" w:type="dxa"/>
            <w:tcBorders>
              <w:left w:val="nil"/>
              <w:right w:val="nil"/>
            </w:tcBorders>
            <w:vAlign w:val="center"/>
          </w:tcPr>
          <w:p w:rsidR="00EB249F" w:rsidRPr="00EB249F" w:rsidRDefault="00EB249F" w:rsidP="00EB249F">
            <w:pPr>
              <w:jc w:val="center"/>
            </w:pPr>
          </w:p>
        </w:tc>
        <w:tc>
          <w:tcPr>
            <w:tcW w:w="1458" w:type="dxa"/>
            <w:tcBorders>
              <w:left w:val="nil"/>
            </w:tcBorders>
            <w:vAlign w:val="center"/>
          </w:tcPr>
          <w:p w:rsidR="00EB249F" w:rsidRPr="00EB249F" w:rsidRDefault="00EB249F" w:rsidP="00EB249F">
            <w:pPr>
              <w:jc w:val="center"/>
            </w:pPr>
          </w:p>
        </w:tc>
      </w:tr>
      <w:tr w:rsidR="00EB249F" w:rsidRPr="00EB249F" w:rsidTr="006D35B9">
        <w:tc>
          <w:tcPr>
            <w:tcW w:w="3978" w:type="dxa"/>
          </w:tcPr>
          <w:p w:rsidR="00EB249F" w:rsidRPr="00EB249F" w:rsidRDefault="00EB249F" w:rsidP="00EB249F">
            <w:pPr>
              <w:rPr>
                <w:rFonts w:cstheme="minorHAnsi"/>
                <w:b/>
                <w:sz w:val="24"/>
              </w:rPr>
            </w:pPr>
            <w:r w:rsidRPr="00EB249F">
              <w:rPr>
                <w:rFonts w:cstheme="minorHAnsi"/>
                <w:b/>
                <w:snapToGrid w:val="0"/>
                <w:sz w:val="24"/>
              </w:rPr>
              <w:t>Total Estimated Annual Burden</w:t>
            </w:r>
          </w:p>
        </w:tc>
        <w:tc>
          <w:tcPr>
            <w:tcW w:w="1260" w:type="dxa"/>
            <w:vAlign w:val="center"/>
          </w:tcPr>
          <w:p w:rsidR="00EB249F" w:rsidRPr="00EB249F" w:rsidRDefault="00EB249F" w:rsidP="00EB249F">
            <w:pPr>
              <w:jc w:val="center"/>
            </w:pPr>
          </w:p>
        </w:tc>
        <w:tc>
          <w:tcPr>
            <w:tcW w:w="1260" w:type="dxa"/>
            <w:vAlign w:val="center"/>
          </w:tcPr>
          <w:p w:rsidR="00EB249F" w:rsidRPr="00EB249F" w:rsidRDefault="00EB249F" w:rsidP="00EB249F">
            <w:pPr>
              <w:jc w:val="center"/>
            </w:pPr>
          </w:p>
        </w:tc>
        <w:tc>
          <w:tcPr>
            <w:tcW w:w="1620" w:type="dxa"/>
            <w:vAlign w:val="center"/>
          </w:tcPr>
          <w:p w:rsidR="00EB249F" w:rsidRPr="00EB249F" w:rsidRDefault="00EB249F" w:rsidP="00EB249F">
            <w:pPr>
              <w:jc w:val="center"/>
            </w:pPr>
          </w:p>
        </w:tc>
        <w:tc>
          <w:tcPr>
            <w:tcW w:w="1458" w:type="dxa"/>
            <w:vAlign w:val="center"/>
          </w:tcPr>
          <w:p w:rsidR="00EB249F" w:rsidRPr="00EB249F" w:rsidRDefault="00EB249F" w:rsidP="00EB249F">
            <w:pPr>
              <w:jc w:val="center"/>
              <w:rPr>
                <w:b/>
              </w:rPr>
            </w:pPr>
            <w:r w:rsidRPr="00EB249F">
              <w:rPr>
                <w:b/>
                <w:sz w:val="24"/>
              </w:rPr>
              <w:t>3,447.25</w:t>
            </w:r>
          </w:p>
        </w:tc>
      </w:tr>
    </w:tbl>
    <w:p w:rsidR="00FC311C" w:rsidRPr="00FC311C" w:rsidRDefault="00FC311C" w:rsidP="00FC311C">
      <w:pPr>
        <w:widowControl w:val="0"/>
        <w:spacing w:after="0" w:line="240" w:lineRule="auto"/>
        <w:rPr>
          <w:rFonts w:ascii="Times New Roman" w:eastAsia="Times New Roman" w:hAnsi="Times New Roman" w:cs="Times New Roman"/>
          <w:snapToGrid w:val="0"/>
          <w:sz w:val="24"/>
          <w:szCs w:val="24"/>
        </w:rPr>
      </w:pP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 xml:space="preserve">13.  </w:t>
      </w:r>
      <w:r w:rsidR="000337D5" w:rsidRPr="000337D5">
        <w:rPr>
          <w:rFonts w:ascii="Times New Roman" w:eastAsia="Times New Roman" w:hAnsi="Times New Roman" w:cs="Times New Roman"/>
          <w:snapToGrid w:val="0"/>
          <w:sz w:val="24"/>
          <w:szCs w:val="20"/>
          <w:u w:val="single"/>
        </w:rPr>
        <w:t>Estimate of Annualized Costs to Respondents:</w:t>
      </w:r>
      <w:r w:rsidRPr="00FC311C">
        <w:rPr>
          <w:rFonts w:ascii="Times New Roman" w:eastAsia="Times New Roman" w:hAnsi="Times New Roman" w:cs="Times New Roman"/>
          <w:snapToGrid w:val="0"/>
          <w:sz w:val="24"/>
          <w:szCs w:val="20"/>
          <w:u w:val="single"/>
        </w:rPr>
        <w:t xml:space="preserve"> </w:t>
      </w: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4"/>
        </w:rPr>
      </w:pPr>
      <w:r w:rsidRPr="00FC311C">
        <w:rPr>
          <w:rFonts w:ascii="Times New Roman" w:eastAsia="Times New Roman" w:hAnsi="Times New Roman" w:cs="Times New Roman"/>
          <w:snapToGrid w:val="0"/>
          <w:sz w:val="24"/>
          <w:szCs w:val="24"/>
        </w:rPr>
        <w:t>There are no capital or start-up costs associated with this collection.  In addition, there are no system and technology acquisition or operation and maintenance costs.</w:t>
      </w: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 xml:space="preserve">14.  </w:t>
      </w:r>
      <w:r w:rsidR="000337D5" w:rsidRPr="000337D5">
        <w:rPr>
          <w:rFonts w:ascii="Times New Roman" w:eastAsia="Times New Roman" w:hAnsi="Times New Roman" w:cs="Times New Roman"/>
          <w:snapToGrid w:val="0"/>
          <w:sz w:val="24"/>
          <w:szCs w:val="20"/>
          <w:u w:val="single"/>
        </w:rPr>
        <w:t>Estimate of Annualized Costs to the Federal Government</w:t>
      </w:r>
      <w:r w:rsidR="00490C14">
        <w:rPr>
          <w:rFonts w:ascii="Times New Roman" w:eastAsia="Times New Roman" w:hAnsi="Times New Roman" w:cs="Times New Roman"/>
          <w:snapToGrid w:val="0"/>
          <w:sz w:val="24"/>
          <w:szCs w:val="20"/>
          <w:u w:val="single"/>
        </w:rPr>
        <w:t>:</w:t>
      </w: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None.</w:t>
      </w: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 xml:space="preserve">15.  </w:t>
      </w:r>
      <w:r w:rsidRPr="00FC311C">
        <w:rPr>
          <w:rFonts w:ascii="Times New Roman" w:eastAsia="Times New Roman" w:hAnsi="Times New Roman" w:cs="Times New Roman"/>
          <w:snapToGrid w:val="0"/>
          <w:sz w:val="24"/>
          <w:szCs w:val="20"/>
          <w:u w:val="single"/>
        </w:rPr>
        <w:t>Reason for Change in Burden</w:t>
      </w:r>
      <w:r w:rsidR="00490C14">
        <w:rPr>
          <w:rFonts w:ascii="Times New Roman" w:eastAsia="Times New Roman" w:hAnsi="Times New Roman" w:cs="Times New Roman"/>
          <w:snapToGrid w:val="0"/>
          <w:sz w:val="24"/>
          <w:szCs w:val="20"/>
          <w:u w:val="single"/>
        </w:rPr>
        <w:t>:</w:t>
      </w: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p>
    <w:p w:rsidR="004C5D93" w:rsidRPr="00FC311C" w:rsidRDefault="004C5D93" w:rsidP="004C5D93">
      <w:pPr>
        <w:tabs>
          <w:tab w:val="left" w:pos="-720"/>
          <w:tab w:val="left" w:pos="0"/>
          <w:tab w:val="left" w:pos="1008"/>
          <w:tab w:val="left" w:pos="2160"/>
          <w:tab w:val="left" w:pos="2856"/>
          <w:tab w:val="left" w:pos="3570"/>
          <w:tab w:val="left" w:pos="4794"/>
          <w:tab w:val="right" w:pos="6324"/>
          <w:tab w:val="right" w:pos="7854"/>
        </w:tabs>
        <w:suppressAutoHyphens/>
        <w:spacing w:after="0" w:line="240" w:lineRule="auto"/>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There has been no change in the method or substance of the information collection.</w:t>
      </w:r>
      <w:r w:rsidR="00EB249F">
        <w:rPr>
          <w:rFonts w:ascii="Times New Roman" w:eastAsia="Times New Roman" w:hAnsi="Times New Roman" w:cs="Times New Roman"/>
          <w:snapToGrid w:val="0"/>
          <w:sz w:val="24"/>
          <w:szCs w:val="20"/>
        </w:rPr>
        <w:t xml:space="preserve">  </w:t>
      </w:r>
      <w:r w:rsidRPr="004C5D93">
        <w:rPr>
          <w:rFonts w:ascii="Times New Roman" w:hAnsi="Times New Roman"/>
          <w:iCs/>
          <w:szCs w:val="24"/>
        </w:rPr>
        <w:t xml:space="preserve">Total estimated burden </w:t>
      </w:r>
      <w:r w:rsidR="00EB249F">
        <w:rPr>
          <w:rFonts w:ascii="Times New Roman" w:hAnsi="Times New Roman"/>
          <w:iCs/>
          <w:szCs w:val="24"/>
        </w:rPr>
        <w:t>increased</w:t>
      </w:r>
      <w:r w:rsidRPr="004C5D93">
        <w:rPr>
          <w:rFonts w:ascii="Times New Roman" w:hAnsi="Times New Roman"/>
          <w:iCs/>
          <w:szCs w:val="24"/>
        </w:rPr>
        <w:t xml:space="preserve"> by </w:t>
      </w:r>
      <w:r w:rsidR="00EB249F">
        <w:rPr>
          <w:rFonts w:ascii="Times New Roman" w:hAnsi="Times New Roman"/>
          <w:iCs/>
          <w:szCs w:val="24"/>
        </w:rPr>
        <w:t>222</w:t>
      </w:r>
      <w:r w:rsidRPr="004C5D93">
        <w:rPr>
          <w:rFonts w:ascii="Times New Roman" w:hAnsi="Times New Roman"/>
          <w:iCs/>
          <w:szCs w:val="24"/>
        </w:rPr>
        <w:t xml:space="preserve"> hours, from </w:t>
      </w:r>
      <w:r w:rsidR="00EB249F">
        <w:rPr>
          <w:rFonts w:ascii="Times New Roman" w:hAnsi="Times New Roman"/>
          <w:iCs/>
          <w:szCs w:val="24"/>
        </w:rPr>
        <w:t>3,225.25</w:t>
      </w:r>
      <w:r w:rsidRPr="004C5D93">
        <w:rPr>
          <w:rFonts w:ascii="Times New Roman" w:hAnsi="Times New Roman"/>
          <w:iCs/>
          <w:szCs w:val="24"/>
        </w:rPr>
        <w:t xml:space="preserve"> hours to 3,</w:t>
      </w:r>
      <w:r w:rsidR="00EB249F">
        <w:rPr>
          <w:rFonts w:ascii="Times New Roman" w:hAnsi="Times New Roman"/>
          <w:iCs/>
          <w:szCs w:val="24"/>
        </w:rPr>
        <w:t>447.25</w:t>
      </w:r>
      <w:r w:rsidRPr="004C5D93">
        <w:rPr>
          <w:rFonts w:ascii="Times New Roman" w:hAnsi="Times New Roman"/>
          <w:iCs/>
          <w:szCs w:val="24"/>
        </w:rPr>
        <w:t xml:space="preserve"> hours. </w:t>
      </w:r>
      <w:r w:rsidR="00EB249F">
        <w:rPr>
          <w:rFonts w:ascii="Times New Roman" w:hAnsi="Times New Roman"/>
          <w:szCs w:val="24"/>
        </w:rPr>
        <w:t>The change in burden is due to economic fluctuations such that t</w:t>
      </w:r>
      <w:r w:rsidR="00EB249F">
        <w:rPr>
          <w:rFonts w:ascii="Times New Roman" w:eastAsia="Times New Roman" w:hAnsi="Times New Roman" w:cs="Times New Roman"/>
          <w:snapToGrid w:val="0"/>
          <w:sz w:val="24"/>
          <w:szCs w:val="20"/>
        </w:rPr>
        <w:t xml:space="preserve">he </w:t>
      </w:r>
      <w:r w:rsidR="00EB249F" w:rsidRPr="00BB1A68">
        <w:rPr>
          <w:rFonts w:ascii="Times New Roman" w:eastAsia="Times New Roman" w:hAnsi="Times New Roman" w:cs="Times New Roman"/>
          <w:snapToGrid w:val="0"/>
          <w:sz w:val="24"/>
          <w:szCs w:val="20"/>
        </w:rPr>
        <w:t>estimated number of annual offerings increased from 1,275 in 2015 to 1,400 currently</w:t>
      </w:r>
      <w:r w:rsidR="00EB249F" w:rsidRPr="000C54C5">
        <w:rPr>
          <w:rFonts w:ascii="Times New Roman" w:hAnsi="Times New Roman"/>
          <w:iCs/>
          <w:szCs w:val="24"/>
        </w:rPr>
        <w:t>.</w:t>
      </w:r>
    </w:p>
    <w:p w:rsidR="00FC311C" w:rsidRPr="00FC311C" w:rsidRDefault="00FC311C" w:rsidP="00FC311C">
      <w:pPr>
        <w:tabs>
          <w:tab w:val="left" w:pos="-720"/>
          <w:tab w:val="left" w:pos="0"/>
          <w:tab w:val="left" w:pos="1008"/>
          <w:tab w:val="left" w:pos="2160"/>
          <w:tab w:val="left" w:pos="2856"/>
          <w:tab w:val="left" w:pos="3570"/>
          <w:tab w:val="left" w:pos="4794"/>
          <w:tab w:val="right" w:pos="6324"/>
          <w:tab w:val="right" w:pos="7854"/>
        </w:tabs>
        <w:suppressAutoHyphens/>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 xml:space="preserve"> </w:t>
      </w:r>
    </w:p>
    <w:p w:rsidR="00FC311C" w:rsidRPr="00FC311C" w:rsidRDefault="00FC311C" w:rsidP="00FC311C">
      <w:pPr>
        <w:tabs>
          <w:tab w:val="left" w:pos="-720"/>
          <w:tab w:val="left" w:pos="0"/>
          <w:tab w:val="left" w:pos="1008"/>
          <w:tab w:val="left" w:pos="2160"/>
          <w:tab w:val="left" w:pos="4176"/>
          <w:tab w:val="left" w:pos="5472"/>
          <w:tab w:val="left" w:pos="6912"/>
        </w:tabs>
        <w:suppressAutoHyphens/>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 xml:space="preserve">16.  </w:t>
      </w:r>
      <w:r w:rsidR="00B81C81" w:rsidRPr="00B81C81">
        <w:rPr>
          <w:rFonts w:ascii="Times New Roman" w:eastAsia="Times New Roman" w:hAnsi="Times New Roman" w:cs="Times New Roman"/>
          <w:snapToGrid w:val="0"/>
          <w:sz w:val="24"/>
          <w:szCs w:val="20"/>
          <w:u w:val="single"/>
        </w:rPr>
        <w:t>I</w:t>
      </w:r>
      <w:r w:rsidR="000337D5" w:rsidRPr="00B81C81">
        <w:rPr>
          <w:rFonts w:ascii="Times New Roman" w:eastAsia="Times New Roman" w:hAnsi="Times New Roman" w:cs="Times New Roman"/>
          <w:snapToGrid w:val="0"/>
          <w:sz w:val="24"/>
          <w:szCs w:val="20"/>
          <w:u w:val="single"/>
        </w:rPr>
        <w:t>nf</w:t>
      </w:r>
      <w:r w:rsidR="000337D5" w:rsidRPr="000337D5">
        <w:rPr>
          <w:rFonts w:ascii="Times New Roman" w:eastAsia="Times New Roman" w:hAnsi="Times New Roman" w:cs="Times New Roman"/>
          <w:snapToGrid w:val="0"/>
          <w:sz w:val="24"/>
          <w:szCs w:val="20"/>
          <w:u w:val="single"/>
        </w:rPr>
        <w:t>ormation regarding collections whose results are planned to be published for statistical use:</w:t>
      </w:r>
    </w:p>
    <w:p w:rsidR="00FC311C" w:rsidRPr="00FC311C" w:rsidRDefault="00FC311C" w:rsidP="00FC311C">
      <w:pPr>
        <w:tabs>
          <w:tab w:val="left" w:pos="-720"/>
          <w:tab w:val="left" w:pos="0"/>
          <w:tab w:val="left" w:pos="1008"/>
          <w:tab w:val="left" w:pos="2160"/>
          <w:tab w:val="left" w:pos="4176"/>
          <w:tab w:val="left" w:pos="5472"/>
          <w:tab w:val="left" w:pos="6912"/>
        </w:tabs>
        <w:suppressAutoHyphens/>
        <w:spacing w:after="0" w:line="240" w:lineRule="auto"/>
        <w:rPr>
          <w:rFonts w:ascii="Times New Roman" w:eastAsia="Times New Roman" w:hAnsi="Times New Roman" w:cs="Times New Roman"/>
          <w:snapToGrid w:val="0"/>
          <w:sz w:val="24"/>
          <w:szCs w:val="20"/>
        </w:rPr>
      </w:pPr>
    </w:p>
    <w:p w:rsidR="00FC311C" w:rsidRPr="00FC311C" w:rsidRDefault="00FC311C" w:rsidP="00FC311C">
      <w:pPr>
        <w:tabs>
          <w:tab w:val="left" w:pos="-720"/>
          <w:tab w:val="left" w:pos="0"/>
          <w:tab w:val="left" w:pos="1008"/>
          <w:tab w:val="left" w:pos="2160"/>
          <w:tab w:val="left" w:pos="4176"/>
          <w:tab w:val="left" w:pos="5472"/>
          <w:tab w:val="left" w:pos="6912"/>
        </w:tabs>
        <w:suppressAutoHyphens/>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The information collected will not be published by the FDIC.</w:t>
      </w:r>
    </w:p>
    <w:p w:rsidR="00FC311C" w:rsidRPr="00FC311C" w:rsidRDefault="00FC311C" w:rsidP="00FC311C">
      <w:pPr>
        <w:tabs>
          <w:tab w:val="left" w:pos="-720"/>
          <w:tab w:val="left" w:pos="0"/>
          <w:tab w:val="left" w:pos="1008"/>
          <w:tab w:val="left" w:pos="2160"/>
          <w:tab w:val="left" w:pos="4176"/>
          <w:tab w:val="left" w:pos="5472"/>
          <w:tab w:val="left" w:pos="6912"/>
        </w:tabs>
        <w:suppressAutoHyphens/>
        <w:spacing w:after="0" w:line="240" w:lineRule="auto"/>
        <w:rPr>
          <w:rFonts w:ascii="Times New Roman" w:eastAsia="Times New Roman" w:hAnsi="Times New Roman" w:cs="Times New Roman"/>
          <w:snapToGrid w:val="0"/>
          <w:sz w:val="24"/>
          <w:szCs w:val="20"/>
        </w:rPr>
      </w:pPr>
    </w:p>
    <w:p w:rsidR="00FC311C" w:rsidRPr="00FC311C" w:rsidRDefault="00FC311C" w:rsidP="00FC311C">
      <w:pPr>
        <w:tabs>
          <w:tab w:val="left" w:pos="-720"/>
          <w:tab w:val="left" w:pos="0"/>
          <w:tab w:val="left" w:pos="1008"/>
          <w:tab w:val="left" w:pos="2160"/>
          <w:tab w:val="left" w:pos="4176"/>
          <w:tab w:val="left" w:pos="5472"/>
          <w:tab w:val="left" w:pos="6912"/>
        </w:tabs>
        <w:suppressAutoHyphens/>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 xml:space="preserve">17.  </w:t>
      </w:r>
      <w:r w:rsidRPr="00FC311C">
        <w:rPr>
          <w:rFonts w:ascii="Times New Roman" w:eastAsia="Times New Roman" w:hAnsi="Times New Roman" w:cs="Times New Roman"/>
          <w:snapToGrid w:val="0"/>
          <w:sz w:val="24"/>
          <w:szCs w:val="20"/>
          <w:u w:val="single"/>
        </w:rPr>
        <w:t>Display of Expiration Date</w:t>
      </w:r>
    </w:p>
    <w:p w:rsidR="00FC311C" w:rsidRPr="00FC311C" w:rsidRDefault="00FC311C" w:rsidP="00FC311C">
      <w:pPr>
        <w:tabs>
          <w:tab w:val="left" w:pos="-720"/>
          <w:tab w:val="left" w:pos="0"/>
          <w:tab w:val="left" w:pos="1008"/>
          <w:tab w:val="left" w:pos="2160"/>
          <w:tab w:val="left" w:pos="4176"/>
          <w:tab w:val="left" w:pos="5472"/>
          <w:tab w:val="left" w:pos="6912"/>
        </w:tabs>
        <w:suppressAutoHyphens/>
        <w:spacing w:after="0" w:line="240" w:lineRule="auto"/>
        <w:rPr>
          <w:rFonts w:ascii="Times New Roman" w:eastAsia="Times New Roman" w:hAnsi="Times New Roman" w:cs="Times New Roman"/>
          <w:snapToGrid w:val="0"/>
          <w:sz w:val="24"/>
          <w:szCs w:val="20"/>
        </w:rPr>
      </w:pPr>
    </w:p>
    <w:p w:rsidR="00FC311C" w:rsidRPr="00FC311C" w:rsidRDefault="00FC311C" w:rsidP="00FC311C">
      <w:pPr>
        <w:tabs>
          <w:tab w:val="left" w:pos="-720"/>
          <w:tab w:val="left" w:pos="0"/>
          <w:tab w:val="left" w:pos="1008"/>
          <w:tab w:val="left" w:pos="2160"/>
          <w:tab w:val="left" w:pos="4176"/>
          <w:tab w:val="left" w:pos="5472"/>
          <w:tab w:val="left" w:pos="6912"/>
        </w:tabs>
        <w:suppressAutoHyphens/>
        <w:spacing w:after="0" w:line="240" w:lineRule="auto"/>
        <w:rPr>
          <w:rFonts w:ascii="Times New Roman" w:eastAsia="Times New Roman" w:hAnsi="Times New Roman" w:cs="Times New Roman"/>
          <w:snapToGrid w:val="0"/>
          <w:sz w:val="24"/>
          <w:szCs w:val="20"/>
        </w:rPr>
      </w:pPr>
      <w:r w:rsidRPr="00FC311C" w:rsidDel="00B31A17">
        <w:rPr>
          <w:rFonts w:ascii="Times New Roman" w:eastAsia="Times New Roman" w:hAnsi="Times New Roman" w:cs="Times New Roman"/>
          <w:snapToGrid w:val="0"/>
          <w:sz w:val="24"/>
          <w:szCs w:val="20"/>
        </w:rPr>
        <w:t xml:space="preserve"> </w:t>
      </w:r>
      <w:r w:rsidRPr="00FC311C">
        <w:rPr>
          <w:rFonts w:ascii="Times New Roman" w:eastAsia="Times New Roman" w:hAnsi="Times New Roman" w:cs="Times New Roman"/>
          <w:snapToGrid w:val="0"/>
          <w:sz w:val="24"/>
          <w:szCs w:val="20"/>
        </w:rPr>
        <w:t>Not applicable.</w:t>
      </w:r>
    </w:p>
    <w:p w:rsidR="00FC311C" w:rsidRPr="00FC311C" w:rsidRDefault="00FC311C" w:rsidP="00FC311C">
      <w:pPr>
        <w:tabs>
          <w:tab w:val="left" w:pos="-720"/>
          <w:tab w:val="left" w:pos="0"/>
          <w:tab w:val="left" w:pos="1008"/>
          <w:tab w:val="left" w:pos="2160"/>
          <w:tab w:val="left" w:pos="4176"/>
          <w:tab w:val="left" w:pos="5472"/>
          <w:tab w:val="left" w:pos="6912"/>
        </w:tabs>
        <w:suppressAutoHyphens/>
        <w:spacing w:after="0" w:line="240" w:lineRule="auto"/>
        <w:rPr>
          <w:rFonts w:ascii="Times New Roman" w:eastAsia="Times New Roman" w:hAnsi="Times New Roman" w:cs="Times New Roman"/>
          <w:snapToGrid w:val="0"/>
          <w:sz w:val="24"/>
          <w:szCs w:val="20"/>
        </w:rPr>
      </w:pPr>
    </w:p>
    <w:p w:rsidR="00FC311C" w:rsidRPr="00FC311C" w:rsidRDefault="00FC311C" w:rsidP="00FC311C">
      <w:pPr>
        <w:tabs>
          <w:tab w:val="left" w:pos="-720"/>
          <w:tab w:val="left" w:pos="0"/>
          <w:tab w:val="left" w:pos="1008"/>
          <w:tab w:val="left" w:pos="2160"/>
          <w:tab w:val="left" w:pos="4176"/>
          <w:tab w:val="left" w:pos="5472"/>
          <w:tab w:val="left" w:pos="6912"/>
        </w:tabs>
        <w:suppressAutoHyphens/>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 xml:space="preserve">18.  </w:t>
      </w:r>
      <w:r w:rsidR="000337D5" w:rsidRPr="000337D5">
        <w:rPr>
          <w:rFonts w:ascii="Times New Roman" w:eastAsia="Times New Roman" w:hAnsi="Times New Roman" w:cs="Times New Roman"/>
          <w:snapToGrid w:val="0"/>
          <w:sz w:val="24"/>
          <w:szCs w:val="20"/>
          <w:u w:val="single"/>
        </w:rPr>
        <w:t>Exceptions to Certification Statement:</w:t>
      </w:r>
    </w:p>
    <w:p w:rsidR="00FC311C" w:rsidRPr="00FC311C" w:rsidRDefault="00FC311C" w:rsidP="00FC311C">
      <w:pPr>
        <w:tabs>
          <w:tab w:val="left" w:pos="-720"/>
          <w:tab w:val="left" w:pos="0"/>
          <w:tab w:val="left" w:pos="1008"/>
          <w:tab w:val="left" w:pos="2160"/>
          <w:tab w:val="left" w:pos="4176"/>
          <w:tab w:val="left" w:pos="5472"/>
          <w:tab w:val="left" w:pos="6912"/>
        </w:tabs>
        <w:suppressAutoHyphens/>
        <w:spacing w:after="0" w:line="240" w:lineRule="auto"/>
        <w:rPr>
          <w:rFonts w:ascii="Times New Roman" w:eastAsia="Times New Roman" w:hAnsi="Times New Roman" w:cs="Times New Roman"/>
          <w:snapToGrid w:val="0"/>
          <w:sz w:val="24"/>
          <w:szCs w:val="20"/>
        </w:rPr>
      </w:pPr>
    </w:p>
    <w:p w:rsidR="00FC311C" w:rsidRDefault="00FC311C" w:rsidP="00FC311C">
      <w:pPr>
        <w:tabs>
          <w:tab w:val="left" w:pos="-720"/>
          <w:tab w:val="left" w:pos="0"/>
          <w:tab w:val="left" w:pos="1008"/>
          <w:tab w:val="left" w:pos="2160"/>
          <w:tab w:val="left" w:pos="4176"/>
          <w:tab w:val="left" w:pos="5472"/>
          <w:tab w:val="left" w:pos="6912"/>
        </w:tabs>
        <w:suppressAutoHyphens/>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Not applicable.</w:t>
      </w:r>
      <w:r w:rsidRPr="00FC311C" w:rsidDel="004612FD">
        <w:rPr>
          <w:rFonts w:ascii="Times New Roman" w:eastAsia="Times New Roman" w:hAnsi="Times New Roman" w:cs="Times New Roman"/>
          <w:snapToGrid w:val="0"/>
          <w:sz w:val="24"/>
          <w:szCs w:val="20"/>
        </w:rPr>
        <w:t xml:space="preserve"> </w:t>
      </w:r>
    </w:p>
    <w:p w:rsidR="000337D5" w:rsidRPr="00FC311C" w:rsidRDefault="000337D5" w:rsidP="00FC311C">
      <w:pPr>
        <w:tabs>
          <w:tab w:val="left" w:pos="-720"/>
          <w:tab w:val="left" w:pos="0"/>
          <w:tab w:val="left" w:pos="1008"/>
          <w:tab w:val="left" w:pos="2160"/>
          <w:tab w:val="left" w:pos="4176"/>
          <w:tab w:val="left" w:pos="5472"/>
          <w:tab w:val="left" w:pos="6912"/>
        </w:tabs>
        <w:suppressAutoHyphens/>
        <w:spacing w:after="0" w:line="240" w:lineRule="auto"/>
        <w:rPr>
          <w:rFonts w:ascii="Times New Roman" w:eastAsia="Times New Roman" w:hAnsi="Times New Roman" w:cs="Times New Roman"/>
          <w:snapToGrid w:val="0"/>
          <w:sz w:val="24"/>
          <w:szCs w:val="20"/>
        </w:rPr>
      </w:pPr>
    </w:p>
    <w:p w:rsidR="00FC311C" w:rsidRPr="00FC311C" w:rsidRDefault="00FC311C" w:rsidP="00FC311C">
      <w:pPr>
        <w:tabs>
          <w:tab w:val="left" w:pos="-720"/>
          <w:tab w:val="left" w:pos="0"/>
          <w:tab w:val="left" w:pos="1008"/>
          <w:tab w:val="left" w:pos="2160"/>
          <w:tab w:val="left" w:pos="4176"/>
          <w:tab w:val="left" w:pos="5472"/>
          <w:tab w:val="left" w:pos="6912"/>
        </w:tabs>
        <w:suppressAutoHyphens/>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 xml:space="preserve">B.  </w:t>
      </w:r>
      <w:r w:rsidRPr="00FC311C">
        <w:rPr>
          <w:rFonts w:ascii="Times New Roman" w:eastAsia="Times New Roman" w:hAnsi="Times New Roman" w:cs="Times New Roman"/>
          <w:snapToGrid w:val="0"/>
          <w:sz w:val="24"/>
          <w:szCs w:val="20"/>
          <w:u w:val="single"/>
        </w:rPr>
        <w:t>COLLECTION OF INFORMATION EMPLOYING STATISTICAL METHODS</w:t>
      </w:r>
    </w:p>
    <w:p w:rsidR="00FC311C" w:rsidRPr="00FC311C" w:rsidRDefault="00FC311C" w:rsidP="00FC311C">
      <w:pPr>
        <w:tabs>
          <w:tab w:val="left" w:pos="-720"/>
          <w:tab w:val="left" w:pos="0"/>
          <w:tab w:val="left" w:pos="1008"/>
          <w:tab w:val="left" w:pos="2160"/>
          <w:tab w:val="left" w:pos="4176"/>
          <w:tab w:val="left" w:pos="5472"/>
          <w:tab w:val="left" w:pos="6912"/>
        </w:tabs>
        <w:suppressAutoHyphens/>
        <w:spacing w:after="0" w:line="240" w:lineRule="auto"/>
        <w:rPr>
          <w:rFonts w:ascii="Times New Roman" w:eastAsia="Times New Roman" w:hAnsi="Times New Roman" w:cs="Times New Roman"/>
          <w:snapToGrid w:val="0"/>
          <w:sz w:val="24"/>
          <w:szCs w:val="20"/>
        </w:rPr>
      </w:pPr>
    </w:p>
    <w:p w:rsidR="00FC311C" w:rsidRPr="00FC311C" w:rsidRDefault="00FC311C" w:rsidP="00FC311C">
      <w:pPr>
        <w:tabs>
          <w:tab w:val="left" w:pos="-720"/>
          <w:tab w:val="left" w:pos="0"/>
          <w:tab w:val="left" w:pos="1008"/>
          <w:tab w:val="left" w:pos="2160"/>
          <w:tab w:val="left" w:pos="4176"/>
          <w:tab w:val="left" w:pos="5472"/>
          <w:tab w:val="left" w:pos="6912"/>
        </w:tabs>
        <w:suppressAutoHyphens/>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Not applicable.</w:t>
      </w:r>
    </w:p>
    <w:p w:rsidR="00FC311C" w:rsidRPr="00FC311C" w:rsidRDefault="00FC311C" w:rsidP="00FC311C">
      <w:pPr>
        <w:tabs>
          <w:tab w:val="left" w:pos="-720"/>
          <w:tab w:val="left" w:pos="0"/>
          <w:tab w:val="left" w:pos="1008"/>
          <w:tab w:val="left" w:pos="2160"/>
          <w:tab w:val="left" w:pos="4176"/>
          <w:tab w:val="left" w:pos="5472"/>
          <w:tab w:val="left" w:pos="6912"/>
        </w:tabs>
        <w:suppressAutoHyphens/>
        <w:spacing w:after="0" w:line="240" w:lineRule="auto"/>
        <w:rPr>
          <w:rFonts w:ascii="Times New Roman" w:eastAsia="Times New Roman" w:hAnsi="Times New Roman" w:cs="Times New Roman"/>
          <w:snapToGrid w:val="0"/>
          <w:sz w:val="24"/>
          <w:szCs w:val="20"/>
        </w:rPr>
      </w:pPr>
    </w:p>
    <w:p w:rsidR="00FC311C" w:rsidRPr="00FC311C" w:rsidRDefault="00FC311C" w:rsidP="00FC311C">
      <w:pPr>
        <w:tabs>
          <w:tab w:val="left" w:pos="-720"/>
          <w:tab w:val="left" w:pos="0"/>
          <w:tab w:val="left" w:pos="1008"/>
          <w:tab w:val="left" w:pos="2160"/>
          <w:tab w:val="left" w:pos="4176"/>
          <w:tab w:val="left" w:pos="5472"/>
          <w:tab w:val="left" w:pos="6912"/>
        </w:tabs>
        <w:suppressAutoHyphens/>
        <w:spacing w:after="0" w:line="240" w:lineRule="auto"/>
        <w:rPr>
          <w:rFonts w:ascii="Courier" w:eastAsia="Times New Roman" w:hAnsi="Courier" w:cs="Times New Roman"/>
          <w:snapToGrid w:val="0"/>
          <w:sz w:val="24"/>
          <w:szCs w:val="20"/>
        </w:rPr>
      </w:pPr>
    </w:p>
    <w:p w:rsidR="00AC77B5" w:rsidRDefault="002B6EA1"/>
    <w:sectPr w:rsidR="00AC77B5">
      <w:headerReference w:type="default" r:id="rId8"/>
      <w:footerReference w:type="even" r:id="rId9"/>
      <w:footerReference w:type="default" r:id="rId10"/>
      <w:headerReference w:type="first" r:id="rId11"/>
      <w:footerReference w:type="first" r:id="rId12"/>
      <w:endnotePr>
        <w:numFmt w:val="decimal"/>
      </w:endnotePr>
      <w:pgSz w:w="12240" w:h="15840"/>
      <w:pgMar w:top="1440" w:right="1440" w:bottom="1440" w:left="1440" w:header="1080" w:footer="108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11C" w:rsidRDefault="00FC311C" w:rsidP="00FC311C">
      <w:pPr>
        <w:spacing w:after="0" w:line="240" w:lineRule="auto"/>
      </w:pPr>
      <w:r>
        <w:separator/>
      </w:r>
    </w:p>
  </w:endnote>
  <w:endnote w:type="continuationSeparator" w:id="0">
    <w:p w:rsidR="00FC311C" w:rsidRDefault="00FC311C" w:rsidP="00FC3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FEF" w:rsidRDefault="00602F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F5FEF" w:rsidRDefault="002B6E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FEF" w:rsidRDefault="00602FB3">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C03D32">
      <w:rPr>
        <w:rStyle w:val="PageNumber"/>
        <w:rFonts w:ascii="Times New Roman" w:hAnsi="Times New Roman"/>
        <w:noProof/>
      </w:rPr>
      <w:t>8</w:t>
    </w:r>
    <w:r>
      <w:rPr>
        <w:rStyle w:val="PageNumber"/>
        <w:rFonts w:ascii="Times New Roman" w:hAnsi="Times New Roman"/>
      </w:rPr>
      <w:fldChar w:fldCharType="end"/>
    </w:r>
  </w:p>
  <w:p w:rsidR="00CF5FEF" w:rsidRDefault="002B6EA1">
    <w:pPr>
      <w:pStyle w:val="Footer"/>
      <w:jc w:val="cen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FEF" w:rsidRDefault="00602FB3">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2B6EA1">
      <w:rPr>
        <w:rStyle w:val="PageNumber"/>
        <w:rFonts w:ascii="Times New Roman" w:hAnsi="Times New Roman"/>
        <w:noProof/>
      </w:rPr>
      <w:t>1</w:t>
    </w:r>
    <w:r>
      <w:rPr>
        <w:rStyle w:val="PageNumber"/>
        <w:rFonts w:ascii="Times New Roman" w:hAnsi="Times New Roman"/>
      </w:rPr>
      <w:fldChar w:fldCharType="end"/>
    </w:r>
  </w:p>
  <w:p w:rsidR="00CF5FEF" w:rsidRDefault="002B6EA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11C" w:rsidRDefault="00FC311C" w:rsidP="00FC311C">
      <w:pPr>
        <w:spacing w:after="0" w:line="240" w:lineRule="auto"/>
      </w:pPr>
      <w:r>
        <w:separator/>
      </w:r>
    </w:p>
  </w:footnote>
  <w:footnote w:type="continuationSeparator" w:id="0">
    <w:p w:rsidR="00FC311C" w:rsidRDefault="00FC311C" w:rsidP="00FC311C">
      <w:pPr>
        <w:spacing w:after="0" w:line="240" w:lineRule="auto"/>
      </w:pPr>
      <w:r>
        <w:continuationSeparator/>
      </w:r>
    </w:p>
  </w:footnote>
  <w:footnote w:id="1">
    <w:p w:rsidR="00BB1A68" w:rsidRPr="009F3507" w:rsidRDefault="00BB1A68" w:rsidP="00BB1A68">
      <w:pPr>
        <w:pStyle w:val="FootnoteText"/>
        <w:rPr>
          <w:i/>
        </w:rPr>
      </w:pPr>
      <w:r>
        <w:rPr>
          <w:rStyle w:val="FootnoteReference"/>
        </w:rPr>
        <w:footnoteRef/>
      </w:r>
      <w:r>
        <w:t xml:space="preserve"> </w:t>
      </w:r>
      <w:r w:rsidRPr="009F3507">
        <w:rPr>
          <w:rFonts w:ascii="Times New Roman" w:hAnsi="Times New Roman" w:cs="Times New Roman"/>
        </w:rPr>
        <w:t>Data provided by the Securities and Exchange Commission</w:t>
      </w:r>
      <w:r>
        <w:rPr>
          <w:rFonts w:ascii="Times New Roman" w:hAnsi="Times New Roman" w:cs="Times New Roman"/>
        </w:rPr>
        <w:t xml:space="preserve">. </w:t>
      </w:r>
      <w:r>
        <w:rPr>
          <w:rFonts w:ascii="Times New Roman" w:hAnsi="Times New Roman" w:cs="Times New Roman"/>
          <w:i/>
        </w:rPr>
        <w:t xml:space="preserve">See </w:t>
      </w:r>
      <w:r>
        <w:t xml:space="preserve">SEC supporting statement for its information collection for the Credit Risk Retention rule (3235-0712) available at </w:t>
      </w:r>
      <w:hyperlink r:id="rId1" w:history="1">
        <w:r w:rsidRPr="003C117C">
          <w:rPr>
            <w:rStyle w:val="Hyperlink"/>
          </w:rPr>
          <w:t>https://www.reginfo.gov/public/do/PRAViewDocument?ref_nbr=201803-3235-014</w:t>
        </w:r>
      </w:hyperlink>
    </w:p>
  </w:footnote>
  <w:footnote w:id="2">
    <w:p w:rsidR="00BB1A68" w:rsidRPr="00AC0E29" w:rsidRDefault="00BB1A68" w:rsidP="00BB1A68">
      <w:pPr>
        <w:pStyle w:val="FootnoteText"/>
        <w:spacing w:after="120"/>
        <w:rPr>
          <w:rFonts w:ascii="Times New Roman" w:hAnsi="Times New Roman"/>
          <w:szCs w:val="24"/>
        </w:rPr>
      </w:pPr>
      <w:r w:rsidRPr="00AC0E29">
        <w:rPr>
          <w:rStyle w:val="FootnoteReference"/>
          <w:rFonts w:ascii="Times New Roman" w:hAnsi="Times New Roman"/>
          <w:szCs w:val="24"/>
        </w:rPr>
        <w:footnoteRef/>
      </w:r>
      <w:r w:rsidRPr="00AC0E29">
        <w:rPr>
          <w:rFonts w:ascii="Times New Roman" w:hAnsi="Times New Roman"/>
          <w:szCs w:val="24"/>
        </w:rPr>
        <w:t xml:space="preserve"> The allocation percentages among the agencies </w:t>
      </w:r>
      <w:r>
        <w:rPr>
          <w:rFonts w:ascii="Times New Roman" w:hAnsi="Times New Roman"/>
          <w:szCs w:val="24"/>
        </w:rPr>
        <w:t>were</w:t>
      </w:r>
      <w:r w:rsidRPr="00AC0E29">
        <w:rPr>
          <w:rFonts w:ascii="Times New Roman" w:hAnsi="Times New Roman"/>
          <w:szCs w:val="24"/>
        </w:rPr>
        <w:t xml:space="preserve"> based on the agencies’ latest assessment of data, including the securitization activity reported by FDIC-insured depository institutions in the </w:t>
      </w:r>
      <w:r w:rsidRPr="009F3507">
        <w:rPr>
          <w:rFonts w:ascii="Times New Roman" w:hAnsi="Times New Roman"/>
          <w:szCs w:val="24"/>
        </w:rPr>
        <w:t>June 30, 2017</w:t>
      </w:r>
      <w:r>
        <w:rPr>
          <w:rFonts w:ascii="Times New Roman" w:hAnsi="Times New Roman"/>
          <w:szCs w:val="24"/>
        </w:rPr>
        <w:t xml:space="preserve"> </w:t>
      </w:r>
      <w:r w:rsidRPr="00AC0E29">
        <w:rPr>
          <w:rFonts w:ascii="Times New Roman" w:hAnsi="Times New Roman"/>
          <w:szCs w:val="24"/>
        </w:rPr>
        <w:t>Consolidated Reports of Condition.</w:t>
      </w:r>
    </w:p>
  </w:footnote>
  <w:footnote w:id="3">
    <w:p w:rsidR="00BB1A68" w:rsidRPr="00AC0E29" w:rsidRDefault="00BB1A68" w:rsidP="00BB1A68">
      <w:pPr>
        <w:pStyle w:val="FootnoteText"/>
        <w:spacing w:after="120"/>
        <w:rPr>
          <w:rFonts w:ascii="Times New Roman" w:hAnsi="Times New Roman"/>
          <w:szCs w:val="24"/>
        </w:rPr>
      </w:pPr>
      <w:r w:rsidRPr="00AC0E29">
        <w:rPr>
          <w:rStyle w:val="FootnoteReference"/>
          <w:rFonts w:ascii="Times New Roman" w:hAnsi="Times New Roman"/>
          <w:szCs w:val="24"/>
        </w:rPr>
        <w:footnoteRef/>
      </w:r>
      <w:r w:rsidRPr="00AC0E29">
        <w:rPr>
          <w:rFonts w:ascii="Times New Roman" w:hAnsi="Times New Roman"/>
          <w:szCs w:val="24"/>
        </w:rPr>
        <w:t xml:space="preserve">  Based on ABS issuance data from Asset-Backed Alert on the initial terms of offerings, supplemented with information from Commercial Mortgage Alert.  This estimate include</w:t>
      </w:r>
      <w:r>
        <w:rPr>
          <w:rFonts w:ascii="Times New Roman" w:hAnsi="Times New Roman"/>
          <w:szCs w:val="24"/>
        </w:rPr>
        <w:t>d</w:t>
      </w:r>
      <w:r w:rsidRPr="00AC0E29">
        <w:rPr>
          <w:rFonts w:ascii="Times New Roman" w:hAnsi="Times New Roman"/>
          <w:szCs w:val="24"/>
        </w:rPr>
        <w:t xml:space="preserve"> registered offerings, offerings made under Securities Act Rule 144A, and traditional private placements.  This estimate </w:t>
      </w:r>
      <w:r>
        <w:rPr>
          <w:rFonts w:ascii="Times New Roman" w:hAnsi="Times New Roman"/>
          <w:szCs w:val="24"/>
        </w:rPr>
        <w:t>was</w:t>
      </w:r>
      <w:r w:rsidRPr="00AC0E29">
        <w:rPr>
          <w:rFonts w:ascii="Times New Roman" w:hAnsi="Times New Roman"/>
          <w:szCs w:val="24"/>
        </w:rPr>
        <w:t xml:space="preserve"> for offerings not exempted under §§ _.19(a)-(f) and _.20 of the </w:t>
      </w:r>
      <w:r>
        <w:rPr>
          <w:rFonts w:ascii="Times New Roman" w:hAnsi="Times New Roman"/>
          <w:szCs w:val="24"/>
        </w:rPr>
        <w:t>R</w:t>
      </w:r>
      <w:r w:rsidRPr="00AC0E29">
        <w:rPr>
          <w:rFonts w:ascii="Times New Roman" w:hAnsi="Times New Roman"/>
          <w:szCs w:val="24"/>
        </w:rPr>
        <w:t>ule.</w:t>
      </w:r>
    </w:p>
  </w:footnote>
  <w:footnote w:id="4">
    <w:p w:rsidR="00BB1A68" w:rsidRPr="00AC0E29" w:rsidRDefault="00BB1A68" w:rsidP="00BB1A68">
      <w:pPr>
        <w:pStyle w:val="FootnoteText"/>
        <w:spacing w:after="120"/>
        <w:rPr>
          <w:rFonts w:ascii="Times New Roman" w:hAnsi="Times New Roman"/>
          <w:szCs w:val="24"/>
        </w:rPr>
      </w:pPr>
      <w:r w:rsidRPr="00AC0E29">
        <w:rPr>
          <w:rStyle w:val="FootnoteReference"/>
          <w:rFonts w:ascii="Times New Roman" w:hAnsi="Times New Roman"/>
          <w:szCs w:val="24"/>
        </w:rPr>
        <w:footnoteRef/>
      </w:r>
      <w:r w:rsidRPr="00AC0E29">
        <w:rPr>
          <w:rFonts w:ascii="Times New Roman" w:hAnsi="Times New Roman"/>
          <w:szCs w:val="24"/>
        </w:rPr>
        <w:t xml:space="preserve">  Estimate of 1,</w:t>
      </w:r>
      <w:r>
        <w:rPr>
          <w:rFonts w:ascii="Times New Roman" w:hAnsi="Times New Roman"/>
          <w:szCs w:val="24"/>
        </w:rPr>
        <w:t>400</w:t>
      </w:r>
      <w:r w:rsidRPr="00AC0E29">
        <w:rPr>
          <w:rFonts w:ascii="Times New Roman" w:hAnsi="Times New Roman"/>
          <w:szCs w:val="24"/>
        </w:rPr>
        <w:t xml:space="preserve"> offerings per year</w:t>
      </w:r>
      <w:r>
        <w:rPr>
          <w:rFonts w:ascii="Times New Roman" w:hAnsi="Times New Roman"/>
          <w:szCs w:val="24"/>
        </w:rPr>
        <w:t>,</w:t>
      </w:r>
      <w:r w:rsidRPr="00AC0E29">
        <w:rPr>
          <w:rFonts w:ascii="Times New Roman" w:hAnsi="Times New Roman"/>
          <w:szCs w:val="24"/>
        </w:rPr>
        <w:t xml:space="preserve"> minus the estimate of the number of offerings qualifying for an exemption under </w:t>
      </w:r>
      <w:r w:rsidRPr="00AC0E29">
        <w:rPr>
          <w:rFonts w:ascii="Times New Roman" w:hAnsi="Times New Roman"/>
          <w:color w:val="000000"/>
          <w:szCs w:val="24"/>
        </w:rPr>
        <w:t>§§</w:t>
      </w:r>
      <w:r w:rsidR="00C03D32">
        <w:rPr>
          <w:rFonts w:ascii="Times New Roman" w:hAnsi="Times New Roman"/>
          <w:color w:val="000000"/>
          <w:szCs w:val="24"/>
        </w:rPr>
        <w:t>373.</w:t>
      </w:r>
      <w:r w:rsidRPr="00AC0E29">
        <w:rPr>
          <w:rFonts w:ascii="Times New Roman" w:hAnsi="Times New Roman"/>
          <w:szCs w:val="24"/>
        </w:rPr>
        <w:t xml:space="preserve">13, </w:t>
      </w:r>
      <w:r w:rsidR="00C03D32">
        <w:rPr>
          <w:rFonts w:ascii="Times New Roman" w:hAnsi="Times New Roman"/>
          <w:color w:val="000000"/>
          <w:szCs w:val="24"/>
        </w:rPr>
        <w:t>373.</w:t>
      </w:r>
      <w:r w:rsidRPr="00AC0E29">
        <w:rPr>
          <w:rFonts w:ascii="Times New Roman" w:hAnsi="Times New Roman"/>
          <w:szCs w:val="24"/>
        </w:rPr>
        <w:t>15, and 19(g)</w:t>
      </w:r>
      <w:r>
        <w:rPr>
          <w:rFonts w:ascii="Times New Roman" w:hAnsi="Times New Roman"/>
          <w:szCs w:val="24"/>
        </w:rPr>
        <w:t xml:space="preserve"> as described in (b) and (c) above (i.e. 1,400 minus (b) 110 minus (c) 132 equals 1,158)</w:t>
      </w:r>
      <w:r w:rsidRPr="00AC0E29">
        <w:rPr>
          <w:rFonts w:ascii="Times New Roman" w:hAnsi="Times New Roman"/>
          <w:szCs w:val="24"/>
        </w:rPr>
        <w:t>.</w:t>
      </w:r>
    </w:p>
  </w:footnote>
  <w:footnote w:id="5">
    <w:p w:rsidR="00BB1A68" w:rsidRPr="00AC0E29" w:rsidRDefault="00BB1A68" w:rsidP="00BB1A68">
      <w:pPr>
        <w:pStyle w:val="FootnoteText"/>
        <w:spacing w:after="120"/>
        <w:rPr>
          <w:rFonts w:ascii="Times New Roman" w:hAnsi="Times New Roman"/>
          <w:szCs w:val="24"/>
        </w:rPr>
      </w:pPr>
      <w:r w:rsidRPr="00AC0E29">
        <w:rPr>
          <w:rStyle w:val="FootnoteReference"/>
          <w:rFonts w:ascii="Times New Roman" w:hAnsi="Times New Roman"/>
          <w:szCs w:val="24"/>
        </w:rPr>
        <w:footnoteRef/>
      </w:r>
      <w:r w:rsidRPr="00AC0E29">
        <w:rPr>
          <w:rFonts w:ascii="Times New Roman" w:hAnsi="Times New Roman"/>
          <w:szCs w:val="24"/>
        </w:rPr>
        <w:t xml:space="preserve"> For purposes of this calculation, the horizontal, vertical, and combined horizontal and vertical risk retention methods under the standard risk retention option </w:t>
      </w:r>
      <w:r>
        <w:rPr>
          <w:rFonts w:ascii="Times New Roman" w:hAnsi="Times New Roman"/>
          <w:szCs w:val="24"/>
        </w:rPr>
        <w:t>(§</w:t>
      </w:r>
      <w:r w:rsidR="00C03D32">
        <w:rPr>
          <w:rFonts w:ascii="Times New Roman" w:hAnsi="Times New Roman"/>
          <w:szCs w:val="24"/>
        </w:rPr>
        <w:t>373.</w:t>
      </w:r>
      <w:r>
        <w:rPr>
          <w:rFonts w:ascii="Times New Roman" w:hAnsi="Times New Roman"/>
          <w:szCs w:val="24"/>
        </w:rPr>
        <w:t xml:space="preserve">4) </w:t>
      </w:r>
      <w:r w:rsidRPr="00AC0E29">
        <w:rPr>
          <w:rFonts w:ascii="Times New Roman" w:hAnsi="Times New Roman"/>
          <w:szCs w:val="24"/>
        </w:rPr>
        <w:t>are each counted as a separate option under subpart B of the rule.</w:t>
      </w:r>
      <w:r>
        <w:rPr>
          <w:rFonts w:ascii="Times New Roman" w:hAnsi="Times New Roman"/>
          <w:szCs w:val="24"/>
        </w:rPr>
        <w:t xml:space="preserve">  The other six are: §</w:t>
      </w:r>
      <w:r w:rsidR="00C03D32">
        <w:rPr>
          <w:rFonts w:ascii="Times New Roman" w:hAnsi="Times New Roman"/>
          <w:szCs w:val="24"/>
        </w:rPr>
        <w:t>373.</w:t>
      </w:r>
      <w:r>
        <w:rPr>
          <w:rFonts w:ascii="Times New Roman" w:hAnsi="Times New Roman"/>
          <w:szCs w:val="24"/>
        </w:rPr>
        <w:t>5; §</w:t>
      </w:r>
      <w:r w:rsidR="00C03D32">
        <w:rPr>
          <w:rFonts w:ascii="Times New Roman" w:hAnsi="Times New Roman"/>
          <w:szCs w:val="24"/>
        </w:rPr>
        <w:t>373.</w:t>
      </w:r>
      <w:r>
        <w:rPr>
          <w:rFonts w:ascii="Times New Roman" w:hAnsi="Times New Roman"/>
          <w:szCs w:val="24"/>
        </w:rPr>
        <w:t>6; §</w:t>
      </w:r>
      <w:r w:rsidR="00C03D32">
        <w:rPr>
          <w:rFonts w:ascii="Times New Roman" w:hAnsi="Times New Roman"/>
          <w:szCs w:val="24"/>
        </w:rPr>
        <w:t>373.</w:t>
      </w:r>
      <w:r>
        <w:rPr>
          <w:rFonts w:ascii="Times New Roman" w:hAnsi="Times New Roman"/>
          <w:szCs w:val="24"/>
        </w:rPr>
        <w:t>7; §</w:t>
      </w:r>
      <w:r w:rsidR="00C03D32">
        <w:rPr>
          <w:rFonts w:ascii="Times New Roman" w:hAnsi="Times New Roman"/>
          <w:szCs w:val="24"/>
        </w:rPr>
        <w:t>373.</w:t>
      </w:r>
      <w:r>
        <w:rPr>
          <w:rFonts w:ascii="Times New Roman" w:hAnsi="Times New Roman"/>
          <w:szCs w:val="24"/>
        </w:rPr>
        <w:t>8; §</w:t>
      </w:r>
      <w:r w:rsidR="00C03D32">
        <w:rPr>
          <w:rFonts w:ascii="Times New Roman" w:hAnsi="Times New Roman"/>
          <w:szCs w:val="24"/>
        </w:rPr>
        <w:t>373.</w:t>
      </w:r>
      <w:r>
        <w:rPr>
          <w:rFonts w:ascii="Times New Roman" w:hAnsi="Times New Roman"/>
          <w:szCs w:val="24"/>
        </w:rPr>
        <w:t>9; and §</w:t>
      </w:r>
      <w:r w:rsidR="00C03D32">
        <w:rPr>
          <w:rFonts w:ascii="Times New Roman" w:hAnsi="Times New Roman"/>
          <w:szCs w:val="24"/>
        </w:rPr>
        <w:t>373.</w:t>
      </w:r>
      <w:r>
        <w:rPr>
          <w:rFonts w:ascii="Times New Roman" w:hAnsi="Times New Roman"/>
          <w:szCs w:val="24"/>
        </w:rPr>
        <w:t>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FEF" w:rsidRDefault="002B6EA1">
    <w:pPr>
      <w:tabs>
        <w:tab w:val="left" w:pos="-1440"/>
        <w:tab w:val="left" w:pos="-720"/>
        <w:tab w:val="left" w:pos="0"/>
        <w:tab w:val="left" w:pos="432"/>
        <w:tab w:val="left" w:pos="720"/>
        <w:tab w:val="left" w:pos="1008"/>
        <w:tab w:val="left" w:pos="1440"/>
      </w:tabs>
      <w:suppressAutoHyphens/>
      <w:jc w:val="both"/>
    </w:pPr>
  </w:p>
  <w:p w:rsidR="00CF5FEF" w:rsidRDefault="002B6EA1">
    <w:pPr>
      <w:tabs>
        <w:tab w:val="left" w:pos="-1440"/>
        <w:tab w:val="left" w:pos="-720"/>
        <w:tab w:val="left" w:pos="0"/>
        <w:tab w:val="left" w:pos="432"/>
        <w:tab w:val="left" w:pos="720"/>
        <w:tab w:val="left" w:pos="1008"/>
        <w:tab w:val="left" w:pos="1440"/>
      </w:tabs>
      <w:suppressAutoHyphens/>
      <w:spacing w:after="140" w:line="100" w:lineRule="exact"/>
      <w:jc w:val="both"/>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FEF" w:rsidRDefault="002B6EA1">
    <w:pPr>
      <w:pStyle w:val="Header"/>
      <w:jc w:val="right"/>
      <w:rPr>
        <w:rFonts w:ascii="Times New Roman" w:hAnsi="Times New Roman"/>
        <w:color w:val="C0C0C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E5B17"/>
    <w:multiLevelType w:val="hybridMultilevel"/>
    <w:tmpl w:val="B422F522"/>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B8619C"/>
    <w:multiLevelType w:val="hybridMultilevel"/>
    <w:tmpl w:val="EE8873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
    <w:nsid w:val="5DB24B36"/>
    <w:multiLevelType w:val="hybridMultilevel"/>
    <w:tmpl w:val="B422F522"/>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11C"/>
    <w:rsid w:val="000337D5"/>
    <w:rsid w:val="001A0C58"/>
    <w:rsid w:val="0024436C"/>
    <w:rsid w:val="00247F1D"/>
    <w:rsid w:val="002B6EA1"/>
    <w:rsid w:val="003721B5"/>
    <w:rsid w:val="00392FF6"/>
    <w:rsid w:val="00490C14"/>
    <w:rsid w:val="004C5D93"/>
    <w:rsid w:val="005027BA"/>
    <w:rsid w:val="00602FB3"/>
    <w:rsid w:val="00637A19"/>
    <w:rsid w:val="00995571"/>
    <w:rsid w:val="00AA37F9"/>
    <w:rsid w:val="00AB4BBB"/>
    <w:rsid w:val="00B453A8"/>
    <w:rsid w:val="00B81C81"/>
    <w:rsid w:val="00BB1A68"/>
    <w:rsid w:val="00BF74EA"/>
    <w:rsid w:val="00C03D32"/>
    <w:rsid w:val="00E43CF0"/>
    <w:rsid w:val="00EB249F"/>
    <w:rsid w:val="00FC311C"/>
    <w:rsid w:val="00FE2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C31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311C"/>
    <w:rPr>
      <w:sz w:val="20"/>
      <w:szCs w:val="20"/>
    </w:rPr>
  </w:style>
  <w:style w:type="paragraph" w:styleId="Header">
    <w:name w:val="header"/>
    <w:basedOn w:val="Normal"/>
    <w:link w:val="HeaderChar"/>
    <w:uiPriority w:val="99"/>
    <w:semiHidden/>
    <w:unhideWhenUsed/>
    <w:rsid w:val="00FC311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311C"/>
  </w:style>
  <w:style w:type="paragraph" w:styleId="Footer">
    <w:name w:val="footer"/>
    <w:basedOn w:val="Normal"/>
    <w:link w:val="FooterChar"/>
    <w:uiPriority w:val="99"/>
    <w:semiHidden/>
    <w:unhideWhenUsed/>
    <w:rsid w:val="00FC311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C311C"/>
  </w:style>
  <w:style w:type="character" w:styleId="FootnoteReference">
    <w:name w:val="footnote reference"/>
    <w:aliases w:val="fr,Style 19,Style 16,12,Style 35"/>
    <w:uiPriority w:val="99"/>
    <w:rsid w:val="00FC311C"/>
    <w:rPr>
      <w:vertAlign w:val="superscript"/>
    </w:rPr>
  </w:style>
  <w:style w:type="character" w:styleId="PageNumber">
    <w:name w:val="page number"/>
    <w:basedOn w:val="DefaultParagraphFont"/>
    <w:rsid w:val="00FC311C"/>
  </w:style>
  <w:style w:type="character" w:styleId="Hyperlink">
    <w:name w:val="Hyperlink"/>
    <w:basedOn w:val="DefaultParagraphFont"/>
    <w:rsid w:val="00BB1A68"/>
    <w:rPr>
      <w:color w:val="0000FF"/>
      <w:u w:val="single"/>
    </w:rPr>
  </w:style>
  <w:style w:type="table" w:customStyle="1" w:styleId="TableGrid2">
    <w:name w:val="Table Grid2"/>
    <w:basedOn w:val="TableNormal"/>
    <w:next w:val="TableGrid"/>
    <w:uiPriority w:val="59"/>
    <w:rsid w:val="00EB2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2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B2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C31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311C"/>
    <w:rPr>
      <w:sz w:val="20"/>
      <w:szCs w:val="20"/>
    </w:rPr>
  </w:style>
  <w:style w:type="paragraph" w:styleId="Header">
    <w:name w:val="header"/>
    <w:basedOn w:val="Normal"/>
    <w:link w:val="HeaderChar"/>
    <w:uiPriority w:val="99"/>
    <w:semiHidden/>
    <w:unhideWhenUsed/>
    <w:rsid w:val="00FC311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311C"/>
  </w:style>
  <w:style w:type="paragraph" w:styleId="Footer">
    <w:name w:val="footer"/>
    <w:basedOn w:val="Normal"/>
    <w:link w:val="FooterChar"/>
    <w:uiPriority w:val="99"/>
    <w:semiHidden/>
    <w:unhideWhenUsed/>
    <w:rsid w:val="00FC311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C311C"/>
  </w:style>
  <w:style w:type="character" w:styleId="FootnoteReference">
    <w:name w:val="footnote reference"/>
    <w:aliases w:val="fr,Style 19,Style 16,12,Style 35"/>
    <w:uiPriority w:val="99"/>
    <w:rsid w:val="00FC311C"/>
    <w:rPr>
      <w:vertAlign w:val="superscript"/>
    </w:rPr>
  </w:style>
  <w:style w:type="character" w:styleId="PageNumber">
    <w:name w:val="page number"/>
    <w:basedOn w:val="DefaultParagraphFont"/>
    <w:rsid w:val="00FC311C"/>
  </w:style>
  <w:style w:type="character" w:styleId="Hyperlink">
    <w:name w:val="Hyperlink"/>
    <w:basedOn w:val="DefaultParagraphFont"/>
    <w:rsid w:val="00BB1A68"/>
    <w:rPr>
      <w:color w:val="0000FF"/>
      <w:u w:val="single"/>
    </w:rPr>
  </w:style>
  <w:style w:type="table" w:customStyle="1" w:styleId="TableGrid2">
    <w:name w:val="Table Grid2"/>
    <w:basedOn w:val="TableNormal"/>
    <w:next w:val="TableGrid"/>
    <w:uiPriority w:val="59"/>
    <w:rsid w:val="00EB2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2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B2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eginfo.gov/public/do/PRAViewDocument?ref_nbr=201803-3235-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4452</Words>
  <Characters>25381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FDIC</Company>
  <LinksUpToDate>false</LinksUpToDate>
  <CharactersWithSpaces>29774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Kuiper, Gary</dc:creator>
  <cp:lastModifiedBy>SYSTEM</cp:lastModifiedBy>
  <cp:revision>2</cp:revision>
  <dcterms:created xsi:type="dcterms:W3CDTF">2018-08-08T16:52:00Z</dcterms:created>
  <dcterms:modified xsi:type="dcterms:W3CDTF">2018-08-08T16:52:00Z</dcterms:modified>
</cp:coreProperties>
</file>