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pPr>
        <w:jc w:val="center"/>
      </w:pPr>
      <w:bookmarkStart w:id="0" w:name="_GoBack"/>
      <w:bookmarkEnd w:id="0"/>
    </w:p>
    <w:p w:rsidR="00933321" w:rsidRDefault="00933321">
      <w:pPr>
        <w:jc w:val="center"/>
      </w:pPr>
    </w:p>
    <w:p w:rsidR="00933321" w:rsidRDefault="00933321">
      <w:pPr>
        <w:jc w:val="center"/>
      </w:pPr>
      <w:r>
        <w:t>OMB SUPPORTING STATEMENT</w:t>
      </w:r>
    </w:p>
    <w:p w:rsidR="00933321" w:rsidRDefault="00933321"/>
    <w:p w:rsidR="00EA7309" w:rsidRDefault="00EA7309" w:rsidP="00EA7309">
      <w:r>
        <w:t>RI 38-115 – Representative Payee Survey</w:t>
      </w:r>
    </w:p>
    <w:p w:rsidR="00933321" w:rsidRDefault="00933321"/>
    <w:p w:rsidR="00933321" w:rsidRDefault="00933321">
      <w:pPr>
        <w:numPr>
          <w:ilvl w:val="0"/>
          <w:numId w:val="1"/>
        </w:numPr>
      </w:pPr>
      <w:r>
        <w:t>Justification</w:t>
      </w:r>
    </w:p>
    <w:p w:rsidR="00933321" w:rsidRDefault="00933321"/>
    <w:p w:rsidR="00EA7309" w:rsidRDefault="00EB14B8" w:rsidP="00FF6FC3">
      <w:pPr>
        <w:pStyle w:val="ListParagraph"/>
        <w:numPr>
          <w:ilvl w:val="0"/>
          <w:numId w:val="2"/>
        </w:numPr>
        <w:tabs>
          <w:tab w:val="left" w:pos="-720"/>
        </w:tabs>
        <w:suppressAutoHyphens/>
        <w:ind w:left="660"/>
      </w:pPr>
      <w:r w:rsidRPr="00741061">
        <w:fldChar w:fldCharType="begin"/>
      </w:r>
      <w:r w:rsidRPr="00741061">
        <w:instrText>ADVANCE \R 0.95</w:instrText>
      </w:r>
      <w:r w:rsidRPr="00741061">
        <w:fldChar w:fldCharType="end"/>
      </w:r>
      <w:r w:rsidR="00EA7309">
        <w:t>Title 5, U. S. Code, Chapter 83, Section 8345(e) and Chapter 84, Section 8466(c) provide</w:t>
      </w:r>
      <w:r w:rsidR="00FF6FC3">
        <w:t xml:space="preserve"> </w:t>
      </w:r>
      <w:r w:rsidR="00EA7309">
        <w:t>for the payment of benefits to the representative payee of an incompetent annuitant. Title 5, U. S. Code, Chapter 83, Section 8347(a) and Chapter 84, Section 8461(g) provide that the Office of Personnel Management (OPM) shall administer the provisions of the law and regulations relating to the payment of retirement benefits. RI 38-115 is designed to collect information about how the monies OPM has paid to a representative payee have been used or conserved for the benefit of the incompetent annuitant.</w:t>
      </w:r>
    </w:p>
    <w:p w:rsidR="00077D7A" w:rsidRDefault="00077D7A" w:rsidP="00EB14B8">
      <w:pPr>
        <w:ind w:left="720"/>
      </w:pPr>
    </w:p>
    <w:p w:rsidR="00933321" w:rsidRDefault="00933321">
      <w:pPr>
        <w:ind w:left="360"/>
      </w:pPr>
    </w:p>
    <w:p w:rsidR="00EB14B8" w:rsidRPr="00741061" w:rsidRDefault="00EB14B8" w:rsidP="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RDefault="00EB14B8" w:rsidP="00EB14B8">
      <w:pPr>
        <w:ind w:left="720"/>
      </w:pPr>
    </w:p>
    <w:p w:rsidR="00E953C1" w:rsidRDefault="00BE6D7A" w:rsidP="00E953C1">
      <w:pPr>
        <w:ind w:left="720"/>
      </w:pPr>
      <w:r>
        <w:t>OPM uses RI 38-115 to determine whether representative payees are using the benefit to support the annuitant. This information collection is needed in order to avoid paying persons who are misusing the annuities, are no longer acting as payee for the annuitant, or have failed to report an event (such as the death of the annuitant) which would terminate the annuity. The survey is not mailed to court-appointed fiduciaries. The form collects the social security number of the representative payee and the email address where the payee can be reached</w:t>
      </w:r>
      <w:r w:rsidR="00E953C1">
        <w:t>.</w:t>
      </w:r>
    </w:p>
    <w:p w:rsidR="00E953C1" w:rsidRDefault="00E953C1" w:rsidP="00E953C1">
      <w:pPr>
        <w:ind w:left="720"/>
      </w:pPr>
    </w:p>
    <w:p w:rsidR="00E953C1" w:rsidRDefault="002D5996" w:rsidP="00E953C1">
      <w:pPr>
        <w:ind w:left="720"/>
      </w:pPr>
      <w:r>
        <w:t>The Privacy Act Statement (PAS) has been revised due to a general systematic review by our Chief Privacy Officer.</w:t>
      </w:r>
    </w:p>
    <w:p w:rsidR="00077D7A" w:rsidRDefault="0097293A" w:rsidP="00E953C1">
      <w:pPr>
        <w:ind w:left="660"/>
      </w:pPr>
      <w:r>
        <w:tab/>
      </w:r>
    </w:p>
    <w:p w:rsidR="007D1502" w:rsidRDefault="007D1502" w:rsidP="007D1502">
      <w:pPr>
        <w:ind w:left="360"/>
      </w:pPr>
    </w:p>
    <w:p w:rsidR="00077D7A" w:rsidRDefault="00EB14B8" w:rsidP="002D5996">
      <w:pPr>
        <w:pStyle w:val="ListParagraph"/>
        <w:numPr>
          <w:ilvl w:val="0"/>
          <w:numId w:val="2"/>
        </w:numPr>
        <w:tabs>
          <w:tab w:val="left" w:pos="-720"/>
        </w:tabs>
        <w:suppressAutoHyphens/>
      </w:pPr>
      <w:r w:rsidRPr="00741061">
        <w:fldChar w:fldCharType="begin"/>
      </w:r>
      <w:r w:rsidRPr="00741061">
        <w:instrText>ADVANCE \R 0.95</w:instrText>
      </w:r>
      <w:r w:rsidRPr="00741061">
        <w:fldChar w:fldCharType="end"/>
      </w:r>
      <w:r w:rsidR="00BE6D7A">
        <w:t>Improved information technology will not reduce the burden. The information collected</w:t>
      </w:r>
      <w:r w:rsidR="002D5996">
        <w:t xml:space="preserve"> </w:t>
      </w:r>
      <w:r w:rsidR="00BE6D7A">
        <w:t>cannot be obtained from other sources. However, this form is available in a PDF format</w:t>
      </w:r>
      <w:r w:rsidR="002D5996">
        <w:t xml:space="preserve"> </w:t>
      </w:r>
      <w:r w:rsidR="00BE6D7A">
        <w:t>on our website and meets the GPEA requirements.</w:t>
      </w:r>
    </w:p>
    <w:p w:rsidR="001847CB" w:rsidRDefault="001847CB" w:rsidP="00077D7A">
      <w:pPr>
        <w:ind w:left="360"/>
      </w:pPr>
    </w:p>
    <w:p w:rsidR="00A50DBB" w:rsidRDefault="00A50DBB" w:rsidP="00077D7A">
      <w:pPr>
        <w:ind w:left="360"/>
      </w:pPr>
    </w:p>
    <w:p w:rsidR="00BE6D7A" w:rsidRDefault="00EB14B8" w:rsidP="003253C5">
      <w:pPr>
        <w:tabs>
          <w:tab w:val="left" w:pos="-720"/>
        </w:tabs>
        <w:suppressAutoHyphens/>
        <w:ind w:left="360"/>
      </w:pPr>
      <w:r w:rsidRPr="00741061">
        <w:fldChar w:fldCharType="begin"/>
      </w:r>
      <w:r w:rsidRPr="00741061">
        <w:instrText>ADVANCE \R 0.95</w:instrText>
      </w:r>
      <w:r w:rsidRPr="00741061">
        <w:fldChar w:fldCharType="end"/>
      </w:r>
      <w:r w:rsidR="003253C5">
        <w:t>4.</w:t>
      </w:r>
      <w:r w:rsidR="003253C5">
        <w:tab/>
      </w:r>
      <w:r w:rsidR="00BE6D7A">
        <w:t>The forms are prepared for individual respondents. Similar information is not available.</w:t>
      </w:r>
    </w:p>
    <w:p w:rsidR="005958BE" w:rsidRDefault="005958BE" w:rsidP="009B7453">
      <w:pPr>
        <w:ind w:left="720"/>
      </w:pPr>
    </w:p>
    <w:p w:rsidR="005958BE" w:rsidRDefault="00A50DBB" w:rsidP="00015738">
      <w:pPr>
        <w:pStyle w:val="ListParagraph"/>
        <w:numPr>
          <w:ilvl w:val="0"/>
          <w:numId w:val="4"/>
        </w:numPr>
        <w:tabs>
          <w:tab w:val="left" w:pos="-720"/>
        </w:tabs>
        <w:suppressAutoHyphens/>
      </w:pPr>
      <w:r w:rsidRPr="00741061">
        <w:fldChar w:fldCharType="begin"/>
      </w:r>
      <w:r w:rsidRPr="00741061">
        <w:instrText>ADVANCE \R 0.95</w:instrText>
      </w:r>
      <w:r w:rsidRPr="00741061">
        <w:fldChar w:fldCharType="end"/>
      </w:r>
      <w:r w:rsidR="00015738">
        <w:t xml:space="preserve"> </w:t>
      </w:r>
      <w:r w:rsidR="005958BE">
        <w:t>Information is not collected from small businesses.</w:t>
      </w:r>
    </w:p>
    <w:p w:rsidR="00933321" w:rsidRDefault="00933321"/>
    <w:p w:rsidR="00BE6D7A" w:rsidRDefault="00BE6D7A" w:rsidP="0014272E">
      <w:pPr>
        <w:pStyle w:val="ListParagraph"/>
        <w:numPr>
          <w:ilvl w:val="0"/>
          <w:numId w:val="4"/>
        </w:numPr>
        <w:tabs>
          <w:tab w:val="left" w:pos="-720"/>
        </w:tabs>
        <w:suppressAutoHyphens/>
      </w:pPr>
      <w:r>
        <w:t>Less frequent collection would hamper OPM efforts to oversee the payment of annuities to persons who are charged with using the money for the benefit of someone else.</w:t>
      </w:r>
    </w:p>
    <w:p w:rsidR="00A50DBB" w:rsidRDefault="00A50DBB" w:rsidP="005958BE">
      <w:pPr>
        <w:ind w:left="720"/>
      </w:pPr>
    </w:p>
    <w:p w:rsidR="00BE6D7A" w:rsidRDefault="00BE6D7A" w:rsidP="009F2915">
      <w:pPr>
        <w:pStyle w:val="ListParagraph"/>
        <w:numPr>
          <w:ilvl w:val="0"/>
          <w:numId w:val="4"/>
        </w:numPr>
        <w:tabs>
          <w:tab w:val="left" w:pos="-720"/>
        </w:tabs>
        <w:suppressAutoHyphens/>
      </w:pPr>
      <w:r>
        <w:t>This information collection is consistent with the guidelines in 5 CFR 1320.6, except 1320.6(b). A response is required within 30 days in order to prevent payment to those who are no longer eligible.</w:t>
      </w:r>
    </w:p>
    <w:p w:rsidR="005958BE" w:rsidRDefault="005958BE"/>
    <w:p w:rsidR="005958BE" w:rsidRDefault="005958BE" w:rsidP="00FF277B">
      <w:pPr>
        <w:pStyle w:val="ListParagraph"/>
        <w:numPr>
          <w:ilvl w:val="0"/>
          <w:numId w:val="4"/>
        </w:numPr>
        <w:tabs>
          <w:tab w:val="left" w:pos="-720"/>
        </w:tabs>
        <w:suppressAutoHyphens/>
      </w:pPr>
      <w:r>
        <w:lastRenderedPageBreak/>
        <w:t xml:space="preserve">A </w:t>
      </w:r>
      <w:r w:rsidR="005B6B25">
        <w:t xml:space="preserve">60 Day Federal Register Notice was published </w:t>
      </w:r>
      <w:r>
        <w:t xml:space="preserve">on </w:t>
      </w:r>
      <w:r w:rsidR="000D09F8">
        <w:t>January 22, 2018</w:t>
      </w:r>
      <w:r w:rsidR="005B6B25">
        <w:t xml:space="preserve"> at 8</w:t>
      </w:r>
      <w:r w:rsidR="000D09F8">
        <w:t>3</w:t>
      </w:r>
      <w:r w:rsidR="005B6B25">
        <w:t xml:space="preserve"> FR </w:t>
      </w:r>
      <w:r w:rsidR="000D09F8">
        <w:t xml:space="preserve">3035 </w:t>
      </w:r>
      <w:r w:rsidR="005B6B25">
        <w:t>requesting comment.</w:t>
      </w:r>
      <w:r>
        <w:t xml:space="preserve"> No comments were received.</w:t>
      </w:r>
    </w:p>
    <w:p w:rsidR="00E54E94" w:rsidRDefault="00E54E94" w:rsidP="00D06F71">
      <w:pPr>
        <w:ind w:left="360"/>
      </w:pPr>
    </w:p>
    <w:p w:rsidR="00E54E94" w:rsidRDefault="00E54E94" w:rsidP="00E54E94">
      <w:pPr>
        <w:ind w:left="720"/>
      </w:pPr>
    </w:p>
    <w:p w:rsidR="00CA7569" w:rsidRDefault="00CA7569" w:rsidP="00FF277B">
      <w:pPr>
        <w:pStyle w:val="ListParagraph"/>
        <w:numPr>
          <w:ilvl w:val="0"/>
          <w:numId w:val="4"/>
        </w:numPr>
        <w:tabs>
          <w:tab w:val="left" w:pos="-720"/>
        </w:tabs>
        <w:suppressAutoHyphens/>
        <w:ind w:right="-288"/>
      </w:pPr>
      <w:r>
        <w:t>No payment or gift is provided to these respondents.</w:t>
      </w:r>
    </w:p>
    <w:p w:rsidR="00E54E94" w:rsidRDefault="00E54E94" w:rsidP="00D06F71">
      <w:pPr>
        <w:ind w:left="360" w:right="-288"/>
      </w:pPr>
    </w:p>
    <w:p w:rsidR="00CA7569" w:rsidRDefault="00FF277B" w:rsidP="00FF277B">
      <w:pPr>
        <w:pStyle w:val="ListParagraph"/>
        <w:numPr>
          <w:ilvl w:val="0"/>
          <w:numId w:val="4"/>
        </w:numPr>
        <w:tabs>
          <w:tab w:val="left" w:pos="-720"/>
        </w:tabs>
        <w:suppressAutoHyphens/>
        <w:ind w:right="-288"/>
      </w:pPr>
      <w:r>
        <w:t xml:space="preserve"> </w:t>
      </w:r>
      <w:r w:rsidR="00CA7569">
        <w:t xml:space="preserve">This information collection is protected by the Privacy Act of 1974 and OPM regulations </w:t>
      </w:r>
      <w:r>
        <w:br/>
      </w:r>
      <w:r w:rsidR="00CA7569">
        <w:t xml:space="preserve">(5 </w:t>
      </w:r>
      <w:smartTag w:uri="urn:schemas-microsoft-com:office:smarttags" w:element="stockticker">
        <w:r w:rsidR="00CA7569">
          <w:t>CFR</w:t>
        </w:r>
      </w:smartTag>
      <w:r w:rsidR="00CA7569">
        <w:t xml:space="preserve"> 831.106).  The routine uses of disclosure appear in the </w:t>
      </w:r>
      <w:r w:rsidR="00CA7569" w:rsidRPr="00FF277B">
        <w:rPr>
          <w:i/>
        </w:rPr>
        <w:t>Federal Register</w:t>
      </w:r>
      <w:r w:rsidR="00CA7569">
        <w:t xml:space="preserve"> for OPM/Central-1 (73 FR 15013, </w:t>
      </w:r>
      <w:r w:rsidR="00CA7569" w:rsidRPr="00FF277B">
        <w:rPr>
          <w:i/>
        </w:rPr>
        <w:t>et seq</w:t>
      </w:r>
      <w:r w:rsidR="00CA7569">
        <w:t>., March 20, 2008).</w:t>
      </w:r>
    </w:p>
    <w:p w:rsidR="00CA7569" w:rsidRDefault="00CA7569" w:rsidP="00806BD1"/>
    <w:p w:rsidR="00CA7569" w:rsidRDefault="00CA7569" w:rsidP="00FF277B">
      <w:pPr>
        <w:pStyle w:val="ListParagraph"/>
        <w:numPr>
          <w:ilvl w:val="0"/>
          <w:numId w:val="4"/>
        </w:numPr>
        <w:tabs>
          <w:tab w:val="left" w:pos="-720"/>
        </w:tabs>
        <w:suppressAutoHyphens/>
      </w:pPr>
      <w:r>
        <w:t>This information collection does not include questions of a sensitive nature, such as sexual behavior and attitudes, religious beliefs, and other matters that are commonly considered private.</w:t>
      </w:r>
    </w:p>
    <w:p w:rsidR="00CA7569" w:rsidRDefault="00CA7569" w:rsidP="00CA7569">
      <w:pPr>
        <w:ind w:left="720"/>
      </w:pPr>
    </w:p>
    <w:p w:rsidR="00D1584F" w:rsidRDefault="00E54E94" w:rsidP="00D1584F">
      <w:pPr>
        <w:pStyle w:val="ListParagraph"/>
        <w:tabs>
          <w:tab w:val="left" w:pos="-720"/>
        </w:tabs>
        <w:suppressAutoHyphens/>
        <w:ind w:left="360"/>
      </w:pPr>
      <w:r w:rsidRPr="00741061">
        <w:t xml:space="preserve">12. </w:t>
      </w:r>
      <w:r w:rsidR="00D1584F">
        <w:t>Approximately 11,000 forms will be processed annually. The form requires</w:t>
      </w:r>
      <w:r w:rsidR="00D1584F">
        <w:br/>
        <w:t xml:space="preserve">      approximately 20 minutes each to complete. The annual burden of 3,667 hours is </w:t>
      </w:r>
      <w:r w:rsidR="00D1584F">
        <w:br/>
        <w:t xml:space="preserve">      estimated.</w:t>
      </w:r>
      <w:r w:rsidR="00D1584F">
        <w:br/>
      </w:r>
    </w:p>
    <w:tbl>
      <w:tblPr>
        <w:tblStyle w:val="TableGrid"/>
        <w:tblW w:w="0" w:type="auto"/>
        <w:tblInd w:w="360" w:type="dxa"/>
        <w:tblLook w:val="04A0" w:firstRow="1" w:lastRow="0" w:firstColumn="1" w:lastColumn="0" w:noHBand="0" w:noVBand="1"/>
      </w:tblPr>
      <w:tblGrid>
        <w:gridCol w:w="1286"/>
        <w:gridCol w:w="1166"/>
        <w:gridCol w:w="1526"/>
        <w:gridCol w:w="1302"/>
        <w:gridCol w:w="981"/>
        <w:gridCol w:w="776"/>
        <w:gridCol w:w="848"/>
        <w:gridCol w:w="1331"/>
      </w:tblGrid>
      <w:tr w:rsidR="00844F63" w:rsidTr="002F0D36">
        <w:tc>
          <w:tcPr>
            <w:tcW w:w="1286" w:type="dxa"/>
          </w:tcPr>
          <w:p w:rsidR="00844F63" w:rsidRPr="00D1584F" w:rsidRDefault="00844F63" w:rsidP="00D1584F">
            <w:pPr>
              <w:pStyle w:val="ListParagraph"/>
              <w:tabs>
                <w:tab w:val="left" w:pos="-720"/>
              </w:tabs>
              <w:suppressAutoHyphens/>
              <w:ind w:left="0"/>
              <w:rPr>
                <w:rFonts w:ascii="Arial" w:hAnsi="Arial" w:cs="Arial"/>
                <w:b/>
                <w:sz w:val="16"/>
                <w:szCs w:val="16"/>
              </w:rPr>
            </w:pPr>
            <w:r w:rsidRPr="00D1584F">
              <w:rPr>
                <w:rFonts w:ascii="Arial" w:hAnsi="Arial" w:cs="Arial"/>
                <w:b/>
                <w:sz w:val="16"/>
                <w:szCs w:val="16"/>
              </w:rPr>
              <w:t>Form Name</w:t>
            </w:r>
          </w:p>
        </w:tc>
        <w:tc>
          <w:tcPr>
            <w:tcW w:w="1166" w:type="dxa"/>
          </w:tcPr>
          <w:p w:rsidR="00844F63" w:rsidRDefault="00844F63" w:rsidP="00D1584F">
            <w:pPr>
              <w:pStyle w:val="ListParagraph"/>
              <w:tabs>
                <w:tab w:val="left" w:pos="-720"/>
              </w:tabs>
              <w:suppressAutoHyphens/>
              <w:ind w:left="0"/>
            </w:pPr>
            <w:r w:rsidRPr="00D1584F">
              <w:rPr>
                <w:rFonts w:ascii="Arial" w:hAnsi="Arial" w:cs="Arial"/>
                <w:b/>
                <w:sz w:val="16"/>
                <w:szCs w:val="16"/>
              </w:rPr>
              <w:t>Form N</w:t>
            </w:r>
            <w:r>
              <w:rPr>
                <w:rFonts w:ascii="Arial" w:hAnsi="Arial" w:cs="Arial"/>
                <w:b/>
                <w:sz w:val="16"/>
                <w:szCs w:val="16"/>
              </w:rPr>
              <w:t>umber</w:t>
            </w:r>
          </w:p>
        </w:tc>
        <w:tc>
          <w:tcPr>
            <w:tcW w:w="1526" w:type="dxa"/>
          </w:tcPr>
          <w:p w:rsidR="00844F63" w:rsidRDefault="00844F63" w:rsidP="00D1584F">
            <w:pPr>
              <w:pStyle w:val="ListParagraph"/>
              <w:tabs>
                <w:tab w:val="left" w:pos="-720"/>
              </w:tabs>
              <w:suppressAutoHyphens/>
              <w:ind w:left="0"/>
            </w:pPr>
            <w:r>
              <w:rPr>
                <w:rFonts w:ascii="Arial" w:hAnsi="Arial" w:cs="Arial"/>
                <w:b/>
                <w:sz w:val="16"/>
                <w:szCs w:val="16"/>
              </w:rPr>
              <w:t>No. of Respondents</w:t>
            </w:r>
          </w:p>
        </w:tc>
        <w:tc>
          <w:tcPr>
            <w:tcW w:w="1302" w:type="dxa"/>
          </w:tcPr>
          <w:p w:rsidR="00844F63" w:rsidRDefault="00844F63" w:rsidP="00D1584F">
            <w:pPr>
              <w:pStyle w:val="ListParagraph"/>
              <w:tabs>
                <w:tab w:val="left" w:pos="-720"/>
              </w:tabs>
              <w:suppressAutoHyphens/>
              <w:ind w:left="0"/>
            </w:pPr>
            <w:r>
              <w:rPr>
                <w:rFonts w:ascii="Arial" w:hAnsi="Arial" w:cs="Arial"/>
                <w:b/>
                <w:sz w:val="16"/>
                <w:szCs w:val="16"/>
              </w:rPr>
              <w:t>No. of Responses per Respondent</w:t>
            </w:r>
          </w:p>
        </w:tc>
        <w:tc>
          <w:tcPr>
            <w:tcW w:w="981" w:type="dxa"/>
          </w:tcPr>
          <w:p w:rsidR="00844F63" w:rsidRDefault="00844F63" w:rsidP="00D1584F">
            <w:pPr>
              <w:pStyle w:val="ListParagraph"/>
              <w:tabs>
                <w:tab w:val="left" w:pos="-720"/>
              </w:tabs>
              <w:suppressAutoHyphens/>
              <w:ind w:left="0"/>
            </w:pPr>
            <w:r>
              <w:rPr>
                <w:rFonts w:ascii="Arial" w:hAnsi="Arial" w:cs="Arial"/>
                <w:b/>
                <w:sz w:val="16"/>
                <w:szCs w:val="16"/>
              </w:rPr>
              <w:t>Average Burden per Response (in hours)</w:t>
            </w:r>
          </w:p>
        </w:tc>
        <w:tc>
          <w:tcPr>
            <w:tcW w:w="776" w:type="dxa"/>
          </w:tcPr>
          <w:p w:rsidR="00844F63" w:rsidRDefault="00844F63" w:rsidP="00D1584F">
            <w:pPr>
              <w:pStyle w:val="ListParagraph"/>
              <w:tabs>
                <w:tab w:val="left" w:pos="-720"/>
              </w:tabs>
              <w:suppressAutoHyphens/>
              <w:ind w:left="0"/>
            </w:pPr>
            <w:r>
              <w:rPr>
                <w:rFonts w:ascii="Arial" w:hAnsi="Arial" w:cs="Arial"/>
                <w:b/>
                <w:sz w:val="16"/>
                <w:szCs w:val="16"/>
              </w:rPr>
              <w:t>Total Annual Burden (in hours)</w:t>
            </w:r>
          </w:p>
        </w:tc>
        <w:tc>
          <w:tcPr>
            <w:tcW w:w="848" w:type="dxa"/>
          </w:tcPr>
          <w:p w:rsidR="00844F63" w:rsidRDefault="00844F63" w:rsidP="00D1584F">
            <w:pPr>
              <w:pStyle w:val="ListParagraph"/>
              <w:tabs>
                <w:tab w:val="left" w:pos="-720"/>
              </w:tabs>
              <w:suppressAutoHyphens/>
              <w:ind w:left="0"/>
            </w:pPr>
            <w:r>
              <w:rPr>
                <w:rFonts w:ascii="Arial" w:hAnsi="Arial" w:cs="Arial"/>
                <w:b/>
                <w:sz w:val="16"/>
                <w:szCs w:val="16"/>
              </w:rPr>
              <w:t>Average</w:t>
            </w:r>
            <w:r>
              <w:rPr>
                <w:rFonts w:ascii="Arial" w:hAnsi="Arial" w:cs="Arial"/>
                <w:b/>
                <w:sz w:val="16"/>
                <w:szCs w:val="16"/>
              </w:rPr>
              <w:br/>
              <w:t>Hourly</w:t>
            </w:r>
            <w:r>
              <w:rPr>
                <w:rFonts w:ascii="Arial" w:hAnsi="Arial" w:cs="Arial"/>
                <w:b/>
                <w:sz w:val="16"/>
                <w:szCs w:val="16"/>
              </w:rPr>
              <w:br/>
              <w:t>Wage Rate</w:t>
            </w:r>
          </w:p>
        </w:tc>
        <w:tc>
          <w:tcPr>
            <w:tcW w:w="1331" w:type="dxa"/>
          </w:tcPr>
          <w:p w:rsidR="00844F63" w:rsidRDefault="00844F63" w:rsidP="00D1584F">
            <w:pPr>
              <w:pStyle w:val="ListParagraph"/>
              <w:tabs>
                <w:tab w:val="left" w:pos="-720"/>
              </w:tabs>
              <w:suppressAutoHyphens/>
              <w:ind w:left="0"/>
            </w:pPr>
            <w:r>
              <w:rPr>
                <w:rFonts w:ascii="Arial" w:hAnsi="Arial" w:cs="Arial"/>
                <w:b/>
                <w:sz w:val="16"/>
                <w:szCs w:val="16"/>
              </w:rPr>
              <w:t>Total Annual</w:t>
            </w:r>
            <w:r>
              <w:rPr>
                <w:rFonts w:ascii="Arial" w:hAnsi="Arial" w:cs="Arial"/>
                <w:b/>
                <w:sz w:val="16"/>
                <w:szCs w:val="16"/>
              </w:rPr>
              <w:br/>
              <w:t>Respondent Cost</w:t>
            </w:r>
          </w:p>
        </w:tc>
      </w:tr>
      <w:tr w:rsidR="00844F63" w:rsidTr="002F0D36">
        <w:tc>
          <w:tcPr>
            <w:tcW w:w="1286" w:type="dxa"/>
          </w:tcPr>
          <w:p w:rsidR="00844F63" w:rsidRPr="00844F63" w:rsidRDefault="00844F63" w:rsidP="00D1584F">
            <w:pPr>
              <w:pStyle w:val="ListParagraph"/>
              <w:tabs>
                <w:tab w:val="left" w:pos="-720"/>
              </w:tabs>
              <w:suppressAutoHyphens/>
              <w:ind w:left="0"/>
              <w:rPr>
                <w:sz w:val="18"/>
                <w:szCs w:val="18"/>
              </w:rPr>
            </w:pPr>
            <w:r>
              <w:rPr>
                <w:sz w:val="18"/>
                <w:szCs w:val="18"/>
              </w:rPr>
              <w:t>Representative Payee Survey</w:t>
            </w:r>
          </w:p>
        </w:tc>
        <w:tc>
          <w:tcPr>
            <w:tcW w:w="1166" w:type="dxa"/>
          </w:tcPr>
          <w:p w:rsidR="00844F63" w:rsidRPr="00844F63" w:rsidRDefault="00844F63" w:rsidP="00D1584F">
            <w:pPr>
              <w:pStyle w:val="ListParagraph"/>
              <w:tabs>
                <w:tab w:val="left" w:pos="-720"/>
              </w:tabs>
              <w:suppressAutoHyphens/>
              <w:ind w:left="0"/>
              <w:rPr>
                <w:sz w:val="18"/>
                <w:szCs w:val="18"/>
              </w:rPr>
            </w:pPr>
            <w:r>
              <w:rPr>
                <w:sz w:val="18"/>
                <w:szCs w:val="18"/>
              </w:rPr>
              <w:t>RI 38-115</w:t>
            </w:r>
          </w:p>
        </w:tc>
        <w:tc>
          <w:tcPr>
            <w:tcW w:w="1526" w:type="dxa"/>
          </w:tcPr>
          <w:p w:rsidR="00844F63" w:rsidRPr="00844F63" w:rsidRDefault="00844F63" w:rsidP="00D1584F">
            <w:pPr>
              <w:pStyle w:val="ListParagraph"/>
              <w:tabs>
                <w:tab w:val="left" w:pos="-720"/>
              </w:tabs>
              <w:suppressAutoHyphens/>
              <w:ind w:left="0"/>
              <w:rPr>
                <w:sz w:val="18"/>
                <w:szCs w:val="18"/>
              </w:rPr>
            </w:pPr>
            <w:r>
              <w:rPr>
                <w:sz w:val="18"/>
                <w:szCs w:val="18"/>
              </w:rPr>
              <w:t>11,000</w:t>
            </w:r>
          </w:p>
        </w:tc>
        <w:tc>
          <w:tcPr>
            <w:tcW w:w="1302" w:type="dxa"/>
          </w:tcPr>
          <w:p w:rsidR="00844F63" w:rsidRPr="00844F63" w:rsidRDefault="00844F63" w:rsidP="002F0D36">
            <w:pPr>
              <w:pStyle w:val="ListParagraph"/>
              <w:tabs>
                <w:tab w:val="left" w:pos="-720"/>
              </w:tabs>
              <w:suppressAutoHyphens/>
              <w:ind w:left="0"/>
              <w:jc w:val="right"/>
              <w:rPr>
                <w:sz w:val="18"/>
                <w:szCs w:val="18"/>
              </w:rPr>
            </w:pPr>
            <w:r>
              <w:rPr>
                <w:sz w:val="18"/>
                <w:szCs w:val="18"/>
              </w:rPr>
              <w:t>1</w:t>
            </w:r>
          </w:p>
        </w:tc>
        <w:tc>
          <w:tcPr>
            <w:tcW w:w="981" w:type="dxa"/>
          </w:tcPr>
          <w:p w:rsidR="00844F63" w:rsidRPr="00844F63" w:rsidRDefault="00844F63" w:rsidP="00D1584F">
            <w:pPr>
              <w:pStyle w:val="ListParagraph"/>
              <w:tabs>
                <w:tab w:val="left" w:pos="-720"/>
              </w:tabs>
              <w:suppressAutoHyphens/>
              <w:ind w:left="0"/>
              <w:rPr>
                <w:sz w:val="18"/>
                <w:szCs w:val="18"/>
              </w:rPr>
            </w:pPr>
            <w:r>
              <w:rPr>
                <w:sz w:val="18"/>
                <w:szCs w:val="18"/>
              </w:rPr>
              <w:t>20 minutes</w:t>
            </w:r>
          </w:p>
        </w:tc>
        <w:tc>
          <w:tcPr>
            <w:tcW w:w="776" w:type="dxa"/>
          </w:tcPr>
          <w:p w:rsidR="00844F63" w:rsidRPr="00844F63" w:rsidRDefault="00844F63" w:rsidP="00D1584F">
            <w:pPr>
              <w:pStyle w:val="ListParagraph"/>
              <w:tabs>
                <w:tab w:val="left" w:pos="-720"/>
              </w:tabs>
              <w:suppressAutoHyphens/>
              <w:ind w:left="0"/>
              <w:rPr>
                <w:sz w:val="18"/>
                <w:szCs w:val="18"/>
              </w:rPr>
            </w:pPr>
            <w:r>
              <w:rPr>
                <w:sz w:val="18"/>
                <w:szCs w:val="18"/>
              </w:rPr>
              <w:t>3,667</w:t>
            </w:r>
          </w:p>
        </w:tc>
        <w:tc>
          <w:tcPr>
            <w:tcW w:w="848" w:type="dxa"/>
          </w:tcPr>
          <w:p w:rsidR="00844F63" w:rsidRPr="00844F63" w:rsidRDefault="00844F63" w:rsidP="002F0D36">
            <w:pPr>
              <w:pStyle w:val="ListParagraph"/>
              <w:tabs>
                <w:tab w:val="left" w:pos="-720"/>
              </w:tabs>
              <w:suppressAutoHyphens/>
              <w:ind w:left="0"/>
              <w:jc w:val="center"/>
              <w:rPr>
                <w:sz w:val="18"/>
                <w:szCs w:val="18"/>
              </w:rPr>
            </w:pPr>
            <w:r>
              <w:rPr>
                <w:sz w:val="18"/>
                <w:szCs w:val="18"/>
              </w:rPr>
              <w:t>$0</w:t>
            </w:r>
          </w:p>
        </w:tc>
        <w:tc>
          <w:tcPr>
            <w:tcW w:w="1331" w:type="dxa"/>
          </w:tcPr>
          <w:p w:rsidR="00844F63" w:rsidRPr="00844F63" w:rsidRDefault="00844F63" w:rsidP="002F0D36">
            <w:pPr>
              <w:pStyle w:val="ListParagraph"/>
              <w:tabs>
                <w:tab w:val="left" w:pos="-720"/>
              </w:tabs>
              <w:suppressAutoHyphens/>
              <w:ind w:left="0"/>
              <w:jc w:val="center"/>
              <w:rPr>
                <w:sz w:val="18"/>
                <w:szCs w:val="18"/>
              </w:rPr>
            </w:pPr>
            <w:r>
              <w:rPr>
                <w:sz w:val="18"/>
                <w:szCs w:val="18"/>
              </w:rPr>
              <w:t>$0</w:t>
            </w:r>
          </w:p>
        </w:tc>
      </w:tr>
    </w:tbl>
    <w:p w:rsidR="00D06F71" w:rsidRDefault="00D06F71" w:rsidP="00D1584F">
      <w:pPr>
        <w:pStyle w:val="ListParagraph"/>
        <w:tabs>
          <w:tab w:val="left" w:pos="-720"/>
        </w:tabs>
        <w:suppressAutoHyphens/>
        <w:ind w:left="360"/>
      </w:pPr>
    </w:p>
    <w:p w:rsidR="00D06F71" w:rsidRDefault="00D06F71" w:rsidP="00F61B54">
      <w:pPr>
        <w:pStyle w:val="ListParagraph"/>
        <w:shd w:val="clear" w:color="auto" w:fill="FFFFFF" w:themeFill="background1"/>
        <w:tabs>
          <w:tab w:val="left" w:pos="-720"/>
        </w:tabs>
        <w:suppressAutoHyphens/>
        <w:spacing w:before="240" w:line="120" w:lineRule="exact"/>
        <w:ind w:left="0"/>
      </w:pPr>
    </w:p>
    <w:p w:rsidR="00D06F71" w:rsidRDefault="00D06F71" w:rsidP="00D1584F">
      <w:pPr>
        <w:pStyle w:val="ListParagraph"/>
        <w:shd w:val="clear" w:color="auto" w:fill="FFFFFF" w:themeFill="background1"/>
        <w:tabs>
          <w:tab w:val="left" w:pos="-720"/>
        </w:tabs>
        <w:suppressAutoHyphens/>
        <w:spacing w:before="240"/>
      </w:pPr>
      <w:r>
        <w:t>There is no cost to the respondents</w:t>
      </w:r>
    </w:p>
    <w:p w:rsidR="00D06F71" w:rsidRDefault="00D06F71" w:rsidP="007A7F0B">
      <w:pPr>
        <w:pStyle w:val="ListParagraph"/>
        <w:shd w:val="clear" w:color="auto" w:fill="FFFFFF" w:themeFill="background1"/>
        <w:tabs>
          <w:tab w:val="left" w:pos="-720"/>
        </w:tabs>
        <w:suppressAutoHyphens/>
        <w:spacing w:before="240"/>
        <w:ind w:left="0"/>
      </w:pPr>
    </w:p>
    <w:p w:rsidR="00A10BE7" w:rsidRDefault="00B06E3F" w:rsidP="00B06E3F">
      <w:pPr>
        <w:pStyle w:val="ListParagraph"/>
        <w:tabs>
          <w:tab w:val="left" w:pos="-720"/>
        </w:tabs>
        <w:suppressAutoHyphens/>
        <w:spacing w:before="240"/>
        <w:ind w:left="0"/>
      </w:pPr>
      <w:r>
        <w:t xml:space="preserve">13.   </w:t>
      </w:r>
      <w:r w:rsidR="00613F66">
        <w:t>There is no change in the respondent burden.</w:t>
      </w:r>
    </w:p>
    <w:p w:rsidR="00EF1461" w:rsidRDefault="00EF1461" w:rsidP="00D06F71">
      <w:pPr>
        <w:spacing w:before="240"/>
      </w:pPr>
    </w:p>
    <w:p w:rsidR="00D6409F" w:rsidRDefault="001743BC" w:rsidP="00B06E3F">
      <w:pPr>
        <w:tabs>
          <w:tab w:val="left" w:pos="-720"/>
        </w:tabs>
        <w:suppressAutoHyphens/>
      </w:pPr>
      <w:r w:rsidRPr="00741061">
        <w:fldChar w:fldCharType="begin"/>
      </w:r>
      <w:r w:rsidRPr="00741061">
        <w:instrText>ADVANCE \R 0.95</w:instrText>
      </w:r>
      <w:r w:rsidRPr="00741061">
        <w:fldChar w:fldCharType="end"/>
      </w:r>
      <w:r w:rsidR="00B06E3F">
        <w:t xml:space="preserve">14.  </w:t>
      </w:r>
      <w:r w:rsidR="00D6409F">
        <w:t xml:space="preserve">The annualized cost to the Government is $34,800. This </w:t>
      </w:r>
      <w:r w:rsidR="00490F38">
        <w:t>cost is derived from</w:t>
      </w:r>
      <w:r w:rsidR="00D6409F">
        <w:t xml:space="preserve"> employee</w:t>
      </w:r>
      <w:r w:rsidR="00490F38">
        <w:t xml:space="preserve">’s </w:t>
      </w:r>
      <w:r w:rsidR="00B06E3F">
        <w:br/>
        <w:t xml:space="preserve">       </w:t>
      </w:r>
      <w:r w:rsidR="00490F38">
        <w:t xml:space="preserve">salaries, </w:t>
      </w:r>
      <w:r w:rsidR="00B06E3F">
        <w:t>staff hours</w:t>
      </w:r>
      <w:r w:rsidR="00490F38">
        <w:t xml:space="preserve"> required to process the forms and the cost of printing, storing and</w:t>
      </w:r>
      <w:r w:rsidR="00B06E3F">
        <w:br/>
        <w:t xml:space="preserve">      </w:t>
      </w:r>
      <w:r w:rsidR="00490F38">
        <w:t xml:space="preserve"> shipping forms.</w:t>
      </w:r>
      <w:r w:rsidR="00D6409F">
        <w:t xml:space="preserve"> </w:t>
      </w:r>
    </w:p>
    <w:p w:rsidR="001743BC" w:rsidRDefault="001743BC" w:rsidP="00DD7278">
      <w:pPr>
        <w:spacing w:before="240"/>
      </w:pPr>
    </w:p>
    <w:p w:rsidR="00A10BE7" w:rsidRDefault="00E44B4C" w:rsidP="00E44B4C">
      <w:pPr>
        <w:pStyle w:val="ListParagraph"/>
        <w:tabs>
          <w:tab w:val="left" w:pos="-720"/>
        </w:tabs>
        <w:suppressAutoHyphens/>
        <w:ind w:left="0"/>
      </w:pPr>
      <w:r>
        <w:t xml:space="preserve">15.  </w:t>
      </w:r>
      <w:r w:rsidR="00FE2893">
        <w:t>N/A</w:t>
      </w:r>
    </w:p>
    <w:p w:rsidR="008E1814" w:rsidRPr="00741061" w:rsidRDefault="008E1814" w:rsidP="00DD7278">
      <w:pPr>
        <w:pStyle w:val="ListParagraph"/>
        <w:tabs>
          <w:tab w:val="left" w:pos="-720"/>
        </w:tabs>
        <w:suppressAutoHyphens/>
        <w:ind w:left="0"/>
      </w:pPr>
    </w:p>
    <w:p w:rsidR="00CA7569" w:rsidRDefault="00E44B4C" w:rsidP="00BC4443">
      <w:pPr>
        <w:pStyle w:val="ListParagraph"/>
        <w:tabs>
          <w:tab w:val="left" w:pos="-720"/>
        </w:tabs>
        <w:suppressAutoHyphens/>
        <w:ind w:left="0"/>
      </w:pPr>
      <w:r>
        <w:t xml:space="preserve">16.  </w:t>
      </w:r>
      <w:r w:rsidR="00CA7569">
        <w:t>The results of this information collection are not published.</w:t>
      </w:r>
    </w:p>
    <w:p w:rsidR="00CA7569" w:rsidRPr="00741061" w:rsidRDefault="00CA7569" w:rsidP="00DD7278">
      <w:pPr>
        <w:pStyle w:val="ListParagraph"/>
        <w:ind w:left="0"/>
      </w:pPr>
    </w:p>
    <w:p w:rsidR="000F4423" w:rsidRDefault="00A10BE7" w:rsidP="00BC4443">
      <w:pPr>
        <w:pStyle w:val="ListParagraph"/>
        <w:tabs>
          <w:tab w:val="left" w:pos="-720"/>
        </w:tabs>
        <w:suppressAutoHyphens/>
        <w:ind w:left="0"/>
      </w:pPr>
      <w:r w:rsidRPr="00741061">
        <w:t xml:space="preserve">17.  </w:t>
      </w:r>
      <w:r w:rsidR="000F4423" w:rsidRPr="0021279C">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w:t>
      </w:r>
      <w:r w:rsidR="000F4423">
        <w:t xml:space="preserve">rsion. Last year, </w:t>
      </w:r>
      <w:r w:rsidR="000F4423">
        <w:lastRenderedPageBreak/>
        <w:t xml:space="preserve">under current </w:t>
      </w:r>
      <w:r w:rsidR="000F4423" w:rsidRPr="0021279C">
        <w:t>practice, Retirement Services printed approximately 2 million documents subject to OMB clearance at a cost of approximately $85,000.  Our costs would rise substantially</w:t>
      </w:r>
    </w:p>
    <w:p w:rsidR="000F4423" w:rsidRDefault="000F4423" w:rsidP="00BC4443">
      <w:pPr>
        <w:pStyle w:val="ListParagraph"/>
        <w:tabs>
          <w:tab w:val="left" w:pos="-720"/>
        </w:tabs>
        <w:suppressAutoHyphens/>
        <w:ind w:left="0"/>
      </w:pPr>
      <w:r w:rsidRPr="0021279C">
        <w:t xml:space="preserve">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w:t>
      </w:r>
      <w:r>
        <w:t xml:space="preserve">nce expiration date </w:t>
      </w:r>
      <w:r w:rsidRPr="0021279C">
        <w:t>on the forms and to communicate version changes to the public v</w:t>
      </w:r>
      <w:r>
        <w:t>ia the revision date</w:t>
      </w:r>
      <w:r w:rsidRPr="0021279C">
        <w:t>.</w:t>
      </w:r>
    </w:p>
    <w:p w:rsidR="00CA7569" w:rsidRPr="00741061" w:rsidRDefault="00CA7569" w:rsidP="000F4423">
      <w:pPr>
        <w:pStyle w:val="ListParagraph"/>
        <w:tabs>
          <w:tab w:val="left" w:pos="-720"/>
        </w:tabs>
        <w:suppressAutoHyphens/>
        <w:ind w:left="0"/>
      </w:pPr>
    </w:p>
    <w:p w:rsidR="00CA7569" w:rsidRDefault="00BC4443" w:rsidP="00BC4443">
      <w:pPr>
        <w:pStyle w:val="ListParagraph"/>
        <w:tabs>
          <w:tab w:val="left" w:pos="-720"/>
        </w:tabs>
        <w:suppressAutoHyphens/>
        <w:ind w:left="0"/>
      </w:pPr>
      <w:r>
        <w:t xml:space="preserve">18.  </w:t>
      </w:r>
      <w:r w:rsidR="00CA7569">
        <w:t>There are no exceptions to the certification statement.</w:t>
      </w:r>
    </w:p>
    <w:p w:rsidR="00A10BE7" w:rsidRDefault="00A10BE7" w:rsidP="00A10BE7">
      <w:pPr>
        <w:spacing w:before="240"/>
        <w:ind w:left="720"/>
      </w:pPr>
    </w:p>
    <w:sectPr w:rsidR="00A10BE7">
      <w:pgSz w:w="12240" w:h="15840"/>
      <w:pgMar w:top="63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814" w:rsidRDefault="008E1814" w:rsidP="008E1814">
      <w:r>
        <w:separator/>
      </w:r>
    </w:p>
  </w:endnote>
  <w:endnote w:type="continuationSeparator" w:id="0">
    <w:p w:rsidR="008E1814" w:rsidRDefault="008E1814" w:rsidP="008E1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814" w:rsidRDefault="008E1814" w:rsidP="008E1814">
      <w:r>
        <w:separator/>
      </w:r>
    </w:p>
  </w:footnote>
  <w:footnote w:type="continuationSeparator" w:id="0">
    <w:p w:rsidR="008E1814" w:rsidRDefault="008E1814" w:rsidP="008E1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0C2F"/>
    <w:multiLevelType w:val="hybridMultilevel"/>
    <w:tmpl w:val="7A0CB390"/>
    <w:lvl w:ilvl="0" w:tplc="BB46EB9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70B3440F"/>
    <w:multiLevelType w:val="singleLevel"/>
    <w:tmpl w:val="8CE24602"/>
    <w:lvl w:ilvl="0">
      <w:start w:val="1"/>
      <w:numFmt w:val="decimal"/>
      <w:lvlText w:val="%1."/>
      <w:lvlJc w:val="left"/>
      <w:pPr>
        <w:tabs>
          <w:tab w:val="num" w:pos="720"/>
        </w:tabs>
        <w:ind w:left="72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15738"/>
    <w:rsid w:val="00035D5F"/>
    <w:rsid w:val="00077D7A"/>
    <w:rsid w:val="000D09F8"/>
    <w:rsid w:val="000F1B3D"/>
    <w:rsid w:val="000F4423"/>
    <w:rsid w:val="0014272E"/>
    <w:rsid w:val="001743BC"/>
    <w:rsid w:val="001847CB"/>
    <w:rsid w:val="001C1788"/>
    <w:rsid w:val="00237E6A"/>
    <w:rsid w:val="00294F70"/>
    <w:rsid w:val="002A25A7"/>
    <w:rsid w:val="002C1F76"/>
    <w:rsid w:val="002C52D2"/>
    <w:rsid w:val="002D5996"/>
    <w:rsid w:val="002F0D36"/>
    <w:rsid w:val="003016AB"/>
    <w:rsid w:val="003253C5"/>
    <w:rsid w:val="00332AC9"/>
    <w:rsid w:val="00360455"/>
    <w:rsid w:val="003F0958"/>
    <w:rsid w:val="004237C1"/>
    <w:rsid w:val="00433131"/>
    <w:rsid w:val="00461DF9"/>
    <w:rsid w:val="00490F38"/>
    <w:rsid w:val="00513374"/>
    <w:rsid w:val="00562F7D"/>
    <w:rsid w:val="005901CF"/>
    <w:rsid w:val="005958BE"/>
    <w:rsid w:val="005B6B25"/>
    <w:rsid w:val="005E031C"/>
    <w:rsid w:val="005E5201"/>
    <w:rsid w:val="0061201A"/>
    <w:rsid w:val="00613F66"/>
    <w:rsid w:val="006351F1"/>
    <w:rsid w:val="00665692"/>
    <w:rsid w:val="00723DAF"/>
    <w:rsid w:val="007323C2"/>
    <w:rsid w:val="00766DF9"/>
    <w:rsid w:val="007678A9"/>
    <w:rsid w:val="00785DBB"/>
    <w:rsid w:val="007A7F0B"/>
    <w:rsid w:val="007D1502"/>
    <w:rsid w:val="007E0CA7"/>
    <w:rsid w:val="00806BD1"/>
    <w:rsid w:val="008446F6"/>
    <w:rsid w:val="00844F63"/>
    <w:rsid w:val="008869F8"/>
    <w:rsid w:val="008C54FD"/>
    <w:rsid w:val="008E1814"/>
    <w:rsid w:val="00933321"/>
    <w:rsid w:val="0097293A"/>
    <w:rsid w:val="00993A7C"/>
    <w:rsid w:val="009A2CEB"/>
    <w:rsid w:val="009B7453"/>
    <w:rsid w:val="009F2915"/>
    <w:rsid w:val="00A10BE7"/>
    <w:rsid w:val="00A326FC"/>
    <w:rsid w:val="00A50DBB"/>
    <w:rsid w:val="00B06E3F"/>
    <w:rsid w:val="00BA1768"/>
    <w:rsid w:val="00BC4443"/>
    <w:rsid w:val="00BE2F13"/>
    <w:rsid w:val="00BE6D7A"/>
    <w:rsid w:val="00C34D5B"/>
    <w:rsid w:val="00CA7569"/>
    <w:rsid w:val="00D06F71"/>
    <w:rsid w:val="00D1584F"/>
    <w:rsid w:val="00D6409F"/>
    <w:rsid w:val="00DD7278"/>
    <w:rsid w:val="00DF31AE"/>
    <w:rsid w:val="00DF5B71"/>
    <w:rsid w:val="00E00FF3"/>
    <w:rsid w:val="00E44B4C"/>
    <w:rsid w:val="00E4539B"/>
    <w:rsid w:val="00E54E94"/>
    <w:rsid w:val="00E7728A"/>
    <w:rsid w:val="00E953C1"/>
    <w:rsid w:val="00EA7309"/>
    <w:rsid w:val="00EB14B8"/>
    <w:rsid w:val="00EE35E7"/>
    <w:rsid w:val="00EF1461"/>
    <w:rsid w:val="00EF5963"/>
    <w:rsid w:val="00F03B3A"/>
    <w:rsid w:val="00F30321"/>
    <w:rsid w:val="00F60B26"/>
    <w:rsid w:val="00F61B54"/>
    <w:rsid w:val="00F9149F"/>
    <w:rsid w:val="00FA102C"/>
    <w:rsid w:val="00FE2893"/>
    <w:rsid w:val="00FF277B"/>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EA7309"/>
    <w:rPr>
      <w:rFonts w:ascii="Tahoma" w:hAnsi="Tahoma" w:cs="Tahoma"/>
      <w:sz w:val="16"/>
      <w:szCs w:val="16"/>
    </w:rPr>
  </w:style>
  <w:style w:type="character" w:customStyle="1" w:styleId="BalloonTextChar">
    <w:name w:val="Balloon Text Char"/>
    <w:basedOn w:val="DefaultParagraphFont"/>
    <w:link w:val="BalloonText"/>
    <w:uiPriority w:val="99"/>
    <w:semiHidden/>
    <w:rsid w:val="00EA7309"/>
    <w:rPr>
      <w:rFonts w:ascii="Tahoma" w:hAnsi="Tahoma" w:cs="Tahoma"/>
      <w:sz w:val="16"/>
      <w:szCs w:val="16"/>
    </w:rPr>
  </w:style>
  <w:style w:type="paragraph" w:styleId="Header">
    <w:name w:val="header"/>
    <w:basedOn w:val="Normal"/>
    <w:link w:val="HeaderChar"/>
    <w:uiPriority w:val="99"/>
    <w:unhideWhenUsed/>
    <w:rsid w:val="008E1814"/>
    <w:pPr>
      <w:tabs>
        <w:tab w:val="center" w:pos="4680"/>
        <w:tab w:val="right" w:pos="9360"/>
      </w:tabs>
    </w:pPr>
  </w:style>
  <w:style w:type="character" w:customStyle="1" w:styleId="HeaderChar">
    <w:name w:val="Header Char"/>
    <w:basedOn w:val="DefaultParagraphFont"/>
    <w:link w:val="Header"/>
    <w:uiPriority w:val="99"/>
    <w:rsid w:val="008E1814"/>
    <w:rPr>
      <w:sz w:val="24"/>
    </w:rPr>
  </w:style>
  <w:style w:type="paragraph" w:styleId="Footer">
    <w:name w:val="footer"/>
    <w:basedOn w:val="Normal"/>
    <w:link w:val="FooterChar"/>
    <w:uiPriority w:val="99"/>
    <w:unhideWhenUsed/>
    <w:rsid w:val="008E1814"/>
    <w:pPr>
      <w:tabs>
        <w:tab w:val="center" w:pos="4680"/>
        <w:tab w:val="right" w:pos="9360"/>
      </w:tabs>
    </w:pPr>
  </w:style>
  <w:style w:type="character" w:customStyle="1" w:styleId="FooterChar">
    <w:name w:val="Footer Char"/>
    <w:basedOn w:val="DefaultParagraphFont"/>
    <w:link w:val="Footer"/>
    <w:uiPriority w:val="99"/>
    <w:rsid w:val="008E181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EA7309"/>
    <w:rPr>
      <w:rFonts w:ascii="Tahoma" w:hAnsi="Tahoma" w:cs="Tahoma"/>
      <w:sz w:val="16"/>
      <w:szCs w:val="16"/>
    </w:rPr>
  </w:style>
  <w:style w:type="character" w:customStyle="1" w:styleId="BalloonTextChar">
    <w:name w:val="Balloon Text Char"/>
    <w:basedOn w:val="DefaultParagraphFont"/>
    <w:link w:val="BalloonText"/>
    <w:uiPriority w:val="99"/>
    <w:semiHidden/>
    <w:rsid w:val="00EA7309"/>
    <w:rPr>
      <w:rFonts w:ascii="Tahoma" w:hAnsi="Tahoma" w:cs="Tahoma"/>
      <w:sz w:val="16"/>
      <w:szCs w:val="16"/>
    </w:rPr>
  </w:style>
  <w:style w:type="paragraph" w:styleId="Header">
    <w:name w:val="header"/>
    <w:basedOn w:val="Normal"/>
    <w:link w:val="HeaderChar"/>
    <w:uiPriority w:val="99"/>
    <w:unhideWhenUsed/>
    <w:rsid w:val="008E1814"/>
    <w:pPr>
      <w:tabs>
        <w:tab w:val="center" w:pos="4680"/>
        <w:tab w:val="right" w:pos="9360"/>
      </w:tabs>
    </w:pPr>
  </w:style>
  <w:style w:type="character" w:customStyle="1" w:styleId="HeaderChar">
    <w:name w:val="Header Char"/>
    <w:basedOn w:val="DefaultParagraphFont"/>
    <w:link w:val="Header"/>
    <w:uiPriority w:val="99"/>
    <w:rsid w:val="008E1814"/>
    <w:rPr>
      <w:sz w:val="24"/>
    </w:rPr>
  </w:style>
  <w:style w:type="paragraph" w:styleId="Footer">
    <w:name w:val="footer"/>
    <w:basedOn w:val="Normal"/>
    <w:link w:val="FooterChar"/>
    <w:uiPriority w:val="99"/>
    <w:unhideWhenUsed/>
    <w:rsid w:val="008E1814"/>
    <w:pPr>
      <w:tabs>
        <w:tab w:val="center" w:pos="4680"/>
        <w:tab w:val="right" w:pos="9360"/>
      </w:tabs>
    </w:pPr>
  </w:style>
  <w:style w:type="character" w:customStyle="1" w:styleId="FooterChar">
    <w:name w:val="Footer Char"/>
    <w:basedOn w:val="DefaultParagraphFont"/>
    <w:link w:val="Footer"/>
    <w:uiPriority w:val="99"/>
    <w:rsid w:val="008E18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2018-05-31T15:58:00Z</cp:lastPrinted>
  <dcterms:created xsi:type="dcterms:W3CDTF">2018-05-31T17:44:00Z</dcterms:created>
  <dcterms:modified xsi:type="dcterms:W3CDTF">2018-05-31T17:44:00Z</dcterms:modified>
</cp:coreProperties>
</file>