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768" w:rsidRPr="00B50572" w:rsidRDefault="00482768" w:rsidP="00482768">
      <w:pPr>
        <w:jc w:val="center"/>
        <w:rPr>
          <w:rFonts w:cs="Arial"/>
          <w:szCs w:val="22"/>
        </w:rPr>
      </w:pPr>
      <w:bookmarkStart w:id="0" w:name="_GoBack"/>
      <w:bookmarkEnd w:id="0"/>
      <w:r w:rsidRPr="00B50572">
        <w:rPr>
          <w:rFonts w:cs="Arial"/>
          <w:szCs w:val="22"/>
        </w:rPr>
        <w:t>Justification</w:t>
      </w:r>
    </w:p>
    <w:p w:rsidR="00482768" w:rsidRPr="00B50572" w:rsidRDefault="00482768" w:rsidP="00482768">
      <w:pPr>
        <w:jc w:val="center"/>
        <w:rPr>
          <w:rFonts w:cs="Arial"/>
          <w:b/>
          <w:bCs/>
          <w:szCs w:val="22"/>
        </w:rPr>
      </w:pPr>
      <w:r w:rsidRPr="00B50572">
        <w:rPr>
          <w:rFonts w:cs="Arial"/>
          <w:b/>
          <w:bCs/>
          <w:szCs w:val="22"/>
        </w:rPr>
        <w:t>Request to Non-Railroad Employer for</w:t>
      </w:r>
    </w:p>
    <w:p w:rsidR="00482768" w:rsidRPr="00B50572" w:rsidRDefault="00482768" w:rsidP="00482768">
      <w:pPr>
        <w:jc w:val="center"/>
        <w:rPr>
          <w:rFonts w:cs="Arial"/>
          <w:b/>
          <w:bCs/>
          <w:szCs w:val="22"/>
        </w:rPr>
      </w:pPr>
      <w:r w:rsidRPr="00B50572">
        <w:rPr>
          <w:rFonts w:cs="Arial"/>
          <w:b/>
          <w:bCs/>
          <w:szCs w:val="22"/>
        </w:rPr>
        <w:t>Information About Annuitant’s Work and Earnings</w:t>
      </w:r>
    </w:p>
    <w:p w:rsidR="00482768" w:rsidRPr="00B50572" w:rsidRDefault="00482768" w:rsidP="00482768">
      <w:pPr>
        <w:jc w:val="center"/>
        <w:rPr>
          <w:rFonts w:cs="Arial"/>
          <w:szCs w:val="22"/>
        </w:rPr>
      </w:pPr>
      <w:r w:rsidRPr="00B50572">
        <w:rPr>
          <w:rFonts w:cs="Arial"/>
          <w:szCs w:val="22"/>
        </w:rPr>
        <w:t>RRB Form RL-231-F</w:t>
      </w:r>
    </w:p>
    <w:p w:rsidR="00482768" w:rsidRPr="00B50572" w:rsidRDefault="00482768" w:rsidP="00482768">
      <w:pPr>
        <w:widowControl/>
        <w:rPr>
          <w:rFonts w:cs="Arial"/>
          <w:szCs w:val="22"/>
        </w:rPr>
      </w:pPr>
    </w:p>
    <w:p w:rsidR="00482768" w:rsidRPr="00B50572" w:rsidRDefault="00482768" w:rsidP="00482768">
      <w:pPr>
        <w:tabs>
          <w:tab w:val="left" w:pos="540"/>
        </w:tabs>
        <w:ind w:left="540" w:hanging="540"/>
        <w:jc w:val="both"/>
        <w:rPr>
          <w:rFonts w:cs="Arial"/>
          <w:szCs w:val="22"/>
        </w:rPr>
      </w:pPr>
      <w:r w:rsidRPr="00B50572">
        <w:rPr>
          <w:rFonts w:cs="Arial"/>
          <w:szCs w:val="22"/>
        </w:rPr>
        <w:t>1.</w:t>
      </w:r>
      <w:r w:rsidRPr="00B50572">
        <w:rPr>
          <w:rFonts w:cs="Arial"/>
          <w:szCs w:val="22"/>
        </w:rPr>
        <w:tab/>
      </w:r>
      <w:r w:rsidRPr="00B50572">
        <w:rPr>
          <w:rFonts w:cs="Arial"/>
          <w:szCs w:val="22"/>
          <w:u w:val="single"/>
        </w:rPr>
        <w:t>Circumstances of the collection</w:t>
      </w:r>
      <w:r w:rsidRPr="00B50572">
        <w:rPr>
          <w:rFonts w:cs="Arial"/>
          <w:szCs w:val="22"/>
        </w:rPr>
        <w:t xml:space="preserve"> - Under Section 2 of the Railroad Retirement Act (RRA), a railroad employee's retirement annuity or an annuity paid to the spouse of a railroad employee is subject to work deductions in the Tier II component of the annuity and any employee supplemental annuity for any month in which the annuitant works </w:t>
      </w:r>
      <w:r w:rsidR="008C5B89" w:rsidRPr="00B50572">
        <w:rPr>
          <w:rFonts w:cs="Arial"/>
          <w:szCs w:val="22"/>
        </w:rPr>
        <w:t xml:space="preserve">for a </w:t>
      </w:r>
      <w:r w:rsidRPr="00B50572">
        <w:rPr>
          <w:rFonts w:cs="Arial"/>
          <w:szCs w:val="22"/>
        </w:rPr>
        <w:t>Last Pre-Retirement Non-Railroad</w:t>
      </w:r>
      <w:r w:rsidR="00FA1ED3" w:rsidRPr="00B50572">
        <w:rPr>
          <w:rFonts w:cs="Arial"/>
          <w:szCs w:val="22"/>
        </w:rPr>
        <w:t xml:space="preserve"> </w:t>
      </w:r>
      <w:r w:rsidRPr="00B50572">
        <w:rPr>
          <w:rFonts w:cs="Arial"/>
          <w:szCs w:val="22"/>
        </w:rPr>
        <w:t>Employ</w:t>
      </w:r>
      <w:r w:rsidR="008C5B89" w:rsidRPr="00B50572">
        <w:rPr>
          <w:rFonts w:cs="Arial"/>
          <w:szCs w:val="22"/>
        </w:rPr>
        <w:t>er</w:t>
      </w:r>
      <w:r w:rsidR="00061E4D" w:rsidRPr="00B50572">
        <w:rPr>
          <w:rFonts w:cs="Arial"/>
          <w:szCs w:val="22"/>
        </w:rPr>
        <w:t xml:space="preserve"> </w:t>
      </w:r>
      <w:r w:rsidRPr="00B50572">
        <w:rPr>
          <w:rFonts w:cs="Arial"/>
          <w:szCs w:val="22"/>
        </w:rPr>
        <w:t xml:space="preserve">(LPE).  The LPE is the last person, company, or institution, other than a railroad employer, that employed an employee or spouse annuitant.  Since a divorced spouse is not entitled to a Tier II benefit, </w:t>
      </w:r>
      <w:r w:rsidR="00B65219" w:rsidRPr="00B50572">
        <w:rPr>
          <w:rFonts w:cs="Arial"/>
          <w:szCs w:val="22"/>
        </w:rPr>
        <w:t xml:space="preserve">Last Pre-Retirement Non-Railroad Employment </w:t>
      </w:r>
      <w:r w:rsidRPr="00B50572">
        <w:rPr>
          <w:rFonts w:cs="Arial"/>
          <w:szCs w:val="22"/>
        </w:rPr>
        <w:t>does not affect a divorced spouse annuity.</w:t>
      </w:r>
    </w:p>
    <w:p w:rsidR="00482768" w:rsidRPr="00B50572" w:rsidRDefault="00482768" w:rsidP="00482768">
      <w:pPr>
        <w:tabs>
          <w:tab w:val="left" w:pos="540"/>
        </w:tabs>
        <w:ind w:left="540" w:hanging="540"/>
        <w:jc w:val="both"/>
        <w:rPr>
          <w:rFonts w:cs="Arial"/>
          <w:szCs w:val="22"/>
        </w:rPr>
      </w:pPr>
    </w:p>
    <w:p w:rsidR="00482768" w:rsidRPr="00B50572" w:rsidRDefault="00482768" w:rsidP="00482768">
      <w:pPr>
        <w:tabs>
          <w:tab w:val="left" w:pos="540"/>
        </w:tabs>
        <w:ind w:left="540"/>
        <w:jc w:val="both"/>
        <w:rPr>
          <w:rFonts w:cs="Arial"/>
          <w:szCs w:val="22"/>
        </w:rPr>
      </w:pPr>
      <w:r w:rsidRPr="00B50572">
        <w:rPr>
          <w:rFonts w:cs="Arial"/>
          <w:szCs w:val="22"/>
        </w:rPr>
        <w:t>The employee, spouse, or divorced spouse Tier I annuity benefit is subject to work deductions under Section 2(f)(1) of the RRA for earnings from any non-railroad employer over the annual exempt amount.</w:t>
      </w:r>
    </w:p>
    <w:p w:rsidR="00482768" w:rsidRPr="00B50572" w:rsidRDefault="00482768" w:rsidP="00482768">
      <w:pPr>
        <w:tabs>
          <w:tab w:val="left" w:pos="540"/>
        </w:tabs>
        <w:ind w:left="540"/>
        <w:jc w:val="both"/>
        <w:rPr>
          <w:rFonts w:cs="Arial"/>
          <w:szCs w:val="22"/>
        </w:rPr>
      </w:pPr>
    </w:p>
    <w:p w:rsidR="00482768" w:rsidRPr="00B50572" w:rsidRDefault="00482768" w:rsidP="00482768">
      <w:pPr>
        <w:tabs>
          <w:tab w:val="left" w:pos="540"/>
        </w:tabs>
        <w:ind w:left="540"/>
        <w:jc w:val="both"/>
        <w:rPr>
          <w:rFonts w:cs="Arial"/>
          <w:szCs w:val="22"/>
        </w:rPr>
      </w:pPr>
      <w:r w:rsidRPr="00B50572">
        <w:rPr>
          <w:rFonts w:cs="Arial"/>
          <w:szCs w:val="22"/>
        </w:rPr>
        <w:t xml:space="preserve">The regulations pertaining to non-payment of annuities by reason of work and </w:t>
      </w:r>
      <w:r w:rsidR="00B65219" w:rsidRPr="00B50572">
        <w:rPr>
          <w:rFonts w:cs="Arial"/>
          <w:szCs w:val="22"/>
        </w:rPr>
        <w:t xml:space="preserve">Last Pre-Retirement Non-Railroad Employment </w:t>
      </w:r>
      <w:r w:rsidRPr="00B50572">
        <w:rPr>
          <w:rFonts w:cs="Arial"/>
          <w:szCs w:val="22"/>
        </w:rPr>
        <w:t>are contained in 20 CFR 230.1 and 230.2.</w:t>
      </w:r>
    </w:p>
    <w:p w:rsidR="00482768" w:rsidRPr="00B50572" w:rsidRDefault="00482768" w:rsidP="00482768">
      <w:pPr>
        <w:tabs>
          <w:tab w:val="left" w:pos="540"/>
        </w:tabs>
        <w:ind w:left="540"/>
        <w:jc w:val="both"/>
        <w:rPr>
          <w:rFonts w:cs="Arial"/>
          <w:szCs w:val="22"/>
        </w:rPr>
      </w:pPr>
    </w:p>
    <w:p w:rsidR="00482768" w:rsidRPr="00B50572" w:rsidRDefault="00482768" w:rsidP="00482768">
      <w:pPr>
        <w:tabs>
          <w:tab w:val="left" w:pos="540"/>
        </w:tabs>
        <w:ind w:left="540" w:hanging="540"/>
        <w:jc w:val="both"/>
        <w:rPr>
          <w:rFonts w:cs="Arial"/>
          <w:szCs w:val="22"/>
        </w:rPr>
      </w:pPr>
      <w:r w:rsidRPr="00B50572">
        <w:rPr>
          <w:rFonts w:cs="Arial"/>
          <w:szCs w:val="22"/>
        </w:rPr>
        <w:t>2.</w:t>
      </w:r>
      <w:r w:rsidRPr="00B50572">
        <w:rPr>
          <w:rFonts w:cs="Arial"/>
          <w:szCs w:val="22"/>
        </w:rPr>
        <w:tab/>
      </w:r>
      <w:r w:rsidRPr="00B50572">
        <w:rPr>
          <w:rFonts w:cs="Arial"/>
          <w:szCs w:val="22"/>
          <w:u w:val="single"/>
        </w:rPr>
        <w:t>Purposes of collecting/consequences of not collecting the information</w:t>
      </w:r>
      <w:r w:rsidRPr="00B50572">
        <w:rPr>
          <w:rFonts w:cs="Arial"/>
          <w:szCs w:val="22"/>
        </w:rPr>
        <w:t xml:space="preserve"> - </w:t>
      </w:r>
      <w:r w:rsidRPr="00B50572">
        <w:rPr>
          <w:rFonts w:cs="Arial"/>
          <w:b/>
          <w:bCs/>
          <w:szCs w:val="22"/>
        </w:rPr>
        <w:t>Form RL-231-F, Request to Non-Railroad Employer for Information About Annuitant's Work and Earnings</w:t>
      </w:r>
      <w:r w:rsidRPr="00B50572">
        <w:rPr>
          <w:rFonts w:cs="Arial"/>
          <w:szCs w:val="22"/>
        </w:rPr>
        <w:t>, is used by the RRB to obtain information needed to determine if a work deduction should be applied because an annuitant worked in non-railroad employment after the annuity beginning date.  Form RL-231-F is mailed to an LPE by an RRB office when the RRB receives notice from the Social Security Administration (SSA) that an employee or spouse annuitant has been credited by an LPE with wages after retirement and the earnings were not reported to the RRB by the annuitant on Form G</w:t>
      </w:r>
      <w:r w:rsidRPr="00B50572">
        <w:rPr>
          <w:rFonts w:cs="Arial"/>
          <w:szCs w:val="22"/>
        </w:rPr>
        <w:noBreakHyphen/>
        <w:t xml:space="preserve">19L, </w:t>
      </w:r>
      <w:r w:rsidRPr="00B50572">
        <w:rPr>
          <w:rFonts w:cs="Arial"/>
          <w:i/>
          <w:szCs w:val="22"/>
        </w:rPr>
        <w:t>Annual Earnings Questionnaire</w:t>
      </w:r>
      <w:r w:rsidRPr="00B50572">
        <w:rPr>
          <w:rFonts w:cs="Arial"/>
          <w:szCs w:val="22"/>
        </w:rPr>
        <w:t xml:space="preserve"> (OMB No. 3220-0179).  Form RL-231-F is also used when information supplied by the annuitant on Form G-19L needs to be supplemented for work deduction information.</w:t>
      </w:r>
    </w:p>
    <w:p w:rsidR="00482768" w:rsidRPr="00B50572" w:rsidRDefault="00482768" w:rsidP="00482768">
      <w:pPr>
        <w:tabs>
          <w:tab w:val="left" w:pos="540"/>
        </w:tabs>
        <w:ind w:left="540" w:hanging="540"/>
        <w:jc w:val="both"/>
        <w:rPr>
          <w:rFonts w:cs="Arial"/>
          <w:szCs w:val="22"/>
        </w:rPr>
      </w:pPr>
    </w:p>
    <w:p w:rsidR="00482768" w:rsidRPr="00B50572" w:rsidRDefault="00482768" w:rsidP="00482768">
      <w:pPr>
        <w:tabs>
          <w:tab w:val="left" w:pos="540"/>
        </w:tabs>
        <w:ind w:left="540"/>
        <w:jc w:val="both"/>
        <w:rPr>
          <w:rFonts w:cs="Arial"/>
          <w:szCs w:val="22"/>
        </w:rPr>
      </w:pPr>
      <w:r w:rsidRPr="00B50572">
        <w:rPr>
          <w:rFonts w:cs="Arial"/>
          <w:szCs w:val="22"/>
        </w:rPr>
        <w:t xml:space="preserve">Prior to releasing the RL-231-F to the LPE, the RRB office enters, on the first page, identifying information about the annuitant and the year or years for which the work and/or earnings information is being requested.  On the second page, the RRB checks the appropriate boxes (1-4) to request the employment and earnings information needed to determine the LPE.  If box 3 is checked by the RRB, a date is also entered for the employer to use as the starting date for the earnings information needed.  </w:t>
      </w:r>
      <w:r w:rsidRPr="00B50572">
        <w:rPr>
          <w:rFonts w:cs="Arial"/>
          <w:bCs/>
          <w:szCs w:val="22"/>
        </w:rPr>
        <w:t xml:space="preserve">The employer returns the completed form to the RRB office in the pre-addressed envelope provided for that purpose.  </w:t>
      </w:r>
    </w:p>
    <w:p w:rsidR="00482768" w:rsidRPr="00B50572" w:rsidRDefault="00482768" w:rsidP="00482768">
      <w:pPr>
        <w:tabs>
          <w:tab w:val="left" w:pos="540"/>
        </w:tabs>
        <w:ind w:left="540" w:hanging="540"/>
        <w:jc w:val="both"/>
        <w:rPr>
          <w:rFonts w:cs="Arial"/>
          <w:b/>
          <w:szCs w:val="22"/>
        </w:rPr>
      </w:pPr>
    </w:p>
    <w:p w:rsidR="00482768" w:rsidRPr="00B50572" w:rsidRDefault="00482768" w:rsidP="00482768">
      <w:pPr>
        <w:tabs>
          <w:tab w:val="left" w:pos="540"/>
        </w:tabs>
        <w:ind w:left="540"/>
        <w:jc w:val="both"/>
        <w:rPr>
          <w:rFonts w:cs="Arial"/>
          <w:b/>
          <w:szCs w:val="22"/>
        </w:rPr>
      </w:pPr>
      <w:r w:rsidRPr="00B50572">
        <w:rPr>
          <w:rFonts w:cs="Arial"/>
          <w:b/>
          <w:bCs/>
          <w:szCs w:val="22"/>
        </w:rPr>
        <w:t>The RRB proposes no changes to Form RL-231-F.</w:t>
      </w:r>
    </w:p>
    <w:p w:rsidR="00482768" w:rsidRPr="00B50572" w:rsidRDefault="00482768" w:rsidP="00482768">
      <w:pPr>
        <w:tabs>
          <w:tab w:val="left" w:pos="540"/>
        </w:tabs>
        <w:ind w:left="540"/>
        <w:jc w:val="both"/>
        <w:rPr>
          <w:rFonts w:cs="Arial"/>
          <w:szCs w:val="22"/>
        </w:rPr>
      </w:pPr>
    </w:p>
    <w:p w:rsidR="00482768" w:rsidRPr="00B50572" w:rsidRDefault="00482768" w:rsidP="00482768">
      <w:pPr>
        <w:tabs>
          <w:tab w:val="left" w:pos="540"/>
        </w:tabs>
        <w:ind w:left="540"/>
        <w:jc w:val="both"/>
        <w:rPr>
          <w:rFonts w:cs="Arial"/>
          <w:szCs w:val="22"/>
        </w:rPr>
      </w:pPr>
      <w:r w:rsidRPr="00B50572">
        <w:rPr>
          <w:rFonts w:cs="Arial"/>
          <w:szCs w:val="22"/>
        </w:rPr>
        <w:t xml:space="preserve">The LPE provision is unique to the RRA and consequently there is </w:t>
      </w:r>
      <w:r w:rsidRPr="00B50572">
        <w:rPr>
          <w:rFonts w:cs="Arial"/>
          <w:szCs w:val="22"/>
          <w:u w:val="single"/>
        </w:rPr>
        <w:t>no</w:t>
      </w:r>
      <w:r w:rsidRPr="00B50572">
        <w:rPr>
          <w:rFonts w:cs="Arial"/>
          <w:szCs w:val="22"/>
        </w:rPr>
        <w:t xml:space="preserve"> comparable SSA form.</w:t>
      </w:r>
    </w:p>
    <w:p w:rsidR="00482768" w:rsidRPr="00B50572" w:rsidRDefault="00482768" w:rsidP="00482768">
      <w:pPr>
        <w:tabs>
          <w:tab w:val="left" w:pos="540"/>
        </w:tabs>
        <w:ind w:left="540"/>
        <w:jc w:val="both"/>
        <w:rPr>
          <w:rFonts w:cs="Arial"/>
          <w:szCs w:val="22"/>
        </w:rPr>
      </w:pPr>
    </w:p>
    <w:p w:rsidR="00482768" w:rsidRPr="00B50572" w:rsidRDefault="00482768" w:rsidP="00482768">
      <w:pPr>
        <w:tabs>
          <w:tab w:val="left" w:pos="540"/>
        </w:tabs>
        <w:ind w:left="540"/>
        <w:jc w:val="both"/>
        <w:rPr>
          <w:rFonts w:cs="Arial"/>
          <w:szCs w:val="22"/>
        </w:rPr>
      </w:pPr>
      <w:r w:rsidRPr="00B50572">
        <w:rPr>
          <w:rFonts w:cs="Arial"/>
          <w:szCs w:val="22"/>
        </w:rPr>
        <w:t>To our knowledge, no other agency uses a form similar to the RL-231-F.</w:t>
      </w:r>
    </w:p>
    <w:p w:rsidR="00482768" w:rsidRPr="00B50572" w:rsidRDefault="00482768" w:rsidP="00482768">
      <w:pPr>
        <w:tabs>
          <w:tab w:val="left" w:pos="540"/>
        </w:tabs>
        <w:ind w:left="540" w:hanging="540"/>
        <w:jc w:val="both"/>
        <w:rPr>
          <w:rFonts w:cs="Arial"/>
          <w:szCs w:val="22"/>
        </w:rPr>
      </w:pPr>
    </w:p>
    <w:p w:rsidR="00482768" w:rsidRPr="00B50572" w:rsidRDefault="00482768" w:rsidP="00482768">
      <w:pPr>
        <w:tabs>
          <w:tab w:val="left" w:pos="540"/>
        </w:tabs>
        <w:ind w:left="540" w:hanging="540"/>
        <w:jc w:val="both"/>
        <w:rPr>
          <w:rFonts w:cs="Arial"/>
          <w:szCs w:val="22"/>
        </w:rPr>
      </w:pPr>
      <w:r w:rsidRPr="00B50572">
        <w:rPr>
          <w:rFonts w:cs="Arial"/>
          <w:szCs w:val="22"/>
        </w:rPr>
        <w:t>3.</w:t>
      </w:r>
      <w:r w:rsidRPr="00B50572">
        <w:rPr>
          <w:rFonts w:cs="Arial"/>
          <w:szCs w:val="22"/>
        </w:rPr>
        <w:tab/>
      </w:r>
      <w:r w:rsidRPr="00B50572">
        <w:rPr>
          <w:rFonts w:cs="Arial"/>
          <w:szCs w:val="22"/>
          <w:u w:val="single"/>
        </w:rPr>
        <w:t>Planned use of improved information technology or technical/legal impediments to further burden reduction</w:t>
      </w:r>
      <w:r w:rsidRPr="00B50572">
        <w:rPr>
          <w:rFonts w:cs="Arial"/>
          <w:szCs w:val="22"/>
        </w:rPr>
        <w:t xml:space="preserve"> - Not cost effective due to low volume.</w:t>
      </w:r>
    </w:p>
    <w:p w:rsidR="00482768" w:rsidRPr="00B50572" w:rsidRDefault="00482768" w:rsidP="00482768">
      <w:pPr>
        <w:tabs>
          <w:tab w:val="left" w:pos="540"/>
        </w:tabs>
        <w:ind w:left="540" w:hanging="540"/>
        <w:jc w:val="both"/>
        <w:rPr>
          <w:rFonts w:cs="Arial"/>
          <w:szCs w:val="22"/>
        </w:rPr>
      </w:pPr>
      <w:r w:rsidRPr="00B50572">
        <w:rPr>
          <w:rFonts w:cs="Arial"/>
          <w:szCs w:val="22"/>
        </w:rPr>
        <w:lastRenderedPageBreak/>
        <w:t>4.</w:t>
      </w:r>
      <w:r w:rsidRPr="00B50572">
        <w:rPr>
          <w:rFonts w:cs="Arial"/>
          <w:szCs w:val="22"/>
        </w:rPr>
        <w:tab/>
      </w:r>
      <w:r w:rsidRPr="00B50572">
        <w:rPr>
          <w:rFonts w:cs="Arial"/>
          <w:szCs w:val="22"/>
          <w:u w:val="single"/>
        </w:rPr>
        <w:t>Efforts to identify duplication</w:t>
      </w:r>
      <w:r w:rsidRPr="00B50572">
        <w:rPr>
          <w:rFonts w:cs="Arial"/>
          <w:szCs w:val="22"/>
        </w:rPr>
        <w:t xml:space="preserve"> - This information collection does not duplicate any other information collection.</w:t>
      </w:r>
    </w:p>
    <w:p w:rsidR="00482768" w:rsidRPr="00B50572" w:rsidRDefault="00482768" w:rsidP="00482768">
      <w:pPr>
        <w:tabs>
          <w:tab w:val="left" w:pos="540"/>
        </w:tabs>
        <w:ind w:left="540" w:hanging="540"/>
        <w:jc w:val="both"/>
        <w:rPr>
          <w:rFonts w:cs="Arial"/>
          <w:szCs w:val="22"/>
        </w:rPr>
      </w:pPr>
    </w:p>
    <w:p w:rsidR="00482768" w:rsidRPr="00B50572" w:rsidRDefault="00482768" w:rsidP="00482768">
      <w:pPr>
        <w:tabs>
          <w:tab w:val="left" w:pos="540"/>
        </w:tabs>
        <w:ind w:left="540" w:hanging="540"/>
        <w:jc w:val="both"/>
        <w:rPr>
          <w:rFonts w:cs="Arial"/>
          <w:szCs w:val="22"/>
        </w:rPr>
      </w:pPr>
      <w:r w:rsidRPr="00B50572">
        <w:rPr>
          <w:rFonts w:cs="Arial"/>
          <w:szCs w:val="22"/>
        </w:rPr>
        <w:t>5.</w:t>
      </w:r>
      <w:r w:rsidRPr="00B50572">
        <w:rPr>
          <w:rFonts w:cs="Arial"/>
          <w:szCs w:val="22"/>
        </w:rPr>
        <w:tab/>
      </w:r>
      <w:r w:rsidRPr="00B50572">
        <w:rPr>
          <w:rFonts w:cs="Arial"/>
          <w:szCs w:val="22"/>
          <w:u w:val="single"/>
        </w:rPr>
        <w:t>Small business respondents</w:t>
      </w:r>
      <w:r w:rsidRPr="00B50572">
        <w:rPr>
          <w:rFonts w:cs="Arial"/>
          <w:szCs w:val="22"/>
        </w:rPr>
        <w:t xml:space="preserve"> - N.A.</w:t>
      </w:r>
    </w:p>
    <w:p w:rsidR="00482768" w:rsidRPr="00B50572" w:rsidRDefault="00482768" w:rsidP="00482768">
      <w:pPr>
        <w:tabs>
          <w:tab w:val="left" w:pos="540"/>
        </w:tabs>
        <w:ind w:left="540" w:hanging="540"/>
        <w:jc w:val="both"/>
        <w:rPr>
          <w:rFonts w:cs="Arial"/>
          <w:szCs w:val="22"/>
        </w:rPr>
      </w:pPr>
    </w:p>
    <w:p w:rsidR="00482768" w:rsidRPr="00B50572" w:rsidRDefault="00482768" w:rsidP="00482768">
      <w:pPr>
        <w:tabs>
          <w:tab w:val="left" w:pos="540"/>
        </w:tabs>
        <w:ind w:left="540" w:hanging="540"/>
        <w:jc w:val="both"/>
        <w:rPr>
          <w:rFonts w:cs="Arial"/>
          <w:szCs w:val="22"/>
        </w:rPr>
      </w:pPr>
      <w:r w:rsidRPr="00B50572">
        <w:rPr>
          <w:rFonts w:cs="Arial"/>
          <w:szCs w:val="22"/>
        </w:rPr>
        <w:t>6.</w:t>
      </w:r>
      <w:r w:rsidRPr="00B50572">
        <w:rPr>
          <w:rFonts w:cs="Arial"/>
          <w:szCs w:val="22"/>
        </w:rPr>
        <w:tab/>
      </w:r>
      <w:r w:rsidRPr="00B50572">
        <w:rPr>
          <w:rFonts w:cs="Arial"/>
          <w:szCs w:val="22"/>
          <w:u w:val="single"/>
        </w:rPr>
        <w:t>Consequences of less frequent collection</w:t>
      </w:r>
      <w:r w:rsidRPr="00B50572">
        <w:rPr>
          <w:rFonts w:cs="Arial"/>
          <w:szCs w:val="22"/>
        </w:rPr>
        <w:t xml:space="preserve"> - Not applicable since the information is requested only once for a report requiring further development of non-railroad earnings in excess of the annual exempt amount earned by an RRB annuitant who had non-railroad employment prior to retirement.</w:t>
      </w:r>
    </w:p>
    <w:p w:rsidR="00482768" w:rsidRPr="00B50572" w:rsidRDefault="00482768" w:rsidP="00482768">
      <w:pPr>
        <w:tabs>
          <w:tab w:val="left" w:pos="540"/>
        </w:tabs>
        <w:ind w:left="540" w:hanging="540"/>
        <w:jc w:val="both"/>
        <w:rPr>
          <w:rFonts w:cs="Arial"/>
          <w:szCs w:val="22"/>
        </w:rPr>
      </w:pPr>
    </w:p>
    <w:p w:rsidR="00482768" w:rsidRPr="00B50572" w:rsidRDefault="00482768" w:rsidP="00482768">
      <w:pPr>
        <w:tabs>
          <w:tab w:val="left" w:pos="540"/>
        </w:tabs>
        <w:ind w:left="540" w:hanging="540"/>
        <w:jc w:val="both"/>
        <w:rPr>
          <w:rFonts w:cs="Arial"/>
          <w:szCs w:val="22"/>
        </w:rPr>
      </w:pPr>
      <w:r w:rsidRPr="00B50572">
        <w:rPr>
          <w:rFonts w:cs="Arial"/>
          <w:szCs w:val="22"/>
        </w:rPr>
        <w:t>7.</w:t>
      </w:r>
      <w:r w:rsidRPr="00B50572">
        <w:rPr>
          <w:rFonts w:cs="Arial"/>
          <w:szCs w:val="22"/>
        </w:rPr>
        <w:tab/>
      </w:r>
      <w:r w:rsidRPr="00B50572">
        <w:rPr>
          <w:rFonts w:cs="Arial"/>
          <w:szCs w:val="22"/>
          <w:u w:val="single"/>
        </w:rPr>
        <w:t>Special circumstances</w:t>
      </w:r>
      <w:r w:rsidRPr="00B50572">
        <w:rPr>
          <w:rFonts w:cs="Arial"/>
          <w:szCs w:val="22"/>
        </w:rPr>
        <w:t xml:space="preserve"> - N.A.</w:t>
      </w:r>
    </w:p>
    <w:p w:rsidR="00482768" w:rsidRPr="00B50572" w:rsidRDefault="00482768" w:rsidP="00482768">
      <w:pPr>
        <w:tabs>
          <w:tab w:val="left" w:pos="540"/>
        </w:tabs>
        <w:ind w:left="540" w:hanging="540"/>
        <w:jc w:val="both"/>
        <w:rPr>
          <w:rFonts w:cs="Arial"/>
          <w:szCs w:val="22"/>
        </w:rPr>
      </w:pPr>
    </w:p>
    <w:p w:rsidR="00482768" w:rsidRPr="00B50572" w:rsidRDefault="00482768" w:rsidP="00482768">
      <w:pPr>
        <w:tabs>
          <w:tab w:val="left" w:pos="540"/>
        </w:tabs>
        <w:ind w:left="540" w:hanging="540"/>
        <w:jc w:val="both"/>
        <w:rPr>
          <w:rFonts w:cs="Arial"/>
          <w:szCs w:val="22"/>
        </w:rPr>
      </w:pPr>
      <w:r w:rsidRPr="00B50572">
        <w:rPr>
          <w:rFonts w:cs="Arial"/>
          <w:szCs w:val="22"/>
        </w:rPr>
        <w:t>8.</w:t>
      </w:r>
      <w:r w:rsidRPr="00B50572">
        <w:rPr>
          <w:rFonts w:cs="Arial"/>
          <w:szCs w:val="22"/>
        </w:rPr>
        <w:tab/>
      </w:r>
      <w:r w:rsidRPr="00B50572">
        <w:rPr>
          <w:rFonts w:cs="Arial"/>
          <w:szCs w:val="22"/>
          <w:u w:val="single"/>
        </w:rPr>
        <w:t>Public comments/consultations outside the agency</w:t>
      </w:r>
      <w:r w:rsidRPr="00B50572">
        <w:rPr>
          <w:rFonts w:cs="Arial"/>
          <w:szCs w:val="22"/>
        </w:rPr>
        <w:t xml:space="preserve"> - In accordance with 5 CFR 1320.8(d), comments were invited from the public regarding this information collection.  The notice to the public was published on page </w:t>
      </w:r>
      <w:r w:rsidR="003535F1" w:rsidRPr="00B50572">
        <w:rPr>
          <w:rFonts w:cs="Arial"/>
          <w:szCs w:val="22"/>
        </w:rPr>
        <w:t>3780</w:t>
      </w:r>
      <w:r w:rsidRPr="00B50572">
        <w:rPr>
          <w:rFonts w:cs="Arial"/>
          <w:szCs w:val="22"/>
        </w:rPr>
        <w:t xml:space="preserve">, of the </w:t>
      </w:r>
      <w:r w:rsidR="003535F1" w:rsidRPr="00B50572">
        <w:rPr>
          <w:rFonts w:cs="Arial"/>
          <w:szCs w:val="22"/>
        </w:rPr>
        <w:t>January</w:t>
      </w:r>
      <w:r w:rsidR="00421DE4" w:rsidRPr="00B50572">
        <w:rPr>
          <w:rFonts w:cs="Arial"/>
          <w:szCs w:val="22"/>
        </w:rPr>
        <w:t xml:space="preserve"> </w:t>
      </w:r>
      <w:r w:rsidR="003535F1" w:rsidRPr="00B50572">
        <w:rPr>
          <w:rFonts w:cs="Arial"/>
          <w:szCs w:val="22"/>
        </w:rPr>
        <w:t>2</w:t>
      </w:r>
      <w:r w:rsidR="00421DE4" w:rsidRPr="00B50572">
        <w:rPr>
          <w:rFonts w:cs="Arial"/>
          <w:szCs w:val="22"/>
        </w:rPr>
        <w:t>6, 201</w:t>
      </w:r>
      <w:r w:rsidR="003535F1" w:rsidRPr="00B50572">
        <w:rPr>
          <w:rFonts w:cs="Arial"/>
          <w:szCs w:val="22"/>
        </w:rPr>
        <w:t>8</w:t>
      </w:r>
      <w:r w:rsidRPr="00B50572">
        <w:rPr>
          <w:rFonts w:cs="Arial"/>
          <w:szCs w:val="22"/>
        </w:rPr>
        <w:t xml:space="preserve">, </w:t>
      </w:r>
      <w:r w:rsidRPr="00B50572">
        <w:rPr>
          <w:rFonts w:cs="Arial"/>
          <w:szCs w:val="22"/>
          <w:u w:val="single"/>
        </w:rPr>
        <w:t>Federal Register</w:t>
      </w:r>
      <w:r w:rsidRPr="00B50572">
        <w:rPr>
          <w:rFonts w:cs="Arial"/>
          <w:szCs w:val="22"/>
        </w:rPr>
        <w:t>.  No comments or requests for additional information were received.</w:t>
      </w:r>
    </w:p>
    <w:p w:rsidR="00482768" w:rsidRPr="00B50572" w:rsidRDefault="00482768" w:rsidP="00482768">
      <w:pPr>
        <w:tabs>
          <w:tab w:val="left" w:pos="540"/>
        </w:tabs>
        <w:ind w:left="540" w:hanging="540"/>
        <w:jc w:val="both"/>
        <w:rPr>
          <w:rFonts w:cs="Arial"/>
          <w:szCs w:val="22"/>
        </w:rPr>
      </w:pPr>
    </w:p>
    <w:p w:rsidR="00482768" w:rsidRPr="00B50572" w:rsidRDefault="00482768" w:rsidP="00482768">
      <w:pPr>
        <w:tabs>
          <w:tab w:val="left" w:pos="540"/>
        </w:tabs>
        <w:ind w:left="540" w:hanging="540"/>
        <w:jc w:val="both"/>
        <w:rPr>
          <w:rFonts w:cs="Arial"/>
          <w:szCs w:val="22"/>
        </w:rPr>
      </w:pPr>
      <w:r w:rsidRPr="00B50572">
        <w:rPr>
          <w:rFonts w:cs="Arial"/>
          <w:szCs w:val="22"/>
        </w:rPr>
        <w:t>9.</w:t>
      </w:r>
      <w:r w:rsidRPr="00B50572">
        <w:rPr>
          <w:rFonts w:cs="Arial"/>
          <w:szCs w:val="22"/>
        </w:rPr>
        <w:tab/>
      </w:r>
      <w:r w:rsidRPr="00B50572">
        <w:rPr>
          <w:rFonts w:cs="Arial"/>
          <w:szCs w:val="22"/>
          <w:u w:val="single"/>
        </w:rPr>
        <w:t>Payments or gifts to respondents</w:t>
      </w:r>
      <w:r w:rsidRPr="00B50572">
        <w:rPr>
          <w:rFonts w:cs="Arial"/>
          <w:szCs w:val="22"/>
        </w:rPr>
        <w:t xml:space="preserve"> - N.A.</w:t>
      </w:r>
    </w:p>
    <w:p w:rsidR="00482768" w:rsidRPr="00B50572" w:rsidRDefault="00482768" w:rsidP="00482768">
      <w:pPr>
        <w:tabs>
          <w:tab w:val="left" w:pos="540"/>
        </w:tabs>
        <w:ind w:left="540" w:hanging="540"/>
        <w:jc w:val="both"/>
        <w:rPr>
          <w:rFonts w:cs="Arial"/>
          <w:szCs w:val="22"/>
        </w:rPr>
      </w:pPr>
    </w:p>
    <w:p w:rsidR="00482768" w:rsidRPr="00B50572" w:rsidRDefault="00482768" w:rsidP="00482768">
      <w:pPr>
        <w:tabs>
          <w:tab w:val="left" w:pos="540"/>
        </w:tabs>
        <w:ind w:left="540" w:hanging="540"/>
        <w:jc w:val="both"/>
        <w:rPr>
          <w:rFonts w:cs="Arial"/>
          <w:szCs w:val="22"/>
        </w:rPr>
      </w:pPr>
      <w:r w:rsidRPr="00B50572">
        <w:rPr>
          <w:rFonts w:cs="Arial"/>
          <w:szCs w:val="22"/>
        </w:rPr>
        <w:t>10.</w:t>
      </w:r>
      <w:r w:rsidRPr="00B50572">
        <w:rPr>
          <w:rFonts w:cs="Arial"/>
          <w:szCs w:val="22"/>
        </w:rPr>
        <w:tab/>
      </w:r>
      <w:r w:rsidRPr="00B50572">
        <w:rPr>
          <w:rFonts w:cs="Arial"/>
          <w:szCs w:val="22"/>
          <w:u w:val="single"/>
        </w:rPr>
        <w:t>Confidentiality</w:t>
      </w:r>
      <w:r w:rsidRPr="00B50572">
        <w:rPr>
          <w:rFonts w:cs="Arial"/>
          <w:szCs w:val="22"/>
        </w:rPr>
        <w:t xml:space="preserve"> - Privacy Act System of Records, RRB-22, Railroad Retirement, Survivor and Pension Benefits System.  In accordance with OMB Circular M-03-22, a Privacy Impact Assessment for this information collection was completed and can be found at </w:t>
      </w:r>
      <w:hyperlink r:id="rId7" w:history="1">
        <w:r w:rsidR="00061E4D" w:rsidRPr="00B50572">
          <w:rPr>
            <w:rStyle w:val="Hyperlink"/>
            <w:rFonts w:cs="Arial"/>
            <w:szCs w:val="22"/>
          </w:rPr>
          <w:t>https://www.rrb.gov/sites/default/files/2017-06/PIA-BPO.pdf</w:t>
        </w:r>
      </w:hyperlink>
      <w:r w:rsidRPr="00B50572">
        <w:rPr>
          <w:rFonts w:cs="Arial"/>
          <w:szCs w:val="22"/>
        </w:rPr>
        <w:t>.</w:t>
      </w:r>
    </w:p>
    <w:p w:rsidR="00482768" w:rsidRPr="00B50572" w:rsidRDefault="00482768" w:rsidP="00482768">
      <w:pPr>
        <w:tabs>
          <w:tab w:val="left" w:pos="540"/>
        </w:tabs>
        <w:ind w:left="540" w:hanging="540"/>
        <w:jc w:val="both"/>
        <w:rPr>
          <w:rFonts w:cs="Arial"/>
          <w:szCs w:val="22"/>
        </w:rPr>
      </w:pPr>
    </w:p>
    <w:p w:rsidR="00482768" w:rsidRPr="00B50572" w:rsidRDefault="00482768" w:rsidP="00482768">
      <w:pPr>
        <w:tabs>
          <w:tab w:val="left" w:pos="540"/>
        </w:tabs>
        <w:ind w:left="540" w:hanging="540"/>
        <w:jc w:val="both"/>
        <w:rPr>
          <w:rFonts w:cs="Arial"/>
          <w:szCs w:val="22"/>
        </w:rPr>
      </w:pPr>
      <w:r w:rsidRPr="00B50572">
        <w:rPr>
          <w:rFonts w:cs="Arial"/>
          <w:szCs w:val="22"/>
        </w:rPr>
        <w:t>11.</w:t>
      </w:r>
      <w:r w:rsidRPr="00B50572">
        <w:rPr>
          <w:rFonts w:cs="Arial"/>
          <w:szCs w:val="22"/>
        </w:rPr>
        <w:tab/>
      </w:r>
      <w:r w:rsidRPr="00B50572">
        <w:rPr>
          <w:rFonts w:cs="Arial"/>
          <w:szCs w:val="22"/>
          <w:u w:val="single"/>
        </w:rPr>
        <w:t>Sensitive questions</w:t>
      </w:r>
      <w:r w:rsidRPr="00B50572">
        <w:rPr>
          <w:rFonts w:cs="Arial"/>
          <w:szCs w:val="22"/>
        </w:rPr>
        <w:t xml:space="preserve"> - N.A.</w:t>
      </w:r>
    </w:p>
    <w:p w:rsidR="00482768" w:rsidRPr="00B50572" w:rsidRDefault="00482768" w:rsidP="00482768">
      <w:pPr>
        <w:tabs>
          <w:tab w:val="left" w:pos="540"/>
        </w:tabs>
        <w:ind w:left="540" w:hanging="540"/>
        <w:jc w:val="both"/>
        <w:rPr>
          <w:rFonts w:cs="Arial"/>
          <w:szCs w:val="22"/>
        </w:rPr>
      </w:pPr>
    </w:p>
    <w:p w:rsidR="00482768" w:rsidRPr="00B50572" w:rsidRDefault="00482768" w:rsidP="00482768">
      <w:pPr>
        <w:tabs>
          <w:tab w:val="left" w:pos="540"/>
        </w:tabs>
        <w:jc w:val="both"/>
        <w:rPr>
          <w:rFonts w:cs="Arial"/>
          <w:szCs w:val="22"/>
          <w:u w:val="single"/>
        </w:rPr>
      </w:pPr>
      <w:r w:rsidRPr="00B50572">
        <w:rPr>
          <w:rFonts w:cs="Arial"/>
          <w:szCs w:val="22"/>
        </w:rPr>
        <w:t>12.</w:t>
      </w:r>
      <w:r w:rsidRPr="00B50572">
        <w:rPr>
          <w:rFonts w:cs="Arial"/>
          <w:szCs w:val="22"/>
        </w:rPr>
        <w:tab/>
      </w:r>
      <w:r w:rsidRPr="00B50572">
        <w:rPr>
          <w:rFonts w:cs="Arial"/>
          <w:szCs w:val="22"/>
          <w:u w:val="single"/>
        </w:rPr>
        <w:t>Estimate of Respondent Burden</w:t>
      </w:r>
    </w:p>
    <w:p w:rsidR="00482768" w:rsidRPr="00B50572" w:rsidRDefault="00482768" w:rsidP="00482768">
      <w:pPr>
        <w:tabs>
          <w:tab w:val="left" w:pos="540"/>
        </w:tabs>
        <w:ind w:left="540" w:hanging="540"/>
        <w:jc w:val="both"/>
        <w:rPr>
          <w:rFonts w:cs="Arial"/>
          <w:szCs w:val="22"/>
        </w:rPr>
      </w:pPr>
    </w:p>
    <w:p w:rsidR="00482768" w:rsidRPr="00B50572" w:rsidRDefault="00482768" w:rsidP="00061E4D">
      <w:pPr>
        <w:tabs>
          <w:tab w:val="left" w:pos="540"/>
        </w:tabs>
        <w:ind w:left="540"/>
        <w:rPr>
          <w:rFonts w:cs="Arial"/>
          <w:szCs w:val="22"/>
        </w:rPr>
      </w:pPr>
      <w:r w:rsidRPr="00B50572">
        <w:rPr>
          <w:rFonts w:cs="Arial"/>
          <w:szCs w:val="22"/>
        </w:rPr>
        <w:t xml:space="preserve">The estimated annual burden for the information collection is </w:t>
      </w:r>
      <w:r w:rsidR="00061E4D" w:rsidRPr="00B50572">
        <w:rPr>
          <w:rFonts w:cs="Arial"/>
          <w:szCs w:val="22"/>
        </w:rPr>
        <w:t xml:space="preserve">shown below. </w:t>
      </w:r>
    </w:p>
    <w:p w:rsidR="00482768" w:rsidRPr="00B50572" w:rsidRDefault="00482768" w:rsidP="00482768">
      <w:pPr>
        <w:tabs>
          <w:tab w:val="left" w:pos="540"/>
        </w:tabs>
        <w:ind w:left="540" w:hanging="540"/>
        <w:jc w:val="center"/>
        <w:rPr>
          <w:rFonts w:cs="Arial"/>
          <w:szCs w:val="22"/>
        </w:rPr>
      </w:pPr>
    </w:p>
    <w:tbl>
      <w:tblPr>
        <w:tblW w:w="0" w:type="auto"/>
        <w:tblInd w:w="738" w:type="dxa"/>
        <w:tblBorders>
          <w:top w:val="double" w:sz="12" w:space="0" w:color="000000"/>
          <w:left w:val="double" w:sz="12" w:space="0" w:color="000000"/>
          <w:bottom w:val="double" w:sz="12" w:space="0" w:color="000000"/>
          <w:right w:val="double" w:sz="12" w:space="0" w:color="000000"/>
          <w:insideH w:val="single" w:sz="4" w:space="0" w:color="auto"/>
          <w:insideV w:val="single" w:sz="4" w:space="0" w:color="auto"/>
        </w:tblBorders>
        <w:tblLook w:val="04A0" w:firstRow="1" w:lastRow="0" w:firstColumn="1" w:lastColumn="0" w:noHBand="0" w:noVBand="1"/>
      </w:tblPr>
      <w:tblGrid>
        <w:gridCol w:w="2610"/>
        <w:gridCol w:w="2160"/>
        <w:gridCol w:w="1980"/>
        <w:gridCol w:w="1980"/>
      </w:tblGrid>
      <w:tr w:rsidR="00482768" w:rsidRPr="00B50572" w:rsidTr="00482768">
        <w:trPr>
          <w:trHeight w:hRule="exact" w:val="340"/>
        </w:trPr>
        <w:tc>
          <w:tcPr>
            <w:tcW w:w="2610" w:type="dxa"/>
            <w:vAlign w:val="center"/>
          </w:tcPr>
          <w:p w:rsidR="00482768" w:rsidRPr="00B50572" w:rsidRDefault="00482768" w:rsidP="00482768">
            <w:pPr>
              <w:tabs>
                <w:tab w:val="left" w:pos="540"/>
              </w:tabs>
              <w:jc w:val="center"/>
              <w:rPr>
                <w:rFonts w:cs="Arial"/>
                <w:szCs w:val="22"/>
              </w:rPr>
            </w:pPr>
            <w:r w:rsidRPr="00B50572">
              <w:rPr>
                <w:rFonts w:cs="Arial"/>
                <w:szCs w:val="22"/>
              </w:rPr>
              <w:t>Form Number</w:t>
            </w:r>
          </w:p>
        </w:tc>
        <w:tc>
          <w:tcPr>
            <w:tcW w:w="2160" w:type="dxa"/>
            <w:vAlign w:val="center"/>
          </w:tcPr>
          <w:p w:rsidR="00482768" w:rsidRPr="00B50572" w:rsidRDefault="00482768" w:rsidP="00482768">
            <w:pPr>
              <w:tabs>
                <w:tab w:val="left" w:pos="540"/>
              </w:tabs>
              <w:jc w:val="center"/>
              <w:rPr>
                <w:rFonts w:cs="Arial"/>
                <w:szCs w:val="22"/>
              </w:rPr>
            </w:pPr>
            <w:r w:rsidRPr="00B50572">
              <w:rPr>
                <w:rFonts w:cs="Arial"/>
                <w:szCs w:val="22"/>
              </w:rPr>
              <w:t>Annual Responses</w:t>
            </w:r>
          </w:p>
        </w:tc>
        <w:tc>
          <w:tcPr>
            <w:tcW w:w="1980" w:type="dxa"/>
            <w:vAlign w:val="center"/>
          </w:tcPr>
          <w:p w:rsidR="00482768" w:rsidRPr="00B50572" w:rsidRDefault="00482768" w:rsidP="00482768">
            <w:pPr>
              <w:tabs>
                <w:tab w:val="left" w:pos="540"/>
              </w:tabs>
              <w:jc w:val="center"/>
              <w:rPr>
                <w:rFonts w:cs="Arial"/>
                <w:szCs w:val="22"/>
              </w:rPr>
            </w:pPr>
            <w:r w:rsidRPr="00B50572">
              <w:rPr>
                <w:rFonts w:cs="Arial"/>
                <w:szCs w:val="22"/>
              </w:rPr>
              <w:t>Time (Minutes)</w:t>
            </w:r>
          </w:p>
        </w:tc>
        <w:tc>
          <w:tcPr>
            <w:tcW w:w="1980" w:type="dxa"/>
            <w:vAlign w:val="center"/>
          </w:tcPr>
          <w:p w:rsidR="00482768" w:rsidRPr="00B50572" w:rsidRDefault="00482768" w:rsidP="00482768">
            <w:pPr>
              <w:tabs>
                <w:tab w:val="left" w:pos="540"/>
              </w:tabs>
              <w:jc w:val="center"/>
              <w:rPr>
                <w:rFonts w:cs="Arial"/>
                <w:szCs w:val="22"/>
              </w:rPr>
            </w:pPr>
            <w:r w:rsidRPr="00B50572">
              <w:rPr>
                <w:rFonts w:cs="Arial"/>
                <w:szCs w:val="22"/>
              </w:rPr>
              <w:t>Burden (Hours)</w:t>
            </w:r>
          </w:p>
        </w:tc>
      </w:tr>
      <w:tr w:rsidR="00482768" w:rsidRPr="00B50572" w:rsidTr="00482768">
        <w:trPr>
          <w:trHeight w:hRule="exact" w:val="340"/>
        </w:trPr>
        <w:tc>
          <w:tcPr>
            <w:tcW w:w="2610" w:type="dxa"/>
            <w:vAlign w:val="center"/>
          </w:tcPr>
          <w:p w:rsidR="00482768" w:rsidRPr="00B50572" w:rsidRDefault="00482768" w:rsidP="00482768">
            <w:pPr>
              <w:tabs>
                <w:tab w:val="left" w:pos="540"/>
              </w:tabs>
              <w:rPr>
                <w:rFonts w:cs="Arial"/>
                <w:szCs w:val="22"/>
              </w:rPr>
            </w:pPr>
            <w:r w:rsidRPr="00B50572">
              <w:rPr>
                <w:rFonts w:cs="Arial"/>
                <w:szCs w:val="22"/>
              </w:rPr>
              <w:t>RL-231-F</w:t>
            </w:r>
          </w:p>
        </w:tc>
        <w:tc>
          <w:tcPr>
            <w:tcW w:w="2160" w:type="dxa"/>
            <w:vAlign w:val="center"/>
          </w:tcPr>
          <w:p w:rsidR="00482768" w:rsidRPr="00B50572" w:rsidRDefault="00482768" w:rsidP="00482768">
            <w:pPr>
              <w:tabs>
                <w:tab w:val="left" w:pos="540"/>
              </w:tabs>
              <w:jc w:val="center"/>
              <w:rPr>
                <w:rFonts w:cs="Arial"/>
                <w:szCs w:val="22"/>
              </w:rPr>
            </w:pPr>
            <w:r w:rsidRPr="00B50572">
              <w:rPr>
                <w:rFonts w:cs="Arial"/>
                <w:szCs w:val="22"/>
              </w:rPr>
              <w:t>300</w:t>
            </w:r>
          </w:p>
        </w:tc>
        <w:tc>
          <w:tcPr>
            <w:tcW w:w="1980" w:type="dxa"/>
            <w:vAlign w:val="center"/>
          </w:tcPr>
          <w:p w:rsidR="00482768" w:rsidRPr="00B50572" w:rsidRDefault="00482768" w:rsidP="00482768">
            <w:pPr>
              <w:tabs>
                <w:tab w:val="left" w:pos="540"/>
              </w:tabs>
              <w:jc w:val="center"/>
              <w:rPr>
                <w:rFonts w:cs="Arial"/>
                <w:szCs w:val="22"/>
              </w:rPr>
            </w:pPr>
            <w:r w:rsidRPr="00B50572">
              <w:rPr>
                <w:rFonts w:cs="Arial"/>
                <w:szCs w:val="22"/>
              </w:rPr>
              <w:t>30</w:t>
            </w:r>
          </w:p>
        </w:tc>
        <w:tc>
          <w:tcPr>
            <w:tcW w:w="1980" w:type="dxa"/>
            <w:vAlign w:val="center"/>
          </w:tcPr>
          <w:p w:rsidR="00482768" w:rsidRPr="00B50572" w:rsidRDefault="00482768" w:rsidP="00482768">
            <w:pPr>
              <w:tabs>
                <w:tab w:val="left" w:pos="540"/>
              </w:tabs>
              <w:jc w:val="center"/>
              <w:rPr>
                <w:rFonts w:cs="Arial"/>
                <w:szCs w:val="22"/>
              </w:rPr>
            </w:pPr>
            <w:r w:rsidRPr="00B50572">
              <w:rPr>
                <w:rFonts w:cs="Arial"/>
                <w:szCs w:val="22"/>
              </w:rPr>
              <w:t>150</w:t>
            </w:r>
          </w:p>
        </w:tc>
      </w:tr>
      <w:tr w:rsidR="00482768" w:rsidRPr="00B50572" w:rsidTr="00482768">
        <w:trPr>
          <w:trHeight w:hRule="exact" w:val="340"/>
        </w:trPr>
        <w:tc>
          <w:tcPr>
            <w:tcW w:w="2610" w:type="dxa"/>
            <w:vAlign w:val="center"/>
          </w:tcPr>
          <w:p w:rsidR="00482768" w:rsidRPr="00B50572" w:rsidRDefault="00482768" w:rsidP="00482768">
            <w:pPr>
              <w:tabs>
                <w:tab w:val="left" w:pos="540"/>
              </w:tabs>
              <w:jc w:val="center"/>
              <w:rPr>
                <w:rFonts w:cs="Arial"/>
                <w:szCs w:val="22"/>
              </w:rPr>
            </w:pPr>
            <w:r w:rsidRPr="00B50572">
              <w:rPr>
                <w:rFonts w:cs="Arial"/>
                <w:szCs w:val="22"/>
              </w:rPr>
              <w:t>Total</w:t>
            </w:r>
          </w:p>
        </w:tc>
        <w:tc>
          <w:tcPr>
            <w:tcW w:w="2160" w:type="dxa"/>
            <w:vAlign w:val="center"/>
          </w:tcPr>
          <w:p w:rsidR="00482768" w:rsidRPr="00B50572" w:rsidRDefault="00482768" w:rsidP="00482768">
            <w:pPr>
              <w:tabs>
                <w:tab w:val="left" w:pos="540"/>
              </w:tabs>
              <w:jc w:val="center"/>
              <w:rPr>
                <w:rFonts w:cs="Arial"/>
                <w:szCs w:val="22"/>
              </w:rPr>
            </w:pPr>
            <w:r w:rsidRPr="00B50572">
              <w:rPr>
                <w:rFonts w:cs="Arial"/>
                <w:szCs w:val="22"/>
              </w:rPr>
              <w:t>300</w:t>
            </w:r>
          </w:p>
        </w:tc>
        <w:tc>
          <w:tcPr>
            <w:tcW w:w="1980" w:type="dxa"/>
            <w:vAlign w:val="center"/>
          </w:tcPr>
          <w:p w:rsidR="00482768" w:rsidRPr="00B50572" w:rsidRDefault="00482768" w:rsidP="00482768">
            <w:pPr>
              <w:tabs>
                <w:tab w:val="left" w:pos="540"/>
              </w:tabs>
              <w:jc w:val="center"/>
              <w:rPr>
                <w:rFonts w:cs="Arial"/>
                <w:szCs w:val="22"/>
              </w:rPr>
            </w:pPr>
            <w:r w:rsidRPr="00B50572">
              <w:rPr>
                <w:rFonts w:cs="Arial"/>
                <w:szCs w:val="22"/>
              </w:rPr>
              <w:t>30</w:t>
            </w:r>
          </w:p>
        </w:tc>
        <w:tc>
          <w:tcPr>
            <w:tcW w:w="1980" w:type="dxa"/>
            <w:vAlign w:val="center"/>
          </w:tcPr>
          <w:p w:rsidR="00482768" w:rsidRPr="00B50572" w:rsidRDefault="00482768" w:rsidP="00482768">
            <w:pPr>
              <w:tabs>
                <w:tab w:val="left" w:pos="540"/>
              </w:tabs>
              <w:jc w:val="center"/>
              <w:rPr>
                <w:rFonts w:cs="Arial"/>
                <w:szCs w:val="22"/>
              </w:rPr>
            </w:pPr>
            <w:r w:rsidRPr="00B50572">
              <w:rPr>
                <w:rFonts w:cs="Arial"/>
                <w:szCs w:val="22"/>
              </w:rPr>
              <w:t>150</w:t>
            </w:r>
          </w:p>
        </w:tc>
      </w:tr>
    </w:tbl>
    <w:p w:rsidR="00482768" w:rsidRPr="00B50572" w:rsidRDefault="00482768" w:rsidP="00482768">
      <w:pPr>
        <w:tabs>
          <w:tab w:val="left" w:pos="540"/>
        </w:tabs>
        <w:ind w:left="540" w:hanging="540"/>
        <w:jc w:val="both"/>
        <w:rPr>
          <w:rFonts w:cs="Arial"/>
          <w:szCs w:val="22"/>
        </w:rPr>
      </w:pPr>
    </w:p>
    <w:p w:rsidR="00482768" w:rsidRPr="00B50572" w:rsidRDefault="00482768" w:rsidP="00482768">
      <w:pPr>
        <w:tabs>
          <w:tab w:val="left" w:pos="540"/>
        </w:tabs>
        <w:ind w:left="540" w:hanging="540"/>
        <w:jc w:val="both"/>
        <w:rPr>
          <w:rFonts w:cs="Arial"/>
          <w:szCs w:val="22"/>
        </w:rPr>
      </w:pPr>
      <w:r w:rsidRPr="00B50572">
        <w:rPr>
          <w:rFonts w:cs="Arial"/>
          <w:szCs w:val="22"/>
        </w:rPr>
        <w:t>13.</w:t>
      </w:r>
      <w:r w:rsidRPr="00B50572">
        <w:rPr>
          <w:rFonts w:cs="Arial"/>
          <w:szCs w:val="22"/>
        </w:rPr>
        <w:tab/>
      </w:r>
      <w:r w:rsidRPr="00B50572">
        <w:rPr>
          <w:rFonts w:cs="Arial"/>
          <w:szCs w:val="22"/>
          <w:u w:val="single"/>
        </w:rPr>
        <w:t>Estimated annual cost to respondents or record keepers</w:t>
      </w:r>
      <w:r w:rsidRPr="00B50572">
        <w:rPr>
          <w:rFonts w:cs="Arial"/>
          <w:szCs w:val="22"/>
        </w:rPr>
        <w:t xml:space="preserve"> - N.A</w:t>
      </w:r>
    </w:p>
    <w:p w:rsidR="00482768" w:rsidRPr="00B50572" w:rsidRDefault="00482768" w:rsidP="00482768">
      <w:pPr>
        <w:tabs>
          <w:tab w:val="left" w:pos="540"/>
        </w:tabs>
        <w:ind w:left="540" w:hanging="540"/>
        <w:jc w:val="both"/>
        <w:rPr>
          <w:rFonts w:cs="Arial"/>
          <w:szCs w:val="22"/>
        </w:rPr>
      </w:pPr>
      <w:r w:rsidRPr="00B50572">
        <w:rPr>
          <w:rFonts w:cs="Arial"/>
          <w:szCs w:val="22"/>
        </w:rPr>
        <w:t xml:space="preserve"> </w:t>
      </w:r>
    </w:p>
    <w:p w:rsidR="00482768" w:rsidRPr="00B50572" w:rsidRDefault="00482768" w:rsidP="00482768">
      <w:pPr>
        <w:tabs>
          <w:tab w:val="left" w:pos="540"/>
        </w:tabs>
        <w:ind w:left="540" w:hanging="540"/>
        <w:jc w:val="both"/>
        <w:rPr>
          <w:rFonts w:cs="Arial"/>
          <w:szCs w:val="22"/>
        </w:rPr>
      </w:pPr>
      <w:r w:rsidRPr="00B50572">
        <w:rPr>
          <w:rFonts w:cs="Arial"/>
          <w:szCs w:val="22"/>
        </w:rPr>
        <w:t>14.</w:t>
      </w:r>
      <w:r w:rsidRPr="00B50572">
        <w:rPr>
          <w:rFonts w:cs="Arial"/>
          <w:szCs w:val="22"/>
        </w:rPr>
        <w:tab/>
      </w:r>
      <w:r w:rsidRPr="00B50572">
        <w:rPr>
          <w:rFonts w:cs="Arial"/>
          <w:szCs w:val="22"/>
          <w:u w:val="single"/>
        </w:rPr>
        <w:t>Estimate of cost to Federal Government</w:t>
      </w:r>
      <w:r w:rsidRPr="00B50572">
        <w:rPr>
          <w:rFonts w:cs="Arial"/>
          <w:szCs w:val="22"/>
        </w:rPr>
        <w:t xml:space="preserve"> - N.A.</w:t>
      </w:r>
    </w:p>
    <w:p w:rsidR="00482768" w:rsidRPr="00B50572" w:rsidRDefault="00482768" w:rsidP="00482768">
      <w:pPr>
        <w:tabs>
          <w:tab w:val="left" w:pos="540"/>
        </w:tabs>
        <w:ind w:left="540" w:hanging="540"/>
        <w:jc w:val="both"/>
        <w:rPr>
          <w:rFonts w:cs="Arial"/>
          <w:szCs w:val="22"/>
        </w:rPr>
      </w:pPr>
    </w:p>
    <w:p w:rsidR="00482768" w:rsidRPr="00B50572" w:rsidRDefault="00482768" w:rsidP="00482768">
      <w:pPr>
        <w:tabs>
          <w:tab w:val="left" w:pos="540"/>
        </w:tabs>
        <w:ind w:left="540" w:hanging="540"/>
        <w:jc w:val="both"/>
        <w:rPr>
          <w:rFonts w:cs="Arial"/>
          <w:szCs w:val="22"/>
        </w:rPr>
      </w:pPr>
      <w:r w:rsidRPr="00B50572">
        <w:rPr>
          <w:rFonts w:cs="Arial"/>
          <w:szCs w:val="22"/>
        </w:rPr>
        <w:t>15.</w:t>
      </w:r>
      <w:r w:rsidRPr="00B50572">
        <w:rPr>
          <w:rFonts w:cs="Arial"/>
          <w:szCs w:val="22"/>
        </w:rPr>
        <w:tab/>
      </w:r>
      <w:r w:rsidRPr="00B50572">
        <w:rPr>
          <w:rFonts w:cs="Arial"/>
          <w:szCs w:val="22"/>
          <w:u w:val="single"/>
        </w:rPr>
        <w:t>Explanations for change in burden</w:t>
      </w:r>
      <w:r w:rsidRPr="00B50572">
        <w:rPr>
          <w:rFonts w:cs="Arial"/>
          <w:szCs w:val="22"/>
        </w:rPr>
        <w:t xml:space="preserve"> - N.A.  </w:t>
      </w:r>
    </w:p>
    <w:p w:rsidR="00482768" w:rsidRPr="00B50572" w:rsidRDefault="00482768" w:rsidP="00482768">
      <w:pPr>
        <w:tabs>
          <w:tab w:val="left" w:pos="540"/>
        </w:tabs>
        <w:ind w:left="540" w:hanging="540"/>
        <w:jc w:val="both"/>
        <w:rPr>
          <w:rFonts w:cs="Arial"/>
          <w:szCs w:val="22"/>
        </w:rPr>
      </w:pPr>
    </w:p>
    <w:p w:rsidR="00482768" w:rsidRPr="00B50572" w:rsidRDefault="00482768" w:rsidP="00482768">
      <w:pPr>
        <w:tabs>
          <w:tab w:val="left" w:pos="540"/>
        </w:tabs>
        <w:ind w:left="540" w:hanging="540"/>
        <w:jc w:val="both"/>
        <w:rPr>
          <w:rFonts w:cs="Arial"/>
          <w:szCs w:val="22"/>
        </w:rPr>
      </w:pPr>
      <w:r w:rsidRPr="00B50572">
        <w:rPr>
          <w:rFonts w:cs="Arial"/>
          <w:szCs w:val="22"/>
        </w:rPr>
        <w:t>16.</w:t>
      </w:r>
      <w:r w:rsidRPr="00B50572">
        <w:rPr>
          <w:rFonts w:cs="Arial"/>
          <w:szCs w:val="22"/>
        </w:rPr>
        <w:tab/>
      </w:r>
      <w:r w:rsidRPr="00B50572">
        <w:rPr>
          <w:rFonts w:cs="Arial"/>
          <w:szCs w:val="22"/>
          <w:u w:val="single"/>
        </w:rPr>
        <w:t>Time schedule for data collection and publication</w:t>
      </w:r>
      <w:r w:rsidRPr="00B50572">
        <w:rPr>
          <w:rFonts w:cs="Arial"/>
          <w:szCs w:val="22"/>
        </w:rPr>
        <w:t xml:space="preserve"> - The results of this collection will not be published.</w:t>
      </w:r>
    </w:p>
    <w:p w:rsidR="00482768" w:rsidRPr="00B50572" w:rsidRDefault="00482768" w:rsidP="00482768">
      <w:pPr>
        <w:tabs>
          <w:tab w:val="left" w:pos="540"/>
        </w:tabs>
        <w:ind w:left="540" w:hanging="540"/>
        <w:jc w:val="both"/>
        <w:rPr>
          <w:rFonts w:cs="Arial"/>
          <w:szCs w:val="22"/>
        </w:rPr>
      </w:pPr>
    </w:p>
    <w:p w:rsidR="00482768" w:rsidRPr="00B50572" w:rsidRDefault="00482768" w:rsidP="00482768">
      <w:pPr>
        <w:tabs>
          <w:tab w:val="left" w:pos="540"/>
        </w:tabs>
        <w:ind w:left="540" w:hanging="540"/>
        <w:jc w:val="both"/>
        <w:rPr>
          <w:rFonts w:cs="Arial"/>
          <w:szCs w:val="22"/>
        </w:rPr>
      </w:pPr>
      <w:r w:rsidRPr="00B50572">
        <w:rPr>
          <w:rFonts w:cs="Arial"/>
          <w:szCs w:val="22"/>
        </w:rPr>
        <w:t>17.</w:t>
      </w:r>
      <w:r w:rsidRPr="00B50572">
        <w:rPr>
          <w:rFonts w:cs="Arial"/>
          <w:szCs w:val="22"/>
        </w:rPr>
        <w:tab/>
      </w:r>
      <w:r w:rsidRPr="00B50572">
        <w:rPr>
          <w:rFonts w:cs="Arial"/>
          <w:szCs w:val="22"/>
          <w:u w:val="single"/>
        </w:rPr>
        <w:t>Requests not to display OMB expiration date</w:t>
      </w:r>
      <w:r w:rsidRPr="00B50572">
        <w:rPr>
          <w:rFonts w:cs="Arial"/>
          <w:szCs w:val="22"/>
        </w:rPr>
        <w:t xml:space="preserve"> - The RL-231-F is a low usage form that is seldom revised.  Given the costs associated with redesigning the form in order to keep the appropriate OMB expiration date in place, </w:t>
      </w:r>
      <w:r w:rsidRPr="00B50572">
        <w:rPr>
          <w:rFonts w:cs="Arial"/>
          <w:szCs w:val="22"/>
          <w:u w:val="single"/>
        </w:rPr>
        <w:t>the RRB requests the authority to not display the expiration date on the form.</w:t>
      </w:r>
      <w:r w:rsidRPr="00B50572">
        <w:rPr>
          <w:rFonts w:cs="Arial"/>
          <w:szCs w:val="22"/>
        </w:rPr>
        <w:t xml:space="preserve"> </w:t>
      </w:r>
    </w:p>
    <w:p w:rsidR="00482768" w:rsidRPr="00B50572" w:rsidRDefault="00482768" w:rsidP="00482768">
      <w:pPr>
        <w:tabs>
          <w:tab w:val="left" w:pos="540"/>
        </w:tabs>
        <w:ind w:left="540" w:hanging="540"/>
        <w:jc w:val="both"/>
        <w:rPr>
          <w:rFonts w:cs="Arial"/>
          <w:szCs w:val="22"/>
        </w:rPr>
      </w:pPr>
    </w:p>
    <w:p w:rsidR="00777200" w:rsidRPr="00482768" w:rsidRDefault="00482768" w:rsidP="00482768">
      <w:pPr>
        <w:tabs>
          <w:tab w:val="left" w:pos="540"/>
        </w:tabs>
        <w:ind w:left="540" w:hanging="540"/>
        <w:jc w:val="both"/>
        <w:rPr>
          <w:rFonts w:cs="Arial"/>
          <w:szCs w:val="22"/>
        </w:rPr>
      </w:pPr>
      <w:r w:rsidRPr="00B50572">
        <w:rPr>
          <w:rFonts w:cs="Arial"/>
          <w:szCs w:val="22"/>
        </w:rPr>
        <w:t>18.</w:t>
      </w:r>
      <w:r w:rsidRPr="00B50572">
        <w:rPr>
          <w:rFonts w:cs="Arial"/>
          <w:szCs w:val="22"/>
        </w:rPr>
        <w:tab/>
      </w:r>
      <w:r w:rsidRPr="00B50572">
        <w:rPr>
          <w:rFonts w:cs="Arial"/>
          <w:szCs w:val="22"/>
          <w:u w:val="single"/>
        </w:rPr>
        <w:t>Exceptions to Certification Statement</w:t>
      </w:r>
      <w:r w:rsidRPr="00B50572">
        <w:rPr>
          <w:rFonts w:cs="Arial"/>
          <w:szCs w:val="22"/>
        </w:rPr>
        <w:t xml:space="preserve"> - None</w:t>
      </w:r>
    </w:p>
    <w:sectPr w:rsidR="00777200" w:rsidRPr="00482768" w:rsidSect="00482768">
      <w:headerReference w:type="default" r:id="rId8"/>
      <w:footerReference w:type="default" r:id="rId9"/>
      <w:headerReference w:type="first" r:id="rId10"/>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8B3" w:rsidRDefault="00B65219">
      <w:r>
        <w:separator/>
      </w:r>
    </w:p>
  </w:endnote>
  <w:endnote w:type="continuationSeparator" w:id="0">
    <w:p w:rsidR="00B228B3" w:rsidRDefault="00B65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3F1" w:rsidRPr="00886967" w:rsidRDefault="00482768" w:rsidP="00886967">
    <w:pPr>
      <w:pStyle w:val="Footer"/>
      <w:jc w:val="center"/>
      <w:rPr>
        <w:rFonts w:cs="Arial"/>
        <w:szCs w:val="22"/>
      </w:rPr>
    </w:pPr>
    <w:r w:rsidRPr="00886967">
      <w:rPr>
        <w:rFonts w:cs="Arial"/>
        <w:szCs w:val="22"/>
      </w:rPr>
      <w:t xml:space="preserve">~ </w:t>
    </w:r>
    <w:r w:rsidRPr="00886967">
      <w:rPr>
        <w:rFonts w:cs="Arial"/>
        <w:szCs w:val="22"/>
      </w:rPr>
      <w:fldChar w:fldCharType="begin"/>
    </w:r>
    <w:r w:rsidRPr="00886967">
      <w:rPr>
        <w:rFonts w:cs="Arial"/>
        <w:szCs w:val="22"/>
      </w:rPr>
      <w:instrText xml:space="preserve"> PAGE    \* MERGEFORMAT </w:instrText>
    </w:r>
    <w:r w:rsidRPr="00886967">
      <w:rPr>
        <w:rFonts w:cs="Arial"/>
        <w:szCs w:val="22"/>
      </w:rPr>
      <w:fldChar w:fldCharType="separate"/>
    </w:r>
    <w:r w:rsidR="007B724C">
      <w:rPr>
        <w:rFonts w:cs="Arial"/>
        <w:noProof/>
        <w:szCs w:val="22"/>
      </w:rPr>
      <w:t>2</w:t>
    </w:r>
    <w:r w:rsidRPr="00886967">
      <w:rPr>
        <w:rFonts w:cs="Arial"/>
        <w:szCs w:val="22"/>
      </w:rPr>
      <w:fldChar w:fldCharType="end"/>
    </w:r>
    <w:r w:rsidRPr="00886967">
      <w:rPr>
        <w:rFonts w:cs="Arial"/>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8B3" w:rsidRDefault="00B65219">
      <w:r>
        <w:separator/>
      </w:r>
    </w:p>
  </w:footnote>
  <w:footnote w:type="continuationSeparator" w:id="0">
    <w:p w:rsidR="00B228B3" w:rsidRDefault="00B652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3F1" w:rsidRPr="00886967" w:rsidRDefault="00482768" w:rsidP="00886967">
    <w:pPr>
      <w:tabs>
        <w:tab w:val="right" w:pos="9360"/>
      </w:tabs>
      <w:jc w:val="right"/>
      <w:rPr>
        <w:rFonts w:cs="Arial"/>
        <w:szCs w:val="22"/>
      </w:rPr>
    </w:pPr>
    <w:r w:rsidRPr="00886967">
      <w:rPr>
        <w:rFonts w:cs="Arial"/>
        <w:szCs w:val="22"/>
      </w:rPr>
      <w:t>OMB N</w:t>
    </w:r>
    <w:r>
      <w:rPr>
        <w:rFonts w:cs="Arial"/>
        <w:szCs w:val="22"/>
      </w:rPr>
      <w:t>o</w:t>
    </w:r>
    <w:r w:rsidRPr="00886967">
      <w:rPr>
        <w:rFonts w:cs="Arial"/>
        <w:szCs w:val="22"/>
      </w:rPr>
      <w:t>. 3220-0107</w:t>
    </w:r>
  </w:p>
  <w:p w:rsidR="008E03F1" w:rsidRDefault="007B724C" w:rsidP="00673618">
    <w:pPr>
      <w:tabs>
        <w:tab w:val="right" w:pos="9360"/>
      </w:tabs>
      <w:jc w:val="right"/>
      <w:rPr>
        <w:rFonts w:cs="Arial"/>
      </w:rPr>
    </w:pPr>
  </w:p>
  <w:p w:rsidR="008E03F1" w:rsidRPr="00886967" w:rsidRDefault="007B724C" w:rsidP="00673618">
    <w:pPr>
      <w:tabs>
        <w:tab w:val="right" w:pos="9360"/>
      </w:tabs>
      <w:jc w:val="right"/>
      <w:rPr>
        <w:rFonts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3F1" w:rsidRPr="00886967" w:rsidRDefault="00482768" w:rsidP="00886967">
    <w:pPr>
      <w:tabs>
        <w:tab w:val="right" w:pos="9360"/>
      </w:tabs>
      <w:jc w:val="right"/>
      <w:rPr>
        <w:rFonts w:cs="Arial"/>
        <w:szCs w:val="22"/>
      </w:rPr>
    </w:pPr>
    <w:r w:rsidRPr="00886967">
      <w:rPr>
        <w:rFonts w:cs="Arial"/>
        <w:szCs w:val="22"/>
      </w:rPr>
      <w:t>OMB N</w:t>
    </w:r>
    <w:r>
      <w:rPr>
        <w:rFonts w:cs="Arial"/>
        <w:szCs w:val="22"/>
      </w:rPr>
      <w:t>o</w:t>
    </w:r>
    <w:r w:rsidRPr="00886967">
      <w:rPr>
        <w:rFonts w:cs="Arial"/>
        <w:szCs w:val="22"/>
      </w:rPr>
      <w:t>. 3220-0107</w:t>
    </w:r>
  </w:p>
  <w:p w:rsidR="008E03F1" w:rsidRPr="00886967" w:rsidRDefault="007B724C" w:rsidP="00886967">
    <w:pPr>
      <w:tabs>
        <w:tab w:val="right" w:pos="9360"/>
      </w:tabs>
      <w:jc w:val="right"/>
      <w:rPr>
        <w:rFonts w:cs="Arial"/>
      </w:rPr>
    </w:pPr>
  </w:p>
  <w:p w:rsidR="008E03F1" w:rsidRPr="00886967" w:rsidRDefault="007B724C" w:rsidP="00886967">
    <w:pPr>
      <w:pStyle w:val="Header"/>
      <w:jc w:val="right"/>
      <w:rPr>
        <w:rFonts w:cs="Arial"/>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768"/>
    <w:rsid w:val="00061E4D"/>
    <w:rsid w:val="002017F0"/>
    <w:rsid w:val="002219D2"/>
    <w:rsid w:val="00242643"/>
    <w:rsid w:val="00271C95"/>
    <w:rsid w:val="002D169C"/>
    <w:rsid w:val="003535F1"/>
    <w:rsid w:val="00421DE4"/>
    <w:rsid w:val="00482768"/>
    <w:rsid w:val="0059332C"/>
    <w:rsid w:val="007427A4"/>
    <w:rsid w:val="0074509A"/>
    <w:rsid w:val="00777200"/>
    <w:rsid w:val="007B724C"/>
    <w:rsid w:val="008A0804"/>
    <w:rsid w:val="008C5B89"/>
    <w:rsid w:val="008E2973"/>
    <w:rsid w:val="00B228B3"/>
    <w:rsid w:val="00B32407"/>
    <w:rsid w:val="00B50572"/>
    <w:rsid w:val="00B645F4"/>
    <w:rsid w:val="00B65219"/>
    <w:rsid w:val="00D11247"/>
    <w:rsid w:val="00FA1ED3"/>
    <w:rsid w:val="00FB3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bCs/>
        <w:sz w:val="22"/>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768"/>
    <w:pPr>
      <w:widowControl w:val="0"/>
      <w:autoSpaceDE w:val="0"/>
      <w:autoSpaceDN w:val="0"/>
      <w:adjustRightInd w:val="0"/>
    </w:pPr>
    <w:rPr>
      <w:rFonts w:cs="Times New Roman"/>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2768"/>
    <w:pPr>
      <w:tabs>
        <w:tab w:val="center" w:pos="4320"/>
        <w:tab w:val="right" w:pos="8640"/>
      </w:tabs>
    </w:pPr>
  </w:style>
  <w:style w:type="character" w:customStyle="1" w:styleId="HeaderChar">
    <w:name w:val="Header Char"/>
    <w:basedOn w:val="DefaultParagraphFont"/>
    <w:link w:val="Header"/>
    <w:rsid w:val="00482768"/>
    <w:rPr>
      <w:rFonts w:cs="Times New Roman"/>
      <w:bCs w:val="0"/>
    </w:rPr>
  </w:style>
  <w:style w:type="paragraph" w:styleId="Footer">
    <w:name w:val="footer"/>
    <w:basedOn w:val="Normal"/>
    <w:link w:val="FooterChar"/>
    <w:uiPriority w:val="99"/>
    <w:rsid w:val="00482768"/>
    <w:pPr>
      <w:tabs>
        <w:tab w:val="center" w:pos="4320"/>
        <w:tab w:val="right" w:pos="8640"/>
      </w:tabs>
    </w:pPr>
  </w:style>
  <w:style w:type="character" w:customStyle="1" w:styleId="FooterChar">
    <w:name w:val="Footer Char"/>
    <w:basedOn w:val="DefaultParagraphFont"/>
    <w:link w:val="Footer"/>
    <w:uiPriority w:val="99"/>
    <w:rsid w:val="00482768"/>
    <w:rPr>
      <w:rFonts w:cs="Times New Roman"/>
      <w:bCs w:val="0"/>
    </w:rPr>
  </w:style>
  <w:style w:type="character" w:styleId="Hyperlink">
    <w:name w:val="Hyperlink"/>
    <w:rsid w:val="00482768"/>
    <w:rPr>
      <w:color w:val="0000FF"/>
      <w:u w:val="single"/>
    </w:rPr>
  </w:style>
  <w:style w:type="character" w:styleId="FollowedHyperlink">
    <w:name w:val="FollowedHyperlink"/>
    <w:basedOn w:val="DefaultParagraphFont"/>
    <w:uiPriority w:val="99"/>
    <w:semiHidden/>
    <w:unhideWhenUsed/>
    <w:rsid w:val="00B5057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bCs/>
        <w:sz w:val="22"/>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768"/>
    <w:pPr>
      <w:widowControl w:val="0"/>
      <w:autoSpaceDE w:val="0"/>
      <w:autoSpaceDN w:val="0"/>
      <w:adjustRightInd w:val="0"/>
    </w:pPr>
    <w:rPr>
      <w:rFonts w:cs="Times New Roman"/>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2768"/>
    <w:pPr>
      <w:tabs>
        <w:tab w:val="center" w:pos="4320"/>
        <w:tab w:val="right" w:pos="8640"/>
      </w:tabs>
    </w:pPr>
  </w:style>
  <w:style w:type="character" w:customStyle="1" w:styleId="HeaderChar">
    <w:name w:val="Header Char"/>
    <w:basedOn w:val="DefaultParagraphFont"/>
    <w:link w:val="Header"/>
    <w:rsid w:val="00482768"/>
    <w:rPr>
      <w:rFonts w:cs="Times New Roman"/>
      <w:bCs w:val="0"/>
    </w:rPr>
  </w:style>
  <w:style w:type="paragraph" w:styleId="Footer">
    <w:name w:val="footer"/>
    <w:basedOn w:val="Normal"/>
    <w:link w:val="FooterChar"/>
    <w:uiPriority w:val="99"/>
    <w:rsid w:val="00482768"/>
    <w:pPr>
      <w:tabs>
        <w:tab w:val="center" w:pos="4320"/>
        <w:tab w:val="right" w:pos="8640"/>
      </w:tabs>
    </w:pPr>
  </w:style>
  <w:style w:type="character" w:customStyle="1" w:styleId="FooterChar">
    <w:name w:val="Footer Char"/>
    <w:basedOn w:val="DefaultParagraphFont"/>
    <w:link w:val="Footer"/>
    <w:uiPriority w:val="99"/>
    <w:rsid w:val="00482768"/>
    <w:rPr>
      <w:rFonts w:cs="Times New Roman"/>
      <w:bCs w:val="0"/>
    </w:rPr>
  </w:style>
  <w:style w:type="character" w:styleId="Hyperlink">
    <w:name w:val="Hyperlink"/>
    <w:rsid w:val="00482768"/>
    <w:rPr>
      <w:color w:val="0000FF"/>
      <w:u w:val="single"/>
    </w:rPr>
  </w:style>
  <w:style w:type="character" w:styleId="FollowedHyperlink">
    <w:name w:val="FollowedHyperlink"/>
    <w:basedOn w:val="DefaultParagraphFont"/>
    <w:uiPriority w:val="99"/>
    <w:semiHidden/>
    <w:unhideWhenUsed/>
    <w:rsid w:val="00B505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rb.gov/sites/default/files/2017-06/PIA-BPO.pdf"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 RAILROAD RETIREMENT BOARD</Company>
  <LinksUpToDate>false</LinksUpToDate>
  <CharactersWithSpaces>5114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Dana Hickman</dc:creator>
  <cp:lastModifiedBy>SYSTEM</cp:lastModifiedBy>
  <cp:revision>2</cp:revision>
  <cp:lastPrinted>2014-10-24T17:24:00Z</cp:lastPrinted>
  <dcterms:created xsi:type="dcterms:W3CDTF">2018-04-13T20:21:00Z</dcterms:created>
  <dcterms:modified xsi:type="dcterms:W3CDTF">2018-04-13T20:21:00Z</dcterms:modified>
</cp:coreProperties>
</file>