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B04BD2">
        <w:rPr>
          <w:b/>
          <w:bCs/>
          <w:sz w:val="24"/>
          <w:u w:val="single"/>
        </w:rPr>
        <w:t>Supporting Statement – Part B</w:t>
      </w: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B04BD2">
        <w:rPr>
          <w:bCs/>
          <w:sz w:val="24"/>
        </w:rPr>
        <w:t>Collections of Information Employing Statistical Methods</w:t>
      </w: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B04BD2" w:rsidRDefault="00EA6EF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Pr>
          <w:b/>
          <w:sz w:val="24"/>
        </w:rPr>
        <w:t>1.</w:t>
      </w:r>
      <w:r w:rsidR="009C7A4C" w:rsidRPr="00B04BD2">
        <w:rPr>
          <w:b/>
          <w:sz w:val="24"/>
        </w:rPr>
        <w:t xml:space="preserve"> Describe (including a numerical estimate) the potential </w:t>
      </w:r>
      <w:r>
        <w:rPr>
          <w:b/>
          <w:sz w:val="24"/>
        </w:rPr>
        <w:t>respondent universe and any sam</w:t>
      </w:r>
      <w:r w:rsidR="009C7A4C" w:rsidRPr="00B04BD2">
        <w:rPr>
          <w:b/>
          <w:sz w:val="24"/>
        </w:rPr>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A5C3D" w:rsidRDefault="009D45D1" w:rsidP="00E738D4">
      <w:pPr>
        <w:spacing w:before="120" w:after="120"/>
        <w:rPr>
          <w:sz w:val="24"/>
          <w:lang w:bidi="en-US"/>
        </w:rPr>
      </w:pPr>
      <w:r>
        <w:rPr>
          <w:sz w:val="24"/>
        </w:rPr>
        <w:t xml:space="preserve">RELI </w:t>
      </w:r>
      <w:r>
        <w:rPr>
          <w:sz w:val="24"/>
          <w:lang w:bidi="en-US"/>
        </w:rPr>
        <w:t>Group</w:t>
      </w:r>
      <w:r w:rsidR="00E738D4" w:rsidRPr="00B04BD2">
        <w:rPr>
          <w:sz w:val="24"/>
          <w:lang w:bidi="en-US"/>
        </w:rPr>
        <w:t xml:space="preserve"> will randomly sample </w:t>
      </w:r>
      <w:r w:rsidR="00807EC6">
        <w:rPr>
          <w:sz w:val="24"/>
          <w:lang w:bidi="en-US"/>
        </w:rPr>
        <w:t>35</w:t>
      </w:r>
      <w:r w:rsidR="00E738D4" w:rsidRPr="00B04BD2">
        <w:rPr>
          <w:sz w:val="24"/>
          <w:lang w:bidi="en-US"/>
        </w:rPr>
        <w:t xml:space="preserve"> facilities per contract and Quality Incentive Program (QIP) </w:t>
      </w:r>
      <w:r w:rsidR="007F5587">
        <w:rPr>
          <w:sz w:val="24"/>
          <w:lang w:bidi="en-US"/>
        </w:rPr>
        <w:t xml:space="preserve">PY2019 </w:t>
      </w:r>
      <w:r w:rsidR="00E738D4" w:rsidRPr="00B04BD2">
        <w:rPr>
          <w:sz w:val="24"/>
          <w:lang w:bidi="en-US"/>
        </w:rPr>
        <w:t xml:space="preserve">rule guidelines, for participation in the validation project.  </w:t>
      </w:r>
      <w:r w:rsidR="00871A13">
        <w:rPr>
          <w:sz w:val="24"/>
          <w:lang w:bidi="en-US"/>
        </w:rPr>
        <w:t xml:space="preserve">As a random sample, this </w:t>
      </w:r>
      <w:r>
        <w:rPr>
          <w:sz w:val="24"/>
          <w:lang w:bidi="en-US"/>
        </w:rPr>
        <w:t xml:space="preserve">is expected to </w:t>
      </w:r>
      <w:r w:rsidR="00871A13">
        <w:rPr>
          <w:sz w:val="24"/>
          <w:lang w:bidi="en-US"/>
        </w:rPr>
        <w:t xml:space="preserve">be </w:t>
      </w:r>
      <w:r w:rsidR="00C46C1B">
        <w:rPr>
          <w:sz w:val="24"/>
          <w:lang w:bidi="en-US"/>
        </w:rPr>
        <w:t xml:space="preserve">an unbiased </w:t>
      </w:r>
      <w:r>
        <w:rPr>
          <w:sz w:val="24"/>
          <w:lang w:bidi="en-US"/>
        </w:rPr>
        <w:t xml:space="preserve">collection </w:t>
      </w:r>
      <w:r w:rsidR="00871A13">
        <w:rPr>
          <w:sz w:val="24"/>
          <w:lang w:bidi="en-US"/>
        </w:rPr>
        <w:t>of facilities</w:t>
      </w:r>
      <w:r>
        <w:rPr>
          <w:sz w:val="24"/>
          <w:lang w:bidi="en-US"/>
        </w:rPr>
        <w:t>.</w:t>
      </w:r>
      <w:r w:rsidR="00871A13">
        <w:rPr>
          <w:sz w:val="24"/>
          <w:lang w:bidi="en-US"/>
        </w:rPr>
        <w:t xml:space="preserve"> </w:t>
      </w:r>
    </w:p>
    <w:p w:rsidR="006A5C3D" w:rsidRDefault="006A5C3D" w:rsidP="006A5C3D">
      <w:pPr>
        <w:spacing w:before="120" w:after="120"/>
        <w:rPr>
          <w:sz w:val="24"/>
          <w:lang w:bidi="en-US"/>
        </w:rPr>
      </w:pPr>
      <w:r w:rsidRPr="006A5C3D">
        <w:rPr>
          <w:b/>
          <w:sz w:val="24"/>
          <w:lang w:bidi="en-US"/>
        </w:rPr>
        <w:t>Chart 1</w:t>
      </w:r>
      <w:r w:rsidRPr="006A5C3D">
        <w:rPr>
          <w:sz w:val="24"/>
          <w:lang w:bidi="en-US"/>
        </w:rPr>
        <w:t xml:space="preserve"> displays the distribution across the nation of all eligible facilities for each </w:t>
      </w:r>
      <w:r>
        <w:rPr>
          <w:sz w:val="24"/>
          <w:lang w:bidi="en-US"/>
        </w:rPr>
        <w:t xml:space="preserve">CMS assigned </w:t>
      </w:r>
      <w:r w:rsidRPr="006A5C3D">
        <w:rPr>
          <w:sz w:val="24"/>
          <w:lang w:bidi="en-US"/>
        </w:rPr>
        <w:t>Network Number. We use this as a reference to determine whether the randomly selected facilities show a similar distribution pattern.</w:t>
      </w:r>
    </w:p>
    <w:p w:rsidR="00353A37" w:rsidRPr="006A5C3D" w:rsidRDefault="00353A37" w:rsidP="006A5C3D">
      <w:pPr>
        <w:spacing w:before="120" w:after="120"/>
        <w:rPr>
          <w:sz w:val="24"/>
          <w:lang w:bidi="en-US"/>
        </w:rPr>
      </w:pPr>
    </w:p>
    <w:p w:rsidR="006A5C3D" w:rsidRPr="006A5C3D" w:rsidRDefault="006A5C3D" w:rsidP="006A5C3D">
      <w:pPr>
        <w:spacing w:before="120" w:after="120"/>
        <w:rPr>
          <w:b/>
          <w:sz w:val="24"/>
          <w:lang w:bidi="en-US"/>
        </w:rPr>
      </w:pPr>
      <w:r w:rsidRPr="006A5C3D">
        <w:rPr>
          <w:b/>
          <w:sz w:val="24"/>
          <w:lang w:bidi="en-US"/>
        </w:rPr>
        <w:t>Chart 1: Distribution of Eligible Facilities within Network Number</w:t>
      </w:r>
    </w:p>
    <w:p w:rsidR="006A5C3D" w:rsidRPr="006A5C3D" w:rsidRDefault="00CC3F03" w:rsidP="006A5C3D">
      <w:pPr>
        <w:spacing w:before="120" w:after="120"/>
        <w:rPr>
          <w:sz w:val="24"/>
          <w:lang w:bidi="en-US"/>
        </w:rPr>
      </w:pPr>
      <w:r w:rsidRPr="006A5C3D">
        <w:rPr>
          <w:noProof/>
          <w:sz w:val="24"/>
        </w:rPr>
        <w:drawing>
          <wp:inline distT="0" distB="0" distL="0" distR="0" wp14:anchorId="1B090DF4" wp14:editId="45690848">
            <wp:extent cx="5934075" cy="309562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095625"/>
                    </a:xfrm>
                    <a:prstGeom prst="rect">
                      <a:avLst/>
                    </a:prstGeom>
                    <a:noFill/>
                    <a:ln>
                      <a:noFill/>
                    </a:ln>
                  </pic:spPr>
                </pic:pic>
              </a:graphicData>
            </a:graphic>
          </wp:inline>
        </w:drawing>
      </w:r>
    </w:p>
    <w:p w:rsidR="006A5C3D" w:rsidRDefault="006A5C3D" w:rsidP="00E738D4">
      <w:pPr>
        <w:spacing w:before="120" w:after="120"/>
        <w:rPr>
          <w:sz w:val="24"/>
          <w:lang w:bidi="en-US"/>
        </w:rPr>
      </w:pPr>
    </w:p>
    <w:p w:rsidR="003A3BE8" w:rsidRDefault="003A3BE8" w:rsidP="00E738D4">
      <w:pPr>
        <w:spacing w:before="120" w:after="120"/>
        <w:rPr>
          <w:b/>
          <w:sz w:val="24"/>
          <w:lang w:bidi="en-US"/>
        </w:rPr>
      </w:pPr>
    </w:p>
    <w:p w:rsidR="003A3BE8" w:rsidRDefault="003A3BE8" w:rsidP="00E738D4">
      <w:pPr>
        <w:spacing w:before="120" w:after="120"/>
        <w:rPr>
          <w:b/>
          <w:sz w:val="24"/>
          <w:lang w:bidi="en-US"/>
        </w:rPr>
      </w:pPr>
    </w:p>
    <w:p w:rsidR="003A3BE8" w:rsidRDefault="003A3BE8" w:rsidP="00E738D4">
      <w:pPr>
        <w:spacing w:before="120" w:after="120"/>
        <w:rPr>
          <w:b/>
          <w:sz w:val="24"/>
          <w:lang w:bidi="en-US"/>
        </w:rPr>
      </w:pPr>
    </w:p>
    <w:p w:rsidR="003A3BE8" w:rsidRDefault="00353A37" w:rsidP="00E738D4">
      <w:pPr>
        <w:spacing w:before="120" w:after="120"/>
        <w:rPr>
          <w:sz w:val="24"/>
          <w:lang w:bidi="en-US"/>
        </w:rPr>
      </w:pPr>
      <w:r w:rsidRPr="006A5C3D">
        <w:rPr>
          <w:b/>
          <w:sz w:val="24"/>
          <w:lang w:bidi="en-US"/>
        </w:rPr>
        <w:t xml:space="preserve">Chart </w:t>
      </w:r>
      <w:r w:rsidR="003A3BE8">
        <w:rPr>
          <w:b/>
          <w:sz w:val="24"/>
          <w:lang w:bidi="en-US"/>
        </w:rPr>
        <w:t>2</w:t>
      </w:r>
      <w:r w:rsidRPr="006A5C3D">
        <w:rPr>
          <w:sz w:val="24"/>
          <w:lang w:bidi="en-US"/>
        </w:rPr>
        <w:t xml:space="preserve"> </w:t>
      </w:r>
      <w:r w:rsidR="003A3BE8">
        <w:rPr>
          <w:sz w:val="24"/>
          <w:lang w:bidi="en-US"/>
        </w:rPr>
        <w:t>shows</w:t>
      </w:r>
      <w:r w:rsidRPr="006A5C3D">
        <w:rPr>
          <w:sz w:val="24"/>
          <w:lang w:bidi="en-US"/>
        </w:rPr>
        <w:t xml:space="preserve"> the distribution across the nation </w:t>
      </w:r>
      <w:r w:rsidR="00D87560">
        <w:rPr>
          <w:sz w:val="24"/>
          <w:lang w:bidi="en-US"/>
        </w:rPr>
        <w:t>for</w:t>
      </w:r>
      <w:r w:rsidRPr="006A5C3D">
        <w:rPr>
          <w:sz w:val="24"/>
          <w:lang w:bidi="en-US"/>
        </w:rPr>
        <w:t xml:space="preserve"> </w:t>
      </w:r>
      <w:r w:rsidR="003A3BE8">
        <w:rPr>
          <w:sz w:val="24"/>
          <w:lang w:bidi="en-US"/>
        </w:rPr>
        <w:t>the</w:t>
      </w:r>
      <w:r w:rsidRPr="006A5C3D">
        <w:rPr>
          <w:sz w:val="24"/>
          <w:lang w:bidi="en-US"/>
        </w:rPr>
        <w:t xml:space="preserve"> </w:t>
      </w:r>
      <w:r w:rsidR="00D87560">
        <w:rPr>
          <w:sz w:val="24"/>
          <w:lang w:bidi="en-US"/>
        </w:rPr>
        <w:t>selected</w:t>
      </w:r>
      <w:r w:rsidR="003A3BE8">
        <w:rPr>
          <w:sz w:val="24"/>
          <w:lang w:bidi="en-US"/>
        </w:rPr>
        <w:t xml:space="preserve"> </w:t>
      </w:r>
      <w:r w:rsidRPr="006A5C3D">
        <w:rPr>
          <w:sz w:val="24"/>
          <w:lang w:bidi="en-US"/>
        </w:rPr>
        <w:t>facilities</w:t>
      </w:r>
      <w:r w:rsidR="003A3BE8">
        <w:rPr>
          <w:sz w:val="24"/>
          <w:lang w:bidi="en-US"/>
        </w:rPr>
        <w:t>.</w:t>
      </w:r>
    </w:p>
    <w:p w:rsidR="003A3BE8" w:rsidRDefault="00CC3F03" w:rsidP="00E738D4">
      <w:pPr>
        <w:spacing w:before="120" w:after="120"/>
        <w:rPr>
          <w:sz w:val="24"/>
          <w:lang w:bidi="en-US"/>
        </w:rPr>
      </w:pPr>
      <w:r w:rsidRPr="0036479C">
        <w:rPr>
          <w:noProof/>
        </w:rPr>
        <w:drawing>
          <wp:inline distT="0" distB="0" distL="0" distR="0" wp14:anchorId="696F864C" wp14:editId="76801122">
            <wp:extent cx="5943600" cy="33242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24225"/>
                    </a:xfrm>
                    <a:prstGeom prst="rect">
                      <a:avLst/>
                    </a:prstGeom>
                    <a:noFill/>
                    <a:ln>
                      <a:noFill/>
                    </a:ln>
                  </pic:spPr>
                </pic:pic>
              </a:graphicData>
            </a:graphic>
          </wp:inline>
        </w:drawing>
      </w:r>
    </w:p>
    <w:p w:rsidR="00025EA3" w:rsidRDefault="00025EA3" w:rsidP="00E738D4">
      <w:pPr>
        <w:spacing w:before="120" w:after="120"/>
        <w:rPr>
          <w:sz w:val="24"/>
          <w:lang w:bidi="en-US"/>
        </w:rPr>
      </w:pPr>
    </w:p>
    <w:p w:rsidR="00C24419" w:rsidRDefault="00074222" w:rsidP="00E738D4">
      <w:pPr>
        <w:spacing w:before="120" w:after="120"/>
        <w:rPr>
          <w:sz w:val="24"/>
          <w:lang w:bidi="en-US"/>
        </w:rPr>
      </w:pPr>
      <w:r w:rsidRPr="00F76A29">
        <w:rPr>
          <w:b/>
          <w:sz w:val="24"/>
        </w:rPr>
        <w:t xml:space="preserve">Table </w:t>
      </w:r>
      <w:r>
        <w:rPr>
          <w:b/>
          <w:sz w:val="24"/>
          <w:lang w:bidi="en-US"/>
        </w:rPr>
        <w:t>1</w:t>
      </w:r>
      <w:r w:rsidR="00C24419" w:rsidRPr="006A5C3D">
        <w:rPr>
          <w:sz w:val="24"/>
          <w:lang w:bidi="en-US"/>
        </w:rPr>
        <w:t xml:space="preserve"> </w:t>
      </w:r>
      <w:r w:rsidR="00C24419">
        <w:rPr>
          <w:sz w:val="24"/>
          <w:lang w:bidi="en-US"/>
        </w:rPr>
        <w:t>shows</w:t>
      </w:r>
      <w:r w:rsidR="00C24419" w:rsidRPr="006A5C3D">
        <w:rPr>
          <w:sz w:val="24"/>
          <w:lang w:bidi="en-US"/>
        </w:rPr>
        <w:t xml:space="preserve"> the </w:t>
      </w:r>
      <w:r>
        <w:rPr>
          <w:sz w:val="24"/>
          <w:lang w:bidi="en-US"/>
        </w:rPr>
        <w:t xml:space="preserve">sample percentage </w:t>
      </w:r>
      <w:r w:rsidR="00C24419" w:rsidRPr="006A5C3D">
        <w:rPr>
          <w:sz w:val="24"/>
          <w:lang w:bidi="en-US"/>
        </w:rPr>
        <w:t xml:space="preserve">distribution across the nation </w:t>
      </w:r>
      <w:r w:rsidR="00C24419">
        <w:rPr>
          <w:sz w:val="24"/>
          <w:lang w:bidi="en-US"/>
        </w:rPr>
        <w:t>for</w:t>
      </w:r>
      <w:r w:rsidR="00C24419" w:rsidRPr="006A5C3D">
        <w:rPr>
          <w:sz w:val="24"/>
          <w:lang w:bidi="en-US"/>
        </w:rPr>
        <w:t xml:space="preserve"> </w:t>
      </w:r>
      <w:r w:rsidR="00C24419">
        <w:rPr>
          <w:sz w:val="24"/>
          <w:lang w:bidi="en-US"/>
        </w:rPr>
        <w:t>the</w:t>
      </w:r>
      <w:r w:rsidR="00C24419" w:rsidRPr="006A5C3D">
        <w:rPr>
          <w:sz w:val="24"/>
          <w:lang w:bidi="en-US"/>
        </w:rPr>
        <w:t xml:space="preserve"> </w:t>
      </w:r>
      <w:r w:rsidR="00C24419">
        <w:rPr>
          <w:sz w:val="24"/>
          <w:lang w:bidi="en-US"/>
        </w:rPr>
        <w:t xml:space="preserve">selected </w:t>
      </w:r>
      <w:r w:rsidR="00C24419" w:rsidRPr="006A5C3D">
        <w:rPr>
          <w:sz w:val="24"/>
          <w:lang w:bidi="en-US"/>
        </w:rPr>
        <w:t>facilities</w:t>
      </w:r>
      <w:r w:rsidR="00C24419">
        <w:rPr>
          <w:sz w:val="24"/>
          <w:lang w:bidi="en-US"/>
        </w:rPr>
        <w:t>.</w:t>
      </w:r>
    </w:p>
    <w:p w:rsidR="00C24419" w:rsidRDefault="00C24419" w:rsidP="00E738D4">
      <w:pPr>
        <w:spacing w:before="120" w:after="120"/>
        <w:rPr>
          <w:sz w:val="24"/>
          <w:lang w:bidi="en-US"/>
        </w:rPr>
      </w:pPr>
    </w:p>
    <w:p w:rsidR="00495902" w:rsidRPr="00495902" w:rsidRDefault="00495902" w:rsidP="00495902">
      <w:pPr>
        <w:spacing w:before="120" w:after="120"/>
        <w:rPr>
          <w:sz w:val="24"/>
          <w:lang w:bidi="en-US"/>
        </w:rPr>
      </w:pPr>
      <w:r w:rsidRPr="00495902">
        <w:rPr>
          <w:b/>
          <w:bCs/>
          <w:sz w:val="24"/>
          <w:lang w:bidi="en-US"/>
        </w:rPr>
        <w:t xml:space="preserve">Table </w:t>
      </w:r>
      <w:r w:rsidR="00074222">
        <w:rPr>
          <w:b/>
          <w:bCs/>
          <w:sz w:val="24"/>
          <w:lang w:bidi="en-US"/>
        </w:rPr>
        <w:t>1</w:t>
      </w:r>
      <w:r w:rsidRPr="00495902">
        <w:rPr>
          <w:b/>
          <w:bCs/>
          <w:sz w:val="24"/>
          <w:lang w:bidi="en-US"/>
        </w:rPr>
        <w:t>: National Versus Sample Percentage Distribution within Network Number</w:t>
      </w:r>
    </w:p>
    <w:tbl>
      <w:tblPr>
        <w:tblW w:w="8793"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CellMar>
          <w:top w:w="115" w:type="dxa"/>
          <w:left w:w="115" w:type="dxa"/>
          <w:bottom w:w="115" w:type="dxa"/>
          <w:right w:w="115" w:type="dxa"/>
        </w:tblCellMar>
        <w:tblLook w:val="04A0" w:firstRow="1" w:lastRow="0" w:firstColumn="1" w:lastColumn="0" w:noHBand="0" w:noVBand="1"/>
      </w:tblPr>
      <w:tblGrid>
        <w:gridCol w:w="1985"/>
        <w:gridCol w:w="3404"/>
        <w:gridCol w:w="3404"/>
      </w:tblGrid>
      <w:tr w:rsidR="00495902" w:rsidTr="002D2DAA">
        <w:trPr>
          <w:trHeight w:val="378"/>
          <w:tblHeader/>
        </w:trPr>
        <w:tc>
          <w:tcPr>
            <w:tcW w:w="1985" w:type="dxa"/>
            <w:tcBorders>
              <w:bottom w:val="single" w:sz="12" w:space="0" w:color="9CC2E5"/>
            </w:tcBorders>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
                <w:bCs/>
                <w:sz w:val="20"/>
                <w:szCs w:val="20"/>
              </w:rPr>
              <w:t>Network Number</w:t>
            </w:r>
          </w:p>
        </w:tc>
        <w:tc>
          <w:tcPr>
            <w:tcW w:w="3404" w:type="dxa"/>
            <w:tcBorders>
              <w:bottom w:val="single" w:sz="12" w:space="0" w:color="9CC2E5"/>
            </w:tcBorders>
            <w:shd w:val="clear" w:color="auto" w:fill="auto"/>
            <w:vAlign w:val="center"/>
          </w:tcPr>
          <w:p w:rsidR="00495902" w:rsidRPr="002D2DAA" w:rsidRDefault="00495902" w:rsidP="002D2DAA">
            <w:pPr>
              <w:tabs>
                <w:tab w:val="right" w:leader="dot" w:pos="8100"/>
              </w:tabs>
              <w:jc w:val="center"/>
              <w:rPr>
                <w:rFonts w:ascii="Cambria" w:hAnsi="Cambria" w:cs="Arial Unicode MS"/>
                <w:b/>
                <w:bCs/>
                <w:color w:val="000000"/>
                <w:spacing w:val="-5"/>
                <w:szCs w:val="20"/>
                <w:u w:color="000000"/>
              </w:rPr>
            </w:pPr>
            <w:r w:rsidRPr="002D2DAA">
              <w:rPr>
                <w:rFonts w:ascii="Cambria" w:hAnsi="Cambria" w:cs="Arial Unicode MS"/>
                <w:b/>
                <w:bCs/>
                <w:color w:val="000000"/>
                <w:spacing w:val="-5"/>
                <w:szCs w:val="20"/>
                <w:u w:color="000000"/>
              </w:rPr>
              <w:t>National Percentage</w:t>
            </w:r>
          </w:p>
        </w:tc>
        <w:tc>
          <w:tcPr>
            <w:tcW w:w="3404" w:type="dxa"/>
            <w:tcBorders>
              <w:bottom w:val="single" w:sz="12" w:space="0" w:color="9CC2E5"/>
            </w:tcBorders>
            <w:shd w:val="clear" w:color="auto" w:fill="auto"/>
            <w:vAlign w:val="center"/>
          </w:tcPr>
          <w:p w:rsidR="00495902" w:rsidRPr="002D2DAA" w:rsidRDefault="00495902" w:rsidP="002D2DAA">
            <w:pPr>
              <w:pStyle w:val="Body"/>
              <w:tabs>
                <w:tab w:val="right" w:leader="dot" w:pos="8100"/>
              </w:tabs>
              <w:spacing w:after="0" w:line="240" w:lineRule="auto"/>
              <w:jc w:val="center"/>
              <w:rPr>
                <w:rFonts w:ascii="Cambria" w:hAnsi="Cambria"/>
                <w:b/>
                <w:bCs/>
                <w:sz w:val="20"/>
                <w:szCs w:val="20"/>
              </w:rPr>
            </w:pPr>
            <w:r w:rsidRPr="002D2DAA">
              <w:rPr>
                <w:rFonts w:ascii="Cambria" w:hAnsi="Cambria"/>
                <w:b/>
                <w:bCs/>
                <w:sz w:val="20"/>
                <w:szCs w:val="20"/>
              </w:rPr>
              <w:t>Sample Percentage</w:t>
            </w:r>
          </w:p>
        </w:tc>
      </w:tr>
      <w:tr w:rsidR="00495902" w:rsidTr="002D2DAA">
        <w:trPr>
          <w:trHeight w:val="378"/>
        </w:trPr>
        <w:tc>
          <w:tcPr>
            <w:tcW w:w="1985" w:type="dxa"/>
            <w:shd w:val="clear" w:color="auto" w:fill="DEEAF6"/>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3%</w:t>
            </w:r>
          </w:p>
        </w:tc>
        <w:tc>
          <w:tcPr>
            <w:tcW w:w="3404" w:type="dxa"/>
            <w:shd w:val="clear" w:color="auto" w:fill="DEEAF6"/>
            <w:vAlign w:val="center"/>
          </w:tcPr>
          <w:p w:rsidR="00495902" w:rsidRPr="002D2DAA" w:rsidRDefault="008D2DA0" w:rsidP="002D2DAA">
            <w:pPr>
              <w:pStyle w:val="Body"/>
              <w:tabs>
                <w:tab w:val="right" w:leader="dot" w:pos="8100"/>
              </w:tabs>
              <w:spacing w:after="0" w:line="240" w:lineRule="auto"/>
              <w:jc w:val="center"/>
              <w:rPr>
                <w:rFonts w:ascii="Cambria" w:hAnsi="Cambria"/>
                <w:sz w:val="20"/>
                <w:szCs w:val="20"/>
              </w:rPr>
            </w:pPr>
            <w:r w:rsidRPr="002D2DAA">
              <w:rPr>
                <w:rFonts w:ascii="Cambria" w:hAnsi="Cambria"/>
                <w:sz w:val="20"/>
                <w:szCs w:val="20"/>
              </w:rPr>
              <w:t>3</w:t>
            </w:r>
            <w:r w:rsidR="00495902" w:rsidRPr="002D2DAA">
              <w:rPr>
                <w:rFonts w:ascii="Cambria" w:hAnsi="Cambria"/>
                <w:sz w:val="20"/>
                <w:szCs w:val="20"/>
              </w:rPr>
              <w:t>%</w:t>
            </w:r>
          </w:p>
        </w:tc>
      </w:tr>
      <w:tr w:rsidR="00495902" w:rsidTr="002D2DAA">
        <w:trPr>
          <w:trHeight w:val="378"/>
        </w:trPr>
        <w:tc>
          <w:tcPr>
            <w:tcW w:w="1985" w:type="dxa"/>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2</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4%</w:t>
            </w:r>
          </w:p>
        </w:tc>
        <w:tc>
          <w:tcPr>
            <w:tcW w:w="3404" w:type="dxa"/>
            <w:shd w:val="clear" w:color="auto" w:fill="auto"/>
            <w:vAlign w:val="center"/>
          </w:tcPr>
          <w:p w:rsidR="00495902" w:rsidRPr="002D2DAA" w:rsidRDefault="00495902" w:rsidP="002D2DAA">
            <w:pPr>
              <w:pStyle w:val="Body"/>
              <w:tabs>
                <w:tab w:val="right" w:leader="dot" w:pos="8100"/>
              </w:tabs>
              <w:spacing w:after="0" w:line="240" w:lineRule="auto"/>
              <w:jc w:val="center"/>
              <w:rPr>
                <w:rFonts w:ascii="Cambria" w:hAnsi="Cambria"/>
                <w:sz w:val="20"/>
                <w:szCs w:val="20"/>
              </w:rPr>
            </w:pPr>
          </w:p>
        </w:tc>
      </w:tr>
      <w:tr w:rsidR="00495902" w:rsidTr="002D2DAA">
        <w:trPr>
          <w:trHeight w:val="378"/>
        </w:trPr>
        <w:tc>
          <w:tcPr>
            <w:tcW w:w="1985" w:type="dxa"/>
            <w:shd w:val="clear" w:color="auto" w:fill="DEEAF6"/>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3</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3%</w:t>
            </w:r>
          </w:p>
        </w:tc>
        <w:tc>
          <w:tcPr>
            <w:tcW w:w="3404" w:type="dxa"/>
            <w:shd w:val="clear" w:color="auto" w:fill="DEEAF6"/>
            <w:vAlign w:val="center"/>
          </w:tcPr>
          <w:p w:rsidR="00495902" w:rsidRPr="002D2DAA" w:rsidRDefault="00495902" w:rsidP="002D2DAA">
            <w:pPr>
              <w:pStyle w:val="Body"/>
              <w:tabs>
                <w:tab w:val="right" w:leader="dot" w:pos="8100"/>
              </w:tabs>
              <w:spacing w:after="0" w:line="240" w:lineRule="auto"/>
              <w:jc w:val="center"/>
              <w:rPr>
                <w:rFonts w:ascii="Cambria" w:hAnsi="Cambria"/>
                <w:sz w:val="20"/>
                <w:szCs w:val="20"/>
              </w:rPr>
            </w:pPr>
            <w:r w:rsidRPr="002D2DAA">
              <w:rPr>
                <w:rFonts w:ascii="Cambria" w:hAnsi="Cambria"/>
                <w:sz w:val="20"/>
                <w:szCs w:val="20"/>
              </w:rPr>
              <w:t>3%</w:t>
            </w:r>
          </w:p>
        </w:tc>
      </w:tr>
      <w:tr w:rsidR="00495902" w:rsidTr="002D2DAA">
        <w:trPr>
          <w:trHeight w:val="378"/>
        </w:trPr>
        <w:tc>
          <w:tcPr>
            <w:tcW w:w="1985" w:type="dxa"/>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4</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5%</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p>
        </w:tc>
      </w:tr>
      <w:tr w:rsidR="00495902" w:rsidTr="002D2DAA">
        <w:trPr>
          <w:trHeight w:val="378"/>
        </w:trPr>
        <w:tc>
          <w:tcPr>
            <w:tcW w:w="1985" w:type="dxa"/>
            <w:shd w:val="clear" w:color="auto" w:fill="DEEAF6"/>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5</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6%</w:t>
            </w:r>
          </w:p>
        </w:tc>
        <w:tc>
          <w:tcPr>
            <w:tcW w:w="3404" w:type="dxa"/>
            <w:shd w:val="clear" w:color="auto" w:fill="DEEAF6"/>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11</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6</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10%</w:t>
            </w:r>
          </w:p>
        </w:tc>
        <w:tc>
          <w:tcPr>
            <w:tcW w:w="3404" w:type="dxa"/>
            <w:shd w:val="clear" w:color="auto" w:fill="auto"/>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14</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DEEAF6"/>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lastRenderedPageBreak/>
              <w:t>7</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6%</w:t>
            </w:r>
          </w:p>
        </w:tc>
        <w:tc>
          <w:tcPr>
            <w:tcW w:w="3404" w:type="dxa"/>
            <w:shd w:val="clear" w:color="auto" w:fill="DEEAF6"/>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9</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8</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6%</w:t>
            </w:r>
          </w:p>
        </w:tc>
        <w:tc>
          <w:tcPr>
            <w:tcW w:w="3404" w:type="dxa"/>
            <w:shd w:val="clear" w:color="auto" w:fill="auto"/>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3</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DEEAF6"/>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9</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9%</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p>
        </w:tc>
      </w:tr>
      <w:tr w:rsidR="00495902" w:rsidTr="002D2DAA">
        <w:trPr>
          <w:trHeight w:val="378"/>
        </w:trPr>
        <w:tc>
          <w:tcPr>
            <w:tcW w:w="1985" w:type="dxa"/>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10</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4%</w:t>
            </w:r>
          </w:p>
        </w:tc>
        <w:tc>
          <w:tcPr>
            <w:tcW w:w="3404" w:type="dxa"/>
            <w:shd w:val="clear" w:color="auto" w:fill="auto"/>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11</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DEEAF6"/>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11</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7%</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9%</w:t>
            </w:r>
          </w:p>
        </w:tc>
      </w:tr>
      <w:tr w:rsidR="00495902" w:rsidTr="002D2DAA">
        <w:trPr>
          <w:trHeight w:val="378"/>
        </w:trPr>
        <w:tc>
          <w:tcPr>
            <w:tcW w:w="1985" w:type="dxa"/>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12</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5%</w:t>
            </w:r>
          </w:p>
        </w:tc>
        <w:tc>
          <w:tcPr>
            <w:tcW w:w="3404" w:type="dxa"/>
            <w:shd w:val="clear" w:color="auto" w:fill="auto"/>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3</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DEEAF6"/>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13</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5%</w:t>
            </w:r>
          </w:p>
        </w:tc>
        <w:tc>
          <w:tcPr>
            <w:tcW w:w="3404" w:type="dxa"/>
            <w:shd w:val="clear" w:color="auto" w:fill="DEEAF6"/>
            <w:vAlign w:val="center"/>
          </w:tcPr>
          <w:p w:rsidR="00495902" w:rsidRPr="002D2DAA" w:rsidRDefault="008D2DA0" w:rsidP="002D2DAA">
            <w:pPr>
              <w:tabs>
                <w:tab w:val="right" w:leader="dot" w:pos="8100"/>
              </w:tabs>
              <w:jc w:val="center"/>
              <w:rPr>
                <w:rFonts w:ascii="Cambria" w:hAnsi="Cambria"/>
                <w:color w:val="2E74B5"/>
                <w:szCs w:val="20"/>
              </w:rPr>
            </w:pPr>
            <w:r w:rsidRPr="00CC3F03">
              <w:rPr>
                <w:rFonts w:ascii="Cambria" w:hAnsi="Cambria" w:cs="Arial Unicode MS"/>
                <w:color w:val="000000"/>
                <w:spacing w:val="-5"/>
                <w:szCs w:val="20"/>
                <w:u w:color="000000"/>
              </w:rPr>
              <w:t>9%</w:t>
            </w:r>
          </w:p>
        </w:tc>
      </w:tr>
      <w:tr w:rsidR="00495902" w:rsidTr="002D2DAA">
        <w:trPr>
          <w:trHeight w:val="378"/>
        </w:trPr>
        <w:tc>
          <w:tcPr>
            <w:tcW w:w="1985" w:type="dxa"/>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14</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9%</w:t>
            </w:r>
          </w:p>
        </w:tc>
        <w:tc>
          <w:tcPr>
            <w:tcW w:w="3404" w:type="dxa"/>
            <w:shd w:val="clear" w:color="auto" w:fill="auto"/>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9</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DEEAF6"/>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15</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5%</w:t>
            </w:r>
          </w:p>
        </w:tc>
        <w:tc>
          <w:tcPr>
            <w:tcW w:w="3404" w:type="dxa"/>
            <w:shd w:val="clear" w:color="auto" w:fill="DEEAF6"/>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3</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16</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3%</w:t>
            </w:r>
          </w:p>
        </w:tc>
        <w:tc>
          <w:tcPr>
            <w:tcW w:w="3404" w:type="dxa"/>
            <w:shd w:val="clear" w:color="auto" w:fill="auto"/>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6</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DEEAF6"/>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17</w:t>
            </w:r>
          </w:p>
        </w:tc>
        <w:tc>
          <w:tcPr>
            <w:tcW w:w="3404" w:type="dxa"/>
            <w:shd w:val="clear" w:color="auto" w:fill="DEEAF6"/>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4%</w:t>
            </w:r>
          </w:p>
        </w:tc>
        <w:tc>
          <w:tcPr>
            <w:tcW w:w="3404" w:type="dxa"/>
            <w:shd w:val="clear" w:color="auto" w:fill="DEEAF6"/>
            <w:vAlign w:val="center"/>
          </w:tcPr>
          <w:p w:rsidR="00495902" w:rsidRPr="002D2DAA" w:rsidRDefault="008D2DA0"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9</w:t>
            </w:r>
            <w:r w:rsidR="00495902" w:rsidRPr="002D2DAA">
              <w:rPr>
                <w:rFonts w:ascii="Cambria" w:hAnsi="Cambria" w:cs="Arial Unicode MS"/>
                <w:color w:val="000000"/>
                <w:spacing w:val="-5"/>
                <w:szCs w:val="20"/>
                <w:u w:color="000000"/>
              </w:rPr>
              <w:t>%</w:t>
            </w:r>
          </w:p>
        </w:tc>
      </w:tr>
      <w:tr w:rsidR="00495902" w:rsidTr="002D2DAA">
        <w:trPr>
          <w:trHeight w:val="378"/>
        </w:trPr>
        <w:tc>
          <w:tcPr>
            <w:tcW w:w="1985" w:type="dxa"/>
            <w:shd w:val="clear" w:color="auto" w:fill="auto"/>
            <w:vAlign w:val="center"/>
          </w:tcPr>
          <w:p w:rsidR="00495902" w:rsidRPr="002D2DAA" w:rsidRDefault="00495902" w:rsidP="002D2DAA">
            <w:pPr>
              <w:pStyle w:val="Body"/>
              <w:spacing w:after="0" w:line="240" w:lineRule="auto"/>
              <w:jc w:val="center"/>
              <w:rPr>
                <w:rFonts w:ascii="Cambria" w:hAnsi="Cambria"/>
                <w:b/>
                <w:bCs/>
                <w:sz w:val="20"/>
                <w:szCs w:val="20"/>
              </w:rPr>
            </w:pPr>
            <w:r w:rsidRPr="002D2DAA">
              <w:rPr>
                <w:rFonts w:ascii="Cambria" w:hAnsi="Cambria"/>
                <w:bCs/>
                <w:sz w:val="20"/>
                <w:szCs w:val="20"/>
              </w:rPr>
              <w:t>18</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r w:rsidRPr="002D2DAA">
              <w:rPr>
                <w:rFonts w:ascii="Cambria" w:hAnsi="Cambria" w:cs="Arial Unicode MS"/>
                <w:color w:val="000000"/>
                <w:spacing w:val="-5"/>
                <w:szCs w:val="20"/>
                <w:u w:color="000000"/>
              </w:rPr>
              <w:t>6%</w:t>
            </w:r>
          </w:p>
        </w:tc>
        <w:tc>
          <w:tcPr>
            <w:tcW w:w="3404" w:type="dxa"/>
            <w:shd w:val="clear" w:color="auto" w:fill="auto"/>
            <w:vAlign w:val="center"/>
          </w:tcPr>
          <w:p w:rsidR="00495902" w:rsidRPr="002D2DAA" w:rsidRDefault="00495902" w:rsidP="002D2DAA">
            <w:pPr>
              <w:tabs>
                <w:tab w:val="right" w:leader="dot" w:pos="8100"/>
              </w:tabs>
              <w:jc w:val="center"/>
              <w:rPr>
                <w:rFonts w:ascii="Cambria" w:hAnsi="Cambria"/>
                <w:color w:val="2E74B5"/>
                <w:szCs w:val="20"/>
              </w:rPr>
            </w:pPr>
          </w:p>
        </w:tc>
      </w:tr>
    </w:tbl>
    <w:p w:rsidR="00495902" w:rsidRPr="00F76A29" w:rsidRDefault="00495902" w:rsidP="00495902">
      <w:pPr>
        <w:spacing w:before="120" w:after="120"/>
        <w:rPr>
          <w:b/>
          <w:sz w:val="24"/>
        </w:rPr>
      </w:pPr>
    </w:p>
    <w:p w:rsidR="00025EA3" w:rsidRDefault="00495902" w:rsidP="00495902">
      <w:pPr>
        <w:spacing w:before="120" w:after="120"/>
        <w:rPr>
          <w:sz w:val="24"/>
          <w:lang w:bidi="en-US"/>
        </w:rPr>
      </w:pPr>
      <w:r w:rsidRPr="00495902">
        <w:rPr>
          <w:sz w:val="24"/>
          <w:lang w:bidi="en-US"/>
        </w:rPr>
        <w:t>We conclude that the requirement to randomly select facilities has been met</w:t>
      </w:r>
      <w:r w:rsidR="00074222">
        <w:rPr>
          <w:sz w:val="24"/>
          <w:lang w:bidi="en-US"/>
        </w:rPr>
        <w:t>.</w:t>
      </w:r>
    </w:p>
    <w:p w:rsidR="00E738D4" w:rsidRPr="00B04BD2" w:rsidRDefault="00E738D4" w:rsidP="00E738D4">
      <w:pPr>
        <w:spacing w:before="120" w:after="120"/>
        <w:rPr>
          <w:sz w:val="24"/>
          <w:lang w:bidi="en-US"/>
        </w:rPr>
      </w:pPr>
      <w:r w:rsidRPr="00B04BD2">
        <w:rPr>
          <w:sz w:val="24"/>
          <w:lang w:bidi="en-US"/>
        </w:rPr>
        <w:t>The sample pool consist</w:t>
      </w:r>
      <w:r w:rsidR="00074222">
        <w:rPr>
          <w:sz w:val="24"/>
          <w:lang w:bidi="en-US"/>
        </w:rPr>
        <w:t>s</w:t>
      </w:r>
      <w:r w:rsidRPr="00B04BD2">
        <w:rPr>
          <w:sz w:val="24"/>
          <w:lang w:bidi="en-US"/>
        </w:rPr>
        <w:t xml:space="preserve"> of Medicare-certified dialysis facilities that are required to submit administrative and clinical data into CROWNWeb to meet Section 494.108(h) of the 2008 updated Conditions for Coverage for ESRD Dialysis Facilities. The </w:t>
      </w:r>
      <w:r w:rsidR="00807EC6">
        <w:rPr>
          <w:sz w:val="24"/>
          <w:lang w:bidi="en-US"/>
        </w:rPr>
        <w:t>35</w:t>
      </w:r>
      <w:r w:rsidR="00807EC6" w:rsidRPr="00B04BD2">
        <w:rPr>
          <w:sz w:val="24"/>
          <w:lang w:bidi="en-US"/>
        </w:rPr>
        <w:t xml:space="preserve"> </w:t>
      </w:r>
      <w:r w:rsidRPr="00B04BD2">
        <w:rPr>
          <w:sz w:val="24"/>
          <w:lang w:bidi="en-US"/>
        </w:rPr>
        <w:t>facilities w</w:t>
      </w:r>
      <w:r w:rsidR="00074222">
        <w:rPr>
          <w:sz w:val="24"/>
          <w:lang w:bidi="en-US"/>
        </w:rPr>
        <w:t>ere</w:t>
      </w:r>
      <w:r w:rsidRPr="00B04BD2">
        <w:rPr>
          <w:sz w:val="24"/>
          <w:lang w:bidi="en-US"/>
        </w:rPr>
        <w:t xml:space="preserve"> asked to submit records that will be validated for NHSN dialysis event elements. The patient sample size is limited to 10 patients per facility, as per contract and QIP rule guidelines. </w:t>
      </w:r>
      <w:r w:rsidR="0036726F">
        <w:rPr>
          <w:sz w:val="24"/>
          <w:lang w:bidi="en-US"/>
        </w:rPr>
        <w:t>T</w:t>
      </w:r>
      <w:r w:rsidR="002B6C05" w:rsidRPr="002B6C05">
        <w:rPr>
          <w:sz w:val="24"/>
          <w:lang w:bidi="en-US"/>
        </w:rPr>
        <w:t>he response rate fo</w:t>
      </w:r>
      <w:r w:rsidR="002B6C05">
        <w:rPr>
          <w:sz w:val="24"/>
          <w:lang w:bidi="en-US"/>
        </w:rPr>
        <w:t>r the 201</w:t>
      </w:r>
      <w:r w:rsidR="000530ED">
        <w:rPr>
          <w:sz w:val="24"/>
          <w:lang w:bidi="en-US"/>
        </w:rPr>
        <w:t>7</w:t>
      </w:r>
      <w:r w:rsidR="002B6C05" w:rsidRPr="002B6C05">
        <w:rPr>
          <w:sz w:val="24"/>
          <w:lang w:bidi="en-US"/>
        </w:rPr>
        <w:t xml:space="preserve"> validation study </w:t>
      </w:r>
      <w:r w:rsidR="000530ED">
        <w:rPr>
          <w:sz w:val="24"/>
          <w:lang w:bidi="en-US"/>
        </w:rPr>
        <w:t>is</w:t>
      </w:r>
      <w:r w:rsidR="000530ED" w:rsidRPr="002B6C05">
        <w:rPr>
          <w:sz w:val="24"/>
          <w:lang w:bidi="en-US"/>
        </w:rPr>
        <w:t xml:space="preserve"> </w:t>
      </w:r>
      <w:r w:rsidR="000530ED">
        <w:rPr>
          <w:sz w:val="24"/>
          <w:lang w:bidi="en-US"/>
        </w:rPr>
        <w:t>89</w:t>
      </w:r>
      <w:r w:rsidR="0036726F">
        <w:rPr>
          <w:sz w:val="24"/>
          <w:lang w:bidi="en-US"/>
        </w:rPr>
        <w:t>%</w:t>
      </w:r>
      <w:r w:rsidR="00074222">
        <w:rPr>
          <w:sz w:val="24"/>
          <w:lang w:bidi="en-US"/>
        </w:rPr>
        <w:t>.</w:t>
      </w:r>
    </w:p>
    <w:p w:rsidR="00E738D4" w:rsidRPr="00B04BD2" w:rsidRDefault="00E738D4" w:rsidP="00E738D4">
      <w:pPr>
        <w:pStyle w:val="11ASTHeading2"/>
        <w:rPr>
          <w:rFonts w:ascii="Times New Roman" w:hAnsi="Times New Roman"/>
          <w:sz w:val="24"/>
          <w:szCs w:val="24"/>
        </w:rPr>
      </w:pPr>
      <w:bookmarkStart w:id="1" w:name="_Toc433189955"/>
      <w:r w:rsidRPr="00B04BD2">
        <w:rPr>
          <w:rFonts w:ascii="Times New Roman" w:hAnsi="Times New Roman"/>
          <w:sz w:val="24"/>
          <w:szCs w:val="24"/>
        </w:rPr>
        <w:t>Sample Size Estimates</w:t>
      </w:r>
      <w:bookmarkEnd w:id="1"/>
    </w:p>
    <w:p w:rsidR="00E738D4" w:rsidRPr="00B04BD2" w:rsidRDefault="00025A3E" w:rsidP="00CC3F03">
      <w:pPr>
        <w:spacing w:before="120" w:after="120"/>
        <w:rPr>
          <w:sz w:val="24"/>
        </w:rPr>
      </w:pPr>
      <w:r w:rsidRPr="00025A3E">
        <w:rPr>
          <w:sz w:val="24"/>
          <w:lang w:bidi="en-US"/>
        </w:rPr>
        <w:t>We segment</w:t>
      </w:r>
      <w:r w:rsidR="00453AF1">
        <w:rPr>
          <w:sz w:val="24"/>
          <w:lang w:bidi="en-US"/>
        </w:rPr>
        <w:t>ed</w:t>
      </w:r>
      <w:r w:rsidRPr="00025A3E">
        <w:rPr>
          <w:sz w:val="24"/>
          <w:lang w:bidi="en-US"/>
        </w:rPr>
        <w:t xml:space="preserve"> facilities by CMS assigned Network Number and by affiliation</w:t>
      </w:r>
      <w:r w:rsidR="00453AF1">
        <w:rPr>
          <w:sz w:val="24"/>
          <w:lang w:bidi="en-US"/>
        </w:rPr>
        <w:t xml:space="preserve"> in the 2017 study</w:t>
      </w:r>
      <w:r w:rsidRPr="00025A3E">
        <w:rPr>
          <w:sz w:val="24"/>
          <w:lang w:bidi="en-US"/>
        </w:rPr>
        <w:t>. There are 18 unique Network Numbers that group facilities largely by geographical region</w:t>
      </w:r>
      <w:r>
        <w:rPr>
          <w:sz w:val="24"/>
          <w:lang w:bidi="en-US"/>
        </w:rPr>
        <w:t xml:space="preserve"> as shown in </w:t>
      </w:r>
      <w:r w:rsidRPr="00CC3F03">
        <w:rPr>
          <w:b/>
          <w:sz w:val="24"/>
          <w:lang w:bidi="en-US"/>
        </w:rPr>
        <w:t>Chart 1</w:t>
      </w:r>
      <w:r>
        <w:rPr>
          <w:sz w:val="24"/>
          <w:lang w:bidi="en-US"/>
        </w:rPr>
        <w:t>.</w:t>
      </w:r>
      <w:r w:rsidR="0080491C">
        <w:rPr>
          <w:sz w:val="24"/>
          <w:lang w:bidi="en-US"/>
        </w:rPr>
        <w:t xml:space="preserve"> </w:t>
      </w:r>
      <w:r w:rsidR="00453AF1" w:rsidRPr="00CC3F03">
        <w:rPr>
          <w:b/>
          <w:sz w:val="24"/>
          <w:lang w:bidi="en-US"/>
        </w:rPr>
        <w:t>Table 1</w:t>
      </w:r>
      <w:r w:rsidR="00453AF1">
        <w:rPr>
          <w:sz w:val="24"/>
          <w:lang w:bidi="en-US"/>
        </w:rPr>
        <w:t xml:space="preserve"> shows the sample size distribution according to Network Number. </w:t>
      </w:r>
      <w:bookmarkStart w:id="2" w:name="Table1"/>
      <w:bookmarkStart w:id="3" w:name="Table2"/>
      <w:bookmarkEnd w:id="2"/>
      <w:bookmarkEnd w:id="3"/>
      <w:r w:rsidR="003A5008" w:rsidRPr="003A5008">
        <w:rPr>
          <w:sz w:val="24"/>
          <w:lang w:bidi="en-US"/>
        </w:rPr>
        <w:t xml:space="preserve">Some smaller facilities may have fewer than 10 patients treated for the period; in these cases, the facilities will submit records for all the patients treated at the facility during the study period for validation. If there are not 10 patients with dialysis events for a facility, </w:t>
      </w:r>
      <w:r w:rsidR="00453AF1">
        <w:rPr>
          <w:sz w:val="24"/>
          <w:lang w:bidi="en-US"/>
        </w:rPr>
        <w:t>the facility</w:t>
      </w:r>
      <w:r w:rsidR="003A5008" w:rsidRPr="003A5008">
        <w:rPr>
          <w:sz w:val="24"/>
          <w:lang w:bidi="en-US"/>
        </w:rPr>
        <w:t xml:space="preserve"> will pull a random sample from the general pool of patients at the facility</w:t>
      </w:r>
      <w:r w:rsidR="00453AF1">
        <w:rPr>
          <w:sz w:val="24"/>
          <w:lang w:bidi="en-US"/>
        </w:rPr>
        <w:t xml:space="preserve"> to result in selecting a total of 10 patients</w:t>
      </w:r>
      <w:r w:rsidR="003A5008" w:rsidRPr="003A5008">
        <w:rPr>
          <w:sz w:val="24"/>
          <w:lang w:bidi="en-US"/>
        </w:rPr>
        <w:t xml:space="preserve">. The random sample of patients will allow for an examination of possible underreporting of dialysis events in the NHSN system. </w:t>
      </w:r>
      <w:bookmarkStart w:id="4" w:name="Table3"/>
      <w:bookmarkEnd w:id="4"/>
    </w:p>
    <w:p w:rsidR="00E738D4" w:rsidRPr="00B04BD2" w:rsidRDefault="00E738D4" w:rsidP="00E738D4">
      <w:pPr>
        <w:pStyle w:val="11ASTHeading2"/>
        <w:ind w:left="576" w:hanging="576"/>
        <w:rPr>
          <w:rFonts w:ascii="Times New Roman" w:hAnsi="Times New Roman"/>
          <w:sz w:val="24"/>
          <w:szCs w:val="24"/>
        </w:rPr>
      </w:pPr>
      <w:bookmarkStart w:id="5" w:name="_Toc433189956"/>
      <w:r w:rsidRPr="00B04BD2">
        <w:rPr>
          <w:rFonts w:ascii="Times New Roman" w:hAnsi="Times New Roman"/>
          <w:sz w:val="24"/>
          <w:szCs w:val="24"/>
        </w:rPr>
        <w:t>Sampling Time</w:t>
      </w:r>
      <w:r w:rsidR="00780DDD">
        <w:rPr>
          <w:rFonts w:ascii="Times New Roman" w:hAnsi="Times New Roman"/>
          <w:sz w:val="24"/>
          <w:szCs w:val="24"/>
        </w:rPr>
        <w:t xml:space="preserve"> F</w:t>
      </w:r>
      <w:r w:rsidRPr="00B04BD2">
        <w:rPr>
          <w:rFonts w:ascii="Times New Roman" w:hAnsi="Times New Roman"/>
          <w:sz w:val="24"/>
          <w:szCs w:val="24"/>
        </w:rPr>
        <w:t>rame</w:t>
      </w:r>
      <w:bookmarkEnd w:id="5"/>
    </w:p>
    <w:p w:rsidR="00F21583" w:rsidRDefault="00F21583" w:rsidP="00E738D4">
      <w:pPr>
        <w:spacing w:before="120" w:line="276" w:lineRule="auto"/>
        <w:rPr>
          <w:bCs/>
          <w:sz w:val="24"/>
          <w:lang w:bidi="en-US"/>
        </w:rPr>
      </w:pPr>
      <w:r>
        <w:rPr>
          <w:bCs/>
          <w:sz w:val="24"/>
          <w:lang w:bidi="en-US"/>
        </w:rPr>
        <w:t>In consultation with CDC, RELI agreed to carry out the following steps.</w:t>
      </w:r>
    </w:p>
    <w:p w:rsidR="00F21583" w:rsidRPr="00F21583" w:rsidRDefault="00F21583" w:rsidP="00F21583">
      <w:pPr>
        <w:spacing w:before="120" w:line="276" w:lineRule="auto"/>
        <w:rPr>
          <w:bCs/>
          <w:sz w:val="24"/>
          <w:lang w:bidi="en-US"/>
        </w:rPr>
      </w:pPr>
      <w:r w:rsidRPr="00F21583">
        <w:rPr>
          <w:b/>
          <w:bCs/>
          <w:sz w:val="24"/>
          <w:lang w:bidi="en-US"/>
        </w:rPr>
        <w:t>Step 1</w:t>
      </w:r>
      <w:r w:rsidRPr="00F21583">
        <w:rPr>
          <w:bCs/>
          <w:sz w:val="24"/>
          <w:lang w:bidi="en-US"/>
        </w:rPr>
        <w:t xml:space="preserve">: RELI will provide CDC with a line list of patient medical charts reviewed with data on variables listed in </w:t>
      </w:r>
      <w:r w:rsidRPr="00CC3F03">
        <w:rPr>
          <w:b/>
          <w:bCs/>
          <w:sz w:val="24"/>
          <w:lang w:bidi="en-US"/>
        </w:rPr>
        <w:t xml:space="preserve">Table </w:t>
      </w:r>
      <w:r w:rsidR="00C054D3">
        <w:rPr>
          <w:b/>
          <w:bCs/>
          <w:sz w:val="24"/>
          <w:lang w:bidi="en-US"/>
        </w:rPr>
        <w:t>2</w:t>
      </w:r>
      <w:r w:rsidRPr="00F21583">
        <w:rPr>
          <w:bCs/>
          <w:sz w:val="24"/>
          <w:lang w:bidi="en-US"/>
        </w:rPr>
        <w:t>. Data should be provided in MS Office Excel format.</w:t>
      </w:r>
    </w:p>
    <w:p w:rsidR="00F21583" w:rsidRPr="00F21583" w:rsidRDefault="00F21583" w:rsidP="00F21583">
      <w:pPr>
        <w:spacing w:before="120" w:line="276" w:lineRule="auto"/>
        <w:rPr>
          <w:bCs/>
          <w:sz w:val="24"/>
          <w:lang w:bidi="en-US"/>
        </w:rPr>
      </w:pPr>
      <w:r w:rsidRPr="00F21583">
        <w:rPr>
          <w:bCs/>
          <w:sz w:val="24"/>
          <w:lang w:bidi="en-US"/>
        </w:rPr>
        <w:t>1a. Test File Data transmission: To conduct a test of the cross-match process, RELI will send a test file to CDC on or before COB May 15, 2018. This test file should include a minimum of 5 observations with a positive blood culture and 5 observations from patients with no positive blood culture from the completed chart reviews.</w:t>
      </w:r>
    </w:p>
    <w:p w:rsidR="00F21583" w:rsidRPr="00F21583" w:rsidRDefault="00F21583" w:rsidP="00F21583">
      <w:pPr>
        <w:spacing w:before="120" w:line="276" w:lineRule="auto"/>
        <w:rPr>
          <w:bCs/>
          <w:sz w:val="24"/>
          <w:lang w:bidi="en-US"/>
        </w:rPr>
      </w:pPr>
      <w:r w:rsidRPr="00F21583">
        <w:rPr>
          <w:bCs/>
          <w:sz w:val="24"/>
          <w:lang w:bidi="en-US"/>
        </w:rPr>
        <w:t>-          Data will be transmitted via QualityNet</w:t>
      </w:r>
    </w:p>
    <w:p w:rsidR="00F21583" w:rsidRPr="00F21583" w:rsidRDefault="00F21583" w:rsidP="00F21583">
      <w:pPr>
        <w:spacing w:before="120" w:line="276" w:lineRule="auto"/>
        <w:rPr>
          <w:bCs/>
          <w:sz w:val="24"/>
          <w:lang w:bidi="en-US"/>
        </w:rPr>
      </w:pPr>
      <w:r w:rsidRPr="00F21583">
        <w:rPr>
          <w:bCs/>
          <w:sz w:val="24"/>
          <w:lang w:bidi="en-US"/>
        </w:rPr>
        <w:t>o   RELI sender: Khalil Abdul-Rahman</w:t>
      </w:r>
    </w:p>
    <w:p w:rsidR="00F21583" w:rsidRPr="00F21583" w:rsidRDefault="00F21583" w:rsidP="00F21583">
      <w:pPr>
        <w:spacing w:before="120" w:line="276" w:lineRule="auto"/>
        <w:rPr>
          <w:bCs/>
          <w:sz w:val="24"/>
          <w:lang w:bidi="en-US"/>
        </w:rPr>
      </w:pPr>
      <w:r w:rsidRPr="00F21583">
        <w:rPr>
          <w:bCs/>
          <w:sz w:val="24"/>
          <w:lang w:bidi="en-US"/>
        </w:rPr>
        <w:t>o   CDC recipient: Preeti Ravindhran</w:t>
      </w:r>
    </w:p>
    <w:p w:rsidR="00F21583" w:rsidRPr="00F21583" w:rsidRDefault="00F21583" w:rsidP="00F21583">
      <w:pPr>
        <w:spacing w:before="120" w:line="276" w:lineRule="auto"/>
        <w:rPr>
          <w:bCs/>
          <w:sz w:val="24"/>
          <w:lang w:bidi="en-US"/>
        </w:rPr>
      </w:pPr>
      <w:r w:rsidRPr="00F21583">
        <w:rPr>
          <w:bCs/>
          <w:sz w:val="24"/>
          <w:lang w:bidi="en-US"/>
        </w:rPr>
        <w:t xml:space="preserve">-          Data will be transmitted from RELI to CDC on or before COB May 15, 2018. CDC Recipient (Preeti Ravindhran) will conduct the test cross-match, complete the excel template and provide any necessary edits to the template to RELI by June 1, 2018. </w:t>
      </w:r>
    </w:p>
    <w:p w:rsidR="00F21583" w:rsidRPr="00F21583" w:rsidRDefault="00F21583" w:rsidP="00F21583">
      <w:pPr>
        <w:spacing w:before="120" w:line="276" w:lineRule="auto"/>
        <w:rPr>
          <w:bCs/>
          <w:sz w:val="24"/>
          <w:lang w:bidi="en-US"/>
        </w:rPr>
      </w:pPr>
      <w:r w:rsidRPr="00F21583">
        <w:rPr>
          <w:bCs/>
          <w:sz w:val="24"/>
          <w:lang w:bidi="en-US"/>
        </w:rPr>
        <w:t>1b. Complete cross-match file transmission: The final line list of positive blood cultures and patient information for the NHSN cross match will be sent by the RELI group to CDC. This will include all the positive blood cultures in the charts reviewed for the validation of CY 2017/PY 2019</w:t>
      </w:r>
      <w:r>
        <w:rPr>
          <w:bCs/>
          <w:sz w:val="24"/>
          <w:lang w:bidi="en-US"/>
        </w:rPr>
        <w:t>.</w:t>
      </w:r>
    </w:p>
    <w:p w:rsidR="00F21583" w:rsidRPr="00F21583" w:rsidRDefault="00F21583" w:rsidP="00F21583">
      <w:pPr>
        <w:spacing w:before="120" w:line="276" w:lineRule="auto"/>
        <w:rPr>
          <w:bCs/>
          <w:sz w:val="24"/>
          <w:lang w:bidi="en-US"/>
        </w:rPr>
      </w:pPr>
      <w:r w:rsidRPr="00F21583">
        <w:rPr>
          <w:bCs/>
          <w:sz w:val="24"/>
          <w:lang w:bidi="en-US"/>
        </w:rPr>
        <w:t>-          Data will be transmitted via QualityNet</w:t>
      </w:r>
    </w:p>
    <w:p w:rsidR="00F21583" w:rsidRPr="00F21583" w:rsidRDefault="00F21583" w:rsidP="00F21583">
      <w:pPr>
        <w:spacing w:before="120" w:line="276" w:lineRule="auto"/>
        <w:rPr>
          <w:bCs/>
          <w:sz w:val="24"/>
          <w:lang w:bidi="en-US"/>
        </w:rPr>
      </w:pPr>
      <w:r w:rsidRPr="00F21583">
        <w:rPr>
          <w:bCs/>
          <w:sz w:val="24"/>
          <w:lang w:bidi="en-US"/>
        </w:rPr>
        <w:t>o   RELI sender: Khalil Abdul-Rahman</w:t>
      </w:r>
    </w:p>
    <w:p w:rsidR="00F21583" w:rsidRPr="00F21583" w:rsidRDefault="00F21583" w:rsidP="00F21583">
      <w:pPr>
        <w:spacing w:before="120" w:line="276" w:lineRule="auto"/>
        <w:rPr>
          <w:bCs/>
          <w:sz w:val="24"/>
          <w:lang w:bidi="en-US"/>
        </w:rPr>
      </w:pPr>
      <w:r w:rsidRPr="00F21583">
        <w:rPr>
          <w:bCs/>
          <w:sz w:val="24"/>
          <w:lang w:bidi="en-US"/>
        </w:rPr>
        <w:t>o   CDC recipient: Preeti Ravindhran</w:t>
      </w:r>
    </w:p>
    <w:p w:rsidR="00F21583" w:rsidRPr="00F21583" w:rsidRDefault="00F21583" w:rsidP="00F21583">
      <w:pPr>
        <w:spacing w:before="120" w:line="276" w:lineRule="auto"/>
        <w:rPr>
          <w:bCs/>
          <w:sz w:val="24"/>
          <w:lang w:bidi="en-US"/>
        </w:rPr>
      </w:pPr>
      <w:r w:rsidRPr="00F21583">
        <w:rPr>
          <w:bCs/>
          <w:sz w:val="24"/>
          <w:lang w:bidi="en-US"/>
        </w:rPr>
        <w:t xml:space="preserve">-          Data will be transmitted from RELI to CDC on or before COB June 22, 2018. </w:t>
      </w:r>
    </w:p>
    <w:p w:rsidR="00F21583" w:rsidRPr="00CC3F03" w:rsidRDefault="00F21583" w:rsidP="00F21583">
      <w:pPr>
        <w:spacing w:before="120" w:line="276" w:lineRule="auto"/>
        <w:rPr>
          <w:b/>
          <w:bCs/>
          <w:sz w:val="24"/>
          <w:lang w:bidi="en-US"/>
        </w:rPr>
      </w:pPr>
      <w:r w:rsidRPr="00F21583">
        <w:rPr>
          <w:b/>
          <w:bCs/>
          <w:sz w:val="24"/>
          <w:lang w:bidi="en-US"/>
        </w:rPr>
        <w:t>Step 2</w:t>
      </w:r>
      <w:r w:rsidRPr="00F21583">
        <w:rPr>
          <w:bCs/>
          <w:sz w:val="24"/>
          <w:lang w:bidi="en-US"/>
        </w:rPr>
        <w:t xml:space="preserve">: CDC will conduct the cross match of the line list provided by RELI with positive blood cultures entered in NHSN. The list of return variables from cross-match analysis are listed in </w:t>
      </w:r>
      <w:r w:rsidRPr="00CC3F03">
        <w:rPr>
          <w:b/>
          <w:bCs/>
          <w:sz w:val="24"/>
          <w:lang w:bidi="en-US"/>
        </w:rPr>
        <w:t xml:space="preserve">Table </w:t>
      </w:r>
      <w:r w:rsidR="00C054D3">
        <w:rPr>
          <w:b/>
          <w:bCs/>
          <w:sz w:val="24"/>
          <w:lang w:bidi="en-US"/>
        </w:rPr>
        <w:t>3</w:t>
      </w:r>
      <w:r w:rsidRPr="00F21583">
        <w:rPr>
          <w:bCs/>
          <w:sz w:val="24"/>
          <w:lang w:bidi="en-US"/>
        </w:rPr>
        <w:t>.  </w:t>
      </w:r>
    </w:p>
    <w:p w:rsidR="00F21583" w:rsidRPr="00F21583" w:rsidRDefault="00F21583" w:rsidP="00F21583">
      <w:pPr>
        <w:spacing w:before="120" w:line="276" w:lineRule="auto"/>
        <w:rPr>
          <w:bCs/>
          <w:sz w:val="24"/>
          <w:lang w:bidi="en-US"/>
        </w:rPr>
      </w:pPr>
      <w:r w:rsidRPr="00F21583">
        <w:rPr>
          <w:bCs/>
          <w:sz w:val="24"/>
          <w:lang w:bidi="en-US"/>
        </w:rPr>
        <w:t>Data transmission</w:t>
      </w:r>
    </w:p>
    <w:p w:rsidR="00F21583" w:rsidRPr="00F21583" w:rsidRDefault="00F21583" w:rsidP="00F21583">
      <w:pPr>
        <w:spacing w:before="120" w:line="276" w:lineRule="auto"/>
        <w:rPr>
          <w:bCs/>
          <w:sz w:val="24"/>
          <w:lang w:bidi="en-US"/>
        </w:rPr>
      </w:pPr>
      <w:r w:rsidRPr="00F21583">
        <w:rPr>
          <w:bCs/>
          <w:sz w:val="24"/>
          <w:lang w:bidi="en-US"/>
        </w:rPr>
        <w:t>-          Data will be transmitted via QualityNet</w:t>
      </w:r>
    </w:p>
    <w:p w:rsidR="00F21583" w:rsidRPr="00F21583" w:rsidRDefault="00F21583" w:rsidP="00F21583">
      <w:pPr>
        <w:spacing w:before="120" w:line="276" w:lineRule="auto"/>
        <w:rPr>
          <w:bCs/>
          <w:sz w:val="24"/>
          <w:lang w:bidi="en-US"/>
        </w:rPr>
      </w:pPr>
      <w:r w:rsidRPr="00F21583">
        <w:rPr>
          <w:bCs/>
          <w:sz w:val="24"/>
          <w:lang w:bidi="en-US"/>
        </w:rPr>
        <w:t>o   CDC sender: Preeti Ravindhran</w:t>
      </w:r>
    </w:p>
    <w:p w:rsidR="00F21583" w:rsidRPr="00F21583" w:rsidRDefault="00F21583" w:rsidP="00F21583">
      <w:pPr>
        <w:spacing w:before="120" w:line="276" w:lineRule="auto"/>
        <w:rPr>
          <w:bCs/>
          <w:sz w:val="24"/>
          <w:lang w:bidi="en-US"/>
        </w:rPr>
      </w:pPr>
      <w:r w:rsidRPr="00F21583">
        <w:rPr>
          <w:bCs/>
          <w:sz w:val="24"/>
          <w:lang w:bidi="en-US"/>
        </w:rPr>
        <w:t xml:space="preserve">o   RELI recipient: Khalil Abdul-Rahman </w:t>
      </w:r>
    </w:p>
    <w:p w:rsidR="003F2705" w:rsidRPr="003F2705" w:rsidRDefault="00F21583" w:rsidP="003F2705">
      <w:pPr>
        <w:spacing w:before="120" w:line="276" w:lineRule="auto"/>
        <w:rPr>
          <w:bCs/>
          <w:sz w:val="24"/>
          <w:lang w:bidi="en-US"/>
        </w:rPr>
      </w:pPr>
      <w:r w:rsidRPr="00F21583">
        <w:rPr>
          <w:bCs/>
          <w:sz w:val="24"/>
          <w:lang w:bidi="en-US"/>
        </w:rPr>
        <w:t>-          Data will be transmitted from CDC to RELI on or before July 13, 2018</w:t>
      </w:r>
    </w:p>
    <w:p w:rsidR="003F2705" w:rsidRPr="00F76A29" w:rsidRDefault="003F2705" w:rsidP="00F76A29">
      <w:pPr>
        <w:spacing w:before="120" w:line="276" w:lineRule="auto"/>
        <w:rPr>
          <w:sz w:val="24"/>
        </w:rPr>
      </w:pPr>
    </w:p>
    <w:p w:rsidR="003F2705" w:rsidRDefault="003F2705" w:rsidP="003F2705">
      <w:pPr>
        <w:spacing w:before="120" w:line="276" w:lineRule="auto"/>
        <w:rPr>
          <w:bCs/>
          <w:sz w:val="24"/>
          <w:lang w:bidi="en-US"/>
        </w:rPr>
      </w:pPr>
      <w:r w:rsidRPr="00F76A29">
        <w:rPr>
          <w:b/>
          <w:sz w:val="24"/>
        </w:rPr>
        <w:t xml:space="preserve">Table </w:t>
      </w:r>
      <w:r w:rsidR="00C054D3" w:rsidRPr="00F76A29">
        <w:rPr>
          <w:b/>
          <w:sz w:val="24"/>
        </w:rPr>
        <w:t>2</w:t>
      </w:r>
      <w:r w:rsidRPr="003F2705">
        <w:rPr>
          <w:bCs/>
          <w:sz w:val="24"/>
          <w:lang w:bidi="en-US"/>
        </w:rPr>
        <w:t>. List of extracted variables from chart review for NHSN cross-matching</w:t>
      </w:r>
    </w:p>
    <w:p w:rsidR="00C054D3" w:rsidRPr="003F2705" w:rsidRDefault="00C054D3" w:rsidP="003F2705">
      <w:pPr>
        <w:spacing w:before="120" w:line="276" w:lineRule="auto"/>
        <w:rPr>
          <w:bCs/>
          <w:sz w:val="24"/>
          <w:lang w:bidi="en-US"/>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3"/>
        <w:gridCol w:w="6858"/>
        <w:gridCol w:w="1704"/>
      </w:tblGrid>
      <w:tr w:rsidR="003F2705" w:rsidRPr="002D2DAA" w:rsidTr="002D2DAA">
        <w:trPr>
          <w:tblHeader/>
        </w:trPr>
        <w:tc>
          <w:tcPr>
            <w:tcW w:w="1672" w:type="dxa"/>
            <w:shd w:val="clear" w:color="auto" w:fill="8EAADB"/>
          </w:tcPr>
          <w:p w:rsidR="003F2705" w:rsidRPr="002D2DAA" w:rsidRDefault="003F2705" w:rsidP="002D2DAA">
            <w:pPr>
              <w:spacing w:before="120" w:line="276" w:lineRule="auto"/>
              <w:rPr>
                <w:b/>
                <w:bCs/>
                <w:sz w:val="24"/>
                <w:lang w:bidi="en-US"/>
              </w:rPr>
            </w:pPr>
            <w:r w:rsidRPr="002D2DAA">
              <w:rPr>
                <w:b/>
                <w:bCs/>
                <w:sz w:val="24"/>
                <w:lang w:bidi="en-US"/>
              </w:rPr>
              <w:t>Columns (Variables)</w:t>
            </w:r>
          </w:p>
        </w:tc>
        <w:tc>
          <w:tcPr>
            <w:tcW w:w="7143" w:type="dxa"/>
            <w:shd w:val="clear" w:color="auto" w:fill="8EAADB"/>
          </w:tcPr>
          <w:p w:rsidR="003F2705" w:rsidRPr="002D2DAA" w:rsidRDefault="003F2705" w:rsidP="002D2DAA">
            <w:pPr>
              <w:spacing w:before="120" w:line="276" w:lineRule="auto"/>
              <w:rPr>
                <w:b/>
                <w:bCs/>
                <w:sz w:val="24"/>
                <w:lang w:bidi="en-US"/>
              </w:rPr>
            </w:pPr>
          </w:p>
          <w:p w:rsidR="003F2705" w:rsidRPr="002D2DAA" w:rsidRDefault="003F2705" w:rsidP="002D2DAA">
            <w:pPr>
              <w:spacing w:before="120" w:line="276" w:lineRule="auto"/>
              <w:rPr>
                <w:b/>
                <w:bCs/>
                <w:sz w:val="24"/>
                <w:lang w:bidi="en-US"/>
              </w:rPr>
            </w:pPr>
            <w:r w:rsidRPr="002D2DAA">
              <w:rPr>
                <w:b/>
                <w:bCs/>
                <w:sz w:val="24"/>
                <w:lang w:bidi="en-US"/>
              </w:rPr>
              <w:t>Description</w:t>
            </w:r>
          </w:p>
        </w:tc>
        <w:tc>
          <w:tcPr>
            <w:tcW w:w="1710" w:type="dxa"/>
            <w:shd w:val="clear" w:color="auto" w:fill="8EAADB"/>
          </w:tcPr>
          <w:p w:rsidR="003F2705" w:rsidRPr="002D2DAA" w:rsidRDefault="003F2705" w:rsidP="002D2DAA">
            <w:pPr>
              <w:spacing w:before="120" w:line="276" w:lineRule="auto"/>
              <w:rPr>
                <w:b/>
                <w:bCs/>
                <w:sz w:val="24"/>
                <w:lang w:bidi="en-US"/>
              </w:rPr>
            </w:pPr>
          </w:p>
          <w:p w:rsidR="003F2705" w:rsidRPr="002D2DAA" w:rsidRDefault="003F2705" w:rsidP="002D2DAA">
            <w:pPr>
              <w:spacing w:before="120" w:line="276" w:lineRule="auto"/>
              <w:rPr>
                <w:b/>
                <w:bCs/>
                <w:sz w:val="24"/>
                <w:lang w:bidi="en-US"/>
              </w:rPr>
            </w:pPr>
            <w:r w:rsidRPr="002D2DAA">
              <w:rPr>
                <w:b/>
                <w:bCs/>
                <w:sz w:val="24"/>
                <w:lang w:bidi="en-US"/>
              </w:rPr>
              <w:t>Format</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CCN</w:t>
            </w:r>
          </w:p>
          <w:p w:rsidR="003F2705" w:rsidRPr="002D2DAA" w:rsidRDefault="003F2705" w:rsidP="002D2DAA">
            <w:pPr>
              <w:spacing w:before="120" w:line="276" w:lineRule="auto"/>
              <w:rPr>
                <w:bCs/>
                <w:sz w:val="24"/>
                <w:lang w:bidi="en-US"/>
              </w:rPr>
            </w:pP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Facility's CMS Certification Number (CCN)</w:t>
            </w:r>
          </w:p>
          <w:p w:rsidR="003F2705" w:rsidRPr="002D2DAA" w:rsidRDefault="003F2705" w:rsidP="002D2DAA">
            <w:pPr>
              <w:spacing w:before="120" w:line="276" w:lineRule="auto"/>
              <w:rPr>
                <w:bCs/>
                <w:sz w:val="24"/>
                <w:lang w:bidi="en-US"/>
              </w:rPr>
            </w:pPr>
            <w:r w:rsidRPr="002D2DAA">
              <w:rPr>
                <w:bCs/>
                <w:sz w:val="24"/>
                <w:lang w:bidi="en-US"/>
              </w:rPr>
              <w:t xml:space="preserve">The six-digit CMS provider identifier, also referred to as provider number or billing number. </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 “6-character text”</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Facility Name</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Name of Facility being validated</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Alphanumeric</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Facility Street</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Facility street address</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Alphanumeric</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Facility City</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Facility city</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Character</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Facility State</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2 Character U.S. Postal Service State Code</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Character</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Facility Zip</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Facility zip code</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Numeric</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Abstraction Control Number</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ACN assigned by the Validation Sample Selection system to cases selected or created for validation</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Alphanumeric</w:t>
            </w:r>
          </w:p>
          <w:p w:rsidR="003F2705" w:rsidRPr="002D2DAA" w:rsidRDefault="003F2705" w:rsidP="002D2DAA">
            <w:pPr>
              <w:spacing w:before="120" w:line="276" w:lineRule="auto"/>
              <w:rPr>
                <w:bCs/>
                <w:sz w:val="24"/>
                <w:lang w:bidi="en-US"/>
              </w:rPr>
            </w:pPr>
          </w:p>
        </w:tc>
      </w:tr>
      <w:tr w:rsidR="00CC3F03" w:rsidRPr="002D2DAA" w:rsidTr="002D2DAA">
        <w:tc>
          <w:tcPr>
            <w:tcW w:w="1672" w:type="dxa"/>
            <w:shd w:val="clear" w:color="auto" w:fill="auto"/>
          </w:tcPr>
          <w:p w:rsidR="003F2705" w:rsidRPr="00F76A29" w:rsidRDefault="003F2705" w:rsidP="002D2DAA">
            <w:pPr>
              <w:spacing w:before="120" w:line="276" w:lineRule="auto"/>
              <w:rPr>
                <w:b/>
                <w:sz w:val="24"/>
              </w:rPr>
            </w:pPr>
            <w:r w:rsidRPr="002D2DAA">
              <w:rPr>
                <w:b/>
                <w:bCs/>
                <w:sz w:val="24"/>
                <w:lang w:bidi="en-US"/>
              </w:rPr>
              <w:t>Reporting Quarter</w:t>
            </w:r>
          </w:p>
        </w:tc>
        <w:tc>
          <w:tcPr>
            <w:tcW w:w="7143" w:type="dxa"/>
            <w:shd w:val="clear" w:color="auto" w:fill="auto"/>
          </w:tcPr>
          <w:p w:rsidR="003F2705" w:rsidRPr="00F76A29" w:rsidRDefault="003F2705" w:rsidP="002D2DAA">
            <w:pPr>
              <w:spacing w:before="120" w:line="276" w:lineRule="auto"/>
              <w:rPr>
                <w:sz w:val="24"/>
              </w:rPr>
            </w:pPr>
            <w:r w:rsidRPr="00F76A29">
              <w:rPr>
                <w:sz w:val="24"/>
              </w:rPr>
              <w:t xml:space="preserve">Reporting </w:t>
            </w:r>
            <w:r w:rsidRPr="002D2DAA">
              <w:rPr>
                <w:bCs/>
                <w:sz w:val="24"/>
                <w:lang w:bidi="en-US"/>
              </w:rPr>
              <w:t>Quarter. Example “2017Q1”</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Alphanumeric</w:t>
            </w:r>
          </w:p>
          <w:p w:rsidR="003F2705" w:rsidRPr="002D2DAA" w:rsidRDefault="003F2705" w:rsidP="002D2DAA">
            <w:pPr>
              <w:spacing w:before="120" w:line="276" w:lineRule="auto"/>
              <w:rPr>
                <w:bCs/>
                <w:sz w:val="24"/>
                <w:lang w:bidi="en-US"/>
              </w:rPr>
            </w:pPr>
          </w:p>
        </w:tc>
      </w:tr>
      <w:tr w:rsidR="00CC3F03" w:rsidRPr="002D2DAA" w:rsidTr="002D2DAA">
        <w:tc>
          <w:tcPr>
            <w:tcW w:w="1672" w:type="dxa"/>
            <w:shd w:val="clear" w:color="auto" w:fill="auto"/>
          </w:tcPr>
          <w:p w:rsidR="003F2705" w:rsidRPr="00F76A29" w:rsidRDefault="003F2705" w:rsidP="002D2DAA">
            <w:pPr>
              <w:spacing w:before="120" w:line="276" w:lineRule="auto"/>
              <w:rPr>
                <w:b/>
                <w:sz w:val="24"/>
              </w:rPr>
            </w:pPr>
            <w:r w:rsidRPr="002D2DAA">
              <w:rPr>
                <w:b/>
                <w:bCs/>
                <w:sz w:val="24"/>
                <w:lang w:bidi="en-US"/>
              </w:rPr>
              <w:t>MRN</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Medical record number as recorded in the patient medical record</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Alphanumeric</w:t>
            </w:r>
          </w:p>
        </w:tc>
      </w:tr>
      <w:tr w:rsidR="00CC3F03"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Patient Identifier</w:t>
            </w:r>
          </w:p>
        </w:tc>
        <w:tc>
          <w:tcPr>
            <w:tcW w:w="7143" w:type="dxa"/>
            <w:shd w:val="clear" w:color="auto" w:fill="auto"/>
          </w:tcPr>
          <w:p w:rsidR="003F2705" w:rsidRPr="00F76A29" w:rsidRDefault="003F2705" w:rsidP="002D2DAA">
            <w:pPr>
              <w:spacing w:before="120" w:line="276" w:lineRule="auto"/>
              <w:rPr>
                <w:sz w:val="24"/>
              </w:rPr>
            </w:pPr>
            <w:r w:rsidRPr="002D2DAA">
              <w:rPr>
                <w:bCs/>
                <w:sz w:val="24"/>
                <w:lang w:bidi="en-US"/>
              </w:rPr>
              <w:t>If applicable; other patient identifier recorded in the patient medical record (e.g., NHSN ptID)</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Alphanumeric</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Birthdate</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Patient date of birth   </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MM-DD-YYYY</w:t>
            </w:r>
          </w:p>
          <w:p w:rsidR="003F2705" w:rsidRPr="002D2DAA" w:rsidRDefault="003F2705" w:rsidP="002D2DAA">
            <w:pPr>
              <w:spacing w:before="120" w:line="276" w:lineRule="auto"/>
              <w:rPr>
                <w:bCs/>
                <w:sz w:val="24"/>
                <w:lang w:bidi="en-US"/>
              </w:rPr>
            </w:pPr>
            <w:r w:rsidRPr="002D2DAA">
              <w:rPr>
                <w:bCs/>
                <w:sz w:val="24"/>
                <w:lang w:bidi="en-US"/>
              </w:rPr>
              <w:t xml:space="preserve">Date format </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First Name</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Patient first name </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Character</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Last Name</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Patient last name </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Character</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Sex</w:t>
            </w:r>
          </w:p>
          <w:p w:rsidR="003F2705" w:rsidRPr="002D2DAA" w:rsidRDefault="003F2705" w:rsidP="002D2DAA">
            <w:pPr>
              <w:spacing w:before="120" w:line="276" w:lineRule="auto"/>
              <w:rPr>
                <w:b/>
                <w:bCs/>
                <w:sz w:val="24"/>
                <w:lang w:bidi="en-US"/>
              </w:rPr>
            </w:pP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Male, Female or Unknown</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Character</w:t>
            </w:r>
          </w:p>
          <w:p w:rsidR="003F2705" w:rsidRPr="002D2DAA" w:rsidRDefault="003F2705" w:rsidP="002D2DAA">
            <w:pPr>
              <w:spacing w:before="120" w:line="276" w:lineRule="auto"/>
              <w:rPr>
                <w:b/>
                <w:bCs/>
                <w:sz w:val="24"/>
                <w:lang w:bidi="en-US"/>
              </w:rPr>
            </w:pPr>
            <w:r w:rsidRPr="002D2DAA">
              <w:rPr>
                <w:b/>
                <w:bCs/>
                <w:sz w:val="24"/>
                <w:lang w:bidi="en-US"/>
              </w:rPr>
              <w:t>M, F or U</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PBC1</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Did this patient have a positive blood culture 2017Q1 or 2017Q2? </w:t>
            </w:r>
          </w:p>
        </w:tc>
        <w:tc>
          <w:tcPr>
            <w:tcW w:w="1710"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Y, N</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CultureDate1</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[optional] Date of positive blood draw; If patient did not have a positive blood culture, report as missing ("PBC1" variable for that patient should equal "N")</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MM-DD-YYYY</w:t>
            </w:r>
          </w:p>
          <w:p w:rsidR="003F2705" w:rsidRPr="002D2DAA" w:rsidRDefault="003F2705" w:rsidP="002D2DAA">
            <w:pPr>
              <w:spacing w:before="120" w:line="276" w:lineRule="auto"/>
              <w:rPr>
                <w:b/>
                <w:bCs/>
                <w:sz w:val="24"/>
                <w:lang w:bidi="en-US"/>
              </w:rPr>
            </w:pPr>
            <w:r w:rsidRPr="002D2DAA">
              <w:rPr>
                <w:bCs/>
                <w:sz w:val="24"/>
                <w:lang w:bidi="en-US"/>
              </w:rPr>
              <w:t xml:space="preserve">Date format </w:t>
            </w:r>
          </w:p>
        </w:tc>
      </w:tr>
      <w:tr w:rsidR="00CC3F03" w:rsidRPr="002D2DAA" w:rsidTr="002D2DAA">
        <w:tc>
          <w:tcPr>
            <w:tcW w:w="1672" w:type="dxa"/>
            <w:shd w:val="clear" w:color="auto" w:fill="auto"/>
          </w:tcPr>
          <w:p w:rsidR="003F2705" w:rsidRPr="00F76A29" w:rsidRDefault="003F2705" w:rsidP="002D2DAA">
            <w:pPr>
              <w:spacing w:before="120" w:line="276" w:lineRule="auto"/>
              <w:rPr>
                <w:b/>
                <w:sz w:val="24"/>
              </w:rPr>
            </w:pPr>
            <w:r w:rsidRPr="002D2DAA">
              <w:rPr>
                <w:b/>
                <w:bCs/>
                <w:sz w:val="24"/>
                <w:lang w:bidi="en-US"/>
              </w:rPr>
              <w:t>PBCDate1</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[required] Event date, as reported to NHSN per Protocol.  This field should be populated with the date of positive blood draw (same value as “CultureDate”), or date of earliest Event if multiple Events occurred as part of the same patient problem (see “Multiple Dialysis Events” Page 6 of CY2017 Dialysis Event protocol); If patient did not have a positive blood culture, report as missing ("PBC1" variable for that patient should equal "N")</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MM-DD-YYYY</w:t>
            </w:r>
          </w:p>
          <w:p w:rsidR="003F2705" w:rsidRPr="002D2DAA" w:rsidRDefault="003F2705" w:rsidP="002D2DAA">
            <w:pPr>
              <w:spacing w:before="120" w:line="276" w:lineRule="auto"/>
              <w:rPr>
                <w:b/>
                <w:bCs/>
                <w:sz w:val="24"/>
                <w:lang w:bidi="en-US"/>
              </w:rPr>
            </w:pPr>
            <w:r w:rsidRPr="002D2DAA">
              <w:rPr>
                <w:bCs/>
                <w:sz w:val="24"/>
                <w:lang w:bidi="en-US"/>
              </w:rPr>
              <w:t>Date format</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 xml:space="preserve">PBCReportable1 </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Validator’s determination from chart review whether the specific PBC was reportable </w:t>
            </w:r>
          </w:p>
        </w:tc>
        <w:tc>
          <w:tcPr>
            <w:tcW w:w="1710"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 xml:space="preserve">Y,N </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PBC2*</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Did this patient have a second positive blood culture 2017Q1 or 2017Q2? </w:t>
            </w:r>
          </w:p>
        </w:tc>
        <w:tc>
          <w:tcPr>
            <w:tcW w:w="1710"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Y, N</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CultureDate2</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[optional] Date of positive blood draw; If patient did not have a positive blood culture, report as missing ("PBC2" variable for that patient should equal "N")</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MM-DD-YYYY</w:t>
            </w:r>
          </w:p>
          <w:p w:rsidR="003F2705" w:rsidRPr="002D2DAA" w:rsidRDefault="003F2705" w:rsidP="002D2DAA">
            <w:pPr>
              <w:spacing w:before="120" w:line="276" w:lineRule="auto"/>
              <w:rPr>
                <w:b/>
                <w:bCs/>
                <w:sz w:val="24"/>
                <w:lang w:bidi="en-US"/>
              </w:rPr>
            </w:pPr>
            <w:r w:rsidRPr="002D2DAA">
              <w:rPr>
                <w:bCs/>
                <w:sz w:val="24"/>
                <w:lang w:bidi="en-US"/>
              </w:rPr>
              <w:t xml:space="preserve">Date format </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PBCDate2</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[required] Event date, as reported to NHSN per Protocol.  This field should be populated with the date of positive blood draw (same value as “CultureDate”), or date of earliest event if multiple Events occurred as part of the same patient problem (see “Multiple Dialysis Events” Page 6 of CY2017 Dialysis Event protocol); If patient did not have a positive blood culture, report as missing ("PBC2" variable for that patient should equal "N")</w:t>
            </w:r>
          </w:p>
        </w:tc>
        <w:tc>
          <w:tcPr>
            <w:tcW w:w="171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MM-DD-YYYY</w:t>
            </w:r>
          </w:p>
          <w:p w:rsidR="003F2705" w:rsidRPr="002D2DAA" w:rsidRDefault="003F2705" w:rsidP="002D2DAA">
            <w:pPr>
              <w:spacing w:before="120" w:line="276" w:lineRule="auto"/>
              <w:rPr>
                <w:b/>
                <w:bCs/>
                <w:sz w:val="24"/>
                <w:lang w:bidi="en-US"/>
              </w:rPr>
            </w:pPr>
            <w:r w:rsidRPr="002D2DAA">
              <w:rPr>
                <w:bCs/>
                <w:sz w:val="24"/>
                <w:lang w:bidi="en-US"/>
              </w:rPr>
              <w:t xml:space="preserve">Date format </w:t>
            </w:r>
          </w:p>
        </w:tc>
      </w:tr>
      <w:tr w:rsidR="003F2705" w:rsidRPr="002D2DAA" w:rsidTr="002D2DAA">
        <w:tc>
          <w:tcPr>
            <w:tcW w:w="1672"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 xml:space="preserve">PBCReportable2 </w:t>
            </w:r>
          </w:p>
        </w:tc>
        <w:tc>
          <w:tcPr>
            <w:tcW w:w="7143"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Validator’s determination from chart review whether the second  PBC was reportable </w:t>
            </w:r>
          </w:p>
        </w:tc>
        <w:tc>
          <w:tcPr>
            <w:tcW w:w="1710"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 xml:space="preserve">Y, N </w:t>
            </w:r>
          </w:p>
        </w:tc>
      </w:tr>
      <w:tr w:rsidR="003F2705" w:rsidRPr="002D2DAA" w:rsidTr="002D2DAA">
        <w:tc>
          <w:tcPr>
            <w:tcW w:w="10525" w:type="dxa"/>
            <w:gridSpan w:val="3"/>
            <w:shd w:val="clear" w:color="auto" w:fill="auto"/>
          </w:tcPr>
          <w:p w:rsidR="003F2705" w:rsidRPr="002D2DAA" w:rsidRDefault="003F2705" w:rsidP="002D2DAA">
            <w:pPr>
              <w:spacing w:before="120" w:line="276" w:lineRule="auto"/>
              <w:rPr>
                <w:bCs/>
                <w:sz w:val="24"/>
                <w:lang w:bidi="en-US"/>
              </w:rPr>
            </w:pPr>
            <w:r w:rsidRPr="002D2DAA">
              <w:rPr>
                <w:bCs/>
                <w:sz w:val="24"/>
                <w:lang w:bidi="en-US"/>
              </w:rPr>
              <w:t>*If multiple blood cultures are found during the medical chart review, then additional variables should be added on the template: PBC3, PBCDate3, PBCReportable3.  PBC1 data should be populated based on the patient’s first PBC of the validation period, PBC2 populated with the patient’s second PBC, and so forth.</w:t>
            </w:r>
          </w:p>
        </w:tc>
      </w:tr>
    </w:tbl>
    <w:p w:rsidR="003F2705" w:rsidRPr="00F76A29" w:rsidRDefault="003F2705" w:rsidP="003F2705">
      <w:pPr>
        <w:spacing w:before="120" w:line="276" w:lineRule="auto"/>
        <w:rPr>
          <w:sz w:val="24"/>
          <w:u w:val="single"/>
        </w:rPr>
      </w:pPr>
    </w:p>
    <w:p w:rsidR="003F2705" w:rsidRDefault="003F2705" w:rsidP="003F2705">
      <w:pPr>
        <w:spacing w:before="120" w:line="276" w:lineRule="auto"/>
        <w:rPr>
          <w:bCs/>
          <w:sz w:val="24"/>
          <w:lang w:bidi="en-US"/>
        </w:rPr>
      </w:pPr>
      <w:r w:rsidRPr="00CC3F03">
        <w:rPr>
          <w:b/>
          <w:bCs/>
          <w:sz w:val="24"/>
          <w:lang w:bidi="en-US"/>
        </w:rPr>
        <w:t xml:space="preserve">Table </w:t>
      </w:r>
      <w:r w:rsidR="00C054D3">
        <w:rPr>
          <w:b/>
          <w:bCs/>
          <w:sz w:val="24"/>
          <w:lang w:bidi="en-US"/>
        </w:rPr>
        <w:t>3</w:t>
      </w:r>
      <w:r w:rsidRPr="003F2705">
        <w:rPr>
          <w:bCs/>
          <w:sz w:val="24"/>
          <w:lang w:bidi="en-US"/>
        </w:rPr>
        <w:t xml:space="preserve">. Variables resulting from cross-match analysis. CDC will return the original data file, with the following fields added: </w:t>
      </w:r>
    </w:p>
    <w:p w:rsidR="00C054D3" w:rsidRPr="003F2705" w:rsidRDefault="00C054D3" w:rsidP="003F2705">
      <w:pPr>
        <w:spacing w:before="120" w:line="276" w:lineRule="auto"/>
        <w:rPr>
          <w:bCs/>
          <w:sz w:val="24"/>
          <w:lang w:bidi="en-US"/>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6750"/>
        <w:gridCol w:w="1710"/>
      </w:tblGrid>
      <w:tr w:rsidR="003F2705" w:rsidRPr="002D2DAA" w:rsidTr="002D2DAA">
        <w:trPr>
          <w:tblHeader/>
        </w:trPr>
        <w:tc>
          <w:tcPr>
            <w:tcW w:w="2065" w:type="dxa"/>
            <w:shd w:val="clear" w:color="auto" w:fill="8EAADB"/>
            <w:vAlign w:val="center"/>
          </w:tcPr>
          <w:p w:rsidR="003F2705" w:rsidRPr="002D2DAA" w:rsidRDefault="003F2705" w:rsidP="002D2DAA">
            <w:pPr>
              <w:spacing w:before="120" w:line="276" w:lineRule="auto"/>
              <w:rPr>
                <w:b/>
                <w:bCs/>
                <w:sz w:val="24"/>
                <w:lang w:bidi="en-US"/>
              </w:rPr>
            </w:pPr>
            <w:r w:rsidRPr="002D2DAA">
              <w:rPr>
                <w:b/>
                <w:bCs/>
                <w:sz w:val="24"/>
                <w:lang w:bidi="en-US"/>
              </w:rPr>
              <w:t>Columns (Variables)</w:t>
            </w:r>
          </w:p>
        </w:tc>
        <w:tc>
          <w:tcPr>
            <w:tcW w:w="6750" w:type="dxa"/>
            <w:shd w:val="clear" w:color="auto" w:fill="8EAADB"/>
            <w:vAlign w:val="center"/>
          </w:tcPr>
          <w:p w:rsidR="003F2705" w:rsidRPr="002D2DAA" w:rsidRDefault="003F2705" w:rsidP="002D2DAA">
            <w:pPr>
              <w:spacing w:before="120" w:line="276" w:lineRule="auto"/>
              <w:rPr>
                <w:b/>
                <w:bCs/>
                <w:sz w:val="24"/>
                <w:lang w:bidi="en-US"/>
              </w:rPr>
            </w:pPr>
            <w:r w:rsidRPr="002D2DAA">
              <w:rPr>
                <w:b/>
                <w:bCs/>
                <w:sz w:val="24"/>
                <w:lang w:bidi="en-US"/>
              </w:rPr>
              <w:t>Description</w:t>
            </w:r>
          </w:p>
        </w:tc>
        <w:tc>
          <w:tcPr>
            <w:tcW w:w="1710" w:type="dxa"/>
            <w:shd w:val="clear" w:color="auto" w:fill="8EAADB"/>
            <w:vAlign w:val="center"/>
          </w:tcPr>
          <w:p w:rsidR="003F2705" w:rsidRPr="002D2DAA" w:rsidRDefault="003F2705" w:rsidP="002D2DAA">
            <w:pPr>
              <w:spacing w:before="120" w:line="276" w:lineRule="auto"/>
              <w:rPr>
                <w:b/>
                <w:bCs/>
                <w:sz w:val="24"/>
                <w:lang w:bidi="en-US"/>
              </w:rPr>
            </w:pPr>
            <w:r w:rsidRPr="002D2DAA">
              <w:rPr>
                <w:b/>
                <w:bCs/>
                <w:sz w:val="24"/>
                <w:lang w:bidi="en-US"/>
              </w:rPr>
              <w:t>Format</w:t>
            </w:r>
          </w:p>
        </w:tc>
      </w:tr>
      <w:tr w:rsidR="003F2705" w:rsidRPr="002D2DAA" w:rsidTr="002D2DAA">
        <w:tc>
          <w:tcPr>
            <w:tcW w:w="2065"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PBCResult1**</w:t>
            </w:r>
          </w:p>
        </w:tc>
        <w:tc>
          <w:tcPr>
            <w:tcW w:w="675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CDC determination of whether validator’s positive blood culture matches a positive blood culture reported to NHSN, and was reported with the exact same Event date; 0 = no PBC match in NHSN, 1= PBC match in NHSN. </w:t>
            </w:r>
          </w:p>
        </w:tc>
        <w:tc>
          <w:tcPr>
            <w:tcW w:w="1710"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0, 1</w:t>
            </w:r>
          </w:p>
        </w:tc>
      </w:tr>
      <w:tr w:rsidR="003F2705" w:rsidRPr="002D2DAA" w:rsidTr="002D2DAA">
        <w:tc>
          <w:tcPr>
            <w:tcW w:w="2065"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PBCResultb1**</w:t>
            </w:r>
          </w:p>
        </w:tc>
        <w:tc>
          <w:tcPr>
            <w:tcW w:w="6750" w:type="dxa"/>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CDC determination of whether validator’s positive blood culture matches a positive blood culture in NHSN, but was reported with a different Event date; 0 = no PBC match in NHSN, 1= PBC match in NHSN. </w:t>
            </w:r>
          </w:p>
        </w:tc>
        <w:tc>
          <w:tcPr>
            <w:tcW w:w="1710" w:type="dxa"/>
            <w:shd w:val="clear" w:color="auto" w:fill="auto"/>
          </w:tcPr>
          <w:p w:rsidR="003F2705" w:rsidRPr="002D2DAA" w:rsidRDefault="003F2705" w:rsidP="002D2DAA">
            <w:pPr>
              <w:spacing w:before="120" w:line="276" w:lineRule="auto"/>
              <w:rPr>
                <w:b/>
                <w:bCs/>
                <w:sz w:val="24"/>
                <w:lang w:bidi="en-US"/>
              </w:rPr>
            </w:pPr>
            <w:r w:rsidRPr="002D2DAA">
              <w:rPr>
                <w:b/>
                <w:bCs/>
                <w:sz w:val="24"/>
                <w:lang w:bidi="en-US"/>
              </w:rPr>
              <w:t>0, 1</w:t>
            </w:r>
          </w:p>
        </w:tc>
      </w:tr>
      <w:tr w:rsidR="003F2705" w:rsidRPr="002D2DAA" w:rsidTr="002D2DAA">
        <w:tc>
          <w:tcPr>
            <w:tcW w:w="10525" w:type="dxa"/>
            <w:gridSpan w:val="3"/>
            <w:shd w:val="clear" w:color="auto" w:fill="auto"/>
          </w:tcPr>
          <w:p w:rsidR="003F2705" w:rsidRPr="002D2DAA" w:rsidRDefault="003F2705" w:rsidP="002D2DAA">
            <w:pPr>
              <w:spacing w:before="120" w:line="276" w:lineRule="auto"/>
              <w:rPr>
                <w:bCs/>
                <w:sz w:val="24"/>
                <w:lang w:bidi="en-US"/>
              </w:rPr>
            </w:pPr>
            <w:r w:rsidRPr="002D2DAA">
              <w:rPr>
                <w:bCs/>
                <w:sz w:val="24"/>
                <w:lang w:bidi="en-US"/>
              </w:rPr>
              <w:t xml:space="preserve">** Additional variables will be added for each PBC included in the RELI line list (e.g., PBCResult2, PBCResultb2) </w:t>
            </w:r>
          </w:p>
        </w:tc>
      </w:tr>
    </w:tbl>
    <w:p w:rsidR="003F2705" w:rsidRPr="003F2705" w:rsidRDefault="003F2705" w:rsidP="003F2705">
      <w:pPr>
        <w:spacing w:before="120" w:line="276" w:lineRule="auto"/>
        <w:rPr>
          <w:bCs/>
          <w:sz w:val="24"/>
          <w:lang w:bidi="en-US"/>
        </w:rPr>
      </w:pPr>
    </w:p>
    <w:p w:rsidR="00E738D4" w:rsidRPr="00B04BD2" w:rsidRDefault="00E2704D" w:rsidP="00E738D4">
      <w:pPr>
        <w:spacing w:line="276" w:lineRule="auto"/>
        <w:rPr>
          <w:bCs/>
          <w:sz w:val="24"/>
          <w:lang w:bidi="en-US"/>
        </w:rPr>
      </w:pPr>
      <w:bookmarkStart w:id="6" w:name="Table4"/>
      <w:bookmarkEnd w:id="6"/>
      <w:r w:rsidRPr="00EA6EF1">
        <w:rPr>
          <w:sz w:val="24"/>
        </w:rPr>
        <w:t xml:space="preserve">  </w:t>
      </w:r>
    </w:p>
    <w:p w:rsidR="00E738D4" w:rsidRPr="00B04BD2" w:rsidRDefault="00E738D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2.  Describe the procedures for the collection of information including:</w:t>
      </w: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Statistical methodology for stratification and sample selection,</w:t>
      </w: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Estimation procedure,</w:t>
      </w: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Degree</w:t>
      </w:r>
      <w:r w:rsidR="00991228">
        <w:rPr>
          <w:b/>
          <w:sz w:val="24"/>
        </w:rPr>
        <w:t xml:space="preserve"> of accuracy needed for the pur</w:t>
      </w:r>
      <w:r w:rsidRPr="00B04BD2">
        <w:rPr>
          <w:b/>
          <w:sz w:val="24"/>
        </w:rPr>
        <w:t>pose described in the justification,</w:t>
      </w: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Unusual problems requiring specialized sampling procedures, and</w:t>
      </w: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B04BD2">
        <w:rPr>
          <w:b/>
          <w:sz w:val="24"/>
        </w:rPr>
        <w:t>-  Any use of periodic (less frequent than annual) data collection cycles to reduce burden.</w:t>
      </w:r>
    </w:p>
    <w:p w:rsidR="009C7A4C" w:rsidRPr="00B04BD2"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A2302" w:rsidRDefault="000A230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Please see response to question 1 for </w:t>
      </w:r>
      <w:r w:rsidRPr="000A2302">
        <w:rPr>
          <w:sz w:val="24"/>
        </w:rPr>
        <w:t>sample selection</w:t>
      </w:r>
      <w:r w:rsidR="00E649C2">
        <w:rPr>
          <w:sz w:val="24"/>
        </w:rPr>
        <w:t xml:space="preserve">. </w:t>
      </w:r>
      <w:r>
        <w:rPr>
          <w:sz w:val="24"/>
        </w:rPr>
        <w:t xml:space="preserve">As noted below in response to question 4, there are no unusual problems </w:t>
      </w:r>
      <w:r w:rsidRPr="000A2302">
        <w:rPr>
          <w:sz w:val="24"/>
        </w:rPr>
        <w:t>requiring specialized sampling procedures</w:t>
      </w:r>
      <w:r>
        <w:rPr>
          <w:sz w:val="24"/>
        </w:rPr>
        <w:t xml:space="preserve"> as </w:t>
      </w:r>
      <w:r>
        <w:rPr>
          <w:sz w:val="24"/>
          <w:lang w:bidi="en-US"/>
        </w:rPr>
        <w:t xml:space="preserve">our previous experience </w:t>
      </w:r>
      <w:r w:rsidRPr="005D01AE">
        <w:rPr>
          <w:sz w:val="24"/>
          <w:lang w:bidi="en-US"/>
        </w:rPr>
        <w:t>on past CMS NHSN validation effort</w:t>
      </w:r>
      <w:r w:rsidR="00AA03F1">
        <w:rPr>
          <w:sz w:val="24"/>
          <w:lang w:bidi="en-US"/>
        </w:rPr>
        <w:t>s</w:t>
      </w:r>
      <w:r>
        <w:rPr>
          <w:sz w:val="24"/>
          <w:lang w:bidi="en-US"/>
        </w:rPr>
        <w:t xml:space="preserve"> have shown near universal compliance </w:t>
      </w:r>
      <w:r w:rsidR="00E247FE">
        <w:rPr>
          <w:sz w:val="24"/>
          <w:lang w:bidi="en-US"/>
        </w:rPr>
        <w:t xml:space="preserve">by the hospitals </w:t>
      </w:r>
      <w:r>
        <w:rPr>
          <w:sz w:val="24"/>
          <w:lang w:bidi="en-US"/>
        </w:rPr>
        <w:t>with medical record requests. The period for data collection cycles is expected to be no more frequently than annually.</w:t>
      </w:r>
    </w:p>
    <w:p w:rsidR="000A2302" w:rsidRDefault="000A2302"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D01AE" w:rsidRDefault="009C7A4C" w:rsidP="005D01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4BD2">
        <w:rPr>
          <w:b/>
          <w:sz w:val="24"/>
        </w:rPr>
        <w:t>3.  Describe methods to maximize response rates and to deal with issues of non-response.  The accuracy and reliability of information collected must be shown to be adequate for intended uses</w:t>
      </w:r>
      <w:r w:rsidR="00EA6EF1">
        <w:rPr>
          <w:b/>
          <w:sz w:val="24"/>
        </w:rPr>
        <w:t>.  For collections based on sam</w:t>
      </w:r>
      <w:r w:rsidRPr="00B04BD2">
        <w:rPr>
          <w:b/>
          <w:sz w:val="24"/>
        </w:rPr>
        <w:t>pling, a speci</w:t>
      </w:r>
      <w:r w:rsidR="00EA6EF1">
        <w:rPr>
          <w:b/>
          <w:sz w:val="24"/>
        </w:rPr>
        <w:t>al justification must be provid</w:t>
      </w:r>
      <w:r w:rsidRPr="00B04BD2">
        <w:rPr>
          <w:b/>
          <w:sz w:val="24"/>
        </w:rPr>
        <w:t>ed for any collection that will not yield 'reliable' data tha</w:t>
      </w:r>
      <w:r w:rsidR="00EA6EF1">
        <w:rPr>
          <w:b/>
          <w:sz w:val="24"/>
        </w:rPr>
        <w:t>t can be generalized to the uni</w:t>
      </w:r>
      <w:r w:rsidRPr="00B04BD2">
        <w:rPr>
          <w:b/>
          <w:sz w:val="24"/>
        </w:rPr>
        <w:t>verse studied.</w:t>
      </w:r>
      <w:bookmarkStart w:id="7" w:name="_Toc433189960"/>
      <w:bookmarkStart w:id="8" w:name="_Toc433189957"/>
      <w:r w:rsidR="005D01AE">
        <w:rPr>
          <w:b/>
          <w:sz w:val="24"/>
        </w:rPr>
        <w:t xml:space="preserve"> </w:t>
      </w:r>
    </w:p>
    <w:p w:rsidR="005D01AE" w:rsidRDefault="005D01AE" w:rsidP="005D01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3D26" w:rsidRDefault="00EA6EF1" w:rsidP="005D01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part </w:t>
      </w:r>
      <w:r w:rsidR="007F5587">
        <w:rPr>
          <w:sz w:val="24"/>
        </w:rPr>
        <w:t xml:space="preserve">2017 </w:t>
      </w:r>
      <w:r w:rsidR="00211E12">
        <w:rPr>
          <w:sz w:val="24"/>
        </w:rPr>
        <w:t xml:space="preserve">NHSN </w:t>
      </w:r>
      <w:r w:rsidR="00723DE1">
        <w:rPr>
          <w:sz w:val="24"/>
        </w:rPr>
        <w:t>Study</w:t>
      </w:r>
      <w:r>
        <w:rPr>
          <w:sz w:val="24"/>
        </w:rPr>
        <w:t xml:space="preserve">, </w:t>
      </w:r>
      <w:r w:rsidR="007F5587">
        <w:rPr>
          <w:sz w:val="24"/>
        </w:rPr>
        <w:t>the</w:t>
      </w:r>
      <w:r>
        <w:rPr>
          <w:sz w:val="24"/>
        </w:rPr>
        <w:t xml:space="preserve"> f</w:t>
      </w:r>
      <w:r w:rsidRPr="00EA6EF1">
        <w:rPr>
          <w:sz w:val="24"/>
        </w:rPr>
        <w:t xml:space="preserve">acilities were contacted via certified letter in </w:t>
      </w:r>
      <w:r w:rsidR="007F5587">
        <w:rPr>
          <w:sz w:val="24"/>
        </w:rPr>
        <w:t>March 2018</w:t>
      </w:r>
      <w:r w:rsidRPr="00EA6EF1">
        <w:rPr>
          <w:sz w:val="24"/>
        </w:rPr>
        <w:t xml:space="preserve"> and were asked to participate in the validation effort.  The letter provided instructions on the types of records to be submitted, methods to submit records to </w:t>
      </w:r>
      <w:r w:rsidR="007F5587">
        <w:rPr>
          <w:sz w:val="24"/>
        </w:rPr>
        <w:t>RELI</w:t>
      </w:r>
      <w:r w:rsidRPr="00EA6EF1">
        <w:rPr>
          <w:sz w:val="24"/>
        </w:rPr>
        <w:t xml:space="preserve">, and identified patients selected for validation.  </w:t>
      </w:r>
      <w:r w:rsidR="0050210E" w:rsidRPr="002B6C05">
        <w:rPr>
          <w:sz w:val="24"/>
        </w:rPr>
        <w:t>To aid in maximizing facility response rates</w:t>
      </w:r>
      <w:r w:rsidR="0050210E">
        <w:rPr>
          <w:sz w:val="24"/>
        </w:rPr>
        <w:t>, the f</w:t>
      </w:r>
      <w:r w:rsidRPr="00EA6EF1">
        <w:rPr>
          <w:sz w:val="24"/>
        </w:rPr>
        <w:t xml:space="preserve">acilities that did not respond to the initial request for records were contacted via phone by </w:t>
      </w:r>
      <w:r w:rsidR="007F5587">
        <w:rPr>
          <w:sz w:val="24"/>
        </w:rPr>
        <w:t>RELI</w:t>
      </w:r>
      <w:r w:rsidR="0050210E">
        <w:rPr>
          <w:sz w:val="24"/>
        </w:rPr>
        <w:t>,</w:t>
      </w:r>
      <w:r w:rsidR="007F5587">
        <w:rPr>
          <w:sz w:val="24"/>
        </w:rPr>
        <w:t xml:space="preserve"> </w:t>
      </w:r>
      <w:r w:rsidRPr="00EA6EF1">
        <w:rPr>
          <w:sz w:val="24"/>
        </w:rPr>
        <w:t xml:space="preserve">and </w:t>
      </w:r>
      <w:r w:rsidR="0050210E">
        <w:rPr>
          <w:sz w:val="24"/>
        </w:rPr>
        <w:t>letters resent to specific contact to ensure response</w:t>
      </w:r>
      <w:r w:rsidRPr="00EA6EF1">
        <w:rPr>
          <w:sz w:val="24"/>
        </w:rPr>
        <w:t xml:space="preserve">. </w:t>
      </w:r>
    </w:p>
    <w:p w:rsidR="00AC3D26" w:rsidRDefault="00AC3D26" w:rsidP="005D01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6EF1" w:rsidRDefault="00EA6EF1" w:rsidP="005D01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A6EF1">
        <w:rPr>
          <w:sz w:val="24"/>
        </w:rPr>
        <w:t>Facilities that did not respond to the request for records were subject to a 10</w:t>
      </w:r>
      <w:r w:rsidR="00376F07">
        <w:rPr>
          <w:sz w:val="24"/>
        </w:rPr>
        <w:t>-</w:t>
      </w:r>
      <w:r w:rsidRPr="00EA6EF1">
        <w:rPr>
          <w:sz w:val="24"/>
        </w:rPr>
        <w:t xml:space="preserve">point reduction to their Total Performance Score (TPS).  The response rate for the </w:t>
      </w:r>
      <w:r w:rsidR="0050210E">
        <w:rPr>
          <w:sz w:val="24"/>
        </w:rPr>
        <w:t xml:space="preserve">NHSN </w:t>
      </w:r>
      <w:r w:rsidR="00211E12">
        <w:rPr>
          <w:sz w:val="24"/>
        </w:rPr>
        <w:t>study</w:t>
      </w:r>
      <w:r w:rsidR="00211E12" w:rsidRPr="00EA6EF1">
        <w:rPr>
          <w:sz w:val="24"/>
        </w:rPr>
        <w:t xml:space="preserve"> </w:t>
      </w:r>
      <w:r w:rsidR="00AC3D26">
        <w:rPr>
          <w:sz w:val="24"/>
        </w:rPr>
        <w:t>in 201</w:t>
      </w:r>
      <w:r w:rsidR="0050210E">
        <w:rPr>
          <w:sz w:val="24"/>
        </w:rPr>
        <w:t>7</w:t>
      </w:r>
      <w:r w:rsidR="00AC3D26">
        <w:rPr>
          <w:sz w:val="24"/>
        </w:rPr>
        <w:t xml:space="preserve"> </w:t>
      </w:r>
      <w:r w:rsidRPr="00EA6EF1">
        <w:rPr>
          <w:sz w:val="24"/>
        </w:rPr>
        <w:t xml:space="preserve">was high; of the </w:t>
      </w:r>
      <w:r w:rsidR="0050210E">
        <w:rPr>
          <w:sz w:val="24"/>
        </w:rPr>
        <w:t>thirty-five</w:t>
      </w:r>
      <w:r w:rsidR="0050210E" w:rsidRPr="00EA6EF1">
        <w:rPr>
          <w:sz w:val="24"/>
        </w:rPr>
        <w:t xml:space="preserve"> </w:t>
      </w:r>
      <w:r w:rsidRPr="00EA6EF1">
        <w:rPr>
          <w:sz w:val="24"/>
        </w:rPr>
        <w:t xml:space="preserve">facilities selected for participation, </w:t>
      </w:r>
      <w:r w:rsidR="0050210E">
        <w:rPr>
          <w:sz w:val="24"/>
        </w:rPr>
        <w:t>thirty-one</w:t>
      </w:r>
      <w:r w:rsidR="0050210E" w:rsidRPr="00EA6EF1">
        <w:rPr>
          <w:sz w:val="24"/>
        </w:rPr>
        <w:t xml:space="preserve"> </w:t>
      </w:r>
      <w:r w:rsidRPr="00EA6EF1">
        <w:rPr>
          <w:sz w:val="24"/>
        </w:rPr>
        <w:t>responded (</w:t>
      </w:r>
      <w:r w:rsidR="0050210E">
        <w:rPr>
          <w:sz w:val="24"/>
        </w:rPr>
        <w:t>89</w:t>
      </w:r>
      <w:r w:rsidR="00211E12">
        <w:rPr>
          <w:sz w:val="24"/>
        </w:rPr>
        <w:t>%</w:t>
      </w:r>
      <w:r w:rsidRPr="00EA6EF1">
        <w:rPr>
          <w:sz w:val="24"/>
        </w:rPr>
        <w:t xml:space="preserve">). </w:t>
      </w:r>
      <w:r w:rsidR="002B6C05" w:rsidRPr="002B6C05">
        <w:rPr>
          <w:sz w:val="24"/>
        </w:rPr>
        <w:t>For future validations, we plan to follow the same records request methodology, follow-up, and ESRD community outreach approach we’ve used in the past since it has been effective in producing desired response rates.</w:t>
      </w:r>
    </w:p>
    <w:bookmarkEnd w:id="7"/>
    <w:bookmarkEnd w:id="8"/>
    <w:p w:rsidR="00E738D4" w:rsidRPr="00B04BD2" w:rsidRDefault="00E738D4" w:rsidP="00E738D4">
      <w:pPr>
        <w:pStyle w:val="ASTHeading1"/>
        <w:rPr>
          <w:sz w:val="24"/>
          <w:szCs w:val="24"/>
        </w:rPr>
      </w:pPr>
      <w:r w:rsidRPr="00B04BD2">
        <w:rPr>
          <w:sz w:val="24"/>
          <w:szCs w:val="24"/>
        </w:rPr>
        <w:t>Data Validation</w:t>
      </w:r>
    </w:p>
    <w:p w:rsidR="00E738D4" w:rsidRDefault="00E738D4" w:rsidP="00E738D4">
      <w:pPr>
        <w:rPr>
          <w:sz w:val="24"/>
        </w:rPr>
      </w:pPr>
      <w:r w:rsidRPr="00B04BD2">
        <w:rPr>
          <w:sz w:val="24"/>
        </w:rPr>
        <w:t xml:space="preserve">The main objective of this analysis is to perform a single comparison of the NHSN system against NHSN </w:t>
      </w:r>
      <w:r w:rsidR="000B00DB">
        <w:rPr>
          <w:sz w:val="24"/>
        </w:rPr>
        <w:t>“</w:t>
      </w:r>
      <w:r w:rsidR="0094249F">
        <w:rPr>
          <w:sz w:val="24"/>
        </w:rPr>
        <w:t>candidate event</w:t>
      </w:r>
      <w:r w:rsidR="000B00DB">
        <w:rPr>
          <w:sz w:val="24"/>
        </w:rPr>
        <w:t>”</w:t>
      </w:r>
      <w:r w:rsidRPr="00B04BD2">
        <w:rPr>
          <w:sz w:val="24"/>
        </w:rPr>
        <w:t xml:space="preserve"> data obtained from the facilities’ records, leading to an evaluation of the reliability (i.e.</w:t>
      </w:r>
      <w:r w:rsidR="00376F07">
        <w:rPr>
          <w:sz w:val="24"/>
        </w:rPr>
        <w:t>,</w:t>
      </w:r>
      <w:r w:rsidRPr="00B04BD2">
        <w:rPr>
          <w:sz w:val="24"/>
        </w:rPr>
        <w:t xml:space="preserve"> the data are reasonably complete and accurate) and validity (i.e.</w:t>
      </w:r>
      <w:r w:rsidR="00376F07">
        <w:rPr>
          <w:sz w:val="24"/>
        </w:rPr>
        <w:t>,</w:t>
      </w:r>
      <w:r w:rsidRPr="00B04BD2">
        <w:rPr>
          <w:sz w:val="24"/>
        </w:rPr>
        <w:t xml:space="preserve"> the data actually represent what is being measured) of NHSN data</w:t>
      </w:r>
      <w:r w:rsidR="000B00DB">
        <w:rPr>
          <w:sz w:val="24"/>
        </w:rPr>
        <w:t>.</w:t>
      </w:r>
      <w:r w:rsidR="000B00DB" w:rsidRPr="000B00DB">
        <w:rPr>
          <w:sz w:val="24"/>
        </w:rPr>
        <w:t xml:space="preserve"> </w:t>
      </w:r>
      <w:r w:rsidR="000B00DB" w:rsidRPr="00BE684E">
        <w:rPr>
          <w:sz w:val="24"/>
        </w:rPr>
        <w:t>Candidate events include positive blood cultures, intravenous antimicrobials, or vascular site infection (e.g. pus, redness, or increased swelling</w:t>
      </w:r>
      <w:r w:rsidR="000B00DB">
        <w:rPr>
          <w:sz w:val="24"/>
        </w:rPr>
        <w:t>)</w:t>
      </w:r>
      <w:r w:rsidRPr="00B04BD2">
        <w:rPr>
          <w:sz w:val="24"/>
        </w:rPr>
        <w:t xml:space="preserve">. </w:t>
      </w:r>
    </w:p>
    <w:p w:rsidR="00E649C2" w:rsidRDefault="00E649C2" w:rsidP="00E738D4">
      <w:pPr>
        <w:rPr>
          <w:sz w:val="24"/>
        </w:rPr>
      </w:pPr>
    </w:p>
    <w:p w:rsidR="00E649C2" w:rsidRDefault="00E649C2" w:rsidP="00E649C2">
      <w:pPr>
        <w:rPr>
          <w:sz w:val="24"/>
        </w:rPr>
      </w:pPr>
      <w:r>
        <w:rPr>
          <w:sz w:val="24"/>
        </w:rPr>
        <w:t>T</w:t>
      </w:r>
      <w:r w:rsidRPr="00E649C2">
        <w:rPr>
          <w:sz w:val="24"/>
        </w:rPr>
        <w:t xml:space="preserve">o ensure the reliability of the data collected by reviewers, we use two reviewers for each patient record. We systematically measure differences between reviewers for all patient records and provide ongoing training as needed to correct reviewer error tendencies. All discrepancies are reconciled by </w:t>
      </w:r>
      <w:r>
        <w:rPr>
          <w:sz w:val="24"/>
        </w:rPr>
        <w:t>a</w:t>
      </w:r>
      <w:r w:rsidRPr="00E649C2">
        <w:rPr>
          <w:sz w:val="24"/>
        </w:rPr>
        <w:t xml:space="preserve"> </w:t>
      </w:r>
      <w:r>
        <w:rPr>
          <w:sz w:val="24"/>
        </w:rPr>
        <w:t>third</w:t>
      </w:r>
      <w:r w:rsidRPr="00E649C2">
        <w:rPr>
          <w:sz w:val="24"/>
        </w:rPr>
        <w:t xml:space="preserve"> reviewer.</w:t>
      </w:r>
    </w:p>
    <w:p w:rsidR="00E649C2" w:rsidRPr="00E649C2" w:rsidRDefault="00E649C2" w:rsidP="00E649C2">
      <w:pPr>
        <w:rPr>
          <w:sz w:val="24"/>
        </w:rPr>
      </w:pPr>
    </w:p>
    <w:p w:rsidR="00E649C2" w:rsidRDefault="00E649C2" w:rsidP="00E649C2">
      <w:pPr>
        <w:rPr>
          <w:sz w:val="24"/>
        </w:rPr>
      </w:pPr>
      <w:r w:rsidRPr="00E649C2">
        <w:rPr>
          <w:sz w:val="24"/>
        </w:rPr>
        <w:t xml:space="preserve">Implementing this element of the study design enabled us to focus on reviewer accuracy rather than reviewer agreement. We used a system named </w:t>
      </w:r>
      <w:r w:rsidRPr="00E649C2">
        <w:rPr>
          <w:sz w:val="24"/>
          <w:lang w:bidi="en-US"/>
        </w:rPr>
        <w:t xml:space="preserve">CROWNWeb Abstraction Processing System (CAPS) </w:t>
      </w:r>
      <w:r w:rsidRPr="00E649C2">
        <w:rPr>
          <w:sz w:val="24"/>
        </w:rPr>
        <w:t xml:space="preserve">that presented to the </w:t>
      </w:r>
      <w:r>
        <w:rPr>
          <w:sz w:val="24"/>
        </w:rPr>
        <w:t>third</w:t>
      </w:r>
      <w:r w:rsidRPr="00E649C2">
        <w:rPr>
          <w:sz w:val="24"/>
        </w:rPr>
        <w:t xml:space="preserve"> reviewer a split screen page review that displayed the first and second reviewer results. This page provided the </w:t>
      </w:r>
      <w:r>
        <w:rPr>
          <w:sz w:val="24"/>
        </w:rPr>
        <w:t>third</w:t>
      </w:r>
      <w:r w:rsidRPr="00E649C2">
        <w:rPr>
          <w:sz w:val="24"/>
        </w:rPr>
        <w:t xml:space="preserve"> reviewer with the capability to identify any differences and make needed updates. Consequently, we always used </w:t>
      </w:r>
      <w:r>
        <w:rPr>
          <w:sz w:val="24"/>
        </w:rPr>
        <w:t>third</w:t>
      </w:r>
      <w:r w:rsidRPr="00E649C2">
        <w:rPr>
          <w:sz w:val="24"/>
        </w:rPr>
        <w:t xml:space="preserve"> reviewer </w:t>
      </w:r>
      <w:r>
        <w:rPr>
          <w:sz w:val="24"/>
        </w:rPr>
        <w:t xml:space="preserve">approved </w:t>
      </w:r>
      <w:r w:rsidRPr="00E649C2">
        <w:rPr>
          <w:sz w:val="24"/>
        </w:rPr>
        <w:t>results in our analysis.</w:t>
      </w:r>
    </w:p>
    <w:p w:rsidR="00E649C2" w:rsidRPr="00E649C2" w:rsidRDefault="00E649C2" w:rsidP="00E649C2">
      <w:pPr>
        <w:rPr>
          <w:sz w:val="24"/>
        </w:rPr>
      </w:pPr>
    </w:p>
    <w:p w:rsidR="00E738D4" w:rsidRPr="00B04BD2" w:rsidRDefault="00E649C2" w:rsidP="00CC3F03">
      <w:pPr>
        <w:rPr>
          <w:i/>
          <w:sz w:val="24"/>
          <w:vertAlign w:val="superscript"/>
          <w:lang w:bidi="en-US"/>
        </w:rPr>
      </w:pPr>
      <w:r w:rsidRPr="00E649C2">
        <w:rPr>
          <w:sz w:val="24"/>
        </w:rPr>
        <w:t>Additionally, reviewers made full use of the Consult feature of CAPS. Whenever either reviewer needed to reach out to a more experienced reviewer, the person could move the patient record to the Consult phase. There the two of them could resolve the issue and then move the record back to the point where regular review processing was interrupted.</w:t>
      </w:r>
      <w:bookmarkStart w:id="9" w:name="Table5"/>
      <w:bookmarkStart w:id="10" w:name="Table6"/>
      <w:bookmarkEnd w:id="9"/>
      <w:bookmarkEnd w:id="10"/>
    </w:p>
    <w:p w:rsidR="00E738D4" w:rsidRPr="00B04BD2" w:rsidRDefault="00E738D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26D00" w:rsidRPr="00B04BD2" w:rsidRDefault="00D26D00" w:rsidP="00D26D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B04BD2">
        <w:rPr>
          <w:b/>
          <w:sz w:val="24"/>
        </w:rPr>
        <w:t>4.</w:t>
      </w:r>
      <w:r w:rsidRPr="00B04BD2">
        <w:rPr>
          <w:b/>
          <w:sz w:val="24"/>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sidR="00EA6EF1">
        <w:rPr>
          <w:b/>
          <w:sz w:val="24"/>
        </w:rPr>
        <w:t>submitted for approval separate</w:t>
      </w:r>
      <w:r w:rsidRPr="00B04BD2">
        <w:rPr>
          <w:b/>
          <w:sz w:val="24"/>
        </w:rPr>
        <w:t>ly or in combination with the main collection of information.</w:t>
      </w:r>
    </w:p>
    <w:p w:rsidR="00E738D4" w:rsidRDefault="00E738D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A6EF1" w:rsidRPr="005D01AE" w:rsidRDefault="00EA6EF1" w:rsidP="00EA6E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noted above, </w:t>
      </w:r>
      <w:r>
        <w:rPr>
          <w:sz w:val="24"/>
          <w:lang w:bidi="en-US"/>
        </w:rPr>
        <w:t>t</w:t>
      </w:r>
      <w:r w:rsidRPr="00B04BD2">
        <w:rPr>
          <w:sz w:val="24"/>
          <w:lang w:bidi="en-US"/>
        </w:rPr>
        <w:t>he sample pool will consist of Medicare-certified dialysis facilities that are required to submit administrative and clinical data into CROWNWeb to meet Section 494.108(h) of the 2008 updated Conditions for Coverage</w:t>
      </w:r>
      <w:r>
        <w:rPr>
          <w:sz w:val="24"/>
          <w:lang w:bidi="en-US"/>
        </w:rPr>
        <w:t xml:space="preserve"> for ESRD Dialysis Facilities. </w:t>
      </w:r>
      <w:r w:rsidR="00E649C2">
        <w:rPr>
          <w:sz w:val="24"/>
          <w:lang w:bidi="en-US"/>
        </w:rPr>
        <w:t xml:space="preserve">Although </w:t>
      </w:r>
      <w:r>
        <w:rPr>
          <w:sz w:val="24"/>
          <w:lang w:bidi="en-US"/>
        </w:rPr>
        <w:t xml:space="preserve">previous experience </w:t>
      </w:r>
      <w:r w:rsidRPr="005D01AE">
        <w:rPr>
          <w:sz w:val="24"/>
          <w:lang w:bidi="en-US"/>
        </w:rPr>
        <w:t>on past CMS NHSN validation effort</w:t>
      </w:r>
      <w:r w:rsidR="00730ADB">
        <w:rPr>
          <w:sz w:val="24"/>
          <w:lang w:bidi="en-US"/>
        </w:rPr>
        <w:t>s</w:t>
      </w:r>
      <w:r>
        <w:rPr>
          <w:sz w:val="24"/>
          <w:lang w:bidi="en-US"/>
        </w:rPr>
        <w:t xml:space="preserve"> have shown near universal compliance with medical record requests</w:t>
      </w:r>
      <w:r w:rsidR="00E649C2">
        <w:rPr>
          <w:sz w:val="24"/>
          <w:lang w:bidi="en-US"/>
        </w:rPr>
        <w:t>,</w:t>
      </w:r>
      <w:r w:rsidR="00E2704D">
        <w:rPr>
          <w:sz w:val="24"/>
          <w:lang w:bidi="en-US"/>
        </w:rPr>
        <w:t xml:space="preserve"> </w:t>
      </w:r>
      <w:r w:rsidR="00E649C2">
        <w:rPr>
          <w:sz w:val="24"/>
          <w:lang w:bidi="en-US"/>
        </w:rPr>
        <w:t>new</w:t>
      </w:r>
      <w:r w:rsidR="00E2704D" w:rsidRPr="00E2704D">
        <w:rPr>
          <w:sz w:val="24"/>
          <w:lang w:bidi="en-US"/>
        </w:rPr>
        <w:t xml:space="preserve"> procedures or methods </w:t>
      </w:r>
      <w:r w:rsidR="00EA3BE7">
        <w:rPr>
          <w:sz w:val="24"/>
          <w:lang w:bidi="en-US"/>
        </w:rPr>
        <w:t>may need to be</w:t>
      </w:r>
      <w:r w:rsidR="00E2704D" w:rsidRPr="00E2704D">
        <w:rPr>
          <w:sz w:val="24"/>
          <w:lang w:bidi="en-US"/>
        </w:rPr>
        <w:t xml:space="preserve"> undertaken</w:t>
      </w:r>
      <w:r w:rsidR="00E2704D">
        <w:rPr>
          <w:sz w:val="24"/>
          <w:lang w:bidi="en-US"/>
        </w:rPr>
        <w:t xml:space="preserve"> </w:t>
      </w:r>
      <w:r w:rsidR="00EA3BE7">
        <w:rPr>
          <w:sz w:val="24"/>
          <w:lang w:bidi="en-US"/>
        </w:rPr>
        <w:t>to ensure that an expanded number of sampled facilities can be managed appropriately</w:t>
      </w:r>
      <w:r w:rsidR="00E2704D">
        <w:rPr>
          <w:sz w:val="24"/>
          <w:lang w:bidi="en-US"/>
        </w:rPr>
        <w:t>.</w:t>
      </w:r>
    </w:p>
    <w:p w:rsidR="005D01AE" w:rsidRDefault="005D01AE"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24E5"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D26D00">
        <w:rPr>
          <w:b/>
          <w:sz w:val="24"/>
        </w:rPr>
        <w:t>5.</w:t>
      </w:r>
      <w:r w:rsidRPr="00D26D00">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BE30D1" w:rsidRDefault="00BE30D1"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BE30D1" w:rsidRDefault="0024462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44625">
        <w:rPr>
          <w:sz w:val="24"/>
        </w:rPr>
        <w:t>Khalil Abdul-Rahman</w:t>
      </w:r>
      <w:r w:rsidR="00BE30D1">
        <w:rPr>
          <w:sz w:val="24"/>
        </w:rPr>
        <w:t xml:space="preserve">, </w:t>
      </w:r>
      <w:r>
        <w:rPr>
          <w:sz w:val="24"/>
        </w:rPr>
        <w:t>RELI Group</w:t>
      </w:r>
      <w:r w:rsidR="00BE30D1">
        <w:rPr>
          <w:sz w:val="24"/>
        </w:rPr>
        <w:t>,</w:t>
      </w:r>
      <w:r>
        <w:rPr>
          <w:sz w:val="24"/>
        </w:rPr>
        <w:t xml:space="preserve"> </w:t>
      </w:r>
      <w:r w:rsidR="00BE30D1">
        <w:rPr>
          <w:sz w:val="24"/>
        </w:rPr>
        <w:t xml:space="preserve">(410) </w:t>
      </w:r>
      <w:r>
        <w:rPr>
          <w:sz w:val="24"/>
        </w:rPr>
        <w:t>533-2384</w:t>
      </w:r>
    </w:p>
    <w:p w:rsidR="00BE30D1" w:rsidRPr="00BE30D1" w:rsidRDefault="0024462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Siva Bala</w:t>
      </w:r>
      <w:r w:rsidR="00BE30D1">
        <w:rPr>
          <w:sz w:val="24"/>
        </w:rPr>
        <w:t xml:space="preserve">, </w:t>
      </w:r>
      <w:r>
        <w:rPr>
          <w:sz w:val="24"/>
        </w:rPr>
        <w:t>RELI Group</w:t>
      </w:r>
      <w:r w:rsidR="00BE30D1">
        <w:rPr>
          <w:sz w:val="24"/>
        </w:rPr>
        <w:t>,</w:t>
      </w:r>
      <w:r>
        <w:rPr>
          <w:sz w:val="24"/>
        </w:rPr>
        <w:t xml:space="preserve"> </w:t>
      </w:r>
      <w:r w:rsidR="00BE30D1">
        <w:rPr>
          <w:sz w:val="24"/>
        </w:rPr>
        <w:t>(4</w:t>
      </w:r>
      <w:r>
        <w:rPr>
          <w:sz w:val="24"/>
        </w:rPr>
        <w:t>40</w:t>
      </w:r>
      <w:r w:rsidR="00BE30D1">
        <w:rPr>
          <w:sz w:val="24"/>
        </w:rPr>
        <w:t xml:space="preserve">) </w:t>
      </w:r>
      <w:r>
        <w:rPr>
          <w:sz w:val="24"/>
        </w:rPr>
        <w:t>382-7415</w:t>
      </w:r>
    </w:p>
    <w:sectPr w:rsidR="00BE30D1" w:rsidRPr="00BE30D1" w:rsidSect="00E738D4">
      <w:headerReference w:type="default" r:id="rId10"/>
      <w:footerReference w:type="default" r:id="rId11"/>
      <w:endnotePr>
        <w:numFmt w:val="decimal"/>
      </w:endnotePr>
      <w:pgSz w:w="12240" w:h="15840"/>
      <w:pgMar w:top="1440" w:right="1440" w:bottom="1440" w:left="1440" w:header="1440" w:footer="1440" w:gutter="0"/>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84B79B" w16cid:durableId="1F008AB7"/>
  <w16cid:commentId w16cid:paraId="214E4D75" w16cid:durableId="1F0323CD"/>
  <w16cid:commentId w16cid:paraId="1E178E4A" w16cid:durableId="1F008A6F"/>
  <w16cid:commentId w16cid:paraId="038FF22C" w16cid:durableId="1F0324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7B" w:rsidRDefault="001D287B">
      <w:r>
        <w:separator/>
      </w:r>
    </w:p>
  </w:endnote>
  <w:endnote w:type="continuationSeparator" w:id="0">
    <w:p w:rsidR="001D287B" w:rsidRDefault="001D287B">
      <w:r>
        <w:continuationSeparator/>
      </w:r>
    </w:p>
  </w:endnote>
  <w:endnote w:type="continuationNotice" w:id="1">
    <w:p w:rsidR="001D287B" w:rsidRDefault="001D2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8F" w:rsidRDefault="00847C8F">
    <w:pPr>
      <w:spacing w:line="240" w:lineRule="exact"/>
    </w:pPr>
  </w:p>
  <w:p w:rsidR="00847C8F" w:rsidRDefault="00847C8F">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A6DE4">
      <w:rPr>
        <w:noProof/>
        <w:sz w:val="24"/>
      </w:rPr>
      <w:t>1</w:t>
    </w:r>
    <w:r>
      <w:rPr>
        <w:sz w:val="24"/>
      </w:rPr>
      <w:fldChar w:fldCharType="end"/>
    </w:r>
  </w:p>
  <w:p w:rsidR="00847C8F" w:rsidRDefault="00847C8F">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7B" w:rsidRDefault="001D287B">
      <w:r>
        <w:separator/>
      </w:r>
    </w:p>
  </w:footnote>
  <w:footnote w:type="continuationSeparator" w:id="0">
    <w:p w:rsidR="001D287B" w:rsidRDefault="001D287B">
      <w:r>
        <w:continuationSeparator/>
      </w:r>
    </w:p>
  </w:footnote>
  <w:footnote w:type="continuationNotice" w:id="1">
    <w:p w:rsidR="001D287B" w:rsidRDefault="001D28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F03" w:rsidRDefault="00CC3F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A7D"/>
    <w:multiLevelType w:val="hybridMultilevel"/>
    <w:tmpl w:val="AB2AF3E4"/>
    <w:lvl w:ilvl="0" w:tplc="04090001">
      <w:start w:val="1"/>
      <w:numFmt w:val="bullet"/>
      <w:lvlText w:val=""/>
      <w:lvlJc w:val="left"/>
      <w:pPr>
        <w:ind w:left="996" w:hanging="360"/>
      </w:pPr>
      <w:rPr>
        <w:rFonts w:ascii="Symbol" w:hAnsi="Symbol"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nsid w:val="0CF37F44"/>
    <w:multiLevelType w:val="multilevel"/>
    <w:tmpl w:val="61961CA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61F4AC1"/>
    <w:multiLevelType w:val="hybridMultilevel"/>
    <w:tmpl w:val="0D443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0D6096A"/>
    <w:multiLevelType w:val="multilevel"/>
    <w:tmpl w:val="AA587780"/>
    <w:lvl w:ilvl="0">
      <w:start w:val="1"/>
      <w:numFmt w:val="bullet"/>
      <w:lvlText w:val=""/>
      <w:lvlJc w:val="left"/>
      <w:pPr>
        <w:ind w:left="360" w:hanging="360"/>
      </w:pPr>
      <w:rPr>
        <w:rFonts w:ascii="Symbol" w:hAnsi="Symbol" w:hint="default"/>
        <w:color w:val="293E6B"/>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0424652"/>
    <w:multiLevelType w:val="hybridMultilevel"/>
    <w:tmpl w:val="E418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962875"/>
    <w:multiLevelType w:val="hybridMultilevel"/>
    <w:tmpl w:val="821E3CD8"/>
    <w:lvl w:ilvl="0" w:tplc="04090001">
      <w:start w:val="1"/>
      <w:numFmt w:val="bullet"/>
      <w:lvlText w:val=""/>
      <w:lvlJc w:val="left"/>
      <w:pPr>
        <w:ind w:left="996" w:hanging="360"/>
      </w:pPr>
      <w:rPr>
        <w:rFonts w:ascii="Symbol" w:hAnsi="Symbol"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9">
    <w:nsid w:val="65105EF4"/>
    <w:multiLevelType w:val="hybridMultilevel"/>
    <w:tmpl w:val="74A429E4"/>
    <w:lvl w:ilvl="0" w:tplc="04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5"/>
  </w:num>
  <w:num w:numId="2">
    <w:abstractNumId w:val="1"/>
  </w:num>
  <w:num w:numId="3">
    <w:abstractNumId w:val="10"/>
  </w:num>
  <w:num w:numId="4">
    <w:abstractNumId w:val="3"/>
  </w:num>
  <w:num w:numId="5">
    <w:abstractNumId w:val="6"/>
  </w:num>
  <w:num w:numId="6">
    <w:abstractNumId w:val="9"/>
  </w:num>
  <w:num w:numId="7">
    <w:abstractNumId w:val="7"/>
  </w:num>
  <w:num w:numId="8">
    <w:abstractNumId w:val="0"/>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04A76"/>
    <w:rsid w:val="00025A3E"/>
    <w:rsid w:val="00025EA3"/>
    <w:rsid w:val="00036D21"/>
    <w:rsid w:val="00045C09"/>
    <w:rsid w:val="000530ED"/>
    <w:rsid w:val="00055EC6"/>
    <w:rsid w:val="000677B4"/>
    <w:rsid w:val="00074222"/>
    <w:rsid w:val="00087563"/>
    <w:rsid w:val="000A1049"/>
    <w:rsid w:val="000A2302"/>
    <w:rsid w:val="000A6DE4"/>
    <w:rsid w:val="000B00DB"/>
    <w:rsid w:val="000B5DD7"/>
    <w:rsid w:val="000E5889"/>
    <w:rsid w:val="0011471B"/>
    <w:rsid w:val="00156A3A"/>
    <w:rsid w:val="00170AB3"/>
    <w:rsid w:val="0018646B"/>
    <w:rsid w:val="0019141D"/>
    <w:rsid w:val="001C1B7F"/>
    <w:rsid w:val="001D287B"/>
    <w:rsid w:val="001F0CC5"/>
    <w:rsid w:val="00211E12"/>
    <w:rsid w:val="00233DDE"/>
    <w:rsid w:val="00235E74"/>
    <w:rsid w:val="00244625"/>
    <w:rsid w:val="00267AA0"/>
    <w:rsid w:val="00291F57"/>
    <w:rsid w:val="002B6C05"/>
    <w:rsid w:val="002C037C"/>
    <w:rsid w:val="002C5C5E"/>
    <w:rsid w:val="002D2DAA"/>
    <w:rsid w:val="002E5B3D"/>
    <w:rsid w:val="00320211"/>
    <w:rsid w:val="00353A37"/>
    <w:rsid w:val="00365116"/>
    <w:rsid w:val="0036726F"/>
    <w:rsid w:val="00376F07"/>
    <w:rsid w:val="003A3BE8"/>
    <w:rsid w:val="003A4FD7"/>
    <w:rsid w:val="003A5008"/>
    <w:rsid w:val="003B0DE5"/>
    <w:rsid w:val="003D349A"/>
    <w:rsid w:val="003F2705"/>
    <w:rsid w:val="003F3056"/>
    <w:rsid w:val="003F363D"/>
    <w:rsid w:val="00435CE8"/>
    <w:rsid w:val="00453AF1"/>
    <w:rsid w:val="00495902"/>
    <w:rsid w:val="004B525B"/>
    <w:rsid w:val="004D09D6"/>
    <w:rsid w:val="004D3C96"/>
    <w:rsid w:val="004D6F26"/>
    <w:rsid w:val="004E55B5"/>
    <w:rsid w:val="004E6772"/>
    <w:rsid w:val="0050210E"/>
    <w:rsid w:val="0050240E"/>
    <w:rsid w:val="00510CF2"/>
    <w:rsid w:val="00515769"/>
    <w:rsid w:val="00523FC7"/>
    <w:rsid w:val="00532D39"/>
    <w:rsid w:val="00555BC4"/>
    <w:rsid w:val="00566FDB"/>
    <w:rsid w:val="005B62CC"/>
    <w:rsid w:val="005D01AE"/>
    <w:rsid w:val="005D5409"/>
    <w:rsid w:val="005F1AF9"/>
    <w:rsid w:val="005F77FB"/>
    <w:rsid w:val="00610978"/>
    <w:rsid w:val="00612C96"/>
    <w:rsid w:val="00653DE5"/>
    <w:rsid w:val="00665973"/>
    <w:rsid w:val="00673CC5"/>
    <w:rsid w:val="00676E44"/>
    <w:rsid w:val="006A5C3D"/>
    <w:rsid w:val="006C1F64"/>
    <w:rsid w:val="007106D1"/>
    <w:rsid w:val="00714AB6"/>
    <w:rsid w:val="00723DE1"/>
    <w:rsid w:val="00730ADB"/>
    <w:rsid w:val="007600E5"/>
    <w:rsid w:val="00774750"/>
    <w:rsid w:val="00780DDD"/>
    <w:rsid w:val="007D43DF"/>
    <w:rsid w:val="007D5C97"/>
    <w:rsid w:val="007D7981"/>
    <w:rsid w:val="007F3DF0"/>
    <w:rsid w:val="007F5587"/>
    <w:rsid w:val="0080081F"/>
    <w:rsid w:val="0080491C"/>
    <w:rsid w:val="00807EC6"/>
    <w:rsid w:val="008222CE"/>
    <w:rsid w:val="00847C8F"/>
    <w:rsid w:val="00855B26"/>
    <w:rsid w:val="008640BD"/>
    <w:rsid w:val="008642AE"/>
    <w:rsid w:val="00871A13"/>
    <w:rsid w:val="008745EC"/>
    <w:rsid w:val="008914F3"/>
    <w:rsid w:val="008B7608"/>
    <w:rsid w:val="008C03DC"/>
    <w:rsid w:val="008C2AE4"/>
    <w:rsid w:val="008C746F"/>
    <w:rsid w:val="008D2DA0"/>
    <w:rsid w:val="008F71B8"/>
    <w:rsid w:val="0094249F"/>
    <w:rsid w:val="00954824"/>
    <w:rsid w:val="00957115"/>
    <w:rsid w:val="00963AB5"/>
    <w:rsid w:val="00991228"/>
    <w:rsid w:val="009C7A4C"/>
    <w:rsid w:val="009D45D1"/>
    <w:rsid w:val="009E30B0"/>
    <w:rsid w:val="009F5533"/>
    <w:rsid w:val="00A32E82"/>
    <w:rsid w:val="00A44BBB"/>
    <w:rsid w:val="00A64F16"/>
    <w:rsid w:val="00A84CF3"/>
    <w:rsid w:val="00A85BBF"/>
    <w:rsid w:val="00A94F07"/>
    <w:rsid w:val="00A957DE"/>
    <w:rsid w:val="00AA02E8"/>
    <w:rsid w:val="00AA03F1"/>
    <w:rsid w:val="00AA4E27"/>
    <w:rsid w:val="00AC3D26"/>
    <w:rsid w:val="00AC78DC"/>
    <w:rsid w:val="00B04BD2"/>
    <w:rsid w:val="00B46158"/>
    <w:rsid w:val="00B46368"/>
    <w:rsid w:val="00B54BA1"/>
    <w:rsid w:val="00B8757A"/>
    <w:rsid w:val="00BB2A2E"/>
    <w:rsid w:val="00BD12F7"/>
    <w:rsid w:val="00BE24E5"/>
    <w:rsid w:val="00BE267B"/>
    <w:rsid w:val="00BE30D1"/>
    <w:rsid w:val="00BF5276"/>
    <w:rsid w:val="00C054D3"/>
    <w:rsid w:val="00C24419"/>
    <w:rsid w:val="00C46C1B"/>
    <w:rsid w:val="00C82522"/>
    <w:rsid w:val="00CC3F03"/>
    <w:rsid w:val="00D04278"/>
    <w:rsid w:val="00D26D00"/>
    <w:rsid w:val="00D87560"/>
    <w:rsid w:val="00DB2B7C"/>
    <w:rsid w:val="00DD2537"/>
    <w:rsid w:val="00DF611D"/>
    <w:rsid w:val="00E134DE"/>
    <w:rsid w:val="00E13C3B"/>
    <w:rsid w:val="00E222CC"/>
    <w:rsid w:val="00E247FE"/>
    <w:rsid w:val="00E2704D"/>
    <w:rsid w:val="00E5582D"/>
    <w:rsid w:val="00E55972"/>
    <w:rsid w:val="00E649C2"/>
    <w:rsid w:val="00E71E4B"/>
    <w:rsid w:val="00E738D4"/>
    <w:rsid w:val="00E82F8E"/>
    <w:rsid w:val="00E84D22"/>
    <w:rsid w:val="00E96B80"/>
    <w:rsid w:val="00EA3BE7"/>
    <w:rsid w:val="00EA6EF1"/>
    <w:rsid w:val="00EE016B"/>
    <w:rsid w:val="00F21583"/>
    <w:rsid w:val="00F3030F"/>
    <w:rsid w:val="00F54E61"/>
    <w:rsid w:val="00F76A29"/>
    <w:rsid w:val="00F85980"/>
    <w:rsid w:val="00FD2DE5"/>
    <w:rsid w:val="00FF0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atentStyles>
  <w:style w:type="paragraph" w:default="1" w:styleId="Normal">
    <w:name w:val="Normal"/>
    <w:qFormat/>
    <w:rsid w:val="00CC3F03"/>
    <w:pPr>
      <w:widowControl w:val="0"/>
      <w:autoSpaceDE w:val="0"/>
      <w:autoSpaceDN w:val="0"/>
      <w:adjustRightInd w:val="0"/>
    </w:pPr>
    <w:rPr>
      <w:szCs w:val="24"/>
    </w:rPr>
  </w:style>
  <w:style w:type="paragraph" w:styleId="Heading1">
    <w:name w:val="heading 1"/>
    <w:basedOn w:val="Normal"/>
    <w:next w:val="Normal"/>
    <w:link w:val="Heading1Char"/>
    <w:qFormat/>
    <w:rsid w:val="00E738D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738D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E738D4"/>
    <w:pPr>
      <w:keepLines/>
      <w:widowControl/>
      <w:autoSpaceDE/>
      <w:autoSpaceDN/>
      <w:adjustRightInd/>
      <w:spacing w:before="200" w:after="0"/>
    </w:pPr>
    <w:rPr>
      <w:i w:val="0"/>
      <w:iCs w:val="0"/>
      <w:color w:val="1F497D"/>
      <w:sz w:val="26"/>
      <w:szCs w:val="26"/>
    </w:rPr>
  </w:style>
  <w:style w:type="character" w:customStyle="1" w:styleId="11ASTHeading2Char">
    <w:name w:val="1.1 AST Heading 2 Char"/>
    <w:link w:val="11ASTHeading2"/>
    <w:rsid w:val="00E738D4"/>
    <w:rPr>
      <w:rFonts w:ascii="Calibri Light" w:eastAsia="Times New Roman" w:hAnsi="Calibri Light" w:cs="Times New Roman"/>
      <w:b/>
      <w:bCs/>
      <w:color w:val="1F497D"/>
      <w:sz w:val="26"/>
      <w:szCs w:val="26"/>
    </w:rPr>
  </w:style>
  <w:style w:type="table" w:customStyle="1" w:styleId="LightGrid-Accent121">
    <w:name w:val="Light Grid - Accent 121"/>
    <w:basedOn w:val="TableNormal"/>
    <w:next w:val="ColorfulShading-Accent2"/>
    <w:uiPriority w:val="62"/>
    <w:rsid w:val="00E738D4"/>
    <w:rPr>
      <w:rFonts w:eastAsia="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Times New Roman"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Times New Roman"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next w:val="ColorfulShading-Accent2"/>
    <w:uiPriority w:val="62"/>
    <w:rsid w:val="00E738D4"/>
    <w:rPr>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urier New" w:eastAsia="Times New Roman" w:hAnsi="Courier Ne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New" w:eastAsia="Times New Roman" w:hAnsi="Courier Ne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next w:val="ColorfulShading-Accent2"/>
    <w:uiPriority w:val="62"/>
    <w:rsid w:val="00E738D4"/>
    <w:rPr>
      <w:rFonts w:eastAsia="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2Char">
    <w:name w:val="Heading 2 Char"/>
    <w:link w:val="Heading2"/>
    <w:semiHidden/>
    <w:rsid w:val="00E738D4"/>
    <w:rPr>
      <w:rFonts w:ascii="Calibri Light" w:eastAsia="Times New Roman" w:hAnsi="Calibri Light" w:cs="Times New Roman"/>
      <w:b/>
      <w:bCs/>
      <w:i/>
      <w:iCs/>
      <w:sz w:val="28"/>
      <w:szCs w:val="28"/>
    </w:rPr>
  </w:style>
  <w:style w:type="table" w:styleId="ColorfulShading-Accent2">
    <w:name w:val="Colorful Shading Accent 2"/>
    <w:basedOn w:val="TableNormal"/>
    <w:uiPriority w:val="62"/>
    <w:semiHidden/>
    <w:unhideWhenUsed/>
    <w:rsid w:val="00E738D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ourier" w:eastAsia="Times New Roman" w:hAnsi="Courier"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ourier" w:eastAsia="Times New Roman" w:hAnsi="Courier"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1">
    <w:name w:val="Light Grid - Accent 11"/>
    <w:basedOn w:val="TableNormal"/>
    <w:next w:val="ColorfulShading-Accent2"/>
    <w:uiPriority w:val="62"/>
    <w:rsid w:val="00E738D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STHeading1">
    <w:name w:val="AST Heading 1"/>
    <w:basedOn w:val="Heading1"/>
    <w:next w:val="Normal"/>
    <w:link w:val="ASTHeading1Char"/>
    <w:qFormat/>
    <w:rsid w:val="00E738D4"/>
    <w:pPr>
      <w:keepLines/>
      <w:widowControl/>
      <w:autoSpaceDE/>
      <w:autoSpaceDN/>
      <w:adjustRightInd/>
      <w:spacing w:before="480" w:after="0"/>
    </w:pPr>
    <w:rPr>
      <w:rFonts w:ascii="Times New Roman" w:hAnsi="Times New Roman"/>
      <w:color w:val="1F497D"/>
      <w:kern w:val="0"/>
      <w:sz w:val="28"/>
      <w:szCs w:val="28"/>
    </w:rPr>
  </w:style>
  <w:style w:type="character" w:customStyle="1" w:styleId="ASTHeading1Char">
    <w:name w:val="AST Heading 1 Char"/>
    <w:link w:val="ASTHeading1"/>
    <w:rsid w:val="00E738D4"/>
    <w:rPr>
      <w:rFonts w:eastAsia="Times New Roman" w:cs="Times New Roman"/>
      <w:b/>
      <w:bCs/>
      <w:color w:val="1F497D"/>
      <w:sz w:val="28"/>
      <w:szCs w:val="28"/>
    </w:rPr>
  </w:style>
  <w:style w:type="character" w:customStyle="1" w:styleId="Heading1Char">
    <w:name w:val="Heading 1 Char"/>
    <w:link w:val="Heading1"/>
    <w:rsid w:val="00E738D4"/>
    <w:rPr>
      <w:rFonts w:ascii="Calibri Light" w:eastAsia="Times New Roman" w:hAnsi="Calibri Light" w:cs="Times New Roman"/>
      <w:b/>
      <w:bCs/>
      <w:kern w:val="32"/>
      <w:sz w:val="32"/>
      <w:szCs w:val="32"/>
    </w:rPr>
  </w:style>
  <w:style w:type="paragraph" w:customStyle="1" w:styleId="LightGrid-Accent31">
    <w:name w:val="Light Grid - Accent 31"/>
    <w:aliases w:val="Add On (orange)"/>
    <w:basedOn w:val="Normal"/>
    <w:link w:val="LightGrid-Accent3Char"/>
    <w:uiPriority w:val="34"/>
    <w:qFormat/>
    <w:rsid w:val="00515769"/>
    <w:pPr>
      <w:widowControl/>
      <w:autoSpaceDE/>
      <w:autoSpaceDN/>
      <w:adjustRightInd/>
      <w:spacing w:after="200"/>
      <w:ind w:left="720"/>
      <w:contextualSpacing/>
    </w:pPr>
    <w:rPr>
      <w:rFonts w:ascii="Calibri" w:eastAsia="Calibri" w:hAnsi="Calibri"/>
      <w:sz w:val="24"/>
    </w:rPr>
  </w:style>
  <w:style w:type="character" w:customStyle="1" w:styleId="LightGrid-Accent3Char">
    <w:name w:val="Light Grid - Accent 3 Char"/>
    <w:aliases w:val="Add On (orange) Char"/>
    <w:link w:val="LightGrid-Accent31"/>
    <w:uiPriority w:val="34"/>
    <w:locked/>
    <w:rsid w:val="00515769"/>
    <w:rPr>
      <w:rFonts w:ascii="Calibri" w:eastAsia="Calibri" w:hAnsi="Calibri"/>
      <w:sz w:val="24"/>
      <w:szCs w:val="24"/>
    </w:rPr>
  </w:style>
  <w:style w:type="paragraph" w:styleId="BalloonText">
    <w:name w:val="Balloon Text"/>
    <w:basedOn w:val="Normal"/>
    <w:link w:val="BalloonTextChar"/>
    <w:rsid w:val="008745EC"/>
    <w:rPr>
      <w:rFonts w:ascii="Tahoma" w:hAnsi="Tahoma" w:cs="Tahoma"/>
      <w:sz w:val="16"/>
      <w:szCs w:val="16"/>
    </w:rPr>
  </w:style>
  <w:style w:type="character" w:customStyle="1" w:styleId="BalloonTextChar">
    <w:name w:val="Balloon Text Char"/>
    <w:link w:val="BalloonText"/>
    <w:rsid w:val="008745EC"/>
    <w:rPr>
      <w:rFonts w:ascii="Tahoma" w:hAnsi="Tahoma" w:cs="Tahoma"/>
      <w:sz w:val="16"/>
      <w:szCs w:val="16"/>
    </w:rPr>
  </w:style>
  <w:style w:type="character" w:styleId="CommentReference">
    <w:name w:val="annotation reference"/>
    <w:rsid w:val="00E222CC"/>
    <w:rPr>
      <w:sz w:val="16"/>
      <w:szCs w:val="16"/>
    </w:rPr>
  </w:style>
  <w:style w:type="paragraph" w:styleId="CommentText">
    <w:name w:val="annotation text"/>
    <w:basedOn w:val="Normal"/>
    <w:link w:val="CommentTextChar"/>
    <w:rsid w:val="00E222CC"/>
    <w:rPr>
      <w:szCs w:val="20"/>
    </w:rPr>
  </w:style>
  <w:style w:type="character" w:customStyle="1" w:styleId="CommentTextChar">
    <w:name w:val="Comment Text Char"/>
    <w:basedOn w:val="DefaultParagraphFont"/>
    <w:link w:val="CommentText"/>
    <w:rsid w:val="00E222CC"/>
  </w:style>
  <w:style w:type="paragraph" w:styleId="CommentSubject">
    <w:name w:val="annotation subject"/>
    <w:basedOn w:val="CommentText"/>
    <w:next w:val="CommentText"/>
    <w:link w:val="CommentSubjectChar"/>
    <w:rsid w:val="00E222CC"/>
    <w:rPr>
      <w:b/>
      <w:bCs/>
    </w:rPr>
  </w:style>
  <w:style w:type="character" w:customStyle="1" w:styleId="CommentSubjectChar">
    <w:name w:val="Comment Subject Char"/>
    <w:link w:val="CommentSubject"/>
    <w:rsid w:val="00E222CC"/>
    <w:rPr>
      <w:b/>
      <w:bCs/>
    </w:rPr>
  </w:style>
  <w:style w:type="paragraph" w:styleId="DocumentMap">
    <w:name w:val="Document Map"/>
    <w:basedOn w:val="Normal"/>
    <w:link w:val="DocumentMapChar"/>
    <w:rsid w:val="008642AE"/>
    <w:rPr>
      <w:sz w:val="24"/>
    </w:rPr>
  </w:style>
  <w:style w:type="character" w:customStyle="1" w:styleId="DocumentMapChar">
    <w:name w:val="Document Map Char"/>
    <w:link w:val="DocumentMap"/>
    <w:rsid w:val="008642AE"/>
    <w:rPr>
      <w:sz w:val="24"/>
      <w:szCs w:val="24"/>
    </w:rPr>
  </w:style>
  <w:style w:type="paragraph" w:customStyle="1" w:styleId="ColorfulShading-Accent11">
    <w:name w:val="Colorful Shading - Accent 11"/>
    <w:hidden/>
    <w:uiPriority w:val="62"/>
    <w:unhideWhenUsed/>
    <w:rsid w:val="008642AE"/>
    <w:rPr>
      <w:szCs w:val="24"/>
    </w:rPr>
  </w:style>
  <w:style w:type="character" w:styleId="Hyperlink">
    <w:name w:val="Hyperlink"/>
    <w:rsid w:val="004E55B5"/>
    <w:rPr>
      <w:color w:val="0000FF"/>
      <w:u w:val="single"/>
    </w:rPr>
  </w:style>
  <w:style w:type="table" w:customStyle="1" w:styleId="GridTable6ColorfulAccent5">
    <w:name w:val="Grid Table 6 Colorful Accent 5"/>
    <w:basedOn w:val="TableNormal"/>
    <w:uiPriority w:val="51"/>
    <w:rsid w:val="0049590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ody">
    <w:name w:val="Body"/>
    <w:rsid w:val="00495902"/>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table" w:styleId="TableGrid">
    <w:name w:val="Table Grid"/>
    <w:basedOn w:val="TableNormal"/>
    <w:rsid w:val="003F2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3F03"/>
    <w:pPr>
      <w:tabs>
        <w:tab w:val="center" w:pos="4680"/>
        <w:tab w:val="right" w:pos="9360"/>
      </w:tabs>
    </w:pPr>
  </w:style>
  <w:style w:type="character" w:customStyle="1" w:styleId="HeaderChar">
    <w:name w:val="Header Char"/>
    <w:basedOn w:val="DefaultParagraphFont"/>
    <w:link w:val="Header"/>
    <w:rsid w:val="00CC3F0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atentStyles>
  <w:style w:type="paragraph" w:default="1" w:styleId="Normal">
    <w:name w:val="Normal"/>
    <w:qFormat/>
    <w:rsid w:val="00CC3F03"/>
    <w:pPr>
      <w:widowControl w:val="0"/>
      <w:autoSpaceDE w:val="0"/>
      <w:autoSpaceDN w:val="0"/>
      <w:adjustRightInd w:val="0"/>
    </w:pPr>
    <w:rPr>
      <w:szCs w:val="24"/>
    </w:rPr>
  </w:style>
  <w:style w:type="paragraph" w:styleId="Heading1">
    <w:name w:val="heading 1"/>
    <w:basedOn w:val="Normal"/>
    <w:next w:val="Normal"/>
    <w:link w:val="Heading1Char"/>
    <w:qFormat/>
    <w:rsid w:val="00E738D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E738D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E738D4"/>
    <w:pPr>
      <w:keepLines/>
      <w:widowControl/>
      <w:autoSpaceDE/>
      <w:autoSpaceDN/>
      <w:adjustRightInd/>
      <w:spacing w:before="200" w:after="0"/>
    </w:pPr>
    <w:rPr>
      <w:i w:val="0"/>
      <w:iCs w:val="0"/>
      <w:color w:val="1F497D"/>
      <w:sz w:val="26"/>
      <w:szCs w:val="26"/>
    </w:rPr>
  </w:style>
  <w:style w:type="character" w:customStyle="1" w:styleId="11ASTHeading2Char">
    <w:name w:val="1.1 AST Heading 2 Char"/>
    <w:link w:val="11ASTHeading2"/>
    <w:rsid w:val="00E738D4"/>
    <w:rPr>
      <w:rFonts w:ascii="Calibri Light" w:eastAsia="Times New Roman" w:hAnsi="Calibri Light" w:cs="Times New Roman"/>
      <w:b/>
      <w:bCs/>
      <w:color w:val="1F497D"/>
      <w:sz w:val="26"/>
      <w:szCs w:val="26"/>
    </w:rPr>
  </w:style>
  <w:style w:type="table" w:customStyle="1" w:styleId="LightGrid-Accent121">
    <w:name w:val="Light Grid - Accent 121"/>
    <w:basedOn w:val="TableNormal"/>
    <w:next w:val="ColorfulShading-Accent2"/>
    <w:uiPriority w:val="62"/>
    <w:rsid w:val="00E738D4"/>
    <w:rPr>
      <w:rFonts w:eastAsia="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Times New Roman"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Times New Roman"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next w:val="ColorfulShading-Accent2"/>
    <w:uiPriority w:val="62"/>
    <w:rsid w:val="00E738D4"/>
    <w:rPr>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urier New" w:eastAsia="Times New Roman" w:hAnsi="Courier Ne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New" w:eastAsia="Times New Roman" w:hAnsi="Courier Ne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next w:val="ColorfulShading-Accent2"/>
    <w:uiPriority w:val="62"/>
    <w:rsid w:val="00E738D4"/>
    <w:rPr>
      <w:rFonts w:eastAsia="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eading2Char">
    <w:name w:val="Heading 2 Char"/>
    <w:link w:val="Heading2"/>
    <w:semiHidden/>
    <w:rsid w:val="00E738D4"/>
    <w:rPr>
      <w:rFonts w:ascii="Calibri Light" w:eastAsia="Times New Roman" w:hAnsi="Calibri Light" w:cs="Times New Roman"/>
      <w:b/>
      <w:bCs/>
      <w:i/>
      <w:iCs/>
      <w:sz w:val="28"/>
      <w:szCs w:val="28"/>
    </w:rPr>
  </w:style>
  <w:style w:type="table" w:styleId="ColorfulShading-Accent2">
    <w:name w:val="Colorful Shading Accent 2"/>
    <w:basedOn w:val="TableNormal"/>
    <w:uiPriority w:val="62"/>
    <w:semiHidden/>
    <w:unhideWhenUsed/>
    <w:rsid w:val="00E738D4"/>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ourier" w:eastAsia="Times New Roman" w:hAnsi="Courier"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ourier" w:eastAsia="Times New Roman" w:hAnsi="Courier"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11">
    <w:name w:val="Light Grid - Accent 11"/>
    <w:basedOn w:val="TableNormal"/>
    <w:next w:val="ColorfulShading-Accent2"/>
    <w:uiPriority w:val="62"/>
    <w:rsid w:val="00E738D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STHeading1">
    <w:name w:val="AST Heading 1"/>
    <w:basedOn w:val="Heading1"/>
    <w:next w:val="Normal"/>
    <w:link w:val="ASTHeading1Char"/>
    <w:qFormat/>
    <w:rsid w:val="00E738D4"/>
    <w:pPr>
      <w:keepLines/>
      <w:widowControl/>
      <w:autoSpaceDE/>
      <w:autoSpaceDN/>
      <w:adjustRightInd/>
      <w:spacing w:before="480" w:after="0"/>
    </w:pPr>
    <w:rPr>
      <w:rFonts w:ascii="Times New Roman" w:hAnsi="Times New Roman"/>
      <w:color w:val="1F497D"/>
      <w:kern w:val="0"/>
      <w:sz w:val="28"/>
      <w:szCs w:val="28"/>
    </w:rPr>
  </w:style>
  <w:style w:type="character" w:customStyle="1" w:styleId="ASTHeading1Char">
    <w:name w:val="AST Heading 1 Char"/>
    <w:link w:val="ASTHeading1"/>
    <w:rsid w:val="00E738D4"/>
    <w:rPr>
      <w:rFonts w:eastAsia="Times New Roman" w:cs="Times New Roman"/>
      <w:b/>
      <w:bCs/>
      <w:color w:val="1F497D"/>
      <w:sz w:val="28"/>
      <w:szCs w:val="28"/>
    </w:rPr>
  </w:style>
  <w:style w:type="character" w:customStyle="1" w:styleId="Heading1Char">
    <w:name w:val="Heading 1 Char"/>
    <w:link w:val="Heading1"/>
    <w:rsid w:val="00E738D4"/>
    <w:rPr>
      <w:rFonts w:ascii="Calibri Light" w:eastAsia="Times New Roman" w:hAnsi="Calibri Light" w:cs="Times New Roman"/>
      <w:b/>
      <w:bCs/>
      <w:kern w:val="32"/>
      <w:sz w:val="32"/>
      <w:szCs w:val="32"/>
    </w:rPr>
  </w:style>
  <w:style w:type="paragraph" w:customStyle="1" w:styleId="LightGrid-Accent31">
    <w:name w:val="Light Grid - Accent 31"/>
    <w:aliases w:val="Add On (orange)"/>
    <w:basedOn w:val="Normal"/>
    <w:link w:val="LightGrid-Accent3Char"/>
    <w:uiPriority w:val="34"/>
    <w:qFormat/>
    <w:rsid w:val="00515769"/>
    <w:pPr>
      <w:widowControl/>
      <w:autoSpaceDE/>
      <w:autoSpaceDN/>
      <w:adjustRightInd/>
      <w:spacing w:after="200"/>
      <w:ind w:left="720"/>
      <w:contextualSpacing/>
    </w:pPr>
    <w:rPr>
      <w:rFonts w:ascii="Calibri" w:eastAsia="Calibri" w:hAnsi="Calibri"/>
      <w:sz w:val="24"/>
    </w:rPr>
  </w:style>
  <w:style w:type="character" w:customStyle="1" w:styleId="LightGrid-Accent3Char">
    <w:name w:val="Light Grid - Accent 3 Char"/>
    <w:aliases w:val="Add On (orange) Char"/>
    <w:link w:val="LightGrid-Accent31"/>
    <w:uiPriority w:val="34"/>
    <w:locked/>
    <w:rsid w:val="00515769"/>
    <w:rPr>
      <w:rFonts w:ascii="Calibri" w:eastAsia="Calibri" w:hAnsi="Calibri"/>
      <w:sz w:val="24"/>
      <w:szCs w:val="24"/>
    </w:rPr>
  </w:style>
  <w:style w:type="paragraph" w:styleId="BalloonText">
    <w:name w:val="Balloon Text"/>
    <w:basedOn w:val="Normal"/>
    <w:link w:val="BalloonTextChar"/>
    <w:rsid w:val="008745EC"/>
    <w:rPr>
      <w:rFonts w:ascii="Tahoma" w:hAnsi="Tahoma" w:cs="Tahoma"/>
      <w:sz w:val="16"/>
      <w:szCs w:val="16"/>
    </w:rPr>
  </w:style>
  <w:style w:type="character" w:customStyle="1" w:styleId="BalloonTextChar">
    <w:name w:val="Balloon Text Char"/>
    <w:link w:val="BalloonText"/>
    <w:rsid w:val="008745EC"/>
    <w:rPr>
      <w:rFonts w:ascii="Tahoma" w:hAnsi="Tahoma" w:cs="Tahoma"/>
      <w:sz w:val="16"/>
      <w:szCs w:val="16"/>
    </w:rPr>
  </w:style>
  <w:style w:type="character" w:styleId="CommentReference">
    <w:name w:val="annotation reference"/>
    <w:rsid w:val="00E222CC"/>
    <w:rPr>
      <w:sz w:val="16"/>
      <w:szCs w:val="16"/>
    </w:rPr>
  </w:style>
  <w:style w:type="paragraph" w:styleId="CommentText">
    <w:name w:val="annotation text"/>
    <w:basedOn w:val="Normal"/>
    <w:link w:val="CommentTextChar"/>
    <w:rsid w:val="00E222CC"/>
    <w:rPr>
      <w:szCs w:val="20"/>
    </w:rPr>
  </w:style>
  <w:style w:type="character" w:customStyle="1" w:styleId="CommentTextChar">
    <w:name w:val="Comment Text Char"/>
    <w:basedOn w:val="DefaultParagraphFont"/>
    <w:link w:val="CommentText"/>
    <w:rsid w:val="00E222CC"/>
  </w:style>
  <w:style w:type="paragraph" w:styleId="CommentSubject">
    <w:name w:val="annotation subject"/>
    <w:basedOn w:val="CommentText"/>
    <w:next w:val="CommentText"/>
    <w:link w:val="CommentSubjectChar"/>
    <w:rsid w:val="00E222CC"/>
    <w:rPr>
      <w:b/>
      <w:bCs/>
    </w:rPr>
  </w:style>
  <w:style w:type="character" w:customStyle="1" w:styleId="CommentSubjectChar">
    <w:name w:val="Comment Subject Char"/>
    <w:link w:val="CommentSubject"/>
    <w:rsid w:val="00E222CC"/>
    <w:rPr>
      <w:b/>
      <w:bCs/>
    </w:rPr>
  </w:style>
  <w:style w:type="paragraph" w:styleId="DocumentMap">
    <w:name w:val="Document Map"/>
    <w:basedOn w:val="Normal"/>
    <w:link w:val="DocumentMapChar"/>
    <w:rsid w:val="008642AE"/>
    <w:rPr>
      <w:sz w:val="24"/>
    </w:rPr>
  </w:style>
  <w:style w:type="character" w:customStyle="1" w:styleId="DocumentMapChar">
    <w:name w:val="Document Map Char"/>
    <w:link w:val="DocumentMap"/>
    <w:rsid w:val="008642AE"/>
    <w:rPr>
      <w:sz w:val="24"/>
      <w:szCs w:val="24"/>
    </w:rPr>
  </w:style>
  <w:style w:type="paragraph" w:customStyle="1" w:styleId="ColorfulShading-Accent11">
    <w:name w:val="Colorful Shading - Accent 11"/>
    <w:hidden/>
    <w:uiPriority w:val="62"/>
    <w:unhideWhenUsed/>
    <w:rsid w:val="008642AE"/>
    <w:rPr>
      <w:szCs w:val="24"/>
    </w:rPr>
  </w:style>
  <w:style w:type="character" w:styleId="Hyperlink">
    <w:name w:val="Hyperlink"/>
    <w:rsid w:val="004E55B5"/>
    <w:rPr>
      <w:color w:val="0000FF"/>
      <w:u w:val="single"/>
    </w:rPr>
  </w:style>
  <w:style w:type="table" w:customStyle="1" w:styleId="GridTable6ColorfulAccent5">
    <w:name w:val="Grid Table 6 Colorful Accent 5"/>
    <w:basedOn w:val="TableNormal"/>
    <w:uiPriority w:val="51"/>
    <w:rsid w:val="0049590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ody">
    <w:name w:val="Body"/>
    <w:rsid w:val="00495902"/>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table" w:styleId="TableGrid">
    <w:name w:val="Table Grid"/>
    <w:basedOn w:val="TableNormal"/>
    <w:rsid w:val="003F2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C3F03"/>
    <w:pPr>
      <w:tabs>
        <w:tab w:val="center" w:pos="4680"/>
        <w:tab w:val="right" w:pos="9360"/>
      </w:tabs>
    </w:pPr>
  </w:style>
  <w:style w:type="character" w:customStyle="1" w:styleId="HeaderChar">
    <w:name w:val="Header Char"/>
    <w:basedOn w:val="DefaultParagraphFont"/>
    <w:link w:val="Header"/>
    <w:rsid w:val="00CC3F0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864367">
      <w:bodyDiv w:val="1"/>
      <w:marLeft w:val="0"/>
      <w:marRight w:val="0"/>
      <w:marTop w:val="0"/>
      <w:marBottom w:val="0"/>
      <w:divBdr>
        <w:top w:val="none" w:sz="0" w:space="0" w:color="auto"/>
        <w:left w:val="none" w:sz="0" w:space="0" w:color="auto"/>
        <w:bottom w:val="none" w:sz="0" w:space="0" w:color="auto"/>
        <w:right w:val="none" w:sz="0" w:space="0" w:color="auto"/>
      </w:divBdr>
    </w:div>
    <w:div w:id="10862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14185</CharactersWithSpaces>
  <SharedDoc>false</SharedDoc>
  <HLinks>
    <vt:vector size="36" baseType="variant">
      <vt:variant>
        <vt:i4>3866739</vt:i4>
      </vt:variant>
      <vt:variant>
        <vt:i4>18</vt:i4>
      </vt:variant>
      <vt:variant>
        <vt:i4>0</vt:i4>
      </vt:variant>
      <vt:variant>
        <vt:i4>5</vt:i4>
      </vt:variant>
      <vt:variant>
        <vt:lpwstr/>
      </vt:variant>
      <vt:variant>
        <vt:lpwstr>Table6</vt:lpwstr>
      </vt:variant>
      <vt:variant>
        <vt:i4>3670131</vt:i4>
      </vt:variant>
      <vt:variant>
        <vt:i4>15</vt:i4>
      </vt:variant>
      <vt:variant>
        <vt:i4>0</vt:i4>
      </vt:variant>
      <vt:variant>
        <vt:i4>5</vt:i4>
      </vt:variant>
      <vt:variant>
        <vt:lpwstr/>
      </vt:variant>
      <vt:variant>
        <vt:lpwstr>Table5</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3</vt:i4>
      </vt:variant>
      <vt:variant>
        <vt:i4>0</vt:i4>
      </vt:variant>
      <vt:variant>
        <vt:i4>5</vt:i4>
      </vt:variant>
      <vt:variant>
        <vt:lpwstr/>
      </vt:variant>
      <vt:variant>
        <vt:lpwstr>Table2</vt:lpwstr>
      </vt:variant>
      <vt:variant>
        <vt:i4>3932275</vt:i4>
      </vt:variant>
      <vt:variant>
        <vt:i4>0</vt:i4>
      </vt:variant>
      <vt:variant>
        <vt:i4>0</vt:i4>
      </vt:variant>
      <vt:variant>
        <vt:i4>5</vt:i4>
      </vt:variant>
      <vt:variant>
        <vt:lpwstr/>
      </vt:variant>
      <vt:variant>
        <vt:lpwstr>Table1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SYSTEM</cp:lastModifiedBy>
  <cp:revision>2</cp:revision>
  <cp:lastPrinted>2017-06-07T13:20:00Z</cp:lastPrinted>
  <dcterms:created xsi:type="dcterms:W3CDTF">2018-08-28T19:05:00Z</dcterms:created>
  <dcterms:modified xsi:type="dcterms:W3CDTF">2018-08-28T19:05:00Z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1732032540</vt:i4>
  </property>
  <property fmtid="{D5CDD505-2E9C-101B-9397-08002B2CF9AE}" pid="4" name="_EmailSubject">
    <vt:lpwstr>0938-1340  NHSN Data Validation for ESRD QIP</vt:lpwstr>
  </property>
  <property fmtid="{D5CDD505-2E9C-101B-9397-08002B2CF9AE}" pid="5" name="_AuthorEmail">
    <vt:lpwstr>Denise.King@cms.hhs.gov</vt:lpwstr>
  </property>
  <property fmtid="{D5CDD505-2E9C-101B-9397-08002B2CF9AE}" pid="6" name="_AuthorEmailDisplayName">
    <vt:lpwstr>King, Denise W. (CMS/OSORA)</vt:lpwstr>
  </property>
  <property fmtid="{D5CDD505-2E9C-101B-9397-08002B2CF9AE}" pid="7" name="_ReviewingToolsShownOnce">
    <vt:lpwstr/>
  </property>
</Properties>
</file>