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B718CC" w14:textId="77777777" w:rsidR="001E0093" w:rsidRPr="003B6811" w:rsidRDefault="00F96C14" w:rsidP="000748B7">
      <w:pPr>
        <w:pStyle w:val="Heading1"/>
        <w:spacing w:before="0"/>
        <w:rPr>
          <w:sz w:val="23"/>
          <w:szCs w:val="23"/>
        </w:rPr>
      </w:pPr>
      <w:r w:rsidRPr="003B6811">
        <w:rPr>
          <w:sz w:val="23"/>
          <w:szCs w:val="23"/>
        </w:rPr>
        <w:t xml:space="preserve">(NQF </w:t>
      </w:r>
      <w:r w:rsidR="00D254BD" w:rsidRPr="003B6811">
        <w:rPr>
          <w:sz w:val="23"/>
          <w:szCs w:val="23"/>
        </w:rPr>
        <w:t>1822</w:t>
      </w:r>
      <w:r w:rsidRPr="003B6811">
        <w:rPr>
          <w:sz w:val="23"/>
          <w:szCs w:val="23"/>
        </w:rPr>
        <w:t xml:space="preserve">) </w:t>
      </w:r>
      <w:r w:rsidR="00D254BD" w:rsidRPr="003B6811">
        <w:rPr>
          <w:sz w:val="23"/>
          <w:szCs w:val="23"/>
        </w:rPr>
        <w:t>External Beam Radiotherapy for Bone Metastases</w:t>
      </w:r>
      <w:r w:rsidR="001E0093" w:rsidRPr="003B6811">
        <w:rPr>
          <w:sz w:val="23"/>
          <w:szCs w:val="23"/>
        </w:rPr>
        <w:t xml:space="preserve"> Overview</w:t>
      </w:r>
    </w:p>
    <w:p w14:paraId="1E3F1C15" w14:textId="77777777" w:rsidR="009C6F25" w:rsidRDefault="009C6F25" w:rsidP="000748B7">
      <w:pPr>
        <w:autoSpaceDE w:val="0"/>
        <w:autoSpaceDN w:val="0"/>
        <w:adjustRightInd w:val="0"/>
        <w:spacing w:before="0" w:after="0"/>
      </w:pPr>
      <w:r w:rsidRPr="009C6F25">
        <w:t>This measure reports the percentage of patients, regardless of age, with a diagnosis of painful</w:t>
      </w:r>
      <w:r>
        <w:t xml:space="preserve"> </w:t>
      </w:r>
      <w:r w:rsidRPr="009C6F25">
        <w:t>bone metastases and no history of previous radiation who receive external beam radiation therapy (EBRT) with an acceptable fractionation scheme.</w:t>
      </w:r>
    </w:p>
    <w:p w14:paraId="76252087" w14:textId="77777777" w:rsidR="00DA4489" w:rsidRDefault="00DA4489" w:rsidP="000748B7">
      <w:pPr>
        <w:autoSpaceDE w:val="0"/>
        <w:autoSpaceDN w:val="0"/>
        <w:adjustRightInd w:val="0"/>
        <w:spacing w:before="0" w:after="0"/>
      </w:pPr>
    </w:p>
    <w:p w14:paraId="095DBF27" w14:textId="77777777" w:rsidR="007A3BB6" w:rsidRPr="009C6F25" w:rsidRDefault="007A3BB6" w:rsidP="000748B7">
      <w:pPr>
        <w:autoSpaceDE w:val="0"/>
        <w:autoSpaceDN w:val="0"/>
        <w:adjustRightInd w:val="0"/>
        <w:spacing w:before="0" w:after="0"/>
      </w:pPr>
      <w:r>
        <w:t>*Final web design is subject to change</w:t>
      </w:r>
      <w:r w:rsidR="00D20F79">
        <w:t xml:space="preserve"> as i</w:t>
      </w:r>
      <w:r>
        <w:t xml:space="preserve">t is dependent on web real estate and IT capacity. Changes will not impact the data elements but rather the application </w:t>
      </w:r>
      <w:proofErr w:type="gramStart"/>
      <w:r>
        <w:t>layout.*</w:t>
      </w:r>
      <w:proofErr w:type="gramEnd"/>
    </w:p>
    <w:p w14:paraId="6C7AE20E" w14:textId="77777777" w:rsidR="00DA4489" w:rsidRDefault="00DA4489" w:rsidP="000748B7">
      <w:pPr>
        <w:pStyle w:val="Heading1"/>
        <w:spacing w:before="0"/>
      </w:pPr>
    </w:p>
    <w:p w14:paraId="413F1757" w14:textId="77777777" w:rsidR="001E0093" w:rsidRPr="003B6811" w:rsidRDefault="001E0093" w:rsidP="000748B7">
      <w:pPr>
        <w:pStyle w:val="Heading1"/>
        <w:spacing w:before="0"/>
        <w:rPr>
          <w:sz w:val="23"/>
          <w:szCs w:val="23"/>
        </w:rPr>
      </w:pPr>
      <w:r w:rsidRPr="003B6811">
        <w:rPr>
          <w:sz w:val="23"/>
          <w:szCs w:val="23"/>
        </w:rPr>
        <w:t>Accessing the Web-Based Application</w:t>
      </w:r>
    </w:p>
    <w:p w14:paraId="2C6F3FF2" w14:textId="77777777" w:rsidR="001E0093" w:rsidRPr="006631A5" w:rsidRDefault="001E0093" w:rsidP="000748B7">
      <w:pPr>
        <w:spacing w:before="0" w:after="0"/>
      </w:pPr>
      <w:r>
        <w:t>The</w:t>
      </w:r>
      <w:r w:rsidRPr="006631A5">
        <w:t xml:space="preserve"> </w:t>
      </w:r>
      <w:r>
        <w:t>u</w:t>
      </w:r>
      <w:r w:rsidRPr="006631A5">
        <w:t>ser enters their assigned User ID and password to access the secure site and information for their individual hospital.</w:t>
      </w:r>
    </w:p>
    <w:p w14:paraId="42F4EA80" w14:textId="77777777" w:rsidR="00E615B4" w:rsidRDefault="00E615B4" w:rsidP="000748B7">
      <w:pPr>
        <w:pStyle w:val="Caption"/>
        <w:keepNext/>
        <w:spacing w:before="0" w:after="0"/>
      </w:pPr>
    </w:p>
    <w:p w14:paraId="48D50432" w14:textId="77777777" w:rsidR="001E0093" w:rsidRDefault="001E0093" w:rsidP="000748B7">
      <w:pPr>
        <w:pStyle w:val="Caption"/>
        <w:keepNext/>
        <w:spacing w:before="0" w:after="0"/>
      </w:pPr>
      <w:r>
        <w:t xml:space="preserve">Figure </w:t>
      </w:r>
      <w:r w:rsidR="00B56676">
        <w:fldChar w:fldCharType="begin"/>
      </w:r>
      <w:r w:rsidR="00B56676">
        <w:instrText xml:space="preserve"> SEQ Figure \* ARABIC </w:instrText>
      </w:r>
      <w:r w:rsidR="00B56676">
        <w:fldChar w:fldCharType="separate"/>
      </w:r>
      <w:r>
        <w:rPr>
          <w:noProof/>
        </w:rPr>
        <w:t>1</w:t>
      </w:r>
      <w:r w:rsidR="00B56676">
        <w:rPr>
          <w:noProof/>
        </w:rPr>
        <w:fldChar w:fldCharType="end"/>
      </w:r>
      <w:r>
        <w:t xml:space="preserve"> Sign In</w:t>
      </w:r>
    </w:p>
    <w:p w14:paraId="6516FB25" w14:textId="0A24DFE8" w:rsidR="001E0093" w:rsidRPr="003B6811" w:rsidRDefault="001E0093" w:rsidP="000748B7">
      <w:pPr>
        <w:spacing w:before="0" w:after="0"/>
        <w:rPr>
          <w:color w:val="333333"/>
        </w:rPr>
      </w:pPr>
      <w:r>
        <w:rPr>
          <w:noProof/>
        </w:rPr>
        <w:drawing>
          <wp:inline distT="0" distB="0" distL="0" distR="0" wp14:anchorId="13593CA2" wp14:editId="6177DC34">
            <wp:extent cx="3244914" cy="1546860"/>
            <wp:effectExtent l="0" t="0" r="0" b="0"/>
            <wp:docPr id="5" name="Picture 5" descr="Sign In to My QualityNet - User ID and Password entry boxes with [Sign In]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2880\AppData\Local\Temp\1\SNAGHTML46063f6.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57402" cy="1552813"/>
                    </a:xfrm>
                    <a:prstGeom prst="rect">
                      <a:avLst/>
                    </a:prstGeom>
                    <a:noFill/>
                    <a:ln>
                      <a:noFill/>
                    </a:ln>
                  </pic:spPr>
                </pic:pic>
              </a:graphicData>
            </a:graphic>
          </wp:inline>
        </w:drawing>
      </w:r>
    </w:p>
    <w:p w14:paraId="3DADB6AC" w14:textId="77777777" w:rsidR="00ED00D1" w:rsidRDefault="00ED00D1" w:rsidP="000748B7">
      <w:pPr>
        <w:tabs>
          <w:tab w:val="left" w:pos="2790"/>
          <w:tab w:val="left" w:pos="4410"/>
          <w:tab w:val="left" w:pos="6210"/>
          <w:tab w:val="left" w:pos="8010"/>
        </w:tabs>
        <w:spacing w:before="0" w:after="0"/>
        <w:rPr>
          <w:rFonts w:eastAsia="Calibri"/>
        </w:rPr>
      </w:pPr>
      <w:r>
        <w:rPr>
          <w:rFonts w:eastAsia="Calibri"/>
          <w:i/>
          <w:noProof/>
        </w:rPr>
        <mc:AlternateContent>
          <mc:Choice Requires="wpg">
            <w:drawing>
              <wp:anchor distT="0" distB="0" distL="114300" distR="114300" simplePos="0" relativeHeight="251659264" behindDoc="0" locked="0" layoutInCell="1" allowOverlap="1" wp14:anchorId="4E47B06C" wp14:editId="0E5392A9">
                <wp:simplePos x="0" y="0"/>
                <wp:positionH relativeFrom="column">
                  <wp:posOffset>1447800</wp:posOffset>
                </wp:positionH>
                <wp:positionV relativeFrom="paragraph">
                  <wp:posOffset>259715</wp:posOffset>
                </wp:positionV>
                <wp:extent cx="4032250" cy="241300"/>
                <wp:effectExtent l="0" t="0" r="25400" b="25400"/>
                <wp:wrapNone/>
                <wp:docPr id="81" name="Group 367" descr="This group lists the patients satisfying the &quot;numerator&quot; criteria by quarter." title="Quarterly Numerator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32250" cy="241300"/>
                          <a:chOff x="0" y="0"/>
                          <a:chExt cx="27527" cy="2000"/>
                        </a:xfrm>
                      </wpg:grpSpPr>
                      <wps:wsp>
                        <wps:cNvPr id="82" name="Rectangle 320"/>
                        <wps:cNvSpPr>
                          <a:spLocks noChangeArrowheads="1"/>
                        </wps:cNvSpPr>
                        <wps:spPr bwMode="auto">
                          <a:xfrm>
                            <a:off x="7429" y="0"/>
                            <a:ext cx="4667" cy="2000"/>
                          </a:xfrm>
                          <a:prstGeom prst="rect">
                            <a:avLst/>
                          </a:prstGeom>
                          <a:solidFill>
                            <a:srgbClr val="FFFFFF"/>
                          </a:solidFill>
                          <a:ln w="9525">
                            <a:solidFill>
                              <a:srgbClr val="000000"/>
                            </a:solidFill>
                            <a:miter lim="800000"/>
                            <a:headEnd/>
                            <a:tailEnd/>
                          </a:ln>
                        </wps:spPr>
                        <wps:txbx>
                          <w:txbxContent>
                            <w:p w14:paraId="6987B762" w14:textId="77777777" w:rsidR="00ED00D1" w:rsidRPr="001E5C4C" w:rsidRDefault="00ED00D1" w:rsidP="00ED00D1">
                              <w:pPr>
                                <w:jc w:val="center"/>
                                <w:rPr>
                                  <w:sz w:val="20"/>
                                  <w:szCs w:val="20"/>
                                </w:rPr>
                              </w:pPr>
                            </w:p>
                          </w:txbxContent>
                        </wps:txbx>
                        <wps:bodyPr rot="0" vert="horz" wrap="square" lIns="91440" tIns="45720" rIns="91440" bIns="45720" anchor="t" anchorCtr="0" upright="1">
                          <a:noAutofit/>
                        </wps:bodyPr>
                      </wps:wsp>
                      <wps:wsp>
                        <wps:cNvPr id="83" name="Rectangle 319"/>
                        <wps:cNvSpPr>
                          <a:spLocks noChangeArrowheads="1"/>
                        </wps:cNvSpPr>
                        <wps:spPr bwMode="auto">
                          <a:xfrm>
                            <a:off x="0" y="0"/>
                            <a:ext cx="4667" cy="2000"/>
                          </a:xfrm>
                          <a:prstGeom prst="rect">
                            <a:avLst/>
                          </a:prstGeom>
                          <a:solidFill>
                            <a:srgbClr val="FFFFFF"/>
                          </a:solidFill>
                          <a:ln w="9525">
                            <a:solidFill>
                              <a:srgbClr val="000000"/>
                            </a:solidFill>
                            <a:miter lim="800000"/>
                            <a:headEnd/>
                            <a:tailEnd/>
                          </a:ln>
                        </wps:spPr>
                        <wps:txbx>
                          <w:txbxContent>
                            <w:p w14:paraId="24966CC3" w14:textId="77777777" w:rsidR="00ED00D1" w:rsidRPr="001E5C4C" w:rsidRDefault="00ED00D1" w:rsidP="00ED00D1">
                              <w:pPr>
                                <w:jc w:val="center"/>
                                <w:rPr>
                                  <w:sz w:val="20"/>
                                  <w:szCs w:val="20"/>
                                </w:rPr>
                              </w:pPr>
                            </w:p>
                          </w:txbxContent>
                        </wps:txbx>
                        <wps:bodyPr rot="0" vert="horz" wrap="square" lIns="91440" tIns="45720" rIns="91440" bIns="45720" anchor="t" anchorCtr="0" upright="1">
                          <a:noAutofit/>
                        </wps:bodyPr>
                      </wps:wsp>
                      <wps:wsp>
                        <wps:cNvPr id="84" name="Rectangle 320"/>
                        <wps:cNvSpPr>
                          <a:spLocks noChangeArrowheads="1"/>
                        </wps:cNvSpPr>
                        <wps:spPr bwMode="auto">
                          <a:xfrm>
                            <a:off x="14954" y="0"/>
                            <a:ext cx="4667" cy="2000"/>
                          </a:xfrm>
                          <a:prstGeom prst="rect">
                            <a:avLst/>
                          </a:prstGeom>
                          <a:solidFill>
                            <a:srgbClr val="FFFFFF"/>
                          </a:solidFill>
                          <a:ln w="9525">
                            <a:solidFill>
                              <a:srgbClr val="000000"/>
                            </a:solidFill>
                            <a:miter lim="800000"/>
                            <a:headEnd/>
                            <a:tailEnd/>
                          </a:ln>
                        </wps:spPr>
                        <wps:txbx>
                          <w:txbxContent>
                            <w:p w14:paraId="12C46877" w14:textId="77777777" w:rsidR="00ED00D1" w:rsidRPr="001E5C4C" w:rsidRDefault="00ED00D1" w:rsidP="00ED00D1">
                              <w:pPr>
                                <w:jc w:val="center"/>
                                <w:rPr>
                                  <w:sz w:val="20"/>
                                  <w:szCs w:val="20"/>
                                </w:rPr>
                              </w:pPr>
                            </w:p>
                          </w:txbxContent>
                        </wps:txbx>
                        <wps:bodyPr rot="0" vert="horz" wrap="square" lIns="91440" tIns="45720" rIns="91440" bIns="45720" anchor="t" anchorCtr="0" upright="1">
                          <a:noAutofit/>
                        </wps:bodyPr>
                      </wps:wsp>
                      <wps:wsp>
                        <wps:cNvPr id="85" name="Rectangle 320"/>
                        <wps:cNvSpPr>
                          <a:spLocks noChangeArrowheads="1"/>
                        </wps:cNvSpPr>
                        <wps:spPr bwMode="auto">
                          <a:xfrm>
                            <a:off x="22860" y="0"/>
                            <a:ext cx="4667" cy="2000"/>
                          </a:xfrm>
                          <a:prstGeom prst="rect">
                            <a:avLst/>
                          </a:prstGeom>
                          <a:solidFill>
                            <a:srgbClr val="FFFFFF"/>
                          </a:solidFill>
                          <a:ln w="9525">
                            <a:solidFill>
                              <a:srgbClr val="000000"/>
                            </a:solidFill>
                            <a:miter lim="800000"/>
                            <a:headEnd/>
                            <a:tailEnd/>
                          </a:ln>
                        </wps:spPr>
                        <wps:txbx>
                          <w:txbxContent>
                            <w:p w14:paraId="53F6CFB5" w14:textId="77777777" w:rsidR="00ED00D1" w:rsidRPr="001E5C4C" w:rsidRDefault="00ED00D1" w:rsidP="00ED00D1">
                              <w:pPr>
                                <w:jc w:val="center"/>
                                <w:rPr>
                                  <w:sz w:val="20"/>
                                  <w:szCs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47B06C" id="Group 367" o:spid="_x0000_s1026" alt="Title: Quarterly Numerators - Description: This group lists the patients satisfying the &quot;numerator&quot; criteria by quarter." style="position:absolute;margin-left:114pt;margin-top:20.45pt;width:317.5pt;height:19pt;z-index:251659264" coordsize="27527,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">
                <v:rect id="Rectangle 320" o:spid="_x0000_s1027" style="position:absolute;left:7429;width:4667;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">
                  <v:textbox>
                    <w:txbxContent>
                      <w:p w14:paraId="6987B762" w14:textId="77777777" w:rsidR="00ED00D1" w:rsidRPr="001E5C4C" w:rsidRDefault="00ED00D1" w:rsidP="00ED00D1">
                        <w:pPr>
                          <w:jc w:val="center"/>
                          <w:rPr>
                            <w:sz w:val="20"/>
                            <w:szCs w:val="20"/>
                          </w:rPr>
                        </w:pPr>
                      </w:p>
                    </w:txbxContent>
                  </v:textbox>
                </v:rect>
                <v:rect id="Rectangle 319" o:spid="_x0000_s1028" style="position:absolute;width:4667;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">
                  <v:textbox>
                    <w:txbxContent>
                      <w:p w14:paraId="24966CC3" w14:textId="77777777" w:rsidR="00ED00D1" w:rsidRPr="001E5C4C" w:rsidRDefault="00ED00D1" w:rsidP="00ED00D1">
                        <w:pPr>
                          <w:jc w:val="center"/>
                          <w:rPr>
                            <w:sz w:val="20"/>
                            <w:szCs w:val="20"/>
                          </w:rPr>
                        </w:pPr>
                      </w:p>
                    </w:txbxContent>
                  </v:textbox>
                </v:rect>
                <v:rect id="Rectangle 320" o:spid="_x0000_s1029" style="position:absolute;left:14954;width:4667;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">
                  <v:textbox>
                    <w:txbxContent>
                      <w:p w14:paraId="12C46877" w14:textId="77777777" w:rsidR="00ED00D1" w:rsidRPr="001E5C4C" w:rsidRDefault="00ED00D1" w:rsidP="00ED00D1">
                        <w:pPr>
                          <w:jc w:val="center"/>
                          <w:rPr>
                            <w:sz w:val="20"/>
                            <w:szCs w:val="20"/>
                          </w:rPr>
                        </w:pPr>
                      </w:p>
                    </w:txbxContent>
                  </v:textbox>
                </v:rect>
                <v:rect id="Rectangle 320" o:spid="_x0000_s1030" style="position:absolute;left:22860;width:4667;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">
                  <v:textbox>
                    <w:txbxContent>
                      <w:p w14:paraId="53F6CFB5" w14:textId="77777777" w:rsidR="00ED00D1" w:rsidRPr="001E5C4C" w:rsidRDefault="00ED00D1" w:rsidP="00ED00D1">
                        <w:pPr>
                          <w:jc w:val="center"/>
                          <w:rPr>
                            <w:sz w:val="20"/>
                            <w:szCs w:val="20"/>
                          </w:rPr>
                        </w:pPr>
                      </w:p>
                    </w:txbxContent>
                  </v:textbox>
                </v:rect>
              </v:group>
            </w:pict>
          </mc:Fallback>
        </mc:AlternateContent>
      </w:r>
      <w:r>
        <w:rPr>
          <w:rFonts w:eastAsia="Calibri"/>
        </w:rPr>
        <w:tab/>
      </w:r>
      <w:r w:rsidRPr="00AD0DDE">
        <w:rPr>
          <w:rFonts w:eastAsia="Calibri"/>
        </w:rPr>
        <w:t>Q</w:t>
      </w:r>
      <w:r>
        <w:rPr>
          <w:rFonts w:eastAsia="Calibri"/>
        </w:rPr>
        <w:t>1</w:t>
      </w:r>
      <w:r>
        <w:rPr>
          <w:rFonts w:eastAsia="Calibri"/>
        </w:rPr>
        <w:tab/>
      </w:r>
      <w:r w:rsidRPr="00AD0DDE">
        <w:rPr>
          <w:rFonts w:eastAsia="Calibri"/>
        </w:rPr>
        <w:t>Q</w:t>
      </w:r>
      <w:r>
        <w:rPr>
          <w:rFonts w:eastAsia="Calibri"/>
        </w:rPr>
        <w:t>2</w:t>
      </w:r>
      <w:r>
        <w:rPr>
          <w:rFonts w:eastAsia="Calibri"/>
        </w:rPr>
        <w:tab/>
        <w:t>Q3</w:t>
      </w:r>
      <w:r>
        <w:rPr>
          <w:rFonts w:eastAsia="Calibri"/>
        </w:rPr>
        <w:tab/>
        <w:t>Q4</w:t>
      </w:r>
    </w:p>
    <w:p w14:paraId="4C45C478" w14:textId="77777777" w:rsidR="000748B7" w:rsidRDefault="000748B7" w:rsidP="000748B7">
      <w:pPr>
        <w:spacing w:before="0" w:after="0"/>
        <w:ind w:left="90"/>
        <w:rPr>
          <w:rFonts w:eastAsia="Calibri"/>
          <w:b/>
        </w:rPr>
      </w:pPr>
    </w:p>
    <w:p w14:paraId="2B8EFD39" w14:textId="77777777" w:rsidR="000748B7" w:rsidRDefault="000748B7" w:rsidP="000748B7">
      <w:pPr>
        <w:spacing w:before="0" w:after="0"/>
        <w:ind w:left="90"/>
        <w:rPr>
          <w:rFonts w:eastAsia="Calibri"/>
          <w:b/>
        </w:rPr>
      </w:pPr>
    </w:p>
    <w:p w14:paraId="27952E14" w14:textId="77777777" w:rsidR="00ED00D1" w:rsidRPr="007A64F1" w:rsidRDefault="00ED00D1" w:rsidP="000748B7">
      <w:pPr>
        <w:spacing w:before="0" w:after="0"/>
        <w:ind w:left="90"/>
        <w:rPr>
          <w:rFonts w:eastAsia="Calibri"/>
        </w:rPr>
      </w:pPr>
      <w:r w:rsidRPr="00094763">
        <w:rPr>
          <w:rFonts w:eastAsia="Calibri"/>
          <w:b/>
        </w:rPr>
        <w:t>NUMERATOR</w:t>
      </w:r>
    </w:p>
    <w:p w14:paraId="21157BDA" w14:textId="77777777" w:rsidR="00ED00D1" w:rsidRPr="001E5C4C" w:rsidRDefault="00ED00D1" w:rsidP="000748B7">
      <w:pPr>
        <w:pBdr>
          <w:top w:val="single" w:sz="8" w:space="1" w:color="auto"/>
          <w:left w:val="single" w:sz="8" w:space="4" w:color="auto"/>
          <w:bottom w:val="single" w:sz="8" w:space="1" w:color="auto"/>
          <w:right w:val="single" w:sz="8" w:space="4" w:color="auto"/>
        </w:pBdr>
        <w:spacing w:before="0" w:after="0"/>
        <w:ind w:right="1530"/>
        <w:rPr>
          <w:sz w:val="20"/>
          <w:szCs w:val="20"/>
        </w:rPr>
      </w:pPr>
      <w:r w:rsidRPr="001E5C4C">
        <w:rPr>
          <w:sz w:val="20"/>
          <w:szCs w:val="20"/>
        </w:rPr>
        <w:t>All patients, regardless of age, with painful bone metastases, and no previous radiation to the same anatomic site who receive EBRT with any of the following recommended fractionation schemes:</w:t>
      </w:r>
      <w:r>
        <w:rPr>
          <w:sz w:val="20"/>
          <w:szCs w:val="20"/>
        </w:rPr>
        <w:t xml:space="preserve"> </w:t>
      </w:r>
      <w:r w:rsidRPr="001E5C4C">
        <w:rPr>
          <w:sz w:val="20"/>
          <w:szCs w:val="20"/>
        </w:rPr>
        <w:t xml:space="preserve"> 30Gy/10fxns, 24Gy/6fxns, 20Gy/5fxns, 8Gy/1fxn</w:t>
      </w:r>
      <w:r>
        <w:rPr>
          <w:sz w:val="20"/>
          <w:szCs w:val="20"/>
        </w:rPr>
        <w:t>.</w:t>
      </w:r>
    </w:p>
    <w:p w14:paraId="503D11B7" w14:textId="2ED336E3" w:rsidR="000748B7" w:rsidRDefault="00ED00D1" w:rsidP="000748B7">
      <w:pPr>
        <w:tabs>
          <w:tab w:val="left" w:pos="2790"/>
          <w:tab w:val="left" w:pos="4410"/>
          <w:tab w:val="left" w:pos="6210"/>
          <w:tab w:val="left" w:pos="8010"/>
        </w:tabs>
        <w:spacing w:before="0" w:after="0"/>
        <w:rPr>
          <w:rFonts w:eastAsia="Calibri"/>
        </w:rPr>
      </w:pPr>
      <w:r w:rsidRPr="001E5C4C">
        <w:rPr>
          <w:rFonts w:eastAsia="Calibri"/>
        </w:rPr>
        <w:t xml:space="preserve"> </w:t>
      </w:r>
    </w:p>
    <w:p w14:paraId="51DD8A2C" w14:textId="77777777" w:rsidR="00ED00D1" w:rsidRDefault="000748B7" w:rsidP="000748B7">
      <w:pPr>
        <w:tabs>
          <w:tab w:val="left" w:pos="2790"/>
          <w:tab w:val="left" w:pos="4410"/>
          <w:tab w:val="left" w:pos="6210"/>
          <w:tab w:val="left" w:pos="8010"/>
        </w:tabs>
        <w:spacing w:before="0" w:after="0"/>
        <w:rPr>
          <w:rFonts w:eastAsia="Calibri"/>
        </w:rPr>
      </w:pPr>
      <w:r>
        <w:rPr>
          <w:rFonts w:eastAsia="Calibri"/>
        </w:rPr>
        <w:tab/>
      </w:r>
      <w:r w:rsidR="00ED00D1" w:rsidRPr="00AD0DDE">
        <w:rPr>
          <w:rFonts w:eastAsia="Calibri"/>
        </w:rPr>
        <w:t>Q</w:t>
      </w:r>
      <w:r w:rsidR="00ED00D1">
        <w:rPr>
          <w:rFonts w:eastAsia="Calibri"/>
        </w:rPr>
        <w:t>1</w:t>
      </w:r>
      <w:r w:rsidR="00ED00D1">
        <w:rPr>
          <w:rFonts w:eastAsia="Calibri"/>
        </w:rPr>
        <w:tab/>
      </w:r>
      <w:r w:rsidR="00ED00D1" w:rsidRPr="00AD0DDE">
        <w:rPr>
          <w:rFonts w:eastAsia="Calibri"/>
        </w:rPr>
        <w:t>Q</w:t>
      </w:r>
      <w:r w:rsidR="00ED00D1">
        <w:rPr>
          <w:rFonts w:eastAsia="Calibri"/>
        </w:rPr>
        <w:t>2</w:t>
      </w:r>
      <w:r w:rsidR="00ED00D1">
        <w:rPr>
          <w:rFonts w:eastAsia="Calibri"/>
        </w:rPr>
        <w:tab/>
        <w:t>Q3</w:t>
      </w:r>
      <w:r w:rsidR="00ED00D1">
        <w:rPr>
          <w:rFonts w:eastAsia="Calibri"/>
        </w:rPr>
        <w:tab/>
        <w:t>Q4</w:t>
      </w:r>
    </w:p>
    <w:p w14:paraId="3B0A9B04" w14:textId="77777777" w:rsidR="000748B7" w:rsidRDefault="000748B7" w:rsidP="000748B7">
      <w:pPr>
        <w:spacing w:before="0" w:after="0"/>
        <w:ind w:left="90"/>
        <w:rPr>
          <w:rFonts w:eastAsia="Calibri"/>
          <w:b/>
        </w:rPr>
      </w:pPr>
      <w:r w:rsidRPr="00FD6882">
        <w:rPr>
          <w:rFonts w:eastAsia="Calibri"/>
          <w:noProof/>
          <w:sz w:val="20"/>
          <w:szCs w:val="20"/>
        </w:rPr>
        <mc:AlternateContent>
          <mc:Choice Requires="wpg">
            <w:drawing>
              <wp:anchor distT="0" distB="0" distL="114300" distR="114300" simplePos="0" relativeHeight="251661312" behindDoc="0" locked="0" layoutInCell="1" allowOverlap="1" wp14:anchorId="7ABD3672" wp14:editId="0D1797F0">
                <wp:simplePos x="0" y="0"/>
                <wp:positionH relativeFrom="column">
                  <wp:posOffset>1450975</wp:posOffset>
                </wp:positionH>
                <wp:positionV relativeFrom="paragraph">
                  <wp:posOffset>73660</wp:posOffset>
                </wp:positionV>
                <wp:extent cx="4032250" cy="260350"/>
                <wp:effectExtent l="0" t="0" r="25400" b="25400"/>
                <wp:wrapNone/>
                <wp:docPr id="75" name="Group 372" descr="This group lists the patients satisfying the &quot;denominator&quot; criteria by quarter." title="Quarterly Denominator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32250" cy="260350"/>
                          <a:chOff x="0" y="0"/>
                          <a:chExt cx="27527" cy="2000"/>
                        </a:xfrm>
                      </wpg:grpSpPr>
                      <wps:wsp>
                        <wps:cNvPr id="76" name="Rectangle 320"/>
                        <wps:cNvSpPr>
                          <a:spLocks noChangeArrowheads="1"/>
                        </wps:cNvSpPr>
                        <wps:spPr bwMode="auto">
                          <a:xfrm>
                            <a:off x="7429" y="0"/>
                            <a:ext cx="4667" cy="2000"/>
                          </a:xfrm>
                          <a:prstGeom prst="rect">
                            <a:avLst/>
                          </a:prstGeom>
                          <a:solidFill>
                            <a:srgbClr val="FFFFFF"/>
                          </a:solidFill>
                          <a:ln w="9525">
                            <a:solidFill>
                              <a:srgbClr val="000000"/>
                            </a:solidFill>
                            <a:miter lim="800000"/>
                            <a:headEnd/>
                            <a:tailEnd/>
                          </a:ln>
                        </wps:spPr>
                        <wps:txbx>
                          <w:txbxContent>
                            <w:p w14:paraId="7DCA22E9" w14:textId="77777777" w:rsidR="00ED00D1" w:rsidRPr="00FD6882" w:rsidRDefault="00ED00D1" w:rsidP="00ED00D1">
                              <w:pPr>
                                <w:jc w:val="center"/>
                                <w:rPr>
                                  <w:sz w:val="20"/>
                                  <w:szCs w:val="20"/>
                                </w:rPr>
                              </w:pPr>
                            </w:p>
                          </w:txbxContent>
                        </wps:txbx>
                        <wps:bodyPr rot="0" vert="horz" wrap="square" lIns="91440" tIns="45720" rIns="91440" bIns="45720" anchor="t" anchorCtr="0" upright="1">
                          <a:noAutofit/>
                        </wps:bodyPr>
                      </wps:wsp>
                      <wps:wsp>
                        <wps:cNvPr id="77" name="Rectangle 319"/>
                        <wps:cNvSpPr>
                          <a:spLocks noChangeArrowheads="1"/>
                        </wps:cNvSpPr>
                        <wps:spPr bwMode="auto">
                          <a:xfrm>
                            <a:off x="0" y="0"/>
                            <a:ext cx="4667" cy="2000"/>
                          </a:xfrm>
                          <a:prstGeom prst="rect">
                            <a:avLst/>
                          </a:prstGeom>
                          <a:solidFill>
                            <a:srgbClr val="FFFFFF"/>
                          </a:solidFill>
                          <a:ln w="9525">
                            <a:solidFill>
                              <a:srgbClr val="000000"/>
                            </a:solidFill>
                            <a:miter lim="800000"/>
                            <a:headEnd/>
                            <a:tailEnd/>
                          </a:ln>
                        </wps:spPr>
                        <wps:txbx>
                          <w:txbxContent>
                            <w:p w14:paraId="757366C0" w14:textId="77777777" w:rsidR="00ED00D1" w:rsidRPr="00FD6882" w:rsidRDefault="00ED00D1" w:rsidP="00ED00D1">
                              <w:pPr>
                                <w:jc w:val="center"/>
                                <w:rPr>
                                  <w:sz w:val="20"/>
                                  <w:szCs w:val="20"/>
                                </w:rPr>
                              </w:pPr>
                            </w:p>
                          </w:txbxContent>
                        </wps:txbx>
                        <wps:bodyPr rot="0" vert="horz" wrap="square" lIns="91440" tIns="45720" rIns="91440" bIns="45720" anchor="t" anchorCtr="0" upright="1">
                          <a:noAutofit/>
                        </wps:bodyPr>
                      </wps:wsp>
                      <wps:wsp>
                        <wps:cNvPr id="78" name="Rectangle 320"/>
                        <wps:cNvSpPr>
                          <a:spLocks noChangeArrowheads="1"/>
                        </wps:cNvSpPr>
                        <wps:spPr bwMode="auto">
                          <a:xfrm>
                            <a:off x="14954" y="0"/>
                            <a:ext cx="4667" cy="2000"/>
                          </a:xfrm>
                          <a:prstGeom prst="rect">
                            <a:avLst/>
                          </a:prstGeom>
                          <a:solidFill>
                            <a:srgbClr val="FFFFFF"/>
                          </a:solidFill>
                          <a:ln w="9525">
                            <a:solidFill>
                              <a:srgbClr val="000000"/>
                            </a:solidFill>
                            <a:miter lim="800000"/>
                            <a:headEnd/>
                            <a:tailEnd/>
                          </a:ln>
                        </wps:spPr>
                        <wps:txbx>
                          <w:txbxContent>
                            <w:p w14:paraId="2FCA31DF" w14:textId="77777777" w:rsidR="00ED00D1" w:rsidRPr="00FD6882" w:rsidRDefault="00ED00D1" w:rsidP="00ED00D1">
                              <w:pPr>
                                <w:jc w:val="center"/>
                                <w:rPr>
                                  <w:sz w:val="20"/>
                                  <w:szCs w:val="20"/>
                                </w:rPr>
                              </w:pPr>
                            </w:p>
                          </w:txbxContent>
                        </wps:txbx>
                        <wps:bodyPr rot="0" vert="horz" wrap="square" lIns="91440" tIns="45720" rIns="91440" bIns="45720" anchor="t" anchorCtr="0" upright="1">
                          <a:noAutofit/>
                        </wps:bodyPr>
                      </wps:wsp>
                      <wps:wsp>
                        <wps:cNvPr id="79" name="Rectangle 320"/>
                        <wps:cNvSpPr>
                          <a:spLocks noChangeArrowheads="1"/>
                        </wps:cNvSpPr>
                        <wps:spPr bwMode="auto">
                          <a:xfrm>
                            <a:off x="22860" y="0"/>
                            <a:ext cx="4667" cy="2000"/>
                          </a:xfrm>
                          <a:prstGeom prst="rect">
                            <a:avLst/>
                          </a:prstGeom>
                          <a:solidFill>
                            <a:srgbClr val="FFFFFF"/>
                          </a:solidFill>
                          <a:ln w="9525">
                            <a:solidFill>
                              <a:srgbClr val="000000"/>
                            </a:solidFill>
                            <a:miter lim="800000"/>
                            <a:headEnd/>
                            <a:tailEnd/>
                          </a:ln>
                        </wps:spPr>
                        <wps:txbx>
                          <w:txbxContent>
                            <w:p w14:paraId="302D75F8" w14:textId="77777777" w:rsidR="00ED00D1" w:rsidRPr="00FD6882" w:rsidRDefault="00ED00D1" w:rsidP="00ED00D1">
                              <w:pPr>
                                <w:jc w:val="center"/>
                                <w:rPr>
                                  <w:sz w:val="20"/>
                                  <w:szCs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BD3672" id="Group 372" o:spid="_x0000_s1031" alt="Title: Quarterly Denominators - Description: This group lists the patients satisfying the &quot;denominator&quot; criteria by quarter." style="position:absolute;left:0;text-align:left;margin-left:114.25pt;margin-top:5.8pt;width:317.5pt;height:20.5pt;z-index:251661312" coordsize="27527,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">
                <v:rect id="Rectangle 320" o:spid="_x0000_s1032" style="position:absolute;left:7429;width:4667;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">
                  <v:textbox>
                    <w:txbxContent>
                      <w:p w14:paraId="7DCA22E9" w14:textId="77777777" w:rsidR="00ED00D1" w:rsidRPr="00FD6882" w:rsidRDefault="00ED00D1" w:rsidP="00ED00D1">
                        <w:pPr>
                          <w:jc w:val="center"/>
                          <w:rPr>
                            <w:sz w:val="20"/>
                            <w:szCs w:val="20"/>
                          </w:rPr>
                        </w:pPr>
                      </w:p>
                    </w:txbxContent>
                  </v:textbox>
                </v:rect>
                <v:rect id="Rectangle 319" o:spid="_x0000_s1033" style="position:absolute;width:4667;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">
                  <v:textbox>
                    <w:txbxContent>
                      <w:p w14:paraId="757366C0" w14:textId="77777777" w:rsidR="00ED00D1" w:rsidRPr="00FD6882" w:rsidRDefault="00ED00D1" w:rsidP="00ED00D1">
                        <w:pPr>
                          <w:jc w:val="center"/>
                          <w:rPr>
                            <w:sz w:val="20"/>
                            <w:szCs w:val="20"/>
                          </w:rPr>
                        </w:pPr>
                      </w:p>
                    </w:txbxContent>
                  </v:textbox>
                </v:rect>
                <v:rect id="Rectangle 320" o:spid="_x0000_s1034" style="position:absolute;left:14954;width:4667;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">
                  <v:textbox>
                    <w:txbxContent>
                      <w:p w14:paraId="2FCA31DF" w14:textId="77777777" w:rsidR="00ED00D1" w:rsidRPr="00FD6882" w:rsidRDefault="00ED00D1" w:rsidP="00ED00D1">
                        <w:pPr>
                          <w:jc w:val="center"/>
                          <w:rPr>
                            <w:sz w:val="20"/>
                            <w:szCs w:val="20"/>
                          </w:rPr>
                        </w:pPr>
                      </w:p>
                    </w:txbxContent>
                  </v:textbox>
                </v:rect>
                <v:rect id="Rectangle 320" o:spid="_x0000_s1035" style="position:absolute;left:22860;width:4667;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">
                  <v:textbox>
                    <w:txbxContent>
                      <w:p w14:paraId="302D75F8" w14:textId="77777777" w:rsidR="00ED00D1" w:rsidRPr="00FD6882" w:rsidRDefault="00ED00D1" w:rsidP="00ED00D1">
                        <w:pPr>
                          <w:jc w:val="center"/>
                          <w:rPr>
                            <w:sz w:val="20"/>
                            <w:szCs w:val="20"/>
                          </w:rPr>
                        </w:pPr>
                      </w:p>
                    </w:txbxContent>
                  </v:textbox>
                </v:rect>
              </v:group>
            </w:pict>
          </mc:Fallback>
        </mc:AlternateContent>
      </w:r>
    </w:p>
    <w:p w14:paraId="20E9CAE9" w14:textId="77777777" w:rsidR="000748B7" w:rsidRDefault="000748B7" w:rsidP="000748B7">
      <w:pPr>
        <w:spacing w:before="0" w:after="0"/>
        <w:ind w:left="90"/>
        <w:rPr>
          <w:rFonts w:eastAsia="Calibri"/>
          <w:b/>
        </w:rPr>
      </w:pPr>
    </w:p>
    <w:p w14:paraId="441A1A0C" w14:textId="01C279B1" w:rsidR="00ED00D1" w:rsidRPr="00094763" w:rsidRDefault="00ED00D1" w:rsidP="000748B7">
      <w:pPr>
        <w:spacing w:before="0" w:after="0"/>
        <w:ind w:left="90"/>
        <w:rPr>
          <w:rFonts w:eastAsia="Calibri"/>
          <w:b/>
        </w:rPr>
      </w:pPr>
      <w:r w:rsidRPr="00094763">
        <w:rPr>
          <w:rFonts w:eastAsia="Calibri"/>
          <w:b/>
        </w:rPr>
        <w:t>DENOMINATOR</w:t>
      </w:r>
    </w:p>
    <w:p w14:paraId="38660A30" w14:textId="77777777" w:rsidR="00ED00D1" w:rsidRPr="001E5C4C" w:rsidRDefault="00ED00D1" w:rsidP="000748B7">
      <w:pPr>
        <w:pBdr>
          <w:top w:val="single" w:sz="8" w:space="1" w:color="auto"/>
          <w:left w:val="single" w:sz="8" w:space="4" w:color="auto"/>
          <w:bottom w:val="single" w:sz="8" w:space="1" w:color="auto"/>
          <w:right w:val="single" w:sz="8" w:space="4" w:color="auto"/>
        </w:pBdr>
        <w:spacing w:before="0" w:after="0"/>
        <w:ind w:right="1530"/>
        <w:rPr>
          <w:sz w:val="20"/>
          <w:szCs w:val="20"/>
        </w:rPr>
      </w:pPr>
      <w:r w:rsidRPr="001E5C4C">
        <w:rPr>
          <w:sz w:val="20"/>
          <w:szCs w:val="20"/>
        </w:rPr>
        <w:t>All patients with painful bone metastases and no previous radiation to the same anatomic site who receive EBRT</w:t>
      </w:r>
      <w:r>
        <w:rPr>
          <w:sz w:val="20"/>
          <w:szCs w:val="20"/>
        </w:rPr>
        <w:t>.</w:t>
      </w:r>
    </w:p>
    <w:p w14:paraId="3DA1A662" w14:textId="52FE5C88" w:rsidR="000748B7" w:rsidRDefault="00ED00D1" w:rsidP="000748B7">
      <w:pPr>
        <w:tabs>
          <w:tab w:val="left" w:pos="2790"/>
          <w:tab w:val="left" w:pos="4410"/>
          <w:tab w:val="left" w:pos="6210"/>
          <w:tab w:val="left" w:pos="8010"/>
        </w:tabs>
        <w:spacing w:before="0" w:after="0"/>
        <w:rPr>
          <w:rFonts w:eastAsia="Calibri"/>
        </w:rPr>
      </w:pPr>
      <w:bookmarkStart w:id="0" w:name="_GoBack"/>
      <w:r w:rsidRPr="00CF5136">
        <w:rPr>
          <w:rFonts w:eastAsia="Calibri"/>
          <w:noProof/>
          <w:color w:val="FFFFFF" w:themeColor="background1"/>
        </w:rPr>
        <mc:AlternateContent>
          <mc:Choice Requires="wpg">
            <w:drawing>
              <wp:anchor distT="0" distB="0" distL="114300" distR="114300" simplePos="0" relativeHeight="251663360" behindDoc="0" locked="0" layoutInCell="1" allowOverlap="1" wp14:anchorId="44A09187" wp14:editId="21E0C2CE">
                <wp:simplePos x="0" y="0"/>
                <wp:positionH relativeFrom="column">
                  <wp:posOffset>1447800</wp:posOffset>
                </wp:positionH>
                <wp:positionV relativeFrom="paragraph">
                  <wp:posOffset>418465</wp:posOffset>
                </wp:positionV>
                <wp:extent cx="3994150" cy="292100"/>
                <wp:effectExtent l="0" t="0" r="25400" b="12700"/>
                <wp:wrapNone/>
                <wp:docPr id="69" name="Group 122" descr="This group lists the resultant percentages by quarter." title="Quarterly Percent of Total"/>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94150" cy="292100"/>
                          <a:chOff x="3840" y="3914"/>
                          <a:chExt cx="4380" cy="375"/>
                        </a:xfrm>
                      </wpg:grpSpPr>
                      <wps:wsp>
                        <wps:cNvPr id="70" name="Rectangle 123"/>
                        <wps:cNvSpPr>
                          <a:spLocks noChangeArrowheads="1"/>
                        </wps:cNvSpPr>
                        <wps:spPr bwMode="auto">
                          <a:xfrm>
                            <a:off x="3840" y="3914"/>
                            <a:ext cx="780" cy="375"/>
                          </a:xfrm>
                          <a:prstGeom prst="rect">
                            <a:avLst/>
                          </a:prstGeom>
                          <a:solidFill>
                            <a:schemeClr val="accent1"/>
                          </a:solidFill>
                          <a:ln w="9525">
                            <a:solidFill>
                              <a:schemeClr val="accent1">
                                <a:lumMod val="50000"/>
                                <a:lumOff val="0"/>
                              </a:schemeClr>
                            </a:solidFill>
                            <a:miter lim="800000"/>
                            <a:headEnd/>
                            <a:tailEnd/>
                          </a:ln>
                        </wps:spPr>
                        <wps:txbx>
                          <w:txbxContent>
                            <w:p w14:paraId="14B1EF97" w14:textId="77777777" w:rsidR="00ED00D1" w:rsidRPr="00FD6882" w:rsidRDefault="00ED00D1" w:rsidP="00ED00D1">
                              <w:pPr>
                                <w:jc w:val="center"/>
                                <w:rPr>
                                  <w:sz w:val="20"/>
                                  <w:szCs w:val="20"/>
                                </w:rPr>
                              </w:pPr>
                            </w:p>
                          </w:txbxContent>
                        </wps:txbx>
                        <wps:bodyPr rot="0" vert="horz" wrap="square" lIns="91440" tIns="45720" rIns="91440" bIns="45720" anchor="ctr" anchorCtr="0" upright="1">
                          <a:noAutofit/>
                        </wps:bodyPr>
                      </wps:wsp>
                      <wps:wsp>
                        <wps:cNvPr id="71" name="Rectangle 124"/>
                        <wps:cNvSpPr>
                          <a:spLocks noChangeArrowheads="1"/>
                        </wps:cNvSpPr>
                        <wps:spPr bwMode="auto">
                          <a:xfrm>
                            <a:off x="5025" y="3914"/>
                            <a:ext cx="780" cy="375"/>
                          </a:xfrm>
                          <a:prstGeom prst="rect">
                            <a:avLst/>
                          </a:prstGeom>
                          <a:solidFill>
                            <a:schemeClr val="accent1"/>
                          </a:solidFill>
                          <a:ln w="9525">
                            <a:solidFill>
                              <a:schemeClr val="accent1">
                                <a:lumMod val="50000"/>
                                <a:lumOff val="0"/>
                              </a:schemeClr>
                            </a:solidFill>
                            <a:miter lim="800000"/>
                            <a:headEnd/>
                            <a:tailEnd/>
                          </a:ln>
                        </wps:spPr>
                        <wps:txbx>
                          <w:txbxContent>
                            <w:p w14:paraId="2291C4EF" w14:textId="77777777" w:rsidR="00ED00D1" w:rsidRPr="00FD6882" w:rsidRDefault="00ED00D1" w:rsidP="00ED00D1">
                              <w:pPr>
                                <w:jc w:val="center"/>
                                <w:rPr>
                                  <w:sz w:val="20"/>
                                  <w:szCs w:val="20"/>
                                </w:rPr>
                              </w:pPr>
                            </w:p>
                          </w:txbxContent>
                        </wps:txbx>
                        <wps:bodyPr rot="0" vert="horz" wrap="square" lIns="91440" tIns="45720" rIns="91440" bIns="45720" anchor="ctr" anchorCtr="0" upright="1">
                          <a:noAutofit/>
                        </wps:bodyPr>
                      </wps:wsp>
                      <wps:wsp>
                        <wps:cNvPr id="72" name="Rectangle 125"/>
                        <wps:cNvSpPr>
                          <a:spLocks noChangeArrowheads="1"/>
                        </wps:cNvSpPr>
                        <wps:spPr bwMode="auto">
                          <a:xfrm>
                            <a:off x="6195" y="3914"/>
                            <a:ext cx="780" cy="375"/>
                          </a:xfrm>
                          <a:prstGeom prst="rect">
                            <a:avLst/>
                          </a:prstGeom>
                          <a:solidFill>
                            <a:schemeClr val="accent1"/>
                          </a:solidFill>
                          <a:ln w="9525">
                            <a:solidFill>
                              <a:schemeClr val="accent1">
                                <a:lumMod val="50000"/>
                                <a:lumOff val="0"/>
                              </a:schemeClr>
                            </a:solidFill>
                            <a:miter lim="800000"/>
                            <a:headEnd/>
                            <a:tailEnd/>
                          </a:ln>
                        </wps:spPr>
                        <wps:txbx>
                          <w:txbxContent>
                            <w:p w14:paraId="3000D66B" w14:textId="77777777" w:rsidR="00ED00D1" w:rsidRPr="00FD6882" w:rsidRDefault="00ED00D1" w:rsidP="00ED00D1">
                              <w:pPr>
                                <w:jc w:val="center"/>
                                <w:rPr>
                                  <w:sz w:val="20"/>
                                  <w:szCs w:val="20"/>
                                </w:rPr>
                              </w:pPr>
                            </w:p>
                          </w:txbxContent>
                        </wps:txbx>
                        <wps:bodyPr rot="0" vert="horz" wrap="square" lIns="91440" tIns="45720" rIns="91440" bIns="45720" anchor="ctr" anchorCtr="0" upright="1">
                          <a:noAutofit/>
                        </wps:bodyPr>
                      </wps:wsp>
                      <wps:wsp>
                        <wps:cNvPr id="73" name="Rectangle 126"/>
                        <wps:cNvSpPr>
                          <a:spLocks noChangeArrowheads="1"/>
                        </wps:cNvSpPr>
                        <wps:spPr bwMode="auto">
                          <a:xfrm>
                            <a:off x="7440" y="3914"/>
                            <a:ext cx="780" cy="375"/>
                          </a:xfrm>
                          <a:prstGeom prst="rect">
                            <a:avLst/>
                          </a:prstGeom>
                          <a:solidFill>
                            <a:schemeClr val="accent1"/>
                          </a:solidFill>
                          <a:ln w="9525">
                            <a:solidFill>
                              <a:schemeClr val="accent1">
                                <a:lumMod val="50000"/>
                                <a:lumOff val="0"/>
                              </a:schemeClr>
                            </a:solidFill>
                            <a:miter lim="800000"/>
                            <a:headEnd/>
                            <a:tailEnd/>
                          </a:ln>
                        </wps:spPr>
                        <wps:txbx>
                          <w:txbxContent>
                            <w:p w14:paraId="352ECAEE" w14:textId="77777777" w:rsidR="00ED00D1" w:rsidRPr="00FD6882" w:rsidRDefault="00ED00D1" w:rsidP="00ED00D1">
                              <w:pPr>
                                <w:jc w:val="center"/>
                                <w:rPr>
                                  <w:sz w:val="20"/>
                                  <w:szCs w:val="20"/>
                                </w:rP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A09187" id="Group 122" o:spid="_x0000_s1036" alt="Title: Quarterly Percent of Total - Description: This group lists the resultant percentages by quarter." style="position:absolute;margin-left:114pt;margin-top:32.95pt;width:314.5pt;height:23pt;z-index:251663360" coordorigin="3840,3914" coordsize="4380,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">
                <v:rect id="Rectangle 123" o:spid="_x0000_s1037" style="position:absolute;left:3840;top:3914;width:780;height: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" fillcolor="#4f81bd [3204]" strokecolor="#243f60 [1604]">
                  <v:textbox>
                    <w:txbxContent>
                      <w:p w14:paraId="14B1EF97" w14:textId="77777777" w:rsidR="00ED00D1" w:rsidRPr="00FD6882" w:rsidRDefault="00ED00D1" w:rsidP="00ED00D1">
                        <w:pPr>
                          <w:jc w:val="center"/>
                          <w:rPr>
                            <w:sz w:val="20"/>
                            <w:szCs w:val="20"/>
                          </w:rPr>
                        </w:pPr>
                      </w:p>
                    </w:txbxContent>
                  </v:textbox>
                </v:rect>
                <v:rect id="Rectangle 124" o:spid="_x0000_s1038" style="position:absolute;left:5025;top:3914;width:780;height: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" fillcolor="#4f81bd [3204]" strokecolor="#243f60 [1604]">
                  <v:textbox>
                    <w:txbxContent>
                      <w:p w14:paraId="2291C4EF" w14:textId="77777777" w:rsidR="00ED00D1" w:rsidRPr="00FD6882" w:rsidRDefault="00ED00D1" w:rsidP="00ED00D1">
                        <w:pPr>
                          <w:jc w:val="center"/>
                          <w:rPr>
                            <w:sz w:val="20"/>
                            <w:szCs w:val="20"/>
                          </w:rPr>
                        </w:pPr>
                      </w:p>
                    </w:txbxContent>
                  </v:textbox>
                </v:rect>
                <v:rect id="Rectangle 125" o:spid="_x0000_s1039" style="position:absolute;left:6195;top:3914;width:780;height: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" fillcolor="#4f81bd [3204]" strokecolor="#243f60 [1604]">
                  <v:textbox>
                    <w:txbxContent>
                      <w:p w14:paraId="3000D66B" w14:textId="77777777" w:rsidR="00ED00D1" w:rsidRPr="00FD6882" w:rsidRDefault="00ED00D1" w:rsidP="00ED00D1">
                        <w:pPr>
                          <w:jc w:val="center"/>
                          <w:rPr>
                            <w:sz w:val="20"/>
                            <w:szCs w:val="20"/>
                          </w:rPr>
                        </w:pPr>
                      </w:p>
                    </w:txbxContent>
                  </v:textbox>
                </v:rect>
                <v:rect id="Rectangle 126" o:spid="_x0000_s1040" style="position:absolute;left:7440;top:3914;width:780;height: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" fillcolor="#4f81bd [3204]" strokecolor="#243f60 [1604]">
                  <v:textbox>
                    <w:txbxContent>
                      <w:p w14:paraId="352ECAEE" w14:textId="77777777" w:rsidR="00ED00D1" w:rsidRPr="00FD6882" w:rsidRDefault="00ED00D1" w:rsidP="00ED00D1">
                        <w:pPr>
                          <w:jc w:val="center"/>
                          <w:rPr>
                            <w:sz w:val="20"/>
                            <w:szCs w:val="20"/>
                          </w:rPr>
                        </w:pPr>
                      </w:p>
                    </w:txbxContent>
                  </v:textbox>
                </v:rect>
              </v:group>
            </w:pict>
          </mc:Fallback>
        </mc:AlternateContent>
      </w:r>
      <w:bookmarkEnd w:id="0"/>
    </w:p>
    <w:p w14:paraId="7D78DA5C" w14:textId="77777777" w:rsidR="00ED00D1" w:rsidRDefault="000748B7" w:rsidP="000748B7">
      <w:pPr>
        <w:tabs>
          <w:tab w:val="left" w:pos="2790"/>
          <w:tab w:val="left" w:pos="4410"/>
          <w:tab w:val="left" w:pos="6210"/>
          <w:tab w:val="left" w:pos="8010"/>
        </w:tabs>
        <w:spacing w:before="0" w:after="0"/>
        <w:rPr>
          <w:rFonts w:eastAsia="Calibri"/>
        </w:rPr>
      </w:pPr>
      <w:r>
        <w:rPr>
          <w:rFonts w:eastAsia="Calibri"/>
        </w:rPr>
        <w:tab/>
      </w:r>
      <w:r w:rsidR="00ED00D1" w:rsidRPr="00D11F73">
        <w:rPr>
          <w:rFonts w:eastAsia="Calibri"/>
        </w:rPr>
        <w:t>Q1</w:t>
      </w:r>
      <w:r w:rsidR="00ED00D1" w:rsidRPr="00D11F73">
        <w:rPr>
          <w:rFonts w:eastAsia="Calibri"/>
        </w:rPr>
        <w:tab/>
        <w:t>Q2</w:t>
      </w:r>
      <w:r w:rsidR="00ED00D1" w:rsidRPr="00D11F73">
        <w:rPr>
          <w:rFonts w:eastAsia="Calibri"/>
        </w:rPr>
        <w:tab/>
        <w:t>Q3</w:t>
      </w:r>
      <w:r w:rsidR="00ED00D1" w:rsidRPr="00D11F73">
        <w:rPr>
          <w:rFonts w:eastAsia="Calibri"/>
        </w:rPr>
        <w:tab/>
        <w:t>Q4</w:t>
      </w:r>
    </w:p>
    <w:p w14:paraId="205DF6AE" w14:textId="77777777" w:rsidR="000748B7" w:rsidRDefault="000748B7" w:rsidP="000748B7">
      <w:pPr>
        <w:spacing w:before="0" w:after="0"/>
        <w:rPr>
          <w:rFonts w:eastAsia="Calibri"/>
          <w:b/>
        </w:rPr>
      </w:pPr>
    </w:p>
    <w:p w14:paraId="4FCD4368" w14:textId="77777777" w:rsidR="000748B7" w:rsidRDefault="000748B7" w:rsidP="000748B7">
      <w:pPr>
        <w:spacing w:before="0" w:after="0"/>
        <w:rPr>
          <w:rFonts w:eastAsia="Calibri"/>
          <w:b/>
        </w:rPr>
      </w:pPr>
    </w:p>
    <w:p w14:paraId="109FD097" w14:textId="77777777" w:rsidR="000748B7" w:rsidRDefault="000748B7" w:rsidP="000748B7">
      <w:pPr>
        <w:spacing w:before="0" w:after="0"/>
        <w:rPr>
          <w:rFonts w:eastAsia="Calibri"/>
          <w:b/>
        </w:rPr>
      </w:pPr>
    </w:p>
    <w:p w14:paraId="6F20E62B" w14:textId="77777777" w:rsidR="00ED00D1" w:rsidRPr="00940C15" w:rsidRDefault="00AF195A" w:rsidP="000748B7">
      <w:pPr>
        <w:spacing w:before="0" w:after="0"/>
        <w:rPr>
          <w:rFonts w:eastAsia="Calibri"/>
          <w:b/>
          <w:sz w:val="16"/>
          <w:szCs w:val="16"/>
        </w:rPr>
      </w:pPr>
      <w:r>
        <w:rPr>
          <w:rFonts w:eastAsia="Calibri"/>
          <w:b/>
        </w:rPr>
        <w:t>Percent of Total</w:t>
      </w:r>
      <w:r>
        <w:rPr>
          <w:rFonts w:eastAsia="Calibri"/>
          <w:b/>
        </w:rPr>
        <w:br/>
      </w:r>
    </w:p>
    <w:p w14:paraId="5C2AFFAC" w14:textId="77777777" w:rsidR="00ED00D1" w:rsidRDefault="00ED00D1" w:rsidP="000748B7">
      <w:pPr>
        <w:spacing w:before="0" w:after="0"/>
        <w:rPr>
          <w:rFonts w:eastAsia="Calibri"/>
        </w:rPr>
      </w:pPr>
      <w:r>
        <w:rPr>
          <w:rFonts w:eastAsia="Calibri"/>
        </w:rPr>
        <w:t>Please refer to specifications on the National Quality Forum website:</w:t>
      </w:r>
      <w:r w:rsidRPr="005A4413">
        <w:t xml:space="preserve"> </w:t>
      </w:r>
      <w:hyperlink r:id="rId9" w:history="1">
        <w:r w:rsidRPr="00194515">
          <w:rPr>
            <w:rStyle w:val="Hyperlink"/>
            <w:rFonts w:eastAsia="Calibri"/>
          </w:rPr>
          <w:t>http://www.qualityforum.org/QPS/1822</w:t>
        </w:r>
      </w:hyperlink>
      <w:r>
        <w:rPr>
          <w:rFonts w:eastAsia="Calibri"/>
        </w:rPr>
        <w:t xml:space="preserve">. </w:t>
      </w:r>
    </w:p>
    <w:p w14:paraId="789F53A8" w14:textId="4F07682B" w:rsidR="00A30446" w:rsidRPr="003B6811" w:rsidRDefault="00F96C14" w:rsidP="000748B7">
      <w:pPr>
        <w:pBdr>
          <w:top w:val="single" w:sz="12" w:space="1" w:color="auto"/>
          <w:bottom w:val="single" w:sz="12" w:space="1" w:color="auto"/>
        </w:pBdr>
        <w:spacing w:before="0" w:after="0"/>
        <w:rPr>
          <w:sz w:val="13"/>
          <w:szCs w:val="13"/>
        </w:rPr>
      </w:pPr>
      <w:r w:rsidRPr="00E615B4">
        <w:rPr>
          <w:color w:val="333333"/>
          <w:sz w:val="13"/>
          <w:szCs w:val="13"/>
        </w:rPr>
        <w:t>PRA Disclosure Statement</w:t>
      </w:r>
      <w:r w:rsidRPr="00E615B4">
        <w:rPr>
          <w:color w:val="333333"/>
          <w:sz w:val="13"/>
          <w:szCs w:val="13"/>
        </w:rPr>
        <w:br/>
      </w:r>
      <w:proofErr w:type="gramStart"/>
      <w:r w:rsidR="003B6811" w:rsidRPr="003B6811">
        <w:rPr>
          <w:rFonts w:cs="Arial"/>
          <w:color w:val="333333"/>
          <w:sz w:val="13"/>
          <w:szCs w:val="13"/>
        </w:rPr>
        <w:t>According to</w:t>
      </w:r>
      <w:proofErr w:type="gramEnd"/>
      <w:r w:rsidR="003B6811" w:rsidRPr="003B6811">
        <w:rPr>
          <w:rFonts w:cs="Arial"/>
          <w:color w:val="333333"/>
          <w:sz w:val="13"/>
          <w:szCs w:val="13"/>
        </w:rPr>
        <w:t xml:space="preserve"> the Paperwork Reduction Act of 1995, no persons are required to respond to a collection of information unless it displays a valid OMB control number.  The valid OMB control number for this information collection is 0938-1175 and expires </w:t>
      </w:r>
      <w:r w:rsidR="0010789B">
        <w:rPr>
          <w:rFonts w:cs="Arial"/>
          <w:color w:val="333333"/>
          <w:sz w:val="13"/>
          <w:szCs w:val="13"/>
        </w:rPr>
        <w:t>XX/XX/XXXX</w:t>
      </w:r>
      <w:r w:rsidR="003B6811" w:rsidRPr="003B6811">
        <w:rPr>
          <w:rFonts w:cs="Arial"/>
          <w:color w:val="333333"/>
          <w:sz w:val="13"/>
          <w:szCs w:val="13"/>
        </w:rPr>
        <w:t xml:space="preserve">.  The time required to complete this information collection is estimated to average 10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r w:rsidR="003B6811" w:rsidRPr="003B6811">
        <w:rPr>
          <w:rFonts w:cs="Arial"/>
          <w:sz w:val="13"/>
          <w:szCs w:val="13"/>
        </w:rPr>
        <w:t>*****CMS Disclaimer*****</w:t>
      </w:r>
      <w:r w:rsidR="003B6811" w:rsidRPr="003B6811">
        <w:rPr>
          <w:rFonts w:cs="Arial"/>
          <w:bCs/>
          <w:sz w:val="13"/>
          <w:szCs w:val="13"/>
        </w:rPr>
        <w:t>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James Poyer at (410) 786-2261.</w:t>
      </w:r>
    </w:p>
    <w:sectPr w:rsidR="00A30446" w:rsidRPr="003B6811" w:rsidSect="00DA4489">
      <w:headerReference w:type="default" r:id="rId10"/>
      <w:footerReference w:type="default" r:id="rId11"/>
      <w:headerReference w:type="first" r:id="rId12"/>
      <w:footerReference w:type="first" r:id="rId13"/>
      <w:pgSz w:w="12240" w:h="15840" w:code="1"/>
      <w:pgMar w:top="360" w:right="360" w:bottom="173" w:left="3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B1B241" w14:textId="77777777" w:rsidR="00B56676" w:rsidRDefault="00B56676" w:rsidP="00E43060">
      <w:r>
        <w:separator/>
      </w:r>
    </w:p>
  </w:endnote>
  <w:endnote w:type="continuationSeparator" w:id="0">
    <w:p w14:paraId="027B1E86" w14:textId="77777777" w:rsidR="00B56676" w:rsidRDefault="00B56676" w:rsidP="00E43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2146051"/>
      <w:docPartObj>
        <w:docPartGallery w:val="Page Numbers (Bottom of Page)"/>
        <w:docPartUnique/>
      </w:docPartObj>
    </w:sdtPr>
    <w:sdtEndPr/>
    <w:sdtContent>
      <w:sdt>
        <w:sdtPr>
          <w:id w:val="860082579"/>
          <w:docPartObj>
            <w:docPartGallery w:val="Page Numbers (Top of Page)"/>
            <w:docPartUnique/>
          </w:docPartObj>
        </w:sdtPr>
        <w:sdtEndPr/>
        <w:sdtContent>
          <w:p w14:paraId="053FD0A8" w14:textId="77777777" w:rsidR="00E43060" w:rsidRDefault="001E0093" w:rsidP="001E0093">
            <w:pPr>
              <w:pStyle w:val="Footer"/>
            </w:pPr>
            <w:r w:rsidRPr="001E0093">
              <w:t>PCH</w:t>
            </w:r>
            <w:r>
              <w:t>QR</w:t>
            </w:r>
            <w:r w:rsidRPr="001E0093">
              <w:t xml:space="preserve"> Program</w:t>
            </w:r>
            <w:r>
              <w:tab/>
              <w:t xml:space="preserve">03/05/2013 </w:t>
            </w:r>
            <w:r>
              <w:tab/>
              <w:t xml:space="preserve">Page </w:t>
            </w:r>
            <w:r>
              <w:rPr>
                <w:b/>
                <w:bCs/>
                <w:sz w:val="24"/>
                <w:szCs w:val="24"/>
              </w:rPr>
              <w:fldChar w:fldCharType="begin"/>
            </w:r>
            <w:r>
              <w:rPr>
                <w:b/>
                <w:bCs/>
              </w:rPr>
              <w:instrText xml:space="preserve"> PAGE </w:instrText>
            </w:r>
            <w:r>
              <w:rPr>
                <w:b/>
                <w:bCs/>
                <w:sz w:val="24"/>
                <w:szCs w:val="24"/>
              </w:rPr>
              <w:fldChar w:fldCharType="separate"/>
            </w:r>
            <w:r w:rsidR="003B681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B6811">
              <w:rPr>
                <w:b/>
                <w:bCs/>
                <w:noProof/>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7488111"/>
      <w:docPartObj>
        <w:docPartGallery w:val="Page Numbers (Bottom of Page)"/>
        <w:docPartUnique/>
      </w:docPartObj>
    </w:sdtPr>
    <w:sdtEndPr/>
    <w:sdtContent>
      <w:sdt>
        <w:sdtPr>
          <w:id w:val="354622668"/>
          <w:docPartObj>
            <w:docPartGallery w:val="Page Numbers (Top of Page)"/>
            <w:docPartUnique/>
          </w:docPartObj>
        </w:sdtPr>
        <w:sdtEndPr/>
        <w:sdtContent>
          <w:p w14:paraId="0F5016B2" w14:textId="1AEAE262" w:rsidR="001E0093" w:rsidRPr="001E0093" w:rsidRDefault="001E0093" w:rsidP="001E0093">
            <w:pPr>
              <w:pStyle w:val="Footer"/>
            </w:pPr>
            <w:r w:rsidRPr="001E0093">
              <w:t>PCH</w:t>
            </w:r>
            <w:r>
              <w:t>QR</w:t>
            </w:r>
            <w:r w:rsidRPr="001E0093">
              <w:t xml:space="preserve"> Program</w:t>
            </w:r>
            <w:r>
              <w:tab/>
              <w:t>0</w:t>
            </w:r>
            <w:r w:rsidR="000748B7">
              <w:t>7</w:t>
            </w:r>
            <w:r>
              <w:t>/</w:t>
            </w:r>
            <w:r w:rsidR="000748B7">
              <w:t>24</w:t>
            </w:r>
            <w:r>
              <w:t xml:space="preserve">/2013 </w:t>
            </w:r>
            <w:r>
              <w:tab/>
              <w:t xml:space="preserve">Page </w:t>
            </w:r>
            <w:r>
              <w:rPr>
                <w:b/>
                <w:bCs/>
                <w:sz w:val="24"/>
                <w:szCs w:val="24"/>
              </w:rPr>
              <w:fldChar w:fldCharType="begin"/>
            </w:r>
            <w:r>
              <w:rPr>
                <w:b/>
                <w:bCs/>
              </w:rPr>
              <w:instrText xml:space="preserve"> PAGE </w:instrText>
            </w:r>
            <w:r>
              <w:rPr>
                <w:b/>
                <w:bCs/>
                <w:sz w:val="24"/>
                <w:szCs w:val="24"/>
              </w:rPr>
              <w:fldChar w:fldCharType="separate"/>
            </w:r>
            <w:r w:rsidR="00C001A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001A0">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317D8B" w14:textId="77777777" w:rsidR="00B56676" w:rsidRDefault="00B56676" w:rsidP="00E43060">
      <w:r>
        <w:separator/>
      </w:r>
    </w:p>
  </w:footnote>
  <w:footnote w:type="continuationSeparator" w:id="0">
    <w:p w14:paraId="03809D05" w14:textId="77777777" w:rsidR="00B56676" w:rsidRDefault="00B56676" w:rsidP="00E43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B0847" w14:textId="77777777" w:rsidR="001E0093" w:rsidRPr="001E0093" w:rsidRDefault="001E0093" w:rsidP="001E0093">
    <w:pPr>
      <w:pStyle w:val="NoteHeading"/>
      <w:ind w:left="4320"/>
    </w:pPr>
    <w:r>
      <w:t>PCHQR</w:t>
    </w:r>
    <w:r w:rsidRPr="004A1B7A">
      <w:t xml:space="preserve"> Program</w:t>
    </w:r>
    <w:r>
      <w:t xml:space="preserve"> - Population and Sampling:  EBRT</w:t>
    </w:r>
    <w:r w:rsidRPr="00F8089B">
      <w:t xml:space="preserve"> Measures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4783F" w14:textId="77777777" w:rsidR="001E0093" w:rsidRPr="001E0093" w:rsidRDefault="001E0093" w:rsidP="001E0093">
    <w:pPr>
      <w:pStyle w:val="Title"/>
    </w:pPr>
    <w:r w:rsidRPr="001E0093">
      <w:t>PPS-Exempt Cancer Hospital Quality Reporting (PCHQR) Program</w:t>
    </w:r>
  </w:p>
  <w:p w14:paraId="0EF5C129" w14:textId="77777777" w:rsidR="001E0093" w:rsidRPr="001E0093" w:rsidRDefault="001E0093" w:rsidP="001E0093">
    <w:pPr>
      <w:pStyle w:val="Subtitle"/>
    </w:pPr>
    <w:r w:rsidRPr="001E0093">
      <w:t>Web-Based Application for Clinical Care Measure</w:t>
    </w:r>
  </w:p>
  <w:p w14:paraId="05000530" w14:textId="77777777" w:rsidR="001E0093" w:rsidRDefault="001E0093" w:rsidP="001E0093">
    <w:pPr>
      <w:pStyle w:val="Subtitle"/>
      <w:pBdr>
        <w:bottom w:val="single" w:sz="4" w:space="1" w:color="00B0F0"/>
      </w:pBdr>
    </w:pPr>
    <w:r w:rsidRPr="001E0093">
      <w:t>Online Data Entry Tool Content for FY</w:t>
    </w:r>
    <w:r w:rsidR="00ED00D1">
      <w:t xml:space="preserve"> </w:t>
    </w:r>
    <w:r w:rsidRPr="001E0093">
      <w:t>2017 and Subsequent Years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BA6A43"/>
    <w:multiLevelType w:val="hybridMultilevel"/>
    <w:tmpl w:val="B1D4A524"/>
    <w:lvl w:ilvl="0" w:tplc="F1085930">
      <w:start w:val="1"/>
      <w:numFmt w:val="bullet"/>
      <w:pStyle w:val="BlockText"/>
      <w:lvlText w:val=""/>
      <w:lvlJc w:val="left"/>
      <w:pPr>
        <w:ind w:left="4770" w:hanging="360"/>
      </w:pPr>
      <w:rPr>
        <w:rFonts w:ascii="Wingdings" w:hAnsi="Wingdings" w:hint="default"/>
        <w:color w:val="FF0000"/>
        <w:sz w:val="32"/>
      </w:rPr>
    </w:lvl>
    <w:lvl w:ilvl="1" w:tplc="04090003" w:tentative="1">
      <w:start w:val="1"/>
      <w:numFmt w:val="bullet"/>
      <w:lvlText w:val="o"/>
      <w:lvlJc w:val="left"/>
      <w:pPr>
        <w:ind w:left="2502" w:hanging="360"/>
      </w:pPr>
      <w:rPr>
        <w:rFonts w:ascii="Courier New" w:hAnsi="Courier New" w:cs="Courier New" w:hint="default"/>
      </w:rPr>
    </w:lvl>
    <w:lvl w:ilvl="2" w:tplc="04090005" w:tentative="1">
      <w:start w:val="1"/>
      <w:numFmt w:val="bullet"/>
      <w:lvlText w:val=""/>
      <w:lvlJc w:val="left"/>
      <w:pPr>
        <w:ind w:left="3222" w:hanging="360"/>
      </w:pPr>
      <w:rPr>
        <w:rFonts w:ascii="Wingdings" w:hAnsi="Wingdings" w:hint="default"/>
      </w:rPr>
    </w:lvl>
    <w:lvl w:ilvl="3" w:tplc="04090001" w:tentative="1">
      <w:start w:val="1"/>
      <w:numFmt w:val="bullet"/>
      <w:lvlText w:val=""/>
      <w:lvlJc w:val="left"/>
      <w:pPr>
        <w:ind w:left="3942" w:hanging="360"/>
      </w:pPr>
      <w:rPr>
        <w:rFonts w:ascii="Symbol" w:hAnsi="Symbol" w:hint="default"/>
      </w:rPr>
    </w:lvl>
    <w:lvl w:ilvl="4" w:tplc="04090003" w:tentative="1">
      <w:start w:val="1"/>
      <w:numFmt w:val="bullet"/>
      <w:lvlText w:val="o"/>
      <w:lvlJc w:val="left"/>
      <w:pPr>
        <w:ind w:left="4662" w:hanging="360"/>
      </w:pPr>
      <w:rPr>
        <w:rFonts w:ascii="Courier New" w:hAnsi="Courier New" w:cs="Courier New" w:hint="default"/>
      </w:rPr>
    </w:lvl>
    <w:lvl w:ilvl="5" w:tplc="04090005" w:tentative="1">
      <w:start w:val="1"/>
      <w:numFmt w:val="bullet"/>
      <w:lvlText w:val=""/>
      <w:lvlJc w:val="left"/>
      <w:pPr>
        <w:ind w:left="5382" w:hanging="360"/>
      </w:pPr>
      <w:rPr>
        <w:rFonts w:ascii="Wingdings" w:hAnsi="Wingdings" w:hint="default"/>
      </w:rPr>
    </w:lvl>
    <w:lvl w:ilvl="6" w:tplc="04090001" w:tentative="1">
      <w:start w:val="1"/>
      <w:numFmt w:val="bullet"/>
      <w:lvlText w:val=""/>
      <w:lvlJc w:val="left"/>
      <w:pPr>
        <w:ind w:left="6102" w:hanging="360"/>
      </w:pPr>
      <w:rPr>
        <w:rFonts w:ascii="Symbol" w:hAnsi="Symbol" w:hint="default"/>
      </w:rPr>
    </w:lvl>
    <w:lvl w:ilvl="7" w:tplc="04090003" w:tentative="1">
      <w:start w:val="1"/>
      <w:numFmt w:val="bullet"/>
      <w:lvlText w:val="o"/>
      <w:lvlJc w:val="left"/>
      <w:pPr>
        <w:ind w:left="6822" w:hanging="360"/>
      </w:pPr>
      <w:rPr>
        <w:rFonts w:ascii="Courier New" w:hAnsi="Courier New" w:cs="Courier New" w:hint="default"/>
      </w:rPr>
    </w:lvl>
    <w:lvl w:ilvl="8" w:tplc="04090005" w:tentative="1">
      <w:start w:val="1"/>
      <w:numFmt w:val="bullet"/>
      <w:lvlText w:val=""/>
      <w:lvlJc w:val="left"/>
      <w:pPr>
        <w:ind w:left="754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C14"/>
    <w:rsid w:val="000311F7"/>
    <w:rsid w:val="000748B7"/>
    <w:rsid w:val="00094763"/>
    <w:rsid w:val="000D78E4"/>
    <w:rsid w:val="0010789B"/>
    <w:rsid w:val="00127428"/>
    <w:rsid w:val="001632FA"/>
    <w:rsid w:val="001D028E"/>
    <w:rsid w:val="001E0093"/>
    <w:rsid w:val="001F6F0A"/>
    <w:rsid w:val="00247484"/>
    <w:rsid w:val="003A42C7"/>
    <w:rsid w:val="003B336C"/>
    <w:rsid w:val="003B6811"/>
    <w:rsid w:val="00442B42"/>
    <w:rsid w:val="004F211E"/>
    <w:rsid w:val="00522B1B"/>
    <w:rsid w:val="005409DD"/>
    <w:rsid w:val="005423C5"/>
    <w:rsid w:val="00551DEC"/>
    <w:rsid w:val="0055737A"/>
    <w:rsid w:val="00585F13"/>
    <w:rsid w:val="005B5484"/>
    <w:rsid w:val="005B6840"/>
    <w:rsid w:val="005C49A9"/>
    <w:rsid w:val="005E2780"/>
    <w:rsid w:val="005F19D3"/>
    <w:rsid w:val="006A31E6"/>
    <w:rsid w:val="006A54B2"/>
    <w:rsid w:val="006B0E53"/>
    <w:rsid w:val="006C0136"/>
    <w:rsid w:val="006C68D1"/>
    <w:rsid w:val="00717B97"/>
    <w:rsid w:val="007716E4"/>
    <w:rsid w:val="007A1044"/>
    <w:rsid w:val="007A3BB6"/>
    <w:rsid w:val="007A64F1"/>
    <w:rsid w:val="00805552"/>
    <w:rsid w:val="00810CE2"/>
    <w:rsid w:val="00833E10"/>
    <w:rsid w:val="008410D4"/>
    <w:rsid w:val="00852D24"/>
    <w:rsid w:val="00886755"/>
    <w:rsid w:val="00915268"/>
    <w:rsid w:val="009167A0"/>
    <w:rsid w:val="00942192"/>
    <w:rsid w:val="009521D1"/>
    <w:rsid w:val="0095528B"/>
    <w:rsid w:val="0096354D"/>
    <w:rsid w:val="009A65D5"/>
    <w:rsid w:val="009B0D91"/>
    <w:rsid w:val="009C6F25"/>
    <w:rsid w:val="00A17884"/>
    <w:rsid w:val="00A30446"/>
    <w:rsid w:val="00A76B00"/>
    <w:rsid w:val="00AA4972"/>
    <w:rsid w:val="00AE30C9"/>
    <w:rsid w:val="00AF195A"/>
    <w:rsid w:val="00B059BA"/>
    <w:rsid w:val="00B134F6"/>
    <w:rsid w:val="00B50D6B"/>
    <w:rsid w:val="00B56676"/>
    <w:rsid w:val="00B77FAE"/>
    <w:rsid w:val="00BE0EB2"/>
    <w:rsid w:val="00BE161F"/>
    <w:rsid w:val="00BF5692"/>
    <w:rsid w:val="00C001A0"/>
    <w:rsid w:val="00C26BDB"/>
    <w:rsid w:val="00C3049A"/>
    <w:rsid w:val="00C653D7"/>
    <w:rsid w:val="00C74A61"/>
    <w:rsid w:val="00C847EA"/>
    <w:rsid w:val="00C94527"/>
    <w:rsid w:val="00CC7D3C"/>
    <w:rsid w:val="00CF5136"/>
    <w:rsid w:val="00D20F79"/>
    <w:rsid w:val="00D254BD"/>
    <w:rsid w:val="00D357F0"/>
    <w:rsid w:val="00D601C4"/>
    <w:rsid w:val="00DA4489"/>
    <w:rsid w:val="00E15FA4"/>
    <w:rsid w:val="00E43060"/>
    <w:rsid w:val="00E54E42"/>
    <w:rsid w:val="00E615B4"/>
    <w:rsid w:val="00ED00D1"/>
    <w:rsid w:val="00EF4617"/>
    <w:rsid w:val="00F5739B"/>
    <w:rsid w:val="00F96C14"/>
    <w:rsid w:val="00FC0CBF"/>
    <w:rsid w:val="00FC4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21B75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E0093"/>
  </w:style>
  <w:style w:type="paragraph" w:styleId="Heading1">
    <w:name w:val="heading 1"/>
    <w:basedOn w:val="Normal"/>
    <w:next w:val="Normal"/>
    <w:link w:val="Heading1Char"/>
    <w:uiPriority w:val="9"/>
    <w:qFormat/>
    <w:rsid w:val="001E0093"/>
    <w:pPr>
      <w:keepNext/>
      <w:keepLines/>
      <w:spacing w:before="480" w:after="0"/>
      <w:outlineLvl w:val="0"/>
    </w:pPr>
    <w:rPr>
      <w:rFonts w:eastAsiaTheme="majorEastAsia" w:cstheme="majorBidi"/>
      <w:b/>
      <w:bCs/>
      <w:sz w:val="24"/>
      <w:szCs w:val="28"/>
    </w:rPr>
  </w:style>
  <w:style w:type="paragraph" w:styleId="Heading2">
    <w:name w:val="heading 2"/>
    <w:basedOn w:val="Normal"/>
    <w:next w:val="Normal"/>
    <w:link w:val="Heading2Char"/>
    <w:uiPriority w:val="9"/>
    <w:unhideWhenUsed/>
    <w:qFormat/>
    <w:rsid w:val="001E0093"/>
    <w:pPr>
      <w:keepNext/>
      <w:keepLines/>
      <w:outlineLvl w:val="1"/>
    </w:pPr>
    <w:rPr>
      <w:rFonts w:eastAsiaTheme="majorEastAsia" w:cstheme="majorBidi"/>
      <w:b/>
      <w:bCs/>
      <w:szCs w:val="26"/>
    </w:rPr>
  </w:style>
  <w:style w:type="paragraph" w:styleId="Heading3">
    <w:name w:val="heading 3"/>
    <w:basedOn w:val="Heading2"/>
    <w:next w:val="Normal"/>
    <w:link w:val="Heading3Char"/>
    <w:uiPriority w:val="9"/>
    <w:unhideWhenUsed/>
    <w:qFormat/>
    <w:rsid w:val="001E0093"/>
    <w:pPr>
      <w:outlineLvl w:val="2"/>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E0093"/>
    <w:rPr>
      <w:sz w:val="16"/>
      <w:szCs w:val="16"/>
    </w:rPr>
  </w:style>
  <w:style w:type="paragraph" w:styleId="CommentText">
    <w:name w:val="annotation text"/>
    <w:basedOn w:val="Normal"/>
    <w:link w:val="CommentTextChar"/>
    <w:uiPriority w:val="99"/>
    <w:semiHidden/>
    <w:unhideWhenUsed/>
    <w:rsid w:val="001E0093"/>
    <w:rPr>
      <w:sz w:val="20"/>
      <w:szCs w:val="20"/>
    </w:rPr>
  </w:style>
  <w:style w:type="character" w:customStyle="1" w:styleId="CommentTextChar">
    <w:name w:val="Comment Text Char"/>
    <w:basedOn w:val="DefaultParagraphFont"/>
    <w:link w:val="CommentText"/>
    <w:uiPriority w:val="99"/>
    <w:semiHidden/>
    <w:rsid w:val="001E009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E0093"/>
    <w:rPr>
      <w:b/>
      <w:bCs/>
    </w:rPr>
  </w:style>
  <w:style w:type="character" w:customStyle="1" w:styleId="CommentSubjectChar">
    <w:name w:val="Comment Subject Char"/>
    <w:basedOn w:val="CommentTextChar"/>
    <w:link w:val="CommentSubject"/>
    <w:uiPriority w:val="99"/>
    <w:semiHidden/>
    <w:rsid w:val="001E0093"/>
    <w:rPr>
      <w:rFonts w:ascii="Arial" w:hAnsi="Arial"/>
      <w:b/>
      <w:bCs/>
      <w:sz w:val="20"/>
      <w:szCs w:val="20"/>
    </w:rPr>
  </w:style>
  <w:style w:type="paragraph" w:styleId="BalloonText">
    <w:name w:val="Balloon Text"/>
    <w:basedOn w:val="Normal"/>
    <w:link w:val="BalloonTextChar"/>
    <w:uiPriority w:val="99"/>
    <w:semiHidden/>
    <w:unhideWhenUsed/>
    <w:rsid w:val="001E009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093"/>
    <w:rPr>
      <w:rFonts w:ascii="Tahoma" w:hAnsi="Tahoma" w:cs="Tahoma"/>
      <w:sz w:val="16"/>
      <w:szCs w:val="16"/>
    </w:rPr>
  </w:style>
  <w:style w:type="character" w:styleId="Hyperlink">
    <w:name w:val="Hyperlink"/>
    <w:basedOn w:val="DefaultParagraphFont"/>
    <w:uiPriority w:val="99"/>
    <w:unhideWhenUsed/>
    <w:rsid w:val="000311F7"/>
    <w:rPr>
      <w:color w:val="0000FF" w:themeColor="hyperlink"/>
      <w:u w:val="single"/>
    </w:rPr>
  </w:style>
  <w:style w:type="character" w:styleId="HTMLCite">
    <w:name w:val="HTML Cite"/>
    <w:basedOn w:val="DefaultParagraphFont"/>
    <w:uiPriority w:val="99"/>
    <w:semiHidden/>
    <w:unhideWhenUsed/>
    <w:rsid w:val="000311F7"/>
    <w:rPr>
      <w:i w:val="0"/>
      <w:iCs w:val="0"/>
      <w:color w:val="009030"/>
    </w:rPr>
  </w:style>
  <w:style w:type="paragraph" w:styleId="ListParagraph">
    <w:name w:val="List Paragraph"/>
    <w:basedOn w:val="Normal"/>
    <w:uiPriority w:val="34"/>
    <w:qFormat/>
    <w:rsid w:val="00942192"/>
    <w:pPr>
      <w:ind w:left="720"/>
      <w:contextualSpacing/>
    </w:pPr>
  </w:style>
  <w:style w:type="table" w:styleId="TableGrid">
    <w:name w:val="Table Grid"/>
    <w:basedOn w:val="TableNormal"/>
    <w:uiPriority w:val="59"/>
    <w:rsid w:val="005B68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0093"/>
    <w:pPr>
      <w:tabs>
        <w:tab w:val="center" w:pos="4680"/>
        <w:tab w:val="right" w:pos="9360"/>
      </w:tabs>
      <w:spacing w:before="60" w:after="60"/>
      <w:jc w:val="center"/>
    </w:pPr>
    <w:rPr>
      <w:b/>
    </w:rPr>
  </w:style>
  <w:style w:type="character" w:customStyle="1" w:styleId="HeaderChar">
    <w:name w:val="Header Char"/>
    <w:basedOn w:val="DefaultParagraphFont"/>
    <w:link w:val="Header"/>
    <w:uiPriority w:val="99"/>
    <w:rsid w:val="001E0093"/>
    <w:rPr>
      <w:rFonts w:ascii="Arial" w:hAnsi="Arial"/>
      <w:b/>
    </w:rPr>
  </w:style>
  <w:style w:type="paragraph" w:styleId="Footer">
    <w:name w:val="footer"/>
    <w:basedOn w:val="Normal"/>
    <w:link w:val="FooterChar"/>
    <w:uiPriority w:val="99"/>
    <w:unhideWhenUsed/>
    <w:rsid w:val="001E0093"/>
    <w:pPr>
      <w:pBdr>
        <w:top w:val="single" w:sz="4" w:space="1" w:color="00B0F0"/>
      </w:pBdr>
      <w:tabs>
        <w:tab w:val="center" w:pos="4680"/>
        <w:tab w:val="right" w:pos="9360"/>
      </w:tabs>
      <w:spacing w:after="0"/>
    </w:pPr>
    <w:rPr>
      <w:sz w:val="18"/>
    </w:rPr>
  </w:style>
  <w:style w:type="character" w:customStyle="1" w:styleId="FooterChar">
    <w:name w:val="Footer Char"/>
    <w:basedOn w:val="DefaultParagraphFont"/>
    <w:link w:val="Footer"/>
    <w:uiPriority w:val="99"/>
    <w:rsid w:val="001E0093"/>
    <w:rPr>
      <w:rFonts w:ascii="Arial" w:hAnsi="Arial"/>
      <w:sz w:val="18"/>
    </w:rPr>
  </w:style>
  <w:style w:type="paragraph" w:styleId="BlockText">
    <w:name w:val="Block Text"/>
    <w:basedOn w:val="Normal"/>
    <w:uiPriority w:val="99"/>
    <w:rsid w:val="001E0093"/>
    <w:pPr>
      <w:numPr>
        <w:numId w:val="1"/>
      </w:numPr>
      <w:pBdr>
        <w:top w:val="single" w:sz="24" w:space="1" w:color="00B0F0"/>
        <w:bottom w:val="single" w:sz="24" w:space="1" w:color="00B0F0"/>
      </w:pBdr>
      <w:tabs>
        <w:tab w:val="left" w:pos="990"/>
      </w:tabs>
      <w:spacing w:line="276" w:lineRule="auto"/>
      <w:ind w:right="1354"/>
    </w:pPr>
    <w:rPr>
      <w:rFonts w:eastAsia="Calibri" w:cs="Times New Roman"/>
      <w:i/>
      <w:iCs/>
      <w:color w:val="000000"/>
      <w:sz w:val="20"/>
    </w:rPr>
  </w:style>
  <w:style w:type="paragraph" w:styleId="Caption">
    <w:name w:val="caption"/>
    <w:basedOn w:val="Normal"/>
    <w:next w:val="Normal"/>
    <w:uiPriority w:val="35"/>
    <w:qFormat/>
    <w:rsid w:val="001E0093"/>
    <w:pPr>
      <w:spacing w:after="60"/>
    </w:pPr>
    <w:rPr>
      <w:b/>
      <w:bCs/>
      <w:sz w:val="20"/>
      <w:szCs w:val="18"/>
    </w:rPr>
  </w:style>
  <w:style w:type="paragraph" w:customStyle="1" w:styleId="Default">
    <w:name w:val="Default"/>
    <w:rsid w:val="001E0093"/>
    <w:pPr>
      <w:autoSpaceDE w:val="0"/>
      <w:autoSpaceDN w:val="0"/>
      <w:adjustRightInd w:val="0"/>
      <w:spacing w:after="0"/>
    </w:pPr>
    <w:rPr>
      <w:rFonts w:cs="Arial"/>
      <w:color w:val="000000"/>
      <w:sz w:val="24"/>
      <w:szCs w:val="24"/>
    </w:rPr>
  </w:style>
  <w:style w:type="character" w:customStyle="1" w:styleId="Heading1Char">
    <w:name w:val="Heading 1 Char"/>
    <w:basedOn w:val="DefaultParagraphFont"/>
    <w:link w:val="Heading1"/>
    <w:uiPriority w:val="9"/>
    <w:rsid w:val="001E0093"/>
    <w:rPr>
      <w:rFonts w:ascii="Arial" w:eastAsiaTheme="majorEastAsia" w:hAnsi="Arial" w:cstheme="majorBidi"/>
      <w:b/>
      <w:bCs/>
      <w:sz w:val="24"/>
      <w:szCs w:val="28"/>
    </w:rPr>
  </w:style>
  <w:style w:type="character" w:customStyle="1" w:styleId="Heading2Char">
    <w:name w:val="Heading 2 Char"/>
    <w:basedOn w:val="DefaultParagraphFont"/>
    <w:link w:val="Heading2"/>
    <w:uiPriority w:val="9"/>
    <w:rsid w:val="001E0093"/>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1E0093"/>
    <w:rPr>
      <w:rFonts w:ascii="Arial" w:eastAsiaTheme="majorEastAsia" w:hAnsi="Arial" w:cstheme="majorBidi"/>
      <w:b/>
      <w:bCs/>
      <w:sz w:val="20"/>
      <w:szCs w:val="26"/>
    </w:rPr>
  </w:style>
  <w:style w:type="paragraph" w:styleId="Subtitle">
    <w:name w:val="Subtitle"/>
    <w:basedOn w:val="Default"/>
    <w:next w:val="Normal"/>
    <w:link w:val="SubtitleChar"/>
    <w:uiPriority w:val="11"/>
    <w:qFormat/>
    <w:rsid w:val="001E0093"/>
    <w:pPr>
      <w:jc w:val="center"/>
    </w:pPr>
    <w:rPr>
      <w:rFonts w:ascii="Times New Roman" w:eastAsia="Times New Roman" w:hAnsi="Times New Roman" w:cs="Times New Roman"/>
      <w:color w:val="auto"/>
      <w:sz w:val="28"/>
      <w:szCs w:val="28"/>
    </w:rPr>
  </w:style>
  <w:style w:type="character" w:customStyle="1" w:styleId="SubtitleChar">
    <w:name w:val="Subtitle Char"/>
    <w:basedOn w:val="DefaultParagraphFont"/>
    <w:link w:val="Subtitle"/>
    <w:uiPriority w:val="11"/>
    <w:rsid w:val="001E0093"/>
    <w:rPr>
      <w:rFonts w:ascii="Times New Roman" w:eastAsia="Times New Roman" w:hAnsi="Times New Roman" w:cs="Times New Roman"/>
      <w:sz w:val="28"/>
      <w:szCs w:val="28"/>
    </w:rPr>
  </w:style>
  <w:style w:type="paragraph" w:styleId="NoteHeading">
    <w:name w:val="Note Heading"/>
    <w:basedOn w:val="Subtitle"/>
    <w:next w:val="Normal"/>
    <w:link w:val="NoteHeadingChar"/>
    <w:uiPriority w:val="99"/>
    <w:rsid w:val="001E0093"/>
    <w:pPr>
      <w:keepNext/>
      <w:widowControl w:val="0"/>
      <w:pBdr>
        <w:bottom w:val="single" w:sz="2" w:space="1" w:color="009DDC"/>
      </w:pBdr>
      <w:autoSpaceDE/>
      <w:autoSpaceDN/>
      <w:spacing w:before="0" w:after="120"/>
      <w:ind w:left="5904"/>
      <w:jc w:val="right"/>
      <w:textAlignment w:val="baseline"/>
      <w:outlineLvl w:val="0"/>
    </w:pPr>
    <w:rPr>
      <w:rFonts w:ascii="Arial" w:hAnsi="Arial" w:cs="Arial"/>
      <w:bCs/>
      <w:i/>
      <w:noProof/>
      <w:sz w:val="18"/>
    </w:rPr>
  </w:style>
  <w:style w:type="character" w:customStyle="1" w:styleId="NoteHeadingChar">
    <w:name w:val="Note Heading Char"/>
    <w:link w:val="NoteHeading"/>
    <w:uiPriority w:val="99"/>
    <w:rsid w:val="001E0093"/>
    <w:rPr>
      <w:rFonts w:eastAsia="Times New Roman" w:cs="Arial"/>
      <w:bCs/>
      <w:i/>
      <w:noProof/>
      <w:sz w:val="18"/>
      <w:szCs w:val="28"/>
    </w:rPr>
  </w:style>
  <w:style w:type="character" w:styleId="Strong">
    <w:name w:val="Strong"/>
    <w:basedOn w:val="DefaultParagraphFont"/>
    <w:uiPriority w:val="22"/>
    <w:qFormat/>
    <w:rsid w:val="001E0093"/>
    <w:rPr>
      <w:b/>
      <w:bCs/>
    </w:rPr>
  </w:style>
  <w:style w:type="paragraph" w:styleId="Title">
    <w:name w:val="Title"/>
    <w:basedOn w:val="Normal"/>
    <w:next w:val="Normal"/>
    <w:link w:val="TitleChar"/>
    <w:uiPriority w:val="10"/>
    <w:qFormat/>
    <w:rsid w:val="001E0093"/>
    <w:pPr>
      <w:spacing w:after="0"/>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uiPriority w:val="10"/>
    <w:rsid w:val="001E0093"/>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861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qualityforum.org/QPS/182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4E89C-54CF-476B-B604-0D6DB74D2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386</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PPS-Exempt Cancer Hospital Quality Reporting (PCHQR) Program Web-Based Application for Clinical Care Measures Online Data Entry Tool Content for FY 2017 and Subsequent Years</vt:lpstr>
    </vt:vector>
  </TitlesOfParts>
  <Company>CMS</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PPS-Exempt Cancer Hospital Quality Reporting (PCHQR) Program Web-Based Application for Clinical Care Measures Online Data Entry Tool Content for FY 2017 and Subsequent Years</dc:title>
  <dc:subject>PPS-Exempt Cancer Hospital Quality Reporting (PCHQR) Program Web-Based Application for Clinical Care Measures Online Data Entry Tool Content for FY 2017 and Subsequent Years</dc:subject>
  <dc:creator>CMS</dc:creator>
  <cp:keywords>PPS-Exempt, Cancer, Hospital, Quality, Reporting, PCHQR, Program, Web-Based, Application, Clinical, Care, Measures, Online, Data, Entry, Tool, Content, FY 2017, Subsequent, Years</cp:keywords>
  <cp:revision>3</cp:revision>
  <cp:lastPrinted>2014-02-03T17:30:00Z</cp:lastPrinted>
  <dcterms:created xsi:type="dcterms:W3CDTF">2017-05-19T13:29:00Z</dcterms:created>
  <dcterms:modified xsi:type="dcterms:W3CDTF">2017-05-19T13:35:00Z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