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00168E2A" w:rsidR="00285035" w:rsidRPr="00AD111E" w:rsidRDefault="00160851" w:rsidP="00285035">
      <w:pPr>
        <w:pStyle w:val="BodyText"/>
        <w:rPr>
          <w:b/>
          <w:bCs/>
          <w:u w:val="single"/>
        </w:rPr>
      </w:pPr>
      <w:bookmarkStart w:id="0" w:name="_GoBack"/>
      <w:bookmarkEnd w:id="0"/>
      <w:r w:rsidRPr="00AD111E">
        <w:rPr>
          <w:b/>
          <w:bCs/>
          <w:u w:val="single"/>
        </w:rPr>
        <w:t>Supporting Statement–</w:t>
      </w:r>
      <w:r w:rsidR="00285035" w:rsidRPr="00AD111E">
        <w:rPr>
          <w:b/>
          <w:bCs/>
          <w:u w:val="single"/>
        </w:rPr>
        <w:t>Part A</w:t>
      </w:r>
    </w:p>
    <w:p w14:paraId="20A09CA9" w14:textId="24721EC2" w:rsidR="00285035" w:rsidRPr="00AD111E" w:rsidRDefault="00AD111E" w:rsidP="00885C0E">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00285035" w:rsidRPr="00AD111E">
        <w:rPr>
          <w:b/>
          <w:bCs/>
          <w:u w:val="single"/>
        </w:rPr>
        <w:t>Proced</w:t>
      </w:r>
      <w:r w:rsidRPr="00AD111E">
        <w:rPr>
          <w:b/>
          <w:bCs/>
          <w:u w:val="single"/>
        </w:rPr>
        <w:t>ures</w:t>
      </w:r>
      <w:r w:rsidR="006C0103" w:rsidRPr="00AD111E">
        <w:rPr>
          <w:b/>
          <w:bCs/>
          <w:u w:val="single"/>
        </w:rPr>
        <w:t xml:space="preserve"> </w:t>
      </w:r>
      <w:r w:rsidRPr="00AD111E">
        <w:rPr>
          <w:b/>
          <w:bCs/>
          <w:u w:val="single"/>
        </w:rPr>
        <w:t xml:space="preserve">for the </w:t>
      </w:r>
      <w:r w:rsidR="00FB2C3A" w:rsidRPr="00AD111E">
        <w:rPr>
          <w:b/>
          <w:bCs/>
          <w:u w:val="single"/>
        </w:rPr>
        <w:t>PPS-Exempt Cancer Hospital</w:t>
      </w:r>
      <w:r w:rsidR="00285035" w:rsidRPr="00AD111E">
        <w:rPr>
          <w:b/>
          <w:bCs/>
          <w:u w:val="single"/>
        </w:rPr>
        <w:t xml:space="preserve"> Quality Reporting Program (</w:t>
      </w:r>
      <w:r w:rsidR="00FB2C3A" w:rsidRPr="00AD111E">
        <w:rPr>
          <w:b/>
          <w:bCs/>
          <w:u w:val="single"/>
        </w:rPr>
        <w:t>PCH</w:t>
      </w:r>
      <w:r w:rsidR="00160851" w:rsidRPr="00AD111E">
        <w:rPr>
          <w:b/>
          <w:bCs/>
          <w:u w:val="single"/>
        </w:rPr>
        <w:t>QR Program)</w:t>
      </w:r>
      <w:r w:rsidRPr="00AD111E">
        <w:rPr>
          <w:b/>
          <w:bCs/>
          <w:u w:val="single"/>
        </w:rPr>
        <w:t xml:space="preserve"> for the</w:t>
      </w:r>
      <w:r w:rsidR="00D27D6A">
        <w:rPr>
          <w:b/>
          <w:bCs/>
          <w:u w:val="single"/>
        </w:rPr>
        <w:t xml:space="preserve"> FY 2021</w:t>
      </w:r>
      <w:r w:rsidRPr="00AD111E">
        <w:rPr>
          <w:b/>
          <w:bCs/>
          <w:u w:val="single"/>
        </w:rPr>
        <w:t xml:space="preserve"> Program Year</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4912B445" w:rsidR="003742E3" w:rsidRDefault="00AB01C2" w:rsidP="003742E3">
      <w:r>
        <w:t>We are updating</w:t>
      </w:r>
      <w:r w:rsidR="00AD111E">
        <w:t xml:space="preserve"> the burden estimate methodology</w:t>
      </w:r>
      <w:r w:rsidR="00CE7F66">
        <w:t xml:space="preserve"> we use to calculate </w:t>
      </w:r>
      <w:r w:rsidR="00C006F5">
        <w:t>the burden</w:t>
      </w:r>
      <w:r w:rsidR="00CE7F66">
        <w:t xml:space="preserve"> to hospitals of </w:t>
      </w:r>
      <w:r w:rsidR="00C006F5">
        <w:t xml:space="preserve">data collection and submission required </w:t>
      </w:r>
      <w:r w:rsidR="00AD111E">
        <w:t xml:space="preserve">measures that are web-based and/or that are structural. </w:t>
      </w:r>
      <w:r w:rsidR="00B406A6">
        <w:t>F</w:t>
      </w:r>
      <w:r>
        <w:t>urther, f</w:t>
      </w:r>
      <w:r w:rsidR="00B406A6">
        <w:t>or Program Year 2020, w</w:t>
      </w:r>
      <w:r w:rsidR="001D53C2">
        <w:t xml:space="preserve">e </w:t>
      </w:r>
      <w:r>
        <w:t>are implementing</w:t>
      </w:r>
      <w:r w:rsidR="0016764F">
        <w:t xml:space="preserve"> </w:t>
      </w:r>
      <w:r w:rsidR="00AD111E">
        <w:t>one</w:t>
      </w:r>
      <w:r w:rsidR="0016764F">
        <w:t xml:space="preserve"> (</w:t>
      </w:r>
      <w:r w:rsidR="00AD111E">
        <w:t>1</w:t>
      </w:r>
      <w:r w:rsidR="0016764F">
        <w:t>) new measure, which CMS will calculate using administrative claims data</w:t>
      </w:r>
      <w:r w:rsidR="00E94E71">
        <w:t xml:space="preserve">, and </w:t>
      </w:r>
      <w:r>
        <w:t xml:space="preserve">removing </w:t>
      </w:r>
      <w:r w:rsidR="00042990">
        <w:t>six</w:t>
      </w:r>
      <w:r w:rsidR="003C6190">
        <w:t xml:space="preserve"> (</w:t>
      </w:r>
      <w:r w:rsidR="00042990">
        <w:t>6</w:t>
      </w:r>
      <w:r w:rsidR="00E94E71">
        <w:t>) measures</w:t>
      </w:r>
      <w:r w:rsidR="003C6190">
        <w:t>: four</w:t>
      </w:r>
      <w:r w:rsidR="00AD111E">
        <w:t xml:space="preserve"> that are web-based</w:t>
      </w:r>
      <w:r w:rsidR="0040562C">
        <w:t xml:space="preserve">, </w:t>
      </w:r>
      <w:r w:rsidR="00042990">
        <w:t xml:space="preserve">structural </w:t>
      </w:r>
      <w:r w:rsidR="0040562C">
        <w:t>measures,</w:t>
      </w:r>
      <w:r w:rsidR="00042990">
        <w:t xml:space="preserve"> and two that are </w:t>
      </w:r>
      <w:r w:rsidR="00AD111E">
        <w:t>National Healthcare Safety Network (NHSN) measures</w:t>
      </w:r>
      <w:r w:rsidR="00042990">
        <w:t>, t</w:t>
      </w:r>
      <w:r w:rsidR="0016764F">
        <w:t xml:space="preserve">herefore, the purpose of this PRA submission is </w:t>
      </w:r>
      <w:r>
        <w:t xml:space="preserve">the </w:t>
      </w:r>
      <w:r w:rsidR="00C4471C">
        <w:t>revision</w:t>
      </w:r>
      <w:r w:rsidR="0016764F">
        <w:t xml:space="preserve"> of a </w:t>
      </w:r>
      <w:r w:rsidR="00FF23A5">
        <w:t>currently-</w:t>
      </w:r>
      <w:r w:rsidR="0016764F">
        <w:t>approved collection</w:t>
      </w:r>
      <w:r w:rsidR="00726818">
        <w:t xml:space="preserve"> to reduce the information collection burden on the PCHs</w:t>
      </w:r>
      <w:r w:rsidR="0016764F">
        <w:t xml:space="preserve">. </w:t>
      </w:r>
    </w:p>
    <w:p w14:paraId="21282CE9" w14:textId="133F28C7" w:rsidR="0040562C" w:rsidRDefault="0040562C" w:rsidP="003742E3"/>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6975909B" w14:textId="40F161E1" w:rsidR="00DC399A" w:rsidRDefault="00BF6EB1" w:rsidP="0016764F">
      <w:pPr>
        <w:pStyle w:val="Default"/>
      </w:pPr>
      <w:r>
        <w:lastRenderedPageBreak/>
        <w:t>W</w:t>
      </w:r>
      <w:r w:rsidR="00DB08B5">
        <w:t xml:space="preserve">e </w:t>
      </w:r>
      <w:r w:rsidR="00726818">
        <w:t xml:space="preserve">are </w:t>
      </w:r>
      <w:r w:rsidR="0040562C">
        <w:t>prop</w:t>
      </w:r>
      <w:r w:rsidR="00275643">
        <w:t>o</w:t>
      </w:r>
      <w:r w:rsidR="0040562C">
        <w:t>sing to add one (1</w:t>
      </w:r>
      <w:r w:rsidR="00726818">
        <w:t>)</w:t>
      </w:r>
      <w:r w:rsidR="00481184">
        <w:t xml:space="preserve"> </w:t>
      </w:r>
      <w:r w:rsidR="00DB08B5">
        <w:t>new quality measure</w:t>
      </w:r>
      <w:r w:rsidR="00726818">
        <w:t xml:space="preserve"> into</w:t>
      </w:r>
      <w:r w:rsidR="00B87ADD">
        <w:t>,</w:t>
      </w:r>
      <w:r w:rsidR="00726818">
        <w:t xml:space="preserve"> and remov</w:t>
      </w:r>
      <w:r w:rsidR="00042990">
        <w:t>e six (6</w:t>
      </w:r>
      <w:r w:rsidR="00726818">
        <w:t>) existing quality measures from</w:t>
      </w:r>
      <w:r w:rsidR="00DB08B5">
        <w:t xml:space="preserve"> the PCHQR </w:t>
      </w:r>
      <w:r w:rsidR="00494AAC">
        <w:t xml:space="preserve">Program </w:t>
      </w:r>
      <w:r w:rsidR="0040212C">
        <w:t xml:space="preserve">in the FY </w:t>
      </w:r>
      <w:r w:rsidR="0040562C">
        <w:t>2019</w:t>
      </w:r>
      <w:r w:rsidR="00726818">
        <w:t xml:space="preserve"> </w:t>
      </w:r>
      <w:r w:rsidR="0040212C">
        <w:t xml:space="preserve">IPPS/LTCH </w:t>
      </w:r>
      <w:r w:rsidR="0016764F">
        <w:t xml:space="preserve">PPS </w:t>
      </w:r>
      <w:r w:rsidR="0040562C">
        <w:t>Proposed</w:t>
      </w:r>
      <w:r w:rsidR="00B87ADD">
        <w:t xml:space="preserve"> </w:t>
      </w:r>
      <w:r w:rsidR="0016764F">
        <w:t>R</w:t>
      </w:r>
      <w:r w:rsidR="0040212C">
        <w:t>ule</w:t>
      </w:r>
      <w:r w:rsidR="0016764F">
        <w:t xml:space="preserve">. </w:t>
      </w:r>
    </w:p>
    <w:p w14:paraId="4813BE64" w14:textId="77777777" w:rsidR="00DC399A" w:rsidRDefault="00DC399A" w:rsidP="0016764F">
      <w:pPr>
        <w:pStyle w:val="Default"/>
      </w:pPr>
    </w:p>
    <w:p w14:paraId="31C718BD" w14:textId="77777777" w:rsidR="00DC399A" w:rsidRDefault="00DC399A" w:rsidP="0016764F">
      <w:pPr>
        <w:pStyle w:val="Default"/>
      </w:pPr>
    </w:p>
    <w:p w14:paraId="23C1F779" w14:textId="44A72BC4" w:rsidR="00C56666" w:rsidRDefault="00C56666" w:rsidP="0016764F">
      <w:pPr>
        <w:pStyle w:val="Default"/>
      </w:pPr>
      <w:r>
        <w:rPr>
          <w:rFonts w:eastAsia="Times New Roman"/>
        </w:rPr>
        <w:t>.</w:t>
      </w:r>
    </w:p>
    <w:p w14:paraId="7C5F933E" w14:textId="2326BF9F"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4B52E95C" w14:textId="77777777" w:rsidR="00DC399A" w:rsidRPr="00DC399A" w:rsidRDefault="00DC399A" w:rsidP="00DC399A">
      <w:r w:rsidRPr="00DC399A">
        <w:t xml:space="preserve">To assist hospitals in standardizing data collection initiatives across the industry, CMS continues to improve data collection tools in order to make data submission easier for hospitals (e.g., the </w:t>
      </w:r>
      <w:r w:rsidRPr="00DC399A">
        <w:lastRenderedPageBreak/>
        <w:t>collection of electronic patient data in EHRs for eCQMs, the collection of data from paper medical records for chart-abstracted measures, or the collection of data from clinical registries for structural measures), as well as increase the utility of the data provided by the hospitals.</w:t>
      </w:r>
    </w:p>
    <w:p w14:paraId="46CF4989" w14:textId="77777777" w:rsidR="00DC399A" w:rsidRPr="00DC399A" w:rsidRDefault="00DC399A" w:rsidP="00DC399A"/>
    <w:p w14:paraId="1944E1D1" w14:textId="77777777" w:rsidR="00DC399A" w:rsidRPr="00DC399A" w:rsidRDefault="00DC399A" w:rsidP="00DC399A">
      <w:r w:rsidRPr="00DC399A">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036D4981" w14:textId="70F5A3A9" w:rsidR="00DC399A" w:rsidRDefault="00DC399A" w:rsidP="004C5A27"/>
    <w:p w14:paraId="6D956583" w14:textId="5C46C9CE"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6B2619">
        <w:t>thirteen</w:t>
      </w:r>
      <w:r w:rsidR="000D030D">
        <w:t xml:space="preserve"> </w:t>
      </w:r>
      <w:r w:rsidR="00FC5558">
        <w:t>(</w:t>
      </w:r>
      <w:r w:rsidR="0040562C">
        <w:t>1</w:t>
      </w:r>
      <w:r w:rsidR="006B2619">
        <w:t>3</w:t>
      </w:r>
      <w:r w:rsidR="00FC5558">
        <w:t>)</w:t>
      </w:r>
      <w:r>
        <w:t xml:space="preserve"> measur</w:t>
      </w:r>
      <w:r w:rsidR="006458C9">
        <w:t>es that would exist in the program if our policies are finalized as proposed</w:t>
      </w:r>
      <w:r>
        <w:t>.</w:t>
      </w:r>
    </w:p>
    <w:p w14:paraId="11EDDAED" w14:textId="77777777" w:rsidR="002E752D" w:rsidRDefault="002E752D" w:rsidP="004C5A27"/>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12085ED3" w:rsidR="00DD524E" w:rsidRDefault="00FC5558" w:rsidP="00DD524E">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B87ADD">
        <w:t xml:space="preserve">new </w:t>
      </w:r>
      <w:r>
        <w:t xml:space="preserve">measure </w:t>
      </w:r>
      <w:r w:rsidR="006458C9">
        <w:t>being propos</w:t>
      </w:r>
      <w:r w:rsidR="00C71767">
        <w:t>ed</w:t>
      </w:r>
      <w:r w:rsidR="00922BE8">
        <w:t xml:space="preserve"> in the FY 2018 IPPS/LTCH </w:t>
      </w:r>
      <w:r w:rsidR="006458C9">
        <w:t xml:space="preserve">PPS Proposed </w:t>
      </w:r>
      <w:r w:rsidR="00922BE8">
        <w:t>Rule</w:t>
      </w:r>
      <w:r w:rsidR="000B6329">
        <w:t xml:space="preserve"> </w:t>
      </w:r>
      <w:r>
        <w:t>do</w:t>
      </w:r>
      <w:r w:rsidR="006458C9">
        <w:t>es</w:t>
      </w:r>
      <w:r>
        <w:t xml:space="preserve">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claims process</w:t>
      </w:r>
      <w:r w:rsidR="00060BC1">
        <w:t xml:space="preserve"> and do</w:t>
      </w:r>
      <w:r w:rsidR="006458C9">
        <w:t>es</w:t>
      </w:r>
      <w:r w:rsidR="00060BC1">
        <w:t xml:space="preserve"> not require any additional data submission on the part of the PCHs</w:t>
      </w:r>
      <w:r>
        <w:t>.</w:t>
      </w:r>
    </w:p>
    <w:p w14:paraId="662A8311" w14:textId="07F308C8" w:rsidR="00042990" w:rsidRDefault="00042990" w:rsidP="00DD524E"/>
    <w:p w14:paraId="11A49FD3" w14:textId="739419D9" w:rsidR="00042990" w:rsidRDefault="00042990" w:rsidP="00DD524E"/>
    <w:p w14:paraId="13B07C84" w14:textId="77777777" w:rsidR="00042990" w:rsidRDefault="00042990" w:rsidP="00DD524E"/>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5FCA3884"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DC399A">
        <w:t xml:space="preserve">, </w:t>
      </w:r>
      <w:r w:rsidR="00DC399A" w:rsidRPr="00DC399A">
        <w:t>and for calculation of summary figures to be used as reliable estimates of hospital performance.  Data collection may vary (monthly, quarterly, annually, etc.) based on how a</w:t>
      </w:r>
      <w:r w:rsidR="0047114A">
        <w:t>n individual</w:t>
      </w:r>
      <w:r w:rsidR="00DC399A" w:rsidRPr="00DC399A">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097527C9" w:rsidR="00285035" w:rsidRDefault="00D404AD" w:rsidP="00D404AD">
      <w:r>
        <w:br/>
        <w:t>There are no special circumstances.</w:t>
      </w:r>
    </w:p>
    <w:p w14:paraId="5D2C5992" w14:textId="77777777" w:rsidR="00D404AD" w:rsidRPr="00AD0DDE" w:rsidRDefault="00D404AD" w:rsidP="00D404AD"/>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3D0C63E3" w14:textId="5F467612" w:rsidR="00285035"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60-day </w:t>
      </w:r>
      <w:r w:rsidRPr="00944278">
        <w:rPr>
          <w:i/>
        </w:rPr>
        <w:t>Federal Register</w:t>
      </w:r>
      <w:r w:rsidRPr="00944278">
        <w:t xml:space="preserve"> notice of the FY 201</w:t>
      </w:r>
      <w:r>
        <w:t>9</w:t>
      </w:r>
      <w:r w:rsidR="00111F8F">
        <w:t xml:space="preserve"> IPPS/LTCH PPS proposed rule published on May 7, 2018 (83 FR 20164).</w:t>
      </w:r>
      <w:r w:rsidR="00732D94">
        <w:t xml:space="preserve"> </w:t>
      </w:r>
      <w:r w:rsidRPr="00944278">
        <w:t>Comments will be submitted on this notice, and we will respond to those comments accordingly.</w:t>
      </w:r>
    </w:p>
    <w:p w14:paraId="039ACD1C" w14:textId="136660A2" w:rsidR="00944278" w:rsidRPr="00AD0DDE"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121F3C9B" w:rsidR="00285035" w:rsidRDefault="00285035" w:rsidP="00285035">
      <w:r w:rsidRPr="00AD0DDE">
        <w:t>No payments or gifts will be given to respondents for participation.</w:t>
      </w:r>
    </w:p>
    <w:p w14:paraId="5364AE89" w14:textId="77777777" w:rsidR="003C6190" w:rsidRPr="00AD0DDE" w:rsidRDefault="003C6190" w:rsidP="00285035"/>
    <w:p w14:paraId="53C20AC0" w14:textId="77777777" w:rsidR="00285035" w:rsidRPr="00AD0DDE" w:rsidRDefault="00285035" w:rsidP="00285035">
      <w:pPr>
        <w:ind w:firstLine="720"/>
      </w:pPr>
    </w:p>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1171A6A7" w:rsidR="00FC5558"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00DC399A" w:rsidRP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00DC399A" w:rsidRPr="00DC399A">
        <w:t xml:space="preserve"> The CMS clinical data warehouse also voluntarily meets or exceeds the HIPAA standards.</w:t>
      </w:r>
    </w:p>
    <w:p w14:paraId="5013116F" w14:textId="77777777" w:rsidR="006B2619" w:rsidRPr="00AD0DDE" w:rsidRDefault="006B2619" w:rsidP="00FC5558"/>
    <w:p w14:paraId="434C65E7" w14:textId="77777777" w:rsidR="00FC5558" w:rsidRPr="00FC5558" w:rsidRDefault="00FC5558" w:rsidP="00FC5558">
      <w:pPr>
        <w:pStyle w:val="ListParagraph"/>
        <w:ind w:left="360"/>
      </w:pPr>
    </w:p>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0690B515"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87F8D5D" w14:textId="669773F9" w:rsidR="006B2619" w:rsidRDefault="006B2619" w:rsidP="00FF23A5">
      <w:pPr>
        <w:pStyle w:val="Default"/>
        <w:numPr>
          <w:ilvl w:val="0"/>
          <w:numId w:val="15"/>
        </w:numPr>
      </w:pPr>
      <w:r>
        <w:t xml:space="preserve">We are </w:t>
      </w:r>
      <w:r w:rsidR="00A574D1">
        <w:t>proposing</w:t>
      </w:r>
      <w:r>
        <w:t xml:space="preserve"> that it takes a PCH approximately 15 minutes (0.25 hours) for data collection and submission of structural measures and measures that utilize a web-based tool</w:t>
      </w:r>
    </w:p>
    <w:p w14:paraId="7FBD6798" w14:textId="368AB3EA" w:rsidR="00622509" w:rsidRDefault="00622509" w:rsidP="00FF23A5">
      <w:pPr>
        <w:pStyle w:val="Default"/>
        <w:numPr>
          <w:ilvl w:val="0"/>
          <w:numId w:val="15"/>
        </w:numPr>
      </w:pPr>
      <w:r>
        <w:t>We estimate an hourly labor cost (wage plus</w:t>
      </w:r>
      <w:r w:rsidR="0019277B">
        <w:t xml:space="preserve"> fringe and overhead) of $36.58</w:t>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14:paraId="446F92C4" w14:textId="77777777" w:rsidR="00207D07" w:rsidRDefault="00207D07" w:rsidP="00207D07">
      <w:pPr>
        <w:pStyle w:val="Default"/>
        <w:ind w:left="720"/>
      </w:pPr>
    </w:p>
    <w:p w14:paraId="72A1F3EF" w14:textId="24BD2DF7" w:rsidR="00207D07" w:rsidRPr="00207D07" w:rsidRDefault="00207D07" w:rsidP="00207D07">
      <w:pPr>
        <w:pStyle w:val="Default"/>
      </w:pPr>
      <w:r>
        <w:t xml:space="preserve">We note that </w:t>
      </w:r>
      <w:r w:rsidR="00CD3A7A">
        <w:t xml:space="preserve">our </w:t>
      </w:r>
      <w:r>
        <w:t xml:space="preserve">estimates exclude </w:t>
      </w:r>
      <w:r w:rsidRPr="00207D07">
        <w:t>burden associated with the NHSN</w:t>
      </w:r>
      <w:r w:rsidR="00962299">
        <w:t xml:space="preserve"> measures:</w:t>
      </w:r>
      <w:r w:rsidR="00042990" w:rsidRPr="00042990">
        <w:rPr>
          <w:rFonts w:eastAsia="Times New Roman"/>
          <w:color w:val="auto"/>
          <w:lang w:eastAsia="ko-KR"/>
        </w:rPr>
        <w:t xml:space="preserve"> </w:t>
      </w:r>
      <w:r w:rsidR="00962299">
        <w:rPr>
          <w:rFonts w:eastAsia="Times New Roman"/>
          <w:color w:val="auto"/>
          <w:lang w:eastAsia="ko-KR"/>
        </w:rPr>
        <w:t xml:space="preserve">(1) </w:t>
      </w:r>
      <w:r w:rsidR="00042990" w:rsidRPr="00042990">
        <w:t>Healthcare-Associated Infection (HAI) Surgical Site Infection (SSI) (NQF #0753)</w:t>
      </w:r>
      <w:r w:rsidR="00042990">
        <w:t xml:space="preserve">; </w:t>
      </w:r>
      <w:r w:rsidR="00962299">
        <w:t xml:space="preserve">(2) </w:t>
      </w:r>
      <w:r w:rsidR="00042990" w:rsidRPr="00042990">
        <w:t xml:space="preserve">Facility-Wide Inpatient Hospital-Onset Methicillin-Resistant </w:t>
      </w:r>
      <w:r w:rsidR="00042990" w:rsidRPr="00042990">
        <w:rPr>
          <w:i/>
          <w:iCs/>
        </w:rPr>
        <w:t xml:space="preserve">Staphylococcus aureus </w:t>
      </w:r>
      <w:r w:rsidR="00042990" w:rsidRPr="00042990">
        <w:t>(MRSA) Bacteremia Outcome Measure (NQF #1716)</w:t>
      </w:r>
      <w:r w:rsidR="00962299">
        <w:t>;</w:t>
      </w:r>
      <w:r w:rsidR="00042990" w:rsidRPr="00042990">
        <w:t xml:space="preserve"> </w:t>
      </w:r>
      <w:r w:rsidR="00962299">
        <w:t xml:space="preserve">(3) </w:t>
      </w:r>
      <w:r w:rsidR="00042990" w:rsidRPr="00042990">
        <w:t xml:space="preserve">Facility-Wide Inpatient Hospital-Onset </w:t>
      </w:r>
      <w:r w:rsidR="00042990" w:rsidRPr="00042990">
        <w:rPr>
          <w:i/>
          <w:iCs/>
        </w:rPr>
        <w:t>Clostridium difficile</w:t>
      </w:r>
      <w:r w:rsidR="00042990" w:rsidRPr="00042990">
        <w:t xml:space="preserve"> Infection (CDI) Outcome Measure (NQF #1717)</w:t>
      </w:r>
      <w:r w:rsidR="00962299">
        <w:t xml:space="preserve">; (4) </w:t>
      </w:r>
      <w:r w:rsidR="00042990" w:rsidRPr="00042990">
        <w:t>Influenza Vaccination Coverage Among Heal</w:t>
      </w:r>
      <w:r w:rsidR="00042990">
        <w:t xml:space="preserve">thcare Personnel (HCP) </w:t>
      </w:r>
      <w:r w:rsidR="00042990" w:rsidRPr="00042990">
        <w:t>(NQF #0431)</w:t>
      </w:r>
      <w:r w:rsidR="00691C20">
        <w:t xml:space="preserve">; (5) </w:t>
      </w:r>
      <w:r w:rsidR="00691C20" w:rsidRPr="00691C20">
        <w:t>Catheter-Associated Urinary Tract Infection</w:t>
      </w:r>
      <w:r w:rsidR="00691C20">
        <w:t xml:space="preserve"> (CAUTI) Outcome Measure (</w:t>
      </w:r>
      <w:r w:rsidR="00691C20" w:rsidRPr="00691C20">
        <w:t>NQF #0138)</w:t>
      </w:r>
      <w:r w:rsidR="00691C20">
        <w:t xml:space="preserve">; and (6) </w:t>
      </w:r>
      <w:r w:rsidR="00691C20" w:rsidRPr="00691C20">
        <w:t xml:space="preserve">Central Line-Associated Bloodstream Infection </w:t>
      </w:r>
      <w:r w:rsidR="00691C20">
        <w:t>(CLABSI) Outcome Measure (</w:t>
      </w:r>
      <w:r w:rsidR="00691C20" w:rsidRPr="00691C20">
        <w:t>NQF #0139</w:t>
      </w:r>
      <w:r w:rsidR="00691C20">
        <w:t>)</w:t>
      </w:r>
      <w:r w:rsidR="00962299">
        <w:t>, which are submitted separately under</w:t>
      </w:r>
      <w:r w:rsidR="00042990" w:rsidRPr="00042990">
        <w:t xml:space="preserve"> </w:t>
      </w:r>
      <w:r w:rsidR="00962299">
        <w:t>OMB control number</w:t>
      </w:r>
      <w:r w:rsidR="00962299" w:rsidRPr="00962299">
        <w:t xml:space="preserve"> 0920-0666</w:t>
      </w:r>
      <w:r w:rsidR="00962299">
        <w:t>.</w:t>
      </w:r>
      <w:r w:rsidR="00962299" w:rsidRPr="00962299">
        <w:t xml:space="preserve"> </w:t>
      </w:r>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and OMB control number 0938-098</w:t>
      </w:r>
      <w:r w:rsidR="00126F4A">
        <w:t>1</w:t>
      </w:r>
      <w:r w:rsidRPr="00207D07">
        <w:t>.</w:t>
      </w:r>
    </w:p>
    <w:p w14:paraId="3F73C214" w14:textId="673BB85E"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1"/>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408D3AEF" w14:textId="77777777" w:rsidR="008234DD" w:rsidRPr="00922079" w:rsidRDefault="008234DD" w:rsidP="00FF23A5">
      <w:pPr>
        <w:pStyle w:val="Default"/>
      </w:pPr>
    </w:p>
    <w:p w14:paraId="682C6BD7" w14:textId="77777777" w:rsidR="00962299" w:rsidRDefault="00962299"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4C922968" w14:textId="1EBB8342" w:rsidR="005B5ACA" w:rsidRDefault="00984E37" w:rsidP="00FF23A5">
      <w:pPr>
        <w:pStyle w:val="Default"/>
      </w:pPr>
      <w:r w:rsidRPr="00984E37">
        <w:t>According to the 2016 BLS rate, the median pay for Medical Records and Health Information Technicians is $18.29 per hour</w:t>
      </w:r>
      <w:r w:rsidRPr="00984E37">
        <w:rPr>
          <w:vertAlign w:val="superscript"/>
        </w:rPr>
        <w:footnoteReference w:id="2"/>
      </w:r>
      <w:r w:rsidRPr="00984E37">
        <w:t xml:space="preserve"> before inclusion of overhead and fringe benefits.</w:t>
      </w:r>
      <w:r w:rsidR="00D144CF">
        <w:t xml:space="preserve"> </w:t>
      </w:r>
      <w:r w:rsidR="005B5ACA">
        <w:t xml:space="preserve">This labor cost is based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r>
        <w:t>W</w:t>
      </w:r>
      <w:r w:rsidRPr="00984E37">
        <w:t xml:space="preserve">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($18.29 x 2 = $36.58) to estimate total cost is a reasonably accurate estimation method. Accordingly, </w:t>
      </w:r>
      <w:r>
        <w:t>t</w:t>
      </w:r>
      <w:r w:rsidRPr="00984E37">
        <w:t>o align the estimated hourly labor costs (hourly wage plus fringe benefits and overhead) used to calculate burden in the PHCQR Program with those used in other CMS quality reporting programs, including the Hospital IQR Program, in the FY 2018 IPPS/LTCH PPS Final Rule, we revised our hourly labor cost to $36.58 (82 FR 38505).</w:t>
      </w:r>
    </w:p>
    <w:p w14:paraId="1E4B64CF" w14:textId="0057C064" w:rsidR="005B5ACA" w:rsidRDefault="005B5ACA" w:rsidP="00984E37">
      <w:pPr>
        <w:pStyle w:val="Default"/>
      </w:pPr>
    </w:p>
    <w:p w14:paraId="417C7CEB" w14:textId="270D455B" w:rsidR="00984E37" w:rsidRDefault="00984E37" w:rsidP="00984E37">
      <w:pPr>
        <w:pStyle w:val="Default"/>
      </w:pPr>
      <w:r>
        <w:t>W</w:t>
      </w:r>
      <w:r w:rsidRPr="00984E37">
        <w:t>e will use an hourly labor cost estimate of $36.58 ($18.29 salary plus $18.29 fringe and overhead) for calculation of burden forthwith.</w:t>
      </w:r>
    </w:p>
    <w:p w14:paraId="28A653EE" w14:textId="05F0E988" w:rsidR="00CD5B1D" w:rsidRDefault="00CD5B1D" w:rsidP="00CD5B1D"/>
    <w:p w14:paraId="6CA8F96A" w14:textId="6F6EE20D" w:rsidR="00D04DC5" w:rsidRDefault="00D04DC5" w:rsidP="00B56479"/>
    <w:p w14:paraId="29754727" w14:textId="699666D7" w:rsidR="00D04DC5" w:rsidRDefault="003D4378" w:rsidP="00B56479">
      <w:pPr>
        <w:rPr>
          <w:b/>
        </w:rPr>
      </w:pPr>
      <w:r>
        <w:rPr>
          <w:b/>
        </w:rPr>
        <w:t>B</w:t>
      </w:r>
      <w:r w:rsidR="00D04DC5" w:rsidRPr="002607CA">
        <w:rPr>
          <w:b/>
        </w:rPr>
        <w:t xml:space="preserve">. </w:t>
      </w:r>
      <w:r w:rsidR="00D27D6A">
        <w:rPr>
          <w:b/>
        </w:rPr>
        <w:t>FY 2021</w:t>
      </w:r>
      <w:r w:rsidR="00D04DC5" w:rsidRPr="00922079">
        <w:rPr>
          <w:b/>
        </w:rPr>
        <w:t xml:space="preserve"> Burden Estimate</w:t>
      </w:r>
    </w:p>
    <w:p w14:paraId="49F43D8A" w14:textId="52B54D0D" w:rsidR="00DB401B" w:rsidRDefault="00DB401B" w:rsidP="00B56479">
      <w:pPr>
        <w:rPr>
          <w:b/>
        </w:rPr>
      </w:pPr>
    </w:p>
    <w:p w14:paraId="446EFA19" w14:textId="7402808D" w:rsidR="00E93126" w:rsidRDefault="00DB401B" w:rsidP="00B56479">
      <w:r>
        <w:rPr>
          <w:b/>
        </w:rPr>
        <w:t>a. Clarification of NHSN Measure Burden Calculations</w:t>
      </w:r>
      <w:r w:rsidR="00C16791">
        <w:rPr>
          <w:b/>
        </w:rPr>
        <w:br/>
      </w:r>
      <w:r w:rsidR="00C16791">
        <w:t>We wish to reconcile our burden estimates to account for the prior inclusion of the burden data associated with the NHSN measures. In the FY 2016 IPPS/LTCH PPS final rule, we noted that “…</w:t>
      </w:r>
      <w:r w:rsidR="00C16791" w:rsidRPr="00C16791">
        <w:rPr>
          <w:i/>
        </w:rPr>
        <w:t xml:space="preserve">all burden associated with the three measures (MRSA, CDI, </w:t>
      </w:r>
      <w:r w:rsidR="00C51724">
        <w:rPr>
          <w:i/>
        </w:rPr>
        <w:t xml:space="preserve">and </w:t>
      </w:r>
      <w:r w:rsidR="00C16791" w:rsidRPr="00C16791">
        <w:rPr>
          <w:i/>
        </w:rPr>
        <w:t>HCP measures) that we are finalizing, including the burden associated with the activities mentioned by the commenter, has been accounted for under the OMB control number 0920– 0666.</w:t>
      </w:r>
      <w:r w:rsidR="00C16791">
        <w:rPr>
          <w:i/>
        </w:rPr>
        <w:t>”</w:t>
      </w:r>
      <w:r w:rsidR="00C16791" w:rsidRPr="00C16791">
        <w:rPr>
          <w:i/>
        </w:rPr>
        <w:t xml:space="preserve"> </w:t>
      </w:r>
      <w:r w:rsidR="00C16791" w:rsidRPr="001A0D94">
        <w:t>(80 FR 49764)</w:t>
      </w:r>
      <w:r w:rsidR="00C16791">
        <w:t xml:space="preserve">. </w:t>
      </w:r>
      <w:r w:rsidR="00C51724">
        <w:t>We also note that although it was not explicitly stated in that rule, the SSI measure is also accounte</w:t>
      </w:r>
      <w:r w:rsidR="00E93126">
        <w:t>d</w:t>
      </w:r>
      <w:r w:rsidR="00C51724">
        <w:t xml:space="preserve"> for under OMB control number 0920-0666.</w:t>
      </w:r>
      <w:r w:rsidR="00C51724">
        <w:rPr>
          <w:rStyle w:val="FootnoteReference"/>
        </w:rPr>
        <w:footnoteReference w:id="3"/>
      </w:r>
      <w:r w:rsidR="00C51724">
        <w:t xml:space="preserve"> As such, we wish to correct the inclusion of the burden associated with these measures under OMB control number </w:t>
      </w:r>
      <w:r w:rsidR="00947803" w:rsidRPr="00947803">
        <w:t>0938-1175</w:t>
      </w:r>
      <w:r w:rsidR="00E93126">
        <w:t>, and request that in this PRA package the burden hours associated with all six of the NHSN measures in the PCHQR measure set be reduced from the overall program burden total</w:t>
      </w:r>
      <w:r w:rsidR="00947803">
        <w:t xml:space="preserve">. </w:t>
      </w:r>
    </w:p>
    <w:p w14:paraId="14B585D8" w14:textId="77777777" w:rsidR="00E93126" w:rsidRDefault="00E93126" w:rsidP="00B56479"/>
    <w:p w14:paraId="527C1084" w14:textId="039D616E" w:rsidR="00E93126" w:rsidRDefault="00C51724" w:rsidP="00E93126">
      <w:pPr>
        <w:rPr>
          <w:rFonts w:eastAsia="Calibri"/>
        </w:rPr>
      </w:pPr>
      <w:r>
        <w:t>In the FY 201</w:t>
      </w:r>
      <w:r w:rsidR="0050336A">
        <w:t>8</w:t>
      </w:r>
      <w:r>
        <w:t xml:space="preserve"> IPPS/LTCH PPS final rule, </w:t>
      </w:r>
      <w:r w:rsidR="00947803">
        <w:t>“</w:t>
      </w:r>
      <w:r>
        <w:t>Supporting Statement-A</w:t>
      </w:r>
      <w:r w:rsidR="00947803">
        <w:t>”</w:t>
      </w:r>
      <w:r>
        <w:t xml:space="preserve"> fil</w:t>
      </w:r>
      <w:r w:rsidR="00947803">
        <w:t xml:space="preserve">e, we accounted for the burden of chart-abstracted </w:t>
      </w:r>
      <w:r w:rsidR="004806B1">
        <w:t>measures</w:t>
      </w:r>
      <w:r w:rsidR="00947803">
        <w:t xml:space="preserve"> utilizing the same per-measure burden hour figure that we applied to the CAUTI and CLABSI measures in the </w:t>
      </w:r>
      <w:r w:rsidR="00947803" w:rsidRPr="00947803">
        <w:t>FY 2013 IPPS/LT</w:t>
      </w:r>
      <w:r w:rsidR="00947803">
        <w:t>CH PPS final rule (77 FR 53667).</w:t>
      </w:r>
      <w:r w:rsidR="00947803">
        <w:rPr>
          <w:rStyle w:val="FootnoteReference"/>
        </w:rPr>
        <w:footnoteReference w:id="4"/>
      </w:r>
      <w:r w:rsidR="00947803">
        <w:t xml:space="preserve"> </w:t>
      </w:r>
      <w:r w:rsidR="00E93126">
        <w:t>Specifically, we noted that the hourly burden for each PCH for the collection, submission, and training of personnel for submitting quality measure data for one (1) chart-abstracted measure is approximately 1,258.7 hours</w:t>
      </w:r>
      <w:r w:rsidR="00405B6C">
        <w:t>.</w:t>
      </w:r>
      <w:r w:rsidR="00E93126">
        <w:rPr>
          <w:rStyle w:val="FootnoteReference"/>
        </w:rPr>
        <w:footnoteReference w:id="5"/>
      </w:r>
      <w:r w:rsidR="00E93126">
        <w:t xml:space="preserve">  Because this burden estimate was derived based on NHSN measures (CAUTI and CLABSI), and previously applied to other chart-abstracted measures, we believe that it is appropriate to apply this estimate (rounded to 1,259 hours) to the proposed reduction of the administrative burden associated with the NHSN measures. We estimate this would result in a burden reduction of </w:t>
      </w:r>
      <w:r w:rsidR="00E93126" w:rsidRPr="00FA6371">
        <w:t>7,554 hours per year</w:t>
      </w:r>
      <w:r w:rsidR="00E93126">
        <w:t xml:space="preserve"> (1,259 hours per measure x 6 NHSN measures) = </w:t>
      </w:r>
      <w:r w:rsidR="00E93126" w:rsidRPr="001A0D94">
        <w:rPr>
          <w:b/>
        </w:rPr>
        <w:t>7,554 hours per year, per PCH,</w:t>
      </w:r>
      <w:r w:rsidR="00E93126">
        <w:t xml:space="preserve"> or an average reduction in burden of 687 hours per month (7,554</w:t>
      </w:r>
      <w:r w:rsidR="00F80852">
        <w:t xml:space="preserve"> hours </w:t>
      </w:r>
      <w:r w:rsidR="00E93126">
        <w:t>/</w:t>
      </w:r>
      <w:r w:rsidR="00F80852">
        <w:t xml:space="preserve"> </w:t>
      </w:r>
      <w:r w:rsidR="00E93126">
        <w:t>12</w:t>
      </w:r>
      <w:r w:rsidR="00F80852">
        <w:t xml:space="preserve"> months per year</w:t>
      </w:r>
      <w:r w:rsidR="00E93126">
        <w:t xml:space="preserve">) per PCH. </w:t>
      </w:r>
      <w:r w:rsidR="00ED16F7">
        <w:t xml:space="preserve">We note that we previously included the burden associated with </w:t>
      </w:r>
      <w:r w:rsidR="00405B6C">
        <w:t>reporting these six (</w:t>
      </w:r>
      <w:r w:rsidR="00ED16F7">
        <w:t>6</w:t>
      </w:r>
      <w:r w:rsidR="00405B6C">
        <w:t>)</w:t>
      </w:r>
      <w:r w:rsidR="00ED16F7">
        <w:t xml:space="preserve"> NHSN measures in previous PRA package estimates in order to be as conservative as possible in our estimates. We are removing the burden associated with these measures here to improve the accuracy of our total estimated burden</w:t>
      </w:r>
      <w:r w:rsidR="008406AC">
        <w:t>, and</w:t>
      </w:r>
      <w:r w:rsidR="00ED16F7">
        <w:t xml:space="preserve"> </w:t>
      </w:r>
      <w:r w:rsidR="00405B6C" w:rsidRPr="00540E0D">
        <w:t xml:space="preserve">again note the burden associated with reporting these measures is </w:t>
      </w:r>
      <w:r w:rsidR="008406AC" w:rsidRPr="00540E0D">
        <w:t xml:space="preserve">and will continue to be </w:t>
      </w:r>
      <w:r w:rsidR="00405B6C" w:rsidRPr="00540E0D">
        <w:t>captured under a separate OMB control number, 0920-0666.</w:t>
      </w:r>
    </w:p>
    <w:p w14:paraId="1059C51E" w14:textId="2F1C5F28" w:rsidR="00DB401B" w:rsidRPr="001A0D94" w:rsidRDefault="00C16791" w:rsidP="00B56479">
      <w:r>
        <w:rPr>
          <w:i/>
        </w:rPr>
        <w:br/>
      </w:r>
      <w:r w:rsidRPr="001A0D94">
        <w:rPr>
          <w:b/>
        </w:rPr>
        <w:t>b. Burden Calculations for the Proposed Removal of Web-Based Struct</w:t>
      </w:r>
      <w:r w:rsidR="00AB2CA4">
        <w:rPr>
          <w:b/>
        </w:rPr>
        <w:t>u</w:t>
      </w:r>
      <w:r w:rsidRPr="001A0D94">
        <w:rPr>
          <w:b/>
        </w:rPr>
        <w:t>ral Measures</w:t>
      </w:r>
    </w:p>
    <w:p w14:paraId="13957767" w14:textId="145F6396" w:rsidR="00C16791" w:rsidRDefault="0050336A" w:rsidP="001A0D94">
      <w:pPr>
        <w:pStyle w:val="Default"/>
      </w:pPr>
      <w:r>
        <w:t xml:space="preserve">We are proposing to remove four web-based, structural measures for the FY 2021 program year: </w:t>
      </w:r>
      <w:r w:rsidRPr="0040562C">
        <w:t>(1) Oncology: Radiation Dose Limits to Normal Tissues (PCH-14/NQF #0382);</w:t>
      </w:r>
      <w:r>
        <w:t xml:space="preserve"> (2</w:t>
      </w:r>
      <w:r w:rsidRPr="0040562C">
        <w:t>) Oncology: Medical and Radiation – Pain Intensity Quant</w:t>
      </w:r>
      <w:r>
        <w:t>ified (PCH-16/NQF #0384); (3</w:t>
      </w:r>
      <w:r w:rsidRPr="0040562C">
        <w:t xml:space="preserve">) Prostate Cancer: Adjuvant Hormonal Therapy for High Risk Patients (PCH-17/NQF #0390); </w:t>
      </w:r>
      <w:r>
        <w:t>and (4</w:t>
      </w:r>
      <w:r w:rsidRPr="0040562C">
        <w:t>) Prostate Cancer: Avoidance of Overuse of Bone Scan for Staging Low-Risk Patients (PCH-18/NQF #0389)</w:t>
      </w:r>
      <w:r>
        <w:t xml:space="preserve">. </w:t>
      </w:r>
      <w:r w:rsidR="00C16791">
        <w:t xml:space="preserve">Based on these proposals, we also estimate a reduction of 1 total hour per year  (15 mins per measure x 4 web-based, structural measures = </w:t>
      </w:r>
      <w:r w:rsidR="00C16791" w:rsidRPr="00DE0A1E">
        <w:rPr>
          <w:b/>
        </w:rPr>
        <w:t>1 hour</w:t>
      </w:r>
      <w:r w:rsidR="00C16791">
        <w:rPr>
          <w:b/>
        </w:rPr>
        <w:t xml:space="preserve"> per PCH</w:t>
      </w:r>
      <w:r w:rsidR="00C16791">
        <w:t>)</w:t>
      </w:r>
      <w:r w:rsidR="00C16791" w:rsidRPr="003D4378">
        <w:t xml:space="preserve"> </w:t>
      </w:r>
      <w:r w:rsidR="00C16791">
        <w:t xml:space="preserve">= </w:t>
      </w:r>
      <w:r w:rsidR="00C16791" w:rsidRPr="00A34D71">
        <w:rPr>
          <w:b/>
        </w:rPr>
        <w:t>1 total annual hour for each PCH</w:t>
      </w:r>
      <w:r w:rsidR="00C16791" w:rsidRPr="003D4378">
        <w:t>, or an a</w:t>
      </w:r>
      <w:r w:rsidR="00C16791">
        <w:t>verage reduction in burden of .08  hours per month (1/12 = .08) per PCH.</w:t>
      </w:r>
      <w:r w:rsidR="00C16791" w:rsidRPr="003D4378">
        <w:t xml:space="preserve"> </w:t>
      </w:r>
    </w:p>
    <w:p w14:paraId="5B0BC799" w14:textId="4195F3F6" w:rsidR="00DB401B" w:rsidRDefault="00DB401B" w:rsidP="00B56479">
      <w:pPr>
        <w:rPr>
          <w:b/>
        </w:rPr>
      </w:pPr>
    </w:p>
    <w:p w14:paraId="30BCF1FF" w14:textId="7A582E51" w:rsidR="00DB401B" w:rsidRPr="00922079" w:rsidRDefault="00C16791" w:rsidP="00B56479">
      <w:pPr>
        <w:rPr>
          <w:b/>
        </w:rPr>
      </w:pPr>
      <w:r>
        <w:rPr>
          <w:b/>
        </w:rPr>
        <w:t>c. Response</w:t>
      </w:r>
      <w:r w:rsidR="00DB401B">
        <w:rPr>
          <w:b/>
        </w:rPr>
        <w:t xml:space="preserve"> Calculation</w:t>
      </w:r>
      <w:r>
        <w:rPr>
          <w:b/>
        </w:rPr>
        <w:t>s for Remaining PCHQR</w:t>
      </w:r>
      <w:r w:rsidR="00DB401B">
        <w:rPr>
          <w:b/>
        </w:rPr>
        <w:t xml:space="preserve"> Measures</w:t>
      </w:r>
    </w:p>
    <w:p w14:paraId="6FA51A2E" w14:textId="6483507F" w:rsidR="004C38C1" w:rsidRDefault="00B56479" w:rsidP="00C83112">
      <w:pPr>
        <w:pStyle w:val="FootnoteText"/>
        <w:rPr>
          <w:sz w:val="24"/>
          <w:szCs w:val="24"/>
        </w:rPr>
      </w:pPr>
      <w:r w:rsidRPr="00922079">
        <w:rPr>
          <w:sz w:val="24"/>
          <w:szCs w:val="24"/>
        </w:rPr>
        <w:t xml:space="preserve">We </w:t>
      </w:r>
      <w:r w:rsidR="00922BE8">
        <w:rPr>
          <w:sz w:val="24"/>
          <w:szCs w:val="24"/>
        </w:rPr>
        <w:t>proposed</w:t>
      </w:r>
      <w:r w:rsidRPr="00922079">
        <w:rPr>
          <w:sz w:val="24"/>
          <w:szCs w:val="24"/>
        </w:rPr>
        <w:t xml:space="preserve">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 in this PRA submission.</w:t>
      </w:r>
      <w:r w:rsidR="00A40CDE" w:rsidRPr="00922079">
        <w:rPr>
          <w:sz w:val="24"/>
          <w:szCs w:val="24"/>
        </w:rPr>
        <w:t xml:space="preserve"> </w:t>
      </w:r>
      <w:r w:rsidR="00CB21B2">
        <w:rPr>
          <w:sz w:val="24"/>
          <w:szCs w:val="24"/>
        </w:rPr>
        <w:t>Consistent with the calculation m</w:t>
      </w:r>
      <w:r w:rsidR="001C2535">
        <w:rPr>
          <w:sz w:val="24"/>
          <w:szCs w:val="24"/>
        </w:rPr>
        <w:t>ethodology utilized to derive</w:t>
      </w:r>
      <w:r w:rsidR="003D4378" w:rsidRPr="003D4378">
        <w:rPr>
          <w:sz w:val="24"/>
          <w:szCs w:val="24"/>
        </w:rPr>
        <w:t xml:space="preserve"> estimates of the burden of collecting measure information, submitting measure information, and training personnel, </w:t>
      </w:r>
      <w:r w:rsidR="001C2535">
        <w:rPr>
          <w:sz w:val="24"/>
          <w:szCs w:val="24"/>
        </w:rPr>
        <w:t>in the most recently approved PRA package</w:t>
      </w:r>
      <w:r w:rsidR="006458FC">
        <w:rPr>
          <w:rStyle w:val="FootnoteReference"/>
          <w:sz w:val="24"/>
          <w:szCs w:val="24"/>
        </w:rPr>
        <w:footnoteReference w:id="6"/>
      </w:r>
      <w:r w:rsidR="001C2535">
        <w:rPr>
          <w:sz w:val="24"/>
          <w:szCs w:val="24"/>
        </w:rPr>
        <w:t xml:space="preserve">, </w:t>
      </w:r>
      <w:r w:rsidR="003D4378" w:rsidRPr="003D4378">
        <w:rPr>
          <w:sz w:val="24"/>
          <w:szCs w:val="24"/>
        </w:rPr>
        <w:t>we estimate the reduction in burden provided by the proposed re</w:t>
      </w:r>
      <w:r w:rsidR="00E87CE1">
        <w:rPr>
          <w:sz w:val="24"/>
          <w:szCs w:val="24"/>
        </w:rPr>
        <w:t xml:space="preserve">moval of </w:t>
      </w:r>
      <w:r w:rsidR="004C38C1">
        <w:rPr>
          <w:sz w:val="24"/>
          <w:szCs w:val="24"/>
        </w:rPr>
        <w:t>four web-based structural measures</w:t>
      </w:r>
      <w:r w:rsidR="003D4378" w:rsidRPr="003D4378">
        <w:rPr>
          <w:sz w:val="24"/>
          <w:szCs w:val="24"/>
        </w:rPr>
        <w:t xml:space="preserve"> to be a r</w:t>
      </w:r>
      <w:r w:rsidR="003D4378">
        <w:rPr>
          <w:sz w:val="24"/>
          <w:szCs w:val="24"/>
        </w:rPr>
        <w:t xml:space="preserve">eduction of approximately </w:t>
      </w:r>
      <w:r w:rsidR="00C16791">
        <w:rPr>
          <w:sz w:val="24"/>
          <w:szCs w:val="24"/>
        </w:rPr>
        <w:t>217,001</w:t>
      </w:r>
      <w:r w:rsidR="00691C20">
        <w:rPr>
          <w:sz w:val="24"/>
          <w:szCs w:val="24"/>
        </w:rPr>
        <w:t xml:space="preserve"> </w:t>
      </w:r>
      <w:r w:rsidR="003D4378" w:rsidRPr="003D4378">
        <w:rPr>
          <w:sz w:val="24"/>
          <w:szCs w:val="24"/>
        </w:rPr>
        <w:t>responses across all 11 PC</w:t>
      </w:r>
      <w:r w:rsidR="00A55557">
        <w:rPr>
          <w:sz w:val="24"/>
          <w:szCs w:val="24"/>
        </w:rPr>
        <w:t>Hs (325,501 total responses</w:t>
      </w:r>
      <w:r w:rsidR="0042789F">
        <w:rPr>
          <w:sz w:val="24"/>
          <w:szCs w:val="24"/>
        </w:rPr>
        <w:t xml:space="preserve"> previously finalized</w:t>
      </w:r>
      <w:r w:rsidR="00A55557">
        <w:rPr>
          <w:sz w:val="24"/>
          <w:szCs w:val="24"/>
        </w:rPr>
        <w:t xml:space="preserve"> /</w:t>
      </w:r>
      <w:r w:rsidR="00DB401B">
        <w:rPr>
          <w:sz w:val="24"/>
          <w:szCs w:val="24"/>
        </w:rPr>
        <w:t>6</w:t>
      </w:r>
      <w:r w:rsidR="003D4378" w:rsidRPr="003D4378">
        <w:rPr>
          <w:sz w:val="24"/>
          <w:szCs w:val="24"/>
        </w:rPr>
        <w:t xml:space="preserve"> </w:t>
      </w:r>
      <w:r w:rsidR="004C38C1">
        <w:rPr>
          <w:sz w:val="24"/>
          <w:szCs w:val="24"/>
        </w:rPr>
        <w:t xml:space="preserve">existing measures x </w:t>
      </w:r>
      <w:r w:rsidR="00691C20">
        <w:rPr>
          <w:sz w:val="24"/>
          <w:szCs w:val="24"/>
        </w:rPr>
        <w:t>4</w:t>
      </w:r>
      <w:r w:rsidR="003D4378" w:rsidRPr="003D4378">
        <w:rPr>
          <w:sz w:val="24"/>
          <w:szCs w:val="24"/>
        </w:rPr>
        <w:t xml:space="preserve"> </w:t>
      </w:r>
      <w:r w:rsidR="003D4378">
        <w:rPr>
          <w:sz w:val="24"/>
          <w:szCs w:val="24"/>
        </w:rPr>
        <w:t>measures being remo</w:t>
      </w:r>
      <w:r w:rsidR="001C2535">
        <w:rPr>
          <w:sz w:val="24"/>
          <w:szCs w:val="24"/>
        </w:rPr>
        <w:t xml:space="preserve">ved </w:t>
      </w:r>
      <w:r w:rsidR="004C38C1">
        <w:rPr>
          <w:sz w:val="24"/>
          <w:szCs w:val="24"/>
        </w:rPr>
        <w:t xml:space="preserve">= </w:t>
      </w:r>
      <w:r w:rsidR="00C16791">
        <w:rPr>
          <w:sz w:val="24"/>
          <w:szCs w:val="24"/>
        </w:rPr>
        <w:t>217,001</w:t>
      </w:r>
      <w:r w:rsidR="001C2535">
        <w:rPr>
          <w:sz w:val="24"/>
          <w:szCs w:val="24"/>
        </w:rPr>
        <w:t>)</w:t>
      </w:r>
      <w:r w:rsidR="003D4378" w:rsidRPr="003D4378">
        <w:rPr>
          <w:sz w:val="24"/>
          <w:szCs w:val="24"/>
        </w:rPr>
        <w:t xml:space="preserve">. As compared to our previously finalized count of </w:t>
      </w:r>
      <w:r w:rsidR="003D4378">
        <w:rPr>
          <w:sz w:val="24"/>
          <w:szCs w:val="24"/>
        </w:rPr>
        <w:t>325,501</w:t>
      </w:r>
      <w:r w:rsidR="003D4378" w:rsidRPr="003D4378">
        <w:rPr>
          <w:sz w:val="24"/>
          <w:szCs w:val="24"/>
        </w:rPr>
        <w:t xml:space="preserve"> responses, we estimate a revi</w:t>
      </w:r>
      <w:r w:rsidR="003D4378">
        <w:rPr>
          <w:sz w:val="24"/>
          <w:szCs w:val="24"/>
        </w:rPr>
        <w:t xml:space="preserve">sed burden of </w:t>
      </w:r>
      <w:r w:rsidR="00C16791">
        <w:rPr>
          <w:sz w:val="24"/>
          <w:szCs w:val="24"/>
        </w:rPr>
        <w:t>108,500</w:t>
      </w:r>
      <w:r w:rsidR="00DB401B">
        <w:rPr>
          <w:sz w:val="24"/>
          <w:szCs w:val="24"/>
        </w:rPr>
        <w:t xml:space="preserve"> </w:t>
      </w:r>
      <w:r w:rsidR="003D4378">
        <w:rPr>
          <w:sz w:val="24"/>
          <w:szCs w:val="24"/>
        </w:rPr>
        <w:t>r</w:t>
      </w:r>
      <w:r w:rsidR="004C38C1">
        <w:rPr>
          <w:sz w:val="24"/>
          <w:szCs w:val="24"/>
        </w:rPr>
        <w:t xml:space="preserve">esponses total (325,501 – </w:t>
      </w:r>
      <w:r w:rsidR="00C16791">
        <w:rPr>
          <w:sz w:val="24"/>
          <w:szCs w:val="24"/>
        </w:rPr>
        <w:t>217,001</w:t>
      </w:r>
      <w:r w:rsidR="004C38C1">
        <w:rPr>
          <w:sz w:val="24"/>
          <w:szCs w:val="24"/>
        </w:rPr>
        <w:t xml:space="preserve"> = </w:t>
      </w:r>
      <w:r w:rsidR="00C16791">
        <w:rPr>
          <w:sz w:val="24"/>
          <w:szCs w:val="24"/>
        </w:rPr>
        <w:t>108,500</w:t>
      </w:r>
      <w:r w:rsidR="00E65110">
        <w:rPr>
          <w:sz w:val="24"/>
          <w:szCs w:val="24"/>
        </w:rPr>
        <w:t xml:space="preserve">) and </w:t>
      </w:r>
      <w:r w:rsidR="00DB401B">
        <w:rPr>
          <w:sz w:val="24"/>
          <w:szCs w:val="24"/>
        </w:rPr>
        <w:t xml:space="preserve">9,864 </w:t>
      </w:r>
      <w:r w:rsidR="00691C20">
        <w:rPr>
          <w:sz w:val="24"/>
          <w:szCs w:val="24"/>
        </w:rPr>
        <w:t xml:space="preserve"> </w:t>
      </w:r>
      <w:r w:rsidR="003D4378" w:rsidRPr="003D4378">
        <w:rPr>
          <w:sz w:val="24"/>
          <w:szCs w:val="24"/>
        </w:rPr>
        <w:t xml:space="preserve"> responses per PCH (</w:t>
      </w:r>
      <w:r w:rsidR="00C16791">
        <w:rPr>
          <w:sz w:val="24"/>
          <w:szCs w:val="24"/>
        </w:rPr>
        <w:t>108,500</w:t>
      </w:r>
      <w:r w:rsidR="003D4378" w:rsidRPr="003D4378">
        <w:rPr>
          <w:sz w:val="24"/>
          <w:szCs w:val="24"/>
        </w:rPr>
        <w:t xml:space="preserve"> </w:t>
      </w:r>
      <w:r w:rsidR="003D4378">
        <w:rPr>
          <w:sz w:val="24"/>
          <w:szCs w:val="24"/>
        </w:rPr>
        <w:t xml:space="preserve">/ 11 = </w:t>
      </w:r>
      <w:r w:rsidR="00DB401B">
        <w:rPr>
          <w:sz w:val="24"/>
          <w:szCs w:val="24"/>
        </w:rPr>
        <w:t>9,864</w:t>
      </w:r>
      <w:r w:rsidR="003D4378" w:rsidRPr="003D4378">
        <w:rPr>
          <w:sz w:val="24"/>
          <w:szCs w:val="24"/>
        </w:rPr>
        <w:t xml:space="preserve">). </w:t>
      </w:r>
    </w:p>
    <w:p w14:paraId="567FD310" w14:textId="77777777" w:rsidR="004C38C1" w:rsidRDefault="004C38C1" w:rsidP="00C83112">
      <w:pPr>
        <w:pStyle w:val="FootnoteText"/>
        <w:rPr>
          <w:sz w:val="24"/>
          <w:szCs w:val="24"/>
        </w:rPr>
      </w:pPr>
    </w:p>
    <w:p w14:paraId="5A32A490" w14:textId="1AE6ADF7" w:rsidR="003D4378" w:rsidRPr="001A0D94" w:rsidRDefault="00C16791" w:rsidP="00C83112">
      <w:pPr>
        <w:pStyle w:val="FootnoteText"/>
        <w:rPr>
          <w:b/>
          <w:sz w:val="24"/>
          <w:szCs w:val="24"/>
        </w:rPr>
      </w:pPr>
      <w:r w:rsidRPr="001A0D94">
        <w:rPr>
          <w:b/>
          <w:sz w:val="24"/>
          <w:szCs w:val="24"/>
        </w:rPr>
        <w:t>d. Summary</w:t>
      </w:r>
    </w:p>
    <w:p w14:paraId="183CC481" w14:textId="621493EF" w:rsidR="00D27D6A" w:rsidRDefault="003D4378" w:rsidP="00C83112">
      <w:pPr>
        <w:pStyle w:val="FootnoteText"/>
        <w:rPr>
          <w:sz w:val="24"/>
          <w:szCs w:val="24"/>
        </w:rPr>
      </w:pPr>
      <w:r w:rsidRPr="003D4378">
        <w:rPr>
          <w:sz w:val="24"/>
          <w:szCs w:val="24"/>
        </w:rPr>
        <w:t xml:space="preserve">We therefore estimate a reduction in hourly </w:t>
      </w:r>
      <w:r w:rsidR="00FA6371">
        <w:rPr>
          <w:sz w:val="24"/>
          <w:szCs w:val="24"/>
        </w:rPr>
        <w:t xml:space="preserve">administrative </w:t>
      </w:r>
      <w:r w:rsidRPr="003D4378">
        <w:rPr>
          <w:sz w:val="24"/>
          <w:szCs w:val="24"/>
        </w:rPr>
        <w:t xml:space="preserve">burden and data submission </w:t>
      </w:r>
      <w:r w:rsidR="00DE0A1E">
        <w:rPr>
          <w:sz w:val="24"/>
          <w:szCs w:val="24"/>
        </w:rPr>
        <w:t xml:space="preserve">of </w:t>
      </w:r>
      <w:r w:rsidR="00FA6371">
        <w:rPr>
          <w:sz w:val="24"/>
          <w:szCs w:val="24"/>
        </w:rPr>
        <w:t>web-based structural measure</w:t>
      </w:r>
      <w:r w:rsidR="00DE1BD1">
        <w:rPr>
          <w:sz w:val="24"/>
          <w:szCs w:val="24"/>
        </w:rPr>
        <w:t>s</w:t>
      </w:r>
      <w:r w:rsidR="00FA6371">
        <w:rPr>
          <w:sz w:val="24"/>
          <w:szCs w:val="24"/>
        </w:rPr>
        <w:t xml:space="preserve"> to be </w:t>
      </w:r>
      <w:r w:rsidR="00DE0A1E">
        <w:rPr>
          <w:sz w:val="24"/>
          <w:szCs w:val="24"/>
        </w:rPr>
        <w:t xml:space="preserve">approximately </w:t>
      </w:r>
      <w:r w:rsidR="00FA6371">
        <w:rPr>
          <w:sz w:val="24"/>
          <w:szCs w:val="24"/>
        </w:rPr>
        <w:t xml:space="preserve">83,105 </w:t>
      </w:r>
      <w:r w:rsidRPr="003D4378">
        <w:rPr>
          <w:sz w:val="24"/>
          <w:szCs w:val="24"/>
        </w:rPr>
        <w:t>hours pe</w:t>
      </w:r>
      <w:r w:rsidR="00DE0A1E">
        <w:rPr>
          <w:sz w:val="24"/>
          <w:szCs w:val="24"/>
        </w:rPr>
        <w:t>r year across the 11 PCHs</w:t>
      </w:r>
      <w:r w:rsidR="00DE1BD1">
        <w:rPr>
          <w:sz w:val="24"/>
          <w:szCs w:val="24"/>
        </w:rPr>
        <w:t>.</w:t>
      </w:r>
      <w:r w:rsidR="00DE0A1E">
        <w:rPr>
          <w:sz w:val="24"/>
          <w:szCs w:val="24"/>
        </w:rPr>
        <w:t xml:space="preserve"> </w:t>
      </w:r>
      <w:r w:rsidR="00EC5924">
        <w:rPr>
          <w:sz w:val="24"/>
          <w:szCs w:val="24"/>
        </w:rPr>
        <w:t>W</w:t>
      </w:r>
      <w:r w:rsidR="00EC5924" w:rsidRPr="00EC5924">
        <w:rPr>
          <w:sz w:val="24"/>
          <w:szCs w:val="24"/>
        </w:rPr>
        <w:t xml:space="preserve">e note that 11 hours are based on policy proposals and the remaining 83,094 hours are due to administrative/corrective changes. </w:t>
      </w:r>
      <w:r w:rsidRPr="003D4378">
        <w:rPr>
          <w:sz w:val="24"/>
          <w:szCs w:val="24"/>
        </w:rPr>
        <w:t>This reduction in burden results in a concurrent reduction in annual l</w:t>
      </w:r>
      <w:r w:rsidR="00DE0A1E">
        <w:rPr>
          <w:sz w:val="24"/>
          <w:szCs w:val="24"/>
        </w:rPr>
        <w:t>abor costs of $</w:t>
      </w:r>
      <w:r w:rsidR="00433716">
        <w:rPr>
          <w:sz w:val="24"/>
          <w:szCs w:val="24"/>
        </w:rPr>
        <w:t>3,039,981</w:t>
      </w:r>
      <w:r w:rsidR="00DE0A1E">
        <w:rPr>
          <w:sz w:val="24"/>
          <w:szCs w:val="24"/>
        </w:rPr>
        <w:t xml:space="preserve"> (</w:t>
      </w:r>
      <w:r w:rsidR="00433716">
        <w:rPr>
          <w:sz w:val="24"/>
          <w:szCs w:val="24"/>
        </w:rPr>
        <w:t>83,105</w:t>
      </w:r>
      <w:r w:rsidRPr="003D4378">
        <w:rPr>
          <w:sz w:val="24"/>
          <w:szCs w:val="24"/>
        </w:rPr>
        <w:t xml:space="preserve"> hours x $36.58 per hour) across </w:t>
      </w:r>
      <w:r w:rsidR="007669BD">
        <w:rPr>
          <w:sz w:val="24"/>
          <w:szCs w:val="24"/>
        </w:rPr>
        <w:t>all</w:t>
      </w:r>
      <w:r w:rsidR="007669BD" w:rsidRPr="003D4378">
        <w:rPr>
          <w:sz w:val="24"/>
          <w:szCs w:val="24"/>
        </w:rPr>
        <w:t xml:space="preserve"> </w:t>
      </w:r>
      <w:r w:rsidRPr="003D4378">
        <w:rPr>
          <w:sz w:val="24"/>
          <w:szCs w:val="24"/>
        </w:rPr>
        <w:t xml:space="preserve">11 PCHs. We further estimate </w:t>
      </w:r>
      <w:r w:rsidR="00DE0A1E">
        <w:rPr>
          <w:sz w:val="24"/>
          <w:szCs w:val="24"/>
        </w:rPr>
        <w:t xml:space="preserve">a total hourly burden of </w:t>
      </w:r>
      <w:r w:rsidR="00433716">
        <w:rPr>
          <w:sz w:val="24"/>
          <w:szCs w:val="24"/>
        </w:rPr>
        <w:t xml:space="preserve">75,782 </w:t>
      </w:r>
      <w:r w:rsidRPr="003D4378">
        <w:rPr>
          <w:sz w:val="24"/>
          <w:szCs w:val="24"/>
        </w:rPr>
        <w:t>burden hours across the 11 PCHs for data collection and submission of</w:t>
      </w:r>
      <w:r>
        <w:rPr>
          <w:sz w:val="24"/>
          <w:szCs w:val="24"/>
        </w:rPr>
        <w:t xml:space="preserve"> the remaining measures (158,887</w:t>
      </w:r>
      <w:r w:rsidRPr="003D4378">
        <w:rPr>
          <w:sz w:val="24"/>
          <w:szCs w:val="24"/>
        </w:rPr>
        <w:t xml:space="preserve"> hours across all PCHs for all previo</w:t>
      </w:r>
      <w:r>
        <w:rPr>
          <w:sz w:val="24"/>
          <w:szCs w:val="24"/>
        </w:rPr>
        <w:t>usly finalized measure</w:t>
      </w:r>
      <w:r w:rsidR="00DE0A1E">
        <w:rPr>
          <w:sz w:val="24"/>
          <w:szCs w:val="24"/>
        </w:rPr>
        <w:t xml:space="preserve">s – </w:t>
      </w:r>
      <w:r w:rsidR="00433716">
        <w:rPr>
          <w:sz w:val="24"/>
          <w:szCs w:val="24"/>
        </w:rPr>
        <w:t>83,105</w:t>
      </w:r>
      <w:r w:rsidR="00040E24">
        <w:rPr>
          <w:sz w:val="24"/>
          <w:szCs w:val="24"/>
        </w:rPr>
        <w:t xml:space="preserve"> </w:t>
      </w:r>
      <w:r w:rsidRPr="003D4378">
        <w:rPr>
          <w:sz w:val="24"/>
          <w:szCs w:val="24"/>
        </w:rPr>
        <w:t>hour reduction in burden across all PCHs</w:t>
      </w:r>
      <w:r w:rsidR="006B3B30">
        <w:rPr>
          <w:sz w:val="24"/>
          <w:szCs w:val="24"/>
        </w:rPr>
        <w:t xml:space="preserve"> = </w:t>
      </w:r>
      <w:r w:rsidR="00433716">
        <w:rPr>
          <w:sz w:val="24"/>
          <w:szCs w:val="24"/>
        </w:rPr>
        <w:t xml:space="preserve">75,782 </w:t>
      </w:r>
      <w:r w:rsidR="006B3B30">
        <w:rPr>
          <w:sz w:val="24"/>
          <w:szCs w:val="24"/>
        </w:rPr>
        <w:t>hours</w:t>
      </w:r>
      <w:r w:rsidRPr="003D4378">
        <w:rPr>
          <w:sz w:val="24"/>
          <w:szCs w:val="24"/>
        </w:rPr>
        <w:t xml:space="preserve">) and a total annual labor cost for all 11 PCHs of </w:t>
      </w:r>
      <w:r w:rsidR="00DE0A1E">
        <w:rPr>
          <w:sz w:val="24"/>
          <w:szCs w:val="24"/>
        </w:rPr>
        <w:t>$</w:t>
      </w:r>
      <w:r w:rsidR="00433716">
        <w:rPr>
          <w:sz w:val="24"/>
          <w:szCs w:val="24"/>
        </w:rPr>
        <w:t xml:space="preserve">2,772,106 </w:t>
      </w:r>
      <w:r w:rsidR="00DE0A1E">
        <w:rPr>
          <w:sz w:val="24"/>
          <w:szCs w:val="24"/>
        </w:rPr>
        <w:t>(</w:t>
      </w:r>
      <w:r w:rsidR="00433716">
        <w:rPr>
          <w:sz w:val="24"/>
          <w:szCs w:val="24"/>
        </w:rPr>
        <w:t xml:space="preserve">75,782 </w:t>
      </w:r>
      <w:r w:rsidRPr="003D4378">
        <w:rPr>
          <w:sz w:val="24"/>
          <w:szCs w:val="24"/>
        </w:rPr>
        <w:t>hours x $36.58 per hour)</w:t>
      </w:r>
      <w:r w:rsidR="00773BDC">
        <w:rPr>
          <w:sz w:val="24"/>
          <w:szCs w:val="24"/>
        </w:rPr>
        <w:t xml:space="preserve"> for the FY 2021</w:t>
      </w:r>
      <w:r w:rsidRPr="003D4378">
        <w:rPr>
          <w:sz w:val="24"/>
          <w:szCs w:val="24"/>
        </w:rPr>
        <w:t xml:space="preserve"> program year. A summary of the change i</w:t>
      </w:r>
      <w:r w:rsidR="00773BDC">
        <w:rPr>
          <w:sz w:val="24"/>
          <w:szCs w:val="24"/>
        </w:rPr>
        <w:t>n burden is reflected in Table A</w:t>
      </w:r>
      <w:r w:rsidRPr="003D4378">
        <w:rPr>
          <w:sz w:val="24"/>
          <w:szCs w:val="24"/>
        </w:rPr>
        <w:t>.</w:t>
      </w:r>
    </w:p>
    <w:p w14:paraId="4D45A75A" w14:textId="51B6CBE5" w:rsidR="001074F8" w:rsidRDefault="001074F8" w:rsidP="00B56479"/>
    <w:p w14:paraId="5AD55F4C" w14:textId="0426A782" w:rsidR="00DF6B2D" w:rsidRDefault="00DF6B2D" w:rsidP="00B56479">
      <w:r w:rsidRPr="006B3B30">
        <w:rPr>
          <w:b/>
        </w:rPr>
        <w:t xml:space="preserve">Table </w:t>
      </w:r>
      <w:r w:rsidR="003D4378" w:rsidRPr="006B3B30">
        <w:rPr>
          <w:b/>
        </w:rPr>
        <w:t>A</w:t>
      </w:r>
      <w:r w:rsidRPr="006B3B30">
        <w:rPr>
          <w:b/>
        </w:rPr>
        <w:t>.</w:t>
      </w:r>
      <w:r>
        <w:t xml:space="preserve"> </w:t>
      </w:r>
      <w:r w:rsidRPr="006B3B30">
        <w:rPr>
          <w:b/>
        </w:rPr>
        <w:t>Comparison of Currently Approved Burden with Proposed Reduction i</w:t>
      </w:r>
      <w:r w:rsidR="003C6190" w:rsidRPr="006B3B30">
        <w:rPr>
          <w:b/>
        </w:rPr>
        <w:t>n Burden Due to Removal of Four (4</w:t>
      </w:r>
      <w:r w:rsidRPr="006B3B30">
        <w:rPr>
          <w:b/>
        </w:rPr>
        <w:t xml:space="preserve">) </w:t>
      </w:r>
      <w:r w:rsidR="00D27D6A" w:rsidRPr="006B3B30">
        <w:rPr>
          <w:b/>
        </w:rPr>
        <w:t xml:space="preserve">Web-based Structural </w:t>
      </w:r>
      <w:r w:rsidRPr="006B3B30">
        <w:rPr>
          <w:b/>
        </w:rPr>
        <w:t>Measures</w:t>
      </w:r>
      <w:r w:rsidR="00E65110" w:rsidRPr="006B3B30">
        <w:rPr>
          <w:b/>
        </w:rPr>
        <w:t xml:space="preserve"> and Two (2</w:t>
      </w:r>
      <w:r w:rsidR="003D4378" w:rsidRPr="006B3B30">
        <w:rPr>
          <w:b/>
        </w:rPr>
        <w:t>) Chart-Abstracted Measures</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605"/>
        <w:gridCol w:w="2970"/>
        <w:gridCol w:w="3600"/>
      </w:tblGrid>
      <w:tr w:rsidR="006866C6" w14:paraId="70AF323F" w14:textId="77777777" w:rsidTr="00C36936">
        <w:trPr>
          <w:cantSplit/>
          <w:tblHeader/>
        </w:trPr>
        <w:tc>
          <w:tcPr>
            <w:tcW w:w="2605" w:type="dxa"/>
          </w:tcPr>
          <w:p w14:paraId="570F19EB" w14:textId="77347C4C" w:rsidR="006866C6" w:rsidRPr="00986E58" w:rsidRDefault="00C36936" w:rsidP="00C43CA4">
            <w:pPr>
              <w:rPr>
                <w:b/>
                <w:sz w:val="20"/>
                <w:szCs w:val="20"/>
              </w:rPr>
            </w:pPr>
            <w:r>
              <w:rPr>
                <w:b/>
                <w:sz w:val="20"/>
                <w:szCs w:val="20"/>
              </w:rPr>
              <w:t>Burden</w:t>
            </w:r>
          </w:p>
        </w:tc>
        <w:tc>
          <w:tcPr>
            <w:tcW w:w="2970" w:type="dxa"/>
          </w:tcPr>
          <w:p w14:paraId="79623E42" w14:textId="103F45D1" w:rsidR="006866C6" w:rsidRPr="00986E58" w:rsidRDefault="003D4378" w:rsidP="00C43CA4">
            <w:pPr>
              <w:rPr>
                <w:b/>
                <w:sz w:val="20"/>
                <w:szCs w:val="20"/>
              </w:rPr>
            </w:pPr>
            <w:r>
              <w:rPr>
                <w:b/>
                <w:sz w:val="20"/>
                <w:szCs w:val="20"/>
              </w:rPr>
              <w:t xml:space="preserve">FY 2020 Program Year: </w:t>
            </w:r>
            <w:r>
              <w:rPr>
                <w:b/>
                <w:sz w:val="20"/>
                <w:szCs w:val="20"/>
              </w:rPr>
              <w:br/>
            </w:r>
            <w:r w:rsidR="00D27D6A">
              <w:rPr>
                <w:b/>
                <w:sz w:val="20"/>
                <w:szCs w:val="20"/>
              </w:rPr>
              <w:t>18</w:t>
            </w:r>
            <w:r w:rsidR="004742D1">
              <w:rPr>
                <w:b/>
                <w:sz w:val="20"/>
                <w:szCs w:val="20"/>
              </w:rPr>
              <w:t xml:space="preserve"> Measures/All Facilities</w:t>
            </w:r>
          </w:p>
        </w:tc>
        <w:tc>
          <w:tcPr>
            <w:tcW w:w="3600" w:type="dxa"/>
          </w:tcPr>
          <w:p w14:paraId="48FB6DC6" w14:textId="7AF3331A" w:rsidR="006866C6" w:rsidRPr="00986E58" w:rsidRDefault="00DE0A1E" w:rsidP="00C43CA4">
            <w:pPr>
              <w:rPr>
                <w:b/>
                <w:sz w:val="20"/>
                <w:szCs w:val="20"/>
              </w:rPr>
            </w:pPr>
            <w:r>
              <w:rPr>
                <w:b/>
                <w:sz w:val="20"/>
                <w:szCs w:val="20"/>
              </w:rPr>
              <w:t xml:space="preserve">FY 2021 Program Year: </w:t>
            </w:r>
            <w:r>
              <w:rPr>
                <w:b/>
                <w:sz w:val="20"/>
                <w:szCs w:val="20"/>
              </w:rPr>
              <w:br/>
              <w:t>13</w:t>
            </w:r>
            <w:r w:rsidR="003D4378">
              <w:rPr>
                <w:b/>
                <w:sz w:val="20"/>
                <w:szCs w:val="20"/>
              </w:rPr>
              <w:t xml:space="preserve"> Measures</w:t>
            </w:r>
            <w:r w:rsidR="004742D1">
              <w:rPr>
                <w:b/>
                <w:sz w:val="20"/>
                <w:szCs w:val="20"/>
              </w:rPr>
              <w:t>/All Facilities</w:t>
            </w:r>
          </w:p>
        </w:tc>
      </w:tr>
      <w:tr w:rsidR="006866C6" w14:paraId="50233A36" w14:textId="77777777" w:rsidTr="00986B7D">
        <w:trPr>
          <w:trHeight w:val="251"/>
        </w:trPr>
        <w:tc>
          <w:tcPr>
            <w:tcW w:w="2605" w:type="dxa"/>
          </w:tcPr>
          <w:p w14:paraId="476EB177" w14:textId="77777777" w:rsidR="006866C6" w:rsidRPr="001074F8" w:rsidRDefault="006866C6" w:rsidP="00C43CA4">
            <w:pPr>
              <w:rPr>
                <w:sz w:val="20"/>
                <w:szCs w:val="20"/>
              </w:rPr>
            </w:pPr>
            <w:r>
              <w:rPr>
                <w:sz w:val="20"/>
                <w:szCs w:val="20"/>
              </w:rPr>
              <w:t>Hours</w:t>
            </w:r>
          </w:p>
        </w:tc>
        <w:tc>
          <w:tcPr>
            <w:tcW w:w="2970" w:type="dxa"/>
          </w:tcPr>
          <w:p w14:paraId="7C9AF061" w14:textId="0EA122F0" w:rsidR="006866C6" w:rsidRPr="001074F8" w:rsidRDefault="003D4378" w:rsidP="00C43CA4">
            <w:pPr>
              <w:rPr>
                <w:sz w:val="20"/>
                <w:szCs w:val="20"/>
              </w:rPr>
            </w:pPr>
            <w:r>
              <w:rPr>
                <w:sz w:val="20"/>
                <w:szCs w:val="20"/>
              </w:rPr>
              <w:t>158,887</w:t>
            </w:r>
          </w:p>
        </w:tc>
        <w:tc>
          <w:tcPr>
            <w:tcW w:w="3600" w:type="dxa"/>
          </w:tcPr>
          <w:p w14:paraId="5F04A462" w14:textId="1792D7D8" w:rsidR="006866C6" w:rsidRPr="001074F8" w:rsidRDefault="00433716" w:rsidP="00C43CA4">
            <w:pPr>
              <w:rPr>
                <w:sz w:val="20"/>
                <w:szCs w:val="20"/>
              </w:rPr>
            </w:pPr>
            <w:r>
              <w:rPr>
                <w:sz w:val="20"/>
                <w:szCs w:val="20"/>
              </w:rPr>
              <w:t xml:space="preserve">75,782 </w:t>
            </w:r>
            <w:r w:rsidR="00040E24">
              <w:rPr>
                <w:sz w:val="20"/>
                <w:szCs w:val="20"/>
              </w:rPr>
              <w:t xml:space="preserve"> </w:t>
            </w:r>
          </w:p>
        </w:tc>
      </w:tr>
      <w:tr w:rsidR="00732948" w14:paraId="36EC0343" w14:textId="77777777" w:rsidTr="00986B7D">
        <w:trPr>
          <w:trHeight w:val="251"/>
        </w:trPr>
        <w:tc>
          <w:tcPr>
            <w:tcW w:w="2605" w:type="dxa"/>
          </w:tcPr>
          <w:p w14:paraId="39645CCC" w14:textId="03786D6F" w:rsidR="00732948" w:rsidRDefault="00732948" w:rsidP="00C43CA4">
            <w:pPr>
              <w:rPr>
                <w:sz w:val="20"/>
                <w:szCs w:val="20"/>
              </w:rPr>
            </w:pPr>
            <w:r>
              <w:rPr>
                <w:sz w:val="20"/>
                <w:szCs w:val="20"/>
              </w:rPr>
              <w:t>Responses</w:t>
            </w:r>
          </w:p>
        </w:tc>
        <w:tc>
          <w:tcPr>
            <w:tcW w:w="2970" w:type="dxa"/>
          </w:tcPr>
          <w:p w14:paraId="5A48C1A8" w14:textId="0B613CAB" w:rsidR="00732948" w:rsidRDefault="003D4378" w:rsidP="00C43CA4">
            <w:pPr>
              <w:rPr>
                <w:sz w:val="20"/>
                <w:szCs w:val="20"/>
              </w:rPr>
            </w:pPr>
            <w:r>
              <w:rPr>
                <w:sz w:val="20"/>
                <w:szCs w:val="20"/>
              </w:rPr>
              <w:t>325,501</w:t>
            </w:r>
          </w:p>
        </w:tc>
        <w:tc>
          <w:tcPr>
            <w:tcW w:w="3600" w:type="dxa"/>
          </w:tcPr>
          <w:p w14:paraId="343A2D63" w14:textId="7EA35704" w:rsidR="00732948" w:rsidRDefault="00C16791" w:rsidP="00C43CA4">
            <w:pPr>
              <w:rPr>
                <w:sz w:val="20"/>
                <w:szCs w:val="20"/>
              </w:rPr>
            </w:pPr>
            <w:r>
              <w:rPr>
                <w:sz w:val="20"/>
                <w:szCs w:val="20"/>
              </w:rPr>
              <w:t xml:space="preserve">108,500 </w:t>
            </w:r>
            <w:r w:rsidR="00691C20">
              <w:rPr>
                <w:sz w:val="20"/>
                <w:szCs w:val="20"/>
              </w:rPr>
              <w:t xml:space="preserve"> </w:t>
            </w:r>
          </w:p>
        </w:tc>
      </w:tr>
      <w:tr w:rsidR="006866C6" w14:paraId="1DBDBC85" w14:textId="77777777" w:rsidTr="00C43CA4">
        <w:trPr>
          <w:trHeight w:val="215"/>
        </w:trPr>
        <w:tc>
          <w:tcPr>
            <w:tcW w:w="2605" w:type="dxa"/>
          </w:tcPr>
          <w:p w14:paraId="727D180F" w14:textId="77777777" w:rsidR="006866C6" w:rsidRDefault="006866C6" w:rsidP="00C43CA4">
            <w:pPr>
              <w:rPr>
                <w:sz w:val="20"/>
                <w:szCs w:val="20"/>
              </w:rPr>
            </w:pPr>
            <w:r>
              <w:rPr>
                <w:sz w:val="20"/>
                <w:szCs w:val="20"/>
              </w:rPr>
              <w:t>Cost</w:t>
            </w:r>
          </w:p>
        </w:tc>
        <w:tc>
          <w:tcPr>
            <w:tcW w:w="2970" w:type="dxa"/>
          </w:tcPr>
          <w:p w14:paraId="4410ED9C" w14:textId="109AD29A" w:rsidR="006866C6" w:rsidRPr="001074F8" w:rsidRDefault="003D4378" w:rsidP="002D7AC0">
            <w:pPr>
              <w:rPr>
                <w:sz w:val="20"/>
                <w:szCs w:val="20"/>
              </w:rPr>
            </w:pPr>
            <w:r>
              <w:rPr>
                <w:sz w:val="20"/>
                <w:szCs w:val="20"/>
              </w:rPr>
              <w:t>$5,812,086</w:t>
            </w:r>
          </w:p>
        </w:tc>
        <w:tc>
          <w:tcPr>
            <w:tcW w:w="3600" w:type="dxa"/>
          </w:tcPr>
          <w:p w14:paraId="587864BE" w14:textId="5F6703E2" w:rsidR="006866C6" w:rsidRDefault="00DE0A1E" w:rsidP="00A867E2">
            <w:pPr>
              <w:rPr>
                <w:sz w:val="20"/>
                <w:szCs w:val="20"/>
              </w:rPr>
            </w:pPr>
            <w:r>
              <w:rPr>
                <w:sz w:val="20"/>
                <w:szCs w:val="20"/>
              </w:rPr>
              <w:t>$</w:t>
            </w:r>
            <w:r w:rsidR="00433716">
              <w:rPr>
                <w:sz w:val="20"/>
                <w:szCs w:val="20"/>
              </w:rPr>
              <w:t xml:space="preserve">2,772,106 </w:t>
            </w:r>
            <w:r w:rsidR="00040E24">
              <w:rPr>
                <w:sz w:val="20"/>
                <w:szCs w:val="20"/>
              </w:rPr>
              <w:t xml:space="preserve"> </w:t>
            </w:r>
          </w:p>
        </w:tc>
      </w:tr>
    </w:tbl>
    <w:p w14:paraId="73D2CF4B" w14:textId="49623514" w:rsidR="00DF6B2D" w:rsidRDefault="00986B7D" w:rsidP="00986B7D">
      <w:pPr>
        <w:tabs>
          <w:tab w:val="left" w:pos="8202"/>
        </w:tabs>
      </w:pPr>
      <w:r>
        <w:tab/>
      </w:r>
    </w:p>
    <w:p w14:paraId="4E0EEF64" w14:textId="7FCFC8D0" w:rsidR="00DB08B5" w:rsidRPr="00C129BE" w:rsidRDefault="00DB08B5" w:rsidP="00257854">
      <w:pPr>
        <w:rPr>
          <w:rFonts w:eastAsiaTheme="minorHAnsi"/>
          <w:color w:val="1F497D"/>
          <w:sz w:val="20"/>
          <w:szCs w:val="20"/>
        </w:rPr>
      </w:pP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E0CE8A5"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Pr>
          <w:rStyle w:val="FootnoteReference"/>
        </w:rPr>
        <w:footnoteReference w:id="7"/>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58C16AF6" w14:textId="4C81FC91" w:rsidR="0099063D" w:rsidRDefault="00B56479" w:rsidP="0099063D">
      <w:r>
        <w:t xml:space="preserve">We are </w:t>
      </w:r>
      <w:r w:rsidR="00AB01C2">
        <w:t>reducing</w:t>
      </w:r>
      <w:r w:rsidR="00986B7D">
        <w:t xml:space="preserve"> a</w:t>
      </w:r>
      <w:r>
        <w:t xml:space="preserve"> previously approved burden. </w:t>
      </w:r>
      <w:r w:rsidR="00D774C9">
        <w:t>We are proposing to</w:t>
      </w:r>
      <w:r w:rsidR="00B7330F">
        <w:t xml:space="preserve"> </w:t>
      </w:r>
      <w:r w:rsidR="00D774C9">
        <w:t>remove</w:t>
      </w:r>
      <w:r w:rsidR="00986B7D">
        <w:t xml:space="preserve"> </w:t>
      </w:r>
      <w:r w:rsidR="00042990">
        <w:t>four (4</w:t>
      </w:r>
      <w:r w:rsidR="00D774C9">
        <w:t xml:space="preserve">) web-based structural measures and </w:t>
      </w:r>
      <w:r w:rsidR="00042990">
        <w:t>two (2</w:t>
      </w:r>
      <w:r w:rsidR="00986B7D">
        <w:t xml:space="preserve">) </w:t>
      </w:r>
      <w:r w:rsidR="00042990">
        <w:t xml:space="preserve">NHSN </w:t>
      </w:r>
      <w:r w:rsidR="00986B7D">
        <w:t>measures</w:t>
      </w:r>
      <w:r>
        <w:t xml:space="preserve"> </w:t>
      </w:r>
      <w:r w:rsidR="00986B7D">
        <w:t>from</w:t>
      </w:r>
      <w:r>
        <w:t xml:space="preserve"> the PCHQR Program, </w:t>
      </w:r>
      <w:r w:rsidR="00986B7D">
        <w:t xml:space="preserve">which will reduce the information </w:t>
      </w:r>
      <w:r w:rsidR="00A40CDE">
        <w:t>collection burden on the PCHs.</w:t>
      </w:r>
      <w:r w:rsidR="00591A72">
        <w:t xml:space="preserve"> We are also accounting for the additional removal of the administrative burden imparted by the inclusion of the additional NHSN measures (SSI, CDI, MRSA</w:t>
      </w:r>
      <w:r w:rsidR="0052554A">
        <w:t>,</w:t>
      </w:r>
      <w:r w:rsidR="00591A72">
        <w:t xml:space="preserve"> and HCP) under OMB control number </w:t>
      </w:r>
      <w:r w:rsidR="00591A72" w:rsidRPr="00591A72">
        <w:t>0938-1175</w:t>
      </w:r>
      <w:r w:rsidR="00591A72">
        <w:t>.</w:t>
      </w:r>
      <w:r w:rsidR="00B31F75">
        <w:t xml:space="preserve"> </w:t>
      </w:r>
      <w:r w:rsidR="00D774C9">
        <w:t>If finalized as proposed, t</w:t>
      </w:r>
      <w:r w:rsidR="00B31F75">
        <w:t>he change in the burden is</w:t>
      </w:r>
      <w:r w:rsidR="00DC27FD">
        <w:t xml:space="preserve"> a reduction of approximately </w:t>
      </w:r>
      <w:r w:rsidR="00591A72">
        <w:t xml:space="preserve">83,105 </w:t>
      </w:r>
      <w:r w:rsidR="00D774C9">
        <w:t>hours</w:t>
      </w:r>
      <w:r w:rsidR="005B6CC7">
        <w:t xml:space="preserve"> </w:t>
      </w:r>
      <w:r w:rsidR="00591A72" w:rsidRPr="00591A72">
        <w:t>([1 fewer hour per year per PCH for the proposed removal of the web-based structural measures + 7,554 fewer hours per year per PCH for the removal of NHSN measure administrative burden] x 11 PCHs)</w:t>
      </w:r>
      <w:r w:rsidR="00591A72">
        <w:t xml:space="preserve"> </w:t>
      </w:r>
      <w:r w:rsidR="00D774C9">
        <w:t xml:space="preserve">across all 11 </w:t>
      </w:r>
      <w:r w:rsidR="00DE1BD1">
        <w:t xml:space="preserve">PCHs </w:t>
      </w:r>
      <w:r w:rsidR="00D774C9">
        <w:t xml:space="preserve">annually, </w:t>
      </w:r>
      <w:r w:rsidR="00DC27FD">
        <w:t xml:space="preserve">and </w:t>
      </w:r>
      <w:r w:rsidR="00D774C9">
        <w:t xml:space="preserve">approximately </w:t>
      </w:r>
      <w:r w:rsidR="00DC27FD">
        <w:t>$</w:t>
      </w:r>
      <w:r w:rsidR="00591A72">
        <w:t xml:space="preserve">3,039,981 </w:t>
      </w:r>
      <w:r w:rsidR="00B02390">
        <w:t>(</w:t>
      </w:r>
      <w:r w:rsidR="00591A72">
        <w:t xml:space="preserve">83,105 </w:t>
      </w:r>
      <w:r w:rsidR="00B02390">
        <w:t xml:space="preserve">hours per PCH x $36.58 wage) </w:t>
      </w:r>
      <w:r w:rsidR="00DC27FD">
        <w:t xml:space="preserve">annually across all 11 </w:t>
      </w:r>
      <w:r w:rsidR="00DE1BD1">
        <w:t>PCHs</w:t>
      </w:r>
      <w:r w:rsidR="00DC27FD">
        <w:t>.</w:t>
      </w:r>
      <w:r w:rsidR="00A40CDE">
        <w:t xml:space="preserve"> </w:t>
      </w:r>
    </w:p>
    <w:p w14:paraId="3F50F19F" w14:textId="77777777" w:rsidR="0099063D" w:rsidRDefault="0099063D" w:rsidP="0099063D"/>
    <w:p w14:paraId="54BAFF4E" w14:textId="31C3150D" w:rsidR="00040E24" w:rsidRDefault="00040E24" w:rsidP="0099063D">
      <w:r>
        <w:t xml:space="preserve">We reiterate, that while we are </w:t>
      </w:r>
      <w:r w:rsidR="004806B1">
        <w:t>proposing</w:t>
      </w:r>
      <w:r>
        <w:t xml:space="preserve"> the removal of 2 NHSN measures, the burden changes associated with the proposed removal of these measures is assessed separately, under OMB control number </w:t>
      </w:r>
      <w:r w:rsidRPr="00040E24">
        <w:t>0920-0666.</w:t>
      </w:r>
    </w:p>
    <w:p w14:paraId="3D7F2CFA" w14:textId="77777777" w:rsidR="00040E24" w:rsidRDefault="00040E24" w:rsidP="0099063D"/>
    <w:p w14:paraId="6A6DFAAB" w14:textId="2FAB2BC5" w:rsidR="0099063D" w:rsidRPr="0099063D" w:rsidRDefault="0099063D" w:rsidP="0099063D">
      <w:r w:rsidRPr="0099063D">
        <w:t xml:space="preserve">Beginning in FY 2021, CMS is adding one (1) additional measure to the PCHQR Program. Because this measure is calculated using claims data, it will have no burden </w:t>
      </w:r>
      <w:r w:rsidR="00690C15">
        <w:t xml:space="preserve">impact </w:t>
      </w:r>
      <w:r w:rsidRPr="0099063D">
        <w:t>on the 11 PCHs. Measures that are calculated using claims data rely on information submitted by the PCHs as part of their reimbursement process and are calculated by CMS, not the PCHs.</w:t>
      </w:r>
    </w:p>
    <w:p w14:paraId="43FD7C76" w14:textId="7CEDD08F" w:rsidR="00557951" w:rsidRDefault="00557951" w:rsidP="009F0F33"/>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50A1E1AA" w:rsidR="00285035" w:rsidRDefault="0058110C" w:rsidP="00285035">
      <w:r>
        <w:t>Table D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64555EF0" w:rsidR="00203F7B" w:rsidRDefault="00EC6239" w:rsidP="00285035">
      <w:r>
        <w:t>Table D.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6C32B7EA" w:rsidR="00203F7B" w:rsidRDefault="00203F7B" w:rsidP="001205F1">
            <w:pPr>
              <w:rPr>
                <w:rFonts w:eastAsiaTheme="minorHAnsi"/>
              </w:rPr>
            </w:pPr>
            <w:r>
              <w:t>04/</w:t>
            </w:r>
            <w:r w:rsidR="001205F1">
              <w:t>28</w:t>
            </w:r>
            <w:r>
              <w:t>/</w:t>
            </w:r>
            <w:r w:rsidR="00986B7D">
              <w:t>2017</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756FC4A9" w:rsidR="00203F7B" w:rsidRDefault="00203F7B" w:rsidP="00986B7D">
            <w:pPr>
              <w:rPr>
                <w:rFonts w:eastAsiaTheme="minorHAnsi"/>
              </w:rPr>
            </w:pPr>
            <w:r>
              <w:t>08/</w:t>
            </w:r>
            <w:r w:rsidR="001205F1">
              <w:t>xx/</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44FC112" w:rsidR="00285035" w:rsidRDefault="00285035" w:rsidP="00285035"/>
    <w:p w14:paraId="32AECB79" w14:textId="64BB6248" w:rsidR="00036A69" w:rsidRDefault="00036A69" w:rsidP="00285035">
      <w:r>
        <w:t>Table E shows the proposed schedule for publicly reporting measures in the PCHQR Program.</w:t>
      </w:r>
    </w:p>
    <w:p w14:paraId="6BC385C3" w14:textId="46EF73F0" w:rsidR="00036A69" w:rsidRDefault="00036A69" w:rsidP="00285035"/>
    <w:p w14:paraId="598CB0D9" w14:textId="77777777" w:rsidR="00036A69" w:rsidRPr="00036A69" w:rsidRDefault="00036A69" w:rsidP="00036A69">
      <w:pPr>
        <w:rPr>
          <w:b/>
        </w:rPr>
      </w:pPr>
      <w:r>
        <w:t xml:space="preserve">Table E. </w:t>
      </w:r>
      <w:r w:rsidRPr="001A0D94">
        <w:t>Proposed Public Display Requirements for the FY 2021 Program Year</w:t>
      </w:r>
    </w:p>
    <w:p w14:paraId="6B3F9FD1" w14:textId="35F5D765" w:rsidR="00036A69" w:rsidRDefault="00036A69" w:rsidP="002850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12"/>
      </w:tblGrid>
      <w:tr w:rsidR="00036A69" w:rsidRPr="00036A69" w14:paraId="4B3CDCE1" w14:textId="77777777" w:rsidTr="002A0DEE">
        <w:trPr>
          <w:trHeight w:val="341"/>
          <w:tblHeader/>
          <w:jc w:val="center"/>
        </w:trPr>
        <w:tc>
          <w:tcPr>
            <w:tcW w:w="8630" w:type="dxa"/>
            <w:gridSpan w:val="2"/>
          </w:tcPr>
          <w:p w14:paraId="3DCBB71E" w14:textId="77777777" w:rsidR="00036A69" w:rsidRPr="00036A69" w:rsidRDefault="00036A69" w:rsidP="00036A69">
            <w:pPr>
              <w:jc w:val="center"/>
              <w:rPr>
                <w:rFonts w:eastAsia="Calibri"/>
                <w:lang w:eastAsia="ko-KR"/>
              </w:rPr>
            </w:pPr>
            <w:r w:rsidRPr="00036A69">
              <w:rPr>
                <w:rFonts w:eastAsia="Calibri"/>
                <w:b/>
                <w:lang w:eastAsia="ko-KR"/>
              </w:rPr>
              <w:t>Summary of Newly Proposed Public Display Requirements</w:t>
            </w:r>
          </w:p>
        </w:tc>
      </w:tr>
      <w:tr w:rsidR="00036A69" w:rsidRPr="00036A69" w14:paraId="46EE3F1B" w14:textId="77777777" w:rsidTr="002A0DEE">
        <w:trPr>
          <w:trHeight w:val="20"/>
          <w:tblHeader/>
          <w:jc w:val="center"/>
        </w:trPr>
        <w:tc>
          <w:tcPr>
            <w:tcW w:w="6318" w:type="dxa"/>
          </w:tcPr>
          <w:p w14:paraId="78F27B8D" w14:textId="77777777" w:rsidR="00036A69" w:rsidRPr="00036A69" w:rsidRDefault="00036A69" w:rsidP="00036A69">
            <w:pPr>
              <w:jc w:val="center"/>
              <w:rPr>
                <w:rFonts w:eastAsia="Calibri"/>
                <w:b/>
                <w:lang w:eastAsia="ko-KR"/>
              </w:rPr>
            </w:pPr>
            <w:r w:rsidRPr="00036A69">
              <w:rPr>
                <w:rFonts w:eastAsia="Calibri"/>
                <w:b/>
                <w:lang w:eastAsia="ko-KR"/>
              </w:rPr>
              <w:t>Measures</w:t>
            </w:r>
          </w:p>
        </w:tc>
        <w:tc>
          <w:tcPr>
            <w:tcW w:w="2312" w:type="dxa"/>
          </w:tcPr>
          <w:p w14:paraId="097ACBEF" w14:textId="77777777" w:rsidR="00036A69" w:rsidRPr="00036A69" w:rsidRDefault="00036A69" w:rsidP="00036A69">
            <w:pPr>
              <w:jc w:val="center"/>
              <w:rPr>
                <w:rFonts w:eastAsia="Calibri"/>
                <w:b/>
                <w:lang w:eastAsia="ko-KR"/>
              </w:rPr>
            </w:pPr>
            <w:r w:rsidRPr="00036A69">
              <w:rPr>
                <w:rFonts w:eastAsia="Calibri"/>
                <w:b/>
                <w:lang w:eastAsia="ko-KR"/>
              </w:rPr>
              <w:t>Public Reporting</w:t>
            </w:r>
          </w:p>
        </w:tc>
      </w:tr>
      <w:tr w:rsidR="00036A69" w:rsidRPr="00036A69" w14:paraId="3ADE1EE6" w14:textId="77777777" w:rsidTr="002A0DEE">
        <w:trPr>
          <w:cantSplit/>
          <w:trHeight w:val="12"/>
          <w:jc w:val="center"/>
        </w:trPr>
        <w:tc>
          <w:tcPr>
            <w:tcW w:w="6318" w:type="dxa"/>
          </w:tcPr>
          <w:p w14:paraId="3CF7B9E3" w14:textId="77777777" w:rsidR="00036A69" w:rsidRPr="00036A69" w:rsidRDefault="00036A69" w:rsidP="00036A69">
            <w:pPr>
              <w:rPr>
                <w:rFonts w:eastAsia="Calibri"/>
                <w:lang w:eastAsia="ko-KR"/>
              </w:rPr>
            </w:pPr>
            <w:r w:rsidRPr="00036A69">
              <w:rPr>
                <w:rFonts w:eastAsia="Calibri"/>
                <w:lang w:eastAsia="ko-KR"/>
              </w:rPr>
              <w:t>●  HCAHPS (NQF #0166)</w:t>
            </w:r>
          </w:p>
          <w:p w14:paraId="06A31375" w14:textId="77777777" w:rsidR="00036A69" w:rsidRPr="00036A69" w:rsidRDefault="00036A69" w:rsidP="00036A69">
            <w:pPr>
              <w:rPr>
                <w:rFonts w:eastAsia="Calibri"/>
                <w:lang w:eastAsia="ko-KR"/>
              </w:rPr>
            </w:pPr>
            <w:r w:rsidRPr="00036A69">
              <w:rPr>
                <w:rFonts w:eastAsia="Calibri"/>
                <w:lang w:eastAsia="ko-KR"/>
              </w:rPr>
              <w:t>●  Oncology: Plan of Care for Pain – Medical Oncology and Radiation Oncology</w:t>
            </w:r>
            <w:r w:rsidRPr="00036A69" w:rsidDel="004D1D00">
              <w:rPr>
                <w:rFonts w:eastAsia="Calibri"/>
                <w:lang w:eastAsia="ko-KR"/>
              </w:rPr>
              <w:t xml:space="preserve"> </w:t>
            </w:r>
            <w:r w:rsidRPr="00036A69">
              <w:rPr>
                <w:rFonts w:eastAsia="Calibri"/>
                <w:lang w:eastAsia="ko-KR"/>
              </w:rPr>
              <w:t>(NQF #0383)</w:t>
            </w:r>
          </w:p>
        </w:tc>
        <w:tc>
          <w:tcPr>
            <w:tcW w:w="2312" w:type="dxa"/>
            <w:vAlign w:val="center"/>
          </w:tcPr>
          <w:p w14:paraId="392E28C0" w14:textId="77777777" w:rsidR="00036A69" w:rsidRPr="00036A69" w:rsidRDefault="00036A69" w:rsidP="00036A69">
            <w:pPr>
              <w:rPr>
                <w:rFonts w:eastAsia="Calibri"/>
                <w:lang w:eastAsia="ko-KR"/>
              </w:rPr>
            </w:pPr>
            <w:r w:rsidRPr="00036A69">
              <w:rPr>
                <w:rFonts w:eastAsia="Calibri"/>
                <w:lang w:eastAsia="ko-KR"/>
              </w:rPr>
              <w:t>2016 and subsequent years</w:t>
            </w:r>
          </w:p>
        </w:tc>
      </w:tr>
      <w:tr w:rsidR="00036A69" w:rsidRPr="00036A69" w14:paraId="0F07D45B" w14:textId="77777777" w:rsidTr="002A0DEE">
        <w:trPr>
          <w:trHeight w:val="953"/>
          <w:jc w:val="center"/>
        </w:trPr>
        <w:tc>
          <w:tcPr>
            <w:tcW w:w="6318" w:type="dxa"/>
          </w:tcPr>
          <w:p w14:paraId="76542C87"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036A69">
              <w:rPr>
                <w:rFonts w:eastAsia="Calibri"/>
                <w:lang w:eastAsia="ko-KR"/>
              </w:rPr>
              <w:t xml:space="preserve"> (NQF #0753)</w:t>
            </w:r>
          </w:p>
          <w:p w14:paraId="163D221E"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Facility</w:t>
            </w:r>
            <w:r w:rsidRPr="00036A69">
              <w:rPr>
                <w:szCs w:val="20"/>
                <w:lang w:eastAsia="ko-KR"/>
              </w:rPr>
              <w:noBreakHyphen/>
              <w:t>wide Inpatient Hospital-onset Methicillin</w:t>
            </w:r>
            <w:r w:rsidRPr="00036A69">
              <w:rPr>
                <w:szCs w:val="20"/>
                <w:lang w:eastAsia="ko-KR"/>
              </w:rPr>
              <w:noBreakHyphen/>
              <w:t xml:space="preserve">resistant </w:t>
            </w:r>
            <w:r w:rsidRPr="00036A69">
              <w:rPr>
                <w:i/>
                <w:szCs w:val="20"/>
                <w:lang w:eastAsia="ko-KR"/>
              </w:rPr>
              <w:t>Staphylococcus aureus</w:t>
            </w:r>
            <w:r w:rsidRPr="00036A69">
              <w:rPr>
                <w:szCs w:val="20"/>
                <w:lang w:eastAsia="ko-KR"/>
              </w:rPr>
              <w:t xml:space="preserve"> Bacteremia Outcome Measure</w:t>
            </w:r>
            <w:r w:rsidRPr="00036A69">
              <w:rPr>
                <w:rFonts w:eastAsia="Calibri"/>
                <w:lang w:eastAsia="ko-KR"/>
              </w:rPr>
              <w:t xml:space="preserve"> (NQF #1716)</w:t>
            </w:r>
          </w:p>
          <w:p w14:paraId="4252A21B"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Facility</w:t>
            </w:r>
            <w:r w:rsidRPr="00036A69">
              <w:rPr>
                <w:szCs w:val="20"/>
                <w:lang w:eastAsia="ko-KR"/>
              </w:rPr>
              <w:noBreakHyphen/>
              <w:t xml:space="preserve">wide Inpatient Hospital-onset </w:t>
            </w:r>
            <w:r w:rsidRPr="00036A69">
              <w:rPr>
                <w:i/>
                <w:szCs w:val="20"/>
                <w:lang w:eastAsia="ko-KR"/>
              </w:rPr>
              <w:t>Clostridium difficile</w:t>
            </w:r>
            <w:r w:rsidRPr="00036A69">
              <w:rPr>
                <w:szCs w:val="20"/>
                <w:lang w:eastAsia="ko-KR"/>
              </w:rPr>
              <w:t xml:space="preserve"> Infection (CDI) Outcome Measure</w:t>
            </w:r>
            <w:r w:rsidRPr="00036A69">
              <w:rPr>
                <w:rFonts w:eastAsia="Calibri"/>
                <w:lang w:eastAsia="ko-KR"/>
              </w:rPr>
              <w:t xml:space="preserve"> (NQF #1717)</w:t>
            </w:r>
          </w:p>
          <w:p w14:paraId="7721AB0A"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Influenza Vaccination Coverage Among Healthcare Personnel</w:t>
            </w:r>
            <w:r w:rsidRPr="00036A69">
              <w:rPr>
                <w:rFonts w:eastAsia="Calibri"/>
                <w:lang w:eastAsia="ko-KR"/>
              </w:rPr>
              <w:t xml:space="preserve"> (NQF #0431)</w:t>
            </w:r>
          </w:p>
        </w:tc>
        <w:tc>
          <w:tcPr>
            <w:tcW w:w="2312" w:type="dxa"/>
            <w:vAlign w:val="center"/>
          </w:tcPr>
          <w:p w14:paraId="61AB988A" w14:textId="240B6D6A" w:rsidR="00036A69" w:rsidRPr="00036A69" w:rsidRDefault="00036A69" w:rsidP="00036A69">
            <w:pPr>
              <w:rPr>
                <w:rFonts w:eastAsia="Calibri"/>
                <w:lang w:eastAsia="ko-KR"/>
              </w:rPr>
            </w:pPr>
            <w:r w:rsidRPr="00036A69">
              <w:rPr>
                <w:rFonts w:eastAsia="Calibri"/>
                <w:lang w:eastAsia="ko-KR"/>
              </w:rPr>
              <w:t>*</w:t>
            </w:r>
            <w:r w:rsidR="00540E0D">
              <w:rPr>
                <w:rFonts w:eastAsia="Calibri"/>
                <w:lang w:eastAsia="ko-KR"/>
              </w:rPr>
              <w:t xml:space="preserve">Proposed for </w:t>
            </w:r>
            <w:r w:rsidRPr="00036A69">
              <w:rPr>
                <w:rFonts w:eastAsia="Calibri"/>
                <w:lang w:eastAsia="ko-KR"/>
              </w:rPr>
              <w:t>Deferr</w:t>
            </w:r>
            <w:r w:rsidR="00540E0D">
              <w:rPr>
                <w:rFonts w:eastAsia="Calibri"/>
                <w:lang w:eastAsia="ko-KR"/>
              </w:rPr>
              <w:t xml:space="preserve">ment </w:t>
            </w:r>
            <w:r w:rsidRPr="00036A69">
              <w:rPr>
                <w:rFonts w:eastAsia="Calibri"/>
                <w:lang w:eastAsia="ko-KR"/>
              </w:rPr>
              <w:t xml:space="preserve"> Until Calendar Year 2019</w:t>
            </w:r>
          </w:p>
        </w:tc>
      </w:tr>
      <w:tr w:rsidR="00036A69" w:rsidRPr="00036A69" w14:paraId="169EBA9E" w14:textId="77777777" w:rsidTr="002A0DEE">
        <w:trPr>
          <w:jc w:val="center"/>
        </w:trPr>
        <w:tc>
          <w:tcPr>
            <w:tcW w:w="6318" w:type="dxa"/>
          </w:tcPr>
          <w:p w14:paraId="3A6A61F4" w14:textId="77777777" w:rsidR="00036A69" w:rsidRPr="00036A69" w:rsidRDefault="00036A69" w:rsidP="00036A69">
            <w:pPr>
              <w:keepNext/>
              <w:rPr>
                <w:rFonts w:eastAsia="Calibri"/>
                <w:lang w:eastAsia="ko-KR"/>
              </w:rPr>
            </w:pPr>
            <w:r w:rsidRPr="00036A69">
              <w:rPr>
                <w:rFonts w:eastAsia="Calibri"/>
                <w:lang w:eastAsia="ko-KR"/>
              </w:rPr>
              <w:t>●  External Beam Radiotherapy for Bone Metastases (EBRT) (NQF #1822)</w:t>
            </w:r>
          </w:p>
        </w:tc>
        <w:tc>
          <w:tcPr>
            <w:tcW w:w="2312" w:type="dxa"/>
            <w:vAlign w:val="center"/>
          </w:tcPr>
          <w:p w14:paraId="1E3C9EA4" w14:textId="77777777" w:rsidR="00036A69" w:rsidRPr="00036A69" w:rsidRDefault="00036A69" w:rsidP="00036A69">
            <w:pPr>
              <w:rPr>
                <w:rFonts w:eastAsia="Calibri"/>
                <w:lang w:eastAsia="ko-KR"/>
              </w:rPr>
            </w:pPr>
            <w:r w:rsidRPr="00036A69">
              <w:rPr>
                <w:rFonts w:eastAsia="Calibri"/>
                <w:lang w:eastAsia="ko-KR"/>
              </w:rPr>
              <w:t>2017 and subsequent years</w:t>
            </w:r>
          </w:p>
        </w:tc>
      </w:tr>
    </w:tbl>
    <w:p w14:paraId="33551AAE" w14:textId="77777777" w:rsidR="00036A69" w:rsidRDefault="00036A69" w:rsidP="00285035"/>
    <w:p w14:paraId="560D2786" w14:textId="3B8E6E42" w:rsidR="00C36936" w:rsidRDefault="00C36936">
      <w:pPr>
        <w:jc w:val="cente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927D0" w14:textId="77777777" w:rsidR="00976557" w:rsidRDefault="00976557" w:rsidP="00285035">
      <w:r>
        <w:separator/>
      </w:r>
    </w:p>
  </w:endnote>
  <w:endnote w:type="continuationSeparator" w:id="0">
    <w:p w14:paraId="4988BD73" w14:textId="77777777" w:rsidR="00976557" w:rsidRDefault="00976557"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D3A0" w14:textId="77777777" w:rsidR="00976557" w:rsidRDefault="00976557" w:rsidP="00285035">
      <w:r>
        <w:separator/>
      </w:r>
    </w:p>
  </w:footnote>
  <w:footnote w:type="continuationSeparator" w:id="0">
    <w:p w14:paraId="6886989B" w14:textId="77777777" w:rsidR="00976557" w:rsidRDefault="00976557" w:rsidP="00285035">
      <w:r>
        <w:continuationSeparator/>
      </w:r>
    </w:p>
  </w:footnote>
  <w:footnote w:id="1">
    <w:p w14:paraId="367D268A" w14:textId="56949D9D" w:rsidR="00982DC1" w:rsidRPr="00922079" w:rsidRDefault="00982DC1">
      <w:pPr>
        <w:pStyle w:val="FootnoteText"/>
      </w:pPr>
      <w:r w:rsidRPr="00922079">
        <w:rPr>
          <w:rStyle w:val="FootnoteReference"/>
        </w:rPr>
        <w:footnoteRef/>
      </w:r>
      <w:r w:rsidRPr="00922079">
        <w:t xml:space="preserve"> United States Government Accountability Office, “Hospi</w:t>
      </w:r>
      <w:r w:rsidR="00661874">
        <w:t>t</w:t>
      </w:r>
      <w:r w:rsidRPr="00922079">
        <w:t>al Quality Data: HHS Should Specify Steps and Time Frame for Using Information Technology to Collect and Submit Data. Report. April 2007. Available at: http://www.gao.gov/assets/260/259673.pdf.</w:t>
      </w:r>
    </w:p>
  </w:footnote>
  <w:footnote w:id="2">
    <w:p w14:paraId="726616B9" w14:textId="69CDC420" w:rsidR="00984E37" w:rsidRDefault="00984E37" w:rsidP="00984E37">
      <w:pPr>
        <w:pStyle w:val="FootnoteText"/>
      </w:pPr>
      <w:r>
        <w:rPr>
          <w:rStyle w:val="FootnoteReference"/>
        </w:rPr>
        <w:footnoteRef/>
      </w:r>
      <w:r>
        <w:t xml:space="preserve"> </w:t>
      </w:r>
      <w:hyperlink r:id="rId1" w:history="1">
        <w:r w:rsidR="00081627" w:rsidRPr="00DA57AD">
          <w:rPr>
            <w:rStyle w:val="Hyperlink"/>
          </w:rPr>
          <w:t>https://www.bls.gov/ooh/healthcare/medical-records-and-health-information-technicians.htm</w:t>
        </w:r>
      </w:hyperlink>
      <w:r w:rsidR="00081627">
        <w:t xml:space="preserve"> </w:t>
      </w:r>
    </w:p>
  </w:footnote>
  <w:footnote w:id="3">
    <w:p w14:paraId="6C117B5E" w14:textId="2B256D59" w:rsidR="00C51724" w:rsidRDefault="00C51724">
      <w:pPr>
        <w:pStyle w:val="FootnoteText"/>
      </w:pPr>
      <w:r>
        <w:rPr>
          <w:rStyle w:val="FootnoteReference"/>
        </w:rPr>
        <w:footnoteRef/>
      </w:r>
      <w:r>
        <w:t xml:space="preserve"> </w:t>
      </w:r>
      <w:r w:rsidR="00947803">
        <w:t xml:space="preserve">NHSN Measures </w:t>
      </w:r>
      <w:r>
        <w:t xml:space="preserve">Supporting Statement-A file for OMB control number 0920-0666. Published on January 1, 2018. Available at: </w:t>
      </w:r>
      <w:hyperlink r:id="rId2" w:history="1">
        <w:r w:rsidRPr="00D97781">
          <w:rPr>
            <w:rStyle w:val="Hyperlink"/>
          </w:rPr>
          <w:t>https://www.reginfo.gov/public/do/PRAViewDocument?ref_nbr=201801-0920-008</w:t>
        </w:r>
      </w:hyperlink>
      <w:r>
        <w:t xml:space="preserve"> </w:t>
      </w:r>
    </w:p>
  </w:footnote>
  <w:footnote w:id="4">
    <w:p w14:paraId="52C294D5" w14:textId="482A37A2" w:rsidR="00947803" w:rsidRDefault="00947803">
      <w:pPr>
        <w:pStyle w:val="FootnoteText"/>
      </w:pPr>
      <w:r>
        <w:rPr>
          <w:rStyle w:val="FootnoteReference"/>
        </w:rPr>
        <w:footnoteRef/>
      </w:r>
      <w:r>
        <w:t xml:space="preserve"> FY 2019 Final Rule Supporting Statement-A file for OMB control number 0938-1175. Published on March 20, 2018. Available at: </w:t>
      </w:r>
      <w:hyperlink r:id="rId3" w:history="1">
        <w:r w:rsidRPr="00D97781">
          <w:rPr>
            <w:rStyle w:val="Hyperlink"/>
          </w:rPr>
          <w:t>https://www.reginfo.gov/public/do/PRAViewDocument?ref_nbr=201709-0938-005</w:t>
        </w:r>
      </w:hyperlink>
      <w:r>
        <w:t xml:space="preserve"> </w:t>
      </w:r>
    </w:p>
  </w:footnote>
  <w:footnote w:id="5">
    <w:p w14:paraId="7C926F3E" w14:textId="77777777" w:rsidR="00E93126" w:rsidRDefault="00E93126" w:rsidP="00E93126">
      <w:pPr>
        <w:pStyle w:val="FootnoteText"/>
      </w:pPr>
      <w:r>
        <w:rPr>
          <w:rStyle w:val="FootnoteReference"/>
        </w:rPr>
        <w:footnoteRef/>
      </w:r>
      <w:r>
        <w:t xml:space="preserve"> In the FY 2013 IPPS/LTCH PPS final rule (77 FR 523667), we estimated that the annual hourly burden for the collection, submission, and training of personnel for submitting all quality measure data would be approximately 6,293.5 hours per year for five (5) finalized measures.  We therefore estimate the annual hourly burden for one (1) PCH to collect and submit a single chart-abstracted measure to be 1,258.7 hours (6,293.5 hours for five measures / 5 measures). </w:t>
      </w:r>
    </w:p>
  </w:footnote>
  <w:footnote w:id="6">
    <w:p w14:paraId="1518C5EE" w14:textId="0BC10E6F" w:rsidR="006458FC" w:rsidRDefault="006458FC">
      <w:pPr>
        <w:pStyle w:val="FootnoteText"/>
      </w:pPr>
      <w:r>
        <w:rPr>
          <w:rStyle w:val="FootnoteReference"/>
        </w:rPr>
        <w:footnoteRef/>
      </w:r>
      <w:r>
        <w:t xml:space="preserve"> FY 2019 IPPS/LTCH PPS Final Rule PRA Revision Submission. OMB Control Number 0938-1175: </w:t>
      </w:r>
      <w:r w:rsidRPr="00DA4C99">
        <w:rPr>
          <w:i/>
        </w:rPr>
        <w:t>“Supporting Statement-A”</w:t>
      </w:r>
      <w:r>
        <w:t xml:space="preserve"> Accessed on 1/9/2018. Available at: </w:t>
      </w:r>
      <w:hyperlink r:id="rId4" w:history="1">
        <w:r w:rsidRPr="004A7721">
          <w:rPr>
            <w:rStyle w:val="Hyperlink"/>
          </w:rPr>
          <w:t>https://www.reginfo.gov/public/do/PRAViewDocument?ref_nbr=201709-0938-005</w:t>
        </w:r>
      </w:hyperlink>
      <w:r>
        <w:t xml:space="preserve"> </w:t>
      </w:r>
    </w:p>
  </w:footnote>
  <w:footnote w:id="7">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rawingGridVerticalSpacing w:val="163"/>
  <w:displayHorizontalDrawingGridEvery w:val="0"/>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2820"/>
    <w:rsid w:val="00002E97"/>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5BBE"/>
    <w:rsid w:val="000E34B1"/>
    <w:rsid w:val="000E668D"/>
    <w:rsid w:val="000E6EFF"/>
    <w:rsid w:val="001074F8"/>
    <w:rsid w:val="00110D60"/>
    <w:rsid w:val="00111F8F"/>
    <w:rsid w:val="00113872"/>
    <w:rsid w:val="001205F1"/>
    <w:rsid w:val="00121C7B"/>
    <w:rsid w:val="00124026"/>
    <w:rsid w:val="00126F4A"/>
    <w:rsid w:val="00137743"/>
    <w:rsid w:val="00140237"/>
    <w:rsid w:val="00143828"/>
    <w:rsid w:val="001460A6"/>
    <w:rsid w:val="00150100"/>
    <w:rsid w:val="00151B44"/>
    <w:rsid w:val="0015426E"/>
    <w:rsid w:val="00160851"/>
    <w:rsid w:val="00162E79"/>
    <w:rsid w:val="001656F4"/>
    <w:rsid w:val="001671D2"/>
    <w:rsid w:val="0016764F"/>
    <w:rsid w:val="00177052"/>
    <w:rsid w:val="00187E67"/>
    <w:rsid w:val="00190112"/>
    <w:rsid w:val="0019277B"/>
    <w:rsid w:val="00192865"/>
    <w:rsid w:val="00192C5A"/>
    <w:rsid w:val="0019382B"/>
    <w:rsid w:val="001A0D94"/>
    <w:rsid w:val="001A30C6"/>
    <w:rsid w:val="001B3F85"/>
    <w:rsid w:val="001B704B"/>
    <w:rsid w:val="001B74B1"/>
    <w:rsid w:val="001C0F6A"/>
    <w:rsid w:val="001C2535"/>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3432"/>
    <w:rsid w:val="002237EE"/>
    <w:rsid w:val="00223849"/>
    <w:rsid w:val="002300D5"/>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716F1"/>
    <w:rsid w:val="00275643"/>
    <w:rsid w:val="00285035"/>
    <w:rsid w:val="002908DA"/>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6169"/>
    <w:rsid w:val="003727A1"/>
    <w:rsid w:val="00372C95"/>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324"/>
    <w:rsid w:val="003A4802"/>
    <w:rsid w:val="003B6022"/>
    <w:rsid w:val="003C1BEC"/>
    <w:rsid w:val="003C6190"/>
    <w:rsid w:val="003D2890"/>
    <w:rsid w:val="003D4378"/>
    <w:rsid w:val="003D5E90"/>
    <w:rsid w:val="003D6308"/>
    <w:rsid w:val="003E0A44"/>
    <w:rsid w:val="003E7D50"/>
    <w:rsid w:val="003F00FA"/>
    <w:rsid w:val="0040212C"/>
    <w:rsid w:val="00403149"/>
    <w:rsid w:val="0040562C"/>
    <w:rsid w:val="00405B6C"/>
    <w:rsid w:val="004102B2"/>
    <w:rsid w:val="00410A1F"/>
    <w:rsid w:val="00420119"/>
    <w:rsid w:val="00424823"/>
    <w:rsid w:val="004274E7"/>
    <w:rsid w:val="0042789F"/>
    <w:rsid w:val="00432344"/>
    <w:rsid w:val="00433716"/>
    <w:rsid w:val="00436B2D"/>
    <w:rsid w:val="0044343B"/>
    <w:rsid w:val="004447FF"/>
    <w:rsid w:val="00444A30"/>
    <w:rsid w:val="0045324E"/>
    <w:rsid w:val="004551F9"/>
    <w:rsid w:val="00456019"/>
    <w:rsid w:val="00463F70"/>
    <w:rsid w:val="004673D3"/>
    <w:rsid w:val="0047114A"/>
    <w:rsid w:val="0047347C"/>
    <w:rsid w:val="004742D1"/>
    <w:rsid w:val="00475192"/>
    <w:rsid w:val="004806B1"/>
    <w:rsid w:val="004810C9"/>
    <w:rsid w:val="00481184"/>
    <w:rsid w:val="00483136"/>
    <w:rsid w:val="00484C96"/>
    <w:rsid w:val="00494AAC"/>
    <w:rsid w:val="00495506"/>
    <w:rsid w:val="004A29D9"/>
    <w:rsid w:val="004B45B6"/>
    <w:rsid w:val="004B56F7"/>
    <w:rsid w:val="004B64BC"/>
    <w:rsid w:val="004B68EE"/>
    <w:rsid w:val="004C2F11"/>
    <w:rsid w:val="004C38C1"/>
    <w:rsid w:val="004C3DCF"/>
    <w:rsid w:val="004C5A27"/>
    <w:rsid w:val="004D3549"/>
    <w:rsid w:val="004D4FCE"/>
    <w:rsid w:val="004D763B"/>
    <w:rsid w:val="004E4542"/>
    <w:rsid w:val="004F1BAD"/>
    <w:rsid w:val="004F2EBF"/>
    <w:rsid w:val="004F5F4D"/>
    <w:rsid w:val="005002DC"/>
    <w:rsid w:val="00500B8F"/>
    <w:rsid w:val="005032F3"/>
    <w:rsid w:val="0050336A"/>
    <w:rsid w:val="00504BB6"/>
    <w:rsid w:val="00514C0D"/>
    <w:rsid w:val="00520DF1"/>
    <w:rsid w:val="00522117"/>
    <w:rsid w:val="0052554A"/>
    <w:rsid w:val="00537496"/>
    <w:rsid w:val="00540E0D"/>
    <w:rsid w:val="005417B8"/>
    <w:rsid w:val="005425BC"/>
    <w:rsid w:val="005532DF"/>
    <w:rsid w:val="0055392C"/>
    <w:rsid w:val="00554E09"/>
    <w:rsid w:val="00557951"/>
    <w:rsid w:val="00565BE7"/>
    <w:rsid w:val="0057057F"/>
    <w:rsid w:val="0057079B"/>
    <w:rsid w:val="005756DF"/>
    <w:rsid w:val="0058110C"/>
    <w:rsid w:val="00583719"/>
    <w:rsid w:val="00585408"/>
    <w:rsid w:val="005859FE"/>
    <w:rsid w:val="00585F0F"/>
    <w:rsid w:val="00591A72"/>
    <w:rsid w:val="00592734"/>
    <w:rsid w:val="005935FE"/>
    <w:rsid w:val="005A0AE6"/>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C0103"/>
    <w:rsid w:val="006C0553"/>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4070"/>
    <w:rsid w:val="00717032"/>
    <w:rsid w:val="00723308"/>
    <w:rsid w:val="00726818"/>
    <w:rsid w:val="007302C8"/>
    <w:rsid w:val="00731899"/>
    <w:rsid w:val="00731F42"/>
    <w:rsid w:val="00732948"/>
    <w:rsid w:val="00732D94"/>
    <w:rsid w:val="007478FE"/>
    <w:rsid w:val="007534B5"/>
    <w:rsid w:val="00755771"/>
    <w:rsid w:val="0076017D"/>
    <w:rsid w:val="0076398B"/>
    <w:rsid w:val="00763D3C"/>
    <w:rsid w:val="00763EB0"/>
    <w:rsid w:val="00766373"/>
    <w:rsid w:val="007669BD"/>
    <w:rsid w:val="00771916"/>
    <w:rsid w:val="00773BDC"/>
    <w:rsid w:val="00773EEF"/>
    <w:rsid w:val="00774A30"/>
    <w:rsid w:val="007769FA"/>
    <w:rsid w:val="00780460"/>
    <w:rsid w:val="0078340C"/>
    <w:rsid w:val="00783824"/>
    <w:rsid w:val="00783C73"/>
    <w:rsid w:val="00785B13"/>
    <w:rsid w:val="00786F97"/>
    <w:rsid w:val="00787732"/>
    <w:rsid w:val="00787750"/>
    <w:rsid w:val="00791BB0"/>
    <w:rsid w:val="00792087"/>
    <w:rsid w:val="007A3AD5"/>
    <w:rsid w:val="007A6DF7"/>
    <w:rsid w:val="007A769B"/>
    <w:rsid w:val="007B2CE4"/>
    <w:rsid w:val="007B6F52"/>
    <w:rsid w:val="007C1511"/>
    <w:rsid w:val="007D5DBE"/>
    <w:rsid w:val="007D705E"/>
    <w:rsid w:val="007E326B"/>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227"/>
    <w:rsid w:val="00830D4F"/>
    <w:rsid w:val="00835E64"/>
    <w:rsid w:val="0083602C"/>
    <w:rsid w:val="008406AC"/>
    <w:rsid w:val="008423DC"/>
    <w:rsid w:val="008447C7"/>
    <w:rsid w:val="008553F4"/>
    <w:rsid w:val="00864F95"/>
    <w:rsid w:val="008817FB"/>
    <w:rsid w:val="00881EBA"/>
    <w:rsid w:val="00885C0E"/>
    <w:rsid w:val="00886648"/>
    <w:rsid w:val="00892972"/>
    <w:rsid w:val="00893015"/>
    <w:rsid w:val="00893939"/>
    <w:rsid w:val="00897FE9"/>
    <w:rsid w:val="008B1FE7"/>
    <w:rsid w:val="008B2D0B"/>
    <w:rsid w:val="008B3831"/>
    <w:rsid w:val="008B5E85"/>
    <w:rsid w:val="008B6510"/>
    <w:rsid w:val="008B7D00"/>
    <w:rsid w:val="008C0131"/>
    <w:rsid w:val="008C075C"/>
    <w:rsid w:val="008C3809"/>
    <w:rsid w:val="008D0958"/>
    <w:rsid w:val="008D3977"/>
    <w:rsid w:val="008E4467"/>
    <w:rsid w:val="008E6ABA"/>
    <w:rsid w:val="008E7DAB"/>
    <w:rsid w:val="008F0206"/>
    <w:rsid w:val="009028FE"/>
    <w:rsid w:val="009030F0"/>
    <w:rsid w:val="009147E3"/>
    <w:rsid w:val="00922079"/>
    <w:rsid w:val="0092292E"/>
    <w:rsid w:val="00922BE8"/>
    <w:rsid w:val="00923D60"/>
    <w:rsid w:val="0092494D"/>
    <w:rsid w:val="0092545A"/>
    <w:rsid w:val="009273F3"/>
    <w:rsid w:val="00930DA0"/>
    <w:rsid w:val="00931FFE"/>
    <w:rsid w:val="009352D2"/>
    <w:rsid w:val="00937F81"/>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668B"/>
    <w:rsid w:val="00976557"/>
    <w:rsid w:val="00982DC1"/>
    <w:rsid w:val="00983240"/>
    <w:rsid w:val="00984E37"/>
    <w:rsid w:val="0098603F"/>
    <w:rsid w:val="00986494"/>
    <w:rsid w:val="00986B7D"/>
    <w:rsid w:val="00986E58"/>
    <w:rsid w:val="0099063D"/>
    <w:rsid w:val="00991AF5"/>
    <w:rsid w:val="00994253"/>
    <w:rsid w:val="009A0593"/>
    <w:rsid w:val="009A281D"/>
    <w:rsid w:val="009B05A7"/>
    <w:rsid w:val="009C0714"/>
    <w:rsid w:val="009C4392"/>
    <w:rsid w:val="009C5477"/>
    <w:rsid w:val="009C5947"/>
    <w:rsid w:val="009C5AB2"/>
    <w:rsid w:val="009D0438"/>
    <w:rsid w:val="009D7191"/>
    <w:rsid w:val="009E0A15"/>
    <w:rsid w:val="009E290D"/>
    <w:rsid w:val="009E5E61"/>
    <w:rsid w:val="009F0F33"/>
    <w:rsid w:val="009F5E4F"/>
    <w:rsid w:val="00A005BE"/>
    <w:rsid w:val="00A051FE"/>
    <w:rsid w:val="00A068A3"/>
    <w:rsid w:val="00A11795"/>
    <w:rsid w:val="00A171B1"/>
    <w:rsid w:val="00A21014"/>
    <w:rsid w:val="00A2393E"/>
    <w:rsid w:val="00A270CF"/>
    <w:rsid w:val="00A32CDB"/>
    <w:rsid w:val="00A34D71"/>
    <w:rsid w:val="00A35FEE"/>
    <w:rsid w:val="00A40CDE"/>
    <w:rsid w:val="00A43FCA"/>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FA7"/>
    <w:rsid w:val="00AD111E"/>
    <w:rsid w:val="00AD164C"/>
    <w:rsid w:val="00AD46FC"/>
    <w:rsid w:val="00AD5917"/>
    <w:rsid w:val="00AD7873"/>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330F"/>
    <w:rsid w:val="00B74338"/>
    <w:rsid w:val="00B81609"/>
    <w:rsid w:val="00B864FF"/>
    <w:rsid w:val="00B86929"/>
    <w:rsid w:val="00B87ADD"/>
    <w:rsid w:val="00B87EC7"/>
    <w:rsid w:val="00B960C3"/>
    <w:rsid w:val="00B97975"/>
    <w:rsid w:val="00BA43B9"/>
    <w:rsid w:val="00BA5412"/>
    <w:rsid w:val="00BA5E3E"/>
    <w:rsid w:val="00BA7C0C"/>
    <w:rsid w:val="00BB0000"/>
    <w:rsid w:val="00BC1E0E"/>
    <w:rsid w:val="00BC7DAB"/>
    <w:rsid w:val="00BD07A5"/>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36936"/>
    <w:rsid w:val="00C3791A"/>
    <w:rsid w:val="00C37FAC"/>
    <w:rsid w:val="00C41BFA"/>
    <w:rsid w:val="00C43550"/>
    <w:rsid w:val="00C43CA4"/>
    <w:rsid w:val="00C4471C"/>
    <w:rsid w:val="00C44B3E"/>
    <w:rsid w:val="00C47D1A"/>
    <w:rsid w:val="00C506FB"/>
    <w:rsid w:val="00C51724"/>
    <w:rsid w:val="00C56666"/>
    <w:rsid w:val="00C70B67"/>
    <w:rsid w:val="00C71767"/>
    <w:rsid w:val="00C72A3F"/>
    <w:rsid w:val="00C72A4E"/>
    <w:rsid w:val="00C73142"/>
    <w:rsid w:val="00C73865"/>
    <w:rsid w:val="00C744B2"/>
    <w:rsid w:val="00C7578C"/>
    <w:rsid w:val="00C75983"/>
    <w:rsid w:val="00C805E9"/>
    <w:rsid w:val="00C83112"/>
    <w:rsid w:val="00C9528C"/>
    <w:rsid w:val="00C95C85"/>
    <w:rsid w:val="00CB21B2"/>
    <w:rsid w:val="00CB3A25"/>
    <w:rsid w:val="00CB57CF"/>
    <w:rsid w:val="00CB5BA2"/>
    <w:rsid w:val="00CB79C6"/>
    <w:rsid w:val="00CC21B0"/>
    <w:rsid w:val="00CC64F0"/>
    <w:rsid w:val="00CD0153"/>
    <w:rsid w:val="00CD3A7A"/>
    <w:rsid w:val="00CD54B2"/>
    <w:rsid w:val="00CD5B1D"/>
    <w:rsid w:val="00CE0A94"/>
    <w:rsid w:val="00CE3479"/>
    <w:rsid w:val="00CE3EF4"/>
    <w:rsid w:val="00CE7F66"/>
    <w:rsid w:val="00CF0CEF"/>
    <w:rsid w:val="00CF3EE0"/>
    <w:rsid w:val="00D00B77"/>
    <w:rsid w:val="00D02F12"/>
    <w:rsid w:val="00D048EE"/>
    <w:rsid w:val="00D04DC5"/>
    <w:rsid w:val="00D13697"/>
    <w:rsid w:val="00D144CF"/>
    <w:rsid w:val="00D1645E"/>
    <w:rsid w:val="00D214AC"/>
    <w:rsid w:val="00D22CBE"/>
    <w:rsid w:val="00D2600A"/>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71A7"/>
    <w:rsid w:val="00D6066B"/>
    <w:rsid w:val="00D67DE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524E"/>
    <w:rsid w:val="00DD6856"/>
    <w:rsid w:val="00DE0A1E"/>
    <w:rsid w:val="00DE0DAB"/>
    <w:rsid w:val="00DE1BD1"/>
    <w:rsid w:val="00DE20AF"/>
    <w:rsid w:val="00DE6C90"/>
    <w:rsid w:val="00DE7A79"/>
    <w:rsid w:val="00DF3970"/>
    <w:rsid w:val="00DF6B2D"/>
    <w:rsid w:val="00E00E70"/>
    <w:rsid w:val="00E0537F"/>
    <w:rsid w:val="00E07276"/>
    <w:rsid w:val="00E079E9"/>
    <w:rsid w:val="00E16C69"/>
    <w:rsid w:val="00E21C15"/>
    <w:rsid w:val="00E22430"/>
    <w:rsid w:val="00E305D9"/>
    <w:rsid w:val="00E321C0"/>
    <w:rsid w:val="00E32AC9"/>
    <w:rsid w:val="00E353BF"/>
    <w:rsid w:val="00E40876"/>
    <w:rsid w:val="00E462F9"/>
    <w:rsid w:val="00E54143"/>
    <w:rsid w:val="00E55BAB"/>
    <w:rsid w:val="00E61F6B"/>
    <w:rsid w:val="00E62172"/>
    <w:rsid w:val="00E65110"/>
    <w:rsid w:val="00E67123"/>
    <w:rsid w:val="00E73383"/>
    <w:rsid w:val="00E75055"/>
    <w:rsid w:val="00E75453"/>
    <w:rsid w:val="00E755B9"/>
    <w:rsid w:val="00E76F60"/>
    <w:rsid w:val="00E87CE1"/>
    <w:rsid w:val="00E92D86"/>
    <w:rsid w:val="00E93126"/>
    <w:rsid w:val="00E94E71"/>
    <w:rsid w:val="00EA3C0C"/>
    <w:rsid w:val="00EB033F"/>
    <w:rsid w:val="00EB35A2"/>
    <w:rsid w:val="00EC18A0"/>
    <w:rsid w:val="00EC5924"/>
    <w:rsid w:val="00EC617B"/>
    <w:rsid w:val="00EC6239"/>
    <w:rsid w:val="00EC78E5"/>
    <w:rsid w:val="00ED16F7"/>
    <w:rsid w:val="00ED27A6"/>
    <w:rsid w:val="00EE409E"/>
    <w:rsid w:val="00EE430D"/>
    <w:rsid w:val="00F00DC5"/>
    <w:rsid w:val="00F0339B"/>
    <w:rsid w:val="00F0624F"/>
    <w:rsid w:val="00F11831"/>
    <w:rsid w:val="00F12F18"/>
    <w:rsid w:val="00F138C8"/>
    <w:rsid w:val="00F16050"/>
    <w:rsid w:val="00F2142C"/>
    <w:rsid w:val="00F234F1"/>
    <w:rsid w:val="00F25E7B"/>
    <w:rsid w:val="00F261B6"/>
    <w:rsid w:val="00F36E3D"/>
    <w:rsid w:val="00F374CB"/>
    <w:rsid w:val="00F37F16"/>
    <w:rsid w:val="00F437D7"/>
    <w:rsid w:val="00F61965"/>
    <w:rsid w:val="00F6794F"/>
    <w:rsid w:val="00F702EA"/>
    <w:rsid w:val="00F72C3B"/>
    <w:rsid w:val="00F7705D"/>
    <w:rsid w:val="00F77908"/>
    <w:rsid w:val="00F80852"/>
    <w:rsid w:val="00F84B94"/>
    <w:rsid w:val="00F90230"/>
    <w:rsid w:val="00F9172E"/>
    <w:rsid w:val="00F9338A"/>
    <w:rsid w:val="00F9753A"/>
    <w:rsid w:val="00FA06C1"/>
    <w:rsid w:val="00FA11EA"/>
    <w:rsid w:val="00FA2499"/>
    <w:rsid w:val="00FA27D8"/>
    <w:rsid w:val="00FA3536"/>
    <w:rsid w:val="00FA4384"/>
    <w:rsid w:val="00FA6371"/>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66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
    <w:name w:val="Unresolved Mention"/>
    <w:basedOn w:val="DefaultParagraphFont"/>
    <w:uiPriority w:val="99"/>
    <w:semiHidden/>
    <w:unhideWhenUsed/>
    <w:rsid w:val="00C517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
    <w:name w:val="Unresolved Mention"/>
    <w:basedOn w:val="DefaultParagraphFont"/>
    <w:uiPriority w:val="99"/>
    <w:semiHidden/>
    <w:unhideWhenUsed/>
    <w:rsid w:val="00C51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709-0938-005" TargetMode="External"/><Relationship Id="rId2" Type="http://schemas.openxmlformats.org/officeDocument/2006/relationships/hyperlink" Target="https://www.reginfo.gov/public/do/PRAViewDocument?ref_nbr=201801-0920-008" TargetMode="External"/><Relationship Id="rId1" Type="http://schemas.openxmlformats.org/officeDocument/2006/relationships/hyperlink" Target="https://www.bls.gov/ooh/healthcare/medical-records-and-health-information-technicians.htm" TargetMode="External"/><Relationship Id="rId4" Type="http://schemas.openxmlformats.org/officeDocument/2006/relationships/hyperlink" Target="https://www.reginfo.gov/public/do/PRAViewDocument?ref_nbr=201709-093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C25FDB1CEAD42B4581DE89CB7DA525E90044A0D5283C8FA84DAD989C7873A1ADCA" ma:contentTypeVersion="9" ma:contentTypeDescription="Materials and documents that contain MITRE authored content and other content directly attributable to MITRE and its work" ma:contentTypeScope="" ma:versionID="0b1cab833bf910ded101e56996e6ec87">
  <xsd:schema xmlns:xsd="http://www.w3.org/2001/XMLSchema" xmlns:xs="http://www.w3.org/2001/XMLSchema" xmlns:p="http://schemas.microsoft.com/office/2006/metadata/properties" xmlns:ns1="http://schemas.microsoft.com/sharepoint/v3" xmlns:ns2="http://schemas.microsoft.com/sharepoint/v3/fields" xmlns:ns3="e16e28ac-9e40-4ec9-ac35-71fb6a9d0a68" targetNamespace="http://schemas.microsoft.com/office/2006/metadata/properties" ma:root="true" ma:fieldsID="41889a34285ea94b068b383adc4adb2c" ns1:_="" ns2:_="" ns3:_="">
    <xsd:import namespace="http://schemas.microsoft.com/sharepoint/v3"/>
    <xsd:import namespace="http://schemas.microsoft.com/sharepoint/v3/fields"/>
    <xsd:import namespace="e16e28ac-9e40-4ec9-ac35-71fb6a9d0a68"/>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e28ac-9e40-4ec9-ac35-71fb6a9d0a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7A09-91C8-4029-8135-81A8C390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16e28ac-9e40-4ec9-ac35-71fb6a9d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3A9CD-7930-441D-A052-6D7A7FB00187}">
  <ds:schemaRefs>
    <ds:schemaRef ds:uri="http://schemas.microsoft.com/office/2006/metadata/customXsn"/>
  </ds:schemaRefs>
</ds:datastoreItem>
</file>

<file path=customXml/itemProps3.xml><?xml version="1.0" encoding="utf-8"?>
<ds:datastoreItem xmlns:ds="http://schemas.openxmlformats.org/officeDocument/2006/customXml" ds:itemID="{E617CD66-85EA-46FF-88D2-6292F566068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6e28ac-9e40-4ec9-ac35-71fb6a9d0a68"/>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5.xml><?xml version="1.0" encoding="utf-8"?>
<ds:datastoreItem xmlns:ds="http://schemas.openxmlformats.org/officeDocument/2006/customXml" ds:itemID="{171EC58E-D724-448B-9139-D42C6221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22285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2018-05-15T20:46:00Z</dcterms:created>
  <dcterms:modified xsi:type="dcterms:W3CDTF">2018-05-15T20:46:00Z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0x010100C25FDB1CEAD42B4581DE89CB7DA525E90044A0D5283C8FA84DAD989C7873A1ADCA</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ies>
</file>