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B81F7" w14:textId="77777777" w:rsidR="00DF0BB7" w:rsidRDefault="00DF0BB7" w:rsidP="00DF0BB7">
      <w:bookmarkStart w:id="0" w:name="_GoBack"/>
      <w:bookmarkEnd w:id="0"/>
    </w:p>
    <w:p w14:paraId="7D15A968" w14:textId="77777777" w:rsidR="00DF0BB7" w:rsidRDefault="00DF0BB7" w:rsidP="00DF0BB7"/>
    <w:p w14:paraId="43110254" w14:textId="77777777" w:rsidR="00DF0BB7" w:rsidRDefault="00DF0BB7" w:rsidP="00DF0BB7"/>
    <w:p w14:paraId="7E931A9E" w14:textId="77777777" w:rsidR="00DF0BB7" w:rsidRDefault="00DF0BB7" w:rsidP="00DF0BB7"/>
    <w:p w14:paraId="6C7111E3" w14:textId="77777777" w:rsidR="00DF0BB7" w:rsidRDefault="00DF0BB7" w:rsidP="00DF0BB7"/>
    <w:p w14:paraId="48C82049" w14:textId="77777777" w:rsidR="00DF0BB7" w:rsidRPr="00DF0BB7" w:rsidRDefault="00DF0BB7" w:rsidP="00DF0BB7"/>
    <w:p w14:paraId="408B5CDF" w14:textId="10DB96C3" w:rsidR="00072A63" w:rsidRDefault="00072A63" w:rsidP="00990B99">
      <w:pPr>
        <w:pStyle w:val="Heading1"/>
      </w:pPr>
      <w:r>
        <w:t>Evaluation of the Assisted Outpatient Treatment Grant Program for Individuals with Serious Mental Illness</w:t>
      </w:r>
    </w:p>
    <w:p w14:paraId="53336452" w14:textId="48685F5E" w:rsidR="00D045D6" w:rsidRDefault="00D045D6" w:rsidP="00D045D6"/>
    <w:p w14:paraId="671F7E00" w14:textId="67E8FCD0" w:rsidR="00D045D6" w:rsidRDefault="00D045D6" w:rsidP="00D045D6"/>
    <w:p w14:paraId="7037B464" w14:textId="514C2C63" w:rsidR="00D045D6" w:rsidRDefault="00D045D6" w:rsidP="00D045D6"/>
    <w:p w14:paraId="724FB0BF" w14:textId="52C17F77" w:rsidR="00D045D6" w:rsidRDefault="00D045D6" w:rsidP="00D045D6"/>
    <w:p w14:paraId="11207C0E" w14:textId="42AB870F" w:rsidR="00D045D6" w:rsidRPr="00D045D6" w:rsidRDefault="00D045D6" w:rsidP="00D045D6"/>
    <w:p w14:paraId="3D76B45F" w14:textId="77777777" w:rsidR="00072A63" w:rsidRDefault="00072A63" w:rsidP="00072A63"/>
    <w:p w14:paraId="0DF286CB" w14:textId="479F03E6" w:rsidR="00072A63" w:rsidRDefault="00DF0BB7" w:rsidP="004E4C5B">
      <w:pPr>
        <w:pStyle w:val="Heading2"/>
      </w:pPr>
      <w:r>
        <w:t xml:space="preserve">Supporting Statement – Section </w:t>
      </w:r>
      <w:r w:rsidR="006C30B2">
        <w:t>B</w:t>
      </w:r>
    </w:p>
    <w:p w14:paraId="2C29CAE7" w14:textId="77777777" w:rsidR="00DF0BB7" w:rsidRDefault="00DF0BB7" w:rsidP="00DF0BB7"/>
    <w:p w14:paraId="5A59B963" w14:textId="77777777" w:rsidR="00DF0BB7" w:rsidRDefault="00DF0BB7" w:rsidP="00DF0BB7"/>
    <w:p w14:paraId="3F29F104" w14:textId="77777777" w:rsidR="00DF0BB7" w:rsidRDefault="00DF0BB7" w:rsidP="00DF0BB7"/>
    <w:p w14:paraId="47100F6D" w14:textId="77777777" w:rsidR="00DF0BB7" w:rsidRDefault="00DF0BB7" w:rsidP="00DF0BB7"/>
    <w:p w14:paraId="4E2CB4CB" w14:textId="77777777" w:rsidR="00DF0BB7" w:rsidRDefault="00DF0BB7" w:rsidP="00DF0BB7"/>
    <w:p w14:paraId="2420B4AD" w14:textId="77777777" w:rsidR="00DF0BB7" w:rsidRDefault="00DF0BB7" w:rsidP="00DF0BB7"/>
    <w:p w14:paraId="064CA978" w14:textId="77777777" w:rsidR="00DF0BB7" w:rsidRDefault="00DF0BB7" w:rsidP="00DF0BB7"/>
    <w:p w14:paraId="460E198A" w14:textId="77777777" w:rsidR="00DF0BB7" w:rsidRDefault="00DF0BB7" w:rsidP="00DF0BB7"/>
    <w:p w14:paraId="25F69EC6" w14:textId="77777777" w:rsidR="00DF0BB7" w:rsidRDefault="00DF0BB7" w:rsidP="00DF0BB7"/>
    <w:p w14:paraId="0135CB07" w14:textId="1F98747C" w:rsidR="00DF0BB7" w:rsidRDefault="00DF0BB7" w:rsidP="00DF0BB7"/>
    <w:p w14:paraId="36B97152" w14:textId="18CF075F" w:rsidR="00D045D6" w:rsidRDefault="00D045D6" w:rsidP="00DF0BB7"/>
    <w:p w14:paraId="595A87B9" w14:textId="7307D788" w:rsidR="00D045D6" w:rsidRDefault="00D045D6" w:rsidP="00DF0BB7"/>
    <w:p w14:paraId="0EE47E8F" w14:textId="2174643C" w:rsidR="00D045D6" w:rsidRDefault="00D045D6" w:rsidP="00DF0BB7"/>
    <w:p w14:paraId="0936244C" w14:textId="43E01C75" w:rsidR="00D045D6" w:rsidRDefault="00D045D6" w:rsidP="00DF0BB7"/>
    <w:p w14:paraId="07B085E1" w14:textId="1CB9FE85" w:rsidR="00D045D6" w:rsidRDefault="00D045D6" w:rsidP="00DF0BB7"/>
    <w:p w14:paraId="2665F1FC" w14:textId="3BA7B39A" w:rsidR="00D045D6" w:rsidRDefault="00D045D6" w:rsidP="00DF0BB7"/>
    <w:p w14:paraId="2BA1E799" w14:textId="6A1D3DCB" w:rsidR="00D045D6" w:rsidRDefault="00D045D6" w:rsidP="00DF0BB7"/>
    <w:p w14:paraId="7ED89552" w14:textId="3BE005DD" w:rsidR="00D045D6" w:rsidRDefault="00D045D6" w:rsidP="00DF0BB7"/>
    <w:p w14:paraId="1C4DB68B" w14:textId="2CD3DF79" w:rsidR="00D045D6" w:rsidRDefault="00D045D6" w:rsidP="00DF0BB7"/>
    <w:p w14:paraId="5730E698" w14:textId="400D4573" w:rsidR="00D045D6" w:rsidRDefault="00D045D6" w:rsidP="00DF0BB7"/>
    <w:p w14:paraId="582E2D5C" w14:textId="65B5F51D" w:rsidR="00D045D6" w:rsidRDefault="00D045D6" w:rsidP="00DF0BB7"/>
    <w:p w14:paraId="1089588B" w14:textId="77777777" w:rsidR="00D045D6" w:rsidRDefault="00D045D6" w:rsidP="00DF0BB7"/>
    <w:p w14:paraId="07BA8EC2" w14:textId="77777777" w:rsidR="00DF0BB7" w:rsidRDefault="00DF0BB7" w:rsidP="00DF0BB7"/>
    <w:p w14:paraId="1B035955" w14:textId="77777777" w:rsidR="00DF0BB7" w:rsidRDefault="00DF0BB7" w:rsidP="00DF0BB7"/>
    <w:p w14:paraId="6A86E157" w14:textId="77777777" w:rsidR="00DF0BB7" w:rsidRDefault="00DF0BB7" w:rsidP="00DF0BB7">
      <w:pPr>
        <w:rPr>
          <w:b/>
          <w:u w:val="single"/>
        </w:rPr>
      </w:pPr>
      <w:r>
        <w:rPr>
          <w:b/>
          <w:u w:val="single"/>
        </w:rPr>
        <w:t>Program Officer/Project Officer</w:t>
      </w:r>
    </w:p>
    <w:p w14:paraId="537FA56D" w14:textId="77777777" w:rsidR="00DF0BB7" w:rsidRDefault="00DF0BB7" w:rsidP="00DF0BB7">
      <w:r>
        <w:t>Joel Dubenitz, Ph.D. – Social Science Analyst</w:t>
      </w:r>
    </w:p>
    <w:p w14:paraId="62FA2E72" w14:textId="77777777" w:rsidR="00DF0BB7" w:rsidRDefault="00DF0BB7" w:rsidP="00DF0BB7">
      <w:r>
        <w:t>U.S. Department of Health and Human Services</w:t>
      </w:r>
    </w:p>
    <w:p w14:paraId="32D4C22D" w14:textId="77777777" w:rsidR="00DF0BB7" w:rsidRDefault="00DF0BB7" w:rsidP="00DF0BB7">
      <w:r>
        <w:t>Office of the Assistant Secretary for Planning and Evaluation</w:t>
      </w:r>
    </w:p>
    <w:p w14:paraId="272A0E5E" w14:textId="77777777" w:rsidR="00DF0BB7" w:rsidRPr="00DF0BB7" w:rsidRDefault="00DF0BB7" w:rsidP="00DF0BB7">
      <w:r>
        <w:t>200 Independence Avenue SW, Washington DC 20201</w:t>
      </w:r>
    </w:p>
    <w:p w14:paraId="2F132C24" w14:textId="5600DF1A" w:rsidR="004E4C5B" w:rsidRDefault="004E4C5B" w:rsidP="004E4C5B"/>
    <w:p w14:paraId="0E12C60E" w14:textId="77777777" w:rsidR="00973C9A" w:rsidRDefault="00973C9A" w:rsidP="006C30B2">
      <w:pPr>
        <w:pStyle w:val="Heading2"/>
      </w:pPr>
    </w:p>
    <w:p w14:paraId="1EB76230" w14:textId="20AC53AD" w:rsidR="006C30B2" w:rsidRDefault="006C30B2" w:rsidP="006C30B2">
      <w:pPr>
        <w:pStyle w:val="Heading2"/>
      </w:pPr>
      <w:r>
        <w:lastRenderedPageBreak/>
        <w:t xml:space="preserve">Part B: </w:t>
      </w:r>
      <w:bookmarkStart w:id="1" w:name="_Hlk500318037"/>
      <w:r>
        <w:t>Collections of Information Employing Statistical Methods</w:t>
      </w:r>
      <w:bookmarkEnd w:id="1"/>
    </w:p>
    <w:p w14:paraId="7C3E97DC" w14:textId="77777777" w:rsidR="006C30B2" w:rsidRDefault="006C30B2" w:rsidP="006C30B2"/>
    <w:p w14:paraId="0854DD9E" w14:textId="77777777" w:rsidR="006C30B2" w:rsidRPr="006346F3" w:rsidRDefault="006C30B2" w:rsidP="006C30B2">
      <w:pPr>
        <w:pStyle w:val="ListParagraph"/>
        <w:numPr>
          <w:ilvl w:val="0"/>
          <w:numId w:val="12"/>
        </w:numPr>
        <w:rPr>
          <w:b/>
        </w:rPr>
      </w:pPr>
      <w:r>
        <w:rPr>
          <w:b/>
        </w:rPr>
        <w:t>Respondent Universe and Sample Selection Methods</w:t>
      </w:r>
    </w:p>
    <w:p w14:paraId="3AC6B244" w14:textId="1E08DD64" w:rsidR="006C30B2" w:rsidRDefault="006C30B2" w:rsidP="00D0559E">
      <w:pPr>
        <w:ind w:left="360" w:firstLine="360"/>
      </w:pPr>
    </w:p>
    <w:p w14:paraId="55220D1C" w14:textId="0B84C8BD" w:rsidR="00E7030C" w:rsidRDefault="00E7030C" w:rsidP="00E7030C">
      <w:pPr>
        <w:ind w:left="720"/>
      </w:pPr>
      <w:r>
        <w:t xml:space="preserve">Overall, we expect to </w:t>
      </w:r>
      <w:r w:rsidR="00707C9C">
        <w:t xml:space="preserve">obtain </w:t>
      </w:r>
      <w:r>
        <w:t>data from 2,</w:t>
      </w:r>
      <w:r w:rsidR="00707C9C">
        <w:t>080</w:t>
      </w:r>
      <w:r>
        <w:t xml:space="preserve"> unique </w:t>
      </w:r>
      <w:r w:rsidR="00707C9C">
        <w:t xml:space="preserve">AOT/non-AOT </w:t>
      </w:r>
      <w:r>
        <w:t>respondents</w:t>
      </w:r>
      <w:r w:rsidR="00707C9C">
        <w:t xml:space="preserve"> via both primary, interview-based data collection, and from secondary, administrative data</w:t>
      </w:r>
      <w:r>
        <w:t xml:space="preserve">. </w:t>
      </w:r>
      <w:r w:rsidR="00707C9C">
        <w:t xml:space="preserve">Additionally, we plan to obtain data from an additional 365 unique family member respondents of AOT recipients (i.e., n=347) and clinicians/other staff associated with the AOT program (i.e., n=18). </w:t>
      </w:r>
      <w:r>
        <w:t xml:space="preserve">Below we provide more detailed information on the number of expected respondents </w:t>
      </w:r>
      <w:r w:rsidR="00707C9C">
        <w:t xml:space="preserve">(N=2,445) </w:t>
      </w:r>
      <w:r>
        <w:t>for each data collection effort.</w:t>
      </w:r>
    </w:p>
    <w:p w14:paraId="6D817346" w14:textId="77777777" w:rsidR="00E7030C" w:rsidRDefault="00E7030C" w:rsidP="00D0559E">
      <w:pPr>
        <w:ind w:left="360" w:firstLine="360"/>
      </w:pPr>
    </w:p>
    <w:p w14:paraId="73B1B98F" w14:textId="3F1FD370" w:rsidR="006C30B2" w:rsidRDefault="006C30B2" w:rsidP="009B0204">
      <w:pPr>
        <w:ind w:left="720"/>
      </w:pPr>
      <w:r w:rsidRPr="00895198">
        <w:rPr>
          <w:b/>
        </w:rPr>
        <w:t>Structured Client Interviews</w:t>
      </w:r>
      <w:r>
        <w:rPr>
          <w:b/>
        </w:rPr>
        <w:t>:</w:t>
      </w:r>
      <w:r>
        <w:t xml:space="preserve"> We will conduct structured client interviews with all AOT program participants at </w:t>
      </w:r>
      <w:r w:rsidR="000F1436">
        <w:t xml:space="preserve">the </w:t>
      </w:r>
      <w:r>
        <w:t xml:space="preserve">six </w:t>
      </w:r>
      <w:r w:rsidR="000F1436">
        <w:t>in-depth</w:t>
      </w:r>
      <w:r>
        <w:t xml:space="preserve"> sites</w:t>
      </w:r>
      <w:r w:rsidR="000F1436">
        <w:t>.</w:t>
      </w:r>
      <w:r>
        <w:t xml:space="preserve"> We will also conduct similar interviews with non-AOT program participants at six to-be-identified comparison sites. Based on information from each of the AOT programs, we</w:t>
      </w:r>
      <w:r w:rsidR="009E4EF4">
        <w:t xml:space="preserve"> expect that each site will intake an average of 173</w:t>
      </w:r>
      <w:r>
        <w:t xml:space="preserve"> participants per site</w:t>
      </w:r>
      <w:r w:rsidR="009E4EF4">
        <w:t xml:space="preserve"> over two years</w:t>
      </w:r>
      <w:r>
        <w:t xml:space="preserve">, and we will target comparison sites that can provide a similar number of respondents. </w:t>
      </w:r>
      <w:r w:rsidR="006D1414">
        <w:t>We anticipate that participants will be interviewed, on average, four times</w:t>
      </w:r>
      <w:r w:rsidR="00D72761">
        <w:t xml:space="preserve"> over the course of the evaluation</w:t>
      </w:r>
      <w:r w:rsidR="006D1414">
        <w:t xml:space="preserve">: at baseline, 6-month, 12-month, and then 6 months following discharge from AOT. </w:t>
      </w:r>
      <w:r w:rsidR="000F1436">
        <w:t>The following table</w:t>
      </w:r>
      <w:r>
        <w:t xml:space="preserve"> provides more detailed figures of the </w:t>
      </w:r>
      <w:r w:rsidR="006D1414">
        <w:t xml:space="preserve">total </w:t>
      </w:r>
      <w:r>
        <w:t xml:space="preserve">expected number of respondents to </w:t>
      </w:r>
      <w:r w:rsidR="006D1414">
        <w:t>the structured client interview.</w:t>
      </w:r>
    </w:p>
    <w:p w14:paraId="0428A182" w14:textId="77777777" w:rsidR="006C30B2" w:rsidRDefault="006C30B2" w:rsidP="006C30B2">
      <w:pPr>
        <w:ind w:firstLine="360"/>
      </w:pPr>
    </w:p>
    <w:tbl>
      <w:tblPr>
        <w:tblStyle w:val="TableGrid"/>
        <w:tblW w:w="4518"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1566"/>
        <w:gridCol w:w="1568"/>
        <w:gridCol w:w="1099"/>
      </w:tblGrid>
      <w:tr w:rsidR="006C30B2" w:rsidRPr="006D1414" w14:paraId="2824BB8A" w14:textId="77777777" w:rsidTr="006D1414">
        <w:tc>
          <w:tcPr>
            <w:tcW w:w="2554" w:type="pct"/>
            <w:tcBorders>
              <w:top w:val="single" w:sz="4" w:space="0" w:color="auto"/>
              <w:bottom w:val="single" w:sz="4" w:space="0" w:color="auto"/>
            </w:tcBorders>
            <w:shd w:val="clear" w:color="auto" w:fill="auto"/>
            <w:vAlign w:val="center"/>
          </w:tcPr>
          <w:p w14:paraId="25C8A3C3" w14:textId="39D7C407" w:rsidR="006C30B2" w:rsidRPr="006D1414" w:rsidRDefault="006C30B2" w:rsidP="007E073E">
            <w:pPr>
              <w:rPr>
                <w:b/>
              </w:rPr>
            </w:pPr>
            <w:r w:rsidRPr="006D1414">
              <w:rPr>
                <w:b/>
              </w:rPr>
              <w:t>Site</w:t>
            </w:r>
            <w:r w:rsidR="00F718F3" w:rsidRPr="00694D68">
              <w:rPr>
                <w:b/>
                <w:vertAlign w:val="superscript"/>
              </w:rPr>
              <w:t>a</w:t>
            </w:r>
            <w:r w:rsidR="00694D68">
              <w:rPr>
                <w:b/>
                <w:vertAlign w:val="superscript"/>
              </w:rPr>
              <w:t>, b</w:t>
            </w:r>
          </w:p>
        </w:tc>
        <w:tc>
          <w:tcPr>
            <w:tcW w:w="905" w:type="pct"/>
            <w:tcBorders>
              <w:top w:val="single" w:sz="4" w:space="0" w:color="auto"/>
              <w:bottom w:val="single" w:sz="4" w:space="0" w:color="auto"/>
            </w:tcBorders>
            <w:shd w:val="clear" w:color="auto" w:fill="auto"/>
            <w:vAlign w:val="center"/>
          </w:tcPr>
          <w:p w14:paraId="1D3F37C6" w14:textId="77777777" w:rsidR="006C30B2" w:rsidRPr="006D1414" w:rsidRDefault="006C30B2" w:rsidP="007E073E">
            <w:pPr>
              <w:jc w:val="center"/>
              <w:rPr>
                <w:b/>
              </w:rPr>
            </w:pPr>
            <w:r w:rsidRPr="006D1414">
              <w:rPr>
                <w:b/>
              </w:rPr>
              <w:t>Intervention Group</w:t>
            </w:r>
          </w:p>
        </w:tc>
        <w:tc>
          <w:tcPr>
            <w:tcW w:w="906" w:type="pct"/>
            <w:tcBorders>
              <w:top w:val="single" w:sz="4" w:space="0" w:color="auto"/>
              <w:bottom w:val="single" w:sz="4" w:space="0" w:color="auto"/>
            </w:tcBorders>
            <w:shd w:val="clear" w:color="auto" w:fill="auto"/>
            <w:vAlign w:val="center"/>
          </w:tcPr>
          <w:p w14:paraId="1D4B68CB" w14:textId="77777777" w:rsidR="006C30B2" w:rsidRPr="006D1414" w:rsidRDefault="006C30B2" w:rsidP="007E073E">
            <w:pPr>
              <w:jc w:val="center"/>
              <w:rPr>
                <w:b/>
              </w:rPr>
            </w:pPr>
            <w:r w:rsidRPr="006D1414">
              <w:rPr>
                <w:b/>
              </w:rPr>
              <w:t>Comparison Group</w:t>
            </w:r>
          </w:p>
        </w:tc>
        <w:tc>
          <w:tcPr>
            <w:tcW w:w="635" w:type="pct"/>
            <w:tcBorders>
              <w:top w:val="single" w:sz="4" w:space="0" w:color="auto"/>
              <w:bottom w:val="single" w:sz="4" w:space="0" w:color="auto"/>
            </w:tcBorders>
            <w:shd w:val="clear" w:color="auto" w:fill="auto"/>
            <w:vAlign w:val="center"/>
          </w:tcPr>
          <w:p w14:paraId="7100009F" w14:textId="77777777" w:rsidR="006C30B2" w:rsidRPr="006D1414" w:rsidRDefault="006C30B2" w:rsidP="007E073E">
            <w:pPr>
              <w:jc w:val="center"/>
              <w:rPr>
                <w:b/>
              </w:rPr>
            </w:pPr>
            <w:r w:rsidRPr="006D1414">
              <w:rPr>
                <w:b/>
              </w:rPr>
              <w:t>Total</w:t>
            </w:r>
          </w:p>
        </w:tc>
      </w:tr>
      <w:tr w:rsidR="006D1414" w:rsidRPr="006D1414" w14:paraId="3067388B" w14:textId="77777777" w:rsidTr="006D1414">
        <w:trPr>
          <w:trHeight w:val="440"/>
        </w:trPr>
        <w:tc>
          <w:tcPr>
            <w:tcW w:w="2554" w:type="pct"/>
            <w:tcBorders>
              <w:top w:val="single" w:sz="4" w:space="0" w:color="auto"/>
            </w:tcBorders>
            <w:shd w:val="clear" w:color="auto" w:fill="auto"/>
          </w:tcPr>
          <w:p w14:paraId="243B66A4" w14:textId="77777777" w:rsidR="006D1414" w:rsidRPr="006D1414" w:rsidRDefault="006D1414" w:rsidP="006D1414">
            <w:r w:rsidRPr="006D1414">
              <w:t>AltaPointe Health Systems</w:t>
            </w:r>
          </w:p>
        </w:tc>
        <w:tc>
          <w:tcPr>
            <w:tcW w:w="905" w:type="pct"/>
            <w:tcBorders>
              <w:top w:val="single" w:sz="4" w:space="0" w:color="auto"/>
            </w:tcBorders>
            <w:shd w:val="clear" w:color="auto" w:fill="auto"/>
          </w:tcPr>
          <w:p w14:paraId="15DD5C53" w14:textId="7EB19BB1" w:rsidR="006D1414" w:rsidRPr="006D1414" w:rsidRDefault="00D72761" w:rsidP="006D1414">
            <w:pPr>
              <w:jc w:val="center"/>
            </w:pPr>
            <w:r>
              <w:t>210</w:t>
            </w:r>
          </w:p>
        </w:tc>
        <w:tc>
          <w:tcPr>
            <w:tcW w:w="906" w:type="pct"/>
            <w:tcBorders>
              <w:top w:val="single" w:sz="4" w:space="0" w:color="auto"/>
            </w:tcBorders>
            <w:shd w:val="clear" w:color="auto" w:fill="auto"/>
          </w:tcPr>
          <w:p w14:paraId="682B9F36" w14:textId="4F1CEFE2" w:rsidR="006D1414" w:rsidRPr="006D1414" w:rsidRDefault="007D5FBD" w:rsidP="006D1414">
            <w:pPr>
              <w:jc w:val="center"/>
            </w:pPr>
            <w:r>
              <w:t>210</w:t>
            </w:r>
          </w:p>
        </w:tc>
        <w:tc>
          <w:tcPr>
            <w:tcW w:w="635" w:type="pct"/>
            <w:tcBorders>
              <w:top w:val="single" w:sz="4" w:space="0" w:color="auto"/>
            </w:tcBorders>
            <w:shd w:val="clear" w:color="auto" w:fill="auto"/>
          </w:tcPr>
          <w:p w14:paraId="6C87CA42" w14:textId="32F7556E" w:rsidR="006D1414" w:rsidRPr="006D1414" w:rsidRDefault="006D1414" w:rsidP="006D1414">
            <w:pPr>
              <w:jc w:val="center"/>
            </w:pPr>
            <w:r w:rsidRPr="006D1414">
              <w:t>840</w:t>
            </w:r>
          </w:p>
        </w:tc>
      </w:tr>
      <w:tr w:rsidR="006D1414" w:rsidRPr="006D1414" w14:paraId="77257448" w14:textId="77777777" w:rsidTr="006D1414">
        <w:trPr>
          <w:trHeight w:val="450"/>
        </w:trPr>
        <w:tc>
          <w:tcPr>
            <w:tcW w:w="2554" w:type="pct"/>
            <w:shd w:val="clear" w:color="auto" w:fill="auto"/>
          </w:tcPr>
          <w:p w14:paraId="02F0FC00" w14:textId="656CDE83" w:rsidR="006D1414" w:rsidRPr="006D1414" w:rsidRDefault="006D1414" w:rsidP="006D1414">
            <w:r w:rsidRPr="006D1414">
              <w:t>Cook County Health and Hospital System</w:t>
            </w:r>
          </w:p>
        </w:tc>
        <w:tc>
          <w:tcPr>
            <w:tcW w:w="905" w:type="pct"/>
            <w:shd w:val="clear" w:color="auto" w:fill="auto"/>
          </w:tcPr>
          <w:p w14:paraId="720034C2" w14:textId="15006E25" w:rsidR="006D1414" w:rsidRPr="006D1414" w:rsidRDefault="00D72761" w:rsidP="006D1414">
            <w:pPr>
              <w:jc w:val="center"/>
            </w:pPr>
            <w:r>
              <w:t>200</w:t>
            </w:r>
          </w:p>
        </w:tc>
        <w:tc>
          <w:tcPr>
            <w:tcW w:w="906" w:type="pct"/>
            <w:shd w:val="clear" w:color="auto" w:fill="auto"/>
          </w:tcPr>
          <w:p w14:paraId="0CF4EF7E" w14:textId="757DD48A" w:rsidR="006D1414" w:rsidRPr="006D1414" w:rsidRDefault="00D72761" w:rsidP="006D1414">
            <w:pPr>
              <w:jc w:val="center"/>
            </w:pPr>
            <w:r>
              <w:t>200</w:t>
            </w:r>
          </w:p>
        </w:tc>
        <w:tc>
          <w:tcPr>
            <w:tcW w:w="635" w:type="pct"/>
            <w:shd w:val="clear" w:color="auto" w:fill="auto"/>
          </w:tcPr>
          <w:p w14:paraId="2B94664D" w14:textId="510CCBD8" w:rsidR="006D1414" w:rsidRPr="006D1414" w:rsidRDefault="006D1414" w:rsidP="006D1414">
            <w:pPr>
              <w:jc w:val="center"/>
            </w:pPr>
            <w:r w:rsidRPr="006D1414">
              <w:t>800</w:t>
            </w:r>
          </w:p>
        </w:tc>
      </w:tr>
      <w:tr w:rsidR="006D1414" w:rsidRPr="006D1414" w14:paraId="1CBC6C93" w14:textId="77777777" w:rsidTr="006D1414">
        <w:trPr>
          <w:trHeight w:val="450"/>
        </w:trPr>
        <w:tc>
          <w:tcPr>
            <w:tcW w:w="2554" w:type="pct"/>
            <w:shd w:val="clear" w:color="auto" w:fill="auto"/>
          </w:tcPr>
          <w:p w14:paraId="72EAE5F7" w14:textId="77777777" w:rsidR="006D1414" w:rsidRPr="006D1414" w:rsidRDefault="006D1414" w:rsidP="006D1414">
            <w:r w:rsidRPr="006D1414">
              <w:t>Hinds County Mental Health Commission</w:t>
            </w:r>
          </w:p>
        </w:tc>
        <w:tc>
          <w:tcPr>
            <w:tcW w:w="905" w:type="pct"/>
            <w:shd w:val="clear" w:color="auto" w:fill="auto"/>
          </w:tcPr>
          <w:p w14:paraId="38851FA7" w14:textId="556224A8" w:rsidR="006D1414" w:rsidRPr="006D1414" w:rsidRDefault="00D72761" w:rsidP="006D1414">
            <w:pPr>
              <w:jc w:val="center"/>
            </w:pPr>
            <w:r>
              <w:t>150</w:t>
            </w:r>
          </w:p>
        </w:tc>
        <w:tc>
          <w:tcPr>
            <w:tcW w:w="906" w:type="pct"/>
            <w:shd w:val="clear" w:color="auto" w:fill="auto"/>
          </w:tcPr>
          <w:p w14:paraId="661C2B4C" w14:textId="35157174" w:rsidR="006D1414" w:rsidRPr="006D1414" w:rsidRDefault="00D72761" w:rsidP="006D1414">
            <w:pPr>
              <w:jc w:val="center"/>
            </w:pPr>
            <w:r>
              <w:t>150</w:t>
            </w:r>
          </w:p>
        </w:tc>
        <w:tc>
          <w:tcPr>
            <w:tcW w:w="635" w:type="pct"/>
            <w:shd w:val="clear" w:color="auto" w:fill="auto"/>
          </w:tcPr>
          <w:p w14:paraId="61B5F672" w14:textId="4F45A3BE" w:rsidR="006D1414" w:rsidRPr="006D1414" w:rsidRDefault="006D1414" w:rsidP="006D1414">
            <w:pPr>
              <w:jc w:val="center"/>
            </w:pPr>
            <w:r w:rsidRPr="006D1414">
              <w:t>600</w:t>
            </w:r>
          </w:p>
        </w:tc>
      </w:tr>
      <w:tr w:rsidR="006D1414" w:rsidRPr="006D1414" w14:paraId="7A927512" w14:textId="77777777" w:rsidTr="006D1414">
        <w:trPr>
          <w:trHeight w:val="450"/>
        </w:trPr>
        <w:tc>
          <w:tcPr>
            <w:tcW w:w="2554" w:type="pct"/>
            <w:shd w:val="clear" w:color="auto" w:fill="auto"/>
          </w:tcPr>
          <w:p w14:paraId="039E123B" w14:textId="60D1DD62" w:rsidR="006D1414" w:rsidRPr="006D1414" w:rsidRDefault="006D1414" w:rsidP="006D1414">
            <w:r w:rsidRPr="006D1414">
              <w:t>Doña Ana County</w:t>
            </w:r>
          </w:p>
        </w:tc>
        <w:tc>
          <w:tcPr>
            <w:tcW w:w="905" w:type="pct"/>
            <w:shd w:val="clear" w:color="auto" w:fill="auto"/>
          </w:tcPr>
          <w:p w14:paraId="622E1834" w14:textId="57B10BA8" w:rsidR="006D1414" w:rsidRPr="006D1414" w:rsidRDefault="00D72761" w:rsidP="006D1414">
            <w:pPr>
              <w:jc w:val="center"/>
            </w:pPr>
            <w:r>
              <w:t>80</w:t>
            </w:r>
          </w:p>
        </w:tc>
        <w:tc>
          <w:tcPr>
            <w:tcW w:w="906" w:type="pct"/>
            <w:shd w:val="clear" w:color="auto" w:fill="auto"/>
          </w:tcPr>
          <w:p w14:paraId="1D637AA1" w14:textId="761B81BD" w:rsidR="006D1414" w:rsidRPr="006D1414" w:rsidRDefault="00D72761" w:rsidP="006D1414">
            <w:pPr>
              <w:jc w:val="center"/>
            </w:pPr>
            <w:r>
              <w:t>80</w:t>
            </w:r>
          </w:p>
        </w:tc>
        <w:tc>
          <w:tcPr>
            <w:tcW w:w="635" w:type="pct"/>
            <w:shd w:val="clear" w:color="auto" w:fill="auto"/>
          </w:tcPr>
          <w:p w14:paraId="0C643002" w14:textId="7F7B8CEB" w:rsidR="006D1414" w:rsidRPr="006D1414" w:rsidRDefault="006D1414" w:rsidP="006D1414">
            <w:pPr>
              <w:jc w:val="center"/>
            </w:pPr>
            <w:r w:rsidRPr="006D1414">
              <w:t>320</w:t>
            </w:r>
          </w:p>
        </w:tc>
      </w:tr>
      <w:tr w:rsidR="006D1414" w:rsidRPr="006D1414" w14:paraId="3DEF5244" w14:textId="77777777" w:rsidTr="006D1414">
        <w:trPr>
          <w:trHeight w:val="450"/>
        </w:trPr>
        <w:tc>
          <w:tcPr>
            <w:tcW w:w="2554" w:type="pct"/>
            <w:shd w:val="clear" w:color="auto" w:fill="auto"/>
          </w:tcPr>
          <w:p w14:paraId="5FA22428" w14:textId="4CAA59E4" w:rsidR="006D1414" w:rsidRPr="006D1414" w:rsidRDefault="006D1414" w:rsidP="006D1414">
            <w:r w:rsidRPr="006D1414">
              <w:t>ADAMHSBCC</w:t>
            </w:r>
          </w:p>
        </w:tc>
        <w:tc>
          <w:tcPr>
            <w:tcW w:w="905" w:type="pct"/>
            <w:shd w:val="clear" w:color="auto" w:fill="auto"/>
          </w:tcPr>
          <w:p w14:paraId="6A51ECAB" w14:textId="07ACB46F" w:rsidR="006D1414" w:rsidRPr="006D1414" w:rsidRDefault="00D72761" w:rsidP="006D1414">
            <w:pPr>
              <w:jc w:val="center"/>
            </w:pPr>
            <w:r>
              <w:t>200</w:t>
            </w:r>
          </w:p>
        </w:tc>
        <w:tc>
          <w:tcPr>
            <w:tcW w:w="906" w:type="pct"/>
            <w:shd w:val="clear" w:color="auto" w:fill="auto"/>
          </w:tcPr>
          <w:p w14:paraId="63F149AA" w14:textId="719C48E0" w:rsidR="006D1414" w:rsidRPr="006D1414" w:rsidRDefault="006D1414" w:rsidP="006D1414">
            <w:pPr>
              <w:jc w:val="center"/>
            </w:pPr>
            <w:r w:rsidRPr="006D1414">
              <w:t>400</w:t>
            </w:r>
          </w:p>
        </w:tc>
        <w:tc>
          <w:tcPr>
            <w:tcW w:w="635" w:type="pct"/>
            <w:shd w:val="clear" w:color="auto" w:fill="auto"/>
          </w:tcPr>
          <w:p w14:paraId="3AA3EE07" w14:textId="66F5F4C6" w:rsidR="006D1414" w:rsidRPr="006D1414" w:rsidRDefault="006D1414" w:rsidP="006D1414">
            <w:pPr>
              <w:jc w:val="center"/>
            </w:pPr>
            <w:r w:rsidRPr="006D1414">
              <w:t>800</w:t>
            </w:r>
          </w:p>
        </w:tc>
      </w:tr>
      <w:tr w:rsidR="006D1414" w:rsidRPr="006D1414" w14:paraId="7A7B2B5C" w14:textId="77777777" w:rsidTr="006D1414">
        <w:trPr>
          <w:trHeight w:val="360"/>
        </w:trPr>
        <w:tc>
          <w:tcPr>
            <w:tcW w:w="2554" w:type="pct"/>
            <w:tcBorders>
              <w:bottom w:val="single" w:sz="4" w:space="0" w:color="auto"/>
            </w:tcBorders>
            <w:shd w:val="clear" w:color="auto" w:fill="auto"/>
          </w:tcPr>
          <w:p w14:paraId="2133DEBC" w14:textId="36C27F04" w:rsidR="006D1414" w:rsidRPr="006D1414" w:rsidRDefault="006D1414" w:rsidP="006D1414">
            <w:r w:rsidRPr="006D1414">
              <w:t>ODMHSAS</w:t>
            </w:r>
          </w:p>
        </w:tc>
        <w:tc>
          <w:tcPr>
            <w:tcW w:w="905" w:type="pct"/>
            <w:tcBorders>
              <w:bottom w:val="single" w:sz="4" w:space="0" w:color="auto"/>
            </w:tcBorders>
            <w:shd w:val="clear" w:color="auto" w:fill="auto"/>
          </w:tcPr>
          <w:p w14:paraId="5DF49894" w14:textId="2D3D2538" w:rsidR="006D1414" w:rsidRPr="006D1414" w:rsidRDefault="00D72761" w:rsidP="006D1414">
            <w:pPr>
              <w:jc w:val="center"/>
            </w:pPr>
            <w:r>
              <w:t>200</w:t>
            </w:r>
          </w:p>
        </w:tc>
        <w:tc>
          <w:tcPr>
            <w:tcW w:w="906" w:type="pct"/>
            <w:tcBorders>
              <w:bottom w:val="single" w:sz="4" w:space="0" w:color="auto"/>
            </w:tcBorders>
            <w:shd w:val="clear" w:color="auto" w:fill="auto"/>
          </w:tcPr>
          <w:p w14:paraId="0B8E4E25" w14:textId="327B8869" w:rsidR="006D1414" w:rsidRPr="006D1414" w:rsidRDefault="006D1414" w:rsidP="006D1414">
            <w:pPr>
              <w:jc w:val="center"/>
            </w:pPr>
            <w:r w:rsidRPr="006D1414">
              <w:t>400</w:t>
            </w:r>
          </w:p>
        </w:tc>
        <w:tc>
          <w:tcPr>
            <w:tcW w:w="635" w:type="pct"/>
            <w:tcBorders>
              <w:bottom w:val="single" w:sz="4" w:space="0" w:color="auto"/>
            </w:tcBorders>
            <w:shd w:val="clear" w:color="auto" w:fill="auto"/>
          </w:tcPr>
          <w:p w14:paraId="6D5895E4" w14:textId="7B5ACBB7" w:rsidR="006D1414" w:rsidRPr="006D1414" w:rsidRDefault="006D1414" w:rsidP="006D1414">
            <w:pPr>
              <w:jc w:val="center"/>
            </w:pPr>
            <w:r w:rsidRPr="006D1414">
              <w:t>800</w:t>
            </w:r>
          </w:p>
        </w:tc>
      </w:tr>
      <w:tr w:rsidR="006D1414" w:rsidRPr="000F1436" w14:paraId="3E8A6CC6" w14:textId="77777777" w:rsidTr="006D1414">
        <w:trPr>
          <w:trHeight w:val="422"/>
        </w:trPr>
        <w:tc>
          <w:tcPr>
            <w:tcW w:w="2554" w:type="pct"/>
            <w:tcBorders>
              <w:top w:val="single" w:sz="4" w:space="0" w:color="auto"/>
              <w:bottom w:val="single" w:sz="4" w:space="0" w:color="auto"/>
            </w:tcBorders>
            <w:shd w:val="clear" w:color="auto" w:fill="auto"/>
            <w:vAlign w:val="center"/>
          </w:tcPr>
          <w:p w14:paraId="623B590A" w14:textId="77777777" w:rsidR="006D1414" w:rsidRPr="006D1414" w:rsidRDefault="006D1414" w:rsidP="006D1414">
            <w:pPr>
              <w:rPr>
                <w:b/>
              </w:rPr>
            </w:pPr>
            <w:r w:rsidRPr="006D1414">
              <w:rPr>
                <w:b/>
              </w:rPr>
              <w:t>Total</w:t>
            </w:r>
          </w:p>
        </w:tc>
        <w:tc>
          <w:tcPr>
            <w:tcW w:w="905" w:type="pct"/>
            <w:tcBorders>
              <w:top w:val="single" w:sz="4" w:space="0" w:color="auto"/>
              <w:bottom w:val="single" w:sz="4" w:space="0" w:color="auto"/>
            </w:tcBorders>
            <w:shd w:val="clear" w:color="auto" w:fill="auto"/>
            <w:vAlign w:val="center"/>
          </w:tcPr>
          <w:p w14:paraId="19D3AEC6" w14:textId="0CB7F0D0" w:rsidR="006D1414" w:rsidRPr="006D1414" w:rsidRDefault="00D72761" w:rsidP="006D1414">
            <w:pPr>
              <w:jc w:val="center"/>
              <w:rPr>
                <w:b/>
              </w:rPr>
            </w:pPr>
            <w:r>
              <w:rPr>
                <w:b/>
              </w:rPr>
              <w:t>1,040</w:t>
            </w:r>
          </w:p>
        </w:tc>
        <w:tc>
          <w:tcPr>
            <w:tcW w:w="906" w:type="pct"/>
            <w:tcBorders>
              <w:top w:val="single" w:sz="4" w:space="0" w:color="auto"/>
              <w:bottom w:val="single" w:sz="4" w:space="0" w:color="auto"/>
            </w:tcBorders>
            <w:shd w:val="clear" w:color="auto" w:fill="auto"/>
            <w:vAlign w:val="center"/>
          </w:tcPr>
          <w:p w14:paraId="68E4A91C" w14:textId="0EF134C1" w:rsidR="006D1414" w:rsidRPr="006D1414" w:rsidRDefault="00D72761" w:rsidP="006D1414">
            <w:pPr>
              <w:jc w:val="center"/>
              <w:rPr>
                <w:b/>
              </w:rPr>
            </w:pPr>
            <w:r>
              <w:rPr>
                <w:b/>
              </w:rPr>
              <w:t>1,040</w:t>
            </w:r>
          </w:p>
        </w:tc>
        <w:tc>
          <w:tcPr>
            <w:tcW w:w="635" w:type="pct"/>
            <w:tcBorders>
              <w:top w:val="single" w:sz="4" w:space="0" w:color="auto"/>
              <w:bottom w:val="single" w:sz="4" w:space="0" w:color="auto"/>
            </w:tcBorders>
            <w:shd w:val="clear" w:color="auto" w:fill="auto"/>
            <w:vAlign w:val="center"/>
          </w:tcPr>
          <w:p w14:paraId="27388671" w14:textId="17D4F824" w:rsidR="006D1414" w:rsidRPr="006D1414" w:rsidRDefault="00D72761" w:rsidP="006D1414">
            <w:pPr>
              <w:jc w:val="center"/>
              <w:rPr>
                <w:b/>
              </w:rPr>
            </w:pPr>
            <w:r>
              <w:rPr>
                <w:b/>
              </w:rPr>
              <w:t>2,080</w:t>
            </w:r>
          </w:p>
        </w:tc>
      </w:tr>
    </w:tbl>
    <w:p w14:paraId="5F7BCBF5" w14:textId="5F5C1045" w:rsidR="006C30B2" w:rsidRDefault="00F718F3" w:rsidP="00694D68">
      <w:pPr>
        <w:ind w:left="720"/>
        <w:rPr>
          <w:sz w:val="20"/>
          <w:szCs w:val="20"/>
        </w:rPr>
      </w:pPr>
      <w:r w:rsidRPr="00694D68">
        <w:rPr>
          <w:sz w:val="20"/>
          <w:szCs w:val="20"/>
          <w:vertAlign w:val="superscript"/>
        </w:rPr>
        <w:t>a</w:t>
      </w:r>
      <w:r w:rsidR="00960DF6" w:rsidRPr="00694D68">
        <w:rPr>
          <w:sz w:val="20"/>
          <w:szCs w:val="20"/>
          <w:vertAlign w:val="superscript"/>
        </w:rPr>
        <w:t xml:space="preserve"> </w:t>
      </w:r>
      <w:r w:rsidRPr="00694D68">
        <w:rPr>
          <w:sz w:val="20"/>
          <w:szCs w:val="20"/>
        </w:rPr>
        <w:t>As noted in Supporting Statement A, the six sites noted above participated in the AOT Implementation Evaluation. However, these same six sites may not be part of the AOT Outcome Evaluation. The AOT HHS Advisory Committee will identify the six in-depth outcome sites.</w:t>
      </w:r>
    </w:p>
    <w:p w14:paraId="69E903D3" w14:textId="0A931B23" w:rsidR="00694D68" w:rsidRDefault="00694D68" w:rsidP="00694D68">
      <w:pPr>
        <w:ind w:left="720"/>
        <w:rPr>
          <w:sz w:val="20"/>
          <w:szCs w:val="20"/>
        </w:rPr>
      </w:pPr>
      <w:r>
        <w:rPr>
          <w:sz w:val="20"/>
          <w:szCs w:val="20"/>
          <w:vertAlign w:val="superscript"/>
        </w:rPr>
        <w:t>b</w:t>
      </w:r>
      <w:r>
        <w:rPr>
          <w:sz w:val="20"/>
          <w:szCs w:val="20"/>
        </w:rPr>
        <w:t xml:space="preserve"> All funded sites, including the six sites identified for the outcome evaluation, will provide secondary, administrative data to supplement primary data collections. </w:t>
      </w:r>
      <w:r w:rsidR="00936A56">
        <w:rPr>
          <w:sz w:val="20"/>
          <w:szCs w:val="20"/>
        </w:rPr>
        <w:t xml:space="preserve">As detailed in Supporting Statement A, local evaluators </w:t>
      </w:r>
      <w:r w:rsidR="00936A56" w:rsidRPr="00936A56">
        <w:rPr>
          <w:sz w:val="20"/>
          <w:szCs w:val="20"/>
        </w:rPr>
        <w:t>at each of the sites will oversee linkage of survey data to secondary, administrative data in order to ensure that all datasets will be stripped of identifiable information</w:t>
      </w:r>
      <w:r w:rsidR="00936A56">
        <w:rPr>
          <w:sz w:val="20"/>
          <w:szCs w:val="20"/>
        </w:rPr>
        <w:t xml:space="preserve"> prior to sharing with RTI.</w:t>
      </w:r>
    </w:p>
    <w:p w14:paraId="4884D246" w14:textId="2A83A8FD" w:rsidR="004446E9" w:rsidRDefault="004446E9" w:rsidP="00694D68">
      <w:pPr>
        <w:ind w:left="720"/>
        <w:rPr>
          <w:sz w:val="20"/>
          <w:szCs w:val="20"/>
        </w:rPr>
      </w:pPr>
    </w:p>
    <w:p w14:paraId="6F0DB7C9" w14:textId="48FE7559" w:rsidR="004446E9" w:rsidRDefault="004446E9" w:rsidP="004446E9">
      <w:pPr>
        <w:ind w:left="720"/>
      </w:pPr>
      <w:r>
        <w:rPr>
          <w:b/>
        </w:rPr>
        <w:t xml:space="preserve">Identifying comparison groups: </w:t>
      </w:r>
      <w:r>
        <w:t xml:space="preserve">To address questions that are focused on the impact of AOT, the evaluation design calls for the identification of a valid comparison group and the collection of common data elements on members of that comparison group (i.e., elements from the structured client interview and secondary data sources). To identify comparison sites, we will start with targeted assessments for each of the sites to test the </w:t>
      </w:r>
      <w:r>
        <w:lastRenderedPageBreak/>
        <w:t>feasibility of inter- and intra-county comparison groups, where feasibility is based on an available population of consumers who are receiving similar services, providers who are willing to partner in collecting client-level data, and availability of high quality secondary data sources. This approach, described in further detail below, was developed in consultation with AOT experts, mental health treatment experts, and HHS AOT program advisory committees during a technical advisory group meeting convened to guide the evaluation design for this project.</w:t>
      </w:r>
    </w:p>
    <w:p w14:paraId="7C508ED4" w14:textId="77777777" w:rsidR="004446E9" w:rsidRDefault="004446E9" w:rsidP="004446E9">
      <w:pPr>
        <w:ind w:left="720"/>
      </w:pPr>
    </w:p>
    <w:p w14:paraId="3984621D" w14:textId="6C38D086" w:rsidR="004446E9" w:rsidRDefault="00470830" w:rsidP="004446E9">
      <w:pPr>
        <w:ind w:left="720"/>
      </w:pPr>
      <w:r>
        <w:t>W</w:t>
      </w:r>
      <w:r w:rsidR="004446E9">
        <w:t>e will use a three-step approach to ensure that the comparison population is comparable at the community, clinic, and individual levels, thus making our subsequent analyses robust to many sources of unobserved confounding. Below we provide a brief overview of each step, including how we will assess comparability and where we will obtain data elements for assessing comparability.</w:t>
      </w:r>
    </w:p>
    <w:p w14:paraId="26B4B932" w14:textId="77777777" w:rsidR="004446E9" w:rsidRDefault="004446E9" w:rsidP="004446E9">
      <w:pPr>
        <w:ind w:left="720"/>
      </w:pPr>
    </w:p>
    <w:p w14:paraId="7E3171A7" w14:textId="77777777" w:rsidR="004446E9" w:rsidRDefault="004446E9" w:rsidP="004446E9">
      <w:pPr>
        <w:ind w:left="720"/>
      </w:pPr>
      <w:r w:rsidRPr="004446E9">
        <w:rPr>
          <w:b/>
        </w:rPr>
        <w:t>Step One.</w:t>
      </w:r>
      <w:r>
        <w:t xml:space="preserve"> For each of the selected case study settings, we will identify a comparison community where AOT is not being implemented. We will assess the degree of comparability of these communities based on the following characteristics: (1) sociodemographic composition (e.g., median household income), (2) market characteristics (e.g., number of community mental health centers per 100,000 persons), and (3) prevalence of need for SMI treatment. Measurements for these characteristics will come from census data, SAMHSA’s Behavioral Health Treatment Services Locator tool (https://findtreatment.samhsa.gov), or from synthetic county and state estimates of SMI prevalence produced by Professor Charles E. Holzer III.</w:t>
      </w:r>
    </w:p>
    <w:p w14:paraId="49E2003D" w14:textId="77777777" w:rsidR="004446E9" w:rsidRDefault="004446E9" w:rsidP="004446E9">
      <w:pPr>
        <w:ind w:left="720"/>
      </w:pPr>
    </w:p>
    <w:p w14:paraId="7E3005A3" w14:textId="77777777" w:rsidR="004446E9" w:rsidRDefault="004446E9" w:rsidP="004446E9">
      <w:pPr>
        <w:ind w:left="720"/>
      </w:pPr>
      <w:r w:rsidRPr="004446E9">
        <w:rPr>
          <w:b/>
        </w:rPr>
        <w:t>Step Two.</w:t>
      </w:r>
      <w:r>
        <w:t xml:space="preserve"> From each of these comparison communities, we will identify at least one comparison clinic. We will assess the degree of comparability of these clinics based on the following characteristics: (1) types of services provided (e.g., ACT, non-ACT), (2) facility type (e.g., outpatient mental health), and (3) average client case-mix. Service offerings and facility type data can be obtained from SAMHSA’s Behavioral Health Treatment Services Locator tool and AHRF. Client case-mix measures will be obtained from Medicaid databases once those data have been acquired.</w:t>
      </w:r>
    </w:p>
    <w:p w14:paraId="13554A7C" w14:textId="77777777" w:rsidR="004446E9" w:rsidRDefault="004446E9" w:rsidP="004446E9">
      <w:pPr>
        <w:ind w:left="720"/>
      </w:pPr>
    </w:p>
    <w:p w14:paraId="4A172BB9" w14:textId="77777777" w:rsidR="004446E9" w:rsidRDefault="004446E9" w:rsidP="004446E9">
      <w:pPr>
        <w:ind w:left="720"/>
      </w:pPr>
      <w:r w:rsidRPr="004446E9">
        <w:rPr>
          <w:b/>
        </w:rPr>
        <w:t xml:space="preserve">Step Three. </w:t>
      </w:r>
      <w:r>
        <w:t>Finally, from each of the comparison clinics, we will identify a sample of comparable consumers. We will assess the degree of comparability based on an assignment algorithm we previously used in our evaluation of New York’s AOT program. The essential criteria are: (1) diagnosis codes of schizophrenia, bipolar, or affective disorders for an inpatient admission, (2) two or more psychiatric admissions during the baseline period, (3) 14 or more inpatient days during the baseline period, and (4) having received some intensive services such as ACT during the baseline period. We will also consider excluding consumers with few encounters at comparison clinics. Data to support identifying these criteria will primarily come from Medicaid claims and/or encounter data.</w:t>
      </w:r>
    </w:p>
    <w:p w14:paraId="75F52648" w14:textId="77777777" w:rsidR="004446E9" w:rsidRDefault="004446E9" w:rsidP="004446E9">
      <w:pPr>
        <w:ind w:left="720"/>
      </w:pPr>
    </w:p>
    <w:p w14:paraId="58CA7C56" w14:textId="77777777" w:rsidR="004446E9" w:rsidRDefault="004446E9" w:rsidP="004446E9">
      <w:pPr>
        <w:ind w:left="720"/>
      </w:pPr>
      <w:r>
        <w:t>Although our comparison group strategy is designed to produce a highly similar population of consumers receiving treatment in similar settings, there will likely remain some differences between groups. Additionally, because it is not feasible to consider all consumer characteristics in the three-step approach outlined above, there are several additional consumer characteristics for which we may observe important differences. These include characteristics such as age, sex, race/ethnicity, patient history, and illness severity. To account for these differences, we will use propensity score methods. Specifically, we will use inverse probability of treatment weighting (IPTW), which starts with a probabilistic model to model the probability that an individual is a member of the intervention group as a function of all observed confounders. Weights will then be used to assess whether after weighting the groups have similar characteristics, and in the outcome regression modeling. This combination of IPTW and regression modeling is doubly robust to model misspecification, as only one model needs to be correctly specified (i.e., either the probabilistic model predicting intervention membership or the outcome regression model). This approach was successful in our prior AOT evaluation, but we can explore relatively new alternatives (e.g., entropy balancing) if we find that IPTW does not perform sufficiently well.</w:t>
      </w:r>
    </w:p>
    <w:p w14:paraId="6B10C389" w14:textId="77777777" w:rsidR="004446E9" w:rsidRDefault="004446E9" w:rsidP="004446E9">
      <w:pPr>
        <w:ind w:left="720"/>
      </w:pPr>
    </w:p>
    <w:p w14:paraId="2B4C62A7" w14:textId="52CE4921" w:rsidR="006C30B2" w:rsidRDefault="006C30B2" w:rsidP="009B0204">
      <w:pPr>
        <w:ind w:left="720"/>
      </w:pPr>
      <w:r w:rsidRPr="00895198">
        <w:rPr>
          <w:b/>
        </w:rPr>
        <w:t>Family Satisfaction Survey</w:t>
      </w:r>
      <w:r>
        <w:rPr>
          <w:b/>
        </w:rPr>
        <w:t>:</w:t>
      </w:r>
      <w:r>
        <w:t xml:space="preserve"> We will randomly sample from the population of AOT program participants at </w:t>
      </w:r>
      <w:r w:rsidR="007E073E">
        <w:t>each of the six in-depth sites</w:t>
      </w:r>
      <w:r>
        <w:t xml:space="preserve">. We will target </w:t>
      </w:r>
      <w:r w:rsidR="00D65D2C">
        <w:t>one-third</w:t>
      </w:r>
      <w:r>
        <w:t xml:space="preserve"> of each of the site-specific participant populations, and administer the survey with a family member</w:t>
      </w:r>
      <w:r w:rsidR="00A80C94">
        <w:t xml:space="preserve"> from each of these families</w:t>
      </w:r>
      <w:r>
        <w:t xml:space="preserve">. </w:t>
      </w:r>
      <w:r w:rsidR="000F1436">
        <w:t>The table below</w:t>
      </w:r>
      <w:r>
        <w:t xml:space="preserve"> provides more detailed figures of the expected number of respondents to the family satisfaction survey.</w:t>
      </w:r>
    </w:p>
    <w:p w14:paraId="2C7162AE" w14:textId="77777777" w:rsidR="006C30B2" w:rsidRDefault="006C30B2" w:rsidP="006C30B2">
      <w:pPr>
        <w:ind w:firstLine="360"/>
      </w:pPr>
    </w:p>
    <w:tbl>
      <w:tblPr>
        <w:tblStyle w:val="TableGrid"/>
        <w:tblW w:w="3416" w:type="pct"/>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2027"/>
      </w:tblGrid>
      <w:tr w:rsidR="006C30B2" w:rsidRPr="007E073E" w14:paraId="54748FA9" w14:textId="77777777" w:rsidTr="007E073E">
        <w:tc>
          <w:tcPr>
            <w:tcW w:w="3451" w:type="pct"/>
            <w:tcBorders>
              <w:top w:val="single" w:sz="4" w:space="0" w:color="auto"/>
              <w:bottom w:val="single" w:sz="4" w:space="0" w:color="auto"/>
            </w:tcBorders>
          </w:tcPr>
          <w:p w14:paraId="14E38807" w14:textId="77777777" w:rsidR="006C30B2" w:rsidRPr="007E073E" w:rsidRDefault="006C30B2" w:rsidP="007069A5">
            <w:pPr>
              <w:rPr>
                <w:b/>
              </w:rPr>
            </w:pPr>
            <w:r w:rsidRPr="007E073E">
              <w:rPr>
                <w:b/>
              </w:rPr>
              <w:t>Site</w:t>
            </w:r>
          </w:p>
        </w:tc>
        <w:tc>
          <w:tcPr>
            <w:tcW w:w="1549" w:type="pct"/>
            <w:tcBorders>
              <w:top w:val="single" w:sz="4" w:space="0" w:color="auto"/>
              <w:bottom w:val="single" w:sz="4" w:space="0" w:color="auto"/>
            </w:tcBorders>
            <w:vAlign w:val="center"/>
          </w:tcPr>
          <w:p w14:paraId="77E62DB6" w14:textId="3FE3F95A" w:rsidR="006C30B2" w:rsidRPr="007E073E" w:rsidRDefault="006C30B2" w:rsidP="007E073E">
            <w:pPr>
              <w:jc w:val="center"/>
              <w:rPr>
                <w:b/>
              </w:rPr>
            </w:pPr>
            <w:r w:rsidRPr="007E073E">
              <w:rPr>
                <w:b/>
              </w:rPr>
              <w:t xml:space="preserve">Number of </w:t>
            </w:r>
            <w:r w:rsidR="007E073E">
              <w:rPr>
                <w:b/>
              </w:rPr>
              <w:t>R</w:t>
            </w:r>
            <w:r w:rsidRPr="007E073E">
              <w:rPr>
                <w:b/>
              </w:rPr>
              <w:t>espondents</w:t>
            </w:r>
          </w:p>
        </w:tc>
      </w:tr>
      <w:tr w:rsidR="007E073E" w:rsidRPr="007E073E" w14:paraId="6CC1C19A" w14:textId="77777777" w:rsidTr="007E073E">
        <w:trPr>
          <w:trHeight w:val="440"/>
        </w:trPr>
        <w:tc>
          <w:tcPr>
            <w:tcW w:w="3451" w:type="pct"/>
            <w:tcBorders>
              <w:top w:val="single" w:sz="4" w:space="0" w:color="auto"/>
            </w:tcBorders>
          </w:tcPr>
          <w:p w14:paraId="16B819A5" w14:textId="5DBCF780" w:rsidR="007E073E" w:rsidRPr="007E073E" w:rsidRDefault="007E073E" w:rsidP="007E073E">
            <w:r w:rsidRPr="007E073E">
              <w:t>AltaPointe Health Systems</w:t>
            </w:r>
          </w:p>
        </w:tc>
        <w:tc>
          <w:tcPr>
            <w:tcW w:w="1549" w:type="pct"/>
            <w:tcBorders>
              <w:top w:val="single" w:sz="4" w:space="0" w:color="auto"/>
            </w:tcBorders>
          </w:tcPr>
          <w:p w14:paraId="2FBC7ADA" w14:textId="7783AECB" w:rsidR="007E073E" w:rsidRPr="007E073E" w:rsidRDefault="009E4EF4" w:rsidP="007E073E">
            <w:pPr>
              <w:jc w:val="center"/>
            </w:pPr>
            <w:r>
              <w:t>70</w:t>
            </w:r>
          </w:p>
        </w:tc>
      </w:tr>
      <w:tr w:rsidR="007E073E" w:rsidRPr="007E073E" w14:paraId="5F1EDCC8" w14:textId="77777777" w:rsidTr="007E073E">
        <w:trPr>
          <w:trHeight w:val="450"/>
        </w:trPr>
        <w:tc>
          <w:tcPr>
            <w:tcW w:w="3451" w:type="pct"/>
          </w:tcPr>
          <w:p w14:paraId="602D2AED" w14:textId="10595D2B" w:rsidR="007E073E" w:rsidRPr="007E073E" w:rsidRDefault="007E073E" w:rsidP="007E073E">
            <w:r w:rsidRPr="007E073E">
              <w:t>Cook County Health and Hospital System</w:t>
            </w:r>
          </w:p>
        </w:tc>
        <w:tc>
          <w:tcPr>
            <w:tcW w:w="1549" w:type="pct"/>
          </w:tcPr>
          <w:p w14:paraId="3FD4BB36" w14:textId="35D1AC3A" w:rsidR="007E073E" w:rsidRPr="007E073E" w:rsidRDefault="009E4EF4" w:rsidP="007E073E">
            <w:pPr>
              <w:jc w:val="center"/>
            </w:pPr>
            <w:r>
              <w:t>67</w:t>
            </w:r>
          </w:p>
        </w:tc>
      </w:tr>
      <w:tr w:rsidR="007E073E" w:rsidRPr="007E073E" w14:paraId="2BF6ABF4" w14:textId="77777777" w:rsidTr="007E073E">
        <w:trPr>
          <w:trHeight w:val="450"/>
        </w:trPr>
        <w:tc>
          <w:tcPr>
            <w:tcW w:w="3451" w:type="pct"/>
          </w:tcPr>
          <w:p w14:paraId="3E08E083" w14:textId="0B2427FD" w:rsidR="007E073E" w:rsidRPr="007E073E" w:rsidRDefault="007E073E" w:rsidP="007E073E">
            <w:r w:rsidRPr="007E073E">
              <w:t>Hinds County Mental Health Commission</w:t>
            </w:r>
          </w:p>
        </w:tc>
        <w:tc>
          <w:tcPr>
            <w:tcW w:w="1549" w:type="pct"/>
          </w:tcPr>
          <w:p w14:paraId="7599E517" w14:textId="67AAF2F2" w:rsidR="007E073E" w:rsidRPr="007E073E" w:rsidRDefault="009E4EF4" w:rsidP="007E073E">
            <w:pPr>
              <w:jc w:val="center"/>
            </w:pPr>
            <w:r>
              <w:t>50</w:t>
            </w:r>
          </w:p>
        </w:tc>
      </w:tr>
      <w:tr w:rsidR="007E073E" w:rsidRPr="007E073E" w14:paraId="444CA5FE" w14:textId="77777777" w:rsidTr="007E073E">
        <w:trPr>
          <w:trHeight w:val="450"/>
        </w:trPr>
        <w:tc>
          <w:tcPr>
            <w:tcW w:w="3451" w:type="pct"/>
          </w:tcPr>
          <w:p w14:paraId="312F6836" w14:textId="0BB7B016" w:rsidR="007E073E" w:rsidRPr="007E073E" w:rsidRDefault="007E073E" w:rsidP="007E073E">
            <w:r w:rsidRPr="007E073E">
              <w:t>Doña Ana County</w:t>
            </w:r>
          </w:p>
        </w:tc>
        <w:tc>
          <w:tcPr>
            <w:tcW w:w="1549" w:type="pct"/>
          </w:tcPr>
          <w:p w14:paraId="02BDBEC8" w14:textId="2B1FD5E7" w:rsidR="007E073E" w:rsidRPr="007E073E" w:rsidRDefault="00A80C94" w:rsidP="007E073E">
            <w:pPr>
              <w:jc w:val="center"/>
            </w:pPr>
            <w:r>
              <w:t>27</w:t>
            </w:r>
          </w:p>
        </w:tc>
      </w:tr>
      <w:tr w:rsidR="007E073E" w:rsidRPr="007E073E" w14:paraId="6E04FDB6" w14:textId="77777777" w:rsidTr="007E073E">
        <w:trPr>
          <w:trHeight w:val="450"/>
        </w:trPr>
        <w:tc>
          <w:tcPr>
            <w:tcW w:w="3451" w:type="pct"/>
          </w:tcPr>
          <w:p w14:paraId="4B88E8FA" w14:textId="6EA9EF02" w:rsidR="007E073E" w:rsidRPr="007E073E" w:rsidRDefault="007E073E" w:rsidP="007E073E">
            <w:r w:rsidRPr="007E073E">
              <w:t>ADAMHSBCC</w:t>
            </w:r>
          </w:p>
        </w:tc>
        <w:tc>
          <w:tcPr>
            <w:tcW w:w="1549" w:type="pct"/>
          </w:tcPr>
          <w:p w14:paraId="5E5E9848" w14:textId="3BC3B693" w:rsidR="007E073E" w:rsidRPr="007E073E" w:rsidRDefault="00A80C94" w:rsidP="007E073E">
            <w:pPr>
              <w:jc w:val="center"/>
            </w:pPr>
            <w:r>
              <w:t>67</w:t>
            </w:r>
          </w:p>
        </w:tc>
      </w:tr>
      <w:tr w:rsidR="007E073E" w:rsidRPr="007E073E" w14:paraId="5B76BAD3" w14:textId="77777777" w:rsidTr="007E073E">
        <w:trPr>
          <w:trHeight w:val="387"/>
        </w:trPr>
        <w:tc>
          <w:tcPr>
            <w:tcW w:w="3451" w:type="pct"/>
            <w:tcBorders>
              <w:bottom w:val="single" w:sz="4" w:space="0" w:color="auto"/>
            </w:tcBorders>
          </w:tcPr>
          <w:p w14:paraId="50861D1C" w14:textId="0DC5F1E8" w:rsidR="007E073E" w:rsidRPr="007E073E" w:rsidRDefault="007E073E" w:rsidP="007E073E">
            <w:r w:rsidRPr="007E073E">
              <w:t>ODMHSAS</w:t>
            </w:r>
          </w:p>
        </w:tc>
        <w:tc>
          <w:tcPr>
            <w:tcW w:w="1549" w:type="pct"/>
            <w:tcBorders>
              <w:bottom w:val="single" w:sz="4" w:space="0" w:color="auto"/>
            </w:tcBorders>
          </w:tcPr>
          <w:p w14:paraId="4417ADE3" w14:textId="16852346" w:rsidR="007E073E" w:rsidRPr="007E073E" w:rsidRDefault="00A80C94" w:rsidP="007E073E">
            <w:pPr>
              <w:jc w:val="center"/>
            </w:pPr>
            <w:r>
              <w:t>67</w:t>
            </w:r>
          </w:p>
        </w:tc>
      </w:tr>
      <w:tr w:rsidR="006C30B2" w:rsidRPr="007E073E" w14:paraId="370079A8" w14:textId="77777777" w:rsidTr="007E073E">
        <w:trPr>
          <w:trHeight w:val="458"/>
        </w:trPr>
        <w:tc>
          <w:tcPr>
            <w:tcW w:w="3451" w:type="pct"/>
            <w:tcBorders>
              <w:top w:val="single" w:sz="4" w:space="0" w:color="auto"/>
              <w:bottom w:val="single" w:sz="4" w:space="0" w:color="auto"/>
            </w:tcBorders>
            <w:vAlign w:val="center"/>
          </w:tcPr>
          <w:p w14:paraId="74EA16ED" w14:textId="77777777" w:rsidR="006C30B2" w:rsidRPr="007E073E" w:rsidRDefault="006C30B2" w:rsidP="007E073E">
            <w:pPr>
              <w:rPr>
                <w:b/>
              </w:rPr>
            </w:pPr>
            <w:r w:rsidRPr="007E073E">
              <w:rPr>
                <w:b/>
              </w:rPr>
              <w:t>Total</w:t>
            </w:r>
          </w:p>
        </w:tc>
        <w:tc>
          <w:tcPr>
            <w:tcW w:w="1549" w:type="pct"/>
            <w:tcBorders>
              <w:top w:val="single" w:sz="4" w:space="0" w:color="auto"/>
              <w:bottom w:val="single" w:sz="4" w:space="0" w:color="auto"/>
            </w:tcBorders>
            <w:vAlign w:val="center"/>
          </w:tcPr>
          <w:p w14:paraId="537E7FFA" w14:textId="7637BA7B" w:rsidR="006C30B2" w:rsidRPr="007E073E" w:rsidRDefault="00A80C94" w:rsidP="007E073E">
            <w:pPr>
              <w:jc w:val="center"/>
              <w:rPr>
                <w:b/>
              </w:rPr>
            </w:pPr>
            <w:r>
              <w:rPr>
                <w:b/>
              </w:rPr>
              <w:t>347</w:t>
            </w:r>
          </w:p>
        </w:tc>
      </w:tr>
    </w:tbl>
    <w:p w14:paraId="2847E1B9" w14:textId="77777777" w:rsidR="006C30B2" w:rsidRDefault="006C30B2" w:rsidP="006C30B2">
      <w:pPr>
        <w:ind w:firstLine="360"/>
      </w:pPr>
    </w:p>
    <w:p w14:paraId="68AB38D1" w14:textId="77777777" w:rsidR="006C30B2" w:rsidRDefault="006C30B2" w:rsidP="006C30B2">
      <w:pPr>
        <w:ind w:firstLine="360"/>
      </w:pPr>
    </w:p>
    <w:p w14:paraId="0BAF9620" w14:textId="2B7B57F6" w:rsidR="006C30B2" w:rsidRDefault="006C30B2" w:rsidP="009B0204">
      <w:pPr>
        <w:ind w:left="720"/>
      </w:pPr>
      <w:r w:rsidRPr="00895198">
        <w:rPr>
          <w:b/>
        </w:rPr>
        <w:t>Cost Questionnaires</w:t>
      </w:r>
      <w:r>
        <w:rPr>
          <w:b/>
        </w:rPr>
        <w:t>:</w:t>
      </w:r>
      <w:r>
        <w:rPr>
          <w:i/>
        </w:rPr>
        <w:t xml:space="preserve"> </w:t>
      </w:r>
      <w:r>
        <w:t>We will administer a separate cost questionnaire to at least three respondents from each of six AOT sites</w:t>
      </w:r>
      <w:r w:rsidR="00D72761">
        <w:t xml:space="preserve"> on two occasions, once annually</w:t>
      </w:r>
      <w:r>
        <w:t xml:space="preserve">. The three respondents will be a representative of the site’s psychiatric hospital, court system, and community treatment provider. Questionnaires will be tailored to each type of respondent. </w:t>
      </w:r>
      <w:r w:rsidR="000F1436">
        <w:t>The following table</w:t>
      </w:r>
      <w:r>
        <w:t xml:space="preserve"> provides more detailed figures of the expected number of respondents to the cost questionnaires.</w:t>
      </w:r>
    </w:p>
    <w:p w14:paraId="6A1F0830" w14:textId="77777777" w:rsidR="006C30B2" w:rsidRDefault="006C30B2" w:rsidP="006C30B2"/>
    <w:tbl>
      <w:tblPr>
        <w:tblStyle w:val="TableGrid"/>
        <w:tblW w:w="3416" w:type="pct"/>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2027"/>
      </w:tblGrid>
      <w:tr w:rsidR="007E073E" w:rsidRPr="007E073E" w14:paraId="5E6280A0" w14:textId="77777777" w:rsidTr="006E5FA7">
        <w:tc>
          <w:tcPr>
            <w:tcW w:w="3451" w:type="pct"/>
            <w:tcBorders>
              <w:top w:val="single" w:sz="4" w:space="0" w:color="auto"/>
              <w:bottom w:val="single" w:sz="4" w:space="0" w:color="auto"/>
            </w:tcBorders>
          </w:tcPr>
          <w:p w14:paraId="344C83D3" w14:textId="77777777" w:rsidR="007E073E" w:rsidRPr="007E073E" w:rsidRDefault="007E073E" w:rsidP="006E5FA7">
            <w:pPr>
              <w:rPr>
                <w:b/>
              </w:rPr>
            </w:pPr>
            <w:r w:rsidRPr="007E073E">
              <w:rPr>
                <w:b/>
              </w:rPr>
              <w:t>Site</w:t>
            </w:r>
          </w:p>
        </w:tc>
        <w:tc>
          <w:tcPr>
            <w:tcW w:w="1549" w:type="pct"/>
            <w:tcBorders>
              <w:top w:val="single" w:sz="4" w:space="0" w:color="auto"/>
              <w:bottom w:val="single" w:sz="4" w:space="0" w:color="auto"/>
            </w:tcBorders>
            <w:vAlign w:val="center"/>
          </w:tcPr>
          <w:p w14:paraId="766A12DC" w14:textId="77777777" w:rsidR="007E073E" w:rsidRPr="007E073E" w:rsidRDefault="007E073E" w:rsidP="006E5FA7">
            <w:pPr>
              <w:jc w:val="center"/>
              <w:rPr>
                <w:b/>
              </w:rPr>
            </w:pPr>
            <w:r w:rsidRPr="007E073E">
              <w:rPr>
                <w:b/>
              </w:rPr>
              <w:t xml:space="preserve">Number of </w:t>
            </w:r>
            <w:r>
              <w:rPr>
                <w:b/>
              </w:rPr>
              <w:t>R</w:t>
            </w:r>
            <w:r w:rsidRPr="007E073E">
              <w:rPr>
                <w:b/>
              </w:rPr>
              <w:t>espondents</w:t>
            </w:r>
          </w:p>
        </w:tc>
      </w:tr>
      <w:tr w:rsidR="007E073E" w:rsidRPr="007E073E" w14:paraId="1072EC10" w14:textId="77777777" w:rsidTr="006E5FA7">
        <w:trPr>
          <w:trHeight w:val="440"/>
        </w:trPr>
        <w:tc>
          <w:tcPr>
            <w:tcW w:w="3451" w:type="pct"/>
            <w:tcBorders>
              <w:top w:val="single" w:sz="4" w:space="0" w:color="auto"/>
            </w:tcBorders>
          </w:tcPr>
          <w:p w14:paraId="03ED59F6" w14:textId="77777777" w:rsidR="007E073E" w:rsidRPr="007E073E" w:rsidRDefault="007E073E" w:rsidP="006E5FA7">
            <w:r w:rsidRPr="007E073E">
              <w:t>AltaPointe Health Systems</w:t>
            </w:r>
          </w:p>
        </w:tc>
        <w:tc>
          <w:tcPr>
            <w:tcW w:w="1549" w:type="pct"/>
            <w:tcBorders>
              <w:top w:val="single" w:sz="4" w:space="0" w:color="auto"/>
            </w:tcBorders>
          </w:tcPr>
          <w:p w14:paraId="43A0F20E" w14:textId="09E9C917" w:rsidR="007E073E" w:rsidRPr="007E073E" w:rsidRDefault="007E073E" w:rsidP="006E5FA7">
            <w:pPr>
              <w:jc w:val="center"/>
            </w:pPr>
            <w:r>
              <w:t>3</w:t>
            </w:r>
          </w:p>
        </w:tc>
      </w:tr>
      <w:tr w:rsidR="007E073E" w:rsidRPr="007E073E" w14:paraId="3292FD30" w14:textId="77777777" w:rsidTr="006E5FA7">
        <w:trPr>
          <w:trHeight w:val="450"/>
        </w:trPr>
        <w:tc>
          <w:tcPr>
            <w:tcW w:w="3451" w:type="pct"/>
          </w:tcPr>
          <w:p w14:paraId="23D6E7A6" w14:textId="77777777" w:rsidR="007E073E" w:rsidRPr="007E073E" w:rsidRDefault="007E073E" w:rsidP="006E5FA7">
            <w:r w:rsidRPr="007E073E">
              <w:t>Cook County Health and Hospital System</w:t>
            </w:r>
          </w:p>
        </w:tc>
        <w:tc>
          <w:tcPr>
            <w:tcW w:w="1549" w:type="pct"/>
          </w:tcPr>
          <w:p w14:paraId="068189E0" w14:textId="7E6A5B1C" w:rsidR="007E073E" w:rsidRPr="007E073E" w:rsidRDefault="007E073E" w:rsidP="006E5FA7">
            <w:pPr>
              <w:jc w:val="center"/>
            </w:pPr>
            <w:r>
              <w:t>3</w:t>
            </w:r>
          </w:p>
        </w:tc>
      </w:tr>
      <w:tr w:rsidR="007E073E" w:rsidRPr="007E073E" w14:paraId="5C0BCA97" w14:textId="77777777" w:rsidTr="006E5FA7">
        <w:trPr>
          <w:trHeight w:val="450"/>
        </w:trPr>
        <w:tc>
          <w:tcPr>
            <w:tcW w:w="3451" w:type="pct"/>
          </w:tcPr>
          <w:p w14:paraId="4C07F7B9" w14:textId="77777777" w:rsidR="007E073E" w:rsidRPr="007E073E" w:rsidRDefault="007E073E" w:rsidP="006E5FA7">
            <w:r w:rsidRPr="007E073E">
              <w:t>Hinds County Mental Health Commission</w:t>
            </w:r>
          </w:p>
        </w:tc>
        <w:tc>
          <w:tcPr>
            <w:tcW w:w="1549" w:type="pct"/>
          </w:tcPr>
          <w:p w14:paraId="68B75383" w14:textId="19FFC62E" w:rsidR="007E073E" w:rsidRPr="007E073E" w:rsidRDefault="007E073E" w:rsidP="006E5FA7">
            <w:pPr>
              <w:jc w:val="center"/>
            </w:pPr>
            <w:r>
              <w:t>3</w:t>
            </w:r>
          </w:p>
        </w:tc>
      </w:tr>
      <w:tr w:rsidR="007E073E" w:rsidRPr="007E073E" w14:paraId="29BF446F" w14:textId="77777777" w:rsidTr="006E5FA7">
        <w:trPr>
          <w:trHeight w:val="450"/>
        </w:trPr>
        <w:tc>
          <w:tcPr>
            <w:tcW w:w="3451" w:type="pct"/>
          </w:tcPr>
          <w:p w14:paraId="4B67E250" w14:textId="77777777" w:rsidR="007E073E" w:rsidRPr="007E073E" w:rsidRDefault="007E073E" w:rsidP="006E5FA7">
            <w:r w:rsidRPr="007E073E">
              <w:t>Doña Ana County</w:t>
            </w:r>
          </w:p>
        </w:tc>
        <w:tc>
          <w:tcPr>
            <w:tcW w:w="1549" w:type="pct"/>
          </w:tcPr>
          <w:p w14:paraId="6B6200A2" w14:textId="1C494D2F" w:rsidR="007E073E" w:rsidRPr="007E073E" w:rsidRDefault="007E073E" w:rsidP="006E5FA7">
            <w:pPr>
              <w:jc w:val="center"/>
            </w:pPr>
            <w:r>
              <w:t>3</w:t>
            </w:r>
          </w:p>
        </w:tc>
      </w:tr>
      <w:tr w:rsidR="007E073E" w:rsidRPr="007E073E" w14:paraId="5B8797C7" w14:textId="77777777" w:rsidTr="006E5FA7">
        <w:trPr>
          <w:trHeight w:val="450"/>
        </w:trPr>
        <w:tc>
          <w:tcPr>
            <w:tcW w:w="3451" w:type="pct"/>
          </w:tcPr>
          <w:p w14:paraId="29B11A49" w14:textId="77777777" w:rsidR="007E073E" w:rsidRPr="007E073E" w:rsidRDefault="007E073E" w:rsidP="006E5FA7">
            <w:r w:rsidRPr="007E073E">
              <w:t>ADAMHSBCC</w:t>
            </w:r>
          </w:p>
        </w:tc>
        <w:tc>
          <w:tcPr>
            <w:tcW w:w="1549" w:type="pct"/>
          </w:tcPr>
          <w:p w14:paraId="0A4A32B2" w14:textId="58BA1AB9" w:rsidR="007E073E" w:rsidRPr="007E073E" w:rsidRDefault="007E073E" w:rsidP="006E5FA7">
            <w:pPr>
              <w:jc w:val="center"/>
            </w:pPr>
            <w:r>
              <w:t>3</w:t>
            </w:r>
          </w:p>
        </w:tc>
      </w:tr>
      <w:tr w:rsidR="007E073E" w:rsidRPr="007E073E" w14:paraId="67AC1348" w14:textId="77777777" w:rsidTr="006E5FA7">
        <w:trPr>
          <w:trHeight w:val="387"/>
        </w:trPr>
        <w:tc>
          <w:tcPr>
            <w:tcW w:w="3451" w:type="pct"/>
            <w:tcBorders>
              <w:bottom w:val="single" w:sz="4" w:space="0" w:color="auto"/>
            </w:tcBorders>
          </w:tcPr>
          <w:p w14:paraId="7BD68136" w14:textId="77777777" w:rsidR="007E073E" w:rsidRPr="007E073E" w:rsidRDefault="007E073E" w:rsidP="006E5FA7">
            <w:r w:rsidRPr="007E073E">
              <w:t>ODMHSAS</w:t>
            </w:r>
          </w:p>
        </w:tc>
        <w:tc>
          <w:tcPr>
            <w:tcW w:w="1549" w:type="pct"/>
            <w:tcBorders>
              <w:bottom w:val="single" w:sz="4" w:space="0" w:color="auto"/>
            </w:tcBorders>
          </w:tcPr>
          <w:p w14:paraId="6F27DF3D" w14:textId="58315197" w:rsidR="007E073E" w:rsidRPr="007E073E" w:rsidRDefault="007E073E" w:rsidP="006E5FA7">
            <w:pPr>
              <w:jc w:val="center"/>
            </w:pPr>
            <w:r>
              <w:t>3</w:t>
            </w:r>
          </w:p>
        </w:tc>
      </w:tr>
      <w:tr w:rsidR="007E073E" w:rsidRPr="007E073E" w14:paraId="23541BF8" w14:textId="77777777" w:rsidTr="006E5FA7">
        <w:trPr>
          <w:trHeight w:val="458"/>
        </w:trPr>
        <w:tc>
          <w:tcPr>
            <w:tcW w:w="3451" w:type="pct"/>
            <w:tcBorders>
              <w:top w:val="single" w:sz="4" w:space="0" w:color="auto"/>
              <w:bottom w:val="single" w:sz="4" w:space="0" w:color="auto"/>
            </w:tcBorders>
            <w:vAlign w:val="center"/>
          </w:tcPr>
          <w:p w14:paraId="4F6C8F31" w14:textId="77777777" w:rsidR="007E073E" w:rsidRPr="007E073E" w:rsidRDefault="007E073E" w:rsidP="006E5FA7">
            <w:pPr>
              <w:rPr>
                <w:b/>
              </w:rPr>
            </w:pPr>
            <w:r w:rsidRPr="007E073E">
              <w:rPr>
                <w:b/>
              </w:rPr>
              <w:t>Total</w:t>
            </w:r>
          </w:p>
        </w:tc>
        <w:tc>
          <w:tcPr>
            <w:tcW w:w="1549" w:type="pct"/>
            <w:tcBorders>
              <w:top w:val="single" w:sz="4" w:space="0" w:color="auto"/>
              <w:bottom w:val="single" w:sz="4" w:space="0" w:color="auto"/>
            </w:tcBorders>
            <w:vAlign w:val="center"/>
          </w:tcPr>
          <w:p w14:paraId="12BE2312" w14:textId="394CCF23" w:rsidR="007E073E" w:rsidRPr="007E073E" w:rsidRDefault="007E073E" w:rsidP="006E5FA7">
            <w:pPr>
              <w:jc w:val="center"/>
              <w:rPr>
                <w:b/>
              </w:rPr>
            </w:pPr>
            <w:r>
              <w:rPr>
                <w:b/>
              </w:rPr>
              <w:t>18</w:t>
            </w:r>
          </w:p>
        </w:tc>
      </w:tr>
    </w:tbl>
    <w:p w14:paraId="6B33F960" w14:textId="3F8E5912" w:rsidR="006C30B2" w:rsidRDefault="006C30B2" w:rsidP="006C30B2"/>
    <w:p w14:paraId="52FBD517" w14:textId="7FA6E83E" w:rsidR="00E14C73" w:rsidRPr="006E0FFB" w:rsidRDefault="00E14C73" w:rsidP="0090704D">
      <w:pPr>
        <w:ind w:left="720"/>
      </w:pPr>
      <w:r w:rsidRPr="0090704D">
        <w:rPr>
          <w:b/>
        </w:rPr>
        <w:t>Docket Case Monitoring Form:</w:t>
      </w:r>
      <w:r w:rsidR="0090704D">
        <w:rPr>
          <w:b/>
        </w:rPr>
        <w:t xml:space="preserve"> </w:t>
      </w:r>
      <w:r w:rsidR="00694007">
        <w:t xml:space="preserve">One respondent at each </w:t>
      </w:r>
      <w:r w:rsidR="006E0FFB">
        <w:t>site</w:t>
      </w:r>
      <w:r w:rsidR="00694007">
        <w:t xml:space="preserve"> will enter information about each program participant’s court hearing, from the petition hearing to the final hearing terminat</w:t>
      </w:r>
      <w:r w:rsidR="006E0FFB">
        <w:t>ing</w:t>
      </w:r>
      <w:r w:rsidR="00694007">
        <w:t xml:space="preserve"> an AOT order, into the Docket Case Monitoring Form. One respondent at each site</w:t>
      </w:r>
      <w:r w:rsidR="000C7DFA">
        <w:t xml:space="preserve"> will enter a response for each court hearing. The respondent is expected to</w:t>
      </w:r>
      <w:r w:rsidR="006E0FFB">
        <w:t xml:space="preserve"> be an</w:t>
      </w:r>
      <w:r w:rsidR="000C7DFA">
        <w:t xml:space="preserve"> AOT </w:t>
      </w:r>
      <w:r w:rsidR="006E0FFB">
        <w:t>local evaluator</w:t>
      </w:r>
      <w:r w:rsidR="00721E4F">
        <w:t>.</w:t>
      </w:r>
    </w:p>
    <w:p w14:paraId="39CC0589" w14:textId="62FD2319" w:rsidR="0090704D" w:rsidRDefault="0090704D" w:rsidP="0090704D">
      <w:pPr>
        <w:ind w:left="720"/>
        <w:rPr>
          <w:b/>
        </w:rPr>
      </w:pPr>
    </w:p>
    <w:tbl>
      <w:tblPr>
        <w:tblStyle w:val="TableGrid"/>
        <w:tblW w:w="3416" w:type="pct"/>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2027"/>
      </w:tblGrid>
      <w:tr w:rsidR="0090704D" w:rsidRPr="007E073E" w14:paraId="35D93EAD" w14:textId="77777777" w:rsidTr="006A242F">
        <w:tc>
          <w:tcPr>
            <w:tcW w:w="3451" w:type="pct"/>
            <w:tcBorders>
              <w:top w:val="single" w:sz="4" w:space="0" w:color="auto"/>
              <w:bottom w:val="single" w:sz="4" w:space="0" w:color="auto"/>
            </w:tcBorders>
          </w:tcPr>
          <w:p w14:paraId="2072D5FE" w14:textId="77777777" w:rsidR="0090704D" w:rsidRPr="007E073E" w:rsidRDefault="0090704D" w:rsidP="006A242F">
            <w:pPr>
              <w:rPr>
                <w:b/>
              </w:rPr>
            </w:pPr>
            <w:r w:rsidRPr="007E073E">
              <w:rPr>
                <w:b/>
              </w:rPr>
              <w:t>Site</w:t>
            </w:r>
          </w:p>
        </w:tc>
        <w:tc>
          <w:tcPr>
            <w:tcW w:w="1549" w:type="pct"/>
            <w:tcBorders>
              <w:top w:val="single" w:sz="4" w:space="0" w:color="auto"/>
              <w:bottom w:val="single" w:sz="4" w:space="0" w:color="auto"/>
            </w:tcBorders>
            <w:vAlign w:val="center"/>
          </w:tcPr>
          <w:p w14:paraId="70883EAC" w14:textId="77777777" w:rsidR="0090704D" w:rsidRPr="007E073E" w:rsidRDefault="0090704D" w:rsidP="006A242F">
            <w:pPr>
              <w:jc w:val="center"/>
              <w:rPr>
                <w:b/>
              </w:rPr>
            </w:pPr>
            <w:r w:rsidRPr="007E073E">
              <w:rPr>
                <w:b/>
              </w:rPr>
              <w:t xml:space="preserve">Number of </w:t>
            </w:r>
            <w:r>
              <w:rPr>
                <w:b/>
              </w:rPr>
              <w:t>R</w:t>
            </w:r>
            <w:r w:rsidRPr="007E073E">
              <w:rPr>
                <w:b/>
              </w:rPr>
              <w:t>espondents</w:t>
            </w:r>
          </w:p>
        </w:tc>
      </w:tr>
      <w:tr w:rsidR="0090704D" w:rsidRPr="007E073E" w14:paraId="33A6A51F" w14:textId="77777777" w:rsidTr="006A242F">
        <w:trPr>
          <w:trHeight w:val="440"/>
        </w:trPr>
        <w:tc>
          <w:tcPr>
            <w:tcW w:w="3451" w:type="pct"/>
            <w:tcBorders>
              <w:top w:val="single" w:sz="4" w:space="0" w:color="auto"/>
            </w:tcBorders>
          </w:tcPr>
          <w:p w14:paraId="6A4645CB" w14:textId="77777777" w:rsidR="0090704D" w:rsidRPr="007E073E" w:rsidRDefault="0090704D" w:rsidP="006A242F">
            <w:r w:rsidRPr="007E073E">
              <w:t>AltaPointe Health Systems</w:t>
            </w:r>
          </w:p>
        </w:tc>
        <w:tc>
          <w:tcPr>
            <w:tcW w:w="1549" w:type="pct"/>
            <w:tcBorders>
              <w:top w:val="single" w:sz="4" w:space="0" w:color="auto"/>
            </w:tcBorders>
          </w:tcPr>
          <w:p w14:paraId="24F05982" w14:textId="6E7AE172" w:rsidR="0090704D" w:rsidRPr="007E073E" w:rsidRDefault="004A5C69" w:rsidP="006A242F">
            <w:pPr>
              <w:jc w:val="center"/>
            </w:pPr>
            <w:r>
              <w:t>1</w:t>
            </w:r>
          </w:p>
        </w:tc>
      </w:tr>
      <w:tr w:rsidR="0090704D" w:rsidRPr="007E073E" w14:paraId="2BA2288D" w14:textId="77777777" w:rsidTr="006A242F">
        <w:trPr>
          <w:trHeight w:val="450"/>
        </w:trPr>
        <w:tc>
          <w:tcPr>
            <w:tcW w:w="3451" w:type="pct"/>
          </w:tcPr>
          <w:p w14:paraId="1B196863" w14:textId="77777777" w:rsidR="0090704D" w:rsidRPr="007E073E" w:rsidRDefault="0090704D" w:rsidP="006A242F">
            <w:r w:rsidRPr="007E073E">
              <w:t>Cook County Health and Hospital System</w:t>
            </w:r>
          </w:p>
        </w:tc>
        <w:tc>
          <w:tcPr>
            <w:tcW w:w="1549" w:type="pct"/>
          </w:tcPr>
          <w:p w14:paraId="38C65470" w14:textId="7B27D097" w:rsidR="0090704D" w:rsidRPr="007E073E" w:rsidRDefault="004A5C69" w:rsidP="006A242F">
            <w:pPr>
              <w:jc w:val="center"/>
            </w:pPr>
            <w:r>
              <w:t>1</w:t>
            </w:r>
          </w:p>
        </w:tc>
      </w:tr>
      <w:tr w:rsidR="0090704D" w:rsidRPr="007E073E" w14:paraId="4CC2E9B6" w14:textId="77777777" w:rsidTr="006A242F">
        <w:trPr>
          <w:trHeight w:val="450"/>
        </w:trPr>
        <w:tc>
          <w:tcPr>
            <w:tcW w:w="3451" w:type="pct"/>
          </w:tcPr>
          <w:p w14:paraId="06FA773A" w14:textId="77777777" w:rsidR="0090704D" w:rsidRPr="007E073E" w:rsidRDefault="0090704D" w:rsidP="006A242F">
            <w:r w:rsidRPr="007E073E">
              <w:t>Hinds County Mental Health Commission</w:t>
            </w:r>
          </w:p>
        </w:tc>
        <w:tc>
          <w:tcPr>
            <w:tcW w:w="1549" w:type="pct"/>
          </w:tcPr>
          <w:p w14:paraId="51BCA2EB" w14:textId="417A2C90" w:rsidR="0090704D" w:rsidRPr="007E073E" w:rsidRDefault="004A5C69" w:rsidP="006A242F">
            <w:pPr>
              <w:jc w:val="center"/>
            </w:pPr>
            <w:r>
              <w:t>1</w:t>
            </w:r>
          </w:p>
        </w:tc>
      </w:tr>
      <w:tr w:rsidR="0090704D" w:rsidRPr="007E073E" w14:paraId="4149BFAD" w14:textId="77777777" w:rsidTr="006A242F">
        <w:trPr>
          <w:trHeight w:val="450"/>
        </w:trPr>
        <w:tc>
          <w:tcPr>
            <w:tcW w:w="3451" w:type="pct"/>
          </w:tcPr>
          <w:p w14:paraId="6C8CCAE0" w14:textId="77777777" w:rsidR="0090704D" w:rsidRPr="007E073E" w:rsidRDefault="0090704D" w:rsidP="006A242F">
            <w:r w:rsidRPr="007E073E">
              <w:t>Doña Ana County</w:t>
            </w:r>
          </w:p>
        </w:tc>
        <w:tc>
          <w:tcPr>
            <w:tcW w:w="1549" w:type="pct"/>
          </w:tcPr>
          <w:p w14:paraId="704FD275" w14:textId="070C65F6" w:rsidR="0090704D" w:rsidRPr="007E073E" w:rsidRDefault="004A5C69" w:rsidP="006A242F">
            <w:pPr>
              <w:jc w:val="center"/>
            </w:pPr>
            <w:r>
              <w:t>1</w:t>
            </w:r>
          </w:p>
        </w:tc>
      </w:tr>
      <w:tr w:rsidR="0090704D" w:rsidRPr="007E073E" w14:paraId="18F99787" w14:textId="77777777" w:rsidTr="006A242F">
        <w:trPr>
          <w:trHeight w:val="450"/>
        </w:trPr>
        <w:tc>
          <w:tcPr>
            <w:tcW w:w="3451" w:type="pct"/>
          </w:tcPr>
          <w:p w14:paraId="454B1C59" w14:textId="77777777" w:rsidR="0090704D" w:rsidRPr="007E073E" w:rsidRDefault="0090704D" w:rsidP="006A242F">
            <w:r w:rsidRPr="007E073E">
              <w:t>ADAMHSBCC</w:t>
            </w:r>
          </w:p>
        </w:tc>
        <w:tc>
          <w:tcPr>
            <w:tcW w:w="1549" w:type="pct"/>
          </w:tcPr>
          <w:p w14:paraId="6D8B6DA0" w14:textId="01B03316" w:rsidR="0090704D" w:rsidRPr="007E073E" w:rsidRDefault="004A5C69" w:rsidP="006A242F">
            <w:pPr>
              <w:jc w:val="center"/>
            </w:pPr>
            <w:r>
              <w:t>1</w:t>
            </w:r>
          </w:p>
        </w:tc>
      </w:tr>
      <w:tr w:rsidR="0090704D" w:rsidRPr="007E073E" w14:paraId="535AB17C" w14:textId="77777777" w:rsidTr="006A242F">
        <w:trPr>
          <w:trHeight w:val="387"/>
        </w:trPr>
        <w:tc>
          <w:tcPr>
            <w:tcW w:w="3451" w:type="pct"/>
            <w:tcBorders>
              <w:bottom w:val="single" w:sz="4" w:space="0" w:color="auto"/>
            </w:tcBorders>
          </w:tcPr>
          <w:p w14:paraId="3A36C805" w14:textId="77777777" w:rsidR="0090704D" w:rsidRPr="007E073E" w:rsidRDefault="0090704D" w:rsidP="006A242F">
            <w:r w:rsidRPr="007E073E">
              <w:t>ODMHSAS</w:t>
            </w:r>
          </w:p>
        </w:tc>
        <w:tc>
          <w:tcPr>
            <w:tcW w:w="1549" w:type="pct"/>
            <w:tcBorders>
              <w:bottom w:val="single" w:sz="4" w:space="0" w:color="auto"/>
            </w:tcBorders>
          </w:tcPr>
          <w:p w14:paraId="62A44793" w14:textId="5FA4869E" w:rsidR="0090704D" w:rsidRPr="007E073E" w:rsidRDefault="004A5C69" w:rsidP="006A242F">
            <w:pPr>
              <w:jc w:val="center"/>
            </w:pPr>
            <w:r>
              <w:t>1</w:t>
            </w:r>
          </w:p>
        </w:tc>
      </w:tr>
      <w:tr w:rsidR="0090704D" w:rsidRPr="007E073E" w14:paraId="137AF702" w14:textId="77777777" w:rsidTr="006A242F">
        <w:trPr>
          <w:trHeight w:val="458"/>
        </w:trPr>
        <w:tc>
          <w:tcPr>
            <w:tcW w:w="3451" w:type="pct"/>
            <w:tcBorders>
              <w:top w:val="single" w:sz="4" w:space="0" w:color="auto"/>
              <w:bottom w:val="single" w:sz="4" w:space="0" w:color="auto"/>
            </w:tcBorders>
            <w:vAlign w:val="center"/>
          </w:tcPr>
          <w:p w14:paraId="5957CF24" w14:textId="77777777" w:rsidR="0090704D" w:rsidRPr="007E073E" w:rsidRDefault="0090704D" w:rsidP="006A242F">
            <w:pPr>
              <w:rPr>
                <w:b/>
              </w:rPr>
            </w:pPr>
            <w:r w:rsidRPr="007E073E">
              <w:rPr>
                <w:b/>
              </w:rPr>
              <w:t>Total</w:t>
            </w:r>
          </w:p>
        </w:tc>
        <w:tc>
          <w:tcPr>
            <w:tcW w:w="1549" w:type="pct"/>
            <w:tcBorders>
              <w:top w:val="single" w:sz="4" w:space="0" w:color="auto"/>
              <w:bottom w:val="single" w:sz="4" w:space="0" w:color="auto"/>
            </w:tcBorders>
            <w:vAlign w:val="center"/>
          </w:tcPr>
          <w:p w14:paraId="18B283E7" w14:textId="45CD3B02" w:rsidR="0090704D" w:rsidRPr="007E073E" w:rsidRDefault="004A5C69" w:rsidP="006A242F">
            <w:pPr>
              <w:jc w:val="center"/>
              <w:rPr>
                <w:b/>
              </w:rPr>
            </w:pPr>
            <w:r>
              <w:rPr>
                <w:b/>
              </w:rPr>
              <w:t>6</w:t>
            </w:r>
          </w:p>
        </w:tc>
      </w:tr>
    </w:tbl>
    <w:p w14:paraId="2438571E" w14:textId="77777777" w:rsidR="0090704D" w:rsidRPr="0090704D" w:rsidRDefault="0090704D" w:rsidP="0090704D">
      <w:pPr>
        <w:ind w:left="720"/>
        <w:rPr>
          <w:b/>
        </w:rPr>
      </w:pPr>
    </w:p>
    <w:p w14:paraId="69AB964E" w14:textId="192E7732" w:rsidR="0090704D" w:rsidRDefault="0090704D" w:rsidP="0090704D">
      <w:pPr>
        <w:ind w:left="720"/>
        <w:rPr>
          <w:b/>
        </w:rPr>
      </w:pPr>
      <w:r>
        <w:rPr>
          <w:b/>
        </w:rPr>
        <w:t>AOT Characteristics</w:t>
      </w:r>
      <w:r w:rsidRPr="0090704D">
        <w:rPr>
          <w:b/>
        </w:rPr>
        <w:t xml:space="preserve"> Form:</w:t>
      </w:r>
      <w:r>
        <w:rPr>
          <w:b/>
        </w:rPr>
        <w:t xml:space="preserve"> </w:t>
      </w:r>
      <w:r w:rsidR="006E0FFB">
        <w:t>The AOT characteristics form will be completed on a monthly basis by a local evaluator at each site. The table below shows the number of respondents across sites.</w:t>
      </w:r>
    </w:p>
    <w:p w14:paraId="76B20D0B" w14:textId="77777777" w:rsidR="0090704D" w:rsidRDefault="0090704D" w:rsidP="0090704D">
      <w:pPr>
        <w:ind w:left="720"/>
        <w:rPr>
          <w:b/>
        </w:rPr>
      </w:pPr>
    </w:p>
    <w:tbl>
      <w:tblPr>
        <w:tblStyle w:val="TableGrid"/>
        <w:tblW w:w="3416" w:type="pct"/>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2027"/>
      </w:tblGrid>
      <w:tr w:rsidR="0090704D" w:rsidRPr="007E073E" w14:paraId="6D84C987" w14:textId="77777777" w:rsidTr="006A242F">
        <w:tc>
          <w:tcPr>
            <w:tcW w:w="3451" w:type="pct"/>
            <w:tcBorders>
              <w:top w:val="single" w:sz="4" w:space="0" w:color="auto"/>
              <w:bottom w:val="single" w:sz="4" w:space="0" w:color="auto"/>
            </w:tcBorders>
          </w:tcPr>
          <w:p w14:paraId="27AB4F9D" w14:textId="77777777" w:rsidR="0090704D" w:rsidRPr="007E073E" w:rsidRDefault="0090704D" w:rsidP="006A242F">
            <w:pPr>
              <w:rPr>
                <w:b/>
              </w:rPr>
            </w:pPr>
            <w:r w:rsidRPr="007E073E">
              <w:rPr>
                <w:b/>
              </w:rPr>
              <w:t>Site</w:t>
            </w:r>
          </w:p>
        </w:tc>
        <w:tc>
          <w:tcPr>
            <w:tcW w:w="1549" w:type="pct"/>
            <w:tcBorders>
              <w:top w:val="single" w:sz="4" w:space="0" w:color="auto"/>
              <w:bottom w:val="single" w:sz="4" w:space="0" w:color="auto"/>
            </w:tcBorders>
            <w:vAlign w:val="center"/>
          </w:tcPr>
          <w:p w14:paraId="721A142C" w14:textId="77777777" w:rsidR="0090704D" w:rsidRPr="007E073E" w:rsidRDefault="0090704D" w:rsidP="006A242F">
            <w:pPr>
              <w:jc w:val="center"/>
              <w:rPr>
                <w:b/>
              </w:rPr>
            </w:pPr>
            <w:r w:rsidRPr="007E073E">
              <w:rPr>
                <w:b/>
              </w:rPr>
              <w:t xml:space="preserve">Number of </w:t>
            </w:r>
            <w:r>
              <w:rPr>
                <w:b/>
              </w:rPr>
              <w:t>R</w:t>
            </w:r>
            <w:r w:rsidRPr="007E073E">
              <w:rPr>
                <w:b/>
              </w:rPr>
              <w:t>espondents</w:t>
            </w:r>
          </w:p>
        </w:tc>
      </w:tr>
      <w:tr w:rsidR="0090704D" w:rsidRPr="007E073E" w14:paraId="28B0B9B4" w14:textId="77777777" w:rsidTr="006A242F">
        <w:trPr>
          <w:trHeight w:val="440"/>
        </w:trPr>
        <w:tc>
          <w:tcPr>
            <w:tcW w:w="3451" w:type="pct"/>
            <w:tcBorders>
              <w:top w:val="single" w:sz="4" w:space="0" w:color="auto"/>
            </w:tcBorders>
          </w:tcPr>
          <w:p w14:paraId="1A342F77" w14:textId="77777777" w:rsidR="0090704D" w:rsidRPr="007E073E" w:rsidRDefault="0090704D" w:rsidP="006A242F">
            <w:r w:rsidRPr="007E073E">
              <w:t>AltaPointe Health Systems</w:t>
            </w:r>
          </w:p>
        </w:tc>
        <w:tc>
          <w:tcPr>
            <w:tcW w:w="1549" w:type="pct"/>
            <w:tcBorders>
              <w:top w:val="single" w:sz="4" w:space="0" w:color="auto"/>
            </w:tcBorders>
          </w:tcPr>
          <w:p w14:paraId="5F0D9F9A" w14:textId="1FAC9188" w:rsidR="0090704D" w:rsidRPr="007E073E" w:rsidRDefault="006E0FFB" w:rsidP="006A242F">
            <w:pPr>
              <w:jc w:val="center"/>
            </w:pPr>
            <w:r>
              <w:t>1</w:t>
            </w:r>
          </w:p>
        </w:tc>
      </w:tr>
      <w:tr w:rsidR="0090704D" w:rsidRPr="007E073E" w14:paraId="55E1FFA7" w14:textId="77777777" w:rsidTr="006A242F">
        <w:trPr>
          <w:trHeight w:val="450"/>
        </w:trPr>
        <w:tc>
          <w:tcPr>
            <w:tcW w:w="3451" w:type="pct"/>
          </w:tcPr>
          <w:p w14:paraId="1ED0F14E" w14:textId="77777777" w:rsidR="0090704D" w:rsidRPr="007E073E" w:rsidRDefault="0090704D" w:rsidP="006A242F">
            <w:r w:rsidRPr="007E073E">
              <w:t>Cook County Health and Hospital System</w:t>
            </w:r>
          </w:p>
        </w:tc>
        <w:tc>
          <w:tcPr>
            <w:tcW w:w="1549" w:type="pct"/>
          </w:tcPr>
          <w:p w14:paraId="50C5F8AE" w14:textId="3A57CBFF" w:rsidR="0090704D" w:rsidRPr="007E073E" w:rsidRDefault="006E0FFB" w:rsidP="006A242F">
            <w:pPr>
              <w:jc w:val="center"/>
            </w:pPr>
            <w:r>
              <w:t>1</w:t>
            </w:r>
          </w:p>
        </w:tc>
      </w:tr>
      <w:tr w:rsidR="0090704D" w:rsidRPr="007E073E" w14:paraId="6FC9EE41" w14:textId="77777777" w:rsidTr="006A242F">
        <w:trPr>
          <w:trHeight w:val="450"/>
        </w:trPr>
        <w:tc>
          <w:tcPr>
            <w:tcW w:w="3451" w:type="pct"/>
          </w:tcPr>
          <w:p w14:paraId="5A199EB4" w14:textId="77777777" w:rsidR="0090704D" w:rsidRPr="007E073E" w:rsidRDefault="0090704D" w:rsidP="006A242F">
            <w:r w:rsidRPr="007E073E">
              <w:t>Hinds County Mental Health Commission</w:t>
            </w:r>
          </w:p>
        </w:tc>
        <w:tc>
          <w:tcPr>
            <w:tcW w:w="1549" w:type="pct"/>
          </w:tcPr>
          <w:p w14:paraId="23EA54F5" w14:textId="5539DB50" w:rsidR="0090704D" w:rsidRPr="007E073E" w:rsidRDefault="006E0FFB" w:rsidP="006A242F">
            <w:pPr>
              <w:jc w:val="center"/>
            </w:pPr>
            <w:r>
              <w:t>1</w:t>
            </w:r>
          </w:p>
        </w:tc>
      </w:tr>
      <w:tr w:rsidR="0090704D" w:rsidRPr="007E073E" w14:paraId="10EDEB45" w14:textId="77777777" w:rsidTr="006A242F">
        <w:trPr>
          <w:trHeight w:val="450"/>
        </w:trPr>
        <w:tc>
          <w:tcPr>
            <w:tcW w:w="3451" w:type="pct"/>
          </w:tcPr>
          <w:p w14:paraId="30C616BF" w14:textId="77777777" w:rsidR="0090704D" w:rsidRPr="007E073E" w:rsidRDefault="0090704D" w:rsidP="006A242F">
            <w:r w:rsidRPr="007E073E">
              <w:t>Doña Ana County</w:t>
            </w:r>
          </w:p>
        </w:tc>
        <w:tc>
          <w:tcPr>
            <w:tcW w:w="1549" w:type="pct"/>
          </w:tcPr>
          <w:p w14:paraId="3A635CDA" w14:textId="279F788F" w:rsidR="0090704D" w:rsidRPr="007E073E" w:rsidRDefault="006E0FFB" w:rsidP="006A242F">
            <w:pPr>
              <w:jc w:val="center"/>
            </w:pPr>
            <w:r>
              <w:t>1</w:t>
            </w:r>
          </w:p>
        </w:tc>
      </w:tr>
      <w:tr w:rsidR="0090704D" w:rsidRPr="007E073E" w14:paraId="2798D92A" w14:textId="77777777" w:rsidTr="006A242F">
        <w:trPr>
          <w:trHeight w:val="450"/>
        </w:trPr>
        <w:tc>
          <w:tcPr>
            <w:tcW w:w="3451" w:type="pct"/>
          </w:tcPr>
          <w:p w14:paraId="126761E7" w14:textId="77777777" w:rsidR="0090704D" w:rsidRPr="007E073E" w:rsidRDefault="0090704D" w:rsidP="006A242F">
            <w:r w:rsidRPr="007E073E">
              <w:t>ADAMHSBCC</w:t>
            </w:r>
          </w:p>
        </w:tc>
        <w:tc>
          <w:tcPr>
            <w:tcW w:w="1549" w:type="pct"/>
          </w:tcPr>
          <w:p w14:paraId="2323985C" w14:textId="2BE0E064" w:rsidR="0090704D" w:rsidRPr="007E073E" w:rsidRDefault="006E0FFB" w:rsidP="006A242F">
            <w:pPr>
              <w:jc w:val="center"/>
            </w:pPr>
            <w:r>
              <w:t>1</w:t>
            </w:r>
          </w:p>
        </w:tc>
      </w:tr>
      <w:tr w:rsidR="0090704D" w:rsidRPr="007E073E" w14:paraId="0756163C" w14:textId="77777777" w:rsidTr="006A242F">
        <w:trPr>
          <w:trHeight w:val="387"/>
        </w:trPr>
        <w:tc>
          <w:tcPr>
            <w:tcW w:w="3451" w:type="pct"/>
            <w:tcBorders>
              <w:bottom w:val="single" w:sz="4" w:space="0" w:color="auto"/>
            </w:tcBorders>
          </w:tcPr>
          <w:p w14:paraId="2DCFEEA2" w14:textId="77777777" w:rsidR="0090704D" w:rsidRPr="007E073E" w:rsidRDefault="0090704D" w:rsidP="006A242F">
            <w:r w:rsidRPr="007E073E">
              <w:t>ODMHSAS</w:t>
            </w:r>
          </w:p>
        </w:tc>
        <w:tc>
          <w:tcPr>
            <w:tcW w:w="1549" w:type="pct"/>
            <w:tcBorders>
              <w:bottom w:val="single" w:sz="4" w:space="0" w:color="auto"/>
            </w:tcBorders>
          </w:tcPr>
          <w:p w14:paraId="1D02968B" w14:textId="6D0D1905" w:rsidR="0090704D" w:rsidRPr="007E073E" w:rsidRDefault="006E0FFB" w:rsidP="006A242F">
            <w:pPr>
              <w:jc w:val="center"/>
            </w:pPr>
            <w:r>
              <w:t>1</w:t>
            </w:r>
          </w:p>
        </w:tc>
      </w:tr>
      <w:tr w:rsidR="0090704D" w:rsidRPr="007E073E" w14:paraId="1370DD77" w14:textId="77777777" w:rsidTr="006A242F">
        <w:trPr>
          <w:trHeight w:val="458"/>
        </w:trPr>
        <w:tc>
          <w:tcPr>
            <w:tcW w:w="3451" w:type="pct"/>
            <w:tcBorders>
              <w:top w:val="single" w:sz="4" w:space="0" w:color="auto"/>
              <w:bottom w:val="single" w:sz="4" w:space="0" w:color="auto"/>
            </w:tcBorders>
            <w:vAlign w:val="center"/>
          </w:tcPr>
          <w:p w14:paraId="0C9FB712" w14:textId="77777777" w:rsidR="0090704D" w:rsidRPr="007E073E" w:rsidRDefault="0090704D" w:rsidP="006A242F">
            <w:pPr>
              <w:rPr>
                <w:b/>
              </w:rPr>
            </w:pPr>
            <w:r w:rsidRPr="007E073E">
              <w:rPr>
                <w:b/>
              </w:rPr>
              <w:t>Total</w:t>
            </w:r>
          </w:p>
        </w:tc>
        <w:tc>
          <w:tcPr>
            <w:tcW w:w="1549" w:type="pct"/>
            <w:tcBorders>
              <w:top w:val="single" w:sz="4" w:space="0" w:color="auto"/>
              <w:bottom w:val="single" w:sz="4" w:space="0" w:color="auto"/>
            </w:tcBorders>
            <w:vAlign w:val="center"/>
          </w:tcPr>
          <w:p w14:paraId="663ED4A6" w14:textId="2A85B39A" w:rsidR="0090704D" w:rsidRPr="007E073E" w:rsidRDefault="006E0FFB" w:rsidP="006A242F">
            <w:pPr>
              <w:jc w:val="center"/>
              <w:rPr>
                <w:b/>
              </w:rPr>
            </w:pPr>
            <w:r>
              <w:rPr>
                <w:b/>
              </w:rPr>
              <w:t>6</w:t>
            </w:r>
          </w:p>
        </w:tc>
      </w:tr>
    </w:tbl>
    <w:p w14:paraId="5A4048F7" w14:textId="77777777" w:rsidR="00E14C73" w:rsidRDefault="00E14C73" w:rsidP="006C30B2"/>
    <w:p w14:paraId="43F2C785" w14:textId="77777777" w:rsidR="006C30B2" w:rsidRDefault="006C30B2" w:rsidP="006C30B2">
      <w:pPr>
        <w:pStyle w:val="ListParagraph"/>
        <w:numPr>
          <w:ilvl w:val="0"/>
          <w:numId w:val="12"/>
        </w:numPr>
        <w:rPr>
          <w:b/>
        </w:rPr>
      </w:pPr>
      <w:r>
        <w:rPr>
          <w:b/>
        </w:rPr>
        <w:t>Procedures for Collection of Information</w:t>
      </w:r>
    </w:p>
    <w:p w14:paraId="53DD05AB" w14:textId="77777777" w:rsidR="006C30B2" w:rsidRDefault="006C30B2" w:rsidP="006C30B2">
      <w:pPr>
        <w:pStyle w:val="ListParagraph"/>
        <w:rPr>
          <w:b/>
        </w:rPr>
      </w:pPr>
    </w:p>
    <w:p w14:paraId="612F4E7B" w14:textId="166A613F" w:rsidR="006C30B2" w:rsidRPr="00895198" w:rsidRDefault="00EF0BDD" w:rsidP="006C30B2">
      <w:pPr>
        <w:pStyle w:val="ListParagraph"/>
        <w:numPr>
          <w:ilvl w:val="0"/>
          <w:numId w:val="13"/>
        </w:numPr>
        <w:rPr>
          <w:b/>
        </w:rPr>
      </w:pPr>
      <w:r w:rsidRPr="00EF0BDD">
        <w:rPr>
          <w:u w:val="single"/>
        </w:rPr>
        <w:t>Structured client interview</w:t>
      </w:r>
      <w:r w:rsidR="006C30B2" w:rsidRPr="00EF0BDD">
        <w:rPr>
          <w:u w:val="single"/>
        </w:rPr>
        <w:t>.</w:t>
      </w:r>
      <w:r w:rsidR="006C30B2">
        <w:rPr>
          <w:b/>
        </w:rPr>
        <w:t xml:space="preserve"> </w:t>
      </w:r>
      <w:r w:rsidR="006C30B2" w:rsidRPr="00895198">
        <w:t>We will provide training to local evaluators and/or site clinicians to conduct face-to-face interviews with clients. While site clinicians may be used, we will stipulate that non-treating clinicians conduct these interviews.</w:t>
      </w:r>
      <w:r w:rsidR="006C30B2">
        <w:t xml:space="preserve"> Interviews wil</w:t>
      </w:r>
      <w:r w:rsidR="007E073E">
        <w:t>l be conducted every six months, beginning at baseline entry to AOT</w:t>
      </w:r>
      <w:r w:rsidR="006D1414">
        <w:t>, through 6 months following termination of the order</w:t>
      </w:r>
      <w:r w:rsidR="007E073E">
        <w:t>.</w:t>
      </w:r>
      <w:r w:rsidR="00A80C94">
        <w:t xml:space="preserve"> We will aim to sample from the entire universe of AOT participants and individuals encountered at comparison sites. All respondents will be asked to provide informed consent.</w:t>
      </w:r>
    </w:p>
    <w:p w14:paraId="6EE2AAF5" w14:textId="2538FB54" w:rsidR="006C30B2" w:rsidRPr="00BE4E3D" w:rsidRDefault="006C30B2" w:rsidP="006C30B2">
      <w:pPr>
        <w:pStyle w:val="ListParagraph"/>
        <w:numPr>
          <w:ilvl w:val="0"/>
          <w:numId w:val="13"/>
        </w:numPr>
        <w:rPr>
          <w:b/>
        </w:rPr>
      </w:pPr>
      <w:r w:rsidRPr="00EF0BDD">
        <w:rPr>
          <w:u w:val="single"/>
        </w:rPr>
        <w:t xml:space="preserve">Family </w:t>
      </w:r>
      <w:r w:rsidR="00EF0BDD" w:rsidRPr="00EF0BDD">
        <w:rPr>
          <w:u w:val="single"/>
        </w:rPr>
        <w:t>s</w:t>
      </w:r>
      <w:r w:rsidRPr="00EF0BDD">
        <w:rPr>
          <w:u w:val="single"/>
        </w:rPr>
        <w:t xml:space="preserve">atisfaction </w:t>
      </w:r>
      <w:r w:rsidR="00EF0BDD" w:rsidRPr="00EF0BDD">
        <w:rPr>
          <w:u w:val="single"/>
        </w:rPr>
        <w:t>s</w:t>
      </w:r>
      <w:r w:rsidRPr="00EF0BDD">
        <w:rPr>
          <w:u w:val="single"/>
        </w:rPr>
        <w:t>urvey.</w:t>
      </w:r>
      <w:r>
        <w:t xml:space="preserve"> We will administer a survey with family members of a random sample of AOT program participants. Random sampling will be conducted within each site.</w:t>
      </w:r>
      <w:r w:rsidR="00A80C94">
        <w:t xml:space="preserve"> We will conduct a simple random sample of all AOT participants. </w:t>
      </w:r>
    </w:p>
    <w:p w14:paraId="08C576E3" w14:textId="4F7747CF" w:rsidR="006C30B2" w:rsidRPr="006E0FFB" w:rsidRDefault="00EF0BDD" w:rsidP="006C30B2">
      <w:pPr>
        <w:pStyle w:val="ListParagraph"/>
        <w:numPr>
          <w:ilvl w:val="0"/>
          <w:numId w:val="13"/>
        </w:numPr>
        <w:rPr>
          <w:b/>
        </w:rPr>
      </w:pPr>
      <w:r>
        <w:rPr>
          <w:u w:val="single"/>
        </w:rPr>
        <w:t>Cost q</w:t>
      </w:r>
      <w:r w:rsidRPr="00EF0BDD">
        <w:rPr>
          <w:u w:val="single"/>
        </w:rPr>
        <w:t>uestionnaire</w:t>
      </w:r>
      <w:r w:rsidR="006C30B2" w:rsidRPr="00EF0BDD">
        <w:rPr>
          <w:u w:val="single"/>
        </w:rPr>
        <w:t>.</w:t>
      </w:r>
      <w:r w:rsidR="006C30B2">
        <w:t xml:space="preserve"> We will provide respondents with electronic-based worksheets to provide information about the costs of implementing and maintaining their AOT program. We will give respondents a short period of time to complete as much of the worksheet as they can. After they return their cost questionnaire worksheet, we will review the cost data they provide as well as other financial information available in budgets and federal financial reports. We will then schedule a follow-up interview to discuss their responses, and fill in any missing information that each respondent was unable to provide.</w:t>
      </w:r>
      <w:r w:rsidR="00D0559E">
        <w:t xml:space="preserve"> We will sample from the entire universe of AOT program administrators, court representatives, and state psychiatric hospital representatives to collect organization-specific costs associated with implementing and maintaining an AOT program.</w:t>
      </w:r>
    </w:p>
    <w:p w14:paraId="2E0AAFBD" w14:textId="62BB6F54" w:rsidR="0090704D" w:rsidRPr="006E0FFB" w:rsidRDefault="0090704D" w:rsidP="006C30B2">
      <w:pPr>
        <w:pStyle w:val="ListParagraph"/>
        <w:numPr>
          <w:ilvl w:val="0"/>
          <w:numId w:val="13"/>
        </w:numPr>
        <w:rPr>
          <w:b/>
        </w:rPr>
      </w:pPr>
      <w:r w:rsidRPr="006E0FFB">
        <w:rPr>
          <w:u w:val="single"/>
        </w:rPr>
        <w:t>Docket case monitoring form.</w:t>
      </w:r>
      <w:r>
        <w:t xml:space="preserve"> </w:t>
      </w:r>
      <w:r w:rsidR="0015653B">
        <w:t xml:space="preserve">We will provide respondents with an electronic-based worksheet </w:t>
      </w:r>
      <w:r w:rsidR="007A5703">
        <w:t>with instructions for when and how to register each response in the worksheet.</w:t>
      </w:r>
      <w:r w:rsidR="004E0059">
        <w:t xml:space="preserve"> Respondents will be asked to record information on each observed court hearing </w:t>
      </w:r>
      <w:r w:rsidR="006E0FFB">
        <w:t>that</w:t>
      </w:r>
      <w:r w:rsidR="004E0059">
        <w:t xml:space="preserve"> takes p</w:t>
      </w:r>
      <w:r w:rsidR="00097396">
        <w:t>lace.</w:t>
      </w:r>
    </w:p>
    <w:p w14:paraId="3D53139E" w14:textId="57F269D3" w:rsidR="0090704D" w:rsidRPr="00895198" w:rsidRDefault="0090704D" w:rsidP="006C30B2">
      <w:pPr>
        <w:pStyle w:val="ListParagraph"/>
        <w:numPr>
          <w:ilvl w:val="0"/>
          <w:numId w:val="13"/>
        </w:numPr>
        <w:rPr>
          <w:b/>
        </w:rPr>
      </w:pPr>
      <w:r w:rsidRPr="006E0FFB">
        <w:rPr>
          <w:u w:val="single"/>
        </w:rPr>
        <w:t>AOT characteristics form.</w:t>
      </w:r>
      <w:r>
        <w:t xml:space="preserve"> </w:t>
      </w:r>
      <w:r w:rsidR="006E0FFB">
        <w:t>We will provide respondents with an electronic-based form to provide information about the civil and legal processes of their AOT program. Local evaluators will complete this form once per month for the duration of the outcome evaluation.</w:t>
      </w:r>
    </w:p>
    <w:p w14:paraId="1A6E9BF0" w14:textId="77777777" w:rsidR="006C30B2" w:rsidRDefault="006C30B2" w:rsidP="006C30B2">
      <w:pPr>
        <w:ind w:firstLine="360"/>
      </w:pPr>
    </w:p>
    <w:p w14:paraId="206105E1" w14:textId="77777777" w:rsidR="006C30B2" w:rsidRDefault="006C30B2" w:rsidP="006C30B2">
      <w:pPr>
        <w:pStyle w:val="ListParagraph"/>
        <w:numPr>
          <w:ilvl w:val="0"/>
          <w:numId w:val="12"/>
        </w:numPr>
        <w:rPr>
          <w:b/>
        </w:rPr>
      </w:pPr>
      <w:r>
        <w:rPr>
          <w:b/>
        </w:rPr>
        <w:t>Methods to maximize response rates and to deal with nonresponse</w:t>
      </w:r>
    </w:p>
    <w:p w14:paraId="452B4B59" w14:textId="77777777" w:rsidR="006C30B2" w:rsidRDefault="006C30B2" w:rsidP="006C30B2">
      <w:pPr>
        <w:ind w:firstLine="360"/>
      </w:pPr>
    </w:p>
    <w:p w14:paraId="277F9E37" w14:textId="0144AF07" w:rsidR="001C1E9B" w:rsidRDefault="006C30B2" w:rsidP="00973C9A">
      <w:pPr>
        <w:ind w:left="720"/>
      </w:pPr>
      <w:r>
        <w:t xml:space="preserve">As a condition of the grant funding that AOT sites receive, programs are </w:t>
      </w:r>
      <w:r w:rsidR="00EC55EE">
        <w:t>mandated</w:t>
      </w:r>
      <w:r>
        <w:t xml:space="preserve"> to help with collecting data for the purposes of this evaluation. There are also funds in our evaluation budget to help support data collection activities that AOT grantees conduct on behalf of the evaluation. We will collaborate closely with local evaluators and other grantee personnel to help ameliorate issues they face in achieving a sufficient response rate to the structured client interview and family satisfaction survey. For the cost questionnaire, we will work closely with respondents to ensure that they are able to complete the worksheet and schedule follow-up interviews with us in a timely fashion.</w:t>
      </w:r>
    </w:p>
    <w:p w14:paraId="13D3FCF9" w14:textId="77777777" w:rsidR="006C30B2" w:rsidRDefault="006C30B2" w:rsidP="006C30B2">
      <w:pPr>
        <w:ind w:firstLine="360"/>
      </w:pPr>
    </w:p>
    <w:p w14:paraId="469CA9A2" w14:textId="77777777" w:rsidR="006C30B2" w:rsidRPr="00E56ED8" w:rsidRDefault="006C30B2" w:rsidP="006C30B2">
      <w:pPr>
        <w:pStyle w:val="ListParagraph"/>
        <w:numPr>
          <w:ilvl w:val="0"/>
          <w:numId w:val="12"/>
        </w:numPr>
        <w:rPr>
          <w:b/>
        </w:rPr>
      </w:pPr>
      <w:r>
        <w:rPr>
          <w:b/>
        </w:rPr>
        <w:t>Tests of procedures or methods to be undertaken</w:t>
      </w:r>
    </w:p>
    <w:p w14:paraId="03248924" w14:textId="77777777" w:rsidR="006C30B2" w:rsidRDefault="006C30B2" w:rsidP="006C30B2">
      <w:pPr>
        <w:ind w:firstLine="360"/>
      </w:pPr>
    </w:p>
    <w:p w14:paraId="2BADE306" w14:textId="3103178E" w:rsidR="006C30B2" w:rsidRDefault="006C30B2" w:rsidP="009B0204">
      <w:pPr>
        <w:ind w:left="720"/>
      </w:pPr>
      <w:r>
        <w:t xml:space="preserve">We will not do any formal testing of our procedures prior to conducting data collection. </w:t>
      </w:r>
      <w:r w:rsidR="00EC55EE">
        <w:t>All three</w:t>
      </w:r>
      <w:r>
        <w:t xml:space="preserve"> instruments</w:t>
      </w:r>
      <w:r w:rsidR="00EC55EE">
        <w:t xml:space="preserve"> and protocols are similar to those used without difficulty</w:t>
      </w:r>
      <w:r>
        <w:t xml:space="preserve"> in prior evaluation work</w:t>
      </w:r>
      <w:r w:rsidR="00EC55EE">
        <w:t xml:space="preserve"> by the study team.</w:t>
      </w:r>
    </w:p>
    <w:p w14:paraId="48EB38D2" w14:textId="77777777" w:rsidR="006C30B2" w:rsidRDefault="006C30B2" w:rsidP="006C30B2">
      <w:pPr>
        <w:ind w:firstLine="360"/>
      </w:pPr>
    </w:p>
    <w:p w14:paraId="02EFA064" w14:textId="77777777" w:rsidR="006C30B2" w:rsidRPr="00E56ED8" w:rsidRDefault="006C30B2" w:rsidP="006C30B2">
      <w:pPr>
        <w:pStyle w:val="ListParagraph"/>
        <w:numPr>
          <w:ilvl w:val="0"/>
          <w:numId w:val="12"/>
        </w:numPr>
        <w:rPr>
          <w:b/>
        </w:rPr>
      </w:pPr>
      <w:r>
        <w:rPr>
          <w:b/>
        </w:rPr>
        <w:t>Consultants on statistical aspects of the design and people who will collect and analyze the information</w:t>
      </w:r>
    </w:p>
    <w:p w14:paraId="3DE8D679" w14:textId="77777777" w:rsidR="006C30B2" w:rsidRDefault="006C30B2" w:rsidP="006C30B2">
      <w:pPr>
        <w:ind w:firstLine="360"/>
      </w:pPr>
    </w:p>
    <w:p w14:paraId="3A37B2E4" w14:textId="6E986A59" w:rsidR="006C30B2" w:rsidRPr="00936A56" w:rsidRDefault="00EC55EE" w:rsidP="00936A56">
      <w:pPr>
        <w:ind w:left="720"/>
      </w:pPr>
      <w:r>
        <w:t xml:space="preserve">In October 2016, ASPE awarded task order </w:t>
      </w:r>
      <w:r w:rsidRPr="002238BD">
        <w:t>#16-233-SOL-00683 to RTI International</w:t>
      </w:r>
      <w:r>
        <w:t xml:space="preserve"> and its subcontractors, </w:t>
      </w:r>
      <w:r w:rsidRPr="002238BD">
        <w:t>Duke University and P</w:t>
      </w:r>
      <w:r>
        <w:t xml:space="preserve">olicy Research Associates (PRA), to design and conduct </w:t>
      </w:r>
      <w:r w:rsidR="00EF0BDD">
        <w:t xml:space="preserve">the </w:t>
      </w:r>
      <w:r>
        <w:t>implementation and outcome evaluations. The study team includes Richard Van Dorn, Kiersten Johnson, and Will Parish of RTI International, Marvin Swartz of Duke University, and Hank Steadman and Brian Case of PRA. The study team designed the evaluation in conjunction with the HHS advisory committee and a technical advisory group.</w:t>
      </w:r>
      <w:r w:rsidR="006C30B2">
        <w:t xml:space="preserve"> </w:t>
      </w:r>
      <w:r w:rsidR="00EF0BDD">
        <w:t>The evaluation will be conducted by RTI and subcontractors under contract with ASPE.</w:t>
      </w:r>
    </w:p>
    <w:p w14:paraId="7A7BCC19" w14:textId="77777777" w:rsidR="006C30B2" w:rsidRDefault="006C30B2" w:rsidP="004E4C5B"/>
    <w:sectPr w:rsidR="006C30B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3F576" w14:textId="77777777" w:rsidR="00A3388A" w:rsidRDefault="00A3388A" w:rsidP="00B73692">
      <w:r>
        <w:separator/>
      </w:r>
    </w:p>
  </w:endnote>
  <w:endnote w:type="continuationSeparator" w:id="0">
    <w:p w14:paraId="7B72AAFC" w14:textId="77777777" w:rsidR="00A3388A" w:rsidRDefault="00A3388A" w:rsidP="00B7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71C89" w14:textId="77777777" w:rsidR="00A3388A" w:rsidRDefault="00A3388A" w:rsidP="00A338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BE5651" w14:textId="77777777" w:rsidR="00A3388A" w:rsidRDefault="00A3388A" w:rsidP="00291C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4B36A" w14:textId="4D4630F2" w:rsidR="00A3388A" w:rsidRDefault="00A3388A" w:rsidP="00A338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36D4">
      <w:rPr>
        <w:rStyle w:val="PageNumber"/>
        <w:noProof/>
      </w:rPr>
      <w:t>1</w:t>
    </w:r>
    <w:r>
      <w:rPr>
        <w:rStyle w:val="PageNumber"/>
      </w:rPr>
      <w:fldChar w:fldCharType="end"/>
    </w:r>
  </w:p>
  <w:p w14:paraId="0643D93B" w14:textId="77777777" w:rsidR="00A3388A" w:rsidRDefault="00A3388A" w:rsidP="00291C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ED883" w14:textId="77777777" w:rsidR="00A3388A" w:rsidRDefault="00A3388A" w:rsidP="00B73692">
      <w:r>
        <w:separator/>
      </w:r>
    </w:p>
  </w:footnote>
  <w:footnote w:type="continuationSeparator" w:id="0">
    <w:p w14:paraId="2950810D" w14:textId="77777777" w:rsidR="00A3388A" w:rsidRDefault="00A3388A" w:rsidP="00B73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7FE5"/>
    <w:multiLevelType w:val="hybridMultilevel"/>
    <w:tmpl w:val="B2BA1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B84FFA"/>
    <w:multiLevelType w:val="hybridMultilevel"/>
    <w:tmpl w:val="92C2C322"/>
    <w:lvl w:ilvl="0" w:tplc="8148342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45E67"/>
    <w:multiLevelType w:val="hybridMultilevel"/>
    <w:tmpl w:val="991C2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506CE"/>
    <w:multiLevelType w:val="hybridMultilevel"/>
    <w:tmpl w:val="9676B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22C48"/>
    <w:multiLevelType w:val="hybridMultilevel"/>
    <w:tmpl w:val="8F22910A"/>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FDEE1AC4">
      <w:start w:val="1"/>
      <w:numFmt w:val="lowerLetter"/>
      <w:lvlText w:val="%3."/>
      <w:lvlJc w:val="left"/>
      <w:pPr>
        <w:ind w:left="3240" w:hanging="360"/>
      </w:pPr>
      <w:rPr>
        <w:rFont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D86140"/>
    <w:multiLevelType w:val="hybridMultilevel"/>
    <w:tmpl w:val="47A4B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F425DB"/>
    <w:multiLevelType w:val="hybridMultilevel"/>
    <w:tmpl w:val="D3F60934"/>
    <w:lvl w:ilvl="0" w:tplc="09B4C374">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346F6E"/>
    <w:multiLevelType w:val="hybridMultilevel"/>
    <w:tmpl w:val="F5683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325BE6"/>
    <w:multiLevelType w:val="hybridMultilevel"/>
    <w:tmpl w:val="786AF5AA"/>
    <w:lvl w:ilvl="0" w:tplc="4E5C8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B64430"/>
    <w:multiLevelType w:val="hybridMultilevel"/>
    <w:tmpl w:val="56DEF65A"/>
    <w:lvl w:ilvl="0" w:tplc="B9267D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C55107"/>
    <w:multiLevelType w:val="hybridMultilevel"/>
    <w:tmpl w:val="47866288"/>
    <w:lvl w:ilvl="0" w:tplc="0E289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592195"/>
    <w:multiLevelType w:val="hybridMultilevel"/>
    <w:tmpl w:val="DE420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8"/>
  </w:num>
  <w:num w:numId="5">
    <w:abstractNumId w:val="4"/>
  </w:num>
  <w:num w:numId="6">
    <w:abstractNumId w:val="5"/>
  </w:num>
  <w:num w:numId="7">
    <w:abstractNumId w:val="3"/>
  </w:num>
  <w:num w:numId="8">
    <w:abstractNumId w:val="7"/>
  </w:num>
  <w:num w:numId="9">
    <w:abstractNumId w:val="10"/>
  </w:num>
  <w:num w:numId="10">
    <w:abstractNumId w:val="2"/>
  </w:num>
  <w:num w:numId="11">
    <w:abstractNumId w:val="11"/>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41"/>
    <w:rsid w:val="000028C1"/>
    <w:rsid w:val="00023325"/>
    <w:rsid w:val="00025D2A"/>
    <w:rsid w:val="00026734"/>
    <w:rsid w:val="0003058C"/>
    <w:rsid w:val="0005661B"/>
    <w:rsid w:val="00072A63"/>
    <w:rsid w:val="00092109"/>
    <w:rsid w:val="00094BCA"/>
    <w:rsid w:val="00097396"/>
    <w:rsid w:val="000976DE"/>
    <w:rsid w:val="000B4EF1"/>
    <w:rsid w:val="000B635F"/>
    <w:rsid w:val="000C7DFA"/>
    <w:rsid w:val="000E35FA"/>
    <w:rsid w:val="000F0790"/>
    <w:rsid w:val="000F1436"/>
    <w:rsid w:val="000F66A2"/>
    <w:rsid w:val="00107248"/>
    <w:rsid w:val="00117734"/>
    <w:rsid w:val="00132DA8"/>
    <w:rsid w:val="0015653B"/>
    <w:rsid w:val="00172F2A"/>
    <w:rsid w:val="00181B0B"/>
    <w:rsid w:val="00182E44"/>
    <w:rsid w:val="00185A35"/>
    <w:rsid w:val="00193012"/>
    <w:rsid w:val="001B4A67"/>
    <w:rsid w:val="001C1E9B"/>
    <w:rsid w:val="001C5BB2"/>
    <w:rsid w:val="001D2DB7"/>
    <w:rsid w:val="001E5F36"/>
    <w:rsid w:val="001F2A99"/>
    <w:rsid w:val="002215B0"/>
    <w:rsid w:val="00243169"/>
    <w:rsid w:val="002666FF"/>
    <w:rsid w:val="00266AD7"/>
    <w:rsid w:val="002811EF"/>
    <w:rsid w:val="0028392D"/>
    <w:rsid w:val="00291C45"/>
    <w:rsid w:val="002B64CE"/>
    <w:rsid w:val="002B72AB"/>
    <w:rsid w:val="002C09A3"/>
    <w:rsid w:val="002D22B4"/>
    <w:rsid w:val="002F79DA"/>
    <w:rsid w:val="0030661C"/>
    <w:rsid w:val="00313990"/>
    <w:rsid w:val="00317A85"/>
    <w:rsid w:val="00322BE4"/>
    <w:rsid w:val="00333C7B"/>
    <w:rsid w:val="00343A6F"/>
    <w:rsid w:val="00352B72"/>
    <w:rsid w:val="00354296"/>
    <w:rsid w:val="0035788C"/>
    <w:rsid w:val="00361FB8"/>
    <w:rsid w:val="0036367B"/>
    <w:rsid w:val="00365DB8"/>
    <w:rsid w:val="003749CD"/>
    <w:rsid w:val="0038183F"/>
    <w:rsid w:val="00385C6E"/>
    <w:rsid w:val="00386160"/>
    <w:rsid w:val="003C3F38"/>
    <w:rsid w:val="003E1E22"/>
    <w:rsid w:val="003E50CF"/>
    <w:rsid w:val="003E58BB"/>
    <w:rsid w:val="004177B7"/>
    <w:rsid w:val="004205C7"/>
    <w:rsid w:val="004317D2"/>
    <w:rsid w:val="004446E9"/>
    <w:rsid w:val="0044655D"/>
    <w:rsid w:val="00464ED4"/>
    <w:rsid w:val="00470830"/>
    <w:rsid w:val="00473542"/>
    <w:rsid w:val="00480651"/>
    <w:rsid w:val="004809C1"/>
    <w:rsid w:val="004A2271"/>
    <w:rsid w:val="004A324C"/>
    <w:rsid w:val="004A5C69"/>
    <w:rsid w:val="004B1B8E"/>
    <w:rsid w:val="004D0DB4"/>
    <w:rsid w:val="004D428E"/>
    <w:rsid w:val="004D444B"/>
    <w:rsid w:val="004E0059"/>
    <w:rsid w:val="004E4C5B"/>
    <w:rsid w:val="004F08C2"/>
    <w:rsid w:val="004F5D5B"/>
    <w:rsid w:val="00530E54"/>
    <w:rsid w:val="00534DE0"/>
    <w:rsid w:val="00535A01"/>
    <w:rsid w:val="00542BD6"/>
    <w:rsid w:val="00546406"/>
    <w:rsid w:val="0055126D"/>
    <w:rsid w:val="005517B2"/>
    <w:rsid w:val="00554006"/>
    <w:rsid w:val="00584C0F"/>
    <w:rsid w:val="00586D2B"/>
    <w:rsid w:val="005927A9"/>
    <w:rsid w:val="005D5790"/>
    <w:rsid w:val="005F5EE3"/>
    <w:rsid w:val="005F64E2"/>
    <w:rsid w:val="00601F2A"/>
    <w:rsid w:val="00643CA0"/>
    <w:rsid w:val="00646937"/>
    <w:rsid w:val="006601C9"/>
    <w:rsid w:val="006653EA"/>
    <w:rsid w:val="0068745F"/>
    <w:rsid w:val="006917C4"/>
    <w:rsid w:val="00694007"/>
    <w:rsid w:val="00694156"/>
    <w:rsid w:val="00694D68"/>
    <w:rsid w:val="00695B07"/>
    <w:rsid w:val="00697EC2"/>
    <w:rsid w:val="006C30B2"/>
    <w:rsid w:val="006D1414"/>
    <w:rsid w:val="006D19F3"/>
    <w:rsid w:val="006D2B4A"/>
    <w:rsid w:val="006E0FFB"/>
    <w:rsid w:val="006E50EB"/>
    <w:rsid w:val="006E6409"/>
    <w:rsid w:val="006E65E1"/>
    <w:rsid w:val="00701F47"/>
    <w:rsid w:val="00707C9C"/>
    <w:rsid w:val="00712260"/>
    <w:rsid w:val="00721E4F"/>
    <w:rsid w:val="007471B6"/>
    <w:rsid w:val="0075020F"/>
    <w:rsid w:val="00760BBF"/>
    <w:rsid w:val="00767C89"/>
    <w:rsid w:val="00774A57"/>
    <w:rsid w:val="00784D3F"/>
    <w:rsid w:val="00786670"/>
    <w:rsid w:val="00786B91"/>
    <w:rsid w:val="00787393"/>
    <w:rsid w:val="007A2E97"/>
    <w:rsid w:val="007A5703"/>
    <w:rsid w:val="007D04ED"/>
    <w:rsid w:val="007D5FBD"/>
    <w:rsid w:val="007E073E"/>
    <w:rsid w:val="00833ABD"/>
    <w:rsid w:val="00833E39"/>
    <w:rsid w:val="0083433E"/>
    <w:rsid w:val="00834F4A"/>
    <w:rsid w:val="0083664E"/>
    <w:rsid w:val="008406A7"/>
    <w:rsid w:val="00842D06"/>
    <w:rsid w:val="0084300C"/>
    <w:rsid w:val="00863C08"/>
    <w:rsid w:val="00871BD2"/>
    <w:rsid w:val="00881CBB"/>
    <w:rsid w:val="008821E2"/>
    <w:rsid w:val="00885BF4"/>
    <w:rsid w:val="008A1B41"/>
    <w:rsid w:val="008A65FB"/>
    <w:rsid w:val="008B64FB"/>
    <w:rsid w:val="008D0C31"/>
    <w:rsid w:val="008D1D4A"/>
    <w:rsid w:val="008F7072"/>
    <w:rsid w:val="0090704D"/>
    <w:rsid w:val="00912079"/>
    <w:rsid w:val="009164EE"/>
    <w:rsid w:val="00936A56"/>
    <w:rsid w:val="00936D88"/>
    <w:rsid w:val="00937798"/>
    <w:rsid w:val="00951719"/>
    <w:rsid w:val="00960DF6"/>
    <w:rsid w:val="009656E6"/>
    <w:rsid w:val="00971E05"/>
    <w:rsid w:val="00973C9A"/>
    <w:rsid w:val="00990439"/>
    <w:rsid w:val="00990B99"/>
    <w:rsid w:val="0099395C"/>
    <w:rsid w:val="009B0204"/>
    <w:rsid w:val="009B086A"/>
    <w:rsid w:val="009B71DD"/>
    <w:rsid w:val="009C425A"/>
    <w:rsid w:val="009C7FBC"/>
    <w:rsid w:val="009E2097"/>
    <w:rsid w:val="009E4EF4"/>
    <w:rsid w:val="009F027C"/>
    <w:rsid w:val="009F3E44"/>
    <w:rsid w:val="00A060CB"/>
    <w:rsid w:val="00A20B90"/>
    <w:rsid w:val="00A26D44"/>
    <w:rsid w:val="00A3388A"/>
    <w:rsid w:val="00A34D9E"/>
    <w:rsid w:val="00A80C94"/>
    <w:rsid w:val="00A87FA6"/>
    <w:rsid w:val="00A94199"/>
    <w:rsid w:val="00AB3ACC"/>
    <w:rsid w:val="00AD4F0A"/>
    <w:rsid w:val="00AE2AE1"/>
    <w:rsid w:val="00AF0741"/>
    <w:rsid w:val="00AF5382"/>
    <w:rsid w:val="00B01E19"/>
    <w:rsid w:val="00B11758"/>
    <w:rsid w:val="00B15A27"/>
    <w:rsid w:val="00B31D41"/>
    <w:rsid w:val="00B328AF"/>
    <w:rsid w:val="00B32C69"/>
    <w:rsid w:val="00B35DBD"/>
    <w:rsid w:val="00B364FE"/>
    <w:rsid w:val="00B428D0"/>
    <w:rsid w:val="00B45852"/>
    <w:rsid w:val="00B475F3"/>
    <w:rsid w:val="00B52EE9"/>
    <w:rsid w:val="00B53EA7"/>
    <w:rsid w:val="00B57BD7"/>
    <w:rsid w:val="00B73692"/>
    <w:rsid w:val="00B768DD"/>
    <w:rsid w:val="00B801F1"/>
    <w:rsid w:val="00B82971"/>
    <w:rsid w:val="00B941D9"/>
    <w:rsid w:val="00B971CC"/>
    <w:rsid w:val="00BB580C"/>
    <w:rsid w:val="00BF4860"/>
    <w:rsid w:val="00BF7B56"/>
    <w:rsid w:val="00C156A3"/>
    <w:rsid w:val="00C33F24"/>
    <w:rsid w:val="00C42E08"/>
    <w:rsid w:val="00C51153"/>
    <w:rsid w:val="00C536D4"/>
    <w:rsid w:val="00C570E9"/>
    <w:rsid w:val="00C66C30"/>
    <w:rsid w:val="00C67238"/>
    <w:rsid w:val="00C67A4A"/>
    <w:rsid w:val="00C70AD7"/>
    <w:rsid w:val="00C748F7"/>
    <w:rsid w:val="00CA40F2"/>
    <w:rsid w:val="00CA558A"/>
    <w:rsid w:val="00CA5863"/>
    <w:rsid w:val="00CA66B7"/>
    <w:rsid w:val="00CB0F84"/>
    <w:rsid w:val="00CB53DD"/>
    <w:rsid w:val="00CC1029"/>
    <w:rsid w:val="00CC6CF9"/>
    <w:rsid w:val="00CE48D2"/>
    <w:rsid w:val="00CE7639"/>
    <w:rsid w:val="00CF5C40"/>
    <w:rsid w:val="00CF5FC9"/>
    <w:rsid w:val="00D045D6"/>
    <w:rsid w:val="00D0559E"/>
    <w:rsid w:val="00D13EC0"/>
    <w:rsid w:val="00D16F62"/>
    <w:rsid w:val="00D2621C"/>
    <w:rsid w:val="00D31855"/>
    <w:rsid w:val="00D31A8E"/>
    <w:rsid w:val="00D32B29"/>
    <w:rsid w:val="00D32FCD"/>
    <w:rsid w:val="00D6140A"/>
    <w:rsid w:val="00D61797"/>
    <w:rsid w:val="00D65D2C"/>
    <w:rsid w:val="00D710A8"/>
    <w:rsid w:val="00D72761"/>
    <w:rsid w:val="00D80886"/>
    <w:rsid w:val="00D8388C"/>
    <w:rsid w:val="00D87703"/>
    <w:rsid w:val="00D879CD"/>
    <w:rsid w:val="00D9498D"/>
    <w:rsid w:val="00D94CBF"/>
    <w:rsid w:val="00DC779E"/>
    <w:rsid w:val="00DE2489"/>
    <w:rsid w:val="00DF0BB7"/>
    <w:rsid w:val="00DF5B00"/>
    <w:rsid w:val="00E01E79"/>
    <w:rsid w:val="00E14C73"/>
    <w:rsid w:val="00E225AA"/>
    <w:rsid w:val="00E31F08"/>
    <w:rsid w:val="00E64EFB"/>
    <w:rsid w:val="00E6605F"/>
    <w:rsid w:val="00E67E76"/>
    <w:rsid w:val="00E7030C"/>
    <w:rsid w:val="00E81F12"/>
    <w:rsid w:val="00E96D35"/>
    <w:rsid w:val="00EB2414"/>
    <w:rsid w:val="00EB6EB6"/>
    <w:rsid w:val="00EC55EE"/>
    <w:rsid w:val="00ED1E14"/>
    <w:rsid w:val="00ED6003"/>
    <w:rsid w:val="00EF0BDD"/>
    <w:rsid w:val="00EF26B7"/>
    <w:rsid w:val="00F06433"/>
    <w:rsid w:val="00F418D6"/>
    <w:rsid w:val="00F446BB"/>
    <w:rsid w:val="00F45F15"/>
    <w:rsid w:val="00F524F4"/>
    <w:rsid w:val="00F60951"/>
    <w:rsid w:val="00F67267"/>
    <w:rsid w:val="00F718F3"/>
    <w:rsid w:val="00F80B90"/>
    <w:rsid w:val="00F80CBA"/>
    <w:rsid w:val="00F84A76"/>
    <w:rsid w:val="00F921C9"/>
    <w:rsid w:val="00F93E15"/>
    <w:rsid w:val="00FB26BB"/>
    <w:rsid w:val="00FB6946"/>
    <w:rsid w:val="00FC6CD9"/>
    <w:rsid w:val="00FE51BE"/>
    <w:rsid w:val="00FE66EF"/>
    <w:rsid w:val="00FF1E50"/>
    <w:rsid w:val="00FF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6FF"/>
    <w:rPr>
      <w:sz w:val="24"/>
    </w:rPr>
  </w:style>
  <w:style w:type="paragraph" w:styleId="Heading1">
    <w:name w:val="heading 1"/>
    <w:basedOn w:val="Normal"/>
    <w:next w:val="Normal"/>
    <w:link w:val="Heading1Char"/>
    <w:uiPriority w:val="9"/>
    <w:qFormat/>
    <w:rsid w:val="00DF0BB7"/>
    <w:pPr>
      <w:keepNext/>
      <w:keepLines/>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DF0BB7"/>
    <w:pPr>
      <w:jc w:val="center"/>
      <w:outlineLvl w:val="1"/>
    </w:pPr>
    <w:rPr>
      <w:b/>
    </w:rPr>
  </w:style>
  <w:style w:type="paragraph" w:styleId="Heading3">
    <w:name w:val="heading 3"/>
    <w:basedOn w:val="Normal"/>
    <w:next w:val="Normal"/>
    <w:link w:val="Heading3Char"/>
    <w:uiPriority w:val="9"/>
    <w:unhideWhenUsed/>
    <w:qFormat/>
    <w:rsid w:val="007D04ED"/>
    <w:pPr>
      <w:keepNext/>
      <w:keepLines/>
      <w:outlineLvl w:val="2"/>
    </w:pPr>
    <w:rPr>
      <w:rFonts w:asciiTheme="majorHAnsi" w:eastAsiaTheme="majorEastAsia" w:hAnsiTheme="majorHAnsi" w:cstheme="majorBidi"/>
      <w:szCs w:val="24"/>
      <w:u w:val="single"/>
    </w:rPr>
  </w:style>
  <w:style w:type="paragraph" w:styleId="Heading4">
    <w:name w:val="heading 4"/>
    <w:basedOn w:val="Normal"/>
    <w:next w:val="Normal"/>
    <w:link w:val="Heading4Char"/>
    <w:uiPriority w:val="9"/>
    <w:unhideWhenUsed/>
    <w:qFormat/>
    <w:rsid w:val="002215B0"/>
    <w:pPr>
      <w:keepNext/>
      <w:keepLines/>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EE3"/>
    <w:rPr>
      <w:color w:val="0563C1" w:themeColor="hyperlink"/>
      <w:u w:val="single"/>
    </w:rPr>
  </w:style>
  <w:style w:type="paragraph" w:styleId="Header">
    <w:name w:val="header"/>
    <w:basedOn w:val="Normal"/>
    <w:link w:val="HeaderChar"/>
    <w:uiPriority w:val="99"/>
    <w:unhideWhenUsed/>
    <w:rsid w:val="00B73692"/>
    <w:pPr>
      <w:tabs>
        <w:tab w:val="center" w:pos="4680"/>
        <w:tab w:val="right" w:pos="9360"/>
      </w:tabs>
    </w:pPr>
  </w:style>
  <w:style w:type="character" w:customStyle="1" w:styleId="HeaderChar">
    <w:name w:val="Header Char"/>
    <w:basedOn w:val="DefaultParagraphFont"/>
    <w:link w:val="Header"/>
    <w:uiPriority w:val="99"/>
    <w:rsid w:val="00B73692"/>
  </w:style>
  <w:style w:type="paragraph" w:styleId="Footer">
    <w:name w:val="footer"/>
    <w:basedOn w:val="Normal"/>
    <w:link w:val="FooterChar"/>
    <w:uiPriority w:val="99"/>
    <w:unhideWhenUsed/>
    <w:rsid w:val="00B73692"/>
    <w:pPr>
      <w:tabs>
        <w:tab w:val="center" w:pos="4680"/>
        <w:tab w:val="right" w:pos="9360"/>
      </w:tabs>
    </w:pPr>
  </w:style>
  <w:style w:type="character" w:customStyle="1" w:styleId="FooterChar">
    <w:name w:val="Footer Char"/>
    <w:basedOn w:val="DefaultParagraphFont"/>
    <w:link w:val="Footer"/>
    <w:uiPriority w:val="99"/>
    <w:rsid w:val="00B73692"/>
  </w:style>
  <w:style w:type="character" w:customStyle="1" w:styleId="Heading1Char">
    <w:name w:val="Heading 1 Char"/>
    <w:basedOn w:val="DefaultParagraphFont"/>
    <w:link w:val="Heading1"/>
    <w:uiPriority w:val="9"/>
    <w:rsid w:val="00DF0BB7"/>
    <w:rPr>
      <w:rFonts w:asciiTheme="majorHAnsi" w:eastAsiaTheme="majorEastAsia" w:hAnsiTheme="majorHAnsi" w:cstheme="majorBidi"/>
      <w:b/>
      <w:sz w:val="24"/>
      <w:szCs w:val="32"/>
    </w:rPr>
  </w:style>
  <w:style w:type="paragraph" w:styleId="ListParagraph">
    <w:name w:val="List Paragraph"/>
    <w:basedOn w:val="Normal"/>
    <w:link w:val="ListParagraphChar"/>
    <w:uiPriority w:val="34"/>
    <w:qFormat/>
    <w:rsid w:val="002666FF"/>
    <w:pPr>
      <w:ind w:left="720"/>
      <w:contextualSpacing/>
    </w:pPr>
  </w:style>
  <w:style w:type="character" w:customStyle="1" w:styleId="Heading2Char">
    <w:name w:val="Heading 2 Char"/>
    <w:basedOn w:val="DefaultParagraphFont"/>
    <w:link w:val="Heading2"/>
    <w:uiPriority w:val="9"/>
    <w:rsid w:val="00DF0BB7"/>
    <w:rPr>
      <w:b/>
      <w:sz w:val="24"/>
    </w:rPr>
  </w:style>
  <w:style w:type="character" w:customStyle="1" w:styleId="Heading3Char">
    <w:name w:val="Heading 3 Char"/>
    <w:basedOn w:val="DefaultParagraphFont"/>
    <w:link w:val="Heading3"/>
    <w:uiPriority w:val="9"/>
    <w:rsid w:val="007D04ED"/>
    <w:rPr>
      <w:rFonts w:asciiTheme="majorHAnsi" w:eastAsiaTheme="majorEastAsia" w:hAnsiTheme="majorHAnsi" w:cstheme="majorBidi"/>
      <w:sz w:val="24"/>
      <w:szCs w:val="24"/>
      <w:u w:val="single"/>
    </w:rPr>
  </w:style>
  <w:style w:type="character" w:styleId="PageNumber">
    <w:name w:val="page number"/>
    <w:basedOn w:val="DefaultParagraphFont"/>
    <w:uiPriority w:val="99"/>
    <w:semiHidden/>
    <w:unhideWhenUsed/>
    <w:rsid w:val="00291C45"/>
  </w:style>
  <w:style w:type="character" w:styleId="CommentReference">
    <w:name w:val="annotation reference"/>
    <w:basedOn w:val="DefaultParagraphFont"/>
    <w:uiPriority w:val="99"/>
    <w:semiHidden/>
    <w:unhideWhenUsed/>
    <w:rsid w:val="00584C0F"/>
    <w:rPr>
      <w:sz w:val="16"/>
      <w:szCs w:val="16"/>
    </w:rPr>
  </w:style>
  <w:style w:type="paragraph" w:styleId="CommentText">
    <w:name w:val="annotation text"/>
    <w:basedOn w:val="Normal"/>
    <w:link w:val="CommentTextChar"/>
    <w:uiPriority w:val="99"/>
    <w:semiHidden/>
    <w:unhideWhenUsed/>
    <w:rsid w:val="00584C0F"/>
    <w:rPr>
      <w:sz w:val="20"/>
      <w:szCs w:val="20"/>
    </w:rPr>
  </w:style>
  <w:style w:type="character" w:customStyle="1" w:styleId="CommentTextChar">
    <w:name w:val="Comment Text Char"/>
    <w:basedOn w:val="DefaultParagraphFont"/>
    <w:link w:val="CommentText"/>
    <w:uiPriority w:val="99"/>
    <w:semiHidden/>
    <w:rsid w:val="00584C0F"/>
    <w:rPr>
      <w:sz w:val="20"/>
      <w:szCs w:val="20"/>
    </w:rPr>
  </w:style>
  <w:style w:type="paragraph" w:styleId="CommentSubject">
    <w:name w:val="annotation subject"/>
    <w:basedOn w:val="CommentText"/>
    <w:next w:val="CommentText"/>
    <w:link w:val="CommentSubjectChar"/>
    <w:uiPriority w:val="99"/>
    <w:semiHidden/>
    <w:unhideWhenUsed/>
    <w:rsid w:val="00584C0F"/>
    <w:rPr>
      <w:b/>
      <w:bCs/>
    </w:rPr>
  </w:style>
  <w:style w:type="character" w:customStyle="1" w:styleId="CommentSubjectChar">
    <w:name w:val="Comment Subject Char"/>
    <w:basedOn w:val="CommentTextChar"/>
    <w:link w:val="CommentSubject"/>
    <w:uiPriority w:val="99"/>
    <w:semiHidden/>
    <w:rsid w:val="00584C0F"/>
    <w:rPr>
      <w:b/>
      <w:bCs/>
      <w:sz w:val="20"/>
      <w:szCs w:val="20"/>
    </w:rPr>
  </w:style>
  <w:style w:type="paragraph" w:styleId="BalloonText">
    <w:name w:val="Balloon Text"/>
    <w:basedOn w:val="Normal"/>
    <w:link w:val="BalloonTextChar"/>
    <w:uiPriority w:val="99"/>
    <w:semiHidden/>
    <w:unhideWhenUsed/>
    <w:rsid w:val="00584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0F"/>
    <w:rPr>
      <w:rFonts w:ascii="Segoe UI" w:hAnsi="Segoe UI" w:cs="Segoe UI"/>
      <w:sz w:val="18"/>
      <w:szCs w:val="18"/>
    </w:rPr>
  </w:style>
  <w:style w:type="character" w:customStyle="1" w:styleId="ListParagraphChar">
    <w:name w:val="List Paragraph Char"/>
    <w:basedOn w:val="DefaultParagraphFont"/>
    <w:link w:val="ListParagraph"/>
    <w:uiPriority w:val="34"/>
    <w:rsid w:val="00B15A27"/>
    <w:rPr>
      <w:sz w:val="24"/>
    </w:rPr>
  </w:style>
  <w:style w:type="character" w:customStyle="1" w:styleId="Heading4Char">
    <w:name w:val="Heading 4 Char"/>
    <w:basedOn w:val="DefaultParagraphFont"/>
    <w:link w:val="Heading4"/>
    <w:uiPriority w:val="9"/>
    <w:rsid w:val="002215B0"/>
    <w:rPr>
      <w:rFonts w:asciiTheme="majorHAnsi" w:eastAsiaTheme="majorEastAsia" w:hAnsiTheme="majorHAnsi" w:cstheme="majorBidi"/>
      <w:iCs/>
      <w:sz w:val="24"/>
    </w:rPr>
  </w:style>
  <w:style w:type="table" w:styleId="TableGrid">
    <w:name w:val="Table Grid"/>
    <w:basedOn w:val="TableNormal"/>
    <w:uiPriority w:val="39"/>
    <w:rsid w:val="00025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6FF"/>
    <w:rPr>
      <w:sz w:val="24"/>
    </w:rPr>
  </w:style>
  <w:style w:type="paragraph" w:styleId="Heading1">
    <w:name w:val="heading 1"/>
    <w:basedOn w:val="Normal"/>
    <w:next w:val="Normal"/>
    <w:link w:val="Heading1Char"/>
    <w:uiPriority w:val="9"/>
    <w:qFormat/>
    <w:rsid w:val="00DF0BB7"/>
    <w:pPr>
      <w:keepNext/>
      <w:keepLines/>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DF0BB7"/>
    <w:pPr>
      <w:jc w:val="center"/>
      <w:outlineLvl w:val="1"/>
    </w:pPr>
    <w:rPr>
      <w:b/>
    </w:rPr>
  </w:style>
  <w:style w:type="paragraph" w:styleId="Heading3">
    <w:name w:val="heading 3"/>
    <w:basedOn w:val="Normal"/>
    <w:next w:val="Normal"/>
    <w:link w:val="Heading3Char"/>
    <w:uiPriority w:val="9"/>
    <w:unhideWhenUsed/>
    <w:qFormat/>
    <w:rsid w:val="007D04ED"/>
    <w:pPr>
      <w:keepNext/>
      <w:keepLines/>
      <w:outlineLvl w:val="2"/>
    </w:pPr>
    <w:rPr>
      <w:rFonts w:asciiTheme="majorHAnsi" w:eastAsiaTheme="majorEastAsia" w:hAnsiTheme="majorHAnsi" w:cstheme="majorBidi"/>
      <w:szCs w:val="24"/>
      <w:u w:val="single"/>
    </w:rPr>
  </w:style>
  <w:style w:type="paragraph" w:styleId="Heading4">
    <w:name w:val="heading 4"/>
    <w:basedOn w:val="Normal"/>
    <w:next w:val="Normal"/>
    <w:link w:val="Heading4Char"/>
    <w:uiPriority w:val="9"/>
    <w:unhideWhenUsed/>
    <w:qFormat/>
    <w:rsid w:val="002215B0"/>
    <w:pPr>
      <w:keepNext/>
      <w:keepLines/>
      <w:outlineLvl w:val="3"/>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EE3"/>
    <w:rPr>
      <w:color w:val="0563C1" w:themeColor="hyperlink"/>
      <w:u w:val="single"/>
    </w:rPr>
  </w:style>
  <w:style w:type="paragraph" w:styleId="Header">
    <w:name w:val="header"/>
    <w:basedOn w:val="Normal"/>
    <w:link w:val="HeaderChar"/>
    <w:uiPriority w:val="99"/>
    <w:unhideWhenUsed/>
    <w:rsid w:val="00B73692"/>
    <w:pPr>
      <w:tabs>
        <w:tab w:val="center" w:pos="4680"/>
        <w:tab w:val="right" w:pos="9360"/>
      </w:tabs>
    </w:pPr>
  </w:style>
  <w:style w:type="character" w:customStyle="1" w:styleId="HeaderChar">
    <w:name w:val="Header Char"/>
    <w:basedOn w:val="DefaultParagraphFont"/>
    <w:link w:val="Header"/>
    <w:uiPriority w:val="99"/>
    <w:rsid w:val="00B73692"/>
  </w:style>
  <w:style w:type="paragraph" w:styleId="Footer">
    <w:name w:val="footer"/>
    <w:basedOn w:val="Normal"/>
    <w:link w:val="FooterChar"/>
    <w:uiPriority w:val="99"/>
    <w:unhideWhenUsed/>
    <w:rsid w:val="00B73692"/>
    <w:pPr>
      <w:tabs>
        <w:tab w:val="center" w:pos="4680"/>
        <w:tab w:val="right" w:pos="9360"/>
      </w:tabs>
    </w:pPr>
  </w:style>
  <w:style w:type="character" w:customStyle="1" w:styleId="FooterChar">
    <w:name w:val="Footer Char"/>
    <w:basedOn w:val="DefaultParagraphFont"/>
    <w:link w:val="Footer"/>
    <w:uiPriority w:val="99"/>
    <w:rsid w:val="00B73692"/>
  </w:style>
  <w:style w:type="character" w:customStyle="1" w:styleId="Heading1Char">
    <w:name w:val="Heading 1 Char"/>
    <w:basedOn w:val="DefaultParagraphFont"/>
    <w:link w:val="Heading1"/>
    <w:uiPriority w:val="9"/>
    <w:rsid w:val="00DF0BB7"/>
    <w:rPr>
      <w:rFonts w:asciiTheme="majorHAnsi" w:eastAsiaTheme="majorEastAsia" w:hAnsiTheme="majorHAnsi" w:cstheme="majorBidi"/>
      <w:b/>
      <w:sz w:val="24"/>
      <w:szCs w:val="32"/>
    </w:rPr>
  </w:style>
  <w:style w:type="paragraph" w:styleId="ListParagraph">
    <w:name w:val="List Paragraph"/>
    <w:basedOn w:val="Normal"/>
    <w:link w:val="ListParagraphChar"/>
    <w:uiPriority w:val="34"/>
    <w:qFormat/>
    <w:rsid w:val="002666FF"/>
    <w:pPr>
      <w:ind w:left="720"/>
      <w:contextualSpacing/>
    </w:pPr>
  </w:style>
  <w:style w:type="character" w:customStyle="1" w:styleId="Heading2Char">
    <w:name w:val="Heading 2 Char"/>
    <w:basedOn w:val="DefaultParagraphFont"/>
    <w:link w:val="Heading2"/>
    <w:uiPriority w:val="9"/>
    <w:rsid w:val="00DF0BB7"/>
    <w:rPr>
      <w:b/>
      <w:sz w:val="24"/>
    </w:rPr>
  </w:style>
  <w:style w:type="character" w:customStyle="1" w:styleId="Heading3Char">
    <w:name w:val="Heading 3 Char"/>
    <w:basedOn w:val="DefaultParagraphFont"/>
    <w:link w:val="Heading3"/>
    <w:uiPriority w:val="9"/>
    <w:rsid w:val="007D04ED"/>
    <w:rPr>
      <w:rFonts w:asciiTheme="majorHAnsi" w:eastAsiaTheme="majorEastAsia" w:hAnsiTheme="majorHAnsi" w:cstheme="majorBidi"/>
      <w:sz w:val="24"/>
      <w:szCs w:val="24"/>
      <w:u w:val="single"/>
    </w:rPr>
  </w:style>
  <w:style w:type="character" w:styleId="PageNumber">
    <w:name w:val="page number"/>
    <w:basedOn w:val="DefaultParagraphFont"/>
    <w:uiPriority w:val="99"/>
    <w:semiHidden/>
    <w:unhideWhenUsed/>
    <w:rsid w:val="00291C45"/>
  </w:style>
  <w:style w:type="character" w:styleId="CommentReference">
    <w:name w:val="annotation reference"/>
    <w:basedOn w:val="DefaultParagraphFont"/>
    <w:uiPriority w:val="99"/>
    <w:semiHidden/>
    <w:unhideWhenUsed/>
    <w:rsid w:val="00584C0F"/>
    <w:rPr>
      <w:sz w:val="16"/>
      <w:szCs w:val="16"/>
    </w:rPr>
  </w:style>
  <w:style w:type="paragraph" w:styleId="CommentText">
    <w:name w:val="annotation text"/>
    <w:basedOn w:val="Normal"/>
    <w:link w:val="CommentTextChar"/>
    <w:uiPriority w:val="99"/>
    <w:semiHidden/>
    <w:unhideWhenUsed/>
    <w:rsid w:val="00584C0F"/>
    <w:rPr>
      <w:sz w:val="20"/>
      <w:szCs w:val="20"/>
    </w:rPr>
  </w:style>
  <w:style w:type="character" w:customStyle="1" w:styleId="CommentTextChar">
    <w:name w:val="Comment Text Char"/>
    <w:basedOn w:val="DefaultParagraphFont"/>
    <w:link w:val="CommentText"/>
    <w:uiPriority w:val="99"/>
    <w:semiHidden/>
    <w:rsid w:val="00584C0F"/>
    <w:rPr>
      <w:sz w:val="20"/>
      <w:szCs w:val="20"/>
    </w:rPr>
  </w:style>
  <w:style w:type="paragraph" w:styleId="CommentSubject">
    <w:name w:val="annotation subject"/>
    <w:basedOn w:val="CommentText"/>
    <w:next w:val="CommentText"/>
    <w:link w:val="CommentSubjectChar"/>
    <w:uiPriority w:val="99"/>
    <w:semiHidden/>
    <w:unhideWhenUsed/>
    <w:rsid w:val="00584C0F"/>
    <w:rPr>
      <w:b/>
      <w:bCs/>
    </w:rPr>
  </w:style>
  <w:style w:type="character" w:customStyle="1" w:styleId="CommentSubjectChar">
    <w:name w:val="Comment Subject Char"/>
    <w:basedOn w:val="CommentTextChar"/>
    <w:link w:val="CommentSubject"/>
    <w:uiPriority w:val="99"/>
    <w:semiHidden/>
    <w:rsid w:val="00584C0F"/>
    <w:rPr>
      <w:b/>
      <w:bCs/>
      <w:sz w:val="20"/>
      <w:szCs w:val="20"/>
    </w:rPr>
  </w:style>
  <w:style w:type="paragraph" w:styleId="BalloonText">
    <w:name w:val="Balloon Text"/>
    <w:basedOn w:val="Normal"/>
    <w:link w:val="BalloonTextChar"/>
    <w:uiPriority w:val="99"/>
    <w:semiHidden/>
    <w:unhideWhenUsed/>
    <w:rsid w:val="00584C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0F"/>
    <w:rPr>
      <w:rFonts w:ascii="Segoe UI" w:hAnsi="Segoe UI" w:cs="Segoe UI"/>
      <w:sz w:val="18"/>
      <w:szCs w:val="18"/>
    </w:rPr>
  </w:style>
  <w:style w:type="character" w:customStyle="1" w:styleId="ListParagraphChar">
    <w:name w:val="List Paragraph Char"/>
    <w:basedOn w:val="DefaultParagraphFont"/>
    <w:link w:val="ListParagraph"/>
    <w:uiPriority w:val="34"/>
    <w:rsid w:val="00B15A27"/>
    <w:rPr>
      <w:sz w:val="24"/>
    </w:rPr>
  </w:style>
  <w:style w:type="character" w:customStyle="1" w:styleId="Heading4Char">
    <w:name w:val="Heading 4 Char"/>
    <w:basedOn w:val="DefaultParagraphFont"/>
    <w:link w:val="Heading4"/>
    <w:uiPriority w:val="9"/>
    <w:rsid w:val="002215B0"/>
    <w:rPr>
      <w:rFonts w:asciiTheme="majorHAnsi" w:eastAsiaTheme="majorEastAsia" w:hAnsiTheme="majorHAnsi" w:cstheme="majorBidi"/>
      <w:iCs/>
      <w:sz w:val="24"/>
    </w:rPr>
  </w:style>
  <w:style w:type="table" w:styleId="TableGrid">
    <w:name w:val="Table Grid"/>
    <w:basedOn w:val="TableNormal"/>
    <w:uiPriority w:val="39"/>
    <w:rsid w:val="00025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13844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Case</dc:creator>
  <cp:lastModifiedBy>SYSTEM</cp:lastModifiedBy>
  <cp:revision>2</cp:revision>
  <dcterms:created xsi:type="dcterms:W3CDTF">2018-08-02T17:34:00Z</dcterms:created>
  <dcterms:modified xsi:type="dcterms:W3CDTF">2018-08-02T17:34:00Z</dcterms:modified>
</cp:coreProperties>
</file>