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320" w:rsidRPr="00505BDC" w:rsidRDefault="00AC0320" w:rsidP="00AC0320">
      <w:pPr>
        <w:rPr>
          <w:rFonts w:ascii="Times New Roman" w:hAnsi="Times New Roman" w:cs="Times New Roman"/>
          <w:sz w:val="20"/>
          <w:szCs w:val="20"/>
        </w:rPr>
      </w:pPr>
      <w:bookmarkStart w:id="0" w:name="_GoBack"/>
      <w:bookmarkEnd w:id="0"/>
      <w:r w:rsidRPr="00505BDC">
        <w:rPr>
          <w:rFonts w:ascii="Times New Roman" w:hAnsi="Times New Roman" w:cs="Times New Roman"/>
          <w:sz w:val="20"/>
          <w:szCs w:val="20"/>
        </w:rPr>
        <w:t>MonitoringResources</w:t>
      </w:r>
      <w:r w:rsidR="006608E5">
        <w:rPr>
          <w:rFonts w:ascii="Times New Roman" w:hAnsi="Times New Roman" w:cs="Times New Roman"/>
          <w:sz w:val="20"/>
          <w:szCs w:val="20"/>
        </w:rPr>
        <w:t>.org has five</w:t>
      </w:r>
      <w:r w:rsidRPr="00505BDC">
        <w:rPr>
          <w:rFonts w:ascii="Times New Roman" w:hAnsi="Times New Roman" w:cs="Times New Roman"/>
          <w:sz w:val="20"/>
          <w:szCs w:val="20"/>
        </w:rPr>
        <w:t xml:space="preserve"> co</w:t>
      </w:r>
      <w:r w:rsidR="00505BDC" w:rsidRPr="00505BDC">
        <w:rPr>
          <w:rFonts w:ascii="Times New Roman" w:hAnsi="Times New Roman" w:cs="Times New Roman"/>
          <w:sz w:val="20"/>
          <w:szCs w:val="20"/>
        </w:rPr>
        <w:t xml:space="preserve">mponents, a </w:t>
      </w:r>
      <w:r w:rsidRPr="00505BDC">
        <w:rPr>
          <w:rFonts w:ascii="Times New Roman" w:hAnsi="Times New Roman" w:cs="Times New Roman"/>
          <w:sz w:val="20"/>
          <w:szCs w:val="20"/>
        </w:rPr>
        <w:t xml:space="preserve">user can use one, some or all of these components. Within each component there is a short list of </w:t>
      </w:r>
      <w:r w:rsidR="00505BDC" w:rsidRPr="00505BDC">
        <w:rPr>
          <w:rFonts w:ascii="Times New Roman" w:hAnsi="Times New Roman" w:cs="Times New Roman"/>
          <w:sz w:val="20"/>
          <w:szCs w:val="20"/>
        </w:rPr>
        <w:t>necessary</w:t>
      </w:r>
      <w:r w:rsidRPr="00505BDC">
        <w:rPr>
          <w:rFonts w:ascii="Times New Roman" w:hAnsi="Times New Roman" w:cs="Times New Roman"/>
          <w:sz w:val="20"/>
          <w:szCs w:val="20"/>
        </w:rPr>
        <w:t xml:space="preserve"> fields</w:t>
      </w:r>
      <w:r w:rsidR="006608E5">
        <w:rPr>
          <w:rFonts w:ascii="Times New Roman" w:hAnsi="Times New Roman" w:cs="Times New Roman"/>
          <w:sz w:val="20"/>
          <w:szCs w:val="20"/>
        </w:rPr>
        <w:t xml:space="preserve"> to complete the </w:t>
      </w:r>
      <w:r w:rsidR="00505BDC" w:rsidRPr="00505BDC">
        <w:rPr>
          <w:rFonts w:ascii="Times New Roman" w:hAnsi="Times New Roman" w:cs="Times New Roman"/>
          <w:sz w:val="20"/>
          <w:szCs w:val="20"/>
        </w:rPr>
        <w:t>documentation</w:t>
      </w:r>
      <w:r w:rsidRPr="00505BDC">
        <w:rPr>
          <w:rFonts w:ascii="Times New Roman" w:hAnsi="Times New Roman" w:cs="Times New Roman"/>
          <w:sz w:val="20"/>
          <w:szCs w:val="20"/>
        </w:rPr>
        <w:t>, but users can fill in additional fields to improve t</w:t>
      </w:r>
      <w:r w:rsidR="00505BDC" w:rsidRPr="00505BDC">
        <w:rPr>
          <w:rFonts w:ascii="Times New Roman" w:hAnsi="Times New Roman" w:cs="Times New Roman"/>
          <w:sz w:val="20"/>
          <w:szCs w:val="20"/>
        </w:rPr>
        <w:t>heir metad</w:t>
      </w:r>
      <w:r w:rsidR="006608E5">
        <w:rPr>
          <w:rFonts w:ascii="Times New Roman" w:hAnsi="Times New Roman" w:cs="Times New Roman"/>
          <w:sz w:val="20"/>
          <w:szCs w:val="20"/>
        </w:rPr>
        <w:t>ata documentation. Below</w:t>
      </w:r>
      <w:r w:rsidR="00505BDC" w:rsidRPr="00505BDC">
        <w:rPr>
          <w:rFonts w:ascii="Times New Roman" w:hAnsi="Times New Roman" w:cs="Times New Roman"/>
          <w:sz w:val="20"/>
          <w:szCs w:val="20"/>
        </w:rPr>
        <w:t xml:space="preserve"> are the components in MonitoringResouces.org</w:t>
      </w:r>
      <w:r w:rsidR="006608E5">
        <w:rPr>
          <w:rFonts w:ascii="Times New Roman" w:hAnsi="Times New Roman" w:cs="Times New Roman"/>
          <w:sz w:val="20"/>
          <w:szCs w:val="20"/>
        </w:rPr>
        <w:t xml:space="preserve">: </w:t>
      </w:r>
    </w:p>
    <w:p w:rsidR="00AC0320" w:rsidRPr="00505BDC" w:rsidRDefault="00AC0320" w:rsidP="00AC0320">
      <w:pPr>
        <w:pStyle w:val="Default"/>
        <w:rPr>
          <w:color w:val="auto"/>
        </w:rPr>
      </w:pPr>
    </w:p>
    <w:p w:rsidR="00AC0320" w:rsidRPr="00505BDC" w:rsidRDefault="00AC0320" w:rsidP="00AC0320">
      <w:pPr>
        <w:pStyle w:val="Default"/>
        <w:numPr>
          <w:ilvl w:val="0"/>
          <w:numId w:val="2"/>
        </w:numPr>
        <w:spacing w:after="103"/>
        <w:rPr>
          <w:color w:val="auto"/>
          <w:sz w:val="20"/>
          <w:szCs w:val="20"/>
        </w:rPr>
      </w:pPr>
      <w:r w:rsidRPr="00505BDC">
        <w:rPr>
          <w:b/>
          <w:bCs/>
          <w:color w:val="auto"/>
          <w:sz w:val="20"/>
          <w:szCs w:val="20"/>
        </w:rPr>
        <w:t xml:space="preserve">Study Design Tool </w:t>
      </w:r>
      <w:r w:rsidRPr="00505BDC">
        <w:rPr>
          <w:color w:val="auto"/>
          <w:sz w:val="20"/>
          <w:szCs w:val="20"/>
        </w:rPr>
        <w:t xml:space="preserve">helps define project objectives and an overall monitoring plan. </w:t>
      </w:r>
    </w:p>
    <w:p w:rsidR="00AC0320" w:rsidRPr="00505BDC" w:rsidRDefault="00AC0320" w:rsidP="00AC0320">
      <w:pPr>
        <w:pStyle w:val="Default"/>
        <w:numPr>
          <w:ilvl w:val="0"/>
          <w:numId w:val="2"/>
        </w:numPr>
        <w:spacing w:after="103"/>
        <w:rPr>
          <w:color w:val="auto"/>
          <w:sz w:val="20"/>
          <w:szCs w:val="20"/>
        </w:rPr>
      </w:pPr>
      <w:r w:rsidRPr="00505BDC">
        <w:rPr>
          <w:b/>
          <w:bCs/>
          <w:color w:val="auto"/>
          <w:sz w:val="20"/>
          <w:szCs w:val="20"/>
        </w:rPr>
        <w:t xml:space="preserve">Method Builder and Library </w:t>
      </w:r>
      <w:r w:rsidRPr="00505BDC">
        <w:rPr>
          <w:color w:val="auto"/>
          <w:sz w:val="20"/>
          <w:szCs w:val="20"/>
        </w:rPr>
        <w:t xml:space="preserve">supports documentation of the step-by-step processes for collecting and analyzing data. </w:t>
      </w:r>
    </w:p>
    <w:p w:rsidR="00AC0320" w:rsidRPr="00505BDC" w:rsidRDefault="00AC0320" w:rsidP="00AC0320">
      <w:pPr>
        <w:pStyle w:val="Default"/>
        <w:numPr>
          <w:ilvl w:val="0"/>
          <w:numId w:val="2"/>
        </w:numPr>
        <w:spacing w:after="103"/>
        <w:rPr>
          <w:color w:val="auto"/>
          <w:sz w:val="20"/>
          <w:szCs w:val="20"/>
        </w:rPr>
      </w:pPr>
      <w:r w:rsidRPr="00505BDC">
        <w:rPr>
          <w:b/>
          <w:bCs/>
          <w:color w:val="auto"/>
          <w:sz w:val="20"/>
          <w:szCs w:val="20"/>
        </w:rPr>
        <w:t xml:space="preserve">Protocol Builder and Library </w:t>
      </w:r>
      <w:r w:rsidRPr="00505BDC">
        <w:rPr>
          <w:color w:val="auto"/>
          <w:sz w:val="20"/>
          <w:szCs w:val="20"/>
        </w:rPr>
        <w:t>allows users to combine multiple methods into a protocol to define the suite of infor</w:t>
      </w:r>
      <w:r w:rsidRPr="00505BDC">
        <w:rPr>
          <w:color w:val="auto"/>
          <w:sz w:val="20"/>
          <w:szCs w:val="20"/>
        </w:rPr>
        <w:softHyphen/>
        <w:t xml:space="preserve">mation collected and analyzed, including use of previously published methods from the method library. </w:t>
      </w:r>
    </w:p>
    <w:p w:rsidR="00AC0320" w:rsidRPr="00505BDC" w:rsidRDefault="00AC0320" w:rsidP="00AC0320">
      <w:pPr>
        <w:pStyle w:val="Default"/>
        <w:numPr>
          <w:ilvl w:val="0"/>
          <w:numId w:val="2"/>
        </w:numPr>
        <w:spacing w:after="103"/>
        <w:rPr>
          <w:color w:val="auto"/>
          <w:sz w:val="20"/>
          <w:szCs w:val="20"/>
        </w:rPr>
      </w:pPr>
      <w:r w:rsidRPr="00505BDC">
        <w:rPr>
          <w:b/>
          <w:bCs/>
          <w:color w:val="auto"/>
          <w:sz w:val="20"/>
          <w:szCs w:val="20"/>
        </w:rPr>
        <w:t xml:space="preserve">Master Sample Library </w:t>
      </w:r>
      <w:r w:rsidRPr="00505BDC">
        <w:rPr>
          <w:color w:val="auto"/>
          <w:sz w:val="20"/>
          <w:szCs w:val="20"/>
        </w:rPr>
        <w:t xml:space="preserve">stores, displays, and documents master samples—a master sample consists of a set of potential sample locations from which monitoring sites can be selected. Use of master samples allows data from multiple monitoring programs to be more easily shared, integrated, and used for other applications. </w:t>
      </w:r>
    </w:p>
    <w:p w:rsidR="00AC0320" w:rsidRPr="00505BDC" w:rsidRDefault="00AC0320" w:rsidP="00AC0320">
      <w:pPr>
        <w:pStyle w:val="Default"/>
        <w:numPr>
          <w:ilvl w:val="0"/>
          <w:numId w:val="2"/>
        </w:numPr>
        <w:spacing w:after="103"/>
        <w:rPr>
          <w:color w:val="auto"/>
          <w:sz w:val="20"/>
          <w:szCs w:val="20"/>
        </w:rPr>
      </w:pPr>
      <w:r w:rsidRPr="00505BDC">
        <w:rPr>
          <w:b/>
          <w:bCs/>
          <w:color w:val="auto"/>
          <w:sz w:val="20"/>
          <w:szCs w:val="20"/>
        </w:rPr>
        <w:t xml:space="preserve">User Sample File </w:t>
      </w:r>
      <w:r w:rsidRPr="00505BDC">
        <w:rPr>
          <w:color w:val="auto"/>
          <w:sz w:val="20"/>
          <w:szCs w:val="20"/>
        </w:rPr>
        <w:t xml:space="preserve">leads users through the process of uploading planned sampling sites to </w:t>
      </w:r>
      <w:r w:rsidRPr="00505BDC">
        <w:rPr>
          <w:i/>
          <w:iCs/>
          <w:color w:val="auto"/>
          <w:sz w:val="20"/>
          <w:szCs w:val="20"/>
        </w:rPr>
        <w:t>MonitoringResources.org</w:t>
      </w:r>
      <w:r w:rsidRPr="00505BDC">
        <w:rPr>
          <w:color w:val="auto"/>
          <w:sz w:val="20"/>
          <w:szCs w:val="20"/>
        </w:rPr>
        <w:t xml:space="preserve">. </w:t>
      </w:r>
    </w:p>
    <w:p w:rsidR="00AC0320" w:rsidRPr="00505BDC" w:rsidRDefault="00AC0320" w:rsidP="00505BDC">
      <w:pPr>
        <w:pStyle w:val="Default"/>
        <w:numPr>
          <w:ilvl w:val="0"/>
          <w:numId w:val="2"/>
        </w:numPr>
        <w:spacing w:after="107"/>
        <w:rPr>
          <w:color w:val="auto"/>
          <w:sz w:val="20"/>
          <w:szCs w:val="20"/>
        </w:rPr>
      </w:pPr>
      <w:r w:rsidRPr="00505BDC">
        <w:rPr>
          <w:b/>
          <w:bCs/>
          <w:color w:val="auto"/>
          <w:sz w:val="20"/>
          <w:szCs w:val="20"/>
        </w:rPr>
        <w:t xml:space="preserve">Sample Designer Tool </w:t>
      </w:r>
      <w:r w:rsidRPr="00505BDC">
        <w:rPr>
          <w:color w:val="auto"/>
          <w:sz w:val="20"/>
          <w:szCs w:val="20"/>
        </w:rPr>
        <w:t xml:space="preserve">helps users Create and document multiple types of sample designs; </w:t>
      </w:r>
    </w:p>
    <w:p w:rsidR="00AC0320" w:rsidRPr="00505BDC" w:rsidRDefault="00AC0320" w:rsidP="00AC0320">
      <w:pPr>
        <w:pStyle w:val="Default"/>
        <w:numPr>
          <w:ilvl w:val="1"/>
          <w:numId w:val="2"/>
        </w:numPr>
        <w:spacing w:after="107"/>
        <w:rPr>
          <w:color w:val="auto"/>
          <w:sz w:val="20"/>
          <w:szCs w:val="20"/>
        </w:rPr>
      </w:pPr>
      <w:r w:rsidRPr="00505BDC">
        <w:rPr>
          <w:color w:val="auto"/>
          <w:sz w:val="20"/>
          <w:szCs w:val="20"/>
        </w:rPr>
        <w:t xml:space="preserve">Use a master sample to select and document spatially balanced, random sample sites and define the temporal plan for sampling; the selection process uses the Generalized Random Tessellation Stratified (GRTS) algorithm commonly used by agencies, monitoring organizations, and scientists; </w:t>
      </w:r>
    </w:p>
    <w:p w:rsidR="00AC0320" w:rsidRPr="00505BDC" w:rsidRDefault="00AC0320" w:rsidP="00AC0320">
      <w:pPr>
        <w:pStyle w:val="Default"/>
        <w:numPr>
          <w:ilvl w:val="1"/>
          <w:numId w:val="2"/>
        </w:numPr>
        <w:spacing w:after="107"/>
        <w:rPr>
          <w:color w:val="auto"/>
          <w:sz w:val="20"/>
          <w:szCs w:val="20"/>
        </w:rPr>
      </w:pPr>
      <w:r w:rsidRPr="00505BDC">
        <w:rPr>
          <w:color w:val="auto"/>
          <w:sz w:val="20"/>
          <w:szCs w:val="20"/>
        </w:rPr>
        <w:t xml:space="preserve">Track site evaluation status before and during sampling; and </w:t>
      </w:r>
    </w:p>
    <w:p w:rsidR="00AC0320" w:rsidRPr="00505BDC" w:rsidRDefault="00AC0320" w:rsidP="00AC0320">
      <w:pPr>
        <w:pStyle w:val="Default"/>
        <w:numPr>
          <w:ilvl w:val="1"/>
          <w:numId w:val="2"/>
        </w:numPr>
        <w:rPr>
          <w:color w:val="auto"/>
          <w:sz w:val="20"/>
          <w:szCs w:val="20"/>
        </w:rPr>
      </w:pPr>
      <w:r w:rsidRPr="00505BDC">
        <w:rPr>
          <w:color w:val="auto"/>
          <w:sz w:val="20"/>
          <w:szCs w:val="20"/>
        </w:rPr>
        <w:t xml:space="preserve">Share sampling dates, times, and implementation details with others. </w:t>
      </w:r>
    </w:p>
    <w:p w:rsidR="00505BDC" w:rsidRPr="00505BDC" w:rsidRDefault="00505BDC" w:rsidP="00505BDC">
      <w:pPr>
        <w:pStyle w:val="Default"/>
        <w:rPr>
          <w:color w:val="auto"/>
          <w:sz w:val="20"/>
          <w:szCs w:val="20"/>
        </w:rPr>
      </w:pPr>
    </w:p>
    <w:p w:rsidR="00E172CC" w:rsidRDefault="00E172CC" w:rsidP="00E172CC">
      <w:pPr>
        <w:pStyle w:val="Default"/>
        <w:keepNext/>
        <w:rPr>
          <w:color w:val="auto"/>
          <w:sz w:val="20"/>
          <w:szCs w:val="20"/>
        </w:rPr>
      </w:pPr>
      <w:r>
        <w:rPr>
          <w:color w:val="auto"/>
          <w:sz w:val="20"/>
          <w:szCs w:val="20"/>
        </w:rPr>
        <w:t xml:space="preserve">Here is the landing (home page) for </w:t>
      </w:r>
      <w:hyperlink r:id="rId9" w:history="1">
        <w:r w:rsidRPr="00E172CC">
          <w:rPr>
            <w:rStyle w:val="Hyperlink"/>
            <w:sz w:val="20"/>
            <w:szCs w:val="20"/>
          </w:rPr>
          <w:t>www.MonitoringResources.org</w:t>
        </w:r>
      </w:hyperlink>
    </w:p>
    <w:p w:rsidR="00E172CC" w:rsidRDefault="00E172CC" w:rsidP="00505BDC">
      <w:pPr>
        <w:pStyle w:val="Default"/>
        <w:rPr>
          <w:color w:val="auto"/>
          <w:sz w:val="20"/>
          <w:szCs w:val="20"/>
        </w:rPr>
      </w:pPr>
      <w:r>
        <w:rPr>
          <w:noProof/>
          <w:color w:val="auto"/>
          <w:sz w:val="20"/>
          <w:szCs w:val="20"/>
        </w:rPr>
        <w:drawing>
          <wp:inline distT="0" distB="0" distL="0" distR="0" wp14:anchorId="7D67BAB0" wp14:editId="0F71E8C7">
            <wp:extent cx="4999511" cy="451344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 home page.png"/>
                    <pic:cNvPicPr/>
                  </pic:nvPicPr>
                  <pic:blipFill>
                    <a:blip r:embed="rId10">
                      <a:extLst>
                        <a:ext uri="{28A0092B-C50C-407E-A947-70E740481C1C}">
                          <a14:useLocalDpi xmlns:a14="http://schemas.microsoft.com/office/drawing/2010/main" val="0"/>
                        </a:ext>
                      </a:extLst>
                    </a:blip>
                    <a:stretch>
                      <a:fillRect/>
                    </a:stretch>
                  </pic:blipFill>
                  <pic:spPr>
                    <a:xfrm>
                      <a:off x="0" y="0"/>
                      <a:ext cx="5010068" cy="4522979"/>
                    </a:xfrm>
                    <a:prstGeom prst="rect">
                      <a:avLst/>
                    </a:prstGeom>
                  </pic:spPr>
                </pic:pic>
              </a:graphicData>
            </a:graphic>
          </wp:inline>
        </w:drawing>
      </w:r>
    </w:p>
    <w:p w:rsidR="00E172CC" w:rsidRDefault="00E172CC" w:rsidP="00505BDC">
      <w:pPr>
        <w:pStyle w:val="Default"/>
        <w:rPr>
          <w:color w:val="auto"/>
          <w:sz w:val="20"/>
          <w:szCs w:val="20"/>
        </w:rPr>
      </w:pPr>
    </w:p>
    <w:p w:rsidR="00AC0320" w:rsidRDefault="00505BDC" w:rsidP="00E172CC">
      <w:pPr>
        <w:pStyle w:val="Default"/>
        <w:keepNext/>
        <w:rPr>
          <w:color w:val="auto"/>
          <w:sz w:val="20"/>
          <w:szCs w:val="20"/>
        </w:rPr>
      </w:pPr>
      <w:r w:rsidRPr="00505BDC">
        <w:rPr>
          <w:color w:val="auto"/>
          <w:sz w:val="20"/>
          <w:szCs w:val="20"/>
        </w:rPr>
        <w:lastRenderedPageBreak/>
        <w:t xml:space="preserve">Below are screenshots from each component. </w:t>
      </w:r>
    </w:p>
    <w:p w:rsidR="00E172CC" w:rsidRPr="00505BDC" w:rsidRDefault="00E172CC" w:rsidP="00E172CC">
      <w:pPr>
        <w:pStyle w:val="Default"/>
        <w:keepNext/>
        <w:rPr>
          <w:b/>
        </w:rPr>
      </w:pPr>
    </w:p>
    <w:p w:rsidR="00A1449D" w:rsidRPr="00505BDC" w:rsidRDefault="00505BDC">
      <w:pPr>
        <w:rPr>
          <w:rFonts w:ascii="Times New Roman" w:hAnsi="Times New Roman" w:cs="Times New Roman"/>
          <w:b/>
        </w:rPr>
      </w:pPr>
      <w:r w:rsidRPr="00505BDC">
        <w:rPr>
          <w:rFonts w:ascii="Times New Roman" w:hAnsi="Times New Roman" w:cs="Times New Roman"/>
          <w:b/>
        </w:rPr>
        <w:t xml:space="preserve">Study Design </w:t>
      </w:r>
    </w:p>
    <w:p w:rsidR="00AC0320" w:rsidRPr="00505BDC" w:rsidRDefault="00AC0320">
      <w:pPr>
        <w:rPr>
          <w:rFonts w:ascii="Times New Roman" w:hAnsi="Times New Roman" w:cs="Times New Roman"/>
          <w:b/>
        </w:rPr>
      </w:pPr>
      <w:r w:rsidRPr="00505BDC">
        <w:rPr>
          <w:rFonts w:ascii="Times New Roman" w:hAnsi="Times New Roman" w:cs="Times New Roman"/>
          <w:noProof/>
        </w:rPr>
        <w:drawing>
          <wp:inline distT="0" distB="0" distL="0" distR="0" wp14:anchorId="1FFBD0EB" wp14:editId="1A8A8ACF">
            <wp:extent cx="6614556" cy="57064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611313" cy="5703670"/>
                    </a:xfrm>
                    <a:prstGeom prst="rect">
                      <a:avLst/>
                    </a:prstGeom>
                  </pic:spPr>
                </pic:pic>
              </a:graphicData>
            </a:graphic>
          </wp:inline>
        </w:drawing>
      </w:r>
    </w:p>
    <w:p w:rsidR="009C63F2" w:rsidRPr="00505BDC" w:rsidRDefault="009C63F2">
      <w:pPr>
        <w:rPr>
          <w:rFonts w:ascii="Times New Roman" w:hAnsi="Times New Roman" w:cs="Times New Roman"/>
          <w:b/>
        </w:rPr>
      </w:pPr>
      <w:r w:rsidRPr="00505BDC">
        <w:rPr>
          <w:rFonts w:ascii="Times New Roman" w:hAnsi="Times New Roman" w:cs="Times New Roman"/>
          <w:b/>
        </w:rPr>
        <w:br w:type="page"/>
      </w:r>
    </w:p>
    <w:p w:rsidR="009C63F2" w:rsidRPr="00505BDC" w:rsidRDefault="00505BDC">
      <w:pPr>
        <w:rPr>
          <w:rFonts w:ascii="Times New Roman" w:hAnsi="Times New Roman" w:cs="Times New Roman"/>
          <w:b/>
        </w:rPr>
      </w:pPr>
      <w:r w:rsidRPr="00505BDC">
        <w:rPr>
          <w:rFonts w:ascii="Times New Roman" w:hAnsi="Times New Roman" w:cs="Times New Roman"/>
          <w:b/>
        </w:rPr>
        <w:lastRenderedPageBreak/>
        <w:t xml:space="preserve">Method Builder </w:t>
      </w:r>
    </w:p>
    <w:p w:rsidR="009C63F2" w:rsidRPr="00505BDC" w:rsidRDefault="009C63F2">
      <w:pPr>
        <w:rPr>
          <w:rFonts w:ascii="Times New Roman" w:hAnsi="Times New Roman" w:cs="Times New Roman"/>
          <w:b/>
        </w:rPr>
      </w:pPr>
      <w:r w:rsidRPr="00505BDC">
        <w:rPr>
          <w:rFonts w:ascii="Times New Roman" w:hAnsi="Times New Roman" w:cs="Times New Roman"/>
          <w:noProof/>
        </w:rPr>
        <w:drawing>
          <wp:inline distT="0" distB="0" distL="0" distR="0" wp14:anchorId="4FFBECF5" wp14:editId="0EBE50F8">
            <wp:extent cx="6750353" cy="580703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743617" cy="5801239"/>
                    </a:xfrm>
                    <a:prstGeom prst="rect">
                      <a:avLst/>
                    </a:prstGeom>
                  </pic:spPr>
                </pic:pic>
              </a:graphicData>
            </a:graphic>
          </wp:inline>
        </w:drawing>
      </w:r>
    </w:p>
    <w:p w:rsidR="009C63F2" w:rsidRPr="00505BDC" w:rsidRDefault="009C63F2">
      <w:pPr>
        <w:rPr>
          <w:rFonts w:ascii="Times New Roman" w:hAnsi="Times New Roman" w:cs="Times New Roman"/>
          <w:b/>
        </w:rPr>
      </w:pPr>
    </w:p>
    <w:p w:rsidR="009C63F2" w:rsidRPr="00505BDC" w:rsidRDefault="009C63F2">
      <w:pPr>
        <w:rPr>
          <w:rFonts w:ascii="Times New Roman" w:hAnsi="Times New Roman" w:cs="Times New Roman"/>
          <w:b/>
        </w:rPr>
      </w:pPr>
      <w:r w:rsidRPr="00505BDC">
        <w:rPr>
          <w:rFonts w:ascii="Times New Roman" w:hAnsi="Times New Roman" w:cs="Times New Roman"/>
          <w:b/>
        </w:rPr>
        <w:br w:type="page"/>
      </w:r>
    </w:p>
    <w:p w:rsidR="009C63F2" w:rsidRPr="00505BDC" w:rsidRDefault="009C63F2">
      <w:pPr>
        <w:rPr>
          <w:rFonts w:ascii="Times New Roman" w:hAnsi="Times New Roman" w:cs="Times New Roman"/>
          <w:b/>
        </w:rPr>
      </w:pPr>
      <w:r w:rsidRPr="00505BDC">
        <w:rPr>
          <w:rFonts w:ascii="Times New Roman" w:hAnsi="Times New Roman" w:cs="Times New Roman"/>
          <w:b/>
        </w:rPr>
        <w:t xml:space="preserve">Protocol Builder </w:t>
      </w:r>
      <w:r w:rsidRPr="00505BDC">
        <w:rPr>
          <w:rFonts w:ascii="Times New Roman" w:hAnsi="Times New Roman" w:cs="Times New Roman"/>
          <w:noProof/>
        </w:rPr>
        <w:drawing>
          <wp:inline distT="0" distB="0" distL="0" distR="0" wp14:anchorId="3634E507" wp14:editId="26431A75">
            <wp:extent cx="6662057" cy="4621447"/>
            <wp:effectExtent l="0" t="0" r="571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665805" cy="4624047"/>
                    </a:xfrm>
                    <a:prstGeom prst="rect">
                      <a:avLst/>
                    </a:prstGeom>
                  </pic:spPr>
                </pic:pic>
              </a:graphicData>
            </a:graphic>
          </wp:inline>
        </w:drawing>
      </w:r>
    </w:p>
    <w:p w:rsidR="009C63F2" w:rsidRPr="00505BDC" w:rsidRDefault="009C63F2">
      <w:pPr>
        <w:rPr>
          <w:rFonts w:ascii="Times New Roman" w:hAnsi="Times New Roman" w:cs="Times New Roman"/>
          <w:b/>
        </w:rPr>
      </w:pPr>
      <w:r w:rsidRPr="00505BDC">
        <w:rPr>
          <w:rFonts w:ascii="Times New Roman" w:hAnsi="Times New Roman" w:cs="Times New Roman"/>
          <w:b/>
        </w:rPr>
        <w:br w:type="page"/>
      </w:r>
    </w:p>
    <w:p w:rsidR="009C63F2" w:rsidRPr="00505BDC" w:rsidRDefault="00505BDC">
      <w:pPr>
        <w:rPr>
          <w:rFonts w:ascii="Times New Roman" w:hAnsi="Times New Roman" w:cs="Times New Roman"/>
          <w:b/>
        </w:rPr>
      </w:pPr>
      <w:r w:rsidRPr="00505BDC">
        <w:rPr>
          <w:rFonts w:ascii="Times New Roman" w:hAnsi="Times New Roman" w:cs="Times New Roman"/>
          <w:b/>
        </w:rPr>
        <w:t xml:space="preserve">User Sample </w:t>
      </w:r>
    </w:p>
    <w:p w:rsidR="009C63F2" w:rsidRPr="00505BDC" w:rsidRDefault="009C63F2">
      <w:pPr>
        <w:rPr>
          <w:rFonts w:ascii="Times New Roman" w:hAnsi="Times New Roman" w:cs="Times New Roman"/>
          <w:b/>
        </w:rPr>
      </w:pPr>
      <w:r w:rsidRPr="00505BDC">
        <w:rPr>
          <w:rFonts w:ascii="Times New Roman" w:hAnsi="Times New Roman" w:cs="Times New Roman"/>
          <w:noProof/>
        </w:rPr>
        <w:drawing>
          <wp:inline distT="0" distB="0" distL="0" distR="0" wp14:anchorId="775AB6F8" wp14:editId="6E2A3855">
            <wp:extent cx="6460176" cy="523854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457855" cy="5236658"/>
                    </a:xfrm>
                    <a:prstGeom prst="rect">
                      <a:avLst/>
                    </a:prstGeom>
                  </pic:spPr>
                </pic:pic>
              </a:graphicData>
            </a:graphic>
          </wp:inline>
        </w:drawing>
      </w:r>
    </w:p>
    <w:p w:rsidR="00505BDC" w:rsidRPr="00505BDC" w:rsidRDefault="00505BDC">
      <w:pPr>
        <w:rPr>
          <w:rFonts w:ascii="Times New Roman" w:hAnsi="Times New Roman" w:cs="Times New Roman"/>
          <w:b/>
        </w:rPr>
      </w:pPr>
    </w:p>
    <w:p w:rsidR="00505BDC" w:rsidRPr="00505BDC" w:rsidRDefault="00505BDC">
      <w:pPr>
        <w:rPr>
          <w:rFonts w:ascii="Times New Roman" w:hAnsi="Times New Roman" w:cs="Times New Roman"/>
          <w:b/>
        </w:rPr>
      </w:pPr>
      <w:r w:rsidRPr="00505BDC">
        <w:rPr>
          <w:rFonts w:ascii="Times New Roman" w:hAnsi="Times New Roman" w:cs="Times New Roman"/>
          <w:b/>
        </w:rPr>
        <w:br w:type="page"/>
      </w:r>
    </w:p>
    <w:p w:rsidR="00505BDC" w:rsidRPr="00505BDC" w:rsidRDefault="00505BDC">
      <w:pPr>
        <w:rPr>
          <w:rFonts w:ascii="Times New Roman" w:hAnsi="Times New Roman" w:cs="Times New Roman"/>
          <w:b/>
        </w:rPr>
      </w:pPr>
      <w:r w:rsidRPr="00505BDC">
        <w:rPr>
          <w:rFonts w:ascii="Times New Roman" w:hAnsi="Times New Roman" w:cs="Times New Roman"/>
          <w:b/>
        </w:rPr>
        <w:t xml:space="preserve">Sample Design </w:t>
      </w:r>
    </w:p>
    <w:p w:rsidR="00505BDC" w:rsidRPr="00505BDC" w:rsidRDefault="00505BDC">
      <w:pPr>
        <w:rPr>
          <w:rFonts w:ascii="Times New Roman" w:hAnsi="Times New Roman" w:cs="Times New Roman"/>
          <w:b/>
        </w:rPr>
      </w:pPr>
      <w:r w:rsidRPr="00505BDC">
        <w:rPr>
          <w:rFonts w:ascii="Times New Roman" w:hAnsi="Times New Roman" w:cs="Times New Roman"/>
          <w:noProof/>
        </w:rPr>
        <w:drawing>
          <wp:inline distT="0" distB="0" distL="0" distR="0" wp14:anchorId="64C018D3" wp14:editId="388551E9">
            <wp:extent cx="6388924" cy="5932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385174" cy="5928798"/>
                    </a:xfrm>
                    <a:prstGeom prst="rect">
                      <a:avLst/>
                    </a:prstGeom>
                  </pic:spPr>
                </pic:pic>
              </a:graphicData>
            </a:graphic>
          </wp:inline>
        </w:drawing>
      </w:r>
    </w:p>
    <w:sectPr w:rsidR="00505BDC" w:rsidRPr="00505BDC" w:rsidSect="00FA5FE1">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ACB" w:rsidRDefault="00E03ACB" w:rsidP="00FA5FE1">
      <w:pPr>
        <w:spacing w:after="0" w:line="240" w:lineRule="auto"/>
      </w:pPr>
      <w:r>
        <w:separator/>
      </w:r>
    </w:p>
  </w:endnote>
  <w:endnote w:type="continuationSeparator" w:id="0">
    <w:p w:rsidR="00E03ACB" w:rsidRDefault="00E03ACB" w:rsidP="00FA5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349859"/>
      <w:docPartObj>
        <w:docPartGallery w:val="Page Numbers (Bottom of Page)"/>
        <w:docPartUnique/>
      </w:docPartObj>
    </w:sdtPr>
    <w:sdtEndPr>
      <w:rPr>
        <w:noProof/>
      </w:rPr>
    </w:sdtEndPr>
    <w:sdtContent>
      <w:p w:rsidR="00FA5FE1" w:rsidRDefault="00FA5FE1">
        <w:pPr>
          <w:pStyle w:val="Footer"/>
          <w:jc w:val="center"/>
        </w:pPr>
        <w:r>
          <w:fldChar w:fldCharType="begin"/>
        </w:r>
        <w:r>
          <w:instrText xml:space="preserve"> PAGE   \* MERGEFORMAT </w:instrText>
        </w:r>
        <w:r>
          <w:fldChar w:fldCharType="separate"/>
        </w:r>
        <w:r w:rsidR="005D74B6">
          <w:rPr>
            <w:noProof/>
          </w:rPr>
          <w:t>1</w:t>
        </w:r>
        <w:r>
          <w:rPr>
            <w:noProof/>
          </w:rPr>
          <w:fldChar w:fldCharType="end"/>
        </w:r>
      </w:p>
    </w:sdtContent>
  </w:sdt>
  <w:p w:rsidR="00FA5FE1" w:rsidRDefault="00FA5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ACB" w:rsidRDefault="00E03ACB" w:rsidP="00FA5FE1">
      <w:pPr>
        <w:spacing w:after="0" w:line="240" w:lineRule="auto"/>
      </w:pPr>
      <w:r>
        <w:separator/>
      </w:r>
    </w:p>
  </w:footnote>
  <w:footnote w:type="continuationSeparator" w:id="0">
    <w:p w:rsidR="00E03ACB" w:rsidRDefault="00E03ACB" w:rsidP="00FA5F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637"/>
    <w:multiLevelType w:val="hybridMultilevel"/>
    <w:tmpl w:val="338E3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92181"/>
    <w:multiLevelType w:val="hybridMultilevel"/>
    <w:tmpl w:val="6C9F91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320"/>
    <w:rsid w:val="00317B69"/>
    <w:rsid w:val="00505BDC"/>
    <w:rsid w:val="00545B43"/>
    <w:rsid w:val="00552A52"/>
    <w:rsid w:val="005D74B6"/>
    <w:rsid w:val="006608E5"/>
    <w:rsid w:val="0091382F"/>
    <w:rsid w:val="009C63F2"/>
    <w:rsid w:val="00A1449D"/>
    <w:rsid w:val="00AC0320"/>
    <w:rsid w:val="00E03ACB"/>
    <w:rsid w:val="00E172CC"/>
    <w:rsid w:val="00FA5FE1"/>
    <w:rsid w:val="00FE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32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C0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320"/>
    <w:rPr>
      <w:rFonts w:ascii="Tahoma" w:hAnsi="Tahoma" w:cs="Tahoma"/>
      <w:sz w:val="16"/>
      <w:szCs w:val="16"/>
    </w:rPr>
  </w:style>
  <w:style w:type="character" w:styleId="Hyperlink">
    <w:name w:val="Hyperlink"/>
    <w:basedOn w:val="DefaultParagraphFont"/>
    <w:uiPriority w:val="99"/>
    <w:unhideWhenUsed/>
    <w:rsid w:val="00E172CC"/>
    <w:rPr>
      <w:color w:val="0000FF" w:themeColor="hyperlink"/>
      <w:u w:val="single"/>
    </w:rPr>
  </w:style>
  <w:style w:type="paragraph" w:styleId="Header">
    <w:name w:val="header"/>
    <w:basedOn w:val="Normal"/>
    <w:link w:val="HeaderChar"/>
    <w:uiPriority w:val="99"/>
    <w:unhideWhenUsed/>
    <w:rsid w:val="00FA5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FE1"/>
  </w:style>
  <w:style w:type="paragraph" w:styleId="Footer">
    <w:name w:val="footer"/>
    <w:basedOn w:val="Normal"/>
    <w:link w:val="FooterChar"/>
    <w:uiPriority w:val="99"/>
    <w:unhideWhenUsed/>
    <w:rsid w:val="00FA5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F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32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C0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320"/>
    <w:rPr>
      <w:rFonts w:ascii="Tahoma" w:hAnsi="Tahoma" w:cs="Tahoma"/>
      <w:sz w:val="16"/>
      <w:szCs w:val="16"/>
    </w:rPr>
  </w:style>
  <w:style w:type="character" w:styleId="Hyperlink">
    <w:name w:val="Hyperlink"/>
    <w:basedOn w:val="DefaultParagraphFont"/>
    <w:uiPriority w:val="99"/>
    <w:unhideWhenUsed/>
    <w:rsid w:val="00E172CC"/>
    <w:rPr>
      <w:color w:val="0000FF" w:themeColor="hyperlink"/>
      <w:u w:val="single"/>
    </w:rPr>
  </w:style>
  <w:style w:type="paragraph" w:styleId="Header">
    <w:name w:val="header"/>
    <w:basedOn w:val="Normal"/>
    <w:link w:val="HeaderChar"/>
    <w:uiPriority w:val="99"/>
    <w:unhideWhenUsed/>
    <w:rsid w:val="00FA5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FE1"/>
  </w:style>
  <w:style w:type="paragraph" w:styleId="Footer">
    <w:name w:val="footer"/>
    <w:basedOn w:val="Normal"/>
    <w:link w:val="FooterChar"/>
    <w:uiPriority w:val="99"/>
    <w:unhideWhenUsed/>
    <w:rsid w:val="00FA5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file:///C:\rocis\upload\2018\7\13\10_27_17\www.MonitoringResources.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815BE-6EAC-479F-AAB5-4E6755FF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A Scully</dc:creator>
  <cp:lastModifiedBy>SYSTEM</cp:lastModifiedBy>
  <cp:revision>2</cp:revision>
  <dcterms:created xsi:type="dcterms:W3CDTF">2018-10-31T14:29:00Z</dcterms:created>
  <dcterms:modified xsi:type="dcterms:W3CDTF">2018-10-31T14:29:00Z</dcterms:modified>
</cp:coreProperties>
</file>