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r w:rsidRPr="00932975">
        <w:rPr>
          <w:rFonts w:cs="Arial" w:asciiTheme="minorHAnsi" w:hAnsiTheme="minorHAnsi"/>
          <w:color w:val="000000"/>
        </w:rPr>
        <w:t>all of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r>
        <w:rPr>
          <w:sz w:val="20"/>
        </w:rPr>
        <w:t>a</w:t>
      </w:r>
      <w:r w:rsidRPr="0086056C">
        <w:rPr>
          <w:sz w:val="20"/>
        </w:rPr>
        <w:t>gree</w:t>
      </w:r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r>
        <w:rPr>
          <w:sz w:val="20"/>
        </w:rPr>
        <w:t>d</w:t>
      </w:r>
      <w:r w:rsidRPr="0086056C">
        <w:rPr>
          <w:sz w:val="20"/>
        </w:rPr>
        <w:t>isagree</w:t>
      </w:r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EA7673" w:rsidR="00EA7673" w:rsidP="00EA7673" w:rsidRDefault="00EA7673" w14:paraId="43C16F55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EA7673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Q1=55 Demonstration Grants for Indian Children/Special Projects Demonstration Grants ASK 1-4 BELOW</w:t>
      </w:r>
    </w:p>
    <w:p w:rsidRPr="00EA7673" w:rsidR="00EA7673" w:rsidP="00EA7673" w:rsidRDefault="00EA7673" w14:paraId="6ED8F5B4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EA7673" w:rsidR="00EA7673" w:rsidP="00EA7673" w:rsidRDefault="00EA7673" w14:paraId="1456F4D4" w14:textId="77777777">
      <w:pPr>
        <w:pStyle w:val="Default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As it relates to the Native Youth Community Projects (NYCP) program, please rate the following using a 10 point scale, where “1” means “Poor” and “10” means “Excellent” </w:t>
      </w:r>
    </w:p>
    <w:p w:rsidRPr="00EA7673" w:rsidR="00EA7673" w:rsidP="00EA7673" w:rsidRDefault="00EA7673" w14:paraId="66FB14FF" w14:textId="77777777">
      <w:pPr>
        <w:pStyle w:val="Default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</w:p>
    <w:p w:rsidRPr="00EA7673" w:rsidR="00EA7673" w:rsidP="00EA7673" w:rsidRDefault="00EA7673" w14:paraId="49616C61" w14:textId="77777777">
      <w:pPr>
        <w:pStyle w:val="NoSpacing"/>
        <w:rPr>
          <w:sz w:val="20"/>
          <w:highlight w:val="yellow"/>
        </w:rPr>
      </w:pPr>
      <w:r w:rsidRPr="00EA7673">
        <w:rPr>
          <w:sz w:val="20"/>
          <w:highlight w:val="yellow"/>
        </w:rPr>
        <w:t>Q55.1. Usefulness and relevance of webinar-based technical assistance</w:t>
      </w:r>
    </w:p>
    <w:p w:rsidRPr="00EA7673" w:rsidR="00EA7673" w:rsidP="00EA7673" w:rsidRDefault="00EA7673" w14:paraId="398794BD" w14:textId="77777777">
      <w:pPr>
        <w:pStyle w:val="NoSpacing"/>
        <w:rPr>
          <w:sz w:val="20"/>
          <w:highlight w:val="yellow"/>
        </w:rPr>
      </w:pPr>
      <w:r w:rsidRPr="00EA7673">
        <w:rPr>
          <w:sz w:val="20"/>
          <w:highlight w:val="yellow"/>
        </w:rPr>
        <w:t xml:space="preserve">Q55.2. Usefulness and relevance of project director meeting technical assistance </w:t>
      </w:r>
    </w:p>
    <w:p w:rsidRPr="00EA7673" w:rsidR="00EA7673" w:rsidP="00EA7673" w:rsidRDefault="00EA7673" w14:paraId="2161E5C9" w14:textId="77777777">
      <w:pPr>
        <w:pStyle w:val="NoSpacing"/>
        <w:rPr>
          <w:sz w:val="20"/>
          <w:highlight w:val="yellow"/>
        </w:rPr>
      </w:pPr>
      <w:r w:rsidRPr="00EA7673">
        <w:rPr>
          <w:sz w:val="20"/>
          <w:highlight w:val="yellow"/>
        </w:rPr>
        <w:t xml:space="preserve">Q55.3. Usefulness and relevance of technical assistance resources on the OIE web site. </w:t>
      </w:r>
    </w:p>
    <w:p w:rsidRPr="00EA7673" w:rsidR="00EA7673" w:rsidP="00EA7673" w:rsidRDefault="00EA7673" w14:paraId="43B922AA" w14:textId="77777777">
      <w:pPr>
        <w:pStyle w:val="NoSpacing"/>
        <w:rPr>
          <w:sz w:val="20"/>
          <w:highlight w:val="yellow"/>
        </w:rPr>
      </w:pPr>
    </w:p>
    <w:p w:rsidRPr="00EA7673" w:rsidR="00EA7673" w:rsidP="00EA7673" w:rsidRDefault="00EA7673" w14:paraId="3073BB03" w14:textId="77777777">
      <w:pPr>
        <w:pStyle w:val="Default"/>
        <w:ind w:left="180" w:hanging="180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sz w:val="20"/>
          <w:highlight w:val="yellow"/>
        </w:rPr>
        <w:t>Q55.4</w:t>
      </w: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. Assign the priority, 1 being highest and 8 being lowest, that you would assign to the following technical assistance topics:</w:t>
      </w:r>
    </w:p>
    <w:p w:rsidRPr="00EA7673" w:rsidR="00EA7673" w:rsidP="00EA7673" w:rsidRDefault="00EA7673" w14:paraId="62DA211A" w14:textId="77777777">
      <w:pPr>
        <w:pStyle w:val="Default"/>
        <w:numPr>
          <w:ilvl w:val="0"/>
          <w:numId w:val="28"/>
        </w:numPr>
        <w:adjustRightInd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Data Collection</w:t>
      </w:r>
    </w:p>
    <w:p w:rsidRPr="00EA7673" w:rsidR="00EA7673" w:rsidP="00EA7673" w:rsidRDefault="00EA7673" w14:paraId="6534D96E" w14:textId="77777777">
      <w:pPr>
        <w:pStyle w:val="Default"/>
        <w:numPr>
          <w:ilvl w:val="0"/>
          <w:numId w:val="28"/>
        </w:numPr>
        <w:adjustRightInd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Performance Reporting</w:t>
      </w:r>
    </w:p>
    <w:p w:rsidRPr="00EA7673" w:rsidR="00EA7673" w:rsidP="00EA7673" w:rsidRDefault="00EA7673" w14:paraId="37863BE2" w14:textId="77777777">
      <w:pPr>
        <w:pStyle w:val="Default"/>
        <w:numPr>
          <w:ilvl w:val="0"/>
          <w:numId w:val="28"/>
        </w:numPr>
        <w:adjustRightInd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Family Educational Rights and Privacy Act (FERPA)</w:t>
      </w:r>
    </w:p>
    <w:p w:rsidRPr="00EA7673" w:rsidR="00EA7673" w:rsidP="00EA7673" w:rsidRDefault="00EA7673" w14:paraId="33B42EA9" w14:textId="77777777">
      <w:pPr>
        <w:pStyle w:val="Default"/>
        <w:numPr>
          <w:ilvl w:val="0"/>
          <w:numId w:val="28"/>
        </w:numPr>
        <w:adjustRightInd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Capacity Building</w:t>
      </w:r>
    </w:p>
    <w:p w:rsidRPr="00EA7673" w:rsidR="00EA7673" w:rsidP="00EA7673" w:rsidRDefault="00EA7673" w14:paraId="226ECFE7" w14:textId="77777777">
      <w:pPr>
        <w:pStyle w:val="Default"/>
        <w:numPr>
          <w:ilvl w:val="0"/>
          <w:numId w:val="28"/>
        </w:numPr>
        <w:adjustRightInd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Parent Engagement</w:t>
      </w:r>
    </w:p>
    <w:p w:rsidRPr="00EA7673" w:rsidR="00EA7673" w:rsidP="00EA7673" w:rsidRDefault="00EA7673" w14:paraId="102AA7D7" w14:textId="77777777">
      <w:pPr>
        <w:pStyle w:val="Default"/>
        <w:numPr>
          <w:ilvl w:val="0"/>
          <w:numId w:val="28"/>
        </w:numPr>
        <w:adjustRightInd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Partnerships</w:t>
      </w:r>
    </w:p>
    <w:p w:rsidRPr="00EA7673" w:rsidR="00EA7673" w:rsidP="00EA7673" w:rsidRDefault="00EA7673" w14:paraId="4F758B31" w14:textId="77777777">
      <w:pPr>
        <w:pStyle w:val="Default"/>
        <w:numPr>
          <w:ilvl w:val="0"/>
          <w:numId w:val="28"/>
        </w:numPr>
        <w:adjustRightInd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A7673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Cultural Relevance</w:t>
      </w:r>
    </w:p>
    <w:p w:rsidRPr="00523150" w:rsidR="00517944" w:rsidP="00327BFF" w:rsidRDefault="00EA7673" w14:paraId="4977F92B" w14:textId="64C3CE72">
      <w:pPr>
        <w:pStyle w:val="Default"/>
        <w:numPr>
          <w:ilvl w:val="0"/>
          <w:numId w:val="28"/>
        </w:numPr>
        <w:adjustRightInd/>
        <w:rPr>
          <w:rFonts w:cs="Arial" w:asciiTheme="minorHAnsi" w:hAnsiTheme="minorHAnsi"/>
          <w:sz w:val="20"/>
          <w:szCs w:val="20"/>
        </w:rPr>
      </w:pPr>
      <w:r w:rsidRPr="0052315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Allowable Costs and Budgeting Flexibilities</w:t>
      </w:r>
      <w:bookmarkStart w:name="_GoBack" w:id="3"/>
      <w:bookmarkEnd w:id="3"/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8"/>
  </w:num>
  <w:num w:numId="5">
    <w:abstractNumId w:val="0"/>
  </w:num>
  <w:num w:numId="6">
    <w:abstractNumId w:val="2"/>
  </w:num>
  <w:num w:numId="7">
    <w:abstractNumId w:val="18"/>
  </w:num>
  <w:num w:numId="8">
    <w:abstractNumId w:val="26"/>
  </w:num>
  <w:num w:numId="9">
    <w:abstractNumId w:val="16"/>
  </w:num>
  <w:num w:numId="10">
    <w:abstractNumId w:val="7"/>
  </w:num>
  <w:num w:numId="11">
    <w:abstractNumId w:val="23"/>
  </w:num>
  <w:num w:numId="12">
    <w:abstractNumId w:val="2"/>
  </w:num>
  <w:num w:numId="13">
    <w:abstractNumId w:val="5"/>
  </w:num>
  <w:num w:numId="14">
    <w:abstractNumId w:val="17"/>
  </w:num>
  <w:num w:numId="1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6"/>
  </w:num>
  <w:num w:numId="20">
    <w:abstractNumId w:val="22"/>
  </w:num>
  <w:num w:numId="21">
    <w:abstractNumId w:val="4"/>
  </w:num>
  <w:num w:numId="22">
    <w:abstractNumId w:val="1"/>
  </w:num>
  <w:num w:numId="23">
    <w:abstractNumId w:val="9"/>
  </w:num>
  <w:num w:numId="24">
    <w:abstractNumId w:val="19"/>
  </w:num>
  <w:num w:numId="25">
    <w:abstractNumId w:val="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54883"/>
    <w:rsid w:val="001C3503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31D36"/>
    <w:rsid w:val="004546B9"/>
    <w:rsid w:val="00482848"/>
    <w:rsid w:val="00484A76"/>
    <w:rsid w:val="00517944"/>
    <w:rsid w:val="00523150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B6D53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EA7673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2020-02-14T14:25:00Z</dcterms:created>
  <dcterms:modified xsi:type="dcterms:W3CDTF">2020-02-19T16:39:00Z</dcterms:modified>
</cp:coreProperties>
</file>