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EBF38" w14:textId="77777777" w:rsidR="00D40032" w:rsidRDefault="00D40032" w:rsidP="004A4B38">
      <w:pPr>
        <w:jc w:val="center"/>
        <w:rPr>
          <w:rFonts w:ascii="Times New Roman" w:hAnsi="Times New Roman"/>
          <w:b/>
          <w:sz w:val="28"/>
          <w:szCs w:val="28"/>
        </w:rPr>
      </w:pPr>
      <w:bookmarkStart w:id="0" w:name="_GoBack"/>
      <w:bookmarkEnd w:id="0"/>
    </w:p>
    <w:p w14:paraId="7EDABBC7" w14:textId="77777777" w:rsidR="00883996" w:rsidRPr="00883996" w:rsidRDefault="00712C60" w:rsidP="004A4B38">
      <w:pPr>
        <w:jc w:val="center"/>
        <w:rPr>
          <w:rFonts w:ascii="Times New Roman" w:hAnsi="Times New Roman"/>
          <w:b/>
          <w:sz w:val="28"/>
          <w:szCs w:val="28"/>
        </w:rPr>
      </w:pPr>
      <w:r>
        <w:rPr>
          <w:rFonts w:ascii="Times New Roman" w:hAnsi="Times New Roman"/>
          <w:b/>
          <w:sz w:val="28"/>
          <w:szCs w:val="28"/>
        </w:rPr>
        <w:t>OMB SUPPORTING STATEMENT PRA PART A</w:t>
      </w:r>
    </w:p>
    <w:p w14:paraId="2862CBD6" w14:textId="77777777" w:rsidR="00107CE3" w:rsidRDefault="00107CE3" w:rsidP="00107CE3">
      <w:pPr>
        <w:rPr>
          <w:rFonts w:ascii="Times New Roman" w:hAnsi="Times New Roman"/>
          <w:b/>
          <w:szCs w:val="24"/>
        </w:rPr>
      </w:pPr>
    </w:p>
    <w:p w14:paraId="7132A509" w14:textId="6472D806" w:rsidR="001D388F" w:rsidRPr="00341276" w:rsidRDefault="00712C60" w:rsidP="00C55EF8">
      <w:pPr>
        <w:spacing w:line="276" w:lineRule="auto"/>
        <w:rPr>
          <w:rFonts w:ascii="Times New Roman" w:hAnsi="Times New Roman"/>
          <w:szCs w:val="24"/>
        </w:rPr>
      </w:pPr>
      <w:r w:rsidRPr="00341276">
        <w:rPr>
          <w:rFonts w:ascii="Times New Roman" w:hAnsi="Times New Roman"/>
          <w:szCs w:val="24"/>
        </w:rPr>
        <w:t>The U.S. Department of Labor</w:t>
      </w:r>
      <w:r w:rsidR="007B182C" w:rsidRPr="00341276">
        <w:rPr>
          <w:rFonts w:ascii="Times New Roman" w:hAnsi="Times New Roman"/>
          <w:szCs w:val="24"/>
        </w:rPr>
        <w:t>’s</w:t>
      </w:r>
      <w:r w:rsidRPr="00341276">
        <w:rPr>
          <w:rFonts w:ascii="Times New Roman" w:hAnsi="Times New Roman"/>
          <w:szCs w:val="24"/>
        </w:rPr>
        <w:t xml:space="preserve"> </w:t>
      </w:r>
      <w:r w:rsidR="007B182C" w:rsidRPr="00341276">
        <w:rPr>
          <w:rFonts w:ascii="Times New Roman" w:hAnsi="Times New Roman"/>
          <w:szCs w:val="24"/>
        </w:rPr>
        <w:t xml:space="preserve">Chief Evaluation Office (CEO) </w:t>
      </w:r>
      <w:r w:rsidRPr="00341276">
        <w:rPr>
          <w:rFonts w:ascii="Times New Roman" w:hAnsi="Times New Roman"/>
          <w:szCs w:val="24"/>
        </w:rPr>
        <w:t xml:space="preserve">is </w:t>
      </w:r>
      <w:r w:rsidR="00ED7ED8" w:rsidRPr="00341276">
        <w:rPr>
          <w:rFonts w:ascii="Times New Roman" w:hAnsi="Times New Roman"/>
          <w:szCs w:val="24"/>
        </w:rPr>
        <w:t xml:space="preserve">undertaking the Evaluation of Strategies Used in the TechHire and Strengthening Working Families </w:t>
      </w:r>
      <w:r w:rsidR="007B182C" w:rsidRPr="00341276">
        <w:rPr>
          <w:rFonts w:ascii="Times New Roman" w:hAnsi="Times New Roman"/>
          <w:szCs w:val="24"/>
        </w:rPr>
        <w:t xml:space="preserve">Initiative </w:t>
      </w:r>
      <w:r w:rsidR="00ED7ED8" w:rsidRPr="00341276">
        <w:rPr>
          <w:rFonts w:ascii="Times New Roman" w:hAnsi="Times New Roman"/>
          <w:szCs w:val="24"/>
        </w:rPr>
        <w:t xml:space="preserve">(SWFI) </w:t>
      </w:r>
      <w:r w:rsidR="00A860D7" w:rsidRPr="00341276">
        <w:rPr>
          <w:rFonts w:ascii="Times New Roman" w:hAnsi="Times New Roman"/>
          <w:szCs w:val="24"/>
        </w:rPr>
        <w:t>G</w:t>
      </w:r>
      <w:r w:rsidR="007B182C" w:rsidRPr="00341276">
        <w:rPr>
          <w:rFonts w:ascii="Times New Roman" w:hAnsi="Times New Roman"/>
          <w:szCs w:val="24"/>
        </w:rPr>
        <w:t xml:space="preserve">rant </w:t>
      </w:r>
      <w:r w:rsidR="00A860D7" w:rsidRPr="00341276">
        <w:rPr>
          <w:rFonts w:ascii="Times New Roman" w:hAnsi="Times New Roman"/>
          <w:szCs w:val="24"/>
        </w:rPr>
        <w:t>P</w:t>
      </w:r>
      <w:r w:rsidR="007B182C" w:rsidRPr="00341276">
        <w:rPr>
          <w:rFonts w:ascii="Times New Roman" w:hAnsi="Times New Roman"/>
          <w:szCs w:val="24"/>
        </w:rPr>
        <w:t>rograms</w:t>
      </w:r>
      <w:r w:rsidR="00ED7ED8" w:rsidRPr="00341276">
        <w:rPr>
          <w:rFonts w:ascii="Times New Roman" w:hAnsi="Times New Roman"/>
          <w:szCs w:val="24"/>
        </w:rPr>
        <w:t>.</w:t>
      </w:r>
      <w:r w:rsidR="007B182C" w:rsidRPr="00341276">
        <w:rPr>
          <w:rFonts w:ascii="Times New Roman" w:hAnsi="Times New Roman"/>
          <w:szCs w:val="24"/>
        </w:rPr>
        <w:t xml:space="preserve"> The evaluation includes both implementation and impact components.</w:t>
      </w:r>
      <w:r w:rsidR="00ED7ED8" w:rsidRPr="00341276">
        <w:rPr>
          <w:rFonts w:ascii="Times New Roman" w:hAnsi="Times New Roman"/>
          <w:szCs w:val="24"/>
        </w:rPr>
        <w:t xml:space="preserve"> </w:t>
      </w:r>
      <w:r w:rsidR="001D37F7" w:rsidRPr="00341276">
        <w:rPr>
          <w:rFonts w:ascii="Times New Roman" w:hAnsi="Times New Roman"/>
          <w:szCs w:val="24"/>
        </w:rPr>
        <w:t>The purpose of the evaluation is to identify whether the grants help low-wage workers obtain employment in and advance in H-1B industries and occupations and, if so, which strategies are most helpful.</w:t>
      </w:r>
    </w:p>
    <w:p w14:paraId="24D63DA4" w14:textId="46A05926" w:rsidR="00950849" w:rsidRPr="00341276" w:rsidRDefault="00950849" w:rsidP="00C55EF8">
      <w:pPr>
        <w:spacing w:line="276" w:lineRule="auto"/>
        <w:rPr>
          <w:rFonts w:ascii="Times New Roman" w:hAnsi="Times New Roman"/>
          <w:szCs w:val="24"/>
        </w:rPr>
      </w:pPr>
    </w:p>
    <w:p w14:paraId="40CDBC7D" w14:textId="10D92188" w:rsidR="00AC6864" w:rsidRDefault="00885B21" w:rsidP="00C55EF8">
      <w:pPr>
        <w:spacing w:line="276" w:lineRule="auto"/>
        <w:rPr>
          <w:rFonts w:ascii="Times New Roman" w:hAnsi="Times New Roman"/>
          <w:szCs w:val="24"/>
        </w:rPr>
      </w:pPr>
      <w:r w:rsidRPr="00341276">
        <w:rPr>
          <w:rFonts w:ascii="Times New Roman" w:hAnsi="Times New Roman"/>
          <w:szCs w:val="24"/>
        </w:rPr>
        <w:t xml:space="preserve">This supporting statement is the </w:t>
      </w:r>
      <w:r w:rsidR="00235D84" w:rsidRPr="00341276">
        <w:rPr>
          <w:rFonts w:ascii="Times New Roman" w:hAnsi="Times New Roman"/>
          <w:szCs w:val="24"/>
        </w:rPr>
        <w:t xml:space="preserve">second </w:t>
      </w:r>
      <w:r w:rsidRPr="00341276">
        <w:rPr>
          <w:rFonts w:ascii="Times New Roman" w:hAnsi="Times New Roman"/>
          <w:szCs w:val="24"/>
        </w:rPr>
        <w:t xml:space="preserve">in a series of OMB submissions that correspond to an array of data collection activities for the evaluation. </w:t>
      </w:r>
      <w:r w:rsidR="00950849" w:rsidRPr="00341276">
        <w:rPr>
          <w:rFonts w:ascii="Times New Roman" w:hAnsi="Times New Roman"/>
          <w:szCs w:val="24"/>
        </w:rPr>
        <w:t xml:space="preserve">In </w:t>
      </w:r>
      <w:r w:rsidR="00950849" w:rsidRPr="005B7D17">
        <w:rPr>
          <w:rFonts w:ascii="Times New Roman" w:hAnsi="Times New Roman"/>
          <w:szCs w:val="24"/>
        </w:rPr>
        <w:t>January 2018,</w:t>
      </w:r>
      <w:r w:rsidR="00950849" w:rsidRPr="00341276">
        <w:rPr>
          <w:rFonts w:ascii="Times New Roman" w:hAnsi="Times New Roman"/>
          <w:szCs w:val="24"/>
        </w:rPr>
        <w:t xml:space="preserve"> OMB approved the baseline data collection for this evaluation </w:t>
      </w:r>
      <w:r w:rsidR="00950849" w:rsidRPr="00A7701A">
        <w:rPr>
          <w:rFonts w:ascii="Times New Roman" w:hAnsi="Times New Roman"/>
          <w:szCs w:val="24"/>
        </w:rPr>
        <w:t>(</w:t>
      </w:r>
      <w:r w:rsidR="00950849" w:rsidRPr="00ED2DD4">
        <w:rPr>
          <w:rFonts w:ascii="Times New Roman" w:hAnsi="Times New Roman"/>
          <w:szCs w:val="24"/>
        </w:rPr>
        <w:t>OMB 12</w:t>
      </w:r>
      <w:r w:rsidR="00A7701A" w:rsidRPr="00ED2DD4">
        <w:rPr>
          <w:rFonts w:ascii="Times New Roman" w:hAnsi="Times New Roman"/>
          <w:szCs w:val="24"/>
        </w:rPr>
        <w:t>90</w:t>
      </w:r>
      <w:r w:rsidR="00950849" w:rsidRPr="00ED2DD4">
        <w:rPr>
          <w:rFonts w:ascii="Times New Roman" w:hAnsi="Times New Roman"/>
          <w:szCs w:val="24"/>
        </w:rPr>
        <w:t>-0</w:t>
      </w:r>
      <w:r w:rsidR="00A7701A" w:rsidRPr="00ED2DD4">
        <w:rPr>
          <w:rFonts w:ascii="Times New Roman" w:hAnsi="Times New Roman"/>
          <w:szCs w:val="24"/>
        </w:rPr>
        <w:t>014</w:t>
      </w:r>
      <w:r w:rsidR="00950849" w:rsidRPr="00ED2DD4">
        <w:rPr>
          <w:rFonts w:ascii="Times New Roman" w:hAnsi="Times New Roman"/>
          <w:szCs w:val="24"/>
        </w:rPr>
        <w:t>),</w:t>
      </w:r>
      <w:r w:rsidR="00950849" w:rsidRPr="005B7D17">
        <w:rPr>
          <w:rFonts w:ascii="Times New Roman" w:hAnsi="Times New Roman"/>
          <w:szCs w:val="24"/>
        </w:rPr>
        <w:t xml:space="preserve"> which includes</w:t>
      </w:r>
      <w:r w:rsidR="005B7D17">
        <w:rPr>
          <w:rFonts w:ascii="Times New Roman" w:hAnsi="Times New Roman"/>
          <w:szCs w:val="24"/>
        </w:rPr>
        <w:t xml:space="preserve"> a baseline information form (BIF), 6-month follow-up participant survey, </w:t>
      </w:r>
      <w:r w:rsidR="00E454C5">
        <w:rPr>
          <w:rFonts w:ascii="Times New Roman" w:hAnsi="Times New Roman"/>
          <w:szCs w:val="24"/>
        </w:rPr>
        <w:t xml:space="preserve">a participant tracking form, </w:t>
      </w:r>
      <w:r w:rsidR="005B7D17">
        <w:rPr>
          <w:rFonts w:ascii="Times New Roman" w:hAnsi="Times New Roman"/>
          <w:szCs w:val="24"/>
        </w:rPr>
        <w:t>and a first round of site visit interviews.</w:t>
      </w:r>
      <w:r w:rsidR="00950849" w:rsidRPr="00341276">
        <w:rPr>
          <w:rFonts w:ascii="Times New Roman" w:hAnsi="Times New Roman"/>
          <w:szCs w:val="24"/>
        </w:rPr>
        <w:t xml:space="preserve"> </w:t>
      </w:r>
    </w:p>
    <w:p w14:paraId="4D147F1D" w14:textId="77777777" w:rsidR="00AC6864" w:rsidRDefault="00AC6864" w:rsidP="00C55EF8">
      <w:pPr>
        <w:spacing w:line="276" w:lineRule="auto"/>
        <w:rPr>
          <w:rFonts w:ascii="Times New Roman" w:hAnsi="Times New Roman"/>
          <w:szCs w:val="24"/>
        </w:rPr>
      </w:pPr>
    </w:p>
    <w:p w14:paraId="20242192" w14:textId="51796C15" w:rsidR="00AC6864" w:rsidRDefault="00885B21" w:rsidP="00C55EF8">
      <w:pPr>
        <w:spacing w:line="276" w:lineRule="auto"/>
        <w:rPr>
          <w:rFonts w:ascii="Times New Roman" w:hAnsi="Times New Roman"/>
          <w:szCs w:val="24"/>
        </w:rPr>
      </w:pPr>
      <w:r w:rsidRPr="00341276">
        <w:rPr>
          <w:rFonts w:ascii="Times New Roman" w:hAnsi="Times New Roman"/>
          <w:szCs w:val="24"/>
        </w:rPr>
        <w:t xml:space="preserve">CEO is seeking clearance in this </w:t>
      </w:r>
      <w:r w:rsidR="00AC6864">
        <w:rPr>
          <w:rFonts w:ascii="Times New Roman" w:hAnsi="Times New Roman"/>
          <w:szCs w:val="24"/>
        </w:rPr>
        <w:t>second s</w:t>
      </w:r>
      <w:r w:rsidR="00AC6864" w:rsidRPr="00341276">
        <w:rPr>
          <w:rFonts w:ascii="Times New Roman" w:hAnsi="Times New Roman"/>
          <w:szCs w:val="24"/>
        </w:rPr>
        <w:t xml:space="preserve">ubmission </w:t>
      </w:r>
      <w:r w:rsidRPr="00341276">
        <w:rPr>
          <w:rFonts w:ascii="Times New Roman" w:hAnsi="Times New Roman"/>
          <w:szCs w:val="24"/>
        </w:rPr>
        <w:t xml:space="preserve">for </w:t>
      </w:r>
      <w:r w:rsidR="00235D84" w:rsidRPr="00341276">
        <w:rPr>
          <w:rFonts w:ascii="Times New Roman" w:hAnsi="Times New Roman"/>
          <w:szCs w:val="24"/>
        </w:rPr>
        <w:t xml:space="preserve">a survey of grantees, semi-structured telephone interviews with grantees, a partner </w:t>
      </w:r>
      <w:r w:rsidR="009929EE" w:rsidRPr="00341276">
        <w:rPr>
          <w:rFonts w:ascii="Times New Roman" w:hAnsi="Times New Roman"/>
          <w:szCs w:val="24"/>
        </w:rPr>
        <w:t xml:space="preserve">contact </w:t>
      </w:r>
      <w:r w:rsidR="00235D84" w:rsidRPr="00341276">
        <w:rPr>
          <w:rFonts w:ascii="Times New Roman" w:hAnsi="Times New Roman"/>
          <w:szCs w:val="24"/>
        </w:rPr>
        <w:t>information template, a survey of partners, semi-structured telephone interviews with partners, and a second round of site visit interviews.</w:t>
      </w:r>
      <w:r w:rsidR="00D501CF" w:rsidRPr="00341276">
        <w:rPr>
          <w:rFonts w:ascii="Times New Roman" w:hAnsi="Times New Roman"/>
          <w:szCs w:val="24"/>
        </w:rPr>
        <w:t xml:space="preserve"> </w:t>
      </w:r>
    </w:p>
    <w:p w14:paraId="179CA52B" w14:textId="77777777" w:rsidR="00AC6864" w:rsidRDefault="00AC6864" w:rsidP="00C55EF8">
      <w:pPr>
        <w:spacing w:line="276" w:lineRule="auto"/>
        <w:rPr>
          <w:rFonts w:ascii="Times New Roman" w:hAnsi="Times New Roman"/>
          <w:szCs w:val="24"/>
        </w:rPr>
      </w:pPr>
    </w:p>
    <w:p w14:paraId="7BA9EC34" w14:textId="4EAB2AFA" w:rsidR="00D501CF" w:rsidRPr="00341276" w:rsidRDefault="00235D84" w:rsidP="00C55EF8">
      <w:pPr>
        <w:spacing w:line="276" w:lineRule="auto"/>
        <w:rPr>
          <w:rFonts w:ascii="Times New Roman" w:hAnsi="Times New Roman"/>
          <w:szCs w:val="24"/>
        </w:rPr>
      </w:pPr>
      <w:r w:rsidRPr="00341276">
        <w:rPr>
          <w:rFonts w:ascii="Times New Roman" w:hAnsi="Times New Roman"/>
          <w:szCs w:val="24"/>
        </w:rPr>
        <w:t xml:space="preserve">A </w:t>
      </w:r>
      <w:r w:rsidR="009929EE" w:rsidRPr="00341276">
        <w:rPr>
          <w:rFonts w:ascii="Times New Roman" w:hAnsi="Times New Roman"/>
          <w:szCs w:val="24"/>
        </w:rPr>
        <w:t>final</w:t>
      </w:r>
      <w:r w:rsidR="00885B21" w:rsidRPr="00341276">
        <w:rPr>
          <w:rFonts w:ascii="Times New Roman" w:hAnsi="Times New Roman"/>
          <w:szCs w:val="24"/>
        </w:rPr>
        <w:t xml:space="preserve"> OMB submission will seek clearance for </w:t>
      </w:r>
      <w:r w:rsidRPr="00341276">
        <w:rPr>
          <w:rFonts w:ascii="Times New Roman" w:hAnsi="Times New Roman"/>
          <w:szCs w:val="24"/>
        </w:rPr>
        <w:t xml:space="preserve">an 18-month participant follow-up survey. </w:t>
      </w:r>
    </w:p>
    <w:p w14:paraId="5BDDEDC1" w14:textId="77777777" w:rsidR="00D501CF" w:rsidRPr="00341276" w:rsidRDefault="00D501CF" w:rsidP="00C55EF8">
      <w:pPr>
        <w:spacing w:line="276" w:lineRule="auto"/>
        <w:rPr>
          <w:rFonts w:ascii="Times New Roman" w:hAnsi="Times New Roman"/>
          <w:szCs w:val="24"/>
        </w:rPr>
      </w:pPr>
    </w:p>
    <w:p w14:paraId="18E9AFF9" w14:textId="7DAF6330" w:rsidR="00341276" w:rsidRDefault="00341276" w:rsidP="00C55EF8">
      <w:pPr>
        <w:pStyle w:val="NormalSS"/>
        <w:spacing w:line="276" w:lineRule="auto"/>
        <w:ind w:firstLine="0"/>
        <w:rPr>
          <w:szCs w:val="24"/>
        </w:rPr>
      </w:pPr>
      <w:r>
        <w:rPr>
          <w:szCs w:val="24"/>
        </w:rPr>
        <w:t>The evaluation team is</w:t>
      </w:r>
      <w:r w:rsidRPr="008B1702">
        <w:rPr>
          <w:szCs w:val="24"/>
        </w:rPr>
        <w:t xml:space="preserve"> submitting the full packag</w:t>
      </w:r>
      <w:r>
        <w:rPr>
          <w:szCs w:val="24"/>
        </w:rPr>
        <w:t>e for the study in parts for several reasons</w:t>
      </w:r>
      <w:r w:rsidR="007D388F">
        <w:rPr>
          <w:szCs w:val="24"/>
        </w:rPr>
        <w:t xml:space="preserve">, including: </w:t>
      </w:r>
      <w:r>
        <w:rPr>
          <w:szCs w:val="24"/>
        </w:rPr>
        <w:t xml:space="preserve">(1) </w:t>
      </w:r>
      <w:r w:rsidRPr="008B1702">
        <w:rPr>
          <w:szCs w:val="24"/>
        </w:rPr>
        <w:t>the study schedule require</w:t>
      </w:r>
      <w:r>
        <w:rPr>
          <w:szCs w:val="24"/>
        </w:rPr>
        <w:t>d</w:t>
      </w:r>
      <w:r w:rsidRPr="008B1702">
        <w:rPr>
          <w:szCs w:val="24"/>
        </w:rPr>
        <w:t xml:space="preserve"> random assignment to begin before the </w:t>
      </w:r>
      <w:r>
        <w:rPr>
          <w:szCs w:val="24"/>
        </w:rPr>
        <w:t xml:space="preserve">other instruments </w:t>
      </w:r>
      <w:r w:rsidR="00ED1808">
        <w:rPr>
          <w:szCs w:val="24"/>
        </w:rPr>
        <w:t>were</w:t>
      </w:r>
      <w:r>
        <w:rPr>
          <w:szCs w:val="24"/>
        </w:rPr>
        <w:t xml:space="preserve"> developed and tested and (2) the first</w:t>
      </w:r>
      <w:r w:rsidR="00D501CF" w:rsidRPr="005B7D17">
        <w:rPr>
          <w:szCs w:val="24"/>
        </w:rPr>
        <w:t xml:space="preserve"> round of </w:t>
      </w:r>
      <w:r>
        <w:rPr>
          <w:szCs w:val="24"/>
        </w:rPr>
        <w:t>site visits needed to take place</w:t>
      </w:r>
      <w:r w:rsidR="00D501CF" w:rsidRPr="005B7D17">
        <w:rPr>
          <w:szCs w:val="24"/>
        </w:rPr>
        <w:t xml:space="preserve"> </w:t>
      </w:r>
      <w:r>
        <w:rPr>
          <w:szCs w:val="24"/>
        </w:rPr>
        <w:t>early during random assignment</w:t>
      </w:r>
      <w:r w:rsidR="00D501CF" w:rsidRPr="005B7D17">
        <w:rPr>
          <w:szCs w:val="24"/>
        </w:rPr>
        <w:t xml:space="preserve">. </w:t>
      </w:r>
      <w:r w:rsidRPr="002353EA">
        <w:rPr>
          <w:szCs w:val="24"/>
        </w:rPr>
        <w:t xml:space="preserve">Thus, CEO is now requesting OMB approval of </w:t>
      </w:r>
      <w:r w:rsidR="00E75604">
        <w:rPr>
          <w:szCs w:val="24"/>
        </w:rPr>
        <w:t>additional</w:t>
      </w:r>
      <w:r w:rsidRPr="002353EA">
        <w:rPr>
          <w:szCs w:val="24"/>
        </w:rPr>
        <w:t xml:space="preserve"> instruments so that the evaluation can </w:t>
      </w:r>
      <w:r w:rsidR="00E75604">
        <w:rPr>
          <w:szCs w:val="24"/>
        </w:rPr>
        <w:t>continue</w:t>
      </w:r>
      <w:r w:rsidRPr="002353EA">
        <w:rPr>
          <w:szCs w:val="24"/>
        </w:rPr>
        <w:t xml:space="preserve"> on schedule.  </w:t>
      </w:r>
      <w:r w:rsidR="00ED1808">
        <w:rPr>
          <w:szCs w:val="24"/>
        </w:rPr>
        <w:t xml:space="preserve">The reason for submitting the 18-month follow-up survey in a third </w:t>
      </w:r>
      <w:r w:rsidR="00D0587D">
        <w:rPr>
          <w:szCs w:val="24"/>
        </w:rPr>
        <w:t xml:space="preserve">and final </w:t>
      </w:r>
      <w:r w:rsidR="00ED1808">
        <w:rPr>
          <w:szCs w:val="24"/>
        </w:rPr>
        <w:t xml:space="preserve">package is that the </w:t>
      </w:r>
      <w:r w:rsidR="00D0587D">
        <w:rPr>
          <w:szCs w:val="24"/>
        </w:rPr>
        <w:t>content of the survey will be determined in part based on review of findings from the 6-month follow-up survey and first round of implementation site visits.</w:t>
      </w:r>
    </w:p>
    <w:p w14:paraId="08550927" w14:textId="77777777" w:rsidR="00103FC0" w:rsidRPr="0087691E" w:rsidRDefault="00DD34E7" w:rsidP="00C55EF8">
      <w:pPr>
        <w:rPr>
          <w:rStyle w:val="Heading1Char"/>
        </w:rPr>
      </w:pPr>
      <w:r w:rsidRPr="007F08FB">
        <w:rPr>
          <w:rFonts w:ascii="Times New Roman" w:hAnsi="Times New Roman"/>
          <w:b/>
          <w:szCs w:val="24"/>
        </w:rPr>
        <w:t xml:space="preserve">A.1 </w:t>
      </w:r>
      <w:r w:rsidRPr="007F08FB">
        <w:rPr>
          <w:rFonts w:ascii="Times New Roman" w:hAnsi="Times New Roman"/>
          <w:b/>
          <w:szCs w:val="24"/>
        </w:rPr>
        <w:tab/>
      </w:r>
      <w:r w:rsidR="00103FC0" w:rsidRPr="0087691E">
        <w:rPr>
          <w:rStyle w:val="Heading1Char"/>
        </w:rPr>
        <w:t>Circumstances Necessitating the Information Collection</w:t>
      </w:r>
    </w:p>
    <w:p w14:paraId="414CCABA" w14:textId="77777777" w:rsidR="00DD34E7" w:rsidRPr="00DC23B4" w:rsidRDefault="00DD34E7" w:rsidP="00C55EF8">
      <w:pPr>
        <w:rPr>
          <w:rFonts w:ascii="Times New Roman" w:hAnsi="Times New Roman"/>
          <w:b/>
          <w:szCs w:val="24"/>
        </w:rPr>
      </w:pPr>
    </w:p>
    <w:p w14:paraId="2D8E8210" w14:textId="2FD31CF1" w:rsidR="001571D9" w:rsidRDefault="00D37E56" w:rsidP="00C55EF8">
      <w:pPr>
        <w:pStyle w:val="ListParagraph"/>
        <w:ind w:left="0"/>
      </w:pPr>
      <w:r w:rsidRPr="007F08FB">
        <w:rPr>
          <w:rFonts w:ascii="Times New Roman" w:eastAsiaTheme="minorHAnsi" w:hAnsi="Times New Roman"/>
          <w:sz w:val="24"/>
          <w:szCs w:val="24"/>
        </w:rPr>
        <w:t xml:space="preserve">A user fee paid by employers to bring foreign workers into the United States under the H-1B nonimmigrant visa program </w:t>
      </w:r>
      <w:r w:rsidR="00600DC4">
        <w:rPr>
          <w:rFonts w:ascii="Times New Roman" w:eastAsiaTheme="minorHAnsi" w:hAnsi="Times New Roman"/>
          <w:sz w:val="24"/>
          <w:szCs w:val="24"/>
        </w:rPr>
        <w:t>provides funding for</w:t>
      </w:r>
      <w:r w:rsidR="00600DC4" w:rsidRPr="007F08FB">
        <w:rPr>
          <w:rFonts w:ascii="Times New Roman" w:eastAsiaTheme="minorHAnsi" w:hAnsi="Times New Roman"/>
          <w:sz w:val="24"/>
          <w:szCs w:val="24"/>
        </w:rPr>
        <w:t xml:space="preserve"> </w:t>
      </w:r>
      <w:r w:rsidRPr="007F08FB">
        <w:rPr>
          <w:rFonts w:ascii="Times New Roman" w:eastAsiaTheme="minorHAnsi" w:hAnsi="Times New Roman"/>
          <w:sz w:val="24"/>
          <w:szCs w:val="24"/>
        </w:rPr>
        <w:t xml:space="preserve">the </w:t>
      </w:r>
      <w:r w:rsidR="00A31BB4" w:rsidRPr="007F08FB">
        <w:rPr>
          <w:rFonts w:ascii="Times New Roman" w:eastAsiaTheme="minorHAnsi" w:hAnsi="Times New Roman"/>
          <w:sz w:val="24"/>
          <w:szCs w:val="24"/>
        </w:rPr>
        <w:t>T</w:t>
      </w:r>
      <w:r w:rsidR="00E1675D" w:rsidRPr="007F08FB">
        <w:rPr>
          <w:rFonts w:ascii="Times New Roman" w:eastAsiaTheme="minorHAnsi" w:hAnsi="Times New Roman"/>
          <w:sz w:val="24"/>
          <w:szCs w:val="24"/>
        </w:rPr>
        <w:t>echHire</w:t>
      </w:r>
      <w:r w:rsidR="00A31BB4" w:rsidRPr="007F08FB">
        <w:rPr>
          <w:rFonts w:ascii="Times New Roman" w:eastAsiaTheme="minorHAnsi" w:hAnsi="Times New Roman"/>
          <w:sz w:val="24"/>
          <w:szCs w:val="24"/>
        </w:rPr>
        <w:t xml:space="preserve"> </w:t>
      </w:r>
      <w:r w:rsidRPr="007F08FB">
        <w:rPr>
          <w:rFonts w:ascii="Times New Roman" w:eastAsiaTheme="minorHAnsi" w:hAnsi="Times New Roman"/>
          <w:sz w:val="24"/>
          <w:szCs w:val="24"/>
        </w:rPr>
        <w:t>and SWFI grants</w:t>
      </w:r>
      <w:r w:rsidRPr="007F08FB">
        <w:rPr>
          <w:rFonts w:ascii="Times New Roman" w:hAnsi="Times New Roman"/>
          <w:sz w:val="24"/>
          <w:szCs w:val="24"/>
        </w:rPr>
        <w:t xml:space="preserve"> as authorized by Section 414(c) of the American Competitiveness and Workforce Improvement Act of 1998 (ACWIA), as amended (codified at 29 USC 3224a). </w:t>
      </w:r>
      <w:r w:rsidR="008D2B3D" w:rsidRPr="007F08FB">
        <w:rPr>
          <w:rFonts w:ascii="Times New Roman" w:hAnsi="Times New Roman"/>
          <w:sz w:val="24"/>
          <w:szCs w:val="24"/>
        </w:rPr>
        <w:t xml:space="preserve">In September 2016, </w:t>
      </w:r>
      <w:r w:rsidR="007716B0">
        <w:rPr>
          <w:rFonts w:ascii="Times New Roman" w:hAnsi="Times New Roman"/>
          <w:sz w:val="24"/>
          <w:szCs w:val="24"/>
        </w:rPr>
        <w:t>the Employment and Training Administration (</w:t>
      </w:r>
      <w:r w:rsidR="008D2B3D" w:rsidRPr="007F08FB">
        <w:rPr>
          <w:rFonts w:ascii="Times New Roman" w:hAnsi="Times New Roman"/>
          <w:sz w:val="24"/>
          <w:szCs w:val="24"/>
        </w:rPr>
        <w:t>ETA</w:t>
      </w:r>
      <w:r w:rsidR="007716B0">
        <w:rPr>
          <w:rFonts w:ascii="Times New Roman" w:hAnsi="Times New Roman"/>
          <w:sz w:val="24"/>
          <w:szCs w:val="24"/>
        </w:rPr>
        <w:t>)</w:t>
      </w:r>
      <w:r w:rsidR="008D2B3D" w:rsidRPr="007F08FB">
        <w:rPr>
          <w:rFonts w:ascii="Times New Roman" w:hAnsi="Times New Roman"/>
          <w:sz w:val="24"/>
          <w:szCs w:val="24"/>
        </w:rPr>
        <w:t xml:space="preserve"> competitively awarded 39 Tech Hire grants and 14 SWFI grants. </w:t>
      </w:r>
      <w:r w:rsidR="00E1675D" w:rsidRPr="007F08FB">
        <w:rPr>
          <w:rFonts w:ascii="Times New Roman" w:hAnsi="Times New Roman"/>
          <w:color w:val="000000"/>
          <w:sz w:val="24"/>
          <w:szCs w:val="24"/>
        </w:rPr>
        <w:t>These programs attempt to help U.S. residents</w:t>
      </w:r>
      <w:r w:rsidR="00004795">
        <w:rPr>
          <w:rFonts w:ascii="Times New Roman" w:hAnsi="Times New Roman"/>
          <w:color w:val="000000"/>
          <w:sz w:val="24"/>
          <w:szCs w:val="24"/>
        </w:rPr>
        <w:t>’</w:t>
      </w:r>
      <w:r w:rsidR="00E1675D" w:rsidRPr="007F08FB">
        <w:rPr>
          <w:rFonts w:ascii="Times New Roman" w:hAnsi="Times New Roman"/>
          <w:color w:val="000000"/>
          <w:sz w:val="24"/>
          <w:szCs w:val="24"/>
        </w:rPr>
        <w:t xml:space="preserve"> access middle- and high-skill high growth jobs in H-1B industries. </w:t>
      </w:r>
      <w:r w:rsidR="00A31BB4" w:rsidRPr="007F08FB">
        <w:rPr>
          <w:rFonts w:ascii="Times New Roman" w:hAnsi="Times New Roman"/>
          <w:color w:val="000000"/>
          <w:sz w:val="24"/>
          <w:szCs w:val="24"/>
        </w:rPr>
        <w:t xml:space="preserve">Broadly, the goals of TechHire and SWFI are to identify innovative training strategies and best practices for populations that have barriers to participating in skills trainings. Both programs emphasize demand-driven training strategies, including employer involvement in training, usage of labor market data, work-based learning, and sectoral partnerships, among other </w:t>
      </w:r>
      <w:r w:rsidR="00A31BB4" w:rsidRPr="007F08FB">
        <w:rPr>
          <w:rFonts w:ascii="Times New Roman" w:hAnsi="Times New Roman"/>
          <w:color w:val="000000"/>
          <w:sz w:val="24"/>
          <w:szCs w:val="24"/>
        </w:rPr>
        <w:lastRenderedPageBreak/>
        <w:t>priorities.</w:t>
      </w:r>
      <w:r w:rsidR="00E1675D" w:rsidRPr="007F08FB">
        <w:rPr>
          <w:rFonts w:ascii="Times New Roman" w:hAnsi="Times New Roman"/>
          <w:color w:val="000000"/>
          <w:sz w:val="24"/>
          <w:szCs w:val="24"/>
        </w:rPr>
        <w:t xml:space="preserve"> </w:t>
      </w:r>
      <w:r w:rsidR="00A31BB4" w:rsidRPr="007F08FB">
        <w:rPr>
          <w:rFonts w:ascii="Times New Roman" w:hAnsi="Times New Roman"/>
          <w:color w:val="000000"/>
          <w:sz w:val="24"/>
          <w:szCs w:val="24"/>
        </w:rPr>
        <w:t>A key goal of both programs is to bring the training system into better alignment with employer needs.</w:t>
      </w:r>
      <w:r w:rsidR="001571D9">
        <w:rPr>
          <w:rFonts w:ascii="Times New Roman" w:hAnsi="Times New Roman"/>
          <w:color w:val="000000"/>
          <w:sz w:val="24"/>
          <w:szCs w:val="24"/>
        </w:rPr>
        <w:t xml:space="preserve"> </w:t>
      </w:r>
      <w:r w:rsidR="000C308B">
        <w:rPr>
          <w:rFonts w:ascii="Times New Roman" w:hAnsi="Times New Roman"/>
          <w:color w:val="000000"/>
          <w:sz w:val="24"/>
          <w:szCs w:val="24"/>
        </w:rPr>
        <w:t>To understand the extent to which the program</w:t>
      </w:r>
      <w:r w:rsidR="00553A26">
        <w:rPr>
          <w:rFonts w:ascii="Times New Roman" w:hAnsi="Times New Roman"/>
          <w:color w:val="000000"/>
          <w:sz w:val="24"/>
          <w:szCs w:val="24"/>
        </w:rPr>
        <w:t>s</w:t>
      </w:r>
      <w:r w:rsidR="000C308B">
        <w:rPr>
          <w:rFonts w:ascii="Times New Roman" w:hAnsi="Times New Roman"/>
          <w:color w:val="000000"/>
          <w:sz w:val="24"/>
          <w:szCs w:val="24"/>
        </w:rPr>
        <w:t xml:space="preserve"> </w:t>
      </w:r>
      <w:r w:rsidR="00553A26">
        <w:rPr>
          <w:rFonts w:ascii="Times New Roman" w:hAnsi="Times New Roman"/>
          <w:color w:val="000000"/>
          <w:sz w:val="24"/>
          <w:szCs w:val="24"/>
        </w:rPr>
        <w:t>are</w:t>
      </w:r>
      <w:r w:rsidR="000C308B">
        <w:rPr>
          <w:rFonts w:ascii="Times New Roman" w:hAnsi="Times New Roman"/>
          <w:color w:val="000000"/>
          <w:sz w:val="24"/>
          <w:szCs w:val="24"/>
        </w:rPr>
        <w:t xml:space="preserve"> meeting </w:t>
      </w:r>
      <w:r w:rsidR="00553A26">
        <w:rPr>
          <w:rFonts w:ascii="Times New Roman" w:hAnsi="Times New Roman"/>
          <w:color w:val="000000"/>
          <w:sz w:val="24"/>
          <w:szCs w:val="24"/>
        </w:rPr>
        <w:t>their</w:t>
      </w:r>
      <w:r w:rsidR="000C308B">
        <w:rPr>
          <w:rFonts w:ascii="Times New Roman" w:hAnsi="Times New Roman"/>
          <w:color w:val="000000"/>
          <w:sz w:val="24"/>
          <w:szCs w:val="24"/>
        </w:rPr>
        <w:t xml:space="preserve"> goals, DOL is implementing an</w:t>
      </w:r>
      <w:r w:rsidR="00553A26">
        <w:rPr>
          <w:rFonts w:ascii="Times New Roman" w:hAnsi="Times New Roman"/>
          <w:color w:val="000000"/>
          <w:sz w:val="24"/>
          <w:szCs w:val="24"/>
        </w:rPr>
        <w:t xml:space="preserve"> impact and implementation evaluation</w:t>
      </w:r>
      <w:r w:rsidR="000C308B">
        <w:rPr>
          <w:rFonts w:ascii="Times New Roman" w:hAnsi="Times New Roman"/>
          <w:color w:val="000000"/>
          <w:sz w:val="24"/>
          <w:szCs w:val="24"/>
        </w:rPr>
        <w:t xml:space="preserve">.  </w:t>
      </w:r>
      <w:r w:rsidR="001571D9">
        <w:rPr>
          <w:rFonts w:ascii="Times New Roman" w:hAnsi="Times New Roman"/>
          <w:color w:val="000000"/>
          <w:sz w:val="24"/>
          <w:szCs w:val="24"/>
        </w:rPr>
        <w:t xml:space="preserve">This evaluation </w:t>
      </w:r>
      <w:r w:rsidR="00553A26">
        <w:rPr>
          <w:rFonts w:ascii="Times New Roman" w:hAnsi="Times New Roman"/>
          <w:color w:val="000000"/>
          <w:sz w:val="24"/>
          <w:szCs w:val="24"/>
        </w:rPr>
        <w:t>will contribute</w:t>
      </w:r>
      <w:r w:rsidR="001571D9">
        <w:rPr>
          <w:rFonts w:ascii="Times New Roman" w:hAnsi="Times New Roman"/>
          <w:color w:val="000000"/>
          <w:sz w:val="24"/>
          <w:szCs w:val="24"/>
        </w:rPr>
        <w:t xml:space="preserve"> knowledge about the effectiveness of the approaches used under these grant programs.  </w:t>
      </w:r>
    </w:p>
    <w:p w14:paraId="4F2076CE" w14:textId="58618EE7" w:rsidR="00E1675D" w:rsidRPr="007F08FB" w:rsidRDefault="00D37E56" w:rsidP="00C55EF8">
      <w:pPr>
        <w:spacing w:line="276" w:lineRule="auto"/>
        <w:contextualSpacing/>
        <w:rPr>
          <w:rFonts w:ascii="Times New Roman" w:hAnsi="Times New Roman"/>
          <w:szCs w:val="24"/>
        </w:rPr>
      </w:pPr>
      <w:r w:rsidRPr="006C7484">
        <w:rPr>
          <w:rFonts w:ascii="Times New Roman" w:hAnsi="Times New Roman"/>
          <w:szCs w:val="24"/>
        </w:rPr>
        <w:t>29 US</w:t>
      </w:r>
      <w:r w:rsidR="00DE0FD1" w:rsidRPr="006C7484">
        <w:rPr>
          <w:rFonts w:ascii="Times New Roman" w:hAnsi="Times New Roman"/>
          <w:szCs w:val="24"/>
        </w:rPr>
        <w:t>C</w:t>
      </w:r>
      <w:r w:rsidRPr="006C7484">
        <w:rPr>
          <w:rFonts w:ascii="Times New Roman" w:hAnsi="Times New Roman"/>
          <w:szCs w:val="24"/>
        </w:rPr>
        <w:t xml:space="preserve"> 3224a (1), authorizes the Secretary of Labor to conduct ongoing evaluation of programs and activities to improve the management and effectiveness of these programs.</w:t>
      </w:r>
    </w:p>
    <w:p w14:paraId="2B7A9241" w14:textId="77777777" w:rsidR="00D37E56" w:rsidRPr="007F08FB" w:rsidRDefault="00D37E56" w:rsidP="00C55EF8">
      <w:pPr>
        <w:spacing w:line="276" w:lineRule="auto"/>
        <w:contextualSpacing/>
        <w:rPr>
          <w:rFonts w:ascii="Times New Roman" w:hAnsi="Times New Roman"/>
          <w:color w:val="000000"/>
          <w:szCs w:val="24"/>
        </w:rPr>
      </w:pPr>
    </w:p>
    <w:p w14:paraId="1849A427" w14:textId="77777777" w:rsidR="009B4E0E" w:rsidRPr="007F08FB" w:rsidRDefault="009B4E0E" w:rsidP="00C55EF8">
      <w:pPr>
        <w:spacing w:line="276" w:lineRule="auto"/>
        <w:contextualSpacing/>
        <w:rPr>
          <w:rFonts w:ascii="Times New Roman" w:hAnsi="Times New Roman"/>
          <w:b/>
          <w:color w:val="000000"/>
          <w:szCs w:val="24"/>
        </w:rPr>
      </w:pPr>
      <w:r w:rsidRPr="007F08FB">
        <w:rPr>
          <w:rFonts w:ascii="Times New Roman" w:hAnsi="Times New Roman"/>
          <w:b/>
          <w:color w:val="000000"/>
          <w:szCs w:val="24"/>
        </w:rPr>
        <w:t>Overview of Evaluation</w:t>
      </w:r>
    </w:p>
    <w:p w14:paraId="5C2B2C28" w14:textId="77777777" w:rsidR="00995648" w:rsidRPr="007F08FB" w:rsidRDefault="00995648" w:rsidP="00C55EF8">
      <w:pPr>
        <w:pStyle w:val="L1-FlLSp12"/>
        <w:spacing w:line="276" w:lineRule="auto"/>
        <w:rPr>
          <w:rFonts w:ascii="Times New Roman" w:hAnsi="Times New Roman"/>
          <w:szCs w:val="24"/>
        </w:rPr>
      </w:pPr>
      <w:r w:rsidRPr="007F08FB">
        <w:rPr>
          <w:rFonts w:ascii="Times New Roman" w:hAnsi="Times New Roman"/>
          <w:szCs w:val="24"/>
        </w:rPr>
        <w:t>The evaluation research questions can be topically summarized as follows:</w:t>
      </w:r>
    </w:p>
    <w:p w14:paraId="7F49D903" w14:textId="77777777" w:rsidR="00995648" w:rsidRPr="007F08FB" w:rsidRDefault="00995648" w:rsidP="00C55EF8">
      <w:pPr>
        <w:pStyle w:val="TB-TableBullet"/>
        <w:numPr>
          <w:ilvl w:val="0"/>
          <w:numId w:val="0"/>
        </w:numPr>
        <w:spacing w:line="276" w:lineRule="auto"/>
        <w:rPr>
          <w:rFonts w:ascii="Times New Roman" w:hAnsi="Times New Roman"/>
          <w:sz w:val="24"/>
          <w:szCs w:val="24"/>
        </w:rPr>
      </w:pPr>
    </w:p>
    <w:p w14:paraId="4F174A2A" w14:textId="77777777" w:rsidR="00947956" w:rsidRPr="007F08FB" w:rsidRDefault="00947956" w:rsidP="00C55EF8">
      <w:pPr>
        <w:rPr>
          <w:rFonts w:ascii="Times New Roman" w:hAnsi="Times New Roman"/>
          <w:szCs w:val="24"/>
          <w:u w:val="single"/>
        </w:rPr>
      </w:pPr>
      <w:r w:rsidRPr="007F08FB">
        <w:rPr>
          <w:rFonts w:ascii="Times New Roman" w:hAnsi="Times New Roman"/>
          <w:szCs w:val="24"/>
          <w:u w:val="single"/>
        </w:rPr>
        <w:t>Grantee Program Descriptions:</w:t>
      </w:r>
    </w:p>
    <w:p w14:paraId="4B8513AF"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are the types and combinations of programs, approaches or services provided under the TechHire and SWFI grant programs? </w:t>
      </w:r>
    </w:p>
    <w:p w14:paraId="4B510607"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are the characteristics of the target populations served? </w:t>
      </w:r>
    </w:p>
    <w:p w14:paraId="7E611221"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are services for the target population implemented? </w:t>
      </w:r>
    </w:p>
    <w:p w14:paraId="6D018927"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What are the issues and challenges associated with implementing and operating the programs, approaches, and/or services studied?</w:t>
      </w:r>
    </w:p>
    <w:p w14:paraId="6EF77F19" w14:textId="77777777" w:rsidR="00947956" w:rsidRPr="007F08FB" w:rsidRDefault="00947956" w:rsidP="00C55EF8">
      <w:pPr>
        <w:rPr>
          <w:rFonts w:ascii="Times New Roman" w:hAnsi="Times New Roman"/>
          <w:szCs w:val="24"/>
          <w:u w:val="single"/>
        </w:rPr>
      </w:pPr>
      <w:r w:rsidRPr="007F08FB">
        <w:rPr>
          <w:rFonts w:ascii="Times New Roman" w:hAnsi="Times New Roman"/>
          <w:szCs w:val="24"/>
          <w:u w:val="single"/>
        </w:rPr>
        <w:t>Implementation Procedures and Issues:</w:t>
      </w:r>
    </w:p>
    <w:p w14:paraId="27D3CB82"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were the programs implemented? </w:t>
      </w:r>
    </w:p>
    <w:p w14:paraId="03330396"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factors influenced implementation? </w:t>
      </w:r>
    </w:p>
    <w:p w14:paraId="571D3E4C"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challenges did programs face in implementation and how were those challenges overcome? </w:t>
      </w:r>
    </w:p>
    <w:p w14:paraId="17EBDB48"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What implementation practices appear promising for replication?</w:t>
      </w:r>
    </w:p>
    <w:p w14:paraId="4E481253" w14:textId="77777777" w:rsidR="00947956" w:rsidRPr="007F08FB" w:rsidRDefault="00947956" w:rsidP="00C55EF8">
      <w:pPr>
        <w:rPr>
          <w:rFonts w:ascii="Times New Roman" w:hAnsi="Times New Roman"/>
          <w:szCs w:val="24"/>
          <w:u w:val="single"/>
        </w:rPr>
      </w:pPr>
      <w:r w:rsidRPr="007F08FB">
        <w:rPr>
          <w:rFonts w:ascii="Times New Roman" w:hAnsi="Times New Roman"/>
          <w:szCs w:val="24"/>
          <w:u w:val="single"/>
        </w:rPr>
        <w:t>Partnerships and Systems:</w:t>
      </w:r>
    </w:p>
    <w:p w14:paraId="3DF3EAB2"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were systems and partnerships built and maintained? </w:t>
      </w:r>
    </w:p>
    <w:p w14:paraId="517F81C2"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factors influenced the development and maintenance of the systems and partnerships over the lifecycle of the grant? </w:t>
      </w:r>
    </w:p>
    <w:p w14:paraId="23A1DA2D"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challenges did programs face in partnership and systems building and how were those challenges overcome? </w:t>
      </w:r>
    </w:p>
    <w:p w14:paraId="133BBD01"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How did partnership development and maintenance strategies evolve over the lifecycle of the grant?</w:t>
      </w:r>
    </w:p>
    <w:p w14:paraId="75CE7BDE" w14:textId="77777777" w:rsidR="00947956" w:rsidRPr="007F08FB" w:rsidRDefault="00947956" w:rsidP="00C55EF8">
      <w:pPr>
        <w:rPr>
          <w:rFonts w:ascii="Times New Roman" w:hAnsi="Times New Roman"/>
          <w:szCs w:val="24"/>
          <w:u w:val="single"/>
        </w:rPr>
      </w:pPr>
      <w:r w:rsidRPr="007F08FB">
        <w:rPr>
          <w:rFonts w:ascii="Times New Roman" w:hAnsi="Times New Roman"/>
          <w:szCs w:val="24"/>
          <w:u w:val="single"/>
        </w:rPr>
        <w:t>Outputs and Outcomes and Effective Strategies for Overcoming Barriers:</w:t>
      </w:r>
    </w:p>
    <w:p w14:paraId="0D72EFCF"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and to what extent did the customized supportive services and education/training tracks expand participant access to targeted employment, improve program completion rates, connect participants to employment opportunities, and promote innovative and sustainable program designs? </w:t>
      </w:r>
    </w:p>
    <w:p w14:paraId="0D668AEE"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What strategies and approaches were implemented and/or appear promising for addressing systematic barriers individuals may face in accessing or completing training and education programs and gaining employment in H1B industries?</w:t>
      </w:r>
    </w:p>
    <w:p w14:paraId="31EC7ED0" w14:textId="77777777" w:rsidR="00947956" w:rsidRPr="007F08FB" w:rsidRDefault="00947956" w:rsidP="00C55EF8">
      <w:pPr>
        <w:rPr>
          <w:rFonts w:ascii="Times New Roman" w:hAnsi="Times New Roman"/>
          <w:szCs w:val="24"/>
          <w:u w:val="single"/>
        </w:rPr>
      </w:pPr>
      <w:r w:rsidRPr="007F08FB">
        <w:rPr>
          <w:rFonts w:ascii="Times New Roman" w:hAnsi="Times New Roman"/>
          <w:szCs w:val="24"/>
          <w:u w:val="single"/>
        </w:rPr>
        <w:t>Removal of Barriers and Coordination at the Systems Level:</w:t>
      </w:r>
    </w:p>
    <w:p w14:paraId="58C9CDCC"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lastRenderedPageBreak/>
        <w:t xml:space="preserve">How and to what extent did the programs both remove childcare barriers and address the individual job training needs of participants? </w:t>
      </w:r>
    </w:p>
    <w:p w14:paraId="50E8FBF3"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were the changes in the coordination of program-level supports (training and support services) as well as the leveraging, connecting, and integrating at the systems level? </w:t>
      </w:r>
    </w:p>
    <w:p w14:paraId="15168840" w14:textId="77777777" w:rsidR="00947956" w:rsidRPr="007F08FB" w:rsidRDefault="00947956" w:rsidP="00C55EF8">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What was the reach and interaction of this program to parents who receive other federal program supports?</w:t>
      </w:r>
    </w:p>
    <w:p w14:paraId="136EDC8F" w14:textId="1EB258E3" w:rsidR="00947956" w:rsidRPr="007F08FB" w:rsidRDefault="009B4E0E" w:rsidP="00F66571">
      <w:pPr>
        <w:pStyle w:val="N1-1stBullet"/>
        <w:numPr>
          <w:ilvl w:val="0"/>
          <w:numId w:val="0"/>
        </w:numPr>
        <w:spacing w:line="276" w:lineRule="auto"/>
        <w:rPr>
          <w:rFonts w:ascii="Times New Roman" w:hAnsi="Times New Roman"/>
          <w:szCs w:val="24"/>
        </w:rPr>
      </w:pPr>
      <w:r w:rsidRPr="007F08FB">
        <w:rPr>
          <w:rFonts w:ascii="Times New Roman" w:hAnsi="Times New Roman"/>
          <w:szCs w:val="24"/>
        </w:rPr>
        <w:t>To address each of the five research areas, t</w:t>
      </w:r>
      <w:r w:rsidR="00123175" w:rsidRPr="007F08FB">
        <w:rPr>
          <w:rFonts w:ascii="Times New Roman" w:hAnsi="Times New Roman"/>
          <w:szCs w:val="24"/>
        </w:rPr>
        <w:t xml:space="preserve">he evaluation includes </w:t>
      </w:r>
      <w:r w:rsidR="00DD34E7" w:rsidRPr="007F08FB">
        <w:rPr>
          <w:rFonts w:ascii="Times New Roman" w:hAnsi="Times New Roman"/>
          <w:szCs w:val="24"/>
        </w:rPr>
        <w:t>both implementation and impact component</w:t>
      </w:r>
      <w:r w:rsidR="000848B4" w:rsidRPr="007F08FB">
        <w:rPr>
          <w:rFonts w:ascii="Times New Roman" w:hAnsi="Times New Roman"/>
          <w:szCs w:val="24"/>
        </w:rPr>
        <w:t>s</w:t>
      </w:r>
      <w:r w:rsidR="00DD34E7" w:rsidRPr="007F08FB">
        <w:rPr>
          <w:rFonts w:ascii="Times New Roman" w:hAnsi="Times New Roman"/>
          <w:szCs w:val="24"/>
        </w:rPr>
        <w:t xml:space="preserve">. </w:t>
      </w:r>
      <w:r w:rsidR="000848B4" w:rsidRPr="007F08FB">
        <w:rPr>
          <w:rFonts w:ascii="Times New Roman" w:hAnsi="Times New Roman"/>
          <w:szCs w:val="24"/>
        </w:rPr>
        <w:t>The implementation study will focus on all 53 TechHire and SWFI grantees and serve several purposes: providing a thorough description of all of the T</w:t>
      </w:r>
      <w:r w:rsidRPr="007F08FB">
        <w:rPr>
          <w:rFonts w:ascii="Times New Roman" w:hAnsi="Times New Roman"/>
          <w:szCs w:val="24"/>
        </w:rPr>
        <w:t>echHire</w:t>
      </w:r>
      <w:r w:rsidR="000848B4" w:rsidRPr="007F08FB">
        <w:rPr>
          <w:rFonts w:ascii="Times New Roman" w:hAnsi="Times New Roman"/>
          <w:szCs w:val="24"/>
        </w:rPr>
        <w:t xml:space="preserve"> and SWFI programs; documenting implementation barriers and facilitators; describing partnerships and systems change; and providing descriptive data on program outputs and outcomes. The impact study will include both a randomized control trial (RCT) </w:t>
      </w:r>
      <w:r w:rsidRPr="007F08FB">
        <w:rPr>
          <w:rFonts w:ascii="Times New Roman" w:hAnsi="Times New Roman"/>
          <w:szCs w:val="24"/>
        </w:rPr>
        <w:t xml:space="preserve">study </w:t>
      </w:r>
      <w:r w:rsidR="000848B4" w:rsidRPr="007F08FB">
        <w:rPr>
          <w:rFonts w:ascii="Times New Roman" w:hAnsi="Times New Roman"/>
          <w:szCs w:val="24"/>
        </w:rPr>
        <w:t>and quasi-experimental design (QED)</w:t>
      </w:r>
      <w:r w:rsidRPr="007F08FB">
        <w:rPr>
          <w:rFonts w:ascii="Times New Roman" w:hAnsi="Times New Roman"/>
          <w:szCs w:val="24"/>
        </w:rPr>
        <w:t xml:space="preserve"> study</w:t>
      </w:r>
      <w:r w:rsidR="000848B4" w:rsidRPr="007F08FB">
        <w:rPr>
          <w:rFonts w:ascii="Times New Roman" w:hAnsi="Times New Roman"/>
          <w:szCs w:val="24"/>
        </w:rPr>
        <w:t xml:space="preserve">. </w:t>
      </w:r>
      <w:r w:rsidRPr="007F08FB">
        <w:rPr>
          <w:rFonts w:ascii="Times New Roman" w:hAnsi="Times New Roman"/>
          <w:szCs w:val="24"/>
        </w:rPr>
        <w:t xml:space="preserve">The RCT study will include </w:t>
      </w:r>
      <w:r w:rsidR="00B53E48">
        <w:rPr>
          <w:rFonts w:ascii="Times New Roman" w:hAnsi="Times New Roman"/>
          <w:szCs w:val="24"/>
        </w:rPr>
        <w:t xml:space="preserve">approximately </w:t>
      </w:r>
      <w:r w:rsidR="009F6E73">
        <w:rPr>
          <w:rFonts w:ascii="Times New Roman" w:hAnsi="Times New Roman"/>
          <w:szCs w:val="24"/>
        </w:rPr>
        <w:t>5</w:t>
      </w:r>
      <w:r w:rsidRPr="007F08FB">
        <w:rPr>
          <w:rFonts w:ascii="Times New Roman" w:hAnsi="Times New Roman"/>
          <w:szCs w:val="24"/>
        </w:rPr>
        <w:t xml:space="preserve"> grantees, whereas the QED study will include </w:t>
      </w:r>
      <w:r w:rsidR="006F2652">
        <w:rPr>
          <w:rFonts w:ascii="Times New Roman" w:hAnsi="Times New Roman"/>
          <w:szCs w:val="24"/>
        </w:rPr>
        <w:t xml:space="preserve">all of the </w:t>
      </w:r>
      <w:r w:rsidRPr="007F08FB">
        <w:rPr>
          <w:rFonts w:ascii="Times New Roman" w:hAnsi="Times New Roman"/>
          <w:szCs w:val="24"/>
        </w:rPr>
        <w:t xml:space="preserve">53 grantees. </w:t>
      </w:r>
    </w:p>
    <w:p w14:paraId="1F10251B" w14:textId="77777777" w:rsidR="009B4E0E" w:rsidRPr="008B1702" w:rsidRDefault="009B4E0E" w:rsidP="00C55EF8">
      <w:pPr>
        <w:spacing w:line="276" w:lineRule="auto"/>
        <w:rPr>
          <w:rFonts w:ascii="Times New Roman" w:hAnsi="Times New Roman"/>
          <w:b/>
          <w:szCs w:val="24"/>
        </w:rPr>
      </w:pPr>
      <w:r w:rsidRPr="008B1702">
        <w:rPr>
          <w:rFonts w:ascii="Times New Roman" w:hAnsi="Times New Roman"/>
          <w:b/>
          <w:szCs w:val="24"/>
        </w:rPr>
        <w:t>Overview of Data Collection</w:t>
      </w:r>
    </w:p>
    <w:p w14:paraId="496C3767" w14:textId="77777777" w:rsidR="00F95D1F" w:rsidRPr="008B1702" w:rsidRDefault="00F95D1F" w:rsidP="00C55EF8">
      <w:pPr>
        <w:spacing w:line="276" w:lineRule="auto"/>
        <w:rPr>
          <w:rFonts w:ascii="Times New Roman" w:hAnsi="Times New Roman"/>
          <w:szCs w:val="24"/>
        </w:rPr>
      </w:pPr>
      <w:r w:rsidRPr="008B1702">
        <w:rPr>
          <w:rFonts w:ascii="Times New Roman" w:hAnsi="Times New Roman"/>
          <w:szCs w:val="24"/>
        </w:rPr>
        <w:t xml:space="preserve">To address the research questions listed above, the evaluation will include the following data collection activities: </w:t>
      </w:r>
    </w:p>
    <w:p w14:paraId="579645E8" w14:textId="5C012078" w:rsidR="00F95D1F" w:rsidRPr="005B7D17" w:rsidRDefault="00F95D1F" w:rsidP="00C55EF8">
      <w:pPr>
        <w:pStyle w:val="ListParagraph"/>
        <w:numPr>
          <w:ilvl w:val="0"/>
          <w:numId w:val="64"/>
        </w:numPr>
        <w:spacing w:after="0"/>
        <w:ind w:left="360" w:firstLine="0"/>
        <w:rPr>
          <w:rFonts w:ascii="Times New Roman" w:hAnsi="Times New Roman"/>
          <w:sz w:val="24"/>
          <w:szCs w:val="24"/>
        </w:rPr>
      </w:pPr>
      <w:r w:rsidRPr="008B1702">
        <w:rPr>
          <w:rFonts w:ascii="Times New Roman" w:hAnsi="Times New Roman"/>
          <w:sz w:val="24"/>
          <w:szCs w:val="24"/>
        </w:rPr>
        <w:t xml:space="preserve">Baseline </w:t>
      </w:r>
      <w:r w:rsidR="0083312F" w:rsidRPr="008B1702">
        <w:rPr>
          <w:rFonts w:ascii="Times New Roman" w:hAnsi="Times New Roman"/>
          <w:sz w:val="24"/>
          <w:szCs w:val="24"/>
        </w:rPr>
        <w:t>In</w:t>
      </w:r>
      <w:r w:rsidR="0083312F">
        <w:rPr>
          <w:rFonts w:ascii="Times New Roman" w:hAnsi="Times New Roman"/>
          <w:sz w:val="24"/>
          <w:szCs w:val="24"/>
        </w:rPr>
        <w:t>formation</w:t>
      </w:r>
      <w:r w:rsidR="0083312F" w:rsidRPr="008B1702">
        <w:rPr>
          <w:rFonts w:ascii="Times New Roman" w:hAnsi="Times New Roman"/>
          <w:sz w:val="24"/>
          <w:szCs w:val="24"/>
        </w:rPr>
        <w:t xml:space="preserve"> </w:t>
      </w:r>
      <w:r w:rsidRPr="00AD0041">
        <w:rPr>
          <w:rFonts w:ascii="Times New Roman" w:hAnsi="Times New Roman"/>
          <w:sz w:val="24"/>
          <w:szCs w:val="24"/>
        </w:rPr>
        <w:t xml:space="preserve">Form (BIF) </w:t>
      </w:r>
      <w:r w:rsidRPr="005B7D17">
        <w:rPr>
          <w:rFonts w:ascii="Times New Roman" w:hAnsi="Times New Roman"/>
          <w:sz w:val="24"/>
          <w:szCs w:val="24"/>
        </w:rPr>
        <w:t xml:space="preserve">(clearance </w:t>
      </w:r>
      <w:r w:rsidR="00AD0041">
        <w:rPr>
          <w:rFonts w:ascii="Times New Roman" w:hAnsi="Times New Roman"/>
          <w:sz w:val="24"/>
          <w:szCs w:val="24"/>
        </w:rPr>
        <w:t>already obtained</w:t>
      </w:r>
      <w:r w:rsidR="00004795">
        <w:rPr>
          <w:rFonts w:ascii="Times New Roman" w:hAnsi="Times New Roman"/>
          <w:sz w:val="24"/>
          <w:szCs w:val="24"/>
        </w:rPr>
        <w:t xml:space="preserve"> under OMB No. 1290-0014)</w:t>
      </w:r>
    </w:p>
    <w:p w14:paraId="3B04A6CE" w14:textId="0C039259" w:rsidR="00F95D1F" w:rsidRPr="005B7D17" w:rsidRDefault="00F95D1F" w:rsidP="00C55EF8">
      <w:pPr>
        <w:pStyle w:val="ListParagraph"/>
        <w:numPr>
          <w:ilvl w:val="0"/>
          <w:numId w:val="64"/>
        </w:numPr>
        <w:spacing w:after="0"/>
        <w:ind w:left="360" w:firstLine="0"/>
        <w:rPr>
          <w:rFonts w:ascii="Times New Roman" w:hAnsi="Times New Roman"/>
          <w:sz w:val="24"/>
          <w:szCs w:val="24"/>
        </w:rPr>
      </w:pPr>
      <w:r w:rsidRPr="00AD0041">
        <w:rPr>
          <w:rFonts w:ascii="Times New Roman" w:hAnsi="Times New Roman"/>
          <w:sz w:val="24"/>
          <w:szCs w:val="24"/>
        </w:rPr>
        <w:t xml:space="preserve">6-month follow-up survey </w:t>
      </w:r>
      <w:r w:rsidR="00AD0041" w:rsidRPr="00973C84">
        <w:rPr>
          <w:rFonts w:ascii="Times New Roman" w:hAnsi="Times New Roman"/>
          <w:sz w:val="24"/>
          <w:szCs w:val="24"/>
        </w:rPr>
        <w:t xml:space="preserve">(clearance </w:t>
      </w:r>
      <w:r w:rsidR="00AD0041">
        <w:rPr>
          <w:rFonts w:ascii="Times New Roman" w:hAnsi="Times New Roman"/>
          <w:sz w:val="24"/>
          <w:szCs w:val="24"/>
        </w:rPr>
        <w:t>already obtained</w:t>
      </w:r>
      <w:r w:rsidR="00004795">
        <w:rPr>
          <w:rFonts w:ascii="Times New Roman" w:hAnsi="Times New Roman"/>
          <w:sz w:val="24"/>
          <w:szCs w:val="24"/>
        </w:rPr>
        <w:t xml:space="preserve"> under OMB No. 1290-0014</w:t>
      </w:r>
      <w:r w:rsidR="00AD0041" w:rsidRPr="00973C84">
        <w:rPr>
          <w:rFonts w:ascii="Times New Roman" w:hAnsi="Times New Roman"/>
          <w:sz w:val="24"/>
          <w:szCs w:val="24"/>
        </w:rPr>
        <w:t>)</w:t>
      </w:r>
      <w:r w:rsidR="00AD0041" w:rsidRPr="00AD0041" w:rsidDel="00767CA1">
        <w:rPr>
          <w:rFonts w:ascii="Times New Roman" w:hAnsi="Times New Roman"/>
          <w:sz w:val="24"/>
          <w:szCs w:val="24"/>
        </w:rPr>
        <w:t xml:space="preserve"> </w:t>
      </w:r>
    </w:p>
    <w:p w14:paraId="3C7FF84A" w14:textId="16D78843" w:rsidR="00F95D1F" w:rsidRPr="005B7D17" w:rsidRDefault="00F95D1F" w:rsidP="00C55EF8">
      <w:pPr>
        <w:pStyle w:val="ListParagraph"/>
        <w:numPr>
          <w:ilvl w:val="0"/>
          <w:numId w:val="64"/>
        </w:numPr>
        <w:spacing w:after="0"/>
        <w:ind w:left="360" w:firstLine="0"/>
        <w:rPr>
          <w:rFonts w:ascii="Times New Roman" w:hAnsi="Times New Roman"/>
          <w:sz w:val="24"/>
          <w:szCs w:val="24"/>
        </w:rPr>
      </w:pPr>
      <w:r w:rsidRPr="00AD0041">
        <w:rPr>
          <w:rFonts w:ascii="Times New Roman" w:hAnsi="Times New Roman"/>
          <w:sz w:val="24"/>
          <w:szCs w:val="24"/>
        </w:rPr>
        <w:t>Round 1 site visit</w:t>
      </w:r>
      <w:r w:rsidR="0083312F" w:rsidRPr="00AD0041">
        <w:rPr>
          <w:rFonts w:ascii="Times New Roman" w:hAnsi="Times New Roman"/>
          <w:sz w:val="24"/>
          <w:szCs w:val="24"/>
        </w:rPr>
        <w:t xml:space="preserve"> interviews</w:t>
      </w:r>
      <w:r w:rsidR="00460C86" w:rsidRPr="00AD0041">
        <w:rPr>
          <w:rFonts w:ascii="Times New Roman" w:hAnsi="Times New Roman"/>
          <w:sz w:val="24"/>
          <w:szCs w:val="24"/>
        </w:rPr>
        <w:t xml:space="preserve"> with grantee staff</w:t>
      </w:r>
      <w:r w:rsidRPr="00AD0041">
        <w:rPr>
          <w:rFonts w:ascii="Times New Roman" w:hAnsi="Times New Roman"/>
          <w:sz w:val="24"/>
          <w:szCs w:val="24"/>
        </w:rPr>
        <w:t xml:space="preserve"> </w:t>
      </w:r>
      <w:r w:rsidR="00AD0041" w:rsidRPr="00973C84">
        <w:rPr>
          <w:rFonts w:ascii="Times New Roman" w:hAnsi="Times New Roman"/>
          <w:sz w:val="24"/>
          <w:szCs w:val="24"/>
        </w:rPr>
        <w:t xml:space="preserve">(clearance </w:t>
      </w:r>
      <w:r w:rsidR="00AD0041">
        <w:rPr>
          <w:rFonts w:ascii="Times New Roman" w:hAnsi="Times New Roman"/>
          <w:sz w:val="24"/>
          <w:szCs w:val="24"/>
        </w:rPr>
        <w:t>already obtained</w:t>
      </w:r>
      <w:r w:rsidR="00004795">
        <w:rPr>
          <w:rFonts w:ascii="Times New Roman" w:hAnsi="Times New Roman"/>
          <w:sz w:val="24"/>
          <w:szCs w:val="24"/>
        </w:rPr>
        <w:t xml:space="preserve"> under OMB No. 1290-0014</w:t>
      </w:r>
      <w:r w:rsidR="00AD0041" w:rsidRPr="00973C84">
        <w:rPr>
          <w:rFonts w:ascii="Times New Roman" w:hAnsi="Times New Roman"/>
          <w:sz w:val="24"/>
          <w:szCs w:val="24"/>
        </w:rPr>
        <w:t>)</w:t>
      </w:r>
      <w:r w:rsidR="00AD0041" w:rsidRPr="00AD0041" w:rsidDel="00AD0041">
        <w:rPr>
          <w:rFonts w:ascii="Times New Roman" w:hAnsi="Times New Roman"/>
          <w:sz w:val="24"/>
          <w:szCs w:val="24"/>
        </w:rPr>
        <w:t xml:space="preserve"> </w:t>
      </w:r>
    </w:p>
    <w:p w14:paraId="1465055A" w14:textId="4EEF8943" w:rsidR="00460C86" w:rsidRPr="005B7D17" w:rsidRDefault="00460C86" w:rsidP="00C55EF8">
      <w:pPr>
        <w:pStyle w:val="ListParagraph"/>
        <w:numPr>
          <w:ilvl w:val="0"/>
          <w:numId w:val="64"/>
        </w:numPr>
        <w:spacing w:after="0"/>
        <w:ind w:left="360" w:firstLine="0"/>
        <w:rPr>
          <w:rFonts w:ascii="Times New Roman" w:hAnsi="Times New Roman"/>
          <w:sz w:val="24"/>
          <w:szCs w:val="24"/>
        </w:rPr>
      </w:pPr>
      <w:r w:rsidRPr="00AD0041">
        <w:rPr>
          <w:rFonts w:ascii="Times New Roman" w:hAnsi="Times New Roman"/>
          <w:sz w:val="24"/>
          <w:szCs w:val="24"/>
        </w:rPr>
        <w:t xml:space="preserve">Round 1 site visit interviews with grantee partners </w:t>
      </w:r>
      <w:r w:rsidR="00AD0041" w:rsidRPr="00973C84">
        <w:rPr>
          <w:rFonts w:ascii="Times New Roman" w:hAnsi="Times New Roman"/>
          <w:sz w:val="24"/>
          <w:szCs w:val="24"/>
        </w:rPr>
        <w:t xml:space="preserve">(clearance </w:t>
      </w:r>
      <w:r w:rsidR="00AD0041">
        <w:rPr>
          <w:rFonts w:ascii="Times New Roman" w:hAnsi="Times New Roman"/>
          <w:sz w:val="24"/>
          <w:szCs w:val="24"/>
        </w:rPr>
        <w:t>already obtained</w:t>
      </w:r>
      <w:r w:rsidR="00004795">
        <w:rPr>
          <w:rFonts w:ascii="Times New Roman" w:hAnsi="Times New Roman"/>
          <w:sz w:val="24"/>
          <w:szCs w:val="24"/>
        </w:rPr>
        <w:t xml:space="preserve"> under OMB No. 1290-0014</w:t>
      </w:r>
      <w:r w:rsidR="00AD0041" w:rsidRPr="00973C84">
        <w:rPr>
          <w:rFonts w:ascii="Times New Roman" w:hAnsi="Times New Roman"/>
          <w:sz w:val="24"/>
          <w:szCs w:val="24"/>
        </w:rPr>
        <w:t>)</w:t>
      </w:r>
      <w:r w:rsidR="00AD0041" w:rsidRPr="00AD0041" w:rsidDel="00AD0041">
        <w:rPr>
          <w:rFonts w:ascii="Times New Roman" w:hAnsi="Times New Roman"/>
          <w:sz w:val="24"/>
          <w:szCs w:val="24"/>
        </w:rPr>
        <w:t xml:space="preserve"> </w:t>
      </w:r>
    </w:p>
    <w:p w14:paraId="028B18B4" w14:textId="0C07427B" w:rsidR="004A4B38" w:rsidRPr="005B7D17" w:rsidRDefault="00A34F5F" w:rsidP="00C55EF8">
      <w:pPr>
        <w:pStyle w:val="ListParagraph"/>
        <w:numPr>
          <w:ilvl w:val="0"/>
          <w:numId w:val="64"/>
        </w:numPr>
        <w:spacing w:after="0"/>
        <w:ind w:left="360" w:firstLine="0"/>
        <w:rPr>
          <w:rFonts w:ascii="Times New Roman" w:hAnsi="Times New Roman"/>
          <w:sz w:val="24"/>
          <w:szCs w:val="24"/>
        </w:rPr>
      </w:pPr>
      <w:r w:rsidRPr="00AD0041">
        <w:rPr>
          <w:rFonts w:ascii="Times New Roman" w:hAnsi="Times New Roman"/>
          <w:sz w:val="24"/>
          <w:szCs w:val="24"/>
        </w:rPr>
        <w:t>Participant</w:t>
      </w:r>
      <w:r w:rsidR="004A4B38" w:rsidRPr="00AD0041">
        <w:rPr>
          <w:rFonts w:ascii="Times New Roman" w:hAnsi="Times New Roman"/>
          <w:sz w:val="24"/>
          <w:szCs w:val="24"/>
        </w:rPr>
        <w:t xml:space="preserve"> tracking form</w:t>
      </w:r>
      <w:r w:rsidR="004A4B38" w:rsidRPr="005B7D17">
        <w:rPr>
          <w:rFonts w:ascii="Times New Roman" w:hAnsi="Times New Roman"/>
          <w:sz w:val="24"/>
          <w:szCs w:val="24"/>
        </w:rPr>
        <w:t xml:space="preserve"> </w:t>
      </w:r>
      <w:r w:rsidR="00AD0041" w:rsidRPr="00973C84">
        <w:rPr>
          <w:rFonts w:ascii="Times New Roman" w:hAnsi="Times New Roman"/>
          <w:sz w:val="24"/>
          <w:szCs w:val="24"/>
        </w:rPr>
        <w:t xml:space="preserve">(clearance </w:t>
      </w:r>
      <w:r w:rsidR="00AD0041">
        <w:rPr>
          <w:rFonts w:ascii="Times New Roman" w:hAnsi="Times New Roman"/>
          <w:sz w:val="24"/>
          <w:szCs w:val="24"/>
        </w:rPr>
        <w:t>already obtained</w:t>
      </w:r>
      <w:r w:rsidR="00004795">
        <w:rPr>
          <w:rFonts w:ascii="Times New Roman" w:hAnsi="Times New Roman"/>
          <w:sz w:val="24"/>
          <w:szCs w:val="24"/>
        </w:rPr>
        <w:t xml:space="preserve"> under OMB No. 1290-0014</w:t>
      </w:r>
      <w:r w:rsidR="00AD0041" w:rsidRPr="00973C84">
        <w:rPr>
          <w:rFonts w:ascii="Times New Roman" w:hAnsi="Times New Roman"/>
          <w:sz w:val="24"/>
          <w:szCs w:val="24"/>
        </w:rPr>
        <w:t>)</w:t>
      </w:r>
      <w:r w:rsidR="00AD0041" w:rsidRPr="00AD0041" w:rsidDel="00AD0041">
        <w:rPr>
          <w:rFonts w:ascii="Times New Roman" w:hAnsi="Times New Roman"/>
          <w:sz w:val="24"/>
          <w:szCs w:val="24"/>
        </w:rPr>
        <w:t xml:space="preserve"> </w:t>
      </w:r>
    </w:p>
    <w:p w14:paraId="2D3F5E0D" w14:textId="26219A9B" w:rsidR="00F95D1F" w:rsidRPr="00391D4C" w:rsidRDefault="00F95D1F" w:rsidP="00C55EF8">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Grantee Survey</w:t>
      </w:r>
      <w:r w:rsidR="006F2652" w:rsidRPr="006F2652">
        <w:rPr>
          <w:rFonts w:ascii="Times New Roman" w:hAnsi="Times New Roman"/>
          <w:sz w:val="24"/>
          <w:szCs w:val="24"/>
        </w:rPr>
        <w:t xml:space="preserve"> </w:t>
      </w:r>
      <w:r w:rsidR="00767CA1" w:rsidRPr="008B1702">
        <w:rPr>
          <w:rFonts w:ascii="Times New Roman" w:hAnsi="Times New Roman"/>
          <w:b/>
          <w:sz w:val="24"/>
          <w:szCs w:val="24"/>
        </w:rPr>
        <w:t>(clearance requested in this package)</w:t>
      </w:r>
      <w:r w:rsidR="00767CA1" w:rsidRPr="006F2652" w:rsidDel="00767CA1">
        <w:rPr>
          <w:rFonts w:ascii="Times New Roman" w:hAnsi="Times New Roman"/>
          <w:sz w:val="24"/>
          <w:szCs w:val="24"/>
        </w:rPr>
        <w:t xml:space="preserve"> </w:t>
      </w:r>
    </w:p>
    <w:p w14:paraId="7307D617" w14:textId="7234F25D" w:rsidR="00F95D1F" w:rsidRPr="00391D4C" w:rsidRDefault="00F95D1F" w:rsidP="00C55EF8">
      <w:pPr>
        <w:pStyle w:val="ListParagraph"/>
        <w:numPr>
          <w:ilvl w:val="0"/>
          <w:numId w:val="64"/>
        </w:numPr>
        <w:spacing w:after="0"/>
        <w:ind w:left="360" w:firstLine="0"/>
        <w:rPr>
          <w:rFonts w:ascii="Times New Roman" w:hAnsi="Times New Roman"/>
          <w:sz w:val="24"/>
          <w:szCs w:val="24"/>
        </w:rPr>
      </w:pPr>
      <w:r w:rsidRPr="004B7547">
        <w:rPr>
          <w:rFonts w:ascii="Times New Roman" w:hAnsi="Times New Roman"/>
          <w:sz w:val="24"/>
          <w:szCs w:val="24"/>
        </w:rPr>
        <w:t>Semi-structured telephone interviews with grantees</w:t>
      </w:r>
      <w:r w:rsidR="006F2652" w:rsidRPr="006F2652">
        <w:rPr>
          <w:rFonts w:ascii="Times New Roman" w:hAnsi="Times New Roman"/>
          <w:szCs w:val="24"/>
        </w:rPr>
        <w:t xml:space="preserve"> </w:t>
      </w:r>
      <w:r w:rsidR="00767CA1" w:rsidRPr="008B1702">
        <w:rPr>
          <w:rFonts w:ascii="Times New Roman" w:hAnsi="Times New Roman"/>
          <w:b/>
          <w:sz w:val="24"/>
          <w:szCs w:val="24"/>
        </w:rPr>
        <w:t>(clearance requested in this package)</w:t>
      </w:r>
      <w:r w:rsidR="00767CA1" w:rsidRPr="006F2652" w:rsidDel="00767CA1">
        <w:rPr>
          <w:rFonts w:ascii="Times New Roman" w:hAnsi="Times New Roman"/>
          <w:sz w:val="24"/>
          <w:szCs w:val="24"/>
        </w:rPr>
        <w:t xml:space="preserve"> </w:t>
      </w:r>
    </w:p>
    <w:p w14:paraId="0EAD1822" w14:textId="7442D39E" w:rsidR="00F95D1F" w:rsidRPr="00391D4C" w:rsidRDefault="00F95D1F" w:rsidP="00C55EF8">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Partner information template</w:t>
      </w:r>
      <w:r w:rsidR="006F2652" w:rsidRPr="006F2652">
        <w:rPr>
          <w:rFonts w:ascii="Times New Roman" w:hAnsi="Times New Roman"/>
          <w:sz w:val="24"/>
          <w:szCs w:val="24"/>
        </w:rPr>
        <w:t xml:space="preserve"> </w:t>
      </w:r>
      <w:r w:rsidR="00767CA1" w:rsidRPr="008B1702">
        <w:rPr>
          <w:rFonts w:ascii="Times New Roman" w:hAnsi="Times New Roman"/>
          <w:b/>
          <w:sz w:val="24"/>
          <w:szCs w:val="24"/>
        </w:rPr>
        <w:t>(clearance requested in this package)</w:t>
      </w:r>
      <w:r w:rsidR="00767CA1" w:rsidRPr="006F2652" w:rsidDel="00767CA1">
        <w:rPr>
          <w:rFonts w:ascii="Times New Roman" w:hAnsi="Times New Roman"/>
          <w:sz w:val="24"/>
          <w:szCs w:val="24"/>
        </w:rPr>
        <w:t xml:space="preserve"> </w:t>
      </w:r>
    </w:p>
    <w:p w14:paraId="218399DC" w14:textId="42BD3BBA" w:rsidR="00F95D1F" w:rsidRPr="00391D4C" w:rsidRDefault="00F95D1F" w:rsidP="00C55EF8">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Partner Survey</w:t>
      </w:r>
      <w:r w:rsidR="006F2652" w:rsidRPr="006F2652">
        <w:rPr>
          <w:rFonts w:ascii="Times New Roman" w:hAnsi="Times New Roman"/>
          <w:sz w:val="24"/>
          <w:szCs w:val="24"/>
        </w:rPr>
        <w:t xml:space="preserve"> </w:t>
      </w:r>
      <w:r w:rsidR="00767CA1" w:rsidRPr="008B1702">
        <w:rPr>
          <w:rFonts w:ascii="Times New Roman" w:hAnsi="Times New Roman"/>
          <w:b/>
          <w:sz w:val="24"/>
          <w:szCs w:val="24"/>
        </w:rPr>
        <w:t>(clearance requested in this package)</w:t>
      </w:r>
      <w:r w:rsidR="00767CA1" w:rsidRPr="006F2652" w:rsidDel="00767CA1">
        <w:rPr>
          <w:rFonts w:ascii="Times New Roman" w:hAnsi="Times New Roman"/>
          <w:sz w:val="24"/>
          <w:szCs w:val="24"/>
        </w:rPr>
        <w:t xml:space="preserve"> </w:t>
      </w:r>
    </w:p>
    <w:p w14:paraId="50B247AA" w14:textId="70A914A0" w:rsidR="00F95D1F" w:rsidRPr="00391D4C" w:rsidRDefault="00F95D1F" w:rsidP="00C55EF8">
      <w:pPr>
        <w:pStyle w:val="ListParagraph"/>
        <w:numPr>
          <w:ilvl w:val="0"/>
          <w:numId w:val="64"/>
        </w:numPr>
        <w:spacing w:after="0"/>
        <w:ind w:left="360" w:firstLine="0"/>
        <w:rPr>
          <w:rFonts w:ascii="Times New Roman" w:hAnsi="Times New Roman"/>
          <w:sz w:val="24"/>
          <w:szCs w:val="24"/>
        </w:rPr>
      </w:pPr>
      <w:r w:rsidRPr="004B7547">
        <w:rPr>
          <w:rFonts w:ascii="Times New Roman" w:hAnsi="Times New Roman"/>
          <w:sz w:val="24"/>
          <w:szCs w:val="24"/>
        </w:rPr>
        <w:t>Semi-structured telephone interviews with partners</w:t>
      </w:r>
      <w:r w:rsidRPr="006F2652">
        <w:rPr>
          <w:rFonts w:ascii="Times New Roman" w:hAnsi="Times New Roman"/>
          <w:szCs w:val="24"/>
        </w:rPr>
        <w:t xml:space="preserve"> </w:t>
      </w:r>
      <w:r w:rsidR="00767CA1" w:rsidRPr="008B1702">
        <w:rPr>
          <w:rFonts w:ascii="Times New Roman" w:hAnsi="Times New Roman"/>
          <w:b/>
          <w:sz w:val="24"/>
          <w:szCs w:val="24"/>
        </w:rPr>
        <w:t>(clearance requested in this package)</w:t>
      </w:r>
      <w:r w:rsidR="00767CA1" w:rsidRPr="006F2652" w:rsidDel="00767CA1">
        <w:rPr>
          <w:rFonts w:ascii="Times New Roman" w:hAnsi="Times New Roman"/>
          <w:sz w:val="24"/>
          <w:szCs w:val="24"/>
        </w:rPr>
        <w:t xml:space="preserve"> </w:t>
      </w:r>
    </w:p>
    <w:p w14:paraId="62742E2E" w14:textId="218937F6" w:rsidR="00F95D1F" w:rsidRPr="00391D4C" w:rsidRDefault="00F95D1F" w:rsidP="00C55EF8">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Round 2 site visit</w:t>
      </w:r>
      <w:r w:rsidR="0083312F" w:rsidRPr="006F2652">
        <w:rPr>
          <w:rFonts w:ascii="Times New Roman" w:hAnsi="Times New Roman"/>
          <w:sz w:val="24"/>
          <w:szCs w:val="24"/>
        </w:rPr>
        <w:t xml:space="preserve"> interviews</w:t>
      </w:r>
      <w:r w:rsidR="006F2652" w:rsidRPr="006F2652">
        <w:rPr>
          <w:rFonts w:ascii="Times New Roman" w:hAnsi="Times New Roman"/>
          <w:sz w:val="24"/>
          <w:szCs w:val="24"/>
        </w:rPr>
        <w:t xml:space="preserve"> </w:t>
      </w:r>
      <w:r w:rsidR="00767CA1" w:rsidRPr="008B1702">
        <w:rPr>
          <w:rFonts w:ascii="Times New Roman" w:hAnsi="Times New Roman"/>
          <w:b/>
          <w:sz w:val="24"/>
          <w:szCs w:val="24"/>
        </w:rPr>
        <w:t>(clearance requested in this package)</w:t>
      </w:r>
      <w:r w:rsidR="00767CA1" w:rsidRPr="006F2652" w:rsidDel="00767CA1">
        <w:rPr>
          <w:rFonts w:ascii="Times New Roman" w:hAnsi="Times New Roman"/>
          <w:sz w:val="24"/>
          <w:szCs w:val="24"/>
        </w:rPr>
        <w:t xml:space="preserve"> </w:t>
      </w:r>
    </w:p>
    <w:p w14:paraId="1E1C8A5B" w14:textId="77777777" w:rsidR="00F95D1F" w:rsidRPr="00391D4C" w:rsidRDefault="00F95D1F" w:rsidP="00C55EF8">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 xml:space="preserve">18- month follow-up survey </w:t>
      </w:r>
      <w:r w:rsidR="006F2652" w:rsidRPr="006F2652">
        <w:rPr>
          <w:rFonts w:ascii="Times New Roman" w:hAnsi="Times New Roman"/>
          <w:sz w:val="24"/>
          <w:szCs w:val="24"/>
        </w:rPr>
        <w:t xml:space="preserve"> (clearance will be requested in a future package)</w:t>
      </w:r>
    </w:p>
    <w:p w14:paraId="47F49143" w14:textId="77777777" w:rsidR="00F95D1F" w:rsidRPr="008B1702" w:rsidRDefault="00F95D1F" w:rsidP="00C55EF8">
      <w:pPr>
        <w:spacing w:line="276" w:lineRule="auto"/>
        <w:rPr>
          <w:rFonts w:ascii="Times New Roman" w:hAnsi="Times New Roman"/>
          <w:szCs w:val="24"/>
        </w:rPr>
      </w:pPr>
    </w:p>
    <w:p w14:paraId="0C7586C4" w14:textId="7B9E79B9" w:rsidR="00AC073B" w:rsidRPr="008B1702" w:rsidRDefault="00F95D1F" w:rsidP="00C55EF8">
      <w:pPr>
        <w:pStyle w:val="BodyText"/>
        <w:rPr>
          <w:sz w:val="24"/>
          <w:szCs w:val="24"/>
        </w:rPr>
      </w:pPr>
      <w:r w:rsidRPr="008B1702">
        <w:rPr>
          <w:sz w:val="24"/>
          <w:szCs w:val="24"/>
        </w:rPr>
        <w:t xml:space="preserve">With the submission of this justification, CEO requests clearance for the </w:t>
      </w:r>
      <w:r w:rsidR="00A1108F">
        <w:rPr>
          <w:sz w:val="24"/>
          <w:szCs w:val="24"/>
          <w:lang w:val="en-US"/>
        </w:rPr>
        <w:t>sixth through eleventh</w:t>
      </w:r>
      <w:r w:rsidRPr="008B1702">
        <w:rPr>
          <w:sz w:val="24"/>
          <w:szCs w:val="24"/>
        </w:rPr>
        <w:t xml:space="preserve"> data collection components listed above (i.e., the </w:t>
      </w:r>
      <w:r w:rsidR="0060108B">
        <w:rPr>
          <w:sz w:val="24"/>
          <w:szCs w:val="24"/>
          <w:lang w:val="en-US"/>
        </w:rPr>
        <w:t xml:space="preserve">grantee survey, semi-structured telephone interviews with grantees, partner </w:t>
      </w:r>
      <w:r w:rsidR="00B6507D">
        <w:rPr>
          <w:sz w:val="24"/>
          <w:szCs w:val="24"/>
          <w:lang w:val="en-US"/>
        </w:rPr>
        <w:t xml:space="preserve">contact </w:t>
      </w:r>
      <w:r w:rsidR="0060108B">
        <w:rPr>
          <w:sz w:val="24"/>
          <w:szCs w:val="24"/>
          <w:lang w:val="en-US"/>
        </w:rPr>
        <w:t>information template, partner survey, semi-structured telephone interviews with partners, and second round of site visit interviews with RCT grantees</w:t>
      </w:r>
      <w:r w:rsidR="003B7354" w:rsidRPr="008B1702">
        <w:rPr>
          <w:sz w:val="24"/>
          <w:szCs w:val="24"/>
        </w:rPr>
        <w:t xml:space="preserve">). </w:t>
      </w:r>
      <w:r w:rsidR="007C7285">
        <w:rPr>
          <w:sz w:val="24"/>
          <w:szCs w:val="24"/>
          <w:lang w:val="en-US"/>
        </w:rPr>
        <w:t>The Department of Labor (</w:t>
      </w:r>
      <w:r w:rsidR="003B7354" w:rsidRPr="008B1702">
        <w:rPr>
          <w:sz w:val="24"/>
          <w:szCs w:val="24"/>
        </w:rPr>
        <w:t>DOL</w:t>
      </w:r>
      <w:r w:rsidR="007C7285">
        <w:rPr>
          <w:sz w:val="24"/>
          <w:szCs w:val="24"/>
          <w:lang w:val="en-US"/>
        </w:rPr>
        <w:t>)</w:t>
      </w:r>
      <w:r w:rsidR="003B7354" w:rsidRPr="008B1702">
        <w:rPr>
          <w:sz w:val="24"/>
          <w:szCs w:val="24"/>
        </w:rPr>
        <w:t xml:space="preserve"> anticipates submitting </w:t>
      </w:r>
      <w:r w:rsidR="00767CA1">
        <w:rPr>
          <w:sz w:val="24"/>
          <w:szCs w:val="24"/>
          <w:lang w:val="en-US"/>
        </w:rPr>
        <w:t xml:space="preserve">a </w:t>
      </w:r>
      <w:r w:rsidRPr="008B1702">
        <w:rPr>
          <w:sz w:val="24"/>
          <w:szCs w:val="24"/>
        </w:rPr>
        <w:t xml:space="preserve">future OMB package to request permission to conduct the </w:t>
      </w:r>
      <w:r w:rsidR="00767CA1">
        <w:rPr>
          <w:sz w:val="24"/>
          <w:szCs w:val="24"/>
          <w:lang w:val="en-US"/>
        </w:rPr>
        <w:t>twelfth</w:t>
      </w:r>
      <w:r w:rsidR="003B7354" w:rsidRPr="008B1702">
        <w:rPr>
          <w:sz w:val="24"/>
          <w:szCs w:val="24"/>
        </w:rPr>
        <w:t xml:space="preserve"> component.</w:t>
      </w:r>
      <w:r w:rsidRPr="008B1702">
        <w:rPr>
          <w:sz w:val="24"/>
          <w:szCs w:val="24"/>
        </w:rPr>
        <w:t xml:space="preserve"> </w:t>
      </w:r>
    </w:p>
    <w:p w14:paraId="13BFD55D" w14:textId="77777777" w:rsidR="000B64B2" w:rsidRPr="007F08FB" w:rsidRDefault="00AC073B" w:rsidP="00C55EF8">
      <w:pPr>
        <w:rPr>
          <w:rFonts w:ascii="Times New Roman" w:hAnsi="Times New Roman"/>
          <w:b/>
          <w:szCs w:val="24"/>
        </w:rPr>
      </w:pPr>
      <w:r w:rsidRPr="007F08FB">
        <w:rPr>
          <w:rFonts w:ascii="Times New Roman" w:hAnsi="Times New Roman"/>
          <w:b/>
          <w:szCs w:val="24"/>
        </w:rPr>
        <w:t>A.2</w:t>
      </w:r>
      <w:r w:rsidRPr="007F08FB">
        <w:rPr>
          <w:rFonts w:ascii="Times New Roman" w:hAnsi="Times New Roman"/>
          <w:b/>
          <w:szCs w:val="24"/>
        </w:rPr>
        <w:tab/>
      </w:r>
      <w:r w:rsidR="00806464" w:rsidRPr="007F08FB">
        <w:rPr>
          <w:rFonts w:ascii="Times New Roman" w:hAnsi="Times New Roman"/>
          <w:b/>
          <w:szCs w:val="24"/>
        </w:rPr>
        <w:t>Purpose and Use of the Information</w:t>
      </w:r>
    </w:p>
    <w:p w14:paraId="41690130" w14:textId="77777777" w:rsidR="005E5A9B" w:rsidRPr="00DC23B4" w:rsidRDefault="005E5A9B" w:rsidP="00C55EF8">
      <w:pPr>
        <w:ind w:left="180"/>
        <w:rPr>
          <w:rFonts w:ascii="Times New Roman" w:hAnsi="Times New Roman"/>
          <w:b/>
          <w:szCs w:val="24"/>
        </w:rPr>
      </w:pPr>
    </w:p>
    <w:p w14:paraId="745F7550" w14:textId="22063DFC" w:rsidR="00AC073B" w:rsidRDefault="00BC6AE1" w:rsidP="00C55EF8">
      <w:pPr>
        <w:pStyle w:val="L1-FlLSp12"/>
        <w:tabs>
          <w:tab w:val="left" w:pos="810"/>
        </w:tabs>
        <w:spacing w:line="276" w:lineRule="auto"/>
        <w:rPr>
          <w:rFonts w:ascii="Times New Roman" w:hAnsi="Times New Roman"/>
          <w:szCs w:val="24"/>
        </w:rPr>
      </w:pPr>
      <w:r w:rsidRPr="007F08FB">
        <w:rPr>
          <w:rFonts w:ascii="Times New Roman" w:hAnsi="Times New Roman"/>
          <w:szCs w:val="24"/>
        </w:rPr>
        <w:t xml:space="preserve">This section discusses how information obtained through </w:t>
      </w:r>
      <w:r w:rsidR="00117F33">
        <w:rPr>
          <w:rFonts w:ascii="Times New Roman" w:hAnsi="Times New Roman"/>
          <w:szCs w:val="24"/>
        </w:rPr>
        <w:t xml:space="preserve">the </w:t>
      </w:r>
      <w:r w:rsidR="00406ED3">
        <w:rPr>
          <w:rFonts w:ascii="Times New Roman" w:hAnsi="Times New Roman"/>
          <w:szCs w:val="24"/>
        </w:rPr>
        <w:t>data collect</w:t>
      </w:r>
      <w:r w:rsidR="00DA45C2">
        <w:rPr>
          <w:rFonts w:ascii="Times New Roman" w:hAnsi="Times New Roman"/>
          <w:szCs w:val="24"/>
        </w:rPr>
        <w:t>ion</w:t>
      </w:r>
      <w:r w:rsidR="00406ED3">
        <w:rPr>
          <w:rFonts w:ascii="Times New Roman" w:hAnsi="Times New Roman"/>
          <w:szCs w:val="24"/>
        </w:rPr>
        <w:t xml:space="preserve"> </w:t>
      </w:r>
      <w:r w:rsidRPr="007F08FB">
        <w:rPr>
          <w:rFonts w:ascii="Times New Roman" w:hAnsi="Times New Roman"/>
          <w:szCs w:val="24"/>
        </w:rPr>
        <w:t>will be used to assess how TechHire and SWFI are implemented</w:t>
      </w:r>
      <w:r w:rsidR="00B6507D">
        <w:rPr>
          <w:rFonts w:ascii="Times New Roman" w:hAnsi="Times New Roman"/>
          <w:szCs w:val="24"/>
        </w:rPr>
        <w:t xml:space="preserve"> </w:t>
      </w:r>
      <w:r w:rsidRPr="007F08FB">
        <w:rPr>
          <w:rFonts w:ascii="Times New Roman" w:hAnsi="Times New Roman"/>
          <w:szCs w:val="24"/>
        </w:rPr>
        <w:t xml:space="preserve">and to assess </w:t>
      </w:r>
      <w:r w:rsidR="00AC073B" w:rsidRPr="007F08FB">
        <w:rPr>
          <w:rFonts w:ascii="Times New Roman" w:hAnsi="Times New Roman"/>
          <w:szCs w:val="24"/>
        </w:rPr>
        <w:t>variation in impacts attributable to program characteristics.</w:t>
      </w:r>
      <w:r w:rsidRPr="007F08FB">
        <w:rPr>
          <w:rFonts w:ascii="Times New Roman" w:hAnsi="Times New Roman"/>
          <w:szCs w:val="24"/>
        </w:rPr>
        <w:t xml:space="preserve"> </w:t>
      </w:r>
      <w:r w:rsidR="00906394" w:rsidRPr="007F08FB">
        <w:rPr>
          <w:rFonts w:ascii="Times New Roman" w:hAnsi="Times New Roman"/>
          <w:szCs w:val="24"/>
        </w:rPr>
        <w:t xml:space="preserve">The data collected will be used in the implementation and impact components of the study.  </w:t>
      </w:r>
    </w:p>
    <w:p w14:paraId="0D2466F7" w14:textId="77777777" w:rsidR="00117F33" w:rsidRPr="007F08FB" w:rsidRDefault="00117F33" w:rsidP="00C55EF8">
      <w:pPr>
        <w:pStyle w:val="L1-FlLSp12"/>
        <w:tabs>
          <w:tab w:val="left" w:pos="810"/>
        </w:tabs>
        <w:spacing w:line="276" w:lineRule="auto"/>
        <w:rPr>
          <w:rFonts w:ascii="Times New Roman" w:hAnsi="Times New Roman"/>
          <w:szCs w:val="24"/>
        </w:rPr>
      </w:pPr>
    </w:p>
    <w:p w14:paraId="7F8F0A7D" w14:textId="77777777" w:rsidR="00491052" w:rsidRPr="007F08FB" w:rsidRDefault="00491052" w:rsidP="00C55EF8">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A.2.1 Grantee Survey</w:t>
      </w:r>
    </w:p>
    <w:p w14:paraId="63B67ADA" w14:textId="6213F4E6" w:rsidR="00491052" w:rsidRDefault="00491052" w:rsidP="00C55EF8">
      <w:pPr>
        <w:pStyle w:val="N1-1stBullet"/>
        <w:numPr>
          <w:ilvl w:val="0"/>
          <w:numId w:val="0"/>
        </w:numPr>
        <w:spacing w:line="276" w:lineRule="auto"/>
        <w:rPr>
          <w:rFonts w:ascii="Times New Roman" w:hAnsi="Times New Roman"/>
          <w:szCs w:val="24"/>
        </w:rPr>
      </w:pPr>
      <w:r w:rsidRPr="007F08FB">
        <w:rPr>
          <w:rFonts w:ascii="Times New Roman" w:hAnsi="Times New Roman"/>
          <w:szCs w:val="24"/>
        </w:rPr>
        <w:t>A grantee survey will be administered to all 53 grantees. The</w:t>
      </w:r>
      <w:r w:rsidR="00ED2DD4">
        <w:rPr>
          <w:rFonts w:ascii="Times New Roman" w:hAnsi="Times New Roman"/>
          <w:szCs w:val="24"/>
        </w:rPr>
        <w:t xml:space="preserve"> purpose of the</w:t>
      </w:r>
      <w:r w:rsidRPr="007F08FB">
        <w:rPr>
          <w:rFonts w:ascii="Times New Roman" w:hAnsi="Times New Roman"/>
          <w:szCs w:val="24"/>
        </w:rPr>
        <w:t xml:space="preserve"> grantee survey </w:t>
      </w:r>
      <w:r w:rsidR="00ED2DD4">
        <w:rPr>
          <w:rFonts w:ascii="Times New Roman" w:hAnsi="Times New Roman"/>
          <w:szCs w:val="24"/>
        </w:rPr>
        <w:t xml:space="preserve">is to </w:t>
      </w:r>
      <w:r w:rsidRPr="007F08FB">
        <w:rPr>
          <w:rFonts w:ascii="Times New Roman" w:hAnsi="Times New Roman"/>
          <w:szCs w:val="24"/>
        </w:rPr>
        <w:t>provide uniform data on program organization and processes</w:t>
      </w:r>
      <w:r w:rsidR="00ED2DD4">
        <w:rPr>
          <w:rFonts w:ascii="Times New Roman" w:hAnsi="Times New Roman"/>
          <w:szCs w:val="24"/>
        </w:rPr>
        <w:t xml:space="preserve"> for the implementation study</w:t>
      </w:r>
      <w:r w:rsidRPr="007F08FB">
        <w:rPr>
          <w:rFonts w:ascii="Times New Roman" w:hAnsi="Times New Roman"/>
          <w:szCs w:val="24"/>
        </w:rPr>
        <w:t>. The grantee survey will be the primary source of data on variation in how grantees implement their programs, including information on partnerships, screening and assessment, education and training activities, job development and retention and advancement services, childcare and other supportive services</w:t>
      </w:r>
      <w:r w:rsidR="001B1132">
        <w:rPr>
          <w:rFonts w:ascii="Times New Roman" w:hAnsi="Times New Roman"/>
          <w:szCs w:val="24"/>
        </w:rPr>
        <w:t>, implementation challenges and successes, and lessons learned</w:t>
      </w:r>
      <w:r w:rsidRPr="007F08FB">
        <w:rPr>
          <w:rFonts w:ascii="Times New Roman" w:hAnsi="Times New Roman"/>
          <w:szCs w:val="24"/>
        </w:rPr>
        <w:t xml:space="preserve">. In addition to providing </w:t>
      </w:r>
      <w:r w:rsidR="00B6507D">
        <w:rPr>
          <w:rFonts w:ascii="Times New Roman" w:hAnsi="Times New Roman"/>
          <w:szCs w:val="24"/>
        </w:rPr>
        <w:t xml:space="preserve">descriptive </w:t>
      </w:r>
      <w:r w:rsidRPr="007F08FB">
        <w:rPr>
          <w:rFonts w:ascii="Times New Roman" w:hAnsi="Times New Roman"/>
          <w:szCs w:val="24"/>
        </w:rPr>
        <w:t xml:space="preserve">implementation data, the grantee survey will be a key source of data for both the </w:t>
      </w:r>
      <w:r w:rsidR="003E2C95">
        <w:rPr>
          <w:rFonts w:ascii="Times New Roman" w:hAnsi="Times New Roman"/>
          <w:szCs w:val="24"/>
        </w:rPr>
        <w:t>RCT</w:t>
      </w:r>
      <w:r w:rsidRPr="007F08FB">
        <w:rPr>
          <w:rFonts w:ascii="Times New Roman" w:hAnsi="Times New Roman"/>
          <w:szCs w:val="24"/>
        </w:rPr>
        <w:t xml:space="preserve">. </w:t>
      </w:r>
      <w:r w:rsidR="00B6507D" w:rsidRPr="007F08FB">
        <w:rPr>
          <w:rFonts w:ascii="Times New Roman" w:hAnsi="Times New Roman"/>
          <w:szCs w:val="24"/>
        </w:rPr>
        <w:t xml:space="preserve">The grantee survey will provide information to understand and describe the program interventions in the </w:t>
      </w:r>
      <w:r w:rsidR="00B6507D">
        <w:rPr>
          <w:rFonts w:ascii="Times New Roman" w:hAnsi="Times New Roman"/>
          <w:szCs w:val="24"/>
        </w:rPr>
        <w:t>five</w:t>
      </w:r>
      <w:r w:rsidR="00B6507D" w:rsidRPr="007F08FB">
        <w:rPr>
          <w:rFonts w:ascii="Times New Roman" w:hAnsi="Times New Roman"/>
          <w:szCs w:val="24"/>
        </w:rPr>
        <w:t xml:space="preserve"> RCT sites. </w:t>
      </w:r>
    </w:p>
    <w:p w14:paraId="6A93E259" w14:textId="77777777" w:rsidR="00491052" w:rsidRPr="007F08FB" w:rsidRDefault="00491052" w:rsidP="00C55EF8">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w:t>
      </w:r>
      <w:r>
        <w:rPr>
          <w:rFonts w:ascii="Times New Roman" w:hAnsi="Times New Roman"/>
          <w:b/>
          <w:szCs w:val="24"/>
        </w:rPr>
        <w:t>2</w:t>
      </w:r>
      <w:r w:rsidRPr="007F08FB">
        <w:rPr>
          <w:rFonts w:ascii="Times New Roman" w:hAnsi="Times New Roman"/>
          <w:b/>
          <w:szCs w:val="24"/>
        </w:rPr>
        <w:t xml:space="preserve"> Telephone Interviews with Grantees</w:t>
      </w:r>
    </w:p>
    <w:p w14:paraId="465F526A" w14:textId="08A82B1F" w:rsidR="00491052" w:rsidRPr="007F08FB" w:rsidRDefault="00491052" w:rsidP="00C55EF8">
      <w:pPr>
        <w:pStyle w:val="N2-2ndBullet"/>
        <w:numPr>
          <w:ilvl w:val="0"/>
          <w:numId w:val="0"/>
        </w:numPr>
        <w:spacing w:line="276" w:lineRule="auto"/>
        <w:rPr>
          <w:rFonts w:ascii="Times New Roman" w:hAnsi="Times New Roman"/>
          <w:szCs w:val="24"/>
        </w:rPr>
      </w:pPr>
      <w:r w:rsidRPr="007F08FB">
        <w:rPr>
          <w:rFonts w:ascii="Times New Roman" w:hAnsi="Times New Roman"/>
          <w:szCs w:val="24"/>
        </w:rPr>
        <w:t xml:space="preserve">Semi-structured telephone interviews of the grantees will include one to three staff members to obtain </w:t>
      </w:r>
      <w:r w:rsidR="003E2C95">
        <w:rPr>
          <w:rFonts w:ascii="Times New Roman" w:hAnsi="Times New Roman"/>
          <w:szCs w:val="24"/>
        </w:rPr>
        <w:t xml:space="preserve">more detailed </w:t>
      </w:r>
      <w:r>
        <w:rPr>
          <w:rFonts w:ascii="Times New Roman" w:hAnsi="Times New Roman"/>
          <w:szCs w:val="24"/>
        </w:rPr>
        <w:t xml:space="preserve">information on </w:t>
      </w:r>
      <w:r w:rsidRPr="007F08FB">
        <w:rPr>
          <w:rFonts w:ascii="Times New Roman" w:hAnsi="Times New Roman"/>
          <w:szCs w:val="24"/>
        </w:rPr>
        <w:t xml:space="preserve">implementation activities. Project directors typically oversee grant programs at a high-level, and they will be able to give us insight into a program’s overall strategy, partnerships, and sustainability. The day-to-day operations of TechHire and SWFI programs, however, are usually the responsibility of project managers and </w:t>
      </w:r>
      <w:r w:rsidR="00B6507D">
        <w:rPr>
          <w:rFonts w:ascii="Times New Roman" w:hAnsi="Times New Roman"/>
          <w:szCs w:val="24"/>
        </w:rPr>
        <w:t>other staff members</w:t>
      </w:r>
      <w:r w:rsidRPr="007F08FB">
        <w:rPr>
          <w:rFonts w:ascii="Times New Roman" w:hAnsi="Times New Roman"/>
          <w:szCs w:val="24"/>
        </w:rPr>
        <w:t xml:space="preserve">. The questions asked in the interviews will vary to some degree across grantees, based on how they respond to the grantee survey. The interviews will follow up on issues </w:t>
      </w:r>
      <w:r>
        <w:rPr>
          <w:rFonts w:ascii="Times New Roman" w:hAnsi="Times New Roman"/>
          <w:szCs w:val="24"/>
        </w:rPr>
        <w:t xml:space="preserve">identified from </w:t>
      </w:r>
      <w:r w:rsidRPr="007F08FB">
        <w:rPr>
          <w:rFonts w:ascii="Times New Roman" w:hAnsi="Times New Roman"/>
          <w:szCs w:val="24"/>
        </w:rPr>
        <w:t xml:space="preserve">the grantee survey. </w:t>
      </w:r>
    </w:p>
    <w:p w14:paraId="51E97D6E" w14:textId="77777777" w:rsidR="00491052" w:rsidRPr="007F08FB" w:rsidRDefault="00491052" w:rsidP="00C55EF8">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w:t>
      </w:r>
      <w:r>
        <w:rPr>
          <w:rFonts w:ascii="Times New Roman" w:hAnsi="Times New Roman"/>
          <w:b/>
          <w:szCs w:val="24"/>
        </w:rPr>
        <w:t>3</w:t>
      </w:r>
      <w:r w:rsidRPr="007F08FB">
        <w:rPr>
          <w:rFonts w:ascii="Times New Roman" w:hAnsi="Times New Roman"/>
          <w:b/>
          <w:szCs w:val="24"/>
        </w:rPr>
        <w:t xml:space="preserve"> Partner Information Template</w:t>
      </w:r>
    </w:p>
    <w:p w14:paraId="057DC566" w14:textId="13B0B3EE" w:rsidR="00491052" w:rsidRPr="007F08FB" w:rsidRDefault="00491052" w:rsidP="00C55EF8">
      <w:pPr>
        <w:pStyle w:val="N1-1stBullet"/>
        <w:numPr>
          <w:ilvl w:val="0"/>
          <w:numId w:val="0"/>
        </w:numPr>
        <w:spacing w:line="276" w:lineRule="auto"/>
        <w:rPr>
          <w:rFonts w:ascii="Times New Roman" w:hAnsi="Times New Roman"/>
          <w:szCs w:val="24"/>
        </w:rPr>
      </w:pPr>
      <w:r w:rsidRPr="007F08FB">
        <w:rPr>
          <w:rFonts w:ascii="Times New Roman" w:hAnsi="Times New Roman"/>
          <w:szCs w:val="24"/>
        </w:rPr>
        <w:t>Fielding of the partner survey will be preceded by a template that will be used to collection information from grantees to assemble the sampling frame. The study team reviewed grantee proposals and identified organizations listed as partners of grantees. Approximately 1,200 partners were identified. The average number of partners per grantee was 23, with a low of 7 and a high of 53. The study team will ask grantees to review and update the list, as well as to provide current contact information and involvement level (not involved, low, medium, and high) of each partner.</w:t>
      </w:r>
    </w:p>
    <w:p w14:paraId="450A84C4" w14:textId="77777777" w:rsidR="00491052" w:rsidRPr="007F08FB" w:rsidRDefault="00491052" w:rsidP="00C55EF8">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w:t>
      </w:r>
      <w:r>
        <w:rPr>
          <w:rFonts w:ascii="Times New Roman" w:hAnsi="Times New Roman"/>
          <w:b/>
          <w:szCs w:val="24"/>
        </w:rPr>
        <w:t>4</w:t>
      </w:r>
      <w:r w:rsidRPr="007F08FB">
        <w:rPr>
          <w:rFonts w:ascii="Times New Roman" w:hAnsi="Times New Roman"/>
          <w:b/>
          <w:szCs w:val="24"/>
        </w:rPr>
        <w:t xml:space="preserve"> Partner Survey</w:t>
      </w:r>
    </w:p>
    <w:p w14:paraId="3F941B36" w14:textId="3E2CE9E0" w:rsidR="00491052" w:rsidRPr="007F08FB" w:rsidRDefault="00491052" w:rsidP="00C55EF8">
      <w:pPr>
        <w:pStyle w:val="N1-1stBullet"/>
        <w:numPr>
          <w:ilvl w:val="0"/>
          <w:numId w:val="0"/>
        </w:numPr>
        <w:spacing w:line="276" w:lineRule="auto"/>
        <w:rPr>
          <w:rFonts w:ascii="Times New Roman" w:hAnsi="Times New Roman"/>
          <w:szCs w:val="24"/>
        </w:rPr>
      </w:pPr>
      <w:r w:rsidRPr="007F08FB">
        <w:rPr>
          <w:rFonts w:ascii="Times New Roman" w:hAnsi="Times New Roman"/>
          <w:szCs w:val="24"/>
        </w:rPr>
        <w:t>TechHire grantees must be part of a primary partnership that includes members of the workforce investment system, education and training providers, and business-related organizations. Grantees are also required to have at least three employer partners or an industry association. Partnership requirements for SWFI are similar with the additional requirement of a partner that administers or funds child</w:t>
      </w:r>
      <w:r w:rsidR="00B6507D">
        <w:rPr>
          <w:rFonts w:ascii="Times New Roman" w:hAnsi="Times New Roman"/>
          <w:szCs w:val="24"/>
        </w:rPr>
        <w:t xml:space="preserve"> </w:t>
      </w:r>
      <w:r w:rsidRPr="007F08FB">
        <w:rPr>
          <w:rFonts w:ascii="Times New Roman" w:hAnsi="Times New Roman"/>
          <w:szCs w:val="24"/>
        </w:rPr>
        <w:t>care services. In addition to required partners, most grantees have included optional partners in their applications. Grantee partners are critical to the success of T</w:t>
      </w:r>
      <w:r w:rsidR="00B53E48">
        <w:rPr>
          <w:rFonts w:ascii="Times New Roman" w:hAnsi="Times New Roman"/>
          <w:szCs w:val="24"/>
        </w:rPr>
        <w:t>ech</w:t>
      </w:r>
      <w:r w:rsidRPr="007F08FB">
        <w:rPr>
          <w:rFonts w:ascii="Times New Roman" w:hAnsi="Times New Roman"/>
          <w:szCs w:val="24"/>
        </w:rPr>
        <w:t>H</w:t>
      </w:r>
      <w:r w:rsidR="00B53E48">
        <w:rPr>
          <w:rFonts w:ascii="Times New Roman" w:hAnsi="Times New Roman"/>
          <w:szCs w:val="24"/>
        </w:rPr>
        <w:t>ire</w:t>
      </w:r>
      <w:r w:rsidRPr="007F08FB">
        <w:rPr>
          <w:rFonts w:ascii="Times New Roman" w:hAnsi="Times New Roman"/>
          <w:szCs w:val="24"/>
        </w:rPr>
        <w:t xml:space="preserve"> and SWFI grantees. The survey will be administered to all grantee partners.</w:t>
      </w:r>
    </w:p>
    <w:p w14:paraId="2FE4AF73" w14:textId="3690B156" w:rsidR="00491052" w:rsidRPr="007F08FB" w:rsidRDefault="00491052" w:rsidP="00C55EF8">
      <w:pPr>
        <w:pStyle w:val="N1-1stBullet"/>
        <w:numPr>
          <w:ilvl w:val="0"/>
          <w:numId w:val="0"/>
        </w:numPr>
        <w:spacing w:after="0" w:line="276" w:lineRule="auto"/>
        <w:rPr>
          <w:rFonts w:ascii="Times New Roman" w:hAnsi="Times New Roman"/>
          <w:b/>
          <w:szCs w:val="24"/>
        </w:rPr>
      </w:pPr>
      <w:r w:rsidRPr="007F08FB">
        <w:rPr>
          <w:rFonts w:ascii="Times New Roman" w:hAnsi="Times New Roman"/>
          <w:szCs w:val="24"/>
        </w:rPr>
        <w:t xml:space="preserve">The partner survey will explore the role that partners have in the TechHire and SWFI programs, and their satisfaction with the program and participants. It will collect information about partners’ perspectives on the partnership with the grantee, partner roles, sustainability, and employability and performance of program participants. </w:t>
      </w:r>
      <w:r w:rsidR="00B6507D">
        <w:rPr>
          <w:rFonts w:ascii="Times New Roman" w:hAnsi="Times New Roman"/>
          <w:szCs w:val="24"/>
        </w:rPr>
        <w:t xml:space="preserve">Data collected from the partner survey will be used for descriptive implementation analysis. </w:t>
      </w:r>
      <w:r w:rsidRPr="007F08FB">
        <w:rPr>
          <w:rFonts w:ascii="Times New Roman" w:hAnsi="Times New Roman"/>
          <w:szCs w:val="24"/>
        </w:rPr>
        <w:t xml:space="preserve">In addition, the partner survey data will be used to understand program implementation in the </w:t>
      </w:r>
      <w:r w:rsidR="003E2C95">
        <w:rPr>
          <w:rFonts w:ascii="Times New Roman" w:hAnsi="Times New Roman"/>
          <w:szCs w:val="24"/>
        </w:rPr>
        <w:t>five</w:t>
      </w:r>
      <w:r w:rsidR="003E2C95" w:rsidRPr="007F08FB">
        <w:rPr>
          <w:rFonts w:ascii="Times New Roman" w:hAnsi="Times New Roman"/>
          <w:szCs w:val="24"/>
        </w:rPr>
        <w:t xml:space="preserve"> </w:t>
      </w:r>
      <w:r w:rsidRPr="007F08FB">
        <w:rPr>
          <w:rFonts w:ascii="Times New Roman" w:hAnsi="Times New Roman"/>
          <w:szCs w:val="24"/>
        </w:rPr>
        <w:t xml:space="preserve">RCT sites. </w:t>
      </w:r>
    </w:p>
    <w:p w14:paraId="732B9788" w14:textId="77777777" w:rsidR="00491052" w:rsidRPr="007F08FB" w:rsidRDefault="00491052" w:rsidP="00C55EF8">
      <w:pPr>
        <w:pStyle w:val="N1-1stBullet"/>
        <w:numPr>
          <w:ilvl w:val="0"/>
          <w:numId w:val="0"/>
        </w:numPr>
        <w:spacing w:after="0" w:line="276" w:lineRule="auto"/>
        <w:rPr>
          <w:rFonts w:ascii="Times New Roman" w:hAnsi="Times New Roman"/>
          <w:szCs w:val="24"/>
        </w:rPr>
      </w:pPr>
    </w:p>
    <w:p w14:paraId="6A61248E" w14:textId="77777777" w:rsidR="00491052" w:rsidRPr="007F08FB" w:rsidRDefault="00491052" w:rsidP="00C55EF8">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A.2.5 Telephone Interviews with Partners</w:t>
      </w:r>
    </w:p>
    <w:p w14:paraId="36AE7A5C" w14:textId="590EA882" w:rsidR="00DE7BD8" w:rsidRDefault="00491052" w:rsidP="00C55EF8">
      <w:pPr>
        <w:pStyle w:val="N1-1stBullet"/>
        <w:numPr>
          <w:ilvl w:val="0"/>
          <w:numId w:val="0"/>
        </w:numPr>
        <w:spacing w:line="276" w:lineRule="auto"/>
        <w:rPr>
          <w:rFonts w:ascii="Times New Roman" w:hAnsi="Times New Roman"/>
          <w:szCs w:val="24"/>
        </w:rPr>
      </w:pPr>
      <w:r w:rsidRPr="007F08FB">
        <w:rPr>
          <w:rFonts w:ascii="Times New Roman" w:hAnsi="Times New Roman"/>
          <w:szCs w:val="24"/>
        </w:rPr>
        <w:t>Semi-structured telephone interviews will be conducted with</w:t>
      </w:r>
      <w:r>
        <w:rPr>
          <w:rFonts w:ascii="Times New Roman" w:hAnsi="Times New Roman"/>
          <w:szCs w:val="24"/>
        </w:rPr>
        <w:t xml:space="preserve"> partners f</w:t>
      </w:r>
      <w:r w:rsidR="000C4B99">
        <w:rPr>
          <w:rFonts w:ascii="Times New Roman" w:hAnsi="Times New Roman"/>
          <w:szCs w:val="24"/>
        </w:rPr>
        <w:t>ro</w:t>
      </w:r>
      <w:r>
        <w:rPr>
          <w:rFonts w:ascii="Times New Roman" w:hAnsi="Times New Roman"/>
          <w:szCs w:val="24"/>
        </w:rPr>
        <w:t>m a subset of TechHire and SWFI grantees</w:t>
      </w:r>
      <w:r w:rsidRPr="007F08FB">
        <w:rPr>
          <w:rFonts w:ascii="Times New Roman" w:hAnsi="Times New Roman"/>
          <w:szCs w:val="24"/>
        </w:rPr>
        <w:t>. These interviews will explore how partnerships were either built or expanded; how different categories of grant activities were coordinated across partners; and what worked well (or not) during implementation.</w:t>
      </w:r>
    </w:p>
    <w:p w14:paraId="2123D26F" w14:textId="7A57172E" w:rsidR="00DE7BD8" w:rsidRPr="007F08FB" w:rsidRDefault="00DE7BD8" w:rsidP="00DE7BD8">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w:t>
      </w:r>
      <w:r>
        <w:rPr>
          <w:rFonts w:ascii="Times New Roman" w:hAnsi="Times New Roman"/>
          <w:b/>
          <w:szCs w:val="24"/>
        </w:rPr>
        <w:t>5</w:t>
      </w:r>
      <w:r w:rsidRPr="007F08FB">
        <w:rPr>
          <w:rFonts w:ascii="Times New Roman" w:hAnsi="Times New Roman"/>
          <w:b/>
          <w:szCs w:val="24"/>
        </w:rPr>
        <w:t xml:space="preserve"> </w:t>
      </w:r>
      <w:r>
        <w:rPr>
          <w:rFonts w:ascii="Times New Roman" w:hAnsi="Times New Roman"/>
          <w:b/>
          <w:szCs w:val="24"/>
        </w:rPr>
        <w:t xml:space="preserve">Second Round of </w:t>
      </w:r>
      <w:r w:rsidRPr="007F08FB">
        <w:rPr>
          <w:rFonts w:ascii="Times New Roman" w:hAnsi="Times New Roman"/>
          <w:b/>
          <w:szCs w:val="24"/>
        </w:rPr>
        <w:t xml:space="preserve">Site Visits (Interviews with </w:t>
      </w:r>
      <w:r>
        <w:rPr>
          <w:rFonts w:ascii="Times New Roman" w:hAnsi="Times New Roman"/>
          <w:b/>
          <w:szCs w:val="24"/>
        </w:rPr>
        <w:t>Grantee</w:t>
      </w:r>
      <w:r w:rsidRPr="007F08FB">
        <w:rPr>
          <w:rFonts w:ascii="Times New Roman" w:hAnsi="Times New Roman"/>
          <w:b/>
          <w:szCs w:val="24"/>
        </w:rPr>
        <w:t xml:space="preserve"> Staff, Partners)</w:t>
      </w:r>
      <w:r w:rsidRPr="007F08FB">
        <w:rPr>
          <w:rFonts w:ascii="Times New Roman" w:hAnsi="Times New Roman"/>
          <w:szCs w:val="24"/>
        </w:rPr>
        <w:t xml:space="preserve">  </w:t>
      </w:r>
    </w:p>
    <w:p w14:paraId="75C66BA6" w14:textId="6B1FB64E" w:rsidR="00E03044" w:rsidRPr="00C50E4C" w:rsidRDefault="00120EB5" w:rsidP="00DE7BD8">
      <w:pPr>
        <w:pStyle w:val="N1-1stBullet"/>
        <w:numPr>
          <w:ilvl w:val="0"/>
          <w:numId w:val="0"/>
        </w:numPr>
        <w:spacing w:after="0" w:line="276" w:lineRule="auto"/>
        <w:rPr>
          <w:rFonts w:ascii="Times New Roman" w:hAnsi="Times New Roman"/>
          <w:szCs w:val="24"/>
        </w:rPr>
      </w:pPr>
      <w:r w:rsidRPr="00C50E4C">
        <w:rPr>
          <w:rFonts w:ascii="Times New Roman" w:hAnsi="Times New Roman"/>
          <w:szCs w:val="24"/>
        </w:rPr>
        <w:t>A second round of s</w:t>
      </w:r>
      <w:r w:rsidR="00DE7BD8" w:rsidRPr="00C50E4C">
        <w:rPr>
          <w:rFonts w:ascii="Times New Roman" w:hAnsi="Times New Roman"/>
          <w:szCs w:val="24"/>
        </w:rPr>
        <w:t xml:space="preserve">ites visits will be conducted in the </w:t>
      </w:r>
      <w:r w:rsidR="00EA025C" w:rsidRPr="00C50E4C">
        <w:rPr>
          <w:rFonts w:ascii="Times New Roman" w:hAnsi="Times New Roman"/>
          <w:szCs w:val="24"/>
        </w:rPr>
        <w:t>five</w:t>
      </w:r>
      <w:r w:rsidR="00DE7BD8" w:rsidRPr="00C50E4C">
        <w:rPr>
          <w:rFonts w:ascii="Times New Roman" w:hAnsi="Times New Roman"/>
          <w:szCs w:val="24"/>
        </w:rPr>
        <w:t xml:space="preserve"> RCT sites. </w:t>
      </w:r>
      <w:r w:rsidRPr="00C50E4C">
        <w:rPr>
          <w:rFonts w:ascii="Times New Roman" w:hAnsi="Times New Roman"/>
          <w:szCs w:val="24"/>
        </w:rPr>
        <w:t xml:space="preserve">The purpose of the second round of site visits is to provide more detailed information on program implementation </w:t>
      </w:r>
      <w:r w:rsidR="00E03044">
        <w:rPr>
          <w:rFonts w:ascii="Times New Roman" w:hAnsi="Times New Roman"/>
          <w:szCs w:val="24"/>
        </w:rPr>
        <w:t>during the latter part of random assignment, when the programs are more mature</w:t>
      </w:r>
      <w:r w:rsidRPr="00C50E4C">
        <w:rPr>
          <w:rFonts w:ascii="Times New Roman" w:hAnsi="Times New Roman"/>
          <w:szCs w:val="24"/>
        </w:rPr>
        <w:t>.</w:t>
      </w:r>
      <w:r w:rsidR="00DE7BD8" w:rsidRPr="00C50E4C">
        <w:rPr>
          <w:rFonts w:ascii="Times New Roman" w:hAnsi="Times New Roman"/>
          <w:szCs w:val="24"/>
        </w:rPr>
        <w:t xml:space="preserve"> Each visit will be 2-3 days in length, and will include </w:t>
      </w:r>
      <w:r w:rsidR="00E03044">
        <w:rPr>
          <w:rFonts w:ascii="Times New Roman" w:hAnsi="Times New Roman"/>
          <w:szCs w:val="24"/>
        </w:rPr>
        <w:t>one</w:t>
      </w:r>
      <w:r w:rsidR="00B53E48">
        <w:rPr>
          <w:rFonts w:ascii="Times New Roman" w:hAnsi="Times New Roman"/>
          <w:szCs w:val="24"/>
        </w:rPr>
        <w:t>-</w:t>
      </w:r>
      <w:r w:rsidR="00DE7BD8" w:rsidRPr="00C50E4C">
        <w:rPr>
          <w:rFonts w:ascii="Times New Roman" w:hAnsi="Times New Roman"/>
          <w:szCs w:val="24"/>
        </w:rPr>
        <w:t xml:space="preserve">hour interviews with </w:t>
      </w:r>
      <w:r w:rsidR="00E03044">
        <w:rPr>
          <w:rFonts w:ascii="Times New Roman" w:hAnsi="Times New Roman"/>
          <w:szCs w:val="24"/>
        </w:rPr>
        <w:t xml:space="preserve">grantee and partner </w:t>
      </w:r>
      <w:r w:rsidR="00DE7BD8" w:rsidRPr="00C50E4C">
        <w:rPr>
          <w:rFonts w:ascii="Times New Roman" w:hAnsi="Times New Roman"/>
          <w:szCs w:val="24"/>
        </w:rPr>
        <w:t xml:space="preserve">staff and observations of program operations. </w:t>
      </w:r>
      <w:r w:rsidR="00E03044">
        <w:rPr>
          <w:rFonts w:ascii="Times New Roman" w:hAnsi="Times New Roman"/>
          <w:szCs w:val="24"/>
        </w:rPr>
        <w:t xml:space="preserve">The site visit interviews will use a modular interview guide in which respondents will be asked questions based on their knowledge and roles. </w:t>
      </w:r>
      <w:r w:rsidR="00DE7BD8" w:rsidRPr="00C50E4C">
        <w:rPr>
          <w:rFonts w:ascii="Times New Roman" w:hAnsi="Times New Roman"/>
          <w:szCs w:val="24"/>
        </w:rPr>
        <w:t xml:space="preserve">Combining the site visit data with all other data collected about the sites’ programs will permit an analysis of </w:t>
      </w:r>
      <w:r w:rsidR="00DE7BD8" w:rsidRPr="00C50E4C">
        <w:rPr>
          <w:rFonts w:ascii="Times New Roman" w:hAnsi="Times New Roman"/>
          <w:i/>
          <w:szCs w:val="24"/>
        </w:rPr>
        <w:t>why</w:t>
      </w:r>
      <w:r w:rsidR="00DE7BD8" w:rsidRPr="00C50E4C">
        <w:rPr>
          <w:rFonts w:ascii="Times New Roman" w:hAnsi="Times New Roman"/>
          <w:szCs w:val="24"/>
        </w:rPr>
        <w:t xml:space="preserve"> impacts may or may not occur for particular RCT sites. The visits will provide more nuanced information about implementation challenges encountered, and lessons learned about implementation and operations.  </w:t>
      </w:r>
    </w:p>
    <w:p w14:paraId="52135205" w14:textId="77777777" w:rsidR="00DE7BD8" w:rsidRPr="007F08FB" w:rsidRDefault="00DE7BD8" w:rsidP="00C50E4C">
      <w:pPr>
        <w:pStyle w:val="N1-1stBullet"/>
        <w:numPr>
          <w:ilvl w:val="0"/>
          <w:numId w:val="0"/>
        </w:numPr>
        <w:spacing w:after="0" w:line="276" w:lineRule="auto"/>
        <w:rPr>
          <w:rFonts w:ascii="Times New Roman" w:hAnsi="Times New Roman"/>
          <w:szCs w:val="24"/>
        </w:rPr>
      </w:pPr>
    </w:p>
    <w:p w14:paraId="1F615854" w14:textId="77777777" w:rsidR="00806464" w:rsidRPr="007F08FB" w:rsidRDefault="0047275B" w:rsidP="00C55EF8">
      <w:pPr>
        <w:rPr>
          <w:rFonts w:ascii="Times New Roman" w:hAnsi="Times New Roman"/>
          <w:b/>
          <w:szCs w:val="24"/>
        </w:rPr>
      </w:pPr>
      <w:r w:rsidRPr="007F08FB">
        <w:rPr>
          <w:rFonts w:ascii="Times New Roman" w:hAnsi="Times New Roman"/>
          <w:b/>
          <w:szCs w:val="24"/>
        </w:rPr>
        <w:t>A</w:t>
      </w:r>
      <w:r w:rsidR="00D8310F" w:rsidRPr="007F08FB">
        <w:rPr>
          <w:rFonts w:ascii="Times New Roman" w:hAnsi="Times New Roman"/>
          <w:b/>
          <w:szCs w:val="24"/>
        </w:rPr>
        <w:t>.</w:t>
      </w:r>
      <w:r w:rsidRPr="007F08FB">
        <w:rPr>
          <w:rFonts w:ascii="Times New Roman" w:hAnsi="Times New Roman"/>
          <w:b/>
          <w:szCs w:val="24"/>
        </w:rPr>
        <w:t>3</w:t>
      </w:r>
      <w:r w:rsidRPr="007F08FB">
        <w:rPr>
          <w:rFonts w:ascii="Times New Roman" w:hAnsi="Times New Roman"/>
          <w:b/>
          <w:szCs w:val="24"/>
        </w:rPr>
        <w:tab/>
      </w:r>
      <w:r w:rsidR="00597D0F" w:rsidRPr="007F08FB">
        <w:rPr>
          <w:rFonts w:ascii="Times New Roman" w:hAnsi="Times New Roman"/>
          <w:b/>
          <w:szCs w:val="24"/>
        </w:rPr>
        <w:t xml:space="preserve">Use of </w:t>
      </w:r>
      <w:r w:rsidR="00DD4E43" w:rsidRPr="007F08FB">
        <w:rPr>
          <w:rFonts w:ascii="Times New Roman" w:hAnsi="Times New Roman"/>
          <w:b/>
          <w:szCs w:val="24"/>
        </w:rPr>
        <w:t>Infor</w:t>
      </w:r>
      <w:r w:rsidR="00597D0F" w:rsidRPr="007F08FB">
        <w:rPr>
          <w:rFonts w:ascii="Times New Roman" w:hAnsi="Times New Roman"/>
          <w:b/>
          <w:szCs w:val="24"/>
        </w:rPr>
        <w:t>mation Technology</w:t>
      </w:r>
    </w:p>
    <w:p w14:paraId="74865ACA" w14:textId="77777777" w:rsidR="00AA477F" w:rsidRPr="00DC23B4" w:rsidRDefault="00AA477F" w:rsidP="00C55EF8">
      <w:pPr>
        <w:rPr>
          <w:rFonts w:ascii="Times New Roman" w:hAnsi="Times New Roman"/>
          <w:spacing w:val="-3"/>
          <w:szCs w:val="24"/>
        </w:rPr>
      </w:pPr>
    </w:p>
    <w:p w14:paraId="422F6564" w14:textId="0127D044" w:rsidR="000A0AB1" w:rsidRDefault="00FC7C78" w:rsidP="00C55EF8">
      <w:pPr>
        <w:spacing w:line="276" w:lineRule="auto"/>
        <w:rPr>
          <w:rFonts w:ascii="Times New Roman" w:hAnsi="Times New Roman"/>
          <w:szCs w:val="24"/>
        </w:rPr>
      </w:pPr>
      <w:r>
        <w:rPr>
          <w:rFonts w:ascii="Times New Roman" w:hAnsi="Times New Roman"/>
          <w:szCs w:val="24"/>
        </w:rPr>
        <w:t>The grantee and partner surveys will be administered as web surveys.</w:t>
      </w:r>
      <w:r w:rsidR="000A0AB1">
        <w:rPr>
          <w:rFonts w:ascii="Times New Roman" w:hAnsi="Times New Roman"/>
          <w:szCs w:val="24"/>
        </w:rPr>
        <w:t xml:space="preserve"> DOL anticipates that </w:t>
      </w:r>
      <w:r>
        <w:rPr>
          <w:rFonts w:ascii="Times New Roman" w:hAnsi="Times New Roman"/>
          <w:szCs w:val="24"/>
        </w:rPr>
        <w:t xml:space="preserve">web </w:t>
      </w:r>
      <w:r w:rsidR="000A0AB1">
        <w:rPr>
          <w:rFonts w:ascii="Times New Roman" w:hAnsi="Times New Roman"/>
          <w:szCs w:val="24"/>
        </w:rPr>
        <w:t>survey</w:t>
      </w:r>
      <w:r w:rsidR="00CF1630">
        <w:rPr>
          <w:rFonts w:ascii="Times New Roman" w:hAnsi="Times New Roman"/>
          <w:szCs w:val="24"/>
        </w:rPr>
        <w:t>s</w:t>
      </w:r>
      <w:r w:rsidR="000A0AB1">
        <w:rPr>
          <w:rFonts w:ascii="Times New Roman" w:hAnsi="Times New Roman"/>
          <w:szCs w:val="24"/>
        </w:rPr>
        <w:t xml:space="preserve"> will be less burdensome, as </w:t>
      </w:r>
      <w:r w:rsidR="00CF1630">
        <w:rPr>
          <w:rFonts w:ascii="Times New Roman" w:hAnsi="Times New Roman"/>
          <w:szCs w:val="24"/>
        </w:rPr>
        <w:t>they</w:t>
      </w:r>
      <w:r w:rsidR="000A0AB1">
        <w:rPr>
          <w:rFonts w:ascii="Times New Roman" w:hAnsi="Times New Roman"/>
          <w:szCs w:val="24"/>
        </w:rPr>
        <w:t xml:space="preserve"> will offer easy access and submission, while also allowing respondents to complete the survey at a time convenient to them and at their own pace. </w:t>
      </w:r>
      <w:r w:rsidR="00957166">
        <w:rPr>
          <w:rFonts w:ascii="Times New Roman" w:hAnsi="Times New Roman"/>
          <w:szCs w:val="24"/>
        </w:rPr>
        <w:t>A web</w:t>
      </w:r>
      <w:r w:rsidR="000A0AB1">
        <w:rPr>
          <w:rFonts w:ascii="Times New Roman" w:hAnsi="Times New Roman"/>
          <w:szCs w:val="24"/>
        </w:rPr>
        <w:t xml:space="preserve"> survey has the additional advantages of reducing the potential for errors by checking for logical consistency across answers, accepting only valid responses and enforcing automated skip patterns. Respondents will be provided the URL and a unique PIN to access </w:t>
      </w:r>
      <w:r w:rsidR="000A0AB1" w:rsidRPr="00116562">
        <w:rPr>
          <w:rFonts w:ascii="Times New Roman" w:hAnsi="Times New Roman"/>
          <w:szCs w:val="24"/>
        </w:rPr>
        <w:t xml:space="preserve">the survey. </w:t>
      </w:r>
      <w:r w:rsidR="00116562" w:rsidRPr="00C55EF8">
        <w:rPr>
          <w:rFonts w:ascii="Times New Roman" w:hAnsi="Times New Roman"/>
        </w:rPr>
        <w:t xml:space="preserve">To reduce burden, the web surveys will use drop-down menus so that respondents can quickly select answers from a list and employ automated skip patterns so respondents are only shown those questions that apply to them. </w:t>
      </w:r>
      <w:r w:rsidR="000A0AB1" w:rsidRPr="00116562">
        <w:rPr>
          <w:rFonts w:ascii="Times New Roman" w:hAnsi="Times New Roman"/>
          <w:szCs w:val="24"/>
        </w:rPr>
        <w:t>To increase the response rates, automated weekly email reminders will be sent to all non-respondents.</w:t>
      </w:r>
      <w:r w:rsidR="000A0AB1">
        <w:rPr>
          <w:rFonts w:ascii="Times New Roman" w:hAnsi="Times New Roman"/>
          <w:szCs w:val="24"/>
        </w:rPr>
        <w:t xml:space="preserve"> </w:t>
      </w:r>
    </w:p>
    <w:p w14:paraId="2F51794F" w14:textId="77777777" w:rsidR="000A0AB1" w:rsidRDefault="000A0AB1" w:rsidP="00C55EF8">
      <w:pPr>
        <w:spacing w:line="276" w:lineRule="auto"/>
        <w:rPr>
          <w:rFonts w:ascii="Times New Roman" w:hAnsi="Times New Roman"/>
          <w:szCs w:val="24"/>
        </w:rPr>
      </w:pPr>
    </w:p>
    <w:p w14:paraId="63A78637" w14:textId="57594000" w:rsidR="000A0AB1" w:rsidRDefault="000A0AB1" w:rsidP="00C55EF8">
      <w:pPr>
        <w:spacing w:line="276" w:lineRule="auto"/>
        <w:rPr>
          <w:rFonts w:ascii="Times New Roman" w:hAnsi="Times New Roman"/>
          <w:szCs w:val="24"/>
        </w:rPr>
      </w:pPr>
      <w:r w:rsidRPr="00994610">
        <w:rPr>
          <w:rFonts w:ascii="Times New Roman" w:hAnsi="Times New Roman"/>
          <w:szCs w:val="24"/>
        </w:rPr>
        <w:t xml:space="preserve">The </w:t>
      </w:r>
      <w:r w:rsidR="00957166">
        <w:rPr>
          <w:rFonts w:ascii="Times New Roman" w:hAnsi="Times New Roman"/>
          <w:szCs w:val="24"/>
        </w:rPr>
        <w:t xml:space="preserve">telephone </w:t>
      </w:r>
      <w:r w:rsidRPr="00994610">
        <w:rPr>
          <w:rFonts w:ascii="Times New Roman" w:hAnsi="Times New Roman"/>
          <w:szCs w:val="24"/>
        </w:rPr>
        <w:t xml:space="preserve">interviews with </w:t>
      </w:r>
      <w:r>
        <w:rPr>
          <w:rFonts w:ascii="Times New Roman" w:hAnsi="Times New Roman"/>
          <w:szCs w:val="24"/>
        </w:rPr>
        <w:t xml:space="preserve">grantees and partners </w:t>
      </w:r>
      <w:r w:rsidRPr="00994610">
        <w:rPr>
          <w:rFonts w:ascii="Times New Roman" w:hAnsi="Times New Roman"/>
          <w:szCs w:val="24"/>
        </w:rPr>
        <w:t>will be semi-structured</w:t>
      </w:r>
      <w:r>
        <w:rPr>
          <w:rFonts w:ascii="Times New Roman" w:hAnsi="Times New Roman"/>
          <w:szCs w:val="24"/>
        </w:rPr>
        <w:t xml:space="preserve"> interviews.</w:t>
      </w:r>
      <w:r w:rsidRPr="00994610">
        <w:rPr>
          <w:rFonts w:ascii="Times New Roman" w:hAnsi="Times New Roman"/>
          <w:szCs w:val="24"/>
        </w:rPr>
        <w:t xml:space="preserve"> </w:t>
      </w:r>
      <w:r w:rsidR="00957166">
        <w:rPr>
          <w:rFonts w:ascii="Times New Roman" w:hAnsi="Times New Roman"/>
          <w:szCs w:val="24"/>
        </w:rPr>
        <w:t>The interviewers</w:t>
      </w:r>
      <w:r>
        <w:rPr>
          <w:rFonts w:ascii="Times New Roman" w:hAnsi="Times New Roman"/>
          <w:szCs w:val="24"/>
        </w:rPr>
        <w:t xml:space="preserve"> w</w:t>
      </w:r>
      <w:r w:rsidRPr="00994610">
        <w:rPr>
          <w:rFonts w:ascii="Times New Roman" w:hAnsi="Times New Roman"/>
          <w:szCs w:val="24"/>
        </w:rPr>
        <w:t>ill take notes during the interviews and</w:t>
      </w:r>
      <w:r>
        <w:rPr>
          <w:rFonts w:ascii="Times New Roman" w:hAnsi="Times New Roman"/>
          <w:szCs w:val="24"/>
        </w:rPr>
        <w:t xml:space="preserve"> record them</w:t>
      </w:r>
      <w:r w:rsidRPr="00994610">
        <w:rPr>
          <w:rFonts w:ascii="Times New Roman" w:hAnsi="Times New Roman"/>
          <w:szCs w:val="24"/>
        </w:rPr>
        <w:t xml:space="preserve">, subject to approval of each respondent. The recording of interviews reduces the burden of needing to contact respondents after the interview to review accuracy of the notes. </w:t>
      </w:r>
    </w:p>
    <w:p w14:paraId="4E466763" w14:textId="77777777" w:rsidR="00DF5976" w:rsidRPr="00DC23B4" w:rsidRDefault="00DF5976" w:rsidP="00C55EF8">
      <w:pPr>
        <w:spacing w:line="276" w:lineRule="auto"/>
        <w:rPr>
          <w:rFonts w:ascii="Times New Roman" w:hAnsi="Times New Roman"/>
          <w:szCs w:val="24"/>
        </w:rPr>
      </w:pPr>
    </w:p>
    <w:p w14:paraId="7DF9248B" w14:textId="77777777" w:rsidR="00597D0F" w:rsidRPr="00DC23B4" w:rsidRDefault="0047275B" w:rsidP="00C55EF8">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4</w:t>
      </w:r>
      <w:r w:rsidRPr="007F08FB">
        <w:rPr>
          <w:rFonts w:ascii="Times New Roman" w:hAnsi="Times New Roman"/>
          <w:b/>
          <w:szCs w:val="24"/>
        </w:rPr>
        <w:tab/>
      </w:r>
      <w:r w:rsidR="00DD4E43" w:rsidRPr="007F08FB">
        <w:rPr>
          <w:rFonts w:ascii="Times New Roman" w:hAnsi="Times New Roman"/>
          <w:b/>
          <w:szCs w:val="24"/>
        </w:rPr>
        <w:t>Identification of Duplication of Information Collection Efforts</w:t>
      </w:r>
    </w:p>
    <w:p w14:paraId="59FBD1B2" w14:textId="77777777" w:rsidR="00812DC8" w:rsidRPr="007F08FB" w:rsidRDefault="00812DC8" w:rsidP="00C55EF8">
      <w:pPr>
        <w:rPr>
          <w:rFonts w:ascii="Times New Roman" w:hAnsi="Times New Roman"/>
          <w:b/>
          <w:szCs w:val="24"/>
        </w:rPr>
      </w:pPr>
    </w:p>
    <w:p w14:paraId="747D9A70" w14:textId="10AB421B" w:rsidR="00F41E6B" w:rsidRPr="00DC23B4" w:rsidRDefault="00AA477F" w:rsidP="00C55EF8">
      <w:pPr>
        <w:pStyle w:val="BodyText"/>
        <w:spacing w:line="276" w:lineRule="auto"/>
      </w:pPr>
      <w:r w:rsidRPr="004B7547">
        <w:rPr>
          <w:rFonts w:eastAsia="Calibri"/>
          <w:sz w:val="24"/>
          <w:szCs w:val="24"/>
          <w:lang w:val="en-US" w:eastAsia="en-US"/>
        </w:rPr>
        <w:t>DOL is not aware of any previous or planned effort to collect similar information concerning TechHire and SWFI program impacts</w:t>
      </w:r>
      <w:r w:rsidR="001E0BBE" w:rsidRPr="004B7547">
        <w:rPr>
          <w:rFonts w:eastAsia="Calibri"/>
          <w:sz w:val="24"/>
          <w:szCs w:val="24"/>
          <w:lang w:val="en-US" w:eastAsia="en-US"/>
        </w:rPr>
        <w:t xml:space="preserve"> or implementation</w:t>
      </w:r>
      <w:r w:rsidRPr="004B7547">
        <w:rPr>
          <w:rFonts w:eastAsia="Calibri"/>
          <w:sz w:val="24"/>
          <w:szCs w:val="24"/>
          <w:lang w:val="en-US" w:eastAsia="en-US"/>
        </w:rPr>
        <w:t xml:space="preserve">. The data collection is needed to gather the information necessary to address the research questions of the evaluation. </w:t>
      </w:r>
      <w:r w:rsidR="00FF6FCE" w:rsidRPr="004B7547">
        <w:rPr>
          <w:rFonts w:eastAsia="Calibri"/>
          <w:sz w:val="24"/>
          <w:szCs w:val="24"/>
          <w:lang w:val="en-US" w:eastAsia="en-US"/>
        </w:rPr>
        <w:t>T</w:t>
      </w:r>
      <w:r w:rsidR="00D22E72" w:rsidRPr="004B7547">
        <w:rPr>
          <w:rFonts w:eastAsia="Calibri"/>
          <w:sz w:val="24"/>
          <w:szCs w:val="24"/>
          <w:lang w:val="en-US" w:eastAsia="en-US"/>
        </w:rPr>
        <w:t>he</w:t>
      </w:r>
      <w:r w:rsidR="00F57709" w:rsidRPr="004B7547">
        <w:rPr>
          <w:rFonts w:eastAsia="Calibri"/>
          <w:sz w:val="24"/>
          <w:szCs w:val="24"/>
          <w:lang w:val="en-US" w:eastAsia="en-US"/>
        </w:rPr>
        <w:t xml:space="preserve"> information </w:t>
      </w:r>
      <w:r w:rsidR="00116562" w:rsidRPr="004B7547">
        <w:rPr>
          <w:rFonts w:eastAsia="Calibri"/>
          <w:sz w:val="24"/>
          <w:szCs w:val="24"/>
          <w:lang w:val="en-US" w:eastAsia="en-US"/>
        </w:rPr>
        <w:t xml:space="preserve">collected in the </w:t>
      </w:r>
      <w:r w:rsidR="00FF6FCE" w:rsidRPr="004B7547">
        <w:rPr>
          <w:rFonts w:eastAsia="Calibri"/>
          <w:sz w:val="24"/>
          <w:szCs w:val="24"/>
          <w:lang w:val="en-US" w:eastAsia="en-US"/>
        </w:rPr>
        <w:t xml:space="preserve">surveys and interviews </w:t>
      </w:r>
      <w:r w:rsidR="00F57709" w:rsidRPr="004B7547">
        <w:rPr>
          <w:rFonts w:eastAsia="Calibri"/>
          <w:sz w:val="24"/>
          <w:szCs w:val="24"/>
          <w:lang w:val="en-US" w:eastAsia="en-US"/>
        </w:rPr>
        <w:t>is not available elsewhere.</w:t>
      </w:r>
      <w:r w:rsidR="00F57709" w:rsidRPr="00116562">
        <w:rPr>
          <w:szCs w:val="24"/>
        </w:rPr>
        <w:t xml:space="preserve"> </w:t>
      </w:r>
      <w:r w:rsidR="00116562" w:rsidRPr="00C55EF8">
        <w:rPr>
          <w:sz w:val="24"/>
          <w:szCs w:val="24"/>
        </w:rPr>
        <w:t xml:space="preserve">Existing sources of information, including the </w:t>
      </w:r>
      <w:r w:rsidR="0028749B">
        <w:rPr>
          <w:sz w:val="24"/>
          <w:szCs w:val="24"/>
          <w:lang w:val="en-US"/>
        </w:rPr>
        <w:t>Workforce Integrated Performance System</w:t>
      </w:r>
      <w:r w:rsidR="00116562" w:rsidRPr="00C55EF8">
        <w:rPr>
          <w:sz w:val="24"/>
          <w:szCs w:val="24"/>
        </w:rPr>
        <w:t xml:space="preserve"> (WIPS), grantee applications, and performance progress reports will be used where possible</w:t>
      </w:r>
      <w:r w:rsidR="00116562">
        <w:rPr>
          <w:sz w:val="24"/>
          <w:szCs w:val="24"/>
          <w:lang w:val="en-US"/>
        </w:rPr>
        <w:t>,</w:t>
      </w:r>
      <w:r w:rsidR="00116562" w:rsidRPr="00C55EF8">
        <w:rPr>
          <w:sz w:val="24"/>
          <w:szCs w:val="24"/>
        </w:rPr>
        <w:t xml:space="preserve"> and</w:t>
      </w:r>
      <w:r w:rsidR="00116562">
        <w:rPr>
          <w:sz w:val="24"/>
          <w:szCs w:val="24"/>
          <w:lang w:val="en-US"/>
        </w:rPr>
        <w:t xml:space="preserve"> the data collection efforts described here</w:t>
      </w:r>
      <w:r w:rsidR="00116562" w:rsidRPr="00C55EF8">
        <w:rPr>
          <w:sz w:val="24"/>
          <w:szCs w:val="24"/>
        </w:rPr>
        <w:t xml:space="preserve"> will not ask for this same information.</w:t>
      </w:r>
      <w:r w:rsidR="00812DC8" w:rsidRPr="00DC23B4">
        <w:tab/>
      </w:r>
    </w:p>
    <w:p w14:paraId="119AC250" w14:textId="77777777" w:rsidR="00597D0F" w:rsidRDefault="00482BFA" w:rsidP="00C55EF8">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5</w:t>
      </w:r>
      <w:r w:rsidRPr="007F08FB">
        <w:rPr>
          <w:rFonts w:ascii="Times New Roman" w:hAnsi="Times New Roman"/>
          <w:b/>
          <w:szCs w:val="24"/>
        </w:rPr>
        <w:tab/>
      </w:r>
      <w:r w:rsidR="00597D0F" w:rsidRPr="007F08FB">
        <w:rPr>
          <w:rFonts w:ascii="Times New Roman" w:hAnsi="Times New Roman"/>
          <w:b/>
          <w:szCs w:val="24"/>
        </w:rPr>
        <w:t>Impacts on Small Businesses or Other Small Entities</w:t>
      </w:r>
    </w:p>
    <w:p w14:paraId="791D21D8" w14:textId="77777777" w:rsidR="00F57709" w:rsidRPr="007F08FB" w:rsidRDefault="00F57709" w:rsidP="00C55EF8">
      <w:pPr>
        <w:rPr>
          <w:rFonts w:ascii="Times New Roman" w:hAnsi="Times New Roman"/>
          <w:b/>
          <w:szCs w:val="24"/>
        </w:rPr>
      </w:pPr>
    </w:p>
    <w:p w14:paraId="736B655A" w14:textId="263E53EB" w:rsidR="0028749B" w:rsidRPr="00ED2DD4" w:rsidRDefault="00A66B94" w:rsidP="00C55EF8">
      <w:pPr>
        <w:pStyle w:val="ListParagraph"/>
        <w:ind w:left="0"/>
        <w:rPr>
          <w:rFonts w:ascii="Times New Roman" w:hAnsi="Times New Roman"/>
          <w:sz w:val="24"/>
          <w:szCs w:val="24"/>
        </w:rPr>
      </w:pPr>
      <w:bookmarkStart w:id="1" w:name="_Toc323559322"/>
      <w:r w:rsidRPr="00ED2DD4">
        <w:rPr>
          <w:rFonts w:ascii="Times New Roman" w:hAnsi="Times New Roman"/>
          <w:sz w:val="24"/>
          <w:szCs w:val="24"/>
        </w:rPr>
        <w:t xml:space="preserve">The data collection will not have an adverse impact on small entities. </w:t>
      </w:r>
      <w:r w:rsidR="0028749B" w:rsidRPr="00ED2DD4">
        <w:rPr>
          <w:rFonts w:ascii="Times New Roman" w:hAnsi="Times New Roman"/>
          <w:sz w:val="24"/>
          <w:szCs w:val="24"/>
        </w:rPr>
        <w:t>Grantees are community colleges, workforce development agencies, and community-based organizations that operate occupational training programs and provide related services. S</w:t>
      </w:r>
      <w:r w:rsidR="006626E4" w:rsidRPr="00ED2DD4">
        <w:rPr>
          <w:rFonts w:ascii="Times New Roman" w:hAnsi="Times New Roman"/>
          <w:sz w:val="24"/>
          <w:szCs w:val="24"/>
        </w:rPr>
        <w:t xml:space="preserve">ome </w:t>
      </w:r>
      <w:r w:rsidR="0028749B" w:rsidRPr="00ED2DD4">
        <w:rPr>
          <w:rFonts w:ascii="Times New Roman" w:hAnsi="Times New Roman"/>
          <w:sz w:val="24"/>
          <w:szCs w:val="24"/>
        </w:rPr>
        <w:t xml:space="preserve">employer </w:t>
      </w:r>
      <w:r w:rsidR="008833FF" w:rsidRPr="00ED2DD4">
        <w:rPr>
          <w:rFonts w:ascii="Times New Roman" w:hAnsi="Times New Roman"/>
          <w:sz w:val="24"/>
          <w:szCs w:val="24"/>
        </w:rPr>
        <w:t>partners may be small businesses</w:t>
      </w:r>
      <w:r w:rsidR="0028749B" w:rsidRPr="00ED2DD4">
        <w:rPr>
          <w:rFonts w:ascii="Times New Roman" w:hAnsi="Times New Roman"/>
          <w:sz w:val="24"/>
          <w:szCs w:val="24"/>
        </w:rPr>
        <w:t>.</w:t>
      </w:r>
      <w:r w:rsidR="006626E4" w:rsidRPr="00ED2DD4">
        <w:rPr>
          <w:rFonts w:ascii="Times New Roman" w:hAnsi="Times New Roman"/>
          <w:sz w:val="24"/>
          <w:szCs w:val="24"/>
        </w:rPr>
        <w:t xml:space="preserve"> </w:t>
      </w:r>
      <w:r w:rsidR="0028749B" w:rsidRPr="00ED2DD4">
        <w:rPr>
          <w:rFonts w:ascii="Times New Roman" w:hAnsi="Times New Roman"/>
          <w:sz w:val="24"/>
          <w:szCs w:val="24"/>
        </w:rPr>
        <w:t xml:space="preserve">Burden for these entities will be minimized by using web surveys so that they can respond at their convenience and collecting only the </w:t>
      </w:r>
      <w:r w:rsidR="009B4C0A" w:rsidRPr="00ED2DD4">
        <w:rPr>
          <w:rFonts w:ascii="Times New Roman" w:hAnsi="Times New Roman"/>
          <w:sz w:val="24"/>
          <w:szCs w:val="24"/>
        </w:rPr>
        <w:t xml:space="preserve">minimum amount of </w:t>
      </w:r>
      <w:r w:rsidR="0028749B" w:rsidRPr="00ED2DD4">
        <w:rPr>
          <w:rFonts w:ascii="Times New Roman" w:hAnsi="Times New Roman"/>
          <w:sz w:val="24"/>
          <w:szCs w:val="24"/>
        </w:rPr>
        <w:t xml:space="preserve">information </w:t>
      </w:r>
      <w:r w:rsidR="009B4C0A" w:rsidRPr="00ED2DD4">
        <w:rPr>
          <w:rFonts w:ascii="Times New Roman" w:hAnsi="Times New Roman"/>
          <w:sz w:val="24"/>
          <w:szCs w:val="24"/>
        </w:rPr>
        <w:t>necessary</w:t>
      </w:r>
      <w:r w:rsidR="0028749B" w:rsidRPr="00ED2DD4">
        <w:rPr>
          <w:rFonts w:ascii="Times New Roman" w:hAnsi="Times New Roman"/>
          <w:sz w:val="24"/>
          <w:szCs w:val="24"/>
        </w:rPr>
        <w:t xml:space="preserve"> to answer the research questions. </w:t>
      </w:r>
      <w:bookmarkEnd w:id="1"/>
      <w:r w:rsidR="00864180" w:rsidRPr="00ED2DD4">
        <w:rPr>
          <w:rFonts w:ascii="Times New Roman" w:hAnsi="Times New Roman"/>
          <w:sz w:val="24"/>
          <w:szCs w:val="24"/>
        </w:rPr>
        <w:t>The site visits will be scheduled with grantees in advance at a time that is convenient, and the study team will ensure that the visit is efficient and productive.</w:t>
      </w:r>
      <w:r w:rsidR="00B57D9A" w:rsidRPr="00ED2DD4">
        <w:rPr>
          <w:rFonts w:ascii="Times New Roman" w:hAnsi="Times New Roman"/>
          <w:sz w:val="24"/>
          <w:szCs w:val="24"/>
        </w:rPr>
        <w:t xml:space="preserve">  </w:t>
      </w:r>
    </w:p>
    <w:p w14:paraId="062A4898" w14:textId="77777777" w:rsidR="00B00E65" w:rsidRPr="00DC23B4" w:rsidRDefault="00B00E65" w:rsidP="00C55EF8">
      <w:pPr>
        <w:rPr>
          <w:rFonts w:ascii="Times New Roman" w:hAnsi="Times New Roman"/>
          <w:szCs w:val="24"/>
        </w:rPr>
      </w:pPr>
    </w:p>
    <w:p w14:paraId="1F2FAC4A" w14:textId="77777777" w:rsidR="00597D0F" w:rsidRPr="00DC23B4" w:rsidRDefault="00482BFA" w:rsidP="00C55EF8">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6</w:t>
      </w:r>
      <w:r w:rsidRPr="007F08FB">
        <w:rPr>
          <w:rFonts w:ascii="Times New Roman" w:hAnsi="Times New Roman"/>
          <w:b/>
          <w:szCs w:val="24"/>
        </w:rPr>
        <w:tab/>
      </w:r>
      <w:r w:rsidR="00512126" w:rsidRPr="007F08FB">
        <w:rPr>
          <w:rFonts w:ascii="Times New Roman" w:hAnsi="Times New Roman"/>
          <w:b/>
          <w:szCs w:val="24"/>
        </w:rPr>
        <w:t xml:space="preserve">Consequence to Federal </w:t>
      </w:r>
      <w:r w:rsidR="00DD4E43" w:rsidRPr="007F08FB">
        <w:rPr>
          <w:rFonts w:ascii="Times New Roman" w:hAnsi="Times New Roman"/>
          <w:b/>
          <w:szCs w:val="24"/>
        </w:rPr>
        <w:t>P</w:t>
      </w:r>
      <w:r w:rsidR="00512126" w:rsidRPr="007F08FB">
        <w:rPr>
          <w:rFonts w:ascii="Times New Roman" w:hAnsi="Times New Roman"/>
          <w:b/>
          <w:szCs w:val="24"/>
        </w:rPr>
        <w:t xml:space="preserve">rogram or </w:t>
      </w:r>
      <w:r w:rsidR="00DD4E43" w:rsidRPr="007F08FB">
        <w:rPr>
          <w:rFonts w:ascii="Times New Roman" w:hAnsi="Times New Roman"/>
          <w:b/>
          <w:szCs w:val="24"/>
        </w:rPr>
        <w:t>P</w:t>
      </w:r>
      <w:r w:rsidR="00512126" w:rsidRPr="007F08FB">
        <w:rPr>
          <w:rFonts w:ascii="Times New Roman" w:hAnsi="Times New Roman"/>
          <w:b/>
          <w:szCs w:val="24"/>
        </w:rPr>
        <w:t xml:space="preserve">olicy </w:t>
      </w:r>
      <w:r w:rsidR="00DD4E43" w:rsidRPr="007F08FB">
        <w:rPr>
          <w:rFonts w:ascii="Times New Roman" w:hAnsi="Times New Roman"/>
          <w:b/>
          <w:szCs w:val="24"/>
        </w:rPr>
        <w:t>i</w:t>
      </w:r>
      <w:r w:rsidR="00512126" w:rsidRPr="007F08FB">
        <w:rPr>
          <w:rFonts w:ascii="Times New Roman" w:hAnsi="Times New Roman"/>
          <w:b/>
          <w:szCs w:val="24"/>
        </w:rPr>
        <w:t xml:space="preserve">f </w:t>
      </w:r>
      <w:r w:rsidR="00DD4E43" w:rsidRPr="007F08FB">
        <w:rPr>
          <w:rFonts w:ascii="Times New Roman" w:hAnsi="Times New Roman"/>
          <w:b/>
          <w:szCs w:val="24"/>
        </w:rPr>
        <w:t>C</w:t>
      </w:r>
      <w:r w:rsidR="00512126" w:rsidRPr="007F08FB">
        <w:rPr>
          <w:rFonts w:ascii="Times New Roman" w:hAnsi="Times New Roman"/>
          <w:b/>
          <w:szCs w:val="24"/>
        </w:rPr>
        <w:t xml:space="preserve">ollection is not </w:t>
      </w:r>
      <w:r w:rsidR="00DD4E43" w:rsidRPr="007F08FB">
        <w:rPr>
          <w:rFonts w:ascii="Times New Roman" w:hAnsi="Times New Roman"/>
          <w:b/>
          <w:szCs w:val="24"/>
        </w:rPr>
        <w:t>C</w:t>
      </w:r>
      <w:r w:rsidR="00512126" w:rsidRPr="007F08FB">
        <w:rPr>
          <w:rFonts w:ascii="Times New Roman" w:hAnsi="Times New Roman"/>
          <w:b/>
          <w:szCs w:val="24"/>
        </w:rPr>
        <w:t xml:space="preserve">onducted </w:t>
      </w:r>
    </w:p>
    <w:p w14:paraId="02F147C9" w14:textId="77777777" w:rsidR="00812DC8" w:rsidRPr="007F08FB" w:rsidRDefault="00812DC8" w:rsidP="00C55EF8">
      <w:pPr>
        <w:rPr>
          <w:rFonts w:ascii="Times New Roman" w:hAnsi="Times New Roman"/>
          <w:b/>
          <w:szCs w:val="24"/>
        </w:rPr>
      </w:pPr>
    </w:p>
    <w:p w14:paraId="7D5BA6A2" w14:textId="77777777" w:rsidR="005C2DBF" w:rsidRDefault="00F23778" w:rsidP="00C55EF8">
      <w:pPr>
        <w:pStyle w:val="L1-FlLSp12"/>
        <w:spacing w:line="276" w:lineRule="auto"/>
        <w:rPr>
          <w:rFonts w:ascii="Times New Roman" w:hAnsi="Times New Roman"/>
          <w:szCs w:val="24"/>
        </w:rPr>
      </w:pPr>
      <w:r w:rsidRPr="007F08FB">
        <w:rPr>
          <w:rFonts w:ascii="Times New Roman" w:hAnsi="Times New Roman"/>
          <w:kern w:val="32"/>
          <w:szCs w:val="24"/>
        </w:rPr>
        <w:t>The evaluation will contribute to the body of literature about strategies to help low-wage workers obtain and advance in employment.</w:t>
      </w:r>
      <w:r w:rsidR="00D22E72" w:rsidRPr="007F08FB" w:rsidDel="00D22E72">
        <w:rPr>
          <w:rFonts w:ascii="Times New Roman" w:hAnsi="Times New Roman"/>
          <w:kern w:val="32"/>
          <w:szCs w:val="24"/>
        </w:rPr>
        <w:t xml:space="preserve"> </w:t>
      </w:r>
      <w:r w:rsidRPr="007F08FB">
        <w:rPr>
          <w:rFonts w:ascii="Times New Roman" w:hAnsi="Times New Roman"/>
          <w:kern w:val="32"/>
          <w:szCs w:val="24"/>
        </w:rPr>
        <w:t xml:space="preserve">Moreover, since DOL is funding other H-1B skills training programs, it is important to have rigorous information about the implementation and impact of the programs. If the information collection is not conducted, </w:t>
      </w:r>
      <w:r w:rsidRPr="007F08FB">
        <w:rPr>
          <w:rFonts w:ascii="Times New Roman" w:hAnsi="Times New Roman"/>
          <w:szCs w:val="24"/>
        </w:rPr>
        <w:t>DOL will not be able to determine whether the grantee programs are effective and which strategies are effective.</w:t>
      </w:r>
      <w:r w:rsidR="005C2DBF" w:rsidRPr="007F08FB">
        <w:rPr>
          <w:rFonts w:ascii="Times New Roman" w:hAnsi="Times New Roman"/>
          <w:szCs w:val="24"/>
        </w:rPr>
        <w:t xml:space="preserve"> </w:t>
      </w:r>
    </w:p>
    <w:p w14:paraId="40149309" w14:textId="77777777" w:rsidR="006C6E41" w:rsidRDefault="006C6E41" w:rsidP="00C55EF8">
      <w:pPr>
        <w:pStyle w:val="L1-FlLSp12"/>
        <w:spacing w:line="276" w:lineRule="auto"/>
        <w:rPr>
          <w:rFonts w:ascii="Times New Roman" w:hAnsi="Times New Roman"/>
          <w:szCs w:val="24"/>
        </w:rPr>
      </w:pPr>
    </w:p>
    <w:p w14:paraId="37D23758" w14:textId="0FAD9A20" w:rsidR="00257FE0" w:rsidRPr="00731C13" w:rsidRDefault="00257FE0" w:rsidP="00C55EF8">
      <w:pPr>
        <w:pStyle w:val="BodyText"/>
        <w:spacing w:line="276" w:lineRule="auto"/>
        <w:rPr>
          <w:sz w:val="24"/>
          <w:szCs w:val="24"/>
        </w:rPr>
      </w:pPr>
      <w:r w:rsidRPr="005B7D17">
        <w:rPr>
          <w:rFonts w:cs="Calibri"/>
          <w:kern w:val="32"/>
          <w:sz w:val="24"/>
          <w:szCs w:val="24"/>
        </w:rPr>
        <w:t xml:space="preserve">If the </w:t>
      </w:r>
      <w:r w:rsidR="002E63A2">
        <w:rPr>
          <w:rFonts w:cs="Calibri"/>
          <w:kern w:val="32"/>
          <w:sz w:val="24"/>
          <w:szCs w:val="24"/>
          <w:lang w:val="en-US"/>
        </w:rPr>
        <w:t xml:space="preserve">grantee and partner surveys and </w:t>
      </w:r>
      <w:r w:rsidR="00A971F1">
        <w:rPr>
          <w:rFonts w:cs="Calibri"/>
          <w:kern w:val="32"/>
          <w:sz w:val="24"/>
          <w:szCs w:val="24"/>
          <w:lang w:val="en-US"/>
        </w:rPr>
        <w:t xml:space="preserve">semi-structured </w:t>
      </w:r>
      <w:r w:rsidR="002E63A2">
        <w:rPr>
          <w:rFonts w:cs="Calibri"/>
          <w:kern w:val="32"/>
          <w:sz w:val="24"/>
          <w:szCs w:val="24"/>
          <w:lang w:val="en-US"/>
        </w:rPr>
        <w:t>telephone interviews</w:t>
      </w:r>
      <w:r w:rsidRPr="005B7D17">
        <w:rPr>
          <w:rFonts w:cs="Calibri"/>
          <w:kern w:val="32"/>
          <w:sz w:val="24"/>
          <w:szCs w:val="24"/>
        </w:rPr>
        <w:t xml:space="preserve"> are not conducted there will be no information regarding the context, </w:t>
      </w:r>
      <w:r w:rsidRPr="005B7D17">
        <w:rPr>
          <w:rFonts w:cs="Calibri"/>
          <w:sz w:val="24"/>
          <w:szCs w:val="24"/>
        </w:rPr>
        <w:t>design, implementation, operation, and/or replicability and sustainability of the grant programs. As such, DOL/ETA will not be able to determine whether the grant programs are effective.</w:t>
      </w:r>
    </w:p>
    <w:p w14:paraId="013C05E1" w14:textId="77777777" w:rsidR="00654585" w:rsidRPr="005B7D17" w:rsidRDefault="00F77BC0" w:rsidP="00C55EF8">
      <w:pPr>
        <w:pStyle w:val="BodyText"/>
        <w:spacing w:line="276" w:lineRule="auto"/>
        <w:rPr>
          <w:sz w:val="24"/>
          <w:szCs w:val="24"/>
        </w:rPr>
      </w:pPr>
      <w:r w:rsidRPr="00731C13">
        <w:rPr>
          <w:sz w:val="24"/>
          <w:szCs w:val="24"/>
          <w:lang w:val="en-US"/>
        </w:rPr>
        <w:t xml:space="preserve">Finally, without collecting the site visit interviews, </w:t>
      </w:r>
      <w:r w:rsidR="008F07B2" w:rsidRPr="00731C13">
        <w:rPr>
          <w:sz w:val="24"/>
          <w:szCs w:val="24"/>
          <w:lang w:val="en-US"/>
        </w:rPr>
        <w:t>the evaluation team would not have information about how the program are implemented, making it difficult to interpret the impact findings.</w:t>
      </w:r>
    </w:p>
    <w:p w14:paraId="76BA285B" w14:textId="77777777" w:rsidR="00597D0F" w:rsidRPr="007F08FB" w:rsidRDefault="00482BFA" w:rsidP="00C55EF8">
      <w:pPr>
        <w:rPr>
          <w:rFonts w:ascii="Times New Roman" w:hAnsi="Times New Roman"/>
          <w:b/>
          <w:szCs w:val="24"/>
        </w:rPr>
      </w:pPr>
      <w:r w:rsidRPr="007F08FB">
        <w:rPr>
          <w:rFonts w:ascii="Times New Roman" w:hAnsi="Times New Roman"/>
          <w:b/>
          <w:szCs w:val="24"/>
        </w:rPr>
        <w:t>A</w:t>
      </w:r>
      <w:r w:rsidR="00BF337F" w:rsidRPr="00DC23B4">
        <w:rPr>
          <w:rFonts w:ascii="Times New Roman" w:hAnsi="Times New Roman"/>
          <w:b/>
          <w:szCs w:val="24"/>
        </w:rPr>
        <w:t>.</w:t>
      </w:r>
      <w:r w:rsidRPr="007F08FB">
        <w:rPr>
          <w:rFonts w:ascii="Times New Roman" w:hAnsi="Times New Roman"/>
          <w:b/>
          <w:szCs w:val="24"/>
        </w:rPr>
        <w:t>7</w:t>
      </w:r>
      <w:r w:rsidRPr="007F08FB">
        <w:rPr>
          <w:rFonts w:ascii="Times New Roman" w:hAnsi="Times New Roman"/>
          <w:b/>
          <w:szCs w:val="24"/>
        </w:rPr>
        <w:tab/>
      </w:r>
      <w:r w:rsidR="00597D0F" w:rsidRPr="007F08FB">
        <w:rPr>
          <w:rFonts w:ascii="Times New Roman" w:hAnsi="Times New Roman"/>
          <w:b/>
          <w:szCs w:val="24"/>
        </w:rPr>
        <w:t>Special Data Collection Circumstances</w:t>
      </w:r>
    </w:p>
    <w:p w14:paraId="5EAB1DEC" w14:textId="77777777" w:rsidR="00BF337F" w:rsidRPr="007F08FB" w:rsidRDefault="00BF337F" w:rsidP="00C55EF8">
      <w:pPr>
        <w:pStyle w:val="L1-FlLSp12"/>
        <w:spacing w:line="240" w:lineRule="auto"/>
        <w:rPr>
          <w:rFonts w:ascii="Times New Roman" w:hAnsi="Times New Roman"/>
          <w:szCs w:val="24"/>
        </w:rPr>
      </w:pPr>
    </w:p>
    <w:p w14:paraId="65A7DDA5" w14:textId="77777777" w:rsidR="00747DA1" w:rsidRPr="007F08FB" w:rsidRDefault="00747DA1" w:rsidP="00C55EF8">
      <w:pPr>
        <w:pStyle w:val="L1-FlLSp12"/>
        <w:spacing w:line="240" w:lineRule="auto"/>
        <w:rPr>
          <w:rFonts w:ascii="Times New Roman" w:hAnsi="Times New Roman"/>
          <w:szCs w:val="24"/>
        </w:rPr>
      </w:pPr>
      <w:r w:rsidRPr="007F08FB">
        <w:rPr>
          <w:rFonts w:ascii="Times New Roman" w:hAnsi="Times New Roman"/>
          <w:szCs w:val="24"/>
        </w:rPr>
        <w:t>There are no special circumstances relating to the guidelines of 5 CFR 1320.5. This request fully complies with 5 CFR 1320.5.</w:t>
      </w:r>
    </w:p>
    <w:p w14:paraId="73EEE6E5" w14:textId="77777777" w:rsidR="009764DD" w:rsidRPr="00DC23B4" w:rsidRDefault="009764DD" w:rsidP="00C55EF8">
      <w:pPr>
        <w:rPr>
          <w:rFonts w:ascii="Times New Roman" w:hAnsi="Times New Roman"/>
          <w:szCs w:val="24"/>
        </w:rPr>
      </w:pPr>
    </w:p>
    <w:p w14:paraId="2F1CC4DF" w14:textId="77777777" w:rsidR="00806464" w:rsidRPr="007F08FB" w:rsidRDefault="00482BFA" w:rsidP="00C55EF8">
      <w:pPr>
        <w:rPr>
          <w:rFonts w:ascii="Times New Roman" w:hAnsi="Times New Roman"/>
          <w:b/>
          <w:szCs w:val="24"/>
        </w:rPr>
      </w:pPr>
      <w:r w:rsidRPr="007F08FB">
        <w:rPr>
          <w:rFonts w:ascii="Times New Roman" w:hAnsi="Times New Roman"/>
          <w:b/>
          <w:szCs w:val="24"/>
        </w:rPr>
        <w:t>A</w:t>
      </w:r>
      <w:r w:rsidR="00BF337F" w:rsidRPr="00DC23B4">
        <w:rPr>
          <w:rFonts w:ascii="Times New Roman" w:hAnsi="Times New Roman"/>
          <w:b/>
          <w:szCs w:val="24"/>
        </w:rPr>
        <w:t>.</w:t>
      </w:r>
      <w:r w:rsidRPr="007F08FB">
        <w:rPr>
          <w:rFonts w:ascii="Times New Roman" w:hAnsi="Times New Roman"/>
          <w:b/>
          <w:szCs w:val="24"/>
        </w:rPr>
        <w:t>8</w:t>
      </w:r>
      <w:r w:rsidRPr="007F08FB">
        <w:rPr>
          <w:rFonts w:ascii="Times New Roman" w:hAnsi="Times New Roman"/>
          <w:b/>
          <w:szCs w:val="24"/>
        </w:rPr>
        <w:tab/>
      </w:r>
      <w:r w:rsidR="00597D0F" w:rsidRPr="007F08FB">
        <w:rPr>
          <w:rFonts w:ascii="Times New Roman" w:hAnsi="Times New Roman"/>
          <w:b/>
          <w:szCs w:val="24"/>
        </w:rPr>
        <w:t>Federal Register Notice</w:t>
      </w:r>
    </w:p>
    <w:p w14:paraId="7DB96537" w14:textId="50071C9A" w:rsidR="00747DA1" w:rsidRDefault="00801721" w:rsidP="00C55EF8">
      <w:pPr>
        <w:pStyle w:val="Heading5"/>
        <w:rPr>
          <w:rFonts w:ascii="Times New Roman" w:hAnsi="Times New Roman" w:cs="Times New Roman"/>
          <w:b/>
          <w:color w:val="auto"/>
          <w:szCs w:val="24"/>
        </w:rPr>
      </w:pPr>
      <w:r w:rsidRPr="007F08FB">
        <w:rPr>
          <w:rFonts w:ascii="Times New Roman" w:hAnsi="Times New Roman" w:cs="Times New Roman"/>
          <w:b/>
          <w:color w:val="auto"/>
          <w:szCs w:val="24"/>
        </w:rPr>
        <w:t>A.8.1</w:t>
      </w:r>
      <w:r w:rsidRPr="007F08FB">
        <w:rPr>
          <w:rFonts w:ascii="Times New Roman" w:hAnsi="Times New Roman" w:cs="Times New Roman"/>
          <w:b/>
          <w:color w:val="auto"/>
          <w:szCs w:val="24"/>
        </w:rPr>
        <w:tab/>
      </w:r>
      <w:r w:rsidR="00747DA1" w:rsidRPr="007F08FB">
        <w:rPr>
          <w:rFonts w:ascii="Times New Roman" w:hAnsi="Times New Roman" w:cs="Times New Roman"/>
          <w:b/>
          <w:color w:val="auto"/>
          <w:szCs w:val="24"/>
        </w:rPr>
        <w:t>Federal Register Notice and Comments</w:t>
      </w:r>
    </w:p>
    <w:p w14:paraId="3BE12134" w14:textId="77777777" w:rsidR="0047706C" w:rsidRPr="00C55EF8" w:rsidRDefault="0047706C" w:rsidP="00C55EF8"/>
    <w:p w14:paraId="4C6CF6C0" w14:textId="5C4932BF" w:rsidR="00747DA1" w:rsidRPr="007F08FB" w:rsidRDefault="00747DA1" w:rsidP="00C55EF8">
      <w:pPr>
        <w:pStyle w:val="L1-FlLSp12"/>
        <w:spacing w:line="276" w:lineRule="auto"/>
        <w:rPr>
          <w:rFonts w:ascii="Times New Roman" w:hAnsi="Times New Roman"/>
          <w:szCs w:val="24"/>
        </w:rPr>
      </w:pPr>
      <w:r w:rsidRPr="007F08FB">
        <w:rPr>
          <w:rFonts w:ascii="Times New Roman" w:hAnsi="Times New Roman"/>
          <w:szCs w:val="24"/>
        </w:rPr>
        <w:t xml:space="preserve">DOL published a notice on </w:t>
      </w:r>
      <w:r w:rsidR="0089306D">
        <w:rPr>
          <w:rFonts w:ascii="Times New Roman" w:hAnsi="Times New Roman"/>
          <w:szCs w:val="24"/>
        </w:rPr>
        <w:t>February 23, 2018</w:t>
      </w:r>
      <w:r w:rsidRPr="007F08FB">
        <w:rPr>
          <w:rFonts w:ascii="Times New Roman" w:hAnsi="Times New Roman"/>
          <w:szCs w:val="24"/>
        </w:rPr>
        <w:t xml:space="preserve"> in the </w:t>
      </w:r>
      <w:r w:rsidRPr="007F08FB">
        <w:rPr>
          <w:rFonts w:ascii="Times New Roman" w:hAnsi="Times New Roman"/>
          <w:i/>
          <w:szCs w:val="24"/>
        </w:rPr>
        <w:t>Federal Register</w:t>
      </w:r>
      <w:r w:rsidRPr="007F08FB">
        <w:rPr>
          <w:rFonts w:ascii="Times New Roman" w:hAnsi="Times New Roman"/>
          <w:szCs w:val="24"/>
        </w:rPr>
        <w:t>, Volume 8</w:t>
      </w:r>
      <w:r w:rsidR="0089306D">
        <w:rPr>
          <w:rFonts w:ascii="Times New Roman" w:hAnsi="Times New Roman"/>
          <w:szCs w:val="24"/>
        </w:rPr>
        <w:t>3</w:t>
      </w:r>
      <w:r w:rsidRPr="007F08FB">
        <w:rPr>
          <w:rFonts w:ascii="Times New Roman" w:hAnsi="Times New Roman"/>
          <w:szCs w:val="24"/>
        </w:rPr>
        <w:t xml:space="preserve">, Number </w:t>
      </w:r>
      <w:r w:rsidR="0089306D">
        <w:rPr>
          <w:rFonts w:ascii="Times New Roman" w:hAnsi="Times New Roman"/>
          <w:szCs w:val="24"/>
        </w:rPr>
        <w:t>37</w:t>
      </w:r>
      <w:r w:rsidRPr="007F08FB">
        <w:rPr>
          <w:rFonts w:ascii="Times New Roman" w:hAnsi="Times New Roman"/>
          <w:szCs w:val="24"/>
        </w:rPr>
        <w:t>, pages 81</w:t>
      </w:r>
      <w:r w:rsidR="0089306D">
        <w:rPr>
          <w:rFonts w:ascii="Times New Roman" w:hAnsi="Times New Roman"/>
          <w:szCs w:val="24"/>
        </w:rPr>
        <w:t>08-8110</w:t>
      </w:r>
      <w:r w:rsidRPr="007F08FB">
        <w:rPr>
          <w:rFonts w:ascii="Times New Roman" w:hAnsi="Times New Roman"/>
          <w:szCs w:val="24"/>
        </w:rPr>
        <w:t xml:space="preserve"> </w:t>
      </w:r>
      <w:r w:rsidR="006C7484">
        <w:rPr>
          <w:rFonts w:ascii="Times New Roman" w:hAnsi="Times New Roman"/>
          <w:szCs w:val="24"/>
        </w:rPr>
        <w:t>(</w:t>
      </w:r>
      <w:r w:rsidR="006C7484" w:rsidRPr="006C7484">
        <w:rPr>
          <w:rFonts w:ascii="Times New Roman" w:hAnsi="Times New Roman"/>
          <w:szCs w:val="24"/>
        </w:rPr>
        <w:t>83 FR 8108)</w:t>
      </w:r>
      <w:r w:rsidR="006C7484">
        <w:rPr>
          <w:rFonts w:ascii="Times New Roman" w:hAnsi="Times New Roman"/>
          <w:szCs w:val="24"/>
        </w:rPr>
        <w:t xml:space="preserve"> </w:t>
      </w:r>
      <w:r w:rsidRPr="007F08FB">
        <w:rPr>
          <w:rFonts w:ascii="Times New Roman" w:hAnsi="Times New Roman"/>
          <w:szCs w:val="24"/>
        </w:rPr>
        <w:t xml:space="preserve">and provided a 60-day period for public comments. </w:t>
      </w:r>
      <w:r w:rsidR="006F2652">
        <w:rPr>
          <w:rFonts w:ascii="Times New Roman" w:hAnsi="Times New Roman"/>
          <w:szCs w:val="24"/>
        </w:rPr>
        <w:t xml:space="preserve">A copy of this notice is included in this package. </w:t>
      </w:r>
      <w:r w:rsidRPr="007F08FB">
        <w:rPr>
          <w:rFonts w:ascii="Times New Roman" w:hAnsi="Times New Roman"/>
          <w:szCs w:val="24"/>
        </w:rPr>
        <w:t xml:space="preserve">DOL did not receive any public comments. </w:t>
      </w:r>
    </w:p>
    <w:p w14:paraId="0B4302B0" w14:textId="77777777" w:rsidR="00747DA1" w:rsidRPr="007F08FB" w:rsidRDefault="00801721" w:rsidP="00C55EF8">
      <w:pPr>
        <w:pStyle w:val="Heading5"/>
        <w:rPr>
          <w:rFonts w:ascii="Times New Roman" w:hAnsi="Times New Roman" w:cs="Times New Roman"/>
          <w:b/>
          <w:szCs w:val="24"/>
        </w:rPr>
      </w:pPr>
      <w:r w:rsidRPr="007F08FB">
        <w:rPr>
          <w:rFonts w:ascii="Times New Roman" w:hAnsi="Times New Roman" w:cs="Times New Roman"/>
          <w:b/>
          <w:color w:val="auto"/>
          <w:szCs w:val="24"/>
        </w:rPr>
        <w:t>A.8.2</w:t>
      </w:r>
      <w:r w:rsidRPr="007F08FB">
        <w:rPr>
          <w:rFonts w:ascii="Times New Roman" w:hAnsi="Times New Roman" w:cs="Times New Roman"/>
          <w:b/>
          <w:color w:val="auto"/>
          <w:szCs w:val="24"/>
        </w:rPr>
        <w:tab/>
      </w:r>
      <w:r w:rsidR="00747DA1" w:rsidRPr="007F08FB">
        <w:rPr>
          <w:rFonts w:ascii="Times New Roman" w:hAnsi="Times New Roman" w:cs="Times New Roman"/>
          <w:b/>
          <w:color w:val="auto"/>
          <w:szCs w:val="24"/>
        </w:rPr>
        <w:t>Consultations Outside the Agency</w:t>
      </w:r>
    </w:p>
    <w:p w14:paraId="24CAD2BC" w14:textId="77777777" w:rsidR="00747DA1" w:rsidRPr="007F08FB" w:rsidRDefault="00747DA1" w:rsidP="00C55EF8">
      <w:pPr>
        <w:pStyle w:val="L1-FlLSp12"/>
        <w:spacing w:line="276" w:lineRule="auto"/>
        <w:rPr>
          <w:rFonts w:ascii="Times New Roman" w:hAnsi="Times New Roman"/>
          <w:szCs w:val="24"/>
        </w:rPr>
      </w:pPr>
      <w:r w:rsidRPr="007F08FB">
        <w:rPr>
          <w:rFonts w:ascii="Times New Roman" w:hAnsi="Times New Roman"/>
          <w:szCs w:val="24"/>
        </w:rPr>
        <w:t>The following people were consulted in developing</w:t>
      </w:r>
      <w:r w:rsidR="00BD067B" w:rsidRPr="007F08FB">
        <w:rPr>
          <w:rFonts w:ascii="Times New Roman" w:hAnsi="Times New Roman"/>
          <w:szCs w:val="24"/>
        </w:rPr>
        <w:t xml:space="preserve"> the</w:t>
      </w:r>
      <w:r w:rsidRPr="007F08FB">
        <w:rPr>
          <w:rFonts w:ascii="Times New Roman" w:hAnsi="Times New Roman"/>
          <w:szCs w:val="24"/>
        </w:rPr>
        <w:t xml:space="preserve"> study design. </w:t>
      </w:r>
      <w:r w:rsidR="00AC754D" w:rsidRPr="007F08FB">
        <w:rPr>
          <w:rFonts w:ascii="Times New Roman" w:hAnsi="Times New Roman"/>
          <w:szCs w:val="24"/>
        </w:rPr>
        <w:t xml:space="preserve"> </w:t>
      </w:r>
    </w:p>
    <w:p w14:paraId="14034400" w14:textId="77777777" w:rsidR="00DC23B4" w:rsidRPr="007F08FB" w:rsidRDefault="00DC23B4" w:rsidP="00C55EF8">
      <w:pPr>
        <w:rPr>
          <w:rFonts w:ascii="Times New Roman" w:hAnsi="Times New Roman"/>
          <w:szCs w:val="24"/>
        </w:rPr>
      </w:pPr>
    </w:p>
    <w:p w14:paraId="5C547556" w14:textId="77777777" w:rsidR="00747DA1" w:rsidRPr="007F08FB" w:rsidRDefault="00747DA1" w:rsidP="00C55EF8">
      <w:pPr>
        <w:pStyle w:val="L1-FlLSp12"/>
        <w:rPr>
          <w:rFonts w:ascii="Times New Roman" w:hAnsi="Times New Roman"/>
          <w:b/>
          <w:szCs w:val="24"/>
        </w:rPr>
      </w:pPr>
      <w:r w:rsidRPr="007F08FB">
        <w:rPr>
          <w:rFonts w:ascii="Times New Roman" w:hAnsi="Times New Roman"/>
          <w:b/>
          <w:szCs w:val="24"/>
        </w:rPr>
        <w:t>Technical Working Group</w:t>
      </w:r>
    </w:p>
    <w:p w14:paraId="2F264D11" w14:textId="77777777" w:rsidR="00747DA1" w:rsidRPr="007F08FB" w:rsidRDefault="00747DA1" w:rsidP="00C55EF8">
      <w:pPr>
        <w:pStyle w:val="L1-FlLSp12"/>
        <w:numPr>
          <w:ilvl w:val="0"/>
          <w:numId w:val="41"/>
        </w:numPr>
        <w:rPr>
          <w:rFonts w:ascii="Times New Roman" w:hAnsi="Times New Roman"/>
          <w:szCs w:val="24"/>
        </w:rPr>
      </w:pPr>
      <w:r w:rsidRPr="007F08FB">
        <w:rPr>
          <w:rFonts w:ascii="Times New Roman" w:hAnsi="Times New Roman"/>
          <w:szCs w:val="24"/>
        </w:rPr>
        <w:t>Kevin M. Hollenbeck, Ph.D., Vice President, Senior Economist, W.E. Upjohn Institute</w:t>
      </w:r>
    </w:p>
    <w:p w14:paraId="6B67636F" w14:textId="77777777" w:rsidR="00747DA1" w:rsidRPr="007F08FB" w:rsidRDefault="00747DA1" w:rsidP="00C55EF8">
      <w:pPr>
        <w:pStyle w:val="L1-FlLSp12"/>
        <w:numPr>
          <w:ilvl w:val="0"/>
          <w:numId w:val="41"/>
        </w:numPr>
        <w:rPr>
          <w:rFonts w:ascii="Times New Roman" w:hAnsi="Times New Roman"/>
          <w:szCs w:val="24"/>
        </w:rPr>
      </w:pPr>
      <w:r w:rsidRPr="007F08FB">
        <w:rPr>
          <w:rFonts w:ascii="Times New Roman" w:hAnsi="Times New Roman"/>
          <w:szCs w:val="24"/>
        </w:rPr>
        <w:t>Jeffrey Smith, Professor of Economics, Professor of Public Policy, University of Michigan</w:t>
      </w:r>
    </w:p>
    <w:p w14:paraId="785E867E" w14:textId="77777777" w:rsidR="00747DA1" w:rsidRPr="007F08FB" w:rsidRDefault="00747DA1" w:rsidP="00C55EF8">
      <w:pPr>
        <w:pStyle w:val="L1-FlLSp12"/>
        <w:numPr>
          <w:ilvl w:val="0"/>
          <w:numId w:val="41"/>
        </w:numPr>
        <w:rPr>
          <w:rFonts w:ascii="Times New Roman" w:hAnsi="Times New Roman"/>
          <w:szCs w:val="24"/>
        </w:rPr>
      </w:pPr>
      <w:r w:rsidRPr="007F08FB">
        <w:rPr>
          <w:rFonts w:ascii="Times New Roman" w:hAnsi="Times New Roman"/>
          <w:szCs w:val="24"/>
        </w:rPr>
        <w:t>Gina Adams, Senior Fellow, Center on Labor, Human Services, and Population at The Urban Institute</w:t>
      </w:r>
    </w:p>
    <w:p w14:paraId="5D5A82A3" w14:textId="77777777" w:rsidR="00747DA1" w:rsidRPr="007F08FB" w:rsidRDefault="00747DA1" w:rsidP="00C55EF8">
      <w:pPr>
        <w:pStyle w:val="L1-FlLSp12"/>
        <w:numPr>
          <w:ilvl w:val="0"/>
          <w:numId w:val="41"/>
        </w:numPr>
        <w:rPr>
          <w:rFonts w:ascii="Times New Roman" w:hAnsi="Times New Roman"/>
          <w:szCs w:val="24"/>
        </w:rPr>
      </w:pPr>
      <w:r w:rsidRPr="007F08FB">
        <w:rPr>
          <w:rFonts w:ascii="Times New Roman" w:hAnsi="Times New Roman"/>
          <w:szCs w:val="24"/>
        </w:rPr>
        <w:t>David S. Berman, MPA, MPH, Director of Programs and Evaluation for the NYC Center for Economic Opportunity, in the Office of the Mayor</w:t>
      </w:r>
    </w:p>
    <w:p w14:paraId="74529296" w14:textId="77777777" w:rsidR="00747DA1" w:rsidRPr="007F08FB" w:rsidRDefault="00747DA1" w:rsidP="00C55EF8">
      <w:pPr>
        <w:pStyle w:val="L1-FlLSp12"/>
        <w:numPr>
          <w:ilvl w:val="0"/>
          <w:numId w:val="41"/>
        </w:numPr>
        <w:rPr>
          <w:rFonts w:ascii="Times New Roman" w:hAnsi="Times New Roman"/>
          <w:szCs w:val="24"/>
        </w:rPr>
      </w:pPr>
      <w:r w:rsidRPr="007F08FB">
        <w:rPr>
          <w:rFonts w:ascii="Times New Roman" w:hAnsi="Times New Roman"/>
          <w:szCs w:val="24"/>
        </w:rPr>
        <w:t>Mindy Feldbaum, Principal at the Collaboratory</w:t>
      </w:r>
    </w:p>
    <w:p w14:paraId="1ECE697F" w14:textId="77777777" w:rsidR="004A17B8" w:rsidRPr="00DC23B4" w:rsidRDefault="004A17B8" w:rsidP="00C55EF8">
      <w:pPr>
        <w:rPr>
          <w:rFonts w:ascii="Times New Roman" w:hAnsi="Times New Roman"/>
          <w:szCs w:val="24"/>
        </w:rPr>
      </w:pPr>
    </w:p>
    <w:p w14:paraId="6FB20147" w14:textId="5093E692" w:rsidR="00597D0F" w:rsidRDefault="00482BFA" w:rsidP="00C55EF8">
      <w:pPr>
        <w:rPr>
          <w:rFonts w:ascii="Times New Roman" w:hAnsi="Times New Roman"/>
          <w:b/>
          <w:szCs w:val="24"/>
        </w:rPr>
      </w:pPr>
      <w:r w:rsidRPr="007F08FB">
        <w:rPr>
          <w:rFonts w:ascii="Times New Roman" w:hAnsi="Times New Roman"/>
          <w:b/>
          <w:szCs w:val="24"/>
        </w:rPr>
        <w:t>A</w:t>
      </w:r>
      <w:r w:rsidR="00BD067B" w:rsidRPr="00DC23B4">
        <w:rPr>
          <w:rFonts w:ascii="Times New Roman" w:hAnsi="Times New Roman"/>
          <w:b/>
          <w:szCs w:val="24"/>
        </w:rPr>
        <w:t>.</w:t>
      </w:r>
      <w:r w:rsidRPr="007F08FB">
        <w:rPr>
          <w:rFonts w:ascii="Times New Roman" w:hAnsi="Times New Roman"/>
          <w:b/>
          <w:szCs w:val="24"/>
        </w:rPr>
        <w:t>9</w:t>
      </w:r>
      <w:r w:rsidRPr="007F08FB">
        <w:rPr>
          <w:rFonts w:ascii="Times New Roman" w:hAnsi="Times New Roman"/>
          <w:b/>
          <w:szCs w:val="24"/>
        </w:rPr>
        <w:tab/>
      </w:r>
      <w:r w:rsidR="00597D0F" w:rsidRPr="007F08FB">
        <w:rPr>
          <w:rFonts w:ascii="Times New Roman" w:hAnsi="Times New Roman"/>
          <w:b/>
          <w:szCs w:val="24"/>
        </w:rPr>
        <w:t>Payments/Gifts to Respondents</w:t>
      </w:r>
    </w:p>
    <w:p w14:paraId="55014C79" w14:textId="77777777" w:rsidR="0047706C" w:rsidRPr="00DC23B4" w:rsidRDefault="0047706C" w:rsidP="00C55EF8">
      <w:pPr>
        <w:rPr>
          <w:rFonts w:ascii="Times New Roman" w:hAnsi="Times New Roman"/>
          <w:b/>
          <w:szCs w:val="24"/>
        </w:rPr>
      </w:pPr>
    </w:p>
    <w:p w14:paraId="0320C33C" w14:textId="6EBFB788" w:rsidR="001C2957" w:rsidRDefault="003B677A" w:rsidP="00C55EF8">
      <w:pPr>
        <w:rPr>
          <w:rFonts w:ascii="Times New Roman" w:hAnsi="Times New Roman"/>
          <w:b/>
          <w:szCs w:val="24"/>
        </w:rPr>
      </w:pPr>
      <w:r>
        <w:rPr>
          <w:rFonts w:ascii="Times New Roman" w:hAnsi="Times New Roman"/>
          <w:szCs w:val="24"/>
        </w:rPr>
        <w:t>No payments or gifts will be provided to participants</w:t>
      </w:r>
      <w:r w:rsidR="00004795">
        <w:rPr>
          <w:rFonts w:ascii="Times New Roman" w:hAnsi="Times New Roman"/>
          <w:szCs w:val="24"/>
        </w:rPr>
        <w:t>.</w:t>
      </w:r>
    </w:p>
    <w:p w14:paraId="1AEE83DB" w14:textId="77777777" w:rsidR="001C2957" w:rsidRDefault="001C2957" w:rsidP="00C55EF8">
      <w:pPr>
        <w:rPr>
          <w:rFonts w:ascii="Times New Roman" w:hAnsi="Times New Roman"/>
          <w:b/>
          <w:szCs w:val="24"/>
        </w:rPr>
      </w:pPr>
    </w:p>
    <w:p w14:paraId="4B451EBC" w14:textId="77777777" w:rsidR="00597D0F" w:rsidRPr="00DC23B4" w:rsidRDefault="00482BFA" w:rsidP="00C55EF8">
      <w:pPr>
        <w:rPr>
          <w:rFonts w:ascii="Times New Roman" w:hAnsi="Times New Roman"/>
          <w:b/>
          <w:szCs w:val="24"/>
        </w:rPr>
      </w:pPr>
      <w:r w:rsidRPr="007F08FB">
        <w:rPr>
          <w:rFonts w:ascii="Times New Roman" w:hAnsi="Times New Roman"/>
          <w:b/>
          <w:szCs w:val="24"/>
        </w:rPr>
        <w:t>A</w:t>
      </w:r>
      <w:r w:rsidR="00BD067B" w:rsidRPr="00DC23B4">
        <w:rPr>
          <w:rFonts w:ascii="Times New Roman" w:hAnsi="Times New Roman"/>
          <w:b/>
          <w:szCs w:val="24"/>
        </w:rPr>
        <w:t>.</w:t>
      </w:r>
      <w:r w:rsidRPr="007F08FB">
        <w:rPr>
          <w:rFonts w:ascii="Times New Roman" w:hAnsi="Times New Roman"/>
          <w:b/>
          <w:szCs w:val="24"/>
        </w:rPr>
        <w:t>10</w:t>
      </w:r>
      <w:r w:rsidRPr="007F08FB">
        <w:rPr>
          <w:rFonts w:ascii="Times New Roman" w:hAnsi="Times New Roman"/>
          <w:b/>
          <w:szCs w:val="24"/>
        </w:rPr>
        <w:tab/>
      </w:r>
      <w:r w:rsidR="00597D0F" w:rsidRPr="007F08FB">
        <w:rPr>
          <w:rFonts w:ascii="Times New Roman" w:hAnsi="Times New Roman"/>
          <w:b/>
          <w:szCs w:val="24"/>
        </w:rPr>
        <w:t>Assurance of Privacy</w:t>
      </w:r>
    </w:p>
    <w:p w14:paraId="11DA914E" w14:textId="77777777" w:rsidR="001C2957" w:rsidRDefault="001C2957" w:rsidP="00C55EF8">
      <w:pPr>
        <w:pStyle w:val="SL-FlLftSgl"/>
        <w:keepNext/>
        <w:keepLines/>
        <w:rPr>
          <w:rFonts w:ascii="Times New Roman" w:hAnsi="Times New Roman"/>
          <w:szCs w:val="24"/>
        </w:rPr>
      </w:pPr>
    </w:p>
    <w:p w14:paraId="2517A26E" w14:textId="234E6BAE" w:rsidR="002D681D" w:rsidRPr="002D681D" w:rsidRDefault="002D681D" w:rsidP="002D681D">
      <w:pPr>
        <w:pStyle w:val="BodyText"/>
        <w:rPr>
          <w:sz w:val="24"/>
          <w:szCs w:val="24"/>
          <w:lang w:val="en-US"/>
        </w:rPr>
      </w:pPr>
      <w:r w:rsidRPr="002D681D">
        <w:rPr>
          <w:sz w:val="24"/>
          <w:szCs w:val="24"/>
          <w:lang w:val="en-US"/>
        </w:rPr>
        <w:t>Information collected will be kept private to the extent permitted by law.</w:t>
      </w:r>
    </w:p>
    <w:p w14:paraId="22CA4895" w14:textId="7FE59181" w:rsidR="001C3C29" w:rsidRPr="004B7547" w:rsidRDefault="007E66D1" w:rsidP="00C55EF8">
      <w:pPr>
        <w:pStyle w:val="BodyText"/>
        <w:rPr>
          <w:snapToGrid w:val="0"/>
          <w:sz w:val="24"/>
          <w:szCs w:val="24"/>
        </w:rPr>
      </w:pPr>
      <w:r w:rsidRPr="004B7547">
        <w:rPr>
          <w:sz w:val="24"/>
          <w:szCs w:val="24"/>
          <w:lang w:val="en-US"/>
        </w:rPr>
        <w:t>Westat and MDRC</w:t>
      </w:r>
      <w:r w:rsidRPr="004B7547">
        <w:rPr>
          <w:sz w:val="24"/>
          <w:szCs w:val="24"/>
        </w:rPr>
        <w:t xml:space="preserve"> are very cognizant of federal, state, and DOL data security requirements. All </w:t>
      </w:r>
      <w:r w:rsidRPr="004B7547">
        <w:rPr>
          <w:sz w:val="24"/>
          <w:szCs w:val="24"/>
          <w:lang w:val="en-US"/>
        </w:rPr>
        <w:t>Westat</w:t>
      </w:r>
      <w:r w:rsidRPr="004B7547">
        <w:rPr>
          <w:sz w:val="24"/>
          <w:szCs w:val="24"/>
        </w:rPr>
        <w:t xml:space="preserve"> and </w:t>
      </w:r>
      <w:r w:rsidRPr="004B7547">
        <w:rPr>
          <w:sz w:val="24"/>
          <w:szCs w:val="24"/>
          <w:lang w:val="en-US"/>
        </w:rPr>
        <w:t>MDRC</w:t>
      </w:r>
      <w:r w:rsidRPr="004B7547">
        <w:rPr>
          <w:sz w:val="24"/>
          <w:szCs w:val="24"/>
        </w:rPr>
        <w:t xml:space="preserve"> study staff will comply with relevant policies related to secure data collection, data storage and access, and data dissemination and analysis. </w:t>
      </w:r>
      <w:r w:rsidR="00810424">
        <w:rPr>
          <w:sz w:val="24"/>
          <w:szCs w:val="24"/>
          <w:lang w:val="en-US"/>
        </w:rPr>
        <w:t>No personally</w:t>
      </w:r>
      <w:r w:rsidR="00810424" w:rsidRPr="00810424">
        <w:rPr>
          <w:sz w:val="24"/>
          <w:szCs w:val="24"/>
          <w:lang w:val="en-US"/>
        </w:rPr>
        <w:t xml:space="preserve"> identifiable information</w:t>
      </w:r>
      <w:r w:rsidR="00810424">
        <w:rPr>
          <w:sz w:val="24"/>
          <w:szCs w:val="24"/>
          <w:lang w:val="en-US"/>
        </w:rPr>
        <w:t xml:space="preserve"> (PII) is collected as part of this request. </w:t>
      </w:r>
      <w:r w:rsidR="001C3C29" w:rsidRPr="004B7547">
        <w:rPr>
          <w:snapToGrid w:val="0"/>
          <w:sz w:val="24"/>
          <w:szCs w:val="24"/>
        </w:rPr>
        <w:t xml:space="preserve">The evaluation team will take the following precautions to ensure the </w:t>
      </w:r>
      <w:r w:rsidR="00332B67" w:rsidRPr="004B7547">
        <w:rPr>
          <w:snapToGrid w:val="0"/>
          <w:sz w:val="24"/>
          <w:szCs w:val="24"/>
        </w:rPr>
        <w:t xml:space="preserve">privacy </w:t>
      </w:r>
      <w:r w:rsidR="001C3C29" w:rsidRPr="004B7547">
        <w:rPr>
          <w:snapToGrid w:val="0"/>
          <w:sz w:val="24"/>
          <w:szCs w:val="24"/>
        </w:rPr>
        <w:t>and anonymity of all data collected:</w:t>
      </w:r>
    </w:p>
    <w:p w14:paraId="454F3440" w14:textId="11FE811A" w:rsidR="001C3C29" w:rsidRPr="0038073C" w:rsidRDefault="001C3C29" w:rsidP="00C55EF8">
      <w:pPr>
        <w:pStyle w:val="N2-2ndBullet"/>
        <w:keepNext/>
        <w:keepLines/>
        <w:widowControl w:val="0"/>
        <w:numPr>
          <w:ilvl w:val="0"/>
          <w:numId w:val="59"/>
        </w:numPr>
        <w:spacing w:after="120"/>
        <w:ind w:left="720"/>
        <w:rPr>
          <w:rFonts w:ascii="Times New Roman" w:hAnsi="Times New Roman"/>
          <w:szCs w:val="22"/>
        </w:rPr>
      </w:pPr>
      <w:r w:rsidRPr="0038073C">
        <w:rPr>
          <w:rFonts w:ascii="Times New Roman" w:hAnsi="Times New Roman"/>
          <w:szCs w:val="22"/>
        </w:rPr>
        <w:t>All project staff, including research analysts, and systems analysts, will be instructed in the</w:t>
      </w:r>
      <w:r w:rsidR="00332B67">
        <w:rPr>
          <w:rFonts w:ascii="Times New Roman" w:hAnsi="Times New Roman"/>
          <w:szCs w:val="22"/>
        </w:rPr>
        <w:t xml:space="preserve"> privacy</w:t>
      </w:r>
      <w:r w:rsidRPr="0038073C">
        <w:rPr>
          <w:rFonts w:ascii="Times New Roman" w:hAnsi="Times New Roman"/>
          <w:szCs w:val="22"/>
        </w:rPr>
        <w:t xml:space="preserve"> requirements of the data and will be required to sign statements affirming their obligation to maintain </w:t>
      </w:r>
      <w:r w:rsidR="00332B67">
        <w:rPr>
          <w:rFonts w:ascii="Times New Roman" w:hAnsi="Times New Roman"/>
          <w:szCs w:val="22"/>
        </w:rPr>
        <w:t>privacy</w:t>
      </w:r>
      <w:r w:rsidRPr="0038073C">
        <w:rPr>
          <w:rFonts w:ascii="Times New Roman" w:hAnsi="Times New Roman"/>
          <w:szCs w:val="22"/>
        </w:rPr>
        <w:t>;</w:t>
      </w:r>
    </w:p>
    <w:p w14:paraId="0A9456F7" w14:textId="2588F2AF" w:rsidR="001C3C29" w:rsidRPr="0038073C" w:rsidRDefault="001C3C29" w:rsidP="00C55EF8">
      <w:pPr>
        <w:pStyle w:val="N2-2ndBullet"/>
        <w:widowControl w:val="0"/>
        <w:numPr>
          <w:ilvl w:val="0"/>
          <w:numId w:val="59"/>
        </w:numPr>
        <w:spacing w:after="120"/>
        <w:ind w:left="720"/>
        <w:rPr>
          <w:rFonts w:ascii="Times New Roman" w:hAnsi="Times New Roman"/>
          <w:szCs w:val="22"/>
        </w:rPr>
      </w:pPr>
      <w:r w:rsidRPr="0038073C">
        <w:rPr>
          <w:rFonts w:ascii="Times New Roman" w:hAnsi="Times New Roman"/>
          <w:szCs w:val="22"/>
        </w:rPr>
        <w:t xml:space="preserve">Only </w:t>
      </w:r>
      <w:r w:rsidR="00277E6C">
        <w:rPr>
          <w:rFonts w:ascii="Times New Roman" w:hAnsi="Times New Roman"/>
          <w:szCs w:val="22"/>
        </w:rPr>
        <w:t>evaluation team</w:t>
      </w:r>
      <w:r w:rsidR="00277E6C" w:rsidRPr="0038073C">
        <w:rPr>
          <w:rFonts w:ascii="Times New Roman" w:hAnsi="Times New Roman"/>
          <w:szCs w:val="22"/>
        </w:rPr>
        <w:t xml:space="preserve"> </w:t>
      </w:r>
      <w:r w:rsidR="00277E6C">
        <w:rPr>
          <w:rFonts w:ascii="Times New Roman" w:hAnsi="Times New Roman"/>
          <w:szCs w:val="22"/>
        </w:rPr>
        <w:t>members</w:t>
      </w:r>
      <w:r w:rsidRPr="0038073C">
        <w:rPr>
          <w:rFonts w:ascii="Times New Roman" w:hAnsi="Times New Roman"/>
          <w:szCs w:val="22"/>
        </w:rPr>
        <w:t xml:space="preserve"> who are authorized to work on the project access to </w:t>
      </w:r>
      <w:r w:rsidR="00CF629F">
        <w:rPr>
          <w:rFonts w:ascii="Times New Roman" w:hAnsi="Times New Roman"/>
          <w:szCs w:val="22"/>
        </w:rPr>
        <w:t xml:space="preserve">respondent </w:t>
      </w:r>
      <w:r w:rsidRPr="0038073C">
        <w:rPr>
          <w:rFonts w:ascii="Times New Roman" w:hAnsi="Times New Roman"/>
          <w:szCs w:val="22"/>
        </w:rPr>
        <w:t>contact information, completed survey instruments, and data files.</w:t>
      </w:r>
    </w:p>
    <w:p w14:paraId="77D901CB" w14:textId="77777777" w:rsidR="001C3C29" w:rsidRPr="0038073C" w:rsidRDefault="001C3C29" w:rsidP="00C55EF8">
      <w:pPr>
        <w:pStyle w:val="N2-2ndBullet"/>
        <w:widowControl w:val="0"/>
        <w:numPr>
          <w:ilvl w:val="0"/>
          <w:numId w:val="59"/>
        </w:numPr>
        <w:spacing w:after="120"/>
        <w:ind w:left="720"/>
        <w:rPr>
          <w:rFonts w:ascii="Times New Roman" w:hAnsi="Times New Roman"/>
          <w:szCs w:val="22"/>
        </w:rPr>
      </w:pPr>
      <w:r w:rsidRPr="0038073C">
        <w:rPr>
          <w:rFonts w:ascii="Times New Roman" w:hAnsi="Times New Roman"/>
          <w:szCs w:val="22"/>
        </w:rPr>
        <w:t xml:space="preserve">Data files that are delivered will contain no personal identifiers for respondents; </w:t>
      </w:r>
    </w:p>
    <w:p w14:paraId="5B26AE33" w14:textId="77777777" w:rsidR="001C3C29" w:rsidRDefault="001C3C29" w:rsidP="00C55EF8">
      <w:pPr>
        <w:pStyle w:val="N2-2ndBullet"/>
        <w:widowControl w:val="0"/>
        <w:numPr>
          <w:ilvl w:val="0"/>
          <w:numId w:val="59"/>
        </w:numPr>
        <w:spacing w:after="120"/>
        <w:ind w:left="720"/>
        <w:rPr>
          <w:rFonts w:ascii="Times New Roman" w:hAnsi="Times New Roman"/>
          <w:szCs w:val="22"/>
        </w:rPr>
      </w:pPr>
      <w:r w:rsidRPr="0038073C">
        <w:rPr>
          <w:rFonts w:ascii="Times New Roman" w:hAnsi="Times New Roman"/>
          <w:szCs w:val="22"/>
        </w:rPr>
        <w:t xml:space="preserve">All data will be transferred via a secure file transfer protocol (FTP); </w:t>
      </w:r>
      <w:r w:rsidR="00132D50">
        <w:rPr>
          <w:rFonts w:ascii="Times New Roman" w:hAnsi="Times New Roman"/>
          <w:szCs w:val="22"/>
        </w:rPr>
        <w:t>and</w:t>
      </w:r>
    </w:p>
    <w:p w14:paraId="75F5B244" w14:textId="62514B38" w:rsidR="001C3C29" w:rsidRPr="0038073C" w:rsidRDefault="001C3C29" w:rsidP="00C55EF8">
      <w:pPr>
        <w:pStyle w:val="N2-2ndBullet"/>
        <w:widowControl w:val="0"/>
        <w:numPr>
          <w:ilvl w:val="0"/>
          <w:numId w:val="59"/>
        </w:numPr>
        <w:spacing w:after="120"/>
        <w:ind w:left="720"/>
        <w:rPr>
          <w:rFonts w:ascii="Times New Roman" w:hAnsi="Times New Roman"/>
          <w:szCs w:val="22"/>
        </w:rPr>
      </w:pPr>
      <w:r w:rsidRPr="0038073C">
        <w:rPr>
          <w:rFonts w:ascii="Times New Roman" w:hAnsi="Times New Roman"/>
          <w:szCs w:val="22"/>
        </w:rPr>
        <w:t xml:space="preserve">Analysis and publication of </w:t>
      </w:r>
      <w:r>
        <w:rPr>
          <w:rFonts w:ascii="Times New Roman" w:hAnsi="Times New Roman"/>
          <w:szCs w:val="22"/>
        </w:rPr>
        <w:t xml:space="preserve">project </w:t>
      </w:r>
      <w:r w:rsidRPr="0038073C">
        <w:rPr>
          <w:rFonts w:ascii="Times New Roman" w:hAnsi="Times New Roman"/>
          <w:szCs w:val="22"/>
        </w:rPr>
        <w:t>findings will be in terms of aggregated statistics only.</w:t>
      </w:r>
    </w:p>
    <w:p w14:paraId="5194DC1E" w14:textId="77777777" w:rsidR="00000C19" w:rsidRDefault="00000C19" w:rsidP="00C55EF8">
      <w:pPr>
        <w:spacing w:line="276" w:lineRule="auto"/>
        <w:rPr>
          <w:rFonts w:ascii="Times New Roman" w:hAnsi="Times New Roman"/>
          <w:szCs w:val="24"/>
        </w:rPr>
      </w:pPr>
    </w:p>
    <w:p w14:paraId="3256FBE4" w14:textId="4C1EE7C2" w:rsidR="00E62A6F" w:rsidRDefault="00E62A6F" w:rsidP="00C55EF8">
      <w:pPr>
        <w:spacing w:line="276" w:lineRule="auto"/>
        <w:rPr>
          <w:rFonts w:ascii="Times New Roman" w:hAnsi="Times New Roman"/>
          <w:szCs w:val="24"/>
        </w:rPr>
      </w:pPr>
      <w:r w:rsidRPr="007F08FB">
        <w:rPr>
          <w:rFonts w:ascii="Times New Roman" w:hAnsi="Times New Roman"/>
          <w:szCs w:val="24"/>
        </w:rPr>
        <w:t xml:space="preserve">All </w:t>
      </w:r>
      <w:r w:rsidR="00000C19">
        <w:rPr>
          <w:rFonts w:ascii="Times New Roman" w:hAnsi="Times New Roman"/>
          <w:szCs w:val="24"/>
        </w:rPr>
        <w:t>respondents</w:t>
      </w:r>
      <w:r w:rsidR="00000C19" w:rsidRPr="007F08FB">
        <w:rPr>
          <w:rFonts w:ascii="Times New Roman" w:hAnsi="Times New Roman"/>
          <w:szCs w:val="24"/>
        </w:rPr>
        <w:t xml:space="preserve"> </w:t>
      </w:r>
      <w:r w:rsidRPr="007F08FB">
        <w:rPr>
          <w:rFonts w:ascii="Times New Roman" w:hAnsi="Times New Roman"/>
          <w:szCs w:val="24"/>
        </w:rPr>
        <w:t>will be informed that the information collected will be reported in aggregate form only and no reported information will identify any individuals</w:t>
      </w:r>
      <w:r w:rsidR="00A971F1">
        <w:rPr>
          <w:rFonts w:ascii="Times New Roman" w:hAnsi="Times New Roman"/>
          <w:szCs w:val="24"/>
        </w:rPr>
        <w:t xml:space="preserve"> or organizations</w:t>
      </w:r>
      <w:r w:rsidRPr="007F08FB">
        <w:rPr>
          <w:rFonts w:ascii="Times New Roman" w:hAnsi="Times New Roman"/>
          <w:szCs w:val="24"/>
        </w:rPr>
        <w:t xml:space="preserve">. </w:t>
      </w:r>
    </w:p>
    <w:p w14:paraId="01DCB0F3" w14:textId="77777777" w:rsidR="00E62A6F" w:rsidRDefault="00E62A6F" w:rsidP="00C55EF8">
      <w:pPr>
        <w:spacing w:line="276" w:lineRule="auto"/>
        <w:rPr>
          <w:rFonts w:ascii="Times New Roman" w:hAnsi="Times New Roman"/>
          <w:szCs w:val="24"/>
        </w:rPr>
      </w:pPr>
    </w:p>
    <w:p w14:paraId="0A7D001F" w14:textId="4585767C" w:rsidR="00E62A6F" w:rsidRDefault="00E62A6F" w:rsidP="00C55EF8">
      <w:pPr>
        <w:pStyle w:val="L1-FlLSp12"/>
        <w:spacing w:line="276" w:lineRule="auto"/>
        <w:rPr>
          <w:rFonts w:ascii="Times New Roman" w:hAnsi="Times New Roman"/>
          <w:szCs w:val="24"/>
        </w:rPr>
      </w:pPr>
      <w:r w:rsidRPr="007F08FB">
        <w:rPr>
          <w:rFonts w:ascii="Times New Roman" w:hAnsi="Times New Roman"/>
          <w:szCs w:val="24"/>
        </w:rPr>
        <w:t>Access to the online surveys will require a unique PIN provided to the respondent. Survey data collection will use secure sockets layer encryption technology to ensure that information is secure and protected.</w:t>
      </w:r>
    </w:p>
    <w:p w14:paraId="787A4E52" w14:textId="77777777" w:rsidR="00E62A6F" w:rsidRDefault="00E62A6F" w:rsidP="00C55EF8">
      <w:pPr>
        <w:pStyle w:val="L1-FlLSp12"/>
        <w:spacing w:line="276" w:lineRule="auto"/>
        <w:rPr>
          <w:rFonts w:ascii="Times New Roman" w:hAnsi="Times New Roman"/>
          <w:szCs w:val="24"/>
        </w:rPr>
      </w:pPr>
    </w:p>
    <w:p w14:paraId="071BA54E" w14:textId="2C3ADBF2" w:rsidR="00E62A6F" w:rsidRPr="007F08FB" w:rsidRDefault="00E62A6F" w:rsidP="00C55EF8">
      <w:pPr>
        <w:spacing w:line="276" w:lineRule="auto"/>
        <w:rPr>
          <w:rFonts w:ascii="Times New Roman" w:hAnsi="Times New Roman"/>
          <w:szCs w:val="24"/>
        </w:rPr>
      </w:pPr>
      <w:r w:rsidRPr="007F08FB">
        <w:rPr>
          <w:rFonts w:ascii="Times New Roman" w:hAnsi="Times New Roman"/>
          <w:szCs w:val="24"/>
        </w:rPr>
        <w:t xml:space="preserve">Recordings will be made of the interviews, subject to respondent approval. Interviewers </w:t>
      </w:r>
      <w:r w:rsidR="00E55341">
        <w:rPr>
          <w:rFonts w:ascii="Times New Roman" w:hAnsi="Times New Roman"/>
          <w:szCs w:val="24"/>
        </w:rPr>
        <w:t xml:space="preserve">conducted during site visits </w:t>
      </w:r>
      <w:r w:rsidRPr="007F08FB">
        <w:rPr>
          <w:rFonts w:ascii="Times New Roman" w:hAnsi="Times New Roman"/>
          <w:szCs w:val="24"/>
        </w:rPr>
        <w:t>will ensure a private meeting space. Written materials and analyses from the interviews to be used as part of study reports will be prepared in such a way as to protect the identity of individuals. Only study team staff present at the interviews, the principal investigator, project director, and selected staff helping transcribe the recordings will have access to the notes. Notes will be securely stored in protected electronic files or locked cabinets. Only the staff members present at the interviews or transcribing the recordings will have access to the recordings. All staff</w:t>
      </w:r>
      <w:r w:rsidR="00E55341">
        <w:rPr>
          <w:rFonts w:ascii="Times New Roman" w:hAnsi="Times New Roman"/>
          <w:szCs w:val="24"/>
        </w:rPr>
        <w:t xml:space="preserve"> conducting interviews</w:t>
      </w:r>
      <w:r w:rsidRPr="007F08FB">
        <w:rPr>
          <w:rFonts w:ascii="Times New Roman" w:hAnsi="Times New Roman"/>
          <w:szCs w:val="24"/>
        </w:rPr>
        <w:t xml:space="preserve">, project leadership, and transcribing staff will sign privacy agreements before the interviews are conducted or before working with the data. </w:t>
      </w:r>
    </w:p>
    <w:p w14:paraId="4AA15FE7" w14:textId="77777777" w:rsidR="00E62A6F" w:rsidRPr="007F08FB" w:rsidRDefault="00E62A6F" w:rsidP="00C55EF8">
      <w:pPr>
        <w:pStyle w:val="L1-FlLSp12"/>
        <w:spacing w:line="276" w:lineRule="auto"/>
        <w:rPr>
          <w:rFonts w:ascii="Times New Roman" w:hAnsi="Times New Roman"/>
          <w:szCs w:val="24"/>
        </w:rPr>
      </w:pPr>
    </w:p>
    <w:p w14:paraId="2BE8EE18" w14:textId="77777777" w:rsidR="00C56C6C" w:rsidRDefault="00C56C6C" w:rsidP="00C55EF8">
      <w:pPr>
        <w:spacing w:line="276" w:lineRule="auto"/>
        <w:rPr>
          <w:rFonts w:ascii="Times New Roman" w:hAnsi="Times New Roman"/>
          <w:szCs w:val="24"/>
        </w:rPr>
      </w:pPr>
      <w:r w:rsidRPr="007F08FB">
        <w:rPr>
          <w:rFonts w:ascii="Times New Roman" w:hAnsi="Times New Roman"/>
          <w:szCs w:val="24"/>
        </w:rPr>
        <w:t>When not in use, all completed hardcopy documents will be stored in locked file cabinets or locked storage rooms. Unless otherwise required by DOL, these documents will be destroyed when no longer needed for the project. Evaluation team members working with the collected data will have previously undergone background checks that may include filling out an SF-85 or SF-85P form, authorizing credit checks, or being fingerprinted.</w:t>
      </w:r>
    </w:p>
    <w:p w14:paraId="4E26BF1F" w14:textId="77777777" w:rsidR="00C56C6C" w:rsidRPr="00DC23B4" w:rsidRDefault="00C56C6C" w:rsidP="00C55EF8">
      <w:pPr>
        <w:rPr>
          <w:rFonts w:ascii="Times New Roman" w:hAnsi="Times New Roman"/>
          <w:szCs w:val="24"/>
        </w:rPr>
      </w:pPr>
    </w:p>
    <w:p w14:paraId="3F7EE7B9" w14:textId="77777777" w:rsidR="00597D0F" w:rsidRPr="007F08FB" w:rsidRDefault="00482BFA" w:rsidP="00C55EF8">
      <w:pPr>
        <w:rPr>
          <w:rFonts w:ascii="Times New Roman" w:hAnsi="Times New Roman"/>
          <w:b/>
          <w:szCs w:val="24"/>
        </w:rPr>
      </w:pPr>
      <w:r w:rsidRPr="00DC23B4">
        <w:rPr>
          <w:rFonts w:ascii="Times New Roman" w:hAnsi="Times New Roman"/>
          <w:b/>
          <w:szCs w:val="24"/>
        </w:rPr>
        <w:t>A</w:t>
      </w:r>
      <w:r w:rsidR="00AD7D86" w:rsidRPr="00DC23B4">
        <w:rPr>
          <w:rFonts w:ascii="Times New Roman" w:hAnsi="Times New Roman"/>
          <w:b/>
          <w:szCs w:val="24"/>
        </w:rPr>
        <w:t>.</w:t>
      </w:r>
      <w:r w:rsidRPr="00DC23B4">
        <w:rPr>
          <w:rFonts w:ascii="Times New Roman" w:hAnsi="Times New Roman"/>
          <w:b/>
          <w:szCs w:val="24"/>
        </w:rPr>
        <w:t>11</w:t>
      </w:r>
      <w:r w:rsidRPr="00DC23B4">
        <w:rPr>
          <w:rFonts w:ascii="Times New Roman" w:hAnsi="Times New Roman"/>
          <w:b/>
          <w:szCs w:val="24"/>
        </w:rPr>
        <w:tab/>
      </w:r>
      <w:r w:rsidR="00512126" w:rsidRPr="000B04FD">
        <w:rPr>
          <w:rFonts w:ascii="Times New Roman" w:hAnsi="Times New Roman"/>
          <w:b/>
          <w:szCs w:val="24"/>
        </w:rPr>
        <w:t xml:space="preserve">Justification of </w:t>
      </w:r>
      <w:r w:rsidR="00597D0F" w:rsidRPr="00FA03FB">
        <w:rPr>
          <w:rFonts w:ascii="Times New Roman" w:hAnsi="Times New Roman"/>
          <w:b/>
          <w:szCs w:val="24"/>
        </w:rPr>
        <w:t>Questions of a Sensitive Nature</w:t>
      </w:r>
    </w:p>
    <w:p w14:paraId="028C676C" w14:textId="77777777" w:rsidR="00AD7D86" w:rsidRPr="00DC23B4" w:rsidRDefault="00AD7D86" w:rsidP="00C55EF8">
      <w:pPr>
        <w:rPr>
          <w:rFonts w:ascii="Times New Roman" w:hAnsi="Times New Roman"/>
          <w:b/>
          <w:szCs w:val="24"/>
        </w:rPr>
      </w:pPr>
    </w:p>
    <w:p w14:paraId="35428B9A" w14:textId="2C1F58E0" w:rsidR="00AD7D86" w:rsidRPr="00DC23B4" w:rsidRDefault="00000C19" w:rsidP="00C55EF8">
      <w:pPr>
        <w:spacing w:line="276" w:lineRule="auto"/>
        <w:contextualSpacing/>
        <w:rPr>
          <w:rFonts w:ascii="Times New Roman" w:hAnsi="Times New Roman"/>
          <w:szCs w:val="24"/>
          <w:shd w:val="clear" w:color="auto" w:fill="FFFFFF"/>
        </w:rPr>
      </w:pPr>
      <w:r>
        <w:rPr>
          <w:rFonts w:ascii="Times New Roman" w:hAnsi="Times New Roman"/>
          <w:szCs w:val="24"/>
          <w:shd w:val="clear" w:color="auto" w:fill="FFFFFF"/>
        </w:rPr>
        <w:t xml:space="preserve">Respondents </w:t>
      </w:r>
      <w:r w:rsidR="006C674D">
        <w:rPr>
          <w:rFonts w:ascii="Times New Roman" w:hAnsi="Times New Roman"/>
          <w:szCs w:val="24"/>
          <w:shd w:val="clear" w:color="auto" w:fill="FFFFFF"/>
        </w:rPr>
        <w:t>will not be asked questions of a sensitive nature.</w:t>
      </w:r>
    </w:p>
    <w:p w14:paraId="54F2715B" w14:textId="77777777" w:rsidR="00C31FB9" w:rsidRPr="00FA03FB" w:rsidRDefault="00C31FB9" w:rsidP="00C55EF8">
      <w:pPr>
        <w:spacing w:line="276" w:lineRule="auto"/>
        <w:rPr>
          <w:szCs w:val="24"/>
        </w:rPr>
      </w:pPr>
    </w:p>
    <w:p w14:paraId="73F384CD" w14:textId="77777777" w:rsidR="00597D0F" w:rsidRPr="00FD004E" w:rsidRDefault="00482BFA" w:rsidP="00C55EF8">
      <w:pPr>
        <w:rPr>
          <w:rFonts w:ascii="Times New Roman" w:hAnsi="Times New Roman"/>
          <w:b/>
          <w:szCs w:val="24"/>
        </w:rPr>
      </w:pPr>
      <w:r w:rsidRPr="00FD004E">
        <w:rPr>
          <w:rFonts w:ascii="Times New Roman" w:hAnsi="Times New Roman"/>
          <w:b/>
          <w:szCs w:val="24"/>
        </w:rPr>
        <w:t>A</w:t>
      </w:r>
      <w:r w:rsidR="00AD7D86" w:rsidRPr="00FD004E">
        <w:rPr>
          <w:rFonts w:ascii="Times New Roman" w:hAnsi="Times New Roman"/>
          <w:b/>
          <w:szCs w:val="24"/>
        </w:rPr>
        <w:t>.</w:t>
      </w:r>
      <w:r w:rsidRPr="00FD004E">
        <w:rPr>
          <w:rFonts w:ascii="Times New Roman" w:hAnsi="Times New Roman"/>
          <w:b/>
          <w:szCs w:val="24"/>
        </w:rPr>
        <w:t>12</w:t>
      </w:r>
      <w:r w:rsidRPr="00FD004E">
        <w:rPr>
          <w:rFonts w:ascii="Times New Roman" w:hAnsi="Times New Roman"/>
          <w:b/>
          <w:szCs w:val="24"/>
        </w:rPr>
        <w:tab/>
      </w:r>
      <w:r w:rsidR="00597D0F" w:rsidRPr="00FD004E">
        <w:rPr>
          <w:rFonts w:ascii="Times New Roman" w:hAnsi="Times New Roman"/>
          <w:b/>
          <w:szCs w:val="24"/>
        </w:rPr>
        <w:t>Estimate of Annualized Burden Hours and Costs</w:t>
      </w:r>
    </w:p>
    <w:p w14:paraId="603A9705" w14:textId="77777777" w:rsidR="00AD7D86" w:rsidRPr="00FD004E" w:rsidRDefault="00AD7D86" w:rsidP="00C55EF8">
      <w:pPr>
        <w:rPr>
          <w:rFonts w:ascii="Times New Roman" w:hAnsi="Times New Roman"/>
          <w:b/>
          <w:szCs w:val="24"/>
        </w:rPr>
      </w:pPr>
    </w:p>
    <w:p w14:paraId="42C0800B" w14:textId="5B240B84" w:rsidR="00267DDC" w:rsidRPr="00FD004E" w:rsidRDefault="00304846" w:rsidP="00C55EF8">
      <w:pPr>
        <w:pStyle w:val="L1-FlLSp12"/>
        <w:spacing w:line="276" w:lineRule="auto"/>
        <w:rPr>
          <w:rFonts w:ascii="Times New Roman" w:hAnsi="Times New Roman"/>
        </w:rPr>
      </w:pPr>
      <w:r w:rsidRPr="00FD004E">
        <w:rPr>
          <w:rFonts w:ascii="Times New Roman" w:hAnsi="Times New Roman"/>
          <w:szCs w:val="24"/>
        </w:rPr>
        <w:t>Table A.</w:t>
      </w:r>
      <w:r w:rsidR="00D44ECA" w:rsidRPr="00FD004E">
        <w:rPr>
          <w:rFonts w:ascii="Times New Roman" w:hAnsi="Times New Roman"/>
          <w:szCs w:val="24"/>
        </w:rPr>
        <w:t>1</w:t>
      </w:r>
      <w:r w:rsidRPr="00FD004E">
        <w:rPr>
          <w:rFonts w:ascii="Times New Roman" w:hAnsi="Times New Roman"/>
          <w:szCs w:val="24"/>
        </w:rPr>
        <w:t>2</w:t>
      </w:r>
      <w:r w:rsidR="00160B00">
        <w:rPr>
          <w:rFonts w:ascii="Times New Roman" w:hAnsi="Times New Roman"/>
          <w:szCs w:val="24"/>
        </w:rPr>
        <w:t xml:space="preserve"> </w:t>
      </w:r>
      <w:r w:rsidRPr="00FD004E">
        <w:rPr>
          <w:rFonts w:ascii="Times New Roman" w:hAnsi="Times New Roman"/>
          <w:szCs w:val="24"/>
        </w:rPr>
        <w:t xml:space="preserve">presents the </w:t>
      </w:r>
      <w:r w:rsidR="00267DDC" w:rsidRPr="00FD004E">
        <w:rPr>
          <w:rFonts w:ascii="Times New Roman" w:hAnsi="Times New Roman"/>
          <w:szCs w:val="24"/>
        </w:rPr>
        <w:t xml:space="preserve">estimated </w:t>
      </w:r>
      <w:r w:rsidR="00160B00">
        <w:rPr>
          <w:rFonts w:ascii="Times New Roman" w:hAnsi="Times New Roman"/>
          <w:szCs w:val="24"/>
        </w:rPr>
        <w:t xml:space="preserve">respondent hour and cost </w:t>
      </w:r>
      <w:r w:rsidRPr="00FD004E">
        <w:rPr>
          <w:rFonts w:ascii="Times New Roman" w:hAnsi="Times New Roman"/>
          <w:szCs w:val="24"/>
        </w:rPr>
        <w:t>burden.</w:t>
      </w:r>
      <w:r w:rsidR="00847F3C" w:rsidRPr="00FD004E">
        <w:rPr>
          <w:rFonts w:ascii="Times New Roman" w:hAnsi="Times New Roman"/>
          <w:szCs w:val="24"/>
        </w:rPr>
        <w:t xml:space="preserve"> </w:t>
      </w:r>
      <w:bookmarkStart w:id="2" w:name="_Toc282508099"/>
      <w:r w:rsidR="00AF5402">
        <w:rPr>
          <w:rFonts w:ascii="Times New Roman" w:hAnsi="Times New Roman"/>
        </w:rPr>
        <w:t>B</w:t>
      </w:r>
      <w:r w:rsidR="00764C9E">
        <w:rPr>
          <w:rFonts w:ascii="Times New Roman" w:hAnsi="Times New Roman"/>
        </w:rPr>
        <w:t>urden estimates are annualized</w:t>
      </w:r>
      <w:r w:rsidR="00AF5402">
        <w:rPr>
          <w:rFonts w:ascii="Times New Roman" w:hAnsi="Times New Roman"/>
        </w:rPr>
        <w:t xml:space="preserve"> over a three-year period</w:t>
      </w:r>
      <w:r w:rsidR="00764C9E">
        <w:rPr>
          <w:rFonts w:ascii="Times New Roman" w:hAnsi="Times New Roman"/>
        </w:rPr>
        <w:t xml:space="preserve">. </w:t>
      </w:r>
      <w:r w:rsidR="00267DDC" w:rsidRPr="00FD004E">
        <w:rPr>
          <w:rFonts w:ascii="Times New Roman" w:hAnsi="Times New Roman"/>
        </w:rPr>
        <w:t>Burden estimates are based on the contractor’s experience conducting similar data collections</w:t>
      </w:r>
      <w:r w:rsidR="00160B00">
        <w:rPr>
          <w:rFonts w:ascii="Times New Roman" w:hAnsi="Times New Roman"/>
        </w:rPr>
        <w:t xml:space="preserve"> and BLS based </w:t>
      </w:r>
      <w:r w:rsidR="00FD407A">
        <w:rPr>
          <w:rFonts w:ascii="Times New Roman" w:hAnsi="Times New Roman"/>
        </w:rPr>
        <w:t xml:space="preserve">hourly </w:t>
      </w:r>
      <w:r w:rsidR="00160B00">
        <w:rPr>
          <w:rFonts w:ascii="Times New Roman" w:hAnsi="Times New Roman"/>
        </w:rPr>
        <w:t>wage rates</w:t>
      </w:r>
      <w:r w:rsidR="00267DDC" w:rsidRPr="00FD004E">
        <w:rPr>
          <w:rFonts w:ascii="Times New Roman" w:hAnsi="Times New Roman"/>
        </w:rPr>
        <w:t xml:space="preserve">. </w:t>
      </w:r>
    </w:p>
    <w:p w14:paraId="6DFD0F0B" w14:textId="77777777" w:rsidR="00267DDC" w:rsidRPr="00FD004E" w:rsidRDefault="00267DDC" w:rsidP="00C55EF8">
      <w:pPr>
        <w:pStyle w:val="L1-FlLSp12"/>
        <w:spacing w:line="276" w:lineRule="auto"/>
        <w:rPr>
          <w:rFonts w:ascii="Times New Roman" w:hAnsi="Times New Roman"/>
        </w:rPr>
      </w:pPr>
    </w:p>
    <w:p w14:paraId="20370C2A" w14:textId="4EE95537" w:rsidR="00B030C7" w:rsidRPr="00FD004E" w:rsidRDefault="00004795" w:rsidP="00C55EF8">
      <w:pPr>
        <w:pStyle w:val="L1-FlLSp12"/>
        <w:spacing w:line="276" w:lineRule="auto"/>
        <w:rPr>
          <w:rFonts w:ascii="Times New Roman" w:hAnsi="Times New Roman"/>
        </w:rPr>
      </w:pPr>
      <w:r>
        <w:rPr>
          <w:rFonts w:ascii="Times New Roman" w:hAnsi="Times New Roman"/>
        </w:rPr>
        <w:t xml:space="preserve">Grantee Survey: </w:t>
      </w:r>
      <w:r w:rsidR="00AF5402">
        <w:rPr>
          <w:rFonts w:ascii="Times New Roman" w:hAnsi="Times New Roman"/>
        </w:rPr>
        <w:t xml:space="preserve">The annual number of respondents for the grantee survey is (53 / 3) = 17.67. </w:t>
      </w:r>
      <w:r w:rsidR="006C74B1">
        <w:rPr>
          <w:rFonts w:ascii="Times New Roman" w:hAnsi="Times New Roman"/>
        </w:rPr>
        <w:t>The</w:t>
      </w:r>
      <w:r w:rsidR="00267DDC" w:rsidRPr="00FD004E">
        <w:rPr>
          <w:rFonts w:ascii="Times New Roman" w:hAnsi="Times New Roman"/>
        </w:rPr>
        <w:t xml:space="preserve"> </w:t>
      </w:r>
      <w:r w:rsidR="00696943">
        <w:rPr>
          <w:rFonts w:ascii="Times New Roman" w:hAnsi="Times New Roman"/>
        </w:rPr>
        <w:t>grantee survey</w:t>
      </w:r>
      <w:r w:rsidR="00696943" w:rsidRPr="00FD004E">
        <w:rPr>
          <w:rFonts w:ascii="Times New Roman" w:hAnsi="Times New Roman"/>
        </w:rPr>
        <w:t xml:space="preserve"> </w:t>
      </w:r>
      <w:r w:rsidR="00267DDC" w:rsidRPr="00FD004E">
        <w:rPr>
          <w:rFonts w:ascii="Times New Roman" w:hAnsi="Times New Roman"/>
        </w:rPr>
        <w:t xml:space="preserve">will take </w:t>
      </w:r>
      <w:r w:rsidR="006C74B1">
        <w:rPr>
          <w:rFonts w:ascii="Times New Roman" w:hAnsi="Times New Roman"/>
        </w:rPr>
        <w:t>respondents</w:t>
      </w:r>
      <w:r w:rsidR="00267DDC" w:rsidRPr="00FD004E">
        <w:rPr>
          <w:rFonts w:ascii="Times New Roman" w:hAnsi="Times New Roman"/>
        </w:rPr>
        <w:t xml:space="preserve"> </w:t>
      </w:r>
      <w:r w:rsidR="00DD656D">
        <w:rPr>
          <w:rFonts w:ascii="Times New Roman" w:hAnsi="Times New Roman"/>
        </w:rPr>
        <w:t>1 hour</w:t>
      </w:r>
      <w:r w:rsidR="00267DDC" w:rsidRPr="00FD004E">
        <w:rPr>
          <w:rFonts w:ascii="Times New Roman" w:hAnsi="Times New Roman"/>
        </w:rPr>
        <w:t xml:space="preserve"> on average to complete. The </w:t>
      </w:r>
      <w:r w:rsidR="00AF5402">
        <w:rPr>
          <w:rFonts w:ascii="Times New Roman" w:hAnsi="Times New Roman"/>
        </w:rPr>
        <w:t xml:space="preserve">annual </w:t>
      </w:r>
      <w:r w:rsidR="00267DDC" w:rsidRPr="00FD004E">
        <w:rPr>
          <w:rFonts w:ascii="Times New Roman" w:hAnsi="Times New Roman"/>
        </w:rPr>
        <w:t xml:space="preserve">burden hours for the </w:t>
      </w:r>
      <w:r w:rsidR="00DD656D">
        <w:rPr>
          <w:rFonts w:ascii="Times New Roman" w:hAnsi="Times New Roman"/>
        </w:rPr>
        <w:t xml:space="preserve">grantee survey </w:t>
      </w:r>
      <w:r w:rsidR="00267DDC" w:rsidRPr="00FD004E">
        <w:rPr>
          <w:rFonts w:ascii="Times New Roman" w:hAnsi="Times New Roman"/>
        </w:rPr>
        <w:t>are (</w:t>
      </w:r>
      <w:r w:rsidR="00AF5402">
        <w:rPr>
          <w:rFonts w:ascii="Times New Roman" w:hAnsi="Times New Roman"/>
        </w:rPr>
        <w:t>17.67</w:t>
      </w:r>
      <w:r w:rsidR="00267DDC" w:rsidRPr="00FD004E">
        <w:rPr>
          <w:rFonts w:ascii="Times New Roman" w:hAnsi="Times New Roman"/>
        </w:rPr>
        <w:t xml:space="preserve"> x </w:t>
      </w:r>
      <w:r w:rsidR="00DD656D">
        <w:rPr>
          <w:rFonts w:ascii="Times New Roman" w:hAnsi="Times New Roman"/>
        </w:rPr>
        <w:t>1</w:t>
      </w:r>
      <w:r w:rsidR="00160B00">
        <w:rPr>
          <w:rFonts w:ascii="Times New Roman" w:hAnsi="Times New Roman"/>
        </w:rPr>
        <w:t>)</w:t>
      </w:r>
      <w:r w:rsidR="00267DDC" w:rsidRPr="00FD004E">
        <w:rPr>
          <w:rFonts w:ascii="Times New Roman" w:hAnsi="Times New Roman"/>
        </w:rPr>
        <w:t xml:space="preserve"> = </w:t>
      </w:r>
      <w:r w:rsidR="008B7C99">
        <w:rPr>
          <w:rFonts w:ascii="Times New Roman" w:hAnsi="Times New Roman"/>
        </w:rPr>
        <w:t>18</w:t>
      </w:r>
      <w:r w:rsidR="00AF5402" w:rsidRPr="00FD004E">
        <w:rPr>
          <w:rFonts w:ascii="Times New Roman" w:hAnsi="Times New Roman"/>
        </w:rPr>
        <w:t xml:space="preserve"> </w:t>
      </w:r>
      <w:r w:rsidR="00267DDC" w:rsidRPr="00FD004E">
        <w:rPr>
          <w:rFonts w:ascii="Times New Roman" w:hAnsi="Times New Roman"/>
        </w:rPr>
        <w:t>hours</w:t>
      </w:r>
      <w:r w:rsidR="008B7C99">
        <w:rPr>
          <w:rFonts w:ascii="Times New Roman" w:hAnsi="Times New Roman"/>
        </w:rPr>
        <w:t xml:space="preserve"> (rounded)</w:t>
      </w:r>
      <w:r w:rsidR="00267DDC" w:rsidRPr="00FD004E">
        <w:rPr>
          <w:rFonts w:ascii="Times New Roman" w:hAnsi="Times New Roman"/>
        </w:rPr>
        <w:t xml:space="preserve">. </w:t>
      </w:r>
    </w:p>
    <w:p w14:paraId="7ADA61C6" w14:textId="77777777" w:rsidR="00B030C7" w:rsidRPr="00FD004E" w:rsidRDefault="00B030C7" w:rsidP="00C55EF8">
      <w:pPr>
        <w:pStyle w:val="L1-FlLSp12"/>
        <w:spacing w:line="276" w:lineRule="auto"/>
        <w:rPr>
          <w:rFonts w:ascii="Times New Roman" w:hAnsi="Times New Roman"/>
        </w:rPr>
      </w:pPr>
    </w:p>
    <w:p w14:paraId="2BD3DC78" w14:textId="5ED6C7A6" w:rsidR="006C74B1" w:rsidRDefault="00004795" w:rsidP="00C55EF8">
      <w:pPr>
        <w:pStyle w:val="L1-FlLSp12"/>
        <w:spacing w:line="276" w:lineRule="auto"/>
        <w:rPr>
          <w:rFonts w:ascii="Times New Roman" w:hAnsi="Times New Roman"/>
        </w:rPr>
      </w:pPr>
      <w:r>
        <w:rPr>
          <w:rFonts w:ascii="Times New Roman" w:hAnsi="Times New Roman"/>
        </w:rPr>
        <w:t xml:space="preserve">Grantee Telephone Interview: </w:t>
      </w:r>
      <w:r w:rsidR="006C74B1">
        <w:rPr>
          <w:rFonts w:ascii="Times New Roman" w:hAnsi="Times New Roman"/>
        </w:rPr>
        <w:t>The grantee telephone interviews will include up to 3 grantee staff—the project director, program manager, and one other staff member</w:t>
      </w:r>
      <w:r w:rsidR="006257E3">
        <w:rPr>
          <w:rFonts w:ascii="Times New Roman" w:hAnsi="Times New Roman"/>
        </w:rPr>
        <w:t xml:space="preserve"> as appropriate</w:t>
      </w:r>
      <w:r w:rsidR="006C74B1">
        <w:rPr>
          <w:rFonts w:ascii="Times New Roman" w:hAnsi="Times New Roman"/>
        </w:rPr>
        <w:t xml:space="preserve">. </w:t>
      </w:r>
      <w:r w:rsidR="00AF5402">
        <w:rPr>
          <w:rFonts w:ascii="Times New Roman" w:hAnsi="Times New Roman"/>
        </w:rPr>
        <w:t xml:space="preserve">The total number of respondents for the grantee telephone interview is (53 * 3) = 159. The annual number of respondents is (159 / 3) = 53. </w:t>
      </w:r>
      <w:r w:rsidR="006C74B1">
        <w:rPr>
          <w:rFonts w:ascii="Times New Roman" w:hAnsi="Times New Roman"/>
        </w:rPr>
        <w:t xml:space="preserve">The interviews will take one hour to complete. Therefore, the </w:t>
      </w:r>
      <w:r w:rsidR="00AF5402">
        <w:rPr>
          <w:rFonts w:ascii="Times New Roman" w:hAnsi="Times New Roman"/>
        </w:rPr>
        <w:t xml:space="preserve">annual </w:t>
      </w:r>
      <w:r w:rsidR="006C74B1">
        <w:rPr>
          <w:rFonts w:ascii="Times New Roman" w:hAnsi="Times New Roman"/>
        </w:rPr>
        <w:t xml:space="preserve">burden hours for the grantee telephone interviews are (53 x 1) = </w:t>
      </w:r>
      <w:r w:rsidR="00AF5402">
        <w:rPr>
          <w:rFonts w:ascii="Times New Roman" w:hAnsi="Times New Roman"/>
        </w:rPr>
        <w:t>53</w:t>
      </w:r>
      <w:r w:rsidR="006C74B1">
        <w:rPr>
          <w:rFonts w:ascii="Times New Roman" w:hAnsi="Times New Roman"/>
        </w:rPr>
        <w:t>.</w:t>
      </w:r>
    </w:p>
    <w:p w14:paraId="0B56D78E" w14:textId="77777777" w:rsidR="006C74B1" w:rsidRDefault="006C74B1" w:rsidP="00C55EF8">
      <w:pPr>
        <w:pStyle w:val="L1-FlLSp12"/>
        <w:spacing w:line="276" w:lineRule="auto"/>
        <w:rPr>
          <w:rFonts w:ascii="Times New Roman" w:hAnsi="Times New Roman"/>
        </w:rPr>
      </w:pPr>
    </w:p>
    <w:p w14:paraId="26E5E3D0" w14:textId="6155CDF5" w:rsidR="00B030C7" w:rsidRDefault="00004795" w:rsidP="00C55EF8">
      <w:pPr>
        <w:pStyle w:val="L1-FlLSp12"/>
        <w:spacing w:line="276" w:lineRule="auto"/>
        <w:rPr>
          <w:rFonts w:ascii="Times New Roman" w:hAnsi="Times New Roman"/>
        </w:rPr>
      </w:pPr>
      <w:r>
        <w:rPr>
          <w:rFonts w:ascii="Times New Roman" w:hAnsi="Times New Roman"/>
        </w:rPr>
        <w:t xml:space="preserve">Grantee Partner Survey: </w:t>
      </w:r>
      <w:r w:rsidR="002609AE">
        <w:rPr>
          <w:rFonts w:ascii="Times New Roman" w:hAnsi="Times New Roman"/>
        </w:rPr>
        <w:t>Based on grantee applications, we estimate that there are 1,200 partners. We expect</w:t>
      </w:r>
      <w:r w:rsidR="00B030C7" w:rsidRPr="00FD004E">
        <w:rPr>
          <w:rFonts w:ascii="Times New Roman" w:hAnsi="Times New Roman"/>
        </w:rPr>
        <w:t xml:space="preserve"> an 80 percent response rate to the </w:t>
      </w:r>
      <w:r w:rsidR="002609AE">
        <w:rPr>
          <w:rFonts w:ascii="Times New Roman" w:hAnsi="Times New Roman"/>
        </w:rPr>
        <w:t>partner</w:t>
      </w:r>
      <w:r w:rsidR="00B030C7" w:rsidRPr="00FD004E">
        <w:rPr>
          <w:rFonts w:ascii="Times New Roman" w:hAnsi="Times New Roman"/>
        </w:rPr>
        <w:t xml:space="preserve"> survey. The 80 percent response rate equates to (.80</w:t>
      </w:r>
      <w:r w:rsidR="001C2957">
        <w:rPr>
          <w:rFonts w:ascii="Times New Roman" w:hAnsi="Times New Roman"/>
        </w:rPr>
        <w:t xml:space="preserve"> x </w:t>
      </w:r>
      <w:r w:rsidR="00AD70F7" w:rsidRPr="00FD004E">
        <w:rPr>
          <w:rFonts w:ascii="Times New Roman" w:hAnsi="Times New Roman"/>
        </w:rPr>
        <w:t>1,200</w:t>
      </w:r>
      <w:r w:rsidR="00B030C7" w:rsidRPr="00FD004E">
        <w:rPr>
          <w:rFonts w:ascii="Times New Roman" w:hAnsi="Times New Roman"/>
        </w:rPr>
        <w:t xml:space="preserve">) = </w:t>
      </w:r>
      <w:r w:rsidR="00AD70F7" w:rsidRPr="00FD004E">
        <w:rPr>
          <w:rFonts w:ascii="Times New Roman" w:hAnsi="Times New Roman"/>
        </w:rPr>
        <w:t>960</w:t>
      </w:r>
      <w:r w:rsidR="00B030C7" w:rsidRPr="00FD004E">
        <w:rPr>
          <w:rFonts w:ascii="Times New Roman" w:hAnsi="Times New Roman"/>
        </w:rPr>
        <w:t xml:space="preserve"> </w:t>
      </w:r>
      <w:r w:rsidR="008B7C99">
        <w:rPr>
          <w:rFonts w:ascii="Times New Roman" w:hAnsi="Times New Roman"/>
        </w:rPr>
        <w:t xml:space="preserve">total </w:t>
      </w:r>
      <w:r w:rsidR="002609AE">
        <w:rPr>
          <w:rFonts w:ascii="Times New Roman" w:hAnsi="Times New Roman"/>
        </w:rPr>
        <w:t>partner respondents</w:t>
      </w:r>
      <w:r w:rsidR="00B030C7" w:rsidRPr="00FD004E">
        <w:rPr>
          <w:rFonts w:ascii="Times New Roman" w:hAnsi="Times New Roman"/>
        </w:rPr>
        <w:t xml:space="preserve">. </w:t>
      </w:r>
      <w:r w:rsidR="008B7C99">
        <w:rPr>
          <w:rFonts w:ascii="Times New Roman" w:hAnsi="Times New Roman"/>
        </w:rPr>
        <w:t xml:space="preserve">The annual number of respondents is (960 / 3) = 320. </w:t>
      </w:r>
      <w:r w:rsidR="00B030C7" w:rsidRPr="00FD004E">
        <w:rPr>
          <w:rFonts w:ascii="Times New Roman" w:hAnsi="Times New Roman"/>
        </w:rPr>
        <w:t xml:space="preserve">Completion of the </w:t>
      </w:r>
      <w:r w:rsidR="004F6912">
        <w:rPr>
          <w:rFonts w:ascii="Times New Roman" w:hAnsi="Times New Roman"/>
        </w:rPr>
        <w:t xml:space="preserve">partner </w:t>
      </w:r>
      <w:r w:rsidR="00B030C7" w:rsidRPr="00FD004E">
        <w:rPr>
          <w:rFonts w:ascii="Times New Roman" w:hAnsi="Times New Roman"/>
        </w:rPr>
        <w:t xml:space="preserve">survey will </w:t>
      </w:r>
      <w:r w:rsidR="006257E3">
        <w:rPr>
          <w:rFonts w:ascii="Times New Roman" w:hAnsi="Times New Roman"/>
        </w:rPr>
        <w:t>take</w:t>
      </w:r>
      <w:r w:rsidR="00B030C7" w:rsidRPr="00FD004E">
        <w:rPr>
          <w:rFonts w:ascii="Times New Roman" w:hAnsi="Times New Roman"/>
        </w:rPr>
        <w:t xml:space="preserve"> approximately </w:t>
      </w:r>
      <w:r w:rsidR="004F6912">
        <w:rPr>
          <w:rFonts w:ascii="Times New Roman" w:hAnsi="Times New Roman"/>
        </w:rPr>
        <w:t>3</w:t>
      </w:r>
      <w:r w:rsidR="00B030C7" w:rsidRPr="00FD004E">
        <w:rPr>
          <w:rFonts w:ascii="Times New Roman" w:hAnsi="Times New Roman"/>
        </w:rPr>
        <w:t xml:space="preserve">0 minutes. </w:t>
      </w:r>
      <w:r w:rsidR="0094124A" w:rsidRPr="00FD004E">
        <w:rPr>
          <w:rFonts w:ascii="Times New Roman" w:hAnsi="Times New Roman"/>
        </w:rPr>
        <w:t>Th</w:t>
      </w:r>
      <w:r w:rsidR="002A6158" w:rsidRPr="00FD004E">
        <w:rPr>
          <w:rFonts w:ascii="Times New Roman" w:hAnsi="Times New Roman"/>
        </w:rPr>
        <w:t xml:space="preserve">e </w:t>
      </w:r>
      <w:r w:rsidR="008B7C99">
        <w:rPr>
          <w:rFonts w:ascii="Times New Roman" w:hAnsi="Times New Roman"/>
        </w:rPr>
        <w:t xml:space="preserve">annual </w:t>
      </w:r>
      <w:r w:rsidR="002A6158" w:rsidRPr="00FD004E">
        <w:rPr>
          <w:rFonts w:ascii="Times New Roman" w:hAnsi="Times New Roman"/>
        </w:rPr>
        <w:t xml:space="preserve">burden hours are </w:t>
      </w:r>
      <w:r w:rsidR="008B7C99">
        <w:rPr>
          <w:rFonts w:ascii="Times New Roman" w:hAnsi="Times New Roman"/>
        </w:rPr>
        <w:t xml:space="preserve">320 </w:t>
      </w:r>
      <w:r w:rsidR="00160B00">
        <w:rPr>
          <w:rFonts w:ascii="Times New Roman" w:hAnsi="Times New Roman"/>
        </w:rPr>
        <w:t xml:space="preserve">x </w:t>
      </w:r>
      <w:r w:rsidR="004F6912">
        <w:rPr>
          <w:rFonts w:ascii="Times New Roman" w:hAnsi="Times New Roman"/>
        </w:rPr>
        <w:t>3</w:t>
      </w:r>
      <w:r w:rsidR="00160B00">
        <w:rPr>
          <w:rFonts w:ascii="Times New Roman" w:hAnsi="Times New Roman"/>
        </w:rPr>
        <w:t>0/60</w:t>
      </w:r>
      <w:r w:rsidR="002A6158" w:rsidRPr="00FD004E">
        <w:rPr>
          <w:rFonts w:ascii="Times New Roman" w:hAnsi="Times New Roman"/>
        </w:rPr>
        <w:t xml:space="preserve"> = </w:t>
      </w:r>
      <w:r w:rsidR="008B7C99">
        <w:rPr>
          <w:rFonts w:ascii="Times New Roman" w:hAnsi="Times New Roman"/>
        </w:rPr>
        <w:t>160</w:t>
      </w:r>
      <w:r w:rsidR="008B7C99" w:rsidRPr="00FD004E">
        <w:rPr>
          <w:rFonts w:ascii="Times New Roman" w:hAnsi="Times New Roman"/>
        </w:rPr>
        <w:t xml:space="preserve"> </w:t>
      </w:r>
      <w:r w:rsidR="0094124A" w:rsidRPr="00FD004E">
        <w:rPr>
          <w:rFonts w:ascii="Times New Roman" w:hAnsi="Times New Roman"/>
        </w:rPr>
        <w:t xml:space="preserve">hours. </w:t>
      </w:r>
    </w:p>
    <w:p w14:paraId="506B1FDB" w14:textId="0B0FF746" w:rsidR="006257E3" w:rsidRDefault="006257E3" w:rsidP="00C55EF8">
      <w:pPr>
        <w:pStyle w:val="L1-FlLSp12"/>
        <w:spacing w:line="276" w:lineRule="auto"/>
        <w:rPr>
          <w:rFonts w:ascii="Times New Roman" w:hAnsi="Times New Roman"/>
        </w:rPr>
      </w:pPr>
    </w:p>
    <w:p w14:paraId="7E8DE8D4" w14:textId="6CFA6D66" w:rsidR="006257E3" w:rsidRPr="00FD004E" w:rsidRDefault="00004795" w:rsidP="00C55EF8">
      <w:pPr>
        <w:pStyle w:val="L1-FlLSp12"/>
        <w:spacing w:line="276" w:lineRule="auto"/>
        <w:rPr>
          <w:rFonts w:ascii="Times New Roman" w:hAnsi="Times New Roman"/>
        </w:rPr>
      </w:pPr>
      <w:r>
        <w:rPr>
          <w:rFonts w:ascii="Times New Roman" w:hAnsi="Times New Roman"/>
        </w:rPr>
        <w:t xml:space="preserve">Partner Telephone Interview: </w:t>
      </w:r>
      <w:r w:rsidR="00073FEE">
        <w:rPr>
          <w:rFonts w:ascii="Times New Roman" w:hAnsi="Times New Roman"/>
        </w:rPr>
        <w:t xml:space="preserve">The partner telephone interviews will be conducted with 53 partners. </w:t>
      </w:r>
      <w:r w:rsidR="006257E3">
        <w:rPr>
          <w:rFonts w:ascii="Times New Roman" w:hAnsi="Times New Roman"/>
        </w:rPr>
        <w:t xml:space="preserve">The partner telephone interviews will include up to </w:t>
      </w:r>
      <w:r w:rsidR="00073FEE">
        <w:rPr>
          <w:rFonts w:ascii="Times New Roman" w:hAnsi="Times New Roman"/>
        </w:rPr>
        <w:t>2</w:t>
      </w:r>
      <w:r w:rsidR="006257E3">
        <w:rPr>
          <w:rFonts w:ascii="Times New Roman" w:hAnsi="Times New Roman"/>
        </w:rPr>
        <w:t xml:space="preserve"> staff</w:t>
      </w:r>
      <w:r w:rsidR="00073FEE">
        <w:rPr>
          <w:rFonts w:ascii="Times New Roman" w:hAnsi="Times New Roman"/>
        </w:rPr>
        <w:t xml:space="preserve"> from each organization</w:t>
      </w:r>
      <w:r w:rsidR="006257E3">
        <w:rPr>
          <w:rFonts w:ascii="Times New Roman" w:hAnsi="Times New Roman"/>
        </w:rPr>
        <w:t xml:space="preserve">. </w:t>
      </w:r>
      <w:r w:rsidR="008B7C99">
        <w:rPr>
          <w:rFonts w:ascii="Times New Roman" w:hAnsi="Times New Roman"/>
        </w:rPr>
        <w:t xml:space="preserve">The total number of respondents is (53 x 2) = 106. The annual number of respondents is (53 / </w:t>
      </w:r>
      <w:r w:rsidR="000D173A">
        <w:rPr>
          <w:rFonts w:ascii="Times New Roman" w:hAnsi="Times New Roman"/>
        </w:rPr>
        <w:t>3</w:t>
      </w:r>
      <w:r w:rsidR="008B7C99">
        <w:rPr>
          <w:rFonts w:ascii="Times New Roman" w:hAnsi="Times New Roman"/>
        </w:rPr>
        <w:t xml:space="preserve">) = </w:t>
      </w:r>
      <w:r w:rsidR="000D173A">
        <w:rPr>
          <w:rFonts w:ascii="Times New Roman" w:hAnsi="Times New Roman"/>
        </w:rPr>
        <w:t>35.33</w:t>
      </w:r>
      <w:r w:rsidR="008B7C99">
        <w:rPr>
          <w:rFonts w:ascii="Times New Roman" w:hAnsi="Times New Roman"/>
        </w:rPr>
        <w:t xml:space="preserve">. </w:t>
      </w:r>
      <w:r w:rsidR="006257E3">
        <w:rPr>
          <w:rFonts w:ascii="Times New Roman" w:hAnsi="Times New Roman"/>
        </w:rPr>
        <w:t xml:space="preserve">The interviews will take one hour to complete. Therefore, the </w:t>
      </w:r>
      <w:r w:rsidR="008B7C99">
        <w:rPr>
          <w:rFonts w:ascii="Times New Roman" w:hAnsi="Times New Roman"/>
        </w:rPr>
        <w:t xml:space="preserve">annual </w:t>
      </w:r>
      <w:r w:rsidR="006257E3">
        <w:rPr>
          <w:rFonts w:ascii="Times New Roman" w:hAnsi="Times New Roman"/>
        </w:rPr>
        <w:t>burden hours for the partner telephone interviews are (</w:t>
      </w:r>
      <w:r w:rsidR="000D173A">
        <w:rPr>
          <w:rFonts w:ascii="Times New Roman" w:hAnsi="Times New Roman"/>
        </w:rPr>
        <w:t>35.33</w:t>
      </w:r>
      <w:r w:rsidR="008B7C99">
        <w:rPr>
          <w:rFonts w:ascii="Times New Roman" w:hAnsi="Times New Roman"/>
        </w:rPr>
        <w:t xml:space="preserve"> </w:t>
      </w:r>
      <w:r w:rsidR="006257E3">
        <w:rPr>
          <w:rFonts w:ascii="Times New Roman" w:hAnsi="Times New Roman"/>
        </w:rPr>
        <w:t xml:space="preserve">x 1) = </w:t>
      </w:r>
      <w:r w:rsidR="000D173A">
        <w:rPr>
          <w:rFonts w:ascii="Times New Roman" w:hAnsi="Times New Roman"/>
        </w:rPr>
        <w:t>35</w:t>
      </w:r>
      <w:r w:rsidR="008B7C99">
        <w:rPr>
          <w:rFonts w:ascii="Times New Roman" w:hAnsi="Times New Roman"/>
        </w:rPr>
        <w:t xml:space="preserve"> hours (rou</w:t>
      </w:r>
      <w:r w:rsidR="000D173A">
        <w:rPr>
          <w:rFonts w:ascii="Times New Roman" w:hAnsi="Times New Roman"/>
        </w:rPr>
        <w:t>n</w:t>
      </w:r>
      <w:r w:rsidR="008B7C99">
        <w:rPr>
          <w:rFonts w:ascii="Times New Roman" w:hAnsi="Times New Roman"/>
        </w:rPr>
        <w:t>ded)</w:t>
      </w:r>
      <w:r w:rsidR="006257E3">
        <w:rPr>
          <w:rFonts w:ascii="Times New Roman" w:hAnsi="Times New Roman"/>
        </w:rPr>
        <w:t>.</w:t>
      </w:r>
    </w:p>
    <w:p w14:paraId="5C617834" w14:textId="77777777" w:rsidR="00B030C7" w:rsidRPr="00FD004E" w:rsidRDefault="00B030C7" w:rsidP="00C55EF8">
      <w:pPr>
        <w:pStyle w:val="L1-FlLSp12"/>
        <w:spacing w:line="276" w:lineRule="auto"/>
        <w:rPr>
          <w:rFonts w:ascii="Times New Roman" w:hAnsi="Times New Roman"/>
        </w:rPr>
      </w:pPr>
    </w:p>
    <w:p w14:paraId="224D5456" w14:textId="2799DB1F" w:rsidR="00B030C7" w:rsidRPr="00FD004E" w:rsidRDefault="00004795" w:rsidP="00C55EF8">
      <w:pPr>
        <w:pStyle w:val="L1-FlLSp12"/>
        <w:spacing w:line="276" w:lineRule="auto"/>
        <w:rPr>
          <w:rFonts w:ascii="Times New Roman" w:hAnsi="Times New Roman"/>
        </w:rPr>
      </w:pPr>
      <w:r>
        <w:rPr>
          <w:rFonts w:ascii="Times New Roman" w:hAnsi="Times New Roman"/>
        </w:rPr>
        <w:t xml:space="preserve">Key Informant Interview during site visit: </w:t>
      </w:r>
      <w:r w:rsidR="00B030C7" w:rsidRPr="00FD004E">
        <w:rPr>
          <w:rFonts w:ascii="Times New Roman" w:hAnsi="Times New Roman"/>
        </w:rPr>
        <w:t xml:space="preserve">The evaluation team will interview approximately 10 grantee staff and 8 partner staff in each of the </w:t>
      </w:r>
      <w:r w:rsidR="00443744">
        <w:rPr>
          <w:rFonts w:ascii="Times New Roman" w:hAnsi="Times New Roman"/>
        </w:rPr>
        <w:t>five</w:t>
      </w:r>
      <w:r w:rsidR="00443744" w:rsidRPr="00FD004E">
        <w:rPr>
          <w:rFonts w:ascii="Times New Roman" w:hAnsi="Times New Roman"/>
        </w:rPr>
        <w:t xml:space="preserve"> </w:t>
      </w:r>
      <w:r w:rsidR="00B030C7" w:rsidRPr="00FD004E">
        <w:rPr>
          <w:rFonts w:ascii="Times New Roman" w:hAnsi="Times New Roman"/>
        </w:rPr>
        <w:t xml:space="preserve">grantees included in the RCT. </w:t>
      </w:r>
      <w:r w:rsidR="001C2957">
        <w:rPr>
          <w:rFonts w:ascii="Times New Roman" w:hAnsi="Times New Roman"/>
        </w:rPr>
        <w:t xml:space="preserve"> </w:t>
      </w:r>
      <w:r w:rsidR="00A317BA">
        <w:rPr>
          <w:rFonts w:ascii="Times New Roman" w:hAnsi="Times New Roman"/>
        </w:rPr>
        <w:t xml:space="preserve">The number of grantee staff is </w:t>
      </w:r>
      <w:r w:rsidR="001C2957">
        <w:rPr>
          <w:rFonts w:ascii="Times New Roman" w:hAnsi="Times New Roman"/>
        </w:rPr>
        <w:t>10</w:t>
      </w:r>
      <w:r w:rsidR="00A317BA">
        <w:rPr>
          <w:rFonts w:ascii="Times New Roman" w:hAnsi="Times New Roman"/>
        </w:rPr>
        <w:t xml:space="preserve"> </w:t>
      </w:r>
      <w:r w:rsidR="001C2957">
        <w:rPr>
          <w:rFonts w:ascii="Times New Roman" w:hAnsi="Times New Roman"/>
        </w:rPr>
        <w:t>x</w:t>
      </w:r>
      <w:r w:rsidR="00A317BA">
        <w:rPr>
          <w:rFonts w:ascii="Times New Roman" w:hAnsi="Times New Roman"/>
        </w:rPr>
        <w:t xml:space="preserve"> </w:t>
      </w:r>
      <w:r w:rsidR="00443744">
        <w:rPr>
          <w:rFonts w:ascii="Times New Roman" w:hAnsi="Times New Roman"/>
        </w:rPr>
        <w:t>5</w:t>
      </w:r>
      <w:r w:rsidR="001C2957">
        <w:rPr>
          <w:rFonts w:ascii="Times New Roman" w:hAnsi="Times New Roman"/>
        </w:rPr>
        <w:t xml:space="preserve"> = </w:t>
      </w:r>
      <w:r w:rsidR="00443744">
        <w:rPr>
          <w:rFonts w:ascii="Times New Roman" w:hAnsi="Times New Roman"/>
        </w:rPr>
        <w:t>5</w:t>
      </w:r>
      <w:r w:rsidR="001C2957">
        <w:rPr>
          <w:rFonts w:ascii="Times New Roman" w:hAnsi="Times New Roman"/>
        </w:rPr>
        <w:t xml:space="preserve">0 and </w:t>
      </w:r>
      <w:r w:rsidR="00A317BA">
        <w:rPr>
          <w:rFonts w:ascii="Times New Roman" w:hAnsi="Times New Roman"/>
        </w:rPr>
        <w:t xml:space="preserve">partner staff is </w:t>
      </w:r>
      <w:r w:rsidR="001C2957">
        <w:rPr>
          <w:rFonts w:ascii="Times New Roman" w:hAnsi="Times New Roman"/>
        </w:rPr>
        <w:t>8</w:t>
      </w:r>
      <w:r w:rsidR="00A317BA">
        <w:rPr>
          <w:rFonts w:ascii="Times New Roman" w:hAnsi="Times New Roman"/>
        </w:rPr>
        <w:t xml:space="preserve"> </w:t>
      </w:r>
      <w:r w:rsidR="001C2957">
        <w:rPr>
          <w:rFonts w:ascii="Times New Roman" w:hAnsi="Times New Roman"/>
        </w:rPr>
        <w:t>x</w:t>
      </w:r>
      <w:r w:rsidR="00A317BA">
        <w:rPr>
          <w:rFonts w:ascii="Times New Roman" w:hAnsi="Times New Roman"/>
        </w:rPr>
        <w:t xml:space="preserve"> </w:t>
      </w:r>
      <w:r w:rsidR="00443744">
        <w:rPr>
          <w:rFonts w:ascii="Times New Roman" w:hAnsi="Times New Roman"/>
        </w:rPr>
        <w:t>5</w:t>
      </w:r>
      <w:r w:rsidR="00A317BA">
        <w:rPr>
          <w:rFonts w:ascii="Times New Roman" w:hAnsi="Times New Roman"/>
        </w:rPr>
        <w:t xml:space="preserve"> </w:t>
      </w:r>
      <w:r w:rsidR="001C2957">
        <w:rPr>
          <w:rFonts w:ascii="Times New Roman" w:hAnsi="Times New Roman"/>
        </w:rPr>
        <w:t>=</w:t>
      </w:r>
      <w:r w:rsidR="00A317BA">
        <w:rPr>
          <w:rFonts w:ascii="Times New Roman" w:hAnsi="Times New Roman"/>
        </w:rPr>
        <w:t xml:space="preserve"> </w:t>
      </w:r>
      <w:r w:rsidR="00443744">
        <w:rPr>
          <w:rFonts w:ascii="Times New Roman" w:hAnsi="Times New Roman"/>
        </w:rPr>
        <w:t>40</w:t>
      </w:r>
      <w:r w:rsidR="001C2957">
        <w:rPr>
          <w:rFonts w:ascii="Times New Roman" w:hAnsi="Times New Roman"/>
        </w:rPr>
        <w:t xml:space="preserve"> </w:t>
      </w:r>
      <w:r w:rsidR="00A317BA">
        <w:rPr>
          <w:rFonts w:ascii="Times New Roman" w:hAnsi="Times New Roman"/>
        </w:rPr>
        <w:t>and the total is 50 + 40 = 90</w:t>
      </w:r>
      <w:r w:rsidR="001C2957">
        <w:rPr>
          <w:rFonts w:ascii="Times New Roman" w:hAnsi="Times New Roman"/>
        </w:rPr>
        <w:t xml:space="preserve">. </w:t>
      </w:r>
      <w:r w:rsidR="0072576A">
        <w:rPr>
          <w:rFonts w:ascii="Times New Roman" w:hAnsi="Times New Roman"/>
        </w:rPr>
        <w:t xml:space="preserve">The number of annual respondents is (90 / 3) = 30. </w:t>
      </w:r>
      <w:r w:rsidR="00B030C7" w:rsidRPr="00FD004E">
        <w:rPr>
          <w:rFonts w:ascii="Times New Roman" w:hAnsi="Times New Roman"/>
        </w:rPr>
        <w:t xml:space="preserve">The interviews will take approximately one hour to complete. </w:t>
      </w:r>
      <w:r w:rsidR="001C2957">
        <w:rPr>
          <w:rFonts w:ascii="Times New Roman" w:hAnsi="Times New Roman"/>
        </w:rPr>
        <w:t xml:space="preserve"> </w:t>
      </w:r>
      <w:r w:rsidR="0094124A" w:rsidRPr="00FD004E">
        <w:rPr>
          <w:rFonts w:ascii="Times New Roman" w:hAnsi="Times New Roman"/>
        </w:rPr>
        <w:t>The</w:t>
      </w:r>
      <w:r w:rsidR="001C2957">
        <w:rPr>
          <w:rFonts w:ascii="Times New Roman" w:hAnsi="Times New Roman"/>
        </w:rPr>
        <w:t xml:space="preserve">refore, the </w:t>
      </w:r>
      <w:r w:rsidR="0072576A">
        <w:rPr>
          <w:rFonts w:ascii="Times New Roman" w:hAnsi="Times New Roman"/>
        </w:rPr>
        <w:t xml:space="preserve">annual </w:t>
      </w:r>
      <w:r w:rsidR="0094124A" w:rsidRPr="00FD004E">
        <w:rPr>
          <w:rFonts w:ascii="Times New Roman" w:hAnsi="Times New Roman"/>
        </w:rPr>
        <w:t>number of</w:t>
      </w:r>
      <w:r w:rsidR="0072576A">
        <w:rPr>
          <w:rFonts w:ascii="Times New Roman" w:hAnsi="Times New Roman"/>
        </w:rPr>
        <w:t xml:space="preserve"> </w:t>
      </w:r>
      <w:r w:rsidR="0094124A" w:rsidRPr="00FD004E">
        <w:rPr>
          <w:rFonts w:ascii="Times New Roman" w:hAnsi="Times New Roman"/>
        </w:rPr>
        <w:t xml:space="preserve">burden hours is </w:t>
      </w:r>
      <w:r w:rsidR="0072576A">
        <w:rPr>
          <w:rFonts w:ascii="Times New Roman" w:hAnsi="Times New Roman"/>
        </w:rPr>
        <w:t>3</w:t>
      </w:r>
      <w:r w:rsidR="00443744">
        <w:rPr>
          <w:rFonts w:ascii="Times New Roman" w:hAnsi="Times New Roman"/>
        </w:rPr>
        <w:t>0</w:t>
      </w:r>
      <w:r w:rsidR="001C2957" w:rsidRPr="00FD004E">
        <w:rPr>
          <w:rFonts w:ascii="Times New Roman" w:hAnsi="Times New Roman"/>
        </w:rPr>
        <w:t xml:space="preserve"> </w:t>
      </w:r>
      <w:r w:rsidR="0094124A" w:rsidRPr="00FD004E">
        <w:rPr>
          <w:rFonts w:ascii="Times New Roman" w:hAnsi="Times New Roman"/>
        </w:rPr>
        <w:t xml:space="preserve">x </w:t>
      </w:r>
      <w:r w:rsidR="001C2957">
        <w:rPr>
          <w:rFonts w:ascii="Times New Roman" w:hAnsi="Times New Roman"/>
        </w:rPr>
        <w:t xml:space="preserve">1 hour </w:t>
      </w:r>
      <w:r w:rsidR="0094124A" w:rsidRPr="00FD004E">
        <w:rPr>
          <w:rFonts w:ascii="Times New Roman" w:hAnsi="Times New Roman"/>
        </w:rPr>
        <w:t xml:space="preserve">= </w:t>
      </w:r>
      <w:r w:rsidR="0072576A">
        <w:rPr>
          <w:rFonts w:ascii="Times New Roman" w:hAnsi="Times New Roman"/>
        </w:rPr>
        <w:t>3</w:t>
      </w:r>
      <w:r w:rsidR="00443744">
        <w:rPr>
          <w:rFonts w:ascii="Times New Roman" w:hAnsi="Times New Roman"/>
        </w:rPr>
        <w:t>0</w:t>
      </w:r>
      <w:r w:rsidR="0094124A" w:rsidRPr="00FD004E">
        <w:rPr>
          <w:rFonts w:ascii="Times New Roman" w:hAnsi="Times New Roman"/>
        </w:rPr>
        <w:t xml:space="preserve"> hours. </w:t>
      </w:r>
    </w:p>
    <w:p w14:paraId="3A293320" w14:textId="77777777" w:rsidR="00B030C7" w:rsidRPr="00FD004E" w:rsidRDefault="00B030C7" w:rsidP="00C55EF8">
      <w:pPr>
        <w:pStyle w:val="L1-FlLSp12"/>
        <w:spacing w:line="276" w:lineRule="auto"/>
        <w:rPr>
          <w:rFonts w:ascii="Times New Roman" w:hAnsi="Times New Roman"/>
        </w:rPr>
      </w:pPr>
    </w:p>
    <w:p w14:paraId="599B21AC" w14:textId="6872846F" w:rsidR="00456773" w:rsidRDefault="00831546" w:rsidP="00C55EF8">
      <w:pPr>
        <w:pStyle w:val="L1-FlLSp12"/>
        <w:spacing w:line="276" w:lineRule="auto"/>
        <w:rPr>
          <w:rFonts w:ascii="Times New Roman" w:hAnsi="Times New Roman"/>
          <w:szCs w:val="24"/>
        </w:rPr>
      </w:pPr>
      <w:r w:rsidRPr="00FD004E">
        <w:rPr>
          <w:rFonts w:ascii="Times New Roman" w:hAnsi="Times New Roman"/>
        </w:rPr>
        <w:t xml:space="preserve">The cost represents the sum across the </w:t>
      </w:r>
      <w:r w:rsidR="00C1281E" w:rsidRPr="00FD004E">
        <w:rPr>
          <w:rFonts w:ascii="Times New Roman" w:hAnsi="Times New Roman"/>
        </w:rPr>
        <w:t>data collections</w:t>
      </w:r>
      <w:r w:rsidRPr="00FD004E">
        <w:rPr>
          <w:rFonts w:ascii="Times New Roman" w:hAnsi="Times New Roman"/>
        </w:rPr>
        <w:t xml:space="preserve"> when the average hourly wage rate for each respondent category is multiplied by the corresponding number of hours</w:t>
      </w:r>
      <w:r w:rsidR="00012E40" w:rsidRPr="00FD004E">
        <w:rPr>
          <w:rFonts w:ascii="Times New Roman" w:hAnsi="Times New Roman"/>
        </w:rPr>
        <w:t>, as shown in Table A.1</w:t>
      </w:r>
      <w:r w:rsidR="00285843">
        <w:rPr>
          <w:rFonts w:ascii="Times New Roman" w:hAnsi="Times New Roman"/>
        </w:rPr>
        <w:t>2</w:t>
      </w:r>
      <w:r w:rsidRPr="00FD004E">
        <w:rPr>
          <w:rFonts w:ascii="Times New Roman" w:hAnsi="Times New Roman"/>
        </w:rPr>
        <w:t xml:space="preserve">. The average hourly wage rates were obtained using the latest Occupational Employment </w:t>
      </w:r>
      <w:r w:rsidRPr="00FD004E">
        <w:rPr>
          <w:rFonts w:ascii="Times New Roman" w:hAnsi="Times New Roman"/>
          <w:szCs w:val="24"/>
        </w:rPr>
        <w:t>Statistics data on wages, adjusted for inflation.</w:t>
      </w:r>
      <w:r w:rsidR="008E5421" w:rsidRPr="00FD004E">
        <w:rPr>
          <w:rStyle w:val="FootnoteReference"/>
          <w:rFonts w:ascii="Times New Roman" w:hAnsi="Times New Roman"/>
          <w:szCs w:val="24"/>
        </w:rPr>
        <w:footnoteReference w:id="1"/>
      </w:r>
      <w:r w:rsidRPr="00FD004E">
        <w:rPr>
          <w:rFonts w:ascii="Times New Roman" w:hAnsi="Times New Roman"/>
          <w:szCs w:val="24"/>
        </w:rPr>
        <w:t xml:space="preserve"> </w:t>
      </w:r>
      <w:r w:rsidR="00285843">
        <w:rPr>
          <w:rFonts w:ascii="Times New Roman" w:hAnsi="Times New Roman"/>
          <w:szCs w:val="24"/>
        </w:rPr>
        <w:t xml:space="preserve"> </w:t>
      </w:r>
      <w:r w:rsidR="00B0174B" w:rsidRPr="00FD004E">
        <w:rPr>
          <w:rFonts w:ascii="Times New Roman" w:hAnsi="Times New Roman"/>
          <w:szCs w:val="24"/>
        </w:rPr>
        <w:t xml:space="preserve">The </w:t>
      </w:r>
      <w:r w:rsidR="00234988">
        <w:rPr>
          <w:rFonts w:ascii="Times New Roman" w:hAnsi="Times New Roman"/>
          <w:szCs w:val="24"/>
        </w:rPr>
        <w:t xml:space="preserve">annual </w:t>
      </w:r>
      <w:r w:rsidR="00B0174B" w:rsidRPr="00FD004E">
        <w:rPr>
          <w:rFonts w:ascii="Times New Roman" w:hAnsi="Times New Roman"/>
          <w:szCs w:val="24"/>
        </w:rPr>
        <w:t xml:space="preserve">cost to respondents </w:t>
      </w:r>
      <w:r w:rsidR="00151701" w:rsidRPr="00FD004E">
        <w:rPr>
          <w:rFonts w:ascii="Times New Roman" w:hAnsi="Times New Roman"/>
          <w:szCs w:val="24"/>
        </w:rPr>
        <w:t xml:space="preserve">for these data collections </w:t>
      </w:r>
      <w:r w:rsidR="00B0174B" w:rsidRPr="00FD004E">
        <w:rPr>
          <w:rFonts w:ascii="Times New Roman" w:hAnsi="Times New Roman"/>
          <w:szCs w:val="24"/>
        </w:rPr>
        <w:t xml:space="preserve">is </w:t>
      </w:r>
      <w:r w:rsidR="005A6699" w:rsidRPr="00FD004E">
        <w:rPr>
          <w:rFonts w:ascii="Times New Roman" w:hAnsi="Times New Roman"/>
          <w:color w:val="000000"/>
          <w:szCs w:val="24"/>
        </w:rPr>
        <w:t>$</w:t>
      </w:r>
      <w:r w:rsidR="00234988">
        <w:rPr>
          <w:rFonts w:ascii="Times New Roman" w:hAnsi="Times New Roman"/>
          <w:color w:val="000000"/>
          <w:szCs w:val="24"/>
        </w:rPr>
        <w:t>15,2</w:t>
      </w:r>
      <w:r w:rsidR="00B53E48">
        <w:rPr>
          <w:rFonts w:ascii="Times New Roman" w:hAnsi="Times New Roman"/>
          <w:color w:val="000000"/>
          <w:szCs w:val="24"/>
        </w:rPr>
        <w:t>05</w:t>
      </w:r>
      <w:r w:rsidR="00DD69EF" w:rsidRPr="00FD004E">
        <w:rPr>
          <w:rFonts w:ascii="Times New Roman" w:hAnsi="Times New Roman"/>
          <w:szCs w:val="24"/>
        </w:rPr>
        <w:t>.</w:t>
      </w:r>
    </w:p>
    <w:p w14:paraId="77F6C8A6" w14:textId="77777777" w:rsidR="00456773" w:rsidRDefault="00456773">
      <w:pPr>
        <w:rPr>
          <w:rFonts w:ascii="Times New Roman" w:hAnsi="Times New Roman"/>
          <w:szCs w:val="24"/>
        </w:rPr>
      </w:pPr>
      <w:r>
        <w:rPr>
          <w:rFonts w:ascii="Times New Roman" w:hAnsi="Times New Roman"/>
          <w:szCs w:val="24"/>
        </w:rPr>
        <w:br w:type="page"/>
      </w:r>
    </w:p>
    <w:p w14:paraId="77FFA60D" w14:textId="77777777" w:rsidR="007C06BE" w:rsidRDefault="007C06BE" w:rsidP="00C55EF8">
      <w:pPr>
        <w:pStyle w:val="L1-FlLSp12"/>
        <w:spacing w:line="276" w:lineRule="auto"/>
        <w:rPr>
          <w:rFonts w:ascii="Times New Roman" w:hAnsi="Times New Roman"/>
          <w:szCs w:val="24"/>
        </w:rPr>
      </w:pPr>
    </w:p>
    <w:p w14:paraId="2F67B587" w14:textId="77777777" w:rsidR="00012E40" w:rsidRDefault="00012E40">
      <w:pPr>
        <w:rPr>
          <w:rFonts w:ascii="Times New Roman" w:hAnsi="Times New Roman"/>
          <w:szCs w:val="24"/>
        </w:rPr>
      </w:pPr>
    </w:p>
    <w:p w14:paraId="6B6E37DF" w14:textId="6D3F389B" w:rsidR="00D87289" w:rsidRDefault="00831546" w:rsidP="00304846">
      <w:pPr>
        <w:pStyle w:val="L1-FlLSp12"/>
        <w:spacing w:line="276" w:lineRule="auto"/>
        <w:rPr>
          <w:rFonts w:ascii="Times New Roman" w:hAnsi="Times New Roman"/>
          <w:b/>
          <w:szCs w:val="24"/>
        </w:rPr>
      </w:pPr>
      <w:r w:rsidRPr="00FD004E">
        <w:rPr>
          <w:rFonts w:ascii="Times New Roman" w:hAnsi="Times New Roman"/>
          <w:b/>
          <w:szCs w:val="24"/>
        </w:rPr>
        <w:t>Table A.</w:t>
      </w:r>
      <w:r w:rsidR="00D44ECA" w:rsidRPr="00FD004E">
        <w:rPr>
          <w:rFonts w:ascii="Times New Roman" w:hAnsi="Times New Roman"/>
          <w:b/>
          <w:szCs w:val="24"/>
        </w:rPr>
        <w:t>12</w:t>
      </w:r>
      <w:r w:rsidRPr="00FD004E">
        <w:rPr>
          <w:rFonts w:ascii="Times New Roman" w:hAnsi="Times New Roman"/>
          <w:b/>
          <w:szCs w:val="24"/>
        </w:rPr>
        <w:tab/>
      </w:r>
      <w:r w:rsidR="001C2957">
        <w:rPr>
          <w:rFonts w:ascii="Times New Roman" w:hAnsi="Times New Roman"/>
          <w:b/>
          <w:szCs w:val="24"/>
        </w:rPr>
        <w:t xml:space="preserve">  </w:t>
      </w:r>
      <w:r w:rsidR="00706B4C">
        <w:rPr>
          <w:rFonts w:ascii="Times New Roman" w:hAnsi="Times New Roman"/>
          <w:b/>
          <w:szCs w:val="24"/>
        </w:rPr>
        <w:t xml:space="preserve">Estimated </w:t>
      </w:r>
      <w:r w:rsidR="00356D65">
        <w:rPr>
          <w:rFonts w:ascii="Times New Roman" w:hAnsi="Times New Roman"/>
          <w:b/>
          <w:szCs w:val="24"/>
        </w:rPr>
        <w:t xml:space="preserve">Annual </w:t>
      </w:r>
      <w:r w:rsidR="00706B4C">
        <w:rPr>
          <w:rFonts w:ascii="Times New Roman" w:hAnsi="Times New Roman"/>
          <w:b/>
          <w:szCs w:val="24"/>
        </w:rPr>
        <w:t>Respondent Hour and Cost Burdens</w:t>
      </w:r>
    </w:p>
    <w:tbl>
      <w:tblPr>
        <w:tblStyle w:val="TableGrid"/>
        <w:tblW w:w="0" w:type="auto"/>
        <w:tblLook w:val="04A0" w:firstRow="1" w:lastRow="0" w:firstColumn="1" w:lastColumn="0" w:noHBand="0" w:noVBand="1"/>
      </w:tblPr>
      <w:tblGrid>
        <w:gridCol w:w="1261"/>
        <w:gridCol w:w="1306"/>
        <w:gridCol w:w="1228"/>
        <w:gridCol w:w="1094"/>
        <w:gridCol w:w="1017"/>
        <w:gridCol w:w="1161"/>
        <w:gridCol w:w="927"/>
        <w:gridCol w:w="1016"/>
      </w:tblGrid>
      <w:tr w:rsidR="0019200C" w14:paraId="44A3463B" w14:textId="77777777" w:rsidTr="0019200C">
        <w:tc>
          <w:tcPr>
            <w:tcW w:w="1261" w:type="dxa"/>
            <w:vAlign w:val="bottom"/>
          </w:tcPr>
          <w:p w14:paraId="3FE4FAD5" w14:textId="6F4FFF07" w:rsidR="0019200C" w:rsidRDefault="0019200C" w:rsidP="00D87289">
            <w:pPr>
              <w:pStyle w:val="L1-FlLSp12"/>
              <w:spacing w:line="276" w:lineRule="auto"/>
              <w:rPr>
                <w:rFonts w:ascii="Times New Roman" w:hAnsi="Times New Roman"/>
                <w:b/>
                <w:szCs w:val="24"/>
              </w:rPr>
            </w:pPr>
            <w:r w:rsidRPr="002D3183">
              <w:rPr>
                <w:rFonts w:ascii="Times New Roman" w:hAnsi="Times New Roman"/>
                <w:b/>
                <w:sz w:val="20"/>
              </w:rPr>
              <w:t>Instruments</w:t>
            </w:r>
          </w:p>
        </w:tc>
        <w:tc>
          <w:tcPr>
            <w:tcW w:w="1306" w:type="dxa"/>
            <w:vAlign w:val="bottom"/>
          </w:tcPr>
          <w:p w14:paraId="4E77950B" w14:textId="530C9D40" w:rsidR="0019200C" w:rsidRDefault="0019200C" w:rsidP="00C55EF8">
            <w:pPr>
              <w:pStyle w:val="L1-FlLSp12"/>
              <w:spacing w:line="276" w:lineRule="auto"/>
              <w:jc w:val="center"/>
              <w:rPr>
                <w:rFonts w:ascii="Times New Roman" w:hAnsi="Times New Roman"/>
                <w:b/>
                <w:szCs w:val="24"/>
              </w:rPr>
            </w:pPr>
            <w:r w:rsidRPr="002D3183">
              <w:rPr>
                <w:rFonts w:ascii="Times New Roman" w:hAnsi="Times New Roman"/>
                <w:b/>
                <w:sz w:val="20"/>
              </w:rPr>
              <w:t>Number of Respondents</w:t>
            </w:r>
          </w:p>
        </w:tc>
        <w:tc>
          <w:tcPr>
            <w:tcW w:w="1228" w:type="dxa"/>
            <w:vAlign w:val="bottom"/>
          </w:tcPr>
          <w:p w14:paraId="5C9DB4C4" w14:textId="3716127D" w:rsidR="0019200C" w:rsidRDefault="0019200C" w:rsidP="00C55EF8">
            <w:pPr>
              <w:pStyle w:val="L1-FlLSp12"/>
              <w:spacing w:line="276" w:lineRule="auto"/>
              <w:jc w:val="center"/>
              <w:rPr>
                <w:rFonts w:ascii="Times New Roman" w:hAnsi="Times New Roman"/>
                <w:b/>
                <w:szCs w:val="24"/>
              </w:rPr>
            </w:pPr>
            <w:r w:rsidRPr="002D3183">
              <w:rPr>
                <w:rFonts w:ascii="Times New Roman" w:hAnsi="Times New Roman"/>
                <w:b/>
                <w:sz w:val="20"/>
              </w:rPr>
              <w:t>Number of Responses per Respondent</w:t>
            </w:r>
          </w:p>
        </w:tc>
        <w:tc>
          <w:tcPr>
            <w:tcW w:w="1094" w:type="dxa"/>
          </w:tcPr>
          <w:p w14:paraId="64D00E2A" w14:textId="77777777" w:rsidR="0019200C" w:rsidRPr="002D3183" w:rsidRDefault="0019200C" w:rsidP="00C55EF8">
            <w:pPr>
              <w:pStyle w:val="L1-FlLSp12"/>
              <w:spacing w:line="276" w:lineRule="auto"/>
              <w:jc w:val="center"/>
              <w:rPr>
                <w:rFonts w:ascii="Times New Roman" w:hAnsi="Times New Roman"/>
                <w:b/>
                <w:sz w:val="20"/>
              </w:rPr>
            </w:pPr>
          </w:p>
          <w:p w14:paraId="1CBC4969" w14:textId="77777777" w:rsidR="0019200C" w:rsidRPr="002D3183" w:rsidRDefault="0019200C" w:rsidP="00C55EF8">
            <w:pPr>
              <w:pStyle w:val="L1-FlLSp12"/>
              <w:spacing w:line="276" w:lineRule="auto"/>
              <w:jc w:val="center"/>
              <w:rPr>
                <w:rFonts w:ascii="Times New Roman" w:hAnsi="Times New Roman"/>
                <w:b/>
                <w:sz w:val="20"/>
              </w:rPr>
            </w:pPr>
          </w:p>
          <w:p w14:paraId="7E59070D" w14:textId="77777777" w:rsidR="0019200C" w:rsidRPr="002D3183" w:rsidRDefault="0019200C" w:rsidP="00C55EF8">
            <w:pPr>
              <w:pStyle w:val="L1-FlLSp12"/>
              <w:spacing w:line="276" w:lineRule="auto"/>
              <w:jc w:val="center"/>
              <w:rPr>
                <w:rFonts w:ascii="Times New Roman" w:hAnsi="Times New Roman"/>
                <w:b/>
                <w:sz w:val="20"/>
              </w:rPr>
            </w:pPr>
          </w:p>
          <w:p w14:paraId="292CA104" w14:textId="25F98482" w:rsidR="0019200C" w:rsidRDefault="0019200C" w:rsidP="00C55EF8">
            <w:pPr>
              <w:pStyle w:val="L1-FlLSp12"/>
              <w:spacing w:line="276" w:lineRule="auto"/>
              <w:jc w:val="center"/>
              <w:rPr>
                <w:rFonts w:ascii="Times New Roman" w:hAnsi="Times New Roman"/>
                <w:b/>
                <w:szCs w:val="24"/>
              </w:rPr>
            </w:pPr>
            <w:r w:rsidRPr="002D3183">
              <w:rPr>
                <w:rFonts w:ascii="Times New Roman" w:hAnsi="Times New Roman"/>
                <w:b/>
                <w:sz w:val="20"/>
              </w:rPr>
              <w:t>Total Number of Responses</w:t>
            </w:r>
          </w:p>
        </w:tc>
        <w:tc>
          <w:tcPr>
            <w:tcW w:w="1017" w:type="dxa"/>
            <w:vAlign w:val="bottom"/>
          </w:tcPr>
          <w:p w14:paraId="4B90C1D1" w14:textId="77777777" w:rsidR="0019200C" w:rsidRPr="002D3183" w:rsidRDefault="0019200C" w:rsidP="00C55EF8">
            <w:pPr>
              <w:pStyle w:val="L1-FlLSp12"/>
              <w:spacing w:line="276" w:lineRule="auto"/>
              <w:jc w:val="center"/>
              <w:rPr>
                <w:rFonts w:ascii="Times New Roman" w:hAnsi="Times New Roman"/>
                <w:b/>
                <w:sz w:val="20"/>
              </w:rPr>
            </w:pPr>
            <w:r w:rsidRPr="002D3183">
              <w:rPr>
                <w:rFonts w:ascii="Times New Roman" w:hAnsi="Times New Roman"/>
                <w:b/>
                <w:sz w:val="20"/>
              </w:rPr>
              <w:t>Avg.  Burden  per Response</w:t>
            </w:r>
          </w:p>
          <w:p w14:paraId="3029D9D1" w14:textId="0B684C97" w:rsidR="0019200C" w:rsidRDefault="0019200C" w:rsidP="00C55EF8">
            <w:pPr>
              <w:pStyle w:val="L1-FlLSp12"/>
              <w:spacing w:line="276" w:lineRule="auto"/>
              <w:jc w:val="center"/>
              <w:rPr>
                <w:rFonts w:ascii="Times New Roman" w:hAnsi="Times New Roman"/>
                <w:b/>
                <w:szCs w:val="24"/>
              </w:rPr>
            </w:pPr>
            <w:r w:rsidRPr="002D3183">
              <w:rPr>
                <w:rFonts w:ascii="Times New Roman" w:hAnsi="Times New Roman"/>
                <w:b/>
                <w:sz w:val="20"/>
              </w:rPr>
              <w:t>(in Hrs.)</w:t>
            </w:r>
          </w:p>
        </w:tc>
        <w:tc>
          <w:tcPr>
            <w:tcW w:w="1161" w:type="dxa"/>
            <w:vAlign w:val="bottom"/>
          </w:tcPr>
          <w:p w14:paraId="3B4EF248" w14:textId="7C240344" w:rsidR="0019200C" w:rsidRPr="002D3183" w:rsidRDefault="0019200C" w:rsidP="00C55EF8">
            <w:pPr>
              <w:pStyle w:val="L1-FlLSp12"/>
              <w:spacing w:line="276" w:lineRule="auto"/>
              <w:jc w:val="center"/>
              <w:rPr>
                <w:rFonts w:ascii="Times New Roman" w:hAnsi="Times New Roman"/>
                <w:b/>
                <w:sz w:val="20"/>
              </w:rPr>
            </w:pPr>
            <w:r w:rsidRPr="002D3183">
              <w:rPr>
                <w:rFonts w:ascii="Times New Roman" w:hAnsi="Times New Roman"/>
                <w:b/>
                <w:sz w:val="20"/>
              </w:rPr>
              <w:t>Total</w:t>
            </w:r>
          </w:p>
          <w:p w14:paraId="5095E5B7" w14:textId="7F03F0AB" w:rsidR="0019200C" w:rsidRDefault="0019200C" w:rsidP="00C55EF8">
            <w:pPr>
              <w:pStyle w:val="L1-FlLSp12"/>
              <w:spacing w:line="276" w:lineRule="auto"/>
              <w:jc w:val="center"/>
              <w:rPr>
                <w:rFonts w:ascii="Times New Roman" w:hAnsi="Times New Roman"/>
                <w:b/>
                <w:szCs w:val="24"/>
              </w:rPr>
            </w:pPr>
            <w:r w:rsidRPr="002D3183">
              <w:rPr>
                <w:rFonts w:ascii="Times New Roman" w:hAnsi="Times New Roman"/>
                <w:b/>
                <w:sz w:val="20"/>
              </w:rPr>
              <w:t>Hour Burden</w:t>
            </w:r>
            <w:r>
              <w:rPr>
                <w:rFonts w:ascii="Times New Roman" w:hAnsi="Times New Roman"/>
                <w:b/>
                <w:sz w:val="20"/>
              </w:rPr>
              <w:t xml:space="preserve"> (Rounded_</w:t>
            </w:r>
          </w:p>
        </w:tc>
        <w:tc>
          <w:tcPr>
            <w:tcW w:w="927" w:type="dxa"/>
          </w:tcPr>
          <w:p w14:paraId="59CFC1C5" w14:textId="77777777" w:rsidR="0019200C" w:rsidRPr="002D3183" w:rsidRDefault="0019200C" w:rsidP="00C55EF8">
            <w:pPr>
              <w:pStyle w:val="L1-FlLSp12"/>
              <w:spacing w:line="276" w:lineRule="auto"/>
              <w:jc w:val="center"/>
              <w:rPr>
                <w:rFonts w:ascii="Times New Roman" w:hAnsi="Times New Roman"/>
                <w:b/>
                <w:sz w:val="20"/>
              </w:rPr>
            </w:pPr>
          </w:p>
          <w:p w14:paraId="12497A89" w14:textId="77777777" w:rsidR="0019200C" w:rsidRPr="002D3183" w:rsidRDefault="0019200C" w:rsidP="00C55EF8">
            <w:pPr>
              <w:pStyle w:val="L1-FlLSp12"/>
              <w:spacing w:line="276" w:lineRule="auto"/>
              <w:jc w:val="center"/>
              <w:rPr>
                <w:rFonts w:ascii="Times New Roman" w:hAnsi="Times New Roman"/>
                <w:b/>
                <w:sz w:val="20"/>
              </w:rPr>
            </w:pPr>
          </w:p>
          <w:p w14:paraId="27EE96B0" w14:textId="77777777" w:rsidR="0019200C" w:rsidRPr="002D3183" w:rsidRDefault="0019200C" w:rsidP="00C55EF8">
            <w:pPr>
              <w:pStyle w:val="L1-FlLSp12"/>
              <w:spacing w:line="276" w:lineRule="auto"/>
              <w:jc w:val="center"/>
              <w:rPr>
                <w:rFonts w:ascii="Times New Roman" w:hAnsi="Times New Roman"/>
                <w:b/>
                <w:sz w:val="20"/>
              </w:rPr>
            </w:pPr>
          </w:p>
          <w:p w14:paraId="0717AB44" w14:textId="403CE2BC" w:rsidR="0019200C" w:rsidRPr="002D3183" w:rsidRDefault="0019200C" w:rsidP="00C55EF8">
            <w:pPr>
              <w:pStyle w:val="L1-FlLSp12"/>
              <w:spacing w:line="276" w:lineRule="auto"/>
              <w:jc w:val="center"/>
              <w:rPr>
                <w:rFonts w:ascii="Times New Roman" w:hAnsi="Times New Roman"/>
                <w:b/>
                <w:sz w:val="20"/>
              </w:rPr>
            </w:pPr>
            <w:r w:rsidRPr="002D3183">
              <w:rPr>
                <w:rFonts w:ascii="Times New Roman" w:hAnsi="Times New Roman"/>
                <w:b/>
                <w:sz w:val="20"/>
              </w:rPr>
              <w:t>Average</w:t>
            </w:r>
          </w:p>
          <w:p w14:paraId="32121490" w14:textId="7AD3223B" w:rsidR="0019200C" w:rsidRPr="002D3183" w:rsidRDefault="0019200C" w:rsidP="00C55EF8">
            <w:pPr>
              <w:pStyle w:val="L1-FlLSp12"/>
              <w:spacing w:line="276" w:lineRule="auto"/>
              <w:jc w:val="center"/>
              <w:rPr>
                <w:rFonts w:ascii="Times New Roman" w:hAnsi="Times New Roman"/>
                <w:b/>
                <w:sz w:val="20"/>
              </w:rPr>
            </w:pPr>
            <w:r w:rsidRPr="002D3183">
              <w:rPr>
                <w:rFonts w:ascii="Times New Roman" w:hAnsi="Times New Roman"/>
                <w:b/>
                <w:sz w:val="20"/>
              </w:rPr>
              <w:t>Wage</w:t>
            </w:r>
          </w:p>
          <w:p w14:paraId="219A7F90" w14:textId="4FDF4861" w:rsidR="0019200C" w:rsidRPr="00C55EF8" w:rsidRDefault="0019200C" w:rsidP="00C55EF8">
            <w:pPr>
              <w:pStyle w:val="L1-FlLSp12"/>
              <w:spacing w:line="276" w:lineRule="auto"/>
              <w:jc w:val="center"/>
              <w:rPr>
                <w:rFonts w:ascii="Times New Roman" w:hAnsi="Times New Roman"/>
                <w:b/>
                <w:szCs w:val="24"/>
                <w:vertAlign w:val="superscript"/>
              </w:rPr>
            </w:pPr>
            <w:r w:rsidRPr="002D3183">
              <w:rPr>
                <w:rFonts w:ascii="Times New Roman" w:hAnsi="Times New Roman"/>
                <w:b/>
                <w:sz w:val="20"/>
              </w:rPr>
              <w:t>Rate</w:t>
            </w:r>
            <w:r>
              <w:rPr>
                <w:rFonts w:ascii="Times New Roman" w:hAnsi="Times New Roman"/>
                <w:b/>
                <w:sz w:val="20"/>
                <w:vertAlign w:val="superscript"/>
              </w:rPr>
              <w:t>a</w:t>
            </w:r>
          </w:p>
        </w:tc>
        <w:tc>
          <w:tcPr>
            <w:tcW w:w="1016" w:type="dxa"/>
          </w:tcPr>
          <w:p w14:paraId="2773F8A0" w14:textId="77777777" w:rsidR="0019200C" w:rsidRPr="002D3183" w:rsidRDefault="0019200C" w:rsidP="00C55EF8">
            <w:pPr>
              <w:pStyle w:val="L1-FlLSp12"/>
              <w:spacing w:line="276" w:lineRule="auto"/>
              <w:jc w:val="center"/>
              <w:rPr>
                <w:rFonts w:ascii="Times New Roman" w:hAnsi="Times New Roman"/>
                <w:b/>
                <w:sz w:val="20"/>
              </w:rPr>
            </w:pPr>
          </w:p>
          <w:p w14:paraId="2715EA9E" w14:textId="77777777" w:rsidR="0019200C" w:rsidRPr="002D3183" w:rsidRDefault="0019200C" w:rsidP="00C55EF8">
            <w:pPr>
              <w:pStyle w:val="L1-FlLSp12"/>
              <w:spacing w:line="276" w:lineRule="auto"/>
              <w:jc w:val="center"/>
              <w:rPr>
                <w:rFonts w:ascii="Times New Roman" w:hAnsi="Times New Roman"/>
                <w:b/>
                <w:sz w:val="20"/>
              </w:rPr>
            </w:pPr>
          </w:p>
          <w:p w14:paraId="0ED676BC" w14:textId="77777777" w:rsidR="0019200C" w:rsidRPr="002D3183" w:rsidRDefault="0019200C" w:rsidP="00C55EF8">
            <w:pPr>
              <w:pStyle w:val="L1-FlLSp12"/>
              <w:spacing w:line="276" w:lineRule="auto"/>
              <w:jc w:val="center"/>
              <w:rPr>
                <w:rFonts w:ascii="Times New Roman" w:hAnsi="Times New Roman"/>
                <w:b/>
                <w:sz w:val="20"/>
              </w:rPr>
            </w:pPr>
          </w:p>
          <w:p w14:paraId="5495BAC6" w14:textId="0C4F9076" w:rsidR="0019200C" w:rsidRPr="002D3183" w:rsidRDefault="0019200C" w:rsidP="00C55EF8">
            <w:pPr>
              <w:pStyle w:val="L1-FlLSp12"/>
              <w:spacing w:line="276" w:lineRule="auto"/>
              <w:jc w:val="center"/>
              <w:rPr>
                <w:rFonts w:ascii="Times New Roman" w:hAnsi="Times New Roman"/>
                <w:b/>
                <w:sz w:val="20"/>
              </w:rPr>
            </w:pPr>
            <w:r>
              <w:rPr>
                <w:rFonts w:ascii="Times New Roman" w:hAnsi="Times New Roman"/>
                <w:b/>
                <w:sz w:val="20"/>
              </w:rPr>
              <w:t>Annual</w:t>
            </w:r>
          </w:p>
          <w:p w14:paraId="3F1C883C" w14:textId="0F2B2BC7" w:rsidR="0019200C" w:rsidRDefault="0019200C" w:rsidP="00C55EF8">
            <w:pPr>
              <w:pStyle w:val="L1-FlLSp12"/>
              <w:spacing w:line="276" w:lineRule="auto"/>
              <w:jc w:val="center"/>
              <w:rPr>
                <w:rFonts w:ascii="Times New Roman" w:hAnsi="Times New Roman"/>
                <w:b/>
                <w:szCs w:val="24"/>
              </w:rPr>
            </w:pPr>
            <w:r w:rsidRPr="002D3183">
              <w:rPr>
                <w:rFonts w:ascii="Times New Roman" w:hAnsi="Times New Roman"/>
                <w:b/>
                <w:sz w:val="20"/>
              </w:rPr>
              <w:t>Cost Burden</w:t>
            </w:r>
          </w:p>
        </w:tc>
      </w:tr>
      <w:tr w:rsidR="0019200C" w14:paraId="3B0D5079" w14:textId="77777777" w:rsidTr="0019200C">
        <w:tc>
          <w:tcPr>
            <w:tcW w:w="1261" w:type="dxa"/>
          </w:tcPr>
          <w:p w14:paraId="46CA1682" w14:textId="569FB722" w:rsidR="0019200C" w:rsidRDefault="0019200C" w:rsidP="00356D65">
            <w:pPr>
              <w:pStyle w:val="L1-FlLSp12"/>
              <w:spacing w:line="276" w:lineRule="auto"/>
              <w:rPr>
                <w:rFonts w:ascii="Times New Roman" w:hAnsi="Times New Roman"/>
                <w:b/>
                <w:szCs w:val="24"/>
              </w:rPr>
            </w:pPr>
            <w:r w:rsidRPr="002D3183">
              <w:rPr>
                <w:rFonts w:ascii="Times New Roman" w:hAnsi="Times New Roman"/>
                <w:sz w:val="20"/>
              </w:rPr>
              <w:t>Grantee survey</w:t>
            </w:r>
          </w:p>
        </w:tc>
        <w:tc>
          <w:tcPr>
            <w:tcW w:w="1306" w:type="dxa"/>
          </w:tcPr>
          <w:p w14:paraId="51CE413B" w14:textId="6365B530"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18</w:t>
            </w:r>
          </w:p>
        </w:tc>
        <w:tc>
          <w:tcPr>
            <w:tcW w:w="1228" w:type="dxa"/>
          </w:tcPr>
          <w:p w14:paraId="70A963A0" w14:textId="4C035F54"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color w:val="000000"/>
                <w:sz w:val="20"/>
              </w:rPr>
              <w:t>1</w:t>
            </w:r>
          </w:p>
        </w:tc>
        <w:tc>
          <w:tcPr>
            <w:tcW w:w="1094" w:type="dxa"/>
          </w:tcPr>
          <w:p w14:paraId="2D5FE03F" w14:textId="4FE4E6BA" w:rsidR="0019200C" w:rsidRPr="00C55EF8" w:rsidRDefault="0019200C" w:rsidP="0019200C">
            <w:pPr>
              <w:pStyle w:val="L1-FlLSp12"/>
              <w:spacing w:line="276" w:lineRule="auto"/>
              <w:jc w:val="center"/>
              <w:rPr>
                <w:rFonts w:ascii="Times New Roman" w:hAnsi="Times New Roman"/>
                <w:sz w:val="20"/>
              </w:rPr>
            </w:pPr>
            <w:r>
              <w:rPr>
                <w:rFonts w:ascii="Times New Roman" w:hAnsi="Times New Roman"/>
                <w:color w:val="000000"/>
                <w:sz w:val="20"/>
              </w:rPr>
              <w:t>18</w:t>
            </w:r>
          </w:p>
        </w:tc>
        <w:tc>
          <w:tcPr>
            <w:tcW w:w="1017" w:type="dxa"/>
          </w:tcPr>
          <w:p w14:paraId="522A92BF" w14:textId="6976D8FA"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1</w:t>
            </w:r>
          </w:p>
        </w:tc>
        <w:tc>
          <w:tcPr>
            <w:tcW w:w="1161" w:type="dxa"/>
          </w:tcPr>
          <w:p w14:paraId="464C9CA0" w14:textId="2D7BD500"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sz w:val="20"/>
              </w:rPr>
              <w:t>18</w:t>
            </w:r>
          </w:p>
        </w:tc>
        <w:tc>
          <w:tcPr>
            <w:tcW w:w="927" w:type="dxa"/>
          </w:tcPr>
          <w:p w14:paraId="04218DE8" w14:textId="5D97271B"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$48.46</w:t>
            </w:r>
          </w:p>
        </w:tc>
        <w:tc>
          <w:tcPr>
            <w:tcW w:w="1016" w:type="dxa"/>
          </w:tcPr>
          <w:p w14:paraId="164DA05A" w14:textId="1B7443D1" w:rsidR="0019200C" w:rsidRPr="00356D65" w:rsidRDefault="0019200C">
            <w:pPr>
              <w:pStyle w:val="L1-FlLSp12"/>
              <w:spacing w:line="276" w:lineRule="auto"/>
              <w:jc w:val="center"/>
              <w:rPr>
                <w:rFonts w:ascii="Times New Roman" w:hAnsi="Times New Roman"/>
                <w:sz w:val="20"/>
              </w:rPr>
            </w:pPr>
            <w:r w:rsidRPr="00C50E4C">
              <w:rPr>
                <w:rFonts w:ascii="Times New Roman" w:hAnsi="Times New Roman"/>
                <w:color w:val="000000"/>
                <w:sz w:val="20"/>
              </w:rPr>
              <w:t>$872</w:t>
            </w:r>
          </w:p>
        </w:tc>
      </w:tr>
      <w:tr w:rsidR="0019200C" w14:paraId="598BCC10" w14:textId="77777777" w:rsidTr="0019200C">
        <w:tc>
          <w:tcPr>
            <w:tcW w:w="1261" w:type="dxa"/>
          </w:tcPr>
          <w:p w14:paraId="08D4F925" w14:textId="48417608" w:rsidR="0019200C" w:rsidRDefault="0019200C" w:rsidP="00356D65">
            <w:pPr>
              <w:pStyle w:val="L1-FlLSp12"/>
              <w:spacing w:line="276" w:lineRule="auto"/>
              <w:rPr>
                <w:rFonts w:ascii="Times New Roman" w:hAnsi="Times New Roman"/>
                <w:b/>
                <w:szCs w:val="24"/>
              </w:rPr>
            </w:pPr>
            <w:r w:rsidRPr="002D3183">
              <w:rPr>
                <w:rFonts w:ascii="Times New Roman" w:hAnsi="Times New Roman"/>
                <w:sz w:val="20"/>
              </w:rPr>
              <w:t>Grantee telephone interview</w:t>
            </w:r>
          </w:p>
        </w:tc>
        <w:tc>
          <w:tcPr>
            <w:tcW w:w="1306" w:type="dxa"/>
          </w:tcPr>
          <w:p w14:paraId="6D66A2FB" w14:textId="5C304D82"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53</w:t>
            </w:r>
          </w:p>
        </w:tc>
        <w:tc>
          <w:tcPr>
            <w:tcW w:w="1228" w:type="dxa"/>
          </w:tcPr>
          <w:p w14:paraId="15876D46" w14:textId="49EB5743"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color w:val="000000"/>
                <w:sz w:val="20"/>
              </w:rPr>
              <w:t>1</w:t>
            </w:r>
          </w:p>
        </w:tc>
        <w:tc>
          <w:tcPr>
            <w:tcW w:w="1094" w:type="dxa"/>
          </w:tcPr>
          <w:p w14:paraId="0777D419" w14:textId="441A570F"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53</w:t>
            </w:r>
          </w:p>
        </w:tc>
        <w:tc>
          <w:tcPr>
            <w:tcW w:w="1017" w:type="dxa"/>
          </w:tcPr>
          <w:p w14:paraId="1B10895E" w14:textId="2EB0F96D"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1</w:t>
            </w:r>
          </w:p>
        </w:tc>
        <w:tc>
          <w:tcPr>
            <w:tcW w:w="1161" w:type="dxa"/>
          </w:tcPr>
          <w:p w14:paraId="64729D29" w14:textId="627553B3"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sz w:val="20"/>
              </w:rPr>
              <w:t>53</w:t>
            </w:r>
          </w:p>
        </w:tc>
        <w:tc>
          <w:tcPr>
            <w:tcW w:w="927" w:type="dxa"/>
          </w:tcPr>
          <w:p w14:paraId="1C0408B6" w14:textId="24FE5A17"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$48.46</w:t>
            </w:r>
          </w:p>
        </w:tc>
        <w:tc>
          <w:tcPr>
            <w:tcW w:w="1016" w:type="dxa"/>
          </w:tcPr>
          <w:p w14:paraId="61CEE749" w14:textId="565A5F06" w:rsidR="0019200C" w:rsidRPr="00356D65" w:rsidRDefault="0019200C">
            <w:pPr>
              <w:pStyle w:val="L1-FlLSp12"/>
              <w:spacing w:line="276" w:lineRule="auto"/>
              <w:jc w:val="center"/>
              <w:rPr>
                <w:rFonts w:ascii="Times New Roman" w:hAnsi="Times New Roman"/>
                <w:sz w:val="20"/>
              </w:rPr>
            </w:pPr>
            <w:r w:rsidRPr="00C50E4C">
              <w:rPr>
                <w:rFonts w:ascii="Times New Roman" w:hAnsi="Times New Roman"/>
                <w:color w:val="000000"/>
                <w:sz w:val="20"/>
              </w:rPr>
              <w:t>$2,568</w:t>
            </w:r>
          </w:p>
        </w:tc>
      </w:tr>
      <w:tr w:rsidR="0019200C" w14:paraId="25613563" w14:textId="77777777" w:rsidTr="0019200C">
        <w:tc>
          <w:tcPr>
            <w:tcW w:w="1261" w:type="dxa"/>
          </w:tcPr>
          <w:p w14:paraId="632054E8" w14:textId="63FC4890" w:rsidR="0019200C" w:rsidRDefault="0019200C" w:rsidP="00356D65">
            <w:pPr>
              <w:pStyle w:val="L1-FlLSp12"/>
              <w:spacing w:line="276" w:lineRule="auto"/>
              <w:rPr>
                <w:rFonts w:ascii="Times New Roman" w:hAnsi="Times New Roman"/>
                <w:b/>
                <w:szCs w:val="24"/>
              </w:rPr>
            </w:pPr>
            <w:r w:rsidRPr="002D3183">
              <w:rPr>
                <w:rFonts w:ascii="Times New Roman" w:hAnsi="Times New Roman"/>
                <w:sz w:val="20"/>
              </w:rPr>
              <w:t xml:space="preserve">Partner contact information </w:t>
            </w:r>
            <w:r w:rsidR="00956164">
              <w:rPr>
                <w:rFonts w:ascii="Times New Roman" w:hAnsi="Times New Roman"/>
                <w:sz w:val="20"/>
              </w:rPr>
              <w:t>template</w:t>
            </w:r>
          </w:p>
        </w:tc>
        <w:tc>
          <w:tcPr>
            <w:tcW w:w="1306" w:type="dxa"/>
          </w:tcPr>
          <w:p w14:paraId="6A6632FA" w14:textId="60789EEB"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18</w:t>
            </w:r>
          </w:p>
        </w:tc>
        <w:tc>
          <w:tcPr>
            <w:tcW w:w="1228" w:type="dxa"/>
          </w:tcPr>
          <w:p w14:paraId="6DBE93D5" w14:textId="087E6D90"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color w:val="000000"/>
                <w:sz w:val="20"/>
              </w:rPr>
              <w:t>1</w:t>
            </w:r>
          </w:p>
        </w:tc>
        <w:tc>
          <w:tcPr>
            <w:tcW w:w="1094" w:type="dxa"/>
          </w:tcPr>
          <w:p w14:paraId="433A4B9D" w14:textId="0E7578B6"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18</w:t>
            </w:r>
          </w:p>
        </w:tc>
        <w:tc>
          <w:tcPr>
            <w:tcW w:w="1017" w:type="dxa"/>
          </w:tcPr>
          <w:p w14:paraId="2E739BFB" w14:textId="7BF3AA7E"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1</w:t>
            </w:r>
          </w:p>
        </w:tc>
        <w:tc>
          <w:tcPr>
            <w:tcW w:w="1161" w:type="dxa"/>
          </w:tcPr>
          <w:p w14:paraId="2433ACC6" w14:textId="3A787B4B"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sz w:val="20"/>
              </w:rPr>
              <w:t>18</w:t>
            </w:r>
          </w:p>
        </w:tc>
        <w:tc>
          <w:tcPr>
            <w:tcW w:w="927" w:type="dxa"/>
          </w:tcPr>
          <w:p w14:paraId="6D77F16F" w14:textId="4CD2E76A"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$48.46</w:t>
            </w:r>
          </w:p>
        </w:tc>
        <w:tc>
          <w:tcPr>
            <w:tcW w:w="1016" w:type="dxa"/>
          </w:tcPr>
          <w:p w14:paraId="2D76106F" w14:textId="4BA4A1B4" w:rsidR="0019200C" w:rsidRPr="00356D65" w:rsidRDefault="0019200C">
            <w:pPr>
              <w:pStyle w:val="L1-FlLSp12"/>
              <w:spacing w:line="276" w:lineRule="auto"/>
              <w:jc w:val="center"/>
              <w:rPr>
                <w:rFonts w:ascii="Times New Roman" w:hAnsi="Times New Roman"/>
                <w:sz w:val="20"/>
              </w:rPr>
            </w:pPr>
            <w:r w:rsidRPr="00C50E4C">
              <w:rPr>
                <w:rFonts w:ascii="Times New Roman" w:hAnsi="Times New Roman"/>
                <w:color w:val="000000"/>
                <w:sz w:val="20"/>
              </w:rPr>
              <w:t xml:space="preserve">$872 </w:t>
            </w:r>
          </w:p>
        </w:tc>
      </w:tr>
      <w:tr w:rsidR="0019200C" w14:paraId="64BD4510" w14:textId="77777777" w:rsidTr="0019200C">
        <w:tc>
          <w:tcPr>
            <w:tcW w:w="1261" w:type="dxa"/>
          </w:tcPr>
          <w:p w14:paraId="1D49E03F" w14:textId="1FD44472" w:rsidR="0019200C" w:rsidRDefault="0019200C" w:rsidP="00356D65">
            <w:pPr>
              <w:pStyle w:val="L1-FlLSp12"/>
              <w:spacing w:line="276" w:lineRule="auto"/>
              <w:rPr>
                <w:rFonts w:ascii="Times New Roman" w:hAnsi="Times New Roman"/>
                <w:b/>
                <w:szCs w:val="24"/>
              </w:rPr>
            </w:pPr>
            <w:r w:rsidRPr="002D3183">
              <w:rPr>
                <w:rFonts w:ascii="Times New Roman" w:hAnsi="Times New Roman"/>
                <w:sz w:val="20"/>
              </w:rPr>
              <w:t xml:space="preserve">Partner survey </w:t>
            </w:r>
          </w:p>
        </w:tc>
        <w:tc>
          <w:tcPr>
            <w:tcW w:w="1306" w:type="dxa"/>
          </w:tcPr>
          <w:p w14:paraId="362C9D17" w14:textId="76850379"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320</w:t>
            </w:r>
          </w:p>
        </w:tc>
        <w:tc>
          <w:tcPr>
            <w:tcW w:w="1228" w:type="dxa"/>
          </w:tcPr>
          <w:p w14:paraId="68934AC7" w14:textId="606FC7DE"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color w:val="000000"/>
                <w:sz w:val="20"/>
              </w:rPr>
              <w:t>1</w:t>
            </w:r>
          </w:p>
        </w:tc>
        <w:tc>
          <w:tcPr>
            <w:tcW w:w="1094" w:type="dxa"/>
          </w:tcPr>
          <w:p w14:paraId="75A8A2CF" w14:textId="67E34093"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320</w:t>
            </w:r>
          </w:p>
        </w:tc>
        <w:tc>
          <w:tcPr>
            <w:tcW w:w="1017" w:type="dxa"/>
          </w:tcPr>
          <w:p w14:paraId="617ADC54" w14:textId="7BC8CD1C"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30/60</w:t>
            </w:r>
          </w:p>
        </w:tc>
        <w:tc>
          <w:tcPr>
            <w:tcW w:w="1161" w:type="dxa"/>
          </w:tcPr>
          <w:p w14:paraId="4163698B" w14:textId="230FF4CB"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sz w:val="20"/>
              </w:rPr>
              <w:t>160</w:t>
            </w:r>
          </w:p>
        </w:tc>
        <w:tc>
          <w:tcPr>
            <w:tcW w:w="927" w:type="dxa"/>
          </w:tcPr>
          <w:p w14:paraId="1DD4C9F9" w14:textId="5204BD26"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$48.46</w:t>
            </w:r>
          </w:p>
        </w:tc>
        <w:tc>
          <w:tcPr>
            <w:tcW w:w="1016" w:type="dxa"/>
          </w:tcPr>
          <w:p w14:paraId="07550C15" w14:textId="05DC4A17" w:rsidR="0019200C" w:rsidRPr="00356D65" w:rsidRDefault="0019200C">
            <w:pPr>
              <w:pStyle w:val="L1-FlLSp12"/>
              <w:spacing w:line="276" w:lineRule="auto"/>
              <w:jc w:val="center"/>
              <w:rPr>
                <w:rFonts w:ascii="Times New Roman" w:hAnsi="Times New Roman"/>
                <w:sz w:val="20"/>
              </w:rPr>
            </w:pPr>
            <w:r w:rsidRPr="00C50E4C">
              <w:rPr>
                <w:rFonts w:ascii="Times New Roman" w:hAnsi="Times New Roman"/>
                <w:color w:val="000000"/>
                <w:sz w:val="20"/>
              </w:rPr>
              <w:t>$7,75</w:t>
            </w:r>
            <w:r>
              <w:rPr>
                <w:rFonts w:ascii="Times New Roman" w:hAnsi="Times New Roman"/>
                <w:color w:val="000000"/>
                <w:sz w:val="20"/>
              </w:rPr>
              <w:t>4</w:t>
            </w:r>
            <w:r w:rsidRPr="00C50E4C">
              <w:rPr>
                <w:rFonts w:ascii="Times New Roman" w:hAnsi="Times New Roman"/>
                <w:color w:val="000000"/>
                <w:sz w:val="20"/>
              </w:rPr>
              <w:t xml:space="preserve"> </w:t>
            </w:r>
          </w:p>
        </w:tc>
      </w:tr>
      <w:tr w:rsidR="0019200C" w14:paraId="2B536C20" w14:textId="77777777" w:rsidTr="0019200C">
        <w:tc>
          <w:tcPr>
            <w:tcW w:w="1261" w:type="dxa"/>
          </w:tcPr>
          <w:p w14:paraId="4C0F62EF" w14:textId="2D529D7C" w:rsidR="0019200C" w:rsidRDefault="0019200C" w:rsidP="00356D65">
            <w:pPr>
              <w:pStyle w:val="L1-FlLSp12"/>
              <w:spacing w:line="276" w:lineRule="auto"/>
              <w:rPr>
                <w:rFonts w:ascii="Times New Roman" w:hAnsi="Times New Roman"/>
                <w:b/>
                <w:szCs w:val="24"/>
              </w:rPr>
            </w:pPr>
            <w:r w:rsidRPr="002D3183">
              <w:rPr>
                <w:rFonts w:ascii="Times New Roman" w:hAnsi="Times New Roman"/>
                <w:sz w:val="20"/>
              </w:rPr>
              <w:t>Partner telephone interview</w:t>
            </w:r>
          </w:p>
        </w:tc>
        <w:tc>
          <w:tcPr>
            <w:tcW w:w="1306" w:type="dxa"/>
          </w:tcPr>
          <w:p w14:paraId="055348CA" w14:textId="6F1303B5"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35</w:t>
            </w:r>
          </w:p>
        </w:tc>
        <w:tc>
          <w:tcPr>
            <w:tcW w:w="1228" w:type="dxa"/>
          </w:tcPr>
          <w:p w14:paraId="671C1851" w14:textId="09BDB531"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color w:val="000000"/>
                <w:sz w:val="20"/>
              </w:rPr>
              <w:t>1</w:t>
            </w:r>
          </w:p>
        </w:tc>
        <w:tc>
          <w:tcPr>
            <w:tcW w:w="1094" w:type="dxa"/>
          </w:tcPr>
          <w:p w14:paraId="3BDDB856" w14:textId="47822F2A"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35</w:t>
            </w:r>
          </w:p>
        </w:tc>
        <w:tc>
          <w:tcPr>
            <w:tcW w:w="1017" w:type="dxa"/>
          </w:tcPr>
          <w:p w14:paraId="43F59E13" w14:textId="5B8D4B10"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1</w:t>
            </w:r>
          </w:p>
        </w:tc>
        <w:tc>
          <w:tcPr>
            <w:tcW w:w="1161" w:type="dxa"/>
          </w:tcPr>
          <w:p w14:paraId="40BE08C8" w14:textId="3BDEA98D"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sz w:val="20"/>
              </w:rPr>
              <w:t>35</w:t>
            </w:r>
          </w:p>
        </w:tc>
        <w:tc>
          <w:tcPr>
            <w:tcW w:w="927" w:type="dxa"/>
          </w:tcPr>
          <w:p w14:paraId="5563BE3E" w14:textId="1AD94D5F"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$48.46</w:t>
            </w:r>
          </w:p>
        </w:tc>
        <w:tc>
          <w:tcPr>
            <w:tcW w:w="1016" w:type="dxa"/>
          </w:tcPr>
          <w:p w14:paraId="6E862557" w14:textId="68583433" w:rsidR="0019200C" w:rsidRPr="00356D65" w:rsidRDefault="0019200C">
            <w:pPr>
              <w:pStyle w:val="L1-FlLSp12"/>
              <w:spacing w:line="276" w:lineRule="auto"/>
              <w:jc w:val="center"/>
              <w:rPr>
                <w:rFonts w:ascii="Times New Roman" w:hAnsi="Times New Roman"/>
                <w:sz w:val="20"/>
              </w:rPr>
            </w:pPr>
            <w:r w:rsidRPr="00C50E4C">
              <w:rPr>
                <w:rFonts w:ascii="Times New Roman" w:hAnsi="Times New Roman"/>
                <w:color w:val="000000"/>
                <w:sz w:val="20"/>
              </w:rPr>
              <w:t xml:space="preserve">$1,696 </w:t>
            </w:r>
          </w:p>
        </w:tc>
      </w:tr>
      <w:tr w:rsidR="0019200C" w14:paraId="04058C5F" w14:textId="77777777" w:rsidTr="0019200C">
        <w:tc>
          <w:tcPr>
            <w:tcW w:w="1261" w:type="dxa"/>
          </w:tcPr>
          <w:p w14:paraId="3A67C24B" w14:textId="3651B25F" w:rsidR="0019200C" w:rsidRDefault="0019200C" w:rsidP="00356D65">
            <w:pPr>
              <w:pStyle w:val="L1-FlLSp12"/>
              <w:spacing w:line="276" w:lineRule="auto"/>
              <w:rPr>
                <w:rFonts w:ascii="Times New Roman" w:hAnsi="Times New Roman"/>
                <w:b/>
                <w:szCs w:val="24"/>
              </w:rPr>
            </w:pPr>
            <w:r>
              <w:rPr>
                <w:rFonts w:ascii="Times New Roman" w:hAnsi="Times New Roman"/>
                <w:sz w:val="20"/>
              </w:rPr>
              <w:t>interview guide</w:t>
            </w:r>
            <w:r w:rsidRPr="002D3183">
              <w:rPr>
                <w:rFonts w:ascii="Times New Roman" w:hAnsi="Times New Roman"/>
                <w:sz w:val="20"/>
              </w:rPr>
              <w:t xml:space="preserve"> </w:t>
            </w:r>
            <w:r w:rsidR="00004795">
              <w:rPr>
                <w:rFonts w:ascii="Times New Roman" w:hAnsi="Times New Roman"/>
                <w:sz w:val="20"/>
              </w:rPr>
              <w:t>during site visit</w:t>
            </w:r>
          </w:p>
        </w:tc>
        <w:tc>
          <w:tcPr>
            <w:tcW w:w="1306" w:type="dxa"/>
          </w:tcPr>
          <w:p w14:paraId="399599B4" w14:textId="7CE1C5E6"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30</w:t>
            </w:r>
          </w:p>
        </w:tc>
        <w:tc>
          <w:tcPr>
            <w:tcW w:w="1228" w:type="dxa"/>
          </w:tcPr>
          <w:p w14:paraId="3B365BCB" w14:textId="28176E2D"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color w:val="000000"/>
                <w:sz w:val="20"/>
              </w:rPr>
              <w:t>1</w:t>
            </w:r>
          </w:p>
        </w:tc>
        <w:tc>
          <w:tcPr>
            <w:tcW w:w="1094" w:type="dxa"/>
          </w:tcPr>
          <w:p w14:paraId="2F6C4693" w14:textId="7C71FC51"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color w:val="000000"/>
                <w:sz w:val="20"/>
              </w:rPr>
              <w:t>30</w:t>
            </w:r>
          </w:p>
        </w:tc>
        <w:tc>
          <w:tcPr>
            <w:tcW w:w="1017" w:type="dxa"/>
          </w:tcPr>
          <w:p w14:paraId="67DC4859" w14:textId="335AFFFA"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1</w:t>
            </w:r>
          </w:p>
        </w:tc>
        <w:tc>
          <w:tcPr>
            <w:tcW w:w="1161" w:type="dxa"/>
          </w:tcPr>
          <w:p w14:paraId="08D05B19" w14:textId="7C3E631F"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sz w:val="20"/>
              </w:rPr>
              <w:t>30</w:t>
            </w:r>
          </w:p>
        </w:tc>
        <w:tc>
          <w:tcPr>
            <w:tcW w:w="927" w:type="dxa"/>
          </w:tcPr>
          <w:p w14:paraId="3C437C9D" w14:textId="1D7A04F0" w:rsidR="0019200C" w:rsidRPr="00C55EF8" w:rsidRDefault="0019200C" w:rsidP="00356D65">
            <w:pPr>
              <w:pStyle w:val="L1-FlLSp12"/>
              <w:spacing w:line="276" w:lineRule="auto"/>
              <w:jc w:val="center"/>
              <w:rPr>
                <w:rFonts w:ascii="Times New Roman" w:hAnsi="Times New Roman"/>
                <w:sz w:val="20"/>
              </w:rPr>
            </w:pPr>
            <w:r w:rsidRPr="00C55EF8">
              <w:rPr>
                <w:rFonts w:ascii="Times New Roman" w:hAnsi="Times New Roman"/>
                <w:sz w:val="20"/>
              </w:rPr>
              <w:t>$48.46</w:t>
            </w:r>
          </w:p>
        </w:tc>
        <w:tc>
          <w:tcPr>
            <w:tcW w:w="1016" w:type="dxa"/>
          </w:tcPr>
          <w:p w14:paraId="04106529" w14:textId="1AD76F7B" w:rsidR="0019200C" w:rsidRPr="00356D65" w:rsidRDefault="0019200C">
            <w:pPr>
              <w:pStyle w:val="L1-FlLSp12"/>
              <w:spacing w:line="276" w:lineRule="auto"/>
              <w:jc w:val="center"/>
              <w:rPr>
                <w:rFonts w:ascii="Times New Roman" w:hAnsi="Times New Roman"/>
                <w:sz w:val="20"/>
              </w:rPr>
            </w:pPr>
            <w:r w:rsidRPr="00C50E4C">
              <w:rPr>
                <w:rFonts w:ascii="Times New Roman" w:hAnsi="Times New Roman"/>
                <w:color w:val="000000"/>
                <w:sz w:val="20"/>
              </w:rPr>
              <w:t>$1,45</w:t>
            </w:r>
            <w:r>
              <w:rPr>
                <w:rFonts w:ascii="Times New Roman" w:hAnsi="Times New Roman"/>
                <w:color w:val="000000"/>
                <w:sz w:val="20"/>
              </w:rPr>
              <w:t>4</w:t>
            </w:r>
          </w:p>
        </w:tc>
      </w:tr>
      <w:tr w:rsidR="0019200C" w14:paraId="164354B2" w14:textId="77777777" w:rsidTr="0019200C">
        <w:tc>
          <w:tcPr>
            <w:tcW w:w="1261" w:type="dxa"/>
          </w:tcPr>
          <w:p w14:paraId="63E6CE02" w14:textId="558EDE54" w:rsidR="0019200C" w:rsidRDefault="0019200C" w:rsidP="00356D65">
            <w:pPr>
              <w:pStyle w:val="L1-FlLSp12"/>
              <w:spacing w:line="276" w:lineRule="auto"/>
              <w:rPr>
                <w:rFonts w:ascii="Times New Roman" w:hAnsi="Times New Roman"/>
                <w:b/>
                <w:szCs w:val="24"/>
              </w:rPr>
            </w:pPr>
            <w:r w:rsidRPr="002D3183">
              <w:rPr>
                <w:rFonts w:ascii="Times New Roman" w:hAnsi="Times New Roman"/>
                <w:b/>
                <w:sz w:val="20"/>
              </w:rPr>
              <w:t>Total</w:t>
            </w:r>
          </w:p>
        </w:tc>
        <w:tc>
          <w:tcPr>
            <w:tcW w:w="1306" w:type="dxa"/>
          </w:tcPr>
          <w:p w14:paraId="287A1718" w14:textId="55DC8B30"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sz w:val="20"/>
              </w:rPr>
              <w:t>474</w:t>
            </w:r>
          </w:p>
        </w:tc>
        <w:tc>
          <w:tcPr>
            <w:tcW w:w="1228" w:type="dxa"/>
          </w:tcPr>
          <w:p w14:paraId="6ED4AA90" w14:textId="77777777" w:rsidR="0019200C" w:rsidRPr="00C55EF8" w:rsidRDefault="0019200C" w:rsidP="00356D65">
            <w:pPr>
              <w:pStyle w:val="L1-FlLSp12"/>
              <w:spacing w:line="276" w:lineRule="auto"/>
              <w:jc w:val="center"/>
              <w:rPr>
                <w:rFonts w:ascii="Times New Roman" w:hAnsi="Times New Roman"/>
                <w:sz w:val="20"/>
              </w:rPr>
            </w:pPr>
          </w:p>
        </w:tc>
        <w:tc>
          <w:tcPr>
            <w:tcW w:w="1094" w:type="dxa"/>
          </w:tcPr>
          <w:p w14:paraId="6FA05503" w14:textId="77777777" w:rsidR="0019200C" w:rsidRPr="00C55EF8" w:rsidRDefault="0019200C" w:rsidP="00356D65">
            <w:pPr>
              <w:pStyle w:val="L1-FlLSp12"/>
              <w:spacing w:line="276" w:lineRule="auto"/>
              <w:jc w:val="center"/>
              <w:rPr>
                <w:rFonts w:ascii="Times New Roman" w:hAnsi="Times New Roman"/>
                <w:sz w:val="20"/>
              </w:rPr>
            </w:pPr>
          </w:p>
        </w:tc>
        <w:tc>
          <w:tcPr>
            <w:tcW w:w="1017" w:type="dxa"/>
          </w:tcPr>
          <w:p w14:paraId="74EA5A49" w14:textId="77777777" w:rsidR="0019200C" w:rsidRPr="00C55EF8" w:rsidRDefault="0019200C" w:rsidP="00356D65">
            <w:pPr>
              <w:pStyle w:val="L1-FlLSp12"/>
              <w:spacing w:line="276" w:lineRule="auto"/>
              <w:jc w:val="center"/>
              <w:rPr>
                <w:rFonts w:ascii="Times New Roman" w:hAnsi="Times New Roman"/>
                <w:sz w:val="20"/>
              </w:rPr>
            </w:pPr>
          </w:p>
        </w:tc>
        <w:tc>
          <w:tcPr>
            <w:tcW w:w="1161" w:type="dxa"/>
          </w:tcPr>
          <w:p w14:paraId="5D9688A5" w14:textId="061E69BE" w:rsidR="0019200C" w:rsidRPr="00C55EF8" w:rsidRDefault="0019200C" w:rsidP="00356D65">
            <w:pPr>
              <w:pStyle w:val="L1-FlLSp12"/>
              <w:spacing w:line="276" w:lineRule="auto"/>
              <w:jc w:val="center"/>
              <w:rPr>
                <w:rFonts w:ascii="Times New Roman" w:hAnsi="Times New Roman"/>
                <w:sz w:val="20"/>
              </w:rPr>
            </w:pPr>
            <w:r>
              <w:rPr>
                <w:rFonts w:ascii="Times New Roman" w:hAnsi="Times New Roman"/>
                <w:sz w:val="20"/>
              </w:rPr>
              <w:t>314</w:t>
            </w:r>
          </w:p>
        </w:tc>
        <w:tc>
          <w:tcPr>
            <w:tcW w:w="927" w:type="dxa"/>
          </w:tcPr>
          <w:p w14:paraId="730511F5" w14:textId="77777777" w:rsidR="0019200C" w:rsidRPr="00C55EF8" w:rsidRDefault="0019200C" w:rsidP="00356D65">
            <w:pPr>
              <w:pStyle w:val="L1-FlLSp12"/>
              <w:spacing w:line="276" w:lineRule="auto"/>
              <w:jc w:val="center"/>
              <w:rPr>
                <w:rFonts w:ascii="Times New Roman" w:hAnsi="Times New Roman"/>
                <w:sz w:val="20"/>
              </w:rPr>
            </w:pPr>
          </w:p>
        </w:tc>
        <w:tc>
          <w:tcPr>
            <w:tcW w:w="1016" w:type="dxa"/>
          </w:tcPr>
          <w:p w14:paraId="248ED30D" w14:textId="08D4918C" w:rsidR="0019200C" w:rsidRPr="00356D65" w:rsidRDefault="0019200C">
            <w:pPr>
              <w:pStyle w:val="L1-FlLSp12"/>
              <w:spacing w:line="276" w:lineRule="auto"/>
              <w:jc w:val="center"/>
              <w:rPr>
                <w:rFonts w:ascii="Times New Roman" w:hAnsi="Times New Roman"/>
                <w:sz w:val="20"/>
              </w:rPr>
            </w:pPr>
            <w:r w:rsidRPr="00C50E4C">
              <w:rPr>
                <w:rFonts w:ascii="Times New Roman" w:hAnsi="Times New Roman"/>
                <w:color w:val="000000"/>
                <w:sz w:val="20"/>
              </w:rPr>
              <w:t>$15,2</w:t>
            </w:r>
            <w:r>
              <w:rPr>
                <w:rFonts w:ascii="Times New Roman" w:hAnsi="Times New Roman"/>
                <w:color w:val="000000"/>
                <w:sz w:val="20"/>
              </w:rPr>
              <w:t>05</w:t>
            </w:r>
          </w:p>
        </w:tc>
      </w:tr>
    </w:tbl>
    <w:p w14:paraId="00D22E39" w14:textId="235A2889" w:rsidR="00764C9E" w:rsidRDefault="00706B4C" w:rsidP="00C55EF8">
      <w:pPr>
        <w:pStyle w:val="FootnoteText"/>
        <w:spacing w:before="0"/>
        <w:ind w:left="0" w:firstLine="0"/>
        <w:rPr>
          <w:rStyle w:val="Hyperlink"/>
          <w:rFonts w:ascii="Times New Roman" w:hAnsi="Times New Roman"/>
          <w:sz w:val="20"/>
          <w:szCs w:val="20"/>
        </w:rPr>
      </w:pPr>
      <w:r>
        <w:rPr>
          <w:rFonts w:ascii="Times New Roman" w:hAnsi="Times New Roman"/>
          <w:b/>
          <w:szCs w:val="24"/>
        </w:rPr>
        <w:t xml:space="preserve"> </w:t>
      </w:r>
      <w:bookmarkEnd w:id="2"/>
      <w:r w:rsidR="00A32592">
        <w:rPr>
          <w:rFonts w:ascii="Times New Roman" w:hAnsi="Times New Roman"/>
          <w:sz w:val="20"/>
          <w:szCs w:val="20"/>
          <w:vertAlign w:val="superscript"/>
        </w:rPr>
        <w:t>a</w:t>
      </w:r>
      <w:r w:rsidR="00DF303A" w:rsidRPr="004839E4">
        <w:rPr>
          <w:rFonts w:ascii="Times New Roman" w:hAnsi="Times New Roman"/>
          <w:sz w:val="20"/>
          <w:szCs w:val="20"/>
          <w:vertAlign w:val="superscript"/>
        </w:rPr>
        <w:t xml:space="preserve"> </w:t>
      </w:r>
      <w:r w:rsidR="00FE490B" w:rsidRPr="004839E4">
        <w:rPr>
          <w:rFonts w:ascii="Times New Roman" w:eastAsia="Book Antiqua" w:hAnsi="Times New Roman"/>
          <w:sz w:val="20"/>
          <w:szCs w:val="20"/>
        </w:rPr>
        <w:t xml:space="preserve">The hourly wage rate for grantee and partner staff was </w:t>
      </w:r>
      <w:r w:rsidR="004839E4" w:rsidRPr="004839E4">
        <w:rPr>
          <w:rFonts w:ascii="Times New Roman" w:eastAsia="Book Antiqua" w:hAnsi="Times New Roman"/>
          <w:sz w:val="20"/>
          <w:szCs w:val="20"/>
        </w:rPr>
        <w:t xml:space="preserve">taken from </w:t>
      </w:r>
      <w:r w:rsidR="004839E4" w:rsidRPr="004839E4">
        <w:rPr>
          <w:rFonts w:ascii="Times New Roman" w:hAnsi="Times New Roman"/>
          <w:sz w:val="20"/>
          <w:szCs w:val="20"/>
        </w:rPr>
        <w:t xml:space="preserve">Bureau of Labor Statistics, “Occupational Employment Statistics—May 2016 National Occupational Employment and Wage Estimates” found at: </w:t>
      </w:r>
      <w:hyperlink r:id="rId9" w:anchor="00-0000" w:history="1">
        <w:r w:rsidR="004839E4" w:rsidRPr="004839E4">
          <w:rPr>
            <w:rStyle w:val="Hyperlink"/>
            <w:rFonts w:ascii="Times New Roman" w:hAnsi="Times New Roman"/>
            <w:sz w:val="20"/>
            <w:szCs w:val="20"/>
          </w:rPr>
          <w:t>https://www.bls.gov/oes/current/oes_stru.htm#00-0000</w:t>
        </w:r>
      </w:hyperlink>
      <w:r w:rsidR="004839E4" w:rsidRPr="004839E4">
        <w:rPr>
          <w:rStyle w:val="Hyperlink"/>
          <w:rFonts w:ascii="Times New Roman" w:hAnsi="Times New Roman"/>
          <w:sz w:val="20"/>
          <w:szCs w:val="20"/>
        </w:rPr>
        <w:t>: Management Occupations (SOC code 11-0000).</w:t>
      </w:r>
    </w:p>
    <w:p w14:paraId="585BEE48" w14:textId="2CDDE66C" w:rsidR="00764C9E" w:rsidRDefault="00764C9E" w:rsidP="00C55EF8">
      <w:pPr>
        <w:rPr>
          <w:rStyle w:val="Hyperlink"/>
          <w:rFonts w:ascii="Times New Roman" w:hAnsi="Times New Roman"/>
          <w:sz w:val="20"/>
        </w:rPr>
      </w:pPr>
    </w:p>
    <w:p w14:paraId="1A43DF48" w14:textId="77777777" w:rsidR="005B4B64" w:rsidRDefault="005B4B64" w:rsidP="00C55EF8">
      <w:pPr>
        <w:rPr>
          <w:rFonts w:ascii="Times New Roman" w:hAnsi="Times New Roman"/>
          <w:b/>
        </w:rPr>
      </w:pPr>
    </w:p>
    <w:p w14:paraId="38D99BD3" w14:textId="77777777" w:rsidR="00597D0F" w:rsidRPr="007F08FB" w:rsidRDefault="00482BFA" w:rsidP="00C55EF8">
      <w:pPr>
        <w:rPr>
          <w:rFonts w:ascii="Times New Roman" w:hAnsi="Times New Roman"/>
          <w:b/>
        </w:rPr>
      </w:pPr>
      <w:r w:rsidRPr="007F08FB">
        <w:rPr>
          <w:rFonts w:ascii="Times New Roman" w:hAnsi="Times New Roman"/>
          <w:b/>
        </w:rPr>
        <w:t>A</w:t>
      </w:r>
      <w:r w:rsidR="000B04FD" w:rsidRPr="007F08FB">
        <w:rPr>
          <w:rFonts w:ascii="Times New Roman" w:hAnsi="Times New Roman"/>
          <w:b/>
        </w:rPr>
        <w:t>.</w:t>
      </w:r>
      <w:r w:rsidRPr="000B04FD">
        <w:rPr>
          <w:rFonts w:ascii="Times New Roman" w:hAnsi="Times New Roman"/>
          <w:b/>
        </w:rPr>
        <w:t>13</w:t>
      </w:r>
      <w:r w:rsidR="000B04FD" w:rsidRPr="007F08FB">
        <w:rPr>
          <w:rFonts w:ascii="Times New Roman" w:hAnsi="Times New Roman"/>
          <w:b/>
        </w:rPr>
        <w:tab/>
      </w:r>
      <w:r w:rsidR="00597D0F" w:rsidRPr="000B04FD">
        <w:rPr>
          <w:rFonts w:ascii="Times New Roman" w:hAnsi="Times New Roman"/>
          <w:b/>
        </w:rPr>
        <w:t>Estimates of Annualized Respondent Capital and Maintenance Costs</w:t>
      </w:r>
    </w:p>
    <w:p w14:paraId="0F3BD018" w14:textId="77777777" w:rsidR="000B04FD" w:rsidRPr="007F08FB" w:rsidRDefault="000B04FD" w:rsidP="00C55EF8"/>
    <w:p w14:paraId="04AAD7A1" w14:textId="54D1D65A" w:rsidR="00DE29B6" w:rsidRPr="000B04FD" w:rsidRDefault="00991739" w:rsidP="00C55EF8">
      <w:pPr>
        <w:rPr>
          <w:szCs w:val="24"/>
        </w:rPr>
      </w:pPr>
      <w:r w:rsidRPr="000B04FD">
        <w:rPr>
          <w:rFonts w:ascii="Times New Roman" w:hAnsi="Times New Roman"/>
          <w:szCs w:val="24"/>
        </w:rPr>
        <w:t xml:space="preserve">There are </w:t>
      </w:r>
      <w:r w:rsidR="00B53E48">
        <w:rPr>
          <w:rFonts w:ascii="Times New Roman" w:hAnsi="Times New Roman"/>
          <w:szCs w:val="24"/>
        </w:rPr>
        <w:t xml:space="preserve">no additional cost to respondents other than their time. </w:t>
      </w:r>
    </w:p>
    <w:p w14:paraId="291EE3BA" w14:textId="77777777" w:rsidR="002C1E2F" w:rsidRPr="00DC23B4" w:rsidRDefault="002C1E2F" w:rsidP="00C55EF8">
      <w:pPr>
        <w:rPr>
          <w:rFonts w:ascii="Times New Roman" w:hAnsi="Times New Roman"/>
          <w:szCs w:val="24"/>
        </w:rPr>
      </w:pPr>
    </w:p>
    <w:p w14:paraId="21131ECE" w14:textId="77777777" w:rsidR="00597D0F" w:rsidRPr="009F2353" w:rsidRDefault="00482BFA" w:rsidP="00C55EF8">
      <w:pPr>
        <w:pStyle w:val="ListParagraph"/>
        <w:ind w:left="0"/>
        <w:rPr>
          <w:rFonts w:ascii="Times New Roman" w:hAnsi="Times New Roman"/>
          <w:b/>
        </w:rPr>
      </w:pPr>
      <w:r w:rsidRPr="009F2353">
        <w:rPr>
          <w:rFonts w:ascii="Times New Roman" w:hAnsi="Times New Roman"/>
          <w:b/>
        </w:rPr>
        <w:t>A</w:t>
      </w:r>
      <w:r w:rsidR="000B04FD" w:rsidRPr="009F2353">
        <w:rPr>
          <w:rFonts w:ascii="Times New Roman" w:hAnsi="Times New Roman"/>
          <w:b/>
        </w:rPr>
        <w:t>.</w:t>
      </w:r>
      <w:r w:rsidRPr="009F2353">
        <w:rPr>
          <w:rFonts w:ascii="Times New Roman" w:hAnsi="Times New Roman"/>
          <w:b/>
        </w:rPr>
        <w:t>14</w:t>
      </w:r>
      <w:r w:rsidRPr="009F2353">
        <w:rPr>
          <w:rFonts w:ascii="Times New Roman" w:hAnsi="Times New Roman"/>
          <w:b/>
        </w:rPr>
        <w:tab/>
      </w:r>
      <w:r w:rsidR="00597D0F" w:rsidRPr="009F2353">
        <w:rPr>
          <w:rFonts w:ascii="Times New Roman" w:hAnsi="Times New Roman"/>
          <w:b/>
        </w:rPr>
        <w:t>Estimates of Annualized Cost to the Government</w:t>
      </w:r>
    </w:p>
    <w:p w14:paraId="75917C34" w14:textId="33C442FE" w:rsidR="00B1239A" w:rsidRPr="009F2353" w:rsidRDefault="00CF5C4B" w:rsidP="00C55EF8">
      <w:pPr>
        <w:pStyle w:val="BodyText"/>
        <w:spacing w:line="276" w:lineRule="auto"/>
        <w:rPr>
          <w:sz w:val="24"/>
          <w:szCs w:val="24"/>
          <w:lang w:val="en-US"/>
        </w:rPr>
      </w:pPr>
      <w:r w:rsidRPr="009F2353">
        <w:rPr>
          <w:sz w:val="24"/>
          <w:szCs w:val="24"/>
          <w:lang w:val="en-US"/>
        </w:rPr>
        <w:t>The total cost</w:t>
      </w:r>
      <w:r w:rsidR="00236733" w:rsidRPr="009F2353">
        <w:rPr>
          <w:sz w:val="24"/>
          <w:szCs w:val="24"/>
          <w:lang w:val="en-US"/>
        </w:rPr>
        <w:t xml:space="preserve"> to conduct the information collected in this request </w:t>
      </w:r>
      <w:r w:rsidRPr="009F2353">
        <w:rPr>
          <w:sz w:val="24"/>
          <w:szCs w:val="24"/>
          <w:lang w:val="en-US"/>
        </w:rPr>
        <w:t>is $</w:t>
      </w:r>
      <w:r w:rsidR="00CB19CD" w:rsidRPr="009F2353">
        <w:rPr>
          <w:sz w:val="24"/>
          <w:szCs w:val="24"/>
          <w:lang w:val="en-US"/>
        </w:rPr>
        <w:t>784,984</w:t>
      </w:r>
      <w:r w:rsidR="009C0BA9" w:rsidRPr="009F2353">
        <w:rPr>
          <w:sz w:val="24"/>
          <w:szCs w:val="24"/>
          <w:lang w:val="en-US"/>
        </w:rPr>
        <w:t xml:space="preserve">. </w:t>
      </w:r>
      <w:r w:rsidR="00CB19CD" w:rsidRPr="009F2353">
        <w:rPr>
          <w:sz w:val="24"/>
          <w:szCs w:val="24"/>
          <w:lang w:val="en-US"/>
        </w:rPr>
        <w:t xml:space="preserve"> </w:t>
      </w:r>
      <w:r w:rsidR="00CB19CD" w:rsidRPr="009F2353">
        <w:rPr>
          <w:b/>
          <w:sz w:val="24"/>
          <w:szCs w:val="24"/>
          <w:lang w:val="en-US"/>
        </w:rPr>
        <w:t>The annualized cost is $784,984 / 3 = $261,661.</w:t>
      </w:r>
    </w:p>
    <w:p w14:paraId="6956E002" w14:textId="08A6A6F7" w:rsidR="00236733" w:rsidRPr="009F2353" w:rsidRDefault="00B1239A" w:rsidP="004B7547">
      <w:pPr>
        <w:pStyle w:val="BodyText"/>
        <w:numPr>
          <w:ilvl w:val="0"/>
          <w:numId w:val="72"/>
        </w:numPr>
        <w:spacing w:line="276" w:lineRule="auto"/>
        <w:rPr>
          <w:sz w:val="24"/>
          <w:szCs w:val="24"/>
          <w:lang w:val="en-US"/>
        </w:rPr>
      </w:pPr>
      <w:r w:rsidRPr="009F2353">
        <w:rPr>
          <w:sz w:val="24"/>
          <w:szCs w:val="24"/>
        </w:rPr>
        <w:t xml:space="preserve">The estimated cost to the federal government for the contractor to carry out this study is </w:t>
      </w:r>
      <w:r w:rsidR="00236733" w:rsidRPr="009F2353">
        <w:rPr>
          <w:sz w:val="24"/>
          <w:szCs w:val="24"/>
        </w:rPr>
        <w:t xml:space="preserve">based on the detailed budget of contractor labor and other costs </w:t>
      </w:r>
      <w:r w:rsidRPr="009F2353">
        <w:rPr>
          <w:sz w:val="24"/>
          <w:szCs w:val="24"/>
          <w:lang w:val="en-US"/>
        </w:rPr>
        <w:t>is</w:t>
      </w:r>
      <w:r w:rsidR="00236733" w:rsidRPr="009F2353">
        <w:rPr>
          <w:sz w:val="24"/>
          <w:szCs w:val="24"/>
          <w:lang w:val="en-US"/>
        </w:rPr>
        <w:t xml:space="preserve"> $</w:t>
      </w:r>
      <w:r w:rsidR="006F675C" w:rsidRPr="009F2353">
        <w:rPr>
          <w:sz w:val="24"/>
          <w:szCs w:val="24"/>
          <w:lang w:val="en-US"/>
        </w:rPr>
        <w:t>727,000</w:t>
      </w:r>
      <w:r w:rsidR="00236733" w:rsidRPr="009F2353">
        <w:rPr>
          <w:sz w:val="24"/>
          <w:szCs w:val="24"/>
          <w:lang w:val="en-US"/>
        </w:rPr>
        <w:t xml:space="preserve">  for </w:t>
      </w:r>
      <w:r w:rsidRPr="009F2353">
        <w:rPr>
          <w:sz w:val="24"/>
          <w:szCs w:val="24"/>
          <w:lang w:val="en-US"/>
        </w:rPr>
        <w:t xml:space="preserve"> survey development, data collection, and </w:t>
      </w:r>
      <w:r w:rsidR="006F675C" w:rsidRPr="009F2353">
        <w:rPr>
          <w:sz w:val="24"/>
          <w:szCs w:val="24"/>
          <w:lang w:val="en-US"/>
        </w:rPr>
        <w:t>analysis</w:t>
      </w:r>
      <w:r w:rsidR="00236733" w:rsidRPr="009F2353">
        <w:rPr>
          <w:sz w:val="24"/>
          <w:szCs w:val="24"/>
          <w:lang w:val="en-US"/>
        </w:rPr>
        <w:t xml:space="preserve">. </w:t>
      </w:r>
    </w:p>
    <w:p w14:paraId="44DC9627" w14:textId="0663A8F5" w:rsidR="00913B1A" w:rsidRPr="004B7547" w:rsidRDefault="00B53E48" w:rsidP="004B7547">
      <w:pPr>
        <w:pStyle w:val="BodyText"/>
        <w:spacing w:line="276" w:lineRule="auto"/>
        <w:ind w:left="360"/>
        <w:rPr>
          <w:sz w:val="24"/>
          <w:szCs w:val="24"/>
          <w:lang w:val="en-US"/>
        </w:rPr>
      </w:pPr>
      <w:r w:rsidRPr="009F2353">
        <w:rPr>
          <w:sz w:val="24"/>
          <w:szCs w:val="24"/>
          <w:lang w:val="en-US"/>
        </w:rPr>
        <w:t xml:space="preserve">2) </w:t>
      </w:r>
      <w:r w:rsidR="00236733" w:rsidRPr="009F2353">
        <w:rPr>
          <w:sz w:val="24"/>
          <w:szCs w:val="24"/>
          <w:lang w:val="en-US"/>
        </w:rPr>
        <w:t>In addition</w:t>
      </w:r>
      <w:r w:rsidR="00236733" w:rsidRPr="004B7547">
        <w:rPr>
          <w:sz w:val="24"/>
          <w:szCs w:val="24"/>
          <w:lang w:val="en-US"/>
        </w:rPr>
        <w:t xml:space="preserve">, </w:t>
      </w:r>
      <w:r w:rsidR="00236733" w:rsidRPr="004B7547">
        <w:rPr>
          <w:sz w:val="24"/>
          <w:szCs w:val="24"/>
        </w:rPr>
        <w:t>DOL expects the annual level of effort for Federal government technical staff to oversee the contract will require 200 hours for one Washington D.C.-based GS-14, Step 4 employee earning $</w:t>
      </w:r>
      <w:r w:rsidR="007861BA" w:rsidRPr="004B7547">
        <w:rPr>
          <w:sz w:val="24"/>
          <w:szCs w:val="24"/>
          <w:lang w:val="en-US"/>
        </w:rPr>
        <w:t>60.40</w:t>
      </w:r>
      <w:r w:rsidR="00236733" w:rsidRPr="004B7547">
        <w:rPr>
          <w:sz w:val="24"/>
          <w:szCs w:val="24"/>
        </w:rPr>
        <w:t xml:space="preserve"> per hour.</w:t>
      </w:r>
      <w:r w:rsidR="00236733" w:rsidRPr="004B7547">
        <w:rPr>
          <w:rStyle w:val="FootnoteReference"/>
          <w:rFonts w:cstheme="minorHAnsi"/>
          <w:bCs/>
          <w:sz w:val="24"/>
          <w:szCs w:val="24"/>
        </w:rPr>
        <w:footnoteReference w:id="2"/>
      </w:r>
      <w:r w:rsidR="00236733" w:rsidRPr="004B7547">
        <w:rPr>
          <w:sz w:val="24"/>
          <w:szCs w:val="24"/>
        </w:rPr>
        <w:t xml:space="preserve">  To account for fringe benefits and other overhead costs the agency applies a multiplication factor of 1.6. </w:t>
      </w:r>
      <w:r w:rsidR="00236733" w:rsidRPr="004B7547">
        <w:rPr>
          <w:sz w:val="24"/>
          <w:szCs w:val="24"/>
          <w:lang w:val="en-US"/>
        </w:rPr>
        <w:t>The annual cost is $1</w:t>
      </w:r>
      <w:r w:rsidR="00830436" w:rsidRPr="004B7547">
        <w:rPr>
          <w:sz w:val="24"/>
          <w:szCs w:val="24"/>
          <w:lang w:val="en-US"/>
        </w:rPr>
        <w:t>9,328</w:t>
      </w:r>
      <w:r w:rsidR="00236733" w:rsidRPr="004B7547">
        <w:rPr>
          <w:sz w:val="24"/>
          <w:szCs w:val="24"/>
          <w:lang w:val="en-US"/>
        </w:rPr>
        <w:t xml:space="preserve"> ($</w:t>
      </w:r>
      <w:r w:rsidR="00C55EF8" w:rsidRPr="004B7547">
        <w:rPr>
          <w:sz w:val="24"/>
          <w:szCs w:val="24"/>
          <w:lang w:val="en-US"/>
        </w:rPr>
        <w:t>60.40</w:t>
      </w:r>
      <w:r w:rsidR="00236733" w:rsidRPr="004B7547">
        <w:rPr>
          <w:sz w:val="24"/>
          <w:szCs w:val="24"/>
        </w:rPr>
        <w:t xml:space="preserve"> </w:t>
      </w:r>
      <w:r w:rsidR="00236733" w:rsidRPr="004B7547">
        <w:rPr>
          <w:sz w:val="24"/>
          <w:szCs w:val="24"/>
          <w:lang w:val="en-US"/>
        </w:rPr>
        <w:t>x 1.6 x 200 = $</w:t>
      </w:r>
      <w:r w:rsidR="00C55EF8" w:rsidRPr="004B7547">
        <w:rPr>
          <w:sz w:val="24"/>
          <w:szCs w:val="24"/>
          <w:lang w:val="en-US"/>
        </w:rPr>
        <w:t>19,328</w:t>
      </w:r>
      <w:r w:rsidR="00236733" w:rsidRPr="004B7547">
        <w:rPr>
          <w:sz w:val="24"/>
          <w:szCs w:val="24"/>
          <w:lang w:val="en-US"/>
        </w:rPr>
        <w:t xml:space="preserve">). </w:t>
      </w:r>
      <w:r w:rsidR="00830436" w:rsidRPr="004B7547">
        <w:rPr>
          <w:sz w:val="24"/>
          <w:szCs w:val="24"/>
        </w:rPr>
        <w:t xml:space="preserve">The data collection period covered by this justification is three years, so the estimated total cost </w:t>
      </w:r>
      <w:r w:rsidR="00830436" w:rsidRPr="004B7547">
        <w:rPr>
          <w:sz w:val="24"/>
          <w:szCs w:val="24"/>
          <w:lang w:val="en-US"/>
        </w:rPr>
        <w:t xml:space="preserve">is </w:t>
      </w:r>
      <w:r w:rsidR="00830436" w:rsidRPr="004B7547">
        <w:rPr>
          <w:sz w:val="24"/>
          <w:szCs w:val="24"/>
        </w:rPr>
        <w:t>$</w:t>
      </w:r>
      <w:r w:rsidR="00830436" w:rsidRPr="004B7547">
        <w:rPr>
          <w:sz w:val="24"/>
          <w:szCs w:val="24"/>
          <w:lang w:val="en-US"/>
        </w:rPr>
        <w:t xml:space="preserve">57,984 ($19,328 x 3 = </w:t>
      </w:r>
      <w:r w:rsidR="00830436" w:rsidRPr="004B7547">
        <w:rPr>
          <w:sz w:val="24"/>
          <w:szCs w:val="24"/>
        </w:rPr>
        <w:t>$5</w:t>
      </w:r>
      <w:r w:rsidR="00830436" w:rsidRPr="004B7547">
        <w:rPr>
          <w:sz w:val="24"/>
          <w:szCs w:val="24"/>
          <w:lang w:val="en-US"/>
        </w:rPr>
        <w:t>7</w:t>
      </w:r>
      <w:r w:rsidR="00830436" w:rsidRPr="004B7547">
        <w:rPr>
          <w:sz w:val="24"/>
          <w:szCs w:val="24"/>
        </w:rPr>
        <w:t>,</w:t>
      </w:r>
      <w:r w:rsidR="00830436" w:rsidRPr="004B7547">
        <w:rPr>
          <w:sz w:val="24"/>
          <w:szCs w:val="24"/>
          <w:lang w:val="en-US"/>
        </w:rPr>
        <w:t>984)</w:t>
      </w:r>
      <w:r w:rsidR="00830436" w:rsidRPr="004B7547">
        <w:rPr>
          <w:sz w:val="24"/>
          <w:szCs w:val="24"/>
        </w:rPr>
        <w:t>.</w:t>
      </w:r>
      <w:r w:rsidR="00830436" w:rsidRPr="004B7547">
        <w:rPr>
          <w:sz w:val="24"/>
          <w:szCs w:val="24"/>
          <w:lang w:val="en-US"/>
        </w:rPr>
        <w:t xml:space="preserve"> </w:t>
      </w:r>
      <w:r w:rsidR="009C0BA9" w:rsidRPr="004B7547">
        <w:rPr>
          <w:sz w:val="24"/>
          <w:szCs w:val="24"/>
          <w:lang w:val="en-US"/>
        </w:rPr>
        <w:t>The total cost is $</w:t>
      </w:r>
      <w:r w:rsidR="006F675C" w:rsidRPr="004B7547">
        <w:rPr>
          <w:sz w:val="24"/>
          <w:szCs w:val="24"/>
          <w:lang w:val="en-US"/>
        </w:rPr>
        <w:t>727,000</w:t>
      </w:r>
      <w:r w:rsidR="009C0BA9" w:rsidRPr="004B7547">
        <w:rPr>
          <w:sz w:val="24"/>
          <w:szCs w:val="24"/>
          <w:lang w:val="en-US"/>
        </w:rPr>
        <w:t xml:space="preserve"> + </w:t>
      </w:r>
      <w:r w:rsidR="009C0BA9" w:rsidRPr="004B7547">
        <w:rPr>
          <w:sz w:val="24"/>
          <w:szCs w:val="24"/>
        </w:rPr>
        <w:t>$</w:t>
      </w:r>
      <w:r w:rsidR="00830436" w:rsidRPr="004B7547">
        <w:rPr>
          <w:sz w:val="24"/>
          <w:szCs w:val="24"/>
          <w:lang w:val="en-US"/>
        </w:rPr>
        <w:t>57,984</w:t>
      </w:r>
      <w:r w:rsidR="009C0BA9" w:rsidRPr="004B7547">
        <w:rPr>
          <w:sz w:val="24"/>
          <w:szCs w:val="24"/>
          <w:lang w:val="en-US"/>
        </w:rPr>
        <w:t xml:space="preserve"> = $</w:t>
      </w:r>
      <w:r w:rsidR="00830436" w:rsidRPr="004B7547">
        <w:rPr>
          <w:sz w:val="24"/>
          <w:szCs w:val="24"/>
          <w:lang w:val="en-US"/>
        </w:rPr>
        <w:t>784,984</w:t>
      </w:r>
      <w:r w:rsidR="009C0BA9" w:rsidRPr="004B7547">
        <w:rPr>
          <w:sz w:val="24"/>
          <w:szCs w:val="24"/>
          <w:lang w:val="en-US"/>
        </w:rPr>
        <w:t xml:space="preserve">. </w:t>
      </w:r>
    </w:p>
    <w:p w14:paraId="5D791F72" w14:textId="77777777" w:rsidR="00E772A1" w:rsidRDefault="00482BFA" w:rsidP="00C55EF8">
      <w:pPr>
        <w:rPr>
          <w:rFonts w:ascii="Times New Roman" w:hAnsi="Times New Roman"/>
          <w:szCs w:val="24"/>
        </w:rPr>
      </w:pPr>
      <w:r w:rsidRPr="00095939">
        <w:rPr>
          <w:rFonts w:ascii="Times New Roman" w:hAnsi="Times New Roman"/>
          <w:b/>
          <w:szCs w:val="24"/>
        </w:rPr>
        <w:t>A</w:t>
      </w:r>
      <w:r w:rsidR="00E772A1">
        <w:rPr>
          <w:rFonts w:ascii="Times New Roman" w:hAnsi="Times New Roman"/>
          <w:b/>
          <w:szCs w:val="24"/>
        </w:rPr>
        <w:t>.</w:t>
      </w:r>
      <w:r w:rsidRPr="00095939">
        <w:rPr>
          <w:rFonts w:ascii="Times New Roman" w:hAnsi="Times New Roman"/>
          <w:b/>
          <w:szCs w:val="24"/>
        </w:rPr>
        <w:t>15</w:t>
      </w:r>
      <w:r w:rsidRPr="00095939">
        <w:rPr>
          <w:rFonts w:ascii="Times New Roman" w:hAnsi="Times New Roman"/>
          <w:b/>
          <w:szCs w:val="24"/>
        </w:rPr>
        <w:tab/>
      </w:r>
      <w:r w:rsidR="00597D0F" w:rsidRPr="00095939">
        <w:rPr>
          <w:rFonts w:ascii="Times New Roman" w:hAnsi="Times New Roman"/>
          <w:b/>
          <w:szCs w:val="24"/>
        </w:rPr>
        <w:t>Changes in Hour Burden</w:t>
      </w:r>
    </w:p>
    <w:p w14:paraId="0AB84AFC" w14:textId="77777777" w:rsidR="00E772A1" w:rsidRPr="00095939" w:rsidRDefault="00E772A1" w:rsidP="00C55EF8">
      <w:pPr>
        <w:spacing w:line="276" w:lineRule="auto"/>
        <w:rPr>
          <w:rFonts w:ascii="Times New Roman" w:hAnsi="Times New Roman"/>
          <w:b/>
          <w:szCs w:val="24"/>
        </w:rPr>
      </w:pPr>
    </w:p>
    <w:p w14:paraId="5B214E9B" w14:textId="77777777" w:rsidR="001A7BA5" w:rsidRPr="00DC23B4" w:rsidRDefault="008B3A5A" w:rsidP="00C55EF8">
      <w:pPr>
        <w:spacing w:line="276" w:lineRule="auto"/>
      </w:pPr>
      <w:r>
        <w:rPr>
          <w:rFonts w:ascii="Times New Roman" w:hAnsi="Times New Roman"/>
          <w:szCs w:val="24"/>
        </w:rPr>
        <w:t>This is a new data collection.</w:t>
      </w:r>
    </w:p>
    <w:p w14:paraId="27D17ED4" w14:textId="77777777" w:rsidR="00636ECF" w:rsidRPr="00DC23B4" w:rsidRDefault="00636ECF" w:rsidP="00C55EF8">
      <w:pPr>
        <w:rPr>
          <w:rFonts w:ascii="Times New Roman" w:hAnsi="Times New Roman"/>
          <w:szCs w:val="24"/>
        </w:rPr>
      </w:pPr>
    </w:p>
    <w:p w14:paraId="2AFB61C9" w14:textId="77777777" w:rsidR="00597D0F" w:rsidRPr="007F08FB" w:rsidRDefault="00482BFA" w:rsidP="00C55EF8">
      <w:pPr>
        <w:pStyle w:val="ListParagraph"/>
        <w:ind w:left="0"/>
        <w:rPr>
          <w:rFonts w:ascii="Times New Roman" w:hAnsi="Times New Roman"/>
          <w:b/>
          <w:sz w:val="24"/>
          <w:szCs w:val="24"/>
        </w:rPr>
      </w:pPr>
      <w:r w:rsidRPr="007F08FB">
        <w:rPr>
          <w:rFonts w:ascii="Times New Roman" w:hAnsi="Times New Roman"/>
          <w:b/>
          <w:sz w:val="24"/>
          <w:szCs w:val="24"/>
        </w:rPr>
        <w:t>A</w:t>
      </w:r>
      <w:r w:rsidR="00DC23B4" w:rsidRPr="007F08FB">
        <w:rPr>
          <w:rFonts w:ascii="Times New Roman" w:hAnsi="Times New Roman"/>
          <w:b/>
          <w:sz w:val="24"/>
          <w:szCs w:val="24"/>
        </w:rPr>
        <w:t>.</w:t>
      </w:r>
      <w:r w:rsidRPr="007F08FB">
        <w:rPr>
          <w:rFonts w:ascii="Times New Roman" w:hAnsi="Times New Roman"/>
          <w:b/>
          <w:sz w:val="24"/>
          <w:szCs w:val="24"/>
        </w:rPr>
        <w:t>16</w:t>
      </w:r>
      <w:r w:rsidRPr="007F08FB">
        <w:rPr>
          <w:rFonts w:ascii="Times New Roman" w:hAnsi="Times New Roman"/>
          <w:b/>
          <w:sz w:val="24"/>
          <w:szCs w:val="24"/>
        </w:rPr>
        <w:tab/>
      </w:r>
      <w:r w:rsidR="00597D0F" w:rsidRPr="007F08FB">
        <w:rPr>
          <w:rFonts w:ascii="Times New Roman" w:hAnsi="Times New Roman"/>
          <w:b/>
          <w:sz w:val="24"/>
          <w:szCs w:val="24"/>
        </w:rPr>
        <w:t>Plans for Tabulation and Publication</w:t>
      </w:r>
    </w:p>
    <w:p w14:paraId="08E31C89" w14:textId="77777777" w:rsidR="00991739" w:rsidRPr="000B04FD" w:rsidRDefault="00677E84" w:rsidP="00C55EF8">
      <w:pPr>
        <w:spacing w:line="276" w:lineRule="auto"/>
        <w:rPr>
          <w:rFonts w:ascii="Times New Roman" w:hAnsi="Times New Roman"/>
          <w:szCs w:val="24"/>
        </w:rPr>
      </w:pPr>
      <w:r w:rsidRPr="00DC23B4">
        <w:rPr>
          <w:rFonts w:ascii="Times New Roman" w:hAnsi="Times New Roman"/>
          <w:szCs w:val="24"/>
        </w:rPr>
        <w:t xml:space="preserve">The </w:t>
      </w:r>
      <w:r w:rsidR="00DE19C8" w:rsidRPr="001F213D">
        <w:rPr>
          <w:rFonts w:ascii="Times New Roman" w:hAnsi="Times New Roman"/>
          <w:i/>
          <w:szCs w:val="24"/>
        </w:rPr>
        <w:t>Evaluation of Strategies Used in the TechHire and SWFI Grant Program</w:t>
      </w:r>
      <w:r w:rsidR="00DE19C8" w:rsidRPr="00DC23B4">
        <w:rPr>
          <w:rFonts w:ascii="Times New Roman" w:hAnsi="Times New Roman"/>
          <w:szCs w:val="24"/>
        </w:rPr>
        <w:t xml:space="preserve"> </w:t>
      </w:r>
      <w:r w:rsidRPr="00DC23B4">
        <w:rPr>
          <w:rFonts w:ascii="Times New Roman" w:hAnsi="Times New Roman"/>
          <w:szCs w:val="24"/>
        </w:rPr>
        <w:t xml:space="preserve">data collection activities </w:t>
      </w:r>
      <w:r w:rsidR="00DD2EF4">
        <w:rPr>
          <w:rFonts w:ascii="Times New Roman" w:hAnsi="Times New Roman"/>
          <w:szCs w:val="24"/>
        </w:rPr>
        <w:t xml:space="preserve">in this request </w:t>
      </w:r>
      <w:r w:rsidRPr="00DC23B4">
        <w:rPr>
          <w:rFonts w:ascii="Times New Roman" w:hAnsi="Times New Roman"/>
          <w:szCs w:val="24"/>
        </w:rPr>
        <w:t xml:space="preserve">will support </w:t>
      </w:r>
      <w:r w:rsidR="0080624E">
        <w:rPr>
          <w:rFonts w:ascii="Times New Roman" w:hAnsi="Times New Roman"/>
          <w:szCs w:val="24"/>
        </w:rPr>
        <w:t xml:space="preserve">the following </w:t>
      </w:r>
      <w:r w:rsidRPr="00DC23B4">
        <w:rPr>
          <w:rFonts w:ascii="Times New Roman" w:hAnsi="Times New Roman"/>
          <w:szCs w:val="24"/>
        </w:rPr>
        <w:t>major deliverables:</w:t>
      </w:r>
    </w:p>
    <w:p w14:paraId="0BCA764F" w14:textId="77777777" w:rsidR="00991739" w:rsidRPr="000B04FD" w:rsidRDefault="00991739" w:rsidP="00C55EF8">
      <w:pPr>
        <w:pStyle w:val="L1-FlLSp12"/>
        <w:spacing w:line="276" w:lineRule="auto"/>
        <w:rPr>
          <w:rFonts w:ascii="Times New Roman" w:hAnsi="Times New Roman"/>
          <w:szCs w:val="24"/>
        </w:rPr>
      </w:pPr>
    </w:p>
    <w:p w14:paraId="71297390" w14:textId="77777777" w:rsidR="00991739" w:rsidRPr="00224E89" w:rsidRDefault="00991739" w:rsidP="00C55EF8">
      <w:pPr>
        <w:pStyle w:val="N1-1stBullet"/>
        <w:numPr>
          <w:ilvl w:val="0"/>
          <w:numId w:val="57"/>
        </w:numPr>
        <w:spacing w:line="276" w:lineRule="auto"/>
        <w:rPr>
          <w:rFonts w:ascii="Times New Roman" w:hAnsi="Times New Roman"/>
          <w:szCs w:val="24"/>
        </w:rPr>
      </w:pPr>
      <w:r w:rsidRPr="00FA03FB">
        <w:rPr>
          <w:rFonts w:ascii="Times New Roman" w:hAnsi="Times New Roman"/>
          <w:b/>
          <w:i/>
          <w:szCs w:val="24"/>
        </w:rPr>
        <w:t>Short Paper 1.</w:t>
      </w:r>
      <w:r w:rsidRPr="00FA03FB">
        <w:rPr>
          <w:rFonts w:ascii="Times New Roman" w:hAnsi="Times New Roman"/>
          <w:szCs w:val="24"/>
        </w:rPr>
        <w:t xml:space="preserve"> The first of two short papers will focus on interim implementation lessons, grantee strategies, and program </w:t>
      </w:r>
      <w:r w:rsidRPr="00224E89">
        <w:rPr>
          <w:rFonts w:ascii="Times New Roman" w:hAnsi="Times New Roman"/>
          <w:szCs w:val="24"/>
        </w:rPr>
        <w:t xml:space="preserve">participation. This short paper will include data gathered from the site visits to RCT grantees. </w:t>
      </w:r>
    </w:p>
    <w:p w14:paraId="5E43445C" w14:textId="77777777" w:rsidR="00991739" w:rsidRDefault="00991739" w:rsidP="00C55EF8">
      <w:pPr>
        <w:pStyle w:val="N1-1stBullet"/>
        <w:numPr>
          <w:ilvl w:val="0"/>
          <w:numId w:val="57"/>
        </w:numPr>
        <w:spacing w:line="276" w:lineRule="auto"/>
        <w:rPr>
          <w:rFonts w:ascii="Times New Roman" w:hAnsi="Times New Roman"/>
          <w:szCs w:val="24"/>
        </w:rPr>
      </w:pPr>
      <w:r w:rsidRPr="007F08FB">
        <w:rPr>
          <w:rFonts w:ascii="Times New Roman" w:hAnsi="Times New Roman"/>
          <w:b/>
          <w:i/>
          <w:szCs w:val="24"/>
        </w:rPr>
        <w:t>Short Paper 2.</w:t>
      </w:r>
      <w:r w:rsidRPr="007F08FB">
        <w:rPr>
          <w:rFonts w:ascii="Times New Roman" w:hAnsi="Times New Roman"/>
          <w:szCs w:val="24"/>
        </w:rPr>
        <w:t xml:space="preserve"> The second short paper will document short-term impacts based on the 6-month survey. The main short-term outcomes of interest will include training completion or continued enrollment in training and educational progress. It will also consider impacts on employment and childcare arrangements. </w:t>
      </w:r>
    </w:p>
    <w:p w14:paraId="55A270BC" w14:textId="77777777" w:rsidR="00522FB1" w:rsidRPr="00991739" w:rsidRDefault="00522FB1" w:rsidP="00C55EF8">
      <w:pPr>
        <w:pStyle w:val="N1-1stBullet"/>
        <w:numPr>
          <w:ilvl w:val="0"/>
          <w:numId w:val="57"/>
        </w:numPr>
        <w:spacing w:line="240" w:lineRule="atLeast"/>
        <w:rPr>
          <w:rFonts w:ascii="Times New Roman" w:hAnsi="Times New Roman"/>
          <w:szCs w:val="24"/>
        </w:rPr>
      </w:pPr>
      <w:r w:rsidRPr="00991739">
        <w:rPr>
          <w:rFonts w:ascii="Times New Roman" w:hAnsi="Times New Roman"/>
          <w:b/>
          <w:szCs w:val="24"/>
        </w:rPr>
        <w:t>Issue Brief 1.</w:t>
      </w:r>
      <w:r w:rsidRPr="00991739">
        <w:rPr>
          <w:rFonts w:ascii="Times New Roman" w:hAnsi="Times New Roman"/>
          <w:szCs w:val="24"/>
        </w:rPr>
        <w:t xml:space="preserve"> </w:t>
      </w:r>
      <w:r>
        <w:rPr>
          <w:rFonts w:ascii="Times New Roman" w:hAnsi="Times New Roman"/>
          <w:szCs w:val="24"/>
        </w:rPr>
        <w:t>An</w:t>
      </w:r>
      <w:r w:rsidRPr="00991739">
        <w:rPr>
          <w:rFonts w:ascii="Times New Roman" w:hAnsi="Times New Roman"/>
          <w:szCs w:val="24"/>
        </w:rPr>
        <w:t xml:space="preserve"> issue brief describing interim implementation and impact findings based on the two short papers will be submitted to DOL. </w:t>
      </w:r>
    </w:p>
    <w:p w14:paraId="53CBCB0A" w14:textId="77777777" w:rsidR="00522FB1" w:rsidRPr="00991739" w:rsidRDefault="00522FB1" w:rsidP="00C55EF8">
      <w:pPr>
        <w:pStyle w:val="N1-1stBullet"/>
        <w:numPr>
          <w:ilvl w:val="0"/>
          <w:numId w:val="57"/>
        </w:numPr>
        <w:spacing w:line="240" w:lineRule="atLeast"/>
        <w:rPr>
          <w:rFonts w:ascii="Times New Roman" w:hAnsi="Times New Roman"/>
          <w:szCs w:val="24"/>
        </w:rPr>
      </w:pPr>
      <w:r w:rsidRPr="00991739">
        <w:rPr>
          <w:rFonts w:ascii="Times New Roman" w:hAnsi="Times New Roman"/>
          <w:b/>
          <w:szCs w:val="24"/>
        </w:rPr>
        <w:t>Final Report.</w:t>
      </w:r>
      <w:r w:rsidRPr="00991739">
        <w:rPr>
          <w:rFonts w:ascii="Times New Roman" w:hAnsi="Times New Roman"/>
          <w:szCs w:val="24"/>
        </w:rPr>
        <w:t xml:space="preserve"> </w:t>
      </w:r>
      <w:r>
        <w:rPr>
          <w:rFonts w:ascii="Times New Roman" w:hAnsi="Times New Roman"/>
          <w:szCs w:val="24"/>
        </w:rPr>
        <w:t>A</w:t>
      </w:r>
      <w:r w:rsidRPr="00991739">
        <w:rPr>
          <w:rFonts w:ascii="Times New Roman" w:hAnsi="Times New Roman"/>
          <w:szCs w:val="24"/>
        </w:rPr>
        <w:t xml:space="preserve"> final report documenting the impact and will be submitted to DOL. The report will document the effects of participation on employment and earnings using the NDNH data and on employment, wages, hours worked, using the 18-month survey. The report will include analysis of impacts for key subgroups pooling across sites. </w:t>
      </w:r>
    </w:p>
    <w:p w14:paraId="7A778ADA" w14:textId="2F570C49" w:rsidR="00522FB1" w:rsidRPr="007F08FB" w:rsidRDefault="00522FB1" w:rsidP="00ED2DD4">
      <w:pPr>
        <w:pStyle w:val="N1-1stBullet"/>
        <w:numPr>
          <w:ilvl w:val="0"/>
          <w:numId w:val="57"/>
        </w:numPr>
        <w:spacing w:line="240" w:lineRule="atLeast"/>
      </w:pPr>
      <w:r w:rsidRPr="00991739">
        <w:rPr>
          <w:rFonts w:ascii="Times New Roman" w:hAnsi="Times New Roman"/>
          <w:b/>
          <w:szCs w:val="24"/>
        </w:rPr>
        <w:t xml:space="preserve">Issue Brief 2. </w:t>
      </w:r>
      <w:r w:rsidRPr="00991739">
        <w:rPr>
          <w:rFonts w:ascii="Times New Roman" w:hAnsi="Times New Roman"/>
          <w:szCs w:val="24"/>
        </w:rPr>
        <w:t>The final issue brief, to be delivered in June 2021, will focus on final report highlights.</w:t>
      </w:r>
    </w:p>
    <w:p w14:paraId="7308C137" w14:textId="77777777" w:rsidR="00A8655A" w:rsidRPr="007F08FB" w:rsidRDefault="00A8655A" w:rsidP="00991739">
      <w:pPr>
        <w:rPr>
          <w:rFonts w:ascii="Times New Roman" w:hAnsi="Times New Roman"/>
          <w:b/>
          <w:szCs w:val="24"/>
          <w:highlight w:val="yellow"/>
        </w:rPr>
      </w:pPr>
    </w:p>
    <w:p w14:paraId="31E96141" w14:textId="77777777" w:rsidR="00016C36" w:rsidRPr="007F08FB" w:rsidRDefault="00DC23B4" w:rsidP="00C55EF8">
      <w:pPr>
        <w:rPr>
          <w:rFonts w:ascii="Times New Roman" w:hAnsi="Times New Roman"/>
          <w:b/>
          <w:szCs w:val="24"/>
        </w:rPr>
      </w:pPr>
      <w:r w:rsidRPr="00DC23B4">
        <w:rPr>
          <w:rFonts w:ascii="Times New Roman" w:hAnsi="Times New Roman"/>
          <w:b/>
          <w:szCs w:val="24"/>
        </w:rPr>
        <w:t>A.17</w:t>
      </w:r>
      <w:r w:rsidRPr="00DC23B4">
        <w:rPr>
          <w:rFonts w:ascii="Times New Roman" w:hAnsi="Times New Roman"/>
          <w:b/>
          <w:szCs w:val="24"/>
        </w:rPr>
        <w:tab/>
      </w:r>
      <w:r w:rsidR="00016C36" w:rsidRPr="007F08FB">
        <w:rPr>
          <w:rFonts w:ascii="Times New Roman" w:hAnsi="Times New Roman"/>
          <w:b/>
          <w:szCs w:val="24"/>
        </w:rPr>
        <w:t>Approval to Not Display the Expiration Date</w:t>
      </w:r>
    </w:p>
    <w:p w14:paraId="6144C145" w14:textId="77777777" w:rsidR="00DC23B4" w:rsidRPr="00DC23B4" w:rsidRDefault="00DC23B4" w:rsidP="00C55EF8">
      <w:pPr>
        <w:rPr>
          <w:rFonts w:ascii="Times New Roman" w:hAnsi="Times New Roman"/>
          <w:szCs w:val="24"/>
        </w:rPr>
      </w:pPr>
    </w:p>
    <w:p w14:paraId="41CBCDF5" w14:textId="30F24162" w:rsidR="00761C16" w:rsidRPr="00CE0AA1" w:rsidRDefault="00DC23B4" w:rsidP="00C55EF8">
      <w:pPr>
        <w:autoSpaceDE w:val="0"/>
        <w:autoSpaceDN w:val="0"/>
        <w:adjustRightInd w:val="0"/>
        <w:rPr>
          <w:i/>
          <w:szCs w:val="24"/>
        </w:rPr>
      </w:pPr>
      <w:r w:rsidRPr="00DC23B4">
        <w:rPr>
          <w:rFonts w:ascii="Times New Roman" w:hAnsi="Times New Roman"/>
          <w:szCs w:val="24"/>
        </w:rPr>
        <w:t xml:space="preserve">The collection of interview </w:t>
      </w:r>
      <w:r w:rsidRPr="000B04FD">
        <w:rPr>
          <w:rFonts w:ascii="Times New Roman" w:hAnsi="Times New Roman"/>
          <w:szCs w:val="24"/>
        </w:rPr>
        <w:t xml:space="preserve">and survey data will show the OMB expiration date on any written instrumentation. </w:t>
      </w:r>
    </w:p>
    <w:p w14:paraId="42A90EF0" w14:textId="77777777" w:rsidR="00991739" w:rsidRPr="007F08FB" w:rsidRDefault="00991739" w:rsidP="00C55EF8">
      <w:pPr>
        <w:rPr>
          <w:b/>
        </w:rPr>
      </w:pPr>
    </w:p>
    <w:p w14:paraId="6AAEEC58" w14:textId="77777777" w:rsidR="00D626E0" w:rsidRPr="007F08FB" w:rsidRDefault="00DC23B4" w:rsidP="00C55EF8">
      <w:pPr>
        <w:rPr>
          <w:rFonts w:ascii="Times New Roman" w:hAnsi="Times New Roman"/>
          <w:b/>
          <w:szCs w:val="24"/>
        </w:rPr>
      </w:pPr>
      <w:r w:rsidRPr="00DC23B4">
        <w:rPr>
          <w:rFonts w:ascii="Times New Roman" w:hAnsi="Times New Roman"/>
          <w:b/>
          <w:szCs w:val="24"/>
        </w:rPr>
        <w:t>A.18</w:t>
      </w:r>
      <w:r w:rsidRPr="00DC23B4">
        <w:rPr>
          <w:rFonts w:ascii="Times New Roman" w:hAnsi="Times New Roman"/>
          <w:b/>
          <w:szCs w:val="24"/>
        </w:rPr>
        <w:tab/>
      </w:r>
      <w:r w:rsidR="00D626E0" w:rsidRPr="007F08FB">
        <w:rPr>
          <w:rFonts w:ascii="Times New Roman" w:hAnsi="Times New Roman"/>
          <w:b/>
          <w:szCs w:val="24"/>
        </w:rPr>
        <w:t>Exceptions to the Certification Statement</w:t>
      </w:r>
    </w:p>
    <w:p w14:paraId="53ADE008" w14:textId="77777777" w:rsidR="00DC23B4" w:rsidRPr="00DC23B4" w:rsidRDefault="00DC23B4" w:rsidP="00C55EF8">
      <w:pPr>
        <w:rPr>
          <w:rFonts w:ascii="Times New Roman" w:hAnsi="Times New Roman"/>
          <w:szCs w:val="24"/>
        </w:rPr>
      </w:pPr>
    </w:p>
    <w:p w14:paraId="50787A9B" w14:textId="77777777" w:rsidR="00892BAE" w:rsidRPr="00A47E1D" w:rsidRDefault="00D626E0" w:rsidP="00C55EF8">
      <w:pPr>
        <w:rPr>
          <w:rFonts w:ascii="Times New Roman" w:hAnsi="Times New Roman"/>
          <w:szCs w:val="24"/>
        </w:rPr>
      </w:pPr>
      <w:r w:rsidRPr="007F08FB">
        <w:rPr>
          <w:rFonts w:ascii="Times New Roman" w:hAnsi="Times New Roman"/>
          <w:szCs w:val="24"/>
        </w:rPr>
        <w:t>There are no exceptions to the Certification for Paperwork Reduction Act (5 CFR 1320.9) for this study.</w:t>
      </w:r>
    </w:p>
    <w:sectPr w:rsidR="00892BAE" w:rsidRPr="00A47E1D" w:rsidSect="0057102D">
      <w:footerReference w:type="default" r:id="rId10"/>
      <w:headerReference w:type="first" r:id="rId11"/>
      <w:footerReference w:type="first" r:id="rId12"/>
      <w:pgSz w:w="12240" w:h="15840" w:code="1"/>
      <w:pgMar w:top="1008" w:right="1440" w:bottom="1008" w:left="1296"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B475C" w14:textId="77777777" w:rsidR="007D66A0" w:rsidRDefault="007D66A0">
      <w:r>
        <w:separator/>
      </w:r>
    </w:p>
  </w:endnote>
  <w:endnote w:type="continuationSeparator" w:id="0">
    <w:p w14:paraId="14AABA0D" w14:textId="77777777" w:rsidR="007D66A0" w:rsidRDefault="007D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84928687"/>
      <w:docPartObj>
        <w:docPartGallery w:val="Page Numbers (Bottom of Page)"/>
        <w:docPartUnique/>
      </w:docPartObj>
    </w:sdtPr>
    <w:sdtEndPr>
      <w:rPr>
        <w:noProof/>
      </w:rPr>
    </w:sdtEndPr>
    <w:sdtContent>
      <w:p w14:paraId="5103FFE8" w14:textId="59136943" w:rsidR="00D40032" w:rsidRPr="00B418D0" w:rsidRDefault="00D40032">
        <w:pPr>
          <w:pStyle w:val="Footer"/>
          <w:jc w:val="center"/>
          <w:rPr>
            <w:rFonts w:ascii="Times New Roman" w:hAnsi="Times New Roman"/>
          </w:rPr>
        </w:pPr>
        <w:r w:rsidRPr="00B418D0">
          <w:rPr>
            <w:rFonts w:ascii="Times New Roman" w:hAnsi="Times New Roman"/>
          </w:rPr>
          <w:fldChar w:fldCharType="begin"/>
        </w:r>
        <w:r w:rsidRPr="00B418D0">
          <w:rPr>
            <w:rFonts w:ascii="Times New Roman" w:hAnsi="Times New Roman"/>
          </w:rPr>
          <w:instrText xml:space="preserve"> PAGE   \* MERGEFORMAT </w:instrText>
        </w:r>
        <w:r w:rsidRPr="00B418D0">
          <w:rPr>
            <w:rFonts w:ascii="Times New Roman" w:hAnsi="Times New Roman"/>
          </w:rPr>
          <w:fldChar w:fldCharType="separate"/>
        </w:r>
        <w:r w:rsidR="00A6166D">
          <w:rPr>
            <w:rFonts w:ascii="Times New Roman" w:hAnsi="Times New Roman"/>
            <w:noProof/>
          </w:rPr>
          <w:t>2</w:t>
        </w:r>
        <w:r w:rsidRPr="00B418D0">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662362"/>
      <w:docPartObj>
        <w:docPartGallery w:val="Page Numbers (Bottom of Page)"/>
        <w:docPartUnique/>
      </w:docPartObj>
    </w:sdtPr>
    <w:sdtEndPr>
      <w:rPr>
        <w:noProof/>
      </w:rPr>
    </w:sdtEndPr>
    <w:sdtContent>
      <w:p w14:paraId="6C6D21CC" w14:textId="5FA0A63B" w:rsidR="00D40032" w:rsidRDefault="00D40032">
        <w:pPr>
          <w:pStyle w:val="Footer"/>
          <w:jc w:val="center"/>
        </w:pPr>
        <w:r>
          <w:fldChar w:fldCharType="begin"/>
        </w:r>
        <w:r>
          <w:instrText xml:space="preserve"> PAGE   \* MERGEFORMAT </w:instrText>
        </w:r>
        <w:r>
          <w:fldChar w:fldCharType="separate"/>
        </w:r>
        <w:r w:rsidR="00A6166D">
          <w:rPr>
            <w:noProof/>
          </w:rPr>
          <w:t>1</w:t>
        </w:r>
        <w:r>
          <w:rPr>
            <w:noProof/>
          </w:rPr>
          <w:fldChar w:fldCharType="end"/>
        </w:r>
      </w:p>
    </w:sdtContent>
  </w:sdt>
  <w:p w14:paraId="31B688F2" w14:textId="77777777" w:rsidR="00D40032" w:rsidRDefault="00D40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1A85B" w14:textId="77777777" w:rsidR="007D66A0" w:rsidRDefault="007D66A0">
      <w:r>
        <w:separator/>
      </w:r>
    </w:p>
  </w:footnote>
  <w:footnote w:type="continuationSeparator" w:id="0">
    <w:p w14:paraId="0EBC50F2" w14:textId="77777777" w:rsidR="007D66A0" w:rsidRDefault="007D66A0">
      <w:r>
        <w:continuationSeparator/>
      </w:r>
    </w:p>
  </w:footnote>
  <w:footnote w:id="1">
    <w:p w14:paraId="0969EAC0" w14:textId="77777777" w:rsidR="00D40032" w:rsidRDefault="00D40032" w:rsidP="008E5421">
      <w:pPr>
        <w:pStyle w:val="FootnoteText"/>
      </w:pPr>
      <w:r>
        <w:rPr>
          <w:rStyle w:val="FootnoteReference"/>
        </w:rPr>
        <w:footnoteRef/>
      </w:r>
      <w:r>
        <w:t xml:space="preserve"> </w:t>
      </w:r>
      <w:r w:rsidRPr="00291725">
        <w:rPr>
          <w:sz w:val="20"/>
          <w:szCs w:val="20"/>
        </w:rPr>
        <w:t xml:space="preserve">Bureau of Labor Statistics, “Occupational Employment </w:t>
      </w:r>
      <w:r w:rsidRPr="00B418D0">
        <w:rPr>
          <w:sz w:val="20"/>
          <w:szCs w:val="20"/>
        </w:rPr>
        <w:t>Statistics—May 201</w:t>
      </w:r>
      <w:r>
        <w:rPr>
          <w:sz w:val="20"/>
          <w:szCs w:val="20"/>
        </w:rPr>
        <w:t>6</w:t>
      </w:r>
      <w:r w:rsidRPr="00B418D0">
        <w:rPr>
          <w:sz w:val="20"/>
          <w:szCs w:val="20"/>
        </w:rPr>
        <w:t xml:space="preserve"> National</w:t>
      </w:r>
      <w:r w:rsidRPr="00291725">
        <w:rPr>
          <w:sz w:val="20"/>
          <w:szCs w:val="20"/>
        </w:rPr>
        <w:t xml:space="preserve"> Occupational Employment and Wage Estimates” </w:t>
      </w:r>
      <w:r w:rsidRPr="00D11C27">
        <w:t>https://www.bls.gov/oes/current/oes_nat.htm</w:t>
      </w:r>
    </w:p>
  </w:footnote>
  <w:footnote w:id="2">
    <w:p w14:paraId="3F5F7F0C" w14:textId="612615D7" w:rsidR="00D40032" w:rsidRDefault="00D40032" w:rsidP="00236733">
      <w:pPr>
        <w:pStyle w:val="FootnoteText"/>
      </w:pPr>
      <w:r>
        <w:rPr>
          <w:rStyle w:val="FootnoteReference"/>
        </w:rPr>
        <w:footnoteRef/>
      </w:r>
      <w:r>
        <w:t xml:space="preserve">  </w:t>
      </w:r>
      <w:r w:rsidRPr="00AC5EC9">
        <w:t>See Office of Personnel Management 201</w:t>
      </w:r>
      <w:r w:rsidR="00C55EF8">
        <w:t>8</w:t>
      </w:r>
      <w:r w:rsidRPr="00AC5EC9">
        <w:t xml:space="preserve"> Hourly Salary Table</w:t>
      </w:r>
      <w:r>
        <w:t xml:space="preserve">: </w:t>
      </w:r>
      <w:r w:rsidR="00C55EF8" w:rsidRPr="00C55EF8">
        <w:t>https://www.opm.gov/policy-data-oversight/pay-leave/salaries-wages/salary-tables/pdf/2018/DCB_h.pdf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C47D5" w14:textId="77777777" w:rsidR="000312C5" w:rsidRDefault="000312C5" w:rsidP="00D40032">
    <w:pPr>
      <w:pStyle w:val="Header"/>
      <w:rPr>
        <w:rFonts w:ascii="Times New Roman" w:hAnsi="Times New Roman"/>
      </w:rPr>
    </w:pPr>
    <w:r w:rsidRPr="000312C5">
      <w:rPr>
        <w:rFonts w:ascii="Times New Roman" w:hAnsi="Times New Roman"/>
      </w:rPr>
      <w:t>Evaluation of Strategies Used in the TechHire and Strengthening Working Families Initiative Grant Programs</w:t>
    </w:r>
  </w:p>
  <w:p w14:paraId="2F2C9DEE" w14:textId="2AC2BB92" w:rsidR="00D40032" w:rsidRDefault="00D40032" w:rsidP="00D40032">
    <w:pPr>
      <w:pStyle w:val="Header"/>
      <w:rPr>
        <w:rFonts w:ascii="Times New Roman" w:hAnsi="Times New Roman"/>
      </w:rPr>
    </w:pPr>
    <w:r w:rsidRPr="0057102D">
      <w:rPr>
        <w:rFonts w:ascii="Times New Roman" w:hAnsi="Times New Roman"/>
      </w:rPr>
      <w:t>OMB Control No. 1290-</w:t>
    </w:r>
    <w:r w:rsidR="00D3478D">
      <w:rPr>
        <w:rFonts w:ascii="Times New Roman" w:hAnsi="Times New Roman"/>
      </w:rPr>
      <w:t>XX</w:t>
    </w:r>
    <w:r w:rsidR="00004795">
      <w:rPr>
        <w:rFonts w:ascii="Times New Roman" w:hAnsi="Times New Roman"/>
      </w:rPr>
      <w:t>XX</w:t>
    </w:r>
  </w:p>
  <w:p w14:paraId="0BA2A623" w14:textId="2873E9B3" w:rsidR="00004795" w:rsidRPr="0057102D" w:rsidRDefault="000C4B99" w:rsidP="00D40032">
    <w:pPr>
      <w:pStyle w:val="Header"/>
      <w:rPr>
        <w:rFonts w:ascii="Times New Roman" w:hAnsi="Times New Roman"/>
      </w:rPr>
    </w:pPr>
    <w:r>
      <w:rPr>
        <w:rFonts w:ascii="Times New Roman" w:hAnsi="Times New Roman"/>
      </w:rPr>
      <w:t xml:space="preserve">December </w:t>
    </w:r>
    <w:r w:rsidR="00004795">
      <w:rPr>
        <w:rFonts w:ascii="Times New Roman" w:hAnsi="Times New Roman"/>
      </w:rPr>
      <w:t>2018</w:t>
    </w:r>
  </w:p>
  <w:p w14:paraId="5DB38E59" w14:textId="77777777" w:rsidR="00D40032" w:rsidRDefault="00D40032" w:rsidP="00D40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1D21421"/>
    <w:multiLevelType w:val="hybridMultilevel"/>
    <w:tmpl w:val="32F65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D2D28"/>
    <w:multiLevelType w:val="hybridMultilevel"/>
    <w:tmpl w:val="1B4EE6E2"/>
    <w:lvl w:ilvl="0" w:tplc="04090015">
      <w:start w:val="1"/>
      <w:numFmt w:val="upp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B165F"/>
    <w:multiLevelType w:val="hybridMultilevel"/>
    <w:tmpl w:val="3E6E660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nsid w:val="09D73EE3"/>
    <w:multiLevelType w:val="hybridMultilevel"/>
    <w:tmpl w:val="0C08E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6507A"/>
    <w:multiLevelType w:val="hybridMultilevel"/>
    <w:tmpl w:val="CD34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1679F"/>
    <w:multiLevelType w:val="hybridMultilevel"/>
    <w:tmpl w:val="281E5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B1252EB"/>
    <w:multiLevelType w:val="hybridMultilevel"/>
    <w:tmpl w:val="9B84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44E17"/>
    <w:multiLevelType w:val="hybridMultilevel"/>
    <w:tmpl w:val="19505130"/>
    <w:lvl w:ilvl="0" w:tplc="BFCC8A3E">
      <w:start w:val="1"/>
      <w:numFmt w:val="bullet"/>
      <w:lvlText w:val=""/>
      <w:lvlJc w:val="left"/>
      <w:pPr>
        <w:tabs>
          <w:tab w:val="num" w:pos="2232"/>
        </w:tabs>
        <w:ind w:left="2232" w:hanging="360"/>
      </w:pPr>
      <w:rPr>
        <w:rFonts w:ascii="Symbol" w:hAnsi="Symbol" w:hint="default"/>
        <w:color w:val="auto"/>
        <w:sz w:val="18"/>
        <w:szCs w:val="18"/>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66C51E0"/>
    <w:multiLevelType w:val="hybridMultilevel"/>
    <w:tmpl w:val="1330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6E738C"/>
    <w:multiLevelType w:val="hybridMultilevel"/>
    <w:tmpl w:val="E800C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3D6F01"/>
    <w:multiLevelType w:val="hybridMultilevel"/>
    <w:tmpl w:val="A22CE0BC"/>
    <w:lvl w:ilvl="0" w:tplc="6C3E0654">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315B6F"/>
    <w:multiLevelType w:val="hybridMultilevel"/>
    <w:tmpl w:val="A5C63742"/>
    <w:lvl w:ilvl="0" w:tplc="9A2627C8">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28304B"/>
    <w:multiLevelType w:val="hybridMultilevel"/>
    <w:tmpl w:val="1E32C578"/>
    <w:lvl w:ilvl="0" w:tplc="5AD62E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A15BA6"/>
    <w:multiLevelType w:val="hybridMultilevel"/>
    <w:tmpl w:val="92E0497A"/>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943B2A"/>
    <w:multiLevelType w:val="hybridMultilevel"/>
    <w:tmpl w:val="E57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F2407"/>
    <w:multiLevelType w:val="hybridMultilevel"/>
    <w:tmpl w:val="BC72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FB5F5E"/>
    <w:multiLevelType w:val="hybridMultilevel"/>
    <w:tmpl w:val="AF4E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971A3E"/>
    <w:multiLevelType w:val="hybridMultilevel"/>
    <w:tmpl w:val="CD9A1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BD41FF"/>
    <w:multiLevelType w:val="hybridMultilevel"/>
    <w:tmpl w:val="B64C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EF4E21"/>
    <w:multiLevelType w:val="hybridMultilevel"/>
    <w:tmpl w:val="15A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8">
    <w:nsid w:val="32F64C01"/>
    <w:multiLevelType w:val="hybridMultilevel"/>
    <w:tmpl w:val="AD9C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E701AE"/>
    <w:multiLevelType w:val="hybridMultilevel"/>
    <w:tmpl w:val="E8861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1EF4239"/>
    <w:multiLevelType w:val="hybridMultilevel"/>
    <w:tmpl w:val="A9EE9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1732F9"/>
    <w:multiLevelType w:val="hybridMultilevel"/>
    <w:tmpl w:val="7E586D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44A374EF"/>
    <w:multiLevelType w:val="hybridMultilevel"/>
    <w:tmpl w:val="736A2C42"/>
    <w:lvl w:ilvl="0" w:tplc="64F46F02">
      <w:start w:val="1"/>
      <w:numFmt w:val="lowerLetter"/>
      <w:lvlText w:val="%1."/>
      <w:lvlJc w:val="left"/>
      <w:pPr>
        <w:tabs>
          <w:tab w:val="num" w:pos="1152"/>
        </w:tabs>
        <w:ind w:left="1152" w:hanging="576"/>
      </w:pPr>
      <w:rPr>
        <w:rFonts w:ascii="Franklin Gothic Medium" w:hAnsi="Franklin Gothic Medium" w:hint="default"/>
        <w:b w:val="0"/>
        <w:i w:val="0"/>
        <w:color w:val="000000" w:themeColor="text1"/>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63B0EC9"/>
    <w:multiLevelType w:val="hybridMultilevel"/>
    <w:tmpl w:val="D4D4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F26868"/>
    <w:multiLevelType w:val="hybridMultilevel"/>
    <w:tmpl w:val="91FABF4C"/>
    <w:lvl w:ilvl="0" w:tplc="84D45B80">
      <w:start w:val="1"/>
      <w:numFmt w:val="upperRoman"/>
      <w:lvlText w:val="%1."/>
      <w:lvlJc w:val="left"/>
      <w:pPr>
        <w:tabs>
          <w:tab w:val="num" w:pos="1080"/>
        </w:tabs>
        <w:ind w:left="108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8326010"/>
    <w:multiLevelType w:val="hybridMultilevel"/>
    <w:tmpl w:val="1E6E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3F4DB1"/>
    <w:multiLevelType w:val="hybridMultilevel"/>
    <w:tmpl w:val="F1A0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8F252C"/>
    <w:multiLevelType w:val="hybridMultilevel"/>
    <w:tmpl w:val="ACFEFEA0"/>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C6048B"/>
    <w:multiLevelType w:val="singleLevel"/>
    <w:tmpl w:val="08DE816E"/>
    <w:lvl w:ilvl="0">
      <w:start w:val="1"/>
      <w:numFmt w:val="decimal"/>
      <w:pStyle w:val="NumberedBullet"/>
      <w:lvlText w:val="%1."/>
      <w:lvlJc w:val="left"/>
      <w:pPr>
        <w:tabs>
          <w:tab w:val="num" w:pos="2880"/>
        </w:tabs>
        <w:ind w:left="2880" w:hanging="360"/>
      </w:pPr>
    </w:lvl>
  </w:abstractNum>
  <w:abstractNum w:abstractNumId="40">
    <w:nsid w:val="4A4D363D"/>
    <w:multiLevelType w:val="hybridMultilevel"/>
    <w:tmpl w:val="D6AE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204B2A"/>
    <w:multiLevelType w:val="hybridMultilevel"/>
    <w:tmpl w:val="892E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8D1ADA"/>
    <w:multiLevelType w:val="hybridMultilevel"/>
    <w:tmpl w:val="C074D75E"/>
    <w:lvl w:ilvl="0" w:tplc="9802FC54">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D5B619F"/>
    <w:multiLevelType w:val="hybridMultilevel"/>
    <w:tmpl w:val="CF00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53E5488C"/>
    <w:multiLevelType w:val="multilevel"/>
    <w:tmpl w:val="B9D24F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54FD3067"/>
    <w:multiLevelType w:val="hybridMultilevel"/>
    <w:tmpl w:val="E2D4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48">
    <w:nsid w:val="5F532E9E"/>
    <w:multiLevelType w:val="hybridMultilevel"/>
    <w:tmpl w:val="1D64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24210D"/>
    <w:multiLevelType w:val="hybridMultilevel"/>
    <w:tmpl w:val="6148A61E"/>
    <w:lvl w:ilvl="0" w:tplc="261455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21D31A7"/>
    <w:multiLevelType w:val="hybridMultilevel"/>
    <w:tmpl w:val="32C8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224D0C"/>
    <w:multiLevelType w:val="hybridMultilevel"/>
    <w:tmpl w:val="02F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45C59B9"/>
    <w:multiLevelType w:val="hybridMultilevel"/>
    <w:tmpl w:val="752ECED6"/>
    <w:lvl w:ilvl="0" w:tplc="7610DBF0">
      <w:start w:val="1"/>
      <w:numFmt w:val="bullet"/>
      <w:lvlText w:val=""/>
      <w:lvlJc w:val="left"/>
      <w:pPr>
        <w:tabs>
          <w:tab w:val="num" w:pos="1152"/>
        </w:tabs>
        <w:ind w:left="1152" w:hanging="576"/>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8222747"/>
    <w:multiLevelType w:val="hybridMultilevel"/>
    <w:tmpl w:val="2F62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065B12"/>
    <w:multiLevelType w:val="hybridMultilevel"/>
    <w:tmpl w:val="FDC4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C86FBC"/>
    <w:multiLevelType w:val="hybridMultilevel"/>
    <w:tmpl w:val="B058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272420"/>
    <w:multiLevelType w:val="hybridMultilevel"/>
    <w:tmpl w:val="32BC9D7E"/>
    <w:lvl w:ilvl="0" w:tplc="6C3E0654">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0">
    <w:nsid w:val="73107B69"/>
    <w:multiLevelType w:val="hybridMultilevel"/>
    <w:tmpl w:val="F392B354"/>
    <w:lvl w:ilvl="0" w:tplc="DAD4AA90">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44839DF"/>
    <w:multiLevelType w:val="hybridMultilevel"/>
    <w:tmpl w:val="B43E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7A4C67"/>
    <w:multiLevelType w:val="hybridMultilevel"/>
    <w:tmpl w:val="1E1EC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D73403"/>
    <w:multiLevelType w:val="hybridMultilevel"/>
    <w:tmpl w:val="4E2A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8411CB3"/>
    <w:multiLevelType w:val="hybridMultilevel"/>
    <w:tmpl w:val="FDEA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AC0F07"/>
    <w:multiLevelType w:val="hybridMultilevel"/>
    <w:tmpl w:val="720CCB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7">
    <w:nsid w:val="7C213F62"/>
    <w:multiLevelType w:val="hybridMultilevel"/>
    <w:tmpl w:val="9774A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C5F0964"/>
    <w:multiLevelType w:val="hybridMultilevel"/>
    <w:tmpl w:val="D968E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7816B6"/>
    <w:multiLevelType w:val="hybridMultilevel"/>
    <w:tmpl w:val="D3B8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47"/>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9"/>
  </w:num>
  <w:num w:numId="6">
    <w:abstractNumId w:val="30"/>
  </w:num>
  <w:num w:numId="7">
    <w:abstractNumId w:val="10"/>
  </w:num>
  <w:num w:numId="8">
    <w:abstractNumId w:val="12"/>
  </w:num>
  <w:num w:numId="9">
    <w:abstractNumId w:val="11"/>
  </w:num>
  <w:num w:numId="10">
    <w:abstractNumId w:val="44"/>
  </w:num>
  <w:num w:numId="11">
    <w:abstractNumId w:val="36"/>
  </w:num>
  <w:num w:numId="12">
    <w:abstractNumId w:val="60"/>
  </w:num>
  <w:num w:numId="13">
    <w:abstractNumId w:val="15"/>
  </w:num>
  <w:num w:numId="14">
    <w:abstractNumId w:val="57"/>
  </w:num>
  <w:num w:numId="15">
    <w:abstractNumId w:val="53"/>
  </w:num>
  <w:num w:numId="16">
    <w:abstractNumId w:val="16"/>
  </w:num>
  <w:num w:numId="17">
    <w:abstractNumId w:val="58"/>
  </w:num>
  <w:num w:numId="18">
    <w:abstractNumId w:val="18"/>
  </w:num>
  <w:num w:numId="19">
    <w:abstractNumId w:val="38"/>
  </w:num>
  <w:num w:numId="20">
    <w:abstractNumId w:val="49"/>
  </w:num>
  <w:num w:numId="21">
    <w:abstractNumId w:val="33"/>
  </w:num>
  <w:num w:numId="22">
    <w:abstractNumId w:val="28"/>
  </w:num>
  <w:num w:numId="23">
    <w:abstractNumId w:val="52"/>
  </w:num>
  <w:num w:numId="24">
    <w:abstractNumId w:val="37"/>
  </w:num>
  <w:num w:numId="25">
    <w:abstractNumId w:val="46"/>
  </w:num>
  <w:num w:numId="26">
    <w:abstractNumId w:val="42"/>
  </w:num>
  <w:num w:numId="27">
    <w:abstractNumId w:val="32"/>
  </w:num>
  <w:num w:numId="28">
    <w:abstractNumId w:val="65"/>
  </w:num>
  <w:num w:numId="29">
    <w:abstractNumId w:val="31"/>
  </w:num>
  <w:num w:numId="30">
    <w:abstractNumId w:val="7"/>
  </w:num>
  <w:num w:numId="31">
    <w:abstractNumId w:val="64"/>
  </w:num>
  <w:num w:numId="32">
    <w:abstractNumId w:val="2"/>
  </w:num>
  <w:num w:numId="33">
    <w:abstractNumId w:val="35"/>
  </w:num>
  <w:num w:numId="34">
    <w:abstractNumId w:val="21"/>
  </w:num>
  <w:num w:numId="35">
    <w:abstractNumId w:val="6"/>
  </w:num>
  <w:num w:numId="36">
    <w:abstractNumId w:val="62"/>
  </w:num>
  <w:num w:numId="37">
    <w:abstractNumId w:val="14"/>
  </w:num>
  <w:num w:numId="38">
    <w:abstractNumId w:val="5"/>
  </w:num>
  <w:num w:numId="39">
    <w:abstractNumId w:val="29"/>
  </w:num>
  <w:num w:numId="40">
    <w:abstractNumId w:val="23"/>
  </w:num>
  <w:num w:numId="41">
    <w:abstractNumId w:val="3"/>
  </w:num>
  <w:num w:numId="42">
    <w:abstractNumId w:val="24"/>
  </w:num>
  <w:num w:numId="43">
    <w:abstractNumId w:val="43"/>
  </w:num>
  <w:num w:numId="44">
    <w:abstractNumId w:val="61"/>
  </w:num>
  <w:num w:numId="45">
    <w:abstractNumId w:val="13"/>
  </w:num>
  <w:num w:numId="46">
    <w:abstractNumId w:val="63"/>
  </w:num>
  <w:num w:numId="47">
    <w:abstractNumId w:val="8"/>
  </w:num>
  <w:num w:numId="48">
    <w:abstractNumId w:val="67"/>
  </w:num>
  <w:num w:numId="49">
    <w:abstractNumId w:val="1"/>
  </w:num>
  <w:num w:numId="50">
    <w:abstractNumId w:val="17"/>
  </w:num>
  <w:num w:numId="51">
    <w:abstractNumId w:val="51"/>
  </w:num>
  <w:num w:numId="52">
    <w:abstractNumId w:val="25"/>
  </w:num>
  <w:num w:numId="53">
    <w:abstractNumId w:val="41"/>
  </w:num>
  <w:num w:numId="54">
    <w:abstractNumId w:val="55"/>
  </w:num>
  <w:num w:numId="55">
    <w:abstractNumId w:val="59"/>
  </w:num>
  <w:num w:numId="56">
    <w:abstractNumId w:val="54"/>
  </w:num>
  <w:num w:numId="57">
    <w:abstractNumId w:val="20"/>
  </w:num>
  <w:num w:numId="58">
    <w:abstractNumId w:val="45"/>
  </w:num>
  <w:num w:numId="59">
    <w:abstractNumId w:val="4"/>
  </w:num>
  <w:num w:numId="60">
    <w:abstractNumId w:val="9"/>
  </w:num>
  <w:num w:numId="61">
    <w:abstractNumId w:val="39"/>
    <w:lvlOverride w:ilvl="0">
      <w:startOverride w:val="1"/>
    </w:lvlOverride>
  </w:num>
  <w:num w:numId="62">
    <w:abstractNumId w:val="39"/>
    <w:lvlOverride w:ilvl="0">
      <w:startOverride w:val="1"/>
    </w:lvlOverride>
  </w:num>
  <w:num w:numId="63">
    <w:abstractNumId w:val="56"/>
  </w:num>
  <w:num w:numId="64">
    <w:abstractNumId w:val="40"/>
  </w:num>
  <w:num w:numId="65">
    <w:abstractNumId w:val="26"/>
  </w:num>
  <w:num w:numId="66">
    <w:abstractNumId w:val="69"/>
  </w:num>
  <w:num w:numId="67">
    <w:abstractNumId w:val="48"/>
  </w:num>
  <w:num w:numId="68">
    <w:abstractNumId w:val="22"/>
  </w:num>
  <w:num w:numId="69">
    <w:abstractNumId w:val="34"/>
  </w:num>
  <w:num w:numId="70">
    <w:abstractNumId w:val="66"/>
  </w:num>
  <w:num w:numId="71">
    <w:abstractNumId w:val="50"/>
  </w:num>
  <w:num w:numId="72">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96"/>
    <w:rsid w:val="00000C19"/>
    <w:rsid w:val="0000132B"/>
    <w:rsid w:val="00004222"/>
    <w:rsid w:val="000044FB"/>
    <w:rsid w:val="00004795"/>
    <w:rsid w:val="00011B84"/>
    <w:rsid w:val="0001275A"/>
    <w:rsid w:val="00012E40"/>
    <w:rsid w:val="00015875"/>
    <w:rsid w:val="00015CAF"/>
    <w:rsid w:val="00016C36"/>
    <w:rsid w:val="00030378"/>
    <w:rsid w:val="00030385"/>
    <w:rsid w:val="000312C5"/>
    <w:rsid w:val="00031CA8"/>
    <w:rsid w:val="0003206C"/>
    <w:rsid w:val="00034A48"/>
    <w:rsid w:val="00035EFD"/>
    <w:rsid w:val="00043228"/>
    <w:rsid w:val="00043EBA"/>
    <w:rsid w:val="000504F8"/>
    <w:rsid w:val="000548B5"/>
    <w:rsid w:val="000556DE"/>
    <w:rsid w:val="000718E4"/>
    <w:rsid w:val="00073FEE"/>
    <w:rsid w:val="0007507B"/>
    <w:rsid w:val="00082A37"/>
    <w:rsid w:val="0008362C"/>
    <w:rsid w:val="000848B4"/>
    <w:rsid w:val="00086E3B"/>
    <w:rsid w:val="00095939"/>
    <w:rsid w:val="00095DD5"/>
    <w:rsid w:val="00097218"/>
    <w:rsid w:val="000A023C"/>
    <w:rsid w:val="000A080C"/>
    <w:rsid w:val="000A0AB1"/>
    <w:rsid w:val="000A27DD"/>
    <w:rsid w:val="000A3C6F"/>
    <w:rsid w:val="000B04FD"/>
    <w:rsid w:val="000B2E88"/>
    <w:rsid w:val="000B64B2"/>
    <w:rsid w:val="000B66F2"/>
    <w:rsid w:val="000B7782"/>
    <w:rsid w:val="000C308B"/>
    <w:rsid w:val="000C4B99"/>
    <w:rsid w:val="000C4E97"/>
    <w:rsid w:val="000D09BB"/>
    <w:rsid w:val="000D173A"/>
    <w:rsid w:val="000E301F"/>
    <w:rsid w:val="000E361D"/>
    <w:rsid w:val="000E4E21"/>
    <w:rsid w:val="000E624B"/>
    <w:rsid w:val="000E66C3"/>
    <w:rsid w:val="000F2051"/>
    <w:rsid w:val="00102828"/>
    <w:rsid w:val="00103FC0"/>
    <w:rsid w:val="00107CE3"/>
    <w:rsid w:val="00111FD5"/>
    <w:rsid w:val="00114A83"/>
    <w:rsid w:val="00116562"/>
    <w:rsid w:val="00117E5C"/>
    <w:rsid w:val="00117F33"/>
    <w:rsid w:val="00120EB5"/>
    <w:rsid w:val="00121F25"/>
    <w:rsid w:val="0012254C"/>
    <w:rsid w:val="00122A59"/>
    <w:rsid w:val="00123175"/>
    <w:rsid w:val="001251B9"/>
    <w:rsid w:val="0012586F"/>
    <w:rsid w:val="00126063"/>
    <w:rsid w:val="00126703"/>
    <w:rsid w:val="00132D50"/>
    <w:rsid w:val="00133CB1"/>
    <w:rsid w:val="0013498F"/>
    <w:rsid w:val="001411C6"/>
    <w:rsid w:val="00144BB0"/>
    <w:rsid w:val="0014558D"/>
    <w:rsid w:val="0014652E"/>
    <w:rsid w:val="001477EA"/>
    <w:rsid w:val="00151701"/>
    <w:rsid w:val="00152950"/>
    <w:rsid w:val="00152DDA"/>
    <w:rsid w:val="001564C4"/>
    <w:rsid w:val="001571D9"/>
    <w:rsid w:val="001604E1"/>
    <w:rsid w:val="00160B00"/>
    <w:rsid w:val="001639C7"/>
    <w:rsid w:val="00172F41"/>
    <w:rsid w:val="00180F8E"/>
    <w:rsid w:val="0019200C"/>
    <w:rsid w:val="00194F26"/>
    <w:rsid w:val="001A13F5"/>
    <w:rsid w:val="001A15B3"/>
    <w:rsid w:val="001A18EF"/>
    <w:rsid w:val="001A5C0D"/>
    <w:rsid w:val="001A7BA5"/>
    <w:rsid w:val="001A7D67"/>
    <w:rsid w:val="001B0498"/>
    <w:rsid w:val="001B049C"/>
    <w:rsid w:val="001B1132"/>
    <w:rsid w:val="001B5EC9"/>
    <w:rsid w:val="001C2957"/>
    <w:rsid w:val="001C3C29"/>
    <w:rsid w:val="001C42B7"/>
    <w:rsid w:val="001D063D"/>
    <w:rsid w:val="001D37F7"/>
    <w:rsid w:val="001D388F"/>
    <w:rsid w:val="001D64FE"/>
    <w:rsid w:val="001E0BBE"/>
    <w:rsid w:val="001E2BF6"/>
    <w:rsid w:val="001E4092"/>
    <w:rsid w:val="001E4761"/>
    <w:rsid w:val="001E58F0"/>
    <w:rsid w:val="001E6E3A"/>
    <w:rsid w:val="001E712F"/>
    <w:rsid w:val="001E7523"/>
    <w:rsid w:val="001F14B2"/>
    <w:rsid w:val="001F199E"/>
    <w:rsid w:val="001F49F9"/>
    <w:rsid w:val="002162C5"/>
    <w:rsid w:val="00217E6F"/>
    <w:rsid w:val="002200FC"/>
    <w:rsid w:val="00221186"/>
    <w:rsid w:val="00222FCE"/>
    <w:rsid w:val="00223392"/>
    <w:rsid w:val="00223849"/>
    <w:rsid w:val="002246DB"/>
    <w:rsid w:val="00224E89"/>
    <w:rsid w:val="00225ACA"/>
    <w:rsid w:val="00225F9C"/>
    <w:rsid w:val="0022664B"/>
    <w:rsid w:val="00231785"/>
    <w:rsid w:val="00231CE9"/>
    <w:rsid w:val="00231E3A"/>
    <w:rsid w:val="002334AA"/>
    <w:rsid w:val="00234988"/>
    <w:rsid w:val="00234D21"/>
    <w:rsid w:val="00235D84"/>
    <w:rsid w:val="00236733"/>
    <w:rsid w:val="00237F90"/>
    <w:rsid w:val="00240189"/>
    <w:rsid w:val="00241CE1"/>
    <w:rsid w:val="00243B19"/>
    <w:rsid w:val="00243FEE"/>
    <w:rsid w:val="00245A8A"/>
    <w:rsid w:val="00250278"/>
    <w:rsid w:val="00256518"/>
    <w:rsid w:val="00256705"/>
    <w:rsid w:val="00257846"/>
    <w:rsid w:val="00257FE0"/>
    <w:rsid w:val="002609AE"/>
    <w:rsid w:val="0026498A"/>
    <w:rsid w:val="00267152"/>
    <w:rsid w:val="00267DDC"/>
    <w:rsid w:val="00270688"/>
    <w:rsid w:val="00270F31"/>
    <w:rsid w:val="002729C2"/>
    <w:rsid w:val="00277032"/>
    <w:rsid w:val="00277E6C"/>
    <w:rsid w:val="00280472"/>
    <w:rsid w:val="00282EFB"/>
    <w:rsid w:val="00285843"/>
    <w:rsid w:val="0028749B"/>
    <w:rsid w:val="00291593"/>
    <w:rsid w:val="0029161D"/>
    <w:rsid w:val="00291725"/>
    <w:rsid w:val="00295B6E"/>
    <w:rsid w:val="0029628F"/>
    <w:rsid w:val="002A016B"/>
    <w:rsid w:val="002A281A"/>
    <w:rsid w:val="002A3FEB"/>
    <w:rsid w:val="002A47D1"/>
    <w:rsid w:val="002A5F6A"/>
    <w:rsid w:val="002A6158"/>
    <w:rsid w:val="002A63DB"/>
    <w:rsid w:val="002B05B7"/>
    <w:rsid w:val="002B3760"/>
    <w:rsid w:val="002C1E2F"/>
    <w:rsid w:val="002C24F6"/>
    <w:rsid w:val="002C2B3F"/>
    <w:rsid w:val="002C36ED"/>
    <w:rsid w:val="002C4387"/>
    <w:rsid w:val="002C5ECA"/>
    <w:rsid w:val="002D32F8"/>
    <w:rsid w:val="002D4033"/>
    <w:rsid w:val="002D457D"/>
    <w:rsid w:val="002D5FC3"/>
    <w:rsid w:val="002D681D"/>
    <w:rsid w:val="002D7547"/>
    <w:rsid w:val="002E3AA4"/>
    <w:rsid w:val="002E48B6"/>
    <w:rsid w:val="002E4BA1"/>
    <w:rsid w:val="002E63A2"/>
    <w:rsid w:val="002F3D97"/>
    <w:rsid w:val="002F7E0A"/>
    <w:rsid w:val="0030242C"/>
    <w:rsid w:val="00304846"/>
    <w:rsid w:val="003064DA"/>
    <w:rsid w:val="00306EE6"/>
    <w:rsid w:val="0031287C"/>
    <w:rsid w:val="00316102"/>
    <w:rsid w:val="00320B24"/>
    <w:rsid w:val="00322195"/>
    <w:rsid w:val="003227F3"/>
    <w:rsid w:val="0032558A"/>
    <w:rsid w:val="0033200A"/>
    <w:rsid w:val="00332B43"/>
    <w:rsid w:val="00332B67"/>
    <w:rsid w:val="0033399A"/>
    <w:rsid w:val="00337F5E"/>
    <w:rsid w:val="00341276"/>
    <w:rsid w:val="00342BD4"/>
    <w:rsid w:val="00345108"/>
    <w:rsid w:val="003462EC"/>
    <w:rsid w:val="00346753"/>
    <w:rsid w:val="0035182A"/>
    <w:rsid w:val="00356D65"/>
    <w:rsid w:val="0037151A"/>
    <w:rsid w:val="00372740"/>
    <w:rsid w:val="0037349D"/>
    <w:rsid w:val="0037681B"/>
    <w:rsid w:val="00377114"/>
    <w:rsid w:val="00377DB8"/>
    <w:rsid w:val="0038073C"/>
    <w:rsid w:val="00380F02"/>
    <w:rsid w:val="003866C4"/>
    <w:rsid w:val="00386731"/>
    <w:rsid w:val="0038761D"/>
    <w:rsid w:val="003877BD"/>
    <w:rsid w:val="00387CCD"/>
    <w:rsid w:val="00391D4C"/>
    <w:rsid w:val="00392872"/>
    <w:rsid w:val="00394157"/>
    <w:rsid w:val="0039730B"/>
    <w:rsid w:val="0039742F"/>
    <w:rsid w:val="003A7806"/>
    <w:rsid w:val="003A7A1A"/>
    <w:rsid w:val="003B3C5D"/>
    <w:rsid w:val="003B677A"/>
    <w:rsid w:val="003B7354"/>
    <w:rsid w:val="003C0E9F"/>
    <w:rsid w:val="003C343D"/>
    <w:rsid w:val="003D61B7"/>
    <w:rsid w:val="003E05D7"/>
    <w:rsid w:val="003E2C95"/>
    <w:rsid w:val="003E4F96"/>
    <w:rsid w:val="003F03B9"/>
    <w:rsid w:val="003F1A1F"/>
    <w:rsid w:val="003F4EDA"/>
    <w:rsid w:val="0040241A"/>
    <w:rsid w:val="00406ED3"/>
    <w:rsid w:val="004128F1"/>
    <w:rsid w:val="00416524"/>
    <w:rsid w:val="004168AA"/>
    <w:rsid w:val="00417539"/>
    <w:rsid w:val="00420186"/>
    <w:rsid w:val="00421B07"/>
    <w:rsid w:val="00423A18"/>
    <w:rsid w:val="004276CE"/>
    <w:rsid w:val="00427D8D"/>
    <w:rsid w:val="004351CC"/>
    <w:rsid w:val="00435851"/>
    <w:rsid w:val="00437BD3"/>
    <w:rsid w:val="00443744"/>
    <w:rsid w:val="00445F43"/>
    <w:rsid w:val="004515AA"/>
    <w:rsid w:val="00451F59"/>
    <w:rsid w:val="00452B7F"/>
    <w:rsid w:val="00455B26"/>
    <w:rsid w:val="00456773"/>
    <w:rsid w:val="00460C86"/>
    <w:rsid w:val="00461A61"/>
    <w:rsid w:val="0047275B"/>
    <w:rsid w:val="0047706C"/>
    <w:rsid w:val="00480DD1"/>
    <w:rsid w:val="00482BFA"/>
    <w:rsid w:val="004839E4"/>
    <w:rsid w:val="004851F5"/>
    <w:rsid w:val="00486248"/>
    <w:rsid w:val="004875F9"/>
    <w:rsid w:val="00487CFA"/>
    <w:rsid w:val="00491052"/>
    <w:rsid w:val="00492AD8"/>
    <w:rsid w:val="00492BBB"/>
    <w:rsid w:val="004934DC"/>
    <w:rsid w:val="00493E67"/>
    <w:rsid w:val="004A17B8"/>
    <w:rsid w:val="004A4B38"/>
    <w:rsid w:val="004B24C9"/>
    <w:rsid w:val="004B45EE"/>
    <w:rsid w:val="004B666D"/>
    <w:rsid w:val="004B7547"/>
    <w:rsid w:val="004C03DB"/>
    <w:rsid w:val="004C360E"/>
    <w:rsid w:val="004C4E95"/>
    <w:rsid w:val="004C6DF5"/>
    <w:rsid w:val="004D0DA4"/>
    <w:rsid w:val="004E2802"/>
    <w:rsid w:val="004E42E2"/>
    <w:rsid w:val="004E45D8"/>
    <w:rsid w:val="004E490F"/>
    <w:rsid w:val="004E4ABA"/>
    <w:rsid w:val="004F4B35"/>
    <w:rsid w:val="004F6912"/>
    <w:rsid w:val="004F750B"/>
    <w:rsid w:val="00501D4A"/>
    <w:rsid w:val="00502653"/>
    <w:rsid w:val="00506212"/>
    <w:rsid w:val="00506851"/>
    <w:rsid w:val="005077EB"/>
    <w:rsid w:val="0051156A"/>
    <w:rsid w:val="00512126"/>
    <w:rsid w:val="00512E08"/>
    <w:rsid w:val="00521769"/>
    <w:rsid w:val="00522FB1"/>
    <w:rsid w:val="005235FD"/>
    <w:rsid w:val="005309AD"/>
    <w:rsid w:val="005313C6"/>
    <w:rsid w:val="00533F3C"/>
    <w:rsid w:val="005356CF"/>
    <w:rsid w:val="005405CC"/>
    <w:rsid w:val="005420DC"/>
    <w:rsid w:val="005450B0"/>
    <w:rsid w:val="00553096"/>
    <w:rsid w:val="00553A26"/>
    <w:rsid w:val="005561BF"/>
    <w:rsid w:val="005567B9"/>
    <w:rsid w:val="00556BC7"/>
    <w:rsid w:val="005648A0"/>
    <w:rsid w:val="00564D13"/>
    <w:rsid w:val="00565A78"/>
    <w:rsid w:val="00565DFD"/>
    <w:rsid w:val="0057102D"/>
    <w:rsid w:val="00571124"/>
    <w:rsid w:val="005720EE"/>
    <w:rsid w:val="0057720C"/>
    <w:rsid w:val="005779B2"/>
    <w:rsid w:val="0058567E"/>
    <w:rsid w:val="00586477"/>
    <w:rsid w:val="00597D0F"/>
    <w:rsid w:val="005A13CA"/>
    <w:rsid w:val="005A354D"/>
    <w:rsid w:val="005A62FD"/>
    <w:rsid w:val="005A6699"/>
    <w:rsid w:val="005B26CD"/>
    <w:rsid w:val="005B4436"/>
    <w:rsid w:val="005B4802"/>
    <w:rsid w:val="005B4B64"/>
    <w:rsid w:val="005B7D17"/>
    <w:rsid w:val="005C2DBF"/>
    <w:rsid w:val="005C34B2"/>
    <w:rsid w:val="005C5031"/>
    <w:rsid w:val="005C68DB"/>
    <w:rsid w:val="005C7432"/>
    <w:rsid w:val="005D0599"/>
    <w:rsid w:val="005D35E2"/>
    <w:rsid w:val="005D5AED"/>
    <w:rsid w:val="005D6C7E"/>
    <w:rsid w:val="005D6F41"/>
    <w:rsid w:val="005E2330"/>
    <w:rsid w:val="005E34F5"/>
    <w:rsid w:val="005E5A9B"/>
    <w:rsid w:val="005E64E5"/>
    <w:rsid w:val="005E71CB"/>
    <w:rsid w:val="005E7E51"/>
    <w:rsid w:val="005F026F"/>
    <w:rsid w:val="005F3969"/>
    <w:rsid w:val="005F7F10"/>
    <w:rsid w:val="00600DC4"/>
    <w:rsid w:val="0060108B"/>
    <w:rsid w:val="00605FC9"/>
    <w:rsid w:val="00610C4B"/>
    <w:rsid w:val="00612F30"/>
    <w:rsid w:val="0062108D"/>
    <w:rsid w:val="006257E3"/>
    <w:rsid w:val="00625F83"/>
    <w:rsid w:val="00626276"/>
    <w:rsid w:val="00626C00"/>
    <w:rsid w:val="0063525D"/>
    <w:rsid w:val="0063691E"/>
    <w:rsid w:val="00636ECF"/>
    <w:rsid w:val="00636F1F"/>
    <w:rsid w:val="00637696"/>
    <w:rsid w:val="00637ED8"/>
    <w:rsid w:val="00643347"/>
    <w:rsid w:val="00647A6E"/>
    <w:rsid w:val="00647BE6"/>
    <w:rsid w:val="0065326F"/>
    <w:rsid w:val="006540A8"/>
    <w:rsid w:val="00654585"/>
    <w:rsid w:val="006611A6"/>
    <w:rsid w:val="00661213"/>
    <w:rsid w:val="0066230B"/>
    <w:rsid w:val="006626E4"/>
    <w:rsid w:val="00663C79"/>
    <w:rsid w:val="006649E2"/>
    <w:rsid w:val="0067064F"/>
    <w:rsid w:val="00672E28"/>
    <w:rsid w:val="00673E78"/>
    <w:rsid w:val="00674226"/>
    <w:rsid w:val="00676833"/>
    <w:rsid w:val="00677E84"/>
    <w:rsid w:val="00681926"/>
    <w:rsid w:val="00681B0D"/>
    <w:rsid w:val="006834CB"/>
    <w:rsid w:val="006844A5"/>
    <w:rsid w:val="00684A82"/>
    <w:rsid w:val="00695407"/>
    <w:rsid w:val="00696943"/>
    <w:rsid w:val="00697E5D"/>
    <w:rsid w:val="00697EA6"/>
    <w:rsid w:val="006A14FF"/>
    <w:rsid w:val="006A3E62"/>
    <w:rsid w:val="006B58B4"/>
    <w:rsid w:val="006B7471"/>
    <w:rsid w:val="006C3EA0"/>
    <w:rsid w:val="006C52BE"/>
    <w:rsid w:val="006C52FB"/>
    <w:rsid w:val="006C674D"/>
    <w:rsid w:val="006C6E41"/>
    <w:rsid w:val="006C7484"/>
    <w:rsid w:val="006C74B1"/>
    <w:rsid w:val="006D7498"/>
    <w:rsid w:val="006E261F"/>
    <w:rsid w:val="006E3C6C"/>
    <w:rsid w:val="006E4788"/>
    <w:rsid w:val="006E5069"/>
    <w:rsid w:val="006E67FB"/>
    <w:rsid w:val="006F085F"/>
    <w:rsid w:val="006F2652"/>
    <w:rsid w:val="006F2791"/>
    <w:rsid w:val="006F33BC"/>
    <w:rsid w:val="006F33DC"/>
    <w:rsid w:val="006F602E"/>
    <w:rsid w:val="006F675C"/>
    <w:rsid w:val="00700918"/>
    <w:rsid w:val="00702164"/>
    <w:rsid w:val="00703ECE"/>
    <w:rsid w:val="007059B9"/>
    <w:rsid w:val="007060C5"/>
    <w:rsid w:val="00706B4C"/>
    <w:rsid w:val="00710D76"/>
    <w:rsid w:val="007111A1"/>
    <w:rsid w:val="00712C60"/>
    <w:rsid w:val="00713105"/>
    <w:rsid w:val="007164A0"/>
    <w:rsid w:val="007215EA"/>
    <w:rsid w:val="007255CB"/>
    <w:rsid w:val="0072576A"/>
    <w:rsid w:val="00730A70"/>
    <w:rsid w:val="00731C13"/>
    <w:rsid w:val="007348EE"/>
    <w:rsid w:val="00742AAB"/>
    <w:rsid w:val="00747DA1"/>
    <w:rsid w:val="00751C40"/>
    <w:rsid w:val="0075609B"/>
    <w:rsid w:val="00761ADD"/>
    <w:rsid w:val="00761C16"/>
    <w:rsid w:val="0076387B"/>
    <w:rsid w:val="00764C9E"/>
    <w:rsid w:val="00766D43"/>
    <w:rsid w:val="00767CA1"/>
    <w:rsid w:val="00770C69"/>
    <w:rsid w:val="007716B0"/>
    <w:rsid w:val="00771E1D"/>
    <w:rsid w:val="0077513D"/>
    <w:rsid w:val="00775ACE"/>
    <w:rsid w:val="00780404"/>
    <w:rsid w:val="00784156"/>
    <w:rsid w:val="00785A64"/>
    <w:rsid w:val="007861BA"/>
    <w:rsid w:val="00790C9C"/>
    <w:rsid w:val="007912F8"/>
    <w:rsid w:val="00792610"/>
    <w:rsid w:val="00792FB9"/>
    <w:rsid w:val="007A14A2"/>
    <w:rsid w:val="007A34EB"/>
    <w:rsid w:val="007A50EC"/>
    <w:rsid w:val="007B182C"/>
    <w:rsid w:val="007B2025"/>
    <w:rsid w:val="007B3463"/>
    <w:rsid w:val="007B378D"/>
    <w:rsid w:val="007B5430"/>
    <w:rsid w:val="007B5718"/>
    <w:rsid w:val="007B789A"/>
    <w:rsid w:val="007C06BE"/>
    <w:rsid w:val="007C0D66"/>
    <w:rsid w:val="007C7285"/>
    <w:rsid w:val="007D2C68"/>
    <w:rsid w:val="007D388F"/>
    <w:rsid w:val="007D66A0"/>
    <w:rsid w:val="007E0B98"/>
    <w:rsid w:val="007E107A"/>
    <w:rsid w:val="007E3C8C"/>
    <w:rsid w:val="007E54AF"/>
    <w:rsid w:val="007E66D1"/>
    <w:rsid w:val="007F08FB"/>
    <w:rsid w:val="007F12F2"/>
    <w:rsid w:val="007F1DC6"/>
    <w:rsid w:val="007F2002"/>
    <w:rsid w:val="007F634F"/>
    <w:rsid w:val="007F6EEB"/>
    <w:rsid w:val="00801721"/>
    <w:rsid w:val="0080624E"/>
    <w:rsid w:val="00806464"/>
    <w:rsid w:val="00810424"/>
    <w:rsid w:val="00812727"/>
    <w:rsid w:val="00812DC8"/>
    <w:rsid w:val="0081361B"/>
    <w:rsid w:val="00820CF8"/>
    <w:rsid w:val="00820F23"/>
    <w:rsid w:val="008232A4"/>
    <w:rsid w:val="008237E5"/>
    <w:rsid w:val="0082601C"/>
    <w:rsid w:val="00830436"/>
    <w:rsid w:val="00831546"/>
    <w:rsid w:val="0083312F"/>
    <w:rsid w:val="00834969"/>
    <w:rsid w:val="00836DF6"/>
    <w:rsid w:val="008453A7"/>
    <w:rsid w:val="00847F3C"/>
    <w:rsid w:val="00850460"/>
    <w:rsid w:val="008507F3"/>
    <w:rsid w:val="00850CA1"/>
    <w:rsid w:val="0085426C"/>
    <w:rsid w:val="00854928"/>
    <w:rsid w:val="00855FB8"/>
    <w:rsid w:val="00860C2D"/>
    <w:rsid w:val="00861C14"/>
    <w:rsid w:val="00864180"/>
    <w:rsid w:val="008660CB"/>
    <w:rsid w:val="008718E0"/>
    <w:rsid w:val="0087691E"/>
    <w:rsid w:val="008817B7"/>
    <w:rsid w:val="00882349"/>
    <w:rsid w:val="00882E69"/>
    <w:rsid w:val="008833FF"/>
    <w:rsid w:val="00883996"/>
    <w:rsid w:val="00885B21"/>
    <w:rsid w:val="0088680E"/>
    <w:rsid w:val="00890045"/>
    <w:rsid w:val="008923A7"/>
    <w:rsid w:val="00892BAE"/>
    <w:rsid w:val="0089306D"/>
    <w:rsid w:val="008939A4"/>
    <w:rsid w:val="00894782"/>
    <w:rsid w:val="0089698B"/>
    <w:rsid w:val="00897EB7"/>
    <w:rsid w:val="008A46F6"/>
    <w:rsid w:val="008B0F9D"/>
    <w:rsid w:val="008B1702"/>
    <w:rsid w:val="008B24F6"/>
    <w:rsid w:val="008B3A5A"/>
    <w:rsid w:val="008B44F3"/>
    <w:rsid w:val="008B45BE"/>
    <w:rsid w:val="008B528F"/>
    <w:rsid w:val="008B6909"/>
    <w:rsid w:val="008B7C99"/>
    <w:rsid w:val="008C2F79"/>
    <w:rsid w:val="008C3E56"/>
    <w:rsid w:val="008C7A06"/>
    <w:rsid w:val="008D0B31"/>
    <w:rsid w:val="008D2581"/>
    <w:rsid w:val="008D2B3D"/>
    <w:rsid w:val="008D6A08"/>
    <w:rsid w:val="008D6E14"/>
    <w:rsid w:val="008D75B6"/>
    <w:rsid w:val="008E0468"/>
    <w:rsid w:val="008E3398"/>
    <w:rsid w:val="008E5421"/>
    <w:rsid w:val="008F07B2"/>
    <w:rsid w:val="008F2666"/>
    <w:rsid w:val="008F4E3A"/>
    <w:rsid w:val="008F7359"/>
    <w:rsid w:val="008F7363"/>
    <w:rsid w:val="0090460E"/>
    <w:rsid w:val="00904F24"/>
    <w:rsid w:val="0090560D"/>
    <w:rsid w:val="00906394"/>
    <w:rsid w:val="00912B22"/>
    <w:rsid w:val="00913B1A"/>
    <w:rsid w:val="00913B50"/>
    <w:rsid w:val="00913CAF"/>
    <w:rsid w:val="00915C0B"/>
    <w:rsid w:val="00925A8D"/>
    <w:rsid w:val="00932342"/>
    <w:rsid w:val="00937580"/>
    <w:rsid w:val="00937B0D"/>
    <w:rsid w:val="0094124A"/>
    <w:rsid w:val="00941ADF"/>
    <w:rsid w:val="00941B72"/>
    <w:rsid w:val="00942A21"/>
    <w:rsid w:val="00943CF1"/>
    <w:rsid w:val="00947956"/>
    <w:rsid w:val="00950147"/>
    <w:rsid w:val="00950849"/>
    <w:rsid w:val="00952E36"/>
    <w:rsid w:val="009549D6"/>
    <w:rsid w:val="0095533C"/>
    <w:rsid w:val="00956164"/>
    <w:rsid w:val="00957166"/>
    <w:rsid w:val="009607C5"/>
    <w:rsid w:val="00965E05"/>
    <w:rsid w:val="00972864"/>
    <w:rsid w:val="0097449B"/>
    <w:rsid w:val="00974632"/>
    <w:rsid w:val="00974AAB"/>
    <w:rsid w:val="00975F81"/>
    <w:rsid w:val="009764DD"/>
    <w:rsid w:val="00976827"/>
    <w:rsid w:val="009813E4"/>
    <w:rsid w:val="00982E6B"/>
    <w:rsid w:val="00987BCC"/>
    <w:rsid w:val="009907C6"/>
    <w:rsid w:val="00991739"/>
    <w:rsid w:val="009919CE"/>
    <w:rsid w:val="00991A28"/>
    <w:rsid w:val="009929EE"/>
    <w:rsid w:val="00995648"/>
    <w:rsid w:val="00997A71"/>
    <w:rsid w:val="009A0241"/>
    <w:rsid w:val="009A07F5"/>
    <w:rsid w:val="009A348F"/>
    <w:rsid w:val="009A37A9"/>
    <w:rsid w:val="009A46D4"/>
    <w:rsid w:val="009A7636"/>
    <w:rsid w:val="009B4C0A"/>
    <w:rsid w:val="009B4E0E"/>
    <w:rsid w:val="009B7158"/>
    <w:rsid w:val="009B7E1F"/>
    <w:rsid w:val="009C0BA9"/>
    <w:rsid w:val="009D0067"/>
    <w:rsid w:val="009D03F3"/>
    <w:rsid w:val="009D0F2B"/>
    <w:rsid w:val="009D162E"/>
    <w:rsid w:val="009D1679"/>
    <w:rsid w:val="009D44EA"/>
    <w:rsid w:val="009E184F"/>
    <w:rsid w:val="009E1DE8"/>
    <w:rsid w:val="009F21E2"/>
    <w:rsid w:val="009F2353"/>
    <w:rsid w:val="009F35C8"/>
    <w:rsid w:val="009F4177"/>
    <w:rsid w:val="009F6E73"/>
    <w:rsid w:val="00A007A2"/>
    <w:rsid w:val="00A03E36"/>
    <w:rsid w:val="00A04EA8"/>
    <w:rsid w:val="00A063D3"/>
    <w:rsid w:val="00A10193"/>
    <w:rsid w:val="00A1108F"/>
    <w:rsid w:val="00A14231"/>
    <w:rsid w:val="00A16DF2"/>
    <w:rsid w:val="00A17943"/>
    <w:rsid w:val="00A23DEB"/>
    <w:rsid w:val="00A24406"/>
    <w:rsid w:val="00A26DE0"/>
    <w:rsid w:val="00A27C06"/>
    <w:rsid w:val="00A27DB9"/>
    <w:rsid w:val="00A317BA"/>
    <w:rsid w:val="00A31BB4"/>
    <w:rsid w:val="00A31DCB"/>
    <w:rsid w:val="00A32592"/>
    <w:rsid w:val="00A335EC"/>
    <w:rsid w:val="00A34F5F"/>
    <w:rsid w:val="00A37708"/>
    <w:rsid w:val="00A37863"/>
    <w:rsid w:val="00A4105A"/>
    <w:rsid w:val="00A42D07"/>
    <w:rsid w:val="00A45038"/>
    <w:rsid w:val="00A4662D"/>
    <w:rsid w:val="00A4769B"/>
    <w:rsid w:val="00A47E1D"/>
    <w:rsid w:val="00A50E4F"/>
    <w:rsid w:val="00A52135"/>
    <w:rsid w:val="00A52978"/>
    <w:rsid w:val="00A52C1C"/>
    <w:rsid w:val="00A535C7"/>
    <w:rsid w:val="00A5468A"/>
    <w:rsid w:val="00A5650B"/>
    <w:rsid w:val="00A57AA5"/>
    <w:rsid w:val="00A6166D"/>
    <w:rsid w:val="00A61705"/>
    <w:rsid w:val="00A62E20"/>
    <w:rsid w:val="00A63ACF"/>
    <w:rsid w:val="00A6496A"/>
    <w:rsid w:val="00A66B94"/>
    <w:rsid w:val="00A71EF2"/>
    <w:rsid w:val="00A7299E"/>
    <w:rsid w:val="00A72BA4"/>
    <w:rsid w:val="00A76A5D"/>
    <w:rsid w:val="00A7701A"/>
    <w:rsid w:val="00A860D7"/>
    <w:rsid w:val="00A8655A"/>
    <w:rsid w:val="00A90323"/>
    <w:rsid w:val="00A90E52"/>
    <w:rsid w:val="00A9179E"/>
    <w:rsid w:val="00A946D7"/>
    <w:rsid w:val="00A96C28"/>
    <w:rsid w:val="00A971F1"/>
    <w:rsid w:val="00AA477F"/>
    <w:rsid w:val="00AA4F60"/>
    <w:rsid w:val="00AA513E"/>
    <w:rsid w:val="00AA6AC2"/>
    <w:rsid w:val="00AB0A5D"/>
    <w:rsid w:val="00AB0E64"/>
    <w:rsid w:val="00AB7CB8"/>
    <w:rsid w:val="00AC073B"/>
    <w:rsid w:val="00AC29E3"/>
    <w:rsid w:val="00AC6864"/>
    <w:rsid w:val="00AC754D"/>
    <w:rsid w:val="00AD0041"/>
    <w:rsid w:val="00AD0CDB"/>
    <w:rsid w:val="00AD70F7"/>
    <w:rsid w:val="00AD7615"/>
    <w:rsid w:val="00AD7C38"/>
    <w:rsid w:val="00AD7D86"/>
    <w:rsid w:val="00AE56D2"/>
    <w:rsid w:val="00AE7EC7"/>
    <w:rsid w:val="00AF19F4"/>
    <w:rsid w:val="00AF2F22"/>
    <w:rsid w:val="00AF40A4"/>
    <w:rsid w:val="00AF5402"/>
    <w:rsid w:val="00AF5B61"/>
    <w:rsid w:val="00AF6ECF"/>
    <w:rsid w:val="00B00435"/>
    <w:rsid w:val="00B00E65"/>
    <w:rsid w:val="00B0174B"/>
    <w:rsid w:val="00B030C7"/>
    <w:rsid w:val="00B1239A"/>
    <w:rsid w:val="00B12D3C"/>
    <w:rsid w:val="00B17507"/>
    <w:rsid w:val="00B17F59"/>
    <w:rsid w:val="00B2079D"/>
    <w:rsid w:val="00B218B5"/>
    <w:rsid w:val="00B24385"/>
    <w:rsid w:val="00B256C1"/>
    <w:rsid w:val="00B3295F"/>
    <w:rsid w:val="00B331E9"/>
    <w:rsid w:val="00B340DD"/>
    <w:rsid w:val="00B34D8E"/>
    <w:rsid w:val="00B36296"/>
    <w:rsid w:val="00B418D0"/>
    <w:rsid w:val="00B41F0B"/>
    <w:rsid w:val="00B427D5"/>
    <w:rsid w:val="00B42D7C"/>
    <w:rsid w:val="00B4430D"/>
    <w:rsid w:val="00B51AFB"/>
    <w:rsid w:val="00B53E48"/>
    <w:rsid w:val="00B53EE8"/>
    <w:rsid w:val="00B56761"/>
    <w:rsid w:val="00B56A8E"/>
    <w:rsid w:val="00B57D9A"/>
    <w:rsid w:val="00B6507D"/>
    <w:rsid w:val="00B66068"/>
    <w:rsid w:val="00B6678A"/>
    <w:rsid w:val="00B66C09"/>
    <w:rsid w:val="00B703A2"/>
    <w:rsid w:val="00B704E8"/>
    <w:rsid w:val="00B7100C"/>
    <w:rsid w:val="00B711D0"/>
    <w:rsid w:val="00B74158"/>
    <w:rsid w:val="00B811C4"/>
    <w:rsid w:val="00B81726"/>
    <w:rsid w:val="00B8424E"/>
    <w:rsid w:val="00B86404"/>
    <w:rsid w:val="00B87AC2"/>
    <w:rsid w:val="00B87DC8"/>
    <w:rsid w:val="00B94052"/>
    <w:rsid w:val="00B94F83"/>
    <w:rsid w:val="00B97ACA"/>
    <w:rsid w:val="00BA3945"/>
    <w:rsid w:val="00BA4A18"/>
    <w:rsid w:val="00BA66E9"/>
    <w:rsid w:val="00BB23BE"/>
    <w:rsid w:val="00BB539B"/>
    <w:rsid w:val="00BB59B3"/>
    <w:rsid w:val="00BC1BD4"/>
    <w:rsid w:val="00BC4927"/>
    <w:rsid w:val="00BC6AE1"/>
    <w:rsid w:val="00BD067B"/>
    <w:rsid w:val="00BD24FE"/>
    <w:rsid w:val="00BD4883"/>
    <w:rsid w:val="00BD4B5A"/>
    <w:rsid w:val="00BE488A"/>
    <w:rsid w:val="00BE5503"/>
    <w:rsid w:val="00BF2B33"/>
    <w:rsid w:val="00BF337F"/>
    <w:rsid w:val="00C00484"/>
    <w:rsid w:val="00C02407"/>
    <w:rsid w:val="00C0297D"/>
    <w:rsid w:val="00C045D4"/>
    <w:rsid w:val="00C04D52"/>
    <w:rsid w:val="00C05712"/>
    <w:rsid w:val="00C1281E"/>
    <w:rsid w:val="00C12E33"/>
    <w:rsid w:val="00C1348E"/>
    <w:rsid w:val="00C14F7D"/>
    <w:rsid w:val="00C1519F"/>
    <w:rsid w:val="00C15900"/>
    <w:rsid w:val="00C16C12"/>
    <w:rsid w:val="00C31FB9"/>
    <w:rsid w:val="00C3226C"/>
    <w:rsid w:val="00C35B0C"/>
    <w:rsid w:val="00C364A8"/>
    <w:rsid w:val="00C4557C"/>
    <w:rsid w:val="00C46B40"/>
    <w:rsid w:val="00C50E4C"/>
    <w:rsid w:val="00C51584"/>
    <w:rsid w:val="00C52674"/>
    <w:rsid w:val="00C53C01"/>
    <w:rsid w:val="00C55EF8"/>
    <w:rsid w:val="00C56C6C"/>
    <w:rsid w:val="00C57166"/>
    <w:rsid w:val="00C57E4E"/>
    <w:rsid w:val="00C60806"/>
    <w:rsid w:val="00C612BD"/>
    <w:rsid w:val="00C66994"/>
    <w:rsid w:val="00C676FF"/>
    <w:rsid w:val="00C7019A"/>
    <w:rsid w:val="00C82071"/>
    <w:rsid w:val="00C84DB0"/>
    <w:rsid w:val="00C96E89"/>
    <w:rsid w:val="00CA0694"/>
    <w:rsid w:val="00CA46DB"/>
    <w:rsid w:val="00CB19CD"/>
    <w:rsid w:val="00CC54D2"/>
    <w:rsid w:val="00CC704C"/>
    <w:rsid w:val="00CD458B"/>
    <w:rsid w:val="00CD4CE3"/>
    <w:rsid w:val="00CD4D79"/>
    <w:rsid w:val="00CD7DC3"/>
    <w:rsid w:val="00CE0AA1"/>
    <w:rsid w:val="00CE234A"/>
    <w:rsid w:val="00CE4818"/>
    <w:rsid w:val="00CF1630"/>
    <w:rsid w:val="00CF18EA"/>
    <w:rsid w:val="00CF548F"/>
    <w:rsid w:val="00CF5C4B"/>
    <w:rsid w:val="00CF629F"/>
    <w:rsid w:val="00CF6E0E"/>
    <w:rsid w:val="00CF7BF5"/>
    <w:rsid w:val="00D02481"/>
    <w:rsid w:val="00D0498C"/>
    <w:rsid w:val="00D0587D"/>
    <w:rsid w:val="00D060B9"/>
    <w:rsid w:val="00D11C27"/>
    <w:rsid w:val="00D13F86"/>
    <w:rsid w:val="00D148D9"/>
    <w:rsid w:val="00D16D36"/>
    <w:rsid w:val="00D22E72"/>
    <w:rsid w:val="00D23DC1"/>
    <w:rsid w:val="00D3478D"/>
    <w:rsid w:val="00D37192"/>
    <w:rsid w:val="00D37E56"/>
    <w:rsid w:val="00D40032"/>
    <w:rsid w:val="00D44ECA"/>
    <w:rsid w:val="00D45799"/>
    <w:rsid w:val="00D46FEC"/>
    <w:rsid w:val="00D501CF"/>
    <w:rsid w:val="00D511AF"/>
    <w:rsid w:val="00D526AF"/>
    <w:rsid w:val="00D54394"/>
    <w:rsid w:val="00D626E0"/>
    <w:rsid w:val="00D6535B"/>
    <w:rsid w:val="00D65805"/>
    <w:rsid w:val="00D65B9D"/>
    <w:rsid w:val="00D71CFD"/>
    <w:rsid w:val="00D829CD"/>
    <w:rsid w:val="00D8310F"/>
    <w:rsid w:val="00D84B9E"/>
    <w:rsid w:val="00D87289"/>
    <w:rsid w:val="00D87F3A"/>
    <w:rsid w:val="00D92139"/>
    <w:rsid w:val="00D926A6"/>
    <w:rsid w:val="00DA013D"/>
    <w:rsid w:val="00DA24A7"/>
    <w:rsid w:val="00DA35BE"/>
    <w:rsid w:val="00DA45C2"/>
    <w:rsid w:val="00DB5044"/>
    <w:rsid w:val="00DC06CC"/>
    <w:rsid w:val="00DC23B4"/>
    <w:rsid w:val="00DC4C29"/>
    <w:rsid w:val="00DC5EB3"/>
    <w:rsid w:val="00DD2EF4"/>
    <w:rsid w:val="00DD34E7"/>
    <w:rsid w:val="00DD3B14"/>
    <w:rsid w:val="00DD4E43"/>
    <w:rsid w:val="00DD4F1E"/>
    <w:rsid w:val="00DD56AB"/>
    <w:rsid w:val="00DD5CF4"/>
    <w:rsid w:val="00DD656D"/>
    <w:rsid w:val="00DD69EF"/>
    <w:rsid w:val="00DD76AF"/>
    <w:rsid w:val="00DE0FD1"/>
    <w:rsid w:val="00DE19C8"/>
    <w:rsid w:val="00DE29B6"/>
    <w:rsid w:val="00DE3F76"/>
    <w:rsid w:val="00DE7BD8"/>
    <w:rsid w:val="00DE7BDF"/>
    <w:rsid w:val="00DF303A"/>
    <w:rsid w:val="00DF5976"/>
    <w:rsid w:val="00DF7526"/>
    <w:rsid w:val="00DF7AE2"/>
    <w:rsid w:val="00E03044"/>
    <w:rsid w:val="00E04A85"/>
    <w:rsid w:val="00E0699B"/>
    <w:rsid w:val="00E1130F"/>
    <w:rsid w:val="00E150BC"/>
    <w:rsid w:val="00E15924"/>
    <w:rsid w:val="00E1675D"/>
    <w:rsid w:val="00E212C0"/>
    <w:rsid w:val="00E220E5"/>
    <w:rsid w:val="00E241E6"/>
    <w:rsid w:val="00E24EE9"/>
    <w:rsid w:val="00E2658B"/>
    <w:rsid w:val="00E301CD"/>
    <w:rsid w:val="00E3063E"/>
    <w:rsid w:val="00E31E29"/>
    <w:rsid w:val="00E37065"/>
    <w:rsid w:val="00E40F65"/>
    <w:rsid w:val="00E42217"/>
    <w:rsid w:val="00E454C5"/>
    <w:rsid w:val="00E470D2"/>
    <w:rsid w:val="00E473B2"/>
    <w:rsid w:val="00E55341"/>
    <w:rsid w:val="00E618A6"/>
    <w:rsid w:val="00E62A6F"/>
    <w:rsid w:val="00E63F04"/>
    <w:rsid w:val="00E6598E"/>
    <w:rsid w:val="00E6639C"/>
    <w:rsid w:val="00E7357B"/>
    <w:rsid w:val="00E75604"/>
    <w:rsid w:val="00E772A1"/>
    <w:rsid w:val="00E77304"/>
    <w:rsid w:val="00E77C84"/>
    <w:rsid w:val="00E839F3"/>
    <w:rsid w:val="00E857C9"/>
    <w:rsid w:val="00E86F7A"/>
    <w:rsid w:val="00E879D7"/>
    <w:rsid w:val="00E92184"/>
    <w:rsid w:val="00E93A43"/>
    <w:rsid w:val="00EA025C"/>
    <w:rsid w:val="00EA7B40"/>
    <w:rsid w:val="00EB57FD"/>
    <w:rsid w:val="00EC1506"/>
    <w:rsid w:val="00EC1D65"/>
    <w:rsid w:val="00EC3928"/>
    <w:rsid w:val="00EC7804"/>
    <w:rsid w:val="00EC7C03"/>
    <w:rsid w:val="00ED0FA8"/>
    <w:rsid w:val="00ED10DB"/>
    <w:rsid w:val="00ED1808"/>
    <w:rsid w:val="00ED2DD4"/>
    <w:rsid w:val="00ED7ED8"/>
    <w:rsid w:val="00EE23E4"/>
    <w:rsid w:val="00EE5CAB"/>
    <w:rsid w:val="00EE629E"/>
    <w:rsid w:val="00EF0237"/>
    <w:rsid w:val="00EF3879"/>
    <w:rsid w:val="00EF38CF"/>
    <w:rsid w:val="00EF40AC"/>
    <w:rsid w:val="00EF42F2"/>
    <w:rsid w:val="00EF4C0D"/>
    <w:rsid w:val="00F012A3"/>
    <w:rsid w:val="00F012B7"/>
    <w:rsid w:val="00F030DF"/>
    <w:rsid w:val="00F03506"/>
    <w:rsid w:val="00F04159"/>
    <w:rsid w:val="00F114EF"/>
    <w:rsid w:val="00F11B36"/>
    <w:rsid w:val="00F158E1"/>
    <w:rsid w:val="00F16694"/>
    <w:rsid w:val="00F20E7A"/>
    <w:rsid w:val="00F23778"/>
    <w:rsid w:val="00F26314"/>
    <w:rsid w:val="00F331A6"/>
    <w:rsid w:val="00F34420"/>
    <w:rsid w:val="00F36802"/>
    <w:rsid w:val="00F41E6B"/>
    <w:rsid w:val="00F4211F"/>
    <w:rsid w:val="00F50A36"/>
    <w:rsid w:val="00F518D4"/>
    <w:rsid w:val="00F51AA1"/>
    <w:rsid w:val="00F5332A"/>
    <w:rsid w:val="00F5355D"/>
    <w:rsid w:val="00F55984"/>
    <w:rsid w:val="00F57709"/>
    <w:rsid w:val="00F6314A"/>
    <w:rsid w:val="00F63429"/>
    <w:rsid w:val="00F66571"/>
    <w:rsid w:val="00F66AAE"/>
    <w:rsid w:val="00F7351E"/>
    <w:rsid w:val="00F75B6E"/>
    <w:rsid w:val="00F76B4B"/>
    <w:rsid w:val="00F76E82"/>
    <w:rsid w:val="00F77BC0"/>
    <w:rsid w:val="00F80811"/>
    <w:rsid w:val="00F816F3"/>
    <w:rsid w:val="00F8238E"/>
    <w:rsid w:val="00F834EC"/>
    <w:rsid w:val="00F85761"/>
    <w:rsid w:val="00F91DA0"/>
    <w:rsid w:val="00F94531"/>
    <w:rsid w:val="00F9578A"/>
    <w:rsid w:val="00F95D1F"/>
    <w:rsid w:val="00FA03FB"/>
    <w:rsid w:val="00FA091B"/>
    <w:rsid w:val="00FA2403"/>
    <w:rsid w:val="00FA3F7E"/>
    <w:rsid w:val="00FA4A2F"/>
    <w:rsid w:val="00FA5298"/>
    <w:rsid w:val="00FA626D"/>
    <w:rsid w:val="00FB4E2A"/>
    <w:rsid w:val="00FC0450"/>
    <w:rsid w:val="00FC7C78"/>
    <w:rsid w:val="00FD004E"/>
    <w:rsid w:val="00FD407A"/>
    <w:rsid w:val="00FE0E01"/>
    <w:rsid w:val="00FE221A"/>
    <w:rsid w:val="00FE2DAD"/>
    <w:rsid w:val="00FE3635"/>
    <w:rsid w:val="00FE490B"/>
    <w:rsid w:val="00FF0D65"/>
    <w:rsid w:val="00FF5931"/>
    <w:rsid w:val="00FF6F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C51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endnote reference"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Footnote Text Char Char,Footnote Text2,F"/>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uiPriority w:val="39"/>
    <w:semiHidden/>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99"/>
    <w:qFormat/>
    <w:rsid w:val="00626C00"/>
    <w:pPr>
      <w:spacing w:after="200" w:line="276" w:lineRule="auto"/>
      <w:ind w:left="720"/>
    </w:pPr>
    <w:rPr>
      <w:rFonts w:ascii="Calibri" w:hAnsi="Calibri"/>
      <w:sz w:val="22"/>
      <w:szCs w:val="22"/>
    </w:rPr>
  </w:style>
  <w:style w:type="character" w:styleId="FootnoteReference">
    <w:name w:val="footnote reference"/>
    <w:aliases w:val="*Footnote Reference"/>
    <w:basedOn w:val="DefaultParagraphFont"/>
    <w:uiPriority w:val="99"/>
    <w:unhideWhenUsed/>
    <w:rsid w:val="0035182A"/>
    <w:rPr>
      <w:vertAlign w:val="superscript"/>
    </w:rPr>
  </w:style>
  <w:style w:type="character" w:customStyle="1" w:styleId="FootnoteTextChar">
    <w:name w:val="Footnote Text Char"/>
    <w:aliases w:val="F1 Char,Footnote Text Char Char Char,Footnote Text2 Char,F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17"/>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976827"/>
    <w:rPr>
      <w:rFonts w:ascii="Times New Roman" w:eastAsia="Times New Roman" w:hAnsi="Times New Roman"/>
      <w:sz w:val="24"/>
      <w:szCs w:val="20"/>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overPage-Title">
    <w:name w:val="CoverPage-Title"/>
    <w:basedOn w:val="Normal"/>
    <w:rsid w:val="00636ECF"/>
    <w:pPr>
      <w:spacing w:line="480" w:lineRule="exact"/>
    </w:pPr>
    <w:rPr>
      <w:rFonts w:ascii="Franklin Gothic Medium" w:eastAsia="Times New Roman" w:hAnsi="Franklin Gothic Medium"/>
      <w:b/>
      <w:color w:val="FFFFFF" w:themeColor="background1"/>
      <w:sz w:val="44"/>
      <w:szCs w:val="40"/>
    </w:rPr>
  </w:style>
  <w:style w:type="character" w:styleId="CommentReference">
    <w:name w:val="annotation reference"/>
    <w:basedOn w:val="DefaultParagraphFont"/>
    <w:uiPriority w:val="99"/>
    <w:semiHidden/>
    <w:unhideWhenUsed/>
    <w:rsid w:val="00123175"/>
    <w:rPr>
      <w:sz w:val="16"/>
      <w:szCs w:val="16"/>
    </w:rPr>
  </w:style>
  <w:style w:type="paragraph" w:styleId="CommentText">
    <w:name w:val="annotation text"/>
    <w:basedOn w:val="Normal"/>
    <w:link w:val="CommentTextChar"/>
    <w:uiPriority w:val="99"/>
    <w:unhideWhenUsed/>
    <w:rsid w:val="00123175"/>
    <w:pPr>
      <w:tabs>
        <w:tab w:val="left" w:pos="1152"/>
      </w:tabs>
    </w:pPr>
    <w:rPr>
      <w:rFonts w:ascii="Garamond" w:eastAsia="Times New Roman" w:hAnsi="Garamond"/>
      <w:sz w:val="20"/>
    </w:rPr>
  </w:style>
  <w:style w:type="character" w:customStyle="1" w:styleId="CommentTextChar">
    <w:name w:val="Comment Text Char"/>
    <w:basedOn w:val="DefaultParagraphFont"/>
    <w:link w:val="CommentText"/>
    <w:uiPriority w:val="99"/>
    <w:rsid w:val="00123175"/>
    <w:rPr>
      <w:rFonts w:ascii="Garamond" w:eastAsia="Times New Roman" w:hAnsi="Garamond"/>
      <w:sz w:val="20"/>
      <w:szCs w:val="20"/>
    </w:rPr>
  </w:style>
  <w:style w:type="character" w:customStyle="1" w:styleId="N1-1stBulletChar">
    <w:name w:val="N1-1st Bullet Char"/>
    <w:basedOn w:val="DefaultParagraphFont"/>
    <w:link w:val="N1-1stBullet"/>
    <w:locked/>
    <w:rsid w:val="00123175"/>
    <w:rPr>
      <w:rFonts w:ascii="Courier" w:hAnsi="Courier"/>
      <w:sz w:val="24"/>
      <w:szCs w:val="20"/>
    </w:rPr>
  </w:style>
  <w:style w:type="paragraph" w:styleId="CommentSubject">
    <w:name w:val="annotation subject"/>
    <w:basedOn w:val="CommentText"/>
    <w:next w:val="CommentText"/>
    <w:link w:val="CommentSubjectChar"/>
    <w:uiPriority w:val="99"/>
    <w:semiHidden/>
    <w:unhideWhenUsed/>
    <w:rsid w:val="005E5A9B"/>
    <w:pPr>
      <w:tabs>
        <w:tab w:val="clear" w:pos="1152"/>
      </w:tabs>
    </w:pPr>
    <w:rPr>
      <w:rFonts w:ascii="Courier" w:eastAsia="Calibri" w:hAnsi="Courier"/>
      <w:b/>
      <w:bCs/>
    </w:rPr>
  </w:style>
  <w:style w:type="character" w:customStyle="1" w:styleId="CommentSubjectChar">
    <w:name w:val="Comment Subject Char"/>
    <w:basedOn w:val="CommentTextChar"/>
    <w:link w:val="CommentSubject"/>
    <w:uiPriority w:val="99"/>
    <w:semiHidden/>
    <w:rsid w:val="005E5A9B"/>
    <w:rPr>
      <w:rFonts w:ascii="Courier" w:eastAsia="Times New Roman" w:hAnsi="Courier"/>
      <w:b/>
      <w:bCs/>
      <w:sz w:val="20"/>
      <w:szCs w:val="20"/>
    </w:rPr>
  </w:style>
  <w:style w:type="paragraph" w:styleId="EndnoteText">
    <w:name w:val="endnote text"/>
    <w:basedOn w:val="Normal"/>
    <w:link w:val="EndnoteTextChar"/>
    <w:uiPriority w:val="99"/>
    <w:semiHidden/>
    <w:unhideWhenUsed/>
    <w:rsid w:val="00A31BB4"/>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31BB4"/>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qFormat/>
    <w:rsid w:val="00A31BB4"/>
    <w:rPr>
      <w:rFonts w:ascii="Times New Roman" w:hAnsi="Times New Roman"/>
      <w:sz w:val="22"/>
      <w:vertAlign w:val="superscript"/>
    </w:rPr>
  </w:style>
  <w:style w:type="character" w:styleId="FollowedHyperlink">
    <w:name w:val="FollowedHyperlink"/>
    <w:basedOn w:val="DefaultParagraphFont"/>
    <w:uiPriority w:val="99"/>
    <w:semiHidden/>
    <w:unhideWhenUsed/>
    <w:rsid w:val="000E66C3"/>
    <w:rPr>
      <w:color w:val="800080" w:themeColor="followedHyperlink"/>
      <w:u w:val="single"/>
    </w:rPr>
  </w:style>
  <w:style w:type="paragraph" w:styleId="BodyText">
    <w:name w:val="Body Text"/>
    <w:basedOn w:val="Normal"/>
    <w:link w:val="BodyTextChar"/>
    <w:uiPriority w:val="99"/>
    <w:rsid w:val="00004222"/>
    <w:pPr>
      <w:spacing w:after="180" w:line="264" w:lineRule="auto"/>
    </w:pPr>
    <w:rPr>
      <w:rFonts w:ascii="Times New Roman" w:eastAsia="Times New Roman" w:hAnsi="Times New Roman"/>
      <w:sz w:val="22"/>
      <w:lang w:val="x-none" w:eastAsia="x-none"/>
    </w:rPr>
  </w:style>
  <w:style w:type="character" w:customStyle="1" w:styleId="BodyTextChar">
    <w:name w:val="Body Text Char"/>
    <w:basedOn w:val="DefaultParagraphFont"/>
    <w:link w:val="BodyText"/>
    <w:uiPriority w:val="99"/>
    <w:rsid w:val="00004222"/>
    <w:rPr>
      <w:rFonts w:ascii="Times New Roman" w:eastAsia="Times New Roman" w:hAnsi="Times New Roman"/>
      <w:szCs w:val="20"/>
      <w:lang w:val="x-none" w:eastAsia="x-none"/>
    </w:rPr>
  </w:style>
  <w:style w:type="paragraph" w:customStyle="1" w:styleId="RefNumbers">
    <w:name w:val="Ref Numbers"/>
    <w:basedOn w:val="BodyText"/>
    <w:uiPriority w:val="99"/>
    <w:rsid w:val="00004222"/>
    <w:pPr>
      <w:numPr>
        <w:numId w:val="55"/>
      </w:numPr>
      <w:spacing w:after="240"/>
    </w:pPr>
  </w:style>
  <w:style w:type="paragraph" w:styleId="Revision">
    <w:name w:val="Revision"/>
    <w:hidden/>
    <w:uiPriority w:val="99"/>
    <w:semiHidden/>
    <w:rsid w:val="00FE2DAD"/>
    <w:rPr>
      <w:rFonts w:ascii="Courier" w:hAnsi="Courier"/>
      <w:sz w:val="24"/>
      <w:szCs w:val="20"/>
    </w:rPr>
  </w:style>
  <w:style w:type="paragraph" w:styleId="Caption">
    <w:name w:val="caption"/>
    <w:basedOn w:val="Normal"/>
    <w:next w:val="Normal"/>
    <w:semiHidden/>
    <w:unhideWhenUsed/>
    <w:qFormat/>
    <w:locked/>
    <w:rsid w:val="00492BBB"/>
    <w:pPr>
      <w:keepNext/>
      <w:keepLines/>
      <w:widowControl w:val="0"/>
      <w:tabs>
        <w:tab w:val="left" w:pos="1440"/>
      </w:tabs>
      <w:spacing w:after="120" w:line="264" w:lineRule="auto"/>
      <w:ind w:left="1440" w:hanging="1440"/>
    </w:pPr>
    <w:rPr>
      <w:rFonts w:ascii="Arial" w:eastAsia="Times New Roman" w:hAnsi="Arial"/>
      <w:b/>
      <w:bCs/>
      <w:sz w:val="22"/>
    </w:rPr>
  </w:style>
  <w:style w:type="character" w:customStyle="1" w:styleId="apple-converted-space">
    <w:name w:val="apple-converted-space"/>
    <w:basedOn w:val="DefaultParagraphFont"/>
    <w:rsid w:val="00647BE6"/>
  </w:style>
  <w:style w:type="paragraph" w:customStyle="1" w:styleId="Default">
    <w:name w:val="Default"/>
    <w:rsid w:val="006C52FB"/>
    <w:pPr>
      <w:autoSpaceDE w:val="0"/>
      <w:autoSpaceDN w:val="0"/>
      <w:adjustRightInd w:val="0"/>
    </w:pPr>
    <w:rPr>
      <w:rFonts w:ascii="Times New Roman" w:hAnsi="Times New Roman"/>
      <w:color w:val="000000"/>
      <w:sz w:val="24"/>
      <w:szCs w:val="24"/>
    </w:rPr>
  </w:style>
  <w:style w:type="character" w:customStyle="1" w:styleId="NumberedBulletChar">
    <w:name w:val="Numbered Bullet Char"/>
    <w:basedOn w:val="DefaultParagraphFont"/>
    <w:link w:val="NumberedBullet"/>
    <w:locked/>
    <w:rsid w:val="00A27C06"/>
    <w:rPr>
      <w:rFonts w:ascii="Times New Roman" w:eastAsia="Times New Roman" w:hAnsi="Times New Roman"/>
    </w:rPr>
  </w:style>
  <w:style w:type="paragraph" w:customStyle="1" w:styleId="NumberedBullet">
    <w:name w:val="Numbered Bullet"/>
    <w:basedOn w:val="Normal"/>
    <w:link w:val="NumberedBulletChar"/>
    <w:qFormat/>
    <w:rsid w:val="00A27C06"/>
    <w:pPr>
      <w:numPr>
        <w:numId w:val="61"/>
      </w:numPr>
      <w:tabs>
        <w:tab w:val="left" w:pos="432"/>
      </w:tabs>
      <w:spacing w:after="120"/>
      <w:ind w:left="432" w:hanging="432"/>
    </w:pPr>
    <w:rPr>
      <w:rFonts w:ascii="Times New Roman" w:eastAsia="Times New Roman" w:hAnsi="Times New Roman"/>
      <w:sz w:val="22"/>
      <w:szCs w:val="22"/>
    </w:rPr>
  </w:style>
  <w:style w:type="paragraph" w:customStyle="1" w:styleId="NumberedBulletLastSS">
    <w:name w:val="Numbered Bullet (Last SS)"/>
    <w:basedOn w:val="Normal"/>
    <w:next w:val="NormalSS"/>
    <w:qFormat/>
    <w:rsid w:val="00A27C06"/>
    <w:pPr>
      <w:tabs>
        <w:tab w:val="num" w:pos="360"/>
        <w:tab w:val="left" w:pos="432"/>
      </w:tabs>
      <w:spacing w:after="240"/>
      <w:ind w:left="432" w:hanging="432"/>
    </w:pPr>
    <w:rPr>
      <w:rFonts w:ascii="Times New Roman" w:eastAsia="Times New Roman" w:hAnsi="Times New Roman"/>
      <w:szCs w:val="24"/>
    </w:rPr>
  </w:style>
  <w:style w:type="paragraph" w:customStyle="1" w:styleId="BulletsLast">
    <w:name w:val="BulletsLast"/>
    <w:basedOn w:val="Bullets"/>
    <w:rsid w:val="006626E4"/>
    <w:pPr>
      <w:spacing w:after="180"/>
    </w:pPr>
  </w:style>
  <w:style w:type="paragraph" w:customStyle="1" w:styleId="Bullets">
    <w:name w:val="Bullets"/>
    <w:basedOn w:val="BodyText"/>
    <w:link w:val="BulletsChar"/>
    <w:uiPriority w:val="99"/>
    <w:qFormat/>
    <w:rsid w:val="006626E4"/>
    <w:pPr>
      <w:numPr>
        <w:numId w:val="70"/>
      </w:numPr>
      <w:spacing w:after="120"/>
    </w:pPr>
    <w:rPr>
      <w:lang w:val="en-US" w:eastAsia="en-US"/>
    </w:rPr>
  </w:style>
  <w:style w:type="character" w:customStyle="1" w:styleId="BulletsChar">
    <w:name w:val="Bullets Char"/>
    <w:link w:val="Bullets"/>
    <w:locked/>
    <w:rsid w:val="006626E4"/>
    <w:rPr>
      <w:rFonts w:ascii="Times New Roman" w:eastAsia="Times New Roman" w:hAnsi="Times New Roman"/>
      <w:szCs w:val="20"/>
    </w:rPr>
  </w:style>
  <w:style w:type="table" w:customStyle="1" w:styleId="TableGrid2">
    <w:name w:val="Table Grid2"/>
    <w:basedOn w:val="TableNormal"/>
    <w:next w:val="TableGrid"/>
    <w:uiPriority w:val="59"/>
    <w:rsid w:val="00A865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endnote reference"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Footnote Text Char Char,Footnote Text2,F"/>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uiPriority w:val="39"/>
    <w:semiHidden/>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99"/>
    <w:qFormat/>
    <w:rsid w:val="00626C00"/>
    <w:pPr>
      <w:spacing w:after="200" w:line="276" w:lineRule="auto"/>
      <w:ind w:left="720"/>
    </w:pPr>
    <w:rPr>
      <w:rFonts w:ascii="Calibri" w:hAnsi="Calibri"/>
      <w:sz w:val="22"/>
      <w:szCs w:val="22"/>
    </w:rPr>
  </w:style>
  <w:style w:type="character" w:styleId="FootnoteReference">
    <w:name w:val="footnote reference"/>
    <w:aliases w:val="*Footnote Reference"/>
    <w:basedOn w:val="DefaultParagraphFont"/>
    <w:uiPriority w:val="99"/>
    <w:unhideWhenUsed/>
    <w:rsid w:val="0035182A"/>
    <w:rPr>
      <w:vertAlign w:val="superscript"/>
    </w:rPr>
  </w:style>
  <w:style w:type="character" w:customStyle="1" w:styleId="FootnoteTextChar">
    <w:name w:val="Footnote Text Char"/>
    <w:aliases w:val="F1 Char,Footnote Text Char Char Char,Footnote Text2 Char,F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17"/>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976827"/>
    <w:rPr>
      <w:rFonts w:ascii="Times New Roman" w:eastAsia="Times New Roman" w:hAnsi="Times New Roman"/>
      <w:sz w:val="24"/>
      <w:szCs w:val="20"/>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overPage-Title">
    <w:name w:val="CoverPage-Title"/>
    <w:basedOn w:val="Normal"/>
    <w:rsid w:val="00636ECF"/>
    <w:pPr>
      <w:spacing w:line="480" w:lineRule="exact"/>
    </w:pPr>
    <w:rPr>
      <w:rFonts w:ascii="Franklin Gothic Medium" w:eastAsia="Times New Roman" w:hAnsi="Franklin Gothic Medium"/>
      <w:b/>
      <w:color w:val="FFFFFF" w:themeColor="background1"/>
      <w:sz w:val="44"/>
      <w:szCs w:val="40"/>
    </w:rPr>
  </w:style>
  <w:style w:type="character" w:styleId="CommentReference">
    <w:name w:val="annotation reference"/>
    <w:basedOn w:val="DefaultParagraphFont"/>
    <w:uiPriority w:val="99"/>
    <w:semiHidden/>
    <w:unhideWhenUsed/>
    <w:rsid w:val="00123175"/>
    <w:rPr>
      <w:sz w:val="16"/>
      <w:szCs w:val="16"/>
    </w:rPr>
  </w:style>
  <w:style w:type="paragraph" w:styleId="CommentText">
    <w:name w:val="annotation text"/>
    <w:basedOn w:val="Normal"/>
    <w:link w:val="CommentTextChar"/>
    <w:uiPriority w:val="99"/>
    <w:unhideWhenUsed/>
    <w:rsid w:val="00123175"/>
    <w:pPr>
      <w:tabs>
        <w:tab w:val="left" w:pos="1152"/>
      </w:tabs>
    </w:pPr>
    <w:rPr>
      <w:rFonts w:ascii="Garamond" w:eastAsia="Times New Roman" w:hAnsi="Garamond"/>
      <w:sz w:val="20"/>
    </w:rPr>
  </w:style>
  <w:style w:type="character" w:customStyle="1" w:styleId="CommentTextChar">
    <w:name w:val="Comment Text Char"/>
    <w:basedOn w:val="DefaultParagraphFont"/>
    <w:link w:val="CommentText"/>
    <w:uiPriority w:val="99"/>
    <w:rsid w:val="00123175"/>
    <w:rPr>
      <w:rFonts w:ascii="Garamond" w:eastAsia="Times New Roman" w:hAnsi="Garamond"/>
      <w:sz w:val="20"/>
      <w:szCs w:val="20"/>
    </w:rPr>
  </w:style>
  <w:style w:type="character" w:customStyle="1" w:styleId="N1-1stBulletChar">
    <w:name w:val="N1-1st Bullet Char"/>
    <w:basedOn w:val="DefaultParagraphFont"/>
    <w:link w:val="N1-1stBullet"/>
    <w:locked/>
    <w:rsid w:val="00123175"/>
    <w:rPr>
      <w:rFonts w:ascii="Courier" w:hAnsi="Courier"/>
      <w:sz w:val="24"/>
      <w:szCs w:val="20"/>
    </w:rPr>
  </w:style>
  <w:style w:type="paragraph" w:styleId="CommentSubject">
    <w:name w:val="annotation subject"/>
    <w:basedOn w:val="CommentText"/>
    <w:next w:val="CommentText"/>
    <w:link w:val="CommentSubjectChar"/>
    <w:uiPriority w:val="99"/>
    <w:semiHidden/>
    <w:unhideWhenUsed/>
    <w:rsid w:val="005E5A9B"/>
    <w:pPr>
      <w:tabs>
        <w:tab w:val="clear" w:pos="1152"/>
      </w:tabs>
    </w:pPr>
    <w:rPr>
      <w:rFonts w:ascii="Courier" w:eastAsia="Calibri" w:hAnsi="Courier"/>
      <w:b/>
      <w:bCs/>
    </w:rPr>
  </w:style>
  <w:style w:type="character" w:customStyle="1" w:styleId="CommentSubjectChar">
    <w:name w:val="Comment Subject Char"/>
    <w:basedOn w:val="CommentTextChar"/>
    <w:link w:val="CommentSubject"/>
    <w:uiPriority w:val="99"/>
    <w:semiHidden/>
    <w:rsid w:val="005E5A9B"/>
    <w:rPr>
      <w:rFonts w:ascii="Courier" w:eastAsia="Times New Roman" w:hAnsi="Courier"/>
      <w:b/>
      <w:bCs/>
      <w:sz w:val="20"/>
      <w:szCs w:val="20"/>
    </w:rPr>
  </w:style>
  <w:style w:type="paragraph" w:styleId="EndnoteText">
    <w:name w:val="endnote text"/>
    <w:basedOn w:val="Normal"/>
    <w:link w:val="EndnoteTextChar"/>
    <w:uiPriority w:val="99"/>
    <w:semiHidden/>
    <w:unhideWhenUsed/>
    <w:rsid w:val="00A31BB4"/>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31BB4"/>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qFormat/>
    <w:rsid w:val="00A31BB4"/>
    <w:rPr>
      <w:rFonts w:ascii="Times New Roman" w:hAnsi="Times New Roman"/>
      <w:sz w:val="22"/>
      <w:vertAlign w:val="superscript"/>
    </w:rPr>
  </w:style>
  <w:style w:type="character" w:styleId="FollowedHyperlink">
    <w:name w:val="FollowedHyperlink"/>
    <w:basedOn w:val="DefaultParagraphFont"/>
    <w:uiPriority w:val="99"/>
    <w:semiHidden/>
    <w:unhideWhenUsed/>
    <w:rsid w:val="000E66C3"/>
    <w:rPr>
      <w:color w:val="800080" w:themeColor="followedHyperlink"/>
      <w:u w:val="single"/>
    </w:rPr>
  </w:style>
  <w:style w:type="paragraph" w:styleId="BodyText">
    <w:name w:val="Body Text"/>
    <w:basedOn w:val="Normal"/>
    <w:link w:val="BodyTextChar"/>
    <w:uiPriority w:val="99"/>
    <w:rsid w:val="00004222"/>
    <w:pPr>
      <w:spacing w:after="180" w:line="264" w:lineRule="auto"/>
    </w:pPr>
    <w:rPr>
      <w:rFonts w:ascii="Times New Roman" w:eastAsia="Times New Roman" w:hAnsi="Times New Roman"/>
      <w:sz w:val="22"/>
      <w:lang w:val="x-none" w:eastAsia="x-none"/>
    </w:rPr>
  </w:style>
  <w:style w:type="character" w:customStyle="1" w:styleId="BodyTextChar">
    <w:name w:val="Body Text Char"/>
    <w:basedOn w:val="DefaultParagraphFont"/>
    <w:link w:val="BodyText"/>
    <w:uiPriority w:val="99"/>
    <w:rsid w:val="00004222"/>
    <w:rPr>
      <w:rFonts w:ascii="Times New Roman" w:eastAsia="Times New Roman" w:hAnsi="Times New Roman"/>
      <w:szCs w:val="20"/>
      <w:lang w:val="x-none" w:eastAsia="x-none"/>
    </w:rPr>
  </w:style>
  <w:style w:type="paragraph" w:customStyle="1" w:styleId="RefNumbers">
    <w:name w:val="Ref Numbers"/>
    <w:basedOn w:val="BodyText"/>
    <w:uiPriority w:val="99"/>
    <w:rsid w:val="00004222"/>
    <w:pPr>
      <w:numPr>
        <w:numId w:val="55"/>
      </w:numPr>
      <w:spacing w:after="240"/>
    </w:pPr>
  </w:style>
  <w:style w:type="paragraph" w:styleId="Revision">
    <w:name w:val="Revision"/>
    <w:hidden/>
    <w:uiPriority w:val="99"/>
    <w:semiHidden/>
    <w:rsid w:val="00FE2DAD"/>
    <w:rPr>
      <w:rFonts w:ascii="Courier" w:hAnsi="Courier"/>
      <w:sz w:val="24"/>
      <w:szCs w:val="20"/>
    </w:rPr>
  </w:style>
  <w:style w:type="paragraph" w:styleId="Caption">
    <w:name w:val="caption"/>
    <w:basedOn w:val="Normal"/>
    <w:next w:val="Normal"/>
    <w:semiHidden/>
    <w:unhideWhenUsed/>
    <w:qFormat/>
    <w:locked/>
    <w:rsid w:val="00492BBB"/>
    <w:pPr>
      <w:keepNext/>
      <w:keepLines/>
      <w:widowControl w:val="0"/>
      <w:tabs>
        <w:tab w:val="left" w:pos="1440"/>
      </w:tabs>
      <w:spacing w:after="120" w:line="264" w:lineRule="auto"/>
      <w:ind w:left="1440" w:hanging="1440"/>
    </w:pPr>
    <w:rPr>
      <w:rFonts w:ascii="Arial" w:eastAsia="Times New Roman" w:hAnsi="Arial"/>
      <w:b/>
      <w:bCs/>
      <w:sz w:val="22"/>
    </w:rPr>
  </w:style>
  <w:style w:type="character" w:customStyle="1" w:styleId="apple-converted-space">
    <w:name w:val="apple-converted-space"/>
    <w:basedOn w:val="DefaultParagraphFont"/>
    <w:rsid w:val="00647BE6"/>
  </w:style>
  <w:style w:type="paragraph" w:customStyle="1" w:styleId="Default">
    <w:name w:val="Default"/>
    <w:rsid w:val="006C52FB"/>
    <w:pPr>
      <w:autoSpaceDE w:val="0"/>
      <w:autoSpaceDN w:val="0"/>
      <w:adjustRightInd w:val="0"/>
    </w:pPr>
    <w:rPr>
      <w:rFonts w:ascii="Times New Roman" w:hAnsi="Times New Roman"/>
      <w:color w:val="000000"/>
      <w:sz w:val="24"/>
      <w:szCs w:val="24"/>
    </w:rPr>
  </w:style>
  <w:style w:type="character" w:customStyle="1" w:styleId="NumberedBulletChar">
    <w:name w:val="Numbered Bullet Char"/>
    <w:basedOn w:val="DefaultParagraphFont"/>
    <w:link w:val="NumberedBullet"/>
    <w:locked/>
    <w:rsid w:val="00A27C06"/>
    <w:rPr>
      <w:rFonts w:ascii="Times New Roman" w:eastAsia="Times New Roman" w:hAnsi="Times New Roman"/>
    </w:rPr>
  </w:style>
  <w:style w:type="paragraph" w:customStyle="1" w:styleId="NumberedBullet">
    <w:name w:val="Numbered Bullet"/>
    <w:basedOn w:val="Normal"/>
    <w:link w:val="NumberedBulletChar"/>
    <w:qFormat/>
    <w:rsid w:val="00A27C06"/>
    <w:pPr>
      <w:numPr>
        <w:numId w:val="61"/>
      </w:numPr>
      <w:tabs>
        <w:tab w:val="left" w:pos="432"/>
      </w:tabs>
      <w:spacing w:after="120"/>
      <w:ind w:left="432" w:hanging="432"/>
    </w:pPr>
    <w:rPr>
      <w:rFonts w:ascii="Times New Roman" w:eastAsia="Times New Roman" w:hAnsi="Times New Roman"/>
      <w:sz w:val="22"/>
      <w:szCs w:val="22"/>
    </w:rPr>
  </w:style>
  <w:style w:type="paragraph" w:customStyle="1" w:styleId="NumberedBulletLastSS">
    <w:name w:val="Numbered Bullet (Last SS)"/>
    <w:basedOn w:val="Normal"/>
    <w:next w:val="NormalSS"/>
    <w:qFormat/>
    <w:rsid w:val="00A27C06"/>
    <w:pPr>
      <w:tabs>
        <w:tab w:val="num" w:pos="360"/>
        <w:tab w:val="left" w:pos="432"/>
      </w:tabs>
      <w:spacing w:after="240"/>
      <w:ind w:left="432" w:hanging="432"/>
    </w:pPr>
    <w:rPr>
      <w:rFonts w:ascii="Times New Roman" w:eastAsia="Times New Roman" w:hAnsi="Times New Roman"/>
      <w:szCs w:val="24"/>
    </w:rPr>
  </w:style>
  <w:style w:type="paragraph" w:customStyle="1" w:styleId="BulletsLast">
    <w:name w:val="BulletsLast"/>
    <w:basedOn w:val="Bullets"/>
    <w:rsid w:val="006626E4"/>
    <w:pPr>
      <w:spacing w:after="180"/>
    </w:pPr>
  </w:style>
  <w:style w:type="paragraph" w:customStyle="1" w:styleId="Bullets">
    <w:name w:val="Bullets"/>
    <w:basedOn w:val="BodyText"/>
    <w:link w:val="BulletsChar"/>
    <w:uiPriority w:val="99"/>
    <w:qFormat/>
    <w:rsid w:val="006626E4"/>
    <w:pPr>
      <w:numPr>
        <w:numId w:val="70"/>
      </w:numPr>
      <w:spacing w:after="120"/>
    </w:pPr>
    <w:rPr>
      <w:lang w:val="en-US" w:eastAsia="en-US"/>
    </w:rPr>
  </w:style>
  <w:style w:type="character" w:customStyle="1" w:styleId="BulletsChar">
    <w:name w:val="Bullets Char"/>
    <w:link w:val="Bullets"/>
    <w:locked/>
    <w:rsid w:val="006626E4"/>
    <w:rPr>
      <w:rFonts w:ascii="Times New Roman" w:eastAsia="Times New Roman" w:hAnsi="Times New Roman"/>
      <w:szCs w:val="20"/>
    </w:rPr>
  </w:style>
  <w:style w:type="table" w:customStyle="1" w:styleId="TableGrid2">
    <w:name w:val="Table Grid2"/>
    <w:basedOn w:val="TableNormal"/>
    <w:next w:val="TableGrid"/>
    <w:uiPriority w:val="59"/>
    <w:rsid w:val="00A865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5311">
      <w:bodyDiv w:val="1"/>
      <w:marLeft w:val="0"/>
      <w:marRight w:val="0"/>
      <w:marTop w:val="0"/>
      <w:marBottom w:val="0"/>
      <w:divBdr>
        <w:top w:val="none" w:sz="0" w:space="0" w:color="auto"/>
        <w:left w:val="none" w:sz="0" w:space="0" w:color="auto"/>
        <w:bottom w:val="none" w:sz="0" w:space="0" w:color="auto"/>
        <w:right w:val="none" w:sz="0" w:space="0" w:color="auto"/>
      </w:divBdr>
    </w:div>
    <w:div w:id="150175609">
      <w:bodyDiv w:val="1"/>
      <w:marLeft w:val="0"/>
      <w:marRight w:val="0"/>
      <w:marTop w:val="0"/>
      <w:marBottom w:val="0"/>
      <w:divBdr>
        <w:top w:val="none" w:sz="0" w:space="0" w:color="auto"/>
        <w:left w:val="none" w:sz="0" w:space="0" w:color="auto"/>
        <w:bottom w:val="none" w:sz="0" w:space="0" w:color="auto"/>
        <w:right w:val="none" w:sz="0" w:space="0" w:color="auto"/>
      </w:divBdr>
    </w:div>
    <w:div w:id="160659153">
      <w:bodyDiv w:val="1"/>
      <w:marLeft w:val="0"/>
      <w:marRight w:val="0"/>
      <w:marTop w:val="0"/>
      <w:marBottom w:val="0"/>
      <w:divBdr>
        <w:top w:val="none" w:sz="0" w:space="0" w:color="auto"/>
        <w:left w:val="none" w:sz="0" w:space="0" w:color="auto"/>
        <w:bottom w:val="none" w:sz="0" w:space="0" w:color="auto"/>
        <w:right w:val="none" w:sz="0" w:space="0" w:color="auto"/>
      </w:divBdr>
    </w:div>
    <w:div w:id="222370980">
      <w:bodyDiv w:val="1"/>
      <w:marLeft w:val="0"/>
      <w:marRight w:val="0"/>
      <w:marTop w:val="0"/>
      <w:marBottom w:val="0"/>
      <w:divBdr>
        <w:top w:val="none" w:sz="0" w:space="0" w:color="auto"/>
        <w:left w:val="none" w:sz="0" w:space="0" w:color="auto"/>
        <w:bottom w:val="none" w:sz="0" w:space="0" w:color="auto"/>
        <w:right w:val="none" w:sz="0" w:space="0" w:color="auto"/>
      </w:divBdr>
    </w:div>
    <w:div w:id="281378311">
      <w:bodyDiv w:val="1"/>
      <w:marLeft w:val="0"/>
      <w:marRight w:val="0"/>
      <w:marTop w:val="0"/>
      <w:marBottom w:val="0"/>
      <w:divBdr>
        <w:top w:val="none" w:sz="0" w:space="0" w:color="auto"/>
        <w:left w:val="none" w:sz="0" w:space="0" w:color="auto"/>
        <w:bottom w:val="none" w:sz="0" w:space="0" w:color="auto"/>
        <w:right w:val="none" w:sz="0" w:space="0" w:color="auto"/>
      </w:divBdr>
    </w:div>
    <w:div w:id="331758089">
      <w:bodyDiv w:val="1"/>
      <w:marLeft w:val="0"/>
      <w:marRight w:val="0"/>
      <w:marTop w:val="0"/>
      <w:marBottom w:val="0"/>
      <w:divBdr>
        <w:top w:val="none" w:sz="0" w:space="0" w:color="auto"/>
        <w:left w:val="none" w:sz="0" w:space="0" w:color="auto"/>
        <w:bottom w:val="none" w:sz="0" w:space="0" w:color="auto"/>
        <w:right w:val="none" w:sz="0" w:space="0" w:color="auto"/>
      </w:divBdr>
    </w:div>
    <w:div w:id="481196879">
      <w:bodyDiv w:val="1"/>
      <w:marLeft w:val="0"/>
      <w:marRight w:val="0"/>
      <w:marTop w:val="0"/>
      <w:marBottom w:val="0"/>
      <w:divBdr>
        <w:top w:val="none" w:sz="0" w:space="0" w:color="auto"/>
        <w:left w:val="none" w:sz="0" w:space="0" w:color="auto"/>
        <w:bottom w:val="none" w:sz="0" w:space="0" w:color="auto"/>
        <w:right w:val="none" w:sz="0" w:space="0" w:color="auto"/>
      </w:divBdr>
    </w:div>
    <w:div w:id="585379227">
      <w:bodyDiv w:val="1"/>
      <w:marLeft w:val="0"/>
      <w:marRight w:val="0"/>
      <w:marTop w:val="0"/>
      <w:marBottom w:val="0"/>
      <w:divBdr>
        <w:top w:val="none" w:sz="0" w:space="0" w:color="auto"/>
        <w:left w:val="none" w:sz="0" w:space="0" w:color="auto"/>
        <w:bottom w:val="none" w:sz="0" w:space="0" w:color="auto"/>
        <w:right w:val="none" w:sz="0" w:space="0" w:color="auto"/>
      </w:divBdr>
    </w:div>
    <w:div w:id="632255565">
      <w:bodyDiv w:val="1"/>
      <w:marLeft w:val="0"/>
      <w:marRight w:val="0"/>
      <w:marTop w:val="0"/>
      <w:marBottom w:val="0"/>
      <w:divBdr>
        <w:top w:val="none" w:sz="0" w:space="0" w:color="auto"/>
        <w:left w:val="none" w:sz="0" w:space="0" w:color="auto"/>
        <w:bottom w:val="none" w:sz="0" w:space="0" w:color="auto"/>
        <w:right w:val="none" w:sz="0" w:space="0" w:color="auto"/>
      </w:divBdr>
    </w:div>
    <w:div w:id="869150572">
      <w:bodyDiv w:val="1"/>
      <w:marLeft w:val="0"/>
      <w:marRight w:val="0"/>
      <w:marTop w:val="0"/>
      <w:marBottom w:val="0"/>
      <w:divBdr>
        <w:top w:val="none" w:sz="0" w:space="0" w:color="auto"/>
        <w:left w:val="none" w:sz="0" w:space="0" w:color="auto"/>
        <w:bottom w:val="none" w:sz="0" w:space="0" w:color="auto"/>
        <w:right w:val="none" w:sz="0" w:space="0" w:color="auto"/>
      </w:divBdr>
    </w:div>
    <w:div w:id="891187429">
      <w:bodyDiv w:val="1"/>
      <w:marLeft w:val="0"/>
      <w:marRight w:val="0"/>
      <w:marTop w:val="0"/>
      <w:marBottom w:val="0"/>
      <w:divBdr>
        <w:top w:val="none" w:sz="0" w:space="0" w:color="auto"/>
        <w:left w:val="none" w:sz="0" w:space="0" w:color="auto"/>
        <w:bottom w:val="none" w:sz="0" w:space="0" w:color="auto"/>
        <w:right w:val="none" w:sz="0" w:space="0" w:color="auto"/>
      </w:divBdr>
    </w:div>
    <w:div w:id="950016877">
      <w:bodyDiv w:val="1"/>
      <w:marLeft w:val="0"/>
      <w:marRight w:val="0"/>
      <w:marTop w:val="0"/>
      <w:marBottom w:val="0"/>
      <w:divBdr>
        <w:top w:val="none" w:sz="0" w:space="0" w:color="auto"/>
        <w:left w:val="none" w:sz="0" w:space="0" w:color="auto"/>
        <w:bottom w:val="none" w:sz="0" w:space="0" w:color="auto"/>
        <w:right w:val="none" w:sz="0" w:space="0" w:color="auto"/>
      </w:divBdr>
    </w:div>
    <w:div w:id="1190023742">
      <w:bodyDiv w:val="1"/>
      <w:marLeft w:val="0"/>
      <w:marRight w:val="0"/>
      <w:marTop w:val="0"/>
      <w:marBottom w:val="0"/>
      <w:divBdr>
        <w:top w:val="none" w:sz="0" w:space="0" w:color="auto"/>
        <w:left w:val="none" w:sz="0" w:space="0" w:color="auto"/>
        <w:bottom w:val="none" w:sz="0" w:space="0" w:color="auto"/>
        <w:right w:val="none" w:sz="0" w:space="0" w:color="auto"/>
      </w:divBdr>
    </w:div>
    <w:div w:id="1217618064">
      <w:bodyDiv w:val="1"/>
      <w:marLeft w:val="0"/>
      <w:marRight w:val="0"/>
      <w:marTop w:val="0"/>
      <w:marBottom w:val="0"/>
      <w:divBdr>
        <w:top w:val="none" w:sz="0" w:space="0" w:color="auto"/>
        <w:left w:val="none" w:sz="0" w:space="0" w:color="auto"/>
        <w:bottom w:val="none" w:sz="0" w:space="0" w:color="auto"/>
        <w:right w:val="none" w:sz="0" w:space="0" w:color="auto"/>
      </w:divBdr>
    </w:div>
    <w:div w:id="1229263964">
      <w:bodyDiv w:val="1"/>
      <w:marLeft w:val="0"/>
      <w:marRight w:val="0"/>
      <w:marTop w:val="0"/>
      <w:marBottom w:val="0"/>
      <w:divBdr>
        <w:top w:val="none" w:sz="0" w:space="0" w:color="auto"/>
        <w:left w:val="none" w:sz="0" w:space="0" w:color="auto"/>
        <w:bottom w:val="none" w:sz="0" w:space="0" w:color="auto"/>
        <w:right w:val="none" w:sz="0" w:space="0" w:color="auto"/>
      </w:divBdr>
    </w:div>
    <w:div w:id="1240824224">
      <w:bodyDiv w:val="1"/>
      <w:marLeft w:val="0"/>
      <w:marRight w:val="0"/>
      <w:marTop w:val="0"/>
      <w:marBottom w:val="0"/>
      <w:divBdr>
        <w:top w:val="none" w:sz="0" w:space="0" w:color="auto"/>
        <w:left w:val="none" w:sz="0" w:space="0" w:color="auto"/>
        <w:bottom w:val="none" w:sz="0" w:space="0" w:color="auto"/>
        <w:right w:val="none" w:sz="0" w:space="0" w:color="auto"/>
      </w:divBdr>
    </w:div>
    <w:div w:id="1250847459">
      <w:bodyDiv w:val="1"/>
      <w:marLeft w:val="0"/>
      <w:marRight w:val="0"/>
      <w:marTop w:val="0"/>
      <w:marBottom w:val="0"/>
      <w:divBdr>
        <w:top w:val="none" w:sz="0" w:space="0" w:color="auto"/>
        <w:left w:val="none" w:sz="0" w:space="0" w:color="auto"/>
        <w:bottom w:val="none" w:sz="0" w:space="0" w:color="auto"/>
        <w:right w:val="none" w:sz="0" w:space="0" w:color="auto"/>
      </w:divBdr>
    </w:div>
    <w:div w:id="1323314410">
      <w:bodyDiv w:val="1"/>
      <w:marLeft w:val="0"/>
      <w:marRight w:val="0"/>
      <w:marTop w:val="0"/>
      <w:marBottom w:val="0"/>
      <w:divBdr>
        <w:top w:val="none" w:sz="0" w:space="0" w:color="auto"/>
        <w:left w:val="none" w:sz="0" w:space="0" w:color="auto"/>
        <w:bottom w:val="none" w:sz="0" w:space="0" w:color="auto"/>
        <w:right w:val="none" w:sz="0" w:space="0" w:color="auto"/>
      </w:divBdr>
    </w:div>
    <w:div w:id="1389835772">
      <w:bodyDiv w:val="1"/>
      <w:marLeft w:val="0"/>
      <w:marRight w:val="0"/>
      <w:marTop w:val="0"/>
      <w:marBottom w:val="0"/>
      <w:divBdr>
        <w:top w:val="none" w:sz="0" w:space="0" w:color="auto"/>
        <w:left w:val="none" w:sz="0" w:space="0" w:color="auto"/>
        <w:bottom w:val="none" w:sz="0" w:space="0" w:color="auto"/>
        <w:right w:val="none" w:sz="0" w:space="0" w:color="auto"/>
      </w:divBdr>
    </w:div>
    <w:div w:id="1402675986">
      <w:bodyDiv w:val="1"/>
      <w:marLeft w:val="0"/>
      <w:marRight w:val="0"/>
      <w:marTop w:val="0"/>
      <w:marBottom w:val="0"/>
      <w:divBdr>
        <w:top w:val="none" w:sz="0" w:space="0" w:color="auto"/>
        <w:left w:val="none" w:sz="0" w:space="0" w:color="auto"/>
        <w:bottom w:val="none" w:sz="0" w:space="0" w:color="auto"/>
        <w:right w:val="none" w:sz="0" w:space="0" w:color="auto"/>
      </w:divBdr>
    </w:div>
    <w:div w:id="1554393021">
      <w:bodyDiv w:val="1"/>
      <w:marLeft w:val="0"/>
      <w:marRight w:val="0"/>
      <w:marTop w:val="0"/>
      <w:marBottom w:val="0"/>
      <w:divBdr>
        <w:top w:val="none" w:sz="0" w:space="0" w:color="auto"/>
        <w:left w:val="none" w:sz="0" w:space="0" w:color="auto"/>
        <w:bottom w:val="none" w:sz="0" w:space="0" w:color="auto"/>
        <w:right w:val="none" w:sz="0" w:space="0" w:color="auto"/>
      </w:divBdr>
    </w:div>
    <w:div w:id="1601403731">
      <w:bodyDiv w:val="1"/>
      <w:marLeft w:val="0"/>
      <w:marRight w:val="0"/>
      <w:marTop w:val="0"/>
      <w:marBottom w:val="0"/>
      <w:divBdr>
        <w:top w:val="none" w:sz="0" w:space="0" w:color="auto"/>
        <w:left w:val="none" w:sz="0" w:space="0" w:color="auto"/>
        <w:bottom w:val="none" w:sz="0" w:space="0" w:color="auto"/>
        <w:right w:val="none" w:sz="0" w:space="0" w:color="auto"/>
      </w:divBdr>
    </w:div>
    <w:div w:id="1626809800">
      <w:bodyDiv w:val="1"/>
      <w:marLeft w:val="0"/>
      <w:marRight w:val="0"/>
      <w:marTop w:val="0"/>
      <w:marBottom w:val="0"/>
      <w:divBdr>
        <w:top w:val="none" w:sz="0" w:space="0" w:color="auto"/>
        <w:left w:val="none" w:sz="0" w:space="0" w:color="auto"/>
        <w:bottom w:val="none" w:sz="0" w:space="0" w:color="auto"/>
        <w:right w:val="none" w:sz="0" w:space="0" w:color="auto"/>
      </w:divBdr>
    </w:div>
    <w:div w:id="1639798498">
      <w:bodyDiv w:val="1"/>
      <w:marLeft w:val="0"/>
      <w:marRight w:val="0"/>
      <w:marTop w:val="0"/>
      <w:marBottom w:val="0"/>
      <w:divBdr>
        <w:top w:val="none" w:sz="0" w:space="0" w:color="auto"/>
        <w:left w:val="none" w:sz="0" w:space="0" w:color="auto"/>
        <w:bottom w:val="none" w:sz="0" w:space="0" w:color="auto"/>
        <w:right w:val="none" w:sz="0" w:space="0" w:color="auto"/>
      </w:divBdr>
    </w:div>
    <w:div w:id="1661226025">
      <w:bodyDiv w:val="1"/>
      <w:marLeft w:val="0"/>
      <w:marRight w:val="0"/>
      <w:marTop w:val="0"/>
      <w:marBottom w:val="0"/>
      <w:divBdr>
        <w:top w:val="none" w:sz="0" w:space="0" w:color="auto"/>
        <w:left w:val="none" w:sz="0" w:space="0" w:color="auto"/>
        <w:bottom w:val="none" w:sz="0" w:space="0" w:color="auto"/>
        <w:right w:val="none" w:sz="0" w:space="0" w:color="auto"/>
      </w:divBdr>
    </w:div>
    <w:div w:id="1683047184">
      <w:bodyDiv w:val="1"/>
      <w:marLeft w:val="0"/>
      <w:marRight w:val="0"/>
      <w:marTop w:val="0"/>
      <w:marBottom w:val="0"/>
      <w:divBdr>
        <w:top w:val="none" w:sz="0" w:space="0" w:color="auto"/>
        <w:left w:val="none" w:sz="0" w:space="0" w:color="auto"/>
        <w:bottom w:val="none" w:sz="0" w:space="0" w:color="auto"/>
        <w:right w:val="none" w:sz="0" w:space="0" w:color="auto"/>
      </w:divBdr>
    </w:div>
    <w:div w:id="1924561647">
      <w:bodyDiv w:val="1"/>
      <w:marLeft w:val="0"/>
      <w:marRight w:val="0"/>
      <w:marTop w:val="0"/>
      <w:marBottom w:val="0"/>
      <w:divBdr>
        <w:top w:val="none" w:sz="0" w:space="0" w:color="auto"/>
        <w:left w:val="none" w:sz="0" w:space="0" w:color="auto"/>
        <w:bottom w:val="none" w:sz="0" w:space="0" w:color="auto"/>
        <w:right w:val="none" w:sz="0" w:space="0" w:color="auto"/>
      </w:divBdr>
    </w:div>
    <w:div w:id="1963266812">
      <w:bodyDiv w:val="1"/>
      <w:marLeft w:val="0"/>
      <w:marRight w:val="0"/>
      <w:marTop w:val="0"/>
      <w:marBottom w:val="0"/>
      <w:divBdr>
        <w:top w:val="none" w:sz="0" w:space="0" w:color="auto"/>
        <w:left w:val="none" w:sz="0" w:space="0" w:color="auto"/>
        <w:bottom w:val="none" w:sz="0" w:space="0" w:color="auto"/>
        <w:right w:val="none" w:sz="0" w:space="0" w:color="auto"/>
      </w:divBdr>
    </w:div>
    <w:div w:id="1993214691">
      <w:bodyDiv w:val="1"/>
      <w:marLeft w:val="0"/>
      <w:marRight w:val="0"/>
      <w:marTop w:val="0"/>
      <w:marBottom w:val="0"/>
      <w:divBdr>
        <w:top w:val="none" w:sz="0" w:space="0" w:color="auto"/>
        <w:left w:val="none" w:sz="0" w:space="0" w:color="auto"/>
        <w:bottom w:val="none" w:sz="0" w:space="0" w:color="auto"/>
        <w:right w:val="none" w:sz="0" w:space="0" w:color="auto"/>
      </w:divBdr>
    </w:div>
    <w:div w:id="2043556578">
      <w:bodyDiv w:val="1"/>
      <w:marLeft w:val="0"/>
      <w:marRight w:val="0"/>
      <w:marTop w:val="0"/>
      <w:marBottom w:val="0"/>
      <w:divBdr>
        <w:top w:val="none" w:sz="0" w:space="0" w:color="auto"/>
        <w:left w:val="none" w:sz="0" w:space="0" w:color="auto"/>
        <w:bottom w:val="none" w:sz="0" w:space="0" w:color="auto"/>
        <w:right w:val="none" w:sz="0" w:space="0" w:color="auto"/>
      </w:divBdr>
    </w:div>
    <w:div w:id="21458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stru.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036F-E361-470D-8140-D006945B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2018-11-28T18:58:00Z</dcterms:created>
  <dcterms:modified xsi:type="dcterms:W3CDTF">2018-11-28T18:58:00Z</dcterms:modified>
</cp:coreProperties>
</file>