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5006"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4917C65A" w14:textId="77777777" w:rsidR="00D13613"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FERC-80, FERC-500, and </w:t>
      </w:r>
      <w:r w:rsidR="009C7F55" w:rsidRPr="00F1537F">
        <w:rPr>
          <w:rFonts w:ascii="Times New Roman" w:hAnsi="Times New Roman"/>
          <w:b/>
          <w:sz w:val="24"/>
          <w:szCs w:val="24"/>
        </w:rPr>
        <w:t>FERC-505</w:t>
      </w:r>
      <w:r>
        <w:rPr>
          <w:rFonts w:ascii="Times New Roman" w:hAnsi="Times New Roman"/>
          <w:b/>
          <w:sz w:val="24"/>
          <w:szCs w:val="24"/>
        </w:rPr>
        <w:t>,</w:t>
      </w:r>
      <w:r w:rsidR="00F0627E" w:rsidRPr="00F1537F">
        <w:rPr>
          <w:rStyle w:val="FootnoteReference"/>
          <w:rFonts w:ascii="Times New Roman" w:hAnsi="Times New Roman"/>
          <w:b/>
          <w:sz w:val="24"/>
          <w:szCs w:val="24"/>
          <w:vertAlign w:val="superscript"/>
        </w:rPr>
        <w:footnoteReference w:id="1"/>
      </w:r>
      <w:r w:rsidR="009C7F55" w:rsidRPr="00F1537F">
        <w:rPr>
          <w:rFonts w:ascii="Times New Roman" w:hAnsi="Times New Roman"/>
          <w:b/>
          <w:sz w:val="24"/>
          <w:szCs w:val="24"/>
        </w:rPr>
        <w:t xml:space="preserve"> </w:t>
      </w:r>
    </w:p>
    <w:p w14:paraId="3021522C" w14:textId="77777777" w:rsidR="009C7F55" w:rsidRPr="00F1537F" w:rsidRDefault="00D13613" w:rsidP="007445A8">
      <w:pPr>
        <w:spacing w:after="0" w:line="240" w:lineRule="auto"/>
        <w:jc w:val="center"/>
        <w:rPr>
          <w:rFonts w:ascii="Times New Roman" w:hAnsi="Times New Roman"/>
          <w:sz w:val="24"/>
          <w:szCs w:val="24"/>
        </w:rPr>
      </w:pPr>
      <w:r>
        <w:rPr>
          <w:rFonts w:ascii="Times New Roman" w:hAnsi="Times New Roman"/>
          <w:b/>
          <w:sz w:val="24"/>
          <w:szCs w:val="24"/>
        </w:rPr>
        <w:t>Modifications Proposed in NOPR in Docket No. RM18-14</w:t>
      </w:r>
    </w:p>
    <w:p w14:paraId="095A35E8" w14:textId="77777777" w:rsidR="001263E8" w:rsidRPr="00F1537F" w:rsidRDefault="001263E8" w:rsidP="00D13613">
      <w:pPr>
        <w:spacing w:after="0" w:line="240" w:lineRule="auto"/>
        <w:rPr>
          <w:rFonts w:ascii="Times New Roman" w:hAnsi="Times New Roman"/>
          <w:b/>
          <w:sz w:val="24"/>
          <w:szCs w:val="24"/>
        </w:rPr>
      </w:pPr>
    </w:p>
    <w:p w14:paraId="64D2C98A" w14:textId="0D9A7CBB" w:rsidR="00EB790F" w:rsidRDefault="009C7F55" w:rsidP="007445A8">
      <w:pPr>
        <w:spacing w:line="240" w:lineRule="auto"/>
        <w:rPr>
          <w:rFonts w:ascii="Times New Roman" w:hAnsi="Times New Roman"/>
          <w:sz w:val="24"/>
          <w:szCs w:val="24"/>
        </w:rPr>
      </w:pPr>
      <w:r w:rsidRPr="00F1537F">
        <w:rPr>
          <w:rFonts w:ascii="Times New Roman" w:hAnsi="Times New Roman"/>
          <w:sz w:val="24"/>
          <w:szCs w:val="24"/>
        </w:rPr>
        <w:t>The Federal Energy Regulatory Commission (</w:t>
      </w:r>
      <w:r w:rsidR="00D13613" w:rsidRPr="00F1537F">
        <w:rPr>
          <w:rFonts w:ascii="Times New Roman" w:hAnsi="Times New Roman"/>
          <w:sz w:val="24"/>
          <w:szCs w:val="24"/>
        </w:rPr>
        <w:t xml:space="preserve">Commission </w:t>
      </w:r>
      <w:r w:rsidR="00D13613">
        <w:rPr>
          <w:rFonts w:ascii="Times New Roman" w:hAnsi="Times New Roman"/>
          <w:sz w:val="24"/>
          <w:szCs w:val="24"/>
        </w:rPr>
        <w:t xml:space="preserve">or </w:t>
      </w:r>
      <w:r w:rsidRPr="00F1537F">
        <w:rPr>
          <w:rFonts w:ascii="Times New Roman" w:hAnsi="Times New Roman"/>
          <w:sz w:val="24"/>
          <w:szCs w:val="24"/>
        </w:rPr>
        <w:t>FERC) requests the Office of Management and Budget (OMB) approv</w:t>
      </w:r>
      <w:r w:rsidR="00EB790F">
        <w:rPr>
          <w:rFonts w:ascii="Times New Roman" w:hAnsi="Times New Roman"/>
          <w:sz w:val="24"/>
          <w:szCs w:val="24"/>
        </w:rPr>
        <w:t>e</w:t>
      </w:r>
      <w:r w:rsidRPr="00F1537F">
        <w:rPr>
          <w:rFonts w:ascii="Times New Roman" w:hAnsi="Times New Roman"/>
          <w:sz w:val="24"/>
          <w:szCs w:val="24"/>
        </w:rPr>
        <w:t xml:space="preserve"> </w:t>
      </w:r>
      <w:r w:rsidR="00EB790F">
        <w:rPr>
          <w:rFonts w:ascii="Times New Roman" w:hAnsi="Times New Roman"/>
          <w:sz w:val="24"/>
          <w:szCs w:val="24"/>
        </w:rPr>
        <w:t>the modifications proposed in the Notice of Proposed Rulemaking (NOPR) in Docket No. RM18-14.</w:t>
      </w:r>
      <w:r w:rsidR="006E159B" w:rsidRPr="00F84151">
        <w:rPr>
          <w:rStyle w:val="FootnoteReference"/>
          <w:rFonts w:ascii="Times New Roman" w:hAnsi="Times New Roman"/>
          <w:sz w:val="24"/>
          <w:szCs w:val="24"/>
          <w:vertAlign w:val="superscript"/>
        </w:rPr>
        <w:footnoteReference w:id="2"/>
      </w:r>
      <w:r w:rsidR="00EB790F">
        <w:rPr>
          <w:rFonts w:ascii="Times New Roman" w:hAnsi="Times New Roman"/>
          <w:sz w:val="24"/>
          <w:szCs w:val="24"/>
        </w:rPr>
        <w:t xml:space="preserve">  The NOPR proposes changes</w:t>
      </w:r>
      <w:r w:rsidR="006241F8">
        <w:rPr>
          <w:rFonts w:ascii="Times New Roman" w:hAnsi="Times New Roman"/>
          <w:sz w:val="24"/>
          <w:szCs w:val="24"/>
        </w:rPr>
        <w:t>, as follows</w:t>
      </w:r>
      <w:r w:rsidR="00EB790F">
        <w:rPr>
          <w:rFonts w:ascii="Times New Roman" w:hAnsi="Times New Roman"/>
          <w:sz w:val="24"/>
          <w:szCs w:val="24"/>
        </w:rPr>
        <w:t>:</w:t>
      </w:r>
      <w:r w:rsidR="00AB7D6C">
        <w:rPr>
          <w:rFonts w:ascii="Times New Roman" w:hAnsi="Times New Roman"/>
          <w:sz w:val="24"/>
          <w:szCs w:val="24"/>
        </w:rPr>
        <w:t xml:space="preserve"> </w:t>
      </w:r>
    </w:p>
    <w:p w14:paraId="058A9F2F" w14:textId="77777777" w:rsidR="00F2523E" w:rsidRDefault="00F2523E" w:rsidP="002953E1">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proposed for deletion</w:t>
      </w:r>
      <w:r w:rsidRPr="002953E1">
        <w:rPr>
          <w:rFonts w:ascii="Times New Roman" w:hAnsi="Times New Roman"/>
          <w:sz w:val="24"/>
          <w:szCs w:val="24"/>
        </w:rPr>
        <w:t xml:space="preserve"> </w:t>
      </w:r>
    </w:p>
    <w:p w14:paraId="32097EB4" w14:textId="189251BD" w:rsidR="002953E1" w:rsidRDefault="002953E1"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 Form 80</w:t>
      </w:r>
      <w:r w:rsidR="00EA483D" w:rsidRPr="001968EA">
        <w:rPr>
          <w:rStyle w:val="FootnoteReference"/>
          <w:rFonts w:ascii="Times New Roman" w:hAnsi="Times New Roman"/>
          <w:sz w:val="24"/>
          <w:szCs w:val="24"/>
          <w:vertAlign w:val="superscript"/>
        </w:rPr>
        <w:footnoteReference w:id="3"/>
      </w:r>
      <w:r w:rsidRPr="002953E1">
        <w:rPr>
          <w:rFonts w:ascii="Times New Roman" w:hAnsi="Times New Roman"/>
          <w:sz w:val="24"/>
          <w:szCs w:val="24"/>
        </w:rPr>
        <w:t>, Licensed Hydropower Development Recreation Report</w:t>
      </w:r>
    </w:p>
    <w:p w14:paraId="314E94CF" w14:textId="77777777" w:rsidR="00F2523E" w:rsidRDefault="00F2523E" w:rsidP="00ED6497">
      <w:pPr>
        <w:pStyle w:val="ListParagraph"/>
        <w:numPr>
          <w:ilvl w:val="0"/>
          <w:numId w:val="15"/>
        </w:numPr>
        <w:spacing w:line="240" w:lineRule="auto"/>
        <w:rPr>
          <w:rFonts w:ascii="Times New Roman" w:hAnsi="Times New Roman"/>
          <w:sz w:val="24"/>
          <w:szCs w:val="24"/>
        </w:rPr>
      </w:pPr>
      <w:r w:rsidRPr="002953E1">
        <w:rPr>
          <w:rFonts w:ascii="Times New Roman" w:hAnsi="Times New Roman"/>
          <w:sz w:val="24"/>
          <w:szCs w:val="24"/>
        </w:rPr>
        <w:t>proposed for modification</w:t>
      </w:r>
    </w:p>
    <w:p w14:paraId="2EAFA5BD" w14:textId="77777777" w:rsidR="002953E1" w:rsidRPr="002953E1" w:rsidRDefault="002953E1"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FERC-500, Application for License/Relicense for Water Projects with More than 5 Megawatt Capacity</w:t>
      </w:r>
    </w:p>
    <w:p w14:paraId="237603A7" w14:textId="77777777" w:rsidR="002953E1" w:rsidRDefault="009C7F55"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FERC-505, Small Hydropower Projects and Conduit Facilities including License/Relicense, Exemption, and Qualifying Conduit Facility Determination</w:t>
      </w:r>
      <w:r w:rsidR="00F2523E">
        <w:rPr>
          <w:rFonts w:ascii="Times New Roman" w:hAnsi="Times New Roman"/>
          <w:sz w:val="24"/>
          <w:szCs w:val="24"/>
        </w:rPr>
        <w:t>.</w:t>
      </w:r>
    </w:p>
    <w:p w14:paraId="0176D5CB" w14:textId="77777777" w:rsidR="002953E1" w:rsidRDefault="002953E1" w:rsidP="002953E1">
      <w:pPr>
        <w:pStyle w:val="ListParagraph"/>
        <w:spacing w:line="240" w:lineRule="auto"/>
        <w:ind w:left="0"/>
        <w:rPr>
          <w:rFonts w:ascii="Times New Roman" w:hAnsi="Times New Roman"/>
          <w:sz w:val="24"/>
          <w:szCs w:val="24"/>
        </w:rPr>
      </w:pPr>
    </w:p>
    <w:p w14:paraId="46F48218" w14:textId="77777777" w:rsidR="002953E1" w:rsidRDefault="002953E1" w:rsidP="002953E1">
      <w:pPr>
        <w:pStyle w:val="ListParagraph"/>
        <w:spacing w:line="240" w:lineRule="auto"/>
        <w:ind w:left="0"/>
        <w:rPr>
          <w:rFonts w:ascii="Times New Roman" w:hAnsi="Times New Roman"/>
          <w:sz w:val="24"/>
          <w:szCs w:val="24"/>
        </w:rPr>
      </w:pPr>
      <w:r>
        <w:rPr>
          <w:rFonts w:ascii="Times New Roman" w:hAnsi="Times New Roman"/>
          <w:sz w:val="24"/>
          <w:szCs w:val="24"/>
        </w:rPr>
        <w:t>This consolidated supporting statement addresses th</w:t>
      </w:r>
      <w:r w:rsidR="00F2523E">
        <w:rPr>
          <w:rFonts w:ascii="Times New Roman" w:hAnsi="Times New Roman"/>
          <w:sz w:val="24"/>
          <w:szCs w:val="24"/>
        </w:rPr>
        <w:t>os</w:t>
      </w:r>
      <w:r>
        <w:rPr>
          <w:rFonts w:ascii="Times New Roman" w:hAnsi="Times New Roman"/>
          <w:sz w:val="24"/>
          <w:szCs w:val="24"/>
        </w:rPr>
        <w:t xml:space="preserve">e </w:t>
      </w:r>
      <w:r w:rsidR="00D13613">
        <w:rPr>
          <w:rFonts w:ascii="Times New Roman" w:hAnsi="Times New Roman"/>
          <w:sz w:val="24"/>
          <w:szCs w:val="24"/>
        </w:rPr>
        <w:t xml:space="preserve">proposed </w:t>
      </w:r>
      <w:r w:rsidR="00F2523E">
        <w:rPr>
          <w:rFonts w:ascii="Times New Roman" w:hAnsi="Times New Roman"/>
          <w:sz w:val="24"/>
          <w:szCs w:val="24"/>
        </w:rPr>
        <w:t>changes</w:t>
      </w:r>
      <w:r>
        <w:rPr>
          <w:rFonts w:ascii="Times New Roman" w:hAnsi="Times New Roman"/>
          <w:sz w:val="24"/>
          <w:szCs w:val="24"/>
        </w:rPr>
        <w:t>.</w:t>
      </w:r>
    </w:p>
    <w:p w14:paraId="2D2FB926" w14:textId="77777777" w:rsidR="002953E1" w:rsidRPr="002953E1" w:rsidRDefault="002953E1" w:rsidP="002953E1">
      <w:pPr>
        <w:pStyle w:val="ListParagraph"/>
        <w:spacing w:line="240" w:lineRule="auto"/>
        <w:ind w:left="0"/>
        <w:rPr>
          <w:rFonts w:ascii="Times New Roman" w:hAnsi="Times New Roman"/>
          <w:sz w:val="24"/>
          <w:szCs w:val="24"/>
        </w:rPr>
      </w:pPr>
    </w:p>
    <w:p w14:paraId="1ADEB15C" w14:textId="77777777" w:rsidR="009C7F55" w:rsidRPr="00EB790F" w:rsidRDefault="009C7F55" w:rsidP="002953E1">
      <w:pPr>
        <w:pStyle w:val="ListParagraph"/>
        <w:numPr>
          <w:ilvl w:val="0"/>
          <w:numId w:val="14"/>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6C46E5FE" w14:textId="77777777" w:rsidR="002953E1" w:rsidRDefault="002953E1" w:rsidP="007445A8">
      <w:pPr>
        <w:spacing w:after="0" w:line="240" w:lineRule="auto"/>
        <w:rPr>
          <w:rFonts w:ascii="Times New Roman" w:hAnsi="Times New Roman"/>
          <w:sz w:val="24"/>
          <w:szCs w:val="24"/>
        </w:rPr>
      </w:pPr>
    </w:p>
    <w:p w14:paraId="76F23DBA"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w:t>
      </w:r>
      <w:r w:rsidR="00D13613">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4"/>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4636FD89" w14:textId="77777777" w:rsidR="007E0D8A" w:rsidRPr="00F1537F" w:rsidRDefault="007E0D8A" w:rsidP="007445A8">
      <w:pPr>
        <w:spacing w:after="0" w:line="240" w:lineRule="auto"/>
        <w:rPr>
          <w:rFonts w:ascii="Times New Roman" w:hAnsi="Times New Roman"/>
          <w:sz w:val="24"/>
          <w:szCs w:val="24"/>
        </w:rPr>
      </w:pPr>
    </w:p>
    <w:p w14:paraId="46A93913"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ssue licenses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The Electric Consumers Protection Act (ECPA)</w:t>
      </w:r>
      <w:r w:rsidRPr="00F1537F">
        <w:rPr>
          <w:rStyle w:val="FootnoteReference"/>
          <w:rFonts w:ascii="Times New Roman" w:hAnsi="Times New Roman"/>
          <w:b/>
          <w:color w:val="000000"/>
          <w:sz w:val="24"/>
          <w:szCs w:val="24"/>
          <w:vertAlign w:val="superscript"/>
        </w:rPr>
        <w:footnoteReference w:id="5"/>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w:t>
      </w:r>
      <w:r w:rsidR="003E6B4D" w:rsidRPr="00F1537F">
        <w:rPr>
          <w:rFonts w:ascii="Times New Roman" w:hAnsi="Times New Roman"/>
          <w:color w:val="000000"/>
          <w:sz w:val="24"/>
          <w:szCs w:val="24"/>
        </w:rPr>
        <w:lastRenderedPageBreak/>
        <w:t xml:space="preserve">spawning grounds and habitat), the protection of recreational opportunities, and the preservation of other aspects of environmental quality.” </w:t>
      </w:r>
    </w:p>
    <w:p w14:paraId="64FF729B"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6"/>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36DC82F2" w14:textId="77777777" w:rsidR="006E5D79" w:rsidRDefault="006E5D79" w:rsidP="007445A8">
      <w:pPr>
        <w:spacing w:after="0" w:line="240" w:lineRule="auto"/>
        <w:rPr>
          <w:rFonts w:ascii="Times New Roman" w:hAnsi="Times New Roman"/>
          <w:sz w:val="24"/>
          <w:szCs w:val="24"/>
        </w:rPr>
      </w:pPr>
      <w:r w:rsidRPr="006E5D79">
        <w:rPr>
          <w:rFonts w:ascii="Times New Roman" w:hAnsi="Times New Roman"/>
          <w:sz w:val="24"/>
          <w:szCs w:val="24"/>
        </w:rPr>
        <w:t>The Commission requires all hydroelectric license applications to address a variety of environmental concerns.  Many of these concerns addr</w:t>
      </w:r>
      <w:r>
        <w:rPr>
          <w:rFonts w:ascii="Times New Roman" w:hAnsi="Times New Roman"/>
          <w:sz w:val="24"/>
          <w:szCs w:val="24"/>
        </w:rPr>
        <w:t xml:space="preserve">ess environmental requirements </w:t>
      </w:r>
      <w:r w:rsidRPr="006E5D79">
        <w:rPr>
          <w:rFonts w:ascii="Times New Roman" w:hAnsi="Times New Roman"/>
          <w:sz w:val="24"/>
          <w:szCs w:val="24"/>
        </w:rPr>
        <w:t>developed by federal and state resource agencies, including the U.S. Fish and Wildlife Service and National Marine Fisheries Service, and federal land management agencies, (such as the U.S. Forest Service), Bureau of Land Management, National Park Service, U.S. Army Corps of Engineers (depending on location of dam), Indian Tribes, State Departments of Natural Resources, and State Historic Preservation Officers.  The applicants must provide facts in order for the Commission to understand and resolve potential environmental problems associated with the application in the interests of the United States public.</w:t>
      </w:r>
    </w:p>
    <w:p w14:paraId="44984133" w14:textId="77777777" w:rsidR="006E5D79" w:rsidRDefault="006E5D79" w:rsidP="007445A8">
      <w:pPr>
        <w:spacing w:after="0" w:line="240" w:lineRule="auto"/>
        <w:rPr>
          <w:rFonts w:ascii="Times New Roman" w:eastAsia="Times New Roman" w:hAnsi="Times New Roman"/>
          <w:sz w:val="24"/>
          <w:szCs w:val="24"/>
        </w:rPr>
      </w:pPr>
    </w:p>
    <w:p w14:paraId="200A1FB7" w14:textId="2516AF44" w:rsidR="006E5D79" w:rsidRDefault="006E5D79" w:rsidP="007445A8">
      <w:pPr>
        <w:spacing w:after="0" w:line="240" w:lineRule="auto"/>
        <w:rPr>
          <w:rFonts w:ascii="Times New Roman" w:hAnsi="Times New Roman"/>
          <w:sz w:val="24"/>
          <w:szCs w:val="24"/>
        </w:rPr>
      </w:pPr>
      <w:r w:rsidRPr="006E5D79">
        <w:rPr>
          <w:rFonts w:ascii="Times New Roman" w:eastAsia="Times New Roman" w:hAnsi="Times New Roman"/>
          <w:sz w:val="24"/>
          <w:szCs w:val="24"/>
        </w:rPr>
        <w:t>Pursuant to the F</w:t>
      </w:r>
      <w:r w:rsidR="00F63B33">
        <w:rPr>
          <w:rFonts w:ascii="Times New Roman" w:eastAsia="Times New Roman" w:hAnsi="Times New Roman"/>
          <w:sz w:val="24"/>
          <w:szCs w:val="24"/>
        </w:rPr>
        <w:t>PA</w:t>
      </w:r>
      <w:r w:rsidRPr="006E5D79">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3F6F6F52" w14:textId="77777777" w:rsidR="006E5D79" w:rsidRDefault="006E5D79" w:rsidP="006E5D79">
      <w:pPr>
        <w:spacing w:after="0" w:line="240" w:lineRule="auto"/>
        <w:rPr>
          <w:rFonts w:ascii="Times New Roman" w:hAnsi="Times New Roman"/>
          <w:b/>
          <w:sz w:val="24"/>
          <w:szCs w:val="24"/>
        </w:rPr>
      </w:pPr>
    </w:p>
    <w:p w14:paraId="310E6D57" w14:textId="0D89ACB2" w:rsidR="006E5D79" w:rsidRPr="006E5D79" w:rsidRDefault="006E5D79" w:rsidP="006E5D79">
      <w:pPr>
        <w:spacing w:after="0" w:line="240" w:lineRule="auto"/>
        <w:rPr>
          <w:rFonts w:ascii="Times New Roman" w:eastAsia="Times New Roman" w:hAnsi="Times New Roman"/>
          <w:sz w:val="24"/>
          <w:szCs w:val="24"/>
        </w:rPr>
      </w:pPr>
      <w:r w:rsidRPr="006E5D79">
        <w:rPr>
          <w:rFonts w:ascii="Times New Roman" w:hAnsi="Times New Roman"/>
          <w:b/>
          <w:sz w:val="24"/>
          <w:szCs w:val="24"/>
        </w:rPr>
        <w:t xml:space="preserve">FERC-500.  </w:t>
      </w:r>
      <w:r w:rsidRPr="006E5D79">
        <w:rPr>
          <w:rFonts w:ascii="Times New Roman" w:eastAsia="Times New Roman" w:hAnsi="Times New Roman"/>
          <w:sz w:val="24"/>
          <w:szCs w:val="24"/>
        </w:rPr>
        <w:t xml:space="preserve">FERC-500 is an application for a hydropower </w:t>
      </w:r>
      <w:r w:rsidR="00D631E3">
        <w:rPr>
          <w:rFonts w:ascii="Times New Roman" w:eastAsia="Times New Roman" w:hAnsi="Times New Roman"/>
          <w:sz w:val="24"/>
          <w:szCs w:val="24"/>
        </w:rPr>
        <w:t xml:space="preserve">project </w:t>
      </w:r>
      <w:r w:rsidRPr="006E5D79">
        <w:rPr>
          <w:rFonts w:ascii="Times New Roman" w:eastAsia="Times New Roman" w:hAnsi="Times New Roman"/>
          <w:sz w:val="24"/>
          <w:szCs w:val="24"/>
        </w:rPr>
        <w:t xml:space="preserve">license/relicense or exemption </w:t>
      </w:r>
      <w:r w:rsidR="00D631E3" w:rsidRPr="00D631E3">
        <w:rPr>
          <w:rFonts w:ascii="Times New Roman" w:eastAsia="Times New Roman" w:hAnsi="Times New Roman"/>
          <w:sz w:val="24"/>
          <w:szCs w:val="24"/>
        </w:rPr>
        <w:t>for water power projects with more than 5 megawatts (MW) of installed capacity</w:t>
      </w:r>
      <w:r w:rsidR="00D631E3">
        <w:rPr>
          <w:rFonts w:ascii="Times New Roman" w:eastAsia="Times New Roman" w:hAnsi="Times New Roman"/>
          <w:sz w:val="24"/>
          <w:szCs w:val="24"/>
        </w:rPr>
        <w:t xml:space="preserve">.  FERC-500 information also includes </w:t>
      </w:r>
      <w:r w:rsidR="00725E44">
        <w:rPr>
          <w:rFonts w:ascii="Times New Roman" w:eastAsia="Times New Roman" w:hAnsi="Times New Roman"/>
          <w:sz w:val="24"/>
          <w:szCs w:val="24"/>
        </w:rPr>
        <w:t xml:space="preserve">related filing and reporting requirements, such as </w:t>
      </w:r>
      <w:r w:rsidR="00D631E3">
        <w:rPr>
          <w:rFonts w:ascii="Times New Roman" w:eastAsia="Times New Roman" w:hAnsi="Times New Roman"/>
          <w:sz w:val="24"/>
          <w:szCs w:val="24"/>
        </w:rPr>
        <w:t>the filing of</w:t>
      </w:r>
      <w:r w:rsidRPr="006E5D79">
        <w:rPr>
          <w:rFonts w:ascii="Times New Roman" w:eastAsia="Times New Roman" w:hAnsi="Times New Roman"/>
          <w:sz w:val="24"/>
          <w:szCs w:val="24"/>
        </w:rPr>
        <w:t xml:space="preserve"> </w:t>
      </w:r>
      <w:r w:rsidR="00D631E3" w:rsidRPr="006E5D79">
        <w:rPr>
          <w:rFonts w:ascii="Times New Roman" w:eastAsia="Times New Roman" w:hAnsi="Times New Roman"/>
          <w:sz w:val="24"/>
          <w:szCs w:val="24"/>
        </w:rPr>
        <w:t>annual conveyance report</w:t>
      </w:r>
      <w:r w:rsidR="00D631E3">
        <w:rPr>
          <w:rFonts w:ascii="Times New Roman" w:eastAsia="Times New Roman" w:hAnsi="Times New Roman"/>
          <w:sz w:val="24"/>
          <w:szCs w:val="24"/>
        </w:rPr>
        <w:t xml:space="preserve">s </w:t>
      </w:r>
      <w:r w:rsidR="00725E44">
        <w:rPr>
          <w:rFonts w:ascii="Times New Roman" w:eastAsia="Times New Roman" w:hAnsi="Times New Roman"/>
          <w:sz w:val="24"/>
          <w:szCs w:val="24"/>
        </w:rPr>
        <w:t xml:space="preserve">by licensees </w:t>
      </w:r>
      <w:r w:rsidR="00D631E3">
        <w:rPr>
          <w:rFonts w:ascii="Times New Roman" w:eastAsia="Times New Roman" w:hAnsi="Times New Roman"/>
          <w:sz w:val="24"/>
          <w:szCs w:val="24"/>
        </w:rPr>
        <w:t xml:space="preserve">under </w:t>
      </w:r>
      <w:r w:rsidR="00725E44">
        <w:rPr>
          <w:rFonts w:ascii="Times New Roman" w:eastAsia="Times New Roman" w:hAnsi="Times New Roman"/>
          <w:sz w:val="24"/>
          <w:szCs w:val="24"/>
        </w:rPr>
        <w:t>section</w:t>
      </w:r>
      <w:r w:rsidR="00D631E3">
        <w:rPr>
          <w:rFonts w:ascii="Times New Roman" w:eastAsia="Times New Roman" w:hAnsi="Times New Roman"/>
          <w:sz w:val="24"/>
          <w:szCs w:val="24"/>
        </w:rPr>
        <w:t xml:space="preserve"> 141.15</w:t>
      </w:r>
      <w:r w:rsidR="00725E44">
        <w:rPr>
          <w:rFonts w:ascii="Times New Roman" w:eastAsia="Times New Roman" w:hAnsi="Times New Roman"/>
          <w:sz w:val="24"/>
          <w:szCs w:val="24"/>
        </w:rPr>
        <w:t xml:space="preserve"> of the Commission’s regulations</w:t>
      </w:r>
      <w:r w:rsidR="003B49ED">
        <w:rPr>
          <w:rFonts w:ascii="Times New Roman" w:eastAsia="Times New Roman" w:hAnsi="Times New Roman"/>
          <w:sz w:val="24"/>
          <w:szCs w:val="24"/>
        </w:rPr>
        <w:t>,</w:t>
      </w:r>
      <w:r w:rsidR="00D631E3" w:rsidRPr="006E5D79">
        <w:rPr>
          <w:rFonts w:ascii="Times New Roman" w:eastAsia="Times New Roman" w:hAnsi="Times New Roman"/>
          <w:sz w:val="26"/>
          <w:szCs w:val="26"/>
          <w:vertAlign w:val="superscript"/>
        </w:rPr>
        <w:footnoteReference w:id="7"/>
      </w:r>
      <w:r w:rsidR="00D631E3">
        <w:rPr>
          <w:rFonts w:ascii="Times New Roman" w:eastAsia="Times New Roman" w:hAnsi="Times New Roman"/>
          <w:sz w:val="24"/>
          <w:szCs w:val="24"/>
        </w:rPr>
        <w:t xml:space="preserve"> </w:t>
      </w:r>
      <w:r w:rsidR="00725E44">
        <w:rPr>
          <w:rFonts w:ascii="Times New Roman" w:eastAsia="Times New Roman" w:hAnsi="Times New Roman"/>
          <w:sz w:val="24"/>
          <w:szCs w:val="24"/>
        </w:rPr>
        <w:t>and the filing of</w:t>
      </w:r>
      <w:r w:rsidR="00D631E3" w:rsidRPr="006E5D79">
        <w:rPr>
          <w:rFonts w:ascii="Times New Roman" w:eastAsia="Times New Roman" w:hAnsi="Times New Roman"/>
          <w:b/>
          <w:sz w:val="24"/>
          <w:szCs w:val="24"/>
        </w:rPr>
        <w:t xml:space="preserve"> </w:t>
      </w:r>
      <w:r w:rsidR="00D631E3" w:rsidRPr="006E5D79">
        <w:rPr>
          <w:rFonts w:ascii="Times New Roman" w:eastAsia="Times New Roman" w:hAnsi="Times New Roman"/>
          <w:sz w:val="24"/>
          <w:szCs w:val="24"/>
        </w:rPr>
        <w:t>comprehensive plans</w:t>
      </w:r>
      <w:r w:rsidR="00725E44">
        <w:rPr>
          <w:rFonts w:ascii="Times New Roman" w:eastAsia="Times New Roman" w:hAnsi="Times New Roman"/>
          <w:sz w:val="24"/>
          <w:szCs w:val="24"/>
        </w:rPr>
        <w:t xml:space="preserve"> in accordance with section 2.19</w:t>
      </w:r>
      <w:r w:rsidR="00D631E3" w:rsidRPr="006E5D79">
        <w:rPr>
          <w:rFonts w:ascii="Times New Roman" w:eastAsia="Times New Roman" w:hAnsi="Times New Roman"/>
          <w:sz w:val="24"/>
          <w:szCs w:val="24"/>
        </w:rPr>
        <w:t>.</w:t>
      </w:r>
      <w:r w:rsidR="00725E44" w:rsidRPr="006E5D79">
        <w:rPr>
          <w:rFonts w:ascii="Times New Roman" w:eastAsia="Times New Roman" w:hAnsi="Times New Roman"/>
          <w:sz w:val="26"/>
          <w:szCs w:val="26"/>
          <w:vertAlign w:val="superscript"/>
        </w:rPr>
        <w:footnoteReference w:id="8"/>
      </w:r>
      <w:r w:rsidR="00725E44">
        <w:rPr>
          <w:rFonts w:ascii="Times New Roman" w:eastAsia="Times New Roman" w:hAnsi="Times New Roman"/>
          <w:sz w:val="24"/>
          <w:szCs w:val="24"/>
        </w:rPr>
        <w:t xml:space="preserve">  </w:t>
      </w:r>
      <w:r w:rsidRPr="006E5D79">
        <w:rPr>
          <w:rFonts w:ascii="Times New Roman" w:eastAsia="Times New Roman" w:hAnsi="Times New Roman"/>
          <w:sz w:val="24"/>
          <w:szCs w:val="24"/>
        </w:rPr>
        <w:t xml:space="preserve">FERC-500 includes the reporting requirements in 18 CFR listed in Attachment A.  </w:t>
      </w:r>
    </w:p>
    <w:p w14:paraId="11856033"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p>
    <w:p w14:paraId="44C843D7" w14:textId="6D09DC56"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r w:rsidRPr="006E5D79">
        <w:rPr>
          <w:rFonts w:ascii="Times New Roman" w:eastAsia="Times New Roman" w:hAnsi="Times New Roman"/>
          <w:sz w:val="24"/>
          <w:szCs w:val="24"/>
        </w:rPr>
        <w:t>The FERC-500 filing requirements for a major hydropower license/relicense include project description, schedule, resource allocation, project operation, construction schedule, cost, and financing; and an environmental report.  Applicants can choose to seek FERC hydropower licenses using three different options: the traditional license process, alternative license process, or integrated license process (ILP).   The ILP is the default process and enables potential licenses to conduct pre-filing consultation and the Commission’s scoping process concurrently rather than sequentially.</w:t>
      </w:r>
      <w:r w:rsidRPr="006E5D79">
        <w:rPr>
          <w:rFonts w:ascii="Times New Roman" w:eastAsia="Times New Roman" w:hAnsi="Times New Roman"/>
          <w:b/>
          <w:sz w:val="26"/>
          <w:szCs w:val="26"/>
          <w:vertAlign w:val="superscript"/>
        </w:rPr>
        <w:footnoteReference w:id="9"/>
      </w:r>
      <w:r w:rsidRPr="006E5D79">
        <w:rPr>
          <w:rFonts w:ascii="Times New Roman" w:eastAsia="Times New Roman" w:hAnsi="Times New Roman"/>
          <w:sz w:val="24"/>
          <w:szCs w:val="24"/>
        </w:rPr>
        <w:t xml:space="preserve">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51DF7B9A" w14:textId="77777777" w:rsidR="006E5D79" w:rsidRPr="006E5D79" w:rsidRDefault="006E5D79" w:rsidP="007445A8">
      <w:pPr>
        <w:spacing w:after="0" w:line="240" w:lineRule="auto"/>
        <w:rPr>
          <w:rFonts w:ascii="Times New Roman" w:hAnsi="Times New Roman"/>
          <w:b/>
          <w:sz w:val="24"/>
          <w:szCs w:val="24"/>
        </w:rPr>
      </w:pPr>
    </w:p>
    <w:p w14:paraId="05959D63" w14:textId="77777777" w:rsidR="006E5D79" w:rsidRDefault="006E5D79" w:rsidP="007445A8">
      <w:pPr>
        <w:spacing w:after="0" w:line="240" w:lineRule="auto"/>
        <w:rPr>
          <w:rFonts w:ascii="Times New Roman" w:hAnsi="Times New Roman"/>
          <w:sz w:val="24"/>
          <w:szCs w:val="24"/>
        </w:rPr>
      </w:pPr>
    </w:p>
    <w:p w14:paraId="57C39BA8" w14:textId="2E56D2BE" w:rsidR="00471F97" w:rsidRPr="00F1537F" w:rsidRDefault="006E5D79"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471F97"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06375AD2" w14:textId="77777777" w:rsidR="00471F97" w:rsidRPr="00F1537F" w:rsidRDefault="00471F97" w:rsidP="007445A8">
      <w:pPr>
        <w:spacing w:after="0" w:line="240" w:lineRule="auto"/>
        <w:rPr>
          <w:rFonts w:ascii="Times New Roman" w:hAnsi="Times New Roman"/>
          <w:sz w:val="24"/>
          <w:szCs w:val="24"/>
        </w:rPr>
      </w:pPr>
    </w:p>
    <w:p w14:paraId="14A3D527" w14:textId="434FAA71"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Small Hydropower Project License</w:t>
      </w:r>
      <w:r w:rsidR="00D966A1">
        <w:rPr>
          <w:rFonts w:ascii="Times New Roman" w:hAnsi="Times New Roman"/>
          <w:i/>
          <w:sz w:val="24"/>
          <w:szCs w:val="24"/>
        </w:rPr>
        <w:t xml:space="preserve">.  </w:t>
      </w:r>
      <w:r w:rsidRPr="00F1537F">
        <w:rPr>
          <w:rFonts w:ascii="Times New Roman" w:hAnsi="Times New Roman"/>
          <w:sz w:val="24"/>
          <w:szCs w:val="24"/>
        </w:rPr>
        <w:t>Small hydropower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MW or less.</w:t>
      </w:r>
      <w:r w:rsidRPr="00F1537F">
        <w:rPr>
          <w:rStyle w:val="FootnoteReference"/>
          <w:rFonts w:ascii="Times New Roman" w:hAnsi="Times New Roman"/>
          <w:b/>
          <w:sz w:val="24"/>
          <w:szCs w:val="24"/>
          <w:vertAlign w:val="superscript"/>
        </w:rPr>
        <w:footnoteReference w:id="10"/>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w:t>
      </w:r>
      <w:r w:rsidR="00F16E26">
        <w:rPr>
          <w:rFonts w:ascii="Times New Roman" w:hAnsi="Times New Roman"/>
          <w:sz w:val="24"/>
          <w:szCs w:val="24"/>
        </w:rPr>
        <w:t xml:space="preserve">§ </w:t>
      </w:r>
      <w:r w:rsidRPr="00F1537F">
        <w:rPr>
          <w:rFonts w:ascii="Times New Roman" w:hAnsi="Times New Roman"/>
          <w:sz w:val="24"/>
          <w:szCs w:val="24"/>
        </w:rPr>
        <w:t xml:space="preserve">4.61.    </w:t>
      </w:r>
    </w:p>
    <w:p w14:paraId="6C34E8BF" w14:textId="77777777" w:rsidR="00471F97" w:rsidRPr="00F1537F" w:rsidRDefault="00471F97" w:rsidP="007445A8">
      <w:pPr>
        <w:spacing w:after="0" w:line="240" w:lineRule="auto"/>
        <w:rPr>
          <w:rFonts w:ascii="Times New Roman" w:hAnsi="Times New Roman"/>
          <w:sz w:val="24"/>
          <w:szCs w:val="24"/>
        </w:rPr>
      </w:pPr>
    </w:p>
    <w:p w14:paraId="44D1CE57" w14:textId="6DC210CB"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Commission issues licenses for hydropower projects for up to 50 years.  Pursuant to section 4(e) of the FPA, when making licensing decisions the Commission must give equal consideration to preserving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w:t>
      </w:r>
      <w:r w:rsidR="00F16E26">
        <w:rPr>
          <w:rFonts w:ascii="Times New Roman" w:hAnsi="Times New Roman"/>
          <w:sz w:val="24"/>
          <w:szCs w:val="24"/>
        </w:rPr>
        <w:t>,</w:t>
      </w:r>
      <w:r w:rsidRPr="00F1537F">
        <w:rPr>
          <w:rFonts w:ascii="Times New Roman" w:hAnsi="Times New Roman"/>
          <w:sz w:val="24"/>
          <w:szCs w:val="24"/>
        </w:rPr>
        <w:t xml:space="preserve"> and </w:t>
      </w:r>
      <w:r w:rsidR="00F16E26">
        <w:rPr>
          <w:rFonts w:ascii="Times New Roman" w:hAnsi="Times New Roman"/>
          <w:sz w:val="24"/>
          <w:szCs w:val="24"/>
        </w:rPr>
        <w:t xml:space="preserve">whether </w:t>
      </w:r>
      <w:r w:rsidRPr="00F1537F">
        <w:rPr>
          <w:rFonts w:ascii="Times New Roman" w:hAnsi="Times New Roman"/>
          <w:sz w:val="24"/>
          <w:szCs w:val="24"/>
        </w:rPr>
        <w:t xml:space="preserve">a </w:t>
      </w:r>
      <w:r w:rsidR="00F16E26" w:rsidRPr="00F1537F">
        <w:rPr>
          <w:rFonts w:ascii="Times New Roman" w:hAnsi="Times New Roman"/>
          <w:sz w:val="24"/>
          <w:szCs w:val="24"/>
        </w:rPr>
        <w:t>project</w:t>
      </w:r>
      <w:r w:rsidR="00F16E26">
        <w:rPr>
          <w:rFonts w:ascii="Times New Roman" w:hAnsi="Times New Roman"/>
          <w:sz w:val="24"/>
          <w:szCs w:val="24"/>
        </w:rPr>
        <w:t xml:space="preserve"> is</w:t>
      </w:r>
      <w:r w:rsidR="00F16E26" w:rsidRPr="00F1537F">
        <w:rPr>
          <w:rFonts w:ascii="Times New Roman" w:hAnsi="Times New Roman"/>
          <w:sz w:val="24"/>
          <w:szCs w:val="24"/>
        </w:rPr>
        <w:t xml:space="preserve"> consisten</w:t>
      </w:r>
      <w:r w:rsidR="00F16E26">
        <w:rPr>
          <w:rFonts w:ascii="Times New Roman" w:hAnsi="Times New Roman"/>
          <w:sz w:val="24"/>
          <w:szCs w:val="24"/>
        </w:rPr>
        <w:t>t</w:t>
      </w:r>
      <w:r w:rsidR="00F16E26" w:rsidRPr="00F1537F">
        <w:rPr>
          <w:rFonts w:ascii="Times New Roman" w:hAnsi="Times New Roman"/>
          <w:sz w:val="24"/>
          <w:szCs w:val="24"/>
        </w:rPr>
        <w:t xml:space="preserve"> </w:t>
      </w:r>
      <w:r w:rsidRPr="00F1537F">
        <w:rPr>
          <w:rFonts w:ascii="Times New Roman" w:hAnsi="Times New Roman"/>
          <w:sz w:val="24"/>
          <w:szCs w:val="24"/>
        </w:rPr>
        <w:t xml:space="preserve">with federal and state comprehensive plans for improving or developing waterways.   </w:t>
      </w:r>
    </w:p>
    <w:p w14:paraId="3FE5A943" w14:textId="77777777" w:rsidR="00471F97" w:rsidRPr="00F1537F" w:rsidRDefault="00471F97" w:rsidP="007445A8">
      <w:pPr>
        <w:spacing w:after="0" w:line="240" w:lineRule="auto"/>
        <w:rPr>
          <w:rFonts w:ascii="Times New Roman" w:hAnsi="Times New Roman"/>
          <w:sz w:val="24"/>
          <w:szCs w:val="24"/>
        </w:rPr>
      </w:pPr>
    </w:p>
    <w:p w14:paraId="689B3805"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Exemptions from Licensing</w:t>
      </w:r>
      <w:r w:rsidR="00D966A1">
        <w:rPr>
          <w:rFonts w:ascii="Times New Roman" w:hAnsi="Times New Roman"/>
          <w:i/>
          <w:sz w:val="24"/>
          <w:szCs w:val="24"/>
        </w:rPr>
        <w:t xml:space="preserve">.  </w:t>
      </w:r>
      <w:r w:rsidRPr="00F1537F">
        <w:rPr>
          <w:rFonts w:ascii="Times New Roman" w:hAnsi="Times New Roman"/>
          <w:sz w:val="24"/>
          <w:szCs w:val="24"/>
        </w:rPr>
        <w:t xml:space="preserve">A small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small conduit exemptions; and (2) small hydroelectric power project exemptions.  </w:t>
      </w:r>
    </w:p>
    <w:p w14:paraId="25C0F900" w14:textId="77777777" w:rsidR="00471F97" w:rsidRPr="00F1537F" w:rsidRDefault="00471F97" w:rsidP="007445A8">
      <w:pPr>
        <w:spacing w:after="0" w:line="240" w:lineRule="auto"/>
        <w:rPr>
          <w:rFonts w:ascii="Times New Roman" w:hAnsi="Times New Roman"/>
          <w:sz w:val="24"/>
          <w:szCs w:val="24"/>
        </w:rPr>
      </w:pPr>
    </w:p>
    <w:p w14:paraId="771D3F0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small conduit exemption, as defined in section 30 of the FPA,</w:t>
      </w:r>
      <w:r w:rsidRPr="00F1537F">
        <w:rPr>
          <w:rStyle w:val="FootnoteReference"/>
          <w:rFonts w:ascii="Times New Roman" w:hAnsi="Times New Roman"/>
          <w:b/>
          <w:sz w:val="24"/>
          <w:szCs w:val="24"/>
          <w:vertAlign w:val="superscript"/>
        </w:rPr>
        <w:footnoteReference w:id="11"/>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3807DB11" w14:textId="77777777" w:rsidR="00471F97" w:rsidRPr="00F1537F" w:rsidRDefault="00471F97" w:rsidP="007445A8">
      <w:pPr>
        <w:spacing w:after="0" w:line="240" w:lineRule="auto"/>
        <w:rPr>
          <w:rFonts w:ascii="Times New Roman" w:hAnsi="Times New Roman"/>
          <w:sz w:val="24"/>
          <w:szCs w:val="24"/>
        </w:rPr>
      </w:pPr>
    </w:p>
    <w:p w14:paraId="206BE7D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10-MW exemption, as defined in the Public Utilities Regulatory Policies Act of 1978 (PURPA),</w:t>
      </w:r>
      <w:r w:rsidRPr="00F1537F">
        <w:rPr>
          <w:rStyle w:val="FootnoteReference"/>
          <w:rFonts w:ascii="Times New Roman" w:hAnsi="Times New Roman"/>
          <w:b/>
          <w:sz w:val="24"/>
          <w:szCs w:val="24"/>
          <w:vertAlign w:val="superscript"/>
        </w:rPr>
        <w:footnoteReference w:id="12"/>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66A982E2" w14:textId="77777777" w:rsidR="00471F97" w:rsidRPr="00F1537F" w:rsidRDefault="00471F97" w:rsidP="007445A8">
      <w:pPr>
        <w:spacing w:after="0" w:line="240" w:lineRule="auto"/>
        <w:rPr>
          <w:rFonts w:ascii="Times New Roman" w:hAnsi="Times New Roman"/>
          <w:sz w:val="24"/>
          <w:szCs w:val="24"/>
        </w:rPr>
      </w:pPr>
    </w:p>
    <w:p w14:paraId="100F1443"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Qualifying Conduit Hydropower Facilities</w:t>
      </w:r>
      <w:r w:rsidR="00D966A1">
        <w:rPr>
          <w:rFonts w:ascii="Times New Roman" w:hAnsi="Times New Roman"/>
          <w:i/>
          <w:sz w:val="24"/>
          <w:szCs w:val="24"/>
        </w:rPr>
        <w:t xml:space="preserve">.  </w:t>
      </w:r>
      <w:r w:rsidRPr="00F1537F">
        <w:rPr>
          <w:rFonts w:ascii="Times New Roman" w:hAnsi="Times New Roman"/>
          <w:sz w:val="24"/>
          <w:szCs w:val="24"/>
        </w:rPr>
        <w:t>The Hydropower Efficiency Act created a subset of small conduit exemptions, called “qualifying conduit hydropower facilities,” which are not required to be licensed under Part I of the FPA.  A qualifying conduit hydropower facility is a facility that meets the following qualifying criteria:</w:t>
      </w:r>
    </w:p>
    <w:p w14:paraId="2D8900FE" w14:textId="77777777" w:rsidR="004C3C5F" w:rsidRPr="00F1537F" w:rsidRDefault="004C3C5F" w:rsidP="007445A8">
      <w:pPr>
        <w:spacing w:after="0" w:line="240" w:lineRule="auto"/>
        <w:rPr>
          <w:rFonts w:ascii="Times New Roman" w:hAnsi="Times New Roman"/>
          <w:sz w:val="24"/>
          <w:szCs w:val="24"/>
        </w:rPr>
      </w:pPr>
    </w:p>
    <w:p w14:paraId="7BF7E204"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6FA6BA2C"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6A411A99" w14:textId="192FA540"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Efficiency Act (i.e. August 9, 2013).  </w:t>
      </w:r>
    </w:p>
    <w:p w14:paraId="5EA66015" w14:textId="77777777" w:rsidR="007445A8" w:rsidRPr="00F1537F" w:rsidRDefault="007445A8" w:rsidP="007445A8">
      <w:pPr>
        <w:spacing w:after="0" w:line="240" w:lineRule="auto"/>
        <w:ind w:left="720" w:hanging="360"/>
        <w:rPr>
          <w:rFonts w:ascii="Times New Roman" w:hAnsi="Times New Roman"/>
          <w:sz w:val="24"/>
          <w:szCs w:val="24"/>
        </w:rPr>
      </w:pPr>
    </w:p>
    <w:p w14:paraId="2FC0F32D" w14:textId="77777777" w:rsidR="00471F97"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183DCE41" w14:textId="77777777" w:rsidR="00D966A1" w:rsidRDefault="00D966A1" w:rsidP="007445A8">
      <w:pPr>
        <w:spacing w:after="0" w:line="240" w:lineRule="auto"/>
        <w:rPr>
          <w:rFonts w:ascii="Times New Roman" w:hAnsi="Times New Roman"/>
          <w:sz w:val="24"/>
          <w:szCs w:val="24"/>
        </w:rPr>
      </w:pPr>
    </w:p>
    <w:p w14:paraId="161E6357" w14:textId="561F4FBF" w:rsidR="00D966A1" w:rsidRPr="00D966A1" w:rsidRDefault="00D966A1" w:rsidP="00D966A1">
      <w:pPr>
        <w:spacing w:after="0" w:line="240" w:lineRule="auto"/>
        <w:rPr>
          <w:rFonts w:ascii="Times New Roman" w:eastAsia="Times New Roman" w:hAnsi="Times New Roman"/>
          <w:sz w:val="24"/>
          <w:szCs w:val="24"/>
        </w:rPr>
      </w:pPr>
      <w:r>
        <w:rPr>
          <w:rFonts w:ascii="Times New Roman" w:hAnsi="Times New Roman"/>
          <w:b/>
          <w:sz w:val="24"/>
          <w:szCs w:val="24"/>
        </w:rPr>
        <w:t xml:space="preserve">Form 80.  </w:t>
      </w:r>
      <w:r w:rsidRPr="00D966A1">
        <w:rPr>
          <w:rFonts w:ascii="Times New Roman" w:eastAsia="Times New Roman" w:hAnsi="Times New Roman"/>
          <w:sz w:val="24"/>
          <w:szCs w:val="24"/>
        </w:rPr>
        <w:t>The Commission uses the information collected on FERC Form 80 to implement statutory provisions of Sections 4(g), 10, 304, 309, and 311 of the FPA.</w:t>
      </w:r>
      <w:r w:rsidRPr="00D966A1">
        <w:rPr>
          <w:rFonts w:ascii="Times New Roman" w:eastAsia="Times New Roman" w:hAnsi="Times New Roman"/>
          <w:sz w:val="24"/>
          <w:szCs w:val="24"/>
          <w:vertAlign w:val="superscript"/>
        </w:rPr>
        <w:footnoteReference w:id="13"/>
      </w:r>
      <w:r w:rsidRPr="00D966A1">
        <w:rPr>
          <w:rFonts w:ascii="Times New Roman" w:eastAsia="Times New Roman" w:hAnsi="Times New Roman"/>
          <w:sz w:val="24"/>
          <w:szCs w:val="24"/>
        </w:rPr>
        <w:t xml:space="preserve">  The Commission has collected Form 80 data since 1966.  Presently, the Commission collects the data every six years as directed by 18 CFR 8.11 and 141.14. </w:t>
      </w:r>
    </w:p>
    <w:p w14:paraId="26D5BE46"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70F149B6" w14:textId="6097A8B9" w:rsidR="00D966A1" w:rsidRDefault="00D966A1" w:rsidP="00D966A1">
      <w:pPr>
        <w:widowControl w:val="0"/>
        <w:autoSpaceDE w:val="0"/>
        <w:autoSpaceDN w:val="0"/>
        <w:adjustRightInd w:val="0"/>
        <w:spacing w:after="0" w:line="240" w:lineRule="auto"/>
        <w:rPr>
          <w:rFonts w:ascii="Times New Roman" w:eastAsia="Times New Roman" w:hAnsi="Times New Roman"/>
          <w:sz w:val="26"/>
          <w:szCs w:val="26"/>
        </w:rPr>
      </w:pPr>
      <w:r w:rsidRPr="00D966A1">
        <w:rPr>
          <w:rFonts w:ascii="Times New Roman" w:eastAsia="Times New Roman" w:hAnsi="Times New Roman"/>
          <w:sz w:val="24"/>
          <w:szCs w:val="24"/>
        </w:rPr>
        <w:t>The authority for the Commission to collect this information comes from Section 10(a) of the FPA</w:t>
      </w:r>
      <w:r w:rsidR="005D1C9E">
        <w:rPr>
          <w:rFonts w:ascii="Times New Roman" w:eastAsia="Times New Roman" w:hAnsi="Times New Roman"/>
          <w:sz w:val="24"/>
          <w:szCs w:val="24"/>
        </w:rPr>
        <w:t>,</w:t>
      </w:r>
      <w:r w:rsidRPr="00D966A1">
        <w:rPr>
          <w:rFonts w:ascii="Times New Roman" w:eastAsia="Times New Roman" w:hAnsi="Times New Roman"/>
          <w:sz w:val="24"/>
          <w:szCs w:val="24"/>
        </w:rPr>
        <w:t xml:space="preserve"> which requires the Commission to be responsible for ensuring that hydro projects subject to its jurisdiction are consistent with the comprehensive development of the nation’s waterway for recreation and other beneficial public uses.  In the interest of fulfilling these objectives, the Commission expects its licensees, over whom it may exercise direct regulatory control, to recognize the resources affected by their activities and to play a role in the protection of such resources.  18 CFR 8.11 and 141.14 specifies </w:t>
      </w:r>
      <w:r w:rsidR="00F176BF">
        <w:rPr>
          <w:rFonts w:ascii="Times New Roman" w:eastAsia="Times New Roman" w:hAnsi="Times New Roman"/>
          <w:sz w:val="24"/>
          <w:szCs w:val="24"/>
        </w:rPr>
        <w:t xml:space="preserve">a licensee’s obligations related to the filing of Form 80. </w:t>
      </w:r>
      <w:r w:rsidRPr="00D966A1">
        <w:rPr>
          <w:rFonts w:ascii="Times New Roman" w:eastAsia="Times New Roman" w:hAnsi="Times New Roman"/>
          <w:sz w:val="24"/>
          <w:szCs w:val="24"/>
        </w:rPr>
        <w:t xml:space="preserve"> </w:t>
      </w:r>
    </w:p>
    <w:p w14:paraId="73A5B37D"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36E3C3AA" w14:textId="5CCEFFE0" w:rsidR="00D966A1" w:rsidRPr="00F1537F" w:rsidRDefault="00953EDD" w:rsidP="007445A8">
      <w:pPr>
        <w:spacing w:after="0" w:line="240" w:lineRule="auto"/>
        <w:rPr>
          <w:rFonts w:ascii="Times New Roman" w:hAnsi="Times New Roman"/>
          <w:sz w:val="24"/>
          <w:szCs w:val="24"/>
        </w:rPr>
      </w:pPr>
      <w:r>
        <w:rPr>
          <w:rFonts w:ascii="Times New Roman" w:hAnsi="Times New Roman"/>
          <w:b/>
          <w:sz w:val="24"/>
          <w:szCs w:val="24"/>
        </w:rPr>
        <w:t xml:space="preserve">NOPR in Docket RM18-14.  </w:t>
      </w:r>
      <w:r>
        <w:rPr>
          <w:rFonts w:ascii="Times New Roman" w:hAnsi="Times New Roman"/>
          <w:sz w:val="24"/>
          <w:szCs w:val="24"/>
        </w:rPr>
        <w:t>T</w:t>
      </w:r>
      <w:r w:rsidR="00D966A1">
        <w:rPr>
          <w:rFonts w:ascii="Times New Roman" w:hAnsi="Times New Roman"/>
          <w:sz w:val="24"/>
          <w:szCs w:val="24"/>
        </w:rPr>
        <w:t xml:space="preserve">he Commission is proposing to eliminate Form 80 and to update </w:t>
      </w:r>
      <w:r w:rsidR="00F176BF">
        <w:rPr>
          <w:rFonts w:ascii="Times New Roman" w:hAnsi="Times New Roman"/>
          <w:sz w:val="24"/>
          <w:szCs w:val="24"/>
        </w:rPr>
        <w:t>section</w:t>
      </w:r>
      <w:r w:rsidR="0048721A">
        <w:rPr>
          <w:rFonts w:ascii="Times New Roman" w:hAnsi="Times New Roman"/>
          <w:sz w:val="24"/>
          <w:szCs w:val="24"/>
        </w:rPr>
        <w:t>s</w:t>
      </w:r>
      <w:r w:rsidR="00F176BF">
        <w:rPr>
          <w:rFonts w:ascii="Times New Roman" w:hAnsi="Times New Roman"/>
          <w:sz w:val="24"/>
          <w:szCs w:val="24"/>
        </w:rPr>
        <w:t xml:space="preserve"> 8.1 and 8.2 of </w:t>
      </w:r>
      <w:r w:rsidRPr="00953EDD">
        <w:rPr>
          <w:rFonts w:ascii="Times New Roman" w:hAnsi="Times New Roman"/>
          <w:sz w:val="24"/>
          <w:szCs w:val="24"/>
        </w:rPr>
        <w:t xml:space="preserve">its regulations </w:t>
      </w:r>
      <w:r w:rsidR="001360DE">
        <w:rPr>
          <w:rFonts w:ascii="Times New Roman" w:hAnsi="Times New Roman"/>
          <w:sz w:val="24"/>
          <w:szCs w:val="24"/>
        </w:rPr>
        <w:t xml:space="preserve">(affecting FERC-500 and FERC-505) </w:t>
      </w:r>
      <w:r w:rsidRPr="00953EDD">
        <w:rPr>
          <w:rFonts w:ascii="Times New Roman" w:hAnsi="Times New Roman"/>
          <w:sz w:val="24"/>
          <w:szCs w:val="24"/>
        </w:rPr>
        <w:t xml:space="preserve">related to recreational use and development at licensed projects in order to modernize public notice practices, clarify recreational signage requirements, and provide flexibility to assist licensees’ compliance efforts.  </w:t>
      </w:r>
    </w:p>
    <w:p w14:paraId="5AD610F8" w14:textId="77777777" w:rsidR="00471F97" w:rsidRPr="00F1537F" w:rsidRDefault="00471F97" w:rsidP="007445A8">
      <w:pPr>
        <w:spacing w:after="0" w:line="240" w:lineRule="auto"/>
        <w:rPr>
          <w:rFonts w:ascii="Times New Roman" w:hAnsi="Times New Roman"/>
          <w:sz w:val="24"/>
          <w:szCs w:val="24"/>
        </w:rPr>
      </w:pPr>
    </w:p>
    <w:p w14:paraId="6155ED7B" w14:textId="77777777" w:rsidR="00471F97" w:rsidRPr="00F1537F" w:rsidRDefault="00471F97" w:rsidP="00EB790F">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38847D66" w14:textId="77777777" w:rsidR="007445A8" w:rsidRDefault="007445A8" w:rsidP="007445A8">
      <w:pPr>
        <w:spacing w:after="0" w:line="240" w:lineRule="auto"/>
        <w:rPr>
          <w:rFonts w:ascii="Times New Roman" w:hAnsi="Times New Roman"/>
          <w:sz w:val="24"/>
          <w:szCs w:val="24"/>
        </w:rPr>
      </w:pPr>
    </w:p>
    <w:p w14:paraId="4DCB733E" w14:textId="77777777" w:rsidR="00D66646" w:rsidRDefault="00D66646" w:rsidP="007445A8">
      <w:pPr>
        <w:spacing w:after="0" w:line="240" w:lineRule="auto"/>
        <w:rPr>
          <w:rFonts w:ascii="Times New Roman" w:hAnsi="Times New Roman"/>
          <w:sz w:val="24"/>
          <w:szCs w:val="24"/>
        </w:rPr>
      </w:pPr>
      <w:r>
        <w:rPr>
          <w:rFonts w:ascii="Times New Roman" w:hAnsi="Times New Roman"/>
          <w:b/>
          <w:sz w:val="24"/>
          <w:szCs w:val="24"/>
        </w:rPr>
        <w:t>FERC-80.</w:t>
      </w:r>
      <w:r>
        <w:rPr>
          <w:rFonts w:ascii="Times New Roman" w:hAnsi="Times New Roman"/>
          <w:sz w:val="24"/>
          <w:szCs w:val="24"/>
        </w:rPr>
        <w:t xml:space="preserve">  The Commission is proposing to eliminate the form.</w:t>
      </w:r>
      <w:r w:rsidR="00EC2F1A">
        <w:rPr>
          <w:rFonts w:ascii="Times New Roman" w:hAnsi="Times New Roman"/>
          <w:sz w:val="24"/>
          <w:szCs w:val="24"/>
        </w:rPr>
        <w:t xml:space="preserve"> </w:t>
      </w:r>
    </w:p>
    <w:p w14:paraId="1110EC6A" w14:textId="77777777" w:rsidR="00D66646" w:rsidRDefault="00D66646" w:rsidP="007445A8">
      <w:pPr>
        <w:spacing w:after="0" w:line="240" w:lineRule="auto"/>
        <w:rPr>
          <w:rFonts w:ascii="Times New Roman" w:hAnsi="Times New Roman"/>
          <w:sz w:val="24"/>
          <w:szCs w:val="24"/>
        </w:rPr>
      </w:pPr>
    </w:p>
    <w:p w14:paraId="514A5EA5" w14:textId="2476D002" w:rsidR="00D66646" w:rsidRPr="00D66646" w:rsidRDefault="00D66646" w:rsidP="00D66646">
      <w:pPr>
        <w:spacing w:after="0" w:line="240" w:lineRule="auto"/>
        <w:rPr>
          <w:rFonts w:ascii="Times New Roman" w:eastAsia="Times New Roman" w:hAnsi="Times New Roman"/>
          <w:sz w:val="24"/>
          <w:szCs w:val="24"/>
        </w:rPr>
      </w:pPr>
      <w:r>
        <w:rPr>
          <w:rFonts w:ascii="Times New Roman" w:hAnsi="Times New Roman"/>
          <w:b/>
          <w:sz w:val="24"/>
          <w:szCs w:val="24"/>
        </w:rPr>
        <w:t xml:space="preserve">FERC-500 and FERC-505.  </w:t>
      </w:r>
      <w:r w:rsidRPr="00D66646">
        <w:rPr>
          <w:rFonts w:ascii="Times New Roman" w:eastAsia="Times New Roman" w:hAnsi="Times New Roman"/>
          <w:sz w:val="24"/>
          <w:szCs w:val="24"/>
        </w:rPr>
        <w:t xml:space="preserve">Pursuant to the </w:t>
      </w:r>
      <w:r w:rsidR="00F63B33">
        <w:rPr>
          <w:rFonts w:ascii="Times New Roman" w:eastAsia="Times New Roman" w:hAnsi="Times New Roman"/>
          <w:sz w:val="24"/>
          <w:szCs w:val="24"/>
        </w:rPr>
        <w:t>FPA</w:t>
      </w:r>
      <w:r w:rsidRPr="00D66646">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2D1DCC5D" w14:textId="77777777" w:rsidR="00D66646" w:rsidRDefault="00D66646" w:rsidP="007445A8">
      <w:pPr>
        <w:spacing w:after="0" w:line="240" w:lineRule="auto"/>
        <w:rPr>
          <w:rFonts w:ascii="Times New Roman" w:hAnsi="Times New Roman"/>
          <w:b/>
          <w:sz w:val="24"/>
          <w:szCs w:val="24"/>
        </w:rPr>
      </w:pPr>
    </w:p>
    <w:p w14:paraId="6B35DF41" w14:textId="77777777" w:rsidR="00471F97" w:rsidRPr="00F1537F" w:rsidRDefault="00D66646" w:rsidP="007445A8">
      <w:pPr>
        <w:spacing w:after="0" w:line="240" w:lineRule="auto"/>
        <w:rPr>
          <w:rFonts w:ascii="Times New Roman" w:hAnsi="Times New Roman"/>
          <w:sz w:val="24"/>
          <w:szCs w:val="24"/>
        </w:rPr>
      </w:pPr>
      <w:r>
        <w:rPr>
          <w:rFonts w:ascii="Times New Roman" w:hAnsi="Times New Roman"/>
          <w:sz w:val="24"/>
          <w:szCs w:val="24"/>
        </w:rPr>
        <w:t>A</w:t>
      </w:r>
      <w:r w:rsidR="00471F97" w:rsidRPr="00F1537F">
        <w:rPr>
          <w:rFonts w:ascii="Times New Roman" w:hAnsi="Times New Roman"/>
          <w:sz w:val="24"/>
          <w:szCs w:val="24"/>
        </w:rPr>
        <w:t xml:space="preserve">pplications are used by Commission staff to determine the broad impact of the license/relicense or exemption </w:t>
      </w:r>
      <w:r>
        <w:rPr>
          <w:rFonts w:ascii="Times New Roman" w:hAnsi="Times New Roman"/>
          <w:sz w:val="24"/>
          <w:szCs w:val="24"/>
        </w:rPr>
        <w:t xml:space="preserve">or </w:t>
      </w:r>
      <w:r w:rsidR="00471F97" w:rsidRPr="00F1537F">
        <w:rPr>
          <w:rFonts w:ascii="Times New Roman" w:hAnsi="Times New Roman"/>
          <w:sz w:val="24"/>
          <w:szCs w:val="24"/>
        </w:rPr>
        <w:t>conduit facility meets the qualifying criteria.  An application must include certain information so stakeholders and the Commission can understand the proposed project, identify any environmental issues, identify any information needs or studies, and provide meaningful comments and recommendations on the proposed project.</w:t>
      </w:r>
    </w:p>
    <w:p w14:paraId="0CC2A7CB" w14:textId="77777777" w:rsidR="00471F97" w:rsidRPr="00F1537F" w:rsidRDefault="00471F97" w:rsidP="007445A8">
      <w:pPr>
        <w:spacing w:after="0" w:line="240" w:lineRule="auto"/>
        <w:rPr>
          <w:rFonts w:ascii="Times New Roman" w:hAnsi="Times New Roman"/>
          <w:sz w:val="24"/>
          <w:szCs w:val="24"/>
        </w:rPr>
      </w:pPr>
    </w:p>
    <w:p w14:paraId="22ABCEDF" w14:textId="7D16A1CF"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Federal agencies with responsibilities under the FPA and other statutes, states, Indian tribes, and other participants have opportunities to request additional studies and provide comments and recommendations.  Federal agencies with mandatory conditioning authority also provide their conditions.  The Commission staff may ask for additional information that it needs for its environmental analysis.  All of this information is considered in the Commission staff's environmental review under the National Energy Policy Act.  </w:t>
      </w:r>
    </w:p>
    <w:p w14:paraId="342BF65D" w14:textId="77777777" w:rsidR="00471F97" w:rsidRPr="00F1537F" w:rsidRDefault="00471F97" w:rsidP="007445A8">
      <w:pPr>
        <w:spacing w:after="0" w:line="240" w:lineRule="auto"/>
        <w:rPr>
          <w:rFonts w:ascii="Times New Roman" w:hAnsi="Times New Roman"/>
          <w:sz w:val="24"/>
          <w:szCs w:val="24"/>
        </w:rPr>
      </w:pPr>
    </w:p>
    <w:p w14:paraId="15970DDA"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5EFB2349" w14:textId="77777777" w:rsidR="00471F97" w:rsidRPr="00F1537F" w:rsidRDefault="00471F97" w:rsidP="007445A8">
      <w:pPr>
        <w:spacing w:after="0" w:line="240" w:lineRule="auto"/>
        <w:rPr>
          <w:rFonts w:ascii="Times New Roman" w:hAnsi="Times New Roman"/>
          <w:sz w:val="24"/>
          <w:szCs w:val="24"/>
        </w:rPr>
      </w:pPr>
    </w:p>
    <w:p w14:paraId="63857F1C" w14:textId="0A715E16" w:rsidR="00471F97" w:rsidRPr="00F1537F" w:rsidRDefault="00D66646" w:rsidP="007445A8">
      <w:pPr>
        <w:spacing w:line="240" w:lineRule="auto"/>
        <w:rPr>
          <w:rFonts w:ascii="Times New Roman" w:hAnsi="Times New Roman"/>
          <w:sz w:val="24"/>
          <w:szCs w:val="24"/>
        </w:rPr>
      </w:pPr>
      <w:r>
        <w:rPr>
          <w:rFonts w:ascii="Times New Roman" w:hAnsi="Times New Roman"/>
          <w:sz w:val="24"/>
          <w:szCs w:val="24"/>
        </w:rPr>
        <w:t xml:space="preserve">The Commission is proposing to clarify and update the requirements </w:t>
      </w:r>
      <w:r w:rsidR="00397094">
        <w:rPr>
          <w:rFonts w:ascii="Times New Roman" w:hAnsi="Times New Roman"/>
          <w:sz w:val="24"/>
          <w:szCs w:val="24"/>
        </w:rPr>
        <w:t xml:space="preserve">in FERC-500 and FERC-505 </w:t>
      </w:r>
      <w:r>
        <w:rPr>
          <w:rFonts w:ascii="Times New Roman" w:hAnsi="Times New Roman"/>
          <w:sz w:val="24"/>
          <w:szCs w:val="24"/>
        </w:rPr>
        <w:t>related to recreation</w:t>
      </w:r>
      <w:r w:rsidR="00F176BF">
        <w:rPr>
          <w:rFonts w:ascii="Times New Roman" w:hAnsi="Times New Roman"/>
          <w:sz w:val="24"/>
          <w:szCs w:val="24"/>
        </w:rPr>
        <w:t xml:space="preserve"> </w:t>
      </w:r>
      <w:r>
        <w:rPr>
          <w:rFonts w:ascii="Times New Roman" w:hAnsi="Times New Roman"/>
          <w:sz w:val="24"/>
          <w:szCs w:val="24"/>
        </w:rPr>
        <w:t>signage and public notice.</w:t>
      </w:r>
    </w:p>
    <w:p w14:paraId="136A3BFA" w14:textId="77777777" w:rsidR="00471F97" w:rsidRPr="00F1537F" w:rsidRDefault="00471F97"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6D8BA163" w14:textId="77777777" w:rsidR="00471F97" w:rsidRPr="00F1537F" w:rsidRDefault="00471F97" w:rsidP="00913164">
      <w:pPr>
        <w:spacing w:after="0" w:line="240" w:lineRule="auto"/>
        <w:ind w:left="360" w:hanging="360"/>
        <w:rPr>
          <w:rFonts w:ascii="Times New Roman" w:hAnsi="Times New Roman"/>
          <w:sz w:val="24"/>
          <w:szCs w:val="24"/>
        </w:rPr>
      </w:pPr>
    </w:p>
    <w:p w14:paraId="20BB3C51" w14:textId="2B3FF2D2" w:rsidR="00F0627E" w:rsidRDefault="00BF189C"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BF189C">
        <w:rPr>
          <w:rFonts w:ascii="Times New Roman" w:hAnsi="Times New Roman"/>
          <w:sz w:val="24"/>
          <w:szCs w:val="24"/>
        </w:rPr>
        <w:t>FERC</w:t>
      </w:r>
      <w:r w:rsidR="00F0627E" w:rsidRPr="00F1537F">
        <w:rPr>
          <w:rFonts w:ascii="Times New Roman" w:hAnsi="Times New Roman"/>
          <w:sz w:val="24"/>
          <w:szCs w:val="24"/>
        </w:rPr>
        <w:t xml:space="preserve"> continually considers the use of improved information technology to reduce burden in the filing requirements for submission of information.</w:t>
      </w:r>
      <w:r w:rsidR="001360DE">
        <w:rPr>
          <w:rFonts w:ascii="Times New Roman" w:hAnsi="Times New Roman"/>
          <w:sz w:val="24"/>
          <w:szCs w:val="24"/>
        </w:rPr>
        <w:t xml:space="preserve">  This NOPR is updating requirements related to </w:t>
      </w:r>
      <w:r w:rsidR="00F176BF">
        <w:rPr>
          <w:rFonts w:ascii="Times New Roman" w:hAnsi="Times New Roman"/>
          <w:sz w:val="24"/>
          <w:szCs w:val="24"/>
        </w:rPr>
        <w:t xml:space="preserve">recreation </w:t>
      </w:r>
      <w:r w:rsidR="001360DE">
        <w:rPr>
          <w:rFonts w:ascii="Times New Roman" w:hAnsi="Times New Roman"/>
          <w:sz w:val="24"/>
          <w:szCs w:val="24"/>
        </w:rPr>
        <w:t xml:space="preserve">signage and public notice.  </w:t>
      </w:r>
    </w:p>
    <w:p w14:paraId="4A05B1E3" w14:textId="77777777" w:rsidR="00BF189C" w:rsidRDefault="00BF189C" w:rsidP="007445A8">
      <w:pPr>
        <w:spacing w:after="0" w:line="240" w:lineRule="auto"/>
        <w:rPr>
          <w:rFonts w:ascii="Times New Roman" w:hAnsi="Times New Roman"/>
          <w:sz w:val="24"/>
          <w:szCs w:val="24"/>
        </w:rPr>
      </w:pPr>
    </w:p>
    <w:p w14:paraId="57862FB9" w14:textId="31140D95" w:rsidR="00BF189C" w:rsidRPr="00F1537F" w:rsidRDefault="00BF189C" w:rsidP="007445A8">
      <w:pPr>
        <w:spacing w:after="0" w:line="240" w:lineRule="auto"/>
        <w:rPr>
          <w:rFonts w:ascii="Times New Roman" w:hAnsi="Times New Roman"/>
          <w:sz w:val="24"/>
          <w:szCs w:val="24"/>
        </w:rPr>
      </w:pPr>
      <w:r w:rsidRPr="00BF189C">
        <w:rPr>
          <w:rFonts w:ascii="Times New Roman" w:hAnsi="Times New Roman"/>
          <w:sz w:val="24"/>
          <w:szCs w:val="24"/>
        </w:rPr>
        <w:t xml:space="preserve">With regard to modernized public notice practices, the proposed revisions would require licensees that have a project website to (1) publish notice on its website of license conditions related to recreation; and (2) maintain on its website copies of any approved recreation plan, recreation-related reports, and the license instrument.  If a licensee does not have a project website, the website publication requirements would not apply.  </w:t>
      </w:r>
      <w:r w:rsidR="00F176BF">
        <w:rPr>
          <w:rFonts w:ascii="Times New Roman" w:hAnsi="Times New Roman"/>
          <w:sz w:val="24"/>
          <w:szCs w:val="24"/>
        </w:rPr>
        <w:t xml:space="preserve">These modernized public notice requirements would complement existing requirements, including publishing notice in the local newspaper and providing access to materials in a local office.  </w:t>
      </w:r>
    </w:p>
    <w:p w14:paraId="51E1B960" w14:textId="77777777" w:rsidR="00F0627E" w:rsidRPr="00F1537F" w:rsidRDefault="00F0627E" w:rsidP="007445A8">
      <w:pPr>
        <w:tabs>
          <w:tab w:val="left" w:pos="2508"/>
        </w:tabs>
        <w:spacing w:after="0" w:line="240" w:lineRule="auto"/>
        <w:rPr>
          <w:rFonts w:ascii="Times New Roman" w:hAnsi="Times New Roman"/>
          <w:sz w:val="24"/>
          <w:szCs w:val="24"/>
        </w:rPr>
      </w:pPr>
    </w:p>
    <w:p w14:paraId="5B918AAA" w14:textId="77777777" w:rsidR="00471F97" w:rsidRPr="00F1537F" w:rsidRDefault="001360DE" w:rsidP="007445A8">
      <w:pPr>
        <w:spacing w:line="240" w:lineRule="auto"/>
        <w:rPr>
          <w:rFonts w:ascii="Times New Roman" w:hAnsi="Times New Roman"/>
          <w:sz w:val="24"/>
          <w:szCs w:val="24"/>
        </w:rPr>
      </w:pPr>
      <w:r>
        <w:rPr>
          <w:rFonts w:ascii="Times New Roman" w:hAnsi="Times New Roman"/>
          <w:sz w:val="24"/>
          <w:szCs w:val="24"/>
        </w:rPr>
        <w:t>In addition, t</w:t>
      </w:r>
      <w:r w:rsidR="00F0627E" w:rsidRPr="00F1537F">
        <w:rPr>
          <w:rFonts w:ascii="Times New Roman" w:hAnsi="Times New Roman"/>
          <w:sz w:val="24"/>
          <w:szCs w:val="24"/>
        </w:rPr>
        <w:t xml:space="preserve">he Commission </w:t>
      </w:r>
      <w:r w:rsidR="00855994">
        <w:rPr>
          <w:rFonts w:ascii="Times New Roman" w:hAnsi="Times New Roman"/>
          <w:sz w:val="24"/>
          <w:szCs w:val="24"/>
        </w:rPr>
        <w:t>allows</w:t>
      </w:r>
      <w:r w:rsidR="00F0627E" w:rsidRPr="00F1537F">
        <w:rPr>
          <w:rFonts w:ascii="Times New Roman" w:hAnsi="Times New Roman"/>
          <w:sz w:val="24"/>
          <w:szCs w:val="24"/>
        </w:rPr>
        <w:t xml:space="preserve"> </w:t>
      </w:r>
      <w:r>
        <w:rPr>
          <w:rFonts w:ascii="Times New Roman" w:hAnsi="Times New Roman"/>
          <w:sz w:val="24"/>
          <w:szCs w:val="24"/>
        </w:rPr>
        <w:t xml:space="preserve">eFiling for the FERC-500 and FERC-505 </w:t>
      </w:r>
      <w:r w:rsidR="00F0627E" w:rsidRPr="00F1537F">
        <w:rPr>
          <w:rFonts w:ascii="Times New Roman" w:hAnsi="Times New Roman"/>
          <w:sz w:val="24"/>
          <w:szCs w:val="24"/>
        </w:rPr>
        <w:t>application</w:t>
      </w:r>
      <w:r w:rsidR="00D66646">
        <w:rPr>
          <w:rFonts w:ascii="Times New Roman" w:hAnsi="Times New Roman"/>
          <w:sz w:val="24"/>
          <w:szCs w:val="24"/>
        </w:rPr>
        <w:t>s</w:t>
      </w:r>
      <w:r w:rsidR="00F0627E" w:rsidRPr="00F1537F">
        <w:rPr>
          <w:rFonts w:ascii="Times New Roman" w:hAnsi="Times New Roman"/>
          <w:sz w:val="24"/>
          <w:szCs w:val="24"/>
        </w:rPr>
        <w:t>.</w:t>
      </w:r>
      <w:r>
        <w:rPr>
          <w:rFonts w:ascii="Times New Roman" w:hAnsi="Times New Roman"/>
          <w:sz w:val="24"/>
          <w:szCs w:val="24"/>
        </w:rPr>
        <w:t xml:space="preserve">  </w:t>
      </w:r>
    </w:p>
    <w:p w14:paraId="79818015"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81BAE25" w14:textId="77777777" w:rsidR="00F0627E" w:rsidRPr="00F1537F" w:rsidRDefault="00F0627E" w:rsidP="00913164">
      <w:pPr>
        <w:spacing w:after="0" w:line="240" w:lineRule="auto"/>
        <w:ind w:left="360" w:hanging="360"/>
        <w:rPr>
          <w:rFonts w:ascii="Times New Roman" w:hAnsi="Times New Roman"/>
          <w:sz w:val="24"/>
          <w:szCs w:val="24"/>
        </w:rPr>
      </w:pPr>
    </w:p>
    <w:p w14:paraId="58F4BFD8" w14:textId="77777777" w:rsidR="00494814"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r w:rsidR="00494814">
        <w:rPr>
          <w:rFonts w:ascii="Times New Roman" w:hAnsi="Times New Roman"/>
          <w:sz w:val="24"/>
          <w:szCs w:val="24"/>
        </w:rPr>
        <w:t>The proposal to eliminate the Form 80 is the result of the Commission’s periodic reviews.</w:t>
      </w:r>
    </w:p>
    <w:p w14:paraId="4070ABCB" w14:textId="77777777" w:rsidR="00494814" w:rsidRDefault="00494814" w:rsidP="007445A8">
      <w:pPr>
        <w:spacing w:after="0" w:line="240" w:lineRule="auto"/>
        <w:rPr>
          <w:rFonts w:ascii="Times New Roman" w:hAnsi="Times New Roman"/>
          <w:sz w:val="24"/>
          <w:szCs w:val="24"/>
        </w:rPr>
      </w:pPr>
    </w:p>
    <w:p w14:paraId="3D7B5AEB"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sidR="00494814">
        <w:rPr>
          <w:rFonts w:ascii="Times New Roman" w:hAnsi="Times New Roman"/>
          <w:sz w:val="24"/>
          <w:szCs w:val="24"/>
        </w:rPr>
        <w:t xml:space="preserve"> for the FERC-500 and FERC-505</w:t>
      </w:r>
      <w:r w:rsidRPr="00F1537F">
        <w:rPr>
          <w:rFonts w:ascii="Times New Roman" w:hAnsi="Times New Roman"/>
          <w:sz w:val="24"/>
          <w:szCs w:val="24"/>
        </w:rPr>
        <w:t>; these are case-specific applications for a benefit (e.g., license or permit) and are unique to the applicant and the site for which the filing is made.</w:t>
      </w:r>
    </w:p>
    <w:p w14:paraId="405BD0D9" w14:textId="77777777" w:rsidR="00F0627E" w:rsidRPr="00F1537F" w:rsidRDefault="00F0627E" w:rsidP="007445A8">
      <w:pPr>
        <w:spacing w:after="0" w:line="240" w:lineRule="auto"/>
        <w:rPr>
          <w:rFonts w:ascii="Times New Roman" w:hAnsi="Times New Roman"/>
          <w:sz w:val="24"/>
          <w:szCs w:val="24"/>
        </w:rPr>
      </w:pPr>
    </w:p>
    <w:p w14:paraId="1D67E8C1"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3658F860" w14:textId="77777777" w:rsidR="00F0627E" w:rsidRPr="00F1537F" w:rsidRDefault="00F0627E" w:rsidP="007445A8">
      <w:pPr>
        <w:spacing w:after="0" w:line="240" w:lineRule="auto"/>
        <w:rPr>
          <w:rFonts w:ascii="Times New Roman" w:hAnsi="Times New Roman"/>
          <w:sz w:val="24"/>
          <w:szCs w:val="24"/>
        </w:rPr>
      </w:pPr>
    </w:p>
    <w:p w14:paraId="0E3D4090" w14:textId="77777777" w:rsidR="00680C13"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Form 80.  </w:t>
      </w:r>
      <w:r w:rsidRPr="00680C13">
        <w:rPr>
          <w:rFonts w:ascii="Times New Roman" w:hAnsi="Times New Roman"/>
          <w:sz w:val="24"/>
          <w:szCs w:val="24"/>
        </w:rPr>
        <w:t xml:space="preserve">The </w:t>
      </w:r>
      <w:r>
        <w:rPr>
          <w:rFonts w:ascii="Times New Roman" w:hAnsi="Times New Roman"/>
          <w:sz w:val="24"/>
          <w:szCs w:val="24"/>
        </w:rPr>
        <w:t>proposal to eliminate the Form 80 will reduce burden on applicants of all sizes.</w:t>
      </w:r>
    </w:p>
    <w:p w14:paraId="5EE284F0" w14:textId="77777777" w:rsidR="00680C13" w:rsidRDefault="00680C13" w:rsidP="007445A8">
      <w:pPr>
        <w:spacing w:after="0" w:line="240" w:lineRule="auto"/>
        <w:rPr>
          <w:rFonts w:ascii="Times New Roman" w:hAnsi="Times New Roman"/>
          <w:sz w:val="24"/>
          <w:szCs w:val="24"/>
        </w:rPr>
      </w:pPr>
    </w:p>
    <w:p w14:paraId="3312E6F8" w14:textId="53E33F79" w:rsidR="00680C13" w:rsidRPr="00680C13" w:rsidRDefault="00680C13" w:rsidP="007445A8">
      <w:pPr>
        <w:spacing w:after="0" w:line="240" w:lineRule="auto"/>
        <w:rPr>
          <w:rFonts w:ascii="Times New Roman" w:hAnsi="Times New Roman"/>
          <w:sz w:val="24"/>
          <w:szCs w:val="24"/>
        </w:rPr>
      </w:pPr>
      <w:r>
        <w:rPr>
          <w:rFonts w:ascii="Times New Roman" w:hAnsi="Times New Roman"/>
          <w:b/>
          <w:sz w:val="24"/>
          <w:szCs w:val="24"/>
        </w:rPr>
        <w:t>FERC-500.</w:t>
      </w:r>
      <w:r>
        <w:rPr>
          <w:rFonts w:ascii="Times New Roman" w:hAnsi="Times New Roman"/>
          <w:sz w:val="24"/>
          <w:szCs w:val="24"/>
        </w:rPr>
        <w:t xml:space="preserve"> </w:t>
      </w:r>
      <w:r w:rsidRPr="00680C13">
        <w:rPr>
          <w:rFonts w:ascii="Times New Roman" w:hAnsi="Times New Roman"/>
          <w:sz w:val="24"/>
          <w:szCs w:val="24"/>
        </w:rPr>
        <w:t xml:space="preserve">To reduce the burden on entities for certain smaller capacity, “major” projects, the Commission sets the reporting requirements for major projects with an installed capacity of five </w:t>
      </w:r>
      <w:r w:rsidR="00D631E3">
        <w:rPr>
          <w:rFonts w:ascii="Times New Roman" w:hAnsi="Times New Roman"/>
          <w:sz w:val="24"/>
          <w:szCs w:val="24"/>
        </w:rPr>
        <w:t>MW</w:t>
      </w:r>
      <w:r w:rsidR="00D631E3" w:rsidRPr="00680C13">
        <w:rPr>
          <w:rFonts w:ascii="Times New Roman" w:hAnsi="Times New Roman"/>
          <w:sz w:val="24"/>
          <w:szCs w:val="24"/>
        </w:rPr>
        <w:t xml:space="preserve"> </w:t>
      </w:r>
      <w:r w:rsidRPr="00680C13">
        <w:rPr>
          <w:rFonts w:ascii="Times New Roman" w:hAnsi="Times New Roman"/>
          <w:sz w:val="24"/>
          <w:szCs w:val="24"/>
        </w:rPr>
        <w:t xml:space="preserve">or less to be the same as for minor licenses (i.e. projects with an installed capacity of 1.5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or less).   The Commission requires any license for a project that generates or proposes to generate more than five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of electricity to be covered by FERC-500 reporting requirements.  </w:t>
      </w:r>
    </w:p>
    <w:p w14:paraId="773394A1" w14:textId="77777777" w:rsidR="00680C13" w:rsidRDefault="00680C13" w:rsidP="007445A8">
      <w:pPr>
        <w:spacing w:after="0" w:line="240" w:lineRule="auto"/>
        <w:rPr>
          <w:rFonts w:ascii="Times New Roman" w:hAnsi="Times New Roman"/>
          <w:b/>
          <w:sz w:val="24"/>
          <w:szCs w:val="24"/>
        </w:rPr>
      </w:pPr>
    </w:p>
    <w:p w14:paraId="10D9CAD8" w14:textId="77777777" w:rsidR="00F0627E" w:rsidRPr="00F1537F"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F0627E" w:rsidRPr="00F1537F">
        <w:rPr>
          <w:rFonts w:ascii="Times New Roman" w:hAnsi="Times New Roman"/>
          <w:sz w:val="24"/>
          <w:szCs w:val="24"/>
        </w:rPr>
        <w:t>The FERC-505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entities have streamlined filing requirements.  The Commission is able to expedite the process for small, low-impact hydropower projects in the following ways:</w:t>
      </w:r>
    </w:p>
    <w:p w14:paraId="0E4778BE" w14:textId="36B96F62"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waive</w:t>
      </w:r>
      <w:r w:rsidR="0009171A">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66EFD44F" w14:textId="254F3990"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pre-filing consultation; </w:t>
      </w:r>
    </w:p>
    <w:p w14:paraId="19B0B8E3" w14:textId="621D41BE"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public </w:t>
      </w:r>
      <w:r w:rsidRPr="00F1537F">
        <w:rPr>
          <w:rFonts w:ascii="Times New Roman" w:eastAsia="Times New Roman" w:hAnsi="Times New Roman"/>
          <w:sz w:val="24"/>
          <w:szCs w:val="24"/>
        </w:rPr>
        <w:t>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requirements; </w:t>
      </w:r>
    </w:p>
    <w:p w14:paraId="2BB19C4E" w14:textId="02F2CE0F"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sidR="0009171A">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57C62CE2" w14:textId="583638D8"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sidR="0009171A">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sidR="0009171A">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68B4BE0E"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use 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78EC04C3" w14:textId="7F03A9CC"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sidR="0009171A">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117F9957" w14:textId="77777777" w:rsidR="00F0627E" w:rsidRDefault="00F0627E" w:rsidP="00680C13">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672A52AE" w14:textId="77777777" w:rsidR="00680C13" w:rsidRDefault="00680C13" w:rsidP="00680C13">
      <w:pPr>
        <w:spacing w:after="0" w:line="240" w:lineRule="auto"/>
        <w:rPr>
          <w:rFonts w:ascii="Times New Roman" w:eastAsia="Times New Roman" w:hAnsi="Times New Roman"/>
          <w:sz w:val="24"/>
          <w:szCs w:val="24"/>
        </w:rPr>
      </w:pPr>
    </w:p>
    <w:p w14:paraId="5DB2C044" w14:textId="12AA7665" w:rsidR="00680C13" w:rsidRPr="00680C13" w:rsidRDefault="00680C13" w:rsidP="00680C1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NOPR in RM18-14 and effect on FERC-500 and FERC-505.</w:t>
      </w:r>
      <w:r>
        <w:rPr>
          <w:rFonts w:ascii="Times New Roman" w:eastAsia="Times New Roman" w:hAnsi="Times New Roman"/>
          <w:sz w:val="24"/>
          <w:szCs w:val="24"/>
        </w:rPr>
        <w:t xml:space="preserve">  This rulemaking is </w:t>
      </w:r>
      <w:r w:rsidR="00BB4271">
        <w:rPr>
          <w:rFonts w:ascii="Times New Roman" w:eastAsia="Times New Roman" w:hAnsi="Times New Roman"/>
          <w:sz w:val="24"/>
          <w:szCs w:val="24"/>
        </w:rPr>
        <w:t xml:space="preserve">updating and </w:t>
      </w:r>
      <w:r>
        <w:rPr>
          <w:rFonts w:ascii="Times New Roman" w:eastAsia="Times New Roman" w:hAnsi="Times New Roman"/>
          <w:sz w:val="24"/>
          <w:szCs w:val="24"/>
        </w:rPr>
        <w:t xml:space="preserve">clarifying </w:t>
      </w:r>
      <w:r w:rsidR="00515869">
        <w:rPr>
          <w:rFonts w:ascii="Times New Roman" w:eastAsia="Times New Roman" w:hAnsi="Times New Roman"/>
          <w:sz w:val="24"/>
          <w:szCs w:val="24"/>
        </w:rPr>
        <w:t xml:space="preserve">recreation signage and public notice </w:t>
      </w:r>
      <w:r>
        <w:rPr>
          <w:rFonts w:ascii="Times New Roman" w:eastAsia="Times New Roman" w:hAnsi="Times New Roman"/>
          <w:sz w:val="24"/>
          <w:szCs w:val="24"/>
        </w:rPr>
        <w:t>requirements</w:t>
      </w:r>
      <w:r w:rsidR="00515869">
        <w:rPr>
          <w:rFonts w:ascii="Times New Roman" w:eastAsia="Times New Roman" w:hAnsi="Times New Roman"/>
          <w:sz w:val="24"/>
          <w:szCs w:val="24"/>
        </w:rPr>
        <w:t>.</w:t>
      </w:r>
      <w:r>
        <w:rPr>
          <w:rFonts w:ascii="Times New Roman" w:eastAsia="Times New Roman" w:hAnsi="Times New Roman"/>
          <w:sz w:val="24"/>
          <w:szCs w:val="24"/>
        </w:rPr>
        <w:t xml:space="preserve"> </w:t>
      </w:r>
      <w:r w:rsidR="00515869">
        <w:rPr>
          <w:rFonts w:ascii="Times New Roman" w:eastAsia="Times New Roman" w:hAnsi="Times New Roman"/>
          <w:sz w:val="24"/>
          <w:szCs w:val="24"/>
        </w:rPr>
        <w:t xml:space="preserve"> The proposed changes streamline </w:t>
      </w:r>
      <w:r w:rsidR="008C4024">
        <w:rPr>
          <w:rFonts w:ascii="Times New Roman" w:eastAsia="Times New Roman" w:hAnsi="Times New Roman"/>
          <w:sz w:val="24"/>
          <w:szCs w:val="24"/>
        </w:rPr>
        <w:t>the information that licensees are required to include on recreational signs at each public access point</w:t>
      </w:r>
      <w:r w:rsidR="008C4024" w:rsidRPr="00C4624A">
        <w:rPr>
          <w:rFonts w:ascii="Times New Roman" w:eastAsia="Times New Roman" w:hAnsi="Times New Roman"/>
          <w:sz w:val="24"/>
          <w:szCs w:val="24"/>
        </w:rPr>
        <w:t xml:space="preserve">, </w:t>
      </w:r>
      <w:r w:rsidRPr="00C4624A">
        <w:rPr>
          <w:rFonts w:ascii="Times New Roman" w:eastAsia="Times New Roman" w:hAnsi="Times New Roman"/>
          <w:sz w:val="24"/>
          <w:szCs w:val="24"/>
        </w:rPr>
        <w:t>providing</w:t>
      </w:r>
      <w:r w:rsidR="00515869" w:rsidRPr="008634BD">
        <w:rPr>
          <w:rFonts w:ascii="Times New Roman" w:eastAsia="Times New Roman" w:hAnsi="Times New Roman"/>
          <w:sz w:val="24"/>
          <w:szCs w:val="24"/>
        </w:rPr>
        <w:t xml:space="preserve"> more</w:t>
      </w:r>
      <w:r w:rsidRPr="00C4624A">
        <w:rPr>
          <w:rFonts w:ascii="Times New Roman" w:eastAsia="Times New Roman" w:hAnsi="Times New Roman"/>
          <w:sz w:val="24"/>
          <w:szCs w:val="24"/>
        </w:rPr>
        <w:t xml:space="preserve"> flexibility to licensees </w:t>
      </w:r>
      <w:r w:rsidR="00515869" w:rsidRPr="008634BD">
        <w:rPr>
          <w:rFonts w:ascii="Times New Roman" w:eastAsia="Times New Roman" w:hAnsi="Times New Roman"/>
          <w:sz w:val="24"/>
          <w:szCs w:val="24"/>
        </w:rPr>
        <w:t>to design effective signage</w:t>
      </w:r>
      <w:r w:rsidR="008C4024" w:rsidRPr="008634BD">
        <w:rPr>
          <w:rFonts w:ascii="Times New Roman" w:eastAsia="Times New Roman" w:hAnsi="Times New Roman"/>
          <w:sz w:val="24"/>
          <w:szCs w:val="24"/>
        </w:rPr>
        <w:t xml:space="preserve"> strategies</w:t>
      </w:r>
      <w:r w:rsidR="00515869" w:rsidRPr="008634BD">
        <w:rPr>
          <w:rFonts w:ascii="Times New Roman" w:eastAsia="Times New Roman" w:hAnsi="Times New Roman"/>
          <w:sz w:val="24"/>
          <w:szCs w:val="24"/>
        </w:rPr>
        <w:t xml:space="preserve"> for their individual projects.  The proposed changes would also require licensees that have project websites </w:t>
      </w:r>
      <w:r w:rsidRPr="00C4624A">
        <w:rPr>
          <w:rFonts w:ascii="Times New Roman" w:eastAsia="Times New Roman" w:hAnsi="Times New Roman"/>
          <w:sz w:val="24"/>
          <w:szCs w:val="24"/>
        </w:rPr>
        <w:t>to post</w:t>
      </w:r>
      <w:r w:rsidR="00515869" w:rsidRPr="008634BD">
        <w:rPr>
          <w:rFonts w:ascii="Times New Roman" w:eastAsia="Times New Roman" w:hAnsi="Times New Roman"/>
          <w:sz w:val="24"/>
          <w:szCs w:val="24"/>
        </w:rPr>
        <w:t xml:space="preserve"> </w:t>
      </w:r>
      <w:r w:rsidR="008C4024" w:rsidRPr="008634BD">
        <w:rPr>
          <w:rFonts w:ascii="Times New Roman" w:eastAsia="Times New Roman" w:hAnsi="Times New Roman"/>
          <w:sz w:val="24"/>
          <w:szCs w:val="24"/>
        </w:rPr>
        <w:t xml:space="preserve">recreational use </w:t>
      </w:r>
      <w:r w:rsidRPr="00C4624A">
        <w:rPr>
          <w:rFonts w:ascii="Times New Roman" w:eastAsia="Times New Roman" w:hAnsi="Times New Roman"/>
          <w:sz w:val="24"/>
          <w:szCs w:val="24"/>
        </w:rPr>
        <w:t>information</w:t>
      </w:r>
      <w:r w:rsidR="00515869" w:rsidRPr="008634BD">
        <w:rPr>
          <w:rFonts w:ascii="Times New Roman" w:eastAsia="Times New Roman" w:hAnsi="Times New Roman"/>
          <w:sz w:val="24"/>
          <w:szCs w:val="24"/>
        </w:rPr>
        <w:t xml:space="preserve"> </w:t>
      </w:r>
      <w:r w:rsidRPr="00C4624A">
        <w:rPr>
          <w:rFonts w:ascii="Times New Roman" w:eastAsia="Times New Roman" w:hAnsi="Times New Roman"/>
          <w:sz w:val="24"/>
          <w:szCs w:val="24"/>
        </w:rPr>
        <w:t xml:space="preserve">on their websites </w:t>
      </w:r>
      <w:r w:rsidR="00515869" w:rsidRPr="008634BD">
        <w:rPr>
          <w:rFonts w:ascii="Times New Roman" w:eastAsia="Times New Roman" w:hAnsi="Times New Roman"/>
          <w:sz w:val="24"/>
          <w:szCs w:val="24"/>
        </w:rPr>
        <w:t>in addition to</w:t>
      </w:r>
      <w:r w:rsidR="008C4024" w:rsidRPr="008634BD">
        <w:rPr>
          <w:rFonts w:ascii="Times New Roman" w:eastAsia="Times New Roman" w:hAnsi="Times New Roman"/>
          <w:sz w:val="24"/>
          <w:szCs w:val="24"/>
        </w:rPr>
        <w:t xml:space="preserve"> existing requirements to</w:t>
      </w:r>
      <w:r w:rsidR="00515869" w:rsidRPr="008634BD">
        <w:rPr>
          <w:rFonts w:ascii="Times New Roman" w:eastAsia="Times New Roman" w:hAnsi="Times New Roman"/>
          <w:sz w:val="24"/>
          <w:szCs w:val="24"/>
        </w:rPr>
        <w:t xml:space="preserve"> </w:t>
      </w:r>
      <w:r w:rsidRPr="00C4624A">
        <w:rPr>
          <w:rFonts w:ascii="Times New Roman" w:eastAsia="Times New Roman" w:hAnsi="Times New Roman"/>
          <w:sz w:val="24"/>
          <w:szCs w:val="24"/>
        </w:rPr>
        <w:t xml:space="preserve">publish </w:t>
      </w:r>
      <w:r w:rsidR="00515869" w:rsidRPr="008634BD">
        <w:rPr>
          <w:rFonts w:ascii="Times New Roman" w:eastAsia="Times New Roman" w:hAnsi="Times New Roman"/>
          <w:sz w:val="24"/>
          <w:szCs w:val="24"/>
        </w:rPr>
        <w:t xml:space="preserve">this </w:t>
      </w:r>
      <w:r w:rsidRPr="00C4624A">
        <w:rPr>
          <w:rFonts w:ascii="Times New Roman" w:eastAsia="Times New Roman" w:hAnsi="Times New Roman"/>
          <w:sz w:val="24"/>
          <w:szCs w:val="24"/>
        </w:rPr>
        <w:t xml:space="preserve">information in local newspapers and </w:t>
      </w:r>
      <w:r w:rsidR="008C4024" w:rsidRPr="008634BD">
        <w:rPr>
          <w:rFonts w:ascii="Times New Roman" w:eastAsia="Times New Roman" w:hAnsi="Times New Roman"/>
          <w:sz w:val="24"/>
          <w:szCs w:val="24"/>
        </w:rPr>
        <w:t>to have it</w:t>
      </w:r>
      <w:r w:rsidRPr="00C4624A">
        <w:rPr>
          <w:rFonts w:ascii="Times New Roman" w:eastAsia="Times New Roman" w:hAnsi="Times New Roman"/>
          <w:sz w:val="24"/>
          <w:szCs w:val="24"/>
        </w:rPr>
        <w:t xml:space="preserve"> available for inspection in their local office</w:t>
      </w:r>
      <w:r w:rsidR="008C4024" w:rsidRPr="008634BD">
        <w:rPr>
          <w:rFonts w:ascii="Times New Roman" w:eastAsia="Times New Roman" w:hAnsi="Times New Roman"/>
          <w:sz w:val="24"/>
          <w:szCs w:val="24"/>
        </w:rPr>
        <w:t>s</w:t>
      </w:r>
      <w:r w:rsidRPr="00C4624A">
        <w:rPr>
          <w:rFonts w:ascii="Times New Roman" w:eastAsia="Times New Roman" w:hAnsi="Times New Roman"/>
          <w:sz w:val="24"/>
          <w:szCs w:val="24"/>
        </w:rPr>
        <w:t>.</w:t>
      </w:r>
    </w:p>
    <w:p w14:paraId="2D86CF7D" w14:textId="77777777" w:rsidR="00680C13" w:rsidRPr="00F1537F" w:rsidRDefault="00680C13" w:rsidP="00680C13">
      <w:pPr>
        <w:spacing w:after="0" w:line="240" w:lineRule="auto"/>
        <w:rPr>
          <w:rFonts w:ascii="Times New Roman" w:eastAsia="Times New Roman" w:hAnsi="Times New Roman"/>
          <w:sz w:val="24"/>
          <w:szCs w:val="24"/>
        </w:rPr>
      </w:pPr>
    </w:p>
    <w:p w14:paraId="27D2BFA2"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5B0E7FCB" w14:textId="77777777" w:rsidR="00F0627E" w:rsidRPr="00F1537F" w:rsidRDefault="00F0627E" w:rsidP="007445A8">
      <w:pPr>
        <w:spacing w:after="0" w:line="240" w:lineRule="auto"/>
        <w:rPr>
          <w:rFonts w:ascii="Times New Roman" w:hAnsi="Times New Roman"/>
          <w:sz w:val="24"/>
          <w:szCs w:val="24"/>
        </w:rPr>
      </w:pPr>
    </w:p>
    <w:p w14:paraId="564975B2" w14:textId="77777777" w:rsidR="00F0627E" w:rsidRPr="00F1537F" w:rsidRDefault="008C00AE"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F1537F">
        <w:rPr>
          <w:rFonts w:ascii="Times New Roman" w:hAnsi="Times New Roman"/>
          <w:sz w:val="24"/>
          <w:szCs w:val="24"/>
        </w:rPr>
        <w:t>If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p>
    <w:p w14:paraId="5B351D88" w14:textId="77777777" w:rsidR="00F0627E" w:rsidRPr="00F1537F" w:rsidRDefault="00F0627E" w:rsidP="007445A8">
      <w:pPr>
        <w:spacing w:after="0" w:line="240" w:lineRule="auto"/>
        <w:rPr>
          <w:rFonts w:ascii="Times New Roman" w:hAnsi="Times New Roman"/>
          <w:sz w:val="24"/>
          <w:szCs w:val="24"/>
        </w:rPr>
      </w:pPr>
    </w:p>
    <w:p w14:paraId="1FBACB84"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5C1E4A03" w14:textId="77777777" w:rsidR="00F0627E" w:rsidRPr="00F1537F" w:rsidRDefault="00F0627E" w:rsidP="007445A8">
      <w:pPr>
        <w:spacing w:after="0" w:line="240" w:lineRule="auto"/>
        <w:rPr>
          <w:rFonts w:ascii="Times New Roman" w:hAnsi="Times New Roman"/>
          <w:sz w:val="24"/>
          <w:szCs w:val="24"/>
        </w:rPr>
      </w:pPr>
    </w:p>
    <w:p w14:paraId="110A44BC"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51FBAC80" w14:textId="77777777" w:rsidR="00F0627E" w:rsidRPr="00F1537F" w:rsidRDefault="00F0627E" w:rsidP="00913164">
      <w:pPr>
        <w:spacing w:after="0" w:line="240" w:lineRule="auto"/>
        <w:ind w:left="360" w:hanging="360"/>
        <w:rPr>
          <w:rFonts w:ascii="Times New Roman" w:hAnsi="Times New Roman"/>
          <w:sz w:val="24"/>
          <w:szCs w:val="24"/>
        </w:rPr>
      </w:pPr>
    </w:p>
    <w:p w14:paraId="3F1579ED"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35F34141" w14:textId="77777777" w:rsidR="00F0627E" w:rsidRPr="00F1537F" w:rsidRDefault="00F0627E" w:rsidP="007445A8">
      <w:pPr>
        <w:spacing w:after="0" w:line="240" w:lineRule="auto"/>
        <w:rPr>
          <w:rFonts w:ascii="Times New Roman" w:hAnsi="Times New Roman"/>
          <w:sz w:val="24"/>
          <w:szCs w:val="24"/>
        </w:rPr>
      </w:pPr>
    </w:p>
    <w:p w14:paraId="501B3161" w14:textId="4A95E780" w:rsidR="00590632" w:rsidRDefault="00913164" w:rsidP="00913164">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6E159B">
        <w:rPr>
          <w:rFonts w:ascii="Times New Roman" w:hAnsi="Times New Roman"/>
          <w:sz w:val="24"/>
          <w:szCs w:val="24"/>
        </w:rPr>
        <w:t xml:space="preserve">(issued 5/17/2018) </w:t>
      </w:r>
      <w:r w:rsidR="006128B2" w:rsidRPr="006128B2">
        <w:rPr>
          <w:rFonts w:ascii="Times New Roman" w:hAnsi="Times New Roman"/>
          <w:sz w:val="24"/>
          <w:szCs w:val="24"/>
        </w:rPr>
        <w:t xml:space="preserve">is being </w:t>
      </w:r>
      <w:r w:rsidRPr="006128B2">
        <w:rPr>
          <w:rFonts w:ascii="Times New Roman" w:hAnsi="Times New Roman"/>
          <w:sz w:val="24"/>
          <w:szCs w:val="24"/>
        </w:rPr>
        <w:t>published in the Federal Register</w:t>
      </w:r>
      <w:r w:rsidR="001C34B8">
        <w:rPr>
          <w:rFonts w:ascii="Times New Roman" w:hAnsi="Times New Roman"/>
          <w:sz w:val="24"/>
          <w:szCs w:val="24"/>
        </w:rPr>
        <w:t xml:space="preserve"> on 5/23/2018</w:t>
      </w:r>
      <w:r w:rsidR="00413357" w:rsidRPr="001968EA">
        <w:rPr>
          <w:rStyle w:val="FootnoteReference"/>
          <w:rFonts w:ascii="Times New Roman" w:hAnsi="Times New Roman"/>
          <w:sz w:val="24"/>
          <w:szCs w:val="24"/>
          <w:vertAlign w:val="superscript"/>
        </w:rPr>
        <w:footnoteReference w:id="14"/>
      </w:r>
      <w:r w:rsidRPr="006128B2">
        <w:rPr>
          <w:rFonts w:ascii="Times New Roman" w:hAnsi="Times New Roman"/>
          <w:sz w:val="24"/>
          <w:szCs w:val="24"/>
        </w:rPr>
        <w:t>.</w:t>
      </w:r>
    </w:p>
    <w:p w14:paraId="3E423D1E" w14:textId="77777777" w:rsidR="00913164" w:rsidRPr="00F1537F" w:rsidRDefault="00913164" w:rsidP="00913164">
      <w:pPr>
        <w:pStyle w:val="ListParagraph"/>
        <w:spacing w:after="0" w:line="240" w:lineRule="auto"/>
        <w:ind w:left="0"/>
        <w:rPr>
          <w:rFonts w:ascii="Times New Roman" w:hAnsi="Times New Roman"/>
          <w:b/>
          <w:sz w:val="24"/>
          <w:szCs w:val="24"/>
        </w:rPr>
      </w:pPr>
    </w:p>
    <w:p w14:paraId="0E2F6A70"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4C13098D" w14:textId="77777777" w:rsidR="00F0627E" w:rsidRPr="00F1537F" w:rsidRDefault="00F0627E" w:rsidP="007445A8">
      <w:pPr>
        <w:spacing w:after="0" w:line="240" w:lineRule="auto"/>
        <w:rPr>
          <w:rFonts w:ascii="Times New Roman" w:hAnsi="Times New Roman"/>
          <w:sz w:val="24"/>
          <w:szCs w:val="24"/>
        </w:rPr>
      </w:pPr>
    </w:p>
    <w:p w14:paraId="11624F46"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0387FD3C" w14:textId="77777777" w:rsidR="00F0627E" w:rsidRPr="00F1537F" w:rsidRDefault="00F0627E" w:rsidP="007445A8">
      <w:pPr>
        <w:spacing w:after="0" w:line="240" w:lineRule="auto"/>
        <w:rPr>
          <w:rFonts w:ascii="Times New Roman" w:hAnsi="Times New Roman"/>
          <w:sz w:val="24"/>
          <w:szCs w:val="24"/>
        </w:rPr>
      </w:pPr>
    </w:p>
    <w:p w14:paraId="130AA13E"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19D89514" w14:textId="77777777" w:rsidR="00F0627E" w:rsidRPr="00F1537F" w:rsidRDefault="00F0627E" w:rsidP="007445A8">
      <w:pPr>
        <w:spacing w:after="0" w:line="240" w:lineRule="auto"/>
        <w:rPr>
          <w:rFonts w:ascii="Times New Roman" w:hAnsi="Times New Roman"/>
          <w:sz w:val="24"/>
          <w:szCs w:val="24"/>
        </w:rPr>
      </w:pPr>
    </w:p>
    <w:p w14:paraId="24DBD3AB" w14:textId="5006D9C6"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205411D4" w14:textId="77777777" w:rsidR="00F0627E" w:rsidRPr="00F1537F" w:rsidRDefault="00F0627E" w:rsidP="007445A8">
      <w:pPr>
        <w:spacing w:after="0" w:line="240" w:lineRule="auto"/>
        <w:rPr>
          <w:rFonts w:ascii="Times New Roman" w:hAnsi="Times New Roman"/>
          <w:sz w:val="24"/>
          <w:szCs w:val="24"/>
        </w:rPr>
      </w:pPr>
    </w:p>
    <w:p w14:paraId="543CA929"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6327E1C" w14:textId="77777777" w:rsidR="00F0627E" w:rsidRPr="00F1537F" w:rsidRDefault="00F0627E" w:rsidP="007445A8">
      <w:pPr>
        <w:spacing w:after="0" w:line="240" w:lineRule="auto"/>
        <w:rPr>
          <w:rFonts w:ascii="Times New Roman" w:hAnsi="Times New Roman"/>
          <w:sz w:val="24"/>
          <w:szCs w:val="24"/>
        </w:rPr>
      </w:pPr>
    </w:p>
    <w:p w14:paraId="4A1CC77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4D1C40FF" w14:textId="77777777" w:rsidR="00F0627E" w:rsidRPr="00F1537F" w:rsidRDefault="00F0627E" w:rsidP="007445A8">
      <w:pPr>
        <w:spacing w:after="0" w:line="240" w:lineRule="auto"/>
        <w:rPr>
          <w:rFonts w:ascii="Times New Roman" w:hAnsi="Times New Roman"/>
          <w:sz w:val="24"/>
          <w:szCs w:val="24"/>
        </w:rPr>
      </w:pPr>
    </w:p>
    <w:p w14:paraId="4FF655A5" w14:textId="77777777" w:rsidR="00F0627E" w:rsidRPr="00F1537F" w:rsidRDefault="00F0627E" w:rsidP="00913164">
      <w:pPr>
        <w:pStyle w:val="ListParagraph"/>
        <w:numPr>
          <w:ilvl w:val="0"/>
          <w:numId w:val="14"/>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38408112" w14:textId="77777777" w:rsidR="00AD2C01"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0938AD58" w14:textId="77777777" w:rsidR="00ED6497" w:rsidRDefault="00AD2C01" w:rsidP="00ED6497">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NOPR follow.  </w:t>
      </w:r>
    </w:p>
    <w:p w14:paraId="7308B7BD" w14:textId="77777777" w:rsidR="00ED6497" w:rsidRDefault="00ED6497" w:rsidP="00ED6497">
      <w:pPr>
        <w:spacing w:after="0" w:line="240" w:lineRule="auto"/>
        <w:rPr>
          <w:rFonts w:ascii="Times New Roman" w:hAnsi="Times New Roman"/>
          <w:sz w:val="24"/>
          <w:szCs w:val="24"/>
        </w:rPr>
      </w:pPr>
    </w:p>
    <w:p w14:paraId="3C5F7885" w14:textId="73302606" w:rsidR="00ED6497" w:rsidRPr="00ED6497" w:rsidRDefault="00ED6497" w:rsidP="00ED6497">
      <w:pPr>
        <w:spacing w:after="0" w:line="240" w:lineRule="auto"/>
        <w:rPr>
          <w:rFonts w:ascii="Times New Roman" w:hAnsi="Times New Roman"/>
          <w:bCs/>
          <w:sz w:val="24"/>
          <w:szCs w:val="24"/>
        </w:rPr>
      </w:pPr>
      <w:r w:rsidRPr="00ED6497">
        <w:rPr>
          <w:rFonts w:ascii="Times New Roman" w:hAnsi="Times New Roman"/>
          <w:b/>
          <w:bCs/>
          <w:i/>
          <w:sz w:val="24"/>
          <w:szCs w:val="24"/>
        </w:rPr>
        <w:t>FERC-80.</w:t>
      </w:r>
      <w:r>
        <w:rPr>
          <w:rFonts w:ascii="Times New Roman" w:hAnsi="Times New Roman"/>
          <w:bCs/>
          <w:i/>
          <w:sz w:val="24"/>
          <w:szCs w:val="24"/>
        </w:rPr>
        <w:t xml:space="preserve">  </w:t>
      </w:r>
      <w:r w:rsidRPr="00ED6497">
        <w:rPr>
          <w:rFonts w:ascii="Times New Roman" w:hAnsi="Times New Roman"/>
          <w:bCs/>
          <w:i/>
          <w:sz w:val="24"/>
          <w:szCs w:val="24"/>
        </w:rPr>
        <w:t xml:space="preserve">Please note that the </w:t>
      </w:r>
      <w:r>
        <w:rPr>
          <w:rFonts w:ascii="Times New Roman" w:hAnsi="Times New Roman"/>
          <w:bCs/>
          <w:i/>
          <w:sz w:val="24"/>
          <w:szCs w:val="24"/>
        </w:rPr>
        <w:t xml:space="preserve">entire </w:t>
      </w:r>
      <w:r w:rsidRPr="00ED6497">
        <w:rPr>
          <w:rFonts w:ascii="Times New Roman" w:hAnsi="Times New Roman"/>
          <w:bCs/>
          <w:i/>
          <w:sz w:val="24"/>
          <w:szCs w:val="24"/>
        </w:rPr>
        <w:t>Form 80 is proposed for deletion in the NOPR in RM18-14</w:t>
      </w:r>
      <w:r>
        <w:rPr>
          <w:rFonts w:ascii="Times New Roman" w:hAnsi="Times New Roman"/>
          <w:bCs/>
          <w:i/>
          <w:sz w:val="24"/>
          <w:szCs w:val="24"/>
        </w:rPr>
        <w:t>, as shown in the table below</w:t>
      </w:r>
      <w:r w:rsidRPr="00ED6497">
        <w:rPr>
          <w:rFonts w:ascii="Times New Roman" w:hAnsi="Times New Roman"/>
          <w:bCs/>
          <w:i/>
          <w:sz w:val="24"/>
          <w:szCs w:val="24"/>
        </w:rPr>
        <w:t xml:space="preserve">.  However we are retaining placeholders of 1 response and 1 burden hour in </w:t>
      </w:r>
      <w:r w:rsidR="00D44FCA">
        <w:rPr>
          <w:rFonts w:ascii="Times New Roman" w:hAnsi="Times New Roman"/>
          <w:bCs/>
          <w:i/>
          <w:sz w:val="24"/>
          <w:szCs w:val="24"/>
        </w:rPr>
        <w:t>Question 15 below</w:t>
      </w:r>
      <w:r w:rsidR="00413357">
        <w:rPr>
          <w:rFonts w:ascii="Times New Roman" w:hAnsi="Times New Roman"/>
          <w:bCs/>
          <w:i/>
          <w:sz w:val="24"/>
          <w:szCs w:val="24"/>
        </w:rPr>
        <w:t xml:space="preserve">, </w:t>
      </w:r>
      <w:r w:rsidR="00D44FCA">
        <w:rPr>
          <w:rFonts w:ascii="Times New Roman" w:hAnsi="Times New Roman"/>
          <w:bCs/>
          <w:i/>
          <w:sz w:val="24"/>
          <w:szCs w:val="24"/>
        </w:rPr>
        <w:t xml:space="preserve">in </w:t>
      </w:r>
      <w:r w:rsidRPr="00ED6497">
        <w:rPr>
          <w:rFonts w:ascii="Times New Roman" w:hAnsi="Times New Roman"/>
          <w:bCs/>
          <w:i/>
          <w:sz w:val="24"/>
          <w:szCs w:val="24"/>
        </w:rPr>
        <w:t>ROCIS</w:t>
      </w:r>
      <w:r w:rsidR="00413357">
        <w:rPr>
          <w:rFonts w:ascii="Times New Roman" w:hAnsi="Times New Roman"/>
          <w:bCs/>
          <w:i/>
          <w:sz w:val="24"/>
          <w:szCs w:val="24"/>
        </w:rPr>
        <w:t>,</w:t>
      </w:r>
      <w:r w:rsidRPr="00ED6497">
        <w:rPr>
          <w:rFonts w:ascii="Times New Roman" w:hAnsi="Times New Roman"/>
          <w:bCs/>
          <w:i/>
          <w:sz w:val="24"/>
          <w:szCs w:val="24"/>
        </w:rPr>
        <w:t xml:space="preserve"> and </w:t>
      </w:r>
      <w:r w:rsidR="00413357">
        <w:rPr>
          <w:rFonts w:ascii="Times New Roman" w:hAnsi="Times New Roman"/>
          <w:bCs/>
          <w:i/>
          <w:sz w:val="24"/>
          <w:szCs w:val="24"/>
        </w:rPr>
        <w:t xml:space="preserve">at </w:t>
      </w:r>
      <w:hyperlink r:id="rId14" w:history="1">
        <w:r w:rsidR="00413357" w:rsidRPr="00413357">
          <w:rPr>
            <w:rStyle w:val="Hyperlink"/>
            <w:rFonts w:ascii="Times New Roman" w:hAnsi="Times New Roman"/>
            <w:bCs/>
            <w:i/>
            <w:sz w:val="24"/>
            <w:szCs w:val="24"/>
          </w:rPr>
          <w:t>www.</w:t>
        </w:r>
        <w:r w:rsidRPr="00413357">
          <w:rPr>
            <w:rStyle w:val="Hyperlink"/>
            <w:rFonts w:ascii="Times New Roman" w:hAnsi="Times New Roman"/>
            <w:bCs/>
            <w:i/>
            <w:sz w:val="24"/>
            <w:szCs w:val="24"/>
          </w:rPr>
          <w:t>reginfo.gov</w:t>
        </w:r>
      </w:hyperlink>
      <w:r>
        <w:rPr>
          <w:rFonts w:ascii="Times New Roman" w:hAnsi="Times New Roman"/>
          <w:bCs/>
          <w:i/>
          <w:sz w:val="24"/>
          <w:szCs w:val="24"/>
        </w:rPr>
        <w:t xml:space="preserve"> at this proposed rulemaking stage.  If</w:t>
      </w:r>
      <w:r w:rsidR="00413357">
        <w:rPr>
          <w:rFonts w:ascii="Times New Roman" w:hAnsi="Times New Roman"/>
          <w:bCs/>
          <w:i/>
          <w:sz w:val="24"/>
          <w:szCs w:val="24"/>
        </w:rPr>
        <w:t>,</w:t>
      </w:r>
      <w:r>
        <w:rPr>
          <w:rFonts w:ascii="Times New Roman" w:hAnsi="Times New Roman"/>
          <w:bCs/>
          <w:i/>
          <w:sz w:val="24"/>
          <w:szCs w:val="24"/>
        </w:rPr>
        <w:t xml:space="preserve"> and when</w:t>
      </w:r>
      <w:r w:rsidR="00413357">
        <w:rPr>
          <w:rFonts w:ascii="Times New Roman" w:hAnsi="Times New Roman"/>
          <w:bCs/>
          <w:i/>
          <w:sz w:val="24"/>
          <w:szCs w:val="24"/>
        </w:rPr>
        <w:t>,</w:t>
      </w:r>
      <w:r>
        <w:rPr>
          <w:rFonts w:ascii="Times New Roman" w:hAnsi="Times New Roman"/>
          <w:bCs/>
          <w:i/>
          <w:sz w:val="24"/>
          <w:szCs w:val="24"/>
        </w:rPr>
        <w:t xml:space="preserve"> the related Final Rule </w:t>
      </w:r>
      <w:r w:rsidR="00413357">
        <w:rPr>
          <w:rFonts w:ascii="Times New Roman" w:hAnsi="Times New Roman"/>
          <w:bCs/>
          <w:i/>
          <w:sz w:val="24"/>
          <w:szCs w:val="24"/>
        </w:rPr>
        <w:t>approves the</w:t>
      </w:r>
      <w:r>
        <w:rPr>
          <w:rFonts w:ascii="Times New Roman" w:hAnsi="Times New Roman"/>
          <w:bCs/>
          <w:i/>
          <w:sz w:val="24"/>
          <w:szCs w:val="24"/>
        </w:rPr>
        <w:t xml:space="preserve"> deleti</w:t>
      </w:r>
      <w:r w:rsidR="00413357">
        <w:rPr>
          <w:rFonts w:ascii="Times New Roman" w:hAnsi="Times New Roman"/>
          <w:bCs/>
          <w:i/>
          <w:sz w:val="24"/>
          <w:szCs w:val="24"/>
        </w:rPr>
        <w:t>on</w:t>
      </w:r>
      <w:r>
        <w:rPr>
          <w:rFonts w:ascii="Times New Roman" w:hAnsi="Times New Roman"/>
          <w:bCs/>
          <w:i/>
          <w:sz w:val="24"/>
          <w:szCs w:val="24"/>
        </w:rPr>
        <w:t xml:space="preserve"> </w:t>
      </w:r>
      <w:r w:rsidR="00CC52A8">
        <w:rPr>
          <w:rFonts w:ascii="Times New Roman" w:hAnsi="Times New Roman"/>
          <w:bCs/>
          <w:i/>
          <w:sz w:val="24"/>
          <w:szCs w:val="24"/>
        </w:rPr>
        <w:t xml:space="preserve">of </w:t>
      </w:r>
      <w:r>
        <w:rPr>
          <w:rFonts w:ascii="Times New Roman" w:hAnsi="Times New Roman"/>
          <w:bCs/>
          <w:i/>
          <w:sz w:val="24"/>
          <w:szCs w:val="24"/>
        </w:rPr>
        <w:t xml:space="preserve">the Form 80, the </w:t>
      </w:r>
      <w:r w:rsidR="001968EA">
        <w:rPr>
          <w:rFonts w:ascii="Times New Roman" w:hAnsi="Times New Roman"/>
          <w:bCs/>
          <w:i/>
          <w:sz w:val="24"/>
          <w:szCs w:val="24"/>
        </w:rPr>
        <w:t xml:space="preserve">PRA </w:t>
      </w:r>
      <w:r>
        <w:rPr>
          <w:rFonts w:ascii="Times New Roman" w:hAnsi="Times New Roman"/>
          <w:bCs/>
          <w:i/>
          <w:sz w:val="24"/>
          <w:szCs w:val="24"/>
        </w:rPr>
        <w:t xml:space="preserve">submittal </w:t>
      </w:r>
      <w:r w:rsidR="001968EA">
        <w:rPr>
          <w:rFonts w:ascii="Times New Roman" w:hAnsi="Times New Roman"/>
          <w:bCs/>
          <w:i/>
          <w:sz w:val="24"/>
          <w:szCs w:val="24"/>
        </w:rPr>
        <w:t xml:space="preserve">to OMB </w:t>
      </w:r>
      <w:r>
        <w:rPr>
          <w:rFonts w:ascii="Times New Roman" w:hAnsi="Times New Roman"/>
          <w:bCs/>
          <w:i/>
          <w:sz w:val="24"/>
          <w:szCs w:val="24"/>
        </w:rPr>
        <w:t xml:space="preserve">will </w:t>
      </w:r>
      <w:r w:rsidR="00413357">
        <w:rPr>
          <w:rFonts w:ascii="Times New Roman" w:hAnsi="Times New Roman"/>
          <w:bCs/>
          <w:i/>
          <w:sz w:val="24"/>
          <w:szCs w:val="24"/>
        </w:rPr>
        <w:t>remove</w:t>
      </w:r>
      <w:r>
        <w:rPr>
          <w:rFonts w:ascii="Times New Roman" w:hAnsi="Times New Roman"/>
          <w:bCs/>
          <w:i/>
          <w:sz w:val="24"/>
          <w:szCs w:val="24"/>
        </w:rPr>
        <w:t xml:space="preserve"> the entire burden (of 201 annual hours) for the </w:t>
      </w:r>
      <w:r w:rsidR="00F84151">
        <w:rPr>
          <w:rFonts w:ascii="Times New Roman" w:hAnsi="Times New Roman"/>
          <w:bCs/>
          <w:i/>
          <w:sz w:val="24"/>
          <w:szCs w:val="24"/>
        </w:rPr>
        <w:t>Form 80</w:t>
      </w:r>
      <w:r w:rsidR="002F3E65">
        <w:rPr>
          <w:rFonts w:ascii="Times New Roman" w:hAnsi="Times New Roman"/>
          <w:bCs/>
          <w:i/>
          <w:sz w:val="24"/>
          <w:szCs w:val="24"/>
        </w:rPr>
        <w:t>, as shown in the following table</w:t>
      </w:r>
      <w:r>
        <w:rPr>
          <w:rFonts w:ascii="Times New Roman" w:hAnsi="Times New Roman"/>
          <w:bCs/>
          <w:i/>
          <w:sz w:val="24"/>
          <w:szCs w:val="24"/>
        </w:rPr>
        <w:t>.</w:t>
      </w:r>
    </w:p>
    <w:p w14:paraId="1DA4591F" w14:textId="77777777" w:rsidR="00AD2C01" w:rsidRDefault="00AD2C01" w:rsidP="007445A8">
      <w:pPr>
        <w:spacing w:after="0" w:line="240" w:lineRule="auto"/>
        <w:rPr>
          <w:rFonts w:ascii="Times New Roman" w:hAnsi="Times New Roman"/>
          <w:sz w:val="24"/>
          <w:szCs w:val="24"/>
        </w:rPr>
      </w:pPr>
    </w:p>
    <w:p w14:paraId="44FBBBF9" w14:textId="77777777" w:rsidR="00AD2C01" w:rsidRDefault="00AD2C01" w:rsidP="007445A8">
      <w:pPr>
        <w:spacing w:after="0" w:line="240" w:lineRule="auto"/>
        <w:rPr>
          <w:rFonts w:ascii="Times New Roman" w:hAnsi="Times New Roman"/>
          <w:sz w:val="24"/>
          <w:szCs w:val="24"/>
        </w:rPr>
      </w:pPr>
    </w:p>
    <w:tbl>
      <w:tblPr>
        <w:tblW w:w="5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106"/>
        <w:gridCol w:w="1198"/>
        <w:gridCol w:w="1291"/>
        <w:gridCol w:w="1566"/>
        <w:gridCol w:w="1659"/>
        <w:gridCol w:w="1474"/>
      </w:tblGrid>
      <w:tr w:rsidR="00AD2C01" w:rsidRPr="00AD2C01" w14:paraId="77FA167E" w14:textId="77777777" w:rsidTr="00ED6497">
        <w:trPr>
          <w:cantSplit/>
          <w:trHeight w:val="241"/>
          <w:tblHeader/>
          <w:jc w:val="right"/>
        </w:trPr>
        <w:tc>
          <w:tcPr>
            <w:tcW w:w="5000" w:type="pct"/>
            <w:gridSpan w:val="7"/>
            <w:tcBorders>
              <w:bottom w:val="single" w:sz="4" w:space="0" w:color="auto"/>
            </w:tcBorders>
            <w:shd w:val="clear" w:color="auto" w:fill="D9D9D9"/>
          </w:tcPr>
          <w:p w14:paraId="086724C4" w14:textId="77777777" w:rsidR="00AD2C01" w:rsidRPr="00AD2C01" w:rsidRDefault="00AD2C01" w:rsidP="00AD2C01">
            <w:pPr>
              <w:autoSpaceDE w:val="0"/>
              <w:autoSpaceDN w:val="0"/>
              <w:adjustRightInd w:val="0"/>
              <w:spacing w:after="0" w:line="240" w:lineRule="auto"/>
              <w:jc w:val="center"/>
              <w:rPr>
                <w:rFonts w:ascii="Times New Roman" w:hAnsi="Times New Roman"/>
                <w:b/>
                <w:sz w:val="26"/>
                <w:szCs w:val="20"/>
              </w:rPr>
            </w:pPr>
            <w:r w:rsidRPr="00AD2C01">
              <w:rPr>
                <w:rFonts w:ascii="Times New Roman" w:eastAsia="Times New Roman" w:hAnsi="Times New Roman"/>
                <w:b/>
                <w:sz w:val="26"/>
                <w:szCs w:val="24"/>
              </w:rPr>
              <w:t>Annual Changes Proposed by the NOPR in Docket No. RM18-14-000</w:t>
            </w:r>
            <w:r w:rsidRPr="00AD2C01">
              <w:rPr>
                <w:rFonts w:ascii="Times New Roman" w:eastAsia="Times New Roman" w:hAnsi="Times New Roman"/>
                <w:sz w:val="26"/>
                <w:szCs w:val="26"/>
                <w:vertAlign w:val="superscript"/>
              </w:rPr>
              <w:footnoteReference w:id="16"/>
            </w:r>
          </w:p>
        </w:tc>
      </w:tr>
      <w:tr w:rsidR="00AD2C01" w:rsidRPr="00AD2C01" w14:paraId="17A07B8C" w14:textId="77777777" w:rsidTr="00ED6497">
        <w:trPr>
          <w:cantSplit/>
          <w:trHeight w:val="1259"/>
          <w:tblHeader/>
          <w:jc w:val="right"/>
        </w:trPr>
        <w:tc>
          <w:tcPr>
            <w:tcW w:w="831" w:type="pct"/>
            <w:shd w:val="clear" w:color="auto" w:fill="D9D9D9"/>
          </w:tcPr>
          <w:p w14:paraId="503DCED1" w14:textId="77777777" w:rsidR="00AD2C01" w:rsidRPr="00AD2C01" w:rsidRDefault="00AD2C01" w:rsidP="00AD2C01">
            <w:pPr>
              <w:spacing w:after="0" w:line="240" w:lineRule="auto"/>
              <w:jc w:val="center"/>
              <w:rPr>
                <w:rFonts w:ascii="Times New Roman" w:hAnsi="Times New Roman"/>
                <w:b/>
                <w:sz w:val="26"/>
                <w:szCs w:val="20"/>
              </w:rPr>
            </w:pPr>
          </w:p>
        </w:tc>
        <w:tc>
          <w:tcPr>
            <w:tcW w:w="556" w:type="pct"/>
            <w:shd w:val="clear" w:color="auto" w:fill="D9D9D9"/>
            <w:vAlign w:val="bottom"/>
          </w:tcPr>
          <w:p w14:paraId="6E34094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Respondents</w:t>
            </w:r>
          </w:p>
          <w:p w14:paraId="5D5400F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w:t>
            </w:r>
          </w:p>
        </w:tc>
        <w:tc>
          <w:tcPr>
            <w:tcW w:w="602" w:type="pct"/>
            <w:shd w:val="clear" w:color="auto" w:fill="D9D9D9"/>
            <w:vAlign w:val="bottom"/>
          </w:tcPr>
          <w:p w14:paraId="7AB500FA"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Responses per Respondent</w:t>
            </w:r>
          </w:p>
          <w:p w14:paraId="0CF37873"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(2)</w:t>
            </w:r>
          </w:p>
        </w:tc>
        <w:tc>
          <w:tcPr>
            <w:tcW w:w="649" w:type="pct"/>
            <w:shd w:val="clear" w:color="auto" w:fill="D9D9D9"/>
            <w:vAlign w:val="bottom"/>
          </w:tcPr>
          <w:p w14:paraId="7360908B"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Total No. of Responses</w:t>
            </w:r>
          </w:p>
          <w:p w14:paraId="5A960A3F"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(1)X(2)=(3)</w:t>
            </w:r>
          </w:p>
        </w:tc>
        <w:tc>
          <w:tcPr>
            <w:tcW w:w="787" w:type="pct"/>
            <w:shd w:val="clear" w:color="auto" w:fill="D9D9D9"/>
            <w:vAlign w:val="bottom"/>
          </w:tcPr>
          <w:p w14:paraId="49140680"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Avg. Burden Hrs. &amp; Cost Per Response</w:t>
            </w:r>
          </w:p>
          <w:p w14:paraId="204A40C2"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(4)</w:t>
            </w:r>
          </w:p>
        </w:tc>
        <w:tc>
          <w:tcPr>
            <w:tcW w:w="834" w:type="pct"/>
            <w:shd w:val="clear" w:color="auto" w:fill="D9D9D9"/>
            <w:vAlign w:val="bottom"/>
          </w:tcPr>
          <w:p w14:paraId="5BA3074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 xml:space="preserve">Total Annual Burden Hours &amp; Total Annual Cost </w:t>
            </w:r>
          </w:p>
          <w:p w14:paraId="185BF0F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(3)X(4)=5</w:t>
            </w:r>
          </w:p>
        </w:tc>
        <w:tc>
          <w:tcPr>
            <w:tcW w:w="741" w:type="pct"/>
            <w:shd w:val="clear" w:color="auto" w:fill="D9D9D9"/>
            <w:vAlign w:val="bottom"/>
          </w:tcPr>
          <w:p w14:paraId="1A38CF7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Cost per Respondent ($)</w:t>
            </w:r>
          </w:p>
          <w:p w14:paraId="107C9D05"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(5)/(1)</w:t>
            </w:r>
          </w:p>
        </w:tc>
      </w:tr>
      <w:tr w:rsidR="00AD2C01" w:rsidRPr="00AD2C01" w14:paraId="3B9D8054" w14:textId="77777777" w:rsidTr="00ED6497">
        <w:trPr>
          <w:cantSplit/>
          <w:trHeight w:val="509"/>
          <w:jc w:val="right"/>
        </w:trPr>
        <w:tc>
          <w:tcPr>
            <w:tcW w:w="831" w:type="pct"/>
            <w:vAlign w:val="bottom"/>
          </w:tcPr>
          <w:p w14:paraId="02B05C37"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FERC-80 (reduction)</w:t>
            </w:r>
            <w:r w:rsidRPr="00AD2C01">
              <w:rPr>
                <w:rFonts w:ascii="Times New Roman" w:hAnsi="Times New Roman"/>
                <w:b/>
                <w:sz w:val="26"/>
                <w:szCs w:val="26"/>
                <w:vertAlign w:val="superscript"/>
              </w:rPr>
              <w:footnoteReference w:id="17"/>
            </w:r>
          </w:p>
        </w:tc>
        <w:tc>
          <w:tcPr>
            <w:tcW w:w="556" w:type="pct"/>
            <w:vAlign w:val="bottom"/>
          </w:tcPr>
          <w:p w14:paraId="42CE5FDB"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400</w:t>
            </w:r>
          </w:p>
        </w:tc>
        <w:tc>
          <w:tcPr>
            <w:tcW w:w="602" w:type="pct"/>
            <w:vAlign w:val="bottom"/>
          </w:tcPr>
          <w:p w14:paraId="02401F0B"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0.167</w:t>
            </w:r>
            <w:r w:rsidRPr="00AD2C01">
              <w:rPr>
                <w:rFonts w:ascii="Times New Roman" w:hAnsi="Times New Roman"/>
                <w:b/>
                <w:sz w:val="26"/>
                <w:szCs w:val="26"/>
                <w:vertAlign w:val="superscript"/>
              </w:rPr>
              <w:footnoteReference w:id="18"/>
            </w:r>
          </w:p>
        </w:tc>
        <w:tc>
          <w:tcPr>
            <w:tcW w:w="649" w:type="pct"/>
            <w:vAlign w:val="bottom"/>
          </w:tcPr>
          <w:p w14:paraId="70F3A23D"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67 (rounded)</w:t>
            </w:r>
          </w:p>
        </w:tc>
        <w:tc>
          <w:tcPr>
            <w:tcW w:w="787" w:type="pct"/>
            <w:vAlign w:val="bottom"/>
          </w:tcPr>
          <w:p w14:paraId="4DA3F5A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3 hrs.; $224 (rounded); (reduction)</w:t>
            </w:r>
          </w:p>
        </w:tc>
        <w:tc>
          <w:tcPr>
            <w:tcW w:w="834" w:type="pct"/>
            <w:vAlign w:val="bottom"/>
          </w:tcPr>
          <w:p w14:paraId="2614AD77"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201 hrs.; $14,974.50 (rounded); (reduction)</w:t>
            </w:r>
          </w:p>
        </w:tc>
        <w:tc>
          <w:tcPr>
            <w:tcW w:w="741" w:type="pct"/>
            <w:vAlign w:val="bottom"/>
          </w:tcPr>
          <w:p w14:paraId="024F69E1"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$224 (reduction)</w:t>
            </w:r>
          </w:p>
        </w:tc>
      </w:tr>
      <w:tr w:rsidR="00AD2C01" w:rsidRPr="00AD2C01" w14:paraId="16E4014C" w14:textId="77777777" w:rsidTr="00BF189C">
        <w:trPr>
          <w:cantSplit/>
          <w:trHeight w:val="241"/>
          <w:jc w:val="right"/>
        </w:trPr>
        <w:tc>
          <w:tcPr>
            <w:tcW w:w="831" w:type="pct"/>
            <w:vAlign w:val="bottom"/>
          </w:tcPr>
          <w:p w14:paraId="2450FB13"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FERC-500 </w:t>
            </w:r>
          </w:p>
        </w:tc>
        <w:tc>
          <w:tcPr>
            <w:tcW w:w="556" w:type="pct"/>
            <w:vAlign w:val="bottom"/>
          </w:tcPr>
          <w:p w14:paraId="51BCC93D"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429</w:t>
            </w:r>
            <w:r w:rsidRPr="00AD2C01">
              <w:rPr>
                <w:rFonts w:ascii="Times New Roman" w:hAnsi="Times New Roman"/>
                <w:b/>
                <w:sz w:val="26"/>
                <w:szCs w:val="26"/>
                <w:vertAlign w:val="superscript"/>
              </w:rPr>
              <w:footnoteReference w:id="19"/>
            </w:r>
          </w:p>
        </w:tc>
        <w:tc>
          <w:tcPr>
            <w:tcW w:w="602" w:type="pct"/>
            <w:vAlign w:val="bottom"/>
          </w:tcPr>
          <w:p w14:paraId="528111F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3C9BCEC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429</w:t>
            </w:r>
          </w:p>
        </w:tc>
        <w:tc>
          <w:tcPr>
            <w:tcW w:w="787" w:type="pct"/>
            <w:vAlign w:val="bottom"/>
          </w:tcPr>
          <w:p w14:paraId="4059A20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49A8F327"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215 hrs.; $11,484 (rounded)</w:t>
            </w:r>
          </w:p>
        </w:tc>
        <w:tc>
          <w:tcPr>
            <w:tcW w:w="741" w:type="pct"/>
            <w:vAlign w:val="bottom"/>
          </w:tcPr>
          <w:p w14:paraId="7185037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r w:rsidR="00AD2C01" w:rsidRPr="00AD2C01" w14:paraId="1714B0F3" w14:textId="77777777" w:rsidTr="00BF189C">
        <w:trPr>
          <w:cantSplit/>
          <w:trHeight w:val="482"/>
          <w:jc w:val="right"/>
        </w:trPr>
        <w:tc>
          <w:tcPr>
            <w:tcW w:w="831" w:type="pct"/>
            <w:vAlign w:val="bottom"/>
          </w:tcPr>
          <w:p w14:paraId="44127249"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FERC-505 </w:t>
            </w:r>
          </w:p>
        </w:tc>
        <w:tc>
          <w:tcPr>
            <w:tcW w:w="556" w:type="pct"/>
            <w:vAlign w:val="bottom"/>
          </w:tcPr>
          <w:p w14:paraId="12B744C5"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286</w:t>
            </w:r>
            <w:r w:rsidRPr="00AD2C01">
              <w:rPr>
                <w:rFonts w:ascii="Times New Roman" w:hAnsi="Times New Roman"/>
                <w:b/>
                <w:sz w:val="26"/>
                <w:szCs w:val="26"/>
                <w:vertAlign w:val="superscript"/>
              </w:rPr>
              <w:footnoteReference w:id="20"/>
            </w:r>
          </w:p>
        </w:tc>
        <w:tc>
          <w:tcPr>
            <w:tcW w:w="602" w:type="pct"/>
            <w:vAlign w:val="bottom"/>
          </w:tcPr>
          <w:p w14:paraId="1BD602C6"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7C352B29"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286</w:t>
            </w:r>
          </w:p>
        </w:tc>
        <w:tc>
          <w:tcPr>
            <w:tcW w:w="787" w:type="pct"/>
            <w:vAlign w:val="bottom"/>
          </w:tcPr>
          <w:p w14:paraId="1EC5BDCE"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230F4FB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143 hrs.; $7,656 (rounded)</w:t>
            </w:r>
          </w:p>
        </w:tc>
        <w:tc>
          <w:tcPr>
            <w:tcW w:w="741" w:type="pct"/>
            <w:vAlign w:val="bottom"/>
          </w:tcPr>
          <w:p w14:paraId="1D711A8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bl>
    <w:p w14:paraId="0FD51B52" w14:textId="77777777" w:rsidR="00F0627E" w:rsidRPr="00F1537F" w:rsidRDefault="00F0627E" w:rsidP="007445A8">
      <w:pPr>
        <w:spacing w:after="0" w:line="240" w:lineRule="auto"/>
        <w:rPr>
          <w:rFonts w:ascii="Times New Roman" w:hAnsi="Times New Roman"/>
          <w:sz w:val="24"/>
          <w:szCs w:val="24"/>
        </w:rPr>
      </w:pPr>
    </w:p>
    <w:p w14:paraId="7D85BF60"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0F0BB49F" w14:textId="77777777" w:rsidR="00974AFC" w:rsidRPr="00F1537F" w:rsidRDefault="00974AFC" w:rsidP="007445A8">
      <w:pPr>
        <w:spacing w:after="0" w:line="240" w:lineRule="auto"/>
        <w:rPr>
          <w:rFonts w:ascii="Times New Roman" w:hAnsi="Times New Roman"/>
          <w:sz w:val="24"/>
          <w:szCs w:val="24"/>
        </w:rPr>
      </w:pPr>
    </w:p>
    <w:p w14:paraId="4F1CFD38"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262B35CC" w14:textId="77777777" w:rsidR="004A36E5" w:rsidRPr="00F1537F" w:rsidRDefault="004A36E5" w:rsidP="007445A8">
      <w:pPr>
        <w:spacing w:after="0" w:line="240" w:lineRule="auto"/>
        <w:rPr>
          <w:rFonts w:ascii="Times New Roman" w:hAnsi="Times New Roman"/>
          <w:sz w:val="24"/>
          <w:szCs w:val="24"/>
        </w:rPr>
      </w:pPr>
    </w:p>
    <w:p w14:paraId="62BB8E87"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5057AC74"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4E7FCF0F" w14:textId="77777777" w:rsidR="004A36E5" w:rsidRPr="00F1537F" w:rsidRDefault="004A36E5" w:rsidP="007445A8">
      <w:pPr>
        <w:spacing w:after="0" w:line="240" w:lineRule="auto"/>
        <w:rPr>
          <w:rFonts w:ascii="Times New Roman" w:hAnsi="Times New Roman"/>
          <w:sz w:val="24"/>
          <w:szCs w:val="24"/>
        </w:rPr>
      </w:pPr>
    </w:p>
    <w:p w14:paraId="18374207"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w:t>
      </w:r>
      <w:r w:rsidR="004345EE">
        <w:rPr>
          <w:rFonts w:ascii="Times New Roman" w:hAnsi="Times New Roman"/>
          <w:sz w:val="24"/>
          <w:szCs w:val="24"/>
        </w:rPr>
        <w:t>s</w:t>
      </w:r>
      <w:r w:rsidR="009C7060" w:rsidRPr="00F1537F">
        <w:rPr>
          <w:rFonts w:ascii="Times New Roman" w:hAnsi="Times New Roman"/>
          <w:sz w:val="24"/>
          <w:szCs w:val="24"/>
        </w:rPr>
        <w:t xml:space="preserve"> </w:t>
      </w:r>
      <w:r w:rsidRPr="00F1537F">
        <w:rPr>
          <w:rFonts w:ascii="Times New Roman" w:hAnsi="Times New Roman"/>
          <w:sz w:val="24"/>
          <w:szCs w:val="24"/>
        </w:rPr>
        <w:t xml:space="preserve">are associated with burden hours (labor) and </w:t>
      </w:r>
      <w:r w:rsidR="004345EE">
        <w:rPr>
          <w:rFonts w:ascii="Times New Roman" w:hAnsi="Times New Roman"/>
          <w:sz w:val="24"/>
          <w:szCs w:val="24"/>
        </w:rPr>
        <w:t>discussed</w:t>
      </w:r>
      <w:r w:rsidRPr="00F1537F">
        <w:rPr>
          <w:rFonts w:ascii="Times New Roman" w:hAnsi="Times New Roman"/>
          <w:sz w:val="24"/>
          <w:szCs w:val="24"/>
        </w:rPr>
        <w:t xml:space="preserve"> in Questions #12 and #15.</w:t>
      </w:r>
    </w:p>
    <w:p w14:paraId="1AECB646" w14:textId="77777777" w:rsidR="00F0627E" w:rsidRPr="00F1537F" w:rsidRDefault="00F0627E" w:rsidP="007445A8">
      <w:pPr>
        <w:spacing w:after="0" w:line="240" w:lineRule="auto"/>
        <w:rPr>
          <w:rFonts w:ascii="Times New Roman" w:hAnsi="Times New Roman"/>
          <w:sz w:val="24"/>
          <w:szCs w:val="24"/>
        </w:rPr>
      </w:pPr>
    </w:p>
    <w:p w14:paraId="061969F5"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18029D45" w14:textId="77777777" w:rsidR="00BF3095" w:rsidRPr="00F1537F" w:rsidRDefault="00BF3095" w:rsidP="007445A8">
      <w:pPr>
        <w:pStyle w:val="ListParagraph"/>
        <w:spacing w:after="0" w:line="240" w:lineRule="auto"/>
        <w:ind w:left="0"/>
        <w:rPr>
          <w:rFonts w:ascii="Times New Roman" w:hAnsi="Times New Roman"/>
          <w:sz w:val="24"/>
          <w:szCs w:val="24"/>
        </w:rPr>
      </w:pPr>
    </w:p>
    <w:p w14:paraId="37581B8F" w14:textId="063FD31D" w:rsidR="00244BC9" w:rsidRPr="00244BC9" w:rsidRDefault="00247EBC" w:rsidP="00244BC9">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244BC9" w:rsidRPr="00247EBC">
        <w:rPr>
          <w:rFonts w:ascii="Times New Roman" w:hAnsi="Times New Roman"/>
          <w:sz w:val="24"/>
          <w:szCs w:val="24"/>
        </w:rPr>
        <w:t xml:space="preserve">The </w:t>
      </w:r>
      <w:r w:rsidR="00244BC9" w:rsidRPr="00244BC9">
        <w:rPr>
          <w:rFonts w:ascii="Times New Roman" w:hAnsi="Times New Roman"/>
          <w:sz w:val="24"/>
          <w:szCs w:val="24"/>
        </w:rPr>
        <w:t xml:space="preserve">estimate of the cost for </w:t>
      </w:r>
      <w:r w:rsidR="00DB684E">
        <w:rPr>
          <w:rFonts w:ascii="Times New Roman" w:hAnsi="Times New Roman"/>
          <w:sz w:val="24"/>
          <w:szCs w:val="24"/>
        </w:rPr>
        <w:t>‘</w:t>
      </w:r>
      <w:r w:rsidR="00244BC9" w:rsidRPr="00244BC9">
        <w:rPr>
          <w:rFonts w:ascii="Times New Roman" w:hAnsi="Times New Roman"/>
          <w:sz w:val="24"/>
          <w:szCs w:val="24"/>
        </w:rPr>
        <w:t>analysis and processing of filings</w:t>
      </w:r>
      <w:r w:rsidR="00DB684E">
        <w:rPr>
          <w:rFonts w:ascii="Times New Roman" w:hAnsi="Times New Roman"/>
          <w:sz w:val="24"/>
          <w:szCs w:val="24"/>
        </w:rPr>
        <w:t>’</w:t>
      </w:r>
      <w:r w:rsidRPr="00247EBC">
        <w:rPr>
          <w:rStyle w:val="FootnoteReference"/>
          <w:rFonts w:ascii="Times New Roman" w:hAnsi="Times New Roman"/>
          <w:sz w:val="24"/>
          <w:szCs w:val="24"/>
          <w:vertAlign w:val="superscript"/>
        </w:rPr>
        <w:footnoteReference w:id="21"/>
      </w:r>
      <w:r w:rsidR="00244BC9" w:rsidRPr="00247EBC">
        <w:rPr>
          <w:rFonts w:ascii="Times New Roman" w:hAnsi="Times New Roman"/>
          <w:sz w:val="24"/>
          <w:szCs w:val="24"/>
          <w:vertAlign w:val="superscript"/>
        </w:rPr>
        <w:t xml:space="preserve"> </w:t>
      </w:r>
      <w:r w:rsidR="00244BC9"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Pr="00247EBC">
        <w:rPr>
          <w:rFonts w:ascii="Times New Roman" w:hAnsi="Times New Roman"/>
          <w:sz w:val="24"/>
          <w:szCs w:val="24"/>
        </w:rPr>
        <w:t xml:space="preserve"> </w:t>
      </w:r>
      <w:r>
        <w:rPr>
          <w:rFonts w:ascii="Times New Roman" w:hAnsi="Times New Roman"/>
          <w:sz w:val="24"/>
          <w:szCs w:val="24"/>
        </w:rPr>
        <w:t xml:space="preserve"> The estimates for the ‘analysis and processing of filings’ are for the entire FERC-500 and FERC-505, not simply for the areas affected by</w:t>
      </w:r>
      <w:r w:rsidR="001968EA">
        <w:rPr>
          <w:rFonts w:ascii="Times New Roman" w:hAnsi="Times New Roman"/>
          <w:sz w:val="24"/>
          <w:szCs w:val="24"/>
        </w:rPr>
        <w:t>,</w:t>
      </w:r>
      <w:r>
        <w:rPr>
          <w:rFonts w:ascii="Times New Roman" w:hAnsi="Times New Roman"/>
          <w:sz w:val="24"/>
          <w:szCs w:val="24"/>
        </w:rPr>
        <w:t xml:space="preserve"> or additions due to</w:t>
      </w:r>
      <w:r w:rsidR="001968EA">
        <w:rPr>
          <w:rFonts w:ascii="Times New Roman" w:hAnsi="Times New Roman"/>
          <w:sz w:val="24"/>
          <w:szCs w:val="24"/>
        </w:rPr>
        <w:t>,</w:t>
      </w:r>
      <w:r>
        <w:rPr>
          <w:rFonts w:ascii="Times New Roman" w:hAnsi="Times New Roman"/>
          <w:sz w:val="24"/>
          <w:szCs w:val="24"/>
        </w:rPr>
        <w:t xml:space="preserve"> the NOPR in RM18-14.</w:t>
      </w:r>
    </w:p>
    <w:p w14:paraId="4A261F54" w14:textId="77777777" w:rsidR="00244BC9" w:rsidRPr="00244BC9" w:rsidRDefault="00244BC9" w:rsidP="00244BC9">
      <w:pPr>
        <w:spacing w:after="0" w:line="240" w:lineRule="auto"/>
        <w:rPr>
          <w:rFonts w:ascii="Times New Roman" w:hAnsi="Times New Roman"/>
          <w:sz w:val="24"/>
          <w:szCs w:val="24"/>
        </w:rPr>
      </w:pPr>
    </w:p>
    <w:p w14:paraId="338CC650" w14:textId="0F32AF50" w:rsidR="00244BC9" w:rsidRPr="00244BC9" w:rsidRDefault="00244BC9" w:rsidP="00244BC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2"/>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3AA0BB03" w14:textId="77777777" w:rsidR="00244BC9" w:rsidRDefault="00244BC9" w:rsidP="007445A8">
      <w:pPr>
        <w:spacing w:after="0" w:line="240" w:lineRule="auto"/>
        <w:rPr>
          <w:rFonts w:ascii="Times New Roman" w:hAnsi="Times New Roman"/>
          <w:sz w:val="24"/>
          <w:szCs w:val="24"/>
        </w:rPr>
      </w:pPr>
    </w:p>
    <w:p w14:paraId="433334A9"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Pr="00F1537F">
        <w:rPr>
          <w:rFonts w:ascii="Times New Roman" w:hAnsi="Times New Roman"/>
          <w:sz w:val="24"/>
          <w:szCs w:val="24"/>
        </w:rPr>
        <w:t xml:space="preserve"> </w:t>
      </w:r>
      <w:r w:rsidR="00247EBC">
        <w:rPr>
          <w:rFonts w:ascii="Times New Roman" w:hAnsi="Times New Roman"/>
          <w:sz w:val="24"/>
          <w:szCs w:val="24"/>
        </w:rPr>
        <w:t xml:space="preserve"> </w:t>
      </w:r>
    </w:p>
    <w:p w14:paraId="1E7817AE" w14:textId="77777777" w:rsidR="00E20CEF"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E20CEF" w14:paraId="6ED1ECCD" w14:textId="77777777" w:rsidTr="00247EBC">
        <w:tc>
          <w:tcPr>
            <w:tcW w:w="2938" w:type="dxa"/>
            <w:shd w:val="clear" w:color="auto" w:fill="CCCCCC"/>
            <w:vAlign w:val="bottom"/>
          </w:tcPr>
          <w:p w14:paraId="0031315A"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FERC-500</w:t>
            </w:r>
          </w:p>
        </w:tc>
        <w:tc>
          <w:tcPr>
            <w:tcW w:w="2953" w:type="dxa"/>
            <w:shd w:val="clear" w:color="auto" w:fill="CCCCCC"/>
            <w:vAlign w:val="bottom"/>
          </w:tcPr>
          <w:p w14:paraId="7A3EF394"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Number of Employees</w:t>
            </w:r>
            <w:r w:rsidR="00247EBC">
              <w:rPr>
                <w:rFonts w:ascii="Times New Roman" w:eastAsia="Times New Roman" w:hAnsi="Times New Roman"/>
                <w:b/>
                <w:sz w:val="24"/>
                <w:szCs w:val="24"/>
              </w:rPr>
              <w:t>,</w:t>
            </w:r>
            <w:r w:rsidRPr="00E20CEF">
              <w:rPr>
                <w:rFonts w:ascii="Times New Roman" w:eastAsia="Times New Roman" w:hAnsi="Times New Roman"/>
                <w:b/>
                <w:sz w:val="24"/>
                <w:szCs w:val="24"/>
              </w:rPr>
              <w:t xml:space="preserve"> </w:t>
            </w:r>
            <w:r w:rsidR="00247EBC">
              <w:rPr>
                <w:rFonts w:ascii="Times New Roman" w:eastAsia="Times New Roman" w:hAnsi="Times New Roman"/>
                <w:b/>
                <w:sz w:val="24"/>
                <w:szCs w:val="24"/>
              </w:rPr>
              <w:t xml:space="preserve">Full-Time Equivalents </w:t>
            </w:r>
            <w:r w:rsidRPr="00E20CEF">
              <w:rPr>
                <w:rFonts w:ascii="Times New Roman" w:eastAsia="Times New Roman" w:hAnsi="Times New Roman"/>
                <w:b/>
                <w:sz w:val="24"/>
                <w:szCs w:val="24"/>
              </w:rPr>
              <w:t>(FTEs)</w:t>
            </w:r>
          </w:p>
        </w:tc>
        <w:tc>
          <w:tcPr>
            <w:tcW w:w="3374" w:type="dxa"/>
            <w:shd w:val="clear" w:color="auto" w:fill="CCCCCC"/>
            <w:vAlign w:val="bottom"/>
          </w:tcPr>
          <w:p w14:paraId="5C136336"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Estimated Annual Federal Cost</w:t>
            </w:r>
            <w:r w:rsidR="00247EBC">
              <w:rPr>
                <w:rFonts w:ascii="Times New Roman" w:eastAsia="Times New Roman" w:hAnsi="Times New Roman"/>
                <w:b/>
                <w:sz w:val="24"/>
                <w:szCs w:val="24"/>
              </w:rPr>
              <w:t xml:space="preserve"> </w:t>
            </w:r>
            <w:r w:rsidR="00247EBC" w:rsidRPr="00247EBC">
              <w:rPr>
                <w:rFonts w:ascii="Times New Roman" w:eastAsia="Times New Roman" w:hAnsi="Times New Roman"/>
                <w:b/>
                <w:sz w:val="24"/>
                <w:szCs w:val="24"/>
              </w:rPr>
              <w:t>(rounded)</w:t>
            </w:r>
          </w:p>
        </w:tc>
      </w:tr>
      <w:tr w:rsidR="00E20CEF" w:rsidRPr="00D53FDE" w14:paraId="4FCAF49E" w14:textId="77777777" w:rsidTr="00E20CEF">
        <w:tc>
          <w:tcPr>
            <w:tcW w:w="2938" w:type="dxa"/>
            <w:shd w:val="clear" w:color="auto" w:fill="auto"/>
          </w:tcPr>
          <w:p w14:paraId="06765AAE" w14:textId="77777777" w:rsidR="00E20CEF" w:rsidRPr="006F33DA"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Analysis and Processing of Filings</w:t>
            </w:r>
          </w:p>
        </w:tc>
        <w:tc>
          <w:tcPr>
            <w:tcW w:w="2953" w:type="dxa"/>
            <w:shd w:val="clear" w:color="auto" w:fill="auto"/>
            <w:vAlign w:val="bottom"/>
          </w:tcPr>
          <w:p w14:paraId="05816F6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6F33DA">
              <w:rPr>
                <w:rFonts w:ascii="Times New Roman" w:eastAsia="Times New Roman" w:hAnsi="Times New Roman"/>
                <w:sz w:val="24"/>
                <w:szCs w:val="24"/>
              </w:rPr>
              <w:t>18</w:t>
            </w:r>
          </w:p>
        </w:tc>
        <w:tc>
          <w:tcPr>
            <w:tcW w:w="3374" w:type="dxa"/>
            <w:shd w:val="clear" w:color="auto" w:fill="auto"/>
            <w:vAlign w:val="bottom"/>
          </w:tcPr>
          <w:p w14:paraId="519B59A5" w14:textId="6D5CCD8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966,760</w:t>
            </w:r>
          </w:p>
        </w:tc>
      </w:tr>
      <w:tr w:rsidR="00E20CEF" w:rsidRPr="00D53FDE" w14:paraId="3CE9BE6E" w14:textId="77777777" w:rsidTr="00E20CEF">
        <w:tc>
          <w:tcPr>
            <w:tcW w:w="2938" w:type="dxa"/>
            <w:shd w:val="clear" w:color="auto" w:fill="auto"/>
          </w:tcPr>
          <w:p w14:paraId="38173DE5" w14:textId="77777777" w:rsidR="00E20CEF" w:rsidRPr="006F33DA"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PRA</w:t>
            </w:r>
            <w:r w:rsidRPr="006F33DA">
              <w:rPr>
                <w:rFonts w:ascii="Times New Roman" w:eastAsia="Times New Roman" w:hAnsi="Times New Roman"/>
                <w:b/>
                <w:sz w:val="24"/>
                <w:szCs w:val="24"/>
                <w:vertAlign w:val="superscript"/>
              </w:rPr>
              <w:t xml:space="preserve"> </w:t>
            </w:r>
            <w:r w:rsidRPr="006F33DA">
              <w:rPr>
                <w:rFonts w:ascii="Times New Roman" w:eastAsia="Times New Roman" w:hAnsi="Times New Roman"/>
                <w:sz w:val="24"/>
                <w:szCs w:val="24"/>
              </w:rPr>
              <w:t>Administrative Cost</w:t>
            </w:r>
          </w:p>
        </w:tc>
        <w:tc>
          <w:tcPr>
            <w:tcW w:w="2953" w:type="dxa"/>
            <w:shd w:val="clear" w:color="auto" w:fill="auto"/>
            <w:vAlign w:val="bottom"/>
          </w:tcPr>
          <w:p w14:paraId="6EAE54A1"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30F1878B" w14:textId="7B979C66" w:rsidR="00E20CEF" w:rsidRPr="00D53FDE"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w:t>
            </w:r>
            <w:r w:rsidR="001B5056" w:rsidRPr="00D53FDE">
              <w:rPr>
                <w:rFonts w:ascii="Times New Roman" w:eastAsia="Times New Roman" w:hAnsi="Times New Roman"/>
                <w:sz w:val="24"/>
                <w:szCs w:val="24"/>
              </w:rPr>
              <w:t>4,931</w:t>
            </w:r>
          </w:p>
        </w:tc>
      </w:tr>
      <w:tr w:rsidR="00E20CEF" w:rsidRPr="00D53FDE" w14:paraId="0D324CF3" w14:textId="77777777" w:rsidTr="00E20CEF">
        <w:tc>
          <w:tcPr>
            <w:tcW w:w="2938" w:type="dxa"/>
            <w:shd w:val="clear" w:color="auto" w:fill="auto"/>
          </w:tcPr>
          <w:p w14:paraId="6E3B611E" w14:textId="77777777" w:rsidR="00E20CEF" w:rsidRPr="006F33DA"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6F33DA">
              <w:rPr>
                <w:rFonts w:ascii="Times New Roman" w:eastAsia="Times New Roman" w:hAnsi="Times New Roman"/>
                <w:b/>
                <w:sz w:val="24"/>
                <w:szCs w:val="24"/>
              </w:rPr>
              <w:t xml:space="preserve">Total for </w:t>
            </w:r>
            <w:r w:rsidR="00E20CEF" w:rsidRPr="006F33DA">
              <w:rPr>
                <w:rFonts w:ascii="Times New Roman" w:eastAsia="Times New Roman" w:hAnsi="Times New Roman"/>
                <w:b/>
                <w:sz w:val="24"/>
                <w:szCs w:val="24"/>
              </w:rPr>
              <w:t>FERC</w:t>
            </w:r>
            <w:r w:rsidRPr="006F33DA">
              <w:rPr>
                <w:rFonts w:ascii="Times New Roman" w:eastAsia="Times New Roman" w:hAnsi="Times New Roman"/>
                <w:b/>
                <w:sz w:val="24"/>
                <w:szCs w:val="24"/>
              </w:rPr>
              <w:t>-500</w:t>
            </w:r>
            <w:r w:rsidR="00E20CEF" w:rsidRPr="006F33DA">
              <w:rPr>
                <w:rFonts w:ascii="Times New Roman" w:eastAsia="Times New Roman" w:hAnsi="Times New Roman"/>
                <w:b/>
                <w:sz w:val="24"/>
                <w:szCs w:val="24"/>
              </w:rPr>
              <w:t xml:space="preserve"> </w:t>
            </w:r>
          </w:p>
        </w:tc>
        <w:tc>
          <w:tcPr>
            <w:tcW w:w="2953" w:type="dxa"/>
            <w:shd w:val="clear" w:color="auto" w:fill="auto"/>
            <w:vAlign w:val="bottom"/>
          </w:tcPr>
          <w:p w14:paraId="7709AFF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49B05825" w14:textId="1083164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971,691</w:t>
            </w:r>
          </w:p>
        </w:tc>
      </w:tr>
    </w:tbl>
    <w:p w14:paraId="5DBEC105"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F1537F" w14:paraId="195DF6CD" w14:textId="77777777" w:rsidTr="00247EBC">
        <w:tc>
          <w:tcPr>
            <w:tcW w:w="2965" w:type="dxa"/>
            <w:shd w:val="clear" w:color="auto" w:fill="D9D9D9" w:themeFill="background1" w:themeFillShade="D9"/>
            <w:vAlign w:val="bottom"/>
          </w:tcPr>
          <w:p w14:paraId="79FFC63D" w14:textId="77777777" w:rsidR="00F60F4E" w:rsidRPr="00F1537F" w:rsidRDefault="00F60F4E" w:rsidP="00247EBC">
            <w:pPr>
              <w:spacing w:after="0" w:line="240" w:lineRule="auto"/>
              <w:jc w:val="center"/>
              <w:rPr>
                <w:rFonts w:ascii="Times New Roman" w:hAnsi="Times New Roman"/>
                <w:sz w:val="24"/>
                <w:szCs w:val="24"/>
              </w:rPr>
            </w:pPr>
            <w:r w:rsidRPr="00F1537F">
              <w:rPr>
                <w:rFonts w:ascii="Times New Roman" w:hAnsi="Times New Roman"/>
                <w:b/>
                <w:sz w:val="24"/>
                <w:szCs w:val="24"/>
              </w:rPr>
              <w:t>FERC-505</w:t>
            </w:r>
          </w:p>
        </w:tc>
        <w:tc>
          <w:tcPr>
            <w:tcW w:w="2880" w:type="dxa"/>
            <w:shd w:val="clear" w:color="auto" w:fill="D9D9D9"/>
            <w:vAlign w:val="bottom"/>
          </w:tcPr>
          <w:p w14:paraId="646501CD"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12030831"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030D70" w14:paraId="0ED10702" w14:textId="77777777" w:rsidTr="00E20CEF">
        <w:tc>
          <w:tcPr>
            <w:tcW w:w="2965" w:type="dxa"/>
            <w:shd w:val="clear" w:color="auto" w:fill="FFFFFF"/>
            <w:vAlign w:val="bottom"/>
          </w:tcPr>
          <w:p w14:paraId="44D1D663" w14:textId="77777777" w:rsidR="00F60F4E" w:rsidRPr="00030D70" w:rsidRDefault="00F60F4E" w:rsidP="00247EBC">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411A6B7B" w14:textId="77777777" w:rsidR="00F60F4E" w:rsidRPr="00030D70" w:rsidRDefault="006B48FF" w:rsidP="007445A8">
            <w:pPr>
              <w:spacing w:after="0" w:line="240" w:lineRule="auto"/>
              <w:jc w:val="right"/>
              <w:rPr>
                <w:rFonts w:ascii="Times New Roman" w:hAnsi="Times New Roman"/>
                <w:sz w:val="24"/>
                <w:szCs w:val="24"/>
              </w:rPr>
            </w:pPr>
            <w:r w:rsidRPr="00030D70">
              <w:rPr>
                <w:rFonts w:ascii="Times New Roman" w:hAnsi="Times New Roman"/>
                <w:sz w:val="24"/>
                <w:szCs w:val="24"/>
              </w:rPr>
              <w:t>8.5</w:t>
            </w:r>
          </w:p>
        </w:tc>
        <w:tc>
          <w:tcPr>
            <w:tcW w:w="3420" w:type="dxa"/>
            <w:shd w:val="clear" w:color="auto" w:fill="FFFFFF"/>
            <w:vAlign w:val="center"/>
          </w:tcPr>
          <w:p w14:paraId="2D9A2D85" w14:textId="3B9EE1E7" w:rsidR="00F60F4E" w:rsidRPr="00030D70" w:rsidRDefault="00F60F4E" w:rsidP="00D53FDE">
            <w:pPr>
              <w:spacing w:after="0" w:line="240" w:lineRule="auto"/>
              <w:jc w:val="right"/>
              <w:rPr>
                <w:rFonts w:ascii="Times New Roman" w:hAnsi="Times New Roman"/>
                <w:sz w:val="24"/>
                <w:szCs w:val="24"/>
              </w:rPr>
            </w:pPr>
            <w:r w:rsidRPr="00030D70">
              <w:rPr>
                <w:rFonts w:ascii="Times New Roman" w:hAnsi="Times New Roman"/>
                <w:sz w:val="24"/>
                <w:szCs w:val="24"/>
              </w:rPr>
              <w:t>$</w:t>
            </w:r>
            <w:r w:rsidR="006B48FF" w:rsidRPr="00030D70">
              <w:rPr>
                <w:rFonts w:ascii="Times New Roman" w:hAnsi="Times New Roman"/>
                <w:sz w:val="24"/>
                <w:szCs w:val="24"/>
              </w:rPr>
              <w:t>1,</w:t>
            </w:r>
            <w:r w:rsidR="00D53FDE">
              <w:rPr>
                <w:rFonts w:ascii="Times New Roman" w:hAnsi="Times New Roman"/>
                <w:sz w:val="24"/>
                <w:szCs w:val="24"/>
              </w:rPr>
              <w:t>400,970</w:t>
            </w:r>
          </w:p>
        </w:tc>
      </w:tr>
      <w:tr w:rsidR="00F60F4E" w:rsidRPr="00D53FDE" w14:paraId="4D21DC93" w14:textId="77777777" w:rsidTr="00D53FDE">
        <w:tc>
          <w:tcPr>
            <w:tcW w:w="2965" w:type="dxa"/>
            <w:shd w:val="clear" w:color="auto" w:fill="FFFFFF"/>
            <w:vAlign w:val="bottom"/>
          </w:tcPr>
          <w:p w14:paraId="04069A58" w14:textId="77777777" w:rsidR="00F60F4E" w:rsidRPr="00030D70" w:rsidRDefault="00F60F4E" w:rsidP="00244BC9">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0C5BC171"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3718CA9E" w14:textId="28A35EA7" w:rsidR="00F60F4E" w:rsidRPr="00D53FDE" w:rsidRDefault="00F60F4E" w:rsidP="001B5056">
            <w:pPr>
              <w:spacing w:after="0" w:line="240" w:lineRule="auto"/>
              <w:jc w:val="right"/>
              <w:rPr>
                <w:rFonts w:ascii="Times New Roman" w:hAnsi="Times New Roman"/>
                <w:sz w:val="24"/>
                <w:szCs w:val="24"/>
              </w:rPr>
            </w:pPr>
            <w:r w:rsidRPr="00D53FDE">
              <w:rPr>
                <w:rFonts w:ascii="Times New Roman" w:hAnsi="Times New Roman"/>
                <w:sz w:val="24"/>
                <w:szCs w:val="24"/>
              </w:rPr>
              <w:t>$</w:t>
            </w:r>
            <w:r w:rsidR="001B5056" w:rsidRPr="00D53FDE">
              <w:rPr>
                <w:rFonts w:ascii="Times New Roman" w:hAnsi="Times New Roman"/>
                <w:sz w:val="24"/>
                <w:szCs w:val="24"/>
              </w:rPr>
              <w:t>4,931</w:t>
            </w:r>
          </w:p>
        </w:tc>
      </w:tr>
      <w:tr w:rsidR="00F60F4E" w:rsidRPr="00D53FDE" w14:paraId="5BCD1723" w14:textId="77777777" w:rsidTr="00D53FDE">
        <w:tc>
          <w:tcPr>
            <w:tcW w:w="2965" w:type="dxa"/>
            <w:shd w:val="clear" w:color="auto" w:fill="FFFFFF"/>
            <w:vAlign w:val="bottom"/>
          </w:tcPr>
          <w:p w14:paraId="2717D0B1" w14:textId="77777777" w:rsidR="00F60F4E" w:rsidRPr="00030D70" w:rsidRDefault="00244BC9" w:rsidP="00244BC9">
            <w:pPr>
              <w:spacing w:after="0" w:line="240" w:lineRule="auto"/>
              <w:rPr>
                <w:rFonts w:ascii="Times New Roman" w:hAnsi="Times New Roman"/>
                <w:b/>
                <w:sz w:val="24"/>
                <w:szCs w:val="24"/>
              </w:rPr>
            </w:pPr>
            <w:r w:rsidRPr="00030D70">
              <w:rPr>
                <w:rFonts w:ascii="Times New Roman" w:hAnsi="Times New Roman"/>
                <w:b/>
                <w:sz w:val="24"/>
                <w:szCs w:val="24"/>
              </w:rPr>
              <w:t xml:space="preserve">Total for </w:t>
            </w:r>
            <w:r w:rsidR="00F60F4E" w:rsidRPr="00030D70">
              <w:rPr>
                <w:rFonts w:ascii="Times New Roman" w:hAnsi="Times New Roman"/>
                <w:b/>
                <w:sz w:val="24"/>
                <w:szCs w:val="24"/>
              </w:rPr>
              <w:t xml:space="preserve">FERC-505 </w:t>
            </w:r>
          </w:p>
        </w:tc>
        <w:tc>
          <w:tcPr>
            <w:tcW w:w="2880" w:type="dxa"/>
            <w:shd w:val="clear" w:color="auto" w:fill="FFFFFF"/>
            <w:vAlign w:val="center"/>
          </w:tcPr>
          <w:p w14:paraId="57ADCF3F"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41F47F86" w14:textId="33453E02" w:rsidR="00F60F4E" w:rsidRPr="00D53FDE" w:rsidRDefault="00F60F4E" w:rsidP="00D53FDE">
            <w:pPr>
              <w:spacing w:after="0" w:line="240" w:lineRule="auto"/>
              <w:jc w:val="right"/>
              <w:rPr>
                <w:rFonts w:ascii="Times New Roman" w:hAnsi="Times New Roman"/>
                <w:sz w:val="24"/>
                <w:szCs w:val="24"/>
              </w:rPr>
            </w:pPr>
            <w:r w:rsidRPr="00D53FDE">
              <w:rPr>
                <w:rFonts w:ascii="Times New Roman" w:hAnsi="Times New Roman"/>
                <w:sz w:val="24"/>
                <w:szCs w:val="24"/>
              </w:rPr>
              <w:t>$</w:t>
            </w:r>
            <w:r w:rsidR="006B48FF" w:rsidRPr="00D53FDE">
              <w:rPr>
                <w:rFonts w:ascii="Times New Roman" w:hAnsi="Times New Roman"/>
                <w:sz w:val="24"/>
                <w:szCs w:val="24"/>
              </w:rPr>
              <w:t>1,</w:t>
            </w:r>
            <w:r w:rsidR="00D53FDE" w:rsidRPr="00D53FDE">
              <w:rPr>
                <w:rFonts w:ascii="Times New Roman" w:hAnsi="Times New Roman"/>
                <w:sz w:val="24"/>
                <w:szCs w:val="24"/>
              </w:rPr>
              <w:t>405,901</w:t>
            </w:r>
          </w:p>
        </w:tc>
      </w:tr>
    </w:tbl>
    <w:p w14:paraId="65FD8349" w14:textId="77777777" w:rsidR="00F20B97" w:rsidRDefault="00F20B97" w:rsidP="007445A8">
      <w:pPr>
        <w:spacing w:after="0" w:line="240" w:lineRule="auto"/>
        <w:rPr>
          <w:rFonts w:ascii="Times New Roman" w:hAnsi="Times New Roman"/>
          <w:sz w:val="24"/>
          <w:szCs w:val="24"/>
        </w:rPr>
      </w:pPr>
    </w:p>
    <w:p w14:paraId="12A318BE" w14:textId="64FA7CB0" w:rsidR="002A725B" w:rsidRDefault="00E837F5" w:rsidP="007445A8">
      <w:pPr>
        <w:spacing w:after="0" w:line="240" w:lineRule="auto"/>
        <w:rPr>
          <w:rFonts w:ascii="Times New Roman" w:hAnsi="Times New Roman"/>
          <w:sz w:val="24"/>
          <w:szCs w:val="24"/>
        </w:rPr>
      </w:pPr>
      <w:r>
        <w:rPr>
          <w:rFonts w:ascii="Times New Roman" w:hAnsi="Times New Roman"/>
          <w:b/>
          <w:sz w:val="24"/>
          <w:szCs w:val="24"/>
        </w:rPr>
        <w:t xml:space="preserve">Form 80.  </w:t>
      </w:r>
      <w:r w:rsidR="002A725B" w:rsidRPr="00E837F5">
        <w:rPr>
          <w:rFonts w:ascii="Times New Roman" w:hAnsi="Times New Roman"/>
          <w:sz w:val="24"/>
          <w:szCs w:val="24"/>
        </w:rPr>
        <w:t>Because th</w:t>
      </w:r>
      <w:r w:rsidR="002A725B">
        <w:rPr>
          <w:rFonts w:ascii="Times New Roman" w:hAnsi="Times New Roman"/>
          <w:sz w:val="24"/>
          <w:szCs w:val="24"/>
        </w:rPr>
        <w:t>e Form 80 is being proposed for elimination, on approval and implementation of a final rule</w:t>
      </w:r>
      <w:r>
        <w:rPr>
          <w:rFonts w:ascii="Times New Roman" w:hAnsi="Times New Roman"/>
          <w:sz w:val="24"/>
          <w:szCs w:val="24"/>
        </w:rPr>
        <w:t xml:space="preserve"> in this docket</w:t>
      </w:r>
      <w:r w:rsidR="002A725B">
        <w:rPr>
          <w:rFonts w:ascii="Times New Roman" w:hAnsi="Times New Roman"/>
          <w:sz w:val="24"/>
          <w:szCs w:val="24"/>
        </w:rPr>
        <w:t>, the estimated annual federal cost will be revised to $0 (from the estimate of $31,30</w:t>
      </w:r>
      <w:r>
        <w:rPr>
          <w:rFonts w:ascii="Times New Roman" w:hAnsi="Times New Roman"/>
          <w:sz w:val="24"/>
          <w:szCs w:val="24"/>
        </w:rPr>
        <w:t>7</w:t>
      </w:r>
      <w:r w:rsidR="002A725B">
        <w:rPr>
          <w:rFonts w:ascii="Times New Roman" w:hAnsi="Times New Roman"/>
          <w:sz w:val="24"/>
          <w:szCs w:val="24"/>
        </w:rPr>
        <w:t xml:space="preserve"> currently in the OMB-approved inventory).</w:t>
      </w:r>
      <w:r w:rsidR="00236DFB">
        <w:rPr>
          <w:rFonts w:ascii="Times New Roman" w:hAnsi="Times New Roman"/>
          <w:sz w:val="24"/>
          <w:szCs w:val="24"/>
        </w:rPr>
        <w:t xml:space="preserve">  However, the Form 80 is still an active collection (and will remain so until </w:t>
      </w:r>
      <w:r w:rsidR="001968EA">
        <w:rPr>
          <w:rFonts w:ascii="Times New Roman" w:hAnsi="Times New Roman"/>
          <w:sz w:val="24"/>
          <w:szCs w:val="24"/>
        </w:rPr>
        <w:t>a</w:t>
      </w:r>
      <w:r w:rsidR="00236DFB">
        <w:rPr>
          <w:rFonts w:ascii="Times New Roman" w:hAnsi="Times New Roman"/>
          <w:sz w:val="24"/>
          <w:szCs w:val="24"/>
        </w:rPr>
        <w:t xml:space="preserve"> </w:t>
      </w:r>
      <w:r w:rsidR="001968EA">
        <w:rPr>
          <w:rFonts w:ascii="Times New Roman" w:hAnsi="Times New Roman"/>
          <w:sz w:val="24"/>
          <w:szCs w:val="24"/>
        </w:rPr>
        <w:t xml:space="preserve">related </w:t>
      </w:r>
      <w:r w:rsidR="00236DFB">
        <w:rPr>
          <w:rFonts w:ascii="Times New Roman" w:hAnsi="Times New Roman"/>
          <w:sz w:val="24"/>
          <w:szCs w:val="24"/>
        </w:rPr>
        <w:t>final rule</w:t>
      </w:r>
      <w:r w:rsidR="001968EA">
        <w:rPr>
          <w:rFonts w:ascii="Times New Roman" w:hAnsi="Times New Roman"/>
          <w:sz w:val="24"/>
          <w:szCs w:val="24"/>
        </w:rPr>
        <w:t xml:space="preserve"> is approved and implemented</w:t>
      </w:r>
      <w:r w:rsidR="00236DFB">
        <w:rPr>
          <w:rFonts w:ascii="Times New Roman" w:hAnsi="Times New Roman"/>
          <w:sz w:val="24"/>
          <w:szCs w:val="24"/>
        </w:rPr>
        <w:t>) and its estimated annual cost must be counted.  Thus, t</w:t>
      </w:r>
      <w:r w:rsidR="00C5088F">
        <w:rPr>
          <w:rFonts w:ascii="Times New Roman" w:hAnsi="Times New Roman"/>
          <w:sz w:val="24"/>
          <w:szCs w:val="24"/>
        </w:rPr>
        <w:t>he $31,307 in the current OMB inventory plus the PRA cost of $4,931, gives a total of $36,238, shown in reginfo.gov and ROCIS.</w:t>
      </w:r>
    </w:p>
    <w:p w14:paraId="376D123D" w14:textId="77777777" w:rsidR="002A725B" w:rsidRPr="00030D70" w:rsidRDefault="002A725B" w:rsidP="007445A8">
      <w:pPr>
        <w:spacing w:after="0" w:line="240" w:lineRule="auto"/>
        <w:rPr>
          <w:rFonts w:ascii="Times New Roman" w:hAnsi="Times New Roman"/>
          <w:sz w:val="24"/>
          <w:szCs w:val="24"/>
        </w:rPr>
      </w:pPr>
    </w:p>
    <w:p w14:paraId="49A28519" w14:textId="77777777" w:rsidR="00F20B97" w:rsidRPr="00F1537F" w:rsidRDefault="00F20B97" w:rsidP="007445A8">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7AD8FA67" w14:textId="77777777" w:rsidR="00F20B97" w:rsidRDefault="00F20B97" w:rsidP="007445A8">
      <w:pPr>
        <w:spacing w:after="0" w:line="240" w:lineRule="auto"/>
        <w:rPr>
          <w:rFonts w:ascii="Times New Roman" w:hAnsi="Times New Roman"/>
          <w:sz w:val="24"/>
          <w:szCs w:val="24"/>
        </w:rPr>
      </w:pPr>
    </w:p>
    <w:p w14:paraId="710B37F4" w14:textId="77777777" w:rsidR="00450F57" w:rsidRPr="00450F57" w:rsidRDefault="00450F57" w:rsidP="00450F57">
      <w:pPr>
        <w:spacing w:after="0" w:line="240" w:lineRule="auto"/>
        <w:rPr>
          <w:rFonts w:ascii="Times New Roman" w:hAnsi="Times New Roman"/>
          <w:sz w:val="24"/>
          <w:szCs w:val="24"/>
        </w:rPr>
      </w:pPr>
      <w:r>
        <w:rPr>
          <w:rFonts w:ascii="Times New Roman" w:hAnsi="Times New Roman"/>
          <w:sz w:val="24"/>
          <w:szCs w:val="24"/>
        </w:rPr>
        <w:t xml:space="preserve">The </w:t>
      </w:r>
      <w:r w:rsidRPr="00450F57">
        <w:rPr>
          <w:rFonts w:ascii="Times New Roman" w:hAnsi="Times New Roman"/>
          <w:sz w:val="24"/>
          <w:szCs w:val="24"/>
        </w:rPr>
        <w:t>Commission proposes to eliminat</w:t>
      </w:r>
      <w:r w:rsidR="00AE6820">
        <w:rPr>
          <w:rFonts w:ascii="Times New Roman" w:hAnsi="Times New Roman"/>
          <w:sz w:val="24"/>
          <w:szCs w:val="24"/>
        </w:rPr>
        <w:t>e</w:t>
      </w:r>
      <w:r w:rsidRPr="00450F57">
        <w:rPr>
          <w:rFonts w:ascii="Times New Roman" w:hAnsi="Times New Roman"/>
          <w:sz w:val="24"/>
          <w:szCs w:val="24"/>
        </w:rPr>
        <w:t xml:space="preserve"> the requirement for licensees to file Form 80.  In addition, the Commission proposes to revise its regulations </w:t>
      </w:r>
      <w:r>
        <w:rPr>
          <w:rFonts w:ascii="Times New Roman" w:hAnsi="Times New Roman"/>
          <w:sz w:val="24"/>
          <w:szCs w:val="24"/>
        </w:rPr>
        <w:t xml:space="preserve">(affecting FERC-500 and FERC-505) </w:t>
      </w:r>
      <w:r w:rsidRPr="00450F57">
        <w:rPr>
          <w:rFonts w:ascii="Times New Roman" w:hAnsi="Times New Roman"/>
          <w:sz w:val="24"/>
          <w:szCs w:val="24"/>
        </w:rPr>
        <w:t xml:space="preserve">to modernize public notice practices, clarify recreational signage requirements, and provide flexibility to assist licensees’ compliance efforts.  </w:t>
      </w:r>
    </w:p>
    <w:p w14:paraId="566E7344" w14:textId="77777777" w:rsidR="00450F57" w:rsidRDefault="00450F57" w:rsidP="00450F57">
      <w:pPr>
        <w:spacing w:after="0" w:line="240" w:lineRule="auto"/>
        <w:rPr>
          <w:rFonts w:ascii="Times New Roman" w:hAnsi="Times New Roman"/>
          <w:b/>
          <w:bCs/>
          <w:sz w:val="24"/>
          <w:szCs w:val="24"/>
          <w:u w:val="single"/>
        </w:rPr>
      </w:pPr>
      <w:bookmarkStart w:id="1" w:name="_bmk1"/>
    </w:p>
    <w:p w14:paraId="6648D9A2" w14:textId="222D5DAB" w:rsidR="006955A3" w:rsidRPr="00C731FD" w:rsidRDefault="006955A3" w:rsidP="00450F57">
      <w:pPr>
        <w:spacing w:after="0" w:line="240" w:lineRule="auto"/>
        <w:rPr>
          <w:rFonts w:ascii="Times New Roman" w:hAnsi="Times New Roman"/>
          <w:bCs/>
          <w:sz w:val="24"/>
          <w:szCs w:val="24"/>
        </w:rPr>
      </w:pPr>
      <w:r w:rsidRPr="00C731FD">
        <w:rPr>
          <w:rFonts w:ascii="Times New Roman" w:hAnsi="Times New Roman"/>
          <w:bCs/>
          <w:sz w:val="24"/>
          <w:szCs w:val="24"/>
        </w:rPr>
        <w:t>The following table</w:t>
      </w:r>
      <w:r w:rsidR="00C731FD" w:rsidRPr="00C731FD">
        <w:rPr>
          <w:rFonts w:ascii="Times New Roman" w:hAnsi="Times New Roman"/>
          <w:bCs/>
          <w:sz w:val="24"/>
          <w:szCs w:val="24"/>
        </w:rPr>
        <w:t>s</w:t>
      </w:r>
      <w:r w:rsidRPr="00C731FD">
        <w:rPr>
          <w:rFonts w:ascii="Times New Roman" w:hAnsi="Times New Roman"/>
          <w:bCs/>
          <w:sz w:val="24"/>
          <w:szCs w:val="24"/>
        </w:rPr>
        <w:t xml:space="preserve"> show </w:t>
      </w:r>
      <w:r w:rsidR="00C731FD">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r w:rsidR="00C731FD" w:rsidRPr="00C731FD">
        <w:rPr>
          <w:rFonts w:ascii="Times New Roman" w:hAnsi="Times New Roman"/>
          <w:bCs/>
          <w:sz w:val="24"/>
          <w:szCs w:val="24"/>
        </w:rPr>
        <w:t>.</w:t>
      </w:r>
    </w:p>
    <w:p w14:paraId="13D20534" w14:textId="77777777" w:rsidR="006955A3" w:rsidRDefault="006955A3" w:rsidP="00450F57">
      <w:pPr>
        <w:spacing w:after="0" w:line="240" w:lineRule="auto"/>
        <w:rPr>
          <w:rFonts w:ascii="Times New Roman" w:hAnsi="Times New Roman"/>
          <w:b/>
          <w:bCs/>
          <w:sz w:val="24"/>
          <w:szCs w:val="24"/>
          <w:u w:val="single"/>
        </w:rPr>
      </w:pPr>
    </w:p>
    <w:p w14:paraId="36F6A437" w14:textId="775DF074" w:rsidR="00ED6497" w:rsidRPr="00ED6497" w:rsidRDefault="00ED6497" w:rsidP="00450F57">
      <w:pPr>
        <w:spacing w:after="0" w:line="240" w:lineRule="auto"/>
        <w:rPr>
          <w:rFonts w:ascii="Times New Roman" w:hAnsi="Times New Roman"/>
          <w:bCs/>
          <w:sz w:val="24"/>
          <w:szCs w:val="24"/>
        </w:rPr>
      </w:pPr>
      <w:r>
        <w:rPr>
          <w:rFonts w:ascii="Times New Roman" w:hAnsi="Times New Roman"/>
          <w:b/>
          <w:bCs/>
          <w:sz w:val="24"/>
          <w:szCs w:val="24"/>
        </w:rPr>
        <w:t xml:space="preserve">Form 80.  </w:t>
      </w:r>
      <w:r w:rsidRPr="00ED6497">
        <w:rPr>
          <w:rFonts w:ascii="Times New Roman" w:hAnsi="Times New Roman"/>
          <w:bCs/>
          <w:i/>
          <w:sz w:val="24"/>
          <w:szCs w:val="24"/>
        </w:rPr>
        <w:t xml:space="preserve">Please note that the </w:t>
      </w:r>
      <w:r>
        <w:rPr>
          <w:rFonts w:ascii="Times New Roman" w:hAnsi="Times New Roman"/>
          <w:bCs/>
          <w:i/>
          <w:sz w:val="24"/>
          <w:szCs w:val="24"/>
        </w:rPr>
        <w:t xml:space="preserve">entire </w:t>
      </w:r>
      <w:r w:rsidRPr="00ED6497">
        <w:rPr>
          <w:rFonts w:ascii="Times New Roman" w:hAnsi="Times New Roman"/>
          <w:bCs/>
          <w:i/>
          <w:sz w:val="24"/>
          <w:szCs w:val="24"/>
        </w:rPr>
        <w:t>Form 80 is proposed for deletion in the NOPR in RM18-14</w:t>
      </w:r>
      <w:r w:rsidR="00D44FCA">
        <w:rPr>
          <w:rFonts w:ascii="Times New Roman" w:hAnsi="Times New Roman"/>
          <w:bCs/>
          <w:i/>
          <w:sz w:val="24"/>
          <w:szCs w:val="24"/>
        </w:rPr>
        <w:t xml:space="preserve"> (as shown in the table in Question 12, above)</w:t>
      </w:r>
      <w:r w:rsidRPr="00ED6497">
        <w:rPr>
          <w:rFonts w:ascii="Times New Roman" w:hAnsi="Times New Roman"/>
          <w:bCs/>
          <w:i/>
          <w:sz w:val="24"/>
          <w:szCs w:val="24"/>
        </w:rPr>
        <w:t>.  However we are retaining placeholder</w:t>
      </w:r>
      <w:r w:rsidR="00236DFB">
        <w:rPr>
          <w:rFonts w:ascii="Times New Roman" w:hAnsi="Times New Roman"/>
          <w:bCs/>
          <w:i/>
          <w:sz w:val="24"/>
          <w:szCs w:val="24"/>
        </w:rPr>
        <w:t xml:space="preserve"> figures</w:t>
      </w:r>
      <w:r w:rsidRPr="00ED6497">
        <w:rPr>
          <w:rFonts w:ascii="Times New Roman" w:hAnsi="Times New Roman"/>
          <w:bCs/>
          <w:i/>
          <w:sz w:val="24"/>
          <w:szCs w:val="24"/>
        </w:rPr>
        <w:t xml:space="preserve"> of 1 response and 1 burden hour in </w:t>
      </w:r>
      <w:r w:rsidR="00D44FCA">
        <w:rPr>
          <w:rFonts w:ascii="Times New Roman" w:hAnsi="Times New Roman"/>
          <w:bCs/>
          <w:i/>
          <w:sz w:val="24"/>
          <w:szCs w:val="24"/>
        </w:rPr>
        <w:t xml:space="preserve">Question 15 here, </w:t>
      </w:r>
      <w:r w:rsidRPr="00ED6497">
        <w:rPr>
          <w:rFonts w:ascii="Times New Roman" w:hAnsi="Times New Roman"/>
          <w:bCs/>
          <w:i/>
          <w:sz w:val="24"/>
          <w:szCs w:val="24"/>
        </w:rPr>
        <w:t>ROCIS</w:t>
      </w:r>
      <w:r w:rsidR="009B513C">
        <w:rPr>
          <w:rFonts w:ascii="Times New Roman" w:hAnsi="Times New Roman"/>
          <w:bCs/>
          <w:i/>
          <w:sz w:val="24"/>
          <w:szCs w:val="24"/>
        </w:rPr>
        <w:t>,</w:t>
      </w:r>
      <w:r w:rsidRPr="00ED6497">
        <w:rPr>
          <w:rFonts w:ascii="Times New Roman" w:hAnsi="Times New Roman"/>
          <w:bCs/>
          <w:i/>
          <w:sz w:val="24"/>
          <w:szCs w:val="24"/>
        </w:rPr>
        <w:t xml:space="preserve"> and reginfo.gov</w:t>
      </w:r>
      <w:r>
        <w:rPr>
          <w:rFonts w:ascii="Times New Roman" w:hAnsi="Times New Roman"/>
          <w:bCs/>
          <w:i/>
          <w:sz w:val="24"/>
          <w:szCs w:val="24"/>
        </w:rPr>
        <w:t xml:space="preserve"> at this proposed rulemaking stage.  If and when the related Final Rule is approved deleting the Form 80, the submittal will delete the en</w:t>
      </w:r>
      <w:r w:rsidR="00D44FCA">
        <w:rPr>
          <w:rFonts w:ascii="Times New Roman" w:hAnsi="Times New Roman"/>
          <w:bCs/>
          <w:i/>
          <w:sz w:val="24"/>
          <w:szCs w:val="24"/>
        </w:rPr>
        <w:t>tire burden for the collection (</w:t>
      </w:r>
      <w:r>
        <w:rPr>
          <w:rFonts w:ascii="Times New Roman" w:hAnsi="Times New Roman"/>
          <w:bCs/>
          <w:i/>
          <w:sz w:val="24"/>
          <w:szCs w:val="24"/>
        </w:rPr>
        <w:t>OMB Control No.)</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69B03680" w14:textId="77777777" w:rsidTr="00ED6497">
        <w:trPr>
          <w:trHeight w:val="870"/>
        </w:trPr>
        <w:tc>
          <w:tcPr>
            <w:tcW w:w="2679" w:type="dxa"/>
            <w:shd w:val="clear" w:color="auto" w:fill="D9D9D9"/>
            <w:vAlign w:val="bottom"/>
          </w:tcPr>
          <w:bookmarkEnd w:id="1"/>
          <w:p w14:paraId="7B1E5E33" w14:textId="77777777" w:rsidR="00587AD0" w:rsidRPr="00F1537F" w:rsidRDefault="00587AD0" w:rsidP="00587AD0">
            <w:pPr>
              <w:spacing w:after="0" w:line="240" w:lineRule="auto"/>
              <w:jc w:val="center"/>
              <w:rPr>
                <w:rFonts w:ascii="Times New Roman" w:hAnsi="Times New Roman"/>
                <w:b/>
                <w:sz w:val="24"/>
                <w:szCs w:val="24"/>
              </w:rPr>
            </w:pPr>
            <w:r w:rsidRPr="00F1537F">
              <w:rPr>
                <w:rFonts w:ascii="Times New Roman" w:hAnsi="Times New Roman"/>
                <w:b/>
                <w:sz w:val="24"/>
                <w:szCs w:val="24"/>
              </w:rPr>
              <w:t>FERC-</w:t>
            </w:r>
            <w:r>
              <w:rPr>
                <w:rFonts w:ascii="Times New Roman" w:hAnsi="Times New Roman"/>
                <w:b/>
                <w:sz w:val="24"/>
                <w:szCs w:val="24"/>
              </w:rPr>
              <w:t>80</w:t>
            </w:r>
            <w:r w:rsidR="00EA13DC" w:rsidRPr="001C2A53">
              <w:rPr>
                <w:rStyle w:val="FootnoteReference"/>
                <w:rFonts w:ascii="Times New Roman" w:hAnsi="Times New Roman"/>
                <w:b/>
                <w:sz w:val="24"/>
                <w:szCs w:val="24"/>
                <w:vertAlign w:val="superscript"/>
              </w:rPr>
              <w:footnoteReference w:id="23"/>
            </w:r>
          </w:p>
        </w:tc>
        <w:tc>
          <w:tcPr>
            <w:tcW w:w="1461" w:type="dxa"/>
            <w:shd w:val="clear" w:color="auto" w:fill="D9D9D9"/>
            <w:vAlign w:val="bottom"/>
          </w:tcPr>
          <w:p w14:paraId="5710C136"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38D12A08"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4B464095"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61287F80"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1C84CAC2" w14:textId="77777777" w:rsidTr="001C2A53">
        <w:trPr>
          <w:trHeight w:val="521"/>
        </w:trPr>
        <w:tc>
          <w:tcPr>
            <w:tcW w:w="2679" w:type="dxa"/>
            <w:shd w:val="clear" w:color="auto" w:fill="auto"/>
            <w:vAlign w:val="bottom"/>
          </w:tcPr>
          <w:p w14:paraId="2827C702"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190A70E5" w14:textId="71A86764" w:rsidR="00587AD0" w:rsidRPr="007445A8" w:rsidRDefault="00ED6497" w:rsidP="00ED6497">
            <w:pPr>
              <w:spacing w:after="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auto"/>
            <w:vAlign w:val="bottom"/>
          </w:tcPr>
          <w:p w14:paraId="4099BA83" w14:textId="77777777" w:rsidR="00587AD0" w:rsidRPr="007445A8" w:rsidRDefault="00EA13DC" w:rsidP="00ED6497">
            <w:pPr>
              <w:spacing w:after="0" w:line="240" w:lineRule="auto"/>
              <w:jc w:val="right"/>
              <w:rPr>
                <w:rFonts w:ascii="Times New Roman" w:hAnsi="Times New Roman"/>
                <w:sz w:val="24"/>
                <w:szCs w:val="24"/>
              </w:rPr>
            </w:pPr>
            <w:r>
              <w:rPr>
                <w:rFonts w:ascii="Times New Roman" w:hAnsi="Times New Roman"/>
                <w:sz w:val="24"/>
                <w:szCs w:val="24"/>
              </w:rPr>
              <w:t>67</w:t>
            </w:r>
          </w:p>
        </w:tc>
        <w:tc>
          <w:tcPr>
            <w:tcW w:w="1800" w:type="dxa"/>
            <w:shd w:val="clear" w:color="auto" w:fill="auto"/>
            <w:vAlign w:val="bottom"/>
          </w:tcPr>
          <w:p w14:paraId="64950BB4"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44EEE99B" w14:textId="293291A0" w:rsidR="00587AD0" w:rsidRPr="00F1537F" w:rsidRDefault="00EA13DC" w:rsidP="00ED6497">
            <w:pPr>
              <w:spacing w:after="0" w:line="240" w:lineRule="auto"/>
              <w:jc w:val="right"/>
              <w:rPr>
                <w:rFonts w:ascii="Times New Roman" w:hAnsi="Times New Roman"/>
                <w:sz w:val="24"/>
                <w:szCs w:val="24"/>
              </w:rPr>
            </w:pPr>
            <w:r>
              <w:rPr>
                <w:rFonts w:ascii="Times New Roman" w:hAnsi="Times New Roman"/>
                <w:sz w:val="24"/>
                <w:szCs w:val="24"/>
              </w:rPr>
              <w:t>-6</w:t>
            </w:r>
            <w:r w:rsidR="00ED6497">
              <w:rPr>
                <w:rFonts w:ascii="Times New Roman" w:hAnsi="Times New Roman"/>
                <w:sz w:val="24"/>
                <w:szCs w:val="24"/>
              </w:rPr>
              <w:t>6</w:t>
            </w:r>
          </w:p>
        </w:tc>
      </w:tr>
      <w:tr w:rsidR="00587AD0" w:rsidRPr="00F1537F" w14:paraId="400820FF" w14:textId="77777777" w:rsidTr="00ED6497">
        <w:trPr>
          <w:trHeight w:val="602"/>
        </w:trPr>
        <w:tc>
          <w:tcPr>
            <w:tcW w:w="2679" w:type="dxa"/>
            <w:shd w:val="clear" w:color="auto" w:fill="auto"/>
            <w:vAlign w:val="bottom"/>
          </w:tcPr>
          <w:p w14:paraId="2D633A16"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52B82E04" w14:textId="4525A705" w:rsidR="00587AD0" w:rsidRPr="007445A8" w:rsidRDefault="00ED6497" w:rsidP="00ED6497">
            <w:pPr>
              <w:spacing w:after="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auto"/>
            <w:vAlign w:val="bottom"/>
          </w:tcPr>
          <w:p w14:paraId="7ECA28FD" w14:textId="77777777" w:rsidR="00587AD0" w:rsidRPr="00EA13DC" w:rsidRDefault="00EA13DC" w:rsidP="00ED6497">
            <w:pPr>
              <w:spacing w:after="0" w:line="240" w:lineRule="auto"/>
              <w:jc w:val="right"/>
              <w:rPr>
                <w:rFonts w:ascii="Times New Roman" w:hAnsi="Times New Roman"/>
                <w:sz w:val="24"/>
                <w:szCs w:val="24"/>
              </w:rPr>
            </w:pPr>
            <w:r w:rsidRPr="00EA13DC">
              <w:rPr>
                <w:rFonts w:ascii="Times New Roman" w:hAnsi="Times New Roman"/>
                <w:sz w:val="24"/>
                <w:szCs w:val="24"/>
              </w:rPr>
              <w:t>201</w:t>
            </w:r>
          </w:p>
        </w:tc>
        <w:tc>
          <w:tcPr>
            <w:tcW w:w="1800" w:type="dxa"/>
            <w:shd w:val="clear" w:color="auto" w:fill="auto"/>
            <w:vAlign w:val="bottom"/>
          </w:tcPr>
          <w:p w14:paraId="2C937470" w14:textId="77777777" w:rsidR="00587AD0" w:rsidRPr="00EA13DC"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2FE6B059" w14:textId="0AEB646C" w:rsidR="00587AD0" w:rsidRPr="00F1537F" w:rsidRDefault="00EA13DC" w:rsidP="00ED6497">
            <w:pPr>
              <w:spacing w:after="0" w:line="240" w:lineRule="auto"/>
              <w:jc w:val="right"/>
              <w:rPr>
                <w:rFonts w:ascii="Times New Roman" w:hAnsi="Times New Roman"/>
                <w:sz w:val="24"/>
                <w:szCs w:val="24"/>
              </w:rPr>
            </w:pPr>
            <w:r>
              <w:rPr>
                <w:rFonts w:ascii="Times New Roman" w:hAnsi="Times New Roman"/>
                <w:sz w:val="24"/>
                <w:szCs w:val="24"/>
              </w:rPr>
              <w:t>-20</w:t>
            </w:r>
            <w:r w:rsidR="00ED6497">
              <w:rPr>
                <w:rFonts w:ascii="Times New Roman" w:hAnsi="Times New Roman"/>
                <w:sz w:val="24"/>
                <w:szCs w:val="24"/>
              </w:rPr>
              <w:t>0</w:t>
            </w:r>
          </w:p>
        </w:tc>
      </w:tr>
      <w:tr w:rsidR="00587AD0" w:rsidRPr="00F1537F" w14:paraId="17822E3F" w14:textId="77777777" w:rsidTr="00ED6497">
        <w:trPr>
          <w:trHeight w:val="467"/>
        </w:trPr>
        <w:tc>
          <w:tcPr>
            <w:tcW w:w="2679" w:type="dxa"/>
            <w:shd w:val="clear" w:color="auto" w:fill="auto"/>
            <w:vAlign w:val="bottom"/>
          </w:tcPr>
          <w:p w14:paraId="12E6A83D"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35D0D838"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2803AEB1"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305187AE"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42CEEDB6"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7834D32B" w14:textId="77777777" w:rsidR="00587AD0" w:rsidRDefault="00587AD0" w:rsidP="00ED6497">
      <w:pPr>
        <w:spacing w:after="0" w:line="240" w:lineRule="auto"/>
        <w:rPr>
          <w:rFonts w:ascii="Times New Roman" w:hAnsi="Times New Roman"/>
          <w:sz w:val="24"/>
          <w:szCs w:val="24"/>
        </w:rPr>
      </w:pPr>
    </w:p>
    <w:p w14:paraId="416F2ECF" w14:textId="2CC9B4E5" w:rsidR="00ED6497"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FERC-500.</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4E328B3D" w14:textId="77777777" w:rsidTr="00ED6497">
        <w:trPr>
          <w:trHeight w:val="870"/>
        </w:trPr>
        <w:tc>
          <w:tcPr>
            <w:tcW w:w="2679" w:type="dxa"/>
            <w:shd w:val="clear" w:color="auto" w:fill="D9D9D9"/>
            <w:vAlign w:val="bottom"/>
          </w:tcPr>
          <w:p w14:paraId="1D95FFE0" w14:textId="77777777" w:rsidR="00587AD0" w:rsidRPr="00F1537F" w:rsidRDefault="00587AD0" w:rsidP="00ED6497">
            <w:pPr>
              <w:spacing w:after="0" w:line="240" w:lineRule="auto"/>
              <w:jc w:val="center"/>
              <w:rPr>
                <w:rFonts w:ascii="Times New Roman" w:hAnsi="Times New Roman"/>
                <w:b/>
                <w:sz w:val="24"/>
                <w:szCs w:val="24"/>
              </w:rPr>
            </w:pPr>
            <w:r>
              <w:rPr>
                <w:rFonts w:ascii="Times New Roman" w:hAnsi="Times New Roman"/>
                <w:b/>
                <w:sz w:val="24"/>
                <w:szCs w:val="24"/>
              </w:rPr>
              <w:t>FERC-500</w:t>
            </w:r>
          </w:p>
        </w:tc>
        <w:tc>
          <w:tcPr>
            <w:tcW w:w="1461" w:type="dxa"/>
            <w:shd w:val="clear" w:color="auto" w:fill="D9D9D9"/>
            <w:vAlign w:val="bottom"/>
          </w:tcPr>
          <w:p w14:paraId="1E85F38B"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13DCD3B2"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19B20FFC"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5F1BF27D"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5F5D8E5B" w14:textId="77777777" w:rsidTr="00ED6497">
        <w:trPr>
          <w:trHeight w:val="746"/>
        </w:trPr>
        <w:tc>
          <w:tcPr>
            <w:tcW w:w="2679" w:type="dxa"/>
            <w:shd w:val="clear" w:color="auto" w:fill="auto"/>
            <w:vAlign w:val="bottom"/>
          </w:tcPr>
          <w:p w14:paraId="0414773C"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202EE4A2" w14:textId="77777777"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512</w:t>
            </w:r>
          </w:p>
        </w:tc>
        <w:tc>
          <w:tcPr>
            <w:tcW w:w="1620" w:type="dxa"/>
            <w:shd w:val="clear" w:color="auto" w:fill="auto"/>
            <w:vAlign w:val="bottom"/>
          </w:tcPr>
          <w:p w14:paraId="4205D84B" w14:textId="77777777" w:rsidR="00587AD0" w:rsidRPr="007445A8" w:rsidRDefault="00B75FEE" w:rsidP="00ED6497">
            <w:pPr>
              <w:spacing w:after="0" w:line="240" w:lineRule="auto"/>
              <w:jc w:val="right"/>
              <w:rPr>
                <w:rFonts w:ascii="Times New Roman" w:hAnsi="Times New Roman"/>
                <w:sz w:val="24"/>
                <w:szCs w:val="24"/>
              </w:rPr>
            </w:pPr>
            <w:r>
              <w:rPr>
                <w:rFonts w:ascii="Times New Roman" w:hAnsi="Times New Roman"/>
                <w:sz w:val="24"/>
                <w:szCs w:val="24"/>
              </w:rPr>
              <w:t>83</w:t>
            </w:r>
          </w:p>
        </w:tc>
        <w:tc>
          <w:tcPr>
            <w:tcW w:w="1800" w:type="dxa"/>
            <w:shd w:val="clear" w:color="auto" w:fill="auto"/>
            <w:vAlign w:val="bottom"/>
          </w:tcPr>
          <w:p w14:paraId="75478CFC"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54F89449" w14:textId="77777777" w:rsidR="00587AD0" w:rsidRPr="00F1537F" w:rsidRDefault="006F5CD1" w:rsidP="006F5CD1">
            <w:pPr>
              <w:spacing w:after="0" w:line="240" w:lineRule="auto"/>
              <w:jc w:val="right"/>
              <w:rPr>
                <w:rFonts w:ascii="Times New Roman" w:hAnsi="Times New Roman"/>
                <w:sz w:val="24"/>
                <w:szCs w:val="24"/>
              </w:rPr>
            </w:pPr>
            <w:r>
              <w:rPr>
                <w:rFonts w:ascii="Times New Roman" w:hAnsi="Times New Roman"/>
                <w:sz w:val="24"/>
                <w:szCs w:val="24"/>
              </w:rPr>
              <w:t>+</w:t>
            </w:r>
            <w:r w:rsidRPr="006F5CD1">
              <w:rPr>
                <w:rFonts w:ascii="Times New Roman" w:hAnsi="Times New Roman"/>
                <w:sz w:val="24"/>
                <w:szCs w:val="24"/>
              </w:rPr>
              <w:t>429</w:t>
            </w:r>
            <w:r w:rsidRPr="006F5CD1">
              <w:rPr>
                <w:rFonts w:ascii="Times New Roman" w:hAnsi="Times New Roman"/>
                <w:b/>
                <w:sz w:val="24"/>
                <w:szCs w:val="24"/>
                <w:vertAlign w:val="superscript"/>
              </w:rPr>
              <w:footnoteReference w:id="24"/>
            </w:r>
            <w:r w:rsidRPr="006F5CD1">
              <w:rPr>
                <w:rFonts w:ascii="Times New Roman" w:hAnsi="Times New Roman"/>
                <w:sz w:val="24"/>
                <w:szCs w:val="24"/>
              </w:rPr>
              <w:t xml:space="preserve"> </w:t>
            </w:r>
          </w:p>
        </w:tc>
      </w:tr>
      <w:tr w:rsidR="00587AD0" w:rsidRPr="00F1537F" w14:paraId="456F8F1A" w14:textId="77777777" w:rsidTr="00587AD0">
        <w:trPr>
          <w:trHeight w:val="539"/>
        </w:trPr>
        <w:tc>
          <w:tcPr>
            <w:tcW w:w="2679" w:type="dxa"/>
            <w:shd w:val="clear" w:color="auto" w:fill="auto"/>
            <w:vAlign w:val="bottom"/>
          </w:tcPr>
          <w:p w14:paraId="232B3119"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4B073F1C" w14:textId="77777777"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321,721</w:t>
            </w:r>
          </w:p>
        </w:tc>
        <w:tc>
          <w:tcPr>
            <w:tcW w:w="1620" w:type="dxa"/>
            <w:shd w:val="clear" w:color="auto" w:fill="auto"/>
            <w:vAlign w:val="bottom"/>
          </w:tcPr>
          <w:p w14:paraId="700CE365" w14:textId="77777777" w:rsidR="00587AD0" w:rsidRPr="00B75FEE" w:rsidRDefault="00B75FEE" w:rsidP="00ED6497">
            <w:pPr>
              <w:spacing w:after="0" w:line="240" w:lineRule="auto"/>
              <w:jc w:val="right"/>
              <w:rPr>
                <w:rFonts w:ascii="Times New Roman" w:hAnsi="Times New Roman"/>
                <w:sz w:val="24"/>
                <w:szCs w:val="24"/>
              </w:rPr>
            </w:pPr>
            <w:r w:rsidRPr="00B75FEE">
              <w:rPr>
                <w:rFonts w:ascii="Times New Roman" w:hAnsi="Times New Roman"/>
                <w:sz w:val="24"/>
                <w:szCs w:val="24"/>
              </w:rPr>
              <w:t xml:space="preserve">321,506  </w:t>
            </w:r>
          </w:p>
        </w:tc>
        <w:tc>
          <w:tcPr>
            <w:tcW w:w="1800" w:type="dxa"/>
            <w:shd w:val="clear" w:color="auto" w:fill="auto"/>
            <w:vAlign w:val="bottom"/>
          </w:tcPr>
          <w:p w14:paraId="397C8BCF" w14:textId="77777777" w:rsidR="00587AD0" w:rsidRPr="00B75FEE"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7A0C5040" w14:textId="77777777" w:rsidR="00587AD0" w:rsidRPr="00F1537F" w:rsidRDefault="006F5CD1" w:rsidP="00ED6497">
            <w:pPr>
              <w:spacing w:after="0" w:line="240" w:lineRule="auto"/>
              <w:jc w:val="right"/>
              <w:rPr>
                <w:rFonts w:ascii="Times New Roman" w:hAnsi="Times New Roman"/>
                <w:sz w:val="24"/>
                <w:szCs w:val="24"/>
              </w:rPr>
            </w:pPr>
            <w:r>
              <w:rPr>
                <w:rFonts w:ascii="Times New Roman" w:hAnsi="Times New Roman"/>
                <w:sz w:val="24"/>
                <w:szCs w:val="24"/>
              </w:rPr>
              <w:t>+215</w:t>
            </w:r>
          </w:p>
        </w:tc>
      </w:tr>
      <w:tr w:rsidR="00587AD0" w:rsidRPr="00F1537F" w14:paraId="58C7A014" w14:textId="77777777" w:rsidTr="00ED6497">
        <w:trPr>
          <w:trHeight w:val="467"/>
        </w:trPr>
        <w:tc>
          <w:tcPr>
            <w:tcW w:w="2679" w:type="dxa"/>
            <w:shd w:val="clear" w:color="auto" w:fill="auto"/>
            <w:vAlign w:val="bottom"/>
          </w:tcPr>
          <w:p w14:paraId="63D1A8FE"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7D4CFC39"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0D7522C0"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61C2E5F5"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CFCC96A"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570E9DBA" w14:textId="77777777" w:rsidR="001968EA" w:rsidRDefault="001968EA" w:rsidP="00ED6497">
      <w:pPr>
        <w:spacing w:after="0" w:line="240" w:lineRule="auto"/>
        <w:rPr>
          <w:rFonts w:ascii="Times New Roman" w:hAnsi="Times New Roman"/>
          <w:b/>
          <w:sz w:val="24"/>
          <w:szCs w:val="24"/>
        </w:rPr>
      </w:pPr>
    </w:p>
    <w:p w14:paraId="7D54FE6C" w14:textId="512D8A4F" w:rsidR="00587AD0"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FERC-505.</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F0627E" w:rsidRPr="00F1537F" w14:paraId="0BEE6E39" w14:textId="77777777" w:rsidTr="00ED6497">
        <w:trPr>
          <w:trHeight w:val="870"/>
        </w:trPr>
        <w:tc>
          <w:tcPr>
            <w:tcW w:w="2679" w:type="dxa"/>
            <w:shd w:val="clear" w:color="auto" w:fill="D9D9D9"/>
            <w:vAlign w:val="bottom"/>
          </w:tcPr>
          <w:p w14:paraId="40B1694C"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p>
        </w:tc>
        <w:tc>
          <w:tcPr>
            <w:tcW w:w="1461" w:type="dxa"/>
            <w:shd w:val="clear" w:color="auto" w:fill="D9D9D9"/>
            <w:vAlign w:val="bottom"/>
          </w:tcPr>
          <w:p w14:paraId="71217062"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2AE14F6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20AFAFD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0EF94590"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F0627E" w:rsidRPr="00F1537F" w14:paraId="185E8026" w14:textId="77777777" w:rsidTr="00ED6497">
        <w:trPr>
          <w:trHeight w:val="746"/>
        </w:trPr>
        <w:tc>
          <w:tcPr>
            <w:tcW w:w="2679" w:type="dxa"/>
            <w:shd w:val="clear" w:color="auto" w:fill="auto"/>
            <w:vAlign w:val="bottom"/>
          </w:tcPr>
          <w:p w14:paraId="55072A11"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0EE5B235" w14:textId="77777777"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319</w:t>
            </w:r>
          </w:p>
        </w:tc>
        <w:tc>
          <w:tcPr>
            <w:tcW w:w="1620" w:type="dxa"/>
            <w:shd w:val="clear" w:color="auto" w:fill="auto"/>
            <w:vAlign w:val="bottom"/>
          </w:tcPr>
          <w:p w14:paraId="1CF2618A" w14:textId="77777777" w:rsidR="00F0627E" w:rsidRPr="007445A8" w:rsidRDefault="00B75FEE" w:rsidP="007445A8">
            <w:pPr>
              <w:spacing w:after="0" w:line="240" w:lineRule="auto"/>
              <w:jc w:val="right"/>
              <w:rPr>
                <w:rFonts w:ascii="Times New Roman" w:hAnsi="Times New Roman"/>
                <w:sz w:val="24"/>
                <w:szCs w:val="24"/>
              </w:rPr>
            </w:pPr>
            <w:r>
              <w:rPr>
                <w:rFonts w:ascii="Times New Roman" w:hAnsi="Times New Roman"/>
                <w:sz w:val="24"/>
                <w:szCs w:val="24"/>
              </w:rPr>
              <w:t>33</w:t>
            </w:r>
          </w:p>
        </w:tc>
        <w:tc>
          <w:tcPr>
            <w:tcW w:w="1800" w:type="dxa"/>
            <w:shd w:val="clear" w:color="auto" w:fill="auto"/>
            <w:vAlign w:val="bottom"/>
          </w:tcPr>
          <w:p w14:paraId="1994AD26"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77C33F40" w14:textId="77777777" w:rsidR="00F0627E" w:rsidRPr="00F1537F" w:rsidRDefault="00DA1081" w:rsidP="00DA1081">
            <w:pPr>
              <w:spacing w:after="0" w:line="240" w:lineRule="auto"/>
              <w:jc w:val="right"/>
              <w:rPr>
                <w:rFonts w:ascii="Times New Roman" w:hAnsi="Times New Roman"/>
                <w:sz w:val="24"/>
                <w:szCs w:val="24"/>
              </w:rPr>
            </w:pPr>
            <w:r>
              <w:rPr>
                <w:rFonts w:ascii="Times New Roman" w:hAnsi="Times New Roman"/>
                <w:sz w:val="24"/>
                <w:szCs w:val="24"/>
              </w:rPr>
              <w:t>+</w:t>
            </w:r>
            <w:r w:rsidRPr="00DA1081">
              <w:rPr>
                <w:rFonts w:ascii="Times New Roman" w:hAnsi="Times New Roman"/>
                <w:sz w:val="24"/>
                <w:szCs w:val="24"/>
              </w:rPr>
              <w:t>286</w:t>
            </w:r>
            <w:r w:rsidRPr="00DA1081">
              <w:rPr>
                <w:rFonts w:ascii="Times New Roman" w:hAnsi="Times New Roman"/>
                <w:b/>
                <w:sz w:val="24"/>
                <w:szCs w:val="24"/>
                <w:vertAlign w:val="superscript"/>
              </w:rPr>
              <w:footnoteReference w:id="25"/>
            </w:r>
            <w:r w:rsidRPr="00DA1081">
              <w:rPr>
                <w:rFonts w:ascii="Times New Roman" w:hAnsi="Times New Roman"/>
                <w:sz w:val="24"/>
                <w:szCs w:val="24"/>
              </w:rPr>
              <w:t xml:space="preserve"> </w:t>
            </w:r>
          </w:p>
        </w:tc>
      </w:tr>
      <w:tr w:rsidR="00F0627E" w:rsidRPr="00F1537F" w14:paraId="37F72CB3" w14:textId="77777777" w:rsidTr="00ED6497">
        <w:trPr>
          <w:trHeight w:val="602"/>
        </w:trPr>
        <w:tc>
          <w:tcPr>
            <w:tcW w:w="2679" w:type="dxa"/>
            <w:shd w:val="clear" w:color="auto" w:fill="auto"/>
            <w:vAlign w:val="bottom"/>
          </w:tcPr>
          <w:p w14:paraId="7C66FC0E"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15E0A584" w14:textId="77777777"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24,464</w:t>
            </w:r>
          </w:p>
        </w:tc>
        <w:tc>
          <w:tcPr>
            <w:tcW w:w="1620" w:type="dxa"/>
            <w:shd w:val="clear" w:color="auto" w:fill="auto"/>
            <w:vAlign w:val="bottom"/>
          </w:tcPr>
          <w:p w14:paraId="663A7951" w14:textId="77777777" w:rsidR="00F0627E" w:rsidRPr="007445A8" w:rsidRDefault="00B75FEE" w:rsidP="007445A8">
            <w:pPr>
              <w:spacing w:after="0" w:line="240" w:lineRule="auto"/>
              <w:jc w:val="right"/>
              <w:rPr>
                <w:rFonts w:ascii="Times New Roman" w:hAnsi="Times New Roman"/>
                <w:b/>
                <w:sz w:val="24"/>
                <w:szCs w:val="24"/>
              </w:rPr>
            </w:pPr>
            <w:r w:rsidRPr="00B75FEE">
              <w:rPr>
                <w:rFonts w:ascii="Times New Roman" w:hAnsi="Times New Roman"/>
                <w:sz w:val="24"/>
                <w:szCs w:val="24"/>
              </w:rPr>
              <w:t xml:space="preserve">24,321  </w:t>
            </w:r>
          </w:p>
        </w:tc>
        <w:tc>
          <w:tcPr>
            <w:tcW w:w="1800" w:type="dxa"/>
            <w:shd w:val="clear" w:color="auto" w:fill="auto"/>
            <w:vAlign w:val="bottom"/>
          </w:tcPr>
          <w:p w14:paraId="6C4CF363"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5F220A6F" w14:textId="77777777" w:rsidR="00F0627E" w:rsidRPr="00F1537F" w:rsidRDefault="00DA1081" w:rsidP="007445A8">
            <w:pPr>
              <w:spacing w:after="0" w:line="240" w:lineRule="auto"/>
              <w:jc w:val="right"/>
              <w:rPr>
                <w:rFonts w:ascii="Times New Roman" w:hAnsi="Times New Roman"/>
                <w:sz w:val="24"/>
                <w:szCs w:val="24"/>
              </w:rPr>
            </w:pPr>
            <w:r>
              <w:rPr>
                <w:rFonts w:ascii="Times New Roman" w:hAnsi="Times New Roman"/>
                <w:sz w:val="24"/>
                <w:szCs w:val="24"/>
              </w:rPr>
              <w:t>+143</w:t>
            </w:r>
          </w:p>
        </w:tc>
      </w:tr>
      <w:tr w:rsidR="00F0627E" w:rsidRPr="00F1537F" w14:paraId="5502B850" w14:textId="77777777" w:rsidTr="00ED6497">
        <w:trPr>
          <w:trHeight w:val="467"/>
        </w:trPr>
        <w:tc>
          <w:tcPr>
            <w:tcW w:w="2679" w:type="dxa"/>
            <w:shd w:val="clear" w:color="auto" w:fill="auto"/>
            <w:vAlign w:val="bottom"/>
          </w:tcPr>
          <w:p w14:paraId="207AA9D8"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1CD27CA4"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520469C2"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E5A0A93"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2F546DBD"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6465A7EE" w14:textId="77777777" w:rsidR="00471F97" w:rsidRPr="00F1537F" w:rsidRDefault="00471F97" w:rsidP="00ED6497">
      <w:pPr>
        <w:spacing w:after="0" w:line="240" w:lineRule="auto"/>
        <w:rPr>
          <w:rFonts w:ascii="Times New Roman" w:hAnsi="Times New Roman"/>
          <w:sz w:val="24"/>
          <w:szCs w:val="24"/>
        </w:rPr>
      </w:pPr>
    </w:p>
    <w:p w14:paraId="2AE8519E"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2D8FF36A" w14:textId="77777777" w:rsidR="00F0627E" w:rsidRPr="00F1537F" w:rsidRDefault="00F0627E" w:rsidP="007445A8">
      <w:pPr>
        <w:spacing w:after="0" w:line="240" w:lineRule="auto"/>
        <w:rPr>
          <w:rFonts w:ascii="Times New Roman" w:hAnsi="Times New Roman"/>
          <w:sz w:val="24"/>
          <w:szCs w:val="24"/>
        </w:rPr>
      </w:pPr>
    </w:p>
    <w:p w14:paraId="0679FB42"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10A8CCF9" w14:textId="77777777" w:rsidR="00F20B97" w:rsidRPr="00F1537F" w:rsidRDefault="00F20B97" w:rsidP="007445A8">
      <w:pPr>
        <w:spacing w:after="0" w:line="240" w:lineRule="auto"/>
        <w:rPr>
          <w:rFonts w:ascii="Times New Roman" w:hAnsi="Times New Roman"/>
          <w:sz w:val="24"/>
          <w:szCs w:val="24"/>
        </w:rPr>
      </w:pPr>
    </w:p>
    <w:p w14:paraId="36CC3690"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5355FE70" w14:textId="77777777" w:rsidR="00F0627E" w:rsidRPr="00F1537F" w:rsidRDefault="00F0627E" w:rsidP="007445A8">
      <w:pPr>
        <w:spacing w:after="0" w:line="240" w:lineRule="auto"/>
        <w:rPr>
          <w:rFonts w:ascii="Times New Roman" w:hAnsi="Times New Roman"/>
          <w:sz w:val="24"/>
          <w:szCs w:val="24"/>
        </w:rPr>
      </w:pPr>
    </w:p>
    <w:p w14:paraId="250EFD82"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5"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4B203081" w14:textId="77777777" w:rsidR="00027DC9" w:rsidRPr="00F1537F" w:rsidRDefault="00027DC9" w:rsidP="007445A8">
      <w:pPr>
        <w:spacing w:after="0" w:line="240" w:lineRule="auto"/>
        <w:rPr>
          <w:rFonts w:ascii="Times New Roman" w:hAnsi="Times New Roman"/>
          <w:sz w:val="24"/>
          <w:szCs w:val="24"/>
        </w:rPr>
      </w:pPr>
    </w:p>
    <w:p w14:paraId="2CF19B42"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4BDDF703" w14:textId="77777777" w:rsidR="001D289D" w:rsidRPr="00F1537F" w:rsidRDefault="001D289D" w:rsidP="007445A8">
      <w:pPr>
        <w:spacing w:after="0" w:line="240" w:lineRule="auto"/>
        <w:rPr>
          <w:rFonts w:ascii="Times New Roman" w:hAnsi="Times New Roman"/>
          <w:b/>
          <w:sz w:val="24"/>
          <w:szCs w:val="24"/>
        </w:rPr>
      </w:pPr>
    </w:p>
    <w:p w14:paraId="1D5A053C"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sidR="000836EF">
        <w:rPr>
          <w:rFonts w:ascii="Times New Roman" w:hAnsi="Times New Roman"/>
          <w:sz w:val="24"/>
          <w:szCs w:val="24"/>
        </w:rPr>
        <w:t>s</w:t>
      </w:r>
      <w:r w:rsidRPr="00F1537F">
        <w:rPr>
          <w:rFonts w:ascii="Times New Roman" w:hAnsi="Times New Roman"/>
          <w:sz w:val="24"/>
          <w:szCs w:val="24"/>
        </w:rPr>
        <w:t xml:space="preserve">. </w:t>
      </w:r>
      <w:r w:rsidR="00F0627E" w:rsidRPr="00F1537F">
        <w:rPr>
          <w:rFonts w:ascii="Times New Roman" w:hAnsi="Times New Roman"/>
          <w:sz w:val="24"/>
          <w:szCs w:val="24"/>
        </w:rPr>
        <w:br w:type="page"/>
      </w:r>
    </w:p>
    <w:p w14:paraId="21878BCA" w14:textId="77777777" w:rsidR="00F0627E" w:rsidRPr="00F1537F" w:rsidRDefault="00F0627E" w:rsidP="00B5132F">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680A98AD" w14:textId="77777777" w:rsidR="00554E46" w:rsidRDefault="00554E46" w:rsidP="006E5D79">
      <w:pPr>
        <w:spacing w:after="160" w:line="259" w:lineRule="auto"/>
        <w:rPr>
          <w:rFonts w:ascii="Times New Roman" w:hAnsi="Times New Roman"/>
          <w:sz w:val="24"/>
          <w:szCs w:val="24"/>
        </w:rPr>
      </w:pPr>
    </w:p>
    <w:p w14:paraId="79900BF2" w14:textId="77777777" w:rsidR="006E5D79" w:rsidRPr="00B5132F" w:rsidRDefault="00554E46" w:rsidP="00554E46">
      <w:pPr>
        <w:spacing w:after="0" w:line="240" w:lineRule="auto"/>
        <w:rPr>
          <w:rFonts w:ascii="Times New Roman" w:hAnsi="Times New Roman"/>
          <w:sz w:val="24"/>
          <w:szCs w:val="24"/>
        </w:rPr>
      </w:pPr>
      <w:r>
        <w:rPr>
          <w:rFonts w:ascii="Times New Roman" w:hAnsi="Times New Roman"/>
          <w:sz w:val="24"/>
          <w:szCs w:val="24"/>
        </w:rPr>
        <w:t>Note</w:t>
      </w:r>
      <w:r w:rsidR="00B5132F" w:rsidRPr="00B5132F">
        <w:rPr>
          <w:rFonts w:ascii="Times New Roman" w:hAnsi="Times New Roman"/>
          <w:sz w:val="24"/>
          <w:szCs w:val="24"/>
        </w:rPr>
        <w:t xml:space="preserve"> that some of the </w:t>
      </w:r>
      <w:r>
        <w:rPr>
          <w:rFonts w:ascii="Times New Roman" w:hAnsi="Times New Roman"/>
          <w:sz w:val="24"/>
          <w:szCs w:val="24"/>
        </w:rPr>
        <w:t xml:space="preserve">following </w:t>
      </w:r>
      <w:r w:rsidR="00B5132F" w:rsidRPr="00B5132F">
        <w:rPr>
          <w:rFonts w:ascii="Times New Roman" w:hAnsi="Times New Roman"/>
          <w:sz w:val="24"/>
          <w:szCs w:val="24"/>
        </w:rPr>
        <w:t xml:space="preserve">references cover both major </w:t>
      </w:r>
      <w:r w:rsidR="00B5132F">
        <w:rPr>
          <w:rFonts w:ascii="Times New Roman" w:hAnsi="Times New Roman"/>
          <w:sz w:val="24"/>
          <w:szCs w:val="24"/>
        </w:rPr>
        <w:t xml:space="preserve">(FERC-500) </w:t>
      </w:r>
      <w:r w:rsidR="00B5132F" w:rsidRPr="00B5132F">
        <w:rPr>
          <w:rFonts w:ascii="Times New Roman" w:hAnsi="Times New Roman"/>
          <w:sz w:val="24"/>
          <w:szCs w:val="24"/>
        </w:rPr>
        <w:t xml:space="preserve">and minor </w:t>
      </w:r>
      <w:r w:rsidR="00B5132F">
        <w:rPr>
          <w:rFonts w:ascii="Times New Roman" w:hAnsi="Times New Roman"/>
          <w:sz w:val="24"/>
          <w:szCs w:val="24"/>
        </w:rPr>
        <w:t xml:space="preserve">(FERC-505) </w:t>
      </w:r>
      <w:r w:rsidR="00B5132F" w:rsidRPr="00B5132F">
        <w:rPr>
          <w:rFonts w:ascii="Times New Roman" w:hAnsi="Times New Roman"/>
          <w:sz w:val="24"/>
          <w:szCs w:val="24"/>
        </w:rPr>
        <w:t xml:space="preserve">hydro project applications and reporting requirements.  </w:t>
      </w:r>
    </w:p>
    <w:p w14:paraId="262740B8" w14:textId="77777777" w:rsidR="00B5132F" w:rsidRDefault="00B5132F" w:rsidP="006E5D79">
      <w:pPr>
        <w:spacing w:after="160" w:line="259" w:lineRule="auto"/>
        <w:rPr>
          <w:rFonts w:ascii="Times New Roman" w:hAnsi="Times New Roman"/>
          <w:sz w:val="24"/>
          <w:szCs w:val="24"/>
        </w:rPr>
      </w:pPr>
    </w:p>
    <w:p w14:paraId="4AEAABC9" w14:textId="77777777" w:rsidR="00B5132F" w:rsidRPr="006E5D79" w:rsidRDefault="006E5D79" w:rsidP="00B5132F">
      <w:pPr>
        <w:spacing w:after="160" w:line="259" w:lineRule="auto"/>
        <w:rPr>
          <w:rFonts w:ascii="Times New Roman" w:hAnsi="Times New Roman"/>
          <w:sz w:val="24"/>
          <w:szCs w:val="24"/>
        </w:rPr>
      </w:pPr>
      <w:r w:rsidRPr="006E5D79">
        <w:rPr>
          <w:rFonts w:ascii="Times New Roman" w:hAnsi="Times New Roman"/>
          <w:b/>
          <w:sz w:val="24"/>
          <w:szCs w:val="24"/>
        </w:rPr>
        <w:t>FERC-500</w:t>
      </w:r>
      <w:r w:rsidRPr="006E5D79">
        <w:rPr>
          <w:rFonts w:ascii="Times New Roman" w:hAnsi="Times New Roman"/>
          <w:sz w:val="24"/>
          <w:szCs w:val="24"/>
        </w:rPr>
        <w:t xml:space="preserve"> </w:t>
      </w:r>
      <w:r w:rsidR="00B5132F" w:rsidRPr="00B5132F">
        <w:rPr>
          <w:rFonts w:ascii="Times New Roman" w:hAnsi="Times New Roman"/>
          <w:sz w:val="24"/>
          <w:szCs w:val="24"/>
        </w:rPr>
        <w:t>has information collection requirements described in the following sections in 18 C.F.R.:</w:t>
      </w:r>
    </w:p>
    <w:p w14:paraId="27CD08CD"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2.19</w:t>
      </w:r>
    </w:p>
    <w:p w14:paraId="7FD75E9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4.201</w:t>
      </w:r>
    </w:p>
    <w:p w14:paraId="0454909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4.202</w:t>
      </w:r>
    </w:p>
    <w:p w14:paraId="3B3B9A2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4.301</w:t>
      </w:r>
    </w:p>
    <w:p w14:paraId="7895342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 xml:space="preserve">4.303  </w:t>
      </w:r>
    </w:p>
    <w:p w14:paraId="0EFE137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4.35</w:t>
      </w:r>
    </w:p>
    <w:p w14:paraId="443E3DC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4.38</w:t>
      </w:r>
    </w:p>
    <w:p w14:paraId="22D420C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4.40</w:t>
      </w:r>
    </w:p>
    <w:p w14:paraId="3EFA625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4.41</w:t>
      </w:r>
    </w:p>
    <w:p w14:paraId="269A5FB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4.50</w:t>
      </w:r>
    </w:p>
    <w:p w14:paraId="0B57DD35"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4.51</w:t>
      </w:r>
    </w:p>
    <w:p w14:paraId="44CE044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5.11</w:t>
      </w:r>
    </w:p>
    <w:p w14:paraId="2E8729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5.13</w:t>
      </w:r>
    </w:p>
    <w:p w14:paraId="1256C4CA"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5.16</w:t>
      </w:r>
    </w:p>
    <w:p w14:paraId="25C845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5.17</w:t>
      </w:r>
    </w:p>
    <w:p w14:paraId="0F16DB7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5.18</w:t>
      </w:r>
    </w:p>
    <w:p w14:paraId="7AED09F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w:t>
      </w:r>
    </w:p>
    <w:p w14:paraId="72A41DF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5.20</w:t>
      </w:r>
    </w:p>
    <w:p w14:paraId="1D1FB4C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5.21</w:t>
      </w:r>
    </w:p>
    <w:p w14:paraId="6465FFF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5.27</w:t>
      </w:r>
    </w:p>
    <w:p w14:paraId="381A8FB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5.4</w:t>
      </w:r>
    </w:p>
    <w:p w14:paraId="6E08FE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5.5</w:t>
      </w:r>
    </w:p>
    <w:p w14:paraId="6A1F3BD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5.6</w:t>
      </w:r>
    </w:p>
    <w:p w14:paraId="4B469C4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8.1</w:t>
      </w:r>
    </w:p>
    <w:p w14:paraId="6EE5A0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8.2</w:t>
      </w:r>
    </w:p>
    <w:p w14:paraId="7A430A9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16.10</w:t>
      </w:r>
    </w:p>
    <w:p w14:paraId="78F9A58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16.11</w:t>
      </w:r>
    </w:p>
    <w:p w14:paraId="1C51380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16.12</w:t>
      </w:r>
    </w:p>
    <w:p w14:paraId="72DFB06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16.14</w:t>
      </w:r>
    </w:p>
    <w:p w14:paraId="0A80027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16.19</w:t>
      </w:r>
    </w:p>
    <w:p w14:paraId="6BEA6F6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16.20</w:t>
      </w:r>
    </w:p>
    <w:p w14:paraId="1BC0D82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16.26</w:t>
      </w:r>
    </w:p>
    <w:p w14:paraId="50301A7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16.4</w:t>
      </w:r>
    </w:p>
    <w:p w14:paraId="6074351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16.6</w:t>
      </w:r>
    </w:p>
    <w:p w14:paraId="6524FEA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16.7</w:t>
      </w:r>
    </w:p>
    <w:p w14:paraId="574B3ED0"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16.8</w:t>
      </w:r>
    </w:p>
    <w:p w14:paraId="7CB5971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16.9</w:t>
      </w:r>
    </w:p>
    <w:p w14:paraId="5D722BE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141.15</w:t>
      </w:r>
    </w:p>
    <w:p w14:paraId="000B92D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4.36(b)</w:t>
      </w:r>
    </w:p>
    <w:p w14:paraId="570D0BF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4.36(c)</w:t>
      </w:r>
    </w:p>
    <w:p w14:paraId="2A91A0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5.15(b)</w:t>
      </w:r>
    </w:p>
    <w:p w14:paraId="2FB91ACF"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5.15(c)</w:t>
      </w:r>
    </w:p>
    <w:p w14:paraId="6B464499"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5.15(d)</w:t>
      </w:r>
    </w:p>
    <w:p w14:paraId="01C293C7"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5.15(e)</w:t>
      </w:r>
    </w:p>
    <w:p w14:paraId="20ABE5E1"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5.15(f)</w:t>
      </w:r>
    </w:p>
    <w:p w14:paraId="7D9E9F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5.18(d)</w:t>
      </w:r>
    </w:p>
    <w:p w14:paraId="494BED9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5.23(b)</w:t>
      </w:r>
    </w:p>
    <w:p w14:paraId="00E7691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5.3(c)(1)</w:t>
      </w:r>
    </w:p>
    <w:p w14:paraId="48B77504"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5.3(c)(2)</w:t>
      </w:r>
    </w:p>
    <w:p w14:paraId="4110F63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5.3(d)(1)</w:t>
      </w:r>
    </w:p>
    <w:p w14:paraId="42C37B05" w14:textId="77777777" w:rsidR="006E5D79" w:rsidRPr="00B5132F" w:rsidRDefault="006E5D79" w:rsidP="00B5132F">
      <w:pPr>
        <w:pStyle w:val="ListParagraph"/>
        <w:numPr>
          <w:ilvl w:val="0"/>
          <w:numId w:val="16"/>
        </w:numPr>
        <w:spacing w:after="160" w:line="259" w:lineRule="auto"/>
        <w:rPr>
          <w:rFonts w:ascii="Times New Roman" w:hAnsi="Times New Roman"/>
          <w:sz w:val="24"/>
          <w:szCs w:val="24"/>
        </w:rPr>
      </w:pPr>
      <w:r w:rsidRPr="00B5132F">
        <w:rPr>
          <w:rFonts w:ascii="Times New Roman" w:hAnsi="Times New Roman"/>
          <w:sz w:val="24"/>
          <w:szCs w:val="24"/>
        </w:rPr>
        <w:t>292.208</w:t>
      </w:r>
    </w:p>
    <w:p w14:paraId="60534821" w14:textId="77777777" w:rsidR="006E5D79" w:rsidRDefault="006E5D79">
      <w:pPr>
        <w:spacing w:after="160" w:line="259" w:lineRule="auto"/>
        <w:rPr>
          <w:rFonts w:ascii="Times New Roman" w:hAnsi="Times New Roman"/>
          <w:sz w:val="24"/>
          <w:szCs w:val="24"/>
        </w:rPr>
      </w:pPr>
    </w:p>
    <w:p w14:paraId="7603079B" w14:textId="77777777" w:rsidR="00F0627E" w:rsidRDefault="00F0627E" w:rsidP="007445A8">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6D47BB8B" w14:textId="77777777" w:rsidR="00CB2F25" w:rsidRPr="00F1537F" w:rsidRDefault="00CB2F25" w:rsidP="007445A8">
      <w:pPr>
        <w:spacing w:after="0" w:line="240" w:lineRule="auto"/>
        <w:rPr>
          <w:rFonts w:ascii="Times New Roman" w:hAnsi="Times New Roman"/>
          <w:sz w:val="24"/>
          <w:szCs w:val="24"/>
        </w:rPr>
      </w:pPr>
    </w:p>
    <w:p w14:paraId="73F2B59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412E141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1FC577E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759649B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2197A98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52509AF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795571D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5DFCE7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4A49DB5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0E714B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2B707A2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150BB36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7CEEC3A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6ED47E7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69054A7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0B0694F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68DAA7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53D2405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43FA6B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78FABB9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45FB11C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4BE6DB2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7273819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5440B20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0FA03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226B842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11B9752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12D040B9"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5A4FADB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3DC8C5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sectPr w:rsidR="00F0627E" w:rsidRPr="00F1537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0D59" w14:textId="77777777" w:rsidR="00513CC8" w:rsidRDefault="00513CC8" w:rsidP="009C7F55">
      <w:pPr>
        <w:spacing w:after="0" w:line="240" w:lineRule="auto"/>
      </w:pPr>
      <w:r>
        <w:separator/>
      </w:r>
    </w:p>
  </w:endnote>
  <w:endnote w:type="continuationSeparator" w:id="0">
    <w:p w14:paraId="398DC1DF" w14:textId="77777777" w:rsidR="00513CC8" w:rsidRDefault="00513CC8" w:rsidP="009C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4862BE60" w14:textId="77777777" w:rsidR="00ED6497" w:rsidRDefault="00ED6497">
        <w:pPr>
          <w:pStyle w:val="Footer"/>
          <w:jc w:val="right"/>
        </w:pPr>
        <w:r>
          <w:fldChar w:fldCharType="begin"/>
        </w:r>
        <w:r>
          <w:instrText xml:space="preserve"> PAGE   \* MERGEFORMAT </w:instrText>
        </w:r>
        <w:r>
          <w:fldChar w:fldCharType="separate"/>
        </w:r>
        <w:r w:rsidR="00A94324">
          <w:rPr>
            <w:noProof/>
          </w:rPr>
          <w:t>1</w:t>
        </w:r>
        <w:r>
          <w:rPr>
            <w:noProof/>
          </w:rPr>
          <w:fldChar w:fldCharType="end"/>
        </w:r>
      </w:p>
    </w:sdtContent>
  </w:sdt>
  <w:p w14:paraId="0F2E5407" w14:textId="77777777" w:rsidR="00ED6497" w:rsidRDefault="00ED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A76A" w14:textId="77777777" w:rsidR="00513CC8" w:rsidRDefault="00513CC8" w:rsidP="009C7F55">
      <w:pPr>
        <w:spacing w:after="0" w:line="240" w:lineRule="auto"/>
      </w:pPr>
      <w:r>
        <w:separator/>
      </w:r>
    </w:p>
  </w:footnote>
  <w:footnote w:type="continuationSeparator" w:id="0">
    <w:p w14:paraId="5E5718E1" w14:textId="77777777" w:rsidR="00513CC8" w:rsidRDefault="00513CC8" w:rsidP="009C7F55">
      <w:pPr>
        <w:spacing w:after="0" w:line="240" w:lineRule="auto"/>
      </w:pPr>
      <w:r>
        <w:continuationSeparator/>
      </w:r>
    </w:p>
  </w:footnote>
  <w:footnote w:id="1">
    <w:p w14:paraId="50E4E003" w14:textId="77777777" w:rsidR="00ED6497" w:rsidRPr="00E220E3" w:rsidRDefault="00ED6497"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Information collection requirements for FERC-500 and FERC-505 are listed in Attachment A.</w:t>
      </w:r>
    </w:p>
  </w:footnote>
  <w:footnote w:id="2">
    <w:p w14:paraId="7AAFDA76" w14:textId="48983C4B" w:rsidR="006E159B" w:rsidRPr="00E220E3" w:rsidRDefault="006E159B">
      <w:pPr>
        <w:pStyle w:val="FootnoteText"/>
        <w:rPr>
          <w:sz w:val="24"/>
          <w:szCs w:val="24"/>
        </w:rPr>
      </w:pPr>
      <w:r w:rsidRPr="00E220E3">
        <w:rPr>
          <w:rStyle w:val="FootnoteReference"/>
          <w:sz w:val="24"/>
          <w:szCs w:val="24"/>
          <w:vertAlign w:val="superscript"/>
        </w:rPr>
        <w:footnoteRef/>
      </w:r>
      <w:r w:rsidRPr="00E220E3">
        <w:rPr>
          <w:sz w:val="24"/>
          <w:szCs w:val="24"/>
        </w:rPr>
        <w:t xml:space="preserve"> The NOPR is posted in FERC’s eLibrary at </w:t>
      </w:r>
      <w:hyperlink r:id="rId1" w:history="1">
        <w:r w:rsidRPr="00E220E3">
          <w:rPr>
            <w:rStyle w:val="Hyperlink"/>
            <w:sz w:val="24"/>
            <w:szCs w:val="24"/>
          </w:rPr>
          <w:t>https://elibrary.ferc.gov/idmws/common/OpenNat.asp?fileID=14921712</w:t>
        </w:r>
      </w:hyperlink>
      <w:r w:rsidRPr="00E220E3">
        <w:rPr>
          <w:sz w:val="24"/>
          <w:szCs w:val="24"/>
        </w:rPr>
        <w:t xml:space="preserve">. </w:t>
      </w:r>
    </w:p>
  </w:footnote>
  <w:footnote w:id="3">
    <w:p w14:paraId="40568A37" w14:textId="181FD66B" w:rsidR="00EA483D" w:rsidRPr="00E220E3" w:rsidRDefault="00EA483D">
      <w:pPr>
        <w:pStyle w:val="FootnoteText"/>
        <w:rPr>
          <w:sz w:val="24"/>
          <w:szCs w:val="24"/>
        </w:rPr>
      </w:pPr>
      <w:r w:rsidRPr="00E220E3">
        <w:rPr>
          <w:rStyle w:val="FootnoteReference"/>
          <w:sz w:val="24"/>
          <w:szCs w:val="24"/>
          <w:vertAlign w:val="superscript"/>
        </w:rPr>
        <w:footnoteRef/>
      </w:r>
      <w:r w:rsidRPr="00E220E3">
        <w:rPr>
          <w:sz w:val="24"/>
          <w:szCs w:val="24"/>
        </w:rPr>
        <w:t xml:space="preserve"> </w:t>
      </w:r>
      <w:r w:rsidR="00E220E3" w:rsidRPr="00E220E3">
        <w:rPr>
          <w:sz w:val="24"/>
          <w:szCs w:val="24"/>
        </w:rPr>
        <w:t>A</w:t>
      </w:r>
      <w:r w:rsidRPr="00E220E3">
        <w:rPr>
          <w:sz w:val="24"/>
          <w:szCs w:val="24"/>
        </w:rPr>
        <w:t>lso called “Form 80” and “FERC-80”</w:t>
      </w:r>
    </w:p>
  </w:footnote>
  <w:footnote w:id="4">
    <w:p w14:paraId="7772BD56" w14:textId="77777777" w:rsidR="00ED6497" w:rsidRPr="00E220E3" w:rsidRDefault="00ED6497" w:rsidP="007E0D8A">
      <w:pPr>
        <w:pStyle w:val="FootnoteText"/>
        <w:rPr>
          <w:sz w:val="24"/>
          <w:szCs w:val="24"/>
        </w:rPr>
      </w:pPr>
      <w:r w:rsidRPr="00E220E3">
        <w:rPr>
          <w:rStyle w:val="FootnoteReference"/>
          <w:sz w:val="24"/>
          <w:szCs w:val="24"/>
          <w:vertAlign w:val="superscript"/>
        </w:rPr>
        <w:footnoteRef/>
      </w:r>
      <w:r w:rsidRPr="00E220E3">
        <w:rPr>
          <w:sz w:val="24"/>
          <w:szCs w:val="24"/>
        </w:rPr>
        <w:t xml:space="preserve"> 16 U.S.C. §§791a-825r (2012).</w:t>
      </w:r>
    </w:p>
  </w:footnote>
  <w:footnote w:id="5">
    <w:p w14:paraId="07D67BD0" w14:textId="231EEDD1" w:rsidR="00ED6497" w:rsidRPr="00F1537F" w:rsidRDefault="00ED6497"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Pub. L. No. 99-495, 100 Stat. 1243 (1986).</w:t>
      </w:r>
    </w:p>
  </w:footnote>
  <w:footnote w:id="6">
    <w:p w14:paraId="4A589FDF" w14:textId="3561F1F7" w:rsidR="00ED6497" w:rsidRPr="00E220E3" w:rsidRDefault="00ED6497" w:rsidP="004C3C5F">
      <w:pPr>
        <w:pStyle w:val="FootnoteText"/>
        <w:tabs>
          <w:tab w:val="left" w:pos="2760"/>
        </w:tabs>
        <w:rPr>
          <w:sz w:val="24"/>
          <w:szCs w:val="24"/>
        </w:rPr>
      </w:pPr>
      <w:r w:rsidRPr="00E220E3">
        <w:rPr>
          <w:rStyle w:val="FootnoteReference"/>
          <w:sz w:val="24"/>
          <w:szCs w:val="24"/>
          <w:vertAlign w:val="superscript"/>
        </w:rPr>
        <w:footnoteRef/>
      </w:r>
      <w:r w:rsidRPr="00E220E3">
        <w:rPr>
          <w:sz w:val="24"/>
          <w:szCs w:val="24"/>
        </w:rPr>
        <w:t xml:space="preserve"> 16 USC 797(e) (2012).</w:t>
      </w:r>
    </w:p>
  </w:footnote>
  <w:footnote w:id="7">
    <w:p w14:paraId="51833D9E" w14:textId="3DA4553D" w:rsidR="00ED6497" w:rsidRPr="00E220E3" w:rsidRDefault="00ED6497" w:rsidP="00D631E3">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 xml:space="preserve">18 C.F.R. § 141.15 (2017).  Annual conveyance reports are filed for both major and minor licenses.  80% of the reports are related to major licenses.  </w:t>
      </w:r>
    </w:p>
  </w:footnote>
  <w:footnote w:id="8">
    <w:p w14:paraId="60B566DB" w14:textId="309F8AAF" w:rsidR="00ED6497" w:rsidRPr="007E640A" w:rsidRDefault="00ED6497" w:rsidP="00725E44">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18 C.F.R. § 2.19 (2017).</w:t>
      </w:r>
      <w:r>
        <w:rPr>
          <w:sz w:val="24"/>
          <w:szCs w:val="24"/>
        </w:rPr>
        <w:t xml:space="preserve">  </w:t>
      </w:r>
    </w:p>
  </w:footnote>
  <w:footnote w:id="9">
    <w:p w14:paraId="4725E6B4" w14:textId="77777777" w:rsidR="00ED6497" w:rsidRDefault="00ED6497" w:rsidP="006E5D79">
      <w:pPr>
        <w:pStyle w:val="FootnoteText"/>
      </w:pPr>
      <w:r w:rsidRPr="00701724">
        <w:rPr>
          <w:rStyle w:val="FootnoteReference"/>
          <w:sz w:val="24"/>
          <w:szCs w:val="24"/>
          <w:vertAlign w:val="superscript"/>
        </w:rPr>
        <w:footnoteRef/>
      </w:r>
      <w:r w:rsidRPr="00701724">
        <w:rPr>
          <w:sz w:val="24"/>
          <w:szCs w:val="24"/>
          <w:vertAlign w:val="superscript"/>
        </w:rPr>
        <w:t xml:space="preserve"> </w:t>
      </w:r>
      <w:r w:rsidRPr="007E640A">
        <w:rPr>
          <w:sz w:val="24"/>
          <w:szCs w:val="24"/>
        </w:rPr>
        <w:t>More information on the licensing process is available at http://www.ferc.gov/industries/hydropower/gen-info/licensing.asp.</w:t>
      </w:r>
    </w:p>
  </w:footnote>
  <w:footnote w:id="10">
    <w:p w14:paraId="1410620F" w14:textId="42D91063"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Minor water power projects are those that have a total installed capacity of 1.5 MW or less.  Major water power projects have a total installed capacity of greater than 1.5 MW.   </w:t>
      </w:r>
    </w:p>
  </w:footnote>
  <w:footnote w:id="11">
    <w:p w14:paraId="538E84AF" w14:textId="77777777"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823a (2012), amended by, Hydropower Regulatory Efficiency Act of</w:t>
      </w:r>
    </w:p>
    <w:p w14:paraId="1D84FFFF" w14:textId="77777777" w:rsidR="00ED6497" w:rsidRPr="00F1537F" w:rsidRDefault="00ED6497" w:rsidP="00471F97">
      <w:pPr>
        <w:pStyle w:val="FootnoteText"/>
        <w:rPr>
          <w:sz w:val="24"/>
          <w:szCs w:val="24"/>
        </w:rPr>
      </w:pPr>
      <w:r w:rsidRPr="00F1537F">
        <w:rPr>
          <w:sz w:val="24"/>
          <w:szCs w:val="24"/>
        </w:rPr>
        <w:t>2013, Pub. L. No. 113-23, 4, 127 Stat. 493 (2013).</w:t>
      </w:r>
    </w:p>
  </w:footnote>
  <w:footnote w:id="12">
    <w:p w14:paraId="125DABFC" w14:textId="77777777"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2708 (2012).</w:t>
      </w:r>
    </w:p>
  </w:footnote>
  <w:footnote w:id="13">
    <w:p w14:paraId="2E9BADED" w14:textId="1C566E93" w:rsidR="00ED6497" w:rsidRPr="00361948" w:rsidRDefault="00ED6497" w:rsidP="00D966A1">
      <w:pPr>
        <w:pStyle w:val="FootnoteText"/>
        <w:rPr>
          <w:sz w:val="24"/>
          <w:szCs w:val="24"/>
        </w:rPr>
      </w:pPr>
      <w:r w:rsidRPr="00361948">
        <w:rPr>
          <w:rStyle w:val="FootnoteReference"/>
          <w:rFonts w:eastAsia="Calibri"/>
          <w:sz w:val="24"/>
          <w:szCs w:val="24"/>
          <w:vertAlign w:val="superscript"/>
        </w:rPr>
        <w:footnoteRef/>
      </w:r>
      <w:r w:rsidRPr="00361948">
        <w:rPr>
          <w:sz w:val="24"/>
          <w:szCs w:val="24"/>
        </w:rPr>
        <w:t xml:space="preserve"> </w:t>
      </w:r>
      <w:r w:rsidRPr="0048721A">
        <w:rPr>
          <w:i/>
          <w:sz w:val="24"/>
          <w:szCs w:val="24"/>
        </w:rPr>
        <w:t xml:space="preserve">See </w:t>
      </w:r>
      <w:r w:rsidRPr="00361948">
        <w:rPr>
          <w:sz w:val="24"/>
          <w:szCs w:val="24"/>
        </w:rPr>
        <w:t xml:space="preserve">16. U.S.C. </w:t>
      </w:r>
      <w:r>
        <w:rPr>
          <w:sz w:val="24"/>
          <w:szCs w:val="24"/>
        </w:rPr>
        <w:t>§§</w:t>
      </w:r>
      <w:r w:rsidRPr="00361948">
        <w:rPr>
          <w:sz w:val="24"/>
          <w:szCs w:val="24"/>
        </w:rPr>
        <w:t xml:space="preserve"> 797, 803, 825c, 825h, and 825j.</w:t>
      </w:r>
    </w:p>
  </w:footnote>
  <w:footnote w:id="14">
    <w:p w14:paraId="73DF0505" w14:textId="76B8A3E4" w:rsidR="00413357" w:rsidRPr="001968EA" w:rsidRDefault="00413357">
      <w:pPr>
        <w:pStyle w:val="FootnoteText"/>
        <w:rPr>
          <w:sz w:val="24"/>
          <w:szCs w:val="24"/>
        </w:rPr>
      </w:pPr>
      <w:r w:rsidRPr="001968EA">
        <w:rPr>
          <w:rStyle w:val="FootnoteReference"/>
          <w:sz w:val="24"/>
          <w:szCs w:val="24"/>
          <w:vertAlign w:val="superscript"/>
        </w:rPr>
        <w:footnoteRef/>
      </w:r>
      <w:r w:rsidRPr="001968EA">
        <w:rPr>
          <w:sz w:val="24"/>
          <w:szCs w:val="24"/>
        </w:rPr>
        <w:t xml:space="preserve"> 83 FR 23848</w:t>
      </w:r>
    </w:p>
  </w:footnote>
  <w:footnote w:id="15">
    <w:p w14:paraId="41F7B8B5" w14:textId="7FF09BFC" w:rsidR="00ED6497" w:rsidRPr="00F1537F" w:rsidRDefault="00ED6497"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2" w:history="1">
        <w:r w:rsidRPr="0078701D">
          <w:rPr>
            <w:rStyle w:val="Hyperlink"/>
            <w:sz w:val="24"/>
            <w:szCs w:val="24"/>
          </w:rPr>
          <w:t>http://www.ferc.gov/legal/ceii-foia/ceii.asp</w:t>
        </w:r>
      </w:hyperlink>
      <w:r>
        <w:rPr>
          <w:sz w:val="24"/>
          <w:szCs w:val="24"/>
        </w:rPr>
        <w:t xml:space="preserve">. </w:t>
      </w:r>
    </w:p>
  </w:footnote>
  <w:footnote w:id="16">
    <w:p w14:paraId="5775CA66" w14:textId="318D86A1"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Hourly costs are based on Bureau of Labor Statistics </w:t>
      </w:r>
      <w:r w:rsidR="00F84151">
        <w:rPr>
          <w:sz w:val="24"/>
          <w:szCs w:val="24"/>
        </w:rPr>
        <w:t xml:space="preserve">(BLS) </w:t>
      </w:r>
      <w:r w:rsidRPr="0048721A">
        <w:rPr>
          <w:sz w:val="24"/>
          <w:szCs w:val="24"/>
        </w:rPr>
        <w:t xml:space="preserve">figures </w:t>
      </w:r>
      <w:r w:rsidR="00F84151">
        <w:rPr>
          <w:sz w:val="24"/>
          <w:szCs w:val="24"/>
        </w:rPr>
        <w:t>(</w:t>
      </w:r>
      <w:r w:rsidRPr="0048721A">
        <w:rPr>
          <w:sz w:val="24"/>
          <w:szCs w:val="24"/>
        </w:rPr>
        <w:t>for May 2017 wages in Sector 22</w:t>
      </w:r>
      <w:r w:rsidR="00F84151">
        <w:rPr>
          <w:sz w:val="24"/>
          <w:szCs w:val="24"/>
        </w:rPr>
        <w:t>,</w:t>
      </w:r>
      <w:r w:rsidRPr="0048721A">
        <w:rPr>
          <w:sz w:val="24"/>
          <w:szCs w:val="24"/>
        </w:rPr>
        <w:t xml:space="preserve"> Utilities (</w:t>
      </w:r>
      <w:r w:rsidR="00F84151">
        <w:rPr>
          <w:sz w:val="24"/>
          <w:szCs w:val="24"/>
        </w:rPr>
        <w:t xml:space="preserve">posted at </w:t>
      </w:r>
      <w:r w:rsidRPr="0048721A">
        <w:rPr>
          <w:sz w:val="24"/>
          <w:szCs w:val="24"/>
        </w:rPr>
        <w:t>https://www.bls.gov/oes/current/naics2_22.htm) and December 2017 benefits (</w:t>
      </w:r>
      <w:r w:rsidR="00F84151">
        <w:rPr>
          <w:sz w:val="24"/>
          <w:szCs w:val="24"/>
        </w:rPr>
        <w:t xml:space="preserve">updated on March 20, 2018 and posted at </w:t>
      </w:r>
      <w:r w:rsidRPr="0048721A">
        <w:rPr>
          <w:sz w:val="24"/>
          <w:szCs w:val="24"/>
        </w:rPr>
        <w:t>https://www.bls.gov/news.release/pdf/ecec.pdf).  For web developers (code 15-1134), the estimated average hourly cost (salary plus benefits) is $53.53.</w:t>
      </w:r>
    </w:p>
  </w:footnote>
  <w:footnote w:id="17">
    <w:p w14:paraId="5CE2924E" w14:textId="7777777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rPr>
        <w:t xml:space="preserve"> The figures are annualized figures contained in the current OMB inventory for FERC-80.  While OMB requires existing information collections to be submitted for approval every three years, the Commission’s hydropower licenses are only required to submit the Form 80 every six years.  Therefore, the estimated figures for the entire six-year Form 80 cycle would be a total of 400 respondents, spending an estimated three hours per report, for a total of 1,200 hours.</w:t>
      </w:r>
    </w:p>
  </w:footnote>
  <w:footnote w:id="18">
    <w:p w14:paraId="7B139FB6" w14:textId="7777777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This figure indicates that a respondent files a Form 80 once every six years.</w:t>
      </w:r>
    </w:p>
  </w:footnote>
  <w:footnote w:id="19">
    <w:p w14:paraId="3AE3001B" w14:textId="6397C3C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We assume approximately 90 percent of the 477 for projects with an installed capacity of more than 5 MW licenses (i.e. an estimated 429 licenses) have project websites. </w:t>
      </w:r>
    </w:p>
  </w:footnote>
  <w:footnote w:id="20">
    <w:p w14:paraId="3187D05F" w14:textId="503EA393" w:rsidR="00ED6497" w:rsidRDefault="00ED6497" w:rsidP="00AD2C01">
      <w:pPr>
        <w:pStyle w:val="FootnoteText"/>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We assume approximately 50 percent of the 572 licenses for projects 5 MW or less (i.e. an estimated 286 licenses) have project websites.</w:t>
      </w:r>
      <w:r>
        <w:t xml:space="preserve">  </w:t>
      </w:r>
    </w:p>
  </w:footnote>
  <w:footnote w:id="21">
    <w:p w14:paraId="425187B5" w14:textId="67600D75" w:rsidR="00ED6497" w:rsidRPr="00C75FFF" w:rsidRDefault="00ED6497">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sidR="00C561C1">
        <w:rPr>
          <w:sz w:val="24"/>
          <w:szCs w:val="24"/>
        </w:rPr>
        <w:t>estimate</w:t>
      </w:r>
      <w:r w:rsidRPr="00F1537F">
        <w:rPr>
          <w:sz w:val="24"/>
          <w:szCs w:val="24"/>
        </w:rPr>
        <w:t xml:space="preserve"> </w:t>
      </w:r>
      <w:r w:rsidR="00C561C1">
        <w:rPr>
          <w:sz w:val="24"/>
          <w:szCs w:val="24"/>
        </w:rPr>
        <w:t>uses</w:t>
      </w:r>
      <w:r w:rsidRPr="00F1537F">
        <w:rPr>
          <w:sz w:val="24"/>
          <w:szCs w:val="24"/>
        </w:rPr>
        <w:t xml:space="preserve"> the FERC’s </w:t>
      </w:r>
      <w:r w:rsidR="00E220E3">
        <w:rPr>
          <w:sz w:val="24"/>
          <w:szCs w:val="24"/>
        </w:rPr>
        <w:t xml:space="preserve">FY </w:t>
      </w:r>
      <w:r w:rsidRPr="00F1537F">
        <w:rPr>
          <w:sz w:val="24"/>
          <w:szCs w:val="24"/>
        </w:rPr>
        <w:t>201</w:t>
      </w:r>
      <w:r w:rsidR="001B5056">
        <w:rPr>
          <w:sz w:val="24"/>
          <w:szCs w:val="24"/>
        </w:rPr>
        <w:t>8</w:t>
      </w:r>
      <w:r w:rsidRPr="00F1537F">
        <w:rPr>
          <w:sz w:val="24"/>
          <w:szCs w:val="24"/>
        </w:rPr>
        <w:t xml:space="preserve"> average annual salary plus benefits of one FERC FTE (full-time equivalent </w:t>
      </w:r>
      <w:r w:rsidR="00C561C1">
        <w:rPr>
          <w:sz w:val="24"/>
          <w:szCs w:val="24"/>
        </w:rPr>
        <w:t>[</w:t>
      </w:r>
      <w:r w:rsidRPr="00F1537F">
        <w:rPr>
          <w:sz w:val="24"/>
          <w:szCs w:val="24"/>
        </w:rPr>
        <w:t>$</w:t>
      </w:r>
      <w:r w:rsidR="001B5056" w:rsidRPr="001B5056">
        <w:rPr>
          <w:sz w:val="24"/>
          <w:szCs w:val="24"/>
        </w:rPr>
        <w:t>164,820</w:t>
      </w:r>
      <w:r w:rsidR="00C561C1">
        <w:rPr>
          <w:sz w:val="24"/>
          <w:szCs w:val="24"/>
        </w:rPr>
        <w:t xml:space="preserve"> per year</w:t>
      </w:r>
      <w:r w:rsidR="001B5056" w:rsidRPr="001B5056">
        <w:rPr>
          <w:sz w:val="24"/>
          <w:szCs w:val="24"/>
        </w:rPr>
        <w:t xml:space="preserve"> </w:t>
      </w:r>
      <w:r w:rsidRPr="00F1537F">
        <w:rPr>
          <w:sz w:val="24"/>
          <w:szCs w:val="24"/>
        </w:rPr>
        <w:t>or $7</w:t>
      </w:r>
      <w:r w:rsidR="001B5056">
        <w:rPr>
          <w:sz w:val="24"/>
          <w:szCs w:val="24"/>
        </w:rPr>
        <w:t>9</w:t>
      </w:r>
      <w:r w:rsidRPr="00F1537F">
        <w:rPr>
          <w:sz w:val="24"/>
          <w:szCs w:val="24"/>
        </w:rPr>
        <w:t>.</w:t>
      </w:r>
      <w:r w:rsidR="001B5056">
        <w:rPr>
          <w:sz w:val="24"/>
          <w:szCs w:val="24"/>
        </w:rPr>
        <w:t>0</w:t>
      </w:r>
      <w:r w:rsidRPr="00F1537F">
        <w:rPr>
          <w:sz w:val="24"/>
          <w:szCs w:val="24"/>
        </w:rPr>
        <w:t>0 per hour</w:t>
      </w:r>
      <w:r w:rsidR="00C561C1">
        <w:rPr>
          <w:sz w:val="24"/>
          <w:szCs w:val="24"/>
        </w:rPr>
        <w:t>])</w:t>
      </w:r>
      <w:r w:rsidRPr="00F1537F">
        <w:rPr>
          <w:sz w:val="24"/>
          <w:szCs w:val="24"/>
        </w:rPr>
        <w:t>.</w:t>
      </w:r>
      <w:r w:rsidR="001B5056">
        <w:rPr>
          <w:sz w:val="24"/>
          <w:szCs w:val="24"/>
        </w:rPr>
        <w:t xml:space="preserve">  (These estimates were updated in </w:t>
      </w:r>
      <w:r w:rsidR="001B5056" w:rsidRPr="00C75FFF">
        <w:rPr>
          <w:sz w:val="24"/>
          <w:szCs w:val="24"/>
        </w:rPr>
        <w:t>May 2018.)</w:t>
      </w:r>
    </w:p>
  </w:footnote>
  <w:footnote w:id="22">
    <w:p w14:paraId="267C591F" w14:textId="2B9BD795" w:rsidR="00C75FFF" w:rsidRDefault="00C75FFF">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23">
    <w:p w14:paraId="4CCFF143" w14:textId="77777777" w:rsidR="00ED6497" w:rsidRPr="00E55FFB" w:rsidRDefault="00ED6497">
      <w:pPr>
        <w:pStyle w:val="FootnoteText"/>
        <w:rPr>
          <w:sz w:val="24"/>
          <w:szCs w:val="24"/>
        </w:rPr>
      </w:pPr>
      <w:r w:rsidRPr="002F0CAD">
        <w:rPr>
          <w:rStyle w:val="FootnoteReference"/>
          <w:sz w:val="24"/>
          <w:szCs w:val="24"/>
          <w:vertAlign w:val="superscript"/>
        </w:rPr>
        <w:footnoteRef/>
      </w:r>
      <w:r w:rsidRPr="002F0CAD">
        <w:rPr>
          <w:sz w:val="24"/>
          <w:szCs w:val="24"/>
          <w:vertAlign w:val="superscript"/>
        </w:rPr>
        <w:t xml:space="preserve"> </w:t>
      </w:r>
      <w:r w:rsidRPr="00B6311A">
        <w:rPr>
          <w:sz w:val="24"/>
          <w:szCs w:val="24"/>
        </w:rPr>
        <w:t xml:space="preserve">The figures are annualized figures contained in the current OMB inventory for FERC-80.  While OMB requires existing information collections to be submitted for approval every three years, the Commission’s hydropower licenses are only required to submit the Form 80 every six years.  Therefore, the estimated figures for the entire six-year Form 80 cycle would be a total of 400 respondents, spending an estimated three hours per report, for a total of </w:t>
      </w:r>
      <w:r>
        <w:rPr>
          <w:sz w:val="24"/>
          <w:szCs w:val="24"/>
        </w:rPr>
        <w:t xml:space="preserve">approximately </w:t>
      </w:r>
      <w:r w:rsidRPr="00B6311A">
        <w:rPr>
          <w:sz w:val="24"/>
          <w:szCs w:val="24"/>
        </w:rPr>
        <w:t>1,200 hours.</w:t>
      </w:r>
    </w:p>
  </w:footnote>
  <w:footnote w:id="24">
    <w:p w14:paraId="60676E41" w14:textId="0E162907" w:rsidR="00ED6497" w:rsidRPr="00D042E5" w:rsidRDefault="00ED6497" w:rsidP="006F5CD1">
      <w:pPr>
        <w:pStyle w:val="FootnoteText"/>
        <w:rPr>
          <w:sz w:val="24"/>
          <w:szCs w:val="24"/>
        </w:rPr>
      </w:pPr>
      <w:r w:rsidRPr="00D042E5">
        <w:rPr>
          <w:rStyle w:val="FootnoteReference"/>
          <w:rFonts w:eastAsia="Calibri"/>
          <w:sz w:val="24"/>
          <w:szCs w:val="24"/>
          <w:vertAlign w:val="superscript"/>
        </w:rPr>
        <w:footnoteRef/>
      </w:r>
      <w:r w:rsidRPr="00D042E5">
        <w:rPr>
          <w:sz w:val="24"/>
          <w:szCs w:val="24"/>
        </w:rPr>
        <w:t xml:space="preserve"> For FERC-500, we assume approximately 90 percent of the 477 projects with an installed capacity of more than 5 MW licenses (i.e. an estimated 429 licenses) have project websites. </w:t>
      </w:r>
    </w:p>
  </w:footnote>
  <w:footnote w:id="25">
    <w:p w14:paraId="7AFDA86C" w14:textId="0330B73B" w:rsidR="00ED6497" w:rsidRPr="00D042E5" w:rsidRDefault="00ED6497" w:rsidP="00DA1081">
      <w:pPr>
        <w:pStyle w:val="FootnoteText"/>
        <w:rPr>
          <w:sz w:val="24"/>
          <w:szCs w:val="24"/>
        </w:rPr>
      </w:pPr>
      <w:r w:rsidRPr="00D042E5">
        <w:rPr>
          <w:rStyle w:val="FootnoteReference"/>
          <w:rFonts w:eastAsia="Calibri"/>
          <w:sz w:val="24"/>
          <w:szCs w:val="24"/>
          <w:vertAlign w:val="superscript"/>
        </w:rPr>
        <w:footnoteRef/>
      </w:r>
      <w:r w:rsidRPr="00D042E5">
        <w:rPr>
          <w:sz w:val="24"/>
          <w:szCs w:val="24"/>
          <w:vertAlign w:val="superscript"/>
        </w:rPr>
        <w:t xml:space="preserve"> </w:t>
      </w:r>
      <w:r w:rsidRPr="00D042E5">
        <w:rPr>
          <w:sz w:val="24"/>
          <w:szCs w:val="24"/>
        </w:rPr>
        <w:t xml:space="preserve">For FERC-505, we assume approximately 50 percent of the 572 licenses for projects 5 MW or less (i.e. an estimated 286 licenses) have project websites.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EA29" w14:textId="77777777" w:rsidR="0092686E" w:rsidRDefault="00ED6497">
    <w:pPr>
      <w:pStyle w:val="Header"/>
      <w:rPr>
        <w:rFonts w:ascii="Times New Roman" w:hAnsi="Times New Roman"/>
        <w:sz w:val="24"/>
        <w:szCs w:val="24"/>
      </w:rPr>
    </w:pPr>
    <w:r w:rsidRPr="0048721A">
      <w:rPr>
        <w:rFonts w:ascii="Times New Roman" w:hAnsi="Times New Roman"/>
        <w:sz w:val="24"/>
        <w:szCs w:val="24"/>
      </w:rPr>
      <w:t xml:space="preserve">FERC-80, FERC-500, and FERC-505 </w:t>
    </w:r>
  </w:p>
  <w:p w14:paraId="08F2CF16" w14:textId="22E4D79A" w:rsidR="00ED6497" w:rsidRPr="0048721A" w:rsidRDefault="00ED6497">
    <w:pPr>
      <w:pStyle w:val="Header"/>
      <w:rPr>
        <w:rFonts w:ascii="Times New Roman" w:hAnsi="Times New Roman"/>
        <w:sz w:val="24"/>
        <w:szCs w:val="24"/>
      </w:rPr>
    </w:pPr>
    <w:r w:rsidRPr="0048721A">
      <w:rPr>
        <w:rFonts w:ascii="Times New Roman" w:hAnsi="Times New Roman"/>
        <w:sz w:val="24"/>
        <w:szCs w:val="24"/>
      </w:rPr>
      <w:t>(OMB Control Nos.: 1902-0106, 1902-0058, and 1902-0115)</w:t>
    </w:r>
  </w:p>
  <w:p w14:paraId="23D3ED3E" w14:textId="46BBE566" w:rsidR="00ED6497" w:rsidRPr="0048721A" w:rsidRDefault="00ED6497">
    <w:pPr>
      <w:pStyle w:val="Header"/>
      <w:rPr>
        <w:rFonts w:ascii="Times New Roman" w:hAnsi="Times New Roman"/>
        <w:sz w:val="24"/>
        <w:szCs w:val="24"/>
      </w:rPr>
    </w:pPr>
    <w:r w:rsidRPr="006E159B">
      <w:rPr>
        <w:rFonts w:ascii="Times New Roman" w:hAnsi="Times New Roman"/>
        <w:sz w:val="24"/>
        <w:szCs w:val="24"/>
      </w:rPr>
      <w:t xml:space="preserve">NOPR (issued </w:t>
    </w:r>
    <w:r w:rsidR="006E159B" w:rsidRPr="006E159B">
      <w:rPr>
        <w:rFonts w:ascii="Times New Roman" w:hAnsi="Times New Roman"/>
        <w:sz w:val="24"/>
        <w:szCs w:val="24"/>
      </w:rPr>
      <w:t>5/17</w:t>
    </w:r>
    <w:r w:rsidRPr="006E159B">
      <w:rPr>
        <w:rFonts w:ascii="Times New Roman" w:hAnsi="Times New Roman"/>
        <w:sz w:val="24"/>
        <w:szCs w:val="24"/>
      </w:rPr>
      <w:t>/2018) in Docket</w:t>
    </w:r>
    <w:r w:rsidRPr="0048721A">
      <w:rPr>
        <w:rFonts w:ascii="Times New Roman" w:hAnsi="Times New Roman"/>
        <w:sz w:val="24"/>
        <w:szCs w:val="24"/>
      </w:rPr>
      <w:t xml:space="preserve"> No. </w:t>
    </w:r>
    <w:r w:rsidRPr="00A33CDF">
      <w:rPr>
        <w:rFonts w:ascii="Times New Roman" w:hAnsi="Times New Roman"/>
        <w:sz w:val="24"/>
        <w:szCs w:val="24"/>
      </w:rPr>
      <w:t xml:space="preserve">RM18-14; RIN </w:t>
    </w:r>
    <w:r w:rsidR="00A33CDF" w:rsidRPr="00A33CDF">
      <w:rPr>
        <w:rFonts w:ascii="Times New Roman" w:hAnsi="Times New Roman"/>
        <w:sz w:val="24"/>
        <w:szCs w:val="24"/>
      </w:rPr>
      <w:t>1902-AF51</w:t>
    </w:r>
  </w:p>
  <w:p w14:paraId="07F2B1C8" w14:textId="77777777" w:rsidR="00ED6497" w:rsidRPr="002953E1" w:rsidRDefault="00ED6497">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4"/>
  </w:num>
  <w:num w:numId="5">
    <w:abstractNumId w:val="2"/>
  </w:num>
  <w:num w:numId="6">
    <w:abstractNumId w:val="15"/>
  </w:num>
  <w:num w:numId="7">
    <w:abstractNumId w:val="3"/>
  </w:num>
  <w:num w:numId="8">
    <w:abstractNumId w:val="0"/>
  </w:num>
  <w:num w:numId="9">
    <w:abstractNumId w:val="8"/>
  </w:num>
  <w:num w:numId="10">
    <w:abstractNumId w:val="5"/>
  </w:num>
  <w:num w:numId="11">
    <w:abstractNumId w:val="11"/>
  </w:num>
  <w:num w:numId="12">
    <w:abstractNumId w:val="7"/>
  </w:num>
  <w:num w:numId="13">
    <w:abstractNumId w:val="1"/>
  </w:num>
  <w:num w:numId="14">
    <w:abstractNumId w:val="16"/>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201FB"/>
    <w:rsid w:val="00027DC9"/>
    <w:rsid w:val="00030D70"/>
    <w:rsid w:val="000762E1"/>
    <w:rsid w:val="000836EF"/>
    <w:rsid w:val="00084A7F"/>
    <w:rsid w:val="0009171A"/>
    <w:rsid w:val="000930CB"/>
    <w:rsid w:val="000951BE"/>
    <w:rsid w:val="000B51EA"/>
    <w:rsid w:val="000D1D54"/>
    <w:rsid w:val="000F1377"/>
    <w:rsid w:val="0010332E"/>
    <w:rsid w:val="001072E3"/>
    <w:rsid w:val="00107DA8"/>
    <w:rsid w:val="001121AE"/>
    <w:rsid w:val="00116CF2"/>
    <w:rsid w:val="001263E8"/>
    <w:rsid w:val="001360DE"/>
    <w:rsid w:val="0013718A"/>
    <w:rsid w:val="00163942"/>
    <w:rsid w:val="001902A4"/>
    <w:rsid w:val="001968EA"/>
    <w:rsid w:val="001A450A"/>
    <w:rsid w:val="001B5056"/>
    <w:rsid w:val="001C2A53"/>
    <w:rsid w:val="001C34B8"/>
    <w:rsid w:val="001D289D"/>
    <w:rsid w:val="001E55A1"/>
    <w:rsid w:val="00200CB5"/>
    <w:rsid w:val="002213AA"/>
    <w:rsid w:val="00221430"/>
    <w:rsid w:val="00221EB9"/>
    <w:rsid w:val="00227F0E"/>
    <w:rsid w:val="00230706"/>
    <w:rsid w:val="00233478"/>
    <w:rsid w:val="002356D9"/>
    <w:rsid w:val="00236DFB"/>
    <w:rsid w:val="00244BC9"/>
    <w:rsid w:val="00247EBC"/>
    <w:rsid w:val="0026269A"/>
    <w:rsid w:val="00295050"/>
    <w:rsid w:val="002953E1"/>
    <w:rsid w:val="002A725B"/>
    <w:rsid w:val="002D5CAD"/>
    <w:rsid w:val="002E034F"/>
    <w:rsid w:val="002F0CAD"/>
    <w:rsid w:val="002F3E65"/>
    <w:rsid w:val="002F641C"/>
    <w:rsid w:val="00344C60"/>
    <w:rsid w:val="00361948"/>
    <w:rsid w:val="003856AE"/>
    <w:rsid w:val="00395E45"/>
    <w:rsid w:val="00397094"/>
    <w:rsid w:val="003A23FA"/>
    <w:rsid w:val="003B49ED"/>
    <w:rsid w:val="003D08BB"/>
    <w:rsid w:val="003D79BB"/>
    <w:rsid w:val="003E6B4D"/>
    <w:rsid w:val="00413357"/>
    <w:rsid w:val="00413C13"/>
    <w:rsid w:val="00414464"/>
    <w:rsid w:val="004345EE"/>
    <w:rsid w:val="00450F57"/>
    <w:rsid w:val="00471F97"/>
    <w:rsid w:val="00480D2F"/>
    <w:rsid w:val="0048721A"/>
    <w:rsid w:val="00494814"/>
    <w:rsid w:val="004A36E5"/>
    <w:rsid w:val="004B7E8E"/>
    <w:rsid w:val="004C3C5F"/>
    <w:rsid w:val="004E2A6E"/>
    <w:rsid w:val="004F4BCE"/>
    <w:rsid w:val="00513CC8"/>
    <w:rsid w:val="00515869"/>
    <w:rsid w:val="00515F5E"/>
    <w:rsid w:val="005513D0"/>
    <w:rsid w:val="00554E46"/>
    <w:rsid w:val="00570BB8"/>
    <w:rsid w:val="00587AD0"/>
    <w:rsid w:val="005900E2"/>
    <w:rsid w:val="00590632"/>
    <w:rsid w:val="0059069E"/>
    <w:rsid w:val="005A33F0"/>
    <w:rsid w:val="005A6433"/>
    <w:rsid w:val="005C5DAB"/>
    <w:rsid w:val="005D1C9E"/>
    <w:rsid w:val="005E77C1"/>
    <w:rsid w:val="005F1EFB"/>
    <w:rsid w:val="00600BD2"/>
    <w:rsid w:val="006128B2"/>
    <w:rsid w:val="006241F8"/>
    <w:rsid w:val="006377D8"/>
    <w:rsid w:val="00680C13"/>
    <w:rsid w:val="006955A3"/>
    <w:rsid w:val="006B48FF"/>
    <w:rsid w:val="006C4D26"/>
    <w:rsid w:val="006D22CF"/>
    <w:rsid w:val="006E159B"/>
    <w:rsid w:val="006E1DFD"/>
    <w:rsid w:val="006E5D79"/>
    <w:rsid w:val="006F33DA"/>
    <w:rsid w:val="006F5CD1"/>
    <w:rsid w:val="00701724"/>
    <w:rsid w:val="007060B2"/>
    <w:rsid w:val="00725E44"/>
    <w:rsid w:val="00736C27"/>
    <w:rsid w:val="007445A8"/>
    <w:rsid w:val="00756BE0"/>
    <w:rsid w:val="00782DCD"/>
    <w:rsid w:val="0078772D"/>
    <w:rsid w:val="007B529B"/>
    <w:rsid w:val="007C32BF"/>
    <w:rsid w:val="007E0D8A"/>
    <w:rsid w:val="007E640A"/>
    <w:rsid w:val="007F1D30"/>
    <w:rsid w:val="008143EC"/>
    <w:rsid w:val="00820173"/>
    <w:rsid w:val="00841F27"/>
    <w:rsid w:val="00855994"/>
    <w:rsid w:val="008634BD"/>
    <w:rsid w:val="00883041"/>
    <w:rsid w:val="008C00AE"/>
    <w:rsid w:val="008C4024"/>
    <w:rsid w:val="008C6BC7"/>
    <w:rsid w:val="00900535"/>
    <w:rsid w:val="00913164"/>
    <w:rsid w:val="0092686E"/>
    <w:rsid w:val="00932D78"/>
    <w:rsid w:val="00953EDD"/>
    <w:rsid w:val="00973E82"/>
    <w:rsid w:val="00974AFC"/>
    <w:rsid w:val="009A1489"/>
    <w:rsid w:val="009B11E7"/>
    <w:rsid w:val="009B513C"/>
    <w:rsid w:val="009C7060"/>
    <w:rsid w:val="009C7F55"/>
    <w:rsid w:val="009F6D6D"/>
    <w:rsid w:val="00A04B1E"/>
    <w:rsid w:val="00A06841"/>
    <w:rsid w:val="00A27B71"/>
    <w:rsid w:val="00A33CDF"/>
    <w:rsid w:val="00A84F60"/>
    <w:rsid w:val="00A94324"/>
    <w:rsid w:val="00AB3680"/>
    <w:rsid w:val="00AB42C6"/>
    <w:rsid w:val="00AB7D6C"/>
    <w:rsid w:val="00AC60DF"/>
    <w:rsid w:val="00AC66B6"/>
    <w:rsid w:val="00AD2C01"/>
    <w:rsid w:val="00AE6820"/>
    <w:rsid w:val="00AF2AA1"/>
    <w:rsid w:val="00AF3755"/>
    <w:rsid w:val="00AF7046"/>
    <w:rsid w:val="00B05CEF"/>
    <w:rsid w:val="00B303A5"/>
    <w:rsid w:val="00B5132F"/>
    <w:rsid w:val="00B6311A"/>
    <w:rsid w:val="00B75FEE"/>
    <w:rsid w:val="00BA0479"/>
    <w:rsid w:val="00BA7959"/>
    <w:rsid w:val="00BB4271"/>
    <w:rsid w:val="00BD1E81"/>
    <w:rsid w:val="00BD7A22"/>
    <w:rsid w:val="00BE264B"/>
    <w:rsid w:val="00BF189C"/>
    <w:rsid w:val="00BF3095"/>
    <w:rsid w:val="00C4624A"/>
    <w:rsid w:val="00C47938"/>
    <w:rsid w:val="00C5088F"/>
    <w:rsid w:val="00C532EB"/>
    <w:rsid w:val="00C561C1"/>
    <w:rsid w:val="00C70452"/>
    <w:rsid w:val="00C731FD"/>
    <w:rsid w:val="00C740BC"/>
    <w:rsid w:val="00C75FFF"/>
    <w:rsid w:val="00CA6D90"/>
    <w:rsid w:val="00CA7B4A"/>
    <w:rsid w:val="00CB2F25"/>
    <w:rsid w:val="00CC52A8"/>
    <w:rsid w:val="00CC6A15"/>
    <w:rsid w:val="00CD146E"/>
    <w:rsid w:val="00CD4025"/>
    <w:rsid w:val="00D042E5"/>
    <w:rsid w:val="00D12C80"/>
    <w:rsid w:val="00D13613"/>
    <w:rsid w:val="00D26A54"/>
    <w:rsid w:val="00D36922"/>
    <w:rsid w:val="00D44FCA"/>
    <w:rsid w:val="00D52E91"/>
    <w:rsid w:val="00D53FDE"/>
    <w:rsid w:val="00D62D87"/>
    <w:rsid w:val="00D631E3"/>
    <w:rsid w:val="00D66646"/>
    <w:rsid w:val="00D66E7C"/>
    <w:rsid w:val="00D75D8A"/>
    <w:rsid w:val="00D946D9"/>
    <w:rsid w:val="00D966A1"/>
    <w:rsid w:val="00DA1081"/>
    <w:rsid w:val="00DB039F"/>
    <w:rsid w:val="00DB684E"/>
    <w:rsid w:val="00DC2DF2"/>
    <w:rsid w:val="00DE2213"/>
    <w:rsid w:val="00DE45F5"/>
    <w:rsid w:val="00E14A9B"/>
    <w:rsid w:val="00E20CEF"/>
    <w:rsid w:val="00E220E3"/>
    <w:rsid w:val="00E25E23"/>
    <w:rsid w:val="00E41507"/>
    <w:rsid w:val="00E53F53"/>
    <w:rsid w:val="00E55FFB"/>
    <w:rsid w:val="00E83743"/>
    <w:rsid w:val="00E837F5"/>
    <w:rsid w:val="00EA13DC"/>
    <w:rsid w:val="00EA483D"/>
    <w:rsid w:val="00EB1F54"/>
    <w:rsid w:val="00EB790F"/>
    <w:rsid w:val="00EC2F1A"/>
    <w:rsid w:val="00ED6497"/>
    <w:rsid w:val="00EE2A51"/>
    <w:rsid w:val="00F0627E"/>
    <w:rsid w:val="00F1537F"/>
    <w:rsid w:val="00F16E26"/>
    <w:rsid w:val="00F176BF"/>
    <w:rsid w:val="00F20B97"/>
    <w:rsid w:val="00F22C78"/>
    <w:rsid w:val="00F24965"/>
    <w:rsid w:val="00F2523E"/>
    <w:rsid w:val="00F33D5A"/>
    <w:rsid w:val="00F35B01"/>
    <w:rsid w:val="00F56391"/>
    <w:rsid w:val="00F60F4E"/>
    <w:rsid w:val="00F63B33"/>
    <w:rsid w:val="00F84151"/>
    <w:rsid w:val="00F90E4B"/>
    <w:rsid w:val="00F958BA"/>
    <w:rsid w:val="00F97AD7"/>
    <w:rsid w:val="00FB5639"/>
    <w:rsid w:val="00FE19F4"/>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awmed32\Downloads\www.reginfo.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492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80</_x0031__x002e__x0020_Collection_x0020_Number>
    <Date xmlns="d6eefc7d-9817-4fa6-84d5-3bc009be21b8">2018-05-29T04:00:00+00:00</Date>
    <Status xmlns="d6eefc7d-9817-4fa6-84d5-3bc009be21b8">Draft</Status>
    <_x0032__x002e__x0020_Docket_x0020_Number xmlns="d6eefc7d-9817-4fa6-84d5-3bc009be21b8" xsi:nil="true"/>
    <_x0032__x002e__x0020_Collection_x0020_Number xmlns="d6eefc7d-9817-4fa6-84d5-3bc009be21b8">500</_x0032__x002e__x0020_Collection_x0020_Number>
    <_x0031__x002e__x0020_Docket_x0020_Number xmlns="d6eefc7d-9817-4fa6-84d5-3bc009be21b8">RM18-14</_x0031__x002e__x0020_Docket_x0020_Number>
    <_x0033__x002e__x0020_Collection_x0020_Number xmlns="d6eefc7d-9817-4fa6-84d5-3bc009be21b8">505</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2.xml><?xml version="1.0" encoding="utf-8"?>
<ds:datastoreItem xmlns:ds="http://schemas.openxmlformats.org/officeDocument/2006/customXml" ds:itemID="{642ED7EE-9C12-4451-90E6-78FC3BEDFA35}">
  <ds:schemaRefs>
    <ds:schemaRef ds:uri="http://schemas.microsoft.com/office/2006/metadata/customXsn"/>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B36C679B-9990-4A52-AA42-16EB34D5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F57017-6D35-4700-942D-9BCDC1A55FC4}">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d6eefc7d-9817-4fa6-84d5-3bc009be21b8"/>
    <ds:schemaRef ds:uri="http://purl.org/dc/dcmitype/"/>
  </ds:schemaRefs>
</ds:datastoreItem>
</file>

<file path=customXml/itemProps6.xml><?xml version="1.0" encoding="utf-8"?>
<ds:datastoreItem xmlns:ds="http://schemas.openxmlformats.org/officeDocument/2006/customXml" ds:itemID="{4FAB5FFD-4487-4BB7-92DB-4610F43E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2018-01-23T15:21:00Z</cp:lastPrinted>
  <dcterms:created xsi:type="dcterms:W3CDTF">2018-05-29T17:53:00Z</dcterms:created>
  <dcterms:modified xsi:type="dcterms:W3CDTF">2018-05-29T17:53:00Z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