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80FCF" w14:textId="77777777" w:rsidR="00A13DD4" w:rsidRPr="002C0D1E" w:rsidRDefault="00A13DD4" w:rsidP="00A13DD4">
      <w:pPr>
        <w:spacing w:after="0" w:line="240" w:lineRule="auto"/>
        <w:jc w:val="center"/>
        <w:rPr>
          <w:rFonts w:ascii="Times New Roman" w:eastAsia="Times New Roman" w:hAnsi="Times New Roman" w:cs="Times New Roman"/>
          <w:sz w:val="26"/>
          <w:szCs w:val="26"/>
        </w:rPr>
      </w:pPr>
      <w:bookmarkStart w:id="0" w:name="_GoBack"/>
      <w:bookmarkEnd w:id="0"/>
      <w:r w:rsidRPr="002C0D1E">
        <w:rPr>
          <w:rFonts w:ascii="Times New Roman" w:eastAsia="Times New Roman" w:hAnsi="Times New Roman" w:cs="Times New Roman"/>
          <w:sz w:val="26"/>
          <w:szCs w:val="26"/>
        </w:rPr>
        <w:t>UNITED STATES OF AMERICA</w:t>
      </w:r>
    </w:p>
    <w:p w14:paraId="40F80FD0" w14:textId="77777777" w:rsidR="00A13DD4" w:rsidRPr="002C0D1E" w:rsidRDefault="00A13DD4" w:rsidP="00A13DD4">
      <w:pPr>
        <w:spacing w:after="0" w:line="240" w:lineRule="auto"/>
        <w:jc w:val="center"/>
        <w:rPr>
          <w:rFonts w:ascii="Times New Roman" w:eastAsia="Times New Roman" w:hAnsi="Times New Roman" w:cs="Times New Roman"/>
          <w:sz w:val="26"/>
          <w:szCs w:val="26"/>
        </w:rPr>
      </w:pPr>
      <w:r w:rsidRPr="002C0D1E">
        <w:rPr>
          <w:rFonts w:ascii="Times New Roman" w:eastAsia="Times New Roman" w:hAnsi="Times New Roman" w:cs="Times New Roman"/>
          <w:sz w:val="26"/>
          <w:szCs w:val="26"/>
        </w:rPr>
        <w:t>FEDERAL ENERGY REGULATORY COMMISSION</w:t>
      </w:r>
    </w:p>
    <w:p w14:paraId="40F80FD1" w14:textId="77777777" w:rsidR="00A13DD4" w:rsidRPr="002C0D1E" w:rsidRDefault="00A13DD4" w:rsidP="00A13DD4">
      <w:pPr>
        <w:spacing w:after="0" w:line="240" w:lineRule="auto"/>
        <w:rPr>
          <w:rFonts w:ascii="Times New Roman" w:eastAsia="Times New Roman" w:hAnsi="Times New Roman" w:cs="Times New Roman"/>
          <w:sz w:val="26"/>
          <w:szCs w:val="26"/>
        </w:rPr>
      </w:pPr>
    </w:p>
    <w:p w14:paraId="40F80FD2" w14:textId="77777777" w:rsidR="00A13DD4" w:rsidRPr="002C0D1E" w:rsidRDefault="00A13DD4" w:rsidP="00A13DD4">
      <w:pPr>
        <w:spacing w:after="0" w:line="240" w:lineRule="auto"/>
        <w:jc w:val="center"/>
        <w:rPr>
          <w:rFonts w:ascii="Times New Roman" w:eastAsia="Times New Roman" w:hAnsi="Times New Roman" w:cs="Times New Roman"/>
          <w:sz w:val="26"/>
          <w:szCs w:val="26"/>
        </w:rPr>
      </w:pPr>
      <w:r w:rsidRPr="002C0D1E">
        <w:rPr>
          <w:rFonts w:ascii="Times New Roman" w:eastAsia="Times New Roman" w:hAnsi="Times New Roman" w:cs="Times New Roman"/>
          <w:sz w:val="26"/>
          <w:szCs w:val="26"/>
        </w:rPr>
        <w:t>[Docket No. IC18-6-000]</w:t>
      </w:r>
    </w:p>
    <w:p w14:paraId="40F80FD3" w14:textId="77777777" w:rsidR="00A13DD4" w:rsidRPr="002C0D1E" w:rsidRDefault="00A13DD4" w:rsidP="00A13DD4">
      <w:pPr>
        <w:spacing w:after="0" w:line="240" w:lineRule="auto"/>
        <w:rPr>
          <w:rFonts w:ascii="Times New Roman" w:eastAsia="Times New Roman" w:hAnsi="Times New Roman" w:cs="Times New Roman"/>
          <w:sz w:val="26"/>
          <w:szCs w:val="26"/>
        </w:rPr>
      </w:pPr>
    </w:p>
    <w:p w14:paraId="40F80FD4" w14:textId="77777777" w:rsidR="00A13DD4" w:rsidRPr="002C0D1E" w:rsidRDefault="00A13DD4" w:rsidP="00A13DD4">
      <w:pPr>
        <w:spacing w:after="0" w:line="240" w:lineRule="auto"/>
        <w:jc w:val="center"/>
        <w:rPr>
          <w:rFonts w:ascii="Times New Roman" w:eastAsia="Times New Roman" w:hAnsi="Times New Roman" w:cs="Times New Roman"/>
          <w:sz w:val="26"/>
          <w:szCs w:val="26"/>
        </w:rPr>
      </w:pPr>
      <w:r w:rsidRPr="002C0D1E">
        <w:rPr>
          <w:rFonts w:ascii="Times New Roman" w:eastAsia="Times New Roman" w:hAnsi="Times New Roman" w:cs="Times New Roman"/>
          <w:sz w:val="26"/>
          <w:szCs w:val="26"/>
        </w:rPr>
        <w:t xml:space="preserve">COMMISSION INFORMATION COLLECTION ACTIVITIES </w:t>
      </w:r>
    </w:p>
    <w:p w14:paraId="40F80FD5" w14:textId="77777777" w:rsidR="00A13DD4" w:rsidRPr="002C0D1E" w:rsidRDefault="00A13DD4" w:rsidP="00A13DD4">
      <w:pPr>
        <w:spacing w:after="0" w:line="240" w:lineRule="auto"/>
        <w:jc w:val="center"/>
        <w:rPr>
          <w:rFonts w:ascii="Times New Roman" w:eastAsia="Times New Roman" w:hAnsi="Times New Roman" w:cs="Times New Roman"/>
          <w:sz w:val="26"/>
          <w:szCs w:val="26"/>
        </w:rPr>
      </w:pPr>
      <w:r w:rsidRPr="002C0D1E">
        <w:rPr>
          <w:rFonts w:ascii="Times New Roman" w:eastAsia="Times New Roman" w:hAnsi="Times New Roman" w:cs="Times New Roman"/>
          <w:sz w:val="26"/>
          <w:szCs w:val="26"/>
        </w:rPr>
        <w:t>(FERC-65, FERC-65A, FERC-65B, FERC-725V)</w:t>
      </w:r>
    </w:p>
    <w:p w14:paraId="40F80FD6" w14:textId="77777777" w:rsidR="00A13DD4" w:rsidRPr="002C0D1E" w:rsidRDefault="00A13DD4" w:rsidP="00A13DD4">
      <w:pPr>
        <w:spacing w:after="0" w:line="240" w:lineRule="auto"/>
        <w:jc w:val="center"/>
        <w:rPr>
          <w:rFonts w:ascii="Times New Roman" w:eastAsia="Times New Roman" w:hAnsi="Times New Roman" w:cs="Times New Roman"/>
          <w:sz w:val="26"/>
          <w:szCs w:val="26"/>
        </w:rPr>
      </w:pPr>
      <w:r w:rsidRPr="002C0D1E">
        <w:rPr>
          <w:rFonts w:ascii="Times New Roman" w:eastAsia="Times New Roman" w:hAnsi="Times New Roman" w:cs="Times New Roman"/>
          <w:sz w:val="26"/>
          <w:szCs w:val="26"/>
        </w:rPr>
        <w:t>CONSOLIDATED COMMENT REQUEST; EXTENSION</w:t>
      </w:r>
    </w:p>
    <w:p w14:paraId="40F80FD7" w14:textId="77777777" w:rsidR="00A13DD4" w:rsidRPr="002C0D1E" w:rsidRDefault="00A13DD4" w:rsidP="00A13DD4">
      <w:pPr>
        <w:spacing w:after="0" w:line="240" w:lineRule="auto"/>
        <w:rPr>
          <w:rFonts w:ascii="Times New Roman" w:eastAsia="Times New Roman" w:hAnsi="Times New Roman" w:cs="Times New Roman"/>
          <w:sz w:val="26"/>
          <w:szCs w:val="26"/>
        </w:rPr>
      </w:pPr>
    </w:p>
    <w:p w14:paraId="40F80FD9" w14:textId="774D1B7B" w:rsidR="00A13DD4" w:rsidRDefault="00EC4B39" w:rsidP="00EC4B39">
      <w:pPr>
        <w:spacing w:after="0" w:line="240" w:lineRule="auto"/>
        <w:jc w:val="center"/>
        <w:rPr>
          <w:rFonts w:ascii="Times New Roman" w:eastAsia="Times New Roman" w:hAnsi="Times New Roman" w:cs="Times New Roman"/>
          <w:sz w:val="26"/>
          <w:szCs w:val="26"/>
        </w:rPr>
      </w:pPr>
      <w:r w:rsidRPr="00EC4B39">
        <w:rPr>
          <w:rFonts w:ascii="Times New Roman" w:eastAsia="Times New Roman" w:hAnsi="Times New Roman" w:cs="Times New Roman"/>
          <w:sz w:val="26"/>
          <w:szCs w:val="26"/>
        </w:rPr>
        <w:t>(May 10, 2018)</w:t>
      </w:r>
    </w:p>
    <w:p w14:paraId="64243378" w14:textId="77777777" w:rsidR="00EC4B39" w:rsidRPr="00EC4B39" w:rsidRDefault="00EC4B39" w:rsidP="00EC4B39">
      <w:pPr>
        <w:spacing w:after="0" w:line="240" w:lineRule="auto"/>
        <w:rPr>
          <w:rFonts w:ascii="Times New Roman" w:eastAsia="Times New Roman" w:hAnsi="Times New Roman" w:cs="Times New Roman"/>
          <w:sz w:val="26"/>
          <w:szCs w:val="26"/>
        </w:rPr>
      </w:pPr>
    </w:p>
    <w:p w14:paraId="40F80FDA" w14:textId="77777777" w:rsidR="00A13DD4" w:rsidRPr="002C0D1E" w:rsidRDefault="00A13DD4" w:rsidP="00A13DD4">
      <w:pPr>
        <w:spacing w:after="0" w:line="240" w:lineRule="auto"/>
        <w:rPr>
          <w:rFonts w:ascii="Times New Roman" w:eastAsia="Times New Roman" w:hAnsi="Times New Roman" w:cs="Times New Roman"/>
          <w:sz w:val="26"/>
          <w:szCs w:val="26"/>
        </w:rPr>
      </w:pPr>
      <w:r w:rsidRPr="002C0D1E">
        <w:rPr>
          <w:rFonts w:ascii="Times New Roman" w:eastAsia="Times New Roman" w:hAnsi="Times New Roman" w:cs="Times New Roman"/>
          <w:b/>
          <w:sz w:val="26"/>
          <w:szCs w:val="26"/>
        </w:rPr>
        <w:t>AGENCY:</w:t>
      </w:r>
      <w:r w:rsidRPr="002C0D1E">
        <w:rPr>
          <w:rFonts w:ascii="Times New Roman" w:eastAsia="Times New Roman" w:hAnsi="Times New Roman" w:cs="Times New Roman"/>
          <w:sz w:val="26"/>
          <w:szCs w:val="26"/>
        </w:rPr>
        <w:t xml:space="preserve">  Federal Energy Regulatory Commission, DOE.</w:t>
      </w:r>
    </w:p>
    <w:p w14:paraId="40F80FDB" w14:textId="77777777" w:rsidR="00A13DD4" w:rsidRPr="002C0D1E" w:rsidRDefault="00A13DD4" w:rsidP="00A13DD4">
      <w:pPr>
        <w:spacing w:after="0" w:line="240" w:lineRule="auto"/>
        <w:rPr>
          <w:rFonts w:ascii="Times New Roman" w:eastAsia="Times New Roman" w:hAnsi="Times New Roman" w:cs="Times New Roman"/>
          <w:sz w:val="26"/>
          <w:szCs w:val="26"/>
        </w:rPr>
      </w:pPr>
    </w:p>
    <w:p w14:paraId="40F80FDC"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b/>
          <w:sz w:val="26"/>
          <w:szCs w:val="26"/>
        </w:rPr>
        <w:t>ACTION:</w:t>
      </w:r>
      <w:r w:rsidRPr="002C0D1E">
        <w:rPr>
          <w:rFonts w:ascii="Times New Roman" w:eastAsia="Times New Roman" w:hAnsi="Times New Roman" w:cs="Times New Roman"/>
          <w:sz w:val="26"/>
          <w:szCs w:val="26"/>
        </w:rPr>
        <w:t xml:space="preserve">  Notice of information collection and request for comments.</w:t>
      </w:r>
    </w:p>
    <w:p w14:paraId="40F80FDD"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b/>
          <w:sz w:val="26"/>
          <w:szCs w:val="26"/>
        </w:rPr>
        <w:t>SUMMARY:</w:t>
      </w:r>
      <w:r w:rsidRPr="002C0D1E">
        <w:rPr>
          <w:rFonts w:ascii="Times New Roman" w:eastAsia="Times New Roman" w:hAnsi="Times New Roman" w:cs="Times New Roman"/>
          <w:sz w:val="26"/>
          <w:szCs w:val="26"/>
        </w:rPr>
        <w:t xml:space="preserve">  In compliance with the requirements of the Paperwork Reduction Act of 1995, the Federal Energy Regulatory Commission (Commission or FERC) is soliciting public comment on the information collections, FERC-65 (Notice of Holding Company Status), FERC-65A (Exemption Notification of holding Company Status), and FERC-65B (Waiver Notification of Holding Company Status), and FERC-725V (Mandatory Reliability Standards: COM Reliability Standards) which will be submitted to the Office of Management and Budget (OMB) for a review of the information collection requirements. </w:t>
      </w:r>
    </w:p>
    <w:p w14:paraId="40F80FDE" w14:textId="3CF1586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b/>
          <w:sz w:val="26"/>
          <w:szCs w:val="26"/>
        </w:rPr>
        <w:t>DATES:</w:t>
      </w:r>
      <w:r w:rsidRPr="002C0D1E">
        <w:rPr>
          <w:rFonts w:ascii="Times New Roman" w:eastAsia="Times New Roman" w:hAnsi="Times New Roman" w:cs="Times New Roman"/>
          <w:sz w:val="26"/>
          <w:szCs w:val="26"/>
        </w:rPr>
        <w:t xml:space="preserve">  Comments on the collection of information are due</w:t>
      </w:r>
      <w:r w:rsidRPr="002C0D1E">
        <w:rPr>
          <w:rFonts w:ascii="Times New Roman" w:eastAsia="Times New Roman" w:hAnsi="Times New Roman" w:cs="Times New Roman"/>
          <w:b/>
          <w:sz w:val="26"/>
          <w:szCs w:val="26"/>
        </w:rPr>
        <w:t xml:space="preserve"> [Insert Date </w:t>
      </w:r>
      <w:r w:rsidR="00DC46CC">
        <w:rPr>
          <w:rFonts w:ascii="Times New Roman" w:eastAsia="Times New Roman" w:hAnsi="Times New Roman" w:cs="Times New Roman"/>
          <w:b/>
          <w:sz w:val="26"/>
          <w:szCs w:val="26"/>
        </w:rPr>
        <w:t>3</w:t>
      </w:r>
      <w:r w:rsidRPr="002C0D1E">
        <w:rPr>
          <w:rFonts w:ascii="Times New Roman" w:eastAsia="Times New Roman" w:hAnsi="Times New Roman" w:cs="Times New Roman"/>
          <w:b/>
          <w:sz w:val="26"/>
          <w:szCs w:val="26"/>
        </w:rPr>
        <w:t xml:space="preserve">0 days after </w:t>
      </w:r>
      <w:r w:rsidR="00EC4B39">
        <w:rPr>
          <w:rFonts w:ascii="Times New Roman" w:eastAsia="Times New Roman" w:hAnsi="Times New Roman" w:cs="Times New Roman"/>
          <w:b/>
          <w:sz w:val="26"/>
          <w:szCs w:val="26"/>
        </w:rPr>
        <w:t xml:space="preserve">date of </w:t>
      </w:r>
      <w:r w:rsidRPr="002C0D1E">
        <w:rPr>
          <w:rFonts w:ascii="Times New Roman" w:eastAsia="Times New Roman" w:hAnsi="Times New Roman" w:cs="Times New Roman"/>
          <w:b/>
          <w:sz w:val="26"/>
          <w:szCs w:val="26"/>
        </w:rPr>
        <w:t>publication in the Federal Register].</w:t>
      </w:r>
      <w:r w:rsidRPr="002C0D1E">
        <w:rPr>
          <w:rFonts w:ascii="Times New Roman" w:eastAsia="Times New Roman" w:hAnsi="Times New Roman" w:cs="Times New Roman"/>
          <w:sz w:val="26"/>
          <w:szCs w:val="26"/>
        </w:rPr>
        <w:t xml:space="preserve"> </w:t>
      </w:r>
    </w:p>
    <w:p w14:paraId="1D94DDF4" w14:textId="6B4894EF" w:rsidR="00DC46CC" w:rsidRPr="00DC46CC" w:rsidRDefault="00A13DD4" w:rsidP="00DC46CC">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b/>
          <w:sz w:val="26"/>
          <w:szCs w:val="26"/>
        </w:rPr>
        <w:t>ADDRESSES:</w:t>
      </w:r>
      <w:r w:rsidRPr="002C0D1E">
        <w:rPr>
          <w:rFonts w:ascii="Times New Roman" w:eastAsia="Times New Roman" w:hAnsi="Times New Roman" w:cs="Times New Roman"/>
          <w:sz w:val="26"/>
          <w:szCs w:val="26"/>
        </w:rPr>
        <w:t xml:space="preserve">  </w:t>
      </w:r>
      <w:r w:rsidR="00DC46CC" w:rsidRPr="00DC46CC">
        <w:rPr>
          <w:rFonts w:ascii="Times New Roman" w:eastAsia="Times New Roman" w:hAnsi="Times New Roman" w:cs="Times New Roman"/>
          <w:sz w:val="26"/>
          <w:szCs w:val="26"/>
        </w:rPr>
        <w:t>Comments filed with OMB, identified by OMB Control No. 1902-0</w:t>
      </w:r>
      <w:r w:rsidR="00DC46CC">
        <w:rPr>
          <w:rFonts w:ascii="Times New Roman" w:eastAsia="Times New Roman" w:hAnsi="Times New Roman" w:cs="Times New Roman"/>
          <w:sz w:val="26"/>
          <w:szCs w:val="26"/>
        </w:rPr>
        <w:t>218 and OMB Control No. 1902-0277,</w:t>
      </w:r>
      <w:r w:rsidR="00DC46CC" w:rsidRPr="00DC46CC">
        <w:rPr>
          <w:rFonts w:ascii="Times New Roman" w:eastAsia="Times New Roman" w:hAnsi="Times New Roman" w:cs="Times New Roman"/>
          <w:sz w:val="26"/>
          <w:szCs w:val="26"/>
        </w:rPr>
        <w:t xml:space="preserve"> should be sent via email to the Office of Information and Regulatory Affairs: </w:t>
      </w:r>
      <w:hyperlink r:id="rId12" w:history="1">
        <w:r w:rsidR="00DC46CC" w:rsidRPr="00DC46CC">
          <w:rPr>
            <w:rStyle w:val="Hyperlink"/>
            <w:rFonts w:ascii="Times New Roman" w:eastAsia="Times New Roman" w:hAnsi="Times New Roman" w:cs="Times New Roman"/>
            <w:sz w:val="26"/>
            <w:szCs w:val="26"/>
          </w:rPr>
          <w:t>oira_submission@omb.gov</w:t>
        </w:r>
      </w:hyperlink>
      <w:r w:rsidR="00DC46CC" w:rsidRPr="00DC46CC">
        <w:rPr>
          <w:rFonts w:ascii="Times New Roman" w:eastAsia="Times New Roman" w:hAnsi="Times New Roman" w:cs="Times New Roman"/>
          <w:sz w:val="26"/>
          <w:szCs w:val="26"/>
        </w:rPr>
        <w:t xml:space="preserve">.  Attention: Federal Energy </w:t>
      </w:r>
      <w:r w:rsidR="00DC46CC" w:rsidRPr="00DC46CC">
        <w:rPr>
          <w:rFonts w:ascii="Times New Roman" w:eastAsia="Times New Roman" w:hAnsi="Times New Roman" w:cs="Times New Roman"/>
          <w:sz w:val="26"/>
          <w:szCs w:val="26"/>
        </w:rPr>
        <w:lastRenderedPageBreak/>
        <w:t>Regulatory Commission Desk Officer.  The Desk Officer may also be reached via telephone at 202-395-8528.</w:t>
      </w:r>
    </w:p>
    <w:p w14:paraId="73138AF1" w14:textId="776666D8" w:rsidR="00DC46CC" w:rsidRPr="00DC46CC" w:rsidRDefault="00DC46CC" w:rsidP="00DC46CC">
      <w:pPr>
        <w:spacing w:after="0" w:line="480" w:lineRule="auto"/>
        <w:rPr>
          <w:rFonts w:ascii="Times New Roman" w:eastAsia="Times New Roman" w:hAnsi="Times New Roman" w:cs="Times New Roman"/>
          <w:sz w:val="26"/>
          <w:szCs w:val="26"/>
        </w:rPr>
      </w:pPr>
      <w:r w:rsidRPr="00DC46CC">
        <w:rPr>
          <w:rFonts w:ascii="Times New Roman" w:eastAsia="Times New Roman" w:hAnsi="Times New Roman" w:cs="Times New Roman"/>
          <w:sz w:val="26"/>
          <w:szCs w:val="26"/>
        </w:rPr>
        <w:t>A copy of the comments should also be sent to the Commission, in Docket No. IC18-</w:t>
      </w:r>
      <w:r>
        <w:rPr>
          <w:rFonts w:ascii="Times New Roman" w:eastAsia="Times New Roman" w:hAnsi="Times New Roman" w:cs="Times New Roman"/>
          <w:sz w:val="26"/>
          <w:szCs w:val="26"/>
        </w:rPr>
        <w:t>6</w:t>
      </w:r>
      <w:r w:rsidRPr="00DC46CC">
        <w:rPr>
          <w:rFonts w:ascii="Times New Roman" w:eastAsia="Times New Roman" w:hAnsi="Times New Roman" w:cs="Times New Roman"/>
          <w:sz w:val="26"/>
          <w:szCs w:val="26"/>
        </w:rPr>
        <w:t>-000 by either of the following methods:</w:t>
      </w:r>
    </w:p>
    <w:p w14:paraId="40F80FE0" w14:textId="77777777" w:rsidR="00A13DD4" w:rsidRPr="002C0D1E" w:rsidRDefault="00A13DD4" w:rsidP="00A13DD4">
      <w:pPr>
        <w:numPr>
          <w:ilvl w:val="0"/>
          <w:numId w:val="1"/>
        </w:numPr>
        <w:tabs>
          <w:tab w:val="num" w:pos="1080"/>
        </w:tabs>
        <w:spacing w:after="0" w:line="480" w:lineRule="auto"/>
        <w:ind w:left="720"/>
        <w:rPr>
          <w:rFonts w:ascii="Times New Roman" w:eastAsia="Times New Roman" w:hAnsi="Times New Roman" w:cs="Times New Roman"/>
          <w:sz w:val="26"/>
          <w:szCs w:val="26"/>
        </w:rPr>
      </w:pPr>
      <w:bookmarkStart w:id="1" w:name="OLE_LINK1"/>
      <w:r w:rsidRPr="002C0D1E">
        <w:rPr>
          <w:rFonts w:ascii="Times New Roman" w:eastAsia="Times New Roman" w:hAnsi="Times New Roman" w:cs="Times New Roman"/>
          <w:sz w:val="26"/>
          <w:szCs w:val="26"/>
        </w:rPr>
        <w:t xml:space="preserve">eFiling at Commission’s Web Site: </w:t>
      </w:r>
      <w:hyperlink r:id="rId13" w:history="1">
        <w:r w:rsidRPr="002C0D1E">
          <w:rPr>
            <w:rFonts w:ascii="Times New Roman" w:eastAsia="Times New Roman" w:hAnsi="Times New Roman" w:cs="Times New Roman"/>
            <w:color w:val="0000FF"/>
            <w:sz w:val="26"/>
            <w:szCs w:val="26"/>
            <w:u w:val="single"/>
          </w:rPr>
          <w:t>http://www.ferc.gov/docs-filing/efiling.asp</w:t>
        </w:r>
      </w:hyperlink>
    </w:p>
    <w:p w14:paraId="40F80FE1" w14:textId="77777777" w:rsidR="00A13DD4" w:rsidRPr="00DC46CC" w:rsidRDefault="00A13DD4" w:rsidP="00DC46CC">
      <w:pPr>
        <w:pStyle w:val="ListParagraph"/>
        <w:numPr>
          <w:ilvl w:val="0"/>
          <w:numId w:val="3"/>
        </w:numPr>
        <w:spacing w:after="0" w:line="480" w:lineRule="auto"/>
        <w:rPr>
          <w:rFonts w:ascii="Times New Roman" w:eastAsia="Times New Roman" w:hAnsi="Times New Roman" w:cs="Times New Roman"/>
          <w:sz w:val="26"/>
          <w:szCs w:val="26"/>
        </w:rPr>
      </w:pPr>
      <w:r w:rsidRPr="00DC46CC">
        <w:rPr>
          <w:rFonts w:ascii="Times New Roman" w:eastAsia="Times New Roman" w:hAnsi="Times New Roman" w:cs="Times New Roman"/>
          <w:sz w:val="26"/>
          <w:szCs w:val="26"/>
        </w:rPr>
        <w:t>Mail/Hand Delivery/Courier: Federal Energy Regulatory Commission, Secretary of the Commission, 888 First Street, NE, Washington, DC 20426.</w:t>
      </w:r>
    </w:p>
    <w:p w14:paraId="40F80FE2"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 xml:space="preserve">Instructions: </w:t>
      </w:r>
      <w:r w:rsidRPr="002C0D1E">
        <w:rPr>
          <w:rFonts w:ascii="Times New Roman" w:eastAsia="Times New Roman" w:hAnsi="Times New Roman" w:cs="Times New Roman"/>
          <w:sz w:val="26"/>
          <w:szCs w:val="26"/>
        </w:rPr>
        <w:t xml:space="preserve">All submissions must be formatted and filed in accordance with submission guidelines at: </w:t>
      </w:r>
      <w:hyperlink r:id="rId14" w:history="1">
        <w:r w:rsidRPr="002C0D1E">
          <w:rPr>
            <w:rFonts w:ascii="Times New Roman" w:eastAsia="Times New Roman" w:hAnsi="Times New Roman" w:cs="Times New Roman"/>
            <w:color w:val="0000FF"/>
            <w:sz w:val="26"/>
            <w:szCs w:val="26"/>
            <w:u w:val="single"/>
          </w:rPr>
          <w:t>http://www.ferc.gov/help/submission-guide.asp</w:t>
        </w:r>
      </w:hyperlink>
      <w:r w:rsidRPr="002C0D1E">
        <w:rPr>
          <w:rFonts w:ascii="Times New Roman" w:eastAsia="Times New Roman" w:hAnsi="Times New Roman" w:cs="Times New Roman"/>
          <w:sz w:val="26"/>
          <w:szCs w:val="26"/>
        </w:rPr>
        <w:t>.  For user assistance contact FERC Online Support by e-mail at ferconlinesupport@ferc.gov, or by phone at:  (866) 208-3676 (toll-free), or (202) 502-8659 for TTY.</w:t>
      </w:r>
    </w:p>
    <w:p w14:paraId="40F80FE3"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Docket:</w:t>
      </w:r>
      <w:r w:rsidRPr="002C0D1E">
        <w:rPr>
          <w:rFonts w:ascii="Times New Roman" w:eastAsia="Times New Roman" w:hAnsi="Times New Roman" w:cs="Times New Roman"/>
          <w:sz w:val="26"/>
          <w:szCs w:val="26"/>
        </w:rPr>
        <w:t xml:space="preserve"> Users interested in receiving automatic notification of activity in this docket or in viewing/downloading comments and issuances in this docket may do so at </w:t>
      </w:r>
      <w:hyperlink r:id="rId15" w:history="1">
        <w:r w:rsidRPr="002C0D1E">
          <w:rPr>
            <w:rFonts w:ascii="Times New Roman" w:eastAsia="Times New Roman" w:hAnsi="Times New Roman" w:cs="Times New Roman"/>
            <w:color w:val="0000FF"/>
            <w:sz w:val="26"/>
            <w:szCs w:val="26"/>
            <w:u w:val="single"/>
          </w:rPr>
          <w:t>http://www.ferc.gov/docs-filing/docs-filing.asp</w:t>
        </w:r>
      </w:hyperlink>
      <w:r w:rsidRPr="002C0D1E">
        <w:rPr>
          <w:rFonts w:ascii="Times New Roman" w:eastAsia="Times New Roman" w:hAnsi="Times New Roman" w:cs="Times New Roman"/>
          <w:sz w:val="26"/>
          <w:szCs w:val="26"/>
        </w:rPr>
        <w:t xml:space="preserve">. </w:t>
      </w:r>
    </w:p>
    <w:bookmarkEnd w:id="1"/>
    <w:p w14:paraId="40F80FE4" w14:textId="776666D8"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b/>
          <w:sz w:val="26"/>
          <w:szCs w:val="26"/>
        </w:rPr>
        <w:t>FOR FURTHER INFORMATION:</w:t>
      </w:r>
      <w:r w:rsidRPr="002C0D1E">
        <w:rPr>
          <w:rFonts w:ascii="Times New Roman" w:eastAsia="Times New Roman" w:hAnsi="Times New Roman" w:cs="Times New Roman"/>
          <w:sz w:val="26"/>
          <w:szCs w:val="26"/>
        </w:rPr>
        <w:t xml:space="preserve">  Ellen Brown may be reached by e-mail at </w:t>
      </w:r>
      <w:hyperlink r:id="rId16" w:history="1">
        <w:r w:rsidRPr="002C0D1E">
          <w:rPr>
            <w:rFonts w:ascii="Times New Roman" w:eastAsia="Times New Roman" w:hAnsi="Times New Roman" w:cs="Times New Roman"/>
            <w:color w:val="0000FF"/>
            <w:sz w:val="26"/>
            <w:szCs w:val="26"/>
            <w:u w:val="single"/>
          </w:rPr>
          <w:t>DataClearance@FERC.gov</w:t>
        </w:r>
      </w:hyperlink>
      <w:r w:rsidRPr="002C0D1E">
        <w:rPr>
          <w:rFonts w:ascii="Times New Roman" w:eastAsia="Times New Roman" w:hAnsi="Times New Roman" w:cs="Times New Roman"/>
          <w:sz w:val="26"/>
          <w:szCs w:val="26"/>
        </w:rPr>
        <w:t>, telephone at (202) 502-8663, and fax at (202) 273-0873.</w:t>
      </w:r>
    </w:p>
    <w:p w14:paraId="40F80FE5"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sz w:val="26"/>
          <w:szCs w:val="26"/>
        </w:rPr>
        <w:t xml:space="preserve"> </w:t>
      </w:r>
      <w:r w:rsidRPr="002C0D1E">
        <w:rPr>
          <w:rFonts w:ascii="Times New Roman" w:eastAsia="Times New Roman" w:hAnsi="Times New Roman" w:cs="Times New Roman"/>
          <w:b/>
          <w:sz w:val="26"/>
          <w:szCs w:val="26"/>
        </w:rPr>
        <w:t>SUPPLEMENTARY INFORMATION:</w:t>
      </w:r>
      <w:r w:rsidRPr="002C0D1E">
        <w:rPr>
          <w:rFonts w:ascii="Times New Roman" w:eastAsia="Times New Roman" w:hAnsi="Times New Roman" w:cs="Times New Roman"/>
          <w:sz w:val="26"/>
          <w:szCs w:val="26"/>
        </w:rPr>
        <w:t xml:space="preserve">  </w:t>
      </w:r>
    </w:p>
    <w:p w14:paraId="40F80FE6" w14:textId="77777777" w:rsidR="00A13DD4" w:rsidRPr="002C0D1E" w:rsidRDefault="00A13DD4" w:rsidP="00A13DD4">
      <w:pPr>
        <w:spacing w:after="0" w:line="480" w:lineRule="auto"/>
        <w:rPr>
          <w:rFonts w:ascii="Times New Roman" w:eastAsia="Times New Roman" w:hAnsi="Times New Roman" w:cs="Times New Roman"/>
          <w:i/>
          <w:sz w:val="26"/>
          <w:szCs w:val="26"/>
        </w:rPr>
      </w:pPr>
      <w:r w:rsidRPr="002C0D1E">
        <w:rPr>
          <w:rFonts w:ascii="Times New Roman" w:eastAsia="Times New Roman" w:hAnsi="Times New Roman" w:cs="Times New Roman"/>
          <w:i/>
          <w:sz w:val="26"/>
          <w:szCs w:val="26"/>
        </w:rPr>
        <w:t xml:space="preserve">Title: </w:t>
      </w:r>
      <w:r w:rsidRPr="002C0D1E">
        <w:rPr>
          <w:rFonts w:ascii="Times New Roman" w:eastAsia="Calibri" w:hAnsi="Times New Roman" w:cs="Times New Roman"/>
          <w:sz w:val="26"/>
          <w:szCs w:val="26"/>
        </w:rPr>
        <w:t>FERC-65 (Notice of Holding Company Status), FERC-65A (Exemption Notification of Holding Company Status), and FERC-65B (Waiver Notification of Holding Company Status)</w:t>
      </w:r>
    </w:p>
    <w:p w14:paraId="40F80FE7"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OMB Control No.:</w:t>
      </w:r>
      <w:r w:rsidRPr="002C0D1E">
        <w:rPr>
          <w:rFonts w:ascii="Times New Roman" w:eastAsia="Times New Roman" w:hAnsi="Times New Roman" w:cs="Times New Roman"/>
          <w:sz w:val="26"/>
          <w:szCs w:val="26"/>
        </w:rPr>
        <w:t xml:space="preserve"> 1902-0218</w:t>
      </w:r>
    </w:p>
    <w:p w14:paraId="40F80FE8"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lastRenderedPageBreak/>
        <w:t>Type of Request:</w:t>
      </w:r>
      <w:r w:rsidRPr="002C0D1E">
        <w:rPr>
          <w:rFonts w:ascii="Times New Roman" w:eastAsia="Times New Roman" w:hAnsi="Times New Roman" w:cs="Times New Roman"/>
          <w:sz w:val="26"/>
          <w:szCs w:val="26"/>
        </w:rPr>
        <w:t xml:space="preserve"> Three-year extension of the FERC-65, FERC-65A and FERC-65B information collection requirements with no changes to the current reporting requirements. </w:t>
      </w:r>
    </w:p>
    <w:p w14:paraId="40F80FE9" w14:textId="77777777" w:rsidR="00A13DD4" w:rsidRPr="002C0D1E" w:rsidRDefault="00A13DD4" w:rsidP="00A13DD4">
      <w:pPr>
        <w:spacing w:line="480" w:lineRule="auto"/>
        <w:rPr>
          <w:rFonts w:ascii="Times New Roman" w:eastAsia="Calibri" w:hAnsi="Times New Roman" w:cs="Times New Roman"/>
          <w:bCs/>
          <w:sz w:val="26"/>
          <w:szCs w:val="26"/>
        </w:rPr>
      </w:pPr>
      <w:r w:rsidRPr="002C0D1E">
        <w:rPr>
          <w:rFonts w:ascii="Times New Roman" w:eastAsia="Times New Roman" w:hAnsi="Times New Roman" w:cs="Times New Roman"/>
          <w:i/>
          <w:sz w:val="26"/>
          <w:szCs w:val="26"/>
        </w:rPr>
        <w:t xml:space="preserve">Abstract: </w:t>
      </w:r>
      <w:r w:rsidRPr="002C0D1E">
        <w:rPr>
          <w:rFonts w:ascii="Times New Roman" w:eastAsia="Times New Roman" w:hAnsi="Times New Roman" w:cs="Times New Roman"/>
          <w:sz w:val="26"/>
          <w:szCs w:val="26"/>
        </w:rPr>
        <w:t>The</w:t>
      </w:r>
      <w:r w:rsidRPr="002C0D1E">
        <w:rPr>
          <w:rFonts w:ascii="Times New Roman" w:eastAsia="Calibri" w:hAnsi="Times New Roman" w:cs="Times New Roman"/>
          <w:i/>
          <w:sz w:val="26"/>
          <w:szCs w:val="26"/>
        </w:rPr>
        <w:t xml:space="preserve"> </w:t>
      </w:r>
      <w:r w:rsidRPr="002C0D1E">
        <w:rPr>
          <w:rFonts w:ascii="Times New Roman" w:eastAsia="Calibri" w:hAnsi="Times New Roman" w:cs="Times New Roman"/>
          <w:sz w:val="26"/>
          <w:szCs w:val="26"/>
        </w:rPr>
        <w:t>Pursuant to section 366.4 of the Commission’s rules and regulations, persons who meet the definition of a holding company shall provide the Commission notification of holding company status.</w:t>
      </w:r>
    </w:p>
    <w:p w14:paraId="40F80FEA" w14:textId="77777777" w:rsidR="00A13DD4" w:rsidRPr="002C0D1E" w:rsidRDefault="00A13DD4" w:rsidP="00A13DD4">
      <w:pPr>
        <w:spacing w:line="480" w:lineRule="auto"/>
        <w:ind w:firstLine="720"/>
        <w:rPr>
          <w:rFonts w:ascii="Times New Roman" w:eastAsia="Calibri" w:hAnsi="Times New Roman" w:cs="Times New Roman"/>
          <w:sz w:val="26"/>
          <w:szCs w:val="26"/>
        </w:rPr>
      </w:pPr>
      <w:r w:rsidRPr="002C0D1E">
        <w:rPr>
          <w:rFonts w:ascii="Times New Roman" w:eastAsia="Calibri" w:hAnsi="Times New Roman" w:cs="Times New Roman"/>
          <w:sz w:val="26"/>
          <w:szCs w:val="26"/>
        </w:rPr>
        <w:t>The FERC-65 is a one-time informational filing outlined in the Commission’s regulations at 18 Code of Federal Regulations (CFR) 366.4. The FERC-65 must be submitted within 30 days of becoming a holding company</w:t>
      </w:r>
      <w:r w:rsidRPr="002C0D1E">
        <w:rPr>
          <w:rFonts w:ascii="Times New Roman" w:eastAsia="Calibri" w:hAnsi="Times New Roman" w:cs="Times New Roman"/>
          <w:b/>
          <w:sz w:val="26"/>
          <w:szCs w:val="26"/>
          <w:vertAlign w:val="superscript"/>
        </w:rPr>
        <w:footnoteReference w:id="1"/>
      </w:r>
      <w:r w:rsidRPr="002C0D1E">
        <w:rPr>
          <w:rFonts w:ascii="Times New Roman" w:eastAsia="Calibri" w:hAnsi="Times New Roman" w:cs="Times New Roman"/>
          <w:sz w:val="26"/>
          <w:szCs w:val="26"/>
        </w:rPr>
        <w:t xml:space="preserve">.  While the Commission does not require the information to be reported in a specific format, the filing needs to consist of the name of the holding company, the name of public utilities, the name of natural gas companies in the holding company system, and the names of service companies.  In addition, the Commission requires the filing to include the names of special-purpose subsidiaries (which provide non-power goods and services) and the names of all affiliates and subsidiaries (and their corporate interrelationship) to each other.  Filings may be submitted in hardcopy or electronically through the Commission’s eFiling system. </w:t>
      </w:r>
    </w:p>
    <w:p w14:paraId="40F80FEB" w14:textId="77777777" w:rsidR="00A13DD4" w:rsidRPr="002C0D1E" w:rsidRDefault="00A13DD4" w:rsidP="00A13DD4">
      <w:pPr>
        <w:spacing w:line="480" w:lineRule="auto"/>
        <w:rPr>
          <w:rFonts w:ascii="Times New Roman" w:eastAsia="Calibri" w:hAnsi="Times New Roman" w:cs="Times New Roman"/>
          <w:b/>
          <w:sz w:val="26"/>
          <w:szCs w:val="26"/>
          <w:u w:val="single"/>
        </w:rPr>
      </w:pPr>
      <w:r w:rsidRPr="002C0D1E">
        <w:rPr>
          <w:rFonts w:ascii="Times New Roman" w:eastAsia="Calibri" w:hAnsi="Times New Roman" w:cs="Times New Roman"/>
          <w:b/>
          <w:sz w:val="26"/>
          <w:szCs w:val="26"/>
          <w:u w:val="single"/>
        </w:rPr>
        <w:t>FERC-65A (Exemption Notification of Holding Company Status)</w:t>
      </w:r>
    </w:p>
    <w:p w14:paraId="40F80FEC" w14:textId="77777777" w:rsidR="00A13DD4" w:rsidRPr="002C0D1E" w:rsidRDefault="00A13DD4" w:rsidP="00A13DD4">
      <w:pPr>
        <w:spacing w:line="480" w:lineRule="auto"/>
        <w:ind w:firstLine="720"/>
        <w:rPr>
          <w:rFonts w:ascii="Times New Roman" w:eastAsia="Calibri" w:hAnsi="Times New Roman" w:cs="Times New Roman"/>
          <w:sz w:val="26"/>
          <w:szCs w:val="26"/>
        </w:rPr>
      </w:pPr>
      <w:r w:rsidRPr="002C0D1E">
        <w:rPr>
          <w:rFonts w:ascii="Times New Roman" w:eastAsia="Calibri" w:hAnsi="Times New Roman" w:cs="Times New Roman"/>
          <w:sz w:val="26"/>
          <w:szCs w:val="26"/>
        </w:rPr>
        <w:t xml:space="preserve">While noting the previously outlined requirements of the FERC-65, the Commission has allowed for an exemption from the requirement of providing the Commission with a FERC-65 if the books, accounts, memoranda, and other records of any person are not relevant to the jurisdictional rates of a public utility or natural gas company; or if any class of transactions is not relevant to the jurisdictional rates of a public utility or natural gas company.  Persons seeking this exemption file the FERC-65A, which must include a form of notice suitable for publication in the Federal Register.  Those who file a FERC-65A in good faith will have a temporary exemption upon filing, after 60 days if the Commission has taken no action, the exemption will be deemed granted.  Commission regulations within 18 CFR 366.3 describe the criteria in more specificity.  </w:t>
      </w:r>
    </w:p>
    <w:p w14:paraId="40F80FED" w14:textId="77777777" w:rsidR="00A13DD4" w:rsidRPr="002C0D1E" w:rsidRDefault="00A13DD4" w:rsidP="00A13DD4">
      <w:pPr>
        <w:numPr>
          <w:ilvl w:val="0"/>
          <w:numId w:val="2"/>
        </w:numPr>
        <w:tabs>
          <w:tab w:val="clear" w:pos="360"/>
        </w:tabs>
        <w:spacing w:before="100" w:beforeAutospacing="1" w:after="100" w:afterAutospacing="1" w:line="480" w:lineRule="auto"/>
        <w:rPr>
          <w:rFonts w:ascii="Times New Roman" w:eastAsia="Times New Roman" w:hAnsi="Times New Roman" w:cs="Times New Roman"/>
          <w:b/>
          <w:color w:val="000000"/>
          <w:sz w:val="26"/>
          <w:szCs w:val="26"/>
          <w:u w:val="single"/>
        </w:rPr>
      </w:pPr>
      <w:r w:rsidRPr="002C0D1E">
        <w:rPr>
          <w:rFonts w:ascii="Times New Roman" w:eastAsia="Times New Roman" w:hAnsi="Times New Roman" w:cs="Times New Roman"/>
          <w:b/>
          <w:color w:val="000000"/>
          <w:sz w:val="26"/>
          <w:szCs w:val="26"/>
          <w:u w:val="single"/>
        </w:rPr>
        <w:t>FERC-65B (Waiver Notification of Holding Company Status)</w:t>
      </w:r>
    </w:p>
    <w:p w14:paraId="40F80FEE" w14:textId="77777777" w:rsidR="00A13DD4" w:rsidRPr="002C0D1E" w:rsidRDefault="00A13DD4" w:rsidP="00A13DD4">
      <w:pPr>
        <w:spacing w:line="480" w:lineRule="auto"/>
        <w:ind w:firstLine="720"/>
        <w:rPr>
          <w:rFonts w:ascii="Times New Roman" w:eastAsia="Calibri" w:hAnsi="Times New Roman" w:cs="Times New Roman"/>
          <w:sz w:val="26"/>
          <w:szCs w:val="26"/>
        </w:rPr>
      </w:pPr>
      <w:r w:rsidRPr="002C0D1E">
        <w:rPr>
          <w:rFonts w:ascii="Times New Roman" w:eastAsia="Calibri" w:hAnsi="Times New Roman" w:cs="Times New Roman"/>
          <w:sz w:val="26"/>
          <w:szCs w:val="26"/>
        </w:rPr>
        <w:t>If an entity meets the requirements in 18 CFR 366.3(c), they may file a FERC-65B waiver notification pursuant to the procedures outlined in 18 CFR 366.4.</w:t>
      </w:r>
      <w:r w:rsidRPr="002C0D1E">
        <w:rPr>
          <w:rFonts w:ascii="Times New Roman" w:eastAsia="Calibri" w:hAnsi="Times New Roman" w:cs="Times New Roman"/>
          <w:i/>
          <w:sz w:val="26"/>
          <w:szCs w:val="26"/>
        </w:rPr>
        <w:t xml:space="preserve"> </w:t>
      </w:r>
      <w:r w:rsidRPr="002C0D1E">
        <w:rPr>
          <w:rFonts w:ascii="Times New Roman" w:eastAsia="Calibri" w:hAnsi="Times New Roman" w:cs="Times New Roman"/>
          <w:bCs/>
          <w:sz w:val="26"/>
          <w:szCs w:val="26"/>
        </w:rPr>
        <w:t>Specifically, t</w:t>
      </w:r>
      <w:r w:rsidRPr="002C0D1E">
        <w:rPr>
          <w:rFonts w:ascii="Times New Roman" w:eastAsia="Calibri" w:hAnsi="Times New Roman" w:cs="Times New Roman"/>
          <w:sz w:val="26"/>
          <w:szCs w:val="26"/>
        </w:rPr>
        <w:t>he Commission waives the requirement of providing it with a FERC-65 for</w:t>
      </w:r>
      <w:r w:rsidRPr="002C0D1E">
        <w:rPr>
          <w:rFonts w:ascii="Times New Roman" w:eastAsia="Calibri" w:hAnsi="Times New Roman" w:cs="Times New Roman"/>
          <w:bCs/>
          <w:sz w:val="26"/>
          <w:szCs w:val="26"/>
        </w:rPr>
        <w:t xml:space="preserve"> a</w:t>
      </w:r>
      <w:r w:rsidRPr="002C0D1E">
        <w:rPr>
          <w:rFonts w:ascii="Times New Roman" w:eastAsia="Calibri" w:hAnsi="Times New Roman" w:cs="Times New Roman"/>
          <w:sz w:val="26"/>
          <w:szCs w:val="26"/>
        </w:rPr>
        <w:t xml:space="preserve">ny holding company with respect to one or more of the following:  </w:t>
      </w:r>
      <w:r w:rsidRPr="002C0D1E">
        <w:rPr>
          <w:rFonts w:ascii="Times New Roman" w:eastAsia="Calibri" w:hAnsi="Times New Roman" w:cs="Times New Roman"/>
          <w:bCs/>
          <w:sz w:val="26"/>
          <w:szCs w:val="26"/>
        </w:rPr>
        <w:t>(1) s</w:t>
      </w:r>
      <w:r w:rsidRPr="002C0D1E">
        <w:rPr>
          <w:rFonts w:ascii="Times New Roman" w:eastAsia="Calibri" w:hAnsi="Times New Roman" w:cs="Times New Roman"/>
          <w:sz w:val="26"/>
          <w:szCs w:val="26"/>
        </w:rPr>
        <w:t xml:space="preserve">ingle-state holding company systems; </w:t>
      </w:r>
      <w:r w:rsidRPr="002C0D1E">
        <w:rPr>
          <w:rFonts w:ascii="Times New Roman" w:eastAsia="Calibri" w:hAnsi="Times New Roman" w:cs="Times New Roman"/>
          <w:bCs/>
          <w:sz w:val="26"/>
          <w:szCs w:val="26"/>
        </w:rPr>
        <w:t>(2)</w:t>
      </w:r>
      <w:r w:rsidRPr="002C0D1E">
        <w:rPr>
          <w:rFonts w:ascii="Times New Roman" w:eastAsia="Calibri" w:hAnsi="Times New Roman" w:cs="Times New Roman"/>
          <w:b/>
          <w:bCs/>
          <w:sz w:val="26"/>
          <w:szCs w:val="26"/>
        </w:rPr>
        <w:t xml:space="preserve"> </w:t>
      </w:r>
      <w:r w:rsidRPr="002C0D1E">
        <w:rPr>
          <w:rFonts w:ascii="Times New Roman" w:eastAsia="Calibri" w:hAnsi="Times New Roman" w:cs="Times New Roman"/>
          <w:sz w:val="26"/>
          <w:szCs w:val="26"/>
        </w:rPr>
        <w:t xml:space="preserve">holding companies that own generating facilities that total 100 MW or less in size and are used fundamentally for their own load or for sales to affiliated end-users; or </w:t>
      </w:r>
      <w:r w:rsidRPr="002C0D1E">
        <w:rPr>
          <w:rFonts w:ascii="Times New Roman" w:eastAsia="Calibri" w:hAnsi="Times New Roman" w:cs="Times New Roman"/>
          <w:bCs/>
          <w:sz w:val="26"/>
          <w:szCs w:val="26"/>
        </w:rPr>
        <w:t>(3)</w:t>
      </w:r>
      <w:r w:rsidRPr="002C0D1E">
        <w:rPr>
          <w:rFonts w:ascii="Times New Roman" w:eastAsia="Calibri" w:hAnsi="Times New Roman" w:cs="Times New Roman"/>
          <w:b/>
          <w:bCs/>
          <w:sz w:val="26"/>
          <w:szCs w:val="26"/>
        </w:rPr>
        <w:t xml:space="preserve"> </w:t>
      </w:r>
      <w:r w:rsidRPr="002C0D1E">
        <w:rPr>
          <w:rFonts w:ascii="Times New Roman" w:eastAsia="Calibri" w:hAnsi="Times New Roman" w:cs="Times New Roman"/>
          <w:sz w:val="26"/>
          <w:szCs w:val="26"/>
        </w:rPr>
        <w:t>investors in independent transmission-only companies.  Filings may be made in §§§hardcopy or electronically through the Commission’s website.</w:t>
      </w:r>
    </w:p>
    <w:p w14:paraId="40F80FEF" w14:textId="77777777" w:rsidR="00A13DD4" w:rsidRPr="002C0D1E" w:rsidRDefault="00A13DD4" w:rsidP="00A13DD4">
      <w:pPr>
        <w:spacing w:line="480" w:lineRule="auto"/>
        <w:rPr>
          <w:rFonts w:ascii="Times New Roman" w:eastAsia="Calibri" w:hAnsi="Times New Roman" w:cs="Times New Roman"/>
          <w:sz w:val="26"/>
          <w:szCs w:val="26"/>
        </w:rPr>
      </w:pPr>
      <w:r w:rsidRPr="002C0D1E">
        <w:rPr>
          <w:rFonts w:ascii="Times New Roman" w:eastAsia="Calibri" w:hAnsi="Times New Roman" w:cs="Times New Roman"/>
          <w:i/>
          <w:sz w:val="26"/>
          <w:szCs w:val="26"/>
        </w:rPr>
        <w:t>Type of Respondent:</w:t>
      </w:r>
      <w:r w:rsidRPr="002C0D1E">
        <w:rPr>
          <w:rFonts w:ascii="Times New Roman" w:eastAsia="Calibri" w:hAnsi="Times New Roman" w:cs="Times New Roman"/>
          <w:sz w:val="26"/>
          <w:szCs w:val="26"/>
        </w:rPr>
        <w:t xml:space="preserve"> Public utility companies, natural gas companies, electric wholesale generators, foreign utility holding companies.</w:t>
      </w:r>
    </w:p>
    <w:p w14:paraId="40F80FF0" w14:textId="77777777" w:rsidR="00A13DD4" w:rsidRPr="002C0D1E" w:rsidRDefault="00A13DD4" w:rsidP="00A13DD4">
      <w:pPr>
        <w:spacing w:line="480" w:lineRule="auto"/>
        <w:rPr>
          <w:rFonts w:ascii="Times New Roman" w:eastAsia="Calibri" w:hAnsi="Times New Roman" w:cs="Times New Roman"/>
          <w:sz w:val="26"/>
          <w:szCs w:val="26"/>
        </w:rPr>
      </w:pPr>
      <w:r w:rsidRPr="002C0D1E">
        <w:rPr>
          <w:rFonts w:ascii="Times New Roman" w:eastAsia="Calibri" w:hAnsi="Times New Roman" w:cs="Times New Roman"/>
          <w:i/>
          <w:sz w:val="26"/>
          <w:szCs w:val="26"/>
        </w:rPr>
        <w:t>Estimate of Annual Burden</w:t>
      </w:r>
      <w:r w:rsidRPr="002C0D1E">
        <w:rPr>
          <w:rFonts w:ascii="Times New Roman" w:eastAsia="Calibri" w:hAnsi="Times New Roman" w:cs="Times New Roman"/>
          <w:b/>
          <w:i/>
          <w:sz w:val="26"/>
          <w:szCs w:val="26"/>
          <w:vertAlign w:val="superscript"/>
        </w:rPr>
        <w:footnoteReference w:id="2"/>
      </w:r>
      <w:r w:rsidRPr="002C0D1E">
        <w:rPr>
          <w:rFonts w:ascii="Times New Roman" w:eastAsia="Calibri" w:hAnsi="Times New Roman" w:cs="Times New Roman"/>
          <w:i/>
          <w:sz w:val="26"/>
          <w:szCs w:val="26"/>
        </w:rPr>
        <w:t xml:space="preserve">: </w:t>
      </w:r>
      <w:r w:rsidRPr="002C0D1E">
        <w:rPr>
          <w:rFonts w:ascii="Times New Roman" w:eastAsia="Calibri" w:hAnsi="Times New Roman" w:cs="Times New Roman"/>
          <w:sz w:val="26"/>
          <w:szCs w:val="26"/>
        </w:rPr>
        <w:t>The Commission estimates the annual public reporting burden for the information collection as:</w:t>
      </w:r>
    </w:p>
    <w:tbl>
      <w:tblPr>
        <w:tblW w:w="535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531"/>
        <w:gridCol w:w="1531"/>
        <w:gridCol w:w="1443"/>
        <w:gridCol w:w="1342"/>
        <w:gridCol w:w="1348"/>
        <w:gridCol w:w="1264"/>
      </w:tblGrid>
      <w:tr w:rsidR="00A13DD4" w:rsidRPr="002C0D1E" w14:paraId="40F80FF4" w14:textId="77777777" w:rsidTr="00313FC9">
        <w:trPr>
          <w:cantSplit/>
        </w:trPr>
        <w:tc>
          <w:tcPr>
            <w:tcW w:w="5000" w:type="pct"/>
            <w:gridSpan w:val="7"/>
            <w:tcBorders>
              <w:bottom w:val="single" w:sz="4" w:space="0" w:color="auto"/>
            </w:tcBorders>
            <w:shd w:val="clear" w:color="auto" w:fill="D9D9D9"/>
          </w:tcPr>
          <w:p w14:paraId="40F80FF1"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FERC-65 (Notification of Holding Company Status),</w:t>
            </w:r>
          </w:p>
          <w:p w14:paraId="40F80FF2"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 xml:space="preserve">FERC-65A (Exemption Notification of Holding Company Status), and </w:t>
            </w:r>
          </w:p>
          <w:p w14:paraId="40F80FF3"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FERC-65B (Waiver Notification of Holding Company Status)</w:t>
            </w:r>
          </w:p>
        </w:tc>
      </w:tr>
      <w:tr w:rsidR="00A13DD4" w:rsidRPr="002C0D1E" w14:paraId="40F81001" w14:textId="77777777" w:rsidTr="00313FC9">
        <w:trPr>
          <w:cantSplit/>
        </w:trPr>
        <w:tc>
          <w:tcPr>
            <w:tcW w:w="878" w:type="pct"/>
            <w:shd w:val="clear" w:color="auto" w:fill="D9D9D9"/>
          </w:tcPr>
          <w:p w14:paraId="40F80FF5" w14:textId="77777777" w:rsidR="00A13DD4" w:rsidRPr="002C0D1E" w:rsidRDefault="00A13DD4" w:rsidP="00A13DD4">
            <w:pPr>
              <w:spacing w:after="0" w:line="240" w:lineRule="auto"/>
              <w:jc w:val="center"/>
              <w:rPr>
                <w:rFonts w:ascii="Times New Roman" w:eastAsia="Calibri" w:hAnsi="Times New Roman" w:cs="Times New Roman"/>
                <w:b/>
                <w:sz w:val="26"/>
                <w:szCs w:val="26"/>
              </w:rPr>
            </w:pPr>
          </w:p>
        </w:tc>
        <w:tc>
          <w:tcPr>
            <w:tcW w:w="746" w:type="pct"/>
            <w:shd w:val="clear" w:color="auto" w:fill="D9D9D9"/>
            <w:vAlign w:val="bottom"/>
          </w:tcPr>
          <w:p w14:paraId="40F80FF6"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Number of Respondents</w:t>
            </w:r>
            <w:r w:rsidRPr="002C0D1E">
              <w:rPr>
                <w:rFonts w:ascii="Times New Roman" w:eastAsia="Calibri" w:hAnsi="Times New Roman" w:cs="Times New Roman"/>
                <w:b/>
                <w:sz w:val="26"/>
                <w:szCs w:val="26"/>
              </w:rPr>
              <w:br/>
              <w:t>(1)</w:t>
            </w:r>
          </w:p>
        </w:tc>
        <w:tc>
          <w:tcPr>
            <w:tcW w:w="746" w:type="pct"/>
            <w:shd w:val="clear" w:color="auto" w:fill="D9D9D9"/>
            <w:vAlign w:val="bottom"/>
          </w:tcPr>
          <w:p w14:paraId="40F80FF7"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Annual Number of Responses per Respondent</w:t>
            </w:r>
          </w:p>
          <w:p w14:paraId="40F80FF8"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(2)</w:t>
            </w:r>
          </w:p>
        </w:tc>
        <w:tc>
          <w:tcPr>
            <w:tcW w:w="703" w:type="pct"/>
            <w:shd w:val="clear" w:color="auto" w:fill="D9D9D9"/>
            <w:vAlign w:val="bottom"/>
          </w:tcPr>
          <w:p w14:paraId="40F80FF9"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Total Number of Responses (1)*(2)=(3)</w:t>
            </w:r>
          </w:p>
        </w:tc>
        <w:tc>
          <w:tcPr>
            <w:tcW w:w="654" w:type="pct"/>
            <w:shd w:val="clear" w:color="auto" w:fill="D9D9D9"/>
            <w:vAlign w:val="bottom"/>
          </w:tcPr>
          <w:p w14:paraId="40F80FFA"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Average Burden &amp; Cost Per Response</w:t>
            </w:r>
            <w:bookmarkStart w:id="2" w:name="_Ref408578354"/>
            <w:r w:rsidRPr="002C0D1E">
              <w:rPr>
                <w:rFonts w:ascii="Times New Roman" w:eastAsia="Calibri" w:hAnsi="Times New Roman" w:cs="Times New Roman"/>
                <w:b/>
                <w:sz w:val="26"/>
                <w:szCs w:val="26"/>
                <w:vertAlign w:val="superscript"/>
              </w:rPr>
              <w:footnoteReference w:id="3"/>
            </w:r>
            <w:bookmarkEnd w:id="2"/>
          </w:p>
          <w:p w14:paraId="40F80FFB"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(4)</w:t>
            </w:r>
          </w:p>
        </w:tc>
        <w:tc>
          <w:tcPr>
            <w:tcW w:w="657" w:type="pct"/>
            <w:shd w:val="clear" w:color="auto" w:fill="D9D9D9"/>
            <w:vAlign w:val="bottom"/>
          </w:tcPr>
          <w:p w14:paraId="40F80FFC"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Total Annual Burden Hours &amp; Total Annual Cost</w:t>
            </w:r>
          </w:p>
          <w:p w14:paraId="40F80FFD"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(3)*(4)=(5)</w:t>
            </w:r>
          </w:p>
        </w:tc>
        <w:tc>
          <w:tcPr>
            <w:tcW w:w="616" w:type="pct"/>
            <w:shd w:val="clear" w:color="auto" w:fill="D9D9D9"/>
            <w:vAlign w:val="bottom"/>
          </w:tcPr>
          <w:p w14:paraId="40F80FFE"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Cost per Respondent</w:t>
            </w:r>
          </w:p>
          <w:p w14:paraId="40F80FFF"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 xml:space="preserve"> ($)</w:t>
            </w:r>
          </w:p>
          <w:p w14:paraId="40F81000"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(5)÷(1)</w:t>
            </w:r>
          </w:p>
        </w:tc>
      </w:tr>
      <w:tr w:rsidR="00A13DD4" w:rsidRPr="002C0D1E" w14:paraId="40F8100D" w14:textId="77777777" w:rsidTr="00313FC9">
        <w:trPr>
          <w:cantSplit/>
        </w:trPr>
        <w:tc>
          <w:tcPr>
            <w:tcW w:w="878" w:type="pct"/>
          </w:tcPr>
          <w:p w14:paraId="40F81002" w14:textId="77777777" w:rsidR="00A13DD4" w:rsidRPr="002C0D1E" w:rsidRDefault="00A13DD4" w:rsidP="00A13DD4">
            <w:pPr>
              <w:spacing w:after="0" w:line="240" w:lineRule="auto"/>
              <w:rPr>
                <w:rFonts w:ascii="Times New Roman" w:eastAsia="Calibri" w:hAnsi="Times New Roman" w:cs="Times New Roman"/>
                <w:sz w:val="26"/>
                <w:szCs w:val="26"/>
              </w:rPr>
            </w:pPr>
            <w:r w:rsidRPr="002C0D1E">
              <w:rPr>
                <w:rFonts w:ascii="Times New Roman" w:eastAsia="Calibri" w:hAnsi="Times New Roman" w:cs="Times New Roman"/>
                <w:sz w:val="26"/>
                <w:szCs w:val="26"/>
              </w:rPr>
              <w:t>FERC-65</w:t>
            </w:r>
          </w:p>
        </w:tc>
        <w:tc>
          <w:tcPr>
            <w:tcW w:w="746" w:type="pct"/>
          </w:tcPr>
          <w:p w14:paraId="40F81003"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12</w:t>
            </w:r>
          </w:p>
          <w:p w14:paraId="40F81004"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746" w:type="pct"/>
          </w:tcPr>
          <w:p w14:paraId="40F81005"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w:t>
            </w:r>
          </w:p>
        </w:tc>
        <w:tc>
          <w:tcPr>
            <w:tcW w:w="703" w:type="pct"/>
          </w:tcPr>
          <w:p w14:paraId="40F81006"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12</w:t>
            </w:r>
          </w:p>
        </w:tc>
        <w:tc>
          <w:tcPr>
            <w:tcW w:w="654" w:type="pct"/>
          </w:tcPr>
          <w:p w14:paraId="40F81007"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3</w:t>
            </w:r>
          </w:p>
          <w:p w14:paraId="40F81008"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$229.50</w:t>
            </w:r>
          </w:p>
        </w:tc>
        <w:tc>
          <w:tcPr>
            <w:tcW w:w="657" w:type="pct"/>
          </w:tcPr>
          <w:p w14:paraId="40F81009"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 xml:space="preserve"> 36</w:t>
            </w:r>
          </w:p>
          <w:p w14:paraId="40F8100A"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 xml:space="preserve">$2,754 </w:t>
            </w:r>
          </w:p>
        </w:tc>
        <w:tc>
          <w:tcPr>
            <w:tcW w:w="616" w:type="pct"/>
          </w:tcPr>
          <w:p w14:paraId="40F8100B"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 xml:space="preserve">$229.50 </w:t>
            </w:r>
          </w:p>
          <w:p w14:paraId="40F8100C"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r>
      <w:tr w:rsidR="00A13DD4" w:rsidRPr="002C0D1E" w14:paraId="40F81017" w14:textId="77777777" w:rsidTr="00313FC9">
        <w:trPr>
          <w:cantSplit/>
        </w:trPr>
        <w:tc>
          <w:tcPr>
            <w:tcW w:w="878" w:type="pct"/>
          </w:tcPr>
          <w:p w14:paraId="40F8100E" w14:textId="77777777" w:rsidR="00A13DD4" w:rsidRPr="002C0D1E" w:rsidRDefault="00A13DD4" w:rsidP="00A13DD4">
            <w:pPr>
              <w:spacing w:after="0" w:line="240" w:lineRule="auto"/>
              <w:rPr>
                <w:rFonts w:ascii="Times New Roman" w:eastAsia="Calibri" w:hAnsi="Times New Roman" w:cs="Times New Roman"/>
                <w:sz w:val="26"/>
                <w:szCs w:val="26"/>
              </w:rPr>
            </w:pPr>
            <w:r w:rsidRPr="002C0D1E">
              <w:rPr>
                <w:rFonts w:ascii="Times New Roman" w:eastAsia="Calibri" w:hAnsi="Times New Roman" w:cs="Times New Roman"/>
                <w:sz w:val="26"/>
                <w:szCs w:val="26"/>
              </w:rPr>
              <w:t>FERC-65A</w:t>
            </w:r>
          </w:p>
        </w:tc>
        <w:tc>
          <w:tcPr>
            <w:tcW w:w="746" w:type="pct"/>
          </w:tcPr>
          <w:p w14:paraId="40F8100F"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4</w:t>
            </w:r>
          </w:p>
        </w:tc>
        <w:tc>
          <w:tcPr>
            <w:tcW w:w="746" w:type="pct"/>
          </w:tcPr>
          <w:p w14:paraId="40F81010"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1.25</w:t>
            </w:r>
          </w:p>
        </w:tc>
        <w:tc>
          <w:tcPr>
            <w:tcW w:w="703" w:type="pct"/>
          </w:tcPr>
          <w:p w14:paraId="40F81011"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5</w:t>
            </w:r>
          </w:p>
        </w:tc>
        <w:tc>
          <w:tcPr>
            <w:tcW w:w="654" w:type="pct"/>
          </w:tcPr>
          <w:p w14:paraId="40F81012"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w:t>
            </w:r>
          </w:p>
          <w:p w14:paraId="40F81013"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$76.50</w:t>
            </w:r>
          </w:p>
        </w:tc>
        <w:tc>
          <w:tcPr>
            <w:tcW w:w="657" w:type="pct"/>
          </w:tcPr>
          <w:p w14:paraId="40F81014"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5</w:t>
            </w:r>
          </w:p>
          <w:p w14:paraId="40F81015"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$382.50</w:t>
            </w:r>
          </w:p>
        </w:tc>
        <w:tc>
          <w:tcPr>
            <w:tcW w:w="616" w:type="pct"/>
          </w:tcPr>
          <w:p w14:paraId="40F81016"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$95.63</w:t>
            </w:r>
          </w:p>
        </w:tc>
      </w:tr>
      <w:tr w:rsidR="00A13DD4" w:rsidRPr="002C0D1E" w14:paraId="40F81021" w14:textId="77777777" w:rsidTr="00313FC9">
        <w:trPr>
          <w:cantSplit/>
        </w:trPr>
        <w:tc>
          <w:tcPr>
            <w:tcW w:w="878" w:type="pct"/>
          </w:tcPr>
          <w:p w14:paraId="40F81018" w14:textId="77777777" w:rsidR="00A13DD4" w:rsidRPr="002C0D1E" w:rsidRDefault="00A13DD4" w:rsidP="00A13DD4">
            <w:pPr>
              <w:spacing w:after="0" w:line="240" w:lineRule="auto"/>
              <w:rPr>
                <w:rFonts w:ascii="Times New Roman" w:eastAsia="Calibri" w:hAnsi="Times New Roman" w:cs="Times New Roman"/>
                <w:sz w:val="26"/>
                <w:szCs w:val="26"/>
              </w:rPr>
            </w:pPr>
            <w:r w:rsidRPr="002C0D1E">
              <w:rPr>
                <w:rFonts w:ascii="Times New Roman" w:eastAsia="Calibri" w:hAnsi="Times New Roman" w:cs="Times New Roman"/>
                <w:sz w:val="26"/>
                <w:szCs w:val="26"/>
              </w:rPr>
              <w:t>FERC-65B</w:t>
            </w:r>
          </w:p>
        </w:tc>
        <w:tc>
          <w:tcPr>
            <w:tcW w:w="746" w:type="pct"/>
          </w:tcPr>
          <w:p w14:paraId="40F81019"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4</w:t>
            </w:r>
          </w:p>
        </w:tc>
        <w:tc>
          <w:tcPr>
            <w:tcW w:w="746" w:type="pct"/>
          </w:tcPr>
          <w:p w14:paraId="40F8101A"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1.75</w:t>
            </w:r>
          </w:p>
        </w:tc>
        <w:tc>
          <w:tcPr>
            <w:tcW w:w="703" w:type="pct"/>
          </w:tcPr>
          <w:p w14:paraId="40F8101B"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7</w:t>
            </w:r>
          </w:p>
        </w:tc>
        <w:tc>
          <w:tcPr>
            <w:tcW w:w="654" w:type="pct"/>
          </w:tcPr>
          <w:p w14:paraId="40F8101C"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w:t>
            </w:r>
          </w:p>
          <w:p w14:paraId="40F8101D"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$76.50</w:t>
            </w:r>
          </w:p>
        </w:tc>
        <w:tc>
          <w:tcPr>
            <w:tcW w:w="657" w:type="pct"/>
          </w:tcPr>
          <w:p w14:paraId="40F8101E"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7</w:t>
            </w:r>
          </w:p>
          <w:p w14:paraId="40F8101F"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$535.50</w:t>
            </w:r>
          </w:p>
        </w:tc>
        <w:tc>
          <w:tcPr>
            <w:tcW w:w="616" w:type="pct"/>
          </w:tcPr>
          <w:p w14:paraId="40F81020"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$133.88</w:t>
            </w:r>
          </w:p>
        </w:tc>
      </w:tr>
      <w:tr w:rsidR="00A13DD4" w:rsidRPr="002C0D1E" w14:paraId="40F81029" w14:textId="77777777" w:rsidTr="00313FC9">
        <w:trPr>
          <w:cantSplit/>
          <w:trHeight w:val="395"/>
        </w:trPr>
        <w:tc>
          <w:tcPr>
            <w:tcW w:w="878" w:type="pct"/>
            <w:tcBorders>
              <w:bottom w:val="single" w:sz="4" w:space="0" w:color="auto"/>
            </w:tcBorders>
          </w:tcPr>
          <w:p w14:paraId="40F81022" w14:textId="77777777" w:rsidR="00A13DD4" w:rsidRPr="002C0D1E" w:rsidRDefault="00A13DD4" w:rsidP="00A13DD4">
            <w:pPr>
              <w:spacing w:after="0" w:line="240" w:lineRule="auto"/>
              <w:rPr>
                <w:rFonts w:ascii="Times New Roman" w:eastAsia="Calibri" w:hAnsi="Times New Roman" w:cs="Times New Roman"/>
                <w:b/>
                <w:sz w:val="26"/>
                <w:szCs w:val="26"/>
              </w:rPr>
            </w:pPr>
            <w:r w:rsidRPr="002C0D1E">
              <w:rPr>
                <w:rFonts w:ascii="Times New Roman" w:eastAsia="Calibri" w:hAnsi="Times New Roman" w:cs="Times New Roman"/>
                <w:b/>
                <w:sz w:val="26"/>
                <w:szCs w:val="26"/>
              </w:rPr>
              <w:t>TOTAL</w:t>
            </w:r>
          </w:p>
        </w:tc>
        <w:tc>
          <w:tcPr>
            <w:tcW w:w="1492" w:type="pct"/>
            <w:gridSpan w:val="2"/>
            <w:tcBorders>
              <w:bottom w:val="single" w:sz="4" w:space="0" w:color="auto"/>
            </w:tcBorders>
            <w:shd w:val="clear" w:color="auto" w:fill="D9D9D9"/>
          </w:tcPr>
          <w:p w14:paraId="40F81023"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703" w:type="pct"/>
            <w:tcBorders>
              <w:bottom w:val="single" w:sz="4" w:space="0" w:color="auto"/>
            </w:tcBorders>
            <w:shd w:val="clear" w:color="auto" w:fill="auto"/>
          </w:tcPr>
          <w:p w14:paraId="40F81024" w14:textId="77777777" w:rsidR="00A13DD4" w:rsidRPr="002C0D1E" w:rsidRDefault="00A13DD4" w:rsidP="00A13DD4">
            <w:pPr>
              <w:spacing w:after="0" w:line="240" w:lineRule="auto"/>
              <w:jc w:val="right"/>
              <w:rPr>
                <w:rFonts w:ascii="Times New Roman" w:eastAsia="Calibri" w:hAnsi="Times New Roman" w:cs="Times New Roman"/>
                <w:b/>
                <w:sz w:val="26"/>
                <w:szCs w:val="26"/>
              </w:rPr>
            </w:pPr>
            <w:r w:rsidRPr="002C0D1E">
              <w:rPr>
                <w:rFonts w:ascii="Times New Roman" w:eastAsia="Calibri" w:hAnsi="Times New Roman" w:cs="Times New Roman"/>
                <w:b/>
                <w:sz w:val="26"/>
                <w:szCs w:val="26"/>
              </w:rPr>
              <w:t>24</w:t>
            </w:r>
          </w:p>
        </w:tc>
        <w:tc>
          <w:tcPr>
            <w:tcW w:w="654" w:type="pct"/>
            <w:tcBorders>
              <w:bottom w:val="single" w:sz="4" w:space="0" w:color="auto"/>
            </w:tcBorders>
            <w:shd w:val="clear" w:color="auto" w:fill="D9D9D9"/>
          </w:tcPr>
          <w:p w14:paraId="40F81025"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657" w:type="pct"/>
            <w:tcBorders>
              <w:bottom w:val="single" w:sz="4" w:space="0" w:color="auto"/>
            </w:tcBorders>
          </w:tcPr>
          <w:p w14:paraId="40F81026" w14:textId="77777777" w:rsidR="00A13DD4" w:rsidRPr="002C0D1E" w:rsidRDefault="00A13DD4" w:rsidP="00A13DD4">
            <w:pPr>
              <w:spacing w:after="0" w:line="240" w:lineRule="auto"/>
              <w:jc w:val="right"/>
              <w:rPr>
                <w:rFonts w:ascii="Times New Roman" w:eastAsia="Calibri" w:hAnsi="Times New Roman" w:cs="Times New Roman"/>
                <w:b/>
                <w:sz w:val="26"/>
                <w:szCs w:val="26"/>
              </w:rPr>
            </w:pPr>
            <w:r w:rsidRPr="002C0D1E">
              <w:rPr>
                <w:rFonts w:ascii="Times New Roman" w:eastAsia="Calibri" w:hAnsi="Times New Roman" w:cs="Times New Roman"/>
                <w:b/>
                <w:sz w:val="26"/>
                <w:szCs w:val="26"/>
              </w:rPr>
              <w:t>48</w:t>
            </w:r>
          </w:p>
          <w:p w14:paraId="40F81027" w14:textId="77777777" w:rsidR="00A13DD4" w:rsidRPr="002C0D1E" w:rsidRDefault="00A13DD4" w:rsidP="00A13DD4">
            <w:pPr>
              <w:spacing w:after="0" w:line="240" w:lineRule="auto"/>
              <w:jc w:val="right"/>
              <w:rPr>
                <w:rFonts w:ascii="Times New Roman" w:eastAsia="Calibri" w:hAnsi="Times New Roman" w:cs="Times New Roman"/>
                <w:b/>
                <w:sz w:val="26"/>
                <w:szCs w:val="26"/>
              </w:rPr>
            </w:pPr>
            <w:r w:rsidRPr="002C0D1E">
              <w:rPr>
                <w:rFonts w:ascii="Times New Roman" w:eastAsia="Calibri" w:hAnsi="Times New Roman" w:cs="Times New Roman"/>
                <w:b/>
                <w:sz w:val="26"/>
                <w:szCs w:val="26"/>
              </w:rPr>
              <w:t>$3,672</w:t>
            </w:r>
          </w:p>
        </w:tc>
        <w:tc>
          <w:tcPr>
            <w:tcW w:w="616" w:type="pct"/>
            <w:tcBorders>
              <w:bottom w:val="single" w:sz="4" w:space="0" w:color="auto"/>
            </w:tcBorders>
            <w:shd w:val="clear" w:color="auto" w:fill="D9D9D9"/>
          </w:tcPr>
          <w:p w14:paraId="40F81028" w14:textId="77777777" w:rsidR="00A13DD4" w:rsidRPr="002C0D1E" w:rsidRDefault="00A13DD4" w:rsidP="00A13DD4">
            <w:pPr>
              <w:spacing w:after="0" w:line="240" w:lineRule="auto"/>
              <w:jc w:val="right"/>
              <w:rPr>
                <w:rFonts w:ascii="Times New Roman" w:eastAsia="Calibri" w:hAnsi="Times New Roman" w:cs="Times New Roman"/>
                <w:b/>
                <w:sz w:val="26"/>
                <w:szCs w:val="26"/>
              </w:rPr>
            </w:pPr>
          </w:p>
        </w:tc>
      </w:tr>
    </w:tbl>
    <w:p w14:paraId="40F8102A" w14:textId="77777777" w:rsidR="00A13DD4" w:rsidRPr="002C0D1E" w:rsidRDefault="00A13DD4" w:rsidP="00A13DD4">
      <w:pPr>
        <w:spacing w:after="0" w:line="480" w:lineRule="auto"/>
        <w:rPr>
          <w:rFonts w:ascii="Times New Roman" w:eastAsia="Times New Roman" w:hAnsi="Times New Roman" w:cs="Times New Roman"/>
          <w:i/>
          <w:sz w:val="26"/>
          <w:szCs w:val="26"/>
        </w:rPr>
      </w:pPr>
    </w:p>
    <w:p w14:paraId="40F8102B"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 xml:space="preserve">Title: </w:t>
      </w:r>
      <w:r w:rsidRPr="002C0D1E">
        <w:rPr>
          <w:rFonts w:ascii="Times New Roman" w:eastAsia="Times New Roman" w:hAnsi="Times New Roman" w:cs="Times New Roman"/>
          <w:sz w:val="26"/>
          <w:szCs w:val="26"/>
        </w:rPr>
        <w:t xml:space="preserve">FERC-725V, Mandatory Reliability Standards: COM Reliability Standards </w:t>
      </w:r>
    </w:p>
    <w:p w14:paraId="40F8102C"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OMB Control No.:</w:t>
      </w:r>
      <w:r w:rsidRPr="002C0D1E">
        <w:rPr>
          <w:rFonts w:ascii="Times New Roman" w:eastAsia="Times New Roman" w:hAnsi="Times New Roman" w:cs="Times New Roman"/>
          <w:sz w:val="26"/>
          <w:szCs w:val="26"/>
        </w:rPr>
        <w:t xml:space="preserve"> 1902-0277</w:t>
      </w:r>
    </w:p>
    <w:p w14:paraId="40F8102D"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Type of Request:</w:t>
      </w:r>
      <w:r w:rsidRPr="002C0D1E">
        <w:rPr>
          <w:rFonts w:ascii="Times New Roman" w:eastAsia="Times New Roman" w:hAnsi="Times New Roman" w:cs="Times New Roman"/>
          <w:sz w:val="26"/>
          <w:szCs w:val="26"/>
        </w:rPr>
        <w:t xml:space="preserve"> Three-year extension of the FERC-725V information collection requirements with no changes to the current reporting requirements. </w:t>
      </w:r>
    </w:p>
    <w:p w14:paraId="40F8102E" w14:textId="77777777" w:rsidR="00A13DD4" w:rsidRPr="002C0D1E" w:rsidRDefault="00A13DD4" w:rsidP="00A13D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 xml:space="preserve">Abstract: </w:t>
      </w:r>
      <w:r w:rsidRPr="002C0D1E">
        <w:rPr>
          <w:rFonts w:ascii="Times New Roman" w:eastAsia="Times New Roman" w:hAnsi="Times New Roman" w:cs="Times New Roman"/>
          <w:sz w:val="26"/>
          <w:szCs w:val="26"/>
        </w:rPr>
        <w:t>On August 15, 2016, the North American Electric Reliability Corporation (NERC) filed a petition for Commission approval, pursuant to section 215(d)(1) of the Federal Power Act (“FPA”)</w:t>
      </w:r>
      <w:r w:rsidRPr="002C0D1E">
        <w:rPr>
          <w:rFonts w:ascii="Times New Roman" w:eastAsia="Times New Roman" w:hAnsi="Times New Roman" w:cs="Times New Roman"/>
          <w:b/>
          <w:sz w:val="26"/>
          <w:szCs w:val="26"/>
          <w:vertAlign w:val="superscript"/>
        </w:rPr>
        <w:footnoteReference w:id="4"/>
      </w:r>
      <w:r w:rsidRPr="002C0D1E">
        <w:rPr>
          <w:rFonts w:ascii="Times New Roman" w:eastAsia="Times New Roman" w:hAnsi="Times New Roman" w:cs="Times New Roman"/>
          <w:sz w:val="26"/>
          <w:szCs w:val="26"/>
        </w:rPr>
        <w:t xml:space="preserve"> and Section 39.5</w:t>
      </w:r>
      <w:r w:rsidRPr="002C0D1E">
        <w:rPr>
          <w:rFonts w:ascii="Times New Roman" w:eastAsia="Times New Roman" w:hAnsi="Times New Roman" w:cs="Times New Roman"/>
          <w:b/>
          <w:sz w:val="26"/>
          <w:szCs w:val="26"/>
          <w:vertAlign w:val="superscript"/>
        </w:rPr>
        <w:footnoteReference w:id="5"/>
      </w:r>
      <w:r w:rsidRPr="002C0D1E">
        <w:rPr>
          <w:rFonts w:ascii="Times New Roman" w:eastAsia="Times New Roman" w:hAnsi="Times New Roman" w:cs="Times New Roman"/>
          <w:sz w:val="26"/>
          <w:szCs w:val="26"/>
        </w:rPr>
        <w:t xml:space="preserve"> of the Federal Energy Regulatory Commission’s regulations, for Reliability Standard COM-001-3 (Communications), the associated Implementation Plan, retirement of currently-effective Reliability Standard COM-001-2.1, and Violation Risk Factors (“VRFs”) and Violation Severity Levels (“VSLs”) associated with new Requirements R12 and R13 in Reliability Standard COM-001-3.  Reliability Standard COM-001-3 reflects revisions developed under Project 2015-07 Internal Communications Capabilities, in compliance with the Commission’s directive in Order No. 888 that NERC “develop modifications to COM-001-2, or develop a new standard, to address the Commission’s concerns regarding ensuring the adequacy of internal communications capability whenever internal communications could directly affect the reliability opera.</w:t>
      </w:r>
    </w:p>
    <w:p w14:paraId="40F8102F" w14:textId="77777777" w:rsidR="00A13DD4" w:rsidRPr="002C0D1E" w:rsidRDefault="00A13DD4" w:rsidP="00A13D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sz w:val="26"/>
          <w:szCs w:val="26"/>
        </w:rPr>
        <w:t xml:space="preserve"> </w:t>
      </w:r>
      <w:r w:rsidRPr="002C0D1E">
        <w:rPr>
          <w:rFonts w:ascii="Times New Roman" w:eastAsia="Times New Roman" w:hAnsi="Times New Roman" w:cs="Times New Roman"/>
          <w:color w:val="000000"/>
          <w:sz w:val="26"/>
          <w:szCs w:val="26"/>
        </w:rPr>
        <w:t>Reliability Standards COM-001-2 and COM-002-4 do not require responsible entities to file information with the Commission.  COM-001-2 requires that transmission operators, balancing authorities, reliability coordinators, distribution providers, and generator operators must maintain documentation of Interpersonal Communication capability and designation of Alternate Interpersonal Communication, as well as evidence of testing of the Alternate Interpersonal Communication facilities. COM-002-4 requires balancing authorities, distribution providers, reliability coordinators, transmission operators, and generator operators to develop and maintain documented communication protocols, and to be able to provide evidence of training on the protocols and of their annual assessment of the protocols. Additionally, all applicable entities (balancing authorities, reliability coordinators, transmission operators, generator operators, and distribution providers) must be able to provide evidence of three-part communication when issuing or receiving an Operating Instruction during an Emergency.</w:t>
      </w:r>
    </w:p>
    <w:p w14:paraId="40F81030"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 xml:space="preserve">Type of Respondents: </w:t>
      </w:r>
      <w:r w:rsidRPr="002C0D1E">
        <w:rPr>
          <w:rFonts w:ascii="Times New Roman" w:eastAsia="Times New Roman" w:hAnsi="Times New Roman" w:cs="Times New Roman"/>
          <w:sz w:val="26"/>
          <w:szCs w:val="26"/>
        </w:rPr>
        <w:t>Public utilities.</w:t>
      </w:r>
    </w:p>
    <w:p w14:paraId="40F81031"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Estimate of Annual Burden</w:t>
      </w:r>
      <w:r w:rsidRPr="002C0D1E">
        <w:rPr>
          <w:rFonts w:ascii="Times New Roman" w:eastAsia="Times New Roman" w:hAnsi="Times New Roman" w:cs="Times New Roman"/>
          <w:b/>
          <w:i/>
          <w:sz w:val="26"/>
          <w:szCs w:val="26"/>
          <w:vertAlign w:val="superscript"/>
        </w:rPr>
        <w:footnoteReference w:id="6"/>
      </w:r>
      <w:r w:rsidRPr="002C0D1E">
        <w:rPr>
          <w:rFonts w:ascii="Times New Roman" w:eastAsia="Times New Roman" w:hAnsi="Times New Roman" w:cs="Times New Roman"/>
          <w:i/>
          <w:sz w:val="26"/>
          <w:szCs w:val="26"/>
        </w:rPr>
        <w:t xml:space="preserve">: </w:t>
      </w:r>
      <w:r w:rsidRPr="002C0D1E">
        <w:rPr>
          <w:rFonts w:ascii="Times New Roman" w:eastAsia="Times New Roman" w:hAnsi="Times New Roman" w:cs="Times New Roman"/>
          <w:sz w:val="26"/>
          <w:szCs w:val="26"/>
        </w:rPr>
        <w:t xml:space="preserve">The Commission estimates the annual public reporting burden for the information collection as: </w:t>
      </w:r>
    </w:p>
    <w:tbl>
      <w:tblPr>
        <w:tblW w:w="535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531"/>
        <w:gridCol w:w="1531"/>
        <w:gridCol w:w="1443"/>
        <w:gridCol w:w="1342"/>
        <w:gridCol w:w="1348"/>
        <w:gridCol w:w="1264"/>
      </w:tblGrid>
      <w:tr w:rsidR="00A13DD4" w:rsidRPr="002C0D1E" w14:paraId="40F81033" w14:textId="77777777" w:rsidTr="00313FC9">
        <w:trPr>
          <w:cantSplit/>
        </w:trPr>
        <w:tc>
          <w:tcPr>
            <w:tcW w:w="5000" w:type="pct"/>
            <w:gridSpan w:val="7"/>
            <w:tcBorders>
              <w:bottom w:val="single" w:sz="4" w:space="0" w:color="auto"/>
            </w:tcBorders>
            <w:shd w:val="clear" w:color="auto" w:fill="D9D9D9"/>
          </w:tcPr>
          <w:p w14:paraId="40F81032"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 xml:space="preserve">FERC-725V, </w:t>
            </w:r>
            <w:r w:rsidRPr="002C0D1E">
              <w:rPr>
                <w:rFonts w:ascii="Times New Roman" w:eastAsia="Times New Roman" w:hAnsi="Times New Roman" w:cs="Times New Roman"/>
                <w:b/>
                <w:sz w:val="26"/>
                <w:szCs w:val="26"/>
              </w:rPr>
              <w:t>Mandatory Reliability Standards: COM Reliability Standards</w:t>
            </w:r>
          </w:p>
        </w:tc>
      </w:tr>
      <w:tr w:rsidR="00A13DD4" w:rsidRPr="002C0D1E" w14:paraId="40F81040" w14:textId="77777777" w:rsidTr="00313FC9">
        <w:trPr>
          <w:cantSplit/>
        </w:trPr>
        <w:tc>
          <w:tcPr>
            <w:tcW w:w="878" w:type="pct"/>
            <w:shd w:val="clear" w:color="auto" w:fill="D9D9D9"/>
          </w:tcPr>
          <w:p w14:paraId="40F81034" w14:textId="77777777" w:rsidR="00A13DD4" w:rsidRPr="002C0D1E" w:rsidRDefault="00A13DD4" w:rsidP="00A13DD4">
            <w:pPr>
              <w:spacing w:after="0" w:line="240" w:lineRule="auto"/>
              <w:jc w:val="center"/>
              <w:rPr>
                <w:rFonts w:ascii="Times New Roman" w:eastAsia="Calibri" w:hAnsi="Times New Roman" w:cs="Times New Roman"/>
                <w:b/>
                <w:sz w:val="26"/>
                <w:szCs w:val="26"/>
              </w:rPr>
            </w:pPr>
          </w:p>
        </w:tc>
        <w:tc>
          <w:tcPr>
            <w:tcW w:w="746" w:type="pct"/>
            <w:shd w:val="clear" w:color="auto" w:fill="D9D9D9"/>
            <w:vAlign w:val="bottom"/>
          </w:tcPr>
          <w:p w14:paraId="40F81035" w14:textId="77777777" w:rsidR="00A13DD4" w:rsidRPr="002C0D1E" w:rsidRDefault="00A13DD4" w:rsidP="00A13DD4">
            <w:pPr>
              <w:spacing w:after="0" w:line="240" w:lineRule="auto"/>
              <w:jc w:val="center"/>
              <w:rPr>
                <w:rFonts w:ascii="Times New Roman" w:eastAsia="Calibri" w:hAnsi="Times New Roman" w:cs="Times New Roman"/>
                <w:b/>
                <w:sz w:val="26"/>
                <w:szCs w:val="26"/>
                <w:highlight w:val="yellow"/>
              </w:rPr>
            </w:pPr>
            <w:r w:rsidRPr="002C0D1E">
              <w:rPr>
                <w:rFonts w:ascii="Times New Roman" w:eastAsia="Calibri" w:hAnsi="Times New Roman" w:cs="Times New Roman"/>
                <w:b/>
                <w:sz w:val="26"/>
                <w:szCs w:val="26"/>
              </w:rPr>
              <w:t>Number of Respondents</w:t>
            </w:r>
            <w:r w:rsidRPr="002C0D1E">
              <w:rPr>
                <w:rFonts w:ascii="Times New Roman" w:eastAsia="Calibri" w:hAnsi="Times New Roman" w:cs="Times New Roman"/>
                <w:b/>
                <w:sz w:val="26"/>
                <w:szCs w:val="26"/>
              </w:rPr>
              <w:br/>
              <w:t>(1)</w:t>
            </w:r>
          </w:p>
        </w:tc>
        <w:tc>
          <w:tcPr>
            <w:tcW w:w="746" w:type="pct"/>
            <w:shd w:val="clear" w:color="auto" w:fill="D9D9D9"/>
            <w:vAlign w:val="bottom"/>
          </w:tcPr>
          <w:p w14:paraId="40F81036"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Annual Number of Responses per Respondent</w:t>
            </w:r>
          </w:p>
          <w:p w14:paraId="40F81037" w14:textId="77777777" w:rsidR="00A13DD4" w:rsidRPr="002C0D1E" w:rsidRDefault="00A13DD4" w:rsidP="00A13DD4">
            <w:pPr>
              <w:spacing w:after="0" w:line="240" w:lineRule="auto"/>
              <w:jc w:val="center"/>
              <w:rPr>
                <w:rFonts w:ascii="Times New Roman" w:eastAsia="Calibri" w:hAnsi="Times New Roman" w:cs="Times New Roman"/>
                <w:b/>
                <w:sz w:val="26"/>
                <w:szCs w:val="26"/>
                <w:highlight w:val="yellow"/>
              </w:rPr>
            </w:pPr>
            <w:r w:rsidRPr="002C0D1E">
              <w:rPr>
                <w:rFonts w:ascii="Times New Roman" w:eastAsia="Calibri" w:hAnsi="Times New Roman" w:cs="Times New Roman"/>
                <w:b/>
                <w:sz w:val="26"/>
                <w:szCs w:val="26"/>
              </w:rPr>
              <w:t>(2)</w:t>
            </w:r>
          </w:p>
        </w:tc>
        <w:tc>
          <w:tcPr>
            <w:tcW w:w="703" w:type="pct"/>
            <w:shd w:val="clear" w:color="auto" w:fill="D9D9D9"/>
            <w:vAlign w:val="bottom"/>
          </w:tcPr>
          <w:p w14:paraId="40F81038" w14:textId="77777777" w:rsidR="00A13DD4" w:rsidRPr="002C0D1E" w:rsidRDefault="00A13DD4" w:rsidP="00A13DD4">
            <w:pPr>
              <w:spacing w:after="0" w:line="240" w:lineRule="auto"/>
              <w:jc w:val="center"/>
              <w:rPr>
                <w:rFonts w:ascii="Times New Roman" w:eastAsia="Calibri" w:hAnsi="Times New Roman" w:cs="Times New Roman"/>
                <w:b/>
                <w:sz w:val="26"/>
                <w:szCs w:val="26"/>
                <w:highlight w:val="yellow"/>
              </w:rPr>
            </w:pPr>
            <w:r w:rsidRPr="002C0D1E">
              <w:rPr>
                <w:rFonts w:ascii="Times New Roman" w:eastAsia="Calibri" w:hAnsi="Times New Roman" w:cs="Times New Roman"/>
                <w:b/>
                <w:sz w:val="26"/>
                <w:szCs w:val="26"/>
              </w:rPr>
              <w:t>Total Number of Responses (1)*(2)=(3)</w:t>
            </w:r>
          </w:p>
        </w:tc>
        <w:tc>
          <w:tcPr>
            <w:tcW w:w="654" w:type="pct"/>
            <w:shd w:val="clear" w:color="auto" w:fill="D9D9D9"/>
            <w:vAlign w:val="bottom"/>
          </w:tcPr>
          <w:p w14:paraId="40F81039"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Average Burden &amp; Cost Per Response</w:t>
            </w:r>
            <w:r w:rsidRPr="002C0D1E">
              <w:rPr>
                <w:rFonts w:ascii="Times New Roman" w:eastAsia="Calibri" w:hAnsi="Times New Roman" w:cs="Times New Roman"/>
                <w:b/>
                <w:sz w:val="26"/>
                <w:szCs w:val="26"/>
                <w:vertAlign w:val="superscript"/>
              </w:rPr>
              <w:footnoteReference w:id="7"/>
            </w:r>
          </w:p>
          <w:p w14:paraId="40F8103A" w14:textId="77777777" w:rsidR="00A13DD4" w:rsidRPr="002C0D1E" w:rsidRDefault="00A13DD4" w:rsidP="00A13DD4">
            <w:pPr>
              <w:spacing w:after="0" w:line="240" w:lineRule="auto"/>
              <w:jc w:val="center"/>
              <w:rPr>
                <w:rFonts w:ascii="Times New Roman" w:eastAsia="Calibri" w:hAnsi="Times New Roman" w:cs="Times New Roman"/>
                <w:b/>
                <w:sz w:val="26"/>
                <w:szCs w:val="26"/>
                <w:highlight w:val="yellow"/>
              </w:rPr>
            </w:pPr>
            <w:r w:rsidRPr="002C0D1E">
              <w:rPr>
                <w:rFonts w:ascii="Times New Roman" w:eastAsia="Calibri" w:hAnsi="Times New Roman" w:cs="Times New Roman"/>
                <w:b/>
                <w:sz w:val="26"/>
                <w:szCs w:val="26"/>
              </w:rPr>
              <w:t>(4)</w:t>
            </w:r>
          </w:p>
        </w:tc>
        <w:tc>
          <w:tcPr>
            <w:tcW w:w="657" w:type="pct"/>
            <w:shd w:val="clear" w:color="auto" w:fill="D9D9D9"/>
            <w:vAlign w:val="bottom"/>
          </w:tcPr>
          <w:p w14:paraId="40F8103B"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Total Annual Burden Hours &amp; Total Annual Cost</w:t>
            </w:r>
          </w:p>
          <w:p w14:paraId="40F8103C" w14:textId="77777777" w:rsidR="00A13DD4" w:rsidRPr="002C0D1E" w:rsidRDefault="00A13DD4" w:rsidP="00A13DD4">
            <w:pPr>
              <w:spacing w:after="0" w:line="240" w:lineRule="auto"/>
              <w:jc w:val="center"/>
              <w:rPr>
                <w:rFonts w:ascii="Times New Roman" w:eastAsia="Calibri" w:hAnsi="Times New Roman" w:cs="Times New Roman"/>
                <w:b/>
                <w:sz w:val="26"/>
                <w:szCs w:val="26"/>
                <w:highlight w:val="yellow"/>
              </w:rPr>
            </w:pPr>
            <w:r w:rsidRPr="002C0D1E">
              <w:rPr>
                <w:rFonts w:ascii="Times New Roman" w:eastAsia="Calibri" w:hAnsi="Times New Roman" w:cs="Times New Roman"/>
                <w:b/>
                <w:sz w:val="26"/>
                <w:szCs w:val="26"/>
              </w:rPr>
              <w:t>(3)*(4)=(5)</w:t>
            </w:r>
          </w:p>
        </w:tc>
        <w:tc>
          <w:tcPr>
            <w:tcW w:w="616" w:type="pct"/>
            <w:shd w:val="clear" w:color="auto" w:fill="D9D9D9"/>
            <w:vAlign w:val="bottom"/>
          </w:tcPr>
          <w:p w14:paraId="40F8103D"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Cost per Respondent</w:t>
            </w:r>
          </w:p>
          <w:p w14:paraId="40F8103E" w14:textId="77777777" w:rsidR="00A13DD4" w:rsidRPr="002C0D1E" w:rsidRDefault="00A13DD4" w:rsidP="00A13DD4">
            <w:pPr>
              <w:spacing w:after="0" w:line="240" w:lineRule="auto"/>
              <w:jc w:val="center"/>
              <w:rPr>
                <w:rFonts w:ascii="Times New Roman" w:eastAsia="Calibri" w:hAnsi="Times New Roman" w:cs="Times New Roman"/>
                <w:b/>
                <w:sz w:val="26"/>
                <w:szCs w:val="26"/>
              </w:rPr>
            </w:pPr>
            <w:r w:rsidRPr="002C0D1E">
              <w:rPr>
                <w:rFonts w:ascii="Times New Roman" w:eastAsia="Calibri" w:hAnsi="Times New Roman" w:cs="Times New Roman"/>
                <w:b/>
                <w:sz w:val="26"/>
                <w:szCs w:val="26"/>
              </w:rPr>
              <w:t xml:space="preserve"> ($)</w:t>
            </w:r>
          </w:p>
          <w:p w14:paraId="40F8103F" w14:textId="77777777" w:rsidR="00A13DD4" w:rsidRPr="002C0D1E" w:rsidRDefault="00A13DD4" w:rsidP="00A13DD4">
            <w:pPr>
              <w:spacing w:after="0" w:line="240" w:lineRule="auto"/>
              <w:jc w:val="center"/>
              <w:rPr>
                <w:rFonts w:ascii="Times New Roman" w:eastAsia="Calibri" w:hAnsi="Times New Roman" w:cs="Times New Roman"/>
                <w:b/>
                <w:sz w:val="26"/>
                <w:szCs w:val="26"/>
                <w:highlight w:val="yellow"/>
              </w:rPr>
            </w:pPr>
            <w:r w:rsidRPr="002C0D1E">
              <w:rPr>
                <w:rFonts w:ascii="Times New Roman" w:eastAsia="Calibri" w:hAnsi="Times New Roman" w:cs="Times New Roman"/>
                <w:b/>
                <w:sz w:val="26"/>
                <w:szCs w:val="26"/>
              </w:rPr>
              <w:t>(5)÷(1)</w:t>
            </w:r>
          </w:p>
        </w:tc>
      </w:tr>
      <w:tr w:rsidR="00A13DD4" w:rsidRPr="002C0D1E" w14:paraId="40F8106B" w14:textId="77777777" w:rsidTr="00313FC9">
        <w:trPr>
          <w:cantSplit/>
        </w:trPr>
        <w:tc>
          <w:tcPr>
            <w:tcW w:w="878" w:type="pct"/>
          </w:tcPr>
          <w:p w14:paraId="40F81041" w14:textId="77777777" w:rsidR="00A13DD4" w:rsidRPr="002C0D1E" w:rsidRDefault="00A13DD4" w:rsidP="00A13DD4">
            <w:pPr>
              <w:spacing w:after="0" w:line="240" w:lineRule="auto"/>
              <w:rPr>
                <w:rFonts w:ascii="Times New Roman" w:eastAsia="Calibri" w:hAnsi="Times New Roman" w:cs="Times New Roman"/>
                <w:sz w:val="26"/>
                <w:szCs w:val="26"/>
              </w:rPr>
            </w:pPr>
            <w:r w:rsidRPr="002C0D1E">
              <w:rPr>
                <w:rFonts w:ascii="Times New Roman" w:eastAsia="Calibri" w:hAnsi="Times New Roman" w:cs="Times New Roman"/>
                <w:sz w:val="26"/>
                <w:szCs w:val="26"/>
              </w:rPr>
              <w:t>(One-time)</w:t>
            </w:r>
            <w:r w:rsidRPr="002C0D1E">
              <w:rPr>
                <w:rFonts w:ascii="Times New Roman" w:eastAsia="Calibri" w:hAnsi="Times New Roman" w:cs="Times New Roman"/>
                <w:sz w:val="26"/>
                <w:szCs w:val="26"/>
                <w:vertAlign w:val="superscript"/>
              </w:rPr>
              <w:t xml:space="preserve">8 </w:t>
            </w:r>
            <w:r w:rsidRPr="002C0D1E">
              <w:rPr>
                <w:rFonts w:ascii="Times New Roman" w:eastAsia="Calibri" w:hAnsi="Times New Roman" w:cs="Times New Roman"/>
                <w:sz w:val="26"/>
                <w:szCs w:val="26"/>
              </w:rPr>
              <w:t>Development of Communication Protocols [COM-002-4 R1]</w:t>
            </w:r>
          </w:p>
        </w:tc>
        <w:tc>
          <w:tcPr>
            <w:tcW w:w="746" w:type="pct"/>
            <w:vAlign w:val="bottom"/>
          </w:tcPr>
          <w:p w14:paraId="40F8104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6"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201</w:t>
            </w:r>
          </w:p>
          <w:p w14:paraId="40F81047"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(BA, RC &amp; TOP)</w:t>
            </w:r>
          </w:p>
        </w:tc>
        <w:tc>
          <w:tcPr>
            <w:tcW w:w="746" w:type="pct"/>
            <w:vAlign w:val="bottom"/>
          </w:tcPr>
          <w:p w14:paraId="40F8104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4E"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w:t>
            </w:r>
          </w:p>
        </w:tc>
        <w:tc>
          <w:tcPr>
            <w:tcW w:w="703" w:type="pct"/>
            <w:vAlign w:val="bottom"/>
          </w:tcPr>
          <w:p w14:paraId="40F8104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5"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201</w:t>
            </w:r>
          </w:p>
        </w:tc>
        <w:tc>
          <w:tcPr>
            <w:tcW w:w="654" w:type="pct"/>
            <w:vAlign w:val="bottom"/>
          </w:tcPr>
          <w:p w14:paraId="40F8105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C"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8 hrs. &amp; $288</w:t>
            </w:r>
          </w:p>
        </w:tc>
        <w:tc>
          <w:tcPr>
            <w:tcW w:w="657" w:type="pct"/>
            <w:vAlign w:val="bottom"/>
          </w:tcPr>
          <w:p w14:paraId="40F8105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5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3"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1,608 hrs. &amp; $57,888</w:t>
            </w:r>
          </w:p>
        </w:tc>
        <w:tc>
          <w:tcPr>
            <w:tcW w:w="616" w:type="pct"/>
            <w:vAlign w:val="bottom"/>
          </w:tcPr>
          <w:p w14:paraId="40F8106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A"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$288</w:t>
            </w:r>
          </w:p>
        </w:tc>
      </w:tr>
      <w:tr w:rsidR="00A13DD4" w:rsidRPr="002C0D1E" w14:paraId="40F810A7" w14:textId="77777777" w:rsidTr="00A13DD4">
        <w:trPr>
          <w:cantSplit/>
          <w:trHeight w:val="2177"/>
        </w:trPr>
        <w:tc>
          <w:tcPr>
            <w:tcW w:w="878" w:type="pct"/>
          </w:tcPr>
          <w:p w14:paraId="40F8106C" w14:textId="77777777" w:rsidR="00A13DD4" w:rsidRPr="002C0D1E" w:rsidRDefault="00A13DD4" w:rsidP="00A13DD4">
            <w:pPr>
              <w:spacing w:after="0" w:line="240" w:lineRule="auto"/>
              <w:rPr>
                <w:rFonts w:ascii="Times New Roman" w:eastAsia="Calibri" w:hAnsi="Times New Roman" w:cs="Times New Roman"/>
                <w:sz w:val="26"/>
                <w:szCs w:val="26"/>
              </w:rPr>
            </w:pPr>
            <w:r w:rsidRPr="002C0D1E">
              <w:rPr>
                <w:rFonts w:ascii="Times New Roman" w:eastAsia="Times New Roman" w:hAnsi="Times New Roman" w:cs="Times New Roman"/>
                <w:sz w:val="26"/>
                <w:szCs w:val="26"/>
              </w:rPr>
              <w:t>(On-going)</w:t>
            </w:r>
            <w:r w:rsidRPr="002C0D1E">
              <w:rPr>
                <w:rFonts w:ascii="Times New Roman" w:eastAsia="Times New Roman" w:hAnsi="Times New Roman" w:cs="Times New Roman"/>
                <w:sz w:val="26"/>
                <w:szCs w:val="26"/>
                <w:vertAlign w:val="superscript"/>
              </w:rPr>
              <w:t>9</w:t>
            </w:r>
            <w:r w:rsidRPr="002C0D1E">
              <w:rPr>
                <w:rFonts w:ascii="Times New Roman" w:eastAsia="Times New Roman" w:hAnsi="Times New Roman" w:cs="Times New Roman"/>
                <w:sz w:val="26"/>
                <w:szCs w:val="26"/>
              </w:rPr>
              <w:t xml:space="preserve"> Maintain evidence of Interpersonal Communication capability [COM-001-2 R7 and R8]</w:t>
            </w:r>
            <w:r w:rsidRPr="002C0D1E">
              <w:rPr>
                <w:rFonts w:ascii="Times New Roman" w:eastAsia="Calibri" w:hAnsi="Times New Roman" w:cs="Times New Roman"/>
                <w:sz w:val="26"/>
                <w:szCs w:val="26"/>
              </w:rPr>
              <w:t xml:space="preserve"> </w:t>
            </w:r>
          </w:p>
        </w:tc>
        <w:tc>
          <w:tcPr>
            <w:tcW w:w="746" w:type="pct"/>
            <w:vAlign w:val="bottom"/>
          </w:tcPr>
          <w:p w14:paraId="40F8106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6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5"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 xml:space="preserve">1,180 </w:t>
            </w:r>
          </w:p>
          <w:p w14:paraId="40F81076"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(DP &amp; GOP)</w:t>
            </w:r>
          </w:p>
        </w:tc>
        <w:tc>
          <w:tcPr>
            <w:tcW w:w="746" w:type="pct"/>
            <w:vAlign w:val="bottom"/>
          </w:tcPr>
          <w:p w14:paraId="40F8107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7F"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w:t>
            </w:r>
          </w:p>
        </w:tc>
        <w:tc>
          <w:tcPr>
            <w:tcW w:w="703" w:type="pct"/>
            <w:vAlign w:val="bottom"/>
          </w:tcPr>
          <w:p w14:paraId="40F8108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8"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1,180</w:t>
            </w:r>
          </w:p>
        </w:tc>
        <w:tc>
          <w:tcPr>
            <w:tcW w:w="654" w:type="pct"/>
            <w:vAlign w:val="bottom"/>
          </w:tcPr>
          <w:p w14:paraId="40F8108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8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1"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4 hrs. &amp;</w:t>
            </w:r>
          </w:p>
          <w:p w14:paraId="40F81092"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 xml:space="preserve">$144 </w:t>
            </w:r>
          </w:p>
        </w:tc>
        <w:tc>
          <w:tcPr>
            <w:tcW w:w="657" w:type="pct"/>
            <w:vAlign w:val="bottom"/>
          </w:tcPr>
          <w:p w14:paraId="40F8109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B"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4,720 hrs. &amp;</w:t>
            </w:r>
          </w:p>
          <w:p w14:paraId="40F8109C"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 xml:space="preserve">$169,920 </w:t>
            </w:r>
          </w:p>
        </w:tc>
        <w:tc>
          <w:tcPr>
            <w:tcW w:w="616" w:type="pct"/>
            <w:vAlign w:val="bottom"/>
          </w:tcPr>
          <w:p w14:paraId="40F8109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9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6"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$144</w:t>
            </w:r>
          </w:p>
        </w:tc>
      </w:tr>
      <w:tr w:rsidR="00A13DD4" w:rsidRPr="002C0D1E" w14:paraId="40F810DF" w14:textId="77777777" w:rsidTr="00313FC9">
        <w:trPr>
          <w:cantSplit/>
        </w:trPr>
        <w:tc>
          <w:tcPr>
            <w:tcW w:w="878" w:type="pct"/>
          </w:tcPr>
          <w:p w14:paraId="40F810A8" w14:textId="77777777" w:rsidR="00A13DD4" w:rsidRPr="002C0D1E" w:rsidRDefault="00A13DD4" w:rsidP="00A13DD4">
            <w:pPr>
              <w:spacing w:after="0" w:line="240" w:lineRule="auto"/>
              <w:rPr>
                <w:rFonts w:ascii="Times New Roman" w:eastAsia="Calibri" w:hAnsi="Times New Roman" w:cs="Times New Roman"/>
                <w:sz w:val="26"/>
                <w:szCs w:val="26"/>
              </w:rPr>
            </w:pPr>
            <w:r w:rsidRPr="002C0D1E">
              <w:rPr>
                <w:rFonts w:ascii="Times New Roman" w:eastAsia="Calibri" w:hAnsi="Times New Roman" w:cs="Times New Roman"/>
                <w:sz w:val="26"/>
                <w:szCs w:val="26"/>
              </w:rPr>
              <w:t>(On-going) Maintain evidence of training and assessments [COM-002-4 R2, R4, R5 and R6]</w:t>
            </w:r>
          </w:p>
        </w:tc>
        <w:tc>
          <w:tcPr>
            <w:tcW w:w="746" w:type="pct"/>
            <w:vAlign w:val="bottom"/>
          </w:tcPr>
          <w:p w14:paraId="40F810A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A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0"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201</w:t>
            </w:r>
          </w:p>
          <w:p w14:paraId="40F810B1"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(BA, RC &amp; TOP)</w:t>
            </w:r>
          </w:p>
        </w:tc>
        <w:tc>
          <w:tcPr>
            <w:tcW w:w="746" w:type="pct"/>
            <w:vAlign w:val="bottom"/>
          </w:tcPr>
          <w:p w14:paraId="40F810B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9"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w:t>
            </w:r>
          </w:p>
          <w:p w14:paraId="40F810BA"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703" w:type="pct"/>
            <w:vAlign w:val="bottom"/>
          </w:tcPr>
          <w:p w14:paraId="40F810B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B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2"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201</w:t>
            </w:r>
          </w:p>
        </w:tc>
        <w:tc>
          <w:tcPr>
            <w:tcW w:w="654" w:type="pct"/>
            <w:vAlign w:val="bottom"/>
          </w:tcPr>
          <w:p w14:paraId="40F810C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A"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8 hrs. &amp;</w:t>
            </w:r>
          </w:p>
          <w:p w14:paraId="40F810CB"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$288</w:t>
            </w:r>
          </w:p>
        </w:tc>
        <w:tc>
          <w:tcPr>
            <w:tcW w:w="657" w:type="pct"/>
            <w:vAlign w:val="bottom"/>
          </w:tcPr>
          <w:p w14:paraId="40F810C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C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3"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1,608 hrs. &amp;</w:t>
            </w:r>
          </w:p>
          <w:p w14:paraId="40F810D4"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$57,888</w:t>
            </w:r>
          </w:p>
          <w:p w14:paraId="40F810D5"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616" w:type="pct"/>
            <w:vAlign w:val="bottom"/>
          </w:tcPr>
          <w:p w14:paraId="40F810D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DE"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$288</w:t>
            </w:r>
          </w:p>
        </w:tc>
      </w:tr>
      <w:tr w:rsidR="00A13DD4" w:rsidRPr="002C0D1E" w14:paraId="40F81103" w14:textId="77777777" w:rsidTr="00313FC9">
        <w:trPr>
          <w:cantSplit/>
        </w:trPr>
        <w:tc>
          <w:tcPr>
            <w:tcW w:w="878" w:type="pct"/>
          </w:tcPr>
          <w:p w14:paraId="40F810E0" w14:textId="77777777" w:rsidR="00A13DD4" w:rsidRPr="002C0D1E" w:rsidRDefault="00A13DD4" w:rsidP="00A13DD4">
            <w:pPr>
              <w:spacing w:after="0" w:line="240" w:lineRule="auto"/>
              <w:rPr>
                <w:rFonts w:ascii="Times New Roman" w:eastAsia="Calibri" w:hAnsi="Times New Roman" w:cs="Times New Roman"/>
                <w:sz w:val="26"/>
                <w:szCs w:val="26"/>
              </w:rPr>
            </w:pPr>
            <w:r w:rsidRPr="002C0D1E">
              <w:rPr>
                <w:rFonts w:ascii="Times New Roman" w:eastAsia="Calibri" w:hAnsi="Times New Roman" w:cs="Times New Roman"/>
                <w:sz w:val="26"/>
                <w:szCs w:val="26"/>
              </w:rPr>
              <w:t>(On-going) Maintain evidence of training [COM-002-4 R3 and R6]</w:t>
            </w:r>
          </w:p>
        </w:tc>
        <w:tc>
          <w:tcPr>
            <w:tcW w:w="746" w:type="pct"/>
            <w:vAlign w:val="bottom"/>
          </w:tcPr>
          <w:p w14:paraId="40F810E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4"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6"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1,880</w:t>
            </w:r>
          </w:p>
          <w:p w14:paraId="40F810E7"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(DP &amp; GOP)</w:t>
            </w:r>
          </w:p>
        </w:tc>
        <w:tc>
          <w:tcPr>
            <w:tcW w:w="746" w:type="pct"/>
            <w:vAlign w:val="bottom"/>
          </w:tcPr>
          <w:p w14:paraId="40F810E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A"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B"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ED"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w:t>
            </w:r>
          </w:p>
          <w:p w14:paraId="40F810EE"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703" w:type="pct"/>
            <w:vAlign w:val="bottom"/>
          </w:tcPr>
          <w:p w14:paraId="40F810E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1"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2"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3"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4"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1,180</w:t>
            </w:r>
          </w:p>
        </w:tc>
        <w:tc>
          <w:tcPr>
            <w:tcW w:w="654" w:type="pct"/>
            <w:vAlign w:val="bottom"/>
          </w:tcPr>
          <w:p w14:paraId="40F810F5"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6"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7"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8"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9"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A"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8 hrs. &amp;</w:t>
            </w:r>
          </w:p>
          <w:p w14:paraId="40F810FB"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$288</w:t>
            </w:r>
          </w:p>
        </w:tc>
        <w:tc>
          <w:tcPr>
            <w:tcW w:w="657" w:type="pct"/>
            <w:vAlign w:val="bottom"/>
          </w:tcPr>
          <w:p w14:paraId="40F810FC"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D"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E"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0FF"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100" w14:textId="77777777" w:rsidR="00A13DD4" w:rsidRPr="002C0D1E" w:rsidRDefault="00A13DD4" w:rsidP="00A13DD4">
            <w:pPr>
              <w:spacing w:after="0" w:line="240" w:lineRule="auto"/>
              <w:jc w:val="right"/>
              <w:rPr>
                <w:rFonts w:ascii="Times New Roman" w:eastAsia="Calibri" w:hAnsi="Times New Roman" w:cs="Times New Roman"/>
                <w:sz w:val="26"/>
                <w:szCs w:val="26"/>
              </w:rPr>
            </w:pPr>
          </w:p>
          <w:p w14:paraId="40F81101"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15,040 hrs. &amp; $541,440</w:t>
            </w:r>
          </w:p>
        </w:tc>
        <w:tc>
          <w:tcPr>
            <w:tcW w:w="616" w:type="pct"/>
            <w:vAlign w:val="bottom"/>
          </w:tcPr>
          <w:p w14:paraId="40F81102" w14:textId="77777777" w:rsidR="00A13DD4" w:rsidRPr="002C0D1E" w:rsidRDefault="00A13DD4" w:rsidP="00A13DD4">
            <w:pPr>
              <w:spacing w:after="0" w:line="240" w:lineRule="auto"/>
              <w:jc w:val="right"/>
              <w:rPr>
                <w:rFonts w:ascii="Times New Roman" w:eastAsia="Calibri" w:hAnsi="Times New Roman" w:cs="Times New Roman"/>
                <w:sz w:val="26"/>
                <w:szCs w:val="26"/>
              </w:rPr>
            </w:pPr>
            <w:r w:rsidRPr="002C0D1E">
              <w:rPr>
                <w:rFonts w:ascii="Times New Roman" w:eastAsia="Calibri" w:hAnsi="Times New Roman" w:cs="Times New Roman"/>
                <w:sz w:val="26"/>
                <w:szCs w:val="26"/>
              </w:rPr>
              <w:t>$288</w:t>
            </w:r>
          </w:p>
        </w:tc>
      </w:tr>
      <w:tr w:rsidR="00A13DD4" w:rsidRPr="002C0D1E" w14:paraId="40F8110B" w14:textId="77777777" w:rsidTr="00313FC9">
        <w:trPr>
          <w:cantSplit/>
          <w:trHeight w:val="485"/>
        </w:trPr>
        <w:tc>
          <w:tcPr>
            <w:tcW w:w="878" w:type="pct"/>
            <w:tcBorders>
              <w:bottom w:val="single" w:sz="4" w:space="0" w:color="auto"/>
            </w:tcBorders>
          </w:tcPr>
          <w:p w14:paraId="40F81104" w14:textId="77777777" w:rsidR="00A13DD4" w:rsidRPr="002C0D1E" w:rsidRDefault="00A13DD4" w:rsidP="00A13DD4">
            <w:pPr>
              <w:spacing w:after="0" w:line="240" w:lineRule="auto"/>
              <w:rPr>
                <w:rFonts w:ascii="Times New Roman" w:eastAsia="Calibri" w:hAnsi="Times New Roman" w:cs="Times New Roman"/>
                <w:b/>
                <w:sz w:val="26"/>
                <w:szCs w:val="26"/>
              </w:rPr>
            </w:pPr>
            <w:r w:rsidRPr="002C0D1E">
              <w:rPr>
                <w:rFonts w:ascii="Times New Roman" w:eastAsia="Calibri" w:hAnsi="Times New Roman" w:cs="Times New Roman"/>
                <w:b/>
                <w:sz w:val="26"/>
                <w:szCs w:val="26"/>
              </w:rPr>
              <w:t>TOTAL</w:t>
            </w:r>
          </w:p>
        </w:tc>
        <w:tc>
          <w:tcPr>
            <w:tcW w:w="1492" w:type="pct"/>
            <w:gridSpan w:val="2"/>
            <w:tcBorders>
              <w:bottom w:val="single" w:sz="4" w:space="0" w:color="auto"/>
            </w:tcBorders>
            <w:shd w:val="clear" w:color="auto" w:fill="D9D9D9"/>
          </w:tcPr>
          <w:p w14:paraId="40F81105"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703" w:type="pct"/>
            <w:tcBorders>
              <w:bottom w:val="single" w:sz="4" w:space="0" w:color="auto"/>
            </w:tcBorders>
            <w:shd w:val="clear" w:color="auto" w:fill="auto"/>
          </w:tcPr>
          <w:p w14:paraId="40F81106" w14:textId="77777777" w:rsidR="00A13DD4" w:rsidRPr="002C0D1E" w:rsidRDefault="00A13DD4" w:rsidP="00A13DD4">
            <w:pPr>
              <w:spacing w:after="0" w:line="240" w:lineRule="auto"/>
              <w:jc w:val="right"/>
              <w:rPr>
                <w:rFonts w:ascii="Times New Roman" w:eastAsia="Calibri" w:hAnsi="Times New Roman" w:cs="Times New Roman"/>
                <w:b/>
                <w:sz w:val="26"/>
                <w:szCs w:val="26"/>
              </w:rPr>
            </w:pPr>
            <w:r w:rsidRPr="002C0D1E">
              <w:rPr>
                <w:rFonts w:ascii="Times New Roman" w:eastAsia="Calibri" w:hAnsi="Times New Roman" w:cs="Times New Roman"/>
                <w:b/>
                <w:sz w:val="26"/>
                <w:szCs w:val="26"/>
              </w:rPr>
              <w:t>2,762</w:t>
            </w:r>
          </w:p>
        </w:tc>
        <w:tc>
          <w:tcPr>
            <w:tcW w:w="654" w:type="pct"/>
            <w:tcBorders>
              <w:bottom w:val="single" w:sz="4" w:space="0" w:color="auto"/>
            </w:tcBorders>
            <w:shd w:val="clear" w:color="auto" w:fill="D9D9D9"/>
          </w:tcPr>
          <w:p w14:paraId="40F81107" w14:textId="77777777" w:rsidR="00A13DD4" w:rsidRPr="002C0D1E" w:rsidRDefault="00A13DD4" w:rsidP="00A13DD4">
            <w:pPr>
              <w:spacing w:after="0" w:line="240" w:lineRule="auto"/>
              <w:jc w:val="right"/>
              <w:rPr>
                <w:rFonts w:ascii="Times New Roman" w:eastAsia="Calibri" w:hAnsi="Times New Roman" w:cs="Times New Roman"/>
                <w:sz w:val="26"/>
                <w:szCs w:val="26"/>
              </w:rPr>
            </w:pPr>
          </w:p>
        </w:tc>
        <w:tc>
          <w:tcPr>
            <w:tcW w:w="657" w:type="pct"/>
            <w:tcBorders>
              <w:bottom w:val="single" w:sz="4" w:space="0" w:color="auto"/>
            </w:tcBorders>
          </w:tcPr>
          <w:p w14:paraId="40F81108" w14:textId="77777777" w:rsidR="00A13DD4" w:rsidRPr="002C0D1E" w:rsidRDefault="00A13DD4" w:rsidP="00A13DD4">
            <w:pPr>
              <w:spacing w:after="0" w:line="240" w:lineRule="auto"/>
              <w:jc w:val="right"/>
              <w:rPr>
                <w:rFonts w:ascii="Times New Roman" w:eastAsia="Calibri" w:hAnsi="Times New Roman" w:cs="Times New Roman"/>
                <w:b/>
                <w:sz w:val="26"/>
                <w:szCs w:val="26"/>
              </w:rPr>
            </w:pPr>
            <w:r w:rsidRPr="002C0D1E">
              <w:rPr>
                <w:rFonts w:ascii="Times New Roman" w:eastAsia="Calibri" w:hAnsi="Times New Roman" w:cs="Times New Roman"/>
                <w:b/>
                <w:sz w:val="26"/>
                <w:szCs w:val="26"/>
              </w:rPr>
              <w:t>22,976 hrs. &amp;</w:t>
            </w:r>
          </w:p>
          <w:p w14:paraId="40F81109" w14:textId="77777777" w:rsidR="00A13DD4" w:rsidRPr="002C0D1E" w:rsidRDefault="00A13DD4" w:rsidP="00A13DD4">
            <w:pPr>
              <w:spacing w:after="0" w:line="240" w:lineRule="auto"/>
              <w:jc w:val="right"/>
              <w:rPr>
                <w:rFonts w:ascii="Times New Roman" w:eastAsia="Calibri" w:hAnsi="Times New Roman" w:cs="Times New Roman"/>
                <w:b/>
                <w:sz w:val="26"/>
                <w:szCs w:val="26"/>
              </w:rPr>
            </w:pPr>
            <w:r w:rsidRPr="002C0D1E">
              <w:rPr>
                <w:rFonts w:ascii="Times New Roman" w:eastAsia="Calibri" w:hAnsi="Times New Roman" w:cs="Times New Roman"/>
                <w:b/>
                <w:sz w:val="26"/>
                <w:szCs w:val="26"/>
              </w:rPr>
              <w:t>$827,136</w:t>
            </w:r>
          </w:p>
        </w:tc>
        <w:tc>
          <w:tcPr>
            <w:tcW w:w="616" w:type="pct"/>
            <w:tcBorders>
              <w:bottom w:val="single" w:sz="4" w:space="0" w:color="auto"/>
            </w:tcBorders>
            <w:shd w:val="clear" w:color="auto" w:fill="D9D9D9"/>
          </w:tcPr>
          <w:p w14:paraId="40F8110A" w14:textId="77777777" w:rsidR="00A13DD4" w:rsidRPr="002C0D1E" w:rsidRDefault="00A13DD4" w:rsidP="00A13DD4">
            <w:pPr>
              <w:spacing w:after="0" w:line="240" w:lineRule="auto"/>
              <w:jc w:val="right"/>
              <w:rPr>
                <w:rFonts w:ascii="Times New Roman" w:eastAsia="Calibri" w:hAnsi="Times New Roman" w:cs="Times New Roman"/>
                <w:b/>
                <w:sz w:val="26"/>
                <w:szCs w:val="26"/>
              </w:rPr>
            </w:pPr>
          </w:p>
        </w:tc>
      </w:tr>
    </w:tbl>
    <w:p w14:paraId="40F8110C" w14:textId="77777777" w:rsidR="00A13DD4" w:rsidRPr="002C0D1E" w:rsidRDefault="00A13DD4" w:rsidP="00A13DD4">
      <w:pPr>
        <w:spacing w:after="0" w:line="480" w:lineRule="auto"/>
        <w:rPr>
          <w:rFonts w:ascii="Times New Roman" w:eastAsia="Times New Roman" w:hAnsi="Times New Roman" w:cs="Times New Roman"/>
          <w:sz w:val="26"/>
          <w:szCs w:val="26"/>
        </w:rPr>
      </w:pPr>
    </w:p>
    <w:p w14:paraId="40F8110D" w14:textId="77777777" w:rsidR="00A13DD4" w:rsidRPr="002C0D1E" w:rsidRDefault="00A13DD4" w:rsidP="00A13DD4">
      <w:pPr>
        <w:spacing w:after="0" w:line="480" w:lineRule="auto"/>
        <w:rPr>
          <w:rFonts w:ascii="Times New Roman" w:eastAsia="Times New Roman" w:hAnsi="Times New Roman" w:cs="Times New Roman"/>
          <w:sz w:val="26"/>
          <w:szCs w:val="26"/>
        </w:rPr>
      </w:pPr>
      <w:r w:rsidRPr="002C0D1E">
        <w:rPr>
          <w:rFonts w:ascii="Times New Roman" w:eastAsia="Times New Roman" w:hAnsi="Times New Roman" w:cs="Times New Roman"/>
          <w:i/>
          <w:sz w:val="26"/>
          <w:szCs w:val="26"/>
        </w:rPr>
        <w:t xml:space="preserve">Comments:  </w:t>
      </w:r>
      <w:r w:rsidRPr="002C0D1E">
        <w:rPr>
          <w:rFonts w:ascii="Times New Roman" w:eastAsia="Times New Roman" w:hAnsi="Times New Roman" w:cs="Times New Roman"/>
          <w:sz w:val="26"/>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14:paraId="2EBE7BE2" w14:textId="7BA47C8D" w:rsidR="00E211E6" w:rsidRDefault="00E211E6" w:rsidP="00A13DD4">
      <w:pPr>
        <w:spacing w:after="0" w:line="240" w:lineRule="auto"/>
        <w:rPr>
          <w:rFonts w:ascii="Times New Roman" w:eastAsia="Times New Roman" w:hAnsi="Times New Roman" w:cs="Times New Roman"/>
          <w:sz w:val="26"/>
          <w:szCs w:val="26"/>
        </w:rPr>
      </w:pPr>
    </w:p>
    <w:p w14:paraId="776AA6BF" w14:textId="1DDC63F3" w:rsidR="00E211E6" w:rsidRPr="00E211E6" w:rsidRDefault="00E211E6" w:rsidP="00E211E6">
      <w:pPr>
        <w:spacing w:after="0" w:line="240" w:lineRule="auto"/>
        <w:ind w:firstLine="2606"/>
        <w:jc w:val="center"/>
        <w:rPr>
          <w:rFonts w:ascii="Times New Roman" w:hAnsi="Times New Roman" w:cs="Times New Roman"/>
          <w:sz w:val="26"/>
        </w:rPr>
      </w:pPr>
      <w:r w:rsidRPr="00E211E6">
        <w:rPr>
          <w:rFonts w:ascii="Times New Roman" w:hAnsi="Times New Roman" w:cs="Times New Roman"/>
          <w:sz w:val="26"/>
        </w:rPr>
        <w:t>Nathaniel J. Davis, Sr.,</w:t>
      </w:r>
    </w:p>
    <w:p w14:paraId="7CABADD7" w14:textId="2AF32BD5" w:rsidR="00E211E6" w:rsidRPr="00E211E6" w:rsidRDefault="00E211E6" w:rsidP="00E211E6">
      <w:pPr>
        <w:spacing w:after="0" w:line="240" w:lineRule="auto"/>
        <w:ind w:firstLine="2606"/>
        <w:jc w:val="center"/>
      </w:pPr>
      <w:r w:rsidRPr="00E211E6">
        <w:rPr>
          <w:rFonts w:ascii="Times New Roman" w:hAnsi="Times New Roman" w:cs="Times New Roman"/>
          <w:sz w:val="26"/>
        </w:rPr>
        <w:t>Deputy Secretary.</w:t>
      </w:r>
    </w:p>
    <w:p w14:paraId="6067C4F4" w14:textId="77777777" w:rsidR="00E211E6" w:rsidRPr="002C0D1E" w:rsidRDefault="00E211E6" w:rsidP="00A13DD4">
      <w:pPr>
        <w:spacing w:after="0" w:line="240" w:lineRule="auto"/>
        <w:rPr>
          <w:rFonts w:ascii="Times New Roman" w:eastAsia="Times New Roman" w:hAnsi="Times New Roman" w:cs="Times New Roman"/>
          <w:sz w:val="26"/>
          <w:szCs w:val="26"/>
        </w:rPr>
      </w:pPr>
    </w:p>
    <w:p w14:paraId="40F81113" w14:textId="77777777" w:rsidR="004167A5" w:rsidRPr="002C0D1E" w:rsidRDefault="004167A5">
      <w:pPr>
        <w:rPr>
          <w:rFonts w:ascii="Times New Roman" w:hAnsi="Times New Roman" w:cs="Times New Roman"/>
          <w:sz w:val="26"/>
          <w:szCs w:val="26"/>
        </w:rPr>
      </w:pPr>
    </w:p>
    <w:sectPr w:rsidR="004167A5" w:rsidRPr="002C0D1E" w:rsidSect="00B378F8">
      <w:headerReference w:type="even" r:id="rId17"/>
      <w:headerReference w:type="default" r:id="rId18"/>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96E0A" w14:textId="77777777" w:rsidR="00FE7D4C" w:rsidRDefault="00FE7D4C" w:rsidP="00A13DD4">
      <w:pPr>
        <w:spacing w:after="0" w:line="240" w:lineRule="auto"/>
      </w:pPr>
      <w:r>
        <w:separator/>
      </w:r>
    </w:p>
  </w:endnote>
  <w:endnote w:type="continuationSeparator" w:id="0">
    <w:p w14:paraId="112A9826" w14:textId="77777777" w:rsidR="00FE7D4C" w:rsidRDefault="00FE7D4C" w:rsidP="00A13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0F340" w14:textId="77777777" w:rsidR="00FE7D4C" w:rsidRDefault="00FE7D4C" w:rsidP="00A13DD4">
      <w:pPr>
        <w:spacing w:after="0" w:line="240" w:lineRule="auto"/>
      </w:pPr>
      <w:r>
        <w:separator/>
      </w:r>
    </w:p>
  </w:footnote>
  <w:footnote w:type="continuationSeparator" w:id="0">
    <w:p w14:paraId="4A69AF2B" w14:textId="77777777" w:rsidR="00FE7D4C" w:rsidRDefault="00FE7D4C" w:rsidP="00A13DD4">
      <w:pPr>
        <w:spacing w:after="0" w:line="240" w:lineRule="auto"/>
      </w:pPr>
      <w:r>
        <w:continuationSeparator/>
      </w:r>
    </w:p>
  </w:footnote>
  <w:footnote w:id="1">
    <w:p w14:paraId="40F8111C" w14:textId="77777777" w:rsidR="00A13DD4" w:rsidRPr="002C0D1E" w:rsidRDefault="00A13DD4" w:rsidP="00A13DD4">
      <w:pPr>
        <w:pStyle w:val="FootnoteText"/>
        <w:rPr>
          <w:rFonts w:ascii="Times New Roman" w:hAnsi="Times New Roman" w:cs="Times New Roman"/>
          <w:sz w:val="26"/>
          <w:szCs w:val="26"/>
        </w:rPr>
      </w:pPr>
      <w:r w:rsidRPr="002C0D1E">
        <w:rPr>
          <w:rStyle w:val="FootnoteReference"/>
          <w:rFonts w:cs="Times New Roman"/>
        </w:rPr>
        <w:footnoteRef/>
      </w:r>
      <w:r w:rsidRPr="002C0D1E">
        <w:rPr>
          <w:rFonts w:ascii="Times New Roman" w:hAnsi="Times New Roman" w:cs="Times New Roman"/>
          <w:sz w:val="26"/>
          <w:szCs w:val="26"/>
        </w:rPr>
        <w:t xml:space="preserve"> Persons that meet the definition of a holding company as provided by §366.1 as of February 8, 2006 shall notify the Commission of their status as a holding company no later than June 15, 2006. Holding companies formed after February 8, 2006 shall notify the Commission of their status as a holding company, no later than the latter of June 15, 2006 or 30 days after they become holding companies.</w:t>
      </w:r>
    </w:p>
  </w:footnote>
  <w:footnote w:id="2">
    <w:p w14:paraId="40F8111D" w14:textId="77777777" w:rsidR="00A13DD4" w:rsidRPr="002C0D1E" w:rsidRDefault="00A13DD4" w:rsidP="00A13DD4">
      <w:pPr>
        <w:pStyle w:val="FootnoteText"/>
        <w:rPr>
          <w:rFonts w:ascii="Times New Roman" w:hAnsi="Times New Roman" w:cs="Times New Roman"/>
          <w:sz w:val="26"/>
          <w:szCs w:val="26"/>
        </w:rPr>
      </w:pPr>
      <w:r w:rsidRPr="002C0D1E">
        <w:rPr>
          <w:rStyle w:val="FootnoteReference"/>
          <w:rFonts w:cs="Times New Roman"/>
        </w:rPr>
        <w:footnoteRef/>
      </w:r>
      <w:r w:rsidRPr="002C0D1E">
        <w:rPr>
          <w:rFonts w:ascii="Times New Roman" w:hAnsi="Times New Roman" w:cs="Times New Roman"/>
          <w:sz w:val="26"/>
          <w:szCs w:val="26"/>
        </w:rPr>
        <w:t xml:space="preserve"> Burden is defined as the total time, effort, or financial resources expended by persons to generate, maintain, retain, or disclose or provide information to or for a Federal agency.  Refer to 5 CFR 1320.3 for additional information.</w:t>
      </w:r>
    </w:p>
  </w:footnote>
  <w:footnote w:id="3">
    <w:p w14:paraId="40F8111E" w14:textId="77777777" w:rsidR="00A13DD4" w:rsidRPr="002C0D1E" w:rsidRDefault="00A13DD4" w:rsidP="00A13DD4">
      <w:pPr>
        <w:pStyle w:val="FootnoteText"/>
        <w:rPr>
          <w:rFonts w:ascii="Times New Roman" w:hAnsi="Times New Roman" w:cs="Times New Roman"/>
          <w:sz w:val="26"/>
          <w:szCs w:val="26"/>
        </w:rPr>
      </w:pPr>
      <w:r w:rsidRPr="002C0D1E">
        <w:rPr>
          <w:rStyle w:val="FootnoteReference"/>
          <w:rFonts w:cs="Times New Roman"/>
        </w:rPr>
        <w:footnoteRef/>
      </w:r>
      <w:r w:rsidRPr="002C0D1E">
        <w:rPr>
          <w:rFonts w:ascii="Times New Roman" w:hAnsi="Times New Roman" w:cs="Times New Roman"/>
          <w:sz w:val="26"/>
          <w:szCs w:val="26"/>
        </w:rPr>
        <w:t xml:space="preserve"> The estimates for cost per response are derived using the following formula: 2017 Average Burden Hours per Response * $76.50 per Hour = Average Cost per Response.  The hourly cost figure of $76.50 is the average FERC employee wage plus benefits.  We assume for FERC-65, FERC-65A and FERC-65B that respondents earn at a similar rate.  </w:t>
      </w:r>
    </w:p>
  </w:footnote>
  <w:footnote w:id="4">
    <w:p w14:paraId="40F8111F" w14:textId="77777777" w:rsidR="00A13DD4" w:rsidRPr="002C0D1E" w:rsidRDefault="00A13DD4" w:rsidP="00A13DD4">
      <w:pPr>
        <w:pStyle w:val="FootnoteText"/>
        <w:rPr>
          <w:rFonts w:ascii="Times New Roman" w:hAnsi="Times New Roman" w:cs="Times New Roman"/>
          <w:sz w:val="26"/>
          <w:szCs w:val="26"/>
        </w:rPr>
      </w:pPr>
      <w:r w:rsidRPr="002C0D1E">
        <w:rPr>
          <w:rStyle w:val="FootnoteReference"/>
          <w:rFonts w:cs="Times New Roman"/>
        </w:rPr>
        <w:footnoteRef/>
      </w:r>
      <w:r w:rsidRPr="002C0D1E">
        <w:rPr>
          <w:rFonts w:ascii="Times New Roman" w:hAnsi="Times New Roman" w:cs="Times New Roman"/>
          <w:sz w:val="26"/>
          <w:szCs w:val="26"/>
        </w:rPr>
        <w:t xml:space="preserve"> 16 U.S.C. § 824o (2012).</w:t>
      </w:r>
    </w:p>
  </w:footnote>
  <w:footnote w:id="5">
    <w:p w14:paraId="40F81120" w14:textId="77777777" w:rsidR="00A13DD4" w:rsidRPr="002C0D1E" w:rsidRDefault="00A13DD4" w:rsidP="00A13DD4">
      <w:pPr>
        <w:pStyle w:val="FootnoteText"/>
        <w:rPr>
          <w:rFonts w:ascii="Times New Roman" w:hAnsi="Times New Roman" w:cs="Times New Roman"/>
          <w:sz w:val="26"/>
          <w:szCs w:val="26"/>
        </w:rPr>
      </w:pPr>
      <w:r w:rsidRPr="002C0D1E">
        <w:rPr>
          <w:rStyle w:val="FootnoteReference"/>
          <w:rFonts w:cs="Times New Roman"/>
        </w:rPr>
        <w:footnoteRef/>
      </w:r>
      <w:r w:rsidRPr="002C0D1E">
        <w:rPr>
          <w:rFonts w:ascii="Times New Roman" w:hAnsi="Times New Roman" w:cs="Times New Roman"/>
          <w:sz w:val="26"/>
          <w:szCs w:val="26"/>
        </w:rPr>
        <w:t xml:space="preserve"> 18 C.F.R. § 39.5 (2015).</w:t>
      </w:r>
    </w:p>
  </w:footnote>
  <w:footnote w:id="6">
    <w:p w14:paraId="40F81121" w14:textId="77777777" w:rsidR="00A13DD4" w:rsidRPr="002C0D1E" w:rsidRDefault="00A13DD4" w:rsidP="00A13DD4">
      <w:pPr>
        <w:pStyle w:val="FootnoteText"/>
        <w:rPr>
          <w:rFonts w:ascii="Times New Roman" w:hAnsi="Times New Roman" w:cs="Times New Roman"/>
          <w:sz w:val="26"/>
          <w:szCs w:val="26"/>
        </w:rPr>
      </w:pPr>
      <w:r w:rsidRPr="002C0D1E">
        <w:rPr>
          <w:rStyle w:val="FootnoteReference"/>
          <w:rFonts w:cs="Times New Roman"/>
        </w:rPr>
        <w:footnoteRef/>
      </w:r>
      <w:r w:rsidRPr="002C0D1E">
        <w:rPr>
          <w:rFonts w:ascii="Times New Roman" w:hAnsi="Times New Roman" w:cs="Times New Roman"/>
          <w:sz w:val="26"/>
          <w:szCs w:val="26"/>
        </w:rPr>
        <w:t xml:space="preserve"> The Commission defines burden as the total time, effort, or financial resources expended by persons to generate, maintain, retain, or disclose or provide information to or for a Federal agency. For further explanation of what is included in the information collection burden, reference 5 Code of Federal Regulations 1320.3.</w:t>
      </w:r>
    </w:p>
  </w:footnote>
  <w:footnote w:id="7">
    <w:p w14:paraId="40F81122" w14:textId="77777777" w:rsidR="00A13DD4" w:rsidRPr="002C0D1E" w:rsidRDefault="00A13DD4" w:rsidP="00A13DD4">
      <w:pPr>
        <w:pStyle w:val="FootnoteText"/>
        <w:rPr>
          <w:rFonts w:ascii="Times New Roman" w:hAnsi="Times New Roman" w:cs="Times New Roman"/>
          <w:sz w:val="26"/>
          <w:szCs w:val="26"/>
        </w:rPr>
      </w:pPr>
      <w:r w:rsidRPr="002C0D1E">
        <w:rPr>
          <w:rStyle w:val="FootnoteReference"/>
          <w:rFonts w:cs="Times New Roman"/>
        </w:rPr>
        <w:footnoteRef/>
      </w:r>
      <w:r w:rsidRPr="002C0D1E">
        <w:rPr>
          <w:rFonts w:ascii="Times New Roman" w:hAnsi="Times New Roman" w:cs="Times New Roman"/>
          <w:sz w:val="26"/>
          <w:szCs w:val="26"/>
        </w:rPr>
        <w:t xml:space="preserve"> The loaded hourly wage figure (includes benefits) is based on the occupational categories for 2016 found on the Bureau of Labor Statistics website (</w:t>
      </w:r>
      <w:hyperlink r:id="rId1" w:history="1">
        <w:r w:rsidRPr="002C0D1E">
          <w:rPr>
            <w:rStyle w:val="Hyperlink"/>
            <w:rFonts w:ascii="Times New Roman" w:hAnsi="Times New Roman" w:cs="Times New Roman"/>
            <w:sz w:val="26"/>
            <w:szCs w:val="26"/>
          </w:rPr>
          <w:t>http://www.bls.gov/oes/current/naics2_22.htm</w:t>
        </w:r>
      </w:hyperlink>
      <w:r w:rsidRPr="002C0D1E">
        <w:rPr>
          <w:rFonts w:ascii="Times New Roman" w:hAnsi="Times New Roman" w:cs="Times New Roman"/>
          <w:sz w:val="26"/>
          <w:szCs w:val="26"/>
        </w:rPr>
        <w:t>):</w:t>
      </w:r>
    </w:p>
    <w:p w14:paraId="40F81123" w14:textId="77777777" w:rsidR="00A13DD4" w:rsidRPr="002C0D1E" w:rsidRDefault="00A13DD4" w:rsidP="00A13DD4">
      <w:pPr>
        <w:pStyle w:val="FootnoteText"/>
        <w:ind w:left="1440"/>
        <w:rPr>
          <w:rFonts w:ascii="Times New Roman" w:hAnsi="Times New Roman" w:cs="Times New Roman"/>
          <w:sz w:val="26"/>
          <w:szCs w:val="26"/>
        </w:rPr>
      </w:pPr>
      <w:r w:rsidRPr="002C0D1E">
        <w:rPr>
          <w:rFonts w:ascii="Times New Roman" w:hAnsi="Times New Roman" w:cs="Times New Roman"/>
          <w:sz w:val="26"/>
          <w:szCs w:val="26"/>
        </w:rPr>
        <w:t>Electrical Engineer (Occupation Code: 17-2071): $68.12 (review and documentation)</w:t>
      </w:r>
    </w:p>
    <w:p w14:paraId="40F81124" w14:textId="77777777" w:rsidR="00A13DD4" w:rsidRPr="002C0D1E" w:rsidRDefault="00A13DD4" w:rsidP="00A13DD4">
      <w:pPr>
        <w:pStyle w:val="FootnoteText"/>
        <w:ind w:left="1440"/>
        <w:rPr>
          <w:rFonts w:ascii="Times New Roman" w:hAnsi="Times New Roman" w:cs="Times New Roman"/>
          <w:sz w:val="26"/>
          <w:szCs w:val="26"/>
        </w:rPr>
      </w:pPr>
      <w:r w:rsidRPr="002C0D1E">
        <w:rPr>
          <w:rFonts w:ascii="Times New Roman" w:hAnsi="Times New Roman" w:cs="Times New Roman"/>
          <w:sz w:val="26"/>
          <w:szCs w:val="26"/>
        </w:rPr>
        <w:t>Office and Administrative Support (Occupation Code: 43-0000): $40.89</w:t>
      </w:r>
    </w:p>
    <w:p w14:paraId="40F81125" w14:textId="77777777" w:rsidR="00A13DD4" w:rsidRPr="002C0D1E" w:rsidRDefault="00A13DD4" w:rsidP="00A13DD4">
      <w:pPr>
        <w:pStyle w:val="FootnoteText"/>
        <w:rPr>
          <w:rFonts w:ascii="Times New Roman" w:hAnsi="Times New Roman" w:cs="Times New Roman"/>
          <w:sz w:val="26"/>
          <w:szCs w:val="26"/>
        </w:rPr>
      </w:pPr>
      <w:r w:rsidRPr="002C0D1E">
        <w:rPr>
          <w:rFonts w:ascii="Times New Roman" w:hAnsi="Times New Roman" w:cs="Times New Roman"/>
          <w:sz w:val="26"/>
          <w:szCs w:val="26"/>
        </w:rPr>
        <w:t>($68.12 + 40.89 = 109.01 ÷ 3 = $36.34.  This figure is rounded to $36.00 for use in collection FERC-725V for calculating wage figures in this renewal calculation.</w:t>
      </w:r>
    </w:p>
    <w:p w14:paraId="40F81126" w14:textId="77777777" w:rsidR="00A13DD4" w:rsidRPr="002C0D1E" w:rsidRDefault="00A13DD4" w:rsidP="00A13DD4">
      <w:pPr>
        <w:pStyle w:val="FootnoteText"/>
        <w:rPr>
          <w:rFonts w:ascii="Times New Roman" w:hAnsi="Times New Roman" w:cs="Times New Roman"/>
          <w:sz w:val="26"/>
          <w:szCs w:val="2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81118" w14:textId="77777777" w:rsidR="004D79AA" w:rsidRDefault="00FD543F" w:rsidP="00920A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F81119" w14:textId="77777777" w:rsidR="004D79AA" w:rsidRDefault="00D664C2" w:rsidP="005E31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8111A" w14:textId="77777777" w:rsidR="004D79AA" w:rsidRPr="009E020B" w:rsidRDefault="00FD543F" w:rsidP="00920A1C">
    <w:pPr>
      <w:pStyle w:val="Header"/>
      <w:framePr w:wrap="around" w:vAnchor="text" w:hAnchor="margin" w:xAlign="right" w:y="1"/>
      <w:rPr>
        <w:rStyle w:val="PageNumber"/>
        <w:rFonts w:ascii="Times New Roman" w:hAnsi="Times New Roman" w:cs="Times New Roman"/>
        <w:sz w:val="26"/>
        <w:szCs w:val="26"/>
      </w:rPr>
    </w:pPr>
    <w:r w:rsidRPr="009E020B">
      <w:rPr>
        <w:rStyle w:val="PageNumber"/>
        <w:rFonts w:ascii="Times New Roman" w:hAnsi="Times New Roman" w:cs="Times New Roman"/>
        <w:sz w:val="26"/>
        <w:szCs w:val="26"/>
      </w:rPr>
      <w:fldChar w:fldCharType="begin"/>
    </w:r>
    <w:r w:rsidRPr="009E020B">
      <w:rPr>
        <w:rStyle w:val="PageNumber"/>
        <w:rFonts w:ascii="Times New Roman" w:hAnsi="Times New Roman" w:cs="Times New Roman"/>
        <w:sz w:val="26"/>
        <w:szCs w:val="26"/>
      </w:rPr>
      <w:instrText xml:space="preserve">PAGE  </w:instrText>
    </w:r>
    <w:r w:rsidRPr="009E020B">
      <w:rPr>
        <w:rStyle w:val="PageNumber"/>
        <w:rFonts w:ascii="Times New Roman" w:hAnsi="Times New Roman" w:cs="Times New Roman"/>
        <w:sz w:val="26"/>
        <w:szCs w:val="26"/>
      </w:rPr>
      <w:fldChar w:fldCharType="separate"/>
    </w:r>
    <w:r w:rsidR="00D664C2">
      <w:rPr>
        <w:rStyle w:val="PageNumber"/>
        <w:rFonts w:ascii="Times New Roman" w:hAnsi="Times New Roman" w:cs="Times New Roman"/>
        <w:noProof/>
        <w:sz w:val="26"/>
        <w:szCs w:val="26"/>
      </w:rPr>
      <w:t>2</w:t>
    </w:r>
    <w:r w:rsidRPr="009E020B">
      <w:rPr>
        <w:rStyle w:val="PageNumber"/>
        <w:rFonts w:ascii="Times New Roman" w:hAnsi="Times New Roman" w:cs="Times New Roman"/>
        <w:sz w:val="26"/>
        <w:szCs w:val="26"/>
      </w:rPr>
      <w:fldChar w:fldCharType="end"/>
    </w:r>
  </w:p>
  <w:p w14:paraId="40F8111B" w14:textId="77777777" w:rsidR="004D79AA" w:rsidRPr="009E020B" w:rsidRDefault="00FD543F" w:rsidP="005E318F">
    <w:pPr>
      <w:pStyle w:val="Header"/>
      <w:ind w:right="360"/>
      <w:rPr>
        <w:rFonts w:ascii="Times New Roman" w:hAnsi="Times New Roman" w:cs="Times New Roman"/>
        <w:sz w:val="26"/>
        <w:szCs w:val="26"/>
      </w:rPr>
    </w:pPr>
    <w:r w:rsidRPr="009E020B">
      <w:rPr>
        <w:rFonts w:ascii="Times New Roman" w:hAnsi="Times New Roman" w:cs="Times New Roman"/>
        <w:sz w:val="26"/>
        <w:szCs w:val="26"/>
      </w:rPr>
      <w:t>Docket No. IC18-6-000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57DF5"/>
    <w:multiLevelType w:val="hybridMultilevel"/>
    <w:tmpl w:val="F6FA7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DD4"/>
    <w:rsid w:val="001E0267"/>
    <w:rsid w:val="002C0D1E"/>
    <w:rsid w:val="003453A7"/>
    <w:rsid w:val="004167A5"/>
    <w:rsid w:val="00650BAB"/>
    <w:rsid w:val="0065673A"/>
    <w:rsid w:val="006F654A"/>
    <w:rsid w:val="009E020B"/>
    <w:rsid w:val="009E6B07"/>
    <w:rsid w:val="00A13DD4"/>
    <w:rsid w:val="00A35049"/>
    <w:rsid w:val="00A66F3F"/>
    <w:rsid w:val="00B84FFD"/>
    <w:rsid w:val="00D664C2"/>
    <w:rsid w:val="00DC46CC"/>
    <w:rsid w:val="00E211E6"/>
    <w:rsid w:val="00E346AF"/>
    <w:rsid w:val="00EC4B39"/>
    <w:rsid w:val="00F822B5"/>
    <w:rsid w:val="00FD543F"/>
    <w:rsid w:val="00FE1F03"/>
    <w:rsid w:val="00FE7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3D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DD4"/>
    <w:rPr>
      <w:sz w:val="20"/>
      <w:szCs w:val="20"/>
    </w:rPr>
  </w:style>
  <w:style w:type="paragraph" w:styleId="Header">
    <w:name w:val="header"/>
    <w:basedOn w:val="Normal"/>
    <w:link w:val="HeaderChar"/>
    <w:uiPriority w:val="99"/>
    <w:unhideWhenUsed/>
    <w:rsid w:val="00A13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DD4"/>
  </w:style>
  <w:style w:type="character" w:styleId="FootnoteReference">
    <w:name w:val="footnote reference"/>
    <w:aliases w:val="o,fr,Style 13,Style 12,Style 15,Style 17,Style 9,o1,fr1,o2,fr2,o3,fr3,Style 18,(NECG) Footnote Reference,Style 20,Style 7,Style 8,Style 19,Style 28,Styl,Style 11,Style 16,Footnote Reference (EIS),fnr,Footnote reference (EA),Style 30"/>
    <w:uiPriority w:val="99"/>
    <w:rsid w:val="00A13DD4"/>
    <w:rPr>
      <w:rFonts w:ascii="Times New Roman" w:hAnsi="Times New Roman"/>
      <w:b/>
      <w:sz w:val="26"/>
      <w:szCs w:val="26"/>
      <w:vertAlign w:val="superscript"/>
    </w:rPr>
  </w:style>
  <w:style w:type="character" w:styleId="PageNumber">
    <w:name w:val="page number"/>
    <w:basedOn w:val="DefaultParagraphFont"/>
    <w:rsid w:val="00A13DD4"/>
  </w:style>
  <w:style w:type="character" w:styleId="Hyperlink">
    <w:name w:val="Hyperlink"/>
    <w:rsid w:val="00A13DD4"/>
    <w:rPr>
      <w:color w:val="0000FF"/>
      <w:u w:val="single"/>
    </w:rPr>
  </w:style>
  <w:style w:type="paragraph" w:styleId="ListContinue">
    <w:name w:val="List Continue"/>
    <w:basedOn w:val="Normal"/>
    <w:rsid w:val="00A13DD4"/>
    <w:pPr>
      <w:numPr>
        <w:numId w:val="2"/>
      </w:numPr>
      <w:spacing w:after="120" w:line="480" w:lineRule="auto"/>
    </w:pPr>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9E0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0B"/>
  </w:style>
  <w:style w:type="paragraph" w:styleId="ListParagraph">
    <w:name w:val="List Paragraph"/>
    <w:basedOn w:val="Normal"/>
    <w:uiPriority w:val="34"/>
    <w:qFormat/>
    <w:rsid w:val="00DC46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3D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DD4"/>
    <w:rPr>
      <w:sz w:val="20"/>
      <w:szCs w:val="20"/>
    </w:rPr>
  </w:style>
  <w:style w:type="paragraph" w:styleId="Header">
    <w:name w:val="header"/>
    <w:basedOn w:val="Normal"/>
    <w:link w:val="HeaderChar"/>
    <w:uiPriority w:val="99"/>
    <w:unhideWhenUsed/>
    <w:rsid w:val="00A13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DD4"/>
  </w:style>
  <w:style w:type="character" w:styleId="FootnoteReference">
    <w:name w:val="footnote reference"/>
    <w:aliases w:val="o,fr,Style 13,Style 12,Style 15,Style 17,Style 9,o1,fr1,o2,fr2,o3,fr3,Style 18,(NECG) Footnote Reference,Style 20,Style 7,Style 8,Style 19,Style 28,Styl,Style 11,Style 16,Footnote Reference (EIS),fnr,Footnote reference (EA),Style 30"/>
    <w:uiPriority w:val="99"/>
    <w:rsid w:val="00A13DD4"/>
    <w:rPr>
      <w:rFonts w:ascii="Times New Roman" w:hAnsi="Times New Roman"/>
      <w:b/>
      <w:sz w:val="26"/>
      <w:szCs w:val="26"/>
      <w:vertAlign w:val="superscript"/>
    </w:rPr>
  </w:style>
  <w:style w:type="character" w:styleId="PageNumber">
    <w:name w:val="page number"/>
    <w:basedOn w:val="DefaultParagraphFont"/>
    <w:rsid w:val="00A13DD4"/>
  </w:style>
  <w:style w:type="character" w:styleId="Hyperlink">
    <w:name w:val="Hyperlink"/>
    <w:rsid w:val="00A13DD4"/>
    <w:rPr>
      <w:color w:val="0000FF"/>
      <w:u w:val="single"/>
    </w:rPr>
  </w:style>
  <w:style w:type="paragraph" w:styleId="ListContinue">
    <w:name w:val="List Continue"/>
    <w:basedOn w:val="Normal"/>
    <w:rsid w:val="00A13DD4"/>
    <w:pPr>
      <w:numPr>
        <w:numId w:val="2"/>
      </w:numPr>
      <w:spacing w:after="120" w:line="480" w:lineRule="auto"/>
    </w:pPr>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9E0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0B"/>
  </w:style>
  <w:style w:type="paragraph" w:styleId="ListParagraph">
    <w:name w:val="List Paragraph"/>
    <w:basedOn w:val="Normal"/>
    <w:uiPriority w:val="34"/>
    <w:qFormat/>
    <w:rsid w:val="00DC46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docs-filing/efiling.asp" TargetMode="Externa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oira_submission@omb.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taClearance@FER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ferc.gov/docs-filing/docs-filing.asp"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erc.gov/help/submission-guide.as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ls.gov/oes/current/naics2_2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FF3FC-ACD3-4865-A18B-AF667F696DDA}">
  <ds:schemaRefs>
    <ds:schemaRef ds:uri="Microsoft.SharePoint.Taxonomy.ContentTypeSync"/>
  </ds:schemaRefs>
</ds:datastoreItem>
</file>

<file path=customXml/itemProps2.xml><?xml version="1.0" encoding="utf-8"?>
<ds:datastoreItem xmlns:ds="http://schemas.openxmlformats.org/officeDocument/2006/customXml" ds:itemID="{1CC10B1B-BEE5-40EF-9117-CA8C931D61A2}">
  <ds:schemaRefs>
    <ds:schemaRef ds:uri="http://schemas.microsoft.com/sharepoint/v3/contenttype/forms"/>
  </ds:schemaRefs>
</ds:datastoreItem>
</file>

<file path=customXml/itemProps3.xml><?xml version="1.0" encoding="utf-8"?>
<ds:datastoreItem xmlns:ds="http://schemas.openxmlformats.org/officeDocument/2006/customXml" ds:itemID="{1C0A3E85-4273-47CE-94E1-E0D641FF21AB}">
  <ds:schemaRefs>
    <ds:schemaRef ds:uri="http://schemas.microsoft.com/office/2006/metadata/properties"/>
    <ds:schemaRef ds:uri="http://schemas.microsoft.com/office/infopath/2007/PartnerControls"/>
    <ds:schemaRef ds:uri="5e8733a2-e908-454b-85cf-c9d17e1d0943"/>
  </ds:schemaRefs>
</ds:datastoreItem>
</file>

<file path=customXml/itemProps4.xml><?xml version="1.0" encoding="utf-8"?>
<ds:datastoreItem xmlns:ds="http://schemas.openxmlformats.org/officeDocument/2006/customXml" ds:itemID="{5BB75FD4-7BE6-4A21-8440-75F09B581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May</dc:creator>
  <cp:keywords/>
  <dc:description/>
  <cp:lastModifiedBy>SYSTEM</cp:lastModifiedBy>
  <cp:revision>2</cp:revision>
  <dcterms:created xsi:type="dcterms:W3CDTF">2018-05-31T19:40:00Z</dcterms:created>
  <dcterms:modified xsi:type="dcterms:W3CDTF">2018-05-31T19:40:00Z</dcterms:modified>
  <cp:category/>
  <dc:identifier/>
  <cp:contentStatus/>
  <cp:version/>
</cp:coreProperties>
</file>