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EE102" w14:textId="77777777" w:rsidR="00F86890" w:rsidRDefault="00F86890" w:rsidP="00F86890">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3E7AE417" w14:textId="77777777" w:rsidR="00F86890" w:rsidRDefault="00F86890" w:rsidP="00F86890">
      <w:pPr>
        <w:jc w:val="center"/>
      </w:pPr>
      <w:r>
        <w:t>FEDERAL ENERGY REGULATORY COMMISSION</w:t>
      </w:r>
    </w:p>
    <w:p w14:paraId="0B8D2272" w14:textId="77777777" w:rsidR="00F86890" w:rsidRDefault="00F86890" w:rsidP="00F86890"/>
    <w:p w14:paraId="406F2BF5" w14:textId="77777777" w:rsidR="00F86890" w:rsidRPr="003A18BB" w:rsidRDefault="00F86890" w:rsidP="00F86890">
      <w:pPr>
        <w:jc w:val="center"/>
      </w:pPr>
      <w:r w:rsidRPr="003A18BB">
        <w:t>[</w:t>
      </w:r>
      <w:r w:rsidRPr="00793841">
        <w:t xml:space="preserve">Docket No. </w:t>
      </w:r>
      <w:r w:rsidR="00793841" w:rsidRPr="00793841">
        <w:t>IC18-12</w:t>
      </w:r>
      <w:r w:rsidRPr="00793841">
        <w:t>-000]</w:t>
      </w:r>
    </w:p>
    <w:p w14:paraId="03F626DB" w14:textId="77777777" w:rsidR="00F86890" w:rsidRPr="003A18BB" w:rsidRDefault="00F86890" w:rsidP="00F86890"/>
    <w:p w14:paraId="153D52AA" w14:textId="77777777" w:rsidR="00F86890" w:rsidRPr="003A18BB" w:rsidRDefault="00F86890" w:rsidP="00F86890">
      <w:pPr>
        <w:jc w:val="center"/>
      </w:pPr>
      <w:r w:rsidRPr="003A18BB">
        <w:t>COMMISSION INFORMATION COLLECTION ACTIVITIES (FERC-</w:t>
      </w:r>
      <w:r w:rsidR="00D94C37">
        <w:t>566</w:t>
      </w:r>
      <w:r w:rsidRPr="003A18BB">
        <w:t>);</w:t>
      </w:r>
    </w:p>
    <w:p w14:paraId="6C98F296" w14:textId="77777777" w:rsidR="00F86890" w:rsidRPr="003A18BB" w:rsidRDefault="00F86890" w:rsidP="00F86890">
      <w:pPr>
        <w:jc w:val="center"/>
      </w:pPr>
      <w:r w:rsidRPr="003A18BB">
        <w:t>COMMENT REQUEST; EXTENSION</w:t>
      </w:r>
    </w:p>
    <w:p w14:paraId="429F527D" w14:textId="77777777" w:rsidR="00F86890" w:rsidRPr="003A18BB" w:rsidRDefault="00F86890" w:rsidP="00F86890"/>
    <w:p w14:paraId="1446BD0B" w14:textId="77777777" w:rsidR="009C29F3" w:rsidRDefault="009C29F3" w:rsidP="009C29F3">
      <w:pPr>
        <w:jc w:val="center"/>
      </w:pPr>
      <w:r w:rsidRPr="009C29F3">
        <w:t>(April 6, 2018)</w:t>
      </w:r>
    </w:p>
    <w:p w14:paraId="395F44F7" w14:textId="77777777" w:rsidR="009C29F3" w:rsidRDefault="009C29F3" w:rsidP="009C29F3">
      <w:pPr>
        <w:jc w:val="center"/>
      </w:pPr>
    </w:p>
    <w:p w14:paraId="40498333" w14:textId="78CF077D" w:rsidR="00F86890" w:rsidRDefault="00CE64F2" w:rsidP="009C29F3">
      <w:r w:rsidRPr="009C29F3">
        <w:rPr>
          <w:b/>
        </w:rPr>
        <w:t>AGENCY:</w:t>
      </w:r>
      <w:r w:rsidRPr="009C29F3">
        <w:t xml:space="preserve">  </w:t>
      </w:r>
      <w:r w:rsidR="00F86890" w:rsidRPr="009C29F3">
        <w:t>Federal Energy Regulatory Commission.</w:t>
      </w:r>
    </w:p>
    <w:p w14:paraId="7DBF215A" w14:textId="77777777" w:rsidR="009C29F3" w:rsidRPr="009C29F3" w:rsidRDefault="009C29F3" w:rsidP="009C29F3"/>
    <w:p w14:paraId="5F3B21F4" w14:textId="77777777" w:rsidR="00F86890" w:rsidRDefault="00CE64F2" w:rsidP="00CE64F2">
      <w:pPr>
        <w:spacing w:line="480" w:lineRule="auto"/>
      </w:pPr>
      <w:r w:rsidRPr="00CE64F2">
        <w:rPr>
          <w:b/>
        </w:rPr>
        <w:t>ACTION:</w:t>
      </w:r>
      <w:r>
        <w:t xml:space="preserve">  </w:t>
      </w:r>
      <w:r w:rsidR="00F86890">
        <w:t>Notice of information collection and request for comments.</w:t>
      </w:r>
    </w:p>
    <w:p w14:paraId="7A927317" w14:textId="77777777" w:rsidR="00F86890" w:rsidRDefault="00F86890" w:rsidP="00CE64F2">
      <w:pPr>
        <w:spacing w:line="480" w:lineRule="auto"/>
      </w:pPr>
      <w:r w:rsidRPr="00CE64F2">
        <w:rPr>
          <w:b/>
        </w:rPr>
        <w:t>SUMMARY:</w:t>
      </w:r>
      <w:r>
        <w:t xml:space="preserve">  In compliance with the requirements of </w:t>
      </w:r>
      <w:r w:rsidR="00DA7F57">
        <w:t xml:space="preserve">the </w:t>
      </w:r>
      <w:r w:rsidR="0005366B">
        <w:t>Paperwork Reduction Act of 1995</w:t>
      </w:r>
      <w:r>
        <w:t xml:space="preserve">, the Federal Energy Regulatory Commission (Commission or FERC) is soliciting public comment on the </w:t>
      </w:r>
      <w:r w:rsidR="00E146ED">
        <w:t>currently ap</w:t>
      </w:r>
      <w:r w:rsidR="003A18BB">
        <w:t xml:space="preserve">proved information collection, </w:t>
      </w:r>
      <w:r w:rsidR="003A18BB" w:rsidRPr="00EE6DAA">
        <w:rPr>
          <w:rFonts w:cs="Melior"/>
          <w:szCs w:val="26"/>
        </w:rPr>
        <w:t>FERC</w:t>
      </w:r>
      <w:r w:rsidR="003A18BB">
        <w:rPr>
          <w:rFonts w:cs="Melior"/>
          <w:szCs w:val="26"/>
        </w:rPr>
        <w:t>-566 (</w:t>
      </w:r>
      <w:r w:rsidR="003A18BB" w:rsidRPr="00EE6DAA">
        <w:rPr>
          <w:rFonts w:cs="Melior"/>
          <w:szCs w:val="26"/>
        </w:rPr>
        <w:t>Annual Report of a Utilit</w:t>
      </w:r>
      <w:r w:rsidR="003A18BB">
        <w:rPr>
          <w:rFonts w:cs="Melior"/>
          <w:szCs w:val="26"/>
        </w:rPr>
        <w:t>y’s 20 Largest Purchasers)</w:t>
      </w:r>
      <w:r>
        <w:t xml:space="preserve">. </w:t>
      </w:r>
    </w:p>
    <w:p w14:paraId="5F56374F" w14:textId="219743C4" w:rsidR="00F86890" w:rsidRDefault="00F86890" w:rsidP="00CE64F2">
      <w:pPr>
        <w:spacing w:line="480" w:lineRule="auto"/>
      </w:pPr>
      <w:r w:rsidRPr="00CE64F2">
        <w:rPr>
          <w:b/>
        </w:rPr>
        <w:t>DATES:</w:t>
      </w:r>
      <w:r>
        <w:t xml:space="preserve">  Comments </w:t>
      </w:r>
      <w:r w:rsidR="00DA7F57">
        <w:t>on</w:t>
      </w:r>
      <w:r>
        <w:t xml:space="preserve"> the collection of information are due [</w:t>
      </w:r>
      <w:r w:rsidR="0027273D" w:rsidRPr="00D94C37">
        <w:rPr>
          <w:b/>
        </w:rPr>
        <w:t>insert dat</w:t>
      </w:r>
      <w:r w:rsidR="00AE61E0" w:rsidRPr="00D94C37">
        <w:rPr>
          <w:b/>
        </w:rPr>
        <w:t>e</w:t>
      </w:r>
      <w:r w:rsidR="0027273D" w:rsidRPr="00D94C37">
        <w:rPr>
          <w:b/>
        </w:rPr>
        <w:t xml:space="preserve"> </w:t>
      </w:r>
      <w:r w:rsidRPr="00D94C37">
        <w:rPr>
          <w:b/>
        </w:rPr>
        <w:t xml:space="preserve">60 days after </w:t>
      </w:r>
      <w:r w:rsidR="00381C27">
        <w:rPr>
          <w:b/>
        </w:rPr>
        <w:t xml:space="preserve">date of </w:t>
      </w:r>
      <w:r w:rsidRPr="00D94C37">
        <w:rPr>
          <w:b/>
        </w:rPr>
        <w:t>publication</w:t>
      </w:r>
      <w:r w:rsidR="0027273D" w:rsidRPr="00D94C37">
        <w:rPr>
          <w:b/>
        </w:rPr>
        <w:t xml:space="preserve"> </w:t>
      </w:r>
      <w:r w:rsidRPr="00D94C37">
        <w:rPr>
          <w:b/>
        </w:rPr>
        <w:t>in the Federal Register</w:t>
      </w:r>
      <w:r>
        <w:t xml:space="preserve">]. </w:t>
      </w:r>
    </w:p>
    <w:p w14:paraId="0994B894" w14:textId="77777777" w:rsidR="00537276" w:rsidRDefault="00F86890" w:rsidP="00CE64F2">
      <w:pPr>
        <w:spacing w:line="480" w:lineRule="auto"/>
      </w:pPr>
      <w:r w:rsidRPr="00CE64F2">
        <w:rPr>
          <w:b/>
        </w:rPr>
        <w:t>ADDRESSES:</w:t>
      </w:r>
      <w:r>
        <w:t xml:space="preserve">  </w:t>
      </w:r>
      <w:r w:rsidR="005346F4">
        <w:t>You may submit comments</w:t>
      </w:r>
      <w:r w:rsidR="00537276">
        <w:t xml:space="preserve"> </w:t>
      </w:r>
      <w:r w:rsidR="00AB436E">
        <w:t>(</w:t>
      </w:r>
      <w:r w:rsidR="00537276">
        <w:t xml:space="preserve">identified by </w:t>
      </w:r>
      <w:r w:rsidR="00537276" w:rsidRPr="00793841">
        <w:t xml:space="preserve">Docket No. </w:t>
      </w:r>
      <w:r w:rsidR="00793841" w:rsidRPr="00793841">
        <w:t>IC18-12</w:t>
      </w:r>
      <w:r w:rsidR="00537276" w:rsidRPr="00793841">
        <w:t>-000</w:t>
      </w:r>
      <w:r w:rsidR="00AB436E" w:rsidRPr="00793841">
        <w:t xml:space="preserve">) </w:t>
      </w:r>
      <w:r w:rsidR="00537276" w:rsidRPr="00793841">
        <w:t>by</w:t>
      </w:r>
      <w:r w:rsidR="00537276">
        <w:t xml:space="preserve"> </w:t>
      </w:r>
      <w:r w:rsidR="00004A34">
        <w:t>either</w:t>
      </w:r>
      <w:r w:rsidR="00537276">
        <w:t xml:space="preserve"> of the following methods:</w:t>
      </w:r>
    </w:p>
    <w:p w14:paraId="2979C84E" w14:textId="77777777" w:rsidR="008410EA" w:rsidRDefault="00537276" w:rsidP="00AB436E">
      <w:pPr>
        <w:numPr>
          <w:ilvl w:val="0"/>
          <w:numId w:val="2"/>
        </w:numPr>
        <w:tabs>
          <w:tab w:val="clear" w:pos="1500"/>
          <w:tab w:val="num" w:pos="1080"/>
        </w:tabs>
        <w:spacing w:line="480" w:lineRule="auto"/>
        <w:ind w:left="720" w:firstLine="0"/>
      </w:pPr>
      <w:bookmarkStart w:id="1" w:name="OLE_LINK1"/>
      <w:r>
        <w:t>eFiling</w:t>
      </w:r>
      <w:r w:rsidR="00EC657E">
        <w:t xml:space="preserve"> at Commission’s Web Site: </w:t>
      </w:r>
      <w:hyperlink r:id="rId14" w:history="1">
        <w:r w:rsidR="00AB436E" w:rsidRPr="00EC7068">
          <w:rPr>
            <w:rStyle w:val="Hyperlink"/>
          </w:rPr>
          <w:t>http://www.ferc.gov/docs-filing/efiling.asp</w:t>
        </w:r>
      </w:hyperlink>
    </w:p>
    <w:p w14:paraId="40061733" w14:textId="77777777" w:rsidR="00EE64A4" w:rsidRDefault="008410EA" w:rsidP="00A17794">
      <w:pPr>
        <w:numPr>
          <w:ilvl w:val="0"/>
          <w:numId w:val="2"/>
        </w:numPr>
        <w:tabs>
          <w:tab w:val="clear" w:pos="1500"/>
          <w:tab w:val="num" w:pos="1080"/>
        </w:tabs>
        <w:spacing w:line="480" w:lineRule="auto"/>
        <w:ind w:left="1080"/>
      </w:pPr>
      <w:r>
        <w:t xml:space="preserve">Mail/Hand Delivery/Courier: </w:t>
      </w:r>
      <w:r w:rsidR="00EE64A4">
        <w:t xml:space="preserve">Federal Energy Regulatory Commission, Secretary of the Commission, </w:t>
      </w:r>
      <w:smartTag w:uri="urn:schemas-microsoft-com:office:smarttags" w:element="address">
        <w:smartTag w:uri="urn:schemas-microsoft-com:office:smarttags" w:element="Street">
          <w:r w:rsidR="00EE64A4">
            <w:t>888 First Street, NE</w:t>
          </w:r>
        </w:smartTag>
        <w:r w:rsidR="00EE64A4">
          <w:t xml:space="preserve">, </w:t>
        </w:r>
        <w:smartTag w:uri="urn:schemas-microsoft-com:office:smarttags" w:element="City">
          <w:r w:rsidR="00EE64A4">
            <w:t>Washington</w:t>
          </w:r>
        </w:smartTag>
        <w:r w:rsidR="00EE64A4">
          <w:t xml:space="preserve">, </w:t>
        </w:r>
        <w:smartTag w:uri="urn:schemas-microsoft-com:office:smarttags" w:element="State">
          <w:r w:rsidR="00EE64A4">
            <w:t>DC</w:t>
          </w:r>
        </w:smartTag>
        <w:r w:rsidR="00EE64A4">
          <w:t xml:space="preserve"> </w:t>
        </w:r>
        <w:smartTag w:uri="urn:schemas-microsoft-com:office:smarttags" w:element="PostalCode">
          <w:r w:rsidR="00EE64A4">
            <w:t>20426</w:t>
          </w:r>
        </w:smartTag>
      </w:smartTag>
      <w:r w:rsidR="00EE64A4">
        <w:t>.</w:t>
      </w:r>
    </w:p>
    <w:p w14:paraId="44B4E894" w14:textId="77777777" w:rsidR="00785CF9" w:rsidRDefault="00EE64A4" w:rsidP="00EE64A4">
      <w:pPr>
        <w:spacing w:line="480" w:lineRule="auto"/>
      </w:pPr>
      <w:r>
        <w:rPr>
          <w:i/>
        </w:rPr>
        <w:t xml:space="preserve">Instructions: </w:t>
      </w:r>
      <w:r>
        <w:t xml:space="preserve">All submissions must </w:t>
      </w:r>
      <w:r w:rsidR="005346F4">
        <w:t xml:space="preserve">be </w:t>
      </w:r>
      <w:r w:rsidR="00D63246">
        <w:t xml:space="preserve">formatted and </w:t>
      </w:r>
      <w:r>
        <w:t>filed in accordance with submission guidelines</w:t>
      </w:r>
      <w:r w:rsidR="00A17794">
        <w:t xml:space="preserve"> at:</w:t>
      </w:r>
      <w:r>
        <w:t xml:space="preserve"> </w:t>
      </w:r>
      <w:hyperlink r:id="rId15" w:history="1">
        <w:r w:rsidR="00D63246" w:rsidRPr="00866BB4">
          <w:rPr>
            <w:rStyle w:val="Hyperlink"/>
          </w:rPr>
          <w:t>http://www.ferc.gov/help/submission-guide.asp</w:t>
        </w:r>
      </w:hyperlink>
      <w:r w:rsidR="00D63246">
        <w:t xml:space="preserve">.  </w:t>
      </w:r>
      <w:r w:rsidR="00D76D45">
        <w:t xml:space="preserve">For user assistance </w:t>
      </w:r>
      <w:r w:rsidR="00F30FE9">
        <w:t>c</w:t>
      </w:r>
      <w:r w:rsidR="00D76D45">
        <w:t>ontact FERC Online Support by e-mail at ferconlinesupport@ferc.gov, or by phone at:  (866) 208-3676 (toll-free), or (202) 502-8659 for TTY.</w:t>
      </w:r>
    </w:p>
    <w:p w14:paraId="6B4B4291" w14:textId="77777777" w:rsidR="00D76D45" w:rsidRPr="00241BFD" w:rsidRDefault="00785CF9" w:rsidP="006902C3">
      <w:pPr>
        <w:spacing w:line="480" w:lineRule="auto"/>
      </w:pPr>
      <w:r>
        <w:rPr>
          <w:i/>
        </w:rPr>
        <w:lastRenderedPageBreak/>
        <w:t>Docket:</w:t>
      </w:r>
      <w:r>
        <w:t xml:space="preserve"> </w:t>
      </w:r>
      <w:r w:rsidR="00F86890">
        <w:t xml:space="preserve">Users interested in receiving automatic notification of activity </w:t>
      </w:r>
      <w:r w:rsidR="00241BFD">
        <w:t>in this docket or in viewing/downloading comments and issuances</w:t>
      </w:r>
      <w:r w:rsidR="00F86890">
        <w:t xml:space="preserve"> </w:t>
      </w:r>
      <w:r w:rsidR="00241BFD">
        <w:t xml:space="preserve">in this docket </w:t>
      </w:r>
      <w:r w:rsidR="00F86890">
        <w:t xml:space="preserve">may do so </w:t>
      </w:r>
      <w:r w:rsidR="00241BFD">
        <w:t xml:space="preserve">at </w:t>
      </w:r>
      <w:hyperlink r:id="rId16" w:history="1">
        <w:r w:rsidR="00241BFD" w:rsidRPr="0057675D">
          <w:rPr>
            <w:rStyle w:val="Hyperlink"/>
          </w:rPr>
          <w:t>http://www.ferc.gov/docs-filing/docs-filing.asp</w:t>
        </w:r>
      </w:hyperlink>
      <w:r w:rsidR="00241BFD">
        <w:t xml:space="preserve">. </w:t>
      </w:r>
    </w:p>
    <w:bookmarkEnd w:id="1"/>
    <w:p w14:paraId="4145957C" w14:textId="77777777" w:rsidR="00F86890" w:rsidRDefault="00F86890" w:rsidP="00CE64F2">
      <w:pPr>
        <w:spacing w:line="480" w:lineRule="auto"/>
      </w:pPr>
      <w:r w:rsidRPr="00656DF0">
        <w:rPr>
          <w:b/>
        </w:rPr>
        <w:t xml:space="preserve">FOR FURTHER </w:t>
      </w:r>
      <w:r w:rsidRPr="003A18BB">
        <w:rPr>
          <w:b/>
        </w:rPr>
        <w:t>INFORMATION:</w:t>
      </w:r>
      <w:r w:rsidRPr="003A18BB">
        <w:t xml:space="preserve">  </w:t>
      </w:r>
      <w:smartTag w:uri="urn:schemas-microsoft-com:office:smarttags" w:element="PersonName">
        <w:r w:rsidRPr="003A18BB">
          <w:t>Ellen Brown</w:t>
        </w:r>
      </w:smartTag>
      <w:r w:rsidRPr="003A18BB">
        <w:t xml:space="preserve"> may be reached by e-mail at </w:t>
      </w:r>
      <w:hyperlink r:id="rId17" w:history="1">
        <w:r w:rsidR="00C56512" w:rsidRPr="003A18BB">
          <w:rPr>
            <w:rStyle w:val="Hyperlink"/>
          </w:rPr>
          <w:t>DataClearance@FERC.gov</w:t>
        </w:r>
      </w:hyperlink>
      <w:r w:rsidRPr="003A18BB">
        <w:t>, telephone at (202) 502-8663</w:t>
      </w:r>
      <w:r>
        <w:t>, and fax at (202) 273-0873.</w:t>
      </w:r>
    </w:p>
    <w:p w14:paraId="25848399" w14:textId="77777777" w:rsidR="00C056FE" w:rsidRDefault="00F86890" w:rsidP="00CE64F2">
      <w:pPr>
        <w:spacing w:line="480" w:lineRule="auto"/>
      </w:pPr>
      <w:r>
        <w:t xml:space="preserve"> </w:t>
      </w:r>
      <w:r w:rsidRPr="001C3703">
        <w:rPr>
          <w:b/>
        </w:rPr>
        <w:t>SUPPLEMENTARY INFORMATION:</w:t>
      </w:r>
      <w:r>
        <w:t xml:space="preserve">  </w:t>
      </w:r>
    </w:p>
    <w:p w14:paraId="67B95E58" w14:textId="77777777" w:rsidR="00C056FE" w:rsidRPr="003A18BB" w:rsidRDefault="00C056FE" w:rsidP="00CE64F2">
      <w:pPr>
        <w:spacing w:line="480" w:lineRule="auto"/>
      </w:pPr>
      <w:r>
        <w:rPr>
          <w:i/>
        </w:rPr>
        <w:t>Title:</w:t>
      </w:r>
      <w:r w:rsidR="00CD787F">
        <w:rPr>
          <w:i/>
        </w:rPr>
        <w:t xml:space="preserve"> </w:t>
      </w:r>
      <w:r w:rsidR="003A18BB">
        <w:t>FERC-566 (Annual Report of a Utility’s 20 Largest Purchasers)</w:t>
      </w:r>
    </w:p>
    <w:p w14:paraId="4D654709" w14:textId="77777777" w:rsidR="00C056FE" w:rsidRDefault="00C056FE" w:rsidP="00CE64F2">
      <w:pPr>
        <w:spacing w:line="480" w:lineRule="auto"/>
      </w:pPr>
      <w:r>
        <w:rPr>
          <w:i/>
        </w:rPr>
        <w:t>OMB Control No.:</w:t>
      </w:r>
      <w:r w:rsidR="00F50EDA" w:rsidRPr="00F50EDA">
        <w:t xml:space="preserve"> </w:t>
      </w:r>
      <w:r w:rsidR="003A18BB">
        <w:t>1902-0114</w:t>
      </w:r>
    </w:p>
    <w:p w14:paraId="416301C8" w14:textId="77777777" w:rsidR="00C056FE" w:rsidRDefault="00C056FE" w:rsidP="00CE64F2">
      <w:pPr>
        <w:spacing w:line="480" w:lineRule="auto"/>
      </w:pPr>
      <w:r>
        <w:rPr>
          <w:i/>
        </w:rPr>
        <w:t>Type of Request:</w:t>
      </w:r>
      <w:r>
        <w:t xml:space="preserve"> Three-year extension of the </w:t>
      </w:r>
      <w:r w:rsidRPr="003A18BB">
        <w:t>FERC-</w:t>
      </w:r>
      <w:r w:rsidR="003A18BB" w:rsidRPr="003A18BB">
        <w:t>566</w:t>
      </w:r>
      <w:r w:rsidRPr="003A18BB">
        <w:t xml:space="preserve"> information</w:t>
      </w:r>
      <w:r>
        <w:t xml:space="preserve"> collection </w:t>
      </w:r>
      <w:r w:rsidR="009447D3">
        <w:t xml:space="preserve">requirements with no changes to the current reporting requirements. </w:t>
      </w:r>
    </w:p>
    <w:p w14:paraId="0E482383" w14:textId="77777777" w:rsidR="003A18BB" w:rsidRDefault="00F76482" w:rsidP="003A1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i/>
        </w:rPr>
        <w:t xml:space="preserve">Abstract: </w:t>
      </w:r>
      <w:r w:rsidR="003A18BB">
        <w:rPr>
          <w:szCs w:val="26"/>
        </w:rPr>
        <w:t xml:space="preserve">The Federal Power Act (FPA), as amended by the </w:t>
      </w:r>
      <w:r w:rsidR="003A18BB" w:rsidRPr="00D83635">
        <w:rPr>
          <w:szCs w:val="26"/>
        </w:rPr>
        <w:t>Public Utility Regulatory Policies Act of 1978 (PURPA)</w:t>
      </w:r>
      <w:r w:rsidR="003A18BB">
        <w:rPr>
          <w:szCs w:val="26"/>
        </w:rPr>
        <w:t xml:space="preserve">, mandates federal oversight and approval of certain electric corporate activities to ensure that neither public nor private interests are adversely affected.  Accordingly, the FPA proscribes related information filing requirements to achieve this goal.  Such filing requirements are found in the Code of Federal Regulations </w:t>
      </w:r>
    </w:p>
    <w:p w14:paraId="00870181" w14:textId="77777777" w:rsidR="003A18BB" w:rsidRDefault="003A18BB" w:rsidP="003A18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Pr>
          <w:szCs w:val="26"/>
        </w:rPr>
        <w:t>(CFR), specifically in 18 CFR Section 131.31</w:t>
      </w:r>
      <w:r w:rsidR="003E13AC">
        <w:rPr>
          <w:szCs w:val="26"/>
        </w:rPr>
        <w:t>,</w:t>
      </w:r>
      <w:r>
        <w:rPr>
          <w:szCs w:val="26"/>
        </w:rPr>
        <w:t xml:space="preserve"> and serve as the basis for the FERC-566.</w:t>
      </w:r>
    </w:p>
    <w:p w14:paraId="56516C15" w14:textId="77777777" w:rsidR="00F50EDA" w:rsidRDefault="003A18BB" w:rsidP="003A18BB">
      <w:pPr>
        <w:spacing w:line="480" w:lineRule="auto"/>
        <w:ind w:firstLine="720"/>
      </w:pPr>
      <w:r w:rsidRPr="00EE6DAA">
        <w:rPr>
          <w:rFonts w:cs="Melior"/>
          <w:szCs w:val="26"/>
        </w:rPr>
        <w:t>FERC</w:t>
      </w:r>
      <w:r>
        <w:rPr>
          <w:rFonts w:cs="Melior"/>
          <w:szCs w:val="26"/>
        </w:rPr>
        <w:t>-</w:t>
      </w:r>
      <w:r w:rsidRPr="00EE6DAA">
        <w:rPr>
          <w:rFonts w:cs="Melior"/>
          <w:szCs w:val="26"/>
        </w:rPr>
        <w:t>566</w:t>
      </w:r>
      <w:r>
        <w:rPr>
          <w:rFonts w:cs="Melior"/>
          <w:szCs w:val="26"/>
        </w:rPr>
        <w:t xml:space="preserve"> implements </w:t>
      </w:r>
      <w:r w:rsidRPr="00EE6DAA">
        <w:rPr>
          <w:rFonts w:cs="Melior"/>
          <w:szCs w:val="26"/>
        </w:rPr>
        <w:t xml:space="preserve">FPA </w:t>
      </w:r>
      <w:r>
        <w:rPr>
          <w:rFonts w:cs="Melior"/>
          <w:szCs w:val="26"/>
        </w:rPr>
        <w:t xml:space="preserve">requirements </w:t>
      </w:r>
      <w:r>
        <w:rPr>
          <w:szCs w:val="26"/>
        </w:rPr>
        <w:t>that each public utility</w:t>
      </w:r>
      <w:r w:rsidRPr="00ED1697">
        <w:rPr>
          <w:szCs w:val="26"/>
        </w:rPr>
        <w:t xml:space="preserve"> </w:t>
      </w:r>
      <w:r>
        <w:rPr>
          <w:szCs w:val="26"/>
        </w:rPr>
        <w:t xml:space="preserve">annually </w:t>
      </w:r>
      <w:r w:rsidRPr="00ED1697">
        <w:rPr>
          <w:szCs w:val="26"/>
        </w:rPr>
        <w:t>publish a list</w:t>
      </w:r>
      <w:r>
        <w:rPr>
          <w:szCs w:val="26"/>
        </w:rPr>
        <w:t xml:space="preserve"> </w:t>
      </w:r>
      <w:r w:rsidRPr="00ED1697">
        <w:rPr>
          <w:szCs w:val="26"/>
        </w:rPr>
        <w:t>of the</w:t>
      </w:r>
      <w:r>
        <w:rPr>
          <w:szCs w:val="26"/>
        </w:rPr>
        <w:t xml:space="preserve"> 20</w:t>
      </w:r>
      <w:r w:rsidRPr="00ED1697">
        <w:rPr>
          <w:szCs w:val="26"/>
        </w:rPr>
        <w:t xml:space="preserve"> purchasers</w:t>
      </w:r>
      <w:r>
        <w:rPr>
          <w:szCs w:val="26"/>
        </w:rPr>
        <w:t xml:space="preserve"> which purchased the </w:t>
      </w:r>
      <w:r w:rsidRPr="00ED1697">
        <w:rPr>
          <w:szCs w:val="26"/>
        </w:rPr>
        <w:t xml:space="preserve">largest annual amounts of electric energy sold by such public </w:t>
      </w:r>
      <w:r>
        <w:rPr>
          <w:szCs w:val="26"/>
        </w:rPr>
        <w:t xml:space="preserve">utility </w:t>
      </w:r>
      <w:r w:rsidRPr="00ED1697">
        <w:rPr>
          <w:szCs w:val="26"/>
        </w:rPr>
        <w:t xml:space="preserve">during any </w:t>
      </w:r>
      <w:r>
        <w:rPr>
          <w:szCs w:val="26"/>
        </w:rPr>
        <w:t>of the three</w:t>
      </w:r>
      <w:r w:rsidRPr="00ED1697">
        <w:rPr>
          <w:szCs w:val="26"/>
        </w:rPr>
        <w:t xml:space="preserve"> </w:t>
      </w:r>
      <w:r>
        <w:rPr>
          <w:szCs w:val="26"/>
        </w:rPr>
        <w:t>previous calendar years</w:t>
      </w:r>
      <w:r w:rsidRPr="00ED1697">
        <w:rPr>
          <w:szCs w:val="26"/>
        </w:rPr>
        <w:t>.</w:t>
      </w:r>
      <w:r>
        <w:rPr>
          <w:szCs w:val="26"/>
        </w:rPr>
        <w:t xml:space="preserve"> </w:t>
      </w:r>
      <w:r w:rsidRPr="00ED1697">
        <w:rPr>
          <w:szCs w:val="26"/>
        </w:rPr>
        <w:t xml:space="preserve"> </w:t>
      </w:r>
      <w:r>
        <w:rPr>
          <w:szCs w:val="26"/>
        </w:rPr>
        <w:t xml:space="preserve">The public disclosure of this information provides the information necessary to determine whether an interlocked position is with any of the 20 largest purchasers of electric energy.  Similar </w:t>
      </w:r>
      <w:r>
        <w:rPr>
          <w:szCs w:val="26"/>
        </w:rPr>
        <w:lastRenderedPageBreak/>
        <w:t>to the Form 561</w:t>
      </w:r>
      <w:r w:rsidR="00793841">
        <w:rPr>
          <w:rStyle w:val="FootnoteReference"/>
        </w:rPr>
        <w:footnoteReference w:id="1"/>
      </w:r>
      <w:r>
        <w:rPr>
          <w:szCs w:val="26"/>
        </w:rPr>
        <w:t xml:space="preserve">, the FPA identifies who must </w:t>
      </w:r>
      <w:r>
        <w:rPr>
          <w:rFonts w:cs="Melior"/>
          <w:szCs w:val="26"/>
        </w:rPr>
        <w:t>file the FERC-566 report and</w:t>
      </w:r>
      <w:r w:rsidRPr="008A55AE">
        <w:rPr>
          <w:rFonts w:cs="Melior"/>
          <w:szCs w:val="26"/>
        </w:rPr>
        <w:t xml:space="preserve"> </w:t>
      </w:r>
      <w:r>
        <w:rPr>
          <w:rFonts w:cs="Melior"/>
          <w:szCs w:val="26"/>
        </w:rPr>
        <w:t xml:space="preserve">sets </w:t>
      </w:r>
      <w:r w:rsidRPr="00EE6DAA">
        <w:rPr>
          <w:rFonts w:cs="Melior"/>
          <w:szCs w:val="26"/>
        </w:rPr>
        <w:t>the filing deadline</w:t>
      </w:r>
      <w:r>
        <w:rPr>
          <w:rFonts w:cs="Melior"/>
          <w:szCs w:val="26"/>
        </w:rPr>
        <w:t>.</w:t>
      </w:r>
    </w:p>
    <w:p w14:paraId="0CAC40A5" w14:textId="77777777" w:rsidR="009679E3" w:rsidRPr="009679E3" w:rsidRDefault="009537F4" w:rsidP="00CE64F2">
      <w:pPr>
        <w:spacing w:line="480" w:lineRule="auto"/>
      </w:pPr>
      <w:r>
        <w:rPr>
          <w:i/>
        </w:rPr>
        <w:t xml:space="preserve">Type of Respondents: </w:t>
      </w:r>
      <w:r w:rsidR="00CF0FC1">
        <w:rPr>
          <w:szCs w:val="26"/>
        </w:rPr>
        <w:t>P</w:t>
      </w:r>
      <w:r w:rsidR="003A18BB">
        <w:rPr>
          <w:szCs w:val="26"/>
        </w:rPr>
        <w:t>ublic utility</w:t>
      </w:r>
    </w:p>
    <w:p w14:paraId="47389ECE" w14:textId="77777777" w:rsidR="00696A1D" w:rsidRDefault="00696A1D" w:rsidP="00696A1D">
      <w:pPr>
        <w:spacing w:line="480" w:lineRule="auto"/>
      </w:pPr>
      <w:r>
        <w:rPr>
          <w:i/>
        </w:rPr>
        <w:t>Estimate of Annual Burden</w:t>
      </w:r>
      <w:r w:rsidRPr="009C29F3">
        <w:rPr>
          <w:rStyle w:val="FootnoteReference"/>
        </w:rPr>
        <w:footnoteReference w:id="2"/>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96A1D" w:rsidRPr="00D77538" w14:paraId="138F0C36" w14:textId="77777777" w:rsidTr="00A226EE">
        <w:trPr>
          <w:cantSplit/>
        </w:trPr>
        <w:tc>
          <w:tcPr>
            <w:tcW w:w="5000" w:type="pct"/>
            <w:gridSpan w:val="7"/>
            <w:tcBorders>
              <w:bottom w:val="single" w:sz="4" w:space="0" w:color="auto"/>
            </w:tcBorders>
            <w:shd w:val="clear" w:color="auto" w:fill="D9D9D9"/>
          </w:tcPr>
          <w:p w14:paraId="62312CC2" w14:textId="77777777" w:rsidR="00696A1D" w:rsidRPr="006A60CF" w:rsidRDefault="003A18BB" w:rsidP="00A226EE">
            <w:pPr>
              <w:jc w:val="center"/>
              <w:rPr>
                <w:rFonts w:eastAsia="Calibri"/>
                <w:b/>
                <w:sz w:val="20"/>
                <w:szCs w:val="20"/>
              </w:rPr>
            </w:pPr>
            <w:r>
              <w:rPr>
                <w:rFonts w:eastAsia="Calibri"/>
                <w:b/>
                <w:sz w:val="20"/>
                <w:szCs w:val="20"/>
              </w:rPr>
              <w:t>FERC-566 (</w:t>
            </w:r>
            <w:r w:rsidRPr="003A18BB">
              <w:rPr>
                <w:rFonts w:eastAsia="Calibri"/>
                <w:b/>
                <w:sz w:val="20"/>
                <w:szCs w:val="20"/>
              </w:rPr>
              <w:t>Annual Report of a Utility’s 20 Largest Purchasers</w:t>
            </w:r>
            <w:r>
              <w:rPr>
                <w:rFonts w:eastAsia="Calibri"/>
                <w:b/>
                <w:sz w:val="20"/>
                <w:szCs w:val="20"/>
              </w:rPr>
              <w:t>)</w:t>
            </w:r>
          </w:p>
        </w:tc>
      </w:tr>
      <w:tr w:rsidR="00696A1D" w:rsidRPr="00D77538" w14:paraId="428204B2" w14:textId="77777777" w:rsidTr="00A226EE">
        <w:trPr>
          <w:cantSplit/>
        </w:trPr>
        <w:tc>
          <w:tcPr>
            <w:tcW w:w="878" w:type="pct"/>
            <w:shd w:val="clear" w:color="auto" w:fill="D9D9D9"/>
          </w:tcPr>
          <w:p w14:paraId="71D41F26" w14:textId="77777777" w:rsidR="00696A1D" w:rsidRPr="006A60CF" w:rsidRDefault="00696A1D" w:rsidP="00A226EE">
            <w:pPr>
              <w:jc w:val="center"/>
              <w:rPr>
                <w:rFonts w:eastAsia="Calibri"/>
                <w:b/>
                <w:sz w:val="20"/>
                <w:szCs w:val="20"/>
              </w:rPr>
            </w:pPr>
          </w:p>
        </w:tc>
        <w:tc>
          <w:tcPr>
            <w:tcW w:w="746" w:type="pct"/>
            <w:shd w:val="clear" w:color="auto" w:fill="D9D9D9"/>
            <w:vAlign w:val="bottom"/>
          </w:tcPr>
          <w:p w14:paraId="71BBE319" w14:textId="77777777" w:rsidR="00696A1D" w:rsidRPr="006A60CF" w:rsidRDefault="00696A1D" w:rsidP="00A226EE">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50041E4E" w14:textId="77777777" w:rsidR="00696A1D" w:rsidRPr="006A60CF" w:rsidRDefault="00696A1D" w:rsidP="00A226EE">
            <w:pPr>
              <w:jc w:val="center"/>
              <w:rPr>
                <w:rFonts w:eastAsia="Calibri"/>
                <w:b/>
                <w:sz w:val="20"/>
                <w:szCs w:val="20"/>
              </w:rPr>
            </w:pPr>
            <w:r w:rsidRPr="006A60CF">
              <w:rPr>
                <w:rFonts w:eastAsia="Calibri"/>
                <w:b/>
                <w:sz w:val="20"/>
                <w:szCs w:val="20"/>
              </w:rPr>
              <w:t>Annual Number of Responses per Respondent</w:t>
            </w:r>
          </w:p>
          <w:p w14:paraId="490B89A6" w14:textId="77777777" w:rsidR="00696A1D" w:rsidRPr="006A60CF" w:rsidRDefault="00696A1D" w:rsidP="00A226EE">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5AAC940C" w14:textId="77777777" w:rsidR="00696A1D" w:rsidRPr="006A60CF" w:rsidRDefault="00696A1D" w:rsidP="00A226EE">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29B87C08" w14:textId="77777777" w:rsidR="00696A1D" w:rsidRPr="006A60CF" w:rsidRDefault="00696A1D" w:rsidP="00A226EE">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3"/>
            </w:r>
          </w:p>
          <w:p w14:paraId="257B196C" w14:textId="77777777" w:rsidR="00696A1D" w:rsidRPr="006A60CF" w:rsidRDefault="00696A1D" w:rsidP="00A226EE">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7E8B07E4" w14:textId="77777777" w:rsidR="00696A1D" w:rsidRPr="006A60CF" w:rsidRDefault="00696A1D" w:rsidP="00A226EE">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36BAB6DB" w14:textId="77777777" w:rsidR="00696A1D" w:rsidRPr="006A60CF" w:rsidRDefault="00696A1D" w:rsidP="00A226EE">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3405C14E" w14:textId="77777777" w:rsidR="00696A1D" w:rsidRPr="006A60CF" w:rsidRDefault="00696A1D" w:rsidP="00A226EE">
            <w:pPr>
              <w:jc w:val="center"/>
              <w:rPr>
                <w:rFonts w:eastAsia="Calibri"/>
                <w:b/>
                <w:sz w:val="20"/>
                <w:szCs w:val="20"/>
              </w:rPr>
            </w:pPr>
            <w:r w:rsidRPr="006A60CF">
              <w:rPr>
                <w:rFonts w:eastAsia="Calibri"/>
                <w:b/>
                <w:sz w:val="20"/>
                <w:szCs w:val="20"/>
              </w:rPr>
              <w:t>Cost per Respondent</w:t>
            </w:r>
          </w:p>
          <w:p w14:paraId="5BD5ADB1" w14:textId="77777777" w:rsidR="00696A1D" w:rsidRPr="006A60CF" w:rsidRDefault="00696A1D" w:rsidP="00A226EE">
            <w:pPr>
              <w:jc w:val="center"/>
              <w:rPr>
                <w:rFonts w:eastAsia="Calibri"/>
                <w:b/>
                <w:sz w:val="20"/>
                <w:szCs w:val="20"/>
              </w:rPr>
            </w:pPr>
            <w:r w:rsidRPr="006A60CF">
              <w:rPr>
                <w:rFonts w:eastAsia="Calibri"/>
                <w:b/>
                <w:sz w:val="20"/>
                <w:szCs w:val="20"/>
              </w:rPr>
              <w:t xml:space="preserve"> ($)</w:t>
            </w:r>
          </w:p>
          <w:p w14:paraId="2F754FC5" w14:textId="77777777" w:rsidR="00696A1D" w:rsidRPr="006A60CF" w:rsidRDefault="00696A1D" w:rsidP="00A226EE">
            <w:pPr>
              <w:jc w:val="center"/>
              <w:rPr>
                <w:rFonts w:eastAsia="Calibri"/>
                <w:b/>
                <w:sz w:val="20"/>
                <w:szCs w:val="20"/>
              </w:rPr>
            </w:pPr>
            <w:r w:rsidRPr="006A60CF">
              <w:rPr>
                <w:rFonts w:eastAsia="Calibri"/>
                <w:b/>
                <w:sz w:val="20"/>
                <w:szCs w:val="20"/>
              </w:rPr>
              <w:t>(5)÷(1)</w:t>
            </w:r>
          </w:p>
        </w:tc>
      </w:tr>
      <w:tr w:rsidR="00696A1D" w:rsidRPr="00D77538" w14:paraId="7C6BD352" w14:textId="77777777" w:rsidTr="00A226EE">
        <w:trPr>
          <w:cantSplit/>
        </w:trPr>
        <w:tc>
          <w:tcPr>
            <w:tcW w:w="878" w:type="pct"/>
          </w:tcPr>
          <w:p w14:paraId="10FAE91F" w14:textId="77777777" w:rsidR="00696A1D" w:rsidRPr="006A60CF" w:rsidRDefault="003A18BB" w:rsidP="00A226EE">
            <w:pPr>
              <w:rPr>
                <w:rFonts w:eastAsia="Calibri"/>
                <w:sz w:val="20"/>
                <w:szCs w:val="20"/>
              </w:rPr>
            </w:pPr>
            <w:r>
              <w:rPr>
                <w:rFonts w:eastAsia="Calibri"/>
                <w:sz w:val="20"/>
                <w:szCs w:val="20"/>
              </w:rPr>
              <w:t>FERC-566</w:t>
            </w:r>
          </w:p>
        </w:tc>
        <w:tc>
          <w:tcPr>
            <w:tcW w:w="746" w:type="pct"/>
          </w:tcPr>
          <w:p w14:paraId="04CE168B" w14:textId="77777777" w:rsidR="00696A1D" w:rsidRPr="006A60CF" w:rsidRDefault="006809A1" w:rsidP="006809A1">
            <w:pPr>
              <w:jc w:val="right"/>
              <w:rPr>
                <w:rFonts w:eastAsia="Calibri"/>
                <w:sz w:val="20"/>
                <w:szCs w:val="20"/>
              </w:rPr>
            </w:pPr>
            <w:r>
              <w:rPr>
                <w:rFonts w:eastAsia="Calibri"/>
                <w:sz w:val="20"/>
                <w:szCs w:val="20"/>
              </w:rPr>
              <w:t>300</w:t>
            </w:r>
          </w:p>
        </w:tc>
        <w:tc>
          <w:tcPr>
            <w:tcW w:w="746" w:type="pct"/>
          </w:tcPr>
          <w:p w14:paraId="71438286" w14:textId="77777777" w:rsidR="00696A1D" w:rsidRPr="006A60CF" w:rsidRDefault="003A18BB" w:rsidP="00A226EE">
            <w:pPr>
              <w:jc w:val="right"/>
              <w:rPr>
                <w:rFonts w:eastAsia="Calibri"/>
                <w:sz w:val="20"/>
                <w:szCs w:val="20"/>
              </w:rPr>
            </w:pPr>
            <w:r>
              <w:rPr>
                <w:rFonts w:eastAsia="Calibri"/>
                <w:sz w:val="20"/>
                <w:szCs w:val="20"/>
              </w:rPr>
              <w:t>1</w:t>
            </w:r>
          </w:p>
        </w:tc>
        <w:tc>
          <w:tcPr>
            <w:tcW w:w="703" w:type="pct"/>
          </w:tcPr>
          <w:p w14:paraId="45F33914" w14:textId="77777777" w:rsidR="00696A1D" w:rsidRPr="006A60CF" w:rsidRDefault="006809A1" w:rsidP="00A226EE">
            <w:pPr>
              <w:jc w:val="right"/>
              <w:rPr>
                <w:rFonts w:eastAsia="Calibri"/>
                <w:sz w:val="20"/>
                <w:szCs w:val="20"/>
              </w:rPr>
            </w:pPr>
            <w:r>
              <w:rPr>
                <w:rFonts w:eastAsia="Calibri"/>
                <w:sz w:val="20"/>
                <w:szCs w:val="20"/>
              </w:rPr>
              <w:t>300</w:t>
            </w:r>
          </w:p>
        </w:tc>
        <w:tc>
          <w:tcPr>
            <w:tcW w:w="654" w:type="pct"/>
          </w:tcPr>
          <w:p w14:paraId="1EE18B69" w14:textId="77777777" w:rsidR="006809A1" w:rsidRDefault="006809A1" w:rsidP="00A226EE">
            <w:pPr>
              <w:jc w:val="right"/>
              <w:rPr>
                <w:rFonts w:eastAsia="Calibri"/>
                <w:sz w:val="20"/>
                <w:szCs w:val="20"/>
              </w:rPr>
            </w:pPr>
            <w:r>
              <w:rPr>
                <w:rFonts w:eastAsia="Calibri"/>
                <w:sz w:val="20"/>
                <w:szCs w:val="20"/>
              </w:rPr>
              <w:t>4</w:t>
            </w:r>
            <w:r w:rsidR="000B7F9A">
              <w:rPr>
                <w:rFonts w:eastAsia="Calibri"/>
                <w:sz w:val="20"/>
                <w:szCs w:val="20"/>
              </w:rPr>
              <w:t xml:space="preserve"> hrs.;</w:t>
            </w:r>
          </w:p>
          <w:p w14:paraId="4DADF823" w14:textId="77777777" w:rsidR="00696A1D" w:rsidRPr="006A60CF" w:rsidRDefault="00696A1D" w:rsidP="005214CE">
            <w:pPr>
              <w:jc w:val="right"/>
              <w:rPr>
                <w:rFonts w:eastAsia="Calibri"/>
                <w:sz w:val="20"/>
                <w:szCs w:val="20"/>
              </w:rPr>
            </w:pPr>
            <w:r w:rsidRPr="006A60CF">
              <w:rPr>
                <w:rFonts w:eastAsia="Calibri"/>
                <w:sz w:val="20"/>
                <w:szCs w:val="20"/>
              </w:rPr>
              <w:t>$</w:t>
            </w:r>
            <w:r w:rsidR="005214CE">
              <w:rPr>
                <w:rFonts w:eastAsia="Calibri"/>
                <w:sz w:val="20"/>
                <w:szCs w:val="20"/>
              </w:rPr>
              <w:t>306</w:t>
            </w:r>
          </w:p>
        </w:tc>
        <w:tc>
          <w:tcPr>
            <w:tcW w:w="657" w:type="pct"/>
          </w:tcPr>
          <w:p w14:paraId="26152B03" w14:textId="77777777" w:rsidR="00696A1D" w:rsidRPr="006A60CF" w:rsidRDefault="003A18BB" w:rsidP="00A226EE">
            <w:pPr>
              <w:jc w:val="right"/>
              <w:rPr>
                <w:rFonts w:eastAsia="Calibri"/>
                <w:sz w:val="20"/>
                <w:szCs w:val="20"/>
              </w:rPr>
            </w:pPr>
            <w:r>
              <w:rPr>
                <w:rFonts w:eastAsia="Calibri"/>
                <w:sz w:val="20"/>
                <w:szCs w:val="20"/>
              </w:rPr>
              <w:t xml:space="preserve"> 1,</w:t>
            </w:r>
            <w:r w:rsidR="006809A1">
              <w:rPr>
                <w:rFonts w:eastAsia="Calibri"/>
                <w:sz w:val="20"/>
                <w:szCs w:val="20"/>
              </w:rPr>
              <w:t>200</w:t>
            </w:r>
            <w:r w:rsidR="000B7F9A">
              <w:rPr>
                <w:rFonts w:eastAsia="Calibri"/>
                <w:sz w:val="20"/>
                <w:szCs w:val="20"/>
              </w:rPr>
              <w:t xml:space="preserve"> hrs.;</w:t>
            </w:r>
          </w:p>
          <w:p w14:paraId="151FD2D5" w14:textId="77777777" w:rsidR="00696A1D" w:rsidRPr="006A60CF" w:rsidRDefault="005214CE" w:rsidP="00A226EE">
            <w:pPr>
              <w:jc w:val="right"/>
              <w:rPr>
                <w:rFonts w:eastAsia="Calibri"/>
                <w:sz w:val="20"/>
                <w:szCs w:val="20"/>
              </w:rPr>
            </w:pPr>
            <w:r>
              <w:rPr>
                <w:rFonts w:eastAsia="Calibri"/>
                <w:sz w:val="20"/>
                <w:szCs w:val="20"/>
              </w:rPr>
              <w:t>$91,800</w:t>
            </w:r>
            <w:r w:rsidR="00696A1D" w:rsidRPr="006A60CF">
              <w:rPr>
                <w:rFonts w:eastAsia="Calibri"/>
                <w:sz w:val="20"/>
                <w:szCs w:val="20"/>
              </w:rPr>
              <w:t xml:space="preserve"> </w:t>
            </w:r>
          </w:p>
        </w:tc>
        <w:tc>
          <w:tcPr>
            <w:tcW w:w="616" w:type="pct"/>
          </w:tcPr>
          <w:p w14:paraId="00E7E676" w14:textId="77777777" w:rsidR="00696A1D" w:rsidRPr="006A60CF" w:rsidRDefault="00696A1D" w:rsidP="00A226EE">
            <w:pPr>
              <w:jc w:val="right"/>
              <w:rPr>
                <w:rFonts w:eastAsia="Calibri"/>
                <w:sz w:val="20"/>
                <w:szCs w:val="20"/>
              </w:rPr>
            </w:pPr>
            <w:r w:rsidRPr="006A60CF">
              <w:rPr>
                <w:rFonts w:eastAsia="Calibri"/>
                <w:sz w:val="20"/>
                <w:szCs w:val="20"/>
              </w:rPr>
              <w:t>$</w:t>
            </w:r>
            <w:r w:rsidR="005214CE">
              <w:rPr>
                <w:rFonts w:eastAsia="Calibri"/>
                <w:sz w:val="20"/>
                <w:szCs w:val="20"/>
              </w:rPr>
              <w:t>306</w:t>
            </w:r>
            <w:r w:rsidR="005214CE" w:rsidRPr="006A60CF">
              <w:rPr>
                <w:rFonts w:eastAsia="Calibri"/>
                <w:sz w:val="20"/>
                <w:szCs w:val="20"/>
              </w:rPr>
              <w:t xml:space="preserve"> </w:t>
            </w:r>
          </w:p>
          <w:p w14:paraId="5B80EF5E" w14:textId="77777777" w:rsidR="00696A1D" w:rsidRPr="006A60CF" w:rsidRDefault="00696A1D" w:rsidP="00A226EE">
            <w:pPr>
              <w:jc w:val="right"/>
              <w:rPr>
                <w:rFonts w:eastAsia="Calibri"/>
                <w:sz w:val="20"/>
                <w:szCs w:val="20"/>
              </w:rPr>
            </w:pPr>
          </w:p>
        </w:tc>
      </w:tr>
    </w:tbl>
    <w:p w14:paraId="4F96E4DA" w14:textId="77777777" w:rsidR="00F86890" w:rsidRDefault="00F86890" w:rsidP="00CE64F2">
      <w:pPr>
        <w:spacing w:line="480" w:lineRule="auto"/>
      </w:pPr>
    </w:p>
    <w:p w14:paraId="6AD666F8" w14:textId="77777777" w:rsidR="00F86890" w:rsidRDefault="009537F4" w:rsidP="00C53513">
      <w:pPr>
        <w:spacing w:line="480" w:lineRule="auto"/>
      </w:pPr>
      <w:r>
        <w:rPr>
          <w:i/>
        </w:rPr>
        <w:t xml:space="preserve">Comments:  </w:t>
      </w:r>
      <w:r w:rsidR="00F86890">
        <w:t xml:space="preserve">Comments are invited on:  (1) whether the collection of information is necessary for the proper performance of the functions of the Commission, including whether the information will have practical utility; (2) the accuracy of the agency's estimate of the burden </w:t>
      </w:r>
      <w:r w:rsidR="009447D3">
        <w:t xml:space="preserve">and cost </w:t>
      </w:r>
      <w:r w:rsidR="00F86890">
        <w:t xml:space="preserve">of the collection of information, including the validity of the methodology and assumptions used; (3) ways to enhance the quality, utility and clarity of the information </w:t>
      </w:r>
      <w:r w:rsidR="00647B24">
        <w:t>collection</w:t>
      </w:r>
      <w:r w:rsidR="00F86890">
        <w:t>; and (4) ways to minimize the burden of the collection of information on those who are to respond, i</w:t>
      </w:r>
      <w:r w:rsidR="00647B24">
        <w:t xml:space="preserve">ncluding the use of </w:t>
      </w:r>
      <w:r w:rsidR="00F86890">
        <w:t xml:space="preserve">automated collection techniques or other forms of information technology.  </w:t>
      </w:r>
    </w:p>
    <w:p w14:paraId="65A218AD" w14:textId="2849436C" w:rsidR="0078241C" w:rsidRDefault="0078241C" w:rsidP="009C29F3"/>
    <w:p w14:paraId="1DAC6060" w14:textId="367434DC" w:rsidR="009C29F3" w:rsidRDefault="009C29F3" w:rsidP="009C29F3"/>
    <w:p w14:paraId="231CA08F" w14:textId="42197707" w:rsidR="009C29F3" w:rsidRDefault="009C29F3" w:rsidP="009C29F3"/>
    <w:p w14:paraId="65F81278" w14:textId="2441A622" w:rsidR="009C29F3" w:rsidRDefault="009C29F3" w:rsidP="009C29F3"/>
    <w:p w14:paraId="058F2C7D" w14:textId="314DFF13" w:rsidR="009C29F3" w:rsidRPr="009C29F3" w:rsidRDefault="009C29F3" w:rsidP="009C29F3">
      <w:pPr>
        <w:ind w:firstLine="2174"/>
        <w:jc w:val="center"/>
      </w:pPr>
      <w:r w:rsidRPr="009C29F3">
        <w:t>Kimberly D. Bose,</w:t>
      </w:r>
    </w:p>
    <w:p w14:paraId="0E1BB469" w14:textId="183F43C3" w:rsidR="009C29F3" w:rsidRPr="009C29F3" w:rsidRDefault="009C29F3" w:rsidP="009C29F3">
      <w:pPr>
        <w:ind w:firstLine="2174"/>
        <w:jc w:val="center"/>
      </w:pPr>
      <w:r w:rsidRPr="009C29F3">
        <w:t>Secretary.</w:t>
      </w:r>
    </w:p>
    <w:p w14:paraId="22253984" w14:textId="77777777" w:rsidR="009C29F3" w:rsidRDefault="009C29F3" w:rsidP="009C29F3"/>
    <w:sectPr w:rsidR="009C29F3" w:rsidSect="00EF5878">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3E9F0" w14:textId="77777777" w:rsidR="002C1E65" w:rsidRDefault="002C1E65">
      <w:r>
        <w:separator/>
      </w:r>
    </w:p>
  </w:endnote>
  <w:endnote w:type="continuationSeparator" w:id="0">
    <w:p w14:paraId="01750CEB" w14:textId="77777777" w:rsidR="002C1E65" w:rsidRDefault="002C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AB8F" w14:textId="77777777" w:rsidR="002C1E65" w:rsidRDefault="002C1E65">
      <w:r>
        <w:separator/>
      </w:r>
    </w:p>
  </w:footnote>
  <w:footnote w:type="continuationSeparator" w:id="0">
    <w:p w14:paraId="0AFB92F4" w14:textId="77777777" w:rsidR="002C1E65" w:rsidRDefault="002C1E65">
      <w:r>
        <w:continuationSeparator/>
      </w:r>
    </w:p>
  </w:footnote>
  <w:footnote w:id="1">
    <w:p w14:paraId="505650D2" w14:textId="44F2FA04" w:rsidR="00793841" w:rsidRDefault="00793841" w:rsidP="009C29F3">
      <w:pPr>
        <w:pStyle w:val="FootnoteText"/>
        <w:ind w:firstLine="720"/>
        <w:rPr>
          <w:sz w:val="26"/>
          <w:szCs w:val="26"/>
        </w:rPr>
      </w:pPr>
      <w:r w:rsidRPr="009C29F3">
        <w:rPr>
          <w:rStyle w:val="FootnoteReference"/>
        </w:rPr>
        <w:footnoteRef/>
      </w:r>
      <w:r w:rsidRPr="009C29F3">
        <w:rPr>
          <w:sz w:val="26"/>
          <w:szCs w:val="26"/>
        </w:rPr>
        <w:t xml:space="preserve"> FERC Form No. 561 (</w:t>
      </w:r>
      <w:r w:rsidR="00CF0FC1" w:rsidRPr="009C29F3">
        <w:rPr>
          <w:sz w:val="26"/>
          <w:szCs w:val="26"/>
        </w:rPr>
        <w:t xml:space="preserve">Annual Report of </w:t>
      </w:r>
      <w:r w:rsidRPr="009C29F3">
        <w:rPr>
          <w:sz w:val="26"/>
          <w:szCs w:val="26"/>
        </w:rPr>
        <w:t>Interlocking Directorates), OMB Control No. 1902-0099.</w:t>
      </w:r>
    </w:p>
    <w:p w14:paraId="41853C82" w14:textId="77777777" w:rsidR="009C29F3" w:rsidRPr="009C29F3" w:rsidRDefault="009C29F3" w:rsidP="009C29F3">
      <w:pPr>
        <w:pStyle w:val="FootnoteText"/>
        <w:ind w:firstLine="720"/>
        <w:rPr>
          <w:sz w:val="26"/>
          <w:szCs w:val="26"/>
        </w:rPr>
      </w:pPr>
    </w:p>
  </w:footnote>
  <w:footnote w:id="2">
    <w:p w14:paraId="1A67740A" w14:textId="77777777" w:rsidR="00696A1D" w:rsidRDefault="00696A1D" w:rsidP="009C29F3">
      <w:pPr>
        <w:pStyle w:val="FootnoteText"/>
        <w:ind w:firstLine="720"/>
        <w:rPr>
          <w:sz w:val="26"/>
          <w:szCs w:val="26"/>
        </w:rPr>
      </w:pPr>
      <w:r w:rsidRPr="009C29F3">
        <w:rPr>
          <w:rStyle w:val="FootnoteReference"/>
        </w:rPr>
        <w:footnoteRef/>
      </w:r>
      <w:r w:rsidRPr="009C29F3">
        <w:rPr>
          <w:sz w:val="26"/>
          <w:szCs w:val="26"/>
        </w:rPr>
        <w:t xml:space="preserve"> </w:t>
      </w:r>
      <w:r w:rsidR="000B7F9A" w:rsidRPr="009C29F3">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p w14:paraId="2F6F1DEC" w14:textId="77777777" w:rsidR="009C29F3" w:rsidRPr="009C29F3" w:rsidRDefault="009C29F3" w:rsidP="009C29F3">
      <w:pPr>
        <w:pStyle w:val="FootnoteText"/>
        <w:ind w:firstLine="720"/>
        <w:rPr>
          <w:sz w:val="26"/>
          <w:szCs w:val="26"/>
        </w:rPr>
      </w:pPr>
    </w:p>
  </w:footnote>
  <w:footnote w:id="3">
    <w:p w14:paraId="0DDB5EC1" w14:textId="77777777" w:rsidR="00696A1D" w:rsidRPr="009C29F3" w:rsidRDefault="00696A1D" w:rsidP="009C29F3">
      <w:pPr>
        <w:pStyle w:val="FootnoteText"/>
        <w:ind w:firstLine="720"/>
        <w:rPr>
          <w:sz w:val="26"/>
          <w:szCs w:val="26"/>
        </w:rPr>
      </w:pPr>
      <w:r w:rsidRPr="009C29F3">
        <w:rPr>
          <w:rStyle w:val="FootnoteReference"/>
        </w:rPr>
        <w:footnoteRef/>
      </w:r>
      <w:r w:rsidRPr="009C29F3">
        <w:rPr>
          <w:sz w:val="26"/>
          <w:szCs w:val="26"/>
        </w:rPr>
        <w:t xml:space="preserve"> </w:t>
      </w:r>
      <w:r w:rsidR="00793841" w:rsidRPr="009C29F3">
        <w:rPr>
          <w:sz w:val="26"/>
          <w:szCs w:val="26"/>
        </w:rPr>
        <w:t xml:space="preserve">The estimates for cost per response are derived using the following formula: Average Burden Hours per Response * $76.50 per Hour = Average Cost per Response.  The figure comes from the 2017 FERC average hourly cost (for wages and benefits).of $76.50 (and an average annual salary of $158,754).  Commission staff is using the FERC average </w:t>
      </w:r>
      <w:r w:rsidR="00D550A6" w:rsidRPr="009C29F3">
        <w:rPr>
          <w:sz w:val="26"/>
          <w:szCs w:val="26"/>
        </w:rPr>
        <w:t xml:space="preserve">hourly cost </w:t>
      </w:r>
      <w:r w:rsidR="00793841" w:rsidRPr="009C29F3">
        <w:rPr>
          <w:sz w:val="26"/>
          <w:szCs w:val="26"/>
        </w:rPr>
        <w:t>because we consider any reporting completed in response to the FERC-566 to be compensated at rates similar to the work of FERC employees.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C7AD4"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110289" w14:textId="77777777" w:rsidR="004D79AA" w:rsidRDefault="004D79AA" w:rsidP="005E31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1F62C" w14:textId="77777777" w:rsidR="004D79AA" w:rsidRDefault="004D79AA"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1C37">
      <w:rPr>
        <w:rStyle w:val="PageNumber"/>
        <w:noProof/>
      </w:rPr>
      <w:t>2</w:t>
    </w:r>
    <w:r>
      <w:rPr>
        <w:rStyle w:val="PageNumber"/>
      </w:rPr>
      <w:fldChar w:fldCharType="end"/>
    </w:r>
  </w:p>
  <w:p w14:paraId="568DB778" w14:textId="77777777" w:rsidR="004D79AA" w:rsidRDefault="004D79AA" w:rsidP="005E318F">
    <w:pPr>
      <w:pStyle w:val="Header"/>
      <w:ind w:right="360"/>
    </w:pPr>
    <w:r w:rsidRPr="00793841">
      <w:t xml:space="preserve">Docket No. </w:t>
    </w:r>
    <w:r w:rsidR="00793841" w:rsidRPr="00793841">
      <w:t>IC18-12</w:t>
    </w:r>
    <w:r w:rsidRPr="00793841">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90"/>
    <w:rsid w:val="0000007C"/>
    <w:rsid w:val="00002127"/>
    <w:rsid w:val="0000305D"/>
    <w:rsid w:val="00003A58"/>
    <w:rsid w:val="00004A34"/>
    <w:rsid w:val="00004D97"/>
    <w:rsid w:val="00004E01"/>
    <w:rsid w:val="00014E36"/>
    <w:rsid w:val="00024ECA"/>
    <w:rsid w:val="00025F15"/>
    <w:rsid w:val="00036FEC"/>
    <w:rsid w:val="00041471"/>
    <w:rsid w:val="00043468"/>
    <w:rsid w:val="000436E9"/>
    <w:rsid w:val="0005366B"/>
    <w:rsid w:val="00055C05"/>
    <w:rsid w:val="0006335A"/>
    <w:rsid w:val="00072256"/>
    <w:rsid w:val="00072448"/>
    <w:rsid w:val="00073DEB"/>
    <w:rsid w:val="00080D5F"/>
    <w:rsid w:val="000838BE"/>
    <w:rsid w:val="000854B7"/>
    <w:rsid w:val="00093E92"/>
    <w:rsid w:val="000A27CA"/>
    <w:rsid w:val="000A5308"/>
    <w:rsid w:val="000A7D1F"/>
    <w:rsid w:val="000B723A"/>
    <w:rsid w:val="000B7F9A"/>
    <w:rsid w:val="000C22B5"/>
    <w:rsid w:val="000C47F2"/>
    <w:rsid w:val="000C56A4"/>
    <w:rsid w:val="000D3639"/>
    <w:rsid w:val="000D5216"/>
    <w:rsid w:val="000F3E00"/>
    <w:rsid w:val="00103D50"/>
    <w:rsid w:val="00114B14"/>
    <w:rsid w:val="001240FD"/>
    <w:rsid w:val="00125F00"/>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204D0F"/>
    <w:rsid w:val="00215A17"/>
    <w:rsid w:val="002265E9"/>
    <w:rsid w:val="00241BFD"/>
    <w:rsid w:val="00251C88"/>
    <w:rsid w:val="00252CD0"/>
    <w:rsid w:val="002677D6"/>
    <w:rsid w:val="0027273D"/>
    <w:rsid w:val="00285E62"/>
    <w:rsid w:val="0028677A"/>
    <w:rsid w:val="0029476E"/>
    <w:rsid w:val="00296592"/>
    <w:rsid w:val="002A6174"/>
    <w:rsid w:val="002B43A6"/>
    <w:rsid w:val="002B62A0"/>
    <w:rsid w:val="002C0ECB"/>
    <w:rsid w:val="002C1E65"/>
    <w:rsid w:val="002C23E9"/>
    <w:rsid w:val="00317A96"/>
    <w:rsid w:val="00321EB8"/>
    <w:rsid w:val="00323139"/>
    <w:rsid w:val="00335092"/>
    <w:rsid w:val="00341866"/>
    <w:rsid w:val="00356E26"/>
    <w:rsid w:val="00366669"/>
    <w:rsid w:val="00370763"/>
    <w:rsid w:val="00374409"/>
    <w:rsid w:val="00381700"/>
    <w:rsid w:val="00381C27"/>
    <w:rsid w:val="00386BED"/>
    <w:rsid w:val="003A18BB"/>
    <w:rsid w:val="003A1D7A"/>
    <w:rsid w:val="003B3F0F"/>
    <w:rsid w:val="003B4D70"/>
    <w:rsid w:val="003C1644"/>
    <w:rsid w:val="003C1F91"/>
    <w:rsid w:val="003D6813"/>
    <w:rsid w:val="003E13AC"/>
    <w:rsid w:val="003F32A9"/>
    <w:rsid w:val="003F598A"/>
    <w:rsid w:val="00411901"/>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012D"/>
    <w:rsid w:val="004855F2"/>
    <w:rsid w:val="00487256"/>
    <w:rsid w:val="00490E50"/>
    <w:rsid w:val="004A51DF"/>
    <w:rsid w:val="004A6E59"/>
    <w:rsid w:val="004B665B"/>
    <w:rsid w:val="004C36C3"/>
    <w:rsid w:val="004C3BB0"/>
    <w:rsid w:val="004C3C65"/>
    <w:rsid w:val="004D1EE5"/>
    <w:rsid w:val="004D4CD3"/>
    <w:rsid w:val="004D53C3"/>
    <w:rsid w:val="004D778A"/>
    <w:rsid w:val="004D79AA"/>
    <w:rsid w:val="004F3E67"/>
    <w:rsid w:val="0050437A"/>
    <w:rsid w:val="00515CA5"/>
    <w:rsid w:val="00517B18"/>
    <w:rsid w:val="005214CE"/>
    <w:rsid w:val="00521ABE"/>
    <w:rsid w:val="00524B22"/>
    <w:rsid w:val="00530BB4"/>
    <w:rsid w:val="005320C7"/>
    <w:rsid w:val="005346F4"/>
    <w:rsid w:val="00534B97"/>
    <w:rsid w:val="00537276"/>
    <w:rsid w:val="0054477B"/>
    <w:rsid w:val="00551B13"/>
    <w:rsid w:val="005521E7"/>
    <w:rsid w:val="00556AC8"/>
    <w:rsid w:val="00557492"/>
    <w:rsid w:val="005665D1"/>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09A1"/>
    <w:rsid w:val="0068483B"/>
    <w:rsid w:val="006902C3"/>
    <w:rsid w:val="0069142C"/>
    <w:rsid w:val="00694675"/>
    <w:rsid w:val="00695504"/>
    <w:rsid w:val="00696A1D"/>
    <w:rsid w:val="006A2074"/>
    <w:rsid w:val="006A4D89"/>
    <w:rsid w:val="006A64E7"/>
    <w:rsid w:val="006B4821"/>
    <w:rsid w:val="006C57B1"/>
    <w:rsid w:val="006D549E"/>
    <w:rsid w:val="006E6000"/>
    <w:rsid w:val="006E7FB0"/>
    <w:rsid w:val="006F4A80"/>
    <w:rsid w:val="006F77BE"/>
    <w:rsid w:val="0070048D"/>
    <w:rsid w:val="00703DFC"/>
    <w:rsid w:val="0070558B"/>
    <w:rsid w:val="0071251E"/>
    <w:rsid w:val="00715910"/>
    <w:rsid w:val="00720B54"/>
    <w:rsid w:val="00720E07"/>
    <w:rsid w:val="00725908"/>
    <w:rsid w:val="0072643A"/>
    <w:rsid w:val="00764A91"/>
    <w:rsid w:val="00766823"/>
    <w:rsid w:val="007726D7"/>
    <w:rsid w:val="00773856"/>
    <w:rsid w:val="0078241C"/>
    <w:rsid w:val="00785CF9"/>
    <w:rsid w:val="00793841"/>
    <w:rsid w:val="007957B9"/>
    <w:rsid w:val="007A465F"/>
    <w:rsid w:val="007A46B4"/>
    <w:rsid w:val="007A5C4A"/>
    <w:rsid w:val="007D2400"/>
    <w:rsid w:val="007D4A4A"/>
    <w:rsid w:val="007E52AC"/>
    <w:rsid w:val="007E6973"/>
    <w:rsid w:val="007E699A"/>
    <w:rsid w:val="007E7573"/>
    <w:rsid w:val="007F4F94"/>
    <w:rsid w:val="007F7E3C"/>
    <w:rsid w:val="008028A8"/>
    <w:rsid w:val="00827DA2"/>
    <w:rsid w:val="0083270A"/>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7DF2"/>
    <w:rsid w:val="008E4CB7"/>
    <w:rsid w:val="008F66AB"/>
    <w:rsid w:val="00906BFB"/>
    <w:rsid w:val="009124A0"/>
    <w:rsid w:val="009131BC"/>
    <w:rsid w:val="0091686D"/>
    <w:rsid w:val="00920A1C"/>
    <w:rsid w:val="00924B80"/>
    <w:rsid w:val="00937BCD"/>
    <w:rsid w:val="009447D3"/>
    <w:rsid w:val="009537F4"/>
    <w:rsid w:val="00956FF9"/>
    <w:rsid w:val="00961DAE"/>
    <w:rsid w:val="00966148"/>
    <w:rsid w:val="009679E3"/>
    <w:rsid w:val="009713C5"/>
    <w:rsid w:val="0097434D"/>
    <w:rsid w:val="00977E05"/>
    <w:rsid w:val="00991D87"/>
    <w:rsid w:val="009947B6"/>
    <w:rsid w:val="00994B38"/>
    <w:rsid w:val="00997AE4"/>
    <w:rsid w:val="009A61E8"/>
    <w:rsid w:val="009B7DFA"/>
    <w:rsid w:val="009C29F3"/>
    <w:rsid w:val="009C2E1C"/>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5DE0"/>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2439B"/>
    <w:rsid w:val="00B30B8D"/>
    <w:rsid w:val="00B3254F"/>
    <w:rsid w:val="00B33628"/>
    <w:rsid w:val="00B337D1"/>
    <w:rsid w:val="00B43366"/>
    <w:rsid w:val="00B4431A"/>
    <w:rsid w:val="00B460AF"/>
    <w:rsid w:val="00B52047"/>
    <w:rsid w:val="00B62B35"/>
    <w:rsid w:val="00B710EA"/>
    <w:rsid w:val="00B75595"/>
    <w:rsid w:val="00B806DB"/>
    <w:rsid w:val="00B81BC5"/>
    <w:rsid w:val="00B835C5"/>
    <w:rsid w:val="00B97BC8"/>
    <w:rsid w:val="00BA7702"/>
    <w:rsid w:val="00BB1C54"/>
    <w:rsid w:val="00BC1B93"/>
    <w:rsid w:val="00BD0A6B"/>
    <w:rsid w:val="00BD15D4"/>
    <w:rsid w:val="00BF0461"/>
    <w:rsid w:val="00BF144D"/>
    <w:rsid w:val="00BF1DCB"/>
    <w:rsid w:val="00C01B8E"/>
    <w:rsid w:val="00C0487E"/>
    <w:rsid w:val="00C056FE"/>
    <w:rsid w:val="00C05E2D"/>
    <w:rsid w:val="00C1080B"/>
    <w:rsid w:val="00C13D4D"/>
    <w:rsid w:val="00C14CA1"/>
    <w:rsid w:val="00C209EA"/>
    <w:rsid w:val="00C20BA6"/>
    <w:rsid w:val="00C211B3"/>
    <w:rsid w:val="00C3310F"/>
    <w:rsid w:val="00C33BBC"/>
    <w:rsid w:val="00C41350"/>
    <w:rsid w:val="00C43736"/>
    <w:rsid w:val="00C446C7"/>
    <w:rsid w:val="00C4788A"/>
    <w:rsid w:val="00C53513"/>
    <w:rsid w:val="00C56512"/>
    <w:rsid w:val="00C63FEE"/>
    <w:rsid w:val="00C70D6C"/>
    <w:rsid w:val="00C71F08"/>
    <w:rsid w:val="00C856C1"/>
    <w:rsid w:val="00C936A0"/>
    <w:rsid w:val="00C950B8"/>
    <w:rsid w:val="00C9728E"/>
    <w:rsid w:val="00C97402"/>
    <w:rsid w:val="00CA5395"/>
    <w:rsid w:val="00CA582B"/>
    <w:rsid w:val="00CA5D25"/>
    <w:rsid w:val="00CB10EF"/>
    <w:rsid w:val="00CC084C"/>
    <w:rsid w:val="00CC312A"/>
    <w:rsid w:val="00CC74B4"/>
    <w:rsid w:val="00CD31E5"/>
    <w:rsid w:val="00CD787F"/>
    <w:rsid w:val="00CE0248"/>
    <w:rsid w:val="00CE0EF2"/>
    <w:rsid w:val="00CE64F2"/>
    <w:rsid w:val="00CF0FC1"/>
    <w:rsid w:val="00CF5B9A"/>
    <w:rsid w:val="00D01C37"/>
    <w:rsid w:val="00D02D61"/>
    <w:rsid w:val="00D20E2B"/>
    <w:rsid w:val="00D23599"/>
    <w:rsid w:val="00D33436"/>
    <w:rsid w:val="00D43998"/>
    <w:rsid w:val="00D47828"/>
    <w:rsid w:val="00D550A6"/>
    <w:rsid w:val="00D63246"/>
    <w:rsid w:val="00D63C82"/>
    <w:rsid w:val="00D67693"/>
    <w:rsid w:val="00D70310"/>
    <w:rsid w:val="00D76D45"/>
    <w:rsid w:val="00D77890"/>
    <w:rsid w:val="00D87C24"/>
    <w:rsid w:val="00D90CBF"/>
    <w:rsid w:val="00D90F48"/>
    <w:rsid w:val="00D9166B"/>
    <w:rsid w:val="00D92CB4"/>
    <w:rsid w:val="00D93E95"/>
    <w:rsid w:val="00D94313"/>
    <w:rsid w:val="00D94C37"/>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230F"/>
    <w:rsid w:val="00E436DC"/>
    <w:rsid w:val="00E43FF3"/>
    <w:rsid w:val="00E440DC"/>
    <w:rsid w:val="00E52021"/>
    <w:rsid w:val="00E521EB"/>
    <w:rsid w:val="00E57F5B"/>
    <w:rsid w:val="00E60318"/>
    <w:rsid w:val="00E6445A"/>
    <w:rsid w:val="00E6573E"/>
    <w:rsid w:val="00E66768"/>
    <w:rsid w:val="00E92ACF"/>
    <w:rsid w:val="00E9701C"/>
    <w:rsid w:val="00EA07A3"/>
    <w:rsid w:val="00EA26F9"/>
    <w:rsid w:val="00EA5739"/>
    <w:rsid w:val="00EB6EE6"/>
    <w:rsid w:val="00EC0705"/>
    <w:rsid w:val="00EC4610"/>
    <w:rsid w:val="00EC4C08"/>
    <w:rsid w:val="00EC657E"/>
    <w:rsid w:val="00EC7372"/>
    <w:rsid w:val="00EE4F64"/>
    <w:rsid w:val="00EE5F32"/>
    <w:rsid w:val="00EE64A4"/>
    <w:rsid w:val="00EF5878"/>
    <w:rsid w:val="00F02B46"/>
    <w:rsid w:val="00F04F98"/>
    <w:rsid w:val="00F05061"/>
    <w:rsid w:val="00F15EB8"/>
    <w:rsid w:val="00F17D46"/>
    <w:rsid w:val="00F2283B"/>
    <w:rsid w:val="00F239CB"/>
    <w:rsid w:val="00F252DC"/>
    <w:rsid w:val="00F25686"/>
    <w:rsid w:val="00F30FE9"/>
    <w:rsid w:val="00F31331"/>
    <w:rsid w:val="00F33CC9"/>
    <w:rsid w:val="00F34211"/>
    <w:rsid w:val="00F4212C"/>
    <w:rsid w:val="00F42509"/>
    <w:rsid w:val="00F500B7"/>
    <w:rsid w:val="00F50EDA"/>
    <w:rsid w:val="00F567F0"/>
    <w:rsid w:val="00F619B0"/>
    <w:rsid w:val="00F62C6E"/>
    <w:rsid w:val="00F63C6E"/>
    <w:rsid w:val="00F67CA1"/>
    <w:rsid w:val="00F726E8"/>
    <w:rsid w:val="00F72A15"/>
    <w:rsid w:val="00F730F8"/>
    <w:rsid w:val="00F75289"/>
    <w:rsid w:val="00F76482"/>
    <w:rsid w:val="00F80272"/>
    <w:rsid w:val="00F81786"/>
    <w:rsid w:val="00F86890"/>
    <w:rsid w:val="00F94545"/>
    <w:rsid w:val="00FA1560"/>
    <w:rsid w:val="00FA2A52"/>
    <w:rsid w:val="00FA4464"/>
    <w:rsid w:val="00FB5088"/>
    <w:rsid w:val="00FC34C8"/>
    <w:rsid w:val="00FC4CD8"/>
    <w:rsid w:val="00FC5E3E"/>
    <w:rsid w:val="00FE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8FF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D94C37"/>
    <w:rPr>
      <w:sz w:val="16"/>
      <w:szCs w:val="16"/>
    </w:rPr>
  </w:style>
  <w:style w:type="paragraph" w:styleId="CommentText">
    <w:name w:val="annotation text"/>
    <w:basedOn w:val="Normal"/>
    <w:link w:val="CommentTextChar"/>
    <w:rsid w:val="00D94C37"/>
    <w:rPr>
      <w:sz w:val="20"/>
      <w:szCs w:val="20"/>
    </w:rPr>
  </w:style>
  <w:style w:type="character" w:customStyle="1" w:styleId="CommentTextChar">
    <w:name w:val="Comment Text Char"/>
    <w:basedOn w:val="DefaultParagraphFont"/>
    <w:link w:val="CommentText"/>
    <w:rsid w:val="00D94C37"/>
  </w:style>
  <w:style w:type="paragraph" w:styleId="CommentSubject">
    <w:name w:val="annotation subject"/>
    <w:basedOn w:val="CommentText"/>
    <w:next w:val="CommentText"/>
    <w:link w:val="CommentSubjectChar"/>
    <w:rsid w:val="00D94C37"/>
    <w:rPr>
      <w:b/>
      <w:bCs/>
    </w:rPr>
  </w:style>
  <w:style w:type="character" w:customStyle="1" w:styleId="CommentSubjectChar">
    <w:name w:val="Comment Subject Char"/>
    <w:link w:val="CommentSubject"/>
    <w:rsid w:val="00D94C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3"/>
      </w:numPr>
      <w:spacing w:after="120" w:line="480" w:lineRule="auto"/>
    </w:pPr>
  </w:style>
  <w:style w:type="paragraph" w:customStyle="1" w:styleId="LegalFormat">
    <w:name w:val="Legal Format"/>
    <w:basedOn w:val="ListContinue"/>
    <w:rsid w:val="00DC05D3"/>
    <w:pPr>
      <w:spacing w:after="0"/>
      <w:ind w:left="0"/>
    </w:pPr>
    <w:rPr>
      <w:u w:val="single"/>
    </w:rPr>
  </w:style>
  <w:style w:type="character" w:styleId="CommentReference">
    <w:name w:val="annotation reference"/>
    <w:rsid w:val="00D94C37"/>
    <w:rPr>
      <w:sz w:val="16"/>
      <w:szCs w:val="16"/>
    </w:rPr>
  </w:style>
  <w:style w:type="paragraph" w:styleId="CommentText">
    <w:name w:val="annotation text"/>
    <w:basedOn w:val="Normal"/>
    <w:link w:val="CommentTextChar"/>
    <w:rsid w:val="00D94C37"/>
    <w:rPr>
      <w:sz w:val="20"/>
      <w:szCs w:val="20"/>
    </w:rPr>
  </w:style>
  <w:style w:type="character" w:customStyle="1" w:styleId="CommentTextChar">
    <w:name w:val="Comment Text Char"/>
    <w:basedOn w:val="DefaultParagraphFont"/>
    <w:link w:val="CommentText"/>
    <w:rsid w:val="00D94C37"/>
  </w:style>
  <w:style w:type="paragraph" w:styleId="CommentSubject">
    <w:name w:val="annotation subject"/>
    <w:basedOn w:val="CommentText"/>
    <w:next w:val="CommentText"/>
    <w:link w:val="CommentSubjectChar"/>
    <w:rsid w:val="00D94C37"/>
    <w:rPr>
      <w:b/>
      <w:bCs/>
    </w:rPr>
  </w:style>
  <w:style w:type="character" w:customStyle="1" w:styleId="CommentSubjectChar">
    <w:name w:val="Comment Subject Char"/>
    <w:link w:val="CommentSubject"/>
    <w:rsid w:val="00D94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E390-8DD6-4819-888B-019C212E5C58}">
  <ds:schemaRefs>
    <ds:schemaRef ds:uri="http://schemas.microsoft.com/sharepoint/v3/contenttype/forms"/>
  </ds:schemaRefs>
</ds:datastoreItem>
</file>

<file path=customXml/itemProps2.xml><?xml version="1.0" encoding="utf-8"?>
<ds:datastoreItem xmlns:ds="http://schemas.openxmlformats.org/officeDocument/2006/customXml" ds:itemID="{4196730E-DF79-46D0-A87B-D150CBBB184B}">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4F746290-A3AB-4AD1-AA85-6B9895CA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BCC55-909C-444B-95F1-0D871C98C34E}">
  <ds:schemaRefs>
    <ds:schemaRef ds:uri="Microsoft.SharePoint.Taxonomy.ContentTypeSync"/>
  </ds:schemaRefs>
</ds:datastoreItem>
</file>

<file path=customXml/itemProps5.xml><?xml version="1.0" encoding="utf-8"?>
<ds:datastoreItem xmlns:ds="http://schemas.openxmlformats.org/officeDocument/2006/customXml" ds:itemID="{FDC8CA91-3583-4EAD-B2B8-1A69430AEA3F}">
  <ds:schemaRefs>
    <ds:schemaRef ds:uri="http://schemas.microsoft.com/office/2006/metadata/longProperties"/>
  </ds:schemaRefs>
</ds:datastoreItem>
</file>

<file path=customXml/itemProps6.xml><?xml version="1.0" encoding="utf-8"?>
<ds:datastoreItem xmlns:ds="http://schemas.openxmlformats.org/officeDocument/2006/customXml" ds:itemID="{CB1E2017-3F33-4B39-B09F-C429A9E5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4512</CharactersWithSpaces>
  <SharedDoc>false</SharedDoc>
  <HyperlinkBase/>
  <HLinks>
    <vt:vector size="24" baseType="variant">
      <vt:variant>
        <vt:i4>5767268</vt:i4>
      </vt:variant>
      <vt:variant>
        <vt:i4>9</vt:i4>
      </vt:variant>
      <vt:variant>
        <vt:i4>0</vt:i4>
      </vt:variant>
      <vt:variant>
        <vt:i4>5</vt:i4>
      </vt:variant>
      <vt:variant>
        <vt:lpwstr>mailto:DataClearance@FERC.gov</vt:lpwstr>
      </vt:variant>
      <vt:variant>
        <vt:lpwstr/>
      </vt:variant>
      <vt:variant>
        <vt:i4>2293798</vt:i4>
      </vt:variant>
      <vt:variant>
        <vt:i4>6</vt:i4>
      </vt:variant>
      <vt:variant>
        <vt:i4>0</vt:i4>
      </vt:variant>
      <vt:variant>
        <vt:i4>5</vt:i4>
      </vt:variant>
      <vt:variant>
        <vt:lpwstr>http://www.ferc.gov/docs-filing/docs-filing.asp</vt:lpwstr>
      </vt:variant>
      <vt:variant>
        <vt:lpwstr/>
      </vt:variant>
      <vt:variant>
        <vt:i4>4259850</vt:i4>
      </vt:variant>
      <vt:variant>
        <vt:i4>3</vt:i4>
      </vt:variant>
      <vt:variant>
        <vt:i4>0</vt:i4>
      </vt:variant>
      <vt:variant>
        <vt:i4>5</vt:i4>
      </vt:variant>
      <vt:variant>
        <vt:lpwstr>http://www.ferc.gov/help/submission-guide.asp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2011-07-29T14:17:00Z</cp:lastPrinted>
  <dcterms:created xsi:type="dcterms:W3CDTF">2018-06-11T10:17:00Z</dcterms:created>
  <dcterms:modified xsi:type="dcterms:W3CDTF">2018-06-11T10:17:00Z</dcterms:modified>
  <cp:category/>
  <dc:identifier/>
  <cp:contentStatus/>
  <cp:version/>
</cp:coreProperties>
</file>