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C247C" w14:textId="77777777" w:rsidR="00F86890" w:rsidRDefault="00F86890" w:rsidP="00F86890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>
            <w:t>UNITED STATES OF AMERICA</w:t>
          </w:r>
        </w:smartTag>
      </w:smartTag>
    </w:p>
    <w:p w14:paraId="039074CE" w14:textId="77777777" w:rsidR="00F86890" w:rsidRDefault="00F86890" w:rsidP="00F86890">
      <w:pPr>
        <w:jc w:val="center"/>
      </w:pPr>
      <w:r>
        <w:t>FEDERAL ENERGY REGULATORY COMMISSION</w:t>
      </w:r>
    </w:p>
    <w:p w14:paraId="57DDA873" w14:textId="77777777" w:rsidR="00F86890" w:rsidRDefault="00F86890" w:rsidP="00F86890"/>
    <w:p w14:paraId="6D9424A8" w14:textId="77777777" w:rsidR="00F86890" w:rsidRPr="00CE0215" w:rsidRDefault="00F86890" w:rsidP="00F86890">
      <w:pPr>
        <w:jc w:val="center"/>
      </w:pPr>
      <w:r w:rsidRPr="00CE0215">
        <w:t xml:space="preserve">[Docket No. </w:t>
      </w:r>
      <w:r w:rsidR="008B2DD7">
        <w:t>IC18-8</w:t>
      </w:r>
      <w:r w:rsidRPr="00CE0215">
        <w:t>-000]</w:t>
      </w:r>
    </w:p>
    <w:p w14:paraId="674F3BE9" w14:textId="77777777" w:rsidR="00F86890" w:rsidRPr="00CE0215" w:rsidRDefault="00F86890" w:rsidP="00F86890"/>
    <w:p w14:paraId="65BA55A6" w14:textId="77777777" w:rsidR="00F86890" w:rsidRPr="00CE0215" w:rsidRDefault="00F86890" w:rsidP="00F86890">
      <w:pPr>
        <w:jc w:val="center"/>
      </w:pPr>
      <w:r w:rsidRPr="00CE0215">
        <w:t>COMMISSION INFORMATION COLLECTION ACTIVITIES (FERC-</w:t>
      </w:r>
      <w:r w:rsidR="00CE0215" w:rsidRPr="00CE0215">
        <w:t>716</w:t>
      </w:r>
      <w:r w:rsidRPr="00CE0215">
        <w:t>);</w:t>
      </w:r>
    </w:p>
    <w:p w14:paraId="3874B2BF" w14:textId="77777777" w:rsidR="00F86890" w:rsidRPr="00CE0215" w:rsidRDefault="00F86890" w:rsidP="00F86890">
      <w:pPr>
        <w:jc w:val="center"/>
      </w:pPr>
      <w:r w:rsidRPr="00CE0215">
        <w:t>COMMENT REQUEST; EXTENSION</w:t>
      </w:r>
    </w:p>
    <w:p w14:paraId="6FFA235F" w14:textId="77777777" w:rsidR="00F86890" w:rsidRPr="00CE0215" w:rsidRDefault="00F86890" w:rsidP="00F86890"/>
    <w:p w14:paraId="6A2BF97B" w14:textId="0FC54789" w:rsidR="00F86890" w:rsidRDefault="009635A6" w:rsidP="00CE64F2">
      <w:pPr>
        <w:spacing w:line="480" w:lineRule="auto"/>
        <w:jc w:val="center"/>
      </w:pPr>
      <w:r>
        <w:t>(February 1, 2018)</w:t>
      </w:r>
    </w:p>
    <w:p w14:paraId="340EDB32" w14:textId="77777777" w:rsidR="00F86890" w:rsidRDefault="00CE64F2" w:rsidP="00CE64F2">
      <w:pPr>
        <w:spacing w:line="480" w:lineRule="auto"/>
      </w:pPr>
      <w:r w:rsidRPr="00656DF0">
        <w:rPr>
          <w:b/>
        </w:rPr>
        <w:t>AGENCY:</w:t>
      </w:r>
      <w:r>
        <w:t xml:space="preserve">  </w:t>
      </w:r>
      <w:r w:rsidR="00F86890">
        <w:t>Federal Energy Regulatory Commission.</w:t>
      </w:r>
    </w:p>
    <w:p w14:paraId="38FBDC24" w14:textId="77777777" w:rsidR="00F86890" w:rsidRDefault="00CE64F2" w:rsidP="00CE64F2">
      <w:pPr>
        <w:spacing w:line="480" w:lineRule="auto"/>
      </w:pPr>
      <w:r w:rsidRPr="00CE64F2">
        <w:rPr>
          <w:b/>
        </w:rPr>
        <w:t>ACTION:</w:t>
      </w:r>
      <w:r>
        <w:t xml:space="preserve">  </w:t>
      </w:r>
      <w:r w:rsidR="00F86890">
        <w:t>Notice of information collection and request for comments.</w:t>
      </w:r>
    </w:p>
    <w:p w14:paraId="313915CA" w14:textId="77777777" w:rsidR="00F86890" w:rsidRDefault="00F86890" w:rsidP="00CE64F2">
      <w:pPr>
        <w:spacing w:line="480" w:lineRule="auto"/>
      </w:pPr>
      <w:r w:rsidRPr="00CE64F2">
        <w:rPr>
          <w:b/>
        </w:rPr>
        <w:t>SUMMARY:</w:t>
      </w:r>
      <w:r>
        <w:t xml:space="preserve">  In compliance with the requirements of </w:t>
      </w:r>
      <w:r w:rsidR="00DA7F57">
        <w:t xml:space="preserve">the </w:t>
      </w:r>
      <w:r w:rsidR="0005366B">
        <w:t>Paperwork Reduction Act of 1995</w:t>
      </w:r>
      <w:r w:rsidR="00002127">
        <w:t>, 44 USC 3506(</w:t>
      </w:r>
      <w:r w:rsidR="00672BEA">
        <w:t>c</w:t>
      </w:r>
      <w:r w:rsidR="00002127">
        <w:t>)(2)(A)</w:t>
      </w:r>
      <w:r>
        <w:t xml:space="preserve">, the Federal Energy Regulatory Commission (Commission or FERC) is soliciting public comment on the </w:t>
      </w:r>
      <w:r w:rsidR="00E146ED">
        <w:t>currently approved information collection, [</w:t>
      </w:r>
      <w:r w:rsidR="00CE0215" w:rsidRPr="00CE0215">
        <w:t>FERC-716, Good Faith Requests for Transmission Service and Good Faith Responses by Transmitting Utilities Under Sections 211(a) and 213(a) of the Federal Power Act (FPA)</w:t>
      </w:r>
      <w:r w:rsidR="00E146ED">
        <w:t>]</w:t>
      </w:r>
      <w:r>
        <w:t xml:space="preserve">. </w:t>
      </w:r>
    </w:p>
    <w:p w14:paraId="7605AF83" w14:textId="77777777" w:rsidR="00F86890" w:rsidRDefault="00F86890" w:rsidP="00CE64F2">
      <w:pPr>
        <w:spacing w:line="480" w:lineRule="auto"/>
      </w:pPr>
      <w:r w:rsidRPr="00CE64F2">
        <w:rPr>
          <w:b/>
        </w:rPr>
        <w:t>DATES:</w:t>
      </w:r>
      <w:r>
        <w:t xml:space="preserve">  Comments </w:t>
      </w:r>
      <w:r w:rsidR="00DA7F57">
        <w:t>on</w:t>
      </w:r>
      <w:r>
        <w:t xml:space="preserve"> the collection of information are due [</w:t>
      </w:r>
      <w:r w:rsidR="0027273D" w:rsidRPr="009635A6">
        <w:rPr>
          <w:b/>
        </w:rPr>
        <w:t>insert dat</w:t>
      </w:r>
      <w:r w:rsidR="00AE61E0" w:rsidRPr="009635A6">
        <w:rPr>
          <w:b/>
        </w:rPr>
        <w:t>e</w:t>
      </w:r>
      <w:r w:rsidR="0027273D" w:rsidRPr="009635A6">
        <w:rPr>
          <w:b/>
        </w:rPr>
        <w:t xml:space="preserve"> that is </w:t>
      </w:r>
      <w:r w:rsidRPr="009635A6">
        <w:rPr>
          <w:b/>
        </w:rPr>
        <w:t>60 days after publication</w:t>
      </w:r>
      <w:r w:rsidR="0027273D" w:rsidRPr="009635A6">
        <w:rPr>
          <w:b/>
        </w:rPr>
        <w:t xml:space="preserve"> </w:t>
      </w:r>
      <w:r w:rsidRPr="009635A6">
        <w:rPr>
          <w:b/>
        </w:rPr>
        <w:t>in the Federal Register</w:t>
      </w:r>
      <w:r>
        <w:t xml:space="preserve">]. </w:t>
      </w:r>
    </w:p>
    <w:p w14:paraId="532B1938" w14:textId="77777777" w:rsidR="00537276" w:rsidRDefault="00F86890" w:rsidP="00CE64F2">
      <w:pPr>
        <w:spacing w:line="480" w:lineRule="auto"/>
      </w:pPr>
      <w:r w:rsidRPr="008B2DD7">
        <w:rPr>
          <w:b/>
        </w:rPr>
        <w:t>ADDRESSES:</w:t>
      </w:r>
      <w:r w:rsidRPr="008B2DD7">
        <w:t xml:space="preserve">  </w:t>
      </w:r>
      <w:r w:rsidR="005346F4" w:rsidRPr="008B2DD7">
        <w:t>You may submit comments</w:t>
      </w:r>
      <w:r w:rsidR="00537276" w:rsidRPr="008B2DD7">
        <w:t xml:space="preserve"> </w:t>
      </w:r>
      <w:r w:rsidR="00AB436E" w:rsidRPr="008B2DD7">
        <w:t>(</w:t>
      </w:r>
      <w:r w:rsidR="00537276" w:rsidRPr="008B2DD7">
        <w:t xml:space="preserve">identified by Docket No. </w:t>
      </w:r>
      <w:r w:rsidR="008B2DD7" w:rsidRPr="008B2DD7">
        <w:t>IC18-8</w:t>
      </w:r>
      <w:r w:rsidR="00537276" w:rsidRPr="008B2DD7">
        <w:t>-000</w:t>
      </w:r>
      <w:r w:rsidR="00AB436E" w:rsidRPr="008B2DD7">
        <w:t xml:space="preserve">) </w:t>
      </w:r>
      <w:r w:rsidR="00537276" w:rsidRPr="008B2DD7">
        <w:t xml:space="preserve">by </w:t>
      </w:r>
      <w:r w:rsidR="00004A34" w:rsidRPr="008B2DD7">
        <w:t>either</w:t>
      </w:r>
      <w:r w:rsidR="00537276" w:rsidRPr="008B2DD7">
        <w:t xml:space="preserve"> of the following methods:</w:t>
      </w:r>
    </w:p>
    <w:p w14:paraId="37735116" w14:textId="77777777" w:rsidR="008410EA" w:rsidRDefault="00537276" w:rsidP="00AB436E">
      <w:pPr>
        <w:numPr>
          <w:ilvl w:val="0"/>
          <w:numId w:val="2"/>
        </w:numPr>
        <w:tabs>
          <w:tab w:val="clear" w:pos="1500"/>
          <w:tab w:val="num" w:pos="1080"/>
        </w:tabs>
        <w:spacing w:line="480" w:lineRule="auto"/>
        <w:ind w:left="720" w:firstLine="0"/>
      </w:pPr>
      <w:bookmarkStart w:id="1" w:name="OLE_LINK1"/>
      <w:r>
        <w:t>eFiling</w:t>
      </w:r>
      <w:r w:rsidR="00EC657E">
        <w:t xml:space="preserve"> at Commission’s Web Site: </w:t>
      </w:r>
      <w:hyperlink r:id="rId14" w:history="1">
        <w:r w:rsidR="00AB436E" w:rsidRPr="00EC7068">
          <w:rPr>
            <w:rStyle w:val="Hyperlink"/>
          </w:rPr>
          <w:t>http://www.ferc.gov/docs-filing/efiling.asp</w:t>
        </w:r>
      </w:hyperlink>
    </w:p>
    <w:p w14:paraId="5DFA875E" w14:textId="77777777" w:rsidR="00EE64A4" w:rsidRDefault="008410EA" w:rsidP="00A17794">
      <w:pPr>
        <w:numPr>
          <w:ilvl w:val="0"/>
          <w:numId w:val="2"/>
        </w:numPr>
        <w:tabs>
          <w:tab w:val="clear" w:pos="1500"/>
          <w:tab w:val="num" w:pos="1080"/>
        </w:tabs>
        <w:spacing w:line="480" w:lineRule="auto"/>
        <w:ind w:left="1080"/>
      </w:pPr>
      <w:r>
        <w:t xml:space="preserve">Mail/Hand Delivery/Courier: </w:t>
      </w:r>
      <w:r w:rsidR="00EE64A4">
        <w:t xml:space="preserve">Federal Energy Regulatory Commission, Secretary of the Commission, </w:t>
      </w:r>
      <w:smartTag w:uri="urn:schemas-microsoft-com:office:smarttags" w:element="address">
        <w:smartTag w:uri="urn:schemas-microsoft-com:office:smarttags" w:element="Street">
          <w:r w:rsidR="00EE64A4">
            <w:t>888 First Street, NE</w:t>
          </w:r>
        </w:smartTag>
        <w:r w:rsidR="00EE64A4">
          <w:t xml:space="preserve">, </w:t>
        </w:r>
        <w:smartTag w:uri="urn:schemas-microsoft-com:office:smarttags" w:element="City">
          <w:r w:rsidR="00EE64A4">
            <w:t>Washington</w:t>
          </w:r>
        </w:smartTag>
        <w:r w:rsidR="00EE64A4">
          <w:t xml:space="preserve">, </w:t>
        </w:r>
        <w:smartTag w:uri="urn:schemas-microsoft-com:office:smarttags" w:element="State">
          <w:r w:rsidR="00EE64A4">
            <w:t>DC</w:t>
          </w:r>
        </w:smartTag>
        <w:r w:rsidR="00EE64A4">
          <w:t xml:space="preserve"> </w:t>
        </w:r>
        <w:smartTag w:uri="urn:schemas-microsoft-com:office:smarttags" w:element="PostalCode">
          <w:r w:rsidR="00EE64A4">
            <w:t>20426</w:t>
          </w:r>
        </w:smartTag>
      </w:smartTag>
      <w:r w:rsidR="00EE64A4">
        <w:t>.</w:t>
      </w:r>
    </w:p>
    <w:p w14:paraId="6F27FAD6" w14:textId="77777777" w:rsidR="00785CF9" w:rsidRDefault="00EE64A4" w:rsidP="00EE64A4">
      <w:pPr>
        <w:spacing w:line="480" w:lineRule="auto"/>
      </w:pPr>
      <w:r>
        <w:rPr>
          <w:i/>
        </w:rPr>
        <w:t xml:space="preserve">Instructions: </w:t>
      </w:r>
      <w:r>
        <w:t xml:space="preserve">All submissions must </w:t>
      </w:r>
      <w:r w:rsidR="005346F4">
        <w:t xml:space="preserve">be </w:t>
      </w:r>
      <w:r w:rsidR="00D63246">
        <w:t xml:space="preserve">formatted and </w:t>
      </w:r>
      <w:r>
        <w:t>filed in accordance with submission guidelines</w:t>
      </w:r>
      <w:r w:rsidR="00A17794">
        <w:t xml:space="preserve"> at:</w:t>
      </w:r>
      <w:r>
        <w:t xml:space="preserve"> </w:t>
      </w:r>
      <w:hyperlink r:id="rId15" w:history="1">
        <w:r w:rsidR="00D63246" w:rsidRPr="00866BB4">
          <w:rPr>
            <w:rStyle w:val="Hyperlink"/>
          </w:rPr>
          <w:t>http://www.ferc.gov/help/submission-guide.asp</w:t>
        </w:r>
      </w:hyperlink>
      <w:r w:rsidR="00D63246">
        <w:t xml:space="preserve">.  </w:t>
      </w:r>
      <w:r w:rsidR="00D76D45">
        <w:t xml:space="preserve">For user assistance </w:t>
      </w:r>
      <w:r w:rsidR="00F30FE9">
        <w:lastRenderedPageBreak/>
        <w:t>c</w:t>
      </w:r>
      <w:r w:rsidR="00D76D45">
        <w:t>ontact FERC Online Support by e-mail at ferconlinesupport@ferc.gov, or by phone at:  (866) 208-3676 (toll-free), or (202) 502-8659 for TTY.</w:t>
      </w:r>
    </w:p>
    <w:p w14:paraId="6BCECDD7" w14:textId="77777777" w:rsidR="00D76D45" w:rsidRPr="00241BFD" w:rsidRDefault="00785CF9" w:rsidP="006902C3">
      <w:pPr>
        <w:spacing w:line="480" w:lineRule="auto"/>
      </w:pPr>
      <w:r>
        <w:rPr>
          <w:i/>
        </w:rPr>
        <w:t>Docket:</w:t>
      </w:r>
      <w:r>
        <w:t xml:space="preserve"> </w:t>
      </w:r>
      <w:r w:rsidR="00F86890">
        <w:t xml:space="preserve">Users interested in receiving automatic notification of activity </w:t>
      </w:r>
      <w:r w:rsidR="00241BFD">
        <w:t>in this docket or in viewing/downloading comments and issuances</w:t>
      </w:r>
      <w:r w:rsidR="00F86890">
        <w:t xml:space="preserve"> </w:t>
      </w:r>
      <w:r w:rsidR="00241BFD">
        <w:t xml:space="preserve">in this docket </w:t>
      </w:r>
      <w:r w:rsidR="00F86890">
        <w:t xml:space="preserve">may do so </w:t>
      </w:r>
      <w:r w:rsidR="00241BFD">
        <w:t xml:space="preserve">at </w:t>
      </w:r>
      <w:hyperlink r:id="rId16" w:history="1">
        <w:r w:rsidR="00241BFD" w:rsidRPr="0057675D">
          <w:rPr>
            <w:rStyle w:val="Hyperlink"/>
          </w:rPr>
          <w:t>http://www.ferc.gov/docs-filing/docs-filing.asp</w:t>
        </w:r>
      </w:hyperlink>
      <w:r w:rsidR="00241BFD">
        <w:t xml:space="preserve">. </w:t>
      </w:r>
    </w:p>
    <w:bookmarkEnd w:id="1"/>
    <w:p w14:paraId="77BB92BC" w14:textId="77777777" w:rsidR="00F86890" w:rsidRDefault="00F86890" w:rsidP="00CE64F2">
      <w:pPr>
        <w:spacing w:line="480" w:lineRule="auto"/>
      </w:pPr>
      <w:r w:rsidRPr="00656DF0">
        <w:rPr>
          <w:b/>
        </w:rPr>
        <w:t>FOR FURTHER INFORMATION</w:t>
      </w:r>
      <w:r w:rsidRPr="00CE0215">
        <w:rPr>
          <w:b/>
        </w:rPr>
        <w:t>:</w:t>
      </w:r>
      <w:r w:rsidRPr="00CE0215">
        <w:t xml:space="preserve">  </w:t>
      </w:r>
      <w:smartTag w:uri="urn:schemas-microsoft-com:office:smarttags" w:element="PersonName">
        <w:r w:rsidRPr="00CE0215">
          <w:t>Ellen Brown</w:t>
        </w:r>
      </w:smartTag>
      <w:r w:rsidRPr="00CE0215">
        <w:t xml:space="preserve"> may be reached by e-mail at </w:t>
      </w:r>
      <w:hyperlink r:id="rId17" w:history="1">
        <w:r w:rsidR="00C56512" w:rsidRPr="00CE0215">
          <w:rPr>
            <w:rStyle w:val="Hyperlink"/>
          </w:rPr>
          <w:t>DataClearance@FERC.gov</w:t>
        </w:r>
      </w:hyperlink>
      <w:r w:rsidRPr="00CE0215">
        <w:t>, telephone at (202) 502-8663</w:t>
      </w:r>
      <w:r>
        <w:t>, and fax at (202) 273-0873.</w:t>
      </w:r>
    </w:p>
    <w:p w14:paraId="71F92A35" w14:textId="77777777" w:rsidR="00C056FE" w:rsidRDefault="00F86890" w:rsidP="00CE64F2">
      <w:pPr>
        <w:spacing w:line="480" w:lineRule="auto"/>
      </w:pPr>
      <w:r>
        <w:t xml:space="preserve"> </w:t>
      </w:r>
      <w:r w:rsidRPr="001C3703">
        <w:rPr>
          <w:b/>
        </w:rPr>
        <w:t>SUPPLEMENTARY INFORMATION:</w:t>
      </w:r>
      <w:r>
        <w:t xml:space="preserve">  </w:t>
      </w:r>
    </w:p>
    <w:p w14:paraId="7ED53374" w14:textId="77777777" w:rsidR="00C056FE" w:rsidRDefault="00C056FE" w:rsidP="00CE64F2">
      <w:pPr>
        <w:spacing w:line="480" w:lineRule="auto"/>
        <w:rPr>
          <w:i/>
        </w:rPr>
      </w:pPr>
      <w:r>
        <w:rPr>
          <w:i/>
        </w:rPr>
        <w:t>Title:</w:t>
      </w:r>
      <w:r w:rsidR="00CD787F">
        <w:rPr>
          <w:i/>
        </w:rPr>
        <w:t xml:space="preserve"> </w:t>
      </w:r>
      <w:r w:rsidR="00CE0215" w:rsidRPr="00CE0215">
        <w:t>FERC-716, Good Faith Requests for Transmission Service and Good Faith Responses by Transmitting Utilities Under Sections 211(a) and 213(a) of the Federal Power Act (FPA)</w:t>
      </w:r>
    </w:p>
    <w:p w14:paraId="5423E140" w14:textId="77777777" w:rsidR="00C056FE" w:rsidRDefault="00C056FE" w:rsidP="00CE64F2">
      <w:pPr>
        <w:spacing w:line="480" w:lineRule="auto"/>
      </w:pPr>
      <w:r>
        <w:rPr>
          <w:i/>
        </w:rPr>
        <w:t>OMB Control No.:</w:t>
      </w:r>
      <w:r w:rsidR="00CE0215">
        <w:t xml:space="preserve"> 1902-0170</w:t>
      </w:r>
    </w:p>
    <w:p w14:paraId="7F8534AE" w14:textId="77777777" w:rsidR="00C056FE" w:rsidRDefault="00C056FE" w:rsidP="00CE64F2">
      <w:pPr>
        <w:spacing w:line="480" w:lineRule="auto"/>
      </w:pPr>
      <w:r>
        <w:rPr>
          <w:i/>
        </w:rPr>
        <w:t>Type of Request:</w:t>
      </w:r>
      <w:r>
        <w:t xml:space="preserve"> Three-</w:t>
      </w:r>
      <w:r w:rsidRPr="00CE0215">
        <w:t>year extension of the FERC-</w:t>
      </w:r>
      <w:r w:rsidR="00CE0215" w:rsidRPr="00CE0215">
        <w:t>716</w:t>
      </w:r>
      <w:r w:rsidRPr="00CE0215">
        <w:t xml:space="preserve"> information collection</w:t>
      </w:r>
      <w:r>
        <w:t xml:space="preserve"> </w:t>
      </w:r>
      <w:r w:rsidR="009447D3">
        <w:t xml:space="preserve">requirements with no changes to the current reporting requirements. </w:t>
      </w:r>
    </w:p>
    <w:p w14:paraId="3442EEA6" w14:textId="77777777" w:rsidR="00CE0215" w:rsidRPr="003E1567" w:rsidRDefault="00F76482" w:rsidP="00CE0215">
      <w:pPr>
        <w:spacing w:line="480" w:lineRule="auto"/>
        <w:rPr>
          <w:bCs/>
          <w:szCs w:val="26"/>
        </w:rPr>
      </w:pPr>
      <w:r>
        <w:rPr>
          <w:i/>
        </w:rPr>
        <w:t xml:space="preserve">Abstract: </w:t>
      </w:r>
      <w:r w:rsidR="00CE0215">
        <w:rPr>
          <w:bCs/>
          <w:szCs w:val="26"/>
        </w:rPr>
        <w:t>The Commission uses t</w:t>
      </w:r>
      <w:r w:rsidR="00CE0215" w:rsidRPr="003E1567">
        <w:rPr>
          <w:bCs/>
          <w:szCs w:val="26"/>
        </w:rPr>
        <w:t>he information collected under the requirements of FERC-716 to impleme</w:t>
      </w:r>
      <w:r w:rsidR="00CE0215">
        <w:rPr>
          <w:bCs/>
          <w:szCs w:val="26"/>
        </w:rPr>
        <w:t>nt the statutory provisions of S</w:t>
      </w:r>
      <w:r w:rsidR="00CE0215" w:rsidRPr="003E1567">
        <w:rPr>
          <w:bCs/>
          <w:szCs w:val="26"/>
        </w:rPr>
        <w:t>ections 211 and</w:t>
      </w:r>
      <w:r w:rsidR="00CE0215">
        <w:rPr>
          <w:bCs/>
          <w:szCs w:val="26"/>
        </w:rPr>
        <w:t xml:space="preserve"> Section</w:t>
      </w:r>
      <w:r w:rsidR="00CE0215" w:rsidRPr="003E1567">
        <w:rPr>
          <w:bCs/>
          <w:szCs w:val="26"/>
        </w:rPr>
        <w:t xml:space="preserve"> 213 of the Federal</w:t>
      </w:r>
      <w:r w:rsidR="00CE0215">
        <w:rPr>
          <w:bCs/>
          <w:szCs w:val="26"/>
        </w:rPr>
        <w:t xml:space="preserve"> Power Act</w:t>
      </w:r>
      <w:r w:rsidR="00CE0215" w:rsidRPr="003E1567">
        <w:rPr>
          <w:bCs/>
          <w:szCs w:val="26"/>
        </w:rPr>
        <w:t xml:space="preserve"> as amended and added by the Energy Policy Act 1992.  </w:t>
      </w:r>
      <w:r w:rsidR="00CE0215">
        <w:rPr>
          <w:bCs/>
          <w:szCs w:val="26"/>
        </w:rPr>
        <w:t xml:space="preserve">FERC-716 also includes the requirement to file a Section 211 request if the negotiations between the transmission requestor and the transmitting utility are unsuccessful. </w:t>
      </w:r>
      <w:r w:rsidR="00CE0215" w:rsidRPr="003E1567">
        <w:rPr>
          <w:bCs/>
          <w:szCs w:val="26"/>
        </w:rPr>
        <w:t>For the initial process, the information i</w:t>
      </w:r>
      <w:r w:rsidR="00CE0215">
        <w:rPr>
          <w:bCs/>
          <w:szCs w:val="26"/>
        </w:rPr>
        <w:t>s not filed with the Commission.  H</w:t>
      </w:r>
      <w:r w:rsidR="00CE0215" w:rsidRPr="003E1567">
        <w:rPr>
          <w:bCs/>
          <w:szCs w:val="26"/>
        </w:rPr>
        <w:t xml:space="preserve">owever, the request and response may be analyzed as a </w:t>
      </w:r>
      <w:r w:rsidR="00CE0215">
        <w:rPr>
          <w:bCs/>
          <w:szCs w:val="26"/>
        </w:rPr>
        <w:t>part of a Section 211 action</w:t>
      </w:r>
      <w:r w:rsidR="00CE0215" w:rsidRPr="003E1567">
        <w:rPr>
          <w:bCs/>
          <w:szCs w:val="26"/>
        </w:rPr>
        <w:t xml:space="preserve">.  The Commission may order transmission services under the authority of FPA 211. </w:t>
      </w:r>
    </w:p>
    <w:p w14:paraId="06CA1E77" w14:textId="77777777" w:rsidR="00F50EDA" w:rsidRDefault="00CE0215" w:rsidP="00CE0215">
      <w:pPr>
        <w:spacing w:line="480" w:lineRule="auto"/>
      </w:pPr>
      <w:r>
        <w:rPr>
          <w:bCs/>
          <w:szCs w:val="26"/>
        </w:rPr>
        <w:lastRenderedPageBreak/>
        <w:tab/>
      </w:r>
      <w:r w:rsidRPr="003E1567">
        <w:rPr>
          <w:bCs/>
          <w:szCs w:val="26"/>
        </w:rPr>
        <w:t xml:space="preserve">The Commission’s </w:t>
      </w:r>
      <w:r>
        <w:rPr>
          <w:bCs/>
          <w:szCs w:val="26"/>
        </w:rPr>
        <w:t xml:space="preserve">regulations </w:t>
      </w:r>
      <w:r w:rsidRPr="003E1567">
        <w:rPr>
          <w:bCs/>
          <w:szCs w:val="26"/>
        </w:rPr>
        <w:t>in the Code of Federal Regulations (CFR), 18 CFR 2.20</w:t>
      </w:r>
      <w:r>
        <w:rPr>
          <w:bCs/>
          <w:szCs w:val="26"/>
        </w:rPr>
        <w:t>, provide</w:t>
      </w:r>
      <w:r w:rsidRPr="003E1567">
        <w:rPr>
          <w:bCs/>
          <w:szCs w:val="26"/>
        </w:rPr>
        <w:t xml:space="preserve"> standards by which the Commission</w:t>
      </w:r>
      <w:r>
        <w:rPr>
          <w:bCs/>
          <w:szCs w:val="26"/>
        </w:rPr>
        <w:t xml:space="preserve"> determines if</w:t>
      </w:r>
      <w:r w:rsidRPr="003E1567">
        <w:rPr>
          <w:bCs/>
          <w:szCs w:val="26"/>
        </w:rPr>
        <w:t xml:space="preserve"> and when a valid good faith request for transmission has been made u</w:t>
      </w:r>
      <w:r>
        <w:rPr>
          <w:bCs/>
          <w:szCs w:val="26"/>
        </w:rPr>
        <w:t>nder section 211 of the FPA.  By</w:t>
      </w:r>
      <w:r w:rsidRPr="003E1567">
        <w:rPr>
          <w:bCs/>
          <w:szCs w:val="26"/>
        </w:rPr>
        <w:t xml:space="preserve"> developing the standards, the Commission sought to encourage</w:t>
      </w:r>
      <w:r>
        <w:rPr>
          <w:bCs/>
          <w:szCs w:val="26"/>
        </w:rPr>
        <w:t xml:space="preserve"> an open exchange of data</w:t>
      </w:r>
      <w:r w:rsidRPr="003E1567">
        <w:rPr>
          <w:bCs/>
          <w:szCs w:val="26"/>
        </w:rPr>
        <w:t xml:space="preserve"> with a reasonable degree of specificity and completeness between the party requesting transmission services and the transmitting utility.  As a resul</w:t>
      </w:r>
      <w:r>
        <w:rPr>
          <w:bCs/>
          <w:szCs w:val="26"/>
        </w:rPr>
        <w:t>t, 18 CFR 2.20 identifies 12</w:t>
      </w:r>
      <w:r w:rsidRPr="003E1567">
        <w:rPr>
          <w:bCs/>
          <w:szCs w:val="26"/>
        </w:rPr>
        <w:t xml:space="preserve"> components o</w:t>
      </w:r>
      <w:r>
        <w:rPr>
          <w:bCs/>
          <w:szCs w:val="26"/>
        </w:rPr>
        <w:t>f a good faith estimate and 5</w:t>
      </w:r>
      <w:r w:rsidRPr="003E1567">
        <w:rPr>
          <w:bCs/>
          <w:szCs w:val="26"/>
        </w:rPr>
        <w:t xml:space="preserve"> components of a reply to a good faith request</w:t>
      </w:r>
      <w:r>
        <w:rPr>
          <w:bCs/>
          <w:szCs w:val="26"/>
        </w:rPr>
        <w:t>.</w:t>
      </w:r>
    </w:p>
    <w:p w14:paraId="12FF6BA3" w14:textId="77777777" w:rsidR="009679E3" w:rsidRPr="009679E3" w:rsidRDefault="009537F4" w:rsidP="00CE64F2">
      <w:pPr>
        <w:spacing w:line="480" w:lineRule="auto"/>
      </w:pPr>
      <w:r>
        <w:rPr>
          <w:i/>
        </w:rPr>
        <w:t xml:space="preserve">Type of Respondents: </w:t>
      </w:r>
      <w:r w:rsidR="00CE0215">
        <w:t>Transmission Requestors and Transmitting Utilities</w:t>
      </w:r>
      <w:r>
        <w:t xml:space="preserve"> </w:t>
      </w:r>
    </w:p>
    <w:p w14:paraId="6BD10CBA" w14:textId="77777777" w:rsidR="00696A1D" w:rsidRDefault="00696A1D" w:rsidP="00696A1D">
      <w:pPr>
        <w:spacing w:line="480" w:lineRule="auto"/>
      </w:pPr>
      <w:r>
        <w:rPr>
          <w:i/>
        </w:rPr>
        <w:t>Estimate of Annual Burden</w:t>
      </w:r>
      <w:r>
        <w:rPr>
          <w:rStyle w:val="FootnoteReference"/>
          <w:i/>
        </w:rPr>
        <w:footnoteReference w:id="1"/>
      </w:r>
      <w:r>
        <w:rPr>
          <w:i/>
        </w:rPr>
        <w:t xml:space="preserve">: </w:t>
      </w:r>
      <w:r>
        <w:t>The Commission estimates the annual public reporting burden for the information collection as:</w:t>
      </w:r>
    </w:p>
    <w:tbl>
      <w:tblPr>
        <w:tblW w:w="535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531"/>
        <w:gridCol w:w="1531"/>
        <w:gridCol w:w="1443"/>
        <w:gridCol w:w="1342"/>
        <w:gridCol w:w="1348"/>
        <w:gridCol w:w="1264"/>
      </w:tblGrid>
      <w:tr w:rsidR="00CE0215" w:rsidRPr="00D77538" w14:paraId="779DF4D2" w14:textId="77777777" w:rsidTr="00720BC4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4DE22478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D7D3C">
              <w:rPr>
                <w:rFonts w:eastAsia="Calibri"/>
                <w:b/>
                <w:sz w:val="20"/>
                <w:szCs w:val="20"/>
              </w:rPr>
              <w:t>FERC-716 (</w:t>
            </w:r>
            <w:r w:rsidRPr="004E3E61">
              <w:rPr>
                <w:rFonts w:eastAsia="Calibri"/>
                <w:b/>
                <w:sz w:val="20"/>
                <w:szCs w:val="20"/>
              </w:rPr>
              <w:t>Good Faith Requests for Transmission Service and Good Faith Responses by Transmitting Utilities Under Sections 211(a) and 213(a</w:t>
            </w:r>
            <w:r>
              <w:rPr>
                <w:rFonts w:eastAsia="Calibri"/>
                <w:b/>
                <w:sz w:val="20"/>
                <w:szCs w:val="20"/>
              </w:rPr>
              <w:t>) of the Federal Power Act (FPA))</w:t>
            </w:r>
          </w:p>
        </w:tc>
      </w:tr>
      <w:tr w:rsidR="00CE0215" w:rsidRPr="00D77538" w14:paraId="29DD0042" w14:textId="77777777" w:rsidTr="00720BC4">
        <w:trPr>
          <w:cantSplit/>
        </w:trPr>
        <w:tc>
          <w:tcPr>
            <w:tcW w:w="878" w:type="pct"/>
            <w:shd w:val="clear" w:color="auto" w:fill="D9D9D9"/>
          </w:tcPr>
          <w:p w14:paraId="01C60558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D9D9D9"/>
            <w:vAlign w:val="bottom"/>
          </w:tcPr>
          <w:p w14:paraId="24C7A78F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Number of Respondents</w:t>
            </w:r>
            <w:r w:rsidRPr="006A60CF">
              <w:rPr>
                <w:rFonts w:eastAsia="Calibri"/>
                <w:b/>
                <w:sz w:val="20"/>
                <w:szCs w:val="20"/>
              </w:rPr>
              <w:br/>
              <w:t>(1)</w:t>
            </w:r>
          </w:p>
        </w:tc>
        <w:tc>
          <w:tcPr>
            <w:tcW w:w="746" w:type="pct"/>
            <w:shd w:val="clear" w:color="auto" w:fill="D9D9D9"/>
            <w:vAlign w:val="bottom"/>
          </w:tcPr>
          <w:p w14:paraId="1A73E156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Annual Number of Responses per Respondent</w:t>
            </w:r>
          </w:p>
          <w:p w14:paraId="6A985630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(2)</w:t>
            </w:r>
          </w:p>
        </w:tc>
        <w:tc>
          <w:tcPr>
            <w:tcW w:w="703" w:type="pct"/>
            <w:shd w:val="clear" w:color="auto" w:fill="D9D9D9"/>
            <w:vAlign w:val="bottom"/>
          </w:tcPr>
          <w:p w14:paraId="712F673F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Total Number of Responses (1)*(2)=(3)</w:t>
            </w:r>
          </w:p>
        </w:tc>
        <w:tc>
          <w:tcPr>
            <w:tcW w:w="654" w:type="pct"/>
            <w:shd w:val="clear" w:color="auto" w:fill="D9D9D9"/>
            <w:vAlign w:val="bottom"/>
          </w:tcPr>
          <w:p w14:paraId="4298C6BC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Average Burden</w:t>
            </w:r>
            <w:r>
              <w:rPr>
                <w:rFonts w:eastAsia="Calibri"/>
                <w:b/>
                <w:sz w:val="20"/>
                <w:szCs w:val="20"/>
              </w:rPr>
              <w:t xml:space="preserve"> &amp; </w:t>
            </w:r>
            <w:r w:rsidRPr="006A60CF">
              <w:rPr>
                <w:rFonts w:eastAsia="Calibri"/>
                <w:b/>
                <w:sz w:val="20"/>
                <w:szCs w:val="20"/>
              </w:rPr>
              <w:t>Cost Per Response</w:t>
            </w:r>
            <w:r w:rsidRPr="006A60CF">
              <w:rPr>
                <w:rFonts w:eastAsia="Calibri"/>
                <w:b/>
                <w:sz w:val="20"/>
                <w:szCs w:val="20"/>
                <w:vertAlign w:val="superscript"/>
              </w:rPr>
              <w:footnoteReference w:id="2"/>
            </w:r>
          </w:p>
          <w:p w14:paraId="7A0CF508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(4)</w:t>
            </w:r>
          </w:p>
        </w:tc>
        <w:tc>
          <w:tcPr>
            <w:tcW w:w="657" w:type="pct"/>
            <w:shd w:val="clear" w:color="auto" w:fill="D9D9D9"/>
            <w:vAlign w:val="bottom"/>
          </w:tcPr>
          <w:p w14:paraId="5E2132D5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Total Annual B</w:t>
            </w:r>
            <w:r>
              <w:rPr>
                <w:rFonts w:eastAsia="Calibri"/>
                <w:b/>
                <w:sz w:val="20"/>
                <w:szCs w:val="20"/>
              </w:rPr>
              <w:t xml:space="preserve">urden Hours &amp; </w:t>
            </w:r>
            <w:r w:rsidRPr="006A60CF">
              <w:rPr>
                <w:rFonts w:eastAsia="Calibri"/>
                <w:b/>
                <w:sz w:val="20"/>
                <w:szCs w:val="20"/>
              </w:rPr>
              <w:t>Total Annual Cost</w:t>
            </w:r>
          </w:p>
          <w:p w14:paraId="3AA80A31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(3)*(4)=(5)</w:t>
            </w:r>
          </w:p>
        </w:tc>
        <w:tc>
          <w:tcPr>
            <w:tcW w:w="616" w:type="pct"/>
            <w:shd w:val="clear" w:color="auto" w:fill="D9D9D9"/>
            <w:vAlign w:val="bottom"/>
          </w:tcPr>
          <w:p w14:paraId="5B9BDA75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Cost per Respondent</w:t>
            </w:r>
          </w:p>
          <w:p w14:paraId="0518A07C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 xml:space="preserve"> ($)</w:t>
            </w:r>
          </w:p>
          <w:p w14:paraId="1CD170B1" w14:textId="77777777" w:rsidR="00CE0215" w:rsidRPr="006A60CF" w:rsidRDefault="00CE0215" w:rsidP="00720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(5)÷(1)</w:t>
            </w:r>
          </w:p>
        </w:tc>
      </w:tr>
      <w:tr w:rsidR="00CE0215" w:rsidRPr="00D77538" w14:paraId="68811F5B" w14:textId="77777777" w:rsidTr="00720BC4">
        <w:trPr>
          <w:cantSplit/>
        </w:trPr>
        <w:tc>
          <w:tcPr>
            <w:tcW w:w="878" w:type="pct"/>
          </w:tcPr>
          <w:p w14:paraId="1E5FA22B" w14:textId="77777777" w:rsidR="00CE0215" w:rsidRPr="006A60CF" w:rsidRDefault="00CE0215" w:rsidP="00720BC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Information exchange between parties</w:t>
            </w:r>
          </w:p>
        </w:tc>
        <w:tc>
          <w:tcPr>
            <w:tcW w:w="746" w:type="pct"/>
          </w:tcPr>
          <w:p w14:paraId="55DD1C51" w14:textId="77777777" w:rsidR="00CE0215" w:rsidRPr="006A60CF" w:rsidRDefault="00CE0215" w:rsidP="00720BC4">
            <w:pPr>
              <w:tabs>
                <w:tab w:val="center" w:pos="657"/>
                <w:tab w:val="right" w:pos="1315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ab/>
            </w:r>
            <w:r>
              <w:rPr>
                <w:rFonts w:eastAsia="Calibri"/>
                <w:sz w:val="20"/>
                <w:szCs w:val="20"/>
              </w:rPr>
              <w:tab/>
              <w:t>3</w:t>
            </w:r>
          </w:p>
          <w:p w14:paraId="1E944152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6" w:type="pct"/>
          </w:tcPr>
          <w:p w14:paraId="389A9DDD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3" w:type="pct"/>
          </w:tcPr>
          <w:p w14:paraId="1EA6EE2B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54" w:type="pct"/>
          </w:tcPr>
          <w:p w14:paraId="050BBB05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  <w:r w:rsidR="00DF23FC">
              <w:rPr>
                <w:rFonts w:eastAsia="Calibri"/>
                <w:sz w:val="20"/>
                <w:szCs w:val="20"/>
              </w:rPr>
              <w:t xml:space="preserve"> hrs.;</w:t>
            </w:r>
          </w:p>
          <w:p w14:paraId="2E1268AA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$7650</w:t>
            </w:r>
          </w:p>
        </w:tc>
        <w:tc>
          <w:tcPr>
            <w:tcW w:w="657" w:type="pct"/>
          </w:tcPr>
          <w:p w14:paraId="1345FDEE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300</w:t>
            </w:r>
            <w:r w:rsidR="00DF23FC">
              <w:rPr>
                <w:rFonts w:eastAsia="Calibri"/>
                <w:sz w:val="20"/>
                <w:szCs w:val="20"/>
              </w:rPr>
              <w:t xml:space="preserve"> hrs.;</w:t>
            </w:r>
          </w:p>
          <w:p w14:paraId="7F2B4177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$22,950</w:t>
            </w:r>
            <w:r w:rsidRPr="006A60C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</w:tcPr>
          <w:p w14:paraId="397B604D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$7650</w:t>
            </w:r>
            <w:r w:rsidRPr="006A60CF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D2A3D5E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CE0215" w:rsidRPr="00D77538" w14:paraId="00341680" w14:textId="77777777" w:rsidTr="00720BC4">
        <w:trPr>
          <w:cantSplit/>
        </w:trPr>
        <w:tc>
          <w:tcPr>
            <w:tcW w:w="878" w:type="pct"/>
          </w:tcPr>
          <w:p w14:paraId="3C9CC897" w14:textId="77777777" w:rsidR="00CE0215" w:rsidRPr="006A60CF" w:rsidRDefault="00CE0215" w:rsidP="00720BC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Application submitted to FERC if parties’ negotiations are unsuccessful</w:t>
            </w:r>
          </w:p>
        </w:tc>
        <w:tc>
          <w:tcPr>
            <w:tcW w:w="746" w:type="pct"/>
          </w:tcPr>
          <w:p w14:paraId="65C81D39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46" w:type="pct"/>
          </w:tcPr>
          <w:p w14:paraId="491601C7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3" w:type="pct"/>
          </w:tcPr>
          <w:p w14:paraId="6C4F029C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54" w:type="pct"/>
          </w:tcPr>
          <w:p w14:paraId="2E241A47" w14:textId="77777777" w:rsidR="00CE0215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2.5</w:t>
            </w:r>
            <w:r w:rsidR="00DF23FC">
              <w:rPr>
                <w:rFonts w:eastAsia="Calibri"/>
                <w:sz w:val="20"/>
                <w:szCs w:val="20"/>
              </w:rPr>
              <w:t xml:space="preserve"> hrs.;</w:t>
            </w:r>
          </w:p>
          <w:p w14:paraId="3A10D628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$191.25</w:t>
            </w:r>
          </w:p>
        </w:tc>
        <w:tc>
          <w:tcPr>
            <w:tcW w:w="657" w:type="pct"/>
          </w:tcPr>
          <w:p w14:paraId="32F4977F" w14:textId="77777777" w:rsidR="00CE0215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7.5</w:t>
            </w:r>
            <w:r w:rsidR="00DF23FC">
              <w:rPr>
                <w:rFonts w:eastAsia="Calibri"/>
                <w:sz w:val="20"/>
                <w:szCs w:val="20"/>
              </w:rPr>
              <w:t xml:space="preserve"> hrs.;</w:t>
            </w:r>
          </w:p>
          <w:p w14:paraId="6C64AA3E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$573.75</w:t>
            </w:r>
          </w:p>
        </w:tc>
        <w:tc>
          <w:tcPr>
            <w:tcW w:w="616" w:type="pct"/>
          </w:tcPr>
          <w:p w14:paraId="6CE3F4D2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$191.25</w:t>
            </w:r>
          </w:p>
        </w:tc>
      </w:tr>
      <w:tr w:rsidR="00CE0215" w:rsidRPr="00D77538" w14:paraId="2B630ACD" w14:textId="77777777" w:rsidTr="00720BC4">
        <w:trPr>
          <w:cantSplit/>
          <w:trHeight w:val="485"/>
        </w:trPr>
        <w:tc>
          <w:tcPr>
            <w:tcW w:w="878" w:type="pct"/>
            <w:tcBorders>
              <w:bottom w:val="single" w:sz="4" w:space="0" w:color="auto"/>
            </w:tcBorders>
          </w:tcPr>
          <w:p w14:paraId="694FE9DD" w14:textId="77777777" w:rsidR="00CE0215" w:rsidRPr="006A60CF" w:rsidRDefault="00CE0215" w:rsidP="00720BC4">
            <w:pPr>
              <w:rPr>
                <w:rFonts w:eastAsia="Calibri"/>
                <w:b/>
                <w:sz w:val="20"/>
                <w:szCs w:val="20"/>
              </w:rPr>
            </w:pPr>
            <w:r w:rsidRPr="006A60CF">
              <w:rPr>
                <w:rFonts w:eastAsia="Calibri"/>
                <w:b/>
                <w:sz w:val="20"/>
                <w:szCs w:val="20"/>
              </w:rPr>
              <w:t>TOTAL</w:t>
            </w:r>
          </w:p>
        </w:tc>
        <w:tc>
          <w:tcPr>
            <w:tcW w:w="1492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9CBBA6C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14:paraId="57BBA21E" w14:textId="77777777" w:rsidR="00CE0215" w:rsidRPr="006A60CF" w:rsidRDefault="00CE0215" w:rsidP="00720BC4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D9D9D9"/>
          </w:tcPr>
          <w:p w14:paraId="54472D6B" w14:textId="77777777" w:rsidR="00CE0215" w:rsidRPr="006A60CF" w:rsidRDefault="00CE0215" w:rsidP="00720BC4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49A63784" w14:textId="77777777" w:rsidR="00CE0215" w:rsidRPr="006A60CF" w:rsidRDefault="00CE0215" w:rsidP="00720BC4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307.5</w:t>
            </w:r>
            <w:r w:rsidR="00DF23FC">
              <w:rPr>
                <w:rFonts w:eastAsia="Calibri"/>
                <w:b/>
                <w:sz w:val="20"/>
                <w:szCs w:val="20"/>
              </w:rPr>
              <w:t xml:space="preserve"> hrs.;</w:t>
            </w:r>
          </w:p>
          <w:p w14:paraId="08AC8E09" w14:textId="77777777" w:rsidR="00CE0215" w:rsidRPr="006A60CF" w:rsidRDefault="00CE0215" w:rsidP="00720BC4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$23,523.75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5ED1A2E5" w14:textId="77777777" w:rsidR="00CE0215" w:rsidRPr="006A60CF" w:rsidRDefault="00CE0215" w:rsidP="00720BC4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$7,841.25</w:t>
            </w:r>
          </w:p>
        </w:tc>
      </w:tr>
    </w:tbl>
    <w:p w14:paraId="11A22BA0" w14:textId="77777777" w:rsidR="00F86890" w:rsidRDefault="00F86890" w:rsidP="00CE64F2">
      <w:pPr>
        <w:spacing w:line="480" w:lineRule="auto"/>
      </w:pPr>
    </w:p>
    <w:p w14:paraId="157041BD" w14:textId="77777777" w:rsidR="00F86890" w:rsidRDefault="009537F4" w:rsidP="00C53513">
      <w:pPr>
        <w:spacing w:line="480" w:lineRule="auto"/>
      </w:pPr>
      <w:r>
        <w:rPr>
          <w:i/>
        </w:rPr>
        <w:t xml:space="preserve">Comments:  </w:t>
      </w:r>
      <w:r w:rsidR="00F86890">
        <w:t xml:space="preserve">Comments are invited on:  (1) whether the collection of information is necessary for the proper performance of the functions of the Commission, including whether the information will have practical utility; (2) the accuracy of the agency's estimate of the burden </w:t>
      </w:r>
      <w:r w:rsidR="009447D3">
        <w:t xml:space="preserve">and cost </w:t>
      </w:r>
      <w:r w:rsidR="00F86890">
        <w:t xml:space="preserve">of the collection of information, including the validity of the methodology and assumptions used; (3) ways to enhance the quality, utility and clarity of the information </w:t>
      </w:r>
      <w:r w:rsidR="00647B24">
        <w:t>collection</w:t>
      </w:r>
      <w:r w:rsidR="00F86890">
        <w:t>; and (4) ways to minimize the burden of the collection of information on those who are to respond, i</w:t>
      </w:r>
      <w:r w:rsidR="00647B24">
        <w:t xml:space="preserve">ncluding the use of </w:t>
      </w:r>
      <w:r w:rsidR="00F86890">
        <w:t xml:space="preserve">automated collection techniques or other forms of information technology.  </w:t>
      </w:r>
    </w:p>
    <w:p w14:paraId="1834884F" w14:textId="07F2EFF9" w:rsidR="009635A6" w:rsidRDefault="009635A6" w:rsidP="009635A6"/>
    <w:p w14:paraId="486E1116" w14:textId="19128A03" w:rsidR="009635A6" w:rsidRPr="009635A6" w:rsidRDefault="009635A6" w:rsidP="009635A6">
      <w:pPr>
        <w:ind w:firstLine="2174"/>
        <w:jc w:val="center"/>
      </w:pPr>
      <w:r w:rsidRPr="009635A6">
        <w:t>Kimberly D. Bose,</w:t>
      </w:r>
    </w:p>
    <w:p w14:paraId="1C50268D" w14:textId="77455E24" w:rsidR="009635A6" w:rsidRPr="009635A6" w:rsidRDefault="009635A6" w:rsidP="009635A6">
      <w:pPr>
        <w:ind w:firstLine="2174"/>
        <w:jc w:val="center"/>
      </w:pPr>
      <w:r w:rsidRPr="009635A6">
        <w:t>Secretary.</w:t>
      </w:r>
    </w:p>
    <w:p w14:paraId="6D328E4C" w14:textId="77777777" w:rsidR="009635A6" w:rsidRDefault="009635A6" w:rsidP="009635A6"/>
    <w:sectPr w:rsidR="009635A6" w:rsidSect="00EF5878">
      <w:headerReference w:type="even" r:id="rId18"/>
      <w:head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96249" w14:textId="77777777" w:rsidR="00035014" w:rsidRDefault="00035014">
      <w:r>
        <w:separator/>
      </w:r>
    </w:p>
  </w:endnote>
  <w:endnote w:type="continuationSeparator" w:id="0">
    <w:p w14:paraId="60E5CF43" w14:textId="77777777" w:rsidR="00035014" w:rsidRDefault="0003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1A7C8" w14:textId="77777777" w:rsidR="00035014" w:rsidRDefault="00035014">
      <w:r>
        <w:separator/>
      </w:r>
    </w:p>
  </w:footnote>
  <w:footnote w:type="continuationSeparator" w:id="0">
    <w:p w14:paraId="5C389D0B" w14:textId="77777777" w:rsidR="00035014" w:rsidRDefault="00035014">
      <w:r>
        <w:continuationSeparator/>
      </w:r>
    </w:p>
  </w:footnote>
  <w:footnote w:id="1">
    <w:p w14:paraId="36ED74FA" w14:textId="77777777" w:rsidR="00696A1D" w:rsidRPr="00A3726A" w:rsidRDefault="00696A1D" w:rsidP="00696A1D">
      <w:pPr>
        <w:pStyle w:val="FootnoteText"/>
        <w:rPr>
          <w:sz w:val="20"/>
        </w:rPr>
      </w:pPr>
      <w:r w:rsidRPr="00A3726A">
        <w:rPr>
          <w:rStyle w:val="FootnoteReference"/>
          <w:sz w:val="20"/>
          <w:szCs w:val="20"/>
        </w:rPr>
        <w:footnoteRef/>
      </w:r>
      <w:r w:rsidRPr="00A3726A">
        <w:rPr>
          <w:sz w:val="20"/>
        </w:rPr>
        <w:t xml:space="preserve"> The Commission defines burden as the total time, effort, or financial resources expended by persons to generate, maintain, retain, or disclose or provide information to or for a Federal agency. For further explanation of what is included in the information collection burden, reference 5 Code of Federal Regulations 1320.3.</w:t>
      </w:r>
    </w:p>
  </w:footnote>
  <w:footnote w:id="2">
    <w:p w14:paraId="4EAD7961" w14:textId="77777777" w:rsidR="00CE0215" w:rsidRPr="004E3E61" w:rsidRDefault="00CE0215" w:rsidP="00CE0215">
      <w:pPr>
        <w:pStyle w:val="FootnoteText"/>
        <w:rPr>
          <w:sz w:val="20"/>
        </w:rPr>
      </w:pPr>
      <w:r w:rsidRPr="0012596D">
        <w:rPr>
          <w:rStyle w:val="FootnoteReference"/>
          <w:sz w:val="20"/>
          <w:szCs w:val="20"/>
        </w:rPr>
        <w:footnoteRef/>
      </w:r>
      <w:r w:rsidRPr="0012596D">
        <w:rPr>
          <w:sz w:val="20"/>
        </w:rPr>
        <w:t xml:space="preserve"> </w:t>
      </w:r>
      <w:r w:rsidRPr="000650DE">
        <w:rPr>
          <w:sz w:val="20"/>
        </w:rPr>
        <w:t>The estimates for cost per response are derived using the following formula: Average</w:t>
      </w:r>
      <w:r>
        <w:rPr>
          <w:sz w:val="20"/>
        </w:rPr>
        <w:t xml:space="preserve"> Burden Hours per Response * $76</w:t>
      </w:r>
      <w:r w:rsidRPr="000650DE">
        <w:rPr>
          <w:sz w:val="20"/>
        </w:rPr>
        <w:t>.50 per Hour = Average Cost per Response.  Th</w:t>
      </w:r>
      <w:r w:rsidRPr="00BD44A6">
        <w:rPr>
          <w:sz w:val="20"/>
        </w:rPr>
        <w:t>e cost per hour figure is the FERC average salary plus benefits.  Subject matter experts found that industry employment costs closely resemble FERC’s regarding the FERC-716 information collection.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D9474" w14:textId="77777777" w:rsidR="004D79AA" w:rsidRDefault="004D79AA" w:rsidP="00920A1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34FEA1" w14:textId="77777777" w:rsidR="004D79AA" w:rsidRDefault="004D79AA" w:rsidP="005E318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F65EB" w14:textId="77777777" w:rsidR="004D79AA" w:rsidRDefault="004D79AA" w:rsidP="00920A1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B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B5AFDB" w14:textId="77777777" w:rsidR="004D79AA" w:rsidRDefault="004D79AA" w:rsidP="005E318F">
    <w:pPr>
      <w:pStyle w:val="Header"/>
      <w:ind w:right="360"/>
    </w:pPr>
    <w:r w:rsidRPr="008B2DD7">
      <w:t xml:space="preserve">Docket No. </w:t>
    </w:r>
    <w:r w:rsidR="008B2DD7" w:rsidRPr="008B2DD7">
      <w:t>IC18-8</w:t>
    </w:r>
    <w:r w:rsidRPr="008B2DD7">
      <w:t>-000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02A8"/>
    <w:multiLevelType w:val="hybridMultilevel"/>
    <w:tmpl w:val="1F3240CC"/>
    <w:lvl w:ilvl="0" w:tplc="DE32E33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3156D43"/>
    <w:multiLevelType w:val="multilevel"/>
    <w:tmpl w:val="B140707E"/>
    <w:lvl w:ilvl="0">
      <w:start w:val="1"/>
      <w:numFmt w:val="decimal"/>
      <w:pStyle w:val="ListContinu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90"/>
    <w:rsid w:val="0000007C"/>
    <w:rsid w:val="00002127"/>
    <w:rsid w:val="0000305D"/>
    <w:rsid w:val="00003A58"/>
    <w:rsid w:val="00004A34"/>
    <w:rsid w:val="00004D97"/>
    <w:rsid w:val="00004E01"/>
    <w:rsid w:val="00014E36"/>
    <w:rsid w:val="00024ECA"/>
    <w:rsid w:val="00035014"/>
    <w:rsid w:val="00036FEC"/>
    <w:rsid w:val="00041471"/>
    <w:rsid w:val="00043468"/>
    <w:rsid w:val="000436E9"/>
    <w:rsid w:val="0005366B"/>
    <w:rsid w:val="00055C05"/>
    <w:rsid w:val="0006335A"/>
    <w:rsid w:val="00072256"/>
    <w:rsid w:val="00072448"/>
    <w:rsid w:val="00080D5F"/>
    <w:rsid w:val="000838BE"/>
    <w:rsid w:val="000854B7"/>
    <w:rsid w:val="00093E92"/>
    <w:rsid w:val="000A27CA"/>
    <w:rsid w:val="000A5308"/>
    <w:rsid w:val="000A7D1F"/>
    <w:rsid w:val="000B723A"/>
    <w:rsid w:val="000C22B5"/>
    <w:rsid w:val="000C47F2"/>
    <w:rsid w:val="000C56A4"/>
    <w:rsid w:val="000D3639"/>
    <w:rsid w:val="000D5216"/>
    <w:rsid w:val="000F3E00"/>
    <w:rsid w:val="00103D50"/>
    <w:rsid w:val="00114B14"/>
    <w:rsid w:val="001240FD"/>
    <w:rsid w:val="00125F00"/>
    <w:rsid w:val="00146600"/>
    <w:rsid w:val="00146B5E"/>
    <w:rsid w:val="001470C0"/>
    <w:rsid w:val="001475FE"/>
    <w:rsid w:val="00150CA6"/>
    <w:rsid w:val="00163BBE"/>
    <w:rsid w:val="00176D66"/>
    <w:rsid w:val="00181F00"/>
    <w:rsid w:val="0019407A"/>
    <w:rsid w:val="0019691F"/>
    <w:rsid w:val="001A29CA"/>
    <w:rsid w:val="001A4577"/>
    <w:rsid w:val="001A5E0A"/>
    <w:rsid w:val="001A6B7C"/>
    <w:rsid w:val="001A7291"/>
    <w:rsid w:val="001B40FA"/>
    <w:rsid w:val="001B49BD"/>
    <w:rsid w:val="001B6B4A"/>
    <w:rsid w:val="001C3324"/>
    <w:rsid w:val="001C3703"/>
    <w:rsid w:val="001C4D3A"/>
    <w:rsid w:val="001C5D46"/>
    <w:rsid w:val="001E69DB"/>
    <w:rsid w:val="001F0B06"/>
    <w:rsid w:val="001F2664"/>
    <w:rsid w:val="001F47CB"/>
    <w:rsid w:val="00204D0F"/>
    <w:rsid w:val="00215A17"/>
    <w:rsid w:val="002265E9"/>
    <w:rsid w:val="00241BFD"/>
    <w:rsid w:val="00251C88"/>
    <w:rsid w:val="00252CD0"/>
    <w:rsid w:val="002677D6"/>
    <w:rsid w:val="0027273D"/>
    <w:rsid w:val="00285E62"/>
    <w:rsid w:val="0028677A"/>
    <w:rsid w:val="0029476E"/>
    <w:rsid w:val="00296592"/>
    <w:rsid w:val="002A6174"/>
    <w:rsid w:val="002B43A6"/>
    <w:rsid w:val="002B62A0"/>
    <w:rsid w:val="002C0ECB"/>
    <w:rsid w:val="002C23E9"/>
    <w:rsid w:val="002C5B1A"/>
    <w:rsid w:val="00317A96"/>
    <w:rsid w:val="00321EB8"/>
    <w:rsid w:val="00323139"/>
    <w:rsid w:val="00335092"/>
    <w:rsid w:val="00341866"/>
    <w:rsid w:val="00356E26"/>
    <w:rsid w:val="00366669"/>
    <w:rsid w:val="00370763"/>
    <w:rsid w:val="00374409"/>
    <w:rsid w:val="00381700"/>
    <w:rsid w:val="00386BED"/>
    <w:rsid w:val="003A1D7A"/>
    <w:rsid w:val="003B4D70"/>
    <w:rsid w:val="003C1644"/>
    <w:rsid w:val="003C1F91"/>
    <w:rsid w:val="003D6813"/>
    <w:rsid w:val="003F32A9"/>
    <w:rsid w:val="00414715"/>
    <w:rsid w:val="004230B0"/>
    <w:rsid w:val="00423C49"/>
    <w:rsid w:val="0042785C"/>
    <w:rsid w:val="00430164"/>
    <w:rsid w:val="00432C41"/>
    <w:rsid w:val="0043489E"/>
    <w:rsid w:val="00443641"/>
    <w:rsid w:val="00445DDF"/>
    <w:rsid w:val="004530E0"/>
    <w:rsid w:val="00453F74"/>
    <w:rsid w:val="00455A33"/>
    <w:rsid w:val="00455C4D"/>
    <w:rsid w:val="00462DBE"/>
    <w:rsid w:val="00470106"/>
    <w:rsid w:val="0047321C"/>
    <w:rsid w:val="004855F2"/>
    <w:rsid w:val="00487256"/>
    <w:rsid w:val="00490E50"/>
    <w:rsid w:val="004A51DF"/>
    <w:rsid w:val="004A6E59"/>
    <w:rsid w:val="004B665B"/>
    <w:rsid w:val="004C36C3"/>
    <w:rsid w:val="004C3BB0"/>
    <w:rsid w:val="004C3C65"/>
    <w:rsid w:val="004D1EE5"/>
    <w:rsid w:val="004D3E3C"/>
    <w:rsid w:val="004D4CD3"/>
    <w:rsid w:val="004D53C3"/>
    <w:rsid w:val="004D778A"/>
    <w:rsid w:val="004D79AA"/>
    <w:rsid w:val="004F3E67"/>
    <w:rsid w:val="0050437A"/>
    <w:rsid w:val="00515CA5"/>
    <w:rsid w:val="00517B18"/>
    <w:rsid w:val="00521ABE"/>
    <w:rsid w:val="00524B22"/>
    <w:rsid w:val="00530BB4"/>
    <w:rsid w:val="005320C7"/>
    <w:rsid w:val="005346F4"/>
    <w:rsid w:val="00534B97"/>
    <w:rsid w:val="00537276"/>
    <w:rsid w:val="0054477B"/>
    <w:rsid w:val="00551B13"/>
    <w:rsid w:val="005521E7"/>
    <w:rsid w:val="00556AC8"/>
    <w:rsid w:val="005665D1"/>
    <w:rsid w:val="005701E9"/>
    <w:rsid w:val="00584568"/>
    <w:rsid w:val="0058734A"/>
    <w:rsid w:val="0058744A"/>
    <w:rsid w:val="005916D2"/>
    <w:rsid w:val="00592AD7"/>
    <w:rsid w:val="00594550"/>
    <w:rsid w:val="005953A4"/>
    <w:rsid w:val="005A02C5"/>
    <w:rsid w:val="005A6D8E"/>
    <w:rsid w:val="005B0E46"/>
    <w:rsid w:val="005D0272"/>
    <w:rsid w:val="005E318F"/>
    <w:rsid w:val="005E6B6B"/>
    <w:rsid w:val="006053EE"/>
    <w:rsid w:val="006070B9"/>
    <w:rsid w:val="00617E46"/>
    <w:rsid w:val="0062025E"/>
    <w:rsid w:val="00625882"/>
    <w:rsid w:val="006276C9"/>
    <w:rsid w:val="006400D4"/>
    <w:rsid w:val="00647B24"/>
    <w:rsid w:val="00656DF0"/>
    <w:rsid w:val="0065768D"/>
    <w:rsid w:val="00672BEA"/>
    <w:rsid w:val="0068483B"/>
    <w:rsid w:val="006902C3"/>
    <w:rsid w:val="0069142C"/>
    <w:rsid w:val="0069234C"/>
    <w:rsid w:val="00694675"/>
    <w:rsid w:val="00695504"/>
    <w:rsid w:val="00696A1D"/>
    <w:rsid w:val="006A2074"/>
    <w:rsid w:val="006A4D89"/>
    <w:rsid w:val="006A64E7"/>
    <w:rsid w:val="006B4821"/>
    <w:rsid w:val="006C57B1"/>
    <w:rsid w:val="006D549E"/>
    <w:rsid w:val="006E6000"/>
    <w:rsid w:val="006E7FB0"/>
    <w:rsid w:val="006F4A80"/>
    <w:rsid w:val="006F77BE"/>
    <w:rsid w:val="0070048D"/>
    <w:rsid w:val="00703DFC"/>
    <w:rsid w:val="0070558B"/>
    <w:rsid w:val="0071251E"/>
    <w:rsid w:val="00715910"/>
    <w:rsid w:val="00720B54"/>
    <w:rsid w:val="00720BC4"/>
    <w:rsid w:val="00720E07"/>
    <w:rsid w:val="00725908"/>
    <w:rsid w:val="0072643A"/>
    <w:rsid w:val="00743386"/>
    <w:rsid w:val="00764A91"/>
    <w:rsid w:val="00766823"/>
    <w:rsid w:val="007726D7"/>
    <w:rsid w:val="00773856"/>
    <w:rsid w:val="0078241C"/>
    <w:rsid w:val="00785CF9"/>
    <w:rsid w:val="007957B9"/>
    <w:rsid w:val="007A46B4"/>
    <w:rsid w:val="007A5C4A"/>
    <w:rsid w:val="007D2400"/>
    <w:rsid w:val="007D4A4A"/>
    <w:rsid w:val="007E52AC"/>
    <w:rsid w:val="007E6973"/>
    <w:rsid w:val="007E699A"/>
    <w:rsid w:val="007E7573"/>
    <w:rsid w:val="007F4F94"/>
    <w:rsid w:val="007F7E3C"/>
    <w:rsid w:val="00827DA2"/>
    <w:rsid w:val="0083270A"/>
    <w:rsid w:val="00834B9E"/>
    <w:rsid w:val="0083507A"/>
    <w:rsid w:val="008410EA"/>
    <w:rsid w:val="00841CCE"/>
    <w:rsid w:val="00852671"/>
    <w:rsid w:val="00855434"/>
    <w:rsid w:val="0086417D"/>
    <w:rsid w:val="00865949"/>
    <w:rsid w:val="00865E72"/>
    <w:rsid w:val="0087254C"/>
    <w:rsid w:val="00880EEA"/>
    <w:rsid w:val="008814F7"/>
    <w:rsid w:val="00891E91"/>
    <w:rsid w:val="00893FB3"/>
    <w:rsid w:val="008956A4"/>
    <w:rsid w:val="008B2DD7"/>
    <w:rsid w:val="008B5814"/>
    <w:rsid w:val="008D7DF2"/>
    <w:rsid w:val="008E4CB7"/>
    <w:rsid w:val="008F66AB"/>
    <w:rsid w:val="00906BFB"/>
    <w:rsid w:val="009124A0"/>
    <w:rsid w:val="009131BC"/>
    <w:rsid w:val="0091686D"/>
    <w:rsid w:val="00920A1C"/>
    <w:rsid w:val="00924B80"/>
    <w:rsid w:val="00937BCD"/>
    <w:rsid w:val="009447D3"/>
    <w:rsid w:val="009537F4"/>
    <w:rsid w:val="00956FF9"/>
    <w:rsid w:val="00961DAE"/>
    <w:rsid w:val="009635A6"/>
    <w:rsid w:val="00966148"/>
    <w:rsid w:val="009679E3"/>
    <w:rsid w:val="009713C5"/>
    <w:rsid w:val="0097434D"/>
    <w:rsid w:val="00977E05"/>
    <w:rsid w:val="0098394F"/>
    <w:rsid w:val="00991D87"/>
    <w:rsid w:val="009947B6"/>
    <w:rsid w:val="00994B38"/>
    <w:rsid w:val="00997AE4"/>
    <w:rsid w:val="009A61E8"/>
    <w:rsid w:val="009B7DFA"/>
    <w:rsid w:val="009C2E1C"/>
    <w:rsid w:val="009D505F"/>
    <w:rsid w:val="009E1DA1"/>
    <w:rsid w:val="009F4AB4"/>
    <w:rsid w:val="009F71DC"/>
    <w:rsid w:val="00A0763E"/>
    <w:rsid w:val="00A15BF1"/>
    <w:rsid w:val="00A17794"/>
    <w:rsid w:val="00A226EE"/>
    <w:rsid w:val="00A34319"/>
    <w:rsid w:val="00A34518"/>
    <w:rsid w:val="00A35158"/>
    <w:rsid w:val="00A3726A"/>
    <w:rsid w:val="00A40B65"/>
    <w:rsid w:val="00A4355D"/>
    <w:rsid w:val="00A51FCA"/>
    <w:rsid w:val="00A536DA"/>
    <w:rsid w:val="00A56980"/>
    <w:rsid w:val="00A60681"/>
    <w:rsid w:val="00A72F11"/>
    <w:rsid w:val="00A85DE0"/>
    <w:rsid w:val="00A96311"/>
    <w:rsid w:val="00A9631E"/>
    <w:rsid w:val="00AA44E4"/>
    <w:rsid w:val="00AA7819"/>
    <w:rsid w:val="00AB0A99"/>
    <w:rsid w:val="00AB20D8"/>
    <w:rsid w:val="00AB436E"/>
    <w:rsid w:val="00AC4CC5"/>
    <w:rsid w:val="00AC7480"/>
    <w:rsid w:val="00AE0995"/>
    <w:rsid w:val="00AE4572"/>
    <w:rsid w:val="00AE61E0"/>
    <w:rsid w:val="00AF4F93"/>
    <w:rsid w:val="00B018B9"/>
    <w:rsid w:val="00B1101F"/>
    <w:rsid w:val="00B2439B"/>
    <w:rsid w:val="00B3254F"/>
    <w:rsid w:val="00B33628"/>
    <w:rsid w:val="00B337D1"/>
    <w:rsid w:val="00B43366"/>
    <w:rsid w:val="00B4431A"/>
    <w:rsid w:val="00B460AF"/>
    <w:rsid w:val="00B52047"/>
    <w:rsid w:val="00B62B35"/>
    <w:rsid w:val="00B710EA"/>
    <w:rsid w:val="00B75595"/>
    <w:rsid w:val="00B806DB"/>
    <w:rsid w:val="00B81BC5"/>
    <w:rsid w:val="00B835C5"/>
    <w:rsid w:val="00B97BC8"/>
    <w:rsid w:val="00BA7702"/>
    <w:rsid w:val="00BB1C54"/>
    <w:rsid w:val="00BC1B93"/>
    <w:rsid w:val="00BD0A6B"/>
    <w:rsid w:val="00BD15D4"/>
    <w:rsid w:val="00BF0461"/>
    <w:rsid w:val="00BF144D"/>
    <w:rsid w:val="00C01B8E"/>
    <w:rsid w:val="00C0487E"/>
    <w:rsid w:val="00C056FE"/>
    <w:rsid w:val="00C05E2D"/>
    <w:rsid w:val="00C1080B"/>
    <w:rsid w:val="00C13D4D"/>
    <w:rsid w:val="00C14CA1"/>
    <w:rsid w:val="00C209EA"/>
    <w:rsid w:val="00C20BA6"/>
    <w:rsid w:val="00C211B3"/>
    <w:rsid w:val="00C3310F"/>
    <w:rsid w:val="00C33BBC"/>
    <w:rsid w:val="00C41350"/>
    <w:rsid w:val="00C446C7"/>
    <w:rsid w:val="00C4788A"/>
    <w:rsid w:val="00C53513"/>
    <w:rsid w:val="00C56512"/>
    <w:rsid w:val="00C63FEE"/>
    <w:rsid w:val="00C70D6C"/>
    <w:rsid w:val="00C71F08"/>
    <w:rsid w:val="00C856C1"/>
    <w:rsid w:val="00C936A0"/>
    <w:rsid w:val="00C950B8"/>
    <w:rsid w:val="00C9728E"/>
    <w:rsid w:val="00C97402"/>
    <w:rsid w:val="00CA5395"/>
    <w:rsid w:val="00CA582B"/>
    <w:rsid w:val="00CA5D25"/>
    <w:rsid w:val="00CB10EF"/>
    <w:rsid w:val="00CC084C"/>
    <w:rsid w:val="00CC312A"/>
    <w:rsid w:val="00CC74B4"/>
    <w:rsid w:val="00CD31E5"/>
    <w:rsid w:val="00CD787F"/>
    <w:rsid w:val="00CE0215"/>
    <w:rsid w:val="00CE0248"/>
    <w:rsid w:val="00CE0EF2"/>
    <w:rsid w:val="00CE64F2"/>
    <w:rsid w:val="00CF5B9A"/>
    <w:rsid w:val="00D02D61"/>
    <w:rsid w:val="00D20E2B"/>
    <w:rsid w:val="00D23599"/>
    <w:rsid w:val="00D33436"/>
    <w:rsid w:val="00D43998"/>
    <w:rsid w:val="00D47828"/>
    <w:rsid w:val="00D63246"/>
    <w:rsid w:val="00D63C82"/>
    <w:rsid w:val="00D67693"/>
    <w:rsid w:val="00D70310"/>
    <w:rsid w:val="00D76D45"/>
    <w:rsid w:val="00D77890"/>
    <w:rsid w:val="00D87C24"/>
    <w:rsid w:val="00D90CBF"/>
    <w:rsid w:val="00D90F48"/>
    <w:rsid w:val="00D9166B"/>
    <w:rsid w:val="00D92CB4"/>
    <w:rsid w:val="00D93E95"/>
    <w:rsid w:val="00D94313"/>
    <w:rsid w:val="00DA6F3C"/>
    <w:rsid w:val="00DA7F57"/>
    <w:rsid w:val="00DB44CE"/>
    <w:rsid w:val="00DC05D3"/>
    <w:rsid w:val="00DC09DD"/>
    <w:rsid w:val="00DC0CCD"/>
    <w:rsid w:val="00DC4367"/>
    <w:rsid w:val="00DD02E8"/>
    <w:rsid w:val="00DD3E84"/>
    <w:rsid w:val="00DF23FC"/>
    <w:rsid w:val="00DF281F"/>
    <w:rsid w:val="00DF3DC8"/>
    <w:rsid w:val="00DF57D1"/>
    <w:rsid w:val="00E027CE"/>
    <w:rsid w:val="00E0745C"/>
    <w:rsid w:val="00E102DA"/>
    <w:rsid w:val="00E13FB3"/>
    <w:rsid w:val="00E146ED"/>
    <w:rsid w:val="00E2091C"/>
    <w:rsid w:val="00E310B1"/>
    <w:rsid w:val="00E4230F"/>
    <w:rsid w:val="00E436DC"/>
    <w:rsid w:val="00E43FF3"/>
    <w:rsid w:val="00E52021"/>
    <w:rsid w:val="00E521EB"/>
    <w:rsid w:val="00E57F5B"/>
    <w:rsid w:val="00E60318"/>
    <w:rsid w:val="00E6445A"/>
    <w:rsid w:val="00E6573E"/>
    <w:rsid w:val="00E92ACF"/>
    <w:rsid w:val="00E9701C"/>
    <w:rsid w:val="00EA07A3"/>
    <w:rsid w:val="00EA26F9"/>
    <w:rsid w:val="00EA5739"/>
    <w:rsid w:val="00EB6EE6"/>
    <w:rsid w:val="00EC0705"/>
    <w:rsid w:val="00EC4610"/>
    <w:rsid w:val="00EC4C08"/>
    <w:rsid w:val="00EC657E"/>
    <w:rsid w:val="00EC7372"/>
    <w:rsid w:val="00EE4F64"/>
    <w:rsid w:val="00EE5F32"/>
    <w:rsid w:val="00EE64A4"/>
    <w:rsid w:val="00EF5878"/>
    <w:rsid w:val="00F02B46"/>
    <w:rsid w:val="00F04F98"/>
    <w:rsid w:val="00F05061"/>
    <w:rsid w:val="00F15EB8"/>
    <w:rsid w:val="00F17D46"/>
    <w:rsid w:val="00F2283B"/>
    <w:rsid w:val="00F239CB"/>
    <w:rsid w:val="00F252DC"/>
    <w:rsid w:val="00F30FE9"/>
    <w:rsid w:val="00F31331"/>
    <w:rsid w:val="00F33CC9"/>
    <w:rsid w:val="00F34211"/>
    <w:rsid w:val="00F4212C"/>
    <w:rsid w:val="00F42509"/>
    <w:rsid w:val="00F500B7"/>
    <w:rsid w:val="00F50EDA"/>
    <w:rsid w:val="00F567F0"/>
    <w:rsid w:val="00F619B0"/>
    <w:rsid w:val="00F62C6E"/>
    <w:rsid w:val="00F63C6E"/>
    <w:rsid w:val="00F67CA1"/>
    <w:rsid w:val="00F72A15"/>
    <w:rsid w:val="00F730F8"/>
    <w:rsid w:val="00F75289"/>
    <w:rsid w:val="00F76482"/>
    <w:rsid w:val="00F80272"/>
    <w:rsid w:val="00F81786"/>
    <w:rsid w:val="00F86890"/>
    <w:rsid w:val="00F94545"/>
    <w:rsid w:val="00FA1560"/>
    <w:rsid w:val="00FA2A52"/>
    <w:rsid w:val="00FA4464"/>
    <w:rsid w:val="00FB5088"/>
    <w:rsid w:val="00FC34C8"/>
    <w:rsid w:val="00FC4CD8"/>
    <w:rsid w:val="00FC5E3E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5C74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D20E2B"/>
    <w:rPr>
      <w:sz w:val="22"/>
      <w:szCs w:val="20"/>
    </w:rPr>
  </w:style>
  <w:style w:type="paragraph" w:styleId="Header">
    <w:name w:val="header"/>
    <w:basedOn w:val="Normal"/>
    <w:rsid w:val="005E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318F"/>
  </w:style>
  <w:style w:type="paragraph" w:styleId="Footer">
    <w:name w:val="footer"/>
    <w:basedOn w:val="Normal"/>
    <w:rsid w:val="005E318F"/>
    <w:pPr>
      <w:tabs>
        <w:tab w:val="center" w:pos="4320"/>
        <w:tab w:val="right" w:pos="8640"/>
      </w:tabs>
    </w:pPr>
  </w:style>
  <w:style w:type="character" w:styleId="Hyperlink">
    <w:name w:val="Hyperlink"/>
    <w:rsid w:val="00C56512"/>
    <w:rPr>
      <w:color w:val="0000FF"/>
      <w:u w:val="single"/>
    </w:rPr>
  </w:style>
  <w:style w:type="character" w:styleId="FollowedHyperlink">
    <w:name w:val="FollowedHyperlink"/>
    <w:rsid w:val="00F42509"/>
    <w:rPr>
      <w:color w:val="800080"/>
      <w:u w:val="single"/>
    </w:rPr>
  </w:style>
  <w:style w:type="paragraph" w:styleId="BalloonText">
    <w:name w:val="Balloon Text"/>
    <w:basedOn w:val="Normal"/>
    <w:semiHidden/>
    <w:rsid w:val="00F42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5A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Continue">
    <w:name w:val="List Continue"/>
    <w:basedOn w:val="Normal"/>
    <w:rsid w:val="00DC05D3"/>
    <w:pPr>
      <w:numPr>
        <w:numId w:val="3"/>
      </w:numPr>
      <w:spacing w:after="120" w:line="480" w:lineRule="auto"/>
    </w:pPr>
  </w:style>
  <w:style w:type="paragraph" w:customStyle="1" w:styleId="LegalFormat">
    <w:name w:val="Legal Format"/>
    <w:basedOn w:val="ListContinue"/>
    <w:rsid w:val="00DC05D3"/>
    <w:pPr>
      <w:spacing w:after="0"/>
      <w:ind w:left="0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D20E2B"/>
    <w:rPr>
      <w:sz w:val="22"/>
      <w:szCs w:val="20"/>
    </w:rPr>
  </w:style>
  <w:style w:type="paragraph" w:styleId="Header">
    <w:name w:val="header"/>
    <w:basedOn w:val="Normal"/>
    <w:rsid w:val="005E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318F"/>
  </w:style>
  <w:style w:type="paragraph" w:styleId="Footer">
    <w:name w:val="footer"/>
    <w:basedOn w:val="Normal"/>
    <w:rsid w:val="005E318F"/>
    <w:pPr>
      <w:tabs>
        <w:tab w:val="center" w:pos="4320"/>
        <w:tab w:val="right" w:pos="8640"/>
      </w:tabs>
    </w:pPr>
  </w:style>
  <w:style w:type="character" w:styleId="Hyperlink">
    <w:name w:val="Hyperlink"/>
    <w:rsid w:val="00C56512"/>
    <w:rPr>
      <w:color w:val="0000FF"/>
      <w:u w:val="single"/>
    </w:rPr>
  </w:style>
  <w:style w:type="character" w:styleId="FollowedHyperlink">
    <w:name w:val="FollowedHyperlink"/>
    <w:rsid w:val="00F42509"/>
    <w:rPr>
      <w:color w:val="800080"/>
      <w:u w:val="single"/>
    </w:rPr>
  </w:style>
  <w:style w:type="paragraph" w:styleId="BalloonText">
    <w:name w:val="Balloon Text"/>
    <w:basedOn w:val="Normal"/>
    <w:semiHidden/>
    <w:rsid w:val="00F42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5A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Continue">
    <w:name w:val="List Continue"/>
    <w:basedOn w:val="Normal"/>
    <w:rsid w:val="00DC05D3"/>
    <w:pPr>
      <w:numPr>
        <w:numId w:val="3"/>
      </w:numPr>
      <w:spacing w:after="120" w:line="480" w:lineRule="auto"/>
    </w:pPr>
  </w:style>
  <w:style w:type="paragraph" w:customStyle="1" w:styleId="LegalFormat">
    <w:name w:val="Legal Format"/>
    <w:basedOn w:val="ListContinue"/>
    <w:rsid w:val="00DC05D3"/>
    <w:pPr>
      <w:spacing w:after="0"/>
      <w:ind w:left="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DataClearance@FER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erc.gov/docs-filing/docs-filing.a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rc.gov/help/submission-guide.asp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ferc.gov/docs-filing/efiling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8E9D-B841-45E8-AB92-9CCA53691AC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502A652-F07C-4057-9DEF-C6AA7646F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C9A1-4DBF-4CA0-BAD2-B0FA1019F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72C71-564C-4169-9E7C-D65FFE42DA5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994C81A-8533-4D7F-847B-562FFE4A3896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6.xml><?xml version="1.0" encoding="utf-8"?>
<ds:datastoreItem xmlns:ds="http://schemas.openxmlformats.org/officeDocument/2006/customXml" ds:itemID="{F238CFF6-C706-4DCE-966C-397033FF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5272</CharactersWithSpaces>
  <SharedDoc>false</SharedDoc>
  <HyperlinkBase/>
  <HLinks>
    <vt:vector size="24" baseType="variant">
      <vt:variant>
        <vt:i4>5767268</vt:i4>
      </vt:variant>
      <vt:variant>
        <vt:i4>9</vt:i4>
      </vt:variant>
      <vt:variant>
        <vt:i4>0</vt:i4>
      </vt:variant>
      <vt:variant>
        <vt:i4>5</vt:i4>
      </vt:variant>
      <vt:variant>
        <vt:lpwstr>mailto:DataClearance@FERC.gov</vt:lpwstr>
      </vt:variant>
      <vt:variant>
        <vt:lpwstr/>
      </vt:variant>
      <vt:variant>
        <vt:i4>2293798</vt:i4>
      </vt:variant>
      <vt:variant>
        <vt:i4>6</vt:i4>
      </vt:variant>
      <vt:variant>
        <vt:i4>0</vt:i4>
      </vt:variant>
      <vt:variant>
        <vt:i4>5</vt:i4>
      </vt:variant>
      <vt:variant>
        <vt:lpwstr>http://www.ferc.gov/docs-filing/docs-filing.asp</vt:lpwstr>
      </vt:variant>
      <vt:variant>
        <vt:lpwstr/>
      </vt:variant>
      <vt:variant>
        <vt:i4>4259850</vt:i4>
      </vt:variant>
      <vt:variant>
        <vt:i4>3</vt:i4>
      </vt:variant>
      <vt:variant>
        <vt:i4>0</vt:i4>
      </vt:variant>
      <vt:variant>
        <vt:i4>5</vt:i4>
      </vt:variant>
      <vt:variant>
        <vt:lpwstr>http://www.ferc.gov/help/submission-guide.asp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http://www.ferc.gov/docs-filing/efiling.asp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May</dc:creator>
  <cp:keywords/>
  <dc:description/>
  <cp:lastModifiedBy>SYSTEM</cp:lastModifiedBy>
  <cp:revision>2</cp:revision>
  <cp:lastPrinted>2011-07-29T15:17:00Z</cp:lastPrinted>
  <dcterms:created xsi:type="dcterms:W3CDTF">2018-06-01T12:38:00Z</dcterms:created>
  <dcterms:modified xsi:type="dcterms:W3CDTF">2018-06-01T12:38:00Z</dcterms:modified>
  <cp:category/>
  <dc:identifier/>
  <cp:contentStatus/>
  <cp:version/>
</cp:coreProperties>
</file>