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596A7" w14:textId="77777777" w:rsidR="00874435" w:rsidRPr="00F56299" w:rsidRDefault="00874435" w:rsidP="00CB70D9">
      <w:pPr>
        <w:spacing w:after="0"/>
        <w:jc w:val="center"/>
        <w:rPr>
          <w:b/>
          <w:sz w:val="28"/>
          <w:szCs w:val="24"/>
        </w:rPr>
      </w:pPr>
      <w:bookmarkStart w:id="0" w:name="_Toc511380102"/>
      <w:bookmarkStart w:id="1" w:name="_GoBack"/>
      <w:bookmarkEnd w:id="1"/>
      <w:r w:rsidRPr="00F56299">
        <w:rPr>
          <w:b/>
          <w:sz w:val="28"/>
          <w:szCs w:val="24"/>
        </w:rPr>
        <w:t>Supporting Statement for Paperwork Reduction Act Submissions</w:t>
      </w:r>
    </w:p>
    <w:p w14:paraId="3FC8D48A" w14:textId="77777777" w:rsidR="00874435" w:rsidRPr="00F56299" w:rsidRDefault="00874435" w:rsidP="00CB7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F56299">
        <w:rPr>
          <w:b/>
          <w:sz w:val="28"/>
          <w:szCs w:val="24"/>
        </w:rPr>
        <w:t xml:space="preserve">Evaluation of the Supportive Services Demonstration </w:t>
      </w:r>
    </w:p>
    <w:p w14:paraId="36C11BB6" w14:textId="168E896D" w:rsidR="00874435" w:rsidRPr="00F56299" w:rsidRDefault="00874435" w:rsidP="00CB7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F56299">
        <w:rPr>
          <w:b/>
          <w:sz w:val="28"/>
          <w:szCs w:val="24"/>
        </w:rPr>
        <w:t>(OMB# xxxx-xxxx)</w:t>
      </w:r>
    </w:p>
    <w:p w14:paraId="2950E5F7" w14:textId="77777777" w:rsidR="00874435" w:rsidRPr="00167E53" w:rsidRDefault="00874435" w:rsidP="00874435">
      <w:pPr>
        <w:rPr>
          <w:b/>
          <w:sz w:val="24"/>
          <w:szCs w:val="24"/>
        </w:rPr>
      </w:pPr>
    </w:p>
    <w:bookmarkEnd w:id="0"/>
    <w:p w14:paraId="479D7B25" w14:textId="1F78B27E" w:rsidR="00B84101" w:rsidRDefault="00CB70D9" w:rsidP="00B84101">
      <w:pPr>
        <w:rPr>
          <w:b/>
          <w:sz w:val="24"/>
          <w:szCs w:val="24"/>
          <w:u w:val="single"/>
        </w:rPr>
      </w:pPr>
      <w:r>
        <w:rPr>
          <w:b/>
          <w:sz w:val="24"/>
          <w:szCs w:val="24"/>
          <w:u w:val="single"/>
        </w:rPr>
        <w:t>B</w:t>
      </w:r>
      <w:r w:rsidR="00294FBD">
        <w:rPr>
          <w:b/>
          <w:sz w:val="24"/>
          <w:szCs w:val="24"/>
          <w:u w:val="single"/>
        </w:rPr>
        <w:t>.</w:t>
      </w:r>
      <w:r>
        <w:rPr>
          <w:b/>
          <w:sz w:val="24"/>
          <w:szCs w:val="24"/>
          <w:u w:val="single"/>
        </w:rPr>
        <w:t xml:space="preserve"> </w:t>
      </w:r>
      <w:r w:rsidRPr="00CB70D9">
        <w:rPr>
          <w:b/>
          <w:sz w:val="24"/>
          <w:szCs w:val="24"/>
          <w:u w:val="single"/>
        </w:rPr>
        <w:t>Collections of Information Employing Statistical Methods</w:t>
      </w:r>
    </w:p>
    <w:p w14:paraId="109F1A58" w14:textId="4EE81A91" w:rsidR="00294FBD" w:rsidRDefault="00294FBD" w:rsidP="00CC3675">
      <w:pPr>
        <w:pStyle w:val="NoSpacing"/>
        <w:ind w:left="360" w:hanging="360"/>
        <w:rPr>
          <w:b/>
          <w:sz w:val="24"/>
          <w:szCs w:val="24"/>
        </w:rPr>
      </w:pPr>
      <w:r w:rsidRPr="00294FBD">
        <w:rPr>
          <w:b/>
          <w:sz w:val="24"/>
          <w:szCs w:val="24"/>
        </w:rPr>
        <w:t>1.</w:t>
      </w:r>
      <w:r w:rsidR="00CC3675">
        <w:rPr>
          <w:b/>
          <w:sz w:val="24"/>
          <w:szCs w:val="24"/>
        </w:rPr>
        <w:tab/>
      </w:r>
      <w:r w:rsidRPr="00294FBD">
        <w:rPr>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w:t>
      </w:r>
      <w:r>
        <w:rPr>
          <w:b/>
          <w:sz w:val="24"/>
          <w:szCs w:val="24"/>
        </w:rPr>
        <w:t xml:space="preserve"> </w:t>
      </w:r>
      <w:r w:rsidRPr="00294FBD">
        <w:rPr>
          <w:b/>
          <w:sz w:val="24"/>
          <w:szCs w:val="24"/>
        </w:rPr>
        <w:t>response rates for the collection as a whole. If the collection had been conducted previously, include the actual response rate achieved during the last collection.</w:t>
      </w:r>
    </w:p>
    <w:p w14:paraId="7A32E8B1" w14:textId="77777777" w:rsidR="00CC3675" w:rsidRPr="00294FBD" w:rsidRDefault="00CC3675" w:rsidP="00294FBD">
      <w:pPr>
        <w:pStyle w:val="NoSpacing"/>
        <w:rPr>
          <w:b/>
          <w:sz w:val="24"/>
          <w:szCs w:val="24"/>
        </w:rPr>
      </w:pPr>
    </w:p>
    <w:p w14:paraId="5C465E87" w14:textId="2AACCBAD" w:rsidR="00176788" w:rsidRPr="00876367" w:rsidRDefault="00BE6E7F" w:rsidP="00876367">
      <w:pPr>
        <w:rPr>
          <w:b/>
          <w:sz w:val="24"/>
        </w:rPr>
      </w:pPr>
      <w:bookmarkStart w:id="2" w:name="_Toc511324024"/>
      <w:bookmarkStart w:id="3" w:name="_Toc511380147"/>
      <w:r w:rsidRPr="00876367">
        <w:rPr>
          <w:b/>
          <w:sz w:val="24"/>
        </w:rPr>
        <w:t>Evaluation Overview</w:t>
      </w:r>
      <w:bookmarkEnd w:id="2"/>
      <w:bookmarkEnd w:id="3"/>
    </w:p>
    <w:p w14:paraId="2546DEF8" w14:textId="0FA8DA99" w:rsidR="00BE6E7F" w:rsidRPr="00874435" w:rsidRDefault="00BE6E7F" w:rsidP="00BE6E7F">
      <w:pPr>
        <w:pStyle w:val="BodyText"/>
        <w:rPr>
          <w:sz w:val="24"/>
          <w:szCs w:val="24"/>
        </w:rPr>
      </w:pPr>
      <w:r w:rsidRPr="00874435">
        <w:rPr>
          <w:sz w:val="24"/>
          <w:szCs w:val="24"/>
        </w:rPr>
        <w:t xml:space="preserve">The </w:t>
      </w:r>
      <w:r w:rsidR="00132C6A">
        <w:rPr>
          <w:sz w:val="24"/>
          <w:szCs w:val="24"/>
        </w:rPr>
        <w:t>Supportive Services Demonstration (</w:t>
      </w:r>
      <w:r w:rsidRPr="00874435">
        <w:rPr>
          <w:sz w:val="24"/>
          <w:szCs w:val="24"/>
        </w:rPr>
        <w:t>SSD</w:t>
      </w:r>
      <w:r w:rsidR="00132C6A">
        <w:rPr>
          <w:sz w:val="24"/>
          <w:szCs w:val="24"/>
        </w:rPr>
        <w:t>)</w:t>
      </w:r>
      <w:r w:rsidRPr="00874435">
        <w:rPr>
          <w:sz w:val="24"/>
          <w:szCs w:val="24"/>
        </w:rPr>
        <w:t xml:space="preserve"> evaluation has two components: a </w:t>
      </w:r>
      <w:r w:rsidRPr="00901CE7">
        <w:rPr>
          <w:i/>
          <w:sz w:val="24"/>
          <w:szCs w:val="24"/>
        </w:rPr>
        <w:t>process study</w:t>
      </w:r>
      <w:r w:rsidRPr="00874435">
        <w:rPr>
          <w:sz w:val="24"/>
          <w:szCs w:val="24"/>
        </w:rPr>
        <w:t xml:space="preserve">, to document how treatment group properties implemented the </w:t>
      </w:r>
      <w:r w:rsidR="00132C6A">
        <w:rPr>
          <w:sz w:val="24"/>
          <w:szCs w:val="24"/>
        </w:rPr>
        <w:t>Integrated Wellness in Supportive Housing (IWISH) program</w:t>
      </w:r>
      <w:r w:rsidRPr="00874435">
        <w:rPr>
          <w:sz w:val="24"/>
          <w:szCs w:val="24"/>
        </w:rPr>
        <w:t xml:space="preserve"> and how property staff</w:t>
      </w:r>
      <w:r w:rsidR="009A6A10" w:rsidRPr="00874435">
        <w:rPr>
          <w:sz w:val="24"/>
          <w:szCs w:val="24"/>
        </w:rPr>
        <w:t>,</w:t>
      </w:r>
      <w:r w:rsidRPr="00874435">
        <w:rPr>
          <w:sz w:val="24"/>
          <w:szCs w:val="24"/>
        </w:rPr>
        <w:t xml:space="preserve"> residents</w:t>
      </w:r>
      <w:r w:rsidR="009A6A10" w:rsidRPr="00874435">
        <w:rPr>
          <w:sz w:val="24"/>
          <w:szCs w:val="24"/>
        </w:rPr>
        <w:t>, and caregivers</w:t>
      </w:r>
      <w:r w:rsidRPr="00874435">
        <w:rPr>
          <w:sz w:val="24"/>
          <w:szCs w:val="24"/>
        </w:rPr>
        <w:t xml:space="preserve"> responded to it; and an </w:t>
      </w:r>
      <w:r w:rsidRPr="00901CE7">
        <w:rPr>
          <w:i/>
          <w:sz w:val="24"/>
          <w:szCs w:val="24"/>
        </w:rPr>
        <w:t>impact study</w:t>
      </w:r>
      <w:r w:rsidRPr="00874435">
        <w:rPr>
          <w:sz w:val="24"/>
          <w:szCs w:val="24"/>
        </w:rPr>
        <w:t xml:space="preserve">, to measure the effect of </w:t>
      </w:r>
      <w:r w:rsidR="00132C6A">
        <w:rPr>
          <w:sz w:val="24"/>
          <w:szCs w:val="24"/>
        </w:rPr>
        <w:t>IWISH</w:t>
      </w:r>
      <w:r w:rsidRPr="00874435">
        <w:rPr>
          <w:sz w:val="24"/>
          <w:szCs w:val="24"/>
        </w:rPr>
        <w:t xml:space="preserve"> on key outcomes related to residents’ use of healthcare services and housing stability. </w:t>
      </w:r>
    </w:p>
    <w:p w14:paraId="2AE4A8E3" w14:textId="3ECFC1B7" w:rsidR="00BE6E7F" w:rsidRPr="00874435" w:rsidRDefault="00BE6E7F" w:rsidP="00BE6E7F">
      <w:pPr>
        <w:pStyle w:val="BodyText"/>
        <w:rPr>
          <w:sz w:val="24"/>
          <w:szCs w:val="24"/>
        </w:rPr>
      </w:pPr>
      <w:r w:rsidRPr="00874435">
        <w:rPr>
          <w:sz w:val="24"/>
          <w:szCs w:val="24"/>
        </w:rPr>
        <w:t xml:space="preserve">The process study will focus on the 40 IWISH (treatment) properties and the </w:t>
      </w:r>
      <w:r w:rsidR="00EC2B77" w:rsidRPr="00874435">
        <w:rPr>
          <w:sz w:val="24"/>
          <w:szCs w:val="24"/>
        </w:rPr>
        <w:t xml:space="preserve">40 </w:t>
      </w:r>
      <w:r w:rsidRPr="00874435">
        <w:rPr>
          <w:sz w:val="24"/>
          <w:szCs w:val="24"/>
        </w:rPr>
        <w:t>active control properties. The main data sources for the process study</w:t>
      </w:r>
      <w:r w:rsidR="00183076" w:rsidRPr="00874435">
        <w:rPr>
          <w:sz w:val="24"/>
          <w:szCs w:val="24"/>
        </w:rPr>
        <w:t xml:space="preserve"> are those included in this I</w:t>
      </w:r>
      <w:r w:rsidR="00132C6A">
        <w:rPr>
          <w:sz w:val="24"/>
          <w:szCs w:val="24"/>
        </w:rPr>
        <w:t>nformation Collection Request (I</w:t>
      </w:r>
      <w:r w:rsidR="00183076" w:rsidRPr="00874435">
        <w:rPr>
          <w:sz w:val="24"/>
          <w:szCs w:val="24"/>
        </w:rPr>
        <w:t>CR</w:t>
      </w:r>
      <w:r w:rsidR="00132C6A">
        <w:rPr>
          <w:sz w:val="24"/>
          <w:szCs w:val="24"/>
        </w:rPr>
        <w:t>)</w:t>
      </w:r>
      <w:r w:rsidR="00183076" w:rsidRPr="00874435">
        <w:rPr>
          <w:sz w:val="24"/>
          <w:szCs w:val="24"/>
        </w:rPr>
        <w:t xml:space="preserve">: </w:t>
      </w:r>
      <w:r w:rsidRPr="00874435">
        <w:rPr>
          <w:sz w:val="24"/>
          <w:szCs w:val="24"/>
        </w:rPr>
        <w:t>questionnaires, interviews, and focus groups with program staff</w:t>
      </w:r>
      <w:r w:rsidR="00DE4FD1" w:rsidRPr="00874435">
        <w:rPr>
          <w:sz w:val="24"/>
          <w:szCs w:val="24"/>
        </w:rPr>
        <w:t>,</w:t>
      </w:r>
      <w:r w:rsidRPr="00874435">
        <w:rPr>
          <w:sz w:val="24"/>
          <w:szCs w:val="24"/>
        </w:rPr>
        <w:t xml:space="preserve"> residents</w:t>
      </w:r>
      <w:r w:rsidR="00DE4FD1" w:rsidRPr="00874435">
        <w:rPr>
          <w:sz w:val="24"/>
          <w:szCs w:val="24"/>
        </w:rPr>
        <w:t>, and caregivers</w:t>
      </w:r>
      <w:r w:rsidRPr="00874435">
        <w:rPr>
          <w:sz w:val="24"/>
          <w:szCs w:val="24"/>
        </w:rPr>
        <w:t>. These data collection activities do not employ statistical methods. The study team will select respondents purposively. We will supplement these data collected directly by the study team with data collected by the IWISH properties, administrative data</w:t>
      </w:r>
      <w:r w:rsidR="00132C6A">
        <w:rPr>
          <w:sz w:val="24"/>
          <w:szCs w:val="24"/>
        </w:rPr>
        <w:t xml:space="preserve"> collected by the U.S. Department of Housing and Urban Development (HUD)</w:t>
      </w:r>
      <w:r w:rsidRPr="00874435">
        <w:rPr>
          <w:sz w:val="24"/>
          <w:szCs w:val="24"/>
        </w:rPr>
        <w:t>, and public use data.</w:t>
      </w:r>
    </w:p>
    <w:p w14:paraId="539A40E6" w14:textId="7DB7C3AD" w:rsidR="006C5983" w:rsidRPr="00B96FC6" w:rsidRDefault="00BE6E7F" w:rsidP="006C5983">
      <w:pPr>
        <w:pStyle w:val="BodyText"/>
        <w:rPr>
          <w:sz w:val="24"/>
          <w:szCs w:val="24"/>
        </w:rPr>
      </w:pPr>
      <w:r w:rsidRPr="00874435">
        <w:rPr>
          <w:sz w:val="24"/>
          <w:szCs w:val="24"/>
        </w:rPr>
        <w:t xml:space="preserve">The impact evaluation will analyze administrative data obtained for residents of all three demonstration groups—treatment, active control, and passive control. The main data sources for the impact study are Medicare Fee-For-Service claims, Medicaid Fee-For-Service claims, </w:t>
      </w:r>
      <w:r w:rsidR="00535F01" w:rsidRPr="00874435">
        <w:rPr>
          <w:sz w:val="24"/>
          <w:szCs w:val="24"/>
        </w:rPr>
        <w:t xml:space="preserve">Medicare and Medicaid encounter data, </w:t>
      </w:r>
      <w:r w:rsidRPr="00874435">
        <w:rPr>
          <w:sz w:val="24"/>
          <w:szCs w:val="24"/>
        </w:rPr>
        <w:t>HUD administrative data, and public use data to characterize the community. These data sources are not subject to</w:t>
      </w:r>
      <w:r w:rsidR="00132C6A">
        <w:rPr>
          <w:sz w:val="24"/>
          <w:szCs w:val="24"/>
        </w:rPr>
        <w:t xml:space="preserve"> the Paperwork Reduction Act (</w:t>
      </w:r>
      <w:r w:rsidRPr="00874435">
        <w:rPr>
          <w:sz w:val="24"/>
          <w:szCs w:val="24"/>
        </w:rPr>
        <w:t>PRA</w:t>
      </w:r>
      <w:r w:rsidR="00132C6A">
        <w:rPr>
          <w:sz w:val="24"/>
          <w:szCs w:val="24"/>
        </w:rPr>
        <w:t>)</w:t>
      </w:r>
      <w:r w:rsidRPr="00874435">
        <w:rPr>
          <w:sz w:val="24"/>
          <w:szCs w:val="24"/>
        </w:rPr>
        <w:t xml:space="preserve"> and are therefore not part of this ICR.</w:t>
      </w:r>
      <w:r w:rsidR="006C5983">
        <w:rPr>
          <w:sz w:val="24"/>
          <w:szCs w:val="24"/>
        </w:rPr>
        <w:t xml:space="preserve"> They will be used to </w:t>
      </w:r>
      <w:r w:rsidR="006C5983" w:rsidRPr="00B96FC6">
        <w:rPr>
          <w:sz w:val="24"/>
          <w:szCs w:val="24"/>
        </w:rPr>
        <w:t>estimate the impact of the IWISH model on healthcare utilization, housing exits, and transfers to nursing homes and other long-term care settings.</w:t>
      </w:r>
      <w:r w:rsidR="006C5983">
        <w:rPr>
          <w:sz w:val="24"/>
          <w:szCs w:val="24"/>
        </w:rPr>
        <w:t xml:space="preserve"> </w:t>
      </w:r>
      <w:r w:rsidR="006C5983" w:rsidRPr="00B96FC6">
        <w:rPr>
          <w:sz w:val="24"/>
          <w:szCs w:val="24"/>
        </w:rPr>
        <w:t>The impact of IWISH is the difference between the average outcomes among residents at IWISH properties and the average outcomes among similar residents in the control groups</w:t>
      </w:r>
      <w:r w:rsidR="006C5983">
        <w:rPr>
          <w:sz w:val="24"/>
          <w:szCs w:val="24"/>
        </w:rPr>
        <w:t>, estimated using experimental and quasi-experimental analysis methods.</w:t>
      </w:r>
      <w:r w:rsidR="006C5983" w:rsidRPr="00B96FC6">
        <w:rPr>
          <w:sz w:val="24"/>
          <w:szCs w:val="24"/>
        </w:rPr>
        <w:t xml:space="preserve"> </w:t>
      </w:r>
      <w:r w:rsidR="009C4920">
        <w:rPr>
          <w:sz w:val="24"/>
          <w:szCs w:val="24"/>
        </w:rPr>
        <w:t>The community data will be used to ensure the treatment and control groups are evenly matched on community characteristics and for contextual analysis.</w:t>
      </w:r>
    </w:p>
    <w:p w14:paraId="414AA20F" w14:textId="3AE3CF1A" w:rsidR="00BE6E7F" w:rsidRPr="00874435" w:rsidRDefault="00BE6E7F" w:rsidP="00BE6E7F">
      <w:pPr>
        <w:pStyle w:val="BodyText"/>
        <w:rPr>
          <w:sz w:val="24"/>
          <w:szCs w:val="24"/>
        </w:rPr>
      </w:pPr>
      <w:r w:rsidRPr="00874435">
        <w:rPr>
          <w:sz w:val="24"/>
          <w:szCs w:val="24"/>
        </w:rPr>
        <w:lastRenderedPageBreak/>
        <w:t xml:space="preserve">We will submit a second ICR in early 2020 to cover follow-up data collection to be conducted in summer 2020. We expect the follow-up data collection to consist of final questionnaires with IWISH and active control properties and interviews with </w:t>
      </w:r>
      <w:r w:rsidR="003D5E4B" w:rsidRPr="00874435">
        <w:rPr>
          <w:sz w:val="24"/>
          <w:szCs w:val="24"/>
        </w:rPr>
        <w:t xml:space="preserve">service provider </w:t>
      </w:r>
      <w:r w:rsidRPr="00874435">
        <w:rPr>
          <w:sz w:val="24"/>
          <w:szCs w:val="24"/>
        </w:rPr>
        <w:t>partners.</w:t>
      </w:r>
    </w:p>
    <w:p w14:paraId="051159ED" w14:textId="6737E26D" w:rsidR="00BE6E7F" w:rsidRPr="00874435" w:rsidRDefault="00BE6E7F" w:rsidP="00BE6E7F">
      <w:pPr>
        <w:pStyle w:val="BodyText"/>
        <w:rPr>
          <w:sz w:val="24"/>
          <w:szCs w:val="24"/>
        </w:rPr>
      </w:pPr>
      <w:r w:rsidRPr="00874435">
        <w:rPr>
          <w:sz w:val="24"/>
          <w:szCs w:val="24"/>
        </w:rPr>
        <w:t>All of the data collection in this ICR will be done by Abt Associates and its subcontractor L&amp;M Policy Research. The identification of respondents for each data collection activity is described below.</w:t>
      </w:r>
    </w:p>
    <w:p w14:paraId="12C76A17" w14:textId="1BD3FCC8" w:rsidR="00BE6E7F" w:rsidRPr="00876367" w:rsidRDefault="00BE6E7F" w:rsidP="00876367">
      <w:pPr>
        <w:rPr>
          <w:b/>
          <w:sz w:val="24"/>
        </w:rPr>
      </w:pPr>
      <w:bookmarkStart w:id="4" w:name="_Toc511324025"/>
      <w:bookmarkStart w:id="5" w:name="_Toc511380148"/>
      <w:r w:rsidRPr="00876367">
        <w:rPr>
          <w:b/>
          <w:sz w:val="24"/>
        </w:rPr>
        <w:t>Selection of SSD Properties</w:t>
      </w:r>
      <w:bookmarkEnd w:id="4"/>
      <w:bookmarkEnd w:id="5"/>
    </w:p>
    <w:p w14:paraId="05ED0A0E" w14:textId="77777777" w:rsidR="00BE6E7F" w:rsidRPr="00874435" w:rsidRDefault="00BE6E7F" w:rsidP="00BE6E7F">
      <w:pPr>
        <w:pStyle w:val="BodyText"/>
        <w:rPr>
          <w:sz w:val="24"/>
          <w:szCs w:val="24"/>
        </w:rPr>
      </w:pPr>
      <w:r w:rsidRPr="00874435">
        <w:rPr>
          <w:sz w:val="24"/>
          <w:szCs w:val="24"/>
        </w:rPr>
        <w:t>HUD designed the SSD as a cluster-randomized controlled trial to allow rigorous measurement of the impact of housing-based supportive services on health outcomes, healthcare utilization, transitions to higher levels of care, and housing stability among HUD-assisted low-income elderly households in HUD-assisted Office of Multifamily Housing properties.</w:t>
      </w:r>
    </w:p>
    <w:p w14:paraId="71A7790D" w14:textId="77777777" w:rsidR="00BE6E7F" w:rsidRPr="00874435" w:rsidRDefault="00BE6E7F" w:rsidP="00BE6E7F">
      <w:pPr>
        <w:pStyle w:val="BodyText"/>
        <w:rPr>
          <w:sz w:val="24"/>
          <w:szCs w:val="24"/>
        </w:rPr>
      </w:pPr>
      <w:r w:rsidRPr="00874435">
        <w:rPr>
          <w:sz w:val="24"/>
          <w:szCs w:val="24"/>
        </w:rPr>
        <w:t>Using cluster randomization, HUD assigned eligible properties to one treatment and two control groups, in which 40 properties implement the IWISH model (the treatment) and 84 similar properties conduct business as usual. Significantly different outcomes for residents of the treatment versus the control properties will provide evidence that the IWISH model is achieving its aim.</w:t>
      </w:r>
    </w:p>
    <w:p w14:paraId="40DBC9E1" w14:textId="4D4329CF" w:rsidR="00BE6E7F" w:rsidRPr="00874435" w:rsidRDefault="00BE6E7F" w:rsidP="00BE6E7F">
      <w:pPr>
        <w:pStyle w:val="BodyText"/>
        <w:rPr>
          <w:sz w:val="24"/>
          <w:szCs w:val="24"/>
        </w:rPr>
      </w:pPr>
      <w:r w:rsidRPr="00874435">
        <w:rPr>
          <w:sz w:val="24"/>
          <w:szCs w:val="24"/>
        </w:rPr>
        <w:t>Selection of properties to participate in the SSD began in January 2016 when HUD published a Notice of Funding Availability (NOFA) announcing the availability of $15 million in funds for the Supportive Services Demonstration for Elderly Households in HUD-Assisted Multifamily Housing and inviting owners of eligible federally assisted multifamily properties to apply.</w:t>
      </w:r>
      <w:r w:rsidR="003E4761">
        <w:rPr>
          <w:rStyle w:val="FootnoteReference"/>
          <w:sz w:val="24"/>
          <w:szCs w:val="24"/>
        </w:rPr>
        <w:footnoteReference w:id="2"/>
      </w:r>
    </w:p>
    <w:p w14:paraId="4ADC94C7" w14:textId="77777777" w:rsidR="00BE6E7F" w:rsidRPr="00874435" w:rsidRDefault="00BE6E7F" w:rsidP="00BE6E7F">
      <w:pPr>
        <w:pStyle w:val="BodyText"/>
        <w:rPr>
          <w:sz w:val="24"/>
          <w:szCs w:val="24"/>
        </w:rPr>
      </w:pPr>
      <w:r w:rsidRPr="00874435">
        <w:rPr>
          <w:sz w:val="24"/>
          <w:szCs w:val="24"/>
        </w:rPr>
        <w:t>HUD received more than 700 applications in response to the SSD NOFA. The NOFA stated that HUD expected to constrain the demonstration to a select number of states based on the pool of applicants and property characteristics. After screening all applications for eligibility, HUD ranked states for the demonstration based on three factors: the number of properties with and without a current service coordinator; the rate of county-level fee-for-service enrollment among Medicare beneficiaries; and the number of initiatives funded by the Centers for Medicare &amp; Medicaid Services (CMS) to improve care coordination for elderly persons. In each case, a higher number gave a state a greater chance of being selected for the demonstration.</w:t>
      </w:r>
    </w:p>
    <w:p w14:paraId="0B44808B" w14:textId="77777777" w:rsidR="00BE6E7F" w:rsidRPr="00874435" w:rsidRDefault="00BE6E7F" w:rsidP="00BE6E7F">
      <w:pPr>
        <w:pStyle w:val="BodyText"/>
        <w:rPr>
          <w:sz w:val="24"/>
          <w:szCs w:val="24"/>
        </w:rPr>
      </w:pPr>
      <w:r w:rsidRPr="00874435">
        <w:rPr>
          <w:sz w:val="24"/>
          <w:szCs w:val="24"/>
        </w:rPr>
        <w:t xml:space="preserve">Based on the rankings, HUD selected seven states (California, Illinois, Massachusetts, Maryland, Michigan, New Jersey, and South Carolina) and identified 185 properties across states as eligible for random assignment. HUD determined that it could fund up to 40 </w:t>
      </w:r>
      <w:r w:rsidRPr="00874435">
        <w:rPr>
          <w:sz w:val="24"/>
          <w:szCs w:val="24"/>
        </w:rPr>
        <w:lastRenderedPageBreak/>
        <w:t xml:space="preserve">properties to implement the demonstration approach (treatment sites) and limited the demonstration to seven states in order not to spread the treatment sites too thinly and to permit a sufficient number of control sites in each state. </w:t>
      </w:r>
    </w:p>
    <w:p w14:paraId="5E041DB3" w14:textId="77777777" w:rsidR="00BE6E7F" w:rsidRPr="00874435" w:rsidRDefault="00BE6E7F" w:rsidP="00BE6E7F">
      <w:pPr>
        <w:pStyle w:val="BodyText"/>
        <w:rPr>
          <w:sz w:val="24"/>
          <w:szCs w:val="24"/>
        </w:rPr>
      </w:pPr>
      <w:r w:rsidRPr="00874435">
        <w:rPr>
          <w:sz w:val="24"/>
          <w:szCs w:val="24"/>
        </w:rPr>
        <w:t xml:space="preserve">HUD randomly assigned properties to three groups: a treatment group that received grant funding to hire the RWD and WN and implement the demonstration; an active control group that did not receive funding for implementation but received an incentive for participating in the evaluation; and a passive control group that received neither an implementation grant nor an incentive. </w:t>
      </w:r>
    </w:p>
    <w:p w14:paraId="5EF4479F" w14:textId="466C17E7" w:rsidR="00BE6E7F" w:rsidRPr="00874435" w:rsidRDefault="00BE6E7F" w:rsidP="00BE6E7F">
      <w:pPr>
        <w:pStyle w:val="BodyText"/>
        <w:rPr>
          <w:sz w:val="24"/>
          <w:szCs w:val="24"/>
        </w:rPr>
      </w:pPr>
      <w:r w:rsidRPr="00874435">
        <w:rPr>
          <w:sz w:val="24"/>
          <w:szCs w:val="24"/>
        </w:rPr>
        <w:t xml:space="preserve">The final demonstration sample includes 124 properties: 40 in the treatment group, </w:t>
      </w:r>
      <w:r w:rsidR="00EC2B77" w:rsidRPr="00874435">
        <w:rPr>
          <w:sz w:val="24"/>
          <w:szCs w:val="24"/>
        </w:rPr>
        <w:t xml:space="preserve">40 </w:t>
      </w:r>
      <w:r w:rsidRPr="00874435">
        <w:rPr>
          <w:sz w:val="24"/>
          <w:szCs w:val="24"/>
        </w:rPr>
        <w:t xml:space="preserve">in the active control group, and </w:t>
      </w:r>
      <w:r w:rsidR="00EC2B77" w:rsidRPr="00874435">
        <w:rPr>
          <w:sz w:val="24"/>
          <w:szCs w:val="24"/>
        </w:rPr>
        <w:t xml:space="preserve">44 </w:t>
      </w:r>
      <w:r w:rsidRPr="00874435">
        <w:rPr>
          <w:sz w:val="24"/>
          <w:szCs w:val="24"/>
        </w:rPr>
        <w:t>in the passive control group. At the time of random assignment, the treatment and control properties were found to be well balanced across the key characteristics that were available to HUD at the time and of significance to the evaluation.</w:t>
      </w:r>
    </w:p>
    <w:p w14:paraId="662B07B8" w14:textId="3BDDDE26" w:rsidR="00BE6E7F" w:rsidRPr="00874435" w:rsidRDefault="00BE6E7F" w:rsidP="00BE6E7F">
      <w:pPr>
        <w:pStyle w:val="BodyText"/>
        <w:rPr>
          <w:sz w:val="24"/>
          <w:szCs w:val="24"/>
        </w:rPr>
      </w:pPr>
      <w:r w:rsidRPr="00874435">
        <w:rPr>
          <w:sz w:val="24"/>
          <w:szCs w:val="24"/>
        </w:rPr>
        <w:t xml:space="preserve">The process study data collection that is the subject of this ICR will be limited to the treatment and the active control properties, as the owners of these properties entered into cooperative agreements with HUD that require their participation in evaluation activities. Prior to starting data collection, we will reach out to the </w:t>
      </w:r>
      <w:r w:rsidR="0012430B" w:rsidRPr="00874435">
        <w:rPr>
          <w:sz w:val="24"/>
          <w:szCs w:val="24"/>
        </w:rPr>
        <w:t xml:space="preserve">Authorized Organization Representative </w:t>
      </w:r>
      <w:r w:rsidRPr="00874435">
        <w:rPr>
          <w:sz w:val="24"/>
          <w:szCs w:val="24"/>
        </w:rPr>
        <w:t>of these properties to preview the evaluation activities and to identify a staff member (most likely the property manager) who will serve as the main point of contact for the study. HUD has a contractual relationship with the passive control properties governing their receipt and use of housing assistance funds, but no cooperative agreement regarding the demonstration. Therefore there is no expectation that passive control properties will participate actively in the demonstration though the evaluation will analyze administrative data for residents of these properties.</w:t>
      </w:r>
    </w:p>
    <w:p w14:paraId="4D29C644" w14:textId="4FD93ACC" w:rsidR="00BE6E7F" w:rsidRPr="00876367" w:rsidRDefault="00BE6E7F" w:rsidP="00876367">
      <w:pPr>
        <w:rPr>
          <w:b/>
          <w:sz w:val="24"/>
        </w:rPr>
      </w:pPr>
      <w:bookmarkStart w:id="6" w:name="_Toc511324026"/>
      <w:bookmarkStart w:id="7" w:name="_Toc511380149"/>
      <w:r w:rsidRPr="00876367">
        <w:rPr>
          <w:b/>
          <w:sz w:val="24"/>
        </w:rPr>
        <w:t>Identification of Respondents for Initial Questionnaire</w:t>
      </w:r>
      <w:bookmarkEnd w:id="6"/>
      <w:bookmarkEnd w:id="7"/>
    </w:p>
    <w:p w14:paraId="084B67C9" w14:textId="49A01A7E" w:rsidR="00BE6E7F" w:rsidRPr="00874435" w:rsidRDefault="00BE6E7F" w:rsidP="00BE6E7F">
      <w:pPr>
        <w:pStyle w:val="BodyText"/>
        <w:rPr>
          <w:sz w:val="24"/>
          <w:szCs w:val="24"/>
        </w:rPr>
      </w:pPr>
      <w:r w:rsidRPr="00874435">
        <w:rPr>
          <w:sz w:val="24"/>
          <w:szCs w:val="24"/>
        </w:rPr>
        <w:t xml:space="preserve">In order to minimize respondent burden, we opted to limit the questionnaire to one </w:t>
      </w:r>
      <w:r w:rsidR="00183076" w:rsidRPr="00874435">
        <w:rPr>
          <w:sz w:val="24"/>
          <w:szCs w:val="24"/>
        </w:rPr>
        <w:t xml:space="preserve">primary </w:t>
      </w:r>
      <w:r w:rsidRPr="00874435">
        <w:rPr>
          <w:sz w:val="24"/>
          <w:szCs w:val="24"/>
        </w:rPr>
        <w:t xml:space="preserve">respondent per property at each of the 40 treatment and </w:t>
      </w:r>
      <w:r w:rsidR="00EC2B77" w:rsidRPr="00874435">
        <w:rPr>
          <w:sz w:val="24"/>
          <w:szCs w:val="24"/>
        </w:rPr>
        <w:t xml:space="preserve">40 </w:t>
      </w:r>
      <w:r w:rsidRPr="00874435">
        <w:rPr>
          <w:sz w:val="24"/>
          <w:szCs w:val="24"/>
        </w:rPr>
        <w:t xml:space="preserve">active control sites. For the treatment properties, we selected the Resident Wellness Directors (RWDs) to be the </w:t>
      </w:r>
      <w:r w:rsidR="00183076" w:rsidRPr="00874435">
        <w:rPr>
          <w:sz w:val="24"/>
          <w:szCs w:val="24"/>
        </w:rPr>
        <w:t xml:space="preserve">primary </w:t>
      </w:r>
      <w:r w:rsidRPr="00874435">
        <w:rPr>
          <w:sz w:val="24"/>
          <w:szCs w:val="24"/>
        </w:rPr>
        <w:t>respondents because they work full-time at the properties and are the main point of contact for the IWISH demonstration. For the active control properties, we will conduct the questionnaire with the service coordinator if the property has one, as many of the questions concern service coordination activities. For the active control properties that do not have a service coordinator, we will conduct the questionnaire with the property manager.</w:t>
      </w:r>
      <w:r w:rsidR="00183076" w:rsidRPr="00874435">
        <w:rPr>
          <w:sz w:val="24"/>
          <w:szCs w:val="24"/>
        </w:rPr>
        <w:t xml:space="preserve"> Although </w:t>
      </w:r>
      <w:r w:rsidR="00CB53DF" w:rsidRPr="00874435">
        <w:rPr>
          <w:sz w:val="24"/>
          <w:szCs w:val="24"/>
        </w:rPr>
        <w:t xml:space="preserve">the </w:t>
      </w:r>
      <w:r w:rsidR="00183076" w:rsidRPr="00874435">
        <w:rPr>
          <w:sz w:val="24"/>
          <w:szCs w:val="24"/>
        </w:rPr>
        <w:t>plan is to conduct the questionnaire with one respondent per pro</w:t>
      </w:r>
      <w:r w:rsidR="008C276E" w:rsidRPr="00874435">
        <w:rPr>
          <w:sz w:val="24"/>
          <w:szCs w:val="24"/>
        </w:rPr>
        <w:t>perty, we have built time into the burden estimates for consultation with other staff as needed.</w:t>
      </w:r>
      <w:r w:rsidR="00183076" w:rsidRPr="00874435">
        <w:rPr>
          <w:sz w:val="24"/>
          <w:szCs w:val="24"/>
        </w:rPr>
        <w:t xml:space="preserve"> </w:t>
      </w:r>
    </w:p>
    <w:p w14:paraId="26931C6C" w14:textId="18BDAE52" w:rsidR="00BE6E7F" w:rsidRPr="00876367" w:rsidRDefault="00BE6E7F" w:rsidP="00876367">
      <w:pPr>
        <w:rPr>
          <w:b/>
          <w:sz w:val="24"/>
        </w:rPr>
      </w:pPr>
      <w:bookmarkStart w:id="8" w:name="_Toc511324027"/>
      <w:bookmarkStart w:id="9" w:name="_Toc511380150"/>
      <w:r w:rsidRPr="00876367">
        <w:rPr>
          <w:b/>
          <w:sz w:val="24"/>
        </w:rPr>
        <w:t>Identification of Respondents for Interviews</w:t>
      </w:r>
      <w:bookmarkEnd w:id="8"/>
      <w:bookmarkEnd w:id="9"/>
    </w:p>
    <w:p w14:paraId="3D9C6F38" w14:textId="18F94D2C" w:rsidR="00BE6E7F" w:rsidRPr="00874435" w:rsidRDefault="00BE6E7F" w:rsidP="00BE6E7F">
      <w:pPr>
        <w:rPr>
          <w:sz w:val="24"/>
          <w:szCs w:val="24"/>
        </w:rPr>
      </w:pPr>
      <w:r w:rsidRPr="00874435">
        <w:rPr>
          <w:sz w:val="24"/>
          <w:szCs w:val="24"/>
        </w:rPr>
        <w:t xml:space="preserve">We expect to conduct interviews with all relevant property staff at the 40 treatment and </w:t>
      </w:r>
      <w:r w:rsidR="00EC2B77" w:rsidRPr="00874435">
        <w:rPr>
          <w:sz w:val="24"/>
          <w:szCs w:val="24"/>
        </w:rPr>
        <w:t>40</w:t>
      </w:r>
      <w:r w:rsidRPr="00874435">
        <w:rPr>
          <w:sz w:val="24"/>
          <w:szCs w:val="24"/>
        </w:rPr>
        <w:t xml:space="preserve"> active control sites. At the treatment properties, the relevant staff are the RWDs, </w:t>
      </w:r>
      <w:r w:rsidR="008C276E" w:rsidRPr="00874435">
        <w:rPr>
          <w:sz w:val="24"/>
          <w:szCs w:val="24"/>
        </w:rPr>
        <w:t>WNs</w:t>
      </w:r>
      <w:r w:rsidRPr="00874435">
        <w:rPr>
          <w:sz w:val="24"/>
          <w:szCs w:val="24"/>
        </w:rPr>
        <w:t xml:space="preserve">, and </w:t>
      </w:r>
      <w:r w:rsidR="00C15B2E" w:rsidRPr="00874435">
        <w:rPr>
          <w:sz w:val="24"/>
          <w:szCs w:val="24"/>
        </w:rPr>
        <w:t xml:space="preserve">housing </w:t>
      </w:r>
      <w:r w:rsidRPr="00874435">
        <w:rPr>
          <w:sz w:val="24"/>
          <w:szCs w:val="24"/>
        </w:rPr>
        <w:t xml:space="preserve">property staff. At the active control properties, the relevant staff are the service coordinator (if the property has one) and the </w:t>
      </w:r>
      <w:r w:rsidR="00C15B2E" w:rsidRPr="00874435">
        <w:rPr>
          <w:sz w:val="24"/>
          <w:szCs w:val="24"/>
        </w:rPr>
        <w:t xml:space="preserve">housing </w:t>
      </w:r>
      <w:r w:rsidRPr="00874435">
        <w:rPr>
          <w:sz w:val="24"/>
          <w:szCs w:val="24"/>
        </w:rPr>
        <w:t>property staff.</w:t>
      </w:r>
    </w:p>
    <w:p w14:paraId="38A2508D" w14:textId="77777777" w:rsidR="00B371B5" w:rsidRPr="00876367" w:rsidRDefault="00BE6E7F" w:rsidP="00876367">
      <w:pPr>
        <w:rPr>
          <w:b/>
          <w:sz w:val="24"/>
        </w:rPr>
      </w:pPr>
      <w:bookmarkStart w:id="10" w:name="_Toc511324028"/>
      <w:bookmarkStart w:id="11" w:name="_Toc511380151"/>
      <w:r w:rsidRPr="00876367">
        <w:rPr>
          <w:b/>
          <w:sz w:val="24"/>
        </w:rPr>
        <w:t xml:space="preserve">Identification of </w:t>
      </w:r>
      <w:r w:rsidR="00B371B5" w:rsidRPr="00876367">
        <w:rPr>
          <w:b/>
          <w:sz w:val="24"/>
        </w:rPr>
        <w:t>Properties for Focus Groups</w:t>
      </w:r>
    </w:p>
    <w:bookmarkEnd w:id="10"/>
    <w:bookmarkEnd w:id="11"/>
    <w:p w14:paraId="07325A23" w14:textId="6AD654AB" w:rsidR="00BE6E7F" w:rsidRPr="00874435" w:rsidRDefault="00A20F30" w:rsidP="00BE6E7F">
      <w:pPr>
        <w:pStyle w:val="BodyText"/>
        <w:rPr>
          <w:sz w:val="24"/>
          <w:szCs w:val="24"/>
        </w:rPr>
      </w:pPr>
      <w:r w:rsidRPr="00874435">
        <w:rPr>
          <w:sz w:val="24"/>
          <w:szCs w:val="24"/>
        </w:rPr>
        <w:t xml:space="preserve">We plan to conduct </w:t>
      </w:r>
      <w:r w:rsidR="003D5E4B" w:rsidRPr="00874435">
        <w:rPr>
          <w:sz w:val="24"/>
          <w:szCs w:val="24"/>
        </w:rPr>
        <w:t xml:space="preserve">a total of 24 focus groups: </w:t>
      </w:r>
      <w:r w:rsidRPr="00874435">
        <w:rPr>
          <w:sz w:val="24"/>
          <w:szCs w:val="24"/>
        </w:rPr>
        <w:t xml:space="preserve">18 focus groups </w:t>
      </w:r>
      <w:r w:rsidR="00B371B5" w:rsidRPr="00874435">
        <w:rPr>
          <w:sz w:val="24"/>
          <w:szCs w:val="24"/>
        </w:rPr>
        <w:t xml:space="preserve">at 12 treatment properties and </w:t>
      </w:r>
      <w:r w:rsidR="003D5E4B" w:rsidRPr="00874435">
        <w:rPr>
          <w:sz w:val="24"/>
          <w:szCs w:val="24"/>
        </w:rPr>
        <w:t xml:space="preserve">six </w:t>
      </w:r>
      <w:r w:rsidR="00B371B5" w:rsidRPr="00874435">
        <w:rPr>
          <w:sz w:val="24"/>
          <w:szCs w:val="24"/>
        </w:rPr>
        <w:t xml:space="preserve">focus groups at </w:t>
      </w:r>
      <w:r w:rsidR="003D5E4B" w:rsidRPr="00874435">
        <w:rPr>
          <w:sz w:val="24"/>
          <w:szCs w:val="24"/>
        </w:rPr>
        <w:t xml:space="preserve">six </w:t>
      </w:r>
      <w:r w:rsidR="00B371B5" w:rsidRPr="00874435">
        <w:rPr>
          <w:sz w:val="24"/>
          <w:szCs w:val="24"/>
        </w:rPr>
        <w:t>active control properties. Across all the properties, we are seeking a diversity of perspectives.</w:t>
      </w:r>
    </w:p>
    <w:p w14:paraId="38BAFBEE" w14:textId="6AC4B0C8" w:rsidR="00A20F30" w:rsidRPr="00876367" w:rsidRDefault="00A20F30" w:rsidP="00876367">
      <w:pPr>
        <w:rPr>
          <w:b/>
          <w:i/>
          <w:sz w:val="24"/>
        </w:rPr>
      </w:pPr>
      <w:r w:rsidRPr="00876367">
        <w:rPr>
          <w:b/>
          <w:i/>
          <w:sz w:val="24"/>
        </w:rPr>
        <w:t xml:space="preserve">Treatment Properties </w:t>
      </w:r>
    </w:p>
    <w:p w14:paraId="579F0F2F" w14:textId="30E1C0BF" w:rsidR="00A20F30" w:rsidRPr="00874435" w:rsidRDefault="00B371B5" w:rsidP="00A20F30">
      <w:pPr>
        <w:pStyle w:val="BodyText"/>
        <w:rPr>
          <w:sz w:val="24"/>
          <w:szCs w:val="24"/>
        </w:rPr>
      </w:pPr>
      <w:r w:rsidRPr="00874435">
        <w:rPr>
          <w:sz w:val="24"/>
          <w:szCs w:val="24"/>
        </w:rPr>
        <w:t>We</w:t>
      </w:r>
      <w:r w:rsidR="00A20F30" w:rsidRPr="00874435">
        <w:rPr>
          <w:sz w:val="24"/>
          <w:szCs w:val="24"/>
        </w:rPr>
        <w:t xml:space="preserve"> plan to use the following criteria to identify 12 treatment properties for focus groups:</w:t>
      </w:r>
    </w:p>
    <w:p w14:paraId="74BBB2DC" w14:textId="77777777" w:rsidR="00F71C9E" w:rsidRPr="00874435" w:rsidRDefault="00F71C9E" w:rsidP="00D15A57">
      <w:pPr>
        <w:pStyle w:val="BodyText"/>
        <w:numPr>
          <w:ilvl w:val="0"/>
          <w:numId w:val="17"/>
        </w:numPr>
        <w:rPr>
          <w:sz w:val="24"/>
          <w:szCs w:val="24"/>
        </w:rPr>
      </w:pPr>
      <w:r w:rsidRPr="00874435">
        <w:rPr>
          <w:b/>
          <w:sz w:val="24"/>
          <w:szCs w:val="24"/>
        </w:rPr>
        <w:t>Geographic Location:</w:t>
      </w:r>
      <w:r w:rsidRPr="00874435">
        <w:rPr>
          <w:sz w:val="24"/>
          <w:szCs w:val="24"/>
        </w:rPr>
        <w:t xml:space="preserve"> Because residents’ experiences of IWISH may vary by state, and in order to have representation from each of the states in the study, we plan to hold at least one focus group with IWISH participants in each of the seven study states.</w:t>
      </w:r>
    </w:p>
    <w:p w14:paraId="5FC9A0A0" w14:textId="7E3F0C82" w:rsidR="00F71C9E" w:rsidRPr="00874435" w:rsidRDefault="00F71C9E" w:rsidP="00D15A57">
      <w:pPr>
        <w:pStyle w:val="BodyText"/>
        <w:numPr>
          <w:ilvl w:val="0"/>
          <w:numId w:val="17"/>
        </w:numPr>
        <w:rPr>
          <w:sz w:val="24"/>
          <w:szCs w:val="24"/>
        </w:rPr>
      </w:pPr>
      <w:r w:rsidRPr="00874435">
        <w:rPr>
          <w:b/>
          <w:sz w:val="24"/>
          <w:szCs w:val="24"/>
        </w:rPr>
        <w:t xml:space="preserve">Health Resources: </w:t>
      </w:r>
      <w:r w:rsidRPr="00874435">
        <w:rPr>
          <w:sz w:val="24"/>
          <w:szCs w:val="24"/>
        </w:rPr>
        <w:t xml:space="preserve">The level of health resources in the community could affect how IWISH is implemented (particularly with respect to partnerships) and how residents experience IWISH. We plan to use the health component of </w:t>
      </w:r>
      <w:r w:rsidR="00132C6A">
        <w:rPr>
          <w:sz w:val="24"/>
          <w:szCs w:val="24"/>
        </w:rPr>
        <w:t>the American Association of Retired Persons (</w:t>
      </w:r>
      <w:r w:rsidRPr="00874435">
        <w:rPr>
          <w:sz w:val="24"/>
          <w:szCs w:val="24"/>
        </w:rPr>
        <w:t>AARP</w:t>
      </w:r>
      <w:r w:rsidR="00132C6A">
        <w:rPr>
          <w:sz w:val="24"/>
          <w:szCs w:val="24"/>
        </w:rPr>
        <w:t>)</w:t>
      </w:r>
      <w:r w:rsidRPr="00874435">
        <w:rPr>
          <w:sz w:val="24"/>
          <w:szCs w:val="24"/>
        </w:rPr>
        <w:t xml:space="preserve"> Livability Index as a proxy for the level of health resources in the community. The health component of the AARP index includes two measures of healthcare quality (patient satisfaction and preventable hospitalization rate), one measure of access to healthcare (healthcare professional shortage areas), and three measures of healthy behaviors (access to exercise opportunities, obesity prevalence, and smoking prevalence). The demonstration properties are located in communities with scores on the health component of the AARP index that range from 17 to 90, with an average of 58. We plan to designate communities with a score of 43 or below (more than one standard deviation below the average score) as “low resource” communities, communities with a score between 44 and 72 (within one standard deviation of the average score) as “average resource” communities, and communities with a score of 73 and higher (more than one standard deviation above the average score) as “high resource” communities. Using these definitions, 8 of the treatment properties are in low resource communities, 25 are in medium resource communities, and 7 are in high resource communities. We will try to hold at least two focus groups in each community type.  </w:t>
      </w:r>
    </w:p>
    <w:p w14:paraId="5523F9F5" w14:textId="77777777" w:rsidR="00F71C9E" w:rsidRPr="00874435" w:rsidRDefault="00F71C9E" w:rsidP="00D15A57">
      <w:pPr>
        <w:pStyle w:val="BodyText"/>
        <w:numPr>
          <w:ilvl w:val="0"/>
          <w:numId w:val="17"/>
        </w:numPr>
        <w:rPr>
          <w:sz w:val="24"/>
          <w:szCs w:val="24"/>
        </w:rPr>
      </w:pPr>
      <w:r w:rsidRPr="00874435">
        <w:rPr>
          <w:b/>
          <w:sz w:val="24"/>
          <w:szCs w:val="24"/>
        </w:rPr>
        <w:t>Prior Service Coordination:</w:t>
      </w:r>
      <w:r w:rsidRPr="00874435">
        <w:rPr>
          <w:sz w:val="24"/>
          <w:szCs w:val="24"/>
        </w:rPr>
        <w:t xml:space="preserve"> At the time of random assignment, 33 of the 40 treatment properties had service coordinators prior to IWISH. We plan to conduct at least two focus groups at properties that did not have service coordinators prior to IWISH. </w:t>
      </w:r>
    </w:p>
    <w:p w14:paraId="6039120E" w14:textId="77777777" w:rsidR="00F71C9E" w:rsidRPr="00874435" w:rsidRDefault="00F71C9E" w:rsidP="00D15A57">
      <w:pPr>
        <w:pStyle w:val="BodyText"/>
        <w:numPr>
          <w:ilvl w:val="0"/>
          <w:numId w:val="17"/>
        </w:numPr>
        <w:rPr>
          <w:sz w:val="24"/>
          <w:szCs w:val="24"/>
        </w:rPr>
      </w:pPr>
      <w:r w:rsidRPr="00874435">
        <w:rPr>
          <w:b/>
          <w:sz w:val="24"/>
          <w:szCs w:val="24"/>
        </w:rPr>
        <w:t>Age of property (PRAC vs. non-PRAC):</w:t>
      </w:r>
      <w:r w:rsidRPr="00874435">
        <w:rPr>
          <w:sz w:val="24"/>
          <w:szCs w:val="24"/>
        </w:rPr>
        <w:t xml:space="preserve"> Of the 40 treatment properties, 24 were developed before 1991, under the original Section 202 program, and 16 were developed in 1991 or later under the Section 202 PRAC program. We want to conduct focus groups at some older properties because they may have different features that affect residents’ experience of IWISH. We plan to conduct at least three focus groups at pre-PRAC properties.</w:t>
      </w:r>
    </w:p>
    <w:p w14:paraId="08768C10" w14:textId="77777777" w:rsidR="00F71C9E" w:rsidRPr="00874435" w:rsidRDefault="00F71C9E" w:rsidP="00D15A57">
      <w:pPr>
        <w:pStyle w:val="BodyText"/>
        <w:numPr>
          <w:ilvl w:val="0"/>
          <w:numId w:val="17"/>
        </w:numPr>
        <w:rPr>
          <w:sz w:val="24"/>
          <w:szCs w:val="24"/>
        </w:rPr>
      </w:pPr>
      <w:r w:rsidRPr="00874435">
        <w:rPr>
          <w:b/>
          <w:sz w:val="24"/>
          <w:szCs w:val="24"/>
        </w:rPr>
        <w:t xml:space="preserve">Size category: </w:t>
      </w:r>
      <w:r w:rsidRPr="00874435">
        <w:rPr>
          <w:sz w:val="24"/>
          <w:szCs w:val="24"/>
        </w:rPr>
        <w:t xml:space="preserve">Of the 40 treatment properties, 75 percent have 50 to 115 units, 18 percent have 116 to 215 units, and 8 percent have more than 215 units. We plan to have at least one property in each size category (small, medium, and large) in the focus group sample, as the IWISH program could be implemented or experienced differently at smaller versus larger properties.   </w:t>
      </w:r>
    </w:p>
    <w:p w14:paraId="46E807A5" w14:textId="77777777" w:rsidR="00F71C9E" w:rsidRPr="00874435" w:rsidRDefault="00F71C9E" w:rsidP="00D15A57">
      <w:pPr>
        <w:pStyle w:val="BodyText"/>
        <w:numPr>
          <w:ilvl w:val="0"/>
          <w:numId w:val="17"/>
        </w:numPr>
        <w:rPr>
          <w:sz w:val="24"/>
          <w:szCs w:val="24"/>
        </w:rPr>
      </w:pPr>
      <w:r w:rsidRPr="00874435">
        <w:rPr>
          <w:b/>
          <w:sz w:val="24"/>
          <w:szCs w:val="24"/>
        </w:rPr>
        <w:t xml:space="preserve">Willingness of the site to accommodate focus groups: </w:t>
      </w:r>
      <w:r w:rsidRPr="00874435">
        <w:rPr>
          <w:sz w:val="24"/>
          <w:szCs w:val="24"/>
        </w:rPr>
        <w:t xml:space="preserve">Although the Abt team will handle most of organizing and conducting the focus groups, we will need the support of the property manager and IWISH staff in order for the focus groups to be successful. As described below, we plan to hold the focus groups at the property and may need some assistance from property staff in recruiting focus group participants. </w:t>
      </w:r>
    </w:p>
    <w:p w14:paraId="04CDB364" w14:textId="77777777" w:rsidR="00652BAB" w:rsidRPr="00874435" w:rsidRDefault="00F71C9E" w:rsidP="00D15A57">
      <w:pPr>
        <w:pStyle w:val="BodyText"/>
        <w:numPr>
          <w:ilvl w:val="0"/>
          <w:numId w:val="17"/>
        </w:numPr>
        <w:rPr>
          <w:sz w:val="24"/>
          <w:szCs w:val="24"/>
        </w:rPr>
      </w:pPr>
      <w:r w:rsidRPr="00874435">
        <w:rPr>
          <w:b/>
          <w:sz w:val="24"/>
          <w:szCs w:val="24"/>
        </w:rPr>
        <w:t>Non-English speakers:</w:t>
      </w:r>
      <w:r w:rsidRPr="00874435">
        <w:rPr>
          <w:sz w:val="24"/>
          <w:szCs w:val="24"/>
        </w:rPr>
        <w:t xml:space="preserve"> We hope to conduct some focus groups with non-English speakers at properties with a high proportion of residents with limited English proficiency (LEP). We have the capacity within the evaluation team to conduct focus groups in English and Spanish and could bring in other language resources as needed. At this time, we do not have information on which properties have a large share of LEP residents, but we will be asking about LEP on the initial questionnaire and so will be able to take language into account in selecting focus group sites.  </w:t>
      </w:r>
    </w:p>
    <w:p w14:paraId="6DE26D28" w14:textId="204B53F0" w:rsidR="00652BAB" w:rsidRPr="00874435" w:rsidRDefault="00652BAB" w:rsidP="00D15A57">
      <w:pPr>
        <w:pStyle w:val="BodyText"/>
        <w:rPr>
          <w:sz w:val="24"/>
          <w:szCs w:val="24"/>
        </w:rPr>
      </w:pPr>
      <w:r w:rsidRPr="00874435">
        <w:rPr>
          <w:sz w:val="24"/>
          <w:szCs w:val="24"/>
        </w:rPr>
        <w:t xml:space="preserve">We will distribute the 18 focus groups across these 12 properties as follows: </w:t>
      </w:r>
      <w:r w:rsidR="00D15A57" w:rsidRPr="00874435">
        <w:rPr>
          <w:sz w:val="24"/>
          <w:szCs w:val="24"/>
        </w:rPr>
        <w:t xml:space="preserve">six </w:t>
      </w:r>
      <w:r w:rsidRPr="00874435">
        <w:rPr>
          <w:sz w:val="24"/>
          <w:szCs w:val="24"/>
        </w:rPr>
        <w:t>properties have one focus group with IWISH participants</w:t>
      </w:r>
      <w:r w:rsidR="00D15A57" w:rsidRPr="00874435">
        <w:rPr>
          <w:sz w:val="24"/>
          <w:szCs w:val="24"/>
        </w:rPr>
        <w:t>; three</w:t>
      </w:r>
      <w:r w:rsidRPr="00874435">
        <w:rPr>
          <w:sz w:val="24"/>
          <w:szCs w:val="24"/>
        </w:rPr>
        <w:t xml:space="preserve"> properties have one focus group with IWISH participants and one focus group with residents who did not choose to enroll in IWISH</w:t>
      </w:r>
      <w:r w:rsidR="00D15A57" w:rsidRPr="00874435">
        <w:rPr>
          <w:sz w:val="24"/>
          <w:szCs w:val="24"/>
        </w:rPr>
        <w:t>; and three</w:t>
      </w:r>
      <w:r w:rsidRPr="00874435">
        <w:rPr>
          <w:sz w:val="24"/>
          <w:szCs w:val="24"/>
        </w:rPr>
        <w:t xml:space="preserve"> properties have one focus group with IWISH participants and one focus group with the caregivers of IWISH participants.</w:t>
      </w:r>
    </w:p>
    <w:p w14:paraId="731F80BF" w14:textId="77777777" w:rsidR="00652BAB" w:rsidRPr="00874435" w:rsidRDefault="00652BAB" w:rsidP="00652BAB">
      <w:pPr>
        <w:pStyle w:val="BodyText"/>
        <w:rPr>
          <w:sz w:val="24"/>
          <w:szCs w:val="24"/>
        </w:rPr>
      </w:pPr>
      <w:r w:rsidRPr="00874435">
        <w:rPr>
          <w:sz w:val="24"/>
          <w:szCs w:val="24"/>
        </w:rPr>
        <w:t xml:space="preserve">We will use PHL data on enrollment levels to select the three treatment properties where we will hold focus groups with residents not enrolled in IWISH. We will rank the 12 properties targeted for focus groups according to the percentage of residents enrolled in IWISH and will select three properties in the bottom third in terms of enrollment for the non-enrollee focus groups. </w:t>
      </w:r>
    </w:p>
    <w:p w14:paraId="2D5116BA" w14:textId="56993C59" w:rsidR="00B371B5" w:rsidRPr="00874435" w:rsidRDefault="00B371B5" w:rsidP="00876367">
      <w:pPr>
        <w:rPr>
          <w:sz w:val="24"/>
          <w:szCs w:val="24"/>
        </w:rPr>
      </w:pPr>
      <w:r w:rsidRPr="00876367">
        <w:rPr>
          <w:b/>
          <w:i/>
          <w:sz w:val="24"/>
        </w:rPr>
        <w:t xml:space="preserve">Active Control Properties </w:t>
      </w:r>
    </w:p>
    <w:p w14:paraId="1AE19924" w14:textId="77777777" w:rsidR="00B371B5" w:rsidRPr="00874435" w:rsidRDefault="00B371B5" w:rsidP="00B371B5">
      <w:pPr>
        <w:pStyle w:val="BodyText"/>
        <w:rPr>
          <w:sz w:val="24"/>
          <w:szCs w:val="24"/>
        </w:rPr>
      </w:pPr>
      <w:r w:rsidRPr="00874435">
        <w:rPr>
          <w:sz w:val="24"/>
          <w:szCs w:val="24"/>
        </w:rPr>
        <w:t>We plan to use the following criteria to identify six active control properties for focus groups:</w:t>
      </w:r>
    </w:p>
    <w:p w14:paraId="5BBCBD10" w14:textId="77777777" w:rsidR="00B371B5" w:rsidRPr="00874435" w:rsidRDefault="00B371B5" w:rsidP="00D15A57">
      <w:pPr>
        <w:pStyle w:val="BodyText"/>
        <w:numPr>
          <w:ilvl w:val="0"/>
          <w:numId w:val="17"/>
        </w:numPr>
        <w:rPr>
          <w:sz w:val="24"/>
          <w:szCs w:val="24"/>
        </w:rPr>
      </w:pPr>
      <w:r w:rsidRPr="00874435">
        <w:rPr>
          <w:b/>
          <w:sz w:val="24"/>
          <w:szCs w:val="24"/>
        </w:rPr>
        <w:t xml:space="preserve">Service Coordinator: </w:t>
      </w:r>
      <w:r w:rsidRPr="00874435">
        <w:rPr>
          <w:sz w:val="24"/>
          <w:szCs w:val="24"/>
        </w:rPr>
        <w:t>We plan to hold focus groups only in those properties that have had on-site service coordinators for the entire demonstration period (i.e., since at least October 2017). The reason for this restriction is that properties with service coordinators will be most comparable to those in the IWISH group in terms of what they offer residents and thus will provide the most relevant insight for the study’s research questions.</w:t>
      </w:r>
    </w:p>
    <w:p w14:paraId="72ADF77C" w14:textId="77777777" w:rsidR="00B371B5" w:rsidRPr="00874435" w:rsidRDefault="00B371B5" w:rsidP="00D15A57">
      <w:pPr>
        <w:pStyle w:val="BodyText"/>
        <w:numPr>
          <w:ilvl w:val="0"/>
          <w:numId w:val="17"/>
        </w:numPr>
        <w:rPr>
          <w:sz w:val="24"/>
          <w:szCs w:val="24"/>
        </w:rPr>
      </w:pPr>
      <w:r w:rsidRPr="00874435">
        <w:rPr>
          <w:b/>
          <w:sz w:val="24"/>
          <w:szCs w:val="24"/>
        </w:rPr>
        <w:t xml:space="preserve">Health Resources: </w:t>
      </w:r>
      <w:r w:rsidRPr="00874435">
        <w:rPr>
          <w:sz w:val="24"/>
          <w:szCs w:val="24"/>
        </w:rPr>
        <w:t xml:space="preserve">We plan to hold at least one focus group in each of the health resource categories (low resource, medium resource, and high resource) described above in the context of the treatment sites. </w:t>
      </w:r>
    </w:p>
    <w:p w14:paraId="16FC46BC" w14:textId="77777777" w:rsidR="00B371B5" w:rsidRPr="00874435" w:rsidRDefault="00B371B5" w:rsidP="00D15A57">
      <w:pPr>
        <w:pStyle w:val="BodyText"/>
        <w:numPr>
          <w:ilvl w:val="0"/>
          <w:numId w:val="17"/>
        </w:numPr>
        <w:rPr>
          <w:sz w:val="24"/>
          <w:szCs w:val="24"/>
        </w:rPr>
      </w:pPr>
      <w:r w:rsidRPr="00874435">
        <w:rPr>
          <w:b/>
          <w:sz w:val="24"/>
          <w:szCs w:val="24"/>
        </w:rPr>
        <w:t>Geographic location:</w:t>
      </w:r>
      <w:r w:rsidRPr="00874435">
        <w:rPr>
          <w:sz w:val="24"/>
          <w:szCs w:val="24"/>
        </w:rPr>
        <w:t xml:space="preserve"> In order to have some geographic diversity, we plan to hold focus groups in at least four of the seven states in the demonstration.</w:t>
      </w:r>
    </w:p>
    <w:p w14:paraId="41DE358E" w14:textId="4F063C3A" w:rsidR="00652BAB" w:rsidRPr="00874435" w:rsidRDefault="00652BAB" w:rsidP="00652BAB">
      <w:pPr>
        <w:pStyle w:val="BodyText"/>
        <w:rPr>
          <w:sz w:val="24"/>
          <w:szCs w:val="24"/>
        </w:rPr>
      </w:pPr>
      <w:r w:rsidRPr="00874435">
        <w:rPr>
          <w:sz w:val="24"/>
          <w:szCs w:val="24"/>
        </w:rPr>
        <w:t>At each of the 6 active control group properties selected, we will hold one focus group with residents.</w:t>
      </w:r>
    </w:p>
    <w:p w14:paraId="3EF90633" w14:textId="59AD4A6A" w:rsidR="00D15A57" w:rsidRPr="00876367" w:rsidRDefault="00B371B5" w:rsidP="00876367">
      <w:pPr>
        <w:rPr>
          <w:b/>
          <w:sz w:val="24"/>
        </w:rPr>
      </w:pPr>
      <w:r w:rsidRPr="00876367">
        <w:rPr>
          <w:b/>
          <w:sz w:val="24"/>
        </w:rPr>
        <w:t xml:space="preserve">Identification of </w:t>
      </w:r>
      <w:r w:rsidR="00D15A57" w:rsidRPr="00876367">
        <w:rPr>
          <w:b/>
          <w:sz w:val="24"/>
        </w:rPr>
        <w:t>Respondents</w:t>
      </w:r>
      <w:r w:rsidR="00652BAB" w:rsidRPr="00876367">
        <w:rPr>
          <w:b/>
          <w:sz w:val="24"/>
        </w:rPr>
        <w:t xml:space="preserve"> for Focus Group</w:t>
      </w:r>
      <w:r w:rsidR="00D15A57" w:rsidRPr="00876367">
        <w:rPr>
          <w:b/>
          <w:sz w:val="24"/>
        </w:rPr>
        <w:t>s</w:t>
      </w:r>
    </w:p>
    <w:p w14:paraId="158A5DC0" w14:textId="42201937" w:rsidR="00B371B5" w:rsidRPr="00876367" w:rsidRDefault="00D15A57" w:rsidP="00876367">
      <w:pPr>
        <w:rPr>
          <w:b/>
          <w:i/>
          <w:sz w:val="24"/>
        </w:rPr>
      </w:pPr>
      <w:r w:rsidRPr="00876367">
        <w:rPr>
          <w:b/>
          <w:i/>
          <w:sz w:val="24"/>
        </w:rPr>
        <w:t>Focus Groups</w:t>
      </w:r>
      <w:r w:rsidR="00652BAB" w:rsidRPr="00876367">
        <w:rPr>
          <w:b/>
          <w:i/>
          <w:sz w:val="24"/>
        </w:rPr>
        <w:t xml:space="preserve"> with IWISH Participants</w:t>
      </w:r>
    </w:p>
    <w:p w14:paraId="7DDD8B19" w14:textId="77777777" w:rsidR="00F71C9E" w:rsidRPr="00874435" w:rsidRDefault="00F71C9E" w:rsidP="00F71C9E">
      <w:pPr>
        <w:pStyle w:val="BodyText"/>
        <w:rPr>
          <w:sz w:val="24"/>
          <w:szCs w:val="24"/>
        </w:rPr>
      </w:pPr>
      <w:r w:rsidRPr="00874435">
        <w:rPr>
          <w:sz w:val="24"/>
          <w:szCs w:val="24"/>
        </w:rPr>
        <w:t>The starting point for identifying IWISH participants for focus groups is the Population Health Logistics (PHL) data system that all IWISH properties will use to collect and store health and service information on IWISH participants. The PHL data collection is covered under ICR 201702-2528-001 and the consent process for IWISH participants covers the transfer of PHL data to the evaluation team.</w:t>
      </w:r>
    </w:p>
    <w:p w14:paraId="372E3B70" w14:textId="77777777" w:rsidR="00F71C9E" w:rsidRPr="00874435" w:rsidRDefault="00F71C9E" w:rsidP="00F71C9E">
      <w:pPr>
        <w:pStyle w:val="BodyText"/>
        <w:rPr>
          <w:sz w:val="24"/>
          <w:szCs w:val="24"/>
        </w:rPr>
      </w:pPr>
      <w:r w:rsidRPr="00874435">
        <w:rPr>
          <w:sz w:val="24"/>
          <w:szCs w:val="24"/>
        </w:rPr>
        <w:t>We will use the PHL data to identify all the individuals enrolled in IWISH at the 12 focus group properties. We will then apply the following restrictions to ensure that the residents selected for the focus group have sufficient history with the property and are of the correct age to provide relevant information for answering the process study’s research questions:</w:t>
      </w:r>
    </w:p>
    <w:p w14:paraId="03AB1B92" w14:textId="78FA71B3" w:rsidR="00F71C9E" w:rsidRPr="00874435" w:rsidRDefault="00F71C9E" w:rsidP="00D15A57">
      <w:pPr>
        <w:pStyle w:val="BodyText"/>
        <w:numPr>
          <w:ilvl w:val="0"/>
          <w:numId w:val="16"/>
        </w:numPr>
        <w:rPr>
          <w:sz w:val="24"/>
          <w:szCs w:val="24"/>
        </w:rPr>
      </w:pPr>
      <w:r w:rsidRPr="00874435">
        <w:rPr>
          <w:b/>
          <w:sz w:val="24"/>
          <w:szCs w:val="24"/>
        </w:rPr>
        <w:t xml:space="preserve">IWISH Enrollment. </w:t>
      </w:r>
      <w:r w:rsidRPr="00874435">
        <w:rPr>
          <w:sz w:val="24"/>
          <w:szCs w:val="24"/>
        </w:rPr>
        <w:t xml:space="preserve">Residents must have been enrolled in IWISH for at least 6 months prior to the focus group. For example, if the focus group is planned for July 2019, we would limit the sampling universe to participants who enrolled on or before January 1, 2019. This restriction is to ensure that residents have some experience with the </w:t>
      </w:r>
      <w:r w:rsidR="003D5E4B" w:rsidRPr="00874435">
        <w:rPr>
          <w:sz w:val="24"/>
          <w:szCs w:val="24"/>
        </w:rPr>
        <w:t>IWISH</w:t>
      </w:r>
      <w:r w:rsidRPr="00874435">
        <w:rPr>
          <w:sz w:val="24"/>
          <w:szCs w:val="24"/>
        </w:rPr>
        <w:t xml:space="preserve"> program.</w:t>
      </w:r>
    </w:p>
    <w:p w14:paraId="564D6862" w14:textId="77777777" w:rsidR="00F71C9E" w:rsidRPr="00874435" w:rsidRDefault="00F71C9E" w:rsidP="00D15A57">
      <w:pPr>
        <w:pStyle w:val="BodyText"/>
        <w:numPr>
          <w:ilvl w:val="0"/>
          <w:numId w:val="16"/>
        </w:numPr>
        <w:rPr>
          <w:sz w:val="24"/>
          <w:szCs w:val="24"/>
        </w:rPr>
      </w:pPr>
      <w:r w:rsidRPr="00874435">
        <w:rPr>
          <w:b/>
          <w:sz w:val="24"/>
          <w:szCs w:val="24"/>
        </w:rPr>
        <w:t>Residency.</w:t>
      </w:r>
      <w:r w:rsidRPr="00874435">
        <w:rPr>
          <w:sz w:val="24"/>
          <w:szCs w:val="24"/>
        </w:rPr>
        <w:t xml:space="preserve"> Residents must have been living at the property for at least one year before the start of the demonstration on October 1, 2017. In other words, we would exclude any residents who moved in after October 1, 2016. This restriction is in place to ensure that focus groups participants have a point of comparison to IWISH. </w:t>
      </w:r>
    </w:p>
    <w:p w14:paraId="72AA6837" w14:textId="77777777" w:rsidR="00F71C9E" w:rsidRPr="00874435" w:rsidRDefault="00F71C9E" w:rsidP="00D15A57">
      <w:pPr>
        <w:pStyle w:val="BodyText"/>
        <w:numPr>
          <w:ilvl w:val="0"/>
          <w:numId w:val="16"/>
        </w:numPr>
        <w:rPr>
          <w:sz w:val="24"/>
          <w:szCs w:val="24"/>
        </w:rPr>
      </w:pPr>
      <w:r w:rsidRPr="00874435">
        <w:rPr>
          <w:b/>
          <w:sz w:val="24"/>
          <w:szCs w:val="24"/>
        </w:rPr>
        <w:t>Age.</w:t>
      </w:r>
      <w:r w:rsidRPr="00874435">
        <w:rPr>
          <w:sz w:val="24"/>
          <w:szCs w:val="24"/>
        </w:rPr>
        <w:t xml:space="preserve"> Residents must be aged 62 or over as the start of the demonstration in October 2017. The demonstration is targeted to people aged 62 and over and this is the focus of the evaluation.</w:t>
      </w:r>
    </w:p>
    <w:p w14:paraId="0E6D0669" w14:textId="77777777" w:rsidR="00F71C9E" w:rsidRPr="00874435" w:rsidRDefault="00F71C9E" w:rsidP="00D15A57">
      <w:pPr>
        <w:pStyle w:val="BodyText"/>
        <w:numPr>
          <w:ilvl w:val="0"/>
          <w:numId w:val="16"/>
        </w:numPr>
        <w:rPr>
          <w:sz w:val="24"/>
          <w:szCs w:val="24"/>
        </w:rPr>
      </w:pPr>
      <w:r w:rsidRPr="00874435">
        <w:rPr>
          <w:b/>
          <w:sz w:val="24"/>
          <w:szCs w:val="24"/>
        </w:rPr>
        <w:t>Language.</w:t>
      </w:r>
      <w:r w:rsidRPr="00874435">
        <w:rPr>
          <w:sz w:val="24"/>
          <w:szCs w:val="24"/>
        </w:rPr>
        <w:t xml:space="preserve"> If we learn through the initial questionnaire with the RWD and through the PHL data that there is a large share of non-English speakers at the property, we may determine that we will hold a non-English focus group at that property. In that case, we will restrict the sample to speakers of the selected language. Otherwise we will not apply any language restrictions. If the focus group is to be held in English and a resident is not able to consent to the focus group (as described below) because of language issues, then he or she will likely be excluded from the group, as is the case for others who are unable to consent.</w:t>
      </w:r>
    </w:p>
    <w:p w14:paraId="5AA15276" w14:textId="261ED5B3" w:rsidR="00F71C9E" w:rsidRPr="00876367" w:rsidRDefault="00F71C9E" w:rsidP="00876367">
      <w:pPr>
        <w:rPr>
          <w:b/>
          <w:i/>
          <w:sz w:val="24"/>
        </w:rPr>
      </w:pPr>
      <w:r w:rsidRPr="00876367">
        <w:rPr>
          <w:b/>
          <w:i/>
          <w:sz w:val="24"/>
        </w:rPr>
        <w:t>Focus Groups with Residents Not Enrolled in IWISH</w:t>
      </w:r>
    </w:p>
    <w:p w14:paraId="533DCFDE" w14:textId="3E4AE1B6" w:rsidR="00F71C9E" w:rsidRPr="00874435" w:rsidRDefault="00836154" w:rsidP="00F71C9E">
      <w:pPr>
        <w:rPr>
          <w:sz w:val="24"/>
          <w:szCs w:val="24"/>
        </w:rPr>
      </w:pPr>
      <w:r w:rsidRPr="00874435">
        <w:rPr>
          <w:sz w:val="24"/>
          <w:szCs w:val="24"/>
        </w:rPr>
        <w:t xml:space="preserve">To select residents for the </w:t>
      </w:r>
      <w:r w:rsidR="00F71C9E" w:rsidRPr="00874435">
        <w:rPr>
          <w:sz w:val="24"/>
          <w:szCs w:val="24"/>
        </w:rPr>
        <w:t xml:space="preserve">non-enrollee focus groups </w:t>
      </w:r>
      <w:r w:rsidRPr="00874435">
        <w:rPr>
          <w:sz w:val="24"/>
          <w:szCs w:val="24"/>
        </w:rPr>
        <w:t xml:space="preserve">we will cross reference </w:t>
      </w:r>
      <w:r w:rsidR="00F71C9E" w:rsidRPr="00874435">
        <w:rPr>
          <w:sz w:val="24"/>
          <w:szCs w:val="24"/>
        </w:rPr>
        <w:t>the HUD</w:t>
      </w:r>
      <w:r w:rsidR="00132C6A">
        <w:rPr>
          <w:sz w:val="24"/>
          <w:szCs w:val="24"/>
        </w:rPr>
        <w:t xml:space="preserve"> </w:t>
      </w:r>
      <w:r w:rsidR="00132C6A" w:rsidRPr="00132C6A">
        <w:rPr>
          <w:sz w:val="24"/>
          <w:szCs w:val="24"/>
        </w:rPr>
        <w:t>Tenant Rental Assistance Certification System</w:t>
      </w:r>
      <w:r w:rsidR="00132C6A">
        <w:rPr>
          <w:sz w:val="24"/>
          <w:szCs w:val="24"/>
        </w:rPr>
        <w:t xml:space="preserve"> (</w:t>
      </w:r>
      <w:r w:rsidR="00F71C9E" w:rsidRPr="00874435">
        <w:rPr>
          <w:sz w:val="24"/>
          <w:szCs w:val="24"/>
        </w:rPr>
        <w:t>TRACS</w:t>
      </w:r>
      <w:r w:rsidR="00132C6A">
        <w:rPr>
          <w:sz w:val="24"/>
          <w:szCs w:val="24"/>
        </w:rPr>
        <w:t>)</w:t>
      </w:r>
      <w:r w:rsidR="006C5983">
        <w:rPr>
          <w:sz w:val="24"/>
          <w:szCs w:val="24"/>
        </w:rPr>
        <w:t xml:space="preserve"> </w:t>
      </w:r>
      <w:r w:rsidR="00F71C9E" w:rsidRPr="00874435">
        <w:rPr>
          <w:sz w:val="24"/>
          <w:szCs w:val="24"/>
        </w:rPr>
        <w:t>data o</w:t>
      </w:r>
      <w:r w:rsidRPr="00874435">
        <w:rPr>
          <w:sz w:val="24"/>
          <w:szCs w:val="24"/>
        </w:rPr>
        <w:t xml:space="preserve">n the residents at the property </w:t>
      </w:r>
      <w:r w:rsidR="00F71C9E" w:rsidRPr="00874435">
        <w:rPr>
          <w:sz w:val="24"/>
          <w:szCs w:val="24"/>
        </w:rPr>
        <w:t>against the list of individuals enrolled in IWISH as documented in the PHL. We will then apply restrictions so that the residents are not enrolled in IWISH, have sufficient history with the property, and are of the correct age to provide relevant information for answering the process study’s research questions. Other than non-IWISH enrollment, the restrictions are the same as for the IWISH participant focus groups. The restrictions are:</w:t>
      </w:r>
    </w:p>
    <w:p w14:paraId="055C58C2" w14:textId="77777777" w:rsidR="00F71C9E" w:rsidRPr="00874435" w:rsidRDefault="00F71C9E" w:rsidP="00D15A57">
      <w:pPr>
        <w:pStyle w:val="BodyText"/>
        <w:numPr>
          <w:ilvl w:val="0"/>
          <w:numId w:val="16"/>
        </w:numPr>
        <w:rPr>
          <w:sz w:val="24"/>
          <w:szCs w:val="24"/>
        </w:rPr>
      </w:pPr>
      <w:r w:rsidRPr="00874435">
        <w:rPr>
          <w:b/>
          <w:sz w:val="24"/>
          <w:szCs w:val="24"/>
        </w:rPr>
        <w:t xml:space="preserve">IWISH enrollment. </w:t>
      </w:r>
      <w:r w:rsidRPr="00874435">
        <w:rPr>
          <w:sz w:val="24"/>
          <w:szCs w:val="24"/>
        </w:rPr>
        <w:t>Residents cannot have been enrolled in IWISH at any time since the start of the demonstration.</w:t>
      </w:r>
    </w:p>
    <w:p w14:paraId="42C5CD8A" w14:textId="77777777" w:rsidR="00F71C9E" w:rsidRPr="00874435" w:rsidRDefault="00F71C9E" w:rsidP="00D15A57">
      <w:pPr>
        <w:pStyle w:val="BodyText"/>
        <w:numPr>
          <w:ilvl w:val="0"/>
          <w:numId w:val="16"/>
        </w:numPr>
        <w:rPr>
          <w:sz w:val="24"/>
          <w:szCs w:val="24"/>
        </w:rPr>
      </w:pPr>
      <w:r w:rsidRPr="00874435">
        <w:rPr>
          <w:b/>
          <w:sz w:val="24"/>
          <w:szCs w:val="24"/>
        </w:rPr>
        <w:t>Residency.</w:t>
      </w:r>
      <w:r w:rsidRPr="00874435">
        <w:rPr>
          <w:sz w:val="24"/>
          <w:szCs w:val="24"/>
        </w:rPr>
        <w:t xml:space="preserve"> Residents must have been living at the property for at least one year before the start of the demonstration on October 1, 2017. </w:t>
      </w:r>
    </w:p>
    <w:p w14:paraId="396AF06A" w14:textId="77777777" w:rsidR="00F71C9E" w:rsidRPr="00874435" w:rsidRDefault="00F71C9E" w:rsidP="00D15A57">
      <w:pPr>
        <w:pStyle w:val="BodyText"/>
        <w:numPr>
          <w:ilvl w:val="0"/>
          <w:numId w:val="16"/>
        </w:numPr>
        <w:rPr>
          <w:sz w:val="24"/>
          <w:szCs w:val="24"/>
        </w:rPr>
      </w:pPr>
      <w:r w:rsidRPr="00874435">
        <w:rPr>
          <w:b/>
          <w:sz w:val="24"/>
          <w:szCs w:val="24"/>
        </w:rPr>
        <w:t>Age.</w:t>
      </w:r>
      <w:r w:rsidRPr="00874435">
        <w:rPr>
          <w:sz w:val="24"/>
          <w:szCs w:val="24"/>
        </w:rPr>
        <w:t xml:space="preserve"> Residents must be aged 62 or over as the start of the demonstration in October 2017. </w:t>
      </w:r>
    </w:p>
    <w:p w14:paraId="5695DEB5" w14:textId="77777777" w:rsidR="00F71C9E" w:rsidRPr="00874435" w:rsidRDefault="00F71C9E" w:rsidP="00D15A57">
      <w:pPr>
        <w:pStyle w:val="BodyText"/>
        <w:numPr>
          <w:ilvl w:val="0"/>
          <w:numId w:val="16"/>
        </w:numPr>
        <w:rPr>
          <w:sz w:val="24"/>
          <w:szCs w:val="24"/>
        </w:rPr>
      </w:pPr>
      <w:r w:rsidRPr="00874435">
        <w:rPr>
          <w:b/>
          <w:sz w:val="24"/>
          <w:szCs w:val="24"/>
        </w:rPr>
        <w:t>Language.</w:t>
      </w:r>
      <w:r w:rsidRPr="00874435">
        <w:rPr>
          <w:sz w:val="24"/>
          <w:szCs w:val="24"/>
        </w:rPr>
        <w:t xml:space="preserve"> Unless we determine that one of the groups will be conducted in a language other than English, we will not apply any language restrictions. </w:t>
      </w:r>
    </w:p>
    <w:p w14:paraId="23F23D75" w14:textId="7B4FB6CF" w:rsidR="00F71C9E" w:rsidRPr="00876367" w:rsidRDefault="00F71C9E" w:rsidP="00876367">
      <w:pPr>
        <w:rPr>
          <w:b/>
          <w:i/>
          <w:sz w:val="24"/>
        </w:rPr>
      </w:pPr>
      <w:r w:rsidRPr="00876367">
        <w:rPr>
          <w:b/>
          <w:i/>
          <w:sz w:val="24"/>
        </w:rPr>
        <w:t>Focus Groups with Caregivers of IWISH Participants</w:t>
      </w:r>
    </w:p>
    <w:p w14:paraId="0B03CC8C" w14:textId="56CAB563" w:rsidR="00F71C9E" w:rsidRPr="00874435" w:rsidRDefault="00FC1BF6" w:rsidP="00BE6E7F">
      <w:pPr>
        <w:pStyle w:val="BodyText"/>
        <w:rPr>
          <w:sz w:val="24"/>
          <w:szCs w:val="24"/>
        </w:rPr>
      </w:pPr>
      <w:r>
        <w:rPr>
          <w:sz w:val="24"/>
          <w:szCs w:val="24"/>
        </w:rPr>
        <w:t xml:space="preserve">The caregivers we are targeting for the focus groups are the informal caregivers of IWISH participants, not paid caregivers. Most will be friends and family members of IWISH participants. </w:t>
      </w:r>
      <w:r w:rsidR="00F71C9E" w:rsidRPr="00874435">
        <w:rPr>
          <w:sz w:val="24"/>
          <w:szCs w:val="24"/>
        </w:rPr>
        <w:t xml:space="preserve">We will limit the focus groups to the caregivers of residents </w:t>
      </w:r>
      <w:r>
        <w:rPr>
          <w:sz w:val="24"/>
          <w:szCs w:val="24"/>
        </w:rPr>
        <w:t xml:space="preserve">who have been </w:t>
      </w:r>
      <w:r w:rsidR="00F71C9E" w:rsidRPr="00874435">
        <w:rPr>
          <w:sz w:val="24"/>
          <w:szCs w:val="24"/>
        </w:rPr>
        <w:t>enrolled in IWISH for at least six months</w:t>
      </w:r>
      <w:r>
        <w:rPr>
          <w:sz w:val="24"/>
          <w:szCs w:val="24"/>
        </w:rPr>
        <w:t>, were living at</w:t>
      </w:r>
      <w:r w:rsidR="00F71C9E" w:rsidRPr="00874435">
        <w:rPr>
          <w:sz w:val="24"/>
          <w:szCs w:val="24"/>
        </w:rPr>
        <w:t xml:space="preserve"> the property for at least a year before the start of the </w:t>
      </w:r>
      <w:r w:rsidR="00A1781F" w:rsidRPr="00874435">
        <w:rPr>
          <w:sz w:val="24"/>
          <w:szCs w:val="24"/>
        </w:rPr>
        <w:t>demonstration and</w:t>
      </w:r>
      <w:r w:rsidR="00F71C9E" w:rsidRPr="00874435">
        <w:rPr>
          <w:sz w:val="24"/>
          <w:szCs w:val="24"/>
        </w:rPr>
        <w:t xml:space="preserve"> </w:t>
      </w:r>
      <w:r>
        <w:rPr>
          <w:sz w:val="24"/>
          <w:szCs w:val="24"/>
        </w:rPr>
        <w:t xml:space="preserve">are </w:t>
      </w:r>
      <w:r w:rsidR="00F71C9E" w:rsidRPr="00874435">
        <w:rPr>
          <w:sz w:val="24"/>
          <w:szCs w:val="24"/>
        </w:rPr>
        <w:t>aged 62 or over.</w:t>
      </w:r>
      <w:r>
        <w:rPr>
          <w:sz w:val="24"/>
          <w:szCs w:val="24"/>
        </w:rPr>
        <w:t xml:space="preserve"> </w:t>
      </w:r>
    </w:p>
    <w:p w14:paraId="2C5B6E63" w14:textId="388CBE38" w:rsidR="00F71C9E" w:rsidRPr="00876367" w:rsidRDefault="00F71C9E" w:rsidP="00876367">
      <w:pPr>
        <w:rPr>
          <w:b/>
          <w:i/>
          <w:sz w:val="24"/>
        </w:rPr>
      </w:pPr>
      <w:bookmarkStart w:id="12" w:name="_Toc511324029"/>
      <w:bookmarkStart w:id="13" w:name="_Toc511380152"/>
      <w:r w:rsidRPr="00876367">
        <w:rPr>
          <w:b/>
          <w:i/>
          <w:sz w:val="24"/>
        </w:rPr>
        <w:t xml:space="preserve">Focus Groups </w:t>
      </w:r>
      <w:r w:rsidR="00D15A57" w:rsidRPr="00876367">
        <w:rPr>
          <w:b/>
          <w:i/>
          <w:sz w:val="24"/>
        </w:rPr>
        <w:t>with Residents of</w:t>
      </w:r>
      <w:r w:rsidRPr="00876367">
        <w:rPr>
          <w:b/>
          <w:i/>
          <w:sz w:val="24"/>
        </w:rPr>
        <w:t xml:space="preserve"> </w:t>
      </w:r>
      <w:r w:rsidR="00C154AF" w:rsidRPr="00876367">
        <w:rPr>
          <w:b/>
          <w:i/>
          <w:sz w:val="24"/>
        </w:rPr>
        <w:t xml:space="preserve">Active Control </w:t>
      </w:r>
      <w:r w:rsidRPr="00876367">
        <w:rPr>
          <w:b/>
          <w:i/>
          <w:sz w:val="24"/>
        </w:rPr>
        <w:t>Properties</w:t>
      </w:r>
      <w:bookmarkEnd w:id="12"/>
      <w:bookmarkEnd w:id="13"/>
    </w:p>
    <w:p w14:paraId="535A5A61" w14:textId="77777777" w:rsidR="00F71C9E" w:rsidRPr="00874435" w:rsidRDefault="00F71C9E" w:rsidP="00F71C9E">
      <w:pPr>
        <w:pStyle w:val="BodyText"/>
        <w:rPr>
          <w:sz w:val="24"/>
          <w:szCs w:val="24"/>
        </w:rPr>
      </w:pPr>
      <w:r w:rsidRPr="00874435">
        <w:rPr>
          <w:sz w:val="24"/>
          <w:szCs w:val="24"/>
        </w:rPr>
        <w:t>The starting point for identifying participants in the active control group focus groups is the HUD TRACS data on the residents at the property. We will then apply the following restrictions to ensure that residents have sufficient history with the property and are of the correct age to be comparable to participants in focus groups at the treatment sites:</w:t>
      </w:r>
    </w:p>
    <w:p w14:paraId="4C4A18F9" w14:textId="77777777" w:rsidR="00F71C9E" w:rsidRPr="00874435" w:rsidRDefault="00F71C9E" w:rsidP="00D15A57">
      <w:pPr>
        <w:pStyle w:val="BodyText"/>
        <w:numPr>
          <w:ilvl w:val="0"/>
          <w:numId w:val="16"/>
        </w:numPr>
        <w:rPr>
          <w:sz w:val="24"/>
          <w:szCs w:val="24"/>
        </w:rPr>
      </w:pPr>
      <w:r w:rsidRPr="00874435">
        <w:rPr>
          <w:b/>
          <w:sz w:val="24"/>
          <w:szCs w:val="24"/>
        </w:rPr>
        <w:t>Residency.</w:t>
      </w:r>
      <w:r w:rsidRPr="00874435">
        <w:rPr>
          <w:sz w:val="24"/>
          <w:szCs w:val="24"/>
        </w:rPr>
        <w:t xml:space="preserve"> Residents must have been living at the property for at least one year before the start of the demonstration on October 1, 2017. </w:t>
      </w:r>
    </w:p>
    <w:p w14:paraId="51ACEB36" w14:textId="77777777" w:rsidR="00F71C9E" w:rsidRPr="00874435" w:rsidRDefault="00F71C9E" w:rsidP="00D15A57">
      <w:pPr>
        <w:pStyle w:val="BodyText"/>
        <w:numPr>
          <w:ilvl w:val="0"/>
          <w:numId w:val="16"/>
        </w:numPr>
        <w:rPr>
          <w:sz w:val="24"/>
          <w:szCs w:val="24"/>
        </w:rPr>
      </w:pPr>
      <w:r w:rsidRPr="00874435">
        <w:rPr>
          <w:b/>
          <w:sz w:val="24"/>
          <w:szCs w:val="24"/>
        </w:rPr>
        <w:t>Age.</w:t>
      </w:r>
      <w:r w:rsidRPr="00874435">
        <w:rPr>
          <w:sz w:val="24"/>
          <w:szCs w:val="24"/>
        </w:rPr>
        <w:t xml:space="preserve"> Residents must be aged 62 or over as the start of the demonstration in October 2017. </w:t>
      </w:r>
    </w:p>
    <w:p w14:paraId="71C85FE4" w14:textId="018B04F9" w:rsidR="00F71C9E" w:rsidRPr="00874435" w:rsidRDefault="00242FAC" w:rsidP="00D15A57">
      <w:pPr>
        <w:pStyle w:val="BodyText"/>
        <w:numPr>
          <w:ilvl w:val="0"/>
          <w:numId w:val="16"/>
        </w:numPr>
        <w:spacing w:after="240"/>
        <w:rPr>
          <w:sz w:val="24"/>
          <w:szCs w:val="24"/>
        </w:rPr>
      </w:pPr>
      <w:r w:rsidRPr="00874435">
        <w:rPr>
          <w:b/>
          <w:sz w:val="24"/>
          <w:szCs w:val="24"/>
        </w:rPr>
        <w:t>Language.</w:t>
      </w:r>
      <w:r w:rsidRPr="00874435">
        <w:rPr>
          <w:sz w:val="24"/>
          <w:szCs w:val="24"/>
        </w:rPr>
        <w:t xml:space="preserve"> </w:t>
      </w:r>
      <w:r w:rsidR="00F71C9E" w:rsidRPr="00874435">
        <w:rPr>
          <w:sz w:val="24"/>
          <w:szCs w:val="24"/>
        </w:rPr>
        <w:t xml:space="preserve">Unless we determine that one of the groups will be conducted in a language other than English, we will not apply any language restrictions. </w:t>
      </w:r>
    </w:p>
    <w:p w14:paraId="26B43EF3" w14:textId="77777777" w:rsidR="00B06D96" w:rsidRDefault="00B06D96">
      <w:pPr>
        <w:spacing w:after="0" w:line="240" w:lineRule="auto"/>
        <w:rPr>
          <w:b/>
          <w:sz w:val="24"/>
          <w:szCs w:val="24"/>
        </w:rPr>
      </w:pPr>
      <w:bookmarkStart w:id="14" w:name="_Toc511380153"/>
      <w:r>
        <w:rPr>
          <w:b/>
          <w:sz w:val="24"/>
          <w:szCs w:val="24"/>
        </w:rPr>
        <w:br w:type="page"/>
      </w:r>
    </w:p>
    <w:p w14:paraId="28A2F9B4" w14:textId="3E5A3BC8" w:rsidR="00CC3675" w:rsidRPr="00294FBD" w:rsidRDefault="00294FBD" w:rsidP="00294FBD">
      <w:pPr>
        <w:pStyle w:val="NoSpacing"/>
        <w:rPr>
          <w:b/>
          <w:sz w:val="24"/>
          <w:szCs w:val="24"/>
        </w:rPr>
      </w:pPr>
      <w:r w:rsidRPr="00294FBD">
        <w:rPr>
          <w:b/>
          <w:sz w:val="24"/>
          <w:szCs w:val="24"/>
        </w:rPr>
        <w:t>2.</w:t>
      </w:r>
      <w:r w:rsidR="00CC3675">
        <w:rPr>
          <w:b/>
          <w:sz w:val="24"/>
          <w:szCs w:val="24"/>
        </w:rPr>
        <w:tab/>
      </w:r>
      <w:r w:rsidRPr="00294FBD">
        <w:rPr>
          <w:b/>
          <w:sz w:val="24"/>
          <w:szCs w:val="24"/>
        </w:rPr>
        <w:t>Describe the procedures for the collection of information including:</w:t>
      </w:r>
    </w:p>
    <w:p w14:paraId="67D0B695" w14:textId="77777777" w:rsidR="00294FBD" w:rsidRPr="00294FBD" w:rsidRDefault="00294FBD" w:rsidP="00294FBD">
      <w:pPr>
        <w:pStyle w:val="NoSpacing"/>
        <w:rPr>
          <w:b/>
          <w:sz w:val="24"/>
          <w:szCs w:val="24"/>
        </w:rPr>
      </w:pPr>
    </w:p>
    <w:p w14:paraId="4CF9564F" w14:textId="77777777" w:rsidR="00294FBD" w:rsidRPr="00294FBD" w:rsidRDefault="00294FBD" w:rsidP="00294FBD">
      <w:pPr>
        <w:pStyle w:val="NoSpacing"/>
        <w:numPr>
          <w:ilvl w:val="0"/>
          <w:numId w:val="20"/>
        </w:numPr>
        <w:rPr>
          <w:b/>
          <w:sz w:val="24"/>
          <w:szCs w:val="24"/>
        </w:rPr>
      </w:pPr>
      <w:r w:rsidRPr="00294FBD">
        <w:rPr>
          <w:b/>
          <w:sz w:val="24"/>
          <w:szCs w:val="24"/>
        </w:rPr>
        <w:t>Statistical methodology for stratification and sample selection,</w:t>
      </w:r>
    </w:p>
    <w:p w14:paraId="1470E8EC" w14:textId="77777777" w:rsidR="00294FBD" w:rsidRPr="00294FBD" w:rsidRDefault="00294FBD" w:rsidP="00294FBD">
      <w:pPr>
        <w:pStyle w:val="NoSpacing"/>
        <w:numPr>
          <w:ilvl w:val="0"/>
          <w:numId w:val="20"/>
        </w:numPr>
        <w:rPr>
          <w:b/>
          <w:sz w:val="24"/>
          <w:szCs w:val="24"/>
        </w:rPr>
      </w:pPr>
      <w:r w:rsidRPr="00294FBD">
        <w:rPr>
          <w:b/>
          <w:sz w:val="24"/>
          <w:szCs w:val="24"/>
        </w:rPr>
        <w:t>Estimation procedure,</w:t>
      </w:r>
    </w:p>
    <w:p w14:paraId="4AA45F81" w14:textId="77777777" w:rsidR="00294FBD" w:rsidRPr="00294FBD" w:rsidRDefault="00294FBD" w:rsidP="00294FBD">
      <w:pPr>
        <w:pStyle w:val="NoSpacing"/>
        <w:numPr>
          <w:ilvl w:val="0"/>
          <w:numId w:val="20"/>
        </w:numPr>
        <w:rPr>
          <w:b/>
          <w:sz w:val="24"/>
          <w:szCs w:val="24"/>
        </w:rPr>
      </w:pPr>
      <w:r w:rsidRPr="00294FBD">
        <w:rPr>
          <w:b/>
          <w:sz w:val="24"/>
          <w:szCs w:val="24"/>
        </w:rPr>
        <w:t>Degree of accuracy needed for the purpose described in the justification,</w:t>
      </w:r>
    </w:p>
    <w:p w14:paraId="1EF0B36E" w14:textId="77777777" w:rsidR="00294FBD" w:rsidRPr="00294FBD" w:rsidRDefault="00294FBD" w:rsidP="00294FBD">
      <w:pPr>
        <w:pStyle w:val="NoSpacing"/>
        <w:numPr>
          <w:ilvl w:val="0"/>
          <w:numId w:val="20"/>
        </w:numPr>
        <w:rPr>
          <w:b/>
          <w:sz w:val="24"/>
          <w:szCs w:val="24"/>
        </w:rPr>
      </w:pPr>
      <w:r w:rsidRPr="00294FBD">
        <w:rPr>
          <w:b/>
          <w:sz w:val="24"/>
          <w:szCs w:val="24"/>
        </w:rPr>
        <w:t>Unusual problems requiring specialized sampling procedures, and</w:t>
      </w:r>
    </w:p>
    <w:p w14:paraId="13203517" w14:textId="77777777" w:rsidR="00294FBD" w:rsidRPr="00294FBD" w:rsidRDefault="00294FBD" w:rsidP="00294FBD">
      <w:pPr>
        <w:pStyle w:val="NoSpacing"/>
        <w:numPr>
          <w:ilvl w:val="0"/>
          <w:numId w:val="20"/>
        </w:numPr>
        <w:rPr>
          <w:b/>
          <w:sz w:val="24"/>
          <w:szCs w:val="24"/>
        </w:rPr>
      </w:pPr>
      <w:r w:rsidRPr="00294FBD">
        <w:rPr>
          <w:b/>
          <w:sz w:val="24"/>
          <w:szCs w:val="24"/>
        </w:rPr>
        <w:t>Any use of periodic (less frequent than annual) data collection cycles to reduce burden.</w:t>
      </w:r>
    </w:p>
    <w:p w14:paraId="6BDFBB34" w14:textId="77777777" w:rsidR="00B06D96" w:rsidRDefault="00B06D96" w:rsidP="00876367">
      <w:pPr>
        <w:rPr>
          <w:b/>
          <w:sz w:val="24"/>
        </w:rPr>
      </w:pPr>
      <w:bookmarkStart w:id="15" w:name="_Toc511324031"/>
      <w:bookmarkStart w:id="16" w:name="_Toc511380154"/>
      <w:bookmarkEnd w:id="14"/>
    </w:p>
    <w:p w14:paraId="1D3DAA7F" w14:textId="138B03BD" w:rsidR="00F71C9E" w:rsidRPr="00876367" w:rsidRDefault="00F71C9E" w:rsidP="00876367">
      <w:pPr>
        <w:rPr>
          <w:b/>
          <w:sz w:val="24"/>
        </w:rPr>
      </w:pPr>
      <w:r w:rsidRPr="00876367">
        <w:rPr>
          <w:b/>
          <w:sz w:val="24"/>
        </w:rPr>
        <w:t>Statistical Methods</w:t>
      </w:r>
      <w:bookmarkEnd w:id="15"/>
      <w:bookmarkEnd w:id="16"/>
    </w:p>
    <w:p w14:paraId="24449412" w14:textId="795F0ECD" w:rsidR="009C4920" w:rsidRDefault="008D49DB" w:rsidP="00F71C9E">
      <w:pPr>
        <w:pStyle w:val="BodyText"/>
        <w:rPr>
          <w:sz w:val="24"/>
          <w:szCs w:val="24"/>
        </w:rPr>
      </w:pPr>
      <w:r w:rsidRPr="008D49DB">
        <w:rPr>
          <w:b/>
          <w:i/>
          <w:sz w:val="24"/>
          <w:szCs w:val="24"/>
        </w:rPr>
        <w:t>Process Study.</w:t>
      </w:r>
      <w:r>
        <w:rPr>
          <w:sz w:val="24"/>
          <w:szCs w:val="24"/>
        </w:rPr>
        <w:t xml:space="preserve"> </w:t>
      </w:r>
      <w:r w:rsidR="006C5983">
        <w:rPr>
          <w:sz w:val="24"/>
          <w:szCs w:val="24"/>
        </w:rPr>
        <w:t xml:space="preserve">The data collection covered by this submission is intended to provide qualitative information to support a process study of the implementation of the SSD. The process study will qualitatively describe how IWISH was implemented at the treatment sites and how it was experienced by program staff, participants, and their caregivers, as well as how the IWISH implementation compares to the typical service coordination provided at HUD multifamily properties serving older adults. </w:t>
      </w:r>
    </w:p>
    <w:p w14:paraId="7523CB16" w14:textId="2FDC5C65" w:rsidR="00D86F8E" w:rsidRDefault="009C4920" w:rsidP="00F71C9E">
      <w:pPr>
        <w:pStyle w:val="BodyText"/>
        <w:rPr>
          <w:sz w:val="24"/>
          <w:szCs w:val="24"/>
        </w:rPr>
      </w:pPr>
      <w:r>
        <w:rPr>
          <w:sz w:val="24"/>
          <w:szCs w:val="24"/>
        </w:rPr>
        <w:t>The q</w:t>
      </w:r>
      <w:r w:rsidRPr="00874435">
        <w:rPr>
          <w:sz w:val="24"/>
          <w:szCs w:val="24"/>
        </w:rPr>
        <w:t xml:space="preserve">uestionnaire </w:t>
      </w:r>
      <w:r w:rsidR="00F71C9E" w:rsidRPr="00874435">
        <w:rPr>
          <w:sz w:val="24"/>
          <w:szCs w:val="24"/>
        </w:rPr>
        <w:t>respondents are chosen because they are the most relevant individuals at each site</w:t>
      </w:r>
      <w:r>
        <w:rPr>
          <w:sz w:val="24"/>
          <w:szCs w:val="24"/>
        </w:rPr>
        <w:t xml:space="preserve"> for providing the information requested in the questionnaire. The in-depth i</w:t>
      </w:r>
      <w:r w:rsidR="00F71C9E" w:rsidRPr="00874435">
        <w:rPr>
          <w:sz w:val="24"/>
          <w:szCs w:val="24"/>
        </w:rPr>
        <w:t>nterview respondents constitute the full universe of relevant individuals</w:t>
      </w:r>
      <w:r>
        <w:rPr>
          <w:sz w:val="24"/>
          <w:szCs w:val="24"/>
        </w:rPr>
        <w:t xml:space="preserve"> at each of the study properties</w:t>
      </w:r>
      <w:r w:rsidR="00F71C9E" w:rsidRPr="00874435">
        <w:rPr>
          <w:sz w:val="24"/>
          <w:szCs w:val="24"/>
        </w:rPr>
        <w:t xml:space="preserve">. </w:t>
      </w:r>
    </w:p>
    <w:p w14:paraId="3087EDA2" w14:textId="26E544F3" w:rsidR="00F71C9E" w:rsidRDefault="00F71C9E" w:rsidP="00F71C9E">
      <w:pPr>
        <w:pStyle w:val="BodyText"/>
        <w:rPr>
          <w:sz w:val="24"/>
          <w:szCs w:val="24"/>
        </w:rPr>
      </w:pPr>
      <w:r w:rsidRPr="00874435">
        <w:rPr>
          <w:sz w:val="24"/>
          <w:szCs w:val="24"/>
        </w:rPr>
        <w:t>Focus group participants are limited in number and are not intended to represent</w:t>
      </w:r>
      <w:r w:rsidR="00712D63">
        <w:rPr>
          <w:sz w:val="24"/>
          <w:szCs w:val="24"/>
        </w:rPr>
        <w:t xml:space="preserve"> all respondent</w:t>
      </w:r>
      <w:r w:rsidRPr="00874435">
        <w:rPr>
          <w:sz w:val="24"/>
          <w:szCs w:val="24"/>
        </w:rPr>
        <w:t xml:space="preserve"> types. </w:t>
      </w:r>
      <w:r w:rsidR="006C5983">
        <w:rPr>
          <w:sz w:val="24"/>
          <w:szCs w:val="24"/>
        </w:rPr>
        <w:t xml:space="preserve">Rather, the focus groups are </w:t>
      </w:r>
      <w:r w:rsidR="001E6152">
        <w:rPr>
          <w:sz w:val="24"/>
          <w:szCs w:val="24"/>
        </w:rPr>
        <w:t>designed</w:t>
      </w:r>
      <w:r w:rsidR="006C5983">
        <w:rPr>
          <w:sz w:val="24"/>
          <w:szCs w:val="24"/>
        </w:rPr>
        <w:t xml:space="preserve"> to </w:t>
      </w:r>
      <w:r w:rsidR="00D86F8E">
        <w:rPr>
          <w:sz w:val="24"/>
          <w:szCs w:val="24"/>
        </w:rPr>
        <w:t xml:space="preserve">serve two main purposes: to provide more </w:t>
      </w:r>
      <w:r w:rsidR="00D86F8E" w:rsidRPr="00D86F8E">
        <w:rPr>
          <w:sz w:val="24"/>
          <w:szCs w:val="24"/>
        </w:rPr>
        <w:t xml:space="preserve">in-depth information on </w:t>
      </w:r>
      <w:r w:rsidR="00D86F8E">
        <w:rPr>
          <w:sz w:val="24"/>
          <w:szCs w:val="24"/>
        </w:rPr>
        <w:t xml:space="preserve">the range of experiences of residents and caregivers with IWISH and traditional service coordination and to </w:t>
      </w:r>
      <w:r w:rsidR="00D86F8E" w:rsidRPr="00D86F8E">
        <w:rPr>
          <w:sz w:val="24"/>
          <w:szCs w:val="24"/>
        </w:rPr>
        <w:t xml:space="preserve">gather additional information as an adjunct to </w:t>
      </w:r>
      <w:r w:rsidR="00D86F8E">
        <w:rPr>
          <w:sz w:val="24"/>
          <w:szCs w:val="24"/>
        </w:rPr>
        <w:t xml:space="preserve">the study’s </w:t>
      </w:r>
      <w:r w:rsidR="00D86F8E" w:rsidRPr="00D86F8E">
        <w:rPr>
          <w:sz w:val="24"/>
          <w:szCs w:val="24"/>
        </w:rPr>
        <w:t>quan</w:t>
      </w:r>
      <w:r w:rsidR="00D86F8E">
        <w:rPr>
          <w:sz w:val="24"/>
          <w:szCs w:val="24"/>
        </w:rPr>
        <w:t xml:space="preserve">titative data collection to help </w:t>
      </w:r>
      <w:r w:rsidR="001E6152">
        <w:rPr>
          <w:sz w:val="24"/>
          <w:szCs w:val="24"/>
        </w:rPr>
        <w:t>interpret the results of the study’s outcomes and impact analysis. W</w:t>
      </w:r>
      <w:r w:rsidRPr="00874435">
        <w:rPr>
          <w:sz w:val="24"/>
          <w:szCs w:val="24"/>
        </w:rPr>
        <w:t xml:space="preserve">e will not draw statistical inferences from the </w:t>
      </w:r>
      <w:r w:rsidR="00D86F8E">
        <w:rPr>
          <w:sz w:val="24"/>
          <w:szCs w:val="24"/>
        </w:rPr>
        <w:t>qualitative</w:t>
      </w:r>
      <w:r w:rsidRPr="00874435">
        <w:rPr>
          <w:sz w:val="24"/>
          <w:szCs w:val="24"/>
        </w:rPr>
        <w:t xml:space="preserve"> data covered in this </w:t>
      </w:r>
      <w:r w:rsidR="00D86F8E">
        <w:rPr>
          <w:sz w:val="24"/>
          <w:szCs w:val="24"/>
        </w:rPr>
        <w:t xml:space="preserve">ICR </w:t>
      </w:r>
      <w:r w:rsidRPr="00874435">
        <w:rPr>
          <w:sz w:val="24"/>
          <w:szCs w:val="24"/>
        </w:rPr>
        <w:t>submission</w:t>
      </w:r>
      <w:r w:rsidR="001E6152">
        <w:rPr>
          <w:sz w:val="24"/>
          <w:szCs w:val="24"/>
        </w:rPr>
        <w:t xml:space="preserve">; instead, the analysis of administrative data </w:t>
      </w:r>
      <w:r w:rsidR="005B0A6D">
        <w:rPr>
          <w:sz w:val="24"/>
          <w:szCs w:val="24"/>
        </w:rPr>
        <w:t xml:space="preserve">(described below) </w:t>
      </w:r>
      <w:r w:rsidR="001E6152">
        <w:rPr>
          <w:sz w:val="24"/>
          <w:szCs w:val="24"/>
        </w:rPr>
        <w:t>will provide the main evidence of program outcomes and impacts</w:t>
      </w:r>
      <w:r w:rsidRPr="00874435">
        <w:rPr>
          <w:sz w:val="24"/>
          <w:szCs w:val="24"/>
        </w:rPr>
        <w:t>.</w:t>
      </w:r>
    </w:p>
    <w:p w14:paraId="7CC6FC01" w14:textId="2180C0CA" w:rsidR="009C4920" w:rsidRDefault="008D49DB" w:rsidP="009C4920">
      <w:pPr>
        <w:pStyle w:val="BodyText"/>
        <w:rPr>
          <w:sz w:val="24"/>
          <w:szCs w:val="24"/>
        </w:rPr>
      </w:pPr>
      <w:r w:rsidRPr="008D49DB">
        <w:rPr>
          <w:b/>
          <w:i/>
          <w:sz w:val="24"/>
          <w:szCs w:val="24"/>
        </w:rPr>
        <w:t>Impact Study.</w:t>
      </w:r>
      <w:r>
        <w:rPr>
          <w:sz w:val="24"/>
          <w:szCs w:val="24"/>
        </w:rPr>
        <w:t xml:space="preserve"> </w:t>
      </w:r>
      <w:r w:rsidR="003E4761">
        <w:rPr>
          <w:sz w:val="24"/>
          <w:szCs w:val="24"/>
        </w:rPr>
        <w:t xml:space="preserve">Prior to engagement with Abt, </w:t>
      </w:r>
      <w:r w:rsidR="009C4920">
        <w:rPr>
          <w:sz w:val="24"/>
          <w:szCs w:val="24"/>
        </w:rPr>
        <w:t>HUD</w:t>
      </w:r>
      <w:r w:rsidR="005B0A5F">
        <w:rPr>
          <w:sz w:val="24"/>
          <w:szCs w:val="24"/>
        </w:rPr>
        <w:t>, designed a cluster-randomized controlled evaluation and</w:t>
      </w:r>
      <w:r w:rsidR="009C4920">
        <w:rPr>
          <w:sz w:val="24"/>
          <w:szCs w:val="24"/>
        </w:rPr>
        <w:t xml:space="preserve"> </w:t>
      </w:r>
      <w:r w:rsidR="003E4761">
        <w:rPr>
          <w:sz w:val="24"/>
          <w:szCs w:val="24"/>
        </w:rPr>
        <w:t xml:space="preserve">randomly assigned eligible properties to </w:t>
      </w:r>
      <w:r w:rsidR="009C4920">
        <w:rPr>
          <w:sz w:val="24"/>
          <w:szCs w:val="24"/>
        </w:rPr>
        <w:t xml:space="preserve">treatment and control </w:t>
      </w:r>
      <w:r w:rsidR="003E4761">
        <w:rPr>
          <w:sz w:val="24"/>
          <w:szCs w:val="24"/>
        </w:rPr>
        <w:t>groups</w:t>
      </w:r>
      <w:r w:rsidR="009C4920">
        <w:rPr>
          <w:sz w:val="24"/>
          <w:szCs w:val="24"/>
        </w:rPr>
        <w:t xml:space="preserve"> to support the evaluation. The number of demonstration treatment and active control sites was limited to 40 </w:t>
      </w:r>
      <w:r w:rsidR="003E4761">
        <w:rPr>
          <w:sz w:val="24"/>
          <w:szCs w:val="24"/>
        </w:rPr>
        <w:t xml:space="preserve">based on preliminary power analyses and </w:t>
      </w:r>
      <w:r w:rsidR="009C4920">
        <w:rPr>
          <w:sz w:val="24"/>
          <w:szCs w:val="24"/>
        </w:rPr>
        <w:t xml:space="preserve">budgetary </w:t>
      </w:r>
      <w:r w:rsidR="003E4761">
        <w:rPr>
          <w:sz w:val="24"/>
          <w:szCs w:val="24"/>
        </w:rPr>
        <w:t>constraints</w:t>
      </w:r>
      <w:r w:rsidR="009C4920">
        <w:rPr>
          <w:sz w:val="24"/>
          <w:szCs w:val="24"/>
        </w:rPr>
        <w:t>. The random assignment was designed and conducted to facilitate an impact evaluation</w:t>
      </w:r>
      <w:r w:rsidR="005B0A5F">
        <w:rPr>
          <w:sz w:val="24"/>
          <w:szCs w:val="24"/>
        </w:rPr>
        <w:t xml:space="preserve"> such that causal inferences can be made.</w:t>
      </w:r>
      <w:r w:rsidR="009C4920">
        <w:rPr>
          <w:sz w:val="24"/>
          <w:szCs w:val="24"/>
        </w:rPr>
        <w:t xml:space="preserve"> </w:t>
      </w:r>
    </w:p>
    <w:p w14:paraId="25664EC6" w14:textId="37B0D88E" w:rsidR="008D49DB" w:rsidRDefault="009C4920" w:rsidP="00F71C9E">
      <w:pPr>
        <w:pStyle w:val="BodyText"/>
        <w:rPr>
          <w:sz w:val="24"/>
          <w:szCs w:val="24"/>
        </w:rPr>
      </w:pPr>
      <w:r>
        <w:rPr>
          <w:sz w:val="24"/>
          <w:szCs w:val="24"/>
        </w:rPr>
        <w:t xml:space="preserve">To </w:t>
      </w:r>
      <w:r w:rsidR="00305D06">
        <w:rPr>
          <w:sz w:val="24"/>
          <w:szCs w:val="24"/>
        </w:rPr>
        <w:t>support</w:t>
      </w:r>
      <w:r>
        <w:rPr>
          <w:sz w:val="24"/>
          <w:szCs w:val="24"/>
        </w:rPr>
        <w:t xml:space="preserve"> the</w:t>
      </w:r>
      <w:r w:rsidR="008D49DB">
        <w:rPr>
          <w:sz w:val="24"/>
          <w:szCs w:val="24"/>
        </w:rPr>
        <w:t xml:space="preserve"> impact </w:t>
      </w:r>
      <w:r w:rsidR="00305D06">
        <w:rPr>
          <w:sz w:val="24"/>
          <w:szCs w:val="24"/>
        </w:rPr>
        <w:t>analysis</w:t>
      </w:r>
      <w:r w:rsidR="008D49DB">
        <w:rPr>
          <w:sz w:val="24"/>
          <w:szCs w:val="24"/>
        </w:rPr>
        <w:t xml:space="preserve">, </w:t>
      </w:r>
      <w:r>
        <w:rPr>
          <w:sz w:val="24"/>
          <w:szCs w:val="24"/>
        </w:rPr>
        <w:t>the study team</w:t>
      </w:r>
      <w:r w:rsidR="008D49DB">
        <w:rPr>
          <w:sz w:val="24"/>
          <w:szCs w:val="24"/>
        </w:rPr>
        <w:t xml:space="preserve"> </w:t>
      </w:r>
      <w:r>
        <w:rPr>
          <w:sz w:val="24"/>
          <w:szCs w:val="24"/>
        </w:rPr>
        <w:t>will</w:t>
      </w:r>
      <w:r w:rsidR="008D49DB">
        <w:rPr>
          <w:sz w:val="24"/>
          <w:szCs w:val="24"/>
        </w:rPr>
        <w:t xml:space="preserve"> </w:t>
      </w:r>
      <w:r w:rsidR="005B0A5F">
        <w:rPr>
          <w:sz w:val="24"/>
          <w:szCs w:val="24"/>
        </w:rPr>
        <w:t xml:space="preserve">use linked HUD and Medicare and state Medicaid </w:t>
      </w:r>
      <w:r w:rsidR="008D49DB">
        <w:rPr>
          <w:sz w:val="24"/>
          <w:szCs w:val="24"/>
        </w:rPr>
        <w:t>administrative data for HUD-assisted residents of the</w:t>
      </w:r>
      <w:r>
        <w:rPr>
          <w:sz w:val="24"/>
          <w:szCs w:val="24"/>
        </w:rPr>
        <w:t xml:space="preserve"> 40</w:t>
      </w:r>
      <w:r w:rsidR="008D49DB">
        <w:rPr>
          <w:sz w:val="24"/>
          <w:szCs w:val="24"/>
        </w:rPr>
        <w:t xml:space="preserve"> treatment</w:t>
      </w:r>
      <w:r w:rsidR="00305D06">
        <w:rPr>
          <w:sz w:val="24"/>
          <w:szCs w:val="24"/>
        </w:rPr>
        <w:t xml:space="preserve"> properties, the 40 active control properties, and the 44 passive control properties</w:t>
      </w:r>
      <w:r w:rsidR="008D49DB">
        <w:rPr>
          <w:sz w:val="24"/>
          <w:szCs w:val="24"/>
        </w:rPr>
        <w:t xml:space="preserve">. The team will </w:t>
      </w:r>
      <w:r w:rsidR="005B0A5F">
        <w:rPr>
          <w:sz w:val="24"/>
          <w:szCs w:val="24"/>
        </w:rPr>
        <w:t>analyze</w:t>
      </w:r>
      <w:r w:rsidR="008D49DB">
        <w:rPr>
          <w:sz w:val="24"/>
          <w:szCs w:val="24"/>
        </w:rPr>
        <w:t xml:space="preserve"> approximately five years of </w:t>
      </w:r>
      <w:r w:rsidR="00305D06">
        <w:rPr>
          <w:sz w:val="24"/>
          <w:szCs w:val="24"/>
        </w:rPr>
        <w:t xml:space="preserve">person-level </w:t>
      </w:r>
      <w:r w:rsidR="008D49DB">
        <w:rPr>
          <w:sz w:val="24"/>
          <w:szCs w:val="24"/>
        </w:rPr>
        <w:t xml:space="preserve">administrative data—two years of data prior to the start of the demonstration (October 2015 – September 2017) and three years of data covering the duration of the demonstration (October 2017 – September 2020). </w:t>
      </w:r>
    </w:p>
    <w:p w14:paraId="577750E1" w14:textId="4492DC2B" w:rsidR="008312FF" w:rsidRDefault="008312FF" w:rsidP="008312FF">
      <w:pPr>
        <w:pStyle w:val="BodyText"/>
        <w:rPr>
          <w:rFonts w:ascii="Arial" w:hAnsi="Arial" w:cs="Arial"/>
          <w:b/>
          <w:bCs/>
          <w:color w:val="000000"/>
          <w:sz w:val="18"/>
          <w:szCs w:val="18"/>
        </w:rPr>
      </w:pPr>
      <w:r>
        <w:rPr>
          <w:sz w:val="24"/>
          <w:szCs w:val="24"/>
        </w:rPr>
        <w:t>To</w:t>
      </w:r>
      <w:r w:rsidR="005B0A5F">
        <w:rPr>
          <w:sz w:val="24"/>
          <w:szCs w:val="24"/>
        </w:rPr>
        <w:t xml:space="preserve"> estimate</w:t>
      </w:r>
      <w:r w:rsidR="008D49DB" w:rsidRPr="008D49DB">
        <w:rPr>
          <w:sz w:val="24"/>
          <w:szCs w:val="24"/>
        </w:rPr>
        <w:t xml:space="preserve"> the impact of IWISH on resident outcomes</w:t>
      </w:r>
      <w:r w:rsidR="005B0A5F">
        <w:rPr>
          <w:sz w:val="24"/>
          <w:szCs w:val="24"/>
        </w:rPr>
        <w:t xml:space="preserve">, the study team will conduct an intent-to-treat </w:t>
      </w:r>
      <w:r w:rsidR="00322461">
        <w:rPr>
          <w:sz w:val="24"/>
          <w:szCs w:val="24"/>
        </w:rPr>
        <w:t xml:space="preserve">(ITT) </w:t>
      </w:r>
      <w:r w:rsidR="005B0A5F">
        <w:rPr>
          <w:sz w:val="24"/>
          <w:szCs w:val="24"/>
        </w:rPr>
        <w:t>analysis</w:t>
      </w:r>
      <w:r>
        <w:rPr>
          <w:sz w:val="24"/>
          <w:szCs w:val="24"/>
        </w:rPr>
        <w:t xml:space="preserve"> by</w:t>
      </w:r>
      <w:r w:rsidR="008D49DB" w:rsidRPr="008D49DB">
        <w:rPr>
          <w:sz w:val="24"/>
          <w:szCs w:val="24"/>
        </w:rPr>
        <w:t xml:space="preserve"> </w:t>
      </w:r>
      <w:r w:rsidR="005B0A5F">
        <w:rPr>
          <w:sz w:val="24"/>
          <w:szCs w:val="24"/>
        </w:rPr>
        <w:t>comparing outcomes</w:t>
      </w:r>
      <w:r w:rsidR="008D49DB" w:rsidRPr="008D49DB">
        <w:rPr>
          <w:sz w:val="24"/>
          <w:szCs w:val="24"/>
        </w:rPr>
        <w:t xml:space="preserve"> of </w:t>
      </w:r>
      <w:r w:rsidR="005B0A5F">
        <w:rPr>
          <w:sz w:val="24"/>
          <w:szCs w:val="24"/>
        </w:rPr>
        <w:t xml:space="preserve">residents in the treatment group and to those of residents in </w:t>
      </w:r>
      <w:r w:rsidR="008D49DB" w:rsidRPr="008D49DB">
        <w:rPr>
          <w:sz w:val="24"/>
          <w:szCs w:val="24"/>
        </w:rPr>
        <w:t>the active and passive control group properties</w:t>
      </w:r>
      <w:r w:rsidR="005B0A5F">
        <w:rPr>
          <w:sz w:val="24"/>
          <w:szCs w:val="24"/>
        </w:rPr>
        <w:t>, which will be</w:t>
      </w:r>
      <w:r w:rsidR="008D49DB" w:rsidRPr="008D49DB">
        <w:rPr>
          <w:sz w:val="24"/>
          <w:szCs w:val="24"/>
        </w:rPr>
        <w:t xml:space="preserve"> pooled into one </w:t>
      </w:r>
      <w:r w:rsidR="005B0A5F">
        <w:rPr>
          <w:sz w:val="24"/>
          <w:szCs w:val="24"/>
        </w:rPr>
        <w:t>control</w:t>
      </w:r>
      <w:r w:rsidR="008D49DB" w:rsidRPr="008D49DB">
        <w:rPr>
          <w:sz w:val="24"/>
          <w:szCs w:val="24"/>
        </w:rPr>
        <w:t xml:space="preserve"> group</w:t>
      </w:r>
      <w:r w:rsidR="005B0A5F">
        <w:rPr>
          <w:sz w:val="24"/>
          <w:szCs w:val="24"/>
        </w:rPr>
        <w:t xml:space="preserve">. </w:t>
      </w:r>
      <w:r>
        <w:rPr>
          <w:sz w:val="24"/>
          <w:szCs w:val="24"/>
        </w:rPr>
        <w:t>The study team calc</w:t>
      </w:r>
      <w:r w:rsidRPr="004E601A">
        <w:rPr>
          <w:sz w:val="24"/>
          <w:szCs w:val="24"/>
        </w:rPr>
        <w:t xml:space="preserve">ulated </w:t>
      </w:r>
      <w:r w:rsidRPr="00C33C5F">
        <w:rPr>
          <w:sz w:val="24"/>
          <w:szCs w:val="24"/>
        </w:rPr>
        <w:t>minimum detectable effect size (MDES)</w:t>
      </w:r>
      <w:r w:rsidRPr="00C33C5F">
        <w:rPr>
          <w:sz w:val="24"/>
          <w:szCs w:val="24"/>
          <w:vertAlign w:val="superscript"/>
        </w:rPr>
        <w:footnoteReference w:id="3"/>
      </w:r>
      <w:r>
        <w:rPr>
          <w:sz w:val="24"/>
          <w:szCs w:val="24"/>
        </w:rPr>
        <w:t xml:space="preserve"> for the main impact analysis—the intent-to-treat (or ITT) analysis—for the following outcomes: </w:t>
      </w:r>
    </w:p>
    <w:p w14:paraId="17669B96" w14:textId="77777777" w:rsidR="008312FF" w:rsidRPr="007D78C5" w:rsidRDefault="008312FF" w:rsidP="008312FF">
      <w:pPr>
        <w:pStyle w:val="BodyText"/>
        <w:numPr>
          <w:ilvl w:val="0"/>
          <w:numId w:val="16"/>
        </w:numPr>
        <w:rPr>
          <w:b/>
          <w:sz w:val="24"/>
          <w:szCs w:val="24"/>
        </w:rPr>
      </w:pPr>
      <w:r>
        <w:rPr>
          <w:b/>
          <w:sz w:val="24"/>
          <w:szCs w:val="24"/>
        </w:rPr>
        <w:t>Days of unplanned h</w:t>
      </w:r>
      <w:r w:rsidRPr="007D78C5">
        <w:rPr>
          <w:b/>
          <w:sz w:val="24"/>
          <w:szCs w:val="24"/>
        </w:rPr>
        <w:t>ospital</w:t>
      </w:r>
      <w:r>
        <w:rPr>
          <w:b/>
          <w:sz w:val="24"/>
          <w:szCs w:val="24"/>
        </w:rPr>
        <w:t>izations.</w:t>
      </w:r>
      <w:r w:rsidRPr="009D4C5D">
        <w:rPr>
          <w:sz w:val="24"/>
          <w:szCs w:val="24"/>
        </w:rPr>
        <w:t xml:space="preserve"> </w:t>
      </w:r>
      <w:r>
        <w:rPr>
          <w:sz w:val="24"/>
          <w:szCs w:val="24"/>
        </w:rPr>
        <w:t>T</w:t>
      </w:r>
      <w:r w:rsidRPr="007D78C5">
        <w:rPr>
          <w:sz w:val="24"/>
          <w:szCs w:val="24"/>
        </w:rPr>
        <w:t>he minimum detectable difference</w:t>
      </w:r>
      <w:r w:rsidRPr="00C33C5F">
        <w:rPr>
          <w:sz w:val="24"/>
          <w:szCs w:val="24"/>
        </w:rPr>
        <w:t xml:space="preserve"> </w:t>
      </w:r>
      <w:r w:rsidRPr="007D78C5">
        <w:rPr>
          <w:sz w:val="24"/>
          <w:szCs w:val="24"/>
        </w:rPr>
        <w:t xml:space="preserve">is </w:t>
      </w:r>
      <w:r>
        <w:rPr>
          <w:sz w:val="24"/>
          <w:szCs w:val="24"/>
        </w:rPr>
        <w:t>30.4</w:t>
      </w:r>
      <w:r w:rsidRPr="007D78C5">
        <w:rPr>
          <w:sz w:val="24"/>
          <w:szCs w:val="24"/>
        </w:rPr>
        <w:t xml:space="preserve"> </w:t>
      </w:r>
      <w:r>
        <w:rPr>
          <w:sz w:val="24"/>
          <w:szCs w:val="24"/>
        </w:rPr>
        <w:t xml:space="preserve">days of </w:t>
      </w:r>
      <w:r w:rsidRPr="007D78C5">
        <w:rPr>
          <w:sz w:val="24"/>
          <w:szCs w:val="24"/>
        </w:rPr>
        <w:t>hospital</w:t>
      </w:r>
      <w:r>
        <w:rPr>
          <w:sz w:val="24"/>
          <w:szCs w:val="24"/>
        </w:rPr>
        <w:t>ization</w:t>
      </w:r>
      <w:r w:rsidRPr="007D78C5">
        <w:rPr>
          <w:sz w:val="24"/>
          <w:szCs w:val="24"/>
        </w:rPr>
        <w:t xml:space="preserve"> per 1</w:t>
      </w:r>
      <w:r>
        <w:rPr>
          <w:sz w:val="24"/>
          <w:szCs w:val="24"/>
        </w:rPr>
        <w:t>,</w:t>
      </w:r>
      <w:r w:rsidRPr="007D78C5">
        <w:rPr>
          <w:sz w:val="24"/>
          <w:szCs w:val="24"/>
        </w:rPr>
        <w:t>00</w:t>
      </w:r>
      <w:r>
        <w:rPr>
          <w:sz w:val="24"/>
          <w:szCs w:val="24"/>
        </w:rPr>
        <w:t>0</w:t>
      </w:r>
      <w:r w:rsidRPr="007D78C5">
        <w:rPr>
          <w:sz w:val="24"/>
          <w:szCs w:val="24"/>
        </w:rPr>
        <w:t xml:space="preserve"> resident months (or a </w:t>
      </w:r>
      <w:r>
        <w:rPr>
          <w:sz w:val="24"/>
          <w:szCs w:val="24"/>
        </w:rPr>
        <w:t>21</w:t>
      </w:r>
      <w:r w:rsidRPr="007D78C5">
        <w:rPr>
          <w:sz w:val="24"/>
          <w:szCs w:val="24"/>
        </w:rPr>
        <w:t xml:space="preserve"> percent difference)</w:t>
      </w:r>
      <w:r>
        <w:rPr>
          <w:sz w:val="24"/>
          <w:szCs w:val="24"/>
        </w:rPr>
        <w:t xml:space="preserve">. </w:t>
      </w:r>
    </w:p>
    <w:p w14:paraId="566B86C8" w14:textId="77777777" w:rsidR="008312FF" w:rsidRDefault="008312FF" w:rsidP="008312FF">
      <w:pPr>
        <w:pStyle w:val="BodyText"/>
        <w:numPr>
          <w:ilvl w:val="0"/>
          <w:numId w:val="16"/>
        </w:numPr>
        <w:rPr>
          <w:b/>
          <w:sz w:val="24"/>
          <w:szCs w:val="24"/>
        </w:rPr>
      </w:pPr>
      <w:r>
        <w:rPr>
          <w:b/>
          <w:sz w:val="24"/>
          <w:szCs w:val="24"/>
        </w:rPr>
        <w:t>Primary care visits.</w:t>
      </w:r>
      <w:r>
        <w:rPr>
          <w:sz w:val="24"/>
          <w:szCs w:val="24"/>
        </w:rPr>
        <w:t xml:space="preserve"> T</w:t>
      </w:r>
      <w:r w:rsidRPr="007D78C5">
        <w:rPr>
          <w:sz w:val="24"/>
          <w:szCs w:val="24"/>
        </w:rPr>
        <w:t xml:space="preserve">he minimum detectable difference is </w:t>
      </w:r>
      <w:r>
        <w:rPr>
          <w:sz w:val="24"/>
          <w:szCs w:val="24"/>
        </w:rPr>
        <w:t>59.6 visits per 1,000 resident months</w:t>
      </w:r>
      <w:r w:rsidRPr="007D78C5">
        <w:rPr>
          <w:sz w:val="24"/>
          <w:szCs w:val="24"/>
        </w:rPr>
        <w:t xml:space="preserve"> (</w:t>
      </w:r>
      <w:r>
        <w:rPr>
          <w:sz w:val="24"/>
          <w:szCs w:val="24"/>
        </w:rPr>
        <w:t>or a 9</w:t>
      </w:r>
      <w:r w:rsidRPr="007D78C5">
        <w:rPr>
          <w:sz w:val="24"/>
          <w:szCs w:val="24"/>
        </w:rPr>
        <w:t xml:space="preserve"> percent</w:t>
      </w:r>
      <w:r>
        <w:rPr>
          <w:sz w:val="24"/>
          <w:szCs w:val="24"/>
        </w:rPr>
        <w:t xml:space="preserve"> difference</w:t>
      </w:r>
      <w:r w:rsidRPr="007D78C5">
        <w:rPr>
          <w:sz w:val="24"/>
          <w:szCs w:val="24"/>
        </w:rPr>
        <w:t>)</w:t>
      </w:r>
      <w:r>
        <w:rPr>
          <w:sz w:val="24"/>
          <w:szCs w:val="24"/>
        </w:rPr>
        <w:t xml:space="preserve">. </w:t>
      </w:r>
    </w:p>
    <w:p w14:paraId="761E96D2" w14:textId="77777777" w:rsidR="008312FF" w:rsidRPr="002879DD" w:rsidRDefault="008312FF" w:rsidP="008312FF">
      <w:pPr>
        <w:pStyle w:val="BodyText"/>
        <w:numPr>
          <w:ilvl w:val="0"/>
          <w:numId w:val="16"/>
        </w:numPr>
        <w:rPr>
          <w:b/>
          <w:sz w:val="24"/>
          <w:szCs w:val="24"/>
        </w:rPr>
      </w:pPr>
      <w:r w:rsidRPr="007D78C5">
        <w:rPr>
          <w:b/>
          <w:sz w:val="24"/>
          <w:szCs w:val="24"/>
        </w:rPr>
        <w:t xml:space="preserve">Housing exits. </w:t>
      </w:r>
      <w:r w:rsidRPr="002879DD">
        <w:rPr>
          <w:sz w:val="24"/>
          <w:szCs w:val="24"/>
        </w:rPr>
        <w:t>The minimum detectable difference in the probability of housing exit is two percentage points. The minimum detectable difference in the probability of transferring to a nursing home is one percentage point.</w:t>
      </w:r>
    </w:p>
    <w:p w14:paraId="30B73EE0" w14:textId="1431D9A5" w:rsidR="008D49DB" w:rsidRPr="008D49DB" w:rsidRDefault="004E601A" w:rsidP="008312FF">
      <w:pPr>
        <w:pStyle w:val="BodyText"/>
        <w:rPr>
          <w:sz w:val="24"/>
          <w:szCs w:val="24"/>
        </w:rPr>
      </w:pPr>
      <w:r>
        <w:rPr>
          <w:sz w:val="24"/>
          <w:szCs w:val="24"/>
        </w:rPr>
        <w:t xml:space="preserve">In addition to the main impact analyses, the study team </w:t>
      </w:r>
      <w:r w:rsidR="008D49DB" w:rsidRPr="008D49DB">
        <w:rPr>
          <w:sz w:val="24"/>
          <w:szCs w:val="24"/>
        </w:rPr>
        <w:t>will conduct additional</w:t>
      </w:r>
      <w:r w:rsidR="009276D6">
        <w:rPr>
          <w:sz w:val="24"/>
          <w:szCs w:val="24"/>
        </w:rPr>
        <w:t xml:space="preserve"> exploratory</w:t>
      </w:r>
      <w:r w:rsidR="008D49DB" w:rsidRPr="008D49DB">
        <w:rPr>
          <w:sz w:val="24"/>
          <w:szCs w:val="24"/>
        </w:rPr>
        <w:t xml:space="preserve"> analys</w:t>
      </w:r>
      <w:r w:rsidR="008312FF">
        <w:rPr>
          <w:sz w:val="24"/>
          <w:szCs w:val="24"/>
        </w:rPr>
        <w:t>i</w:t>
      </w:r>
      <w:r w:rsidR="008D49DB" w:rsidRPr="008D49DB">
        <w:rPr>
          <w:sz w:val="24"/>
          <w:szCs w:val="24"/>
        </w:rPr>
        <w:t xml:space="preserve">s of key outcomes to examine: non-linear trends in the cumulative effect of IWISH on healthcare utilization and spending during the demonstration; potential heterogeneity of the treatment effect across important subgroups of individuals; and the extent to which sample attrition due to deaths might bias the estimated impact of IWISH on utilization and spending. </w:t>
      </w:r>
    </w:p>
    <w:p w14:paraId="10E1610B" w14:textId="238A9DD1" w:rsidR="00F71C9E" w:rsidRPr="00876367" w:rsidRDefault="00F71C9E" w:rsidP="00876367">
      <w:pPr>
        <w:rPr>
          <w:b/>
          <w:sz w:val="24"/>
        </w:rPr>
      </w:pPr>
      <w:bookmarkStart w:id="17" w:name="_Toc511324032"/>
      <w:bookmarkStart w:id="18" w:name="_Toc511380155"/>
      <w:r w:rsidRPr="00876367">
        <w:rPr>
          <w:b/>
          <w:sz w:val="24"/>
        </w:rPr>
        <w:t>Sampling of Participants for Focus Groups</w:t>
      </w:r>
      <w:bookmarkEnd w:id="17"/>
      <w:bookmarkEnd w:id="18"/>
    </w:p>
    <w:p w14:paraId="2FE06522" w14:textId="44FE1B83" w:rsidR="00F71C9E" w:rsidRPr="00874435" w:rsidRDefault="0027364F" w:rsidP="00F71C9E">
      <w:pPr>
        <w:pStyle w:val="BodyText"/>
        <w:rPr>
          <w:sz w:val="24"/>
          <w:szCs w:val="24"/>
        </w:rPr>
      </w:pPr>
      <w:r w:rsidRPr="0027364F">
        <w:rPr>
          <w:b/>
          <w:i/>
          <w:sz w:val="24"/>
          <w:szCs w:val="24"/>
        </w:rPr>
        <w:t>Resident Focus Groups.</w:t>
      </w:r>
      <w:r>
        <w:rPr>
          <w:sz w:val="24"/>
          <w:szCs w:val="24"/>
        </w:rPr>
        <w:t xml:space="preserve"> </w:t>
      </w:r>
      <w:r w:rsidR="00F71C9E" w:rsidRPr="00874435">
        <w:rPr>
          <w:sz w:val="24"/>
          <w:szCs w:val="24"/>
        </w:rPr>
        <w:t>After identifying appropriate potential resident participants at both treatment and active control sites, we will ask the RWD, service coordinator, or property manager (as appropriate) to review the resulting list for ability to participate in a 90-minute focus group. We will then invite a random sample of the remaining residents to participate in the focus groups and screen interested residents for the</w:t>
      </w:r>
      <w:r w:rsidR="00535F01" w:rsidRPr="00874435">
        <w:rPr>
          <w:sz w:val="24"/>
          <w:szCs w:val="24"/>
        </w:rPr>
        <w:t>ir</w:t>
      </w:r>
      <w:r w:rsidR="00F71C9E" w:rsidRPr="00874435">
        <w:rPr>
          <w:sz w:val="24"/>
          <w:szCs w:val="24"/>
        </w:rPr>
        <w:t xml:space="preserve"> cognitive ability to participate. We will obtain </w:t>
      </w:r>
      <w:r w:rsidR="00FC1BF6">
        <w:rPr>
          <w:sz w:val="24"/>
          <w:szCs w:val="24"/>
        </w:rPr>
        <w:t>written consent from focus group participants at the start of</w:t>
      </w:r>
      <w:r w:rsidR="00F71C9E" w:rsidRPr="00874435">
        <w:rPr>
          <w:sz w:val="24"/>
          <w:szCs w:val="24"/>
        </w:rPr>
        <w:t xml:space="preserve"> the focus group.</w:t>
      </w:r>
    </w:p>
    <w:p w14:paraId="4E948BE3" w14:textId="5A84822A" w:rsidR="00F71C9E" w:rsidRPr="00874435" w:rsidRDefault="00F71C9E" w:rsidP="00DA191A">
      <w:pPr>
        <w:rPr>
          <w:sz w:val="24"/>
          <w:szCs w:val="24"/>
        </w:rPr>
      </w:pPr>
      <w:r w:rsidRPr="00874435">
        <w:rPr>
          <w:sz w:val="24"/>
          <w:szCs w:val="24"/>
        </w:rPr>
        <w:t xml:space="preserve">For focus groups with resident participants, the target size for these focus groups is eight participants, though we expect that we may need to pick a sample of 20 residents for each focus group to allow for declines and people who are not able to consent. </w:t>
      </w:r>
      <w:r w:rsidR="001E6152">
        <w:rPr>
          <w:sz w:val="24"/>
          <w:szCs w:val="24"/>
        </w:rPr>
        <w:t xml:space="preserve">The evaluation team determined that eight participants is an appropriate size for the focus groups after consulting the research literature on interviewing and conducting focus groups with </w:t>
      </w:r>
      <w:r w:rsidR="00712D63">
        <w:rPr>
          <w:sz w:val="24"/>
          <w:szCs w:val="24"/>
        </w:rPr>
        <w:t>older adults</w:t>
      </w:r>
      <w:r w:rsidR="008312FF">
        <w:rPr>
          <w:sz w:val="24"/>
          <w:szCs w:val="24"/>
        </w:rPr>
        <w:t xml:space="preserve"> </w:t>
      </w:r>
      <w:r w:rsidR="001E6152">
        <w:rPr>
          <w:sz w:val="24"/>
          <w:szCs w:val="24"/>
        </w:rPr>
        <w:t>and seeking input from Abt Associates’ staff with a background in clinical care for older adults. Two key resources were Barrett and Kirk (2000)</w:t>
      </w:r>
      <w:r w:rsidR="00DA191A" w:rsidRPr="00DA191A">
        <w:rPr>
          <w:rStyle w:val="FootnoteReference"/>
          <w:sz w:val="24"/>
          <w:szCs w:val="24"/>
        </w:rPr>
        <w:t xml:space="preserve"> </w:t>
      </w:r>
      <w:r w:rsidR="00DA191A">
        <w:rPr>
          <w:rStyle w:val="FootnoteReference"/>
          <w:sz w:val="24"/>
          <w:szCs w:val="24"/>
        </w:rPr>
        <w:footnoteReference w:id="4"/>
      </w:r>
      <w:r w:rsidR="001E6152">
        <w:rPr>
          <w:sz w:val="24"/>
          <w:szCs w:val="24"/>
        </w:rPr>
        <w:t xml:space="preserve"> and Beuscher and Grando (2009).</w:t>
      </w:r>
      <w:r w:rsidR="001E6152">
        <w:rPr>
          <w:rStyle w:val="FootnoteReference"/>
          <w:sz w:val="24"/>
          <w:szCs w:val="24"/>
        </w:rPr>
        <w:footnoteReference w:id="5"/>
      </w:r>
      <w:r w:rsidR="001E6152">
        <w:rPr>
          <w:sz w:val="24"/>
          <w:szCs w:val="24"/>
        </w:rPr>
        <w:t xml:space="preserve"> </w:t>
      </w:r>
      <w:r w:rsidR="002D471D">
        <w:rPr>
          <w:sz w:val="24"/>
          <w:szCs w:val="24"/>
        </w:rPr>
        <w:t>The</w:t>
      </w:r>
      <w:r w:rsidR="001E6152">
        <w:rPr>
          <w:sz w:val="24"/>
          <w:szCs w:val="24"/>
        </w:rPr>
        <w:t xml:space="preserve"> size of the group is a primary concern for focus groups with the elderly and disabled because of slower response times and the greater</w:t>
      </w:r>
      <w:r w:rsidR="0027364F">
        <w:rPr>
          <w:sz w:val="24"/>
          <w:szCs w:val="24"/>
        </w:rPr>
        <w:t xml:space="preserve"> likelihood of distractions. Larger focus groups are challenging for participants who are hard of hearing, as we expect many of our participants to be. Also, older people tend to take some time to recall memories and can be distracted by what others say. A smaller group allows all respondents to have time to speak and respond to questions and to each other. </w:t>
      </w:r>
    </w:p>
    <w:p w14:paraId="33C768B2" w14:textId="7BB4E77A" w:rsidR="00F71C9E" w:rsidRPr="00874435" w:rsidRDefault="0027364F" w:rsidP="00F71C9E">
      <w:pPr>
        <w:rPr>
          <w:sz w:val="24"/>
          <w:szCs w:val="24"/>
        </w:rPr>
      </w:pPr>
      <w:r>
        <w:rPr>
          <w:b/>
          <w:i/>
          <w:sz w:val="24"/>
          <w:szCs w:val="24"/>
        </w:rPr>
        <w:t>Caregiver</w:t>
      </w:r>
      <w:r w:rsidRPr="0027364F">
        <w:rPr>
          <w:b/>
          <w:i/>
          <w:sz w:val="24"/>
          <w:szCs w:val="24"/>
        </w:rPr>
        <w:t xml:space="preserve"> Focus Groups.</w:t>
      </w:r>
      <w:r>
        <w:rPr>
          <w:sz w:val="24"/>
          <w:szCs w:val="24"/>
        </w:rPr>
        <w:t xml:space="preserve"> </w:t>
      </w:r>
      <w:r w:rsidR="00F71C9E" w:rsidRPr="00874435">
        <w:rPr>
          <w:sz w:val="24"/>
          <w:szCs w:val="24"/>
        </w:rPr>
        <w:t xml:space="preserve">After identifying appropriate potential caregiver respondents at treatment sites, we will invite a random sample to participate. Our preferred approach for </w:t>
      </w:r>
      <w:r w:rsidR="00FC1BF6">
        <w:rPr>
          <w:sz w:val="24"/>
          <w:szCs w:val="24"/>
        </w:rPr>
        <w:t>identifying</w:t>
      </w:r>
      <w:r w:rsidR="00FC1BF6" w:rsidRPr="00874435">
        <w:rPr>
          <w:sz w:val="24"/>
          <w:szCs w:val="24"/>
        </w:rPr>
        <w:t xml:space="preserve"> </w:t>
      </w:r>
      <w:r w:rsidR="00F71C9E" w:rsidRPr="00874435">
        <w:rPr>
          <w:sz w:val="24"/>
          <w:szCs w:val="24"/>
        </w:rPr>
        <w:t>caregivers is to use the PHL system. If the PHL data do not contain information on caregivers, we would ask the residents that we recruit for participating in the IWISH focus group at that property whether they would be willing to provide information on the focus group to their caregiver. We would then mail the resident the introductory letter to provide to their caregiver and interested caregivers would contact the study team. If neither of these options is successful, we would ask the RWD to identify caregivers who might be willing to participate. We plan to hold the caregiver focus groups toward the end of the data collection period so that we can build on what we learn from the earlier site visits and focus groups and design the best approach for recruiting caregivers.</w:t>
      </w:r>
    </w:p>
    <w:p w14:paraId="0408375B" w14:textId="0ED380C5" w:rsidR="00F71C9E" w:rsidRPr="00874435" w:rsidRDefault="00F71C9E" w:rsidP="00F71C9E">
      <w:pPr>
        <w:pStyle w:val="BodyText"/>
        <w:rPr>
          <w:sz w:val="24"/>
          <w:szCs w:val="24"/>
        </w:rPr>
      </w:pPr>
      <w:r w:rsidRPr="00874435">
        <w:rPr>
          <w:sz w:val="24"/>
          <w:szCs w:val="24"/>
        </w:rPr>
        <w:t>The target size for the caregiver focus group is 10 participants, though we expect that we may need to pick a sample of 20 caregivers for each focus group to allow for declines.</w:t>
      </w:r>
      <w:r w:rsidR="0027364F">
        <w:rPr>
          <w:sz w:val="24"/>
          <w:szCs w:val="24"/>
        </w:rPr>
        <w:t xml:space="preserve"> </w:t>
      </w:r>
      <w:r w:rsidR="00D86F8E">
        <w:rPr>
          <w:sz w:val="24"/>
          <w:szCs w:val="24"/>
        </w:rPr>
        <w:t xml:space="preserve">Focus groups with non-elderly, non-disabled adults typically range in size from 10 to 12 participants. </w:t>
      </w:r>
      <w:r w:rsidR="002D471D">
        <w:rPr>
          <w:sz w:val="24"/>
          <w:szCs w:val="24"/>
        </w:rPr>
        <w:t>The evaluation team</w:t>
      </w:r>
      <w:r w:rsidR="00D86F8E">
        <w:rPr>
          <w:sz w:val="24"/>
          <w:szCs w:val="24"/>
        </w:rPr>
        <w:t xml:space="preserve"> </w:t>
      </w:r>
      <w:r w:rsidR="0027364F">
        <w:rPr>
          <w:sz w:val="24"/>
          <w:szCs w:val="24"/>
        </w:rPr>
        <w:t>selected the lower end of this range because we anticipate that many of the caregivers may be older adults and may benefit from a smaller group size as discussed above.</w:t>
      </w:r>
      <w:r w:rsidRPr="00874435">
        <w:rPr>
          <w:sz w:val="24"/>
          <w:szCs w:val="24"/>
        </w:rPr>
        <w:t xml:space="preserve"> </w:t>
      </w:r>
    </w:p>
    <w:p w14:paraId="58C16109" w14:textId="6A255CB1" w:rsidR="00943FBF" w:rsidRDefault="00943FBF" w:rsidP="00F71C9E">
      <w:pPr>
        <w:pStyle w:val="BodyText"/>
        <w:rPr>
          <w:sz w:val="24"/>
          <w:szCs w:val="24"/>
        </w:rPr>
      </w:pPr>
      <w:r w:rsidRPr="00943FBF">
        <w:rPr>
          <w:b/>
          <w:i/>
          <w:sz w:val="24"/>
          <w:szCs w:val="24"/>
        </w:rPr>
        <w:t>Number of Focus Groups.</w:t>
      </w:r>
      <w:r>
        <w:rPr>
          <w:sz w:val="24"/>
          <w:szCs w:val="24"/>
        </w:rPr>
        <w:t xml:space="preserve"> </w:t>
      </w:r>
      <w:r w:rsidR="00C16E25" w:rsidRPr="00874435">
        <w:rPr>
          <w:sz w:val="24"/>
          <w:szCs w:val="24"/>
        </w:rPr>
        <w:t xml:space="preserve">The number of focus groups planned for this study was determined considering the total resources available for the study and the relative importance to the study’s research questions of the data that could be obtained from each focus group type. </w:t>
      </w:r>
      <w:r>
        <w:rPr>
          <w:sz w:val="24"/>
          <w:szCs w:val="24"/>
        </w:rPr>
        <w:t>Overall, b</w:t>
      </w:r>
      <w:r w:rsidR="00D86F8E">
        <w:rPr>
          <w:sz w:val="24"/>
          <w:szCs w:val="24"/>
        </w:rPr>
        <w:t xml:space="preserve">ased on Abt Associates’ experience conducting focus groups for other research studies, </w:t>
      </w:r>
      <w:r w:rsidR="002D471D">
        <w:rPr>
          <w:sz w:val="24"/>
          <w:szCs w:val="24"/>
        </w:rPr>
        <w:t xml:space="preserve">the evaluation team believes that </w:t>
      </w:r>
      <w:r w:rsidR="00D86F8E">
        <w:rPr>
          <w:sz w:val="24"/>
          <w:szCs w:val="24"/>
        </w:rPr>
        <w:t>24 focus groups</w:t>
      </w:r>
      <w:r>
        <w:rPr>
          <w:sz w:val="24"/>
          <w:szCs w:val="24"/>
        </w:rPr>
        <w:t xml:space="preserve"> </w:t>
      </w:r>
      <w:r w:rsidR="00322461">
        <w:rPr>
          <w:sz w:val="24"/>
          <w:szCs w:val="24"/>
        </w:rPr>
        <w:t xml:space="preserve">are </w:t>
      </w:r>
      <w:r w:rsidR="00D86F8E">
        <w:rPr>
          <w:sz w:val="24"/>
          <w:szCs w:val="24"/>
        </w:rPr>
        <w:t>sufficient to me</w:t>
      </w:r>
      <w:r w:rsidR="002D471D">
        <w:rPr>
          <w:sz w:val="24"/>
          <w:szCs w:val="24"/>
        </w:rPr>
        <w:t>et the goals of the focus group data collection</w:t>
      </w:r>
      <w:r w:rsidR="00D86F8E">
        <w:rPr>
          <w:sz w:val="24"/>
          <w:szCs w:val="24"/>
        </w:rPr>
        <w:t xml:space="preserve">, which </w:t>
      </w:r>
      <w:r w:rsidR="00322461">
        <w:rPr>
          <w:sz w:val="24"/>
          <w:szCs w:val="24"/>
        </w:rPr>
        <w:t>are</w:t>
      </w:r>
      <w:r w:rsidR="00D86F8E">
        <w:rPr>
          <w:sz w:val="24"/>
          <w:szCs w:val="24"/>
        </w:rPr>
        <w:t xml:space="preserve"> to provide information on the range of experiences of residents and their caregivers and to provide context for interpreting the study’s outcome and impact analysis.</w:t>
      </w:r>
      <w:r>
        <w:rPr>
          <w:sz w:val="24"/>
          <w:szCs w:val="24"/>
        </w:rPr>
        <w:t xml:space="preserve"> </w:t>
      </w:r>
    </w:p>
    <w:p w14:paraId="7C9227BC" w14:textId="13A5383E" w:rsidR="00943FBF" w:rsidRDefault="002D471D" w:rsidP="00F71C9E">
      <w:pPr>
        <w:pStyle w:val="BodyText"/>
        <w:rPr>
          <w:sz w:val="24"/>
          <w:szCs w:val="24"/>
        </w:rPr>
      </w:pPr>
      <w:r>
        <w:rPr>
          <w:sz w:val="24"/>
          <w:szCs w:val="24"/>
        </w:rPr>
        <w:t>The study design allocates t</w:t>
      </w:r>
      <w:r w:rsidR="00943FBF">
        <w:rPr>
          <w:sz w:val="24"/>
          <w:szCs w:val="24"/>
        </w:rPr>
        <w:t xml:space="preserve">he largest share of focus groups (12 of the 24) to </w:t>
      </w:r>
      <w:r>
        <w:rPr>
          <w:sz w:val="24"/>
          <w:szCs w:val="24"/>
        </w:rPr>
        <w:t xml:space="preserve">focus groups with </w:t>
      </w:r>
      <w:r w:rsidR="00943FBF">
        <w:rPr>
          <w:sz w:val="24"/>
          <w:szCs w:val="24"/>
        </w:rPr>
        <w:t>IWISH participants. This</w:t>
      </w:r>
      <w:r>
        <w:rPr>
          <w:sz w:val="24"/>
          <w:szCs w:val="24"/>
        </w:rPr>
        <w:t xml:space="preserve"> allocation</w:t>
      </w:r>
      <w:r w:rsidR="00943FBF">
        <w:rPr>
          <w:sz w:val="24"/>
          <w:szCs w:val="24"/>
        </w:rPr>
        <w:t xml:space="preserve"> reflects the importance</w:t>
      </w:r>
      <w:r>
        <w:rPr>
          <w:sz w:val="24"/>
          <w:szCs w:val="24"/>
        </w:rPr>
        <w:t xml:space="preserve"> to the process study</w:t>
      </w:r>
      <w:r w:rsidR="00943FBF">
        <w:rPr>
          <w:sz w:val="24"/>
          <w:szCs w:val="24"/>
        </w:rPr>
        <w:t xml:space="preserve"> of </w:t>
      </w:r>
      <w:r>
        <w:rPr>
          <w:sz w:val="24"/>
          <w:szCs w:val="24"/>
        </w:rPr>
        <w:t>exploring</w:t>
      </w:r>
      <w:r w:rsidR="00943FBF">
        <w:rPr>
          <w:sz w:val="24"/>
          <w:szCs w:val="24"/>
        </w:rPr>
        <w:t xml:space="preserve"> participants’ experiences with IWISH and </w:t>
      </w:r>
      <w:r>
        <w:rPr>
          <w:sz w:val="24"/>
          <w:szCs w:val="24"/>
        </w:rPr>
        <w:t>the study team’s</w:t>
      </w:r>
      <w:r w:rsidR="00943FBF">
        <w:rPr>
          <w:sz w:val="24"/>
          <w:szCs w:val="24"/>
        </w:rPr>
        <w:t xml:space="preserve"> expectation that IWISH participants will have diverse experiences with the program. We have allocated six of the 24 focus groups to residents of non-IWISH properties </w:t>
      </w:r>
      <w:r w:rsidR="00322461">
        <w:rPr>
          <w:sz w:val="24"/>
          <w:szCs w:val="24"/>
        </w:rPr>
        <w:t>because</w:t>
      </w:r>
      <w:r w:rsidR="00943FBF">
        <w:rPr>
          <w:sz w:val="24"/>
          <w:szCs w:val="24"/>
        </w:rPr>
        <w:t xml:space="preserve"> a secondary goal of the process study is to understand how the experiences of IWISH participants differ from those of residents of the non-IWISH control properties. Two other areas of interest for the process study that are less central to the main question of IWISH </w:t>
      </w:r>
      <w:r w:rsidR="00B22DFD">
        <w:rPr>
          <w:sz w:val="24"/>
          <w:szCs w:val="24"/>
        </w:rPr>
        <w:t xml:space="preserve">implementation </w:t>
      </w:r>
      <w:r w:rsidR="00943FBF">
        <w:rPr>
          <w:sz w:val="24"/>
          <w:szCs w:val="24"/>
        </w:rPr>
        <w:t xml:space="preserve"> are the experiences of IWISH participants</w:t>
      </w:r>
      <w:r w:rsidR="0084339A">
        <w:rPr>
          <w:sz w:val="24"/>
          <w:szCs w:val="24"/>
        </w:rPr>
        <w:t>’ caregivers</w:t>
      </w:r>
      <w:r w:rsidR="00943FBF">
        <w:rPr>
          <w:sz w:val="24"/>
          <w:szCs w:val="24"/>
        </w:rPr>
        <w:t xml:space="preserve"> and the reasons that some residents of IWISH properties chose not to participate in IWISH. We have allocated three focus groups to each of these populations. </w:t>
      </w:r>
    </w:p>
    <w:p w14:paraId="185F5FC6" w14:textId="25FF1927" w:rsidR="00C16E25" w:rsidRPr="00874435" w:rsidRDefault="00943FBF" w:rsidP="00F71C9E">
      <w:pPr>
        <w:pStyle w:val="BodyText"/>
        <w:rPr>
          <w:sz w:val="24"/>
          <w:szCs w:val="24"/>
        </w:rPr>
      </w:pPr>
      <w:r>
        <w:rPr>
          <w:sz w:val="24"/>
          <w:szCs w:val="24"/>
        </w:rPr>
        <w:t>The number of focus groups for each population type reflects the relative importance of that population</w:t>
      </w:r>
      <w:r w:rsidR="0084339A">
        <w:rPr>
          <w:sz w:val="24"/>
          <w:szCs w:val="24"/>
        </w:rPr>
        <w:t>’</w:t>
      </w:r>
      <w:r>
        <w:rPr>
          <w:sz w:val="24"/>
          <w:szCs w:val="24"/>
        </w:rPr>
        <w:t>s experiences to the process study’s research questions</w:t>
      </w:r>
      <w:r w:rsidR="00D86F8E">
        <w:rPr>
          <w:sz w:val="24"/>
          <w:szCs w:val="24"/>
        </w:rPr>
        <w:t xml:space="preserve"> </w:t>
      </w:r>
      <w:r>
        <w:rPr>
          <w:sz w:val="24"/>
          <w:szCs w:val="24"/>
        </w:rPr>
        <w:t xml:space="preserve">and the study team’s expectations for the diversity of views among each group based on the study team’s expertise in conducting similar qualitative research. The study also has a budget limitation on the total number of focus groups that can be conducted. </w:t>
      </w:r>
    </w:p>
    <w:p w14:paraId="1317E661" w14:textId="4735873C" w:rsidR="00294FBD" w:rsidRDefault="00294FBD" w:rsidP="00CC3675">
      <w:pPr>
        <w:pStyle w:val="NoSpacing"/>
        <w:ind w:left="360" w:hanging="360"/>
        <w:rPr>
          <w:b/>
          <w:sz w:val="24"/>
          <w:szCs w:val="24"/>
        </w:rPr>
      </w:pPr>
      <w:bookmarkStart w:id="19" w:name="_Toc511380156"/>
      <w:r w:rsidRPr="00294FBD">
        <w:rPr>
          <w:b/>
          <w:sz w:val="24"/>
          <w:szCs w:val="24"/>
        </w:rPr>
        <w:t>3.</w:t>
      </w:r>
      <w:r w:rsidR="00CC3675">
        <w:rPr>
          <w:b/>
          <w:sz w:val="24"/>
          <w:szCs w:val="24"/>
        </w:rPr>
        <w:tab/>
      </w:r>
      <w:r w:rsidRPr="00294FBD">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B91E242" w14:textId="77777777" w:rsidR="00CC3675" w:rsidRPr="00294FBD" w:rsidRDefault="00CC3675" w:rsidP="00CC3675">
      <w:pPr>
        <w:pStyle w:val="NoSpacing"/>
        <w:ind w:left="360" w:hanging="360"/>
        <w:rPr>
          <w:b/>
          <w:sz w:val="24"/>
          <w:szCs w:val="24"/>
        </w:rPr>
      </w:pPr>
    </w:p>
    <w:bookmarkEnd w:id="19"/>
    <w:p w14:paraId="660BBDC1" w14:textId="06098EE2" w:rsidR="003E4447" w:rsidRPr="00874435" w:rsidRDefault="003E4447" w:rsidP="003E4447">
      <w:pPr>
        <w:pStyle w:val="BodyText"/>
        <w:rPr>
          <w:sz w:val="24"/>
          <w:szCs w:val="24"/>
        </w:rPr>
      </w:pPr>
      <w:r w:rsidRPr="00874435">
        <w:rPr>
          <w:sz w:val="24"/>
          <w:szCs w:val="24"/>
        </w:rPr>
        <w:t xml:space="preserve">We expect </w:t>
      </w:r>
      <w:r w:rsidR="002551C3">
        <w:rPr>
          <w:sz w:val="24"/>
          <w:szCs w:val="24"/>
        </w:rPr>
        <w:t>a</w:t>
      </w:r>
      <w:r w:rsidR="0022432D">
        <w:rPr>
          <w:sz w:val="24"/>
          <w:szCs w:val="24"/>
        </w:rPr>
        <w:t xml:space="preserve"> 9</w:t>
      </w:r>
      <w:r w:rsidR="002551C3">
        <w:rPr>
          <w:sz w:val="24"/>
          <w:szCs w:val="24"/>
        </w:rPr>
        <w:t>5</w:t>
      </w:r>
      <w:r w:rsidR="0022432D">
        <w:rPr>
          <w:sz w:val="24"/>
          <w:szCs w:val="24"/>
        </w:rPr>
        <w:t xml:space="preserve"> percent</w:t>
      </w:r>
      <w:r w:rsidR="002551C3">
        <w:rPr>
          <w:sz w:val="24"/>
          <w:szCs w:val="24"/>
        </w:rPr>
        <w:t xml:space="preserve"> or better</w:t>
      </w:r>
      <w:r w:rsidRPr="00874435">
        <w:rPr>
          <w:sz w:val="24"/>
          <w:szCs w:val="24"/>
        </w:rPr>
        <w:t xml:space="preserve"> response rate from the staff at treatment and active control properties</w:t>
      </w:r>
      <w:r w:rsidR="0084339A">
        <w:rPr>
          <w:sz w:val="24"/>
          <w:szCs w:val="24"/>
        </w:rPr>
        <w:t>, because t</w:t>
      </w:r>
      <w:r w:rsidRPr="00874435">
        <w:rPr>
          <w:sz w:val="24"/>
          <w:szCs w:val="24"/>
        </w:rPr>
        <w:t>hese properties have entered into cooperative agreements with HUD that require their participation in evaluation activities.</w:t>
      </w:r>
    </w:p>
    <w:p w14:paraId="6B7B7206" w14:textId="28D27C85" w:rsidR="003E4447" w:rsidRPr="00874435" w:rsidRDefault="00367797" w:rsidP="003E4447">
      <w:pPr>
        <w:pStyle w:val="BodyText"/>
        <w:rPr>
          <w:sz w:val="24"/>
          <w:szCs w:val="24"/>
        </w:rPr>
      </w:pPr>
      <w:r>
        <w:rPr>
          <w:sz w:val="24"/>
          <w:szCs w:val="24"/>
        </w:rPr>
        <w:t>Based on past experience</w:t>
      </w:r>
      <w:r w:rsidR="008312FF">
        <w:rPr>
          <w:sz w:val="24"/>
          <w:szCs w:val="24"/>
        </w:rPr>
        <w:t xml:space="preserve"> and the focus group literature</w:t>
      </w:r>
      <w:r>
        <w:rPr>
          <w:sz w:val="24"/>
          <w:szCs w:val="24"/>
        </w:rPr>
        <w:t>, we</w:t>
      </w:r>
      <w:r w:rsidR="002551C3">
        <w:rPr>
          <w:sz w:val="24"/>
          <w:szCs w:val="24"/>
        </w:rPr>
        <w:t xml:space="preserve"> expect a somewhat lower response rate </w:t>
      </w:r>
      <w:r w:rsidR="002551C3" w:rsidRPr="00874435">
        <w:rPr>
          <w:sz w:val="24"/>
          <w:szCs w:val="24"/>
        </w:rPr>
        <w:t xml:space="preserve">from residents and caregivers invited to participate in </w:t>
      </w:r>
      <w:r w:rsidR="002551C3">
        <w:rPr>
          <w:sz w:val="24"/>
          <w:szCs w:val="24"/>
        </w:rPr>
        <w:t xml:space="preserve">the focus groups. The study team’s conservative estimate for the percentage of focus group participants who </w:t>
      </w:r>
      <w:r w:rsidR="0084339A">
        <w:rPr>
          <w:sz w:val="24"/>
          <w:szCs w:val="24"/>
        </w:rPr>
        <w:t xml:space="preserve">will </w:t>
      </w:r>
      <w:r w:rsidR="002551C3">
        <w:rPr>
          <w:sz w:val="24"/>
          <w:szCs w:val="24"/>
        </w:rPr>
        <w:t>pass the cognitive screen and agree to participate is 50 percent; of those, we anticipate that 80 percent will attend the focus group</w:t>
      </w:r>
      <w:r w:rsidR="008312FF">
        <w:rPr>
          <w:sz w:val="24"/>
          <w:szCs w:val="24"/>
        </w:rPr>
        <w:t xml:space="preserve">. </w:t>
      </w:r>
      <w:r w:rsidR="003E4447" w:rsidRPr="00874435">
        <w:rPr>
          <w:sz w:val="24"/>
          <w:szCs w:val="24"/>
        </w:rPr>
        <w:t>We expect that residents and caregivers will be motivated to participate in the focus groups to share their experiences</w:t>
      </w:r>
      <w:r w:rsidR="002551C3">
        <w:rPr>
          <w:sz w:val="24"/>
          <w:szCs w:val="24"/>
        </w:rPr>
        <w:t>, but that some will be apprehensive about participating in a group session and others will not pass the cognitive screen</w:t>
      </w:r>
      <w:r w:rsidR="003E4447" w:rsidRPr="00874435">
        <w:rPr>
          <w:sz w:val="24"/>
          <w:szCs w:val="24"/>
        </w:rPr>
        <w:t xml:space="preserve">. Abt staff will conduct outreach to residents via a combination of mail, phone, email, and will consult with RWD, service coordinator, and property manager to get their input on the outreach approach. We will allow residents to bring their caregivers to the resident focus group if they choose to, which may make some residents more willing to participate. </w:t>
      </w:r>
    </w:p>
    <w:p w14:paraId="79D23302" w14:textId="5C8261B0" w:rsidR="003E4447" w:rsidRPr="00874435" w:rsidRDefault="003E4447" w:rsidP="003E4447">
      <w:pPr>
        <w:pStyle w:val="BodyText"/>
        <w:rPr>
          <w:sz w:val="24"/>
          <w:szCs w:val="24"/>
        </w:rPr>
      </w:pPr>
      <w:r w:rsidRPr="00874435">
        <w:rPr>
          <w:sz w:val="24"/>
          <w:szCs w:val="24"/>
        </w:rPr>
        <w:t>All focus group participants</w:t>
      </w:r>
      <w:r w:rsidR="00110948" w:rsidRPr="00874435">
        <w:rPr>
          <w:rStyle w:val="FootnoteReference"/>
          <w:sz w:val="24"/>
          <w:szCs w:val="24"/>
        </w:rPr>
        <w:footnoteReference w:id="6"/>
      </w:r>
      <w:r w:rsidRPr="00874435">
        <w:rPr>
          <w:sz w:val="24"/>
          <w:szCs w:val="24"/>
        </w:rPr>
        <w:t xml:space="preserve"> will receive a $</w:t>
      </w:r>
      <w:r w:rsidR="001B059F" w:rsidRPr="00874435">
        <w:rPr>
          <w:sz w:val="24"/>
          <w:szCs w:val="24"/>
        </w:rPr>
        <w:t xml:space="preserve">40 </w:t>
      </w:r>
      <w:r w:rsidRPr="00874435">
        <w:rPr>
          <w:sz w:val="24"/>
          <w:szCs w:val="24"/>
        </w:rPr>
        <w:t>gift card. The incentive amount</w:t>
      </w:r>
      <w:r w:rsidR="003D5E4B" w:rsidRPr="00874435">
        <w:rPr>
          <w:sz w:val="24"/>
          <w:szCs w:val="24"/>
        </w:rPr>
        <w:t xml:space="preserve"> is consistent with</w:t>
      </w:r>
      <w:r w:rsidRPr="00874435">
        <w:rPr>
          <w:sz w:val="24"/>
          <w:szCs w:val="24"/>
        </w:rPr>
        <w:t xml:space="preserve"> other studies of comparable populations and burdens. </w:t>
      </w:r>
    </w:p>
    <w:p w14:paraId="6969ACA9" w14:textId="771EB0C2" w:rsidR="00294FBD" w:rsidRDefault="00294FBD" w:rsidP="00CC3675">
      <w:pPr>
        <w:pStyle w:val="NoSpacing"/>
        <w:ind w:left="360" w:hanging="360"/>
        <w:rPr>
          <w:b/>
          <w:sz w:val="24"/>
          <w:szCs w:val="24"/>
        </w:rPr>
      </w:pPr>
      <w:bookmarkStart w:id="20" w:name="_Toc511380157"/>
      <w:r w:rsidRPr="00294FBD">
        <w:rPr>
          <w:b/>
          <w:sz w:val="24"/>
          <w:szCs w:val="24"/>
        </w:rPr>
        <w:t>4.</w:t>
      </w:r>
      <w:r w:rsidR="00CC3675">
        <w:rPr>
          <w:b/>
          <w:sz w:val="24"/>
          <w:szCs w:val="24"/>
        </w:rPr>
        <w:tab/>
      </w:r>
      <w:r w:rsidRPr="00294FBD">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Pr>
          <w:b/>
          <w:sz w:val="24"/>
          <w:szCs w:val="24"/>
        </w:rPr>
        <w:t>s</w:t>
      </w:r>
      <w:r w:rsidRPr="00294FBD">
        <w:rPr>
          <w:b/>
          <w:sz w:val="24"/>
          <w:szCs w:val="24"/>
        </w:rPr>
        <w:t xml:space="preserve"> may be submitted for approval separately or in combination with the main collection of information.</w:t>
      </w:r>
    </w:p>
    <w:p w14:paraId="6F6FF411" w14:textId="77777777" w:rsidR="00CC3675" w:rsidRPr="00294FBD" w:rsidRDefault="00CC3675" w:rsidP="00CC3675">
      <w:pPr>
        <w:pStyle w:val="NoSpacing"/>
        <w:ind w:left="360" w:hanging="360"/>
        <w:rPr>
          <w:b/>
          <w:sz w:val="24"/>
          <w:szCs w:val="24"/>
        </w:rPr>
      </w:pPr>
    </w:p>
    <w:p w14:paraId="6BE84E27" w14:textId="51066FA5" w:rsidR="003E4447" w:rsidRPr="00876367" w:rsidRDefault="003E4447" w:rsidP="00876367">
      <w:pPr>
        <w:rPr>
          <w:b/>
          <w:sz w:val="24"/>
        </w:rPr>
      </w:pPr>
      <w:bookmarkStart w:id="21" w:name="_Toc511324035"/>
      <w:bookmarkStart w:id="22" w:name="_Toc511380158"/>
      <w:bookmarkEnd w:id="20"/>
      <w:r w:rsidRPr="00876367">
        <w:rPr>
          <w:b/>
          <w:sz w:val="24"/>
        </w:rPr>
        <w:t>Initial Questionnaire</w:t>
      </w:r>
      <w:bookmarkEnd w:id="21"/>
      <w:bookmarkEnd w:id="22"/>
    </w:p>
    <w:p w14:paraId="6ACBCB47" w14:textId="021DDAED" w:rsidR="003E4447" w:rsidRDefault="0022432D" w:rsidP="003E4447">
      <w:pPr>
        <w:pStyle w:val="BodyText"/>
        <w:rPr>
          <w:sz w:val="24"/>
          <w:szCs w:val="24"/>
        </w:rPr>
      </w:pPr>
      <w:r>
        <w:rPr>
          <w:sz w:val="24"/>
          <w:szCs w:val="24"/>
        </w:rPr>
        <w:t xml:space="preserve">We </w:t>
      </w:r>
      <w:r w:rsidR="003E4447" w:rsidRPr="00874435">
        <w:rPr>
          <w:sz w:val="24"/>
          <w:szCs w:val="24"/>
        </w:rPr>
        <w:t>pretest</w:t>
      </w:r>
      <w:r>
        <w:rPr>
          <w:sz w:val="24"/>
          <w:szCs w:val="24"/>
        </w:rPr>
        <w:t>ed</w:t>
      </w:r>
      <w:r w:rsidR="003E4447" w:rsidRPr="00874435">
        <w:rPr>
          <w:sz w:val="24"/>
          <w:szCs w:val="24"/>
        </w:rPr>
        <w:t xml:space="preserve"> the questionnaire with </w:t>
      </w:r>
      <w:r>
        <w:rPr>
          <w:sz w:val="24"/>
          <w:szCs w:val="24"/>
        </w:rPr>
        <w:t>three</w:t>
      </w:r>
      <w:r w:rsidR="003E4447" w:rsidRPr="00874435">
        <w:rPr>
          <w:sz w:val="24"/>
          <w:szCs w:val="24"/>
        </w:rPr>
        <w:t xml:space="preserve"> treatment properties and </w:t>
      </w:r>
      <w:r w:rsidR="00B22DFD">
        <w:rPr>
          <w:sz w:val="24"/>
          <w:szCs w:val="24"/>
        </w:rPr>
        <w:t>four</w:t>
      </w:r>
      <w:r w:rsidR="003E4447" w:rsidRPr="00874435">
        <w:rPr>
          <w:sz w:val="24"/>
          <w:szCs w:val="24"/>
        </w:rPr>
        <w:t xml:space="preserve"> active control properties in September 2018 </w:t>
      </w:r>
      <w:r>
        <w:rPr>
          <w:sz w:val="24"/>
          <w:szCs w:val="24"/>
        </w:rPr>
        <w:t>and plan to conduct another two pretests in early October 2018. We plan to s</w:t>
      </w:r>
      <w:r w:rsidR="003E4447" w:rsidRPr="00874435">
        <w:rPr>
          <w:sz w:val="24"/>
          <w:szCs w:val="24"/>
        </w:rPr>
        <w:t xml:space="preserve">pread the remaining interviews over October, November, and December. We plan to pretest the questionnaire </w:t>
      </w:r>
      <w:r>
        <w:rPr>
          <w:sz w:val="24"/>
          <w:szCs w:val="24"/>
        </w:rPr>
        <w:t xml:space="preserve">first </w:t>
      </w:r>
      <w:r w:rsidR="003E4447" w:rsidRPr="00874435">
        <w:rPr>
          <w:sz w:val="24"/>
          <w:szCs w:val="24"/>
        </w:rPr>
        <w:t>in paper form and then</w:t>
      </w:r>
      <w:r>
        <w:rPr>
          <w:sz w:val="24"/>
          <w:szCs w:val="24"/>
        </w:rPr>
        <w:t xml:space="preserve"> </w:t>
      </w:r>
      <w:r w:rsidR="00B22DFD">
        <w:rPr>
          <w:sz w:val="24"/>
          <w:szCs w:val="24"/>
        </w:rPr>
        <w:t xml:space="preserve">again </w:t>
      </w:r>
      <w:r>
        <w:rPr>
          <w:sz w:val="24"/>
          <w:szCs w:val="24"/>
        </w:rPr>
        <w:t>after programming it</w:t>
      </w:r>
      <w:r w:rsidR="003E4447" w:rsidRPr="00874435">
        <w:rPr>
          <w:sz w:val="24"/>
          <w:szCs w:val="24"/>
        </w:rPr>
        <w:t xml:space="preserve"> into </w:t>
      </w:r>
      <w:r w:rsidR="00DA191A">
        <w:rPr>
          <w:sz w:val="24"/>
          <w:szCs w:val="24"/>
        </w:rPr>
        <w:t>the</w:t>
      </w:r>
      <w:r w:rsidR="003E4447" w:rsidRPr="00874435">
        <w:rPr>
          <w:sz w:val="24"/>
          <w:szCs w:val="24"/>
        </w:rPr>
        <w:t xml:space="preserve"> online survey tool </w:t>
      </w:r>
      <w:r w:rsidRPr="008312FF">
        <w:rPr>
          <w:i/>
          <w:sz w:val="24"/>
          <w:szCs w:val="24"/>
        </w:rPr>
        <w:t>Confirmit</w:t>
      </w:r>
      <w:r w:rsidR="001D53CC">
        <w:rPr>
          <w:sz w:val="24"/>
          <w:szCs w:val="24"/>
        </w:rPr>
        <w:t>,</w:t>
      </w:r>
      <w:r w:rsidR="003E4447" w:rsidRPr="00874435">
        <w:rPr>
          <w:sz w:val="24"/>
          <w:szCs w:val="24"/>
        </w:rPr>
        <w:t xml:space="preserve"> once finalized and approved by OMB.</w:t>
      </w:r>
    </w:p>
    <w:p w14:paraId="275F2514" w14:textId="7C817B56" w:rsidR="0022432D" w:rsidRPr="00874435" w:rsidRDefault="0022432D" w:rsidP="003E4447">
      <w:pPr>
        <w:pStyle w:val="BodyText"/>
        <w:rPr>
          <w:sz w:val="24"/>
          <w:szCs w:val="24"/>
        </w:rPr>
      </w:pPr>
      <w:r>
        <w:rPr>
          <w:sz w:val="24"/>
          <w:szCs w:val="24"/>
        </w:rPr>
        <w:t xml:space="preserve">The </w:t>
      </w:r>
      <w:r w:rsidR="004337A6">
        <w:rPr>
          <w:sz w:val="24"/>
          <w:szCs w:val="24"/>
        </w:rPr>
        <w:t xml:space="preserve">respondents to the </w:t>
      </w:r>
      <w:r w:rsidR="00B22DFD">
        <w:rPr>
          <w:sz w:val="24"/>
          <w:szCs w:val="24"/>
        </w:rPr>
        <w:t>seven</w:t>
      </w:r>
      <w:r w:rsidR="004337A6">
        <w:rPr>
          <w:sz w:val="24"/>
          <w:szCs w:val="24"/>
        </w:rPr>
        <w:t xml:space="preserve"> pretest questionnaires unanimously said that the questions were clear and easy to follow. The</w:t>
      </w:r>
      <w:r w:rsidR="00C61138">
        <w:rPr>
          <w:sz w:val="24"/>
          <w:szCs w:val="24"/>
        </w:rPr>
        <w:t xml:space="preserve"> respondents said the</w:t>
      </w:r>
      <w:r w:rsidR="004337A6">
        <w:rPr>
          <w:sz w:val="24"/>
          <w:szCs w:val="24"/>
        </w:rPr>
        <w:t xml:space="preserve">y appreciated </w:t>
      </w:r>
      <w:r w:rsidR="00B22DFD">
        <w:rPr>
          <w:sz w:val="24"/>
          <w:szCs w:val="24"/>
        </w:rPr>
        <w:t xml:space="preserve">receiving </w:t>
      </w:r>
      <w:r w:rsidR="004337A6">
        <w:rPr>
          <w:sz w:val="24"/>
          <w:szCs w:val="24"/>
        </w:rPr>
        <w:t xml:space="preserve">the questions related to property staffing, programs, and partners in advance. The </w:t>
      </w:r>
      <w:r w:rsidR="00C61138">
        <w:rPr>
          <w:sz w:val="24"/>
          <w:szCs w:val="24"/>
        </w:rPr>
        <w:t xml:space="preserve">length of the </w:t>
      </w:r>
      <w:r w:rsidR="004337A6">
        <w:rPr>
          <w:sz w:val="24"/>
          <w:szCs w:val="24"/>
        </w:rPr>
        <w:t>pretest</w:t>
      </w:r>
      <w:r w:rsidR="00C61138">
        <w:rPr>
          <w:sz w:val="24"/>
          <w:szCs w:val="24"/>
        </w:rPr>
        <w:t xml:space="preserve"> interview</w:t>
      </w:r>
      <w:r w:rsidR="004337A6">
        <w:rPr>
          <w:sz w:val="24"/>
          <w:szCs w:val="24"/>
        </w:rPr>
        <w:t xml:space="preserve">s were consistent with the study team’s </w:t>
      </w:r>
      <w:r w:rsidR="00C61138">
        <w:rPr>
          <w:sz w:val="24"/>
          <w:szCs w:val="24"/>
        </w:rPr>
        <w:t>burden estimate of 45 minutes to an hour for the interview itself</w:t>
      </w:r>
      <w:r w:rsidR="004337A6">
        <w:rPr>
          <w:sz w:val="24"/>
          <w:szCs w:val="24"/>
        </w:rPr>
        <w:t xml:space="preserve">: </w:t>
      </w:r>
      <w:r w:rsidR="00B22DFD">
        <w:rPr>
          <w:sz w:val="24"/>
          <w:szCs w:val="24"/>
        </w:rPr>
        <w:t>four</w:t>
      </w:r>
      <w:r w:rsidR="004337A6">
        <w:rPr>
          <w:sz w:val="24"/>
          <w:szCs w:val="24"/>
        </w:rPr>
        <w:t xml:space="preserve"> of the </w:t>
      </w:r>
      <w:r w:rsidR="00B22DFD">
        <w:rPr>
          <w:sz w:val="24"/>
          <w:szCs w:val="24"/>
        </w:rPr>
        <w:t>seven</w:t>
      </w:r>
      <w:r w:rsidR="004337A6">
        <w:rPr>
          <w:sz w:val="24"/>
          <w:szCs w:val="24"/>
        </w:rPr>
        <w:t xml:space="preserve"> interviews lasted about 45 minutes, </w:t>
      </w:r>
      <w:r w:rsidR="00B22DFD">
        <w:rPr>
          <w:sz w:val="24"/>
          <w:szCs w:val="24"/>
        </w:rPr>
        <w:t>two</w:t>
      </w:r>
      <w:r w:rsidR="004337A6">
        <w:rPr>
          <w:sz w:val="24"/>
          <w:szCs w:val="24"/>
        </w:rPr>
        <w:t xml:space="preserve"> interview</w:t>
      </w:r>
      <w:r w:rsidR="00B22DFD">
        <w:rPr>
          <w:sz w:val="24"/>
          <w:szCs w:val="24"/>
        </w:rPr>
        <w:t>s</w:t>
      </w:r>
      <w:r w:rsidR="004337A6">
        <w:rPr>
          <w:sz w:val="24"/>
          <w:szCs w:val="24"/>
        </w:rPr>
        <w:t xml:space="preserve"> lasted about half an hour, and one interview lasted just over an hour.</w:t>
      </w:r>
      <w:r w:rsidR="00C61138">
        <w:rPr>
          <w:sz w:val="24"/>
          <w:szCs w:val="24"/>
        </w:rPr>
        <w:t xml:space="preserve"> The estimated </w:t>
      </w:r>
      <w:r w:rsidR="00C61138" w:rsidRPr="00874435">
        <w:rPr>
          <w:sz w:val="24"/>
          <w:szCs w:val="24"/>
        </w:rPr>
        <w:t>additional 30 minutes for scheduling and preparing for the questionnaire</w:t>
      </w:r>
      <w:r w:rsidR="00C61138">
        <w:rPr>
          <w:sz w:val="24"/>
          <w:szCs w:val="24"/>
        </w:rPr>
        <w:t xml:space="preserve"> was also consistent with the pretest findings.</w:t>
      </w:r>
    </w:p>
    <w:p w14:paraId="34DB90C6" w14:textId="1C0903ED" w:rsidR="003E4447" w:rsidRPr="00876367" w:rsidRDefault="008E150F" w:rsidP="00876367">
      <w:pPr>
        <w:rPr>
          <w:b/>
          <w:sz w:val="24"/>
        </w:rPr>
      </w:pPr>
      <w:r w:rsidRPr="00876367">
        <w:rPr>
          <w:b/>
          <w:sz w:val="24"/>
        </w:rPr>
        <w:t>Site Visits and Interviews</w:t>
      </w:r>
    </w:p>
    <w:p w14:paraId="76FB047B" w14:textId="69256262" w:rsidR="003E4447" w:rsidRPr="00874435" w:rsidRDefault="008E150F" w:rsidP="003E4447">
      <w:pPr>
        <w:pStyle w:val="BodyText"/>
        <w:rPr>
          <w:sz w:val="24"/>
          <w:szCs w:val="24"/>
        </w:rPr>
      </w:pPr>
      <w:r w:rsidRPr="00874435">
        <w:rPr>
          <w:sz w:val="24"/>
          <w:szCs w:val="24"/>
        </w:rPr>
        <w:t>We plan to conduct two site visits in March 2019 to test the procedures and approach. One of the site visits will be with a treatment property and one with an active control property. In addition, a</w:t>
      </w:r>
      <w:r w:rsidR="003E4447" w:rsidRPr="00874435">
        <w:rPr>
          <w:sz w:val="24"/>
          <w:szCs w:val="24"/>
        </w:rPr>
        <w:t>fter an initial round of interviews with active control sites, we will compare the interview summaries from the interviews conducted in person to those conducted by telephone to identify any differences in the completeness of the information or the perceived level of candor from respondents. If we find significant differences, we will develop a plan to address them.</w:t>
      </w:r>
    </w:p>
    <w:p w14:paraId="16E7CA63" w14:textId="3B523EC0" w:rsidR="003E4447" w:rsidRPr="00876367" w:rsidRDefault="003E4447" w:rsidP="00876367">
      <w:pPr>
        <w:rPr>
          <w:b/>
          <w:sz w:val="24"/>
        </w:rPr>
      </w:pPr>
      <w:bookmarkStart w:id="23" w:name="_Toc511324037"/>
      <w:bookmarkStart w:id="24" w:name="_Toc511380160"/>
      <w:r w:rsidRPr="00876367">
        <w:rPr>
          <w:b/>
          <w:sz w:val="24"/>
        </w:rPr>
        <w:t>Focus Groups</w:t>
      </w:r>
      <w:bookmarkEnd w:id="23"/>
      <w:bookmarkEnd w:id="24"/>
    </w:p>
    <w:p w14:paraId="7EE1B522" w14:textId="6E04423B" w:rsidR="003E4447" w:rsidRPr="00874435" w:rsidRDefault="003E4447" w:rsidP="003E4447">
      <w:pPr>
        <w:pStyle w:val="BodyText"/>
        <w:rPr>
          <w:sz w:val="24"/>
          <w:szCs w:val="24"/>
        </w:rPr>
      </w:pPr>
      <w:r w:rsidRPr="00874435">
        <w:rPr>
          <w:sz w:val="24"/>
          <w:szCs w:val="24"/>
        </w:rPr>
        <w:t>We plan to schedule two focus groups with IWISH participants in advance of the others so that they can serve as a test of the procedures and protocol. After these first two groups are complete, the site visit team will meet to debrief. Depending on what we learn, we may propose modifications to the facilitator guide or the recruitment process that could be applied to the other categories of focus groups as well as the remaining groups of IWISH respondents. HUD</w:t>
      </w:r>
      <w:r w:rsidR="00BE3D73" w:rsidRPr="00874435">
        <w:rPr>
          <w:sz w:val="24"/>
          <w:szCs w:val="24"/>
        </w:rPr>
        <w:t xml:space="preserve">’s Contracting Officer’s Representative </w:t>
      </w:r>
      <w:r w:rsidRPr="00874435">
        <w:rPr>
          <w:sz w:val="24"/>
          <w:szCs w:val="24"/>
        </w:rPr>
        <w:t>will participate in Abt’s debriefing meeting and will review any proposed modifications.</w:t>
      </w:r>
    </w:p>
    <w:p w14:paraId="0D81920A" w14:textId="7FD0A82B" w:rsidR="00294FBD" w:rsidRDefault="00294FBD" w:rsidP="00CC3675">
      <w:pPr>
        <w:pStyle w:val="NoSpacing"/>
        <w:ind w:left="360" w:hanging="360"/>
        <w:rPr>
          <w:b/>
          <w:sz w:val="24"/>
          <w:szCs w:val="24"/>
        </w:rPr>
      </w:pPr>
      <w:bookmarkStart w:id="25" w:name="_Toc511380161"/>
      <w:r w:rsidRPr="00294FBD">
        <w:rPr>
          <w:b/>
          <w:sz w:val="24"/>
          <w:szCs w:val="24"/>
        </w:rPr>
        <w:t>5.</w:t>
      </w:r>
      <w:r w:rsidR="00CC3675">
        <w:rPr>
          <w:b/>
          <w:sz w:val="24"/>
          <w:szCs w:val="24"/>
        </w:rPr>
        <w:tab/>
      </w:r>
      <w:r w:rsidRPr="00294FBD">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02D065AC" w14:textId="77777777" w:rsidR="00CC3675" w:rsidRPr="00294FBD" w:rsidRDefault="00CC3675" w:rsidP="00CC3675">
      <w:pPr>
        <w:pStyle w:val="NoSpacing"/>
        <w:ind w:left="360" w:hanging="360"/>
        <w:rPr>
          <w:b/>
          <w:sz w:val="24"/>
          <w:szCs w:val="24"/>
        </w:rPr>
      </w:pPr>
    </w:p>
    <w:bookmarkEnd w:id="25"/>
    <w:p w14:paraId="5FBAA345" w14:textId="0051F8F8" w:rsidR="003E4447" w:rsidRPr="00874435" w:rsidRDefault="003E4447" w:rsidP="003E4447">
      <w:pPr>
        <w:rPr>
          <w:sz w:val="24"/>
          <w:szCs w:val="24"/>
        </w:rPr>
      </w:pPr>
      <w:r w:rsidRPr="00874435">
        <w:rPr>
          <w:sz w:val="24"/>
          <w:szCs w:val="24"/>
        </w:rPr>
        <w:t xml:space="preserve">HUD has contracted with Abt Associates to conduct the data collection. The data collection procedures will be similar to those used in other studies conducted by Abt Associates. The HUD </w:t>
      </w:r>
      <w:r w:rsidR="00BE3D73" w:rsidRPr="00874435">
        <w:rPr>
          <w:sz w:val="24"/>
          <w:szCs w:val="24"/>
        </w:rPr>
        <w:t>Contracting Officer’s Representative (COR</w:t>
      </w:r>
      <w:r w:rsidRPr="00874435">
        <w:rPr>
          <w:sz w:val="24"/>
          <w:szCs w:val="24"/>
        </w:rPr>
        <w:t xml:space="preserve">) reviewed all the procedures and had them reviewed by other subject matter experts at HUD. If there are any questions about this submission, please call either the HUD </w:t>
      </w:r>
      <w:r w:rsidR="00BE3D73" w:rsidRPr="00874435">
        <w:rPr>
          <w:sz w:val="24"/>
          <w:szCs w:val="24"/>
        </w:rPr>
        <w:t>COR</w:t>
      </w:r>
      <w:r w:rsidRPr="00874435">
        <w:rPr>
          <w:sz w:val="24"/>
          <w:szCs w:val="24"/>
        </w:rPr>
        <w:t>, Leah Lozier (202-402-3013) or the Abt Associates co-Principal Investigators, Gretchen Locke (617-349-2373) and Sara Galantowicz (617-520-2510).</w:t>
      </w:r>
    </w:p>
    <w:p w14:paraId="1616764B" w14:textId="77777777" w:rsidR="003E4447" w:rsidRPr="00874435" w:rsidRDefault="003E4447" w:rsidP="003E4447">
      <w:pPr>
        <w:spacing w:after="0" w:line="240" w:lineRule="auto"/>
        <w:rPr>
          <w:sz w:val="24"/>
          <w:szCs w:val="24"/>
        </w:rPr>
      </w:pPr>
      <w:r w:rsidRPr="00874435">
        <w:rPr>
          <w:sz w:val="24"/>
          <w:szCs w:val="24"/>
        </w:rPr>
        <w:t>In addition, Abt Associates and HUD have established an Expert Panel to review the evaluation design, progress, and findings, to maximize the rigor of the evaluation and its value to multiple stakeholders. The full membership of the panel is presented in Part A of this ICR. The following panelists have focused on the statistical aspects of the study’s design:</w:t>
      </w:r>
    </w:p>
    <w:p w14:paraId="76C4E81F" w14:textId="77777777" w:rsidR="003E4447" w:rsidRPr="00874435" w:rsidRDefault="003E4447" w:rsidP="003E4447">
      <w:pPr>
        <w:spacing w:after="0" w:line="240" w:lineRule="auto"/>
        <w:rPr>
          <w:sz w:val="24"/>
          <w:szCs w:val="24"/>
        </w:rPr>
      </w:pPr>
    </w:p>
    <w:p w14:paraId="7B09D509" w14:textId="2527666C" w:rsidR="003E4447" w:rsidRPr="00874435" w:rsidRDefault="003E4447" w:rsidP="00D15A57">
      <w:pPr>
        <w:pStyle w:val="BodyText"/>
        <w:numPr>
          <w:ilvl w:val="0"/>
          <w:numId w:val="18"/>
        </w:numPr>
        <w:spacing w:after="0"/>
        <w:rPr>
          <w:sz w:val="24"/>
          <w:szCs w:val="24"/>
        </w:rPr>
      </w:pPr>
      <w:r w:rsidRPr="00874435">
        <w:rPr>
          <w:sz w:val="24"/>
          <w:szCs w:val="24"/>
        </w:rPr>
        <w:t>Partha Deb, PhD, Professor of Economics, Hunter College, City University of New York</w:t>
      </w:r>
      <w:r w:rsidR="00F764CC" w:rsidRPr="00874435">
        <w:rPr>
          <w:sz w:val="24"/>
          <w:szCs w:val="24"/>
        </w:rPr>
        <w:t>.</w:t>
      </w:r>
    </w:p>
    <w:p w14:paraId="433EAA23" w14:textId="5348A67A" w:rsidR="003E4447" w:rsidRPr="00874435" w:rsidRDefault="003E4447" w:rsidP="00D15A57">
      <w:pPr>
        <w:pStyle w:val="BodyText"/>
        <w:numPr>
          <w:ilvl w:val="0"/>
          <w:numId w:val="18"/>
        </w:numPr>
        <w:spacing w:after="0"/>
        <w:rPr>
          <w:sz w:val="24"/>
          <w:szCs w:val="24"/>
        </w:rPr>
      </w:pPr>
      <w:r w:rsidRPr="00874435">
        <w:rPr>
          <w:sz w:val="24"/>
          <w:szCs w:val="24"/>
        </w:rPr>
        <w:t>Kosuke Imai, PhD, Professor of Politics and Director of Program in Statistics and Machine Learning, Princeton University</w:t>
      </w:r>
      <w:r w:rsidR="00F764CC" w:rsidRPr="00874435">
        <w:rPr>
          <w:sz w:val="24"/>
          <w:szCs w:val="24"/>
        </w:rPr>
        <w:t>.</w:t>
      </w:r>
    </w:p>
    <w:p w14:paraId="5611E1E5" w14:textId="77777777" w:rsidR="003E4447" w:rsidRPr="00874435" w:rsidRDefault="003E4447" w:rsidP="003E4447">
      <w:pPr>
        <w:spacing w:after="0" w:line="240" w:lineRule="auto"/>
        <w:rPr>
          <w:sz w:val="24"/>
          <w:szCs w:val="24"/>
        </w:rPr>
      </w:pPr>
    </w:p>
    <w:p w14:paraId="33EED642" w14:textId="77777777" w:rsidR="003E4447" w:rsidRPr="00874435" w:rsidRDefault="003E4447" w:rsidP="00BE6E7F">
      <w:pPr>
        <w:pStyle w:val="BodyText"/>
        <w:rPr>
          <w:sz w:val="24"/>
          <w:szCs w:val="24"/>
        </w:rPr>
      </w:pPr>
    </w:p>
    <w:sectPr w:rsidR="003E4447" w:rsidRPr="00874435" w:rsidSect="00453FE3">
      <w:footerReference w:type="default" r:id="rId9"/>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B974B" w14:textId="77777777" w:rsidR="00D07EEC" w:rsidRDefault="00D07EEC" w:rsidP="00D979EA">
      <w:r>
        <w:separator/>
      </w:r>
    </w:p>
  </w:endnote>
  <w:endnote w:type="continuationSeparator" w:id="0">
    <w:p w14:paraId="5F37F2A5" w14:textId="77777777" w:rsidR="00D07EEC" w:rsidRDefault="00D07EEC" w:rsidP="00D979EA">
      <w:r>
        <w:continuationSeparator/>
      </w:r>
    </w:p>
  </w:endnote>
  <w:endnote w:type="continuationNotice" w:id="1">
    <w:p w14:paraId="509F21BC" w14:textId="77777777" w:rsidR="00D07EEC" w:rsidRDefault="00D07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597450"/>
      <w:docPartObj>
        <w:docPartGallery w:val="Page Numbers (Bottom of Page)"/>
        <w:docPartUnique/>
      </w:docPartObj>
    </w:sdtPr>
    <w:sdtEndPr/>
    <w:sdtContent>
      <w:sdt>
        <w:sdtPr>
          <w:id w:val="1728636285"/>
          <w:docPartObj>
            <w:docPartGallery w:val="Page Numbers (Top of Page)"/>
            <w:docPartUnique/>
          </w:docPartObj>
        </w:sdtPr>
        <w:sdtEndPr/>
        <w:sdtContent>
          <w:p w14:paraId="000DCA40" w14:textId="3E0771EE" w:rsidR="005671D9" w:rsidRDefault="005671D9">
            <w:pPr>
              <w:pStyle w:val="Footer"/>
              <w:jc w:val="center"/>
            </w:pPr>
            <w:r w:rsidRPr="005671D9">
              <w:rPr>
                <w:rFonts w:ascii="Times New Roman" w:hAnsi="Times New Roman"/>
                <w:color w:val="auto"/>
                <w:sz w:val="20"/>
              </w:rPr>
              <w:t xml:space="preserve">Page </w:t>
            </w:r>
            <w:r w:rsidRPr="005671D9">
              <w:rPr>
                <w:rFonts w:ascii="Times New Roman" w:hAnsi="Times New Roman"/>
                <w:b w:val="0"/>
                <w:bCs/>
                <w:color w:val="auto"/>
                <w:sz w:val="20"/>
              </w:rPr>
              <w:fldChar w:fldCharType="begin"/>
            </w:r>
            <w:r w:rsidRPr="005671D9">
              <w:rPr>
                <w:rFonts w:ascii="Times New Roman" w:hAnsi="Times New Roman"/>
                <w:bCs/>
                <w:color w:val="auto"/>
                <w:sz w:val="20"/>
              </w:rPr>
              <w:instrText xml:space="preserve"> PAGE </w:instrText>
            </w:r>
            <w:r w:rsidRPr="005671D9">
              <w:rPr>
                <w:rFonts w:ascii="Times New Roman" w:hAnsi="Times New Roman"/>
                <w:b w:val="0"/>
                <w:bCs/>
                <w:color w:val="auto"/>
                <w:sz w:val="20"/>
              </w:rPr>
              <w:fldChar w:fldCharType="separate"/>
            </w:r>
            <w:r w:rsidR="00D377F1">
              <w:rPr>
                <w:rFonts w:ascii="Times New Roman" w:hAnsi="Times New Roman"/>
                <w:bCs/>
                <w:noProof/>
                <w:color w:val="auto"/>
                <w:sz w:val="20"/>
              </w:rPr>
              <w:t>1</w:t>
            </w:r>
            <w:r w:rsidRPr="005671D9">
              <w:rPr>
                <w:rFonts w:ascii="Times New Roman" w:hAnsi="Times New Roman"/>
                <w:b w:val="0"/>
                <w:bCs/>
                <w:color w:val="auto"/>
                <w:sz w:val="20"/>
              </w:rPr>
              <w:fldChar w:fldCharType="end"/>
            </w:r>
            <w:r w:rsidRPr="005671D9">
              <w:rPr>
                <w:rFonts w:ascii="Times New Roman" w:hAnsi="Times New Roman"/>
                <w:color w:val="auto"/>
                <w:sz w:val="20"/>
              </w:rPr>
              <w:t xml:space="preserve"> of </w:t>
            </w:r>
            <w:r w:rsidRPr="005671D9">
              <w:rPr>
                <w:rFonts w:ascii="Times New Roman" w:hAnsi="Times New Roman"/>
                <w:b w:val="0"/>
                <w:bCs/>
                <w:color w:val="auto"/>
                <w:sz w:val="20"/>
              </w:rPr>
              <w:fldChar w:fldCharType="begin"/>
            </w:r>
            <w:r w:rsidRPr="005671D9">
              <w:rPr>
                <w:rFonts w:ascii="Times New Roman" w:hAnsi="Times New Roman"/>
                <w:bCs/>
                <w:color w:val="auto"/>
                <w:sz w:val="20"/>
              </w:rPr>
              <w:instrText xml:space="preserve"> NUMPAGES  </w:instrText>
            </w:r>
            <w:r w:rsidRPr="005671D9">
              <w:rPr>
                <w:rFonts w:ascii="Times New Roman" w:hAnsi="Times New Roman"/>
                <w:b w:val="0"/>
                <w:bCs/>
                <w:color w:val="auto"/>
                <w:sz w:val="20"/>
              </w:rPr>
              <w:fldChar w:fldCharType="separate"/>
            </w:r>
            <w:r w:rsidR="00D377F1">
              <w:rPr>
                <w:rFonts w:ascii="Times New Roman" w:hAnsi="Times New Roman"/>
                <w:bCs/>
                <w:noProof/>
                <w:color w:val="auto"/>
                <w:sz w:val="20"/>
              </w:rPr>
              <w:t>3</w:t>
            </w:r>
            <w:r w:rsidRPr="005671D9">
              <w:rPr>
                <w:rFonts w:ascii="Times New Roman" w:hAnsi="Times New Roman"/>
                <w:b w:val="0"/>
                <w:bCs/>
                <w:color w:val="auto"/>
                <w:sz w:val="20"/>
              </w:rPr>
              <w:fldChar w:fldCharType="end"/>
            </w:r>
          </w:p>
        </w:sdtContent>
      </w:sdt>
    </w:sdtContent>
  </w:sdt>
  <w:p w14:paraId="040B28E7" w14:textId="77777777" w:rsidR="005671D9" w:rsidRDefault="00567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1304C" w14:textId="77777777" w:rsidR="00D07EEC" w:rsidRDefault="00D07EEC" w:rsidP="00D979EA">
      <w:r>
        <w:separator/>
      </w:r>
    </w:p>
  </w:footnote>
  <w:footnote w:type="continuationSeparator" w:id="0">
    <w:p w14:paraId="0084D1C3" w14:textId="77777777" w:rsidR="00D07EEC" w:rsidRDefault="00D07EEC" w:rsidP="00D979EA">
      <w:r>
        <w:continuationSeparator/>
      </w:r>
    </w:p>
  </w:footnote>
  <w:footnote w:type="continuationNotice" w:id="1">
    <w:p w14:paraId="25E05156" w14:textId="77777777" w:rsidR="00D07EEC" w:rsidRDefault="00D07EEC">
      <w:pPr>
        <w:spacing w:after="0" w:line="240" w:lineRule="auto"/>
      </w:pPr>
    </w:p>
  </w:footnote>
  <w:footnote w:id="2">
    <w:p w14:paraId="24A7D7E6" w14:textId="0E4B12B6" w:rsidR="003E4761" w:rsidRDefault="003E4761">
      <w:pPr>
        <w:pStyle w:val="FootnoteText"/>
      </w:pPr>
      <w:r>
        <w:rPr>
          <w:rStyle w:val="FootnoteReference"/>
        </w:rPr>
        <w:footnoteRef/>
      </w:r>
      <w:r>
        <w:t xml:space="preserve"> </w:t>
      </w:r>
      <w:r w:rsidRPr="003E4761">
        <w:t>https://www.hud.gov/sites/documents/2015SSDEMO-NOFA.PDF</w:t>
      </w:r>
    </w:p>
  </w:footnote>
  <w:footnote w:id="3">
    <w:p w14:paraId="505D7701" w14:textId="77777777" w:rsidR="008312FF" w:rsidRDefault="008312FF" w:rsidP="008312FF">
      <w:pPr>
        <w:pStyle w:val="FootnoteText"/>
      </w:pPr>
      <w:r>
        <w:rPr>
          <w:rStyle w:val="FootnoteReference"/>
        </w:rPr>
        <w:footnoteRef/>
      </w:r>
      <w:r>
        <w:t xml:space="preserve"> </w:t>
      </w:r>
      <w:r>
        <w:tab/>
        <w:t>Based on the minimum effect sizes detectable 80 percent of the time when rejecting the null hypothesis at the 95 percent significance level (</w:t>
      </w:r>
      <w:r w:rsidRPr="00997204">
        <w:rPr>
          <w:i/>
        </w:rPr>
        <w:t>p</w:t>
      </w:r>
      <w:r>
        <w:t xml:space="preserve">&lt;0.05), and assuming an intra-cluster correlation of 0.01.  </w:t>
      </w:r>
    </w:p>
  </w:footnote>
  <w:footnote w:id="4">
    <w:p w14:paraId="3DDC17C3" w14:textId="065367F7" w:rsidR="00DA191A" w:rsidRDefault="00DA191A" w:rsidP="00DA191A">
      <w:pPr>
        <w:pStyle w:val="FootnoteText"/>
      </w:pPr>
      <w:r>
        <w:rPr>
          <w:rStyle w:val="FootnoteReference"/>
        </w:rPr>
        <w:footnoteRef/>
      </w:r>
      <w:r>
        <w:t xml:space="preserve"> </w:t>
      </w:r>
      <w:r>
        <w:tab/>
      </w:r>
      <w:r w:rsidRPr="0027364F">
        <w:t xml:space="preserve">Barrett, J., &amp; Kirk, S. (2000). Running focus groups with elderly and disabled elderly participants. </w:t>
      </w:r>
      <w:r w:rsidRPr="0027364F">
        <w:rPr>
          <w:i/>
        </w:rPr>
        <w:t xml:space="preserve">Applied Ergonomics, </w:t>
      </w:r>
      <w:r w:rsidRPr="0027364F">
        <w:t>31(6), 621-629</w:t>
      </w:r>
      <w:r>
        <w:t>.</w:t>
      </w:r>
    </w:p>
  </w:footnote>
  <w:footnote w:id="5">
    <w:p w14:paraId="4A3C0F7D" w14:textId="346661E4" w:rsidR="001E6152" w:rsidRDefault="001E6152">
      <w:pPr>
        <w:pStyle w:val="FootnoteText"/>
      </w:pPr>
      <w:r>
        <w:rPr>
          <w:rStyle w:val="FootnoteReference"/>
        </w:rPr>
        <w:footnoteRef/>
      </w:r>
      <w:r>
        <w:t xml:space="preserve"> </w:t>
      </w:r>
      <w:r w:rsidR="0027364F">
        <w:tab/>
      </w:r>
      <w:r w:rsidR="0027364F" w:rsidRPr="0027364F">
        <w:t xml:space="preserve">Beuscher, L., &amp; Grando, V. T. (2009). Challenges in Conducting Qualitative Research with Individuals with Dementia. </w:t>
      </w:r>
      <w:r w:rsidR="0027364F" w:rsidRPr="0027364F">
        <w:rPr>
          <w:i/>
        </w:rPr>
        <w:t>Research in Gerontological Nursing</w:t>
      </w:r>
      <w:r w:rsidR="0027364F">
        <w:t>, 2(1), 6-11.</w:t>
      </w:r>
    </w:p>
  </w:footnote>
  <w:footnote w:id="6">
    <w:p w14:paraId="6CABAC86" w14:textId="06A82CCF" w:rsidR="00874435" w:rsidRDefault="00874435">
      <w:pPr>
        <w:pStyle w:val="FootnoteText"/>
      </w:pPr>
      <w:r>
        <w:rPr>
          <w:rStyle w:val="FootnoteReference"/>
        </w:rPr>
        <w:footnoteRef/>
      </w:r>
      <w:r>
        <w:t xml:space="preserve"> </w:t>
      </w:r>
      <w:r>
        <w:tab/>
        <w:t>If a resident chooses to bring a caregiver to one of the resident focus groups, the resident will receive a gift card but not the caregiver. Caregivers who participate in the caregiver focus groups, where the caregiver is the target respondent, will receive a gift card.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4F7"/>
    <w:multiLevelType w:val="hybridMultilevel"/>
    <w:tmpl w:val="BD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94015"/>
    <w:multiLevelType w:val="hybridMultilevel"/>
    <w:tmpl w:val="28D2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41DA4"/>
    <w:multiLevelType w:val="hybridMultilevel"/>
    <w:tmpl w:val="9DEE1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7592C"/>
    <w:multiLevelType w:val="hybridMultilevel"/>
    <w:tmpl w:val="9A6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9CA5A22"/>
    <w:multiLevelType w:val="hybridMultilevel"/>
    <w:tmpl w:val="1224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16FBD"/>
    <w:multiLevelType w:val="hybridMultilevel"/>
    <w:tmpl w:val="EB7E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20545"/>
    <w:multiLevelType w:val="hybridMultilevel"/>
    <w:tmpl w:val="CAB8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E472F"/>
    <w:multiLevelType w:val="hybridMultilevel"/>
    <w:tmpl w:val="52D0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74010"/>
    <w:multiLevelType w:val="hybridMultilevel"/>
    <w:tmpl w:val="ADD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89483A18"/>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3FB36E8C"/>
    <w:multiLevelType w:val="hybridMultilevel"/>
    <w:tmpl w:val="7BA0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25A54"/>
    <w:multiLevelType w:val="hybridMultilevel"/>
    <w:tmpl w:val="A21A6898"/>
    <w:lvl w:ilvl="0" w:tplc="1DACB03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7F691D"/>
    <w:multiLevelType w:val="hybridMultilevel"/>
    <w:tmpl w:val="A1443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A7482"/>
    <w:multiLevelType w:val="hybridMultilevel"/>
    <w:tmpl w:val="FEF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6027A"/>
    <w:multiLevelType w:val="hybridMultilevel"/>
    <w:tmpl w:val="76EE1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17F89"/>
    <w:multiLevelType w:val="hybridMultilevel"/>
    <w:tmpl w:val="F7DC61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9092BDC"/>
    <w:multiLevelType w:val="hybridMultilevel"/>
    <w:tmpl w:val="8D72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2">
    <w:nsid w:val="7DEE6995"/>
    <w:multiLevelType w:val="hybridMultilevel"/>
    <w:tmpl w:val="1A7C7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21"/>
  </w:num>
  <w:num w:numId="4">
    <w:abstractNumId w:val="11"/>
  </w:num>
  <w:num w:numId="5">
    <w:abstractNumId w:val="23"/>
  </w:num>
  <w:num w:numId="6">
    <w:abstractNumId w:val="15"/>
  </w:num>
  <w:num w:numId="7">
    <w:abstractNumId w:val="2"/>
  </w:num>
  <w:num w:numId="8">
    <w:abstractNumId w:val="17"/>
  </w:num>
  <w:num w:numId="9">
    <w:abstractNumId w:val="10"/>
  </w:num>
  <w:num w:numId="10">
    <w:abstractNumId w:val="3"/>
  </w:num>
  <w:num w:numId="11">
    <w:abstractNumId w:val="6"/>
  </w:num>
  <w:num w:numId="12">
    <w:abstractNumId w:val="1"/>
  </w:num>
  <w:num w:numId="13">
    <w:abstractNumId w:val="13"/>
  </w:num>
  <w:num w:numId="14">
    <w:abstractNumId w:val="12"/>
  </w:num>
  <w:num w:numId="15">
    <w:abstractNumId w:val="9"/>
  </w:num>
  <w:num w:numId="16">
    <w:abstractNumId w:val="8"/>
  </w:num>
  <w:num w:numId="17">
    <w:abstractNumId w:val="18"/>
  </w:num>
  <w:num w:numId="18">
    <w:abstractNumId w:val="5"/>
  </w:num>
  <w:num w:numId="19">
    <w:abstractNumId w:val="14"/>
  </w:num>
  <w:num w:numId="20">
    <w:abstractNumId w:val="7"/>
  </w:num>
  <w:num w:numId="21">
    <w:abstractNumId w:val="20"/>
  </w:num>
  <w:num w:numId="22">
    <w:abstractNumId w:val="1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4577">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C81"/>
    <w:rsid w:val="00003A2C"/>
    <w:rsid w:val="00006B3A"/>
    <w:rsid w:val="000136F3"/>
    <w:rsid w:val="00016E17"/>
    <w:rsid w:val="00022121"/>
    <w:rsid w:val="0002216E"/>
    <w:rsid w:val="000326F4"/>
    <w:rsid w:val="00040E00"/>
    <w:rsid w:val="00046728"/>
    <w:rsid w:val="000525E0"/>
    <w:rsid w:val="00053EEF"/>
    <w:rsid w:val="000543DC"/>
    <w:rsid w:val="00055022"/>
    <w:rsid w:val="0005750B"/>
    <w:rsid w:val="0006045E"/>
    <w:rsid w:val="0006587B"/>
    <w:rsid w:val="00070322"/>
    <w:rsid w:val="00082D01"/>
    <w:rsid w:val="00087856"/>
    <w:rsid w:val="000902AA"/>
    <w:rsid w:val="00091C6A"/>
    <w:rsid w:val="00095D40"/>
    <w:rsid w:val="00097FF9"/>
    <w:rsid w:val="000A00A2"/>
    <w:rsid w:val="000A1C6D"/>
    <w:rsid w:val="000A7D69"/>
    <w:rsid w:val="000B232E"/>
    <w:rsid w:val="000B33D1"/>
    <w:rsid w:val="000C0A39"/>
    <w:rsid w:val="000C3040"/>
    <w:rsid w:val="000C7EC7"/>
    <w:rsid w:val="000D53F1"/>
    <w:rsid w:val="000D5777"/>
    <w:rsid w:val="000E6B75"/>
    <w:rsid w:val="000F53F4"/>
    <w:rsid w:val="00100C04"/>
    <w:rsid w:val="001034D7"/>
    <w:rsid w:val="00104F2A"/>
    <w:rsid w:val="00107A04"/>
    <w:rsid w:val="00110948"/>
    <w:rsid w:val="0011170B"/>
    <w:rsid w:val="001178CA"/>
    <w:rsid w:val="0012430B"/>
    <w:rsid w:val="00124739"/>
    <w:rsid w:val="001307A5"/>
    <w:rsid w:val="00132C6A"/>
    <w:rsid w:val="00133465"/>
    <w:rsid w:val="001459AE"/>
    <w:rsid w:val="00152153"/>
    <w:rsid w:val="00157E04"/>
    <w:rsid w:val="00160657"/>
    <w:rsid w:val="00160B87"/>
    <w:rsid w:val="00163EE5"/>
    <w:rsid w:val="001677DC"/>
    <w:rsid w:val="00172119"/>
    <w:rsid w:val="00176788"/>
    <w:rsid w:val="001767A7"/>
    <w:rsid w:val="00176B21"/>
    <w:rsid w:val="00183076"/>
    <w:rsid w:val="0018780F"/>
    <w:rsid w:val="001919C1"/>
    <w:rsid w:val="001A04CE"/>
    <w:rsid w:val="001A0E0A"/>
    <w:rsid w:val="001A23B5"/>
    <w:rsid w:val="001A403F"/>
    <w:rsid w:val="001A4633"/>
    <w:rsid w:val="001B059F"/>
    <w:rsid w:val="001B4509"/>
    <w:rsid w:val="001C0891"/>
    <w:rsid w:val="001C10AF"/>
    <w:rsid w:val="001D1CC0"/>
    <w:rsid w:val="001D4FDD"/>
    <w:rsid w:val="001D53CC"/>
    <w:rsid w:val="001E2CF1"/>
    <w:rsid w:val="001E6152"/>
    <w:rsid w:val="001F0C42"/>
    <w:rsid w:val="0020023E"/>
    <w:rsid w:val="00200E58"/>
    <w:rsid w:val="002064D3"/>
    <w:rsid w:val="002106BF"/>
    <w:rsid w:val="00215B56"/>
    <w:rsid w:val="002176B8"/>
    <w:rsid w:val="002216AD"/>
    <w:rsid w:val="00221D99"/>
    <w:rsid w:val="00223A9F"/>
    <w:rsid w:val="0022432D"/>
    <w:rsid w:val="0022674D"/>
    <w:rsid w:val="00227977"/>
    <w:rsid w:val="0023449A"/>
    <w:rsid w:val="00235F88"/>
    <w:rsid w:val="00242FAC"/>
    <w:rsid w:val="00243529"/>
    <w:rsid w:val="002529F9"/>
    <w:rsid w:val="002551C3"/>
    <w:rsid w:val="00255975"/>
    <w:rsid w:val="002702F7"/>
    <w:rsid w:val="0027364F"/>
    <w:rsid w:val="00273EAA"/>
    <w:rsid w:val="00276702"/>
    <w:rsid w:val="0028328D"/>
    <w:rsid w:val="002838F5"/>
    <w:rsid w:val="00285BB6"/>
    <w:rsid w:val="0029491C"/>
    <w:rsid w:val="00294FBD"/>
    <w:rsid w:val="002A133D"/>
    <w:rsid w:val="002A4078"/>
    <w:rsid w:val="002A490A"/>
    <w:rsid w:val="002A5CE0"/>
    <w:rsid w:val="002B2F3C"/>
    <w:rsid w:val="002C1F0A"/>
    <w:rsid w:val="002C32AB"/>
    <w:rsid w:val="002C41F9"/>
    <w:rsid w:val="002C4495"/>
    <w:rsid w:val="002C5AC8"/>
    <w:rsid w:val="002C76AB"/>
    <w:rsid w:val="002D4536"/>
    <w:rsid w:val="002D471D"/>
    <w:rsid w:val="002D5525"/>
    <w:rsid w:val="002F48C8"/>
    <w:rsid w:val="002F509F"/>
    <w:rsid w:val="002F55CE"/>
    <w:rsid w:val="002F6041"/>
    <w:rsid w:val="002F76F5"/>
    <w:rsid w:val="00305D06"/>
    <w:rsid w:val="00314A8A"/>
    <w:rsid w:val="00322156"/>
    <w:rsid w:val="00322461"/>
    <w:rsid w:val="00324EC2"/>
    <w:rsid w:val="003279F2"/>
    <w:rsid w:val="00333BD8"/>
    <w:rsid w:val="00342BA9"/>
    <w:rsid w:val="003455BC"/>
    <w:rsid w:val="00354503"/>
    <w:rsid w:val="003623F0"/>
    <w:rsid w:val="00367797"/>
    <w:rsid w:val="00370164"/>
    <w:rsid w:val="003711CD"/>
    <w:rsid w:val="00380DB1"/>
    <w:rsid w:val="00383BFC"/>
    <w:rsid w:val="00384611"/>
    <w:rsid w:val="00384CA0"/>
    <w:rsid w:val="003870BA"/>
    <w:rsid w:val="00395A89"/>
    <w:rsid w:val="003A2FA8"/>
    <w:rsid w:val="003A3403"/>
    <w:rsid w:val="003B4770"/>
    <w:rsid w:val="003C1A0D"/>
    <w:rsid w:val="003C20BF"/>
    <w:rsid w:val="003D5616"/>
    <w:rsid w:val="003D5E4B"/>
    <w:rsid w:val="003E4447"/>
    <w:rsid w:val="003E4761"/>
    <w:rsid w:val="003E666B"/>
    <w:rsid w:val="003F0DA5"/>
    <w:rsid w:val="003F2587"/>
    <w:rsid w:val="003F3E19"/>
    <w:rsid w:val="003F4A3E"/>
    <w:rsid w:val="003F54A6"/>
    <w:rsid w:val="004037E6"/>
    <w:rsid w:val="00423092"/>
    <w:rsid w:val="004253E8"/>
    <w:rsid w:val="00427EA9"/>
    <w:rsid w:val="004319BC"/>
    <w:rsid w:val="004337A6"/>
    <w:rsid w:val="004350B0"/>
    <w:rsid w:val="00435D89"/>
    <w:rsid w:val="00436CE5"/>
    <w:rsid w:val="00453FE3"/>
    <w:rsid w:val="004550D7"/>
    <w:rsid w:val="0045525C"/>
    <w:rsid w:val="00470AB4"/>
    <w:rsid w:val="00472E16"/>
    <w:rsid w:val="004734DF"/>
    <w:rsid w:val="0048351A"/>
    <w:rsid w:val="00486943"/>
    <w:rsid w:val="00495B91"/>
    <w:rsid w:val="004A2C0F"/>
    <w:rsid w:val="004A5408"/>
    <w:rsid w:val="004C13D3"/>
    <w:rsid w:val="004C18DF"/>
    <w:rsid w:val="004C29E5"/>
    <w:rsid w:val="004C2B46"/>
    <w:rsid w:val="004D4C6D"/>
    <w:rsid w:val="004E01A4"/>
    <w:rsid w:val="004E601A"/>
    <w:rsid w:val="004F6742"/>
    <w:rsid w:val="004F709B"/>
    <w:rsid w:val="004F71C9"/>
    <w:rsid w:val="00503049"/>
    <w:rsid w:val="00525A86"/>
    <w:rsid w:val="00534B03"/>
    <w:rsid w:val="00534C33"/>
    <w:rsid w:val="00535F01"/>
    <w:rsid w:val="00536DB4"/>
    <w:rsid w:val="0054025D"/>
    <w:rsid w:val="005402E5"/>
    <w:rsid w:val="00550BDF"/>
    <w:rsid w:val="0055123E"/>
    <w:rsid w:val="00560E38"/>
    <w:rsid w:val="00566736"/>
    <w:rsid w:val="005671D9"/>
    <w:rsid w:val="00574572"/>
    <w:rsid w:val="00580693"/>
    <w:rsid w:val="00583B22"/>
    <w:rsid w:val="00585CA4"/>
    <w:rsid w:val="00597948"/>
    <w:rsid w:val="005A1575"/>
    <w:rsid w:val="005A51BC"/>
    <w:rsid w:val="005B0A5F"/>
    <w:rsid w:val="005B0A6D"/>
    <w:rsid w:val="005B1AC5"/>
    <w:rsid w:val="005B6A25"/>
    <w:rsid w:val="005C4647"/>
    <w:rsid w:val="005D0A8A"/>
    <w:rsid w:val="005D4D35"/>
    <w:rsid w:val="005E0CF2"/>
    <w:rsid w:val="005E2AEA"/>
    <w:rsid w:val="005E6B70"/>
    <w:rsid w:val="0060750E"/>
    <w:rsid w:val="006122D8"/>
    <w:rsid w:val="0061247A"/>
    <w:rsid w:val="00615938"/>
    <w:rsid w:val="0063014E"/>
    <w:rsid w:val="0064364E"/>
    <w:rsid w:val="00644D0A"/>
    <w:rsid w:val="0065112D"/>
    <w:rsid w:val="00652BAB"/>
    <w:rsid w:val="0066134E"/>
    <w:rsid w:val="006814BB"/>
    <w:rsid w:val="006832B2"/>
    <w:rsid w:val="006840EB"/>
    <w:rsid w:val="0069342C"/>
    <w:rsid w:val="00695358"/>
    <w:rsid w:val="006A2A46"/>
    <w:rsid w:val="006A4C18"/>
    <w:rsid w:val="006A541C"/>
    <w:rsid w:val="006A5B3B"/>
    <w:rsid w:val="006B1DA6"/>
    <w:rsid w:val="006C5983"/>
    <w:rsid w:val="006C7A4C"/>
    <w:rsid w:val="006D406B"/>
    <w:rsid w:val="006E0A45"/>
    <w:rsid w:val="006E2B32"/>
    <w:rsid w:val="006E7163"/>
    <w:rsid w:val="006F2B34"/>
    <w:rsid w:val="006F4F7B"/>
    <w:rsid w:val="007057ED"/>
    <w:rsid w:val="0070672F"/>
    <w:rsid w:val="007105A6"/>
    <w:rsid w:val="00712D63"/>
    <w:rsid w:val="007131AC"/>
    <w:rsid w:val="00715417"/>
    <w:rsid w:val="00726DD4"/>
    <w:rsid w:val="00730F56"/>
    <w:rsid w:val="00744E2C"/>
    <w:rsid w:val="00752119"/>
    <w:rsid w:val="00754408"/>
    <w:rsid w:val="007631C7"/>
    <w:rsid w:val="00763CCC"/>
    <w:rsid w:val="00776C72"/>
    <w:rsid w:val="00780FDC"/>
    <w:rsid w:val="0078258F"/>
    <w:rsid w:val="007846BC"/>
    <w:rsid w:val="00794B6E"/>
    <w:rsid w:val="007969A4"/>
    <w:rsid w:val="007A0114"/>
    <w:rsid w:val="007B1321"/>
    <w:rsid w:val="007B1904"/>
    <w:rsid w:val="007C5A48"/>
    <w:rsid w:val="007D6370"/>
    <w:rsid w:val="007D78C5"/>
    <w:rsid w:val="007E092F"/>
    <w:rsid w:val="007E5EC0"/>
    <w:rsid w:val="007E78C1"/>
    <w:rsid w:val="0080098A"/>
    <w:rsid w:val="00801761"/>
    <w:rsid w:val="00801A17"/>
    <w:rsid w:val="008111EB"/>
    <w:rsid w:val="008130C9"/>
    <w:rsid w:val="00813D02"/>
    <w:rsid w:val="00814833"/>
    <w:rsid w:val="0082033D"/>
    <w:rsid w:val="008222AD"/>
    <w:rsid w:val="008274CB"/>
    <w:rsid w:val="0083104D"/>
    <w:rsid w:val="008312FF"/>
    <w:rsid w:val="008349AE"/>
    <w:rsid w:val="00836154"/>
    <w:rsid w:val="0084339A"/>
    <w:rsid w:val="00846D77"/>
    <w:rsid w:val="00847C9D"/>
    <w:rsid w:val="00852480"/>
    <w:rsid w:val="00856632"/>
    <w:rsid w:val="00867308"/>
    <w:rsid w:val="00871529"/>
    <w:rsid w:val="00874435"/>
    <w:rsid w:val="00876367"/>
    <w:rsid w:val="0089366F"/>
    <w:rsid w:val="008A19C6"/>
    <w:rsid w:val="008B0543"/>
    <w:rsid w:val="008C0888"/>
    <w:rsid w:val="008C276E"/>
    <w:rsid w:val="008C3505"/>
    <w:rsid w:val="008D30EA"/>
    <w:rsid w:val="008D49DB"/>
    <w:rsid w:val="008D55C8"/>
    <w:rsid w:val="008D741A"/>
    <w:rsid w:val="008E150F"/>
    <w:rsid w:val="008E20DE"/>
    <w:rsid w:val="008F1770"/>
    <w:rsid w:val="009013C5"/>
    <w:rsid w:val="00901CE7"/>
    <w:rsid w:val="009061A4"/>
    <w:rsid w:val="00912E02"/>
    <w:rsid w:val="00921204"/>
    <w:rsid w:val="009276D6"/>
    <w:rsid w:val="00942024"/>
    <w:rsid w:val="00943FBF"/>
    <w:rsid w:val="00944550"/>
    <w:rsid w:val="009550AD"/>
    <w:rsid w:val="009565D4"/>
    <w:rsid w:val="00967D7C"/>
    <w:rsid w:val="00977D73"/>
    <w:rsid w:val="00983015"/>
    <w:rsid w:val="00987C80"/>
    <w:rsid w:val="0099262A"/>
    <w:rsid w:val="009A05F3"/>
    <w:rsid w:val="009A6A10"/>
    <w:rsid w:val="009B3381"/>
    <w:rsid w:val="009B3D0C"/>
    <w:rsid w:val="009B56DA"/>
    <w:rsid w:val="009C4920"/>
    <w:rsid w:val="009C63D9"/>
    <w:rsid w:val="009D13BB"/>
    <w:rsid w:val="009D4C5D"/>
    <w:rsid w:val="009D50EB"/>
    <w:rsid w:val="009E32F5"/>
    <w:rsid w:val="009E6279"/>
    <w:rsid w:val="009F2649"/>
    <w:rsid w:val="009F704C"/>
    <w:rsid w:val="00A0215D"/>
    <w:rsid w:val="00A06666"/>
    <w:rsid w:val="00A105E0"/>
    <w:rsid w:val="00A16391"/>
    <w:rsid w:val="00A1781F"/>
    <w:rsid w:val="00A20F30"/>
    <w:rsid w:val="00A3018B"/>
    <w:rsid w:val="00A3128D"/>
    <w:rsid w:val="00A324EA"/>
    <w:rsid w:val="00A33A46"/>
    <w:rsid w:val="00A45B43"/>
    <w:rsid w:val="00A4794A"/>
    <w:rsid w:val="00A533DE"/>
    <w:rsid w:val="00A53E2B"/>
    <w:rsid w:val="00A57F92"/>
    <w:rsid w:val="00A617E2"/>
    <w:rsid w:val="00A638AE"/>
    <w:rsid w:val="00A817CE"/>
    <w:rsid w:val="00A928FA"/>
    <w:rsid w:val="00AA7B0B"/>
    <w:rsid w:val="00AB08F2"/>
    <w:rsid w:val="00AB32CF"/>
    <w:rsid w:val="00AC59EB"/>
    <w:rsid w:val="00AD1049"/>
    <w:rsid w:val="00AD2063"/>
    <w:rsid w:val="00AD2235"/>
    <w:rsid w:val="00AE5530"/>
    <w:rsid w:val="00B02599"/>
    <w:rsid w:val="00B06D96"/>
    <w:rsid w:val="00B10B41"/>
    <w:rsid w:val="00B11D09"/>
    <w:rsid w:val="00B14060"/>
    <w:rsid w:val="00B16B3C"/>
    <w:rsid w:val="00B22DFD"/>
    <w:rsid w:val="00B25EE3"/>
    <w:rsid w:val="00B269D4"/>
    <w:rsid w:val="00B3357C"/>
    <w:rsid w:val="00B33690"/>
    <w:rsid w:val="00B371B5"/>
    <w:rsid w:val="00B5109F"/>
    <w:rsid w:val="00B518F2"/>
    <w:rsid w:val="00B61C4A"/>
    <w:rsid w:val="00B61EC9"/>
    <w:rsid w:val="00B64FBB"/>
    <w:rsid w:val="00B6607E"/>
    <w:rsid w:val="00B66A37"/>
    <w:rsid w:val="00B679AD"/>
    <w:rsid w:val="00B7744A"/>
    <w:rsid w:val="00B82D4D"/>
    <w:rsid w:val="00B84101"/>
    <w:rsid w:val="00B87EE6"/>
    <w:rsid w:val="00B9260A"/>
    <w:rsid w:val="00B96ABD"/>
    <w:rsid w:val="00BB040D"/>
    <w:rsid w:val="00BE3D73"/>
    <w:rsid w:val="00BE6E7F"/>
    <w:rsid w:val="00BF18DC"/>
    <w:rsid w:val="00BF1C8B"/>
    <w:rsid w:val="00C04B4F"/>
    <w:rsid w:val="00C13DE2"/>
    <w:rsid w:val="00C14408"/>
    <w:rsid w:val="00C14776"/>
    <w:rsid w:val="00C154AF"/>
    <w:rsid w:val="00C15B2E"/>
    <w:rsid w:val="00C16E25"/>
    <w:rsid w:val="00C17F58"/>
    <w:rsid w:val="00C23692"/>
    <w:rsid w:val="00C279FE"/>
    <w:rsid w:val="00C307E7"/>
    <w:rsid w:val="00C33C5F"/>
    <w:rsid w:val="00C34A92"/>
    <w:rsid w:val="00C35829"/>
    <w:rsid w:val="00C36245"/>
    <w:rsid w:val="00C370A7"/>
    <w:rsid w:val="00C42997"/>
    <w:rsid w:val="00C57E90"/>
    <w:rsid w:val="00C61138"/>
    <w:rsid w:val="00C62F1C"/>
    <w:rsid w:val="00C6380F"/>
    <w:rsid w:val="00C744A3"/>
    <w:rsid w:val="00C81DB5"/>
    <w:rsid w:val="00C86738"/>
    <w:rsid w:val="00C900FF"/>
    <w:rsid w:val="00CA7457"/>
    <w:rsid w:val="00CA7FAD"/>
    <w:rsid w:val="00CB3FC8"/>
    <w:rsid w:val="00CB442A"/>
    <w:rsid w:val="00CB53DF"/>
    <w:rsid w:val="00CB70D9"/>
    <w:rsid w:val="00CC3675"/>
    <w:rsid w:val="00CD1665"/>
    <w:rsid w:val="00CD2213"/>
    <w:rsid w:val="00CD4B2E"/>
    <w:rsid w:val="00CD4DE4"/>
    <w:rsid w:val="00CD596A"/>
    <w:rsid w:val="00CD6527"/>
    <w:rsid w:val="00CD6B2B"/>
    <w:rsid w:val="00CD6B3F"/>
    <w:rsid w:val="00CF383B"/>
    <w:rsid w:val="00CF3CA4"/>
    <w:rsid w:val="00CF3E63"/>
    <w:rsid w:val="00CF561E"/>
    <w:rsid w:val="00D07EEC"/>
    <w:rsid w:val="00D143BA"/>
    <w:rsid w:val="00D15A57"/>
    <w:rsid w:val="00D20DD2"/>
    <w:rsid w:val="00D30CFC"/>
    <w:rsid w:val="00D34EEE"/>
    <w:rsid w:val="00D360CB"/>
    <w:rsid w:val="00D377F1"/>
    <w:rsid w:val="00D37BAF"/>
    <w:rsid w:val="00D43DD7"/>
    <w:rsid w:val="00D51B1E"/>
    <w:rsid w:val="00D77BA3"/>
    <w:rsid w:val="00D86F8E"/>
    <w:rsid w:val="00D9334E"/>
    <w:rsid w:val="00D96598"/>
    <w:rsid w:val="00D979EA"/>
    <w:rsid w:val="00DA02B9"/>
    <w:rsid w:val="00DA191A"/>
    <w:rsid w:val="00DA42EA"/>
    <w:rsid w:val="00DA64B4"/>
    <w:rsid w:val="00DA7FEA"/>
    <w:rsid w:val="00DB269B"/>
    <w:rsid w:val="00DC02B5"/>
    <w:rsid w:val="00DD15FC"/>
    <w:rsid w:val="00DD27D1"/>
    <w:rsid w:val="00DE221A"/>
    <w:rsid w:val="00DE223D"/>
    <w:rsid w:val="00DE2334"/>
    <w:rsid w:val="00DE4FD1"/>
    <w:rsid w:val="00DE5C1E"/>
    <w:rsid w:val="00DF68F0"/>
    <w:rsid w:val="00DF6CDE"/>
    <w:rsid w:val="00E0113D"/>
    <w:rsid w:val="00E039CB"/>
    <w:rsid w:val="00E06D05"/>
    <w:rsid w:val="00E1423B"/>
    <w:rsid w:val="00E317E1"/>
    <w:rsid w:val="00E31AF1"/>
    <w:rsid w:val="00E33231"/>
    <w:rsid w:val="00E36C9F"/>
    <w:rsid w:val="00E6186E"/>
    <w:rsid w:val="00E70952"/>
    <w:rsid w:val="00E7299E"/>
    <w:rsid w:val="00E72F03"/>
    <w:rsid w:val="00E7429A"/>
    <w:rsid w:val="00E75D89"/>
    <w:rsid w:val="00E81EBF"/>
    <w:rsid w:val="00E84434"/>
    <w:rsid w:val="00E90C44"/>
    <w:rsid w:val="00E921E2"/>
    <w:rsid w:val="00E95A95"/>
    <w:rsid w:val="00E977C6"/>
    <w:rsid w:val="00EA0512"/>
    <w:rsid w:val="00EB30F5"/>
    <w:rsid w:val="00EB5C8B"/>
    <w:rsid w:val="00EB6CC9"/>
    <w:rsid w:val="00EC2B77"/>
    <w:rsid w:val="00EC3CC1"/>
    <w:rsid w:val="00EC47CA"/>
    <w:rsid w:val="00ED107B"/>
    <w:rsid w:val="00ED263C"/>
    <w:rsid w:val="00ED2A92"/>
    <w:rsid w:val="00ED503D"/>
    <w:rsid w:val="00ED5C60"/>
    <w:rsid w:val="00EE11FD"/>
    <w:rsid w:val="00EE1D07"/>
    <w:rsid w:val="00EE7D39"/>
    <w:rsid w:val="00EF148A"/>
    <w:rsid w:val="00EF477F"/>
    <w:rsid w:val="00EF5468"/>
    <w:rsid w:val="00EF6B6C"/>
    <w:rsid w:val="00F02BB1"/>
    <w:rsid w:val="00F13235"/>
    <w:rsid w:val="00F1494E"/>
    <w:rsid w:val="00F23798"/>
    <w:rsid w:val="00F260AC"/>
    <w:rsid w:val="00F26DFB"/>
    <w:rsid w:val="00F27043"/>
    <w:rsid w:val="00F32C54"/>
    <w:rsid w:val="00F32E6E"/>
    <w:rsid w:val="00F33C16"/>
    <w:rsid w:val="00F4263A"/>
    <w:rsid w:val="00F47E96"/>
    <w:rsid w:val="00F50A3A"/>
    <w:rsid w:val="00F55BB9"/>
    <w:rsid w:val="00F56299"/>
    <w:rsid w:val="00F5781F"/>
    <w:rsid w:val="00F62A1E"/>
    <w:rsid w:val="00F64DB9"/>
    <w:rsid w:val="00F65513"/>
    <w:rsid w:val="00F71C9E"/>
    <w:rsid w:val="00F73014"/>
    <w:rsid w:val="00F764CC"/>
    <w:rsid w:val="00F8175F"/>
    <w:rsid w:val="00F84A6A"/>
    <w:rsid w:val="00F85399"/>
    <w:rsid w:val="00F93183"/>
    <w:rsid w:val="00F943A0"/>
    <w:rsid w:val="00FA035F"/>
    <w:rsid w:val="00FA686C"/>
    <w:rsid w:val="00FA6932"/>
    <w:rsid w:val="00FB3972"/>
    <w:rsid w:val="00FB676B"/>
    <w:rsid w:val="00FB70DE"/>
    <w:rsid w:val="00FC1BF6"/>
    <w:rsid w:val="00FC2BD1"/>
    <w:rsid w:val="00FC50D1"/>
    <w:rsid w:val="00FC66E4"/>
    <w:rsid w:val="00FD17C2"/>
    <w:rsid w:val="00FD595C"/>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1e1ff,#069,#bad1e8,#afd787,#cde6b4,#d1e8ba,#0000ac"/>
    </o:shapedefaults>
    <o:shapelayout v:ext="edit">
      <o:idmap v:ext="edit" data="1"/>
    </o:shapelayout>
  </w:shapeDefaults>
  <w:decimalSymbol w:val="."/>
  <w:listSeparator w:val=","/>
  <w14:docId w14:val="63A4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322156"/>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322156"/>
  </w:style>
  <w:style w:type="table" w:customStyle="1" w:styleId="ListTable31">
    <w:name w:val="List Table 31"/>
    <w:basedOn w:val="TableNormal"/>
    <w:uiPriority w:val="48"/>
    <w:rsid w:val="00A57F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D5C60"/>
    <w:pPr>
      <w:spacing w:after="200" w:line="276" w:lineRule="auto"/>
      <w:ind w:left="720"/>
      <w:contextualSpacing/>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A7FAD"/>
    <w:rPr>
      <w:rFonts w:ascii="Arial" w:hAnsi="Arial"/>
      <w:b/>
      <w:color w:val="595959" w:themeColor="text1" w:themeTint="A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Tahoma" w:hAnsi="Tahoma"/>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Tahoma" w:hAnsi="Tahoma"/>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322156"/>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rsid w:val="00322156"/>
  </w:style>
  <w:style w:type="table" w:customStyle="1" w:styleId="ListTable31">
    <w:name w:val="List Table 31"/>
    <w:basedOn w:val="TableNormal"/>
    <w:uiPriority w:val="48"/>
    <w:rsid w:val="00A57F9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ED5C60"/>
    <w:pPr>
      <w:spacing w:after="200" w:line="276" w:lineRule="auto"/>
      <w:ind w:left="720"/>
      <w:contextualSpacing/>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A7FAD"/>
    <w:rPr>
      <w:rFonts w:ascii="Arial" w:hAnsi="Arial"/>
      <w:b/>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208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64F07-4E76-4C57-8229-E6114EEB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34933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Jennifer Turnham</dc:creator>
  <cp:keywords>Single-Sided body Templates</cp:keywords>
  <cp:lastModifiedBy>SYSTEM</cp:lastModifiedBy>
  <cp:revision>2</cp:revision>
  <cp:lastPrinted>2018-10-02T16:56:00Z</cp:lastPrinted>
  <dcterms:created xsi:type="dcterms:W3CDTF">2018-11-02T16:24:00Z</dcterms:created>
  <dcterms:modified xsi:type="dcterms:W3CDTF">2018-11-02T16:24:00Z</dcterms:modified>
  <cp:category>Templates</cp:category>
</cp:coreProperties>
</file>