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33D47" w14:textId="774B1E17" w:rsidR="00772B1E" w:rsidRDefault="007F6C67" w:rsidP="007F6C67">
      <w:pPr>
        <w:jc w:val="center"/>
        <w:rPr>
          <w:b/>
        </w:rPr>
      </w:pPr>
      <w:bookmarkStart w:id="0" w:name="_GoBack"/>
      <w:bookmarkEnd w:id="0"/>
      <w:r w:rsidRPr="002A131A">
        <w:rPr>
          <w:b/>
        </w:rPr>
        <w:t xml:space="preserve">Supporting Statement </w:t>
      </w:r>
    </w:p>
    <w:p w14:paraId="737D7105" w14:textId="015B8F40" w:rsidR="007F6C67" w:rsidRDefault="007F6C67" w:rsidP="007F6C67">
      <w:pPr>
        <w:jc w:val="center"/>
        <w:rPr>
          <w:b/>
        </w:rPr>
      </w:pPr>
      <w:r>
        <w:rPr>
          <w:b/>
        </w:rPr>
        <w:t xml:space="preserve">Recordkeeping under Title VII, </w:t>
      </w:r>
      <w:r w:rsidRPr="002A131A">
        <w:rPr>
          <w:b/>
        </w:rPr>
        <w:t>ADA</w:t>
      </w:r>
      <w:r>
        <w:rPr>
          <w:b/>
        </w:rPr>
        <w:t>, and GINA</w:t>
      </w:r>
    </w:p>
    <w:p w14:paraId="2E65CE85" w14:textId="77777777" w:rsidR="007F6C67" w:rsidRDefault="007F6C67" w:rsidP="007F6C67">
      <w:pPr>
        <w:rPr>
          <w:b/>
        </w:rPr>
      </w:pPr>
    </w:p>
    <w:p w14:paraId="12B087FB" w14:textId="77777777" w:rsidR="007F6C67" w:rsidRDefault="007F6C67" w:rsidP="007F6C67">
      <w:pPr>
        <w:rPr>
          <w:b/>
        </w:rPr>
      </w:pPr>
    </w:p>
    <w:p w14:paraId="195D5C7C" w14:textId="77777777" w:rsidR="007F6C67" w:rsidRDefault="007F6C67" w:rsidP="007F6C67">
      <w:pPr>
        <w:numPr>
          <w:ilvl w:val="0"/>
          <w:numId w:val="9"/>
        </w:numPr>
        <w:rPr>
          <w:b/>
        </w:rPr>
      </w:pPr>
      <w:r>
        <w:rPr>
          <w:b/>
        </w:rPr>
        <w:t>Justification</w:t>
      </w:r>
    </w:p>
    <w:p w14:paraId="2DB1D2A5" w14:textId="77777777" w:rsidR="007F6C67" w:rsidRDefault="007F6C67" w:rsidP="007F6C67">
      <w:pPr>
        <w:ind w:left="720"/>
      </w:pPr>
    </w:p>
    <w:p w14:paraId="0478D754" w14:textId="77777777" w:rsidR="00697C5A" w:rsidRDefault="00697C5A" w:rsidP="007F6C67">
      <w:pPr>
        <w:numPr>
          <w:ilvl w:val="1"/>
          <w:numId w:val="9"/>
        </w:numPr>
      </w:pPr>
      <w:r w:rsidRPr="00F4252F">
        <w:rPr>
          <w:u w:val="single"/>
        </w:rPr>
        <w:t>Legal and administrative requirements</w:t>
      </w:r>
      <w:r>
        <w:t xml:space="preserve"> </w:t>
      </w:r>
    </w:p>
    <w:p w14:paraId="19EAD65D" w14:textId="04ADE2D8" w:rsidR="007F6C67" w:rsidRDefault="007F6C67" w:rsidP="00970A47">
      <w:pPr>
        <w:ind w:left="1800"/>
      </w:pPr>
      <w:r>
        <w:t xml:space="preserve">The Equal Employment Opportunity Commission (EEOC) enforces </w:t>
      </w:r>
      <w:r w:rsidR="00B369FF">
        <w:t xml:space="preserve">Title </w:t>
      </w:r>
      <w:r>
        <w:t xml:space="preserve">VII of the Civil Rights Act of 1964, as amended (Title VII), which prohibits discrimination against individuals on the basis of race, </w:t>
      </w:r>
      <w:r w:rsidR="00837232">
        <w:t xml:space="preserve">color, religion, </w:t>
      </w:r>
      <w:r>
        <w:t xml:space="preserve">sex, </w:t>
      </w:r>
      <w:r w:rsidR="00837232">
        <w:t xml:space="preserve">or </w:t>
      </w:r>
      <w:r>
        <w:t>national origin</w:t>
      </w:r>
      <w:r w:rsidR="00E95419">
        <w:t>;</w:t>
      </w:r>
      <w:r>
        <w:t xml:space="preserve"> </w:t>
      </w:r>
      <w:r w:rsidR="00B369FF">
        <w:t xml:space="preserve">Title </w:t>
      </w:r>
      <w:r>
        <w:t>I of the Americans with Disabilities Act (ADA), which prohibits discrimination against qualified individuals with disabilities</w:t>
      </w:r>
      <w:r w:rsidR="00E95419">
        <w:t>;</w:t>
      </w:r>
      <w:r>
        <w:t xml:space="preserve"> and </w:t>
      </w:r>
      <w:r w:rsidR="00B369FF">
        <w:t xml:space="preserve">Title </w:t>
      </w:r>
      <w:r>
        <w:t xml:space="preserve">II of the Genetic </w:t>
      </w:r>
      <w:r w:rsidRPr="00A03EB5">
        <w:t xml:space="preserve">Information </w:t>
      </w:r>
      <w:r>
        <w:t xml:space="preserve">Nondiscrimination Act of 2008 (GINA), which prohibits discrimination based on genetic information.  Section 709 of Title VII, 42 U.S.C. § 2000e-8, section 107(a) of ADA, 42 U.S.C. § 12117, and section 209 of GINA, 42 U.S.C. § 2000ff-6, authorize the EEOC to issue recordkeeping regulations that are deemed reasonable, necessary or appropriate to the enforcement of the Acts.  The Commission has issued recordkeeping regulations pursuant to those statutory sections which are found throughout 29 C.F.R. Part 1602.  </w:t>
      </w:r>
      <w:r w:rsidR="007A3B70">
        <w:t>The statutory language authorizing the recordkeeping is included at the end of this supporting statement</w:t>
      </w:r>
      <w:r>
        <w:t xml:space="preserve">.  </w:t>
      </w:r>
      <w:r w:rsidR="00DD64AE">
        <w:t>The recordkeeping requirements in Part 1602 cover all non-federal employers with 15 or more employees, as well as certain apprenticeship committees and labor unions (hereinafter referred to collectively as “employers” for ease of reference).</w:t>
      </w:r>
      <w:r>
        <w:t xml:space="preserve">  </w:t>
      </w:r>
      <w:r w:rsidR="00F503BB">
        <w:t>The recordkeeping requirements themselves do</w:t>
      </w:r>
      <w:r>
        <w:t xml:space="preserve"> not </w:t>
      </w:r>
      <w:r w:rsidR="00613730">
        <w:t xml:space="preserve">mandate </w:t>
      </w:r>
      <w:r>
        <w:t>the creation of any records</w:t>
      </w:r>
      <w:r w:rsidR="00F61A48">
        <w:t xml:space="preserve">.  </w:t>
      </w:r>
      <w:r w:rsidR="00513756">
        <w:t>However, they do require that all employment records a covered employer creates or uses in the course of business (including, for example:  personnel records such as hiring, promotion, demotion, transfer, termination, rates of pay, selection for training, or reasonable accommodation requests; apprenticeship records such as test papers, interview records, or reasonable accommodation requests; union records such as membership or referral records) must be preserved for the periods specified in Part 1602.</w:t>
      </w:r>
    </w:p>
    <w:p w14:paraId="612E8021" w14:textId="77777777" w:rsidR="007F6C67" w:rsidRDefault="007F6C67" w:rsidP="007F6C67">
      <w:pPr>
        <w:ind w:left="1080"/>
      </w:pPr>
    </w:p>
    <w:p w14:paraId="0619D4BA" w14:textId="77777777" w:rsidR="00697C5A" w:rsidRDefault="00697C5A" w:rsidP="00F61A48">
      <w:pPr>
        <w:numPr>
          <w:ilvl w:val="1"/>
          <w:numId w:val="9"/>
        </w:numPr>
      </w:pPr>
      <w:r w:rsidRPr="00F4252F">
        <w:rPr>
          <w:u w:val="single"/>
        </w:rPr>
        <w:t>Use of collected information</w:t>
      </w:r>
      <w:r>
        <w:t xml:space="preserve"> </w:t>
      </w:r>
    </w:p>
    <w:p w14:paraId="4FF663BB" w14:textId="00BBEEC2" w:rsidR="00F61A48" w:rsidRDefault="007F6C67" w:rsidP="00970A47">
      <w:pPr>
        <w:ind w:left="1800"/>
      </w:pPr>
      <w:r>
        <w:t xml:space="preserve">Recordkeeping is necessary to the enforcement of Title VII, ADA, and GINA.  </w:t>
      </w:r>
      <w:r w:rsidR="00D409AE">
        <w:t>After a charge</w:t>
      </w:r>
      <w:r w:rsidR="00801C60">
        <w:t xml:space="preserve"> of </w:t>
      </w:r>
      <w:r w:rsidR="002A210B">
        <w:t xml:space="preserve">unlawful </w:t>
      </w:r>
      <w:r w:rsidR="00801C60">
        <w:t>employment discrimination</w:t>
      </w:r>
      <w:r w:rsidR="00D409AE">
        <w:t xml:space="preserve"> is filed </w:t>
      </w:r>
      <w:r w:rsidR="002A210B">
        <w:t>with</w:t>
      </w:r>
      <w:r w:rsidR="003C0EDA">
        <w:t xml:space="preserve"> the</w:t>
      </w:r>
      <w:r w:rsidR="002A210B">
        <w:t xml:space="preserve"> EEOC by an employee or applicant </w:t>
      </w:r>
      <w:r w:rsidR="00801C60">
        <w:t xml:space="preserve">against an employer </w:t>
      </w:r>
      <w:r w:rsidR="00D409AE">
        <w:t xml:space="preserve">and served </w:t>
      </w:r>
      <w:r w:rsidR="002A210B">
        <w:t xml:space="preserve">by </w:t>
      </w:r>
      <w:r w:rsidR="003C0EDA">
        <w:t xml:space="preserve">the </w:t>
      </w:r>
      <w:r w:rsidR="002A210B">
        <w:t xml:space="preserve">EEOC </w:t>
      </w:r>
      <w:r w:rsidR="00D409AE">
        <w:t xml:space="preserve">on the </w:t>
      </w:r>
      <w:r w:rsidR="002A210B">
        <w:t>employer</w:t>
      </w:r>
      <w:r w:rsidR="00D409AE">
        <w:t xml:space="preserve">, the </w:t>
      </w:r>
      <w:r w:rsidR="002A210B">
        <w:t>employer</w:t>
      </w:r>
      <w:r w:rsidR="00D409AE">
        <w:t xml:space="preserve"> is often asked to submit a position statement.  The respondent </w:t>
      </w:r>
      <w:r w:rsidR="006F6CF8">
        <w:t xml:space="preserve">employer </w:t>
      </w:r>
      <w:r w:rsidR="00F61A48">
        <w:t>typically</w:t>
      </w:r>
      <w:r w:rsidR="00D409AE">
        <w:t xml:space="preserve"> use</w:t>
      </w:r>
      <w:r w:rsidR="00F61A48">
        <w:t>s</w:t>
      </w:r>
      <w:r w:rsidR="00D409AE">
        <w:t xml:space="preserve"> the preserved records to prepare its position statement and may attach relevant </w:t>
      </w:r>
      <w:r w:rsidR="00801C60">
        <w:t xml:space="preserve">retained </w:t>
      </w:r>
      <w:r w:rsidR="00D409AE">
        <w:t>records to document its defense</w:t>
      </w:r>
      <w:r w:rsidR="00E95419">
        <w:t xml:space="preserve"> to the allegations in the charge</w:t>
      </w:r>
      <w:r w:rsidR="00D409AE">
        <w:t xml:space="preserve">.  Sometimes </w:t>
      </w:r>
      <w:r w:rsidR="003C0EDA">
        <w:t xml:space="preserve">the </w:t>
      </w:r>
      <w:r w:rsidR="00D409AE">
        <w:t xml:space="preserve">EEOC will request additional documents relevant to the </w:t>
      </w:r>
      <w:r w:rsidR="00E95419">
        <w:t xml:space="preserve">matter </w:t>
      </w:r>
      <w:r>
        <w:t xml:space="preserve">during the investigation and conciliation of </w:t>
      </w:r>
      <w:r w:rsidR="002A210B">
        <w:t xml:space="preserve">the </w:t>
      </w:r>
      <w:r>
        <w:t xml:space="preserve">charge.  </w:t>
      </w:r>
      <w:r w:rsidR="003C0EDA">
        <w:t xml:space="preserve">The </w:t>
      </w:r>
      <w:r>
        <w:t xml:space="preserve">EEOC investigators review the records </w:t>
      </w:r>
      <w:r w:rsidR="002A210B">
        <w:t xml:space="preserve">proffered or requested </w:t>
      </w:r>
      <w:r>
        <w:t>(including records relating to the charging party and to other similarly</w:t>
      </w:r>
      <w:r w:rsidR="005215F7">
        <w:t>-</w:t>
      </w:r>
      <w:r>
        <w:t xml:space="preserve">situated employees or applicants) to help determine whether </w:t>
      </w:r>
      <w:r w:rsidR="002A210B">
        <w:lastRenderedPageBreak/>
        <w:t>reasonable cause</w:t>
      </w:r>
      <w:r>
        <w:t xml:space="preserve"> exists to </w:t>
      </w:r>
      <w:r w:rsidR="002A210B">
        <w:t>believe that</w:t>
      </w:r>
      <w:r>
        <w:t xml:space="preserve"> a charging party’s allegation of discrimination against </w:t>
      </w:r>
      <w:r w:rsidR="006F6CF8">
        <w:t xml:space="preserve">the respondent </w:t>
      </w:r>
      <w:r>
        <w:t>employer</w:t>
      </w:r>
      <w:r w:rsidR="002A210B">
        <w:t xml:space="preserve"> is true</w:t>
      </w:r>
      <w:r>
        <w:t>.</w:t>
      </w:r>
      <w:r w:rsidR="00572033">
        <w:t xml:space="preserve"> </w:t>
      </w:r>
      <w:r>
        <w:t xml:space="preserve"> In particular, the investigator reviews records to determine what exactly occurred and whether there is evidence that the action was taken for a prohibited reason or produced an adverse impact on members of a protected class.</w:t>
      </w:r>
    </w:p>
    <w:p w14:paraId="3A5CCC6F" w14:textId="77777777" w:rsidR="006F6CF8" w:rsidRDefault="006F6CF8" w:rsidP="00B260F9">
      <w:pPr>
        <w:ind w:left="1800"/>
      </w:pPr>
    </w:p>
    <w:p w14:paraId="151B8D74" w14:textId="2019D483" w:rsidR="007F6C67" w:rsidRDefault="007F6C67" w:rsidP="00B260F9">
      <w:pPr>
        <w:ind w:left="1800"/>
      </w:pPr>
      <w:r>
        <w:t xml:space="preserve">If the records </w:t>
      </w:r>
      <w:r w:rsidR="00F61A48">
        <w:t>a</w:t>
      </w:r>
      <w:r>
        <w:t xml:space="preserve">re not preserved, </w:t>
      </w:r>
      <w:r w:rsidR="006F6CF8">
        <w:t xml:space="preserve">an </w:t>
      </w:r>
      <w:r w:rsidR="002A210B">
        <w:t xml:space="preserve">employer may be </w:t>
      </w:r>
      <w:r w:rsidR="006F6CF8">
        <w:t>un</w:t>
      </w:r>
      <w:r w:rsidR="002A210B">
        <w:t>able to reconstruct what actually occurred and</w:t>
      </w:r>
      <w:r w:rsidR="006F6CF8">
        <w:t>, absent documentary evidence,</w:t>
      </w:r>
      <w:r w:rsidR="002A210B">
        <w:t xml:space="preserve"> may have difficulty </w:t>
      </w:r>
      <w:r w:rsidR="001E69D2">
        <w:t>refuting a charging party’s allegations during an EEOC investigation or subsequent court proceeding</w:t>
      </w:r>
      <w:r w:rsidR="002A210B">
        <w:t xml:space="preserve">.  In addition, </w:t>
      </w:r>
      <w:r w:rsidR="0007414C">
        <w:t xml:space="preserve">without access to these records </w:t>
      </w:r>
      <w:r w:rsidR="003C0EDA">
        <w:t xml:space="preserve">the </w:t>
      </w:r>
      <w:r>
        <w:t>EEOC’s ability to investigate, issue determinations, conciliate</w:t>
      </w:r>
      <w:r w:rsidR="00F61A48">
        <w:t>,</w:t>
      </w:r>
      <w:r>
        <w:t xml:space="preserve"> and litigate w</w:t>
      </w:r>
      <w:r w:rsidR="00F61A48">
        <w:t>ill</w:t>
      </w:r>
      <w:r>
        <w:t xml:space="preserve"> be unduly complicated, </w:t>
      </w:r>
      <w:r w:rsidR="005251F0">
        <w:t xml:space="preserve">made </w:t>
      </w:r>
      <w:r>
        <w:t>more costly</w:t>
      </w:r>
      <w:r w:rsidR="00697C5A">
        <w:t>,</w:t>
      </w:r>
      <w:r>
        <w:t xml:space="preserve"> and, in some cases, defeated.  </w:t>
      </w:r>
    </w:p>
    <w:p w14:paraId="5D0E476C" w14:textId="77777777" w:rsidR="007F6C67" w:rsidRDefault="007F6C67" w:rsidP="007F6C67"/>
    <w:p w14:paraId="4E1712EB" w14:textId="77777777" w:rsidR="00697C5A" w:rsidRDefault="00697C5A" w:rsidP="007F6C67">
      <w:pPr>
        <w:numPr>
          <w:ilvl w:val="1"/>
          <w:numId w:val="9"/>
        </w:numPr>
      </w:pPr>
      <w:r w:rsidRPr="00F4252F">
        <w:rPr>
          <w:u w:val="single"/>
        </w:rPr>
        <w:t>Use of information technology</w:t>
      </w:r>
      <w:r>
        <w:t xml:space="preserve"> </w:t>
      </w:r>
    </w:p>
    <w:p w14:paraId="07D6E17D" w14:textId="0C4F0247" w:rsidR="007F6C67" w:rsidRDefault="007F6C67" w:rsidP="00970A47">
      <w:pPr>
        <w:ind w:left="1800"/>
      </w:pPr>
      <w:r>
        <w:t xml:space="preserve">This collection of information does not involve the use of automated, electronic, mechanical, or other technological collection techniques or other forms of information technology, and the EEOC has not considered using information technology to reduce the burden because this is a recordkeeping requirement which does not require reporting or the creation of any records.  </w:t>
      </w:r>
      <w:r w:rsidR="00F61A48">
        <w:t>However, e</w:t>
      </w:r>
      <w:r>
        <w:t>mployers may create and retain records electronically</w:t>
      </w:r>
      <w:r w:rsidR="00F61A48">
        <w:t>,</w:t>
      </w:r>
      <w:r>
        <w:t xml:space="preserve"> and we assume that many employers do so to comply with this recordkeeping requirement.</w:t>
      </w:r>
      <w:r w:rsidR="00153228">
        <w:t xml:space="preserve"> </w:t>
      </w:r>
    </w:p>
    <w:p w14:paraId="5995376C" w14:textId="77777777" w:rsidR="007F6C67" w:rsidRDefault="007F6C67" w:rsidP="007F6C67"/>
    <w:p w14:paraId="0719F189" w14:textId="613DF7C6" w:rsidR="00697C5A" w:rsidRDefault="00697C5A" w:rsidP="007F6C67">
      <w:pPr>
        <w:numPr>
          <w:ilvl w:val="1"/>
          <w:numId w:val="9"/>
        </w:numPr>
      </w:pPr>
      <w:r w:rsidRPr="00F4252F">
        <w:rPr>
          <w:bCs/>
          <w:u w:val="single"/>
        </w:rPr>
        <w:t>Description of efforts to identify duplication</w:t>
      </w:r>
    </w:p>
    <w:p w14:paraId="4C7C2138" w14:textId="0BE85FEF" w:rsidR="007F6C67" w:rsidRDefault="005251F0" w:rsidP="00970A47">
      <w:pPr>
        <w:ind w:left="1800"/>
      </w:pPr>
      <w:r>
        <w:t xml:space="preserve">Other agencies may require entities they regulate to keep certain </w:t>
      </w:r>
      <w:r w:rsidR="00E60ABE">
        <w:t>types of records</w:t>
      </w:r>
      <w:r>
        <w:t xml:space="preserve"> related to their area</w:t>
      </w:r>
      <w:r w:rsidR="00E60ABE">
        <w:t>s</w:t>
      </w:r>
      <w:r>
        <w:t xml:space="preserve"> of regulation, e</w:t>
      </w:r>
      <w:r w:rsidR="00E60ABE">
        <w:t>.</w:t>
      </w:r>
      <w:r>
        <w:t>g., banking, pay, tax</w:t>
      </w:r>
      <w:r w:rsidR="005A5A05">
        <w:t>,</w:t>
      </w:r>
      <w:r w:rsidR="00E60ABE">
        <w:t xml:space="preserve"> or health records.</w:t>
      </w:r>
      <w:r w:rsidR="007B0F5C">
        <w:t xml:space="preserve"> </w:t>
      </w:r>
      <w:r w:rsidR="00E60ABE">
        <w:t xml:space="preserve"> </w:t>
      </w:r>
      <w:r w:rsidR="003C0EDA">
        <w:t xml:space="preserve">The </w:t>
      </w:r>
      <w:r w:rsidR="00427419">
        <w:t>EEOC is</w:t>
      </w:r>
      <w:r w:rsidR="00E60ABE">
        <w:t xml:space="preserve"> not aware of any other agency that </w:t>
      </w:r>
      <w:r w:rsidR="0077135E">
        <w:t>requires</w:t>
      </w:r>
      <w:r w:rsidR="00E60ABE">
        <w:t xml:space="preserve"> employers to </w:t>
      </w:r>
      <w:r w:rsidR="0077135E">
        <w:t>preserve</w:t>
      </w:r>
      <w:r w:rsidR="00E60ABE">
        <w:t xml:space="preserve"> all employment records.</w:t>
      </w:r>
      <w:r w:rsidR="0077135E">
        <w:t xml:space="preserve">  In the </w:t>
      </w:r>
      <w:r w:rsidR="00362256">
        <w:t xml:space="preserve">PRA </w:t>
      </w:r>
      <w:r w:rsidR="0077135E">
        <w:t>notices we publish every three years</w:t>
      </w:r>
      <w:r w:rsidR="00362256">
        <w:t xml:space="preserve"> in the Federal Register</w:t>
      </w:r>
      <w:r w:rsidR="0077135E">
        <w:t>, we invite the public to comment on the recordkeeping requirement</w:t>
      </w:r>
      <w:r w:rsidR="00F61A48">
        <w:t>,</w:t>
      </w:r>
      <w:r w:rsidR="0077135E">
        <w:t xml:space="preserve"> and we have never received any comment indicating that it duplicates another agency’s requirement.</w:t>
      </w:r>
      <w:r w:rsidR="00AC22AD">
        <w:t xml:space="preserve">  In addition</w:t>
      </w:r>
      <w:r w:rsidR="007B0F5C">
        <w:t>,</w:t>
      </w:r>
      <w:r w:rsidR="00AC22AD">
        <w:t xml:space="preserve"> no employer subject to these recordkeeping requirements has </w:t>
      </w:r>
      <w:r w:rsidR="00362256">
        <w:t xml:space="preserve">ever </w:t>
      </w:r>
      <w:r w:rsidR="009E44F6">
        <w:t xml:space="preserve">expressed </w:t>
      </w:r>
      <w:r w:rsidR="00AC22AD">
        <w:t>to EEOC that the recordkeeping requirement duplicates another agency’s requirement.</w:t>
      </w:r>
      <w:r w:rsidR="00B008F5">
        <w:t xml:space="preserve">   </w:t>
      </w:r>
    </w:p>
    <w:p w14:paraId="51134C44" w14:textId="77777777" w:rsidR="007F6C67" w:rsidRDefault="007F6C67" w:rsidP="007F6C67"/>
    <w:p w14:paraId="2DACBC99" w14:textId="021AF2F4" w:rsidR="00697C5A" w:rsidRDefault="00697C5A" w:rsidP="007F6C67">
      <w:pPr>
        <w:numPr>
          <w:ilvl w:val="1"/>
          <w:numId w:val="9"/>
        </w:numPr>
      </w:pPr>
      <w:r w:rsidRPr="00F4252F">
        <w:rPr>
          <w:u w:val="single"/>
        </w:rPr>
        <w:t>Impact on small business</w:t>
      </w:r>
    </w:p>
    <w:p w14:paraId="6C61AE42" w14:textId="3ABD3A7D" w:rsidR="007F6C67" w:rsidRDefault="007F6C67" w:rsidP="00970A47">
      <w:pPr>
        <w:ind w:left="1800"/>
      </w:pPr>
      <w:r>
        <w:t>Small businesses with 15 or more employees are subject to this recordkeeping requirement.  The burden on small businesses is minimal because, as discussed in item</w:t>
      </w:r>
      <w:r w:rsidR="00E60ABE">
        <w:t xml:space="preserve"> 1</w:t>
      </w:r>
      <w:r>
        <w:t xml:space="preserve"> above, employers must only preserve records that they </w:t>
      </w:r>
      <w:r w:rsidR="00E60ABE">
        <w:t xml:space="preserve">otherwise </w:t>
      </w:r>
      <w:r>
        <w:t xml:space="preserve">make or </w:t>
      </w:r>
      <w:r w:rsidR="00E60ABE">
        <w:t>use</w:t>
      </w:r>
      <w:r>
        <w:t xml:space="preserve"> in the course of their business.  The regulation does not require them to create any new records.  For these reasons, </w:t>
      </w:r>
      <w:r w:rsidR="003C0EDA">
        <w:t xml:space="preserve">the </w:t>
      </w:r>
      <w:r>
        <w:t xml:space="preserve">EEOC has not taken any additional steps to </w:t>
      </w:r>
      <w:r w:rsidR="009E44F6">
        <w:t xml:space="preserve">further </w:t>
      </w:r>
      <w:r>
        <w:t xml:space="preserve">minimize the </w:t>
      </w:r>
      <w:r w:rsidR="009E44F6">
        <w:t xml:space="preserve">already low </w:t>
      </w:r>
      <w:r>
        <w:t>burden on small businesses.</w:t>
      </w:r>
      <w:r w:rsidR="00B008F5">
        <w:t xml:space="preserve"> </w:t>
      </w:r>
    </w:p>
    <w:p w14:paraId="7A6706D8" w14:textId="77777777" w:rsidR="00DA4EAC" w:rsidRDefault="00DA4EAC" w:rsidP="00DA4EAC">
      <w:pPr>
        <w:tabs>
          <w:tab w:val="left" w:pos="2160"/>
        </w:tabs>
        <w:ind w:left="1800"/>
      </w:pPr>
    </w:p>
    <w:p w14:paraId="65DE26B3" w14:textId="584B9EE9" w:rsidR="00697C5A" w:rsidRDefault="00697C5A" w:rsidP="007F6C67">
      <w:pPr>
        <w:numPr>
          <w:ilvl w:val="1"/>
          <w:numId w:val="9"/>
        </w:numPr>
      </w:pPr>
      <w:r w:rsidRPr="00F4252F">
        <w:rPr>
          <w:u w:val="single"/>
        </w:rPr>
        <w:t>Consequences if information were collected less frequently</w:t>
      </w:r>
    </w:p>
    <w:p w14:paraId="5D7E89D3" w14:textId="085AFBB6" w:rsidR="00C73405" w:rsidRDefault="00DA4EAC" w:rsidP="00970A47">
      <w:pPr>
        <w:ind w:left="1800"/>
      </w:pPr>
      <w:r>
        <w:lastRenderedPageBreak/>
        <w:t xml:space="preserve">If the records required by the regulation to be preserved </w:t>
      </w:r>
      <w:r w:rsidR="009E44F6">
        <w:t xml:space="preserve">were </w:t>
      </w:r>
      <w:r>
        <w:t xml:space="preserve">not retained at all or </w:t>
      </w:r>
      <w:r w:rsidR="009E44F6">
        <w:t xml:space="preserve">were </w:t>
      </w:r>
      <w:r>
        <w:t>retained for a shorter period of time, the EEOC’s ability to investigate, issue determinations, conciliate</w:t>
      </w:r>
      <w:r w:rsidR="007B0F5C">
        <w:t>,</w:t>
      </w:r>
      <w:r>
        <w:t xml:space="preserve"> and litigate </w:t>
      </w:r>
      <w:r w:rsidR="009E44F6">
        <w:t xml:space="preserve">would </w:t>
      </w:r>
      <w:r>
        <w:t>be unduly complicated</w:t>
      </w:r>
      <w:r w:rsidR="00837232">
        <w:t>, made more costly,</w:t>
      </w:r>
      <w:r>
        <w:t xml:space="preserve"> and</w:t>
      </w:r>
      <w:r w:rsidR="00153228">
        <w:t>,</w:t>
      </w:r>
      <w:r>
        <w:t xml:space="preserve"> in some cases, defeated.  </w:t>
      </w:r>
      <w:r w:rsidR="00B008F5">
        <w:t>An individual</w:t>
      </w:r>
      <w:r>
        <w:t xml:space="preserve"> who wish</w:t>
      </w:r>
      <w:r w:rsidR="00B008F5">
        <w:t>es</w:t>
      </w:r>
      <w:r>
        <w:t xml:space="preserve"> to file a charge </w:t>
      </w:r>
      <w:r w:rsidR="00B008F5">
        <w:t xml:space="preserve">has </w:t>
      </w:r>
      <w:r>
        <w:t xml:space="preserve">up to 300 days from the date of the </w:t>
      </w:r>
      <w:r w:rsidR="009E44F6">
        <w:t xml:space="preserve">discriminatory conduct </w:t>
      </w:r>
      <w:r>
        <w:t>to do so; therefore, it is necessary for employers to retain pertinent records for a</w:t>
      </w:r>
      <w:r w:rsidR="006909CF">
        <w:t>t least one</w:t>
      </w:r>
      <w:r>
        <w:t xml:space="preserve"> year to ensure that they are not destroyed before a charging party files his/her charge.  </w:t>
      </w:r>
      <w:r w:rsidR="006909CF">
        <w:t xml:space="preserve">Further, retaining the records benefits employers because, as noted above in item 2, </w:t>
      </w:r>
      <w:r w:rsidR="00B008F5">
        <w:t xml:space="preserve">an </w:t>
      </w:r>
      <w:r w:rsidR="006909CF">
        <w:t xml:space="preserve">employer asked to respond to charges filed against </w:t>
      </w:r>
      <w:r w:rsidR="00B008F5">
        <w:t xml:space="preserve">it </w:t>
      </w:r>
      <w:r w:rsidR="009E44F6">
        <w:t xml:space="preserve">often </w:t>
      </w:r>
      <w:r w:rsidR="006909CF">
        <w:t>need</w:t>
      </w:r>
      <w:r w:rsidR="00B008F5">
        <w:t>s</w:t>
      </w:r>
      <w:r w:rsidR="006909CF">
        <w:t xml:space="preserve"> the records to prepare a position statement.  For these reasons, t</w:t>
      </w:r>
      <w:r w:rsidR="007F6C67">
        <w:t xml:space="preserve">he regulation requires employers to preserve employment records for </w:t>
      </w:r>
      <w:r w:rsidR="00C73405">
        <w:t xml:space="preserve">the following periods:  </w:t>
      </w:r>
    </w:p>
    <w:p w14:paraId="5A7A3925" w14:textId="77777777" w:rsidR="00C73405" w:rsidRDefault="00C73405" w:rsidP="00C73405"/>
    <w:p w14:paraId="1DEF23F3" w14:textId="77777777" w:rsidR="00A50EAC" w:rsidRDefault="00C73405" w:rsidP="00A50EAC">
      <w:pPr>
        <w:tabs>
          <w:tab w:val="left" w:pos="2160"/>
        </w:tabs>
        <w:ind w:left="2520"/>
      </w:pPr>
      <w:r>
        <w:t xml:space="preserve">Private </w:t>
      </w:r>
      <w:r w:rsidR="00A50EAC">
        <w:t>E</w:t>
      </w:r>
      <w:r>
        <w:t>mployers</w:t>
      </w:r>
      <w:r w:rsidR="00A50EAC">
        <w:t xml:space="preserve"> – </w:t>
      </w:r>
      <w:r w:rsidR="007F6C67">
        <w:t xml:space="preserve">one year </w:t>
      </w:r>
      <w:r w:rsidR="00A50EAC" w:rsidRPr="00A50EAC">
        <w:t>from the date of the making of the record or the personnel action involved</w:t>
      </w:r>
      <w:r w:rsidR="00A50EAC">
        <w:t xml:space="preserve">, </w:t>
      </w:r>
      <w:r w:rsidR="007F6C67">
        <w:t>but</w:t>
      </w:r>
      <w:r w:rsidR="00F61A48">
        <w:t>,</w:t>
      </w:r>
      <w:r w:rsidR="007F6C67">
        <w:t xml:space="preserve"> if a charge of discrimination </w:t>
      </w:r>
      <w:r w:rsidR="00B54601">
        <w:t>is</w:t>
      </w:r>
      <w:r w:rsidR="007F6C67">
        <w:t xml:space="preserve"> filed or an action </w:t>
      </w:r>
      <w:r w:rsidR="00B54601">
        <w:t xml:space="preserve">is </w:t>
      </w:r>
      <w:r w:rsidR="007F6C67">
        <w:t>brought by the Commission or Attorney General under Title VII, ADA</w:t>
      </w:r>
      <w:r w:rsidR="00F61A48">
        <w:t>,</w:t>
      </w:r>
      <w:r w:rsidR="007F6C67">
        <w:t xml:space="preserve"> or GINA, all employment records relevant to that charge or action must continue to be preserved until final disposition of the charge or action.  </w:t>
      </w:r>
    </w:p>
    <w:p w14:paraId="7A42DD24" w14:textId="77777777" w:rsidR="00A50EAC" w:rsidRDefault="00A50EAC" w:rsidP="00A50EAC">
      <w:pPr>
        <w:tabs>
          <w:tab w:val="left" w:pos="2160"/>
        </w:tabs>
        <w:ind w:left="2520"/>
      </w:pPr>
    </w:p>
    <w:p w14:paraId="722AB34C" w14:textId="77777777" w:rsidR="00A50EAC" w:rsidRDefault="00A50EAC" w:rsidP="00A50EAC">
      <w:pPr>
        <w:tabs>
          <w:tab w:val="left" w:pos="2160"/>
        </w:tabs>
        <w:ind w:left="2520"/>
      </w:pPr>
      <w:r>
        <w:t xml:space="preserve">Apprenticeship Committees – two </w:t>
      </w:r>
      <w:r w:rsidRPr="00A50EAC">
        <w:t xml:space="preserve">years from the date </w:t>
      </w:r>
      <w:r>
        <w:t>an</w:t>
      </w:r>
      <w:r w:rsidRPr="00A50EAC">
        <w:t xml:space="preserve"> application was received, except that where an annual </w:t>
      </w:r>
      <w:r>
        <w:t xml:space="preserve">statistical </w:t>
      </w:r>
      <w:r w:rsidRPr="00A50EAC">
        <w:t xml:space="preserve">report is required by the Commission, the person required to file the report shall preserve the list and forms for a period of </w:t>
      </w:r>
      <w:r>
        <w:t>two</w:t>
      </w:r>
      <w:r w:rsidRPr="00A50EAC">
        <w:t xml:space="preserve"> years or the period of a successful applicant's apprenticeship, whichever is longer. </w:t>
      </w:r>
      <w:r>
        <w:t xml:space="preserve"> </w:t>
      </w:r>
      <w:r w:rsidRPr="00A50EAC">
        <w:t>Persons required to file Report EEO–2</w:t>
      </w:r>
      <w:r>
        <w:t xml:space="preserve"> or similar reports</w:t>
      </w:r>
      <w:r w:rsidRPr="00A50EAC">
        <w:t xml:space="preserve">, shall preserve any other record made solely for the purpose of completing such reports for a period of </w:t>
      </w:r>
      <w:r>
        <w:t>one</w:t>
      </w:r>
      <w:r w:rsidRPr="00A50EAC">
        <w:t xml:space="preserve"> year from the due date thereof.</w:t>
      </w:r>
      <w:r>
        <w:t xml:space="preserve">  O</w:t>
      </w:r>
      <w:r w:rsidRPr="00A50EAC">
        <w:t xml:space="preserve">ther records relating to apprenticeship shall be </w:t>
      </w:r>
      <w:r w:rsidR="0079610D">
        <w:t>retained</w:t>
      </w:r>
      <w:r w:rsidRPr="00A50EAC">
        <w:t xml:space="preserve"> for a period of </w:t>
      </w:r>
      <w:r>
        <w:t>two</w:t>
      </w:r>
      <w:r w:rsidRPr="00A50EAC">
        <w:t xml:space="preserve"> years from the date of the making of the record</w:t>
      </w:r>
      <w:r>
        <w:t>, but</w:t>
      </w:r>
      <w:r w:rsidR="00B54601">
        <w:t>,</w:t>
      </w:r>
      <w:r>
        <w:t xml:space="preserve"> if a charge of discrimination </w:t>
      </w:r>
      <w:r w:rsidR="00B54601">
        <w:t>is</w:t>
      </w:r>
      <w:r>
        <w:t xml:space="preserve"> filed or an action </w:t>
      </w:r>
      <w:r w:rsidR="00B54601">
        <w:t xml:space="preserve">is </w:t>
      </w:r>
      <w:r>
        <w:t>brought by the Attorney General under Title VII, ADA</w:t>
      </w:r>
      <w:r w:rsidR="00F61A48">
        <w:t>,</w:t>
      </w:r>
      <w:r>
        <w:t xml:space="preserve"> or GINA, all employment records relevant to that charge or action must continue to be preserved until final disposition of the charge or action</w:t>
      </w:r>
      <w:r w:rsidRPr="00A50EAC">
        <w:t>.</w:t>
      </w:r>
    </w:p>
    <w:p w14:paraId="6B2D6950" w14:textId="77777777" w:rsidR="0079610D" w:rsidRDefault="0079610D" w:rsidP="00A50EAC">
      <w:pPr>
        <w:tabs>
          <w:tab w:val="left" w:pos="2160"/>
        </w:tabs>
        <w:ind w:left="2520"/>
      </w:pPr>
    </w:p>
    <w:p w14:paraId="482E01E5" w14:textId="77777777" w:rsidR="0079610D" w:rsidRDefault="0079610D" w:rsidP="00A50EAC">
      <w:pPr>
        <w:tabs>
          <w:tab w:val="left" w:pos="2160"/>
        </w:tabs>
        <w:ind w:left="2520"/>
      </w:pPr>
      <w:r>
        <w:t xml:space="preserve">Labor Unions – </w:t>
      </w:r>
      <w:r w:rsidRPr="0079610D">
        <w:t xml:space="preserve">records made solely for the purpose of completing Report EEO–3 shall be preserved for a period of </w:t>
      </w:r>
      <w:r>
        <w:t>one</w:t>
      </w:r>
      <w:r w:rsidRPr="0079610D">
        <w:t xml:space="preserve"> year from the due date of the report. </w:t>
      </w:r>
      <w:r>
        <w:t xml:space="preserve"> O</w:t>
      </w:r>
      <w:r w:rsidRPr="0079610D">
        <w:t xml:space="preserve">ther membership or referral records (including applications for same) </w:t>
      </w:r>
      <w:r>
        <w:t xml:space="preserve">shall be retained </w:t>
      </w:r>
      <w:r w:rsidRPr="0079610D">
        <w:t xml:space="preserve">for a period of </w:t>
      </w:r>
      <w:r>
        <w:t>one</w:t>
      </w:r>
      <w:r w:rsidRPr="0079610D">
        <w:t xml:space="preserve"> year from the date of the making of the record</w:t>
      </w:r>
      <w:r>
        <w:t>,</w:t>
      </w:r>
      <w:r w:rsidRPr="0079610D">
        <w:t xml:space="preserve"> </w:t>
      </w:r>
      <w:r>
        <w:t>but</w:t>
      </w:r>
      <w:r w:rsidR="00B54601">
        <w:t>,</w:t>
      </w:r>
      <w:r>
        <w:t xml:space="preserve"> if a charge of discrimination </w:t>
      </w:r>
      <w:r w:rsidR="00B54601">
        <w:t>is</w:t>
      </w:r>
      <w:r>
        <w:t xml:space="preserve"> filed or an action </w:t>
      </w:r>
      <w:r w:rsidR="00B54601">
        <w:t xml:space="preserve">is </w:t>
      </w:r>
      <w:r>
        <w:t>brought by the Commission or Attorney General under Title VII, ADA</w:t>
      </w:r>
      <w:r w:rsidR="00F61A48">
        <w:t>,</w:t>
      </w:r>
      <w:r>
        <w:t xml:space="preserve"> or GINA, all employment records relevant to that charge or action must continue to be preserved until final disposition of the charge or action.</w:t>
      </w:r>
    </w:p>
    <w:p w14:paraId="280B9452" w14:textId="77777777" w:rsidR="0079610D" w:rsidRDefault="0079610D" w:rsidP="00A50EAC">
      <w:pPr>
        <w:tabs>
          <w:tab w:val="left" w:pos="2160"/>
        </w:tabs>
        <w:ind w:left="2520"/>
      </w:pPr>
    </w:p>
    <w:p w14:paraId="5F45D75E" w14:textId="77777777" w:rsidR="0079610D" w:rsidRDefault="0079610D" w:rsidP="00A50EAC">
      <w:pPr>
        <w:tabs>
          <w:tab w:val="left" w:pos="2160"/>
        </w:tabs>
        <w:ind w:left="2520"/>
      </w:pPr>
      <w:r>
        <w:t>State and Local Governments – t</w:t>
      </w:r>
      <w:r w:rsidRPr="00A50EAC">
        <w:t>wo years from the date of the making of the record or the personnel action involved</w:t>
      </w:r>
      <w:r>
        <w:t>, but</w:t>
      </w:r>
      <w:r w:rsidR="00B54601">
        <w:t>,</w:t>
      </w:r>
      <w:r>
        <w:t xml:space="preserve"> if</w:t>
      </w:r>
      <w:r w:rsidRPr="00A50EAC">
        <w:t xml:space="preserve"> a charge of discrimination </w:t>
      </w:r>
      <w:r w:rsidR="00B54601">
        <w:t>is</w:t>
      </w:r>
      <w:r w:rsidRPr="00A50EAC">
        <w:t xml:space="preserve"> filed </w:t>
      </w:r>
      <w:r>
        <w:t xml:space="preserve">or an action </w:t>
      </w:r>
      <w:r w:rsidR="00B54601">
        <w:t xml:space="preserve">is </w:t>
      </w:r>
      <w:r>
        <w:t>brought by the Attorney General</w:t>
      </w:r>
      <w:r w:rsidRPr="00A50EAC">
        <w:t>, all personnel records relevant to th</w:t>
      </w:r>
      <w:r>
        <w:t>at</w:t>
      </w:r>
      <w:r w:rsidRPr="00A50EAC">
        <w:t xml:space="preserve"> charge or action </w:t>
      </w:r>
      <w:r>
        <w:t xml:space="preserve">must be preserved </w:t>
      </w:r>
      <w:r w:rsidRPr="00A50EAC">
        <w:t xml:space="preserve">until final disposition </w:t>
      </w:r>
      <w:r>
        <w:t>of the charge or action.</w:t>
      </w:r>
    </w:p>
    <w:p w14:paraId="1564193A" w14:textId="77777777" w:rsidR="00A50EAC" w:rsidRDefault="00A50EAC" w:rsidP="00A50EAC">
      <w:pPr>
        <w:tabs>
          <w:tab w:val="left" w:pos="2160"/>
        </w:tabs>
        <w:ind w:left="2520"/>
      </w:pPr>
    </w:p>
    <w:p w14:paraId="3C288503" w14:textId="77777777" w:rsidR="00A50EAC" w:rsidRDefault="00A50EAC" w:rsidP="00A50EAC">
      <w:pPr>
        <w:tabs>
          <w:tab w:val="left" w:pos="2160"/>
        </w:tabs>
        <w:ind w:left="2520"/>
      </w:pPr>
      <w:r>
        <w:t>Educational Institutions – t</w:t>
      </w:r>
      <w:r w:rsidRPr="00A50EAC">
        <w:t>wo years from the date of the making of the record or the personnel action involved</w:t>
      </w:r>
      <w:r>
        <w:t>, but</w:t>
      </w:r>
      <w:r w:rsidR="00B54601">
        <w:t>,</w:t>
      </w:r>
      <w:r>
        <w:t xml:space="preserve"> if</w:t>
      </w:r>
      <w:r w:rsidRPr="00A50EAC">
        <w:t xml:space="preserve"> a charge of discrimination </w:t>
      </w:r>
      <w:r w:rsidR="00B54601">
        <w:t>is</w:t>
      </w:r>
      <w:r w:rsidRPr="00A50EAC">
        <w:t xml:space="preserve"> filed </w:t>
      </w:r>
      <w:r>
        <w:t xml:space="preserve">or an action </w:t>
      </w:r>
      <w:r w:rsidR="00B54601">
        <w:t xml:space="preserve">is </w:t>
      </w:r>
      <w:r>
        <w:t>brought by the Commission or Attorney General</w:t>
      </w:r>
      <w:r w:rsidRPr="00A50EAC">
        <w:t>, all personnel records relevant to th</w:t>
      </w:r>
      <w:r>
        <w:t>at</w:t>
      </w:r>
      <w:r w:rsidRPr="00A50EAC">
        <w:t xml:space="preserve"> charge or action </w:t>
      </w:r>
      <w:r>
        <w:t xml:space="preserve">must be preserved </w:t>
      </w:r>
      <w:r w:rsidRPr="00A50EAC">
        <w:t xml:space="preserve">until final disposition </w:t>
      </w:r>
      <w:r>
        <w:t>of the charge or action.</w:t>
      </w:r>
    </w:p>
    <w:p w14:paraId="79838DBE" w14:textId="77777777" w:rsidR="00DE76CE" w:rsidRDefault="00DE76CE" w:rsidP="00A50EAC">
      <w:pPr>
        <w:tabs>
          <w:tab w:val="left" w:pos="2160"/>
        </w:tabs>
        <w:ind w:left="2520"/>
      </w:pPr>
    </w:p>
    <w:p w14:paraId="1E3FEA12" w14:textId="33C2C227" w:rsidR="00697C5A" w:rsidRDefault="00697C5A" w:rsidP="007F6C67">
      <w:pPr>
        <w:numPr>
          <w:ilvl w:val="1"/>
          <w:numId w:val="9"/>
        </w:numPr>
      </w:pPr>
      <w:r w:rsidRPr="00F4252F">
        <w:rPr>
          <w:u w:val="single"/>
        </w:rPr>
        <w:t>Special circumstances</w:t>
      </w:r>
    </w:p>
    <w:p w14:paraId="46E1A111" w14:textId="681C3C3D" w:rsidR="007F6C67" w:rsidRDefault="007F6C67" w:rsidP="00970A47">
      <w:pPr>
        <w:ind w:left="1800"/>
      </w:pPr>
      <w:r>
        <w:t>There are no special circumstances.</w:t>
      </w:r>
    </w:p>
    <w:p w14:paraId="58ECEA82" w14:textId="77777777" w:rsidR="007F6C67" w:rsidRDefault="007F6C67" w:rsidP="007F6C67"/>
    <w:p w14:paraId="62AFF72A" w14:textId="2C5DADBE" w:rsidR="00697C5A" w:rsidRDefault="00697C5A" w:rsidP="007F6C67">
      <w:pPr>
        <w:numPr>
          <w:ilvl w:val="1"/>
          <w:numId w:val="9"/>
        </w:numPr>
      </w:pPr>
      <w:r w:rsidRPr="00F4252F">
        <w:rPr>
          <w:u w:val="single"/>
        </w:rPr>
        <w:t>Consultation outside the agency</w:t>
      </w:r>
    </w:p>
    <w:p w14:paraId="3A441EF5" w14:textId="321A2C11" w:rsidR="00BE5BB8" w:rsidRDefault="007F6C67" w:rsidP="009E44F6">
      <w:pPr>
        <w:ind w:left="1800"/>
      </w:pPr>
      <w:r>
        <w:t>As required by 5 C.F.R. § 1320.</w:t>
      </w:r>
      <w:r w:rsidR="00E0701D">
        <w:t>12</w:t>
      </w:r>
      <w:r>
        <w:t xml:space="preserve">, </w:t>
      </w:r>
      <w:r w:rsidR="003C0EDA">
        <w:t xml:space="preserve">the </w:t>
      </w:r>
      <w:r>
        <w:t xml:space="preserve">EEOC published a notice in the Federal Register on </w:t>
      </w:r>
      <w:r w:rsidR="009E44F6">
        <w:t>February 20, 2018 (83 FR 7178)</w:t>
      </w:r>
      <w:r>
        <w:t xml:space="preserve"> soliciting comments on the proposed extension of our recordkeeping regulations</w:t>
      </w:r>
      <w:r w:rsidR="009927AD">
        <w:t xml:space="preserve">. The EEOC </w:t>
      </w:r>
      <w:r w:rsidR="00BE5BB8">
        <w:t xml:space="preserve">received only </w:t>
      </w:r>
      <w:r w:rsidR="009E44F6">
        <w:t xml:space="preserve">three </w:t>
      </w:r>
      <w:r w:rsidR="00BE5BB8">
        <w:t>public comment</w:t>
      </w:r>
      <w:r w:rsidR="009E44F6">
        <w:t>s</w:t>
      </w:r>
      <w:r w:rsidR="00FD7F91">
        <w:t xml:space="preserve">; however, </w:t>
      </w:r>
      <w:r w:rsidR="009E44F6">
        <w:t>none of these comments addressed the EEOC’s recordkeeping requirements.  Accordingly, no changes have been made to the requirements based upon the unresponsive comments.</w:t>
      </w:r>
      <w:r w:rsidR="009E44F6" w:rsidDel="009E44F6">
        <w:t xml:space="preserve"> </w:t>
      </w:r>
    </w:p>
    <w:p w14:paraId="626461DC" w14:textId="77777777" w:rsidR="007F6C67" w:rsidRDefault="007F6C67" w:rsidP="007F6C67">
      <w:pPr>
        <w:ind w:left="1800"/>
      </w:pPr>
      <w:r>
        <w:t xml:space="preserve">Over the years, the EEOC has attended numerous conferences comprised of advocacy groups and employers concerning enforcement of Title VII and the </w:t>
      </w:r>
      <w:smartTag w:uri="urn:schemas-microsoft-com:office:smarttags" w:element="place">
        <w:smartTag w:uri="urn:schemas-microsoft-com:office:smarttags" w:element="City">
          <w:r>
            <w:t>ADA</w:t>
          </w:r>
        </w:smartTag>
      </w:smartTag>
      <w:r>
        <w:t xml:space="preserve">.  </w:t>
      </w:r>
      <w:r w:rsidR="003C0EDA">
        <w:t xml:space="preserve">The </w:t>
      </w:r>
      <w:r>
        <w:t>EEOC also presents many forums for discussion of enforcement issues through its various outreach, training</w:t>
      </w:r>
      <w:r w:rsidR="0024144A">
        <w:t>,</w:t>
      </w:r>
      <w:r>
        <w:t xml:space="preserve"> and assistance to small business programs.</w:t>
      </w:r>
    </w:p>
    <w:p w14:paraId="400B325A" w14:textId="77777777" w:rsidR="007F6C67" w:rsidRDefault="007F6C67" w:rsidP="007F6C67">
      <w:pPr>
        <w:ind w:left="1800"/>
      </w:pPr>
    </w:p>
    <w:p w14:paraId="08978316" w14:textId="77777777" w:rsidR="007F6C67" w:rsidRDefault="0024144A" w:rsidP="007F6C67">
      <w:pPr>
        <w:ind w:left="1800"/>
      </w:pPr>
      <w:r>
        <w:t xml:space="preserve">In November of 2010, the EEOC furnished copies of its proposed Federal Register notice </w:t>
      </w:r>
      <w:r w:rsidR="00DE76CE">
        <w:t xml:space="preserve">expanding its recordkeeping requirements from TVII and ADA to TVII, ADA, and GINA </w:t>
      </w:r>
      <w:r>
        <w:t>to</w:t>
      </w:r>
      <w:r w:rsidR="007F6C67">
        <w:t xml:space="preserve"> the following</w:t>
      </w:r>
      <w:r>
        <w:t>, inviting them to review the proposed regulatory change and provide comments</w:t>
      </w:r>
      <w:r w:rsidR="007F6C67">
        <w:t>:</w:t>
      </w:r>
    </w:p>
    <w:p w14:paraId="378C950C" w14:textId="77777777" w:rsidR="0024144A" w:rsidRDefault="0024144A" w:rsidP="0024144A">
      <w:pPr>
        <w:ind w:left="1800"/>
      </w:pPr>
    </w:p>
    <w:p w14:paraId="273EADBA" w14:textId="77777777" w:rsidR="007F6C67" w:rsidRDefault="007F6C67" w:rsidP="007F6C67">
      <w:pPr>
        <w:ind w:left="1800"/>
      </w:pPr>
      <w:smartTag w:uri="urn:schemas-microsoft-com:office:smarttags" w:element="country-region">
        <w:smartTag w:uri="urn:schemas-microsoft-com:office:smarttags" w:element="place">
          <w:r>
            <w:t>U.S.</w:t>
          </w:r>
        </w:smartTag>
      </w:smartTag>
      <w:r>
        <w:t xml:space="preserve"> Department of Labor</w:t>
      </w:r>
    </w:p>
    <w:p w14:paraId="2A9B6D2C" w14:textId="77777777" w:rsidR="007F6C67" w:rsidRDefault="007F6C67" w:rsidP="007F6C67">
      <w:pPr>
        <w:ind w:left="1800"/>
      </w:pPr>
      <w:r>
        <w:t>Office of the Solicitor</w:t>
      </w:r>
    </w:p>
    <w:p w14:paraId="27B7F818" w14:textId="77777777" w:rsidR="0024144A" w:rsidRDefault="0024144A" w:rsidP="0024144A">
      <w:pPr>
        <w:ind w:left="1800"/>
      </w:pPr>
    </w:p>
    <w:p w14:paraId="57B572A8" w14:textId="77777777" w:rsidR="0024144A" w:rsidRDefault="0024144A" w:rsidP="0024144A">
      <w:pPr>
        <w:ind w:left="1800"/>
      </w:pPr>
      <w:r>
        <w:t>Office of Health Plan Standards and Compliance Assistance</w:t>
      </w:r>
    </w:p>
    <w:p w14:paraId="66FC6AE0" w14:textId="77777777" w:rsidR="0024144A" w:rsidRDefault="0024144A" w:rsidP="0024144A">
      <w:pPr>
        <w:ind w:left="1800"/>
      </w:pPr>
      <w:smartTag w:uri="urn:schemas-microsoft-com:office:smarttags" w:element="country-region">
        <w:smartTag w:uri="urn:schemas-microsoft-com:office:smarttags" w:element="place">
          <w:r>
            <w:t>U.S.</w:t>
          </w:r>
        </w:smartTag>
      </w:smartTag>
      <w:r>
        <w:t xml:space="preserve"> Department of Labor</w:t>
      </w:r>
    </w:p>
    <w:p w14:paraId="7C9CF707" w14:textId="77777777" w:rsidR="0024144A" w:rsidRDefault="0024144A" w:rsidP="0024144A">
      <w:pPr>
        <w:ind w:left="1800"/>
      </w:pPr>
      <w:r>
        <w:t>Employee Benefits Security Administration</w:t>
      </w:r>
    </w:p>
    <w:p w14:paraId="2CBDB7B6" w14:textId="77777777" w:rsidR="0024144A" w:rsidRDefault="0024144A" w:rsidP="0024144A">
      <w:pPr>
        <w:ind w:left="1800"/>
      </w:pPr>
    </w:p>
    <w:p w14:paraId="053D97D0" w14:textId="46EB9AF0" w:rsidR="0024144A" w:rsidRDefault="0024144A" w:rsidP="0024144A">
      <w:pPr>
        <w:ind w:left="1800"/>
        <w:rPr>
          <w:bCs/>
        </w:rPr>
      </w:pPr>
      <w:r>
        <w:rPr>
          <w:bCs/>
        </w:rPr>
        <w:t>U.S. Department of Hea</w:t>
      </w:r>
      <w:r w:rsidR="00F20B5A">
        <w:rPr>
          <w:bCs/>
        </w:rPr>
        <w:t>l</w:t>
      </w:r>
      <w:r>
        <w:rPr>
          <w:bCs/>
        </w:rPr>
        <w:t>th and Human Services</w:t>
      </w:r>
    </w:p>
    <w:p w14:paraId="26F5C01C" w14:textId="77777777" w:rsidR="0024144A" w:rsidRDefault="0024144A" w:rsidP="0024144A">
      <w:pPr>
        <w:ind w:left="1800"/>
        <w:rPr>
          <w:bCs/>
        </w:rPr>
      </w:pPr>
      <w:r w:rsidRPr="00984DCE">
        <w:rPr>
          <w:bCs/>
        </w:rPr>
        <w:t>Office for Civil Rights</w:t>
      </w:r>
    </w:p>
    <w:p w14:paraId="3CD7B8D4" w14:textId="77777777" w:rsidR="0024144A" w:rsidRDefault="0024144A" w:rsidP="0024144A">
      <w:pPr>
        <w:ind w:left="1800"/>
        <w:rPr>
          <w:bCs/>
        </w:rPr>
      </w:pPr>
    </w:p>
    <w:p w14:paraId="3ADA81DF" w14:textId="77777777" w:rsidR="0024144A" w:rsidRDefault="0024144A" w:rsidP="0024144A">
      <w:pPr>
        <w:ind w:left="1800"/>
      </w:pPr>
      <w:smartTag w:uri="urn:schemas-microsoft-com:office:smarttags" w:element="country-region">
        <w:smartTag w:uri="urn:schemas-microsoft-com:office:smarttags" w:element="place">
          <w:r>
            <w:t>U.S.</w:t>
          </w:r>
        </w:smartTag>
      </w:smartTag>
      <w:r>
        <w:t xml:space="preserve"> Small Business Administration</w:t>
      </w:r>
    </w:p>
    <w:p w14:paraId="6BB50E38" w14:textId="77777777" w:rsidR="0024144A" w:rsidRDefault="0024144A" w:rsidP="0024144A">
      <w:pPr>
        <w:ind w:left="1800"/>
      </w:pPr>
      <w:r w:rsidRPr="00984DCE">
        <w:t>Office of Advocacy</w:t>
      </w:r>
      <w:r w:rsidRPr="00984DCE">
        <w:br/>
      </w:r>
    </w:p>
    <w:p w14:paraId="1BEF5BC1" w14:textId="77777777" w:rsidR="0024144A" w:rsidRDefault="0024144A" w:rsidP="0024144A">
      <w:pPr>
        <w:ind w:left="1800"/>
      </w:pPr>
      <w:r w:rsidRPr="00B26F1C">
        <w:t>Disability Rights Section</w:t>
      </w:r>
    </w:p>
    <w:p w14:paraId="489FB3AF" w14:textId="77777777" w:rsidR="0024144A" w:rsidRDefault="0024144A" w:rsidP="0024144A">
      <w:pPr>
        <w:ind w:left="1800"/>
      </w:pPr>
      <w:r w:rsidRPr="00B26F1C">
        <w:t>U. S. Department of Justice</w:t>
      </w:r>
    </w:p>
    <w:p w14:paraId="31BD1FBC" w14:textId="77777777" w:rsidR="0024144A" w:rsidRDefault="0024144A" w:rsidP="0024144A">
      <w:pPr>
        <w:ind w:left="1800"/>
      </w:pPr>
      <w:r>
        <w:t>Civil Rights Division</w:t>
      </w:r>
    </w:p>
    <w:p w14:paraId="3F773CFF" w14:textId="77777777" w:rsidR="0024144A" w:rsidRDefault="0024144A" w:rsidP="0024144A">
      <w:pPr>
        <w:ind w:left="1800"/>
      </w:pPr>
    </w:p>
    <w:p w14:paraId="5C6BEA56" w14:textId="77777777" w:rsidR="0024144A" w:rsidRDefault="0024144A" w:rsidP="0024144A">
      <w:pPr>
        <w:ind w:left="1800"/>
      </w:pPr>
      <w:r w:rsidRPr="00B26F1C">
        <w:t>Office of the Chief Counsel</w:t>
      </w:r>
    </w:p>
    <w:p w14:paraId="3309CE11" w14:textId="77777777" w:rsidR="0024144A" w:rsidRDefault="0024144A" w:rsidP="0024144A">
      <w:pPr>
        <w:ind w:left="1800"/>
      </w:pPr>
      <w:smartTag w:uri="urn:schemas-microsoft-com:office:smarttags" w:element="country-region">
        <w:smartTag w:uri="urn:schemas-microsoft-com:office:smarttags" w:element="place">
          <w:r w:rsidRPr="00B26F1C">
            <w:t>U.S.</w:t>
          </w:r>
        </w:smartTag>
      </w:smartTag>
      <w:r w:rsidRPr="00B26F1C">
        <w:t xml:space="preserve"> Department of the Treasury</w:t>
      </w:r>
    </w:p>
    <w:p w14:paraId="1A334070" w14:textId="77777777" w:rsidR="00B26F1C" w:rsidRPr="00984DCE" w:rsidRDefault="0024144A" w:rsidP="0024144A">
      <w:pPr>
        <w:ind w:left="1800"/>
      </w:pPr>
      <w:r w:rsidRPr="00B26F1C">
        <w:t>Internal Revenue Service</w:t>
      </w:r>
    </w:p>
    <w:p w14:paraId="3B3BCF7F" w14:textId="77777777" w:rsidR="00B26F1C" w:rsidRDefault="00B26F1C" w:rsidP="007F6C67">
      <w:pPr>
        <w:ind w:left="1800"/>
      </w:pPr>
    </w:p>
    <w:p w14:paraId="00940791" w14:textId="77777777" w:rsidR="007F6C67" w:rsidRDefault="0024144A" w:rsidP="007F6C67">
      <w:pPr>
        <w:ind w:left="1800"/>
      </w:pPr>
      <w:r>
        <w:t>Over the years</w:t>
      </w:r>
      <w:r w:rsidR="007F6C67">
        <w:t xml:space="preserve">, </w:t>
      </w:r>
      <w:r w:rsidR="003C0EDA">
        <w:t xml:space="preserve">the </w:t>
      </w:r>
      <w:r w:rsidR="007F6C67">
        <w:t>EEOC has consulted with the U.S. Department of Labor (DOL) on our respective agency recordkeeping regulations, and coordinated with the Office of Federal Contract Compliance Programs (OFCCP) of the DOL on their proposed recordkeeping regulations to eliminate the possibility of unnecessary duplication.</w:t>
      </w:r>
    </w:p>
    <w:p w14:paraId="49F303A4" w14:textId="77777777" w:rsidR="007F6C67" w:rsidRDefault="007F6C67" w:rsidP="007F6C67">
      <w:pPr>
        <w:ind w:left="1800"/>
      </w:pPr>
    </w:p>
    <w:p w14:paraId="0ADF8CBD" w14:textId="77777777" w:rsidR="007F6C67" w:rsidRDefault="003C0EDA" w:rsidP="007F6C67">
      <w:pPr>
        <w:ind w:left="1800"/>
      </w:pPr>
      <w:r>
        <w:t xml:space="preserve">The </w:t>
      </w:r>
      <w:r w:rsidR="007F6C67">
        <w:t>EEOC has also met with representatives of OFCCP, the Employment Standards Administration, the Wage and Hour Administration, the Solicitor’s Office and other components of DOL to discuss various aspects of our agency recordkeeping requirements.</w:t>
      </w:r>
    </w:p>
    <w:p w14:paraId="3D26EBA7" w14:textId="77777777" w:rsidR="00BE5BB8" w:rsidRDefault="00BE5BB8" w:rsidP="007F6C67">
      <w:pPr>
        <w:ind w:left="1800"/>
      </w:pPr>
    </w:p>
    <w:p w14:paraId="2D2C88C0" w14:textId="60FACCED" w:rsidR="00697C5A" w:rsidRDefault="00697C5A" w:rsidP="007F6C67">
      <w:pPr>
        <w:numPr>
          <w:ilvl w:val="1"/>
          <w:numId w:val="9"/>
        </w:numPr>
      </w:pPr>
      <w:r w:rsidRPr="00F4252F">
        <w:rPr>
          <w:u w:val="single"/>
        </w:rPr>
        <w:t>Gifts or payments</w:t>
      </w:r>
    </w:p>
    <w:p w14:paraId="192B39F7" w14:textId="790B1617" w:rsidR="007F6C67" w:rsidRDefault="003C0EDA" w:rsidP="00970A47">
      <w:pPr>
        <w:ind w:left="1800"/>
      </w:pPr>
      <w:r>
        <w:t xml:space="preserve">The </w:t>
      </w:r>
      <w:r w:rsidR="007F6C67">
        <w:t xml:space="preserve">EEOC does not provide payments or gifts to </w:t>
      </w:r>
      <w:r w:rsidR="00697C5A">
        <w:t xml:space="preserve">employers </w:t>
      </w:r>
      <w:r w:rsidR="00877803">
        <w:t xml:space="preserve">that are </w:t>
      </w:r>
      <w:r w:rsidR="00697C5A">
        <w:t>subject to this requirement</w:t>
      </w:r>
      <w:r w:rsidR="007F6C67">
        <w:t>.</w:t>
      </w:r>
    </w:p>
    <w:p w14:paraId="2A5B7978" w14:textId="77777777" w:rsidR="007F6C67" w:rsidRDefault="007F6C67" w:rsidP="007F6C67">
      <w:r>
        <w:t xml:space="preserve">                                                         </w:t>
      </w:r>
    </w:p>
    <w:p w14:paraId="6163C7BA" w14:textId="3B2EE24D" w:rsidR="00697C5A" w:rsidRDefault="00697C5A" w:rsidP="007F6C67">
      <w:pPr>
        <w:numPr>
          <w:ilvl w:val="1"/>
          <w:numId w:val="9"/>
        </w:numPr>
      </w:pPr>
      <w:r w:rsidRPr="00E92A38">
        <w:rPr>
          <w:u w:val="single"/>
        </w:rPr>
        <w:t>Confidentiality of information</w:t>
      </w:r>
    </w:p>
    <w:p w14:paraId="124FC80A" w14:textId="311945C5" w:rsidR="007F6C67" w:rsidRDefault="003C0EDA" w:rsidP="00970A47">
      <w:pPr>
        <w:ind w:left="1800"/>
      </w:pPr>
      <w:r>
        <w:t xml:space="preserve">The </w:t>
      </w:r>
      <w:r w:rsidR="007F6C67">
        <w:t xml:space="preserve">EEOC does not provide an assurance of confidentiality as the regulations do not require employers to </w:t>
      </w:r>
      <w:r w:rsidR="009E44F6">
        <w:t xml:space="preserve">report </w:t>
      </w:r>
      <w:r w:rsidR="007F6C67">
        <w:t>any information to the Commission.  Any of the records maintained pursuant to the regulations that are subsequently disclosed to the EEOC during an investigation are protected from public disclosure by the confidentiality provisions of sections 706(b) and 709(e) of Title VII</w:t>
      </w:r>
      <w:r w:rsidR="009E44F6">
        <w:t>,</w:t>
      </w:r>
      <w:r w:rsidR="007F6C67">
        <w:t xml:space="preserve"> which are incorporated by reference into ADA and GINA.</w:t>
      </w:r>
    </w:p>
    <w:p w14:paraId="19B9DA23" w14:textId="77777777" w:rsidR="007F6C67" w:rsidRDefault="007F6C67" w:rsidP="007F6C67">
      <w:pPr>
        <w:ind w:left="1080"/>
      </w:pPr>
    </w:p>
    <w:p w14:paraId="45CD95F0" w14:textId="39CD6FD5" w:rsidR="00697C5A" w:rsidRDefault="00697C5A" w:rsidP="007F6C67">
      <w:pPr>
        <w:numPr>
          <w:ilvl w:val="1"/>
          <w:numId w:val="9"/>
        </w:numPr>
      </w:pPr>
      <w:r w:rsidRPr="00E92A38">
        <w:rPr>
          <w:u w:val="single"/>
        </w:rPr>
        <w:t>Questions of a sensitive nature</w:t>
      </w:r>
    </w:p>
    <w:p w14:paraId="09F23487" w14:textId="10AC8741" w:rsidR="007F6C67" w:rsidRDefault="007F6C67" w:rsidP="00970A47">
      <w:pPr>
        <w:ind w:left="1800"/>
      </w:pPr>
      <w:r>
        <w:t>There are no questions of a sensitive nature; in fact, there are no questions of any nature involved in this collection as it is a recordkeeping requirement only.</w:t>
      </w:r>
    </w:p>
    <w:p w14:paraId="2BD5E148" w14:textId="77777777" w:rsidR="007F6C67" w:rsidRDefault="007F6C67" w:rsidP="007F6C67"/>
    <w:p w14:paraId="7D96B0DB" w14:textId="134C6368" w:rsidR="00697C5A" w:rsidRPr="00697C5A" w:rsidRDefault="00697C5A" w:rsidP="007F6C67">
      <w:pPr>
        <w:numPr>
          <w:ilvl w:val="1"/>
          <w:numId w:val="9"/>
        </w:numPr>
      </w:pPr>
      <w:r w:rsidRPr="00E92A38">
        <w:rPr>
          <w:u w:val="single"/>
        </w:rPr>
        <w:t>Information collection burden</w:t>
      </w:r>
    </w:p>
    <w:p w14:paraId="47305083" w14:textId="19481692" w:rsidR="007F6C67" w:rsidRDefault="007F6C67" w:rsidP="00970A47">
      <w:pPr>
        <w:ind w:left="1800"/>
      </w:pPr>
      <w:r>
        <w:rPr>
          <w:iCs/>
        </w:rPr>
        <w:t xml:space="preserve">This information collection is limited to record retention; it does not require record creation or reporting. </w:t>
      </w:r>
      <w:r w:rsidR="00EF1F42">
        <w:rPr>
          <w:iCs/>
        </w:rPr>
        <w:t xml:space="preserve"> </w:t>
      </w:r>
      <w:r>
        <w:rPr>
          <w:iCs/>
        </w:rPr>
        <w:t>In order to estimate the hour burden for retaining these records we made some assumptions.</w:t>
      </w:r>
    </w:p>
    <w:p w14:paraId="238D84C3" w14:textId="77777777" w:rsidR="007F6C67" w:rsidRDefault="007F6C67" w:rsidP="007F6C67">
      <w:pPr>
        <w:rPr>
          <w:iCs/>
        </w:rPr>
      </w:pPr>
    </w:p>
    <w:p w14:paraId="072AF826" w14:textId="05BA65E5" w:rsidR="0024115F" w:rsidRDefault="007F6C67" w:rsidP="00AA5E49">
      <w:pPr>
        <w:ind w:left="1800"/>
      </w:pPr>
      <w:r w:rsidRPr="009E44F6">
        <w:rPr>
          <w:iCs/>
        </w:rPr>
        <w:t xml:space="preserve">First, firms do not engage in a special process to meet Title VII, ADA, and GINA </w:t>
      </w:r>
      <w:r w:rsidR="00066378" w:rsidRPr="009E44F6">
        <w:rPr>
          <w:iCs/>
        </w:rPr>
        <w:t xml:space="preserve">recordkeeping </w:t>
      </w:r>
      <w:r w:rsidRPr="009E44F6">
        <w:rPr>
          <w:iCs/>
        </w:rPr>
        <w:t xml:space="preserve">requirements specifically. </w:t>
      </w:r>
      <w:r w:rsidR="0024144A" w:rsidRPr="009E44F6">
        <w:rPr>
          <w:iCs/>
        </w:rPr>
        <w:t xml:space="preserve"> </w:t>
      </w:r>
      <w:r w:rsidRPr="009E44F6">
        <w:rPr>
          <w:iCs/>
        </w:rPr>
        <w:t xml:space="preserve">We assume that firms already </w:t>
      </w:r>
      <w:r w:rsidR="00066378" w:rsidRPr="009E44F6">
        <w:rPr>
          <w:iCs/>
        </w:rPr>
        <w:t>create,</w:t>
      </w:r>
      <w:r w:rsidRPr="009E44F6">
        <w:rPr>
          <w:iCs/>
        </w:rPr>
        <w:t xml:space="preserve"> access</w:t>
      </w:r>
      <w:r w:rsidR="00B37203" w:rsidRPr="009E44F6">
        <w:rPr>
          <w:iCs/>
        </w:rPr>
        <w:t>,</w:t>
      </w:r>
      <w:r w:rsidRPr="009E44F6">
        <w:rPr>
          <w:iCs/>
        </w:rPr>
        <w:t xml:space="preserve"> and collect records during the employment process. </w:t>
      </w:r>
      <w:r w:rsidR="0024144A" w:rsidRPr="009E44F6">
        <w:rPr>
          <w:iCs/>
        </w:rPr>
        <w:t xml:space="preserve"> </w:t>
      </w:r>
      <w:r w:rsidR="00066378" w:rsidRPr="009E44F6">
        <w:rPr>
          <w:iCs/>
        </w:rPr>
        <w:t>Some</w:t>
      </w:r>
      <w:r w:rsidR="004A2A54" w:rsidRPr="009E44F6">
        <w:rPr>
          <w:iCs/>
        </w:rPr>
        <w:t xml:space="preserve"> or all</w:t>
      </w:r>
      <w:r w:rsidR="00066378" w:rsidRPr="009E44F6">
        <w:rPr>
          <w:iCs/>
        </w:rPr>
        <w:t xml:space="preserve"> of</w:t>
      </w:r>
      <w:r w:rsidRPr="009E44F6">
        <w:rPr>
          <w:iCs/>
        </w:rPr>
        <w:t xml:space="preserve"> this information </w:t>
      </w:r>
      <w:r w:rsidR="00066378" w:rsidRPr="009E44F6">
        <w:rPr>
          <w:iCs/>
        </w:rPr>
        <w:t xml:space="preserve">may be </w:t>
      </w:r>
      <w:r w:rsidRPr="009E44F6">
        <w:rPr>
          <w:iCs/>
        </w:rPr>
        <w:t xml:space="preserve">collected automatically through electronic means or </w:t>
      </w:r>
      <w:r w:rsidR="00066378" w:rsidRPr="009E44F6">
        <w:rPr>
          <w:iCs/>
        </w:rPr>
        <w:t>entered</w:t>
      </w:r>
      <w:r w:rsidRPr="009E44F6">
        <w:rPr>
          <w:iCs/>
        </w:rPr>
        <w:t xml:space="preserve"> by the employees. </w:t>
      </w:r>
      <w:r w:rsidR="0024144A" w:rsidRPr="009E44F6">
        <w:rPr>
          <w:iCs/>
        </w:rPr>
        <w:t xml:space="preserve"> </w:t>
      </w:r>
      <w:r w:rsidRPr="009E44F6">
        <w:rPr>
          <w:iCs/>
        </w:rPr>
        <w:t>Once</w:t>
      </w:r>
      <w:r w:rsidR="00066378" w:rsidRPr="009E44F6">
        <w:rPr>
          <w:iCs/>
        </w:rPr>
        <w:t xml:space="preserve"> created or</w:t>
      </w:r>
      <w:r w:rsidRPr="009E44F6">
        <w:rPr>
          <w:iCs/>
        </w:rPr>
        <w:t xml:space="preserve"> collected, the information is automatically retained until the firm decides to destroy the information. </w:t>
      </w:r>
      <w:r w:rsidR="0024144A" w:rsidRPr="009E44F6">
        <w:rPr>
          <w:iCs/>
        </w:rPr>
        <w:t xml:space="preserve"> </w:t>
      </w:r>
      <w:r w:rsidR="00066378" w:rsidRPr="009E44F6">
        <w:rPr>
          <w:iCs/>
        </w:rPr>
        <w:t>Therefore</w:t>
      </w:r>
      <w:r w:rsidR="0024144A" w:rsidRPr="009E44F6">
        <w:rPr>
          <w:iCs/>
        </w:rPr>
        <w:t>,</w:t>
      </w:r>
      <w:r w:rsidR="00066378" w:rsidRPr="009E44F6">
        <w:rPr>
          <w:iCs/>
        </w:rPr>
        <w:t xml:space="preserve"> firms with processes in place incur little or negligible additional cost in complying with </w:t>
      </w:r>
      <w:r w:rsidR="0024144A" w:rsidRPr="009E44F6">
        <w:rPr>
          <w:iCs/>
        </w:rPr>
        <w:t xml:space="preserve">the </w:t>
      </w:r>
      <w:r w:rsidR="00066378" w:rsidRPr="009E44F6">
        <w:rPr>
          <w:iCs/>
        </w:rPr>
        <w:t>EEOC’s record retention requir</w:t>
      </w:r>
      <w:r w:rsidR="0024144A" w:rsidRPr="009E44F6">
        <w:rPr>
          <w:iCs/>
        </w:rPr>
        <w:t>e</w:t>
      </w:r>
      <w:r w:rsidR="00066378" w:rsidRPr="009E44F6">
        <w:rPr>
          <w:iCs/>
        </w:rPr>
        <w:t>ment.</w:t>
      </w:r>
      <w:r w:rsidR="00F11EA6" w:rsidRPr="009E44F6">
        <w:rPr>
          <w:iCs/>
        </w:rPr>
        <w:t xml:space="preserve">  </w:t>
      </w:r>
      <w:r w:rsidR="00514434" w:rsidRPr="009E44F6">
        <w:t xml:space="preserve">The </w:t>
      </w:r>
      <w:r w:rsidR="00C17801" w:rsidRPr="009E44F6">
        <w:t xml:space="preserve">total </w:t>
      </w:r>
      <w:r w:rsidR="00514434" w:rsidRPr="009E44F6">
        <w:t xml:space="preserve">number of employers </w:t>
      </w:r>
      <w:r w:rsidR="00877803">
        <w:t xml:space="preserve">that are </w:t>
      </w:r>
      <w:r w:rsidR="00514434" w:rsidRPr="009E44F6">
        <w:t xml:space="preserve">subject to the recordkeeping requirement is estimated </w:t>
      </w:r>
      <w:r w:rsidR="00C17801" w:rsidRPr="009E44F6">
        <w:t>to be</w:t>
      </w:r>
      <w:r w:rsidR="0004766F" w:rsidRPr="009E44F6">
        <w:t xml:space="preserve"> </w:t>
      </w:r>
      <w:r w:rsidR="00AF29BF" w:rsidRPr="009E44F6">
        <w:rPr>
          <w:rFonts w:eastAsiaTheme="minorEastAsia" w:hint="eastAsia"/>
          <w:lang w:eastAsia="ko-KR"/>
        </w:rPr>
        <w:t>961,709</w:t>
      </w:r>
      <w:r w:rsidR="00514434" w:rsidRPr="009E44F6">
        <w:t>, which combines estimates from private employment,</w:t>
      </w:r>
      <w:r w:rsidR="00514434" w:rsidRPr="009E44F6">
        <w:rPr>
          <w:rStyle w:val="FootnoteReference"/>
        </w:rPr>
        <w:footnoteReference w:id="1"/>
      </w:r>
      <w:r w:rsidR="00514434" w:rsidRPr="009E44F6">
        <w:t xml:space="preserve"> the public sector,</w:t>
      </w:r>
      <w:r w:rsidR="00514434" w:rsidRPr="009E44F6">
        <w:rPr>
          <w:rStyle w:val="FootnoteReference"/>
        </w:rPr>
        <w:footnoteReference w:id="2"/>
      </w:r>
      <w:r w:rsidR="00514434" w:rsidRPr="009E44F6">
        <w:t xml:space="preserve"> colleges and universities,</w:t>
      </w:r>
      <w:r w:rsidR="00514434" w:rsidRPr="009E44F6">
        <w:rPr>
          <w:rStyle w:val="FootnoteReference"/>
        </w:rPr>
        <w:footnoteReference w:id="3"/>
      </w:r>
      <w:r w:rsidR="00514434" w:rsidRPr="009E44F6">
        <w:t xml:space="preserve"> and referral unions.</w:t>
      </w:r>
      <w:r w:rsidR="00514434" w:rsidRPr="009E44F6">
        <w:rPr>
          <w:rStyle w:val="FootnoteReference"/>
        </w:rPr>
        <w:footnoteReference w:id="4"/>
      </w:r>
      <w:r w:rsidR="00DC25E0">
        <w:t xml:space="preserve"> </w:t>
      </w:r>
    </w:p>
    <w:p w14:paraId="167E6BFA" w14:textId="77777777" w:rsidR="007F6C67" w:rsidRDefault="007F6C67" w:rsidP="007F6C67">
      <w:pPr>
        <w:rPr>
          <w:iCs/>
        </w:rPr>
      </w:pPr>
    </w:p>
    <w:p w14:paraId="0B0102B5" w14:textId="77777777" w:rsidR="007F6C67" w:rsidRDefault="007F6C67" w:rsidP="007F6C67">
      <w:pPr>
        <w:ind w:left="1800"/>
        <w:rPr>
          <w:iCs/>
        </w:rPr>
      </w:pPr>
      <w:r>
        <w:rPr>
          <w:iCs/>
        </w:rPr>
        <w:t xml:space="preserve">Second, newly formed firms may incur a small cost in time when installing and learning how to use their automated data collection systems. </w:t>
      </w:r>
      <w:r w:rsidR="0024144A">
        <w:rPr>
          <w:iCs/>
        </w:rPr>
        <w:t xml:space="preserve"> </w:t>
      </w:r>
      <w:r>
        <w:rPr>
          <w:iCs/>
        </w:rPr>
        <w:t xml:space="preserve">Although the information required under Title VII, ADA, and GINA is collected automatically, we assume some effort and time has to be expended so that employers can familiarize themselves with the </w:t>
      </w:r>
      <w:r w:rsidR="004A2A54">
        <w:rPr>
          <w:iCs/>
        </w:rPr>
        <w:t xml:space="preserve">Title VII, ADA, and GINA </w:t>
      </w:r>
      <w:r w:rsidR="00EF1F42">
        <w:rPr>
          <w:iCs/>
        </w:rPr>
        <w:t>recordkeeping requirements</w:t>
      </w:r>
      <w:r w:rsidR="00AC22AD">
        <w:rPr>
          <w:iCs/>
        </w:rPr>
        <w:t xml:space="preserve"> and inform staff about those requirements.  </w:t>
      </w:r>
      <w:r w:rsidR="004A2A54" w:rsidRPr="009E44F6">
        <w:rPr>
          <w:iCs/>
        </w:rPr>
        <w:t xml:space="preserve">We estimate that </w:t>
      </w:r>
      <w:r w:rsidR="00C873F0" w:rsidRPr="009E44F6">
        <w:rPr>
          <w:iCs/>
        </w:rPr>
        <w:t xml:space="preserve">30 minutes </w:t>
      </w:r>
      <w:r w:rsidR="004A2A54" w:rsidRPr="009E44F6">
        <w:rPr>
          <w:iCs/>
        </w:rPr>
        <w:t>would be spent for this familiarization process.</w:t>
      </w:r>
      <w:r w:rsidRPr="009E44F6">
        <w:rPr>
          <w:iCs/>
        </w:rPr>
        <w:t xml:space="preserve"> </w:t>
      </w:r>
      <w:r w:rsidR="002D562F" w:rsidRPr="009E44F6">
        <w:rPr>
          <w:iCs/>
        </w:rPr>
        <w:t xml:space="preserve">This figure </w:t>
      </w:r>
      <w:r w:rsidR="0004766F" w:rsidRPr="009E44F6">
        <w:rPr>
          <w:iCs/>
        </w:rPr>
        <w:t>is same as our previous estimate</w:t>
      </w:r>
      <w:r w:rsidR="002D562F">
        <w:rPr>
          <w:iCs/>
        </w:rPr>
        <w:t xml:space="preserve">.  </w:t>
      </w:r>
      <w:r w:rsidR="0034162F">
        <w:rPr>
          <w:iCs/>
        </w:rPr>
        <w:t>Once this cost is incurred</w:t>
      </w:r>
      <w:r w:rsidR="002D562F">
        <w:rPr>
          <w:iCs/>
        </w:rPr>
        <w:t xml:space="preserve"> during the familiarization process</w:t>
      </w:r>
      <w:r w:rsidR="0034162F">
        <w:rPr>
          <w:iCs/>
        </w:rPr>
        <w:t>, we assume that the employer will never face this cost</w:t>
      </w:r>
      <w:r w:rsidR="002D562F">
        <w:rPr>
          <w:iCs/>
        </w:rPr>
        <w:t xml:space="preserve"> again.</w:t>
      </w:r>
    </w:p>
    <w:p w14:paraId="40D185AA" w14:textId="77777777" w:rsidR="007F6C67" w:rsidRDefault="007F6C67" w:rsidP="007F6C67">
      <w:pPr>
        <w:rPr>
          <w:iCs/>
        </w:rPr>
      </w:pPr>
    </w:p>
    <w:p w14:paraId="41018F2B" w14:textId="77777777" w:rsidR="007F6C67" w:rsidRDefault="00E82729" w:rsidP="007F6C67">
      <w:pPr>
        <w:ind w:left="1800"/>
        <w:rPr>
          <w:iCs/>
        </w:rPr>
      </w:pPr>
      <w:r w:rsidRPr="009E44F6">
        <w:rPr>
          <w:iCs/>
        </w:rPr>
        <w:t>T</w:t>
      </w:r>
      <w:r w:rsidR="007F6C67" w:rsidRPr="009E44F6">
        <w:rPr>
          <w:iCs/>
        </w:rPr>
        <w:t xml:space="preserve">he annual hour burden </w:t>
      </w:r>
      <w:r w:rsidR="004A2A54" w:rsidRPr="009E44F6">
        <w:rPr>
          <w:iCs/>
        </w:rPr>
        <w:t>i</w:t>
      </w:r>
      <w:r w:rsidRPr="009E44F6">
        <w:rPr>
          <w:iCs/>
        </w:rPr>
        <w:t xml:space="preserve">s </w:t>
      </w:r>
      <w:r w:rsidR="007F6C67" w:rsidRPr="009E44F6">
        <w:rPr>
          <w:iCs/>
        </w:rPr>
        <w:t>based on the number of new firms with 15 or more employees that enter the market annually.</w:t>
      </w:r>
      <w:r w:rsidR="008A0F86" w:rsidRPr="009E44F6">
        <w:rPr>
          <w:iCs/>
        </w:rPr>
        <w:t xml:space="preserve">  </w:t>
      </w:r>
      <w:r w:rsidR="0024115F" w:rsidRPr="009E44F6">
        <w:rPr>
          <w:iCs/>
        </w:rPr>
        <w:t>Using 20</w:t>
      </w:r>
      <w:r w:rsidR="00C873F0" w:rsidRPr="009E44F6">
        <w:rPr>
          <w:iCs/>
        </w:rPr>
        <w:t>11</w:t>
      </w:r>
      <w:r w:rsidR="0024115F" w:rsidRPr="009E44F6">
        <w:rPr>
          <w:iCs/>
        </w:rPr>
        <w:t xml:space="preserve"> data from the Small Business Administration, we estimate that there are </w:t>
      </w:r>
      <w:r w:rsidR="003E665C" w:rsidRPr="009E44F6">
        <w:rPr>
          <w:iCs/>
        </w:rPr>
        <w:t>74,528</w:t>
      </w:r>
      <w:r w:rsidR="0024115F" w:rsidRPr="009E44F6">
        <w:rPr>
          <w:iCs/>
        </w:rPr>
        <w:t xml:space="preserve"> firms</w:t>
      </w:r>
      <w:r w:rsidR="0024115F" w:rsidRPr="009E44F6">
        <w:rPr>
          <w:rStyle w:val="FootnoteReference"/>
          <w:iCs/>
        </w:rPr>
        <w:footnoteReference w:id="5"/>
      </w:r>
      <w:r w:rsidR="007F6C67" w:rsidRPr="009E44F6">
        <w:rPr>
          <w:iCs/>
        </w:rPr>
        <w:t xml:space="preserve"> that would incur a </w:t>
      </w:r>
      <w:r w:rsidR="00B43E4B" w:rsidRPr="009E44F6">
        <w:rPr>
          <w:iCs/>
        </w:rPr>
        <w:t xml:space="preserve">start-up </w:t>
      </w:r>
      <w:r w:rsidR="007F6C67" w:rsidRPr="009E44F6">
        <w:rPr>
          <w:iCs/>
        </w:rPr>
        <w:t xml:space="preserve">burden due to the </w:t>
      </w:r>
      <w:r w:rsidR="00AB570F" w:rsidRPr="009E44F6">
        <w:rPr>
          <w:iCs/>
        </w:rPr>
        <w:t>recordkeeping requirements in Part 1602</w:t>
      </w:r>
      <w:r w:rsidR="007F6C67" w:rsidRPr="009E44F6">
        <w:rPr>
          <w:iCs/>
        </w:rPr>
        <w:t>.</w:t>
      </w:r>
      <w:r w:rsidR="007F6C67" w:rsidRPr="0004766F">
        <w:rPr>
          <w:iCs/>
          <w:highlight w:val="yellow"/>
        </w:rPr>
        <w:t xml:space="preserve"> </w:t>
      </w:r>
      <w:r w:rsidR="009C3F60" w:rsidRPr="0004766F">
        <w:rPr>
          <w:iCs/>
          <w:highlight w:val="yellow"/>
        </w:rPr>
        <w:t xml:space="preserve"> </w:t>
      </w:r>
      <w:r w:rsidR="0024115F" w:rsidRPr="009E44F6">
        <w:rPr>
          <w:iCs/>
        </w:rPr>
        <w:t xml:space="preserve">Assuming </w:t>
      </w:r>
      <w:r w:rsidR="00636E74" w:rsidRPr="009E44F6">
        <w:rPr>
          <w:iCs/>
        </w:rPr>
        <w:t xml:space="preserve">30 </w:t>
      </w:r>
      <w:r w:rsidR="0024115F" w:rsidRPr="009E44F6">
        <w:rPr>
          <w:iCs/>
        </w:rPr>
        <w:t xml:space="preserve">minutes of time per firm, we estimate that the total annual hour burden is </w:t>
      </w:r>
      <w:r w:rsidR="003E665C" w:rsidRPr="009E44F6">
        <w:rPr>
          <w:iCs/>
        </w:rPr>
        <w:t>37,264</w:t>
      </w:r>
      <w:r w:rsidR="00636E74" w:rsidRPr="009E44F6">
        <w:rPr>
          <w:iCs/>
        </w:rPr>
        <w:t xml:space="preserve"> </w:t>
      </w:r>
      <w:r w:rsidR="0024115F" w:rsidRPr="009E44F6">
        <w:rPr>
          <w:iCs/>
        </w:rPr>
        <w:t>hours.</w:t>
      </w:r>
      <w:r w:rsidR="007F6C67" w:rsidRPr="009F23B8">
        <w:rPr>
          <w:iCs/>
        </w:rPr>
        <w:t xml:space="preserve"> </w:t>
      </w:r>
    </w:p>
    <w:p w14:paraId="73DE383D" w14:textId="77777777" w:rsidR="007F6C67" w:rsidRDefault="007F6C67" w:rsidP="00C17801"/>
    <w:p w14:paraId="10E4EE69" w14:textId="6ABA45E5" w:rsidR="00697C5A" w:rsidRDefault="00970A47" w:rsidP="007F6C67">
      <w:pPr>
        <w:numPr>
          <w:ilvl w:val="1"/>
          <w:numId w:val="9"/>
        </w:numPr>
      </w:pPr>
      <w:r w:rsidRPr="00E92A38">
        <w:rPr>
          <w:u w:val="single"/>
        </w:rPr>
        <w:t>Information collection cost burden</w:t>
      </w:r>
    </w:p>
    <w:p w14:paraId="2F207146" w14:textId="748E4473" w:rsidR="007F6C67" w:rsidRDefault="007F6C67" w:rsidP="00970A47">
      <w:pPr>
        <w:ind w:left="1800"/>
      </w:pPr>
      <w:r>
        <w:t xml:space="preserve">There is no additional annual cost to the employers as this is a recordkeeping requirement which does not require reporting or the creation of any new documents.  As noted above, employers must only retain those records </w:t>
      </w:r>
      <w:r w:rsidR="008F420F">
        <w:t xml:space="preserve">that </w:t>
      </w:r>
      <w:r>
        <w:t>they have already made or kept for other reasons.</w:t>
      </w:r>
    </w:p>
    <w:p w14:paraId="0AA660AD" w14:textId="77777777" w:rsidR="007F6C67" w:rsidRDefault="007F6C67" w:rsidP="007F6C67"/>
    <w:p w14:paraId="484DCA5F" w14:textId="3F225BC0" w:rsidR="00970A47" w:rsidRDefault="00970A47" w:rsidP="007F6C67">
      <w:pPr>
        <w:numPr>
          <w:ilvl w:val="1"/>
          <w:numId w:val="9"/>
        </w:numPr>
      </w:pPr>
      <w:r w:rsidRPr="00E92A38">
        <w:rPr>
          <w:u w:val="single"/>
        </w:rPr>
        <w:t>Cost to federal government</w:t>
      </w:r>
    </w:p>
    <w:p w14:paraId="2BD782F3" w14:textId="07183FA1" w:rsidR="007F6C67" w:rsidRDefault="007F6C67" w:rsidP="00970A47">
      <w:pPr>
        <w:ind w:left="1800"/>
      </w:pPr>
      <w:r>
        <w:t xml:space="preserve">There is no cost to the Federal Government because this is merely a recordkeeping requirement for regulated entities and does not obligate </w:t>
      </w:r>
      <w:r w:rsidR="003C0EDA">
        <w:t xml:space="preserve">the </w:t>
      </w:r>
      <w:r>
        <w:t>EEOC to incur any costs.</w:t>
      </w:r>
    </w:p>
    <w:p w14:paraId="05C75D4D" w14:textId="77777777" w:rsidR="007F6C67" w:rsidRDefault="007F6C67" w:rsidP="007F6C67"/>
    <w:p w14:paraId="7CF03269" w14:textId="6E55B588" w:rsidR="00970A47" w:rsidRPr="00970A47" w:rsidRDefault="00970A47" w:rsidP="007F6C67">
      <w:pPr>
        <w:numPr>
          <w:ilvl w:val="1"/>
          <w:numId w:val="9"/>
        </w:numPr>
      </w:pPr>
      <w:r w:rsidRPr="00E92A38">
        <w:rPr>
          <w:u w:val="single"/>
        </w:rPr>
        <w:t>Program changes or burden adjustments</w:t>
      </w:r>
    </w:p>
    <w:p w14:paraId="69220742" w14:textId="1F9DDE2D" w:rsidR="00970A47" w:rsidRDefault="00970A47" w:rsidP="00970A47">
      <w:pPr>
        <w:ind w:left="1800"/>
      </w:pPr>
      <w:r w:rsidRPr="00095351">
        <w:t>There have been no program changes or adjustments to the requirements of this</w:t>
      </w:r>
      <w:r>
        <w:t xml:space="preserve"> </w:t>
      </w:r>
      <w:r w:rsidRPr="00095351">
        <w:t>information collection since its last approval.</w:t>
      </w:r>
    </w:p>
    <w:p w14:paraId="677FDB91" w14:textId="3A946508" w:rsidR="007F6C67" w:rsidRDefault="007F6C67" w:rsidP="007F6C67"/>
    <w:p w14:paraId="569F4287" w14:textId="54C7DC0D" w:rsidR="00970A47" w:rsidRDefault="00970A47" w:rsidP="007F6C67">
      <w:pPr>
        <w:numPr>
          <w:ilvl w:val="1"/>
          <w:numId w:val="9"/>
        </w:numPr>
      </w:pPr>
      <w:r w:rsidRPr="00E92A38">
        <w:rPr>
          <w:u w:val="single"/>
        </w:rPr>
        <w:t>Publication of data for statistical use</w:t>
      </w:r>
    </w:p>
    <w:p w14:paraId="4070A2ED" w14:textId="3A81EBE3" w:rsidR="00970A47" w:rsidRDefault="00970A47" w:rsidP="00970A47">
      <w:pPr>
        <w:ind w:left="1800"/>
      </w:pPr>
      <w:r>
        <w:t>No data will be published.</w:t>
      </w:r>
    </w:p>
    <w:p w14:paraId="48885920" w14:textId="77777777" w:rsidR="00970A47" w:rsidRDefault="00970A47" w:rsidP="00970A47">
      <w:pPr>
        <w:ind w:left="1800"/>
      </w:pPr>
    </w:p>
    <w:p w14:paraId="1BD955F2" w14:textId="220C6EE0" w:rsidR="00970A47" w:rsidRDefault="00970A47" w:rsidP="007F6C67">
      <w:pPr>
        <w:numPr>
          <w:ilvl w:val="1"/>
          <w:numId w:val="9"/>
        </w:numPr>
      </w:pPr>
      <w:r w:rsidRPr="00E92A38">
        <w:rPr>
          <w:u w:val="single"/>
        </w:rPr>
        <w:t>Approval not to display the expiration date</w:t>
      </w:r>
    </w:p>
    <w:p w14:paraId="2F1745C2" w14:textId="2543246E" w:rsidR="007F6C67" w:rsidRDefault="003C0EDA" w:rsidP="00970A47">
      <w:pPr>
        <w:ind w:left="1800"/>
      </w:pPr>
      <w:r>
        <w:t xml:space="preserve">The </w:t>
      </w:r>
      <w:r w:rsidR="007F6C67">
        <w:t>EEOC is not seeking approval for non-display of the OMB approval date for this collection.</w:t>
      </w:r>
    </w:p>
    <w:p w14:paraId="2ADBF586" w14:textId="77777777" w:rsidR="007F6C67" w:rsidRDefault="007F6C67" w:rsidP="007F6C67"/>
    <w:p w14:paraId="53D03D15" w14:textId="27DA44EA" w:rsidR="00970A47" w:rsidRDefault="00970A47">
      <w:pPr>
        <w:numPr>
          <w:ilvl w:val="1"/>
          <w:numId w:val="9"/>
        </w:numPr>
      </w:pPr>
      <w:r w:rsidRPr="00E92A38">
        <w:rPr>
          <w:u w:val="single"/>
        </w:rPr>
        <w:t>Exceptions to the certification statement</w:t>
      </w:r>
    </w:p>
    <w:p w14:paraId="5366EB8C" w14:textId="52063947" w:rsidR="00B22B61" w:rsidRDefault="007F6C67" w:rsidP="00970A47">
      <w:pPr>
        <w:ind w:left="1800"/>
      </w:pPr>
      <w:r>
        <w:t xml:space="preserve">There are no exceptions to </w:t>
      </w:r>
      <w:r w:rsidR="003C0EDA">
        <w:t xml:space="preserve">the </w:t>
      </w:r>
      <w:r>
        <w:t>EEOC’s certification statement.</w:t>
      </w:r>
    </w:p>
    <w:p w14:paraId="2E6739D8" w14:textId="77777777" w:rsidR="00883A94" w:rsidRDefault="00883A94" w:rsidP="00883A94">
      <w:pPr>
        <w:pStyle w:val="ListParagraph"/>
      </w:pPr>
    </w:p>
    <w:p w14:paraId="4922E118" w14:textId="77777777" w:rsidR="00883A94" w:rsidRDefault="00883A94" w:rsidP="00883A94">
      <w:pPr>
        <w:ind w:left="1080"/>
      </w:pPr>
      <w:r>
        <w:br w:type="page"/>
        <w:t>42 U.S.C.</w:t>
      </w:r>
      <w:r w:rsidRPr="00883A94">
        <w:t xml:space="preserve"> § 2000e-8</w:t>
      </w:r>
      <w:r>
        <w:t>(c)</w:t>
      </w:r>
    </w:p>
    <w:p w14:paraId="5A223673" w14:textId="77777777" w:rsidR="00883A94" w:rsidRDefault="00883A94" w:rsidP="00883A94">
      <w:pPr>
        <w:ind w:left="1080"/>
      </w:pPr>
    </w:p>
    <w:p w14:paraId="6D8FC6B8" w14:textId="77777777" w:rsidR="00883A94" w:rsidRDefault="00883A94" w:rsidP="00883A94">
      <w:pPr>
        <w:ind w:left="1080"/>
      </w:pPr>
      <w:r w:rsidRPr="00883A94">
        <w:t>(c) Execution, retention, and preservation of records; reports to Commission; training program records; appropriate relief from regulation or order for undue hardship; procedure for exemption; judicial action to compel compliance</w:t>
      </w:r>
    </w:p>
    <w:p w14:paraId="3FC78518" w14:textId="77777777" w:rsidR="00883A94" w:rsidRDefault="00883A94" w:rsidP="00883A94">
      <w:pPr>
        <w:ind w:left="1080"/>
      </w:pPr>
    </w:p>
    <w:p w14:paraId="6449B41F" w14:textId="77777777" w:rsidR="00883A94" w:rsidRDefault="00883A94" w:rsidP="00883A94">
      <w:pPr>
        <w:ind w:left="1080"/>
      </w:pPr>
      <w:r w:rsidRPr="00883A94">
        <w:t xml:space="preserve">Every employer, employment agency, and labor organization subject to this subchapter shall (1) make and keep such records relevant to the determinations of whether unlawful employment practices have been or are being committed, (2) preserve such records for such periods, and (3) make such reports therefrom as the Commission shall prescribe by regulation or order, after public hearing, as reasonable, necessary, or appropriate for the enforcement of this subchapter or the regulations or orders thereunder. The Commission shall, by regulation, require each employer, labor organization, and joint labor-management committee subject to this subchapter which controls an apprenticeship or other training program to maintain such records as are reasonably necessary to carry out the purposes of this subchapter, including, but not limited to, a list of applicants who wish to participate in such program, including the chronological order in which applications were received, and to furnish to the Commission upon request, a detailed description of the manner in which persons are selected to participate in the apprenticeship or other training program. Any employer, employment agency, labor organization, or joint labor-management committee which believes that the application to it of any regulation or order issued under this section would result in undue hardship may apply to the Commission for an exemption from the application of such regulation or order, and, if such application for an exemption is denied, bring a civil action in the United States district court for the district where such records are kept. If the Commission or the court, as the case may be, finds that the application of the regulation or order to the employer, employment agency, or labor organization in question would impose an undue hardship, the Commission or the court, as the case may be, may grant appropriate relief. If any person required to comply with the provisions of this subsection fails or refuses to do so, the United States district court for the district in which such person is found, resides, or transacts business, shall, upon application of the Commission, or the Attorney General in a case involving a government, governmental agency or political subdivision, have jurisdiction to issue to such person an order requiring him to comply.  </w:t>
      </w:r>
    </w:p>
    <w:sectPr w:rsidR="00883A94" w:rsidSect="00F96D0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96D11" w14:textId="77777777" w:rsidR="006245B0" w:rsidRDefault="006245B0">
      <w:r>
        <w:separator/>
      </w:r>
    </w:p>
  </w:endnote>
  <w:endnote w:type="continuationSeparator" w:id="0">
    <w:p w14:paraId="2181BA0B" w14:textId="77777777" w:rsidR="006245B0" w:rsidRDefault="0062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091A1" w14:textId="77777777" w:rsidR="00BC625F" w:rsidRDefault="00BC6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11160" w14:textId="77777777" w:rsidR="006245B0" w:rsidRDefault="006245B0">
      <w:r>
        <w:separator/>
      </w:r>
    </w:p>
  </w:footnote>
  <w:footnote w:type="continuationSeparator" w:id="0">
    <w:p w14:paraId="5A166BA2" w14:textId="77777777" w:rsidR="006245B0" w:rsidRDefault="006245B0">
      <w:r>
        <w:continuationSeparator/>
      </w:r>
    </w:p>
  </w:footnote>
  <w:footnote w:id="1">
    <w:p w14:paraId="3969D6C4" w14:textId="44E23358" w:rsidR="00BC625F" w:rsidRPr="009E44F6" w:rsidRDefault="00BC625F" w:rsidP="00514434">
      <w:pPr>
        <w:pStyle w:val="FootnoteText"/>
      </w:pPr>
      <w:r w:rsidRPr="009E44F6">
        <w:rPr>
          <w:rStyle w:val="FootnoteReference"/>
        </w:rPr>
        <w:footnoteRef/>
      </w:r>
      <w:r w:rsidRPr="009E44F6">
        <w:t xml:space="preserve">  Source: </w:t>
      </w:r>
      <w:r w:rsidR="00FD4825" w:rsidRPr="009E44F6">
        <w:rPr>
          <w:rFonts w:hint="eastAsia"/>
        </w:rPr>
        <w:t>U.S. Small Business Administration: Statistics of U.S. Business</w:t>
      </w:r>
      <w:r w:rsidR="00FD4825" w:rsidRPr="009E44F6">
        <w:t>,</w:t>
      </w:r>
      <w:r w:rsidR="00FD4825" w:rsidRPr="009E44F6">
        <w:rPr>
          <w:spacing w:val="-4"/>
        </w:rPr>
        <w:t xml:space="preserve"> </w:t>
      </w:r>
      <w:r w:rsidR="00FD4825" w:rsidRPr="009E44F6">
        <w:rPr>
          <w:spacing w:val="-1"/>
        </w:rPr>
        <w:t>Release</w:t>
      </w:r>
      <w:r w:rsidR="00FD4825" w:rsidRPr="009E44F6">
        <w:rPr>
          <w:spacing w:val="-5"/>
        </w:rPr>
        <w:t xml:space="preserve"> </w:t>
      </w:r>
      <w:r w:rsidR="00FD4825" w:rsidRPr="009E44F6">
        <w:rPr>
          <w:spacing w:val="-1"/>
        </w:rPr>
        <w:t>Date</w:t>
      </w:r>
      <w:r w:rsidR="00FD4825" w:rsidRPr="009E44F6">
        <w:rPr>
          <w:spacing w:val="-5"/>
        </w:rPr>
        <w:t xml:space="preserve"> </w:t>
      </w:r>
      <w:r w:rsidR="00FD4825" w:rsidRPr="009E44F6">
        <w:t>1</w:t>
      </w:r>
      <w:r w:rsidR="00FD4825" w:rsidRPr="009E44F6">
        <w:rPr>
          <w:rFonts w:hint="eastAsia"/>
        </w:rPr>
        <w:t>/20</w:t>
      </w:r>
      <w:r w:rsidR="00FD4825" w:rsidRPr="009E44F6">
        <w:t>1</w:t>
      </w:r>
      <w:r w:rsidR="00FD4825" w:rsidRPr="009E44F6">
        <w:rPr>
          <w:rFonts w:hint="eastAsia"/>
        </w:rPr>
        <w:t>7</w:t>
      </w:r>
      <w:r w:rsidR="00FD4825" w:rsidRPr="009E44F6">
        <w:t>.</w:t>
      </w:r>
      <w:r w:rsidR="00FD4825" w:rsidRPr="009E44F6">
        <w:rPr>
          <w:w w:val="99"/>
        </w:rPr>
        <w:t xml:space="preserve"> </w:t>
      </w:r>
      <w:r w:rsidR="00FD4825" w:rsidRPr="009E44F6">
        <w:rPr>
          <w:color w:val="0000FF"/>
          <w:w w:val="99"/>
        </w:rPr>
        <w:t xml:space="preserve"> </w:t>
      </w:r>
      <w:r w:rsidR="00FD4825" w:rsidRPr="009E44F6">
        <w:rPr>
          <w:color w:val="0000FF"/>
          <w:spacing w:val="-1"/>
          <w:u w:val="single" w:color="0000FF"/>
        </w:rPr>
        <w:t>(</w:t>
      </w:r>
      <w:hyperlink r:id="rId1" w:history="1">
        <w:r w:rsidR="00FD4825" w:rsidRPr="006B516A">
          <w:rPr>
            <w:rStyle w:val="Hyperlink"/>
          </w:rPr>
          <w:t>https://www.sba.gov/advocacy/firm-size-data</w:t>
        </w:r>
      </w:hyperlink>
      <w:r w:rsidR="00FD4825" w:rsidRPr="009E44F6">
        <w:rPr>
          <w:color w:val="0000FF"/>
          <w:u w:val="single"/>
        </w:rPr>
        <w:t>)</w:t>
      </w:r>
      <w:r w:rsidR="00FD4825" w:rsidRPr="009E44F6">
        <w:rPr>
          <w:color w:val="0000FF"/>
          <w:u w:val="single" w:color="0000FF"/>
        </w:rPr>
        <w:t>.</w:t>
      </w:r>
      <w:r w:rsidR="00FD4825" w:rsidRPr="009E44F6">
        <w:rPr>
          <w:color w:val="0000FF"/>
          <w:spacing w:val="-6"/>
          <w:u w:val="single" w:color="0000FF"/>
        </w:rPr>
        <w:t xml:space="preserve"> </w:t>
      </w:r>
      <w:r w:rsidR="00FD4825" w:rsidRPr="006B516A">
        <w:rPr>
          <w:spacing w:val="-1"/>
          <w:u w:color="0000FF"/>
        </w:rPr>
        <w:t>Select</w:t>
      </w:r>
      <w:r w:rsidR="00FD4825" w:rsidRPr="006B516A">
        <w:rPr>
          <w:spacing w:val="-8"/>
          <w:u w:color="0000FF"/>
        </w:rPr>
        <w:t xml:space="preserve"> </w:t>
      </w:r>
      <w:r w:rsidR="006B516A">
        <w:rPr>
          <w:spacing w:val="-8"/>
          <w:u w:color="0000FF"/>
        </w:rPr>
        <w:t xml:space="preserve">“U.S. Data under </w:t>
      </w:r>
      <w:r w:rsidR="00FD4825" w:rsidRPr="006B516A">
        <w:rPr>
          <w:spacing w:val="-1"/>
          <w:u w:color="0000FF"/>
        </w:rPr>
        <w:t>U.S.</w:t>
      </w:r>
      <w:r w:rsidR="00FD4825" w:rsidRPr="006B516A">
        <w:rPr>
          <w:spacing w:val="-6"/>
          <w:u w:color="0000FF"/>
        </w:rPr>
        <w:t xml:space="preserve"> </w:t>
      </w:r>
      <w:r w:rsidR="00FD4825" w:rsidRPr="006B516A">
        <w:rPr>
          <w:rFonts w:hint="eastAsia"/>
          <w:u w:color="0000FF"/>
        </w:rPr>
        <w:t>Static Data</w:t>
      </w:r>
      <w:r w:rsidR="00FD4825" w:rsidRPr="006B516A">
        <w:rPr>
          <w:spacing w:val="-1"/>
          <w:u w:color="0000FF"/>
        </w:rPr>
        <w:t>.</w:t>
      </w:r>
    </w:p>
  </w:footnote>
  <w:footnote w:id="2">
    <w:p w14:paraId="2C60DCBE" w14:textId="55AEAB06" w:rsidR="00BC625F" w:rsidRPr="009E44F6" w:rsidRDefault="00BC625F" w:rsidP="00514434">
      <w:pPr>
        <w:pStyle w:val="FootnoteText"/>
      </w:pPr>
      <w:bookmarkStart w:id="1" w:name="_Hlk515359048"/>
      <w:r w:rsidRPr="009E44F6">
        <w:rPr>
          <w:rStyle w:val="FootnoteReference"/>
        </w:rPr>
        <w:footnoteRef/>
      </w:r>
      <w:r w:rsidRPr="009E44F6">
        <w:t xml:space="preserve"> Source of original data: 2012 Census of Governments: Employment. Individual Government Data File (</w:t>
      </w:r>
      <w:hyperlink r:id="rId2" w:history="1">
        <w:r w:rsidR="004830E1" w:rsidRPr="00154816">
          <w:rPr>
            <w:rStyle w:val="Hyperlink"/>
          </w:rPr>
          <w:t>https://www2.census.gov/govs/apes/12ind_all_tabs.xls</w:t>
        </w:r>
      </w:hyperlink>
      <w:r w:rsidRPr="009E44F6">
        <w:t>), Local Downloadable Data zip file 12ind_all_tabs.xls.</w:t>
      </w:r>
      <w:r w:rsidRPr="009E44F6">
        <w:rPr>
          <w:rFonts w:ascii="Arial" w:hAnsi="Arial" w:cs="Arial"/>
          <w:b/>
        </w:rPr>
        <w:t xml:space="preserve"> </w:t>
      </w:r>
      <w:r w:rsidRPr="009E44F6">
        <w:t>The original number of government entities was adjusted to only include those with 15 or more employees</w:t>
      </w:r>
      <w:bookmarkEnd w:id="1"/>
      <w:r w:rsidRPr="009E44F6">
        <w:t>.</w:t>
      </w:r>
    </w:p>
  </w:footnote>
  <w:footnote w:id="3">
    <w:p w14:paraId="1B014010" w14:textId="28E3DBE0" w:rsidR="00BC625F" w:rsidRPr="009E44F6" w:rsidRDefault="00BC625F" w:rsidP="00514434">
      <w:pPr>
        <w:pStyle w:val="CommentText"/>
        <w:ind w:right="-180"/>
      </w:pPr>
      <w:r w:rsidRPr="009E44F6">
        <w:rPr>
          <w:rStyle w:val="FootnoteReference"/>
        </w:rPr>
        <w:footnoteRef/>
      </w:r>
      <w:r w:rsidRPr="009E44F6">
        <w:t xml:space="preserve"> </w:t>
      </w:r>
      <w:bookmarkStart w:id="2" w:name="_Hlk515359703"/>
      <w:r w:rsidRPr="009E44F6">
        <w:t>Source: U.S. Department of Education, National Center for Education Statistics, IPEDS, Fall 201</w:t>
      </w:r>
      <w:r w:rsidR="00FD4825" w:rsidRPr="009E44F6">
        <w:rPr>
          <w:rFonts w:eastAsiaTheme="minorEastAsia" w:hint="eastAsia"/>
          <w:lang w:eastAsia="ko-KR"/>
        </w:rPr>
        <w:t>5</w:t>
      </w:r>
      <w:r w:rsidRPr="009E44F6">
        <w:t>. Number and percentage distribution of Title IV institutions, by control of institution, level of institution, and region: United States and other U.S. jurisdictions, academic year 201</w:t>
      </w:r>
      <w:r w:rsidR="009E736D" w:rsidRPr="009E44F6">
        <w:t>5</w:t>
      </w:r>
      <w:r w:rsidRPr="009E44F6">
        <w:t>-1</w:t>
      </w:r>
      <w:r w:rsidR="00C5570E">
        <w:t>6</w:t>
      </w:r>
      <w:r w:rsidR="00B05FFD">
        <w:t xml:space="preserve"> </w:t>
      </w:r>
      <w:r w:rsidRPr="009E44F6">
        <w:t>(</w:t>
      </w:r>
      <w:hyperlink r:id="rId3" w:history="1">
        <w:r w:rsidR="003D2DDE" w:rsidRPr="00154816">
          <w:rPr>
            <w:rStyle w:val="Hyperlink"/>
          </w:rPr>
          <w:t>https://nces.ed.gov/pubs2016/2016111.pdf</w:t>
        </w:r>
      </w:hyperlink>
      <w:r w:rsidRPr="009E44F6">
        <w:t>).</w:t>
      </w:r>
      <w:bookmarkEnd w:id="2"/>
    </w:p>
  </w:footnote>
  <w:footnote w:id="4">
    <w:p w14:paraId="1A0373E4" w14:textId="77777777" w:rsidR="00BC625F" w:rsidRPr="009E44F6" w:rsidRDefault="00BC625F" w:rsidP="00514434">
      <w:pPr>
        <w:pStyle w:val="FootnoteText"/>
      </w:pPr>
      <w:r w:rsidRPr="009E44F6">
        <w:rPr>
          <w:rStyle w:val="FootnoteReference"/>
        </w:rPr>
        <w:footnoteRef/>
      </w:r>
      <w:r w:rsidRPr="009E44F6">
        <w:t xml:space="preserve"> EEO-3 Reports filed by referral unions in 201</w:t>
      </w:r>
      <w:r w:rsidR="00FD4825" w:rsidRPr="009E44F6">
        <w:rPr>
          <w:rFonts w:eastAsiaTheme="minorEastAsia" w:hint="eastAsia"/>
          <w:lang w:eastAsia="ko-KR"/>
        </w:rPr>
        <w:t>6</w:t>
      </w:r>
      <w:r w:rsidRPr="009E44F6">
        <w:t xml:space="preserve"> with EEOC.</w:t>
      </w:r>
    </w:p>
  </w:footnote>
  <w:footnote w:id="5">
    <w:p w14:paraId="1181AFA6" w14:textId="3DE77FFB" w:rsidR="00BC625F" w:rsidRDefault="00BC625F" w:rsidP="007F6C67">
      <w:pPr>
        <w:pStyle w:val="FootnoteText"/>
      </w:pPr>
      <w:r w:rsidRPr="009E44F6">
        <w:rPr>
          <w:rStyle w:val="FootnoteReference"/>
        </w:rPr>
        <w:footnoteRef/>
      </w:r>
      <w:r w:rsidRPr="009E44F6">
        <w:t xml:space="preserve"> Data from SBA estimated that there were </w:t>
      </w:r>
      <w:r w:rsidR="003E665C" w:rsidRPr="009E44F6">
        <w:t>414,043</w:t>
      </w:r>
      <w:r w:rsidRPr="009E44F6">
        <w:t xml:space="preserve"> firm births in 201</w:t>
      </w:r>
      <w:r w:rsidR="003E665C" w:rsidRPr="009E44F6">
        <w:t>4</w:t>
      </w:r>
      <w:r w:rsidRPr="009E44F6">
        <w:t>-201</w:t>
      </w:r>
      <w:r w:rsidR="003E665C" w:rsidRPr="009E44F6">
        <w:t>5</w:t>
      </w:r>
      <w:r w:rsidRPr="009E44F6">
        <w:t xml:space="preserve">.  </w:t>
      </w:r>
      <w:r w:rsidR="003E665C" w:rsidRPr="009E44F6">
        <w:t>Business Dynamics Statistics (BDS) https://www.census.gov/ces/dataproducts/bds/.</w:t>
      </w:r>
      <w:r w:rsidRPr="009E44F6">
        <w:t xml:space="preserve">Using data about firm size from the </w:t>
      </w:r>
      <w:r w:rsidR="003E665C" w:rsidRPr="009E44F6">
        <w:t>BDS</w:t>
      </w:r>
      <w:r w:rsidRPr="009E44F6">
        <w:t xml:space="preserve">, we estimated that about </w:t>
      </w:r>
      <w:r w:rsidR="003E665C" w:rsidRPr="009E44F6">
        <w:t>18.0</w:t>
      </w:r>
      <w:r w:rsidRPr="009E44F6">
        <w:t xml:space="preserve"> percent of businesses have 15 or more employees.  Therefore, </w:t>
      </w:r>
      <w:r w:rsidR="003E665C" w:rsidRPr="009E44F6">
        <w:t>18.0</w:t>
      </w:r>
      <w:r w:rsidRPr="009E44F6">
        <w:t xml:space="preserve"> percent of </w:t>
      </w:r>
      <w:r w:rsidR="003E665C" w:rsidRPr="009E44F6">
        <w:t>414,043</w:t>
      </w:r>
      <w:r w:rsidRPr="009E44F6">
        <w:t xml:space="preserve"> led to an estimated </w:t>
      </w:r>
      <w:r w:rsidR="003E665C" w:rsidRPr="009E44F6">
        <w:t>74,528</w:t>
      </w:r>
      <w:r w:rsidRPr="009E44F6">
        <w:t xml:space="preserve"> new firms with 15 or more employees. The number of </w:t>
      </w:r>
      <w:r w:rsidR="003E665C" w:rsidRPr="009E44F6">
        <w:t>18.03876016</w:t>
      </w:r>
      <w:r w:rsidRPr="009E44F6">
        <w:t xml:space="preserve"> percent (i.e. unrounded) is included in the calculation to determine the number of firms.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A6FA7" w14:textId="77777777" w:rsidR="00BC625F" w:rsidRDefault="00BC6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nsid w:val="17850396"/>
    <w:multiLevelType w:val="multilevel"/>
    <w:tmpl w:val="832A5F0E"/>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9D121B"/>
    <w:multiLevelType w:val="hybridMultilevel"/>
    <w:tmpl w:val="7B8412D6"/>
    <w:lvl w:ilvl="0" w:tplc="5DD09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5E25AA"/>
    <w:multiLevelType w:val="hybridMultilevel"/>
    <w:tmpl w:val="88584116"/>
    <w:lvl w:ilvl="0" w:tplc="F8B6FF0E">
      <w:start w:val="1"/>
      <w:numFmt w:val="upperLetter"/>
      <w:pStyle w:val="EEOCListAlphaParaSpac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D304BB1"/>
    <w:multiLevelType w:val="hybridMultilevel"/>
    <w:tmpl w:val="FA2ACD06"/>
    <w:lvl w:ilvl="0" w:tplc="8236E276">
      <w:start w:val="1"/>
      <w:numFmt w:val="bullet"/>
      <w:pStyle w:val="EEOCListBulletParaSpa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5B71DB"/>
    <w:multiLevelType w:val="hybridMultilevel"/>
    <w:tmpl w:val="4A4CD9B0"/>
    <w:lvl w:ilvl="0" w:tplc="B1EA0634">
      <w:start w:val="1"/>
      <w:numFmt w:val="decimal"/>
      <w:pStyle w:val="EEOC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337497"/>
    <w:multiLevelType w:val="hybridMultilevel"/>
    <w:tmpl w:val="832A5F0E"/>
    <w:lvl w:ilvl="0" w:tplc="764E08B2">
      <w:start w:val="1"/>
      <w:numFmt w:val="upperLetter"/>
      <w:lvlText w:val="%1."/>
      <w:lvlJc w:val="left"/>
      <w:pPr>
        <w:tabs>
          <w:tab w:val="num" w:pos="1080"/>
        </w:tabs>
        <w:ind w:left="1080" w:hanging="720"/>
      </w:pPr>
      <w:rPr>
        <w:rFonts w:hint="default"/>
      </w:rPr>
    </w:lvl>
    <w:lvl w:ilvl="1" w:tplc="1DB61FD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0"/>
  </w:num>
  <w:num w:numId="5">
    <w:abstractNumId w:val="2"/>
  </w:num>
  <w:num w:numId="6">
    <w:abstractNumId w:val="5"/>
  </w:num>
  <w:num w:numId="7">
    <w:abstractNumId w:val="4"/>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67"/>
    <w:rsid w:val="0000271A"/>
    <w:rsid w:val="0000372A"/>
    <w:rsid w:val="000073B5"/>
    <w:rsid w:val="00010E36"/>
    <w:rsid w:val="00011057"/>
    <w:rsid w:val="000143E1"/>
    <w:rsid w:val="00014EF7"/>
    <w:rsid w:val="00015F55"/>
    <w:rsid w:val="00025CDF"/>
    <w:rsid w:val="00027826"/>
    <w:rsid w:val="000302E7"/>
    <w:rsid w:val="00031EA4"/>
    <w:rsid w:val="0003654E"/>
    <w:rsid w:val="00037816"/>
    <w:rsid w:val="0004150E"/>
    <w:rsid w:val="000429D0"/>
    <w:rsid w:val="0004509C"/>
    <w:rsid w:val="0004766F"/>
    <w:rsid w:val="00047E2F"/>
    <w:rsid w:val="00052BC7"/>
    <w:rsid w:val="00054E16"/>
    <w:rsid w:val="00056564"/>
    <w:rsid w:val="00060FE0"/>
    <w:rsid w:val="00064651"/>
    <w:rsid w:val="00065A75"/>
    <w:rsid w:val="00065DCB"/>
    <w:rsid w:val="00066378"/>
    <w:rsid w:val="000703A4"/>
    <w:rsid w:val="0007256D"/>
    <w:rsid w:val="0007414C"/>
    <w:rsid w:val="000765B5"/>
    <w:rsid w:val="00085A20"/>
    <w:rsid w:val="0009235F"/>
    <w:rsid w:val="0009462D"/>
    <w:rsid w:val="000A37FB"/>
    <w:rsid w:val="000A73E0"/>
    <w:rsid w:val="000B0CBE"/>
    <w:rsid w:val="000B2A48"/>
    <w:rsid w:val="000B2FF0"/>
    <w:rsid w:val="000B4A7B"/>
    <w:rsid w:val="000C47F6"/>
    <w:rsid w:val="000C4997"/>
    <w:rsid w:val="000C5C88"/>
    <w:rsid w:val="000D2037"/>
    <w:rsid w:val="000D2E2B"/>
    <w:rsid w:val="000D4B52"/>
    <w:rsid w:val="000E0BB3"/>
    <w:rsid w:val="000E1593"/>
    <w:rsid w:val="000E684E"/>
    <w:rsid w:val="000F5A1B"/>
    <w:rsid w:val="0010289F"/>
    <w:rsid w:val="00102BB5"/>
    <w:rsid w:val="00102E9A"/>
    <w:rsid w:val="0010477F"/>
    <w:rsid w:val="00110228"/>
    <w:rsid w:val="0011035F"/>
    <w:rsid w:val="001133CB"/>
    <w:rsid w:val="0011588E"/>
    <w:rsid w:val="001164F7"/>
    <w:rsid w:val="0011734C"/>
    <w:rsid w:val="001179AD"/>
    <w:rsid w:val="00120B81"/>
    <w:rsid w:val="0012427D"/>
    <w:rsid w:val="00130817"/>
    <w:rsid w:val="00133586"/>
    <w:rsid w:val="00134D6A"/>
    <w:rsid w:val="001366C9"/>
    <w:rsid w:val="00144C26"/>
    <w:rsid w:val="00146571"/>
    <w:rsid w:val="00147001"/>
    <w:rsid w:val="00153228"/>
    <w:rsid w:val="001538C0"/>
    <w:rsid w:val="001544D1"/>
    <w:rsid w:val="001555EB"/>
    <w:rsid w:val="00155875"/>
    <w:rsid w:val="001575E4"/>
    <w:rsid w:val="00163694"/>
    <w:rsid w:val="00170771"/>
    <w:rsid w:val="00173700"/>
    <w:rsid w:val="001877DD"/>
    <w:rsid w:val="00194442"/>
    <w:rsid w:val="001A27AA"/>
    <w:rsid w:val="001A45F8"/>
    <w:rsid w:val="001A4FCB"/>
    <w:rsid w:val="001A505D"/>
    <w:rsid w:val="001A6405"/>
    <w:rsid w:val="001B05A3"/>
    <w:rsid w:val="001B0E7A"/>
    <w:rsid w:val="001B5F5F"/>
    <w:rsid w:val="001C3B42"/>
    <w:rsid w:val="001C7ADB"/>
    <w:rsid w:val="001D4686"/>
    <w:rsid w:val="001D546C"/>
    <w:rsid w:val="001E28FD"/>
    <w:rsid w:val="001E2D5C"/>
    <w:rsid w:val="001E69D2"/>
    <w:rsid w:val="001F4EB4"/>
    <w:rsid w:val="001F6F9F"/>
    <w:rsid w:val="0020097B"/>
    <w:rsid w:val="00204F5B"/>
    <w:rsid w:val="0020797D"/>
    <w:rsid w:val="00211088"/>
    <w:rsid w:val="002137FC"/>
    <w:rsid w:val="002143CA"/>
    <w:rsid w:val="0021469F"/>
    <w:rsid w:val="00217FC1"/>
    <w:rsid w:val="00217FE9"/>
    <w:rsid w:val="00220EAD"/>
    <w:rsid w:val="00223629"/>
    <w:rsid w:val="00225B4D"/>
    <w:rsid w:val="00225B50"/>
    <w:rsid w:val="002324AA"/>
    <w:rsid w:val="002379D0"/>
    <w:rsid w:val="0024041B"/>
    <w:rsid w:val="0024115F"/>
    <w:rsid w:val="0024144A"/>
    <w:rsid w:val="00244F9D"/>
    <w:rsid w:val="00244FF9"/>
    <w:rsid w:val="00252952"/>
    <w:rsid w:val="00253BA2"/>
    <w:rsid w:val="00255536"/>
    <w:rsid w:val="00256A14"/>
    <w:rsid w:val="0026387B"/>
    <w:rsid w:val="00263D75"/>
    <w:rsid w:val="00265530"/>
    <w:rsid w:val="0027523B"/>
    <w:rsid w:val="002762EE"/>
    <w:rsid w:val="0028564C"/>
    <w:rsid w:val="00286056"/>
    <w:rsid w:val="00287E88"/>
    <w:rsid w:val="002908F6"/>
    <w:rsid w:val="00290D57"/>
    <w:rsid w:val="00293108"/>
    <w:rsid w:val="002938A0"/>
    <w:rsid w:val="002A1688"/>
    <w:rsid w:val="002A210B"/>
    <w:rsid w:val="002A2B61"/>
    <w:rsid w:val="002A4814"/>
    <w:rsid w:val="002B1ACD"/>
    <w:rsid w:val="002B1F8C"/>
    <w:rsid w:val="002B2759"/>
    <w:rsid w:val="002C43B1"/>
    <w:rsid w:val="002C4EBF"/>
    <w:rsid w:val="002C786E"/>
    <w:rsid w:val="002D26B3"/>
    <w:rsid w:val="002D29CB"/>
    <w:rsid w:val="002D4242"/>
    <w:rsid w:val="002D562F"/>
    <w:rsid w:val="002E3319"/>
    <w:rsid w:val="002E43EC"/>
    <w:rsid w:val="002E4F51"/>
    <w:rsid w:val="002E5225"/>
    <w:rsid w:val="002E618E"/>
    <w:rsid w:val="002E63A7"/>
    <w:rsid w:val="002F0E24"/>
    <w:rsid w:val="002F18E6"/>
    <w:rsid w:val="002F6C8D"/>
    <w:rsid w:val="00302646"/>
    <w:rsid w:val="0030363E"/>
    <w:rsid w:val="00304DBD"/>
    <w:rsid w:val="00305E79"/>
    <w:rsid w:val="00311D31"/>
    <w:rsid w:val="00312552"/>
    <w:rsid w:val="003139BA"/>
    <w:rsid w:val="003144ED"/>
    <w:rsid w:val="003217A0"/>
    <w:rsid w:val="00321D90"/>
    <w:rsid w:val="00326BD1"/>
    <w:rsid w:val="00327601"/>
    <w:rsid w:val="00327784"/>
    <w:rsid w:val="00331F9B"/>
    <w:rsid w:val="00333ABE"/>
    <w:rsid w:val="00334BB5"/>
    <w:rsid w:val="0034162F"/>
    <w:rsid w:val="00345758"/>
    <w:rsid w:val="00352209"/>
    <w:rsid w:val="00356057"/>
    <w:rsid w:val="003570CB"/>
    <w:rsid w:val="00362256"/>
    <w:rsid w:val="003649BD"/>
    <w:rsid w:val="00366848"/>
    <w:rsid w:val="003679B9"/>
    <w:rsid w:val="00372BC6"/>
    <w:rsid w:val="0037468F"/>
    <w:rsid w:val="003776AC"/>
    <w:rsid w:val="00377A42"/>
    <w:rsid w:val="00380523"/>
    <w:rsid w:val="0038667E"/>
    <w:rsid w:val="00392F11"/>
    <w:rsid w:val="00393B2C"/>
    <w:rsid w:val="003944E1"/>
    <w:rsid w:val="00394F33"/>
    <w:rsid w:val="00397058"/>
    <w:rsid w:val="003975A2"/>
    <w:rsid w:val="003A3F98"/>
    <w:rsid w:val="003A5DEB"/>
    <w:rsid w:val="003A735C"/>
    <w:rsid w:val="003B721C"/>
    <w:rsid w:val="003C0EDA"/>
    <w:rsid w:val="003C18BB"/>
    <w:rsid w:val="003C37DE"/>
    <w:rsid w:val="003C3B53"/>
    <w:rsid w:val="003D2DDE"/>
    <w:rsid w:val="003E2213"/>
    <w:rsid w:val="003E665C"/>
    <w:rsid w:val="003E6770"/>
    <w:rsid w:val="003E7496"/>
    <w:rsid w:val="00401AA7"/>
    <w:rsid w:val="0040699C"/>
    <w:rsid w:val="00412359"/>
    <w:rsid w:val="0041282E"/>
    <w:rsid w:val="00414EF8"/>
    <w:rsid w:val="00417C88"/>
    <w:rsid w:val="00421679"/>
    <w:rsid w:val="0042446C"/>
    <w:rsid w:val="00424BA8"/>
    <w:rsid w:val="0042566C"/>
    <w:rsid w:val="00427419"/>
    <w:rsid w:val="00427746"/>
    <w:rsid w:val="00433F66"/>
    <w:rsid w:val="0043648E"/>
    <w:rsid w:val="00440CA8"/>
    <w:rsid w:val="00451A89"/>
    <w:rsid w:val="0045719A"/>
    <w:rsid w:val="00460A0B"/>
    <w:rsid w:val="00461269"/>
    <w:rsid w:val="0046196A"/>
    <w:rsid w:val="00463C2C"/>
    <w:rsid w:val="00464ED8"/>
    <w:rsid w:val="004659BD"/>
    <w:rsid w:val="00473675"/>
    <w:rsid w:val="00475BD7"/>
    <w:rsid w:val="004769F7"/>
    <w:rsid w:val="00481669"/>
    <w:rsid w:val="00482543"/>
    <w:rsid w:val="004830E1"/>
    <w:rsid w:val="00483685"/>
    <w:rsid w:val="00485685"/>
    <w:rsid w:val="00487ED7"/>
    <w:rsid w:val="00490959"/>
    <w:rsid w:val="00492FCA"/>
    <w:rsid w:val="00493A9F"/>
    <w:rsid w:val="0049788A"/>
    <w:rsid w:val="004979F6"/>
    <w:rsid w:val="004A041B"/>
    <w:rsid w:val="004A2A54"/>
    <w:rsid w:val="004A49D1"/>
    <w:rsid w:val="004A60B5"/>
    <w:rsid w:val="004B34DF"/>
    <w:rsid w:val="004B47F3"/>
    <w:rsid w:val="004B4D0A"/>
    <w:rsid w:val="004C5516"/>
    <w:rsid w:val="004C5E44"/>
    <w:rsid w:val="004C6CE9"/>
    <w:rsid w:val="004C7645"/>
    <w:rsid w:val="004D0180"/>
    <w:rsid w:val="004D2005"/>
    <w:rsid w:val="004E02E1"/>
    <w:rsid w:val="004E0A90"/>
    <w:rsid w:val="004E2259"/>
    <w:rsid w:val="004E61C2"/>
    <w:rsid w:val="004F2807"/>
    <w:rsid w:val="004F3F40"/>
    <w:rsid w:val="004F4110"/>
    <w:rsid w:val="004F7144"/>
    <w:rsid w:val="00506581"/>
    <w:rsid w:val="00507676"/>
    <w:rsid w:val="00511834"/>
    <w:rsid w:val="00513756"/>
    <w:rsid w:val="00514434"/>
    <w:rsid w:val="00515C5D"/>
    <w:rsid w:val="0052114F"/>
    <w:rsid w:val="005213A0"/>
    <w:rsid w:val="005215F7"/>
    <w:rsid w:val="0052166F"/>
    <w:rsid w:val="005251F0"/>
    <w:rsid w:val="00525715"/>
    <w:rsid w:val="005268EA"/>
    <w:rsid w:val="00526FD9"/>
    <w:rsid w:val="0053035A"/>
    <w:rsid w:val="00534586"/>
    <w:rsid w:val="00536EF1"/>
    <w:rsid w:val="00540DA7"/>
    <w:rsid w:val="00541DBF"/>
    <w:rsid w:val="00542E89"/>
    <w:rsid w:val="005431D2"/>
    <w:rsid w:val="00543306"/>
    <w:rsid w:val="005442FF"/>
    <w:rsid w:val="005475A2"/>
    <w:rsid w:val="0055409B"/>
    <w:rsid w:val="005568E5"/>
    <w:rsid w:val="005633C3"/>
    <w:rsid w:val="00567F87"/>
    <w:rsid w:val="0057120F"/>
    <w:rsid w:val="00572033"/>
    <w:rsid w:val="0057351B"/>
    <w:rsid w:val="00577B5D"/>
    <w:rsid w:val="005805B1"/>
    <w:rsid w:val="00584534"/>
    <w:rsid w:val="00585116"/>
    <w:rsid w:val="00587BDA"/>
    <w:rsid w:val="00590EF1"/>
    <w:rsid w:val="00593519"/>
    <w:rsid w:val="005935C9"/>
    <w:rsid w:val="005949CB"/>
    <w:rsid w:val="005951DE"/>
    <w:rsid w:val="005954F4"/>
    <w:rsid w:val="0059612A"/>
    <w:rsid w:val="005A02E7"/>
    <w:rsid w:val="005A5A05"/>
    <w:rsid w:val="005A6326"/>
    <w:rsid w:val="005B0D89"/>
    <w:rsid w:val="005B29A2"/>
    <w:rsid w:val="005B6017"/>
    <w:rsid w:val="005B65A1"/>
    <w:rsid w:val="005B7AE7"/>
    <w:rsid w:val="005C024A"/>
    <w:rsid w:val="005C63E7"/>
    <w:rsid w:val="005C78BF"/>
    <w:rsid w:val="005D4A17"/>
    <w:rsid w:val="005D4EDF"/>
    <w:rsid w:val="005E2ABE"/>
    <w:rsid w:val="005E7B4E"/>
    <w:rsid w:val="005F0C05"/>
    <w:rsid w:val="005F1252"/>
    <w:rsid w:val="005F20AC"/>
    <w:rsid w:val="005F5456"/>
    <w:rsid w:val="006007A3"/>
    <w:rsid w:val="0060117B"/>
    <w:rsid w:val="00602DFA"/>
    <w:rsid w:val="00603C84"/>
    <w:rsid w:val="00607965"/>
    <w:rsid w:val="00610512"/>
    <w:rsid w:val="00610527"/>
    <w:rsid w:val="00613730"/>
    <w:rsid w:val="006165D3"/>
    <w:rsid w:val="0061675A"/>
    <w:rsid w:val="00620097"/>
    <w:rsid w:val="00621037"/>
    <w:rsid w:val="006245B0"/>
    <w:rsid w:val="0062578C"/>
    <w:rsid w:val="00627120"/>
    <w:rsid w:val="00627803"/>
    <w:rsid w:val="006303D3"/>
    <w:rsid w:val="00630B7D"/>
    <w:rsid w:val="00631CB9"/>
    <w:rsid w:val="00633976"/>
    <w:rsid w:val="006339D6"/>
    <w:rsid w:val="00636D1C"/>
    <w:rsid w:val="00636E74"/>
    <w:rsid w:val="00641433"/>
    <w:rsid w:val="00641650"/>
    <w:rsid w:val="00641C98"/>
    <w:rsid w:val="00643779"/>
    <w:rsid w:val="006446D3"/>
    <w:rsid w:val="00645EF4"/>
    <w:rsid w:val="006478D0"/>
    <w:rsid w:val="006549BB"/>
    <w:rsid w:val="00660518"/>
    <w:rsid w:val="00663636"/>
    <w:rsid w:val="00670916"/>
    <w:rsid w:val="0067122F"/>
    <w:rsid w:val="0067663D"/>
    <w:rsid w:val="00677D2E"/>
    <w:rsid w:val="00681BA5"/>
    <w:rsid w:val="00682963"/>
    <w:rsid w:val="006834F4"/>
    <w:rsid w:val="006909CF"/>
    <w:rsid w:val="006957B2"/>
    <w:rsid w:val="00695EC6"/>
    <w:rsid w:val="006978B5"/>
    <w:rsid w:val="00697C5A"/>
    <w:rsid w:val="006A09AA"/>
    <w:rsid w:val="006A1E4E"/>
    <w:rsid w:val="006A6CC6"/>
    <w:rsid w:val="006B0486"/>
    <w:rsid w:val="006B516A"/>
    <w:rsid w:val="006B77E9"/>
    <w:rsid w:val="006C2FC2"/>
    <w:rsid w:val="006C7B31"/>
    <w:rsid w:val="006D2B0C"/>
    <w:rsid w:val="006D3B5C"/>
    <w:rsid w:val="006D40D0"/>
    <w:rsid w:val="006D54B6"/>
    <w:rsid w:val="006E50E0"/>
    <w:rsid w:val="006E66E4"/>
    <w:rsid w:val="006E6D01"/>
    <w:rsid w:val="006F1F58"/>
    <w:rsid w:val="006F5710"/>
    <w:rsid w:val="006F6685"/>
    <w:rsid w:val="006F6AB5"/>
    <w:rsid w:val="006F6CF8"/>
    <w:rsid w:val="0070004D"/>
    <w:rsid w:val="0070185C"/>
    <w:rsid w:val="007024D9"/>
    <w:rsid w:val="00706FED"/>
    <w:rsid w:val="00721FCC"/>
    <w:rsid w:val="007251FD"/>
    <w:rsid w:val="007316D6"/>
    <w:rsid w:val="00732BBB"/>
    <w:rsid w:val="00732E5F"/>
    <w:rsid w:val="00737509"/>
    <w:rsid w:val="00744E6B"/>
    <w:rsid w:val="00752607"/>
    <w:rsid w:val="00756BF1"/>
    <w:rsid w:val="00760CDC"/>
    <w:rsid w:val="00766A8C"/>
    <w:rsid w:val="0077135E"/>
    <w:rsid w:val="00772B1E"/>
    <w:rsid w:val="00774CF3"/>
    <w:rsid w:val="00777B41"/>
    <w:rsid w:val="00777D39"/>
    <w:rsid w:val="0078075A"/>
    <w:rsid w:val="00783586"/>
    <w:rsid w:val="007841C2"/>
    <w:rsid w:val="00786FC6"/>
    <w:rsid w:val="0079112D"/>
    <w:rsid w:val="00792F8B"/>
    <w:rsid w:val="007932DC"/>
    <w:rsid w:val="00794CD0"/>
    <w:rsid w:val="0079610D"/>
    <w:rsid w:val="007976C1"/>
    <w:rsid w:val="007A18F4"/>
    <w:rsid w:val="007A36DF"/>
    <w:rsid w:val="007A3B70"/>
    <w:rsid w:val="007A5C58"/>
    <w:rsid w:val="007A7755"/>
    <w:rsid w:val="007B0F5C"/>
    <w:rsid w:val="007B44D8"/>
    <w:rsid w:val="007B77BB"/>
    <w:rsid w:val="007C5402"/>
    <w:rsid w:val="007C7C4F"/>
    <w:rsid w:val="007C7D37"/>
    <w:rsid w:val="007D301E"/>
    <w:rsid w:val="007D3B43"/>
    <w:rsid w:val="007E2CCB"/>
    <w:rsid w:val="007E7612"/>
    <w:rsid w:val="007F0073"/>
    <w:rsid w:val="007F22FB"/>
    <w:rsid w:val="007F32F1"/>
    <w:rsid w:val="007F5CD2"/>
    <w:rsid w:val="007F6C67"/>
    <w:rsid w:val="00801C60"/>
    <w:rsid w:val="00802C05"/>
    <w:rsid w:val="00803238"/>
    <w:rsid w:val="00803DEA"/>
    <w:rsid w:val="008046CD"/>
    <w:rsid w:val="00805EA0"/>
    <w:rsid w:val="00807306"/>
    <w:rsid w:val="00815D9A"/>
    <w:rsid w:val="00815ED7"/>
    <w:rsid w:val="008226F5"/>
    <w:rsid w:val="0082462C"/>
    <w:rsid w:val="0083065C"/>
    <w:rsid w:val="00831E2D"/>
    <w:rsid w:val="00833DB8"/>
    <w:rsid w:val="00835255"/>
    <w:rsid w:val="00837232"/>
    <w:rsid w:val="00845C8C"/>
    <w:rsid w:val="00852287"/>
    <w:rsid w:val="0085339E"/>
    <w:rsid w:val="00853666"/>
    <w:rsid w:val="008566C2"/>
    <w:rsid w:val="00861040"/>
    <w:rsid w:val="008650B6"/>
    <w:rsid w:val="00866504"/>
    <w:rsid w:val="00866E22"/>
    <w:rsid w:val="00870182"/>
    <w:rsid w:val="008745AC"/>
    <w:rsid w:val="00877803"/>
    <w:rsid w:val="008802F0"/>
    <w:rsid w:val="0088187B"/>
    <w:rsid w:val="00883A94"/>
    <w:rsid w:val="00884534"/>
    <w:rsid w:val="008849FE"/>
    <w:rsid w:val="00886205"/>
    <w:rsid w:val="0088776F"/>
    <w:rsid w:val="008879A3"/>
    <w:rsid w:val="0089002A"/>
    <w:rsid w:val="00892E8B"/>
    <w:rsid w:val="008956FA"/>
    <w:rsid w:val="00897760"/>
    <w:rsid w:val="008A0788"/>
    <w:rsid w:val="008A0F86"/>
    <w:rsid w:val="008A1F51"/>
    <w:rsid w:val="008A478D"/>
    <w:rsid w:val="008B26BF"/>
    <w:rsid w:val="008B3C18"/>
    <w:rsid w:val="008B6E68"/>
    <w:rsid w:val="008C02A4"/>
    <w:rsid w:val="008C3159"/>
    <w:rsid w:val="008C43A9"/>
    <w:rsid w:val="008C770B"/>
    <w:rsid w:val="008D65FF"/>
    <w:rsid w:val="008D6B71"/>
    <w:rsid w:val="008D6CAA"/>
    <w:rsid w:val="008E1D24"/>
    <w:rsid w:val="008E63DD"/>
    <w:rsid w:val="008F40D5"/>
    <w:rsid w:val="008F420F"/>
    <w:rsid w:val="008F6A89"/>
    <w:rsid w:val="009002D7"/>
    <w:rsid w:val="00913A7D"/>
    <w:rsid w:val="00915F1B"/>
    <w:rsid w:val="009215CC"/>
    <w:rsid w:val="009301C6"/>
    <w:rsid w:val="00932B12"/>
    <w:rsid w:val="00941BB2"/>
    <w:rsid w:val="0094633F"/>
    <w:rsid w:val="0094649F"/>
    <w:rsid w:val="00946556"/>
    <w:rsid w:val="00947BEA"/>
    <w:rsid w:val="00957F58"/>
    <w:rsid w:val="00960E53"/>
    <w:rsid w:val="009620A8"/>
    <w:rsid w:val="00962DE9"/>
    <w:rsid w:val="0096305B"/>
    <w:rsid w:val="009658AA"/>
    <w:rsid w:val="00967C2B"/>
    <w:rsid w:val="00970A47"/>
    <w:rsid w:val="00970D6F"/>
    <w:rsid w:val="009733C1"/>
    <w:rsid w:val="0097341F"/>
    <w:rsid w:val="009754F4"/>
    <w:rsid w:val="00976C46"/>
    <w:rsid w:val="0097702F"/>
    <w:rsid w:val="009775F0"/>
    <w:rsid w:val="0098016A"/>
    <w:rsid w:val="0098018C"/>
    <w:rsid w:val="00980422"/>
    <w:rsid w:val="009819AF"/>
    <w:rsid w:val="00982C4C"/>
    <w:rsid w:val="00983112"/>
    <w:rsid w:val="00984CCF"/>
    <w:rsid w:val="00984DCE"/>
    <w:rsid w:val="009927AD"/>
    <w:rsid w:val="0099284E"/>
    <w:rsid w:val="0099291E"/>
    <w:rsid w:val="0099440A"/>
    <w:rsid w:val="009A1FC3"/>
    <w:rsid w:val="009A7B9E"/>
    <w:rsid w:val="009B1743"/>
    <w:rsid w:val="009B4665"/>
    <w:rsid w:val="009B48CB"/>
    <w:rsid w:val="009B4DED"/>
    <w:rsid w:val="009B4F7F"/>
    <w:rsid w:val="009B5955"/>
    <w:rsid w:val="009B6792"/>
    <w:rsid w:val="009C0B5F"/>
    <w:rsid w:val="009C163F"/>
    <w:rsid w:val="009C3F60"/>
    <w:rsid w:val="009C4F58"/>
    <w:rsid w:val="009C7EC5"/>
    <w:rsid w:val="009D7163"/>
    <w:rsid w:val="009D753C"/>
    <w:rsid w:val="009D7D57"/>
    <w:rsid w:val="009D7DDD"/>
    <w:rsid w:val="009E05E8"/>
    <w:rsid w:val="009E3D28"/>
    <w:rsid w:val="009E444F"/>
    <w:rsid w:val="009E44F6"/>
    <w:rsid w:val="009E47E9"/>
    <w:rsid w:val="009E4E38"/>
    <w:rsid w:val="009E736D"/>
    <w:rsid w:val="009F1C4C"/>
    <w:rsid w:val="009F5D69"/>
    <w:rsid w:val="009F682F"/>
    <w:rsid w:val="00A00250"/>
    <w:rsid w:val="00A125A6"/>
    <w:rsid w:val="00A14672"/>
    <w:rsid w:val="00A23778"/>
    <w:rsid w:val="00A32096"/>
    <w:rsid w:val="00A34FAE"/>
    <w:rsid w:val="00A35F16"/>
    <w:rsid w:val="00A41F2F"/>
    <w:rsid w:val="00A45825"/>
    <w:rsid w:val="00A50BFF"/>
    <w:rsid w:val="00A50EAC"/>
    <w:rsid w:val="00A65F4B"/>
    <w:rsid w:val="00A67281"/>
    <w:rsid w:val="00A67497"/>
    <w:rsid w:val="00A67D40"/>
    <w:rsid w:val="00A76F60"/>
    <w:rsid w:val="00A85265"/>
    <w:rsid w:val="00A9097F"/>
    <w:rsid w:val="00AA1450"/>
    <w:rsid w:val="00AA209A"/>
    <w:rsid w:val="00AA39B0"/>
    <w:rsid w:val="00AA5E49"/>
    <w:rsid w:val="00AB22AA"/>
    <w:rsid w:val="00AB570F"/>
    <w:rsid w:val="00AC027F"/>
    <w:rsid w:val="00AC1584"/>
    <w:rsid w:val="00AC22AD"/>
    <w:rsid w:val="00AC600B"/>
    <w:rsid w:val="00AC7084"/>
    <w:rsid w:val="00AC7182"/>
    <w:rsid w:val="00AD170D"/>
    <w:rsid w:val="00AD26E3"/>
    <w:rsid w:val="00AD5FFB"/>
    <w:rsid w:val="00AD6599"/>
    <w:rsid w:val="00AD65B5"/>
    <w:rsid w:val="00AE0E0F"/>
    <w:rsid w:val="00AE21C6"/>
    <w:rsid w:val="00AE27B9"/>
    <w:rsid w:val="00AE78E7"/>
    <w:rsid w:val="00AF08A9"/>
    <w:rsid w:val="00AF0E8B"/>
    <w:rsid w:val="00AF29BF"/>
    <w:rsid w:val="00AF3379"/>
    <w:rsid w:val="00AF4C22"/>
    <w:rsid w:val="00AF5532"/>
    <w:rsid w:val="00AF6798"/>
    <w:rsid w:val="00B008F5"/>
    <w:rsid w:val="00B02A2F"/>
    <w:rsid w:val="00B02BCD"/>
    <w:rsid w:val="00B05963"/>
    <w:rsid w:val="00B05FFD"/>
    <w:rsid w:val="00B06D32"/>
    <w:rsid w:val="00B15D5E"/>
    <w:rsid w:val="00B21131"/>
    <w:rsid w:val="00B22B61"/>
    <w:rsid w:val="00B238FF"/>
    <w:rsid w:val="00B260F9"/>
    <w:rsid w:val="00B26F1C"/>
    <w:rsid w:val="00B316B6"/>
    <w:rsid w:val="00B31EB4"/>
    <w:rsid w:val="00B344A9"/>
    <w:rsid w:val="00B34D19"/>
    <w:rsid w:val="00B35CBB"/>
    <w:rsid w:val="00B369FF"/>
    <w:rsid w:val="00B37203"/>
    <w:rsid w:val="00B414F6"/>
    <w:rsid w:val="00B425BF"/>
    <w:rsid w:val="00B43805"/>
    <w:rsid w:val="00B43E4B"/>
    <w:rsid w:val="00B47511"/>
    <w:rsid w:val="00B523F6"/>
    <w:rsid w:val="00B54601"/>
    <w:rsid w:val="00B54D9B"/>
    <w:rsid w:val="00B54F8E"/>
    <w:rsid w:val="00B70121"/>
    <w:rsid w:val="00B70F60"/>
    <w:rsid w:val="00B72B03"/>
    <w:rsid w:val="00B73702"/>
    <w:rsid w:val="00B76C81"/>
    <w:rsid w:val="00B848D6"/>
    <w:rsid w:val="00B852EE"/>
    <w:rsid w:val="00B9476E"/>
    <w:rsid w:val="00B968F5"/>
    <w:rsid w:val="00B96AC0"/>
    <w:rsid w:val="00B97A3D"/>
    <w:rsid w:val="00BA115C"/>
    <w:rsid w:val="00BA125C"/>
    <w:rsid w:val="00BA1CE9"/>
    <w:rsid w:val="00BA3F77"/>
    <w:rsid w:val="00BB1741"/>
    <w:rsid w:val="00BB3711"/>
    <w:rsid w:val="00BB3FC7"/>
    <w:rsid w:val="00BC0763"/>
    <w:rsid w:val="00BC3295"/>
    <w:rsid w:val="00BC625F"/>
    <w:rsid w:val="00BE28F4"/>
    <w:rsid w:val="00BE3477"/>
    <w:rsid w:val="00BE5BB8"/>
    <w:rsid w:val="00BE60B3"/>
    <w:rsid w:val="00BF2336"/>
    <w:rsid w:val="00BF2597"/>
    <w:rsid w:val="00BF3CA8"/>
    <w:rsid w:val="00BF703B"/>
    <w:rsid w:val="00C0041F"/>
    <w:rsid w:val="00C037C9"/>
    <w:rsid w:val="00C03E09"/>
    <w:rsid w:val="00C07910"/>
    <w:rsid w:val="00C121EB"/>
    <w:rsid w:val="00C12F91"/>
    <w:rsid w:val="00C1548D"/>
    <w:rsid w:val="00C17754"/>
    <w:rsid w:val="00C17801"/>
    <w:rsid w:val="00C20D8A"/>
    <w:rsid w:val="00C20FEC"/>
    <w:rsid w:val="00C236CF"/>
    <w:rsid w:val="00C2435E"/>
    <w:rsid w:val="00C310A2"/>
    <w:rsid w:val="00C3225D"/>
    <w:rsid w:val="00C3651E"/>
    <w:rsid w:val="00C3760C"/>
    <w:rsid w:val="00C43FB6"/>
    <w:rsid w:val="00C463F0"/>
    <w:rsid w:val="00C46982"/>
    <w:rsid w:val="00C5057D"/>
    <w:rsid w:val="00C5570E"/>
    <w:rsid w:val="00C56458"/>
    <w:rsid w:val="00C575EF"/>
    <w:rsid w:val="00C6406E"/>
    <w:rsid w:val="00C650E4"/>
    <w:rsid w:val="00C6650D"/>
    <w:rsid w:val="00C730A9"/>
    <w:rsid w:val="00C73405"/>
    <w:rsid w:val="00C73769"/>
    <w:rsid w:val="00C746A1"/>
    <w:rsid w:val="00C80549"/>
    <w:rsid w:val="00C83800"/>
    <w:rsid w:val="00C844DD"/>
    <w:rsid w:val="00C873F0"/>
    <w:rsid w:val="00C87AA1"/>
    <w:rsid w:val="00C90274"/>
    <w:rsid w:val="00C908F0"/>
    <w:rsid w:val="00C9575C"/>
    <w:rsid w:val="00CA6056"/>
    <w:rsid w:val="00CB18D5"/>
    <w:rsid w:val="00CB2319"/>
    <w:rsid w:val="00CB3C30"/>
    <w:rsid w:val="00CB580D"/>
    <w:rsid w:val="00CB6375"/>
    <w:rsid w:val="00CB7B7C"/>
    <w:rsid w:val="00CC605C"/>
    <w:rsid w:val="00CD2C8A"/>
    <w:rsid w:val="00CD2ED1"/>
    <w:rsid w:val="00CE10DA"/>
    <w:rsid w:val="00CE2388"/>
    <w:rsid w:val="00CE2EAA"/>
    <w:rsid w:val="00CE4A66"/>
    <w:rsid w:val="00CE7E2B"/>
    <w:rsid w:val="00D0143E"/>
    <w:rsid w:val="00D1206D"/>
    <w:rsid w:val="00D12D0E"/>
    <w:rsid w:val="00D1340B"/>
    <w:rsid w:val="00D14C53"/>
    <w:rsid w:val="00D20EDD"/>
    <w:rsid w:val="00D30BD3"/>
    <w:rsid w:val="00D3213D"/>
    <w:rsid w:val="00D409AE"/>
    <w:rsid w:val="00D40E66"/>
    <w:rsid w:val="00D42C49"/>
    <w:rsid w:val="00D4543B"/>
    <w:rsid w:val="00D460F6"/>
    <w:rsid w:val="00D52D85"/>
    <w:rsid w:val="00D52F06"/>
    <w:rsid w:val="00D62D82"/>
    <w:rsid w:val="00D63C73"/>
    <w:rsid w:val="00D656C1"/>
    <w:rsid w:val="00D70606"/>
    <w:rsid w:val="00D70C3E"/>
    <w:rsid w:val="00D717C4"/>
    <w:rsid w:val="00D723DB"/>
    <w:rsid w:val="00D76BB8"/>
    <w:rsid w:val="00D82CD1"/>
    <w:rsid w:val="00D934BA"/>
    <w:rsid w:val="00DA2245"/>
    <w:rsid w:val="00DA3608"/>
    <w:rsid w:val="00DA4EAC"/>
    <w:rsid w:val="00DA73F6"/>
    <w:rsid w:val="00DB0F8A"/>
    <w:rsid w:val="00DB40BB"/>
    <w:rsid w:val="00DC09FF"/>
    <w:rsid w:val="00DC185A"/>
    <w:rsid w:val="00DC25E0"/>
    <w:rsid w:val="00DC2EB0"/>
    <w:rsid w:val="00DC52C4"/>
    <w:rsid w:val="00DC5A72"/>
    <w:rsid w:val="00DD112D"/>
    <w:rsid w:val="00DD3053"/>
    <w:rsid w:val="00DD64AE"/>
    <w:rsid w:val="00DE0C03"/>
    <w:rsid w:val="00DE0FAE"/>
    <w:rsid w:val="00DE416D"/>
    <w:rsid w:val="00DE52FE"/>
    <w:rsid w:val="00DE76CE"/>
    <w:rsid w:val="00DF2B8B"/>
    <w:rsid w:val="00DF2DE2"/>
    <w:rsid w:val="00DF34BA"/>
    <w:rsid w:val="00DF4D47"/>
    <w:rsid w:val="00DF4DD1"/>
    <w:rsid w:val="00DF52A6"/>
    <w:rsid w:val="00DF5E99"/>
    <w:rsid w:val="00E00255"/>
    <w:rsid w:val="00E0222C"/>
    <w:rsid w:val="00E06E2A"/>
    <w:rsid w:val="00E0701D"/>
    <w:rsid w:val="00E17C70"/>
    <w:rsid w:val="00E17E76"/>
    <w:rsid w:val="00E21918"/>
    <w:rsid w:val="00E24843"/>
    <w:rsid w:val="00E34FAF"/>
    <w:rsid w:val="00E365FB"/>
    <w:rsid w:val="00E44B64"/>
    <w:rsid w:val="00E44D54"/>
    <w:rsid w:val="00E4700B"/>
    <w:rsid w:val="00E537C6"/>
    <w:rsid w:val="00E57AE1"/>
    <w:rsid w:val="00E60ABE"/>
    <w:rsid w:val="00E6103E"/>
    <w:rsid w:val="00E65A12"/>
    <w:rsid w:val="00E66A32"/>
    <w:rsid w:val="00E6712A"/>
    <w:rsid w:val="00E7090D"/>
    <w:rsid w:val="00E74567"/>
    <w:rsid w:val="00E74A28"/>
    <w:rsid w:val="00E74CB5"/>
    <w:rsid w:val="00E75544"/>
    <w:rsid w:val="00E77431"/>
    <w:rsid w:val="00E82729"/>
    <w:rsid w:val="00E95419"/>
    <w:rsid w:val="00EA1DA3"/>
    <w:rsid w:val="00EA2015"/>
    <w:rsid w:val="00EA42AD"/>
    <w:rsid w:val="00EA6567"/>
    <w:rsid w:val="00EB0DAD"/>
    <w:rsid w:val="00EB1EA1"/>
    <w:rsid w:val="00EB3902"/>
    <w:rsid w:val="00EB5CB9"/>
    <w:rsid w:val="00EB704F"/>
    <w:rsid w:val="00EC107D"/>
    <w:rsid w:val="00EC323B"/>
    <w:rsid w:val="00EC4B5F"/>
    <w:rsid w:val="00EC51A0"/>
    <w:rsid w:val="00EC7CD7"/>
    <w:rsid w:val="00ED0126"/>
    <w:rsid w:val="00EE017B"/>
    <w:rsid w:val="00EE0E5D"/>
    <w:rsid w:val="00EE37CA"/>
    <w:rsid w:val="00EE3D7B"/>
    <w:rsid w:val="00EE7BBD"/>
    <w:rsid w:val="00EF06F8"/>
    <w:rsid w:val="00EF1F42"/>
    <w:rsid w:val="00EF4847"/>
    <w:rsid w:val="00EF7879"/>
    <w:rsid w:val="00F009D7"/>
    <w:rsid w:val="00F01419"/>
    <w:rsid w:val="00F018D7"/>
    <w:rsid w:val="00F03248"/>
    <w:rsid w:val="00F11EA6"/>
    <w:rsid w:val="00F13D80"/>
    <w:rsid w:val="00F16F02"/>
    <w:rsid w:val="00F1761D"/>
    <w:rsid w:val="00F17CA2"/>
    <w:rsid w:val="00F20B5A"/>
    <w:rsid w:val="00F22D3D"/>
    <w:rsid w:val="00F235E3"/>
    <w:rsid w:val="00F237DA"/>
    <w:rsid w:val="00F264E3"/>
    <w:rsid w:val="00F32FB8"/>
    <w:rsid w:val="00F363A6"/>
    <w:rsid w:val="00F4030F"/>
    <w:rsid w:val="00F424DA"/>
    <w:rsid w:val="00F449AB"/>
    <w:rsid w:val="00F45A8C"/>
    <w:rsid w:val="00F47415"/>
    <w:rsid w:val="00F5037F"/>
    <w:rsid w:val="00F503BB"/>
    <w:rsid w:val="00F51610"/>
    <w:rsid w:val="00F541C7"/>
    <w:rsid w:val="00F575D0"/>
    <w:rsid w:val="00F61A48"/>
    <w:rsid w:val="00F65437"/>
    <w:rsid w:val="00F67A4B"/>
    <w:rsid w:val="00F704F9"/>
    <w:rsid w:val="00F71CEB"/>
    <w:rsid w:val="00F75875"/>
    <w:rsid w:val="00F81AC9"/>
    <w:rsid w:val="00F82C8C"/>
    <w:rsid w:val="00F91323"/>
    <w:rsid w:val="00F91AEB"/>
    <w:rsid w:val="00F93E15"/>
    <w:rsid w:val="00F96D0E"/>
    <w:rsid w:val="00FA0CC4"/>
    <w:rsid w:val="00FA13A2"/>
    <w:rsid w:val="00FA3622"/>
    <w:rsid w:val="00FB0265"/>
    <w:rsid w:val="00FB2FF2"/>
    <w:rsid w:val="00FB3F3B"/>
    <w:rsid w:val="00FB6D40"/>
    <w:rsid w:val="00FC29BF"/>
    <w:rsid w:val="00FC31C0"/>
    <w:rsid w:val="00FC4445"/>
    <w:rsid w:val="00FC67EE"/>
    <w:rsid w:val="00FC7888"/>
    <w:rsid w:val="00FD0050"/>
    <w:rsid w:val="00FD4825"/>
    <w:rsid w:val="00FD50B3"/>
    <w:rsid w:val="00FD7F91"/>
    <w:rsid w:val="00FE0D3E"/>
    <w:rsid w:val="00FE6DC0"/>
    <w:rsid w:val="00FF01B4"/>
    <w:rsid w:val="00FF31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547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6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paragraph" w:styleId="FootnoteText">
    <w:name w:val="footnote text"/>
    <w:basedOn w:val="Normal"/>
    <w:link w:val="FootnoteTextChar"/>
    <w:semiHidden/>
    <w:rsid w:val="007F6C67"/>
    <w:rPr>
      <w:sz w:val="20"/>
      <w:szCs w:val="20"/>
    </w:r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character" w:styleId="FootnoteReference">
    <w:name w:val="footnote reference"/>
    <w:semiHidden/>
    <w:rsid w:val="007F6C67"/>
    <w:rPr>
      <w:vertAlign w:val="superscript"/>
    </w:rPr>
  </w:style>
  <w:style w:type="paragraph" w:styleId="Header">
    <w:name w:val="header"/>
    <w:basedOn w:val="Normal"/>
    <w:rsid w:val="007F6C67"/>
    <w:pPr>
      <w:tabs>
        <w:tab w:val="center" w:pos="4320"/>
        <w:tab w:val="right" w:pos="8640"/>
      </w:tabs>
    </w:pPr>
  </w:style>
  <w:style w:type="paragraph" w:styleId="Footer">
    <w:name w:val="footer"/>
    <w:basedOn w:val="Normal"/>
    <w:rsid w:val="007F6C67"/>
    <w:pPr>
      <w:tabs>
        <w:tab w:val="center" w:pos="4320"/>
        <w:tab w:val="right" w:pos="8640"/>
      </w:tabs>
    </w:pPr>
  </w:style>
  <w:style w:type="character" w:styleId="CommentReference">
    <w:name w:val="annotation reference"/>
    <w:rsid w:val="007F6C67"/>
    <w:rPr>
      <w:sz w:val="16"/>
      <w:szCs w:val="16"/>
    </w:rPr>
  </w:style>
  <w:style w:type="paragraph" w:styleId="CommentText">
    <w:name w:val="annotation text"/>
    <w:basedOn w:val="Normal"/>
    <w:link w:val="CommentTextChar"/>
    <w:rsid w:val="007F6C67"/>
    <w:rPr>
      <w:sz w:val="20"/>
      <w:szCs w:val="20"/>
    </w:rPr>
  </w:style>
  <w:style w:type="character" w:customStyle="1" w:styleId="CommentTextChar">
    <w:name w:val="Comment Text Char"/>
    <w:link w:val="CommentText"/>
    <w:rsid w:val="007F6C67"/>
    <w:rPr>
      <w:lang w:val="en-US" w:eastAsia="en-US" w:bidi="ar-SA"/>
    </w:rPr>
  </w:style>
  <w:style w:type="paragraph" w:styleId="BalloonText">
    <w:name w:val="Balloon Text"/>
    <w:basedOn w:val="Normal"/>
    <w:semiHidden/>
    <w:rsid w:val="007F6C67"/>
    <w:rPr>
      <w:rFonts w:ascii="Tahoma" w:hAnsi="Tahoma" w:cs="Tahoma"/>
      <w:sz w:val="16"/>
      <w:szCs w:val="16"/>
    </w:rPr>
  </w:style>
  <w:style w:type="paragraph" w:styleId="CommentSubject">
    <w:name w:val="annotation subject"/>
    <w:basedOn w:val="CommentText"/>
    <w:next w:val="CommentText"/>
    <w:semiHidden/>
    <w:rsid w:val="0099284E"/>
    <w:rPr>
      <w:b/>
      <w:bCs/>
    </w:rPr>
  </w:style>
  <w:style w:type="character" w:styleId="Hyperlink">
    <w:name w:val="Hyperlink"/>
    <w:rsid w:val="00572033"/>
    <w:rPr>
      <w:color w:val="0000FF"/>
      <w:u w:val="single"/>
    </w:rPr>
  </w:style>
  <w:style w:type="paragraph" w:styleId="Revision">
    <w:name w:val="Revision"/>
    <w:hidden/>
    <w:uiPriority w:val="99"/>
    <w:semiHidden/>
    <w:rsid w:val="00D656C1"/>
    <w:rPr>
      <w:rFonts w:eastAsia="Times New Roman"/>
      <w:sz w:val="24"/>
      <w:szCs w:val="24"/>
      <w:lang w:eastAsia="en-US"/>
    </w:rPr>
  </w:style>
  <w:style w:type="character" w:customStyle="1" w:styleId="FootnoteTextChar">
    <w:name w:val="Footnote Text Char"/>
    <w:link w:val="FootnoteText"/>
    <w:semiHidden/>
    <w:rsid w:val="00514434"/>
    <w:rPr>
      <w:rFonts w:eastAsia="Times New Roman"/>
    </w:rPr>
  </w:style>
  <w:style w:type="paragraph" w:styleId="ListParagraph">
    <w:name w:val="List Paragraph"/>
    <w:basedOn w:val="Normal"/>
    <w:uiPriority w:val="34"/>
    <w:qFormat/>
    <w:rsid w:val="00883A94"/>
    <w:pPr>
      <w:ind w:left="720"/>
    </w:pPr>
  </w:style>
  <w:style w:type="character" w:customStyle="1" w:styleId="Mention">
    <w:name w:val="Mention"/>
    <w:basedOn w:val="DefaultParagraphFont"/>
    <w:uiPriority w:val="99"/>
    <w:semiHidden/>
    <w:unhideWhenUsed/>
    <w:rsid w:val="006B516A"/>
    <w:rPr>
      <w:color w:val="2B579A"/>
      <w:shd w:val="clear" w:color="auto" w:fill="E6E6E6"/>
    </w:rPr>
  </w:style>
  <w:style w:type="character" w:styleId="FollowedHyperlink">
    <w:name w:val="FollowedHyperlink"/>
    <w:basedOn w:val="DefaultParagraphFont"/>
    <w:semiHidden/>
    <w:unhideWhenUsed/>
    <w:rsid w:val="006B51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6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paragraph" w:styleId="FootnoteText">
    <w:name w:val="footnote text"/>
    <w:basedOn w:val="Normal"/>
    <w:link w:val="FootnoteTextChar"/>
    <w:semiHidden/>
    <w:rsid w:val="007F6C67"/>
    <w:rPr>
      <w:sz w:val="20"/>
      <w:szCs w:val="20"/>
    </w:r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character" w:styleId="FootnoteReference">
    <w:name w:val="footnote reference"/>
    <w:semiHidden/>
    <w:rsid w:val="007F6C67"/>
    <w:rPr>
      <w:vertAlign w:val="superscript"/>
    </w:rPr>
  </w:style>
  <w:style w:type="paragraph" w:styleId="Header">
    <w:name w:val="header"/>
    <w:basedOn w:val="Normal"/>
    <w:rsid w:val="007F6C67"/>
    <w:pPr>
      <w:tabs>
        <w:tab w:val="center" w:pos="4320"/>
        <w:tab w:val="right" w:pos="8640"/>
      </w:tabs>
    </w:pPr>
  </w:style>
  <w:style w:type="paragraph" w:styleId="Footer">
    <w:name w:val="footer"/>
    <w:basedOn w:val="Normal"/>
    <w:rsid w:val="007F6C67"/>
    <w:pPr>
      <w:tabs>
        <w:tab w:val="center" w:pos="4320"/>
        <w:tab w:val="right" w:pos="8640"/>
      </w:tabs>
    </w:pPr>
  </w:style>
  <w:style w:type="character" w:styleId="CommentReference">
    <w:name w:val="annotation reference"/>
    <w:rsid w:val="007F6C67"/>
    <w:rPr>
      <w:sz w:val="16"/>
      <w:szCs w:val="16"/>
    </w:rPr>
  </w:style>
  <w:style w:type="paragraph" w:styleId="CommentText">
    <w:name w:val="annotation text"/>
    <w:basedOn w:val="Normal"/>
    <w:link w:val="CommentTextChar"/>
    <w:rsid w:val="007F6C67"/>
    <w:rPr>
      <w:sz w:val="20"/>
      <w:szCs w:val="20"/>
    </w:rPr>
  </w:style>
  <w:style w:type="character" w:customStyle="1" w:styleId="CommentTextChar">
    <w:name w:val="Comment Text Char"/>
    <w:link w:val="CommentText"/>
    <w:rsid w:val="007F6C67"/>
    <w:rPr>
      <w:lang w:val="en-US" w:eastAsia="en-US" w:bidi="ar-SA"/>
    </w:rPr>
  </w:style>
  <w:style w:type="paragraph" w:styleId="BalloonText">
    <w:name w:val="Balloon Text"/>
    <w:basedOn w:val="Normal"/>
    <w:semiHidden/>
    <w:rsid w:val="007F6C67"/>
    <w:rPr>
      <w:rFonts w:ascii="Tahoma" w:hAnsi="Tahoma" w:cs="Tahoma"/>
      <w:sz w:val="16"/>
      <w:szCs w:val="16"/>
    </w:rPr>
  </w:style>
  <w:style w:type="paragraph" w:styleId="CommentSubject">
    <w:name w:val="annotation subject"/>
    <w:basedOn w:val="CommentText"/>
    <w:next w:val="CommentText"/>
    <w:semiHidden/>
    <w:rsid w:val="0099284E"/>
    <w:rPr>
      <w:b/>
      <w:bCs/>
    </w:rPr>
  </w:style>
  <w:style w:type="character" w:styleId="Hyperlink">
    <w:name w:val="Hyperlink"/>
    <w:rsid w:val="00572033"/>
    <w:rPr>
      <w:color w:val="0000FF"/>
      <w:u w:val="single"/>
    </w:rPr>
  </w:style>
  <w:style w:type="paragraph" w:styleId="Revision">
    <w:name w:val="Revision"/>
    <w:hidden/>
    <w:uiPriority w:val="99"/>
    <w:semiHidden/>
    <w:rsid w:val="00D656C1"/>
    <w:rPr>
      <w:rFonts w:eastAsia="Times New Roman"/>
      <w:sz w:val="24"/>
      <w:szCs w:val="24"/>
      <w:lang w:eastAsia="en-US"/>
    </w:rPr>
  </w:style>
  <w:style w:type="character" w:customStyle="1" w:styleId="FootnoteTextChar">
    <w:name w:val="Footnote Text Char"/>
    <w:link w:val="FootnoteText"/>
    <w:semiHidden/>
    <w:rsid w:val="00514434"/>
    <w:rPr>
      <w:rFonts w:eastAsia="Times New Roman"/>
    </w:rPr>
  </w:style>
  <w:style w:type="paragraph" w:styleId="ListParagraph">
    <w:name w:val="List Paragraph"/>
    <w:basedOn w:val="Normal"/>
    <w:uiPriority w:val="34"/>
    <w:qFormat/>
    <w:rsid w:val="00883A94"/>
    <w:pPr>
      <w:ind w:left="720"/>
    </w:pPr>
  </w:style>
  <w:style w:type="character" w:customStyle="1" w:styleId="Mention">
    <w:name w:val="Mention"/>
    <w:basedOn w:val="DefaultParagraphFont"/>
    <w:uiPriority w:val="99"/>
    <w:semiHidden/>
    <w:unhideWhenUsed/>
    <w:rsid w:val="006B516A"/>
    <w:rPr>
      <w:color w:val="2B579A"/>
      <w:shd w:val="clear" w:color="auto" w:fill="E6E6E6"/>
    </w:rPr>
  </w:style>
  <w:style w:type="character" w:styleId="FollowedHyperlink">
    <w:name w:val="FollowedHyperlink"/>
    <w:basedOn w:val="DefaultParagraphFont"/>
    <w:semiHidden/>
    <w:unhideWhenUsed/>
    <w:rsid w:val="006B51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nces.ed.gov/pubs2016/2016111.pdf" TargetMode="External"/><Relationship Id="rId2" Type="http://schemas.openxmlformats.org/officeDocument/2006/relationships/hyperlink" Target="https://www2.census.gov/govs/apes/12ind_all_tabs.xls" TargetMode="External"/><Relationship Id="rId1" Type="http://schemas.openxmlformats.org/officeDocument/2006/relationships/hyperlink" Target="https://www.sba.gov/advocacy/firm-siz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E7BD-6338-4FB7-A1B1-39C8E623B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 Recordkeeping under Title VII, the ADA, and GINA</vt:lpstr>
    </vt:vector>
  </TitlesOfParts>
  <Company>EEOC</Company>
  <LinksUpToDate>false</LinksUpToDate>
  <CharactersWithSpaces>17655</CharactersWithSpaces>
  <SharedDoc>false</SharedDoc>
  <HLinks>
    <vt:vector size="6" baseType="variant">
      <vt:variant>
        <vt:i4>655385</vt:i4>
      </vt:variant>
      <vt:variant>
        <vt:i4>0</vt:i4>
      </vt:variant>
      <vt:variant>
        <vt:i4>0</vt:i4>
      </vt:variant>
      <vt:variant>
        <vt:i4>5</vt:i4>
      </vt:variant>
      <vt:variant>
        <vt:lpwstr>http://www.census.gov/govs/apes/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Recordkeeping under Title VII, the ADA, and GINA</dc:title>
  <dc:creator>Erin Norris</dc:creator>
  <cp:lastModifiedBy>SYSTEM</cp:lastModifiedBy>
  <cp:revision>2</cp:revision>
  <cp:lastPrinted>2014-12-19T14:01:00Z</cp:lastPrinted>
  <dcterms:created xsi:type="dcterms:W3CDTF">2018-05-31T19:41:00Z</dcterms:created>
  <dcterms:modified xsi:type="dcterms:W3CDTF">2018-05-31T19:41:00Z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