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5F5" w:rsidRPr="00065F46" w:rsidRDefault="002E1836" w:rsidP="001A1700">
      <w:pPr>
        <w:pStyle w:val="PlainText"/>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2018 </w:t>
      </w:r>
      <w:r w:rsidR="00EB65F5" w:rsidRPr="00065F46">
        <w:rPr>
          <w:rFonts w:ascii="Times New Roman" w:hAnsi="Times New Roman" w:cs="Times New Roman"/>
          <w:b/>
          <w:sz w:val="24"/>
          <w:szCs w:val="24"/>
          <w:u w:val="single"/>
        </w:rPr>
        <w:t>SUPPORTING STATEMENT</w:t>
      </w:r>
    </w:p>
    <w:p w:rsidR="00EB65F5" w:rsidRPr="001A1700" w:rsidRDefault="002E1836" w:rsidP="001A1700">
      <w:pPr>
        <w:pStyle w:val="PlainText"/>
        <w:jc w:val="center"/>
        <w:rPr>
          <w:rFonts w:ascii="Times New Roman" w:hAnsi="Times New Roman" w:cs="Times New Roman"/>
          <w:sz w:val="24"/>
          <w:szCs w:val="24"/>
        </w:rPr>
      </w:pPr>
      <w:r>
        <w:rPr>
          <w:rFonts w:ascii="Times New Roman" w:hAnsi="Times New Roman" w:cs="Times New Roman"/>
          <w:sz w:val="24"/>
          <w:szCs w:val="24"/>
        </w:rPr>
        <w:t>Specialty Sugar Certificate Application</w:t>
      </w:r>
    </w:p>
    <w:p w:rsidR="00EB65F5" w:rsidRPr="001A1700" w:rsidRDefault="00EB65F5" w:rsidP="001A1700">
      <w:pPr>
        <w:pStyle w:val="PlainText"/>
        <w:jc w:val="center"/>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1.  </w:t>
      </w:r>
      <w:r w:rsidR="00C955DE">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B65F5" w:rsidRPr="001A1700" w:rsidRDefault="00EB65F5" w:rsidP="001A1700">
      <w:pPr>
        <w:pStyle w:val="PlainText"/>
        <w:ind w:left="360"/>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collection of information is necessary to fulfill the legal obligations of the </w:t>
      </w:r>
      <w:r>
        <w:rPr>
          <w:rFonts w:ascii="Times New Roman" w:hAnsi="Times New Roman" w:cs="Times New Roman"/>
          <w:sz w:val="24"/>
          <w:szCs w:val="24"/>
        </w:rPr>
        <w:t>r</w:t>
      </w:r>
      <w:r w:rsidRPr="001A1700">
        <w:rPr>
          <w:rFonts w:ascii="Times New Roman" w:hAnsi="Times New Roman" w:cs="Times New Roman"/>
          <w:sz w:val="24"/>
          <w:szCs w:val="24"/>
        </w:rPr>
        <w:t>egulation at 15 CFR 2011 subpart B (Attachment 1</w:t>
      </w:r>
      <w:r>
        <w:rPr>
          <w:rFonts w:ascii="Times New Roman" w:hAnsi="Times New Roman" w:cs="Times New Roman"/>
          <w:sz w:val="24"/>
          <w:szCs w:val="24"/>
        </w:rPr>
        <w:t xml:space="preserve">) to </w:t>
      </w:r>
      <w:r w:rsidRPr="001A1700">
        <w:rPr>
          <w:rFonts w:ascii="Times New Roman" w:hAnsi="Times New Roman" w:cs="Times New Roman"/>
          <w:sz w:val="24"/>
          <w:szCs w:val="24"/>
        </w:rPr>
        <w:t>issu</w:t>
      </w:r>
      <w:r>
        <w:rPr>
          <w:rFonts w:ascii="Times New Roman" w:hAnsi="Times New Roman" w:cs="Times New Roman"/>
          <w:sz w:val="24"/>
          <w:szCs w:val="24"/>
        </w:rPr>
        <w:t>e</w:t>
      </w:r>
      <w:r w:rsidRPr="001A1700">
        <w:rPr>
          <w:rFonts w:ascii="Times New Roman" w:hAnsi="Times New Roman" w:cs="Times New Roman"/>
          <w:sz w:val="24"/>
          <w:szCs w:val="24"/>
        </w:rPr>
        <w:t xml:space="preserve"> specialty sugar certificates, letters to importers signed by the FAS Certifying Authority, and ensuring that U.S. importers comply with the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 xml:space="preserve">’s requirements.  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sets forth the terms and conditions under which the Certifying Authority in FAS issues certificates to importers allowing them to </w:t>
      </w:r>
      <w:r w:rsidR="008852BD">
        <w:rPr>
          <w:rFonts w:ascii="Times New Roman" w:hAnsi="Times New Roman" w:cs="Times New Roman"/>
          <w:sz w:val="24"/>
          <w:szCs w:val="24"/>
        </w:rPr>
        <w:t xml:space="preserve">compete to </w:t>
      </w:r>
      <w:r w:rsidRPr="001A1700">
        <w:rPr>
          <w:rFonts w:ascii="Times New Roman" w:hAnsi="Times New Roman" w:cs="Times New Roman"/>
          <w:sz w:val="24"/>
          <w:szCs w:val="24"/>
        </w:rPr>
        <w:t xml:space="preserve">enter specialty sugars under the tariff-rate quota (TRQ) for refined sugar.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Subject to TRQ availability, an unlimited number of shipments may enter under a certificate.  An importer must present a specialty sugar certificate to a U.S. Customs and Border Protection official </w:t>
      </w:r>
      <w:r w:rsidR="0008568F">
        <w:rPr>
          <w:rFonts w:ascii="Times New Roman" w:hAnsi="Times New Roman" w:cs="Times New Roman"/>
          <w:sz w:val="24"/>
          <w:szCs w:val="24"/>
        </w:rPr>
        <w:t>on</w:t>
      </w:r>
      <w:r w:rsidRPr="001A1700">
        <w:rPr>
          <w:rFonts w:ascii="Times New Roman" w:hAnsi="Times New Roman" w:cs="Times New Roman"/>
          <w:sz w:val="24"/>
          <w:szCs w:val="24"/>
        </w:rPr>
        <w:t xml:space="preserve"> the date of entry.  Entry is allowed only in conformity with the description of the sugars and other conditions stated on a certificate.  Issuance of a certificate does not guarantee entry but permits entry until the TRQ quantity for specialty sugars is filled.  Nothing in the </w:t>
      </w:r>
      <w:r>
        <w:rPr>
          <w:rFonts w:ascii="Times New Roman" w:hAnsi="Times New Roman" w:cs="Times New Roman"/>
          <w:sz w:val="24"/>
          <w:szCs w:val="24"/>
        </w:rPr>
        <w:t>r</w:t>
      </w:r>
      <w:r w:rsidRPr="001A1700">
        <w:rPr>
          <w:rFonts w:ascii="Times New Roman" w:hAnsi="Times New Roman" w:cs="Times New Roman"/>
          <w:sz w:val="24"/>
          <w:szCs w:val="24"/>
        </w:rPr>
        <w:t>egulation affects the ability to enter specialty sugars at the over-TRQ tariff rates.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Pr>
          <w:rFonts w:ascii="Times New Roman" w:hAnsi="Times New Roman" w:cs="Times New Roman"/>
          <w:i/>
          <w:sz w:val="24"/>
          <w:szCs w:val="24"/>
        </w:rPr>
        <w:t>Legal Authority</w:t>
      </w:r>
    </w:p>
    <w:p w:rsidR="00EB65F5" w:rsidRPr="001A1700" w:rsidRDefault="00EB65F5" w:rsidP="00065F46">
      <w:pPr>
        <w:pStyle w:val="PlainText"/>
        <w:numPr>
          <w:ilvl w:val="0"/>
          <w:numId w:val="9"/>
        </w:numPr>
        <w:rPr>
          <w:rFonts w:ascii="Times New Roman" w:hAnsi="Times New Roman" w:cs="Times New Roman"/>
          <w:sz w:val="24"/>
          <w:szCs w:val="24"/>
        </w:rPr>
      </w:pPr>
      <w:r w:rsidRPr="001A1700">
        <w:rPr>
          <w:rFonts w:ascii="Times New Roman" w:hAnsi="Times New Roman" w:cs="Times New Roman"/>
          <w:i/>
          <w:sz w:val="24"/>
          <w:szCs w:val="24"/>
          <w:u w:val="single"/>
        </w:rPr>
        <w:t>Quota Background:</w:t>
      </w:r>
      <w:r>
        <w:rPr>
          <w:rFonts w:ascii="Times New Roman" w:hAnsi="Times New Roman" w:cs="Times New Roman"/>
          <w:i/>
          <w:sz w:val="24"/>
          <w:szCs w:val="24"/>
        </w:rPr>
        <w:t xml:space="preserve">  </w:t>
      </w:r>
      <w:r w:rsidRPr="001A1700">
        <w:rPr>
          <w:rFonts w:ascii="Times New Roman" w:hAnsi="Times New Roman" w:cs="Times New Roman"/>
          <w:sz w:val="24"/>
          <w:szCs w:val="24"/>
        </w:rPr>
        <w:t>U.S. policy has committed to maintaining the U.S. sugar industry, even when world prices are below U.S. production costs.  A quota on sugar imports has been a common feature of U.S. sugar policy since 1934.  Quotas were first imposed under the Jones-Costigan Act of 1934 and were revised and continued under the Sugar Act of 1937 and the Sugar Act of 1948 -- which expired in 1973.</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065F46">
      <w:pPr>
        <w:pStyle w:val="PlainText"/>
        <w:numPr>
          <w:ilvl w:val="0"/>
          <w:numId w:val="9"/>
        </w:numPr>
        <w:rPr>
          <w:rFonts w:ascii="Times New Roman" w:hAnsi="Times New Roman" w:cs="Times New Roman"/>
          <w:sz w:val="24"/>
          <w:szCs w:val="24"/>
        </w:rPr>
      </w:pPr>
      <w:r w:rsidRPr="001A1700">
        <w:rPr>
          <w:rFonts w:ascii="Times New Roman" w:hAnsi="Times New Roman" w:cs="Times New Roman"/>
          <w:i/>
          <w:sz w:val="24"/>
          <w:szCs w:val="24"/>
          <w:u w:val="single"/>
        </w:rPr>
        <w:t>Sugar Head Note Authority</w:t>
      </w:r>
      <w:r>
        <w:rPr>
          <w:rFonts w:ascii="Times New Roman" w:hAnsi="Times New Roman" w:cs="Times New Roman"/>
          <w:i/>
          <w:sz w:val="24"/>
          <w:szCs w:val="24"/>
          <w:u w:val="single"/>
        </w:rPr>
        <w:t>:</w:t>
      </w:r>
      <w:r>
        <w:rPr>
          <w:rFonts w:ascii="Times New Roman" w:hAnsi="Times New Roman" w:cs="Times New Roman"/>
          <w:i/>
          <w:sz w:val="24"/>
          <w:szCs w:val="24"/>
        </w:rPr>
        <w:t xml:space="preserve">  </w:t>
      </w:r>
      <w:r w:rsidRPr="001A1700">
        <w:rPr>
          <w:rFonts w:ascii="Times New Roman" w:hAnsi="Times New Roman" w:cs="Times New Roman"/>
          <w:sz w:val="24"/>
          <w:szCs w:val="24"/>
        </w:rPr>
        <w:t>In 1974, following the Kennedy Round GATT Agreement, authority to impose or modify sugar quotas through the head note to the "Tariff Schedules of the United States" (TSUS) was provided for in the Kennedy Round Protocol and implemented under Presidential Proclamation 4334 of November 16, 1974 (Attachment 2).  In 1989, following U.S. conversion from the TSUS to the Harmonized Tariff Schedule of the United States (HTS), the head note authority carried over</w:t>
      </w:r>
      <w:r w:rsidR="00AC1ECC">
        <w:rPr>
          <w:rFonts w:ascii="Times New Roman" w:hAnsi="Times New Roman" w:cs="Times New Roman"/>
          <w:sz w:val="24"/>
          <w:szCs w:val="24"/>
        </w:rPr>
        <w:t xml:space="preserve"> to</w:t>
      </w:r>
      <w:r w:rsidRPr="001A1700">
        <w:rPr>
          <w:rFonts w:ascii="Times New Roman" w:hAnsi="Times New Roman" w:cs="Times New Roman"/>
          <w:sz w:val="24"/>
          <w:szCs w:val="24"/>
        </w:rPr>
        <w:t xml:space="preserve"> Additional U.S. Note 5 </w:t>
      </w:r>
      <w:r w:rsidR="00AC1ECC">
        <w:rPr>
          <w:rFonts w:ascii="Times New Roman" w:hAnsi="Times New Roman" w:cs="Times New Roman"/>
          <w:sz w:val="24"/>
          <w:szCs w:val="24"/>
        </w:rPr>
        <w:t>in</w:t>
      </w:r>
      <w:r w:rsidRPr="001A1700">
        <w:rPr>
          <w:rFonts w:ascii="Times New Roman" w:hAnsi="Times New Roman" w:cs="Times New Roman"/>
          <w:sz w:val="24"/>
          <w:szCs w:val="24"/>
        </w:rPr>
        <w:t xml:space="preserve"> chapter 17 </w:t>
      </w:r>
      <w:r w:rsidR="00524212">
        <w:rPr>
          <w:rFonts w:ascii="Times New Roman" w:hAnsi="Times New Roman" w:cs="Times New Roman"/>
          <w:sz w:val="24"/>
          <w:szCs w:val="24"/>
        </w:rPr>
        <w:t xml:space="preserve">of </w:t>
      </w:r>
      <w:r w:rsidRPr="001A1700">
        <w:rPr>
          <w:rFonts w:ascii="Times New Roman" w:hAnsi="Times New Roman" w:cs="Times New Roman"/>
          <w:sz w:val="24"/>
          <w:szCs w:val="24"/>
        </w:rPr>
        <w:t>the HTS.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Pr>
          <w:rFonts w:ascii="Times New Roman" w:hAnsi="Times New Roman" w:cs="Times New Roman"/>
          <w:i/>
          <w:sz w:val="24"/>
          <w:szCs w:val="24"/>
        </w:rPr>
        <w:t>Establishment of the Specialty Sugar Quota</w:t>
      </w:r>
    </w:p>
    <w:p w:rsidR="00EB65F5" w:rsidRPr="001A1700" w:rsidRDefault="00EB65F5" w:rsidP="00065F46">
      <w:pPr>
        <w:pStyle w:val="PlainText"/>
        <w:numPr>
          <w:ilvl w:val="0"/>
          <w:numId w:val="10"/>
        </w:numPr>
        <w:rPr>
          <w:rFonts w:ascii="Times New Roman" w:hAnsi="Times New Roman" w:cs="Times New Roman"/>
          <w:sz w:val="24"/>
          <w:szCs w:val="24"/>
        </w:rPr>
      </w:pPr>
      <w:r w:rsidRPr="001A1700">
        <w:rPr>
          <w:rFonts w:ascii="Times New Roman" w:hAnsi="Times New Roman" w:cs="Times New Roman"/>
          <w:i/>
          <w:sz w:val="24"/>
          <w:szCs w:val="24"/>
          <w:u w:val="single"/>
        </w:rPr>
        <w:t>Country Quota Allocations:</w:t>
      </w:r>
      <w:r>
        <w:rPr>
          <w:rFonts w:ascii="Times New Roman" w:hAnsi="Times New Roman" w:cs="Times New Roman"/>
          <w:i/>
          <w:sz w:val="24"/>
          <w:szCs w:val="24"/>
        </w:rPr>
        <w:t xml:space="preserve">  </w:t>
      </w:r>
      <w:r w:rsidRPr="001A1700">
        <w:rPr>
          <w:rFonts w:ascii="Times New Roman" w:hAnsi="Times New Roman" w:cs="Times New Roman"/>
          <w:sz w:val="24"/>
          <w:szCs w:val="24"/>
        </w:rPr>
        <w:t>Presidential Proclamation 4941 of May 5, 1982 replaced the global import quota with a quota system for individual countries (Attachment 3).  The U.S. Trade Representative</w:t>
      </w:r>
      <w:r w:rsidR="008852BD">
        <w:rPr>
          <w:rFonts w:ascii="Times New Roman" w:hAnsi="Times New Roman" w:cs="Times New Roman"/>
          <w:sz w:val="24"/>
          <w:szCs w:val="24"/>
        </w:rPr>
        <w:t xml:space="preserve"> with rank of Ambassador</w:t>
      </w:r>
      <w:r w:rsidRPr="001A1700">
        <w:rPr>
          <w:rFonts w:ascii="Times New Roman" w:hAnsi="Times New Roman" w:cs="Times New Roman"/>
          <w:sz w:val="24"/>
          <w:szCs w:val="24"/>
        </w:rPr>
        <w:t xml:space="preserve"> was responsible for determining country quota allocations.  Meanwhile, the Secretary of Agriculture was responsible for determining quota periods and quantities.  Each official received authority to issue regulations modifying allocations, quota periods, and any such additional regulations deemed necessary to operate the quota system.</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065F46">
      <w:pPr>
        <w:pStyle w:val="PlainText"/>
        <w:numPr>
          <w:ilvl w:val="0"/>
          <w:numId w:val="10"/>
        </w:numPr>
        <w:rPr>
          <w:rFonts w:ascii="Times New Roman" w:hAnsi="Times New Roman" w:cs="Times New Roman"/>
          <w:sz w:val="24"/>
          <w:szCs w:val="24"/>
        </w:rPr>
      </w:pPr>
      <w:r w:rsidRPr="001A1700">
        <w:rPr>
          <w:rFonts w:ascii="Times New Roman" w:hAnsi="Times New Roman" w:cs="Times New Roman"/>
          <w:i/>
          <w:sz w:val="24"/>
          <w:szCs w:val="24"/>
          <w:u w:val="single"/>
        </w:rPr>
        <w:lastRenderedPageBreak/>
        <w:t>Specialty Sugar Allocation:</w:t>
      </w:r>
      <w:r w:rsidRPr="007B3397">
        <w:rPr>
          <w:rFonts w:ascii="Times New Roman" w:hAnsi="Times New Roman" w:cs="Times New Roman"/>
          <w:i/>
          <w:sz w:val="24"/>
          <w:szCs w:val="24"/>
        </w:rPr>
        <w:t xml:space="preserve">  </w:t>
      </w:r>
      <w:r w:rsidRPr="001A1700">
        <w:rPr>
          <w:rFonts w:ascii="Times New Roman" w:hAnsi="Times New Roman" w:cs="Times New Roman"/>
          <w:sz w:val="24"/>
          <w:szCs w:val="24"/>
        </w:rPr>
        <w:t xml:space="preserve">The quota allocations to countries derived from imports during a representative period (1975-81).  Consequently, imports of specialty sugars virtually disappeared, because exporting countries shipped relatively small quantities for a niche market and had to compete for the small quota allocation (5.9 percent of the total) </w:t>
      </w:r>
      <w:r w:rsidR="008852BD">
        <w:rPr>
          <w:rFonts w:ascii="Times New Roman" w:hAnsi="Times New Roman" w:cs="Times New Roman"/>
          <w:sz w:val="24"/>
          <w:szCs w:val="24"/>
        </w:rPr>
        <w:t>with</w:t>
      </w:r>
      <w:r w:rsidRPr="001A1700">
        <w:rPr>
          <w:rFonts w:ascii="Times New Roman" w:hAnsi="Times New Roman" w:cs="Times New Roman"/>
          <w:sz w:val="24"/>
          <w:szCs w:val="24"/>
        </w:rPr>
        <w:t xml:space="preserve"> "other countries."  Specialty sugars were not sufficiently available from domestic producers.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To fulfill domestic demand for specialty sugars, the Secretary filed a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 on June 23, 1983 (Attachment 4).  This document announced that the sugar quota would increase by 2,000 short tons raw value, a quantity reserved for specialty sugars.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U.S. Trade Representative published regulations governing the issuance of "certificates for the importation of specialty sugars” and delegated authority to operate and administer the certificate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 xml:space="preserve"> to the Department of Agriculture.  Under the original </w:t>
      </w:r>
      <w:r>
        <w:rPr>
          <w:rFonts w:ascii="Times New Roman" w:hAnsi="Times New Roman" w:cs="Times New Roman"/>
          <w:sz w:val="24"/>
          <w:szCs w:val="24"/>
        </w:rPr>
        <w:t>r</w:t>
      </w:r>
      <w:r w:rsidRPr="001A1700">
        <w:rPr>
          <w:rFonts w:ascii="Times New Roman" w:hAnsi="Times New Roman" w:cs="Times New Roman"/>
          <w:sz w:val="24"/>
          <w:szCs w:val="24"/>
        </w:rPr>
        <w:t>egulation, there was no list of specialty sugar products.  Specialty sugar was defined in terms of availability and usage.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Pr>
          <w:rFonts w:ascii="Times New Roman" w:hAnsi="Times New Roman" w:cs="Times New Roman"/>
          <w:i/>
          <w:sz w:val="24"/>
          <w:szCs w:val="24"/>
        </w:rPr>
        <w:t>Conversion of Sugar Quotas to Sugar TRQs</w:t>
      </w: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In 1990, Presidential Proclamation 6179 of September 13, 1990 (Attachment 5) replaced absolute quotas with </w:t>
      </w:r>
      <w:r w:rsidR="008852BD">
        <w:rPr>
          <w:rFonts w:ascii="Times New Roman" w:hAnsi="Times New Roman" w:cs="Times New Roman"/>
          <w:sz w:val="24"/>
          <w:szCs w:val="24"/>
        </w:rPr>
        <w:t>tariff-rate quotas (</w:t>
      </w:r>
      <w:r w:rsidRPr="001A1700">
        <w:rPr>
          <w:rFonts w:ascii="Times New Roman" w:hAnsi="Times New Roman" w:cs="Times New Roman"/>
          <w:sz w:val="24"/>
          <w:szCs w:val="24"/>
        </w:rPr>
        <w:t>TRQs</w:t>
      </w:r>
      <w:r w:rsidR="008852BD">
        <w:rPr>
          <w:rFonts w:ascii="Times New Roman" w:hAnsi="Times New Roman" w:cs="Times New Roman"/>
          <w:sz w:val="24"/>
          <w:szCs w:val="24"/>
        </w:rPr>
        <w:t>)</w:t>
      </w:r>
      <w:r w:rsidRPr="001A1700">
        <w:rPr>
          <w:rFonts w:ascii="Times New Roman" w:hAnsi="Times New Roman" w:cs="Times New Roman"/>
          <w:sz w:val="24"/>
          <w:szCs w:val="24"/>
        </w:rPr>
        <w:t>, because TRQs were GATT consistent as the U.S. sugar tariff was not bound in the GATT.</w:t>
      </w:r>
      <w:r w:rsidR="008852BD">
        <w:rPr>
          <w:rFonts w:ascii="Times New Roman" w:hAnsi="Times New Roman" w:cs="Times New Roman"/>
          <w:sz w:val="24"/>
          <w:szCs w:val="24"/>
        </w:rPr>
        <w:t xml:space="preserve">  </w:t>
      </w:r>
      <w:r w:rsidRPr="001A1700">
        <w:rPr>
          <w:rFonts w:ascii="Times New Roman" w:hAnsi="Times New Roman" w:cs="Times New Roman"/>
          <w:sz w:val="24"/>
          <w:szCs w:val="24"/>
        </w:rPr>
        <w:t>This Proclamation also amended the definition of specialty sugars to identify specific products.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065F46">
      <w:pPr>
        <w:pStyle w:val="PlainText"/>
        <w:numPr>
          <w:ilvl w:val="0"/>
          <w:numId w:val="11"/>
        </w:numPr>
        <w:rPr>
          <w:rFonts w:ascii="Times New Roman" w:hAnsi="Times New Roman" w:cs="Times New Roman"/>
          <w:sz w:val="24"/>
          <w:szCs w:val="24"/>
        </w:rPr>
      </w:pPr>
      <w:r w:rsidRPr="001A1700">
        <w:rPr>
          <w:rFonts w:ascii="Times New Roman" w:hAnsi="Times New Roman" w:cs="Times New Roman"/>
          <w:i/>
          <w:sz w:val="24"/>
          <w:szCs w:val="24"/>
          <w:u w:val="single"/>
        </w:rPr>
        <w:t>Amended Definition:</w:t>
      </w:r>
      <w:r w:rsidRPr="007B3397">
        <w:rPr>
          <w:rFonts w:ascii="Times New Roman" w:hAnsi="Times New Roman" w:cs="Times New Roman"/>
          <w:i/>
          <w:sz w:val="24"/>
          <w:szCs w:val="24"/>
        </w:rPr>
        <w:t xml:space="preserve">  </w:t>
      </w:r>
      <w:r w:rsidRPr="001A1700">
        <w:rPr>
          <w:rFonts w:ascii="Times New Roman" w:hAnsi="Times New Roman" w:cs="Times New Roman"/>
          <w:sz w:val="24"/>
          <w:szCs w:val="24"/>
        </w:rPr>
        <w:t>Brown slab sugar, pearl sugar, vanilla sugar, rock candy, demerara sugar, dragées for cooking and baking, fondant, ti light sugar, caster sugar, golden syrup, and ferdiana granella grossa which are:  (1) the product of a specialty source country; and (2) require no further refining, processing, or other preparation prior to consumption other than incorporation as an ingredient in human food.</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524212">
        <w:rPr>
          <w:rFonts w:ascii="Times New Roman" w:hAnsi="Times New Roman" w:cs="Times New Roman"/>
          <w:sz w:val="24"/>
          <w:szCs w:val="24"/>
        </w:rPr>
        <w:t xml:space="preserve">Implementation of </w:t>
      </w:r>
      <w:smartTag w:uri="urn:schemas-microsoft-com:office:smarttags" w:element="place">
        <w:smartTag w:uri="urn:schemas-microsoft-com:office:smarttags" w:element="country-region">
          <w:r w:rsidRPr="00524212">
            <w:rPr>
              <w:rFonts w:ascii="Times New Roman" w:hAnsi="Times New Roman" w:cs="Times New Roman"/>
              <w:sz w:val="24"/>
              <w:szCs w:val="24"/>
            </w:rPr>
            <w:t>Uruguay</w:t>
          </w:r>
        </w:smartTag>
      </w:smartTag>
      <w:r w:rsidRPr="00524212">
        <w:rPr>
          <w:rFonts w:ascii="Times New Roman" w:hAnsi="Times New Roman" w:cs="Times New Roman"/>
          <w:sz w:val="24"/>
          <w:szCs w:val="24"/>
        </w:rPr>
        <w:t xml:space="preserve"> Round Agreement Concessions:</w:t>
      </w:r>
    </w:p>
    <w:p w:rsidR="00EB65F5" w:rsidRPr="001A1700" w:rsidRDefault="00EB65F5" w:rsidP="00065F46">
      <w:pPr>
        <w:pStyle w:val="PlainText"/>
        <w:numPr>
          <w:ilvl w:val="0"/>
          <w:numId w:val="11"/>
        </w:numPr>
        <w:rPr>
          <w:rFonts w:ascii="Times New Roman" w:hAnsi="Times New Roman" w:cs="Times New Roman"/>
          <w:sz w:val="24"/>
          <w:szCs w:val="24"/>
        </w:rPr>
      </w:pPr>
      <w:r w:rsidRPr="001A1700">
        <w:rPr>
          <w:rFonts w:ascii="Times New Roman" w:hAnsi="Times New Roman" w:cs="Times New Roman"/>
          <w:sz w:val="24"/>
          <w:szCs w:val="24"/>
        </w:rPr>
        <w:t>Presidential Proclamation 6763 of December 23, 1994 amended the HTS to increase the sugar TRQs</w:t>
      </w:r>
      <w:r w:rsidR="00D955B0">
        <w:rPr>
          <w:rFonts w:ascii="Times New Roman" w:hAnsi="Times New Roman" w:cs="Times New Roman"/>
          <w:sz w:val="24"/>
          <w:szCs w:val="24"/>
        </w:rPr>
        <w:t xml:space="preserve"> </w:t>
      </w:r>
      <w:r w:rsidR="00F00DB3">
        <w:rPr>
          <w:rFonts w:ascii="Times New Roman" w:hAnsi="Times New Roman" w:cs="Times New Roman"/>
          <w:sz w:val="24"/>
          <w:szCs w:val="24"/>
        </w:rPr>
        <w:t>(Attachment 6)</w:t>
      </w:r>
      <w:r w:rsidR="00C43039">
        <w:rPr>
          <w:rFonts w:ascii="Times New Roman" w:hAnsi="Times New Roman" w:cs="Times New Roman"/>
          <w:sz w:val="24"/>
          <w:szCs w:val="24"/>
        </w:rPr>
        <w:t xml:space="preserve">. </w:t>
      </w:r>
      <w:r w:rsidR="00F00DB3" w:rsidRPr="001A1700">
        <w:rPr>
          <w:rFonts w:ascii="Times New Roman" w:hAnsi="Times New Roman" w:cs="Times New Roman"/>
          <w:sz w:val="24"/>
          <w:szCs w:val="24"/>
        </w:rPr>
        <w:t xml:space="preserve"> </w:t>
      </w:r>
      <w:r w:rsidRPr="001A1700">
        <w:rPr>
          <w:rFonts w:ascii="Times New Roman" w:hAnsi="Times New Roman" w:cs="Times New Roman"/>
          <w:sz w:val="24"/>
          <w:szCs w:val="24"/>
        </w:rPr>
        <w:t xml:space="preserve">The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 of May 29, 1996 (Attachment </w:t>
      </w:r>
      <w:r w:rsidR="00F00DB3">
        <w:rPr>
          <w:rFonts w:ascii="Times New Roman" w:hAnsi="Times New Roman" w:cs="Times New Roman"/>
          <w:sz w:val="24"/>
          <w:szCs w:val="24"/>
        </w:rPr>
        <w:t>7</w:t>
      </w:r>
      <w:r w:rsidRPr="001A1700">
        <w:rPr>
          <w:rFonts w:ascii="Times New Roman" w:hAnsi="Times New Roman" w:cs="Times New Roman"/>
          <w:sz w:val="24"/>
          <w:szCs w:val="24"/>
        </w:rPr>
        <w:t xml:space="preserve">) made the conforming modifications to the </w:t>
      </w:r>
      <w:r>
        <w:rPr>
          <w:rFonts w:ascii="Times New Roman" w:hAnsi="Times New Roman" w:cs="Times New Roman"/>
          <w:sz w:val="24"/>
          <w:szCs w:val="24"/>
        </w:rPr>
        <w:t>r</w:t>
      </w:r>
      <w:r w:rsidRPr="001A1700">
        <w:rPr>
          <w:rFonts w:ascii="Times New Roman" w:hAnsi="Times New Roman" w:cs="Times New Roman"/>
          <w:sz w:val="24"/>
          <w:szCs w:val="24"/>
        </w:rPr>
        <w:t>egulation.  In addition, it amended the definition of specialty sugars and revised the definition of specialty sugar source countries.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Specialty sugars are currently defined in §2011.202(i) of the </w:t>
      </w:r>
      <w:r>
        <w:rPr>
          <w:rFonts w:ascii="Times New Roman" w:hAnsi="Times New Roman" w:cs="Times New Roman"/>
          <w:sz w:val="24"/>
          <w:szCs w:val="24"/>
        </w:rPr>
        <w:t>r</w:t>
      </w:r>
      <w:r w:rsidRPr="001A1700">
        <w:rPr>
          <w:rFonts w:ascii="Times New Roman" w:hAnsi="Times New Roman" w:cs="Times New Roman"/>
          <w:sz w:val="24"/>
          <w:szCs w:val="24"/>
        </w:rPr>
        <w:t>egulation as:</w:t>
      </w:r>
    </w:p>
    <w:p w:rsidR="00EB65F5" w:rsidRPr="001A1700" w:rsidRDefault="00EB65F5" w:rsidP="00065F46">
      <w:pPr>
        <w:pStyle w:val="PlainText"/>
        <w:numPr>
          <w:ilvl w:val="0"/>
          <w:numId w:val="11"/>
        </w:numPr>
        <w:rPr>
          <w:rFonts w:ascii="Times New Roman" w:hAnsi="Times New Roman" w:cs="Times New Roman"/>
          <w:sz w:val="24"/>
          <w:szCs w:val="24"/>
        </w:rPr>
      </w:pPr>
      <w:r w:rsidRPr="001A1700">
        <w:rPr>
          <w:rFonts w:ascii="Times New Roman" w:hAnsi="Times New Roman" w:cs="Times New Roman"/>
          <w:sz w:val="24"/>
          <w:szCs w:val="24"/>
        </w:rPr>
        <w:t>Brown slab sugar, pearl sugar, vanilla sugar, rock candy, demerara sugar, dragées for cooking and baking, fondant, ti light sugar, caster sugar, golden syrup, ferdiana granella grossa, golden granulated sugar, muscovado, molasses sugar, sugar decorations, sugar cubes, organic sugar (added by USTR in August 1996</w:t>
      </w:r>
      <w:r w:rsidR="00D62032">
        <w:rPr>
          <w:rFonts w:ascii="Times New Roman" w:hAnsi="Times New Roman" w:cs="Times New Roman"/>
          <w:sz w:val="24"/>
          <w:szCs w:val="24"/>
        </w:rPr>
        <w:t xml:space="preserve"> as shown in Attachment </w:t>
      </w:r>
      <w:r w:rsidR="00F00DB3">
        <w:rPr>
          <w:rFonts w:ascii="Times New Roman" w:hAnsi="Times New Roman" w:cs="Times New Roman"/>
          <w:sz w:val="24"/>
          <w:szCs w:val="24"/>
        </w:rPr>
        <w:t>8</w:t>
      </w:r>
      <w:r w:rsidRPr="001A1700">
        <w:rPr>
          <w:rFonts w:ascii="Times New Roman" w:hAnsi="Times New Roman" w:cs="Times New Roman"/>
          <w:sz w:val="24"/>
          <w:szCs w:val="24"/>
        </w:rPr>
        <w:t>), and other sugars as determined by the U.S. Trade Representative that would be considered specialty sugar products in the normal commerce of the United States.</w:t>
      </w:r>
    </w:p>
    <w:p w:rsidR="008852BD" w:rsidRDefault="008852BD"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Specialty sugar source countries are currently defined in §2011.202 (j) of the Regulation:</w:t>
      </w:r>
    </w:p>
    <w:p w:rsidR="00EB65F5" w:rsidRPr="001A1700" w:rsidRDefault="00EB65F5" w:rsidP="00065F46">
      <w:pPr>
        <w:pStyle w:val="PlainText"/>
        <w:numPr>
          <w:ilvl w:val="0"/>
          <w:numId w:val="11"/>
        </w:numPr>
        <w:rPr>
          <w:rFonts w:ascii="Times New Roman" w:hAnsi="Times New Roman" w:cs="Times New Roman"/>
          <w:sz w:val="24"/>
          <w:szCs w:val="24"/>
        </w:rPr>
      </w:pPr>
      <w:r w:rsidRPr="001A1700">
        <w:rPr>
          <w:rFonts w:ascii="Times New Roman" w:hAnsi="Times New Roman" w:cs="Times New Roman"/>
          <w:sz w:val="24"/>
          <w:szCs w:val="24"/>
        </w:rPr>
        <w:lastRenderedPageBreak/>
        <w:t xml:space="preserve">Any country or area to which the U.S. Trade Representative has allocated an amount of the quantity reserved for the importation of specialty sugars under Additional U.S. Note 5 to the HTS.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sidRPr="00280B3A">
        <w:rPr>
          <w:rFonts w:ascii="Times New Roman" w:hAnsi="Times New Roman" w:cs="Times New Roman"/>
          <w:i/>
          <w:sz w:val="24"/>
          <w:szCs w:val="24"/>
        </w:rPr>
        <w:t>The Current System:  Specialty Sugar and Sugar TRQs</w:t>
      </w: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Secretary of Agriculture announces the quantity that will be subject to the TRQ, including specialty sugars for each fiscal year (October 1-September 30).  This authority is provided under Additional U.S. Note 5 (a) (i) to chapter 17 which permits the Secretary:</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C0219C">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T</w:t>
      </w:r>
      <w:r w:rsidRPr="001A1700">
        <w:rPr>
          <w:rFonts w:ascii="Times New Roman" w:hAnsi="Times New Roman" w:cs="Times New Roman"/>
          <w:sz w:val="24"/>
          <w:szCs w:val="24"/>
        </w:rPr>
        <w:t xml:space="preserve">o establish the TRQ quantity for </w:t>
      </w:r>
      <w:r w:rsidRPr="001A1700">
        <w:rPr>
          <w:rFonts w:ascii="Times New Roman" w:hAnsi="Times New Roman" w:cs="Times New Roman"/>
          <w:i/>
          <w:sz w:val="24"/>
          <w:szCs w:val="24"/>
        </w:rPr>
        <w:t>raw sugar</w:t>
      </w:r>
      <w:r w:rsidRPr="001A1700">
        <w:rPr>
          <w:rFonts w:ascii="Times New Roman" w:hAnsi="Times New Roman" w:cs="Times New Roman"/>
          <w:sz w:val="24"/>
          <w:szCs w:val="24"/>
        </w:rPr>
        <w:t xml:space="preserve"> of not less than 1,117,195 metric tons (raw value) to be entered under HTS 1701.1</w:t>
      </w:r>
      <w:r w:rsidR="00CF30D8">
        <w:rPr>
          <w:rFonts w:ascii="Times New Roman" w:hAnsi="Times New Roman" w:cs="Times New Roman"/>
          <w:sz w:val="24"/>
          <w:szCs w:val="24"/>
        </w:rPr>
        <w:t>3</w:t>
      </w:r>
      <w:r w:rsidRPr="001A1700">
        <w:rPr>
          <w:rFonts w:ascii="Times New Roman" w:hAnsi="Times New Roman" w:cs="Times New Roman"/>
          <w:sz w:val="24"/>
          <w:szCs w:val="24"/>
        </w:rPr>
        <w:t>.10</w:t>
      </w:r>
      <w:r w:rsidR="00CF30D8">
        <w:rPr>
          <w:rFonts w:ascii="Times New Roman" w:hAnsi="Times New Roman" w:cs="Times New Roman"/>
          <w:sz w:val="24"/>
          <w:szCs w:val="24"/>
        </w:rPr>
        <w:t xml:space="preserve"> and 1701.14.10</w:t>
      </w:r>
      <w:r w:rsidRPr="001A1700">
        <w:rPr>
          <w:rFonts w:ascii="Times New Roman" w:hAnsi="Times New Roman" w:cs="Times New Roman"/>
          <w:sz w:val="24"/>
          <w:szCs w:val="24"/>
        </w:rPr>
        <w: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7D6EE4">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T</w:t>
      </w:r>
      <w:r w:rsidRPr="001A1700">
        <w:rPr>
          <w:rFonts w:ascii="Times New Roman" w:hAnsi="Times New Roman" w:cs="Times New Roman"/>
          <w:sz w:val="24"/>
          <w:szCs w:val="24"/>
        </w:rPr>
        <w:t xml:space="preserve">o establish the TRQ quantity for </w:t>
      </w:r>
      <w:r w:rsidRPr="001A1700">
        <w:rPr>
          <w:rFonts w:ascii="Times New Roman" w:hAnsi="Times New Roman" w:cs="Times New Roman"/>
          <w:i/>
          <w:sz w:val="24"/>
          <w:szCs w:val="24"/>
        </w:rPr>
        <w:t>refined sugar</w:t>
      </w:r>
      <w:r w:rsidRPr="001A1700">
        <w:rPr>
          <w:rFonts w:ascii="Times New Roman" w:hAnsi="Times New Roman" w:cs="Times New Roman"/>
          <w:sz w:val="24"/>
          <w:szCs w:val="24"/>
        </w:rPr>
        <w:t xml:space="preserve"> of not less than 22,000 metric tons (raw value) to be entered under HTS 1701.12.10, 1701.91.10, 1701.99.1</w:t>
      </w:r>
      <w:r w:rsidR="007D6EE4">
        <w:rPr>
          <w:rFonts w:ascii="Times New Roman" w:hAnsi="Times New Roman" w:cs="Times New Roman"/>
          <w:sz w:val="24"/>
          <w:szCs w:val="24"/>
        </w:rPr>
        <w:t>5</w:t>
      </w:r>
      <w:r w:rsidRPr="001A1700">
        <w:rPr>
          <w:rFonts w:ascii="Times New Roman" w:hAnsi="Times New Roman" w:cs="Times New Roman"/>
          <w:sz w:val="24"/>
          <w:szCs w:val="24"/>
        </w:rPr>
        <w:t xml:space="preserve">, </w:t>
      </w:r>
      <w:r w:rsidR="007D6EE4" w:rsidRPr="007D6EE4">
        <w:rPr>
          <w:rFonts w:ascii="Times New Roman" w:hAnsi="Times New Roman" w:cs="Times New Roman"/>
          <w:sz w:val="24"/>
          <w:szCs w:val="24"/>
        </w:rPr>
        <w:t>1701.99.1</w:t>
      </w:r>
      <w:r w:rsidR="007D6EE4">
        <w:rPr>
          <w:rFonts w:ascii="Times New Roman" w:hAnsi="Times New Roman" w:cs="Times New Roman"/>
          <w:sz w:val="24"/>
          <w:szCs w:val="24"/>
        </w:rPr>
        <w:t>7</w:t>
      </w:r>
      <w:r w:rsidR="007D6EE4" w:rsidRPr="007D6EE4">
        <w:rPr>
          <w:rFonts w:ascii="Times New Roman" w:hAnsi="Times New Roman" w:cs="Times New Roman"/>
          <w:sz w:val="24"/>
          <w:szCs w:val="24"/>
        </w:rPr>
        <w:t xml:space="preserve">, </w:t>
      </w:r>
      <w:r w:rsidRPr="001A1700">
        <w:rPr>
          <w:rFonts w:ascii="Times New Roman" w:hAnsi="Times New Roman" w:cs="Times New Roman"/>
          <w:sz w:val="24"/>
          <w:szCs w:val="24"/>
        </w:rPr>
        <w:t>1702.90.10,</w:t>
      </w:r>
      <w:r>
        <w:rPr>
          <w:rFonts w:ascii="Times New Roman" w:hAnsi="Times New Roman" w:cs="Times New Roman"/>
          <w:sz w:val="24"/>
          <w:szCs w:val="24"/>
        </w:rPr>
        <w:t xml:space="preserve"> </w:t>
      </w:r>
      <w:r w:rsidRPr="001A1700">
        <w:rPr>
          <w:rFonts w:ascii="Times New Roman" w:hAnsi="Times New Roman" w:cs="Times New Roman"/>
          <w:sz w:val="24"/>
          <w:szCs w:val="24"/>
        </w:rPr>
        <w:t xml:space="preserve">and/or 2106.90.44; </w:t>
      </w:r>
      <w:r w:rsidR="007D6EE4">
        <w:rPr>
          <w:rFonts w:ascii="Times New Roman" w:hAnsi="Times New Roman" w:cs="Times New Roman"/>
          <w:sz w:val="24"/>
          <w:szCs w:val="24"/>
        </w:rPr>
        <w:t xml:space="preserve">(Most TRQ imports enter under HTS </w:t>
      </w:r>
      <w:r w:rsidR="007D6EE4" w:rsidRPr="007D6EE4">
        <w:rPr>
          <w:rFonts w:ascii="Times New Roman" w:hAnsi="Times New Roman" w:cs="Times New Roman"/>
          <w:sz w:val="24"/>
          <w:szCs w:val="24"/>
        </w:rPr>
        <w:t>1701.99.15</w:t>
      </w:r>
      <w:r w:rsidR="007D6EE4">
        <w:rPr>
          <w:rFonts w:ascii="Times New Roman" w:hAnsi="Times New Roman" w:cs="Times New Roman"/>
          <w:sz w:val="24"/>
          <w:szCs w:val="24"/>
        </w:rPr>
        <w:t xml:space="preserve"> and</w:t>
      </w:r>
      <w:r w:rsidR="007D6EE4" w:rsidRPr="007D6EE4">
        <w:rPr>
          <w:rFonts w:ascii="Times New Roman" w:hAnsi="Times New Roman" w:cs="Times New Roman"/>
          <w:sz w:val="24"/>
          <w:szCs w:val="24"/>
        </w:rPr>
        <w:t xml:space="preserve"> 1701.99.17</w:t>
      </w:r>
      <w:r w:rsidR="00894590">
        <w:rPr>
          <w:rFonts w:ascii="Times New Roman" w:hAnsi="Times New Roman" w:cs="Times New Roman"/>
          <w:sz w:val="24"/>
          <w:szCs w:val="24"/>
        </w:rPr>
        <w:t>.</w:t>
      </w:r>
      <w:r w:rsidR="007D6EE4">
        <w:rPr>
          <w:rFonts w:ascii="Times New Roman" w:hAnsi="Times New Roman" w:cs="Times New Roman"/>
          <w:sz w:val="24"/>
          <w:szCs w:val="24"/>
        </w:rPr>
        <w:t xml:space="preserve">) </w:t>
      </w:r>
      <w:r w:rsidRPr="001A1700">
        <w:rPr>
          <w:rFonts w:ascii="Times New Roman" w:hAnsi="Times New Roman" w:cs="Times New Roman"/>
          <w:sz w:val="24"/>
          <w:szCs w:val="24"/>
        </w:rPr>
        <w:t>a</w:t>
      </w:r>
      <w:r w:rsidR="007D6EE4">
        <w:rPr>
          <w:rFonts w:ascii="Times New Roman" w:hAnsi="Times New Roman" w:cs="Times New Roman"/>
          <w:sz w:val="24"/>
          <w:szCs w:val="24"/>
        </w:rPr>
        <w:t>s well as</w:t>
      </w:r>
    </w:p>
    <w:p w:rsidR="00EB65F5" w:rsidRPr="001A1700" w:rsidRDefault="00EB65F5" w:rsidP="001A1700">
      <w:pPr>
        <w:pStyle w:val="PlainText"/>
        <w:rPr>
          <w:rFonts w:ascii="Times New Roman" w:hAnsi="Times New Roman" w:cs="Times New Roman"/>
          <w:sz w:val="24"/>
          <w:szCs w:val="24"/>
        </w:rPr>
      </w:pPr>
    </w:p>
    <w:p w:rsidR="00EB65F5" w:rsidRPr="007B3397" w:rsidRDefault="00EB65F5" w:rsidP="007B3397">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T</w:t>
      </w:r>
      <w:r w:rsidRPr="007B3397">
        <w:rPr>
          <w:rFonts w:ascii="Times New Roman" w:hAnsi="Times New Roman" w:cs="Times New Roman"/>
          <w:sz w:val="24"/>
          <w:szCs w:val="24"/>
        </w:rPr>
        <w:t>o reserve a quota quantity for imports of specialty sugars, entered under the refined sugar TRQ, as defined by the United States Trade Representative.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rPr>
        <w:t>Refined sugar TRQ</w:t>
      </w:r>
      <w:r w:rsidRPr="001A1700">
        <w:rPr>
          <w:rFonts w:ascii="Times New Roman" w:hAnsi="Times New Roman" w:cs="Times New Roman"/>
          <w:sz w:val="24"/>
          <w:szCs w:val="24"/>
        </w:rPr>
        <w:t>:</w:t>
      </w:r>
      <w:r>
        <w:rPr>
          <w:rFonts w:ascii="Times New Roman" w:hAnsi="Times New Roman" w:cs="Times New Roman"/>
          <w:sz w:val="24"/>
          <w:szCs w:val="24"/>
        </w:rPr>
        <w:t xml:space="preserve">  </w:t>
      </w:r>
      <w:r w:rsidRPr="001A1700">
        <w:rPr>
          <w:rFonts w:ascii="Times New Roman" w:hAnsi="Times New Roman" w:cs="Times New Roman"/>
          <w:sz w:val="24"/>
          <w:szCs w:val="24"/>
        </w:rPr>
        <w:t xml:space="preserve">Specialty sugar imports receive an annual share of the refined sugar TRQ.  There is also an allocation of 10,300 metric tons for </w:t>
      </w:r>
      <w:smartTag w:uri="urn:schemas-microsoft-com:office:smarttags" w:element="country-region">
        <w:r w:rsidRPr="001A1700">
          <w:rPr>
            <w:rFonts w:ascii="Times New Roman" w:hAnsi="Times New Roman" w:cs="Times New Roman"/>
            <w:sz w:val="24"/>
            <w:szCs w:val="24"/>
          </w:rPr>
          <w:t>Canada</w:t>
        </w:r>
      </w:smartTag>
      <w:r w:rsidRPr="001A1700">
        <w:rPr>
          <w:rFonts w:ascii="Times New Roman" w:hAnsi="Times New Roman" w:cs="Times New Roman"/>
          <w:sz w:val="24"/>
          <w:szCs w:val="24"/>
        </w:rPr>
        <w:t xml:space="preserve">; 2,954 metric tons for </w:t>
      </w:r>
      <w:smartTag w:uri="urn:schemas-microsoft-com:office:smarttags" w:element="place">
        <w:smartTag w:uri="urn:schemas-microsoft-com:office:smarttags" w:element="country-region">
          <w:r w:rsidRPr="001A1700">
            <w:rPr>
              <w:rFonts w:ascii="Times New Roman" w:hAnsi="Times New Roman" w:cs="Times New Roman"/>
              <w:sz w:val="24"/>
              <w:szCs w:val="24"/>
            </w:rPr>
            <w:t>Mexico</w:t>
          </w:r>
        </w:smartTag>
      </w:smartTag>
      <w:r w:rsidRPr="001A1700">
        <w:rPr>
          <w:rFonts w:ascii="Times New Roman" w:hAnsi="Times New Roman" w:cs="Times New Roman"/>
          <w:sz w:val="24"/>
          <w:szCs w:val="24"/>
        </w:rPr>
        <w:t>, and a "global" allocation which is the residual quantity that remains after subtracting the Canadian, Mexican, and specialty sugar allocations from the refined sugar TRQ.</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rPr>
        <w:t>Specialty Sugar TRQ Imports:</w:t>
      </w:r>
      <w:r>
        <w:rPr>
          <w:rFonts w:ascii="Times New Roman" w:hAnsi="Times New Roman" w:cs="Times New Roman"/>
          <w:i/>
          <w:sz w:val="24"/>
          <w:szCs w:val="24"/>
        </w:rPr>
        <w:t xml:space="preserve">  </w:t>
      </w:r>
      <w:r w:rsidRPr="001A1700">
        <w:rPr>
          <w:rFonts w:ascii="Times New Roman" w:hAnsi="Times New Roman" w:cs="Times New Roman"/>
          <w:sz w:val="24"/>
          <w:szCs w:val="24"/>
        </w:rPr>
        <w:t xml:space="preserve">U.S. Customs and Border Protection permits the "global" allocation for refined sugar to fill </w:t>
      </w:r>
      <w:r w:rsidRPr="001A1700">
        <w:rPr>
          <w:rFonts w:ascii="Times New Roman" w:hAnsi="Times New Roman" w:cs="Times New Roman"/>
          <w:i/>
          <w:sz w:val="24"/>
          <w:szCs w:val="24"/>
        </w:rPr>
        <w:t>before opening the allocation reserved for specialty sugars</w:t>
      </w:r>
      <w:r w:rsidRPr="001A1700">
        <w:rPr>
          <w:rFonts w:ascii="Times New Roman" w:hAnsi="Times New Roman" w:cs="Times New Roman"/>
          <w:sz w:val="24"/>
          <w:szCs w:val="24"/>
        </w:rPr>
        <w:t xml:space="preserve">.  The specialty sugar allocation is filled on a first-come, first-served basis.  Importers of specialty sugars must have a certificate issued by FAS according to §2011.203 to </w:t>
      </w:r>
      <w:r w:rsidR="001535AC">
        <w:rPr>
          <w:rFonts w:ascii="Times New Roman" w:hAnsi="Times New Roman" w:cs="Times New Roman"/>
          <w:sz w:val="24"/>
          <w:szCs w:val="24"/>
        </w:rPr>
        <w:t xml:space="preserve">compete to </w:t>
      </w:r>
      <w:r w:rsidRPr="001A1700">
        <w:rPr>
          <w:rFonts w:ascii="Times New Roman" w:hAnsi="Times New Roman" w:cs="Times New Roman"/>
          <w:sz w:val="24"/>
          <w:szCs w:val="24"/>
        </w:rPr>
        <w:t>enter goods under the specialty sugar TRQ.</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sidRPr="00C43039">
        <w:rPr>
          <w:rFonts w:ascii="Times New Roman" w:hAnsi="Times New Roman" w:cs="Times New Roman"/>
          <w:i/>
          <w:sz w:val="24"/>
          <w:szCs w:val="24"/>
        </w:rPr>
        <w:t>SPECIALTY SUGAR CERTIFICATES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FY 201</w:t>
      </w:r>
      <w:r w:rsidR="00856EC4">
        <w:rPr>
          <w:rFonts w:ascii="Times New Roman" w:hAnsi="Times New Roman" w:cs="Times New Roman"/>
          <w:sz w:val="24"/>
          <w:szCs w:val="24"/>
        </w:rPr>
        <w:t>8</w:t>
      </w:r>
      <w:r w:rsidRPr="001A1700">
        <w:rPr>
          <w:rFonts w:ascii="Times New Roman" w:hAnsi="Times New Roman" w:cs="Times New Roman"/>
          <w:sz w:val="24"/>
          <w:szCs w:val="24"/>
        </w:rPr>
        <w:t xml:space="preserve"> press release (Attachment </w:t>
      </w:r>
      <w:r w:rsidR="00295003">
        <w:rPr>
          <w:rFonts w:ascii="Times New Roman" w:hAnsi="Times New Roman" w:cs="Times New Roman"/>
          <w:sz w:val="24"/>
          <w:szCs w:val="24"/>
        </w:rPr>
        <w:t>9</w:t>
      </w:r>
      <w:r w:rsidRPr="001A1700">
        <w:rPr>
          <w:rFonts w:ascii="Times New Roman" w:hAnsi="Times New Roman" w:cs="Times New Roman"/>
          <w:sz w:val="24"/>
          <w:szCs w:val="24"/>
        </w:rPr>
        <w:t>) announced that the FY 201</w:t>
      </w:r>
      <w:r w:rsidR="00856EC4">
        <w:rPr>
          <w:rFonts w:ascii="Times New Roman" w:hAnsi="Times New Roman" w:cs="Times New Roman"/>
          <w:sz w:val="24"/>
          <w:szCs w:val="24"/>
        </w:rPr>
        <w:t>8</w:t>
      </w:r>
      <w:r w:rsidRPr="001A1700">
        <w:rPr>
          <w:rFonts w:ascii="Times New Roman" w:hAnsi="Times New Roman" w:cs="Times New Roman"/>
          <w:sz w:val="24"/>
          <w:szCs w:val="24"/>
        </w:rPr>
        <w:t xml:space="preserve">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 xml:space="preserve"> will be administered in five tranches.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Before implementing the multiple</w:t>
      </w:r>
      <w:r w:rsidR="00BD6E29">
        <w:rPr>
          <w:rFonts w:ascii="Times New Roman" w:hAnsi="Times New Roman" w:cs="Times New Roman"/>
          <w:sz w:val="24"/>
          <w:szCs w:val="24"/>
        </w:rPr>
        <w:t>-</w:t>
      </w:r>
      <w:r w:rsidRPr="001A1700">
        <w:rPr>
          <w:rFonts w:ascii="Times New Roman" w:hAnsi="Times New Roman" w:cs="Times New Roman"/>
          <w:sz w:val="24"/>
          <w:szCs w:val="24"/>
        </w:rPr>
        <w:t xml:space="preserve">tranche approach, FAS issued on July 13, 2001 a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w:t>
      </w:r>
      <w:r>
        <w:rPr>
          <w:rFonts w:ascii="Times New Roman" w:hAnsi="Times New Roman" w:cs="Times New Roman"/>
          <w:sz w:val="24"/>
          <w:szCs w:val="24"/>
        </w:rPr>
        <w:t xml:space="preserve"> </w:t>
      </w:r>
      <w:r w:rsidRPr="001A1700">
        <w:rPr>
          <w:rFonts w:ascii="Times New Roman" w:hAnsi="Times New Roman" w:cs="Times New Roman"/>
          <w:sz w:val="24"/>
          <w:szCs w:val="24"/>
        </w:rPr>
        <w:t xml:space="preserve">(Attachment </w:t>
      </w:r>
      <w:r w:rsidR="00295003">
        <w:rPr>
          <w:rFonts w:ascii="Times New Roman" w:hAnsi="Times New Roman" w:cs="Times New Roman"/>
          <w:sz w:val="24"/>
          <w:szCs w:val="24"/>
        </w:rPr>
        <w:t>10</w:t>
      </w:r>
      <w:r w:rsidRPr="001A1700">
        <w:rPr>
          <w:rFonts w:ascii="Times New Roman" w:hAnsi="Times New Roman" w:cs="Times New Roman"/>
          <w:sz w:val="24"/>
          <w:szCs w:val="24"/>
        </w:rPr>
        <w:t>)</w:t>
      </w:r>
      <w:r w:rsidR="00BD6E29">
        <w:rPr>
          <w:rFonts w:ascii="Times New Roman" w:hAnsi="Times New Roman" w:cs="Times New Roman"/>
          <w:sz w:val="24"/>
          <w:szCs w:val="24"/>
        </w:rPr>
        <w:t>,</w:t>
      </w:r>
      <w:r w:rsidRPr="001A1700">
        <w:rPr>
          <w:rFonts w:ascii="Times New Roman" w:hAnsi="Times New Roman" w:cs="Times New Roman"/>
          <w:sz w:val="24"/>
          <w:szCs w:val="24"/>
        </w:rPr>
        <w:t xml:space="preserve"> requesting public comments.  This notice responded to industry concerns about reduced access to foreign supplies of organic sugar due to growing imports of caster sugar.  Surging imports of refined caster sugar from Guatemala hampered the objective of providing suitable access for organic sugar.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domestic industry and the FAS </w:t>
      </w:r>
      <w:r w:rsidR="005C18CC">
        <w:rPr>
          <w:rFonts w:ascii="Times New Roman" w:hAnsi="Times New Roman" w:cs="Times New Roman"/>
          <w:sz w:val="24"/>
          <w:szCs w:val="24"/>
        </w:rPr>
        <w:t>Certifying Authority</w:t>
      </w:r>
      <w:r w:rsidRPr="001A1700">
        <w:rPr>
          <w:rFonts w:ascii="Times New Roman" w:hAnsi="Times New Roman" w:cs="Times New Roman"/>
          <w:sz w:val="24"/>
          <w:szCs w:val="24"/>
        </w:rPr>
        <w:t xml:space="preserve"> viewed imports from Guatemala as </w:t>
      </w:r>
      <w:r w:rsidRPr="001A1700">
        <w:rPr>
          <w:rFonts w:ascii="Times New Roman" w:hAnsi="Times New Roman" w:cs="Times New Roman"/>
          <w:i/>
          <w:sz w:val="24"/>
          <w:szCs w:val="24"/>
        </w:rPr>
        <w:t>de facto</w:t>
      </w:r>
      <w:r w:rsidRPr="001A1700">
        <w:rPr>
          <w:rFonts w:ascii="Times New Roman" w:hAnsi="Times New Roman" w:cs="Times New Roman"/>
          <w:sz w:val="24"/>
          <w:szCs w:val="24"/>
        </w:rPr>
        <w:t xml:space="preserve"> circumvention of the raw and refined</w:t>
      </w:r>
      <w:r w:rsidR="001535AC">
        <w:rPr>
          <w:rFonts w:ascii="Times New Roman" w:hAnsi="Times New Roman" w:cs="Times New Roman"/>
          <w:sz w:val="24"/>
          <w:szCs w:val="24"/>
        </w:rPr>
        <w:t xml:space="preserve"> sugar</w:t>
      </w:r>
      <w:r w:rsidRPr="001A1700">
        <w:rPr>
          <w:rFonts w:ascii="Times New Roman" w:hAnsi="Times New Roman" w:cs="Times New Roman"/>
          <w:sz w:val="24"/>
          <w:szCs w:val="24"/>
        </w:rPr>
        <w:t xml:space="preserve"> TRQ</w:t>
      </w:r>
      <w:r w:rsidR="001535AC">
        <w:rPr>
          <w:rFonts w:ascii="Times New Roman" w:hAnsi="Times New Roman" w:cs="Times New Roman"/>
          <w:sz w:val="24"/>
          <w:szCs w:val="24"/>
        </w:rPr>
        <w:t>s</w:t>
      </w:r>
      <w:r w:rsidRPr="001A1700">
        <w:rPr>
          <w:rFonts w:ascii="Times New Roman" w:hAnsi="Times New Roman" w:cs="Times New Roman"/>
          <w:sz w:val="24"/>
          <w:szCs w:val="24"/>
        </w:rPr>
        <w:t>, because caster sugar and refined sugar with similar end uses are fungible, differing basically in crystal size.  Without providing greater access for ordinary refined sugar, the intent of the specialty sugar TRQ was to fill a separate niche market in the United States for unique sugars not produced domestically.</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In response to the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 FAS received submissions from the American Sugar Alliance, the United States Cane Sugar Refiners Association, Florida Crystals, the Embassy of Paraguay, Global Organics, Wholesome Sweeteners, Stonyfield Farm, and the Candy Institute.  The industry overwhelmingly favored the proposal and widely supported a separate organic specialty sugar certificate for multiple tranches.  The industry also advised FAS that domestically produced caster sugar is now commercially available in the United States.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065F46">
        <w:rPr>
          <w:rFonts w:ascii="Times New Roman" w:hAnsi="Times New Roman" w:cs="Times New Roman"/>
          <w:i/>
          <w:sz w:val="24"/>
          <w:szCs w:val="24"/>
        </w:rPr>
        <w:t>The Five Tranches</w:t>
      </w:r>
    </w:p>
    <w:p w:rsidR="00EB65F5" w:rsidRPr="001A1700" w:rsidRDefault="00EB65F5" w:rsidP="00065F46">
      <w:pPr>
        <w:pStyle w:val="NormalWeb"/>
        <w:spacing w:before="0" w:beforeAutospacing="0" w:after="0" w:afterAutospacing="0"/>
        <w:rPr>
          <w:rFonts w:ascii="Times New Roman" w:hAnsi="Times New Roman"/>
          <w:sz w:val="24"/>
          <w:szCs w:val="24"/>
        </w:rPr>
      </w:pPr>
      <w:r w:rsidRPr="001A1700">
        <w:rPr>
          <w:rFonts w:ascii="Times New Roman" w:hAnsi="Times New Roman"/>
          <w:sz w:val="24"/>
          <w:szCs w:val="24"/>
        </w:rPr>
        <w:t>The tranches of the FY 201</w:t>
      </w:r>
      <w:r w:rsidR="004B1BD0">
        <w:rPr>
          <w:rFonts w:ascii="Times New Roman" w:hAnsi="Times New Roman"/>
          <w:sz w:val="24"/>
          <w:szCs w:val="24"/>
        </w:rPr>
        <w:t>8</w:t>
      </w:r>
      <w:r w:rsidRPr="001A1700">
        <w:rPr>
          <w:rFonts w:ascii="Times New Roman" w:hAnsi="Times New Roman"/>
          <w:sz w:val="24"/>
          <w:szCs w:val="24"/>
        </w:rPr>
        <w:t xml:space="preserve"> specialty sugar TRQ were announced as follows:</w:t>
      </w:r>
    </w:p>
    <w:p w:rsidR="00EB65F5" w:rsidRPr="001A1700" w:rsidRDefault="00EB65F5" w:rsidP="00065F46">
      <w:pPr>
        <w:pStyle w:val="NormalWeb"/>
        <w:numPr>
          <w:ilvl w:val="0"/>
          <w:numId w:val="12"/>
        </w:numPr>
        <w:spacing w:before="0" w:beforeAutospacing="0" w:after="0" w:afterAutospacing="0"/>
        <w:rPr>
          <w:rFonts w:ascii="Times New Roman" w:hAnsi="Times New Roman"/>
          <w:sz w:val="24"/>
          <w:szCs w:val="24"/>
        </w:rPr>
      </w:pPr>
      <w:r w:rsidRPr="001A1700">
        <w:rPr>
          <w:rFonts w:ascii="Times New Roman" w:hAnsi="Times New Roman"/>
          <w:sz w:val="24"/>
          <w:szCs w:val="24"/>
        </w:rPr>
        <w:t>Tranche 1 – Open</w:t>
      </w:r>
      <w:r w:rsidR="00573042">
        <w:rPr>
          <w:rFonts w:ascii="Times New Roman" w:hAnsi="Times New Roman"/>
          <w:sz w:val="24"/>
          <w:szCs w:val="24"/>
        </w:rPr>
        <w:t>ed</w:t>
      </w:r>
      <w:r w:rsidRPr="001A1700">
        <w:rPr>
          <w:rFonts w:ascii="Times New Roman" w:hAnsi="Times New Roman"/>
          <w:sz w:val="24"/>
          <w:szCs w:val="24"/>
        </w:rPr>
        <w:t xml:space="preserve"> 10/</w:t>
      </w:r>
      <w:r w:rsidR="00A12336">
        <w:rPr>
          <w:rFonts w:ascii="Times New Roman" w:hAnsi="Times New Roman"/>
          <w:sz w:val="24"/>
          <w:szCs w:val="24"/>
        </w:rPr>
        <w:t>0</w:t>
      </w:r>
      <w:r w:rsidR="00573042">
        <w:rPr>
          <w:rFonts w:ascii="Times New Roman" w:hAnsi="Times New Roman"/>
          <w:sz w:val="24"/>
          <w:szCs w:val="24"/>
        </w:rPr>
        <w:t>2</w:t>
      </w:r>
      <w:r w:rsidRPr="001A1700">
        <w:rPr>
          <w:rFonts w:ascii="Times New Roman" w:hAnsi="Times New Roman"/>
          <w:sz w:val="24"/>
          <w:szCs w:val="24"/>
        </w:rPr>
        <w:t>/201</w:t>
      </w:r>
      <w:r w:rsidR="00573042">
        <w:rPr>
          <w:rFonts w:ascii="Times New Roman" w:hAnsi="Times New Roman"/>
          <w:sz w:val="24"/>
          <w:szCs w:val="24"/>
        </w:rPr>
        <w:t>7</w:t>
      </w:r>
      <w:r w:rsidRPr="001A1700">
        <w:rPr>
          <w:rFonts w:ascii="Times New Roman" w:hAnsi="Times New Roman"/>
          <w:sz w:val="24"/>
          <w:szCs w:val="24"/>
        </w:rPr>
        <w:t xml:space="preserve"> –   1,656 metric tons</w:t>
      </w:r>
    </w:p>
    <w:p w:rsidR="00EB65F5" w:rsidRPr="001A1700" w:rsidRDefault="00EB65F5" w:rsidP="00065F46">
      <w:pPr>
        <w:pStyle w:val="NormalWeb"/>
        <w:numPr>
          <w:ilvl w:val="0"/>
          <w:numId w:val="12"/>
        </w:numPr>
        <w:spacing w:before="0" w:beforeAutospacing="0" w:after="0" w:afterAutospacing="0"/>
        <w:rPr>
          <w:rFonts w:ascii="Times New Roman" w:hAnsi="Times New Roman"/>
          <w:sz w:val="24"/>
          <w:szCs w:val="24"/>
        </w:rPr>
      </w:pPr>
      <w:r w:rsidRPr="001A1700">
        <w:rPr>
          <w:rFonts w:ascii="Times New Roman" w:hAnsi="Times New Roman"/>
          <w:sz w:val="24"/>
          <w:szCs w:val="24"/>
        </w:rPr>
        <w:t>Tranche 2 – Open</w:t>
      </w:r>
      <w:r w:rsidR="001A49A1">
        <w:rPr>
          <w:rFonts w:ascii="Times New Roman" w:hAnsi="Times New Roman"/>
          <w:sz w:val="24"/>
          <w:szCs w:val="24"/>
        </w:rPr>
        <w:t>ed</w:t>
      </w:r>
      <w:r w:rsidRPr="001A1700">
        <w:rPr>
          <w:rFonts w:ascii="Times New Roman" w:hAnsi="Times New Roman"/>
          <w:sz w:val="24"/>
          <w:szCs w:val="24"/>
        </w:rPr>
        <w:t xml:space="preserve"> 10/</w:t>
      </w:r>
      <w:r w:rsidR="00573042">
        <w:rPr>
          <w:rFonts w:ascii="Times New Roman" w:hAnsi="Times New Roman"/>
          <w:sz w:val="24"/>
          <w:szCs w:val="24"/>
        </w:rPr>
        <w:t>18</w:t>
      </w:r>
      <w:r w:rsidRPr="001A1700">
        <w:rPr>
          <w:rFonts w:ascii="Times New Roman" w:hAnsi="Times New Roman"/>
          <w:sz w:val="24"/>
          <w:szCs w:val="24"/>
        </w:rPr>
        <w:t>/201</w:t>
      </w:r>
      <w:r w:rsidR="00573042">
        <w:rPr>
          <w:rFonts w:ascii="Times New Roman" w:hAnsi="Times New Roman"/>
          <w:sz w:val="24"/>
          <w:szCs w:val="24"/>
        </w:rPr>
        <w:t>7</w:t>
      </w:r>
      <w:r w:rsidRPr="001A1700">
        <w:rPr>
          <w:rFonts w:ascii="Times New Roman" w:hAnsi="Times New Roman"/>
          <w:sz w:val="24"/>
          <w:szCs w:val="24"/>
        </w:rPr>
        <w:t xml:space="preserve"> – </w:t>
      </w:r>
      <w:r w:rsidR="006430F6">
        <w:rPr>
          <w:rFonts w:ascii="Times New Roman" w:hAnsi="Times New Roman"/>
          <w:sz w:val="24"/>
          <w:szCs w:val="24"/>
        </w:rPr>
        <w:t>4</w:t>
      </w:r>
      <w:r w:rsidR="00573042">
        <w:rPr>
          <w:rFonts w:ascii="Times New Roman" w:hAnsi="Times New Roman"/>
          <w:sz w:val="24"/>
          <w:szCs w:val="24"/>
        </w:rPr>
        <w:t>8</w:t>
      </w:r>
      <w:r w:rsidRPr="001A1700">
        <w:rPr>
          <w:rFonts w:ascii="Times New Roman" w:hAnsi="Times New Roman"/>
          <w:sz w:val="24"/>
          <w:szCs w:val="24"/>
          <w:lang w:val="fr-FR"/>
        </w:rPr>
        <w:t>,</w:t>
      </w:r>
      <w:r w:rsidR="006430F6">
        <w:rPr>
          <w:rFonts w:ascii="Times New Roman" w:hAnsi="Times New Roman"/>
          <w:sz w:val="24"/>
          <w:szCs w:val="24"/>
          <w:lang w:val="fr-FR"/>
        </w:rPr>
        <w:t>000</w:t>
      </w:r>
      <w:r w:rsidRPr="001A1700">
        <w:rPr>
          <w:rFonts w:ascii="Times New Roman" w:hAnsi="Times New Roman"/>
          <w:sz w:val="24"/>
          <w:szCs w:val="24"/>
        </w:rPr>
        <w:t xml:space="preserve"> metric tons</w:t>
      </w:r>
    </w:p>
    <w:p w:rsidR="00EB65F5" w:rsidRPr="001A1700" w:rsidRDefault="00EB65F5" w:rsidP="00065F46">
      <w:pPr>
        <w:pStyle w:val="NormalWeb"/>
        <w:numPr>
          <w:ilvl w:val="0"/>
          <w:numId w:val="12"/>
        </w:numPr>
        <w:spacing w:before="0" w:beforeAutospacing="0" w:after="0" w:afterAutospacing="0"/>
        <w:rPr>
          <w:rFonts w:ascii="Times New Roman" w:hAnsi="Times New Roman"/>
          <w:sz w:val="24"/>
          <w:szCs w:val="24"/>
        </w:rPr>
      </w:pPr>
      <w:r w:rsidRPr="001A1700">
        <w:rPr>
          <w:rFonts w:ascii="Times New Roman" w:hAnsi="Times New Roman"/>
          <w:sz w:val="24"/>
          <w:szCs w:val="24"/>
        </w:rPr>
        <w:t>Tranche 3 – Open</w:t>
      </w:r>
      <w:r w:rsidR="001A49A1">
        <w:rPr>
          <w:rFonts w:ascii="Times New Roman" w:hAnsi="Times New Roman"/>
          <w:sz w:val="24"/>
          <w:szCs w:val="24"/>
        </w:rPr>
        <w:t>ed</w:t>
      </w:r>
      <w:r w:rsidRPr="001A1700">
        <w:rPr>
          <w:rFonts w:ascii="Times New Roman" w:hAnsi="Times New Roman"/>
          <w:sz w:val="24"/>
          <w:szCs w:val="24"/>
        </w:rPr>
        <w:t xml:space="preserve"> 01/</w:t>
      </w:r>
      <w:r w:rsidR="00573042">
        <w:rPr>
          <w:rFonts w:ascii="Times New Roman" w:hAnsi="Times New Roman"/>
          <w:sz w:val="24"/>
          <w:szCs w:val="24"/>
        </w:rPr>
        <w:t>23</w:t>
      </w:r>
      <w:r w:rsidRPr="001A1700">
        <w:rPr>
          <w:rFonts w:ascii="Times New Roman" w:hAnsi="Times New Roman"/>
          <w:sz w:val="24"/>
          <w:szCs w:val="24"/>
        </w:rPr>
        <w:t>/201</w:t>
      </w:r>
      <w:r w:rsidR="00573042">
        <w:rPr>
          <w:rFonts w:ascii="Times New Roman" w:hAnsi="Times New Roman"/>
          <w:sz w:val="24"/>
          <w:szCs w:val="24"/>
        </w:rPr>
        <w:t>8</w:t>
      </w:r>
      <w:r w:rsidRPr="001A1700">
        <w:rPr>
          <w:rFonts w:ascii="Times New Roman" w:hAnsi="Times New Roman"/>
          <w:sz w:val="24"/>
          <w:szCs w:val="24"/>
        </w:rPr>
        <w:t xml:space="preserve"> – </w:t>
      </w:r>
      <w:r w:rsidR="006430F6">
        <w:rPr>
          <w:rFonts w:ascii="Times New Roman" w:hAnsi="Times New Roman"/>
          <w:sz w:val="24"/>
          <w:szCs w:val="24"/>
        </w:rPr>
        <w:t>4</w:t>
      </w:r>
      <w:r w:rsidR="00573042">
        <w:rPr>
          <w:rFonts w:ascii="Times New Roman" w:hAnsi="Times New Roman"/>
          <w:sz w:val="24"/>
          <w:szCs w:val="24"/>
        </w:rPr>
        <w:t>8</w:t>
      </w:r>
      <w:r w:rsidR="00F45B03">
        <w:rPr>
          <w:rFonts w:ascii="Times New Roman" w:hAnsi="Times New Roman"/>
          <w:sz w:val="24"/>
          <w:szCs w:val="24"/>
          <w:lang w:val="fr-FR"/>
        </w:rPr>
        <w:t>,0</w:t>
      </w:r>
      <w:r w:rsidR="006430F6">
        <w:rPr>
          <w:rFonts w:ascii="Times New Roman" w:hAnsi="Times New Roman"/>
          <w:sz w:val="24"/>
          <w:szCs w:val="24"/>
          <w:lang w:val="fr-FR"/>
        </w:rPr>
        <w:t>0</w:t>
      </w:r>
      <w:r w:rsidR="00F45B03">
        <w:rPr>
          <w:rFonts w:ascii="Times New Roman" w:hAnsi="Times New Roman"/>
          <w:sz w:val="24"/>
          <w:szCs w:val="24"/>
          <w:lang w:val="fr-FR"/>
        </w:rPr>
        <w:t>0</w:t>
      </w:r>
      <w:r w:rsidRPr="001A1700">
        <w:rPr>
          <w:rFonts w:ascii="Times New Roman" w:hAnsi="Times New Roman"/>
          <w:sz w:val="24"/>
          <w:szCs w:val="24"/>
        </w:rPr>
        <w:t xml:space="preserve"> metric tons</w:t>
      </w:r>
    </w:p>
    <w:p w:rsidR="00EB65F5" w:rsidRPr="001A1700" w:rsidRDefault="00EB65F5" w:rsidP="00065F46">
      <w:pPr>
        <w:pStyle w:val="NormalWeb"/>
        <w:numPr>
          <w:ilvl w:val="0"/>
          <w:numId w:val="12"/>
        </w:numPr>
        <w:spacing w:before="0" w:beforeAutospacing="0" w:after="0" w:afterAutospacing="0"/>
        <w:rPr>
          <w:rFonts w:ascii="Times New Roman" w:hAnsi="Times New Roman"/>
          <w:sz w:val="24"/>
          <w:szCs w:val="24"/>
        </w:rPr>
      </w:pPr>
      <w:r w:rsidRPr="001A1700">
        <w:rPr>
          <w:rFonts w:ascii="Times New Roman" w:hAnsi="Times New Roman"/>
          <w:sz w:val="24"/>
          <w:szCs w:val="24"/>
        </w:rPr>
        <w:t>Tranche 4 – Open</w:t>
      </w:r>
      <w:r w:rsidR="001A49A1">
        <w:rPr>
          <w:rFonts w:ascii="Times New Roman" w:hAnsi="Times New Roman"/>
          <w:sz w:val="24"/>
          <w:szCs w:val="24"/>
        </w:rPr>
        <w:t>ed</w:t>
      </w:r>
      <w:r w:rsidRPr="001A1700">
        <w:rPr>
          <w:rFonts w:ascii="Times New Roman" w:hAnsi="Times New Roman"/>
          <w:sz w:val="24"/>
          <w:szCs w:val="24"/>
        </w:rPr>
        <w:t xml:space="preserve"> 04/</w:t>
      </w:r>
      <w:r w:rsidR="00573042">
        <w:rPr>
          <w:rFonts w:ascii="Times New Roman" w:hAnsi="Times New Roman"/>
          <w:sz w:val="24"/>
          <w:szCs w:val="24"/>
        </w:rPr>
        <w:t>1</w:t>
      </w:r>
      <w:r w:rsidR="00A12336">
        <w:rPr>
          <w:rFonts w:ascii="Times New Roman" w:hAnsi="Times New Roman"/>
          <w:sz w:val="24"/>
          <w:szCs w:val="24"/>
        </w:rPr>
        <w:t>7</w:t>
      </w:r>
      <w:r w:rsidRPr="001A1700">
        <w:rPr>
          <w:rFonts w:ascii="Times New Roman" w:hAnsi="Times New Roman"/>
          <w:sz w:val="24"/>
          <w:szCs w:val="24"/>
        </w:rPr>
        <w:t>/201</w:t>
      </w:r>
      <w:r w:rsidR="00573042">
        <w:rPr>
          <w:rFonts w:ascii="Times New Roman" w:hAnsi="Times New Roman"/>
          <w:sz w:val="24"/>
          <w:szCs w:val="24"/>
        </w:rPr>
        <w:t>8</w:t>
      </w:r>
      <w:r w:rsidRPr="001A1700">
        <w:rPr>
          <w:rFonts w:ascii="Times New Roman" w:hAnsi="Times New Roman"/>
          <w:sz w:val="24"/>
          <w:szCs w:val="24"/>
        </w:rPr>
        <w:t xml:space="preserve"> – </w:t>
      </w:r>
      <w:r w:rsidR="006430F6">
        <w:rPr>
          <w:rFonts w:ascii="Times New Roman" w:hAnsi="Times New Roman"/>
          <w:sz w:val="24"/>
          <w:szCs w:val="24"/>
        </w:rPr>
        <w:t>3</w:t>
      </w:r>
      <w:r w:rsidR="00573042">
        <w:rPr>
          <w:rFonts w:ascii="Times New Roman" w:hAnsi="Times New Roman"/>
          <w:sz w:val="24"/>
          <w:szCs w:val="24"/>
        </w:rPr>
        <w:t>2</w:t>
      </w:r>
      <w:r w:rsidR="00F45B03">
        <w:rPr>
          <w:rFonts w:ascii="Times New Roman" w:hAnsi="Times New Roman"/>
          <w:sz w:val="24"/>
          <w:szCs w:val="24"/>
          <w:lang w:val="fr-FR"/>
        </w:rPr>
        <w:t>,0</w:t>
      </w:r>
      <w:r w:rsidR="006430F6">
        <w:rPr>
          <w:rFonts w:ascii="Times New Roman" w:hAnsi="Times New Roman"/>
          <w:sz w:val="24"/>
          <w:szCs w:val="24"/>
          <w:lang w:val="fr-FR"/>
        </w:rPr>
        <w:t>0</w:t>
      </w:r>
      <w:r w:rsidR="00F45B03">
        <w:rPr>
          <w:rFonts w:ascii="Times New Roman" w:hAnsi="Times New Roman"/>
          <w:sz w:val="24"/>
          <w:szCs w:val="24"/>
          <w:lang w:val="fr-FR"/>
        </w:rPr>
        <w:t>0</w:t>
      </w:r>
      <w:r w:rsidRPr="001A1700">
        <w:rPr>
          <w:rFonts w:ascii="Times New Roman" w:hAnsi="Times New Roman"/>
          <w:sz w:val="24"/>
          <w:szCs w:val="24"/>
          <w:lang w:val="fr-FR"/>
        </w:rPr>
        <w:t xml:space="preserve"> </w:t>
      </w:r>
      <w:r w:rsidRPr="001A1700">
        <w:rPr>
          <w:rFonts w:ascii="Times New Roman" w:hAnsi="Times New Roman"/>
          <w:sz w:val="24"/>
          <w:szCs w:val="24"/>
        </w:rPr>
        <w:t>metric tons</w:t>
      </w:r>
    </w:p>
    <w:p w:rsidR="00EB65F5" w:rsidRPr="001A1700" w:rsidRDefault="00EB65F5" w:rsidP="00065F46">
      <w:pPr>
        <w:pStyle w:val="NormalWeb"/>
        <w:numPr>
          <w:ilvl w:val="0"/>
          <w:numId w:val="12"/>
        </w:numPr>
        <w:spacing w:before="0" w:beforeAutospacing="0" w:after="0" w:afterAutospacing="0"/>
        <w:rPr>
          <w:rFonts w:ascii="Times New Roman" w:hAnsi="Times New Roman"/>
          <w:sz w:val="24"/>
          <w:szCs w:val="24"/>
        </w:rPr>
      </w:pPr>
      <w:r w:rsidRPr="001A1700">
        <w:rPr>
          <w:rFonts w:ascii="Times New Roman" w:hAnsi="Times New Roman"/>
          <w:sz w:val="24"/>
          <w:szCs w:val="24"/>
        </w:rPr>
        <w:t>Tranche 5 – Opens 07/</w:t>
      </w:r>
      <w:r w:rsidR="00573042">
        <w:rPr>
          <w:rFonts w:ascii="Times New Roman" w:hAnsi="Times New Roman"/>
          <w:sz w:val="24"/>
          <w:szCs w:val="24"/>
        </w:rPr>
        <w:t>1</w:t>
      </w:r>
      <w:r w:rsidR="00A12336">
        <w:rPr>
          <w:rFonts w:ascii="Times New Roman" w:hAnsi="Times New Roman"/>
          <w:sz w:val="24"/>
          <w:szCs w:val="24"/>
        </w:rPr>
        <w:t>7</w:t>
      </w:r>
      <w:r w:rsidRPr="001A1700">
        <w:rPr>
          <w:rFonts w:ascii="Times New Roman" w:hAnsi="Times New Roman"/>
          <w:sz w:val="24"/>
          <w:szCs w:val="24"/>
        </w:rPr>
        <w:t>/201</w:t>
      </w:r>
      <w:r w:rsidR="00573042">
        <w:rPr>
          <w:rFonts w:ascii="Times New Roman" w:hAnsi="Times New Roman"/>
          <w:sz w:val="24"/>
          <w:szCs w:val="24"/>
        </w:rPr>
        <w:t>8</w:t>
      </w:r>
      <w:r w:rsidRPr="001A1700">
        <w:rPr>
          <w:rFonts w:ascii="Times New Roman" w:hAnsi="Times New Roman"/>
          <w:sz w:val="24"/>
          <w:szCs w:val="24"/>
        </w:rPr>
        <w:t xml:space="preserve"> – </w:t>
      </w:r>
      <w:r w:rsidR="006430F6">
        <w:rPr>
          <w:rFonts w:ascii="Times New Roman" w:hAnsi="Times New Roman"/>
          <w:sz w:val="24"/>
          <w:szCs w:val="24"/>
        </w:rPr>
        <w:t>3</w:t>
      </w:r>
      <w:r w:rsidR="00573042">
        <w:rPr>
          <w:rFonts w:ascii="Times New Roman" w:hAnsi="Times New Roman"/>
          <w:sz w:val="24"/>
          <w:szCs w:val="24"/>
        </w:rPr>
        <w:t>2</w:t>
      </w:r>
      <w:r w:rsidR="00F45B03">
        <w:rPr>
          <w:rFonts w:ascii="Times New Roman" w:hAnsi="Times New Roman"/>
          <w:sz w:val="24"/>
          <w:szCs w:val="24"/>
          <w:lang w:val="fr-FR"/>
        </w:rPr>
        <w:t>,0</w:t>
      </w:r>
      <w:r w:rsidR="006430F6">
        <w:rPr>
          <w:rFonts w:ascii="Times New Roman" w:hAnsi="Times New Roman"/>
          <w:sz w:val="24"/>
          <w:szCs w:val="24"/>
          <w:lang w:val="fr-FR"/>
        </w:rPr>
        <w:t>0</w:t>
      </w:r>
      <w:r w:rsidR="00F45B03">
        <w:rPr>
          <w:rFonts w:ascii="Times New Roman" w:hAnsi="Times New Roman"/>
          <w:sz w:val="24"/>
          <w:szCs w:val="24"/>
          <w:lang w:val="fr-FR"/>
        </w:rPr>
        <w:t>0</w:t>
      </w:r>
      <w:r w:rsidRPr="001A1700">
        <w:rPr>
          <w:rFonts w:ascii="Times New Roman" w:hAnsi="Times New Roman"/>
          <w:sz w:val="24"/>
          <w:szCs w:val="24"/>
        </w:rPr>
        <w:t xml:space="preserve"> metric tons</w:t>
      </w:r>
    </w:p>
    <w:p w:rsidR="00EB65F5" w:rsidRPr="001A1700" w:rsidRDefault="00EB65F5" w:rsidP="001A1700">
      <w:pPr>
        <w:pStyle w:val="NormalWeb"/>
        <w:rPr>
          <w:rFonts w:ascii="Times New Roman" w:hAnsi="Times New Roman"/>
          <w:sz w:val="24"/>
          <w:szCs w:val="24"/>
        </w:rPr>
      </w:pPr>
      <w:r w:rsidRPr="001A1700">
        <w:rPr>
          <w:rFonts w:ascii="Times New Roman" w:hAnsi="Times New Roman"/>
          <w:sz w:val="24"/>
          <w:szCs w:val="24"/>
        </w:rPr>
        <w:t>The second, third, fourth</w:t>
      </w:r>
      <w:r w:rsidR="00F45B03">
        <w:rPr>
          <w:rFonts w:ascii="Times New Roman" w:hAnsi="Times New Roman"/>
          <w:sz w:val="24"/>
          <w:szCs w:val="24"/>
        </w:rPr>
        <w:t>,</w:t>
      </w:r>
      <w:r w:rsidRPr="001A1700">
        <w:rPr>
          <w:rFonts w:ascii="Times New Roman" w:hAnsi="Times New Roman"/>
          <w:sz w:val="24"/>
          <w:szCs w:val="24"/>
        </w:rPr>
        <w:t xml:space="preserve"> and fifth tranches will be reserved for organic sugar and other specialty sugars not currently produced commercially in the United States or reasonably available from domestic sources.   (Attachment </w:t>
      </w:r>
      <w:r w:rsidR="000F47F7">
        <w:rPr>
          <w:rFonts w:ascii="Times New Roman" w:hAnsi="Times New Roman"/>
          <w:sz w:val="24"/>
          <w:szCs w:val="24"/>
        </w:rPr>
        <w:t>11</w:t>
      </w:r>
      <w:r w:rsidRPr="001A1700">
        <w:rPr>
          <w:rFonts w:ascii="Times New Roman" w:hAnsi="Times New Roman"/>
          <w:sz w:val="24"/>
          <w:szCs w:val="24"/>
        </w:rPr>
        <w:t>)</w:t>
      </w:r>
    </w:p>
    <w:p w:rsidR="00EB65F5" w:rsidRPr="001A1700" w:rsidRDefault="00EB65F5" w:rsidP="001A1700">
      <w:pPr>
        <w:pStyle w:val="PlainText"/>
        <w:rPr>
          <w:rFonts w:ascii="Times New Roman" w:hAnsi="Times New Roman" w:cs="Times New Roman"/>
          <w:sz w:val="24"/>
          <w:szCs w:val="24"/>
        </w:rPr>
      </w:pPr>
      <w:r w:rsidRPr="00A95DCC">
        <w:rPr>
          <w:rFonts w:ascii="Times New Roman" w:hAnsi="Times New Roman" w:cs="Times New Roman"/>
          <w:sz w:val="24"/>
          <w:szCs w:val="24"/>
        </w:rPr>
        <w:t>An importer</w:t>
      </w:r>
      <w:r w:rsidRPr="001A1700">
        <w:rPr>
          <w:rFonts w:ascii="Times New Roman" w:hAnsi="Times New Roman" w:cs="Times New Roman"/>
          <w:sz w:val="24"/>
          <w:szCs w:val="24"/>
        </w:rPr>
        <w:t xml:space="preserve"> issued a certificate in the first tranche need not reapply to participate in later tranches.  Tranches limit entry to specialty sugars (primarily organic sugar) not currently commercially produced in the United States or reasonably available from domestic sources.  This limitation conforms to</w:t>
      </w:r>
      <w:r>
        <w:rPr>
          <w:rFonts w:ascii="Times New Roman" w:hAnsi="Times New Roman" w:cs="Times New Roman"/>
          <w:sz w:val="24"/>
          <w:szCs w:val="24"/>
        </w:rPr>
        <w:t xml:space="preserve"> </w:t>
      </w:r>
      <w:r w:rsidRPr="001A1700">
        <w:rPr>
          <w:rFonts w:ascii="Times New Roman" w:hAnsi="Times New Roman" w:cs="Times New Roman"/>
          <w:sz w:val="24"/>
          <w:szCs w:val="24"/>
        </w:rPr>
        <w:t xml:space="preserve">§2011.203(b) of the </w:t>
      </w:r>
      <w:r>
        <w:rPr>
          <w:rFonts w:ascii="Times New Roman" w:hAnsi="Times New Roman" w:cs="Times New Roman"/>
          <w:sz w:val="24"/>
          <w:szCs w:val="24"/>
        </w:rPr>
        <w:t>r</w:t>
      </w:r>
      <w:r w:rsidRPr="001A1700">
        <w:rPr>
          <w:rFonts w:ascii="Times New Roman" w:hAnsi="Times New Roman" w:cs="Times New Roman"/>
          <w:sz w:val="24"/>
          <w:szCs w:val="24"/>
        </w:rPr>
        <w:t>egulation which states</w:t>
      </w:r>
      <w:r w:rsidR="00F45B03">
        <w:rPr>
          <w:rFonts w:ascii="Times New Roman" w:hAnsi="Times New Roman" w:cs="Times New Roman"/>
          <w:sz w:val="24"/>
          <w:szCs w:val="24"/>
        </w:rPr>
        <w:t>:</w:t>
      </w:r>
    </w:p>
    <w:p w:rsidR="00EB65F5" w:rsidRPr="001A1700" w:rsidRDefault="00EB65F5" w:rsidP="001A1700">
      <w:pPr>
        <w:pStyle w:val="PlainText"/>
        <w:rPr>
          <w:rFonts w:ascii="Times New Roman" w:hAnsi="Times New Roman" w:cs="Times New Roman"/>
          <w:sz w:val="24"/>
          <w:szCs w:val="24"/>
        </w:rPr>
      </w:pPr>
    </w:p>
    <w:p w:rsidR="00EB65F5" w:rsidRPr="001A1700" w:rsidRDefault="00A95DCC" w:rsidP="001A1700">
      <w:pPr>
        <w:pStyle w:val="PlainText"/>
        <w:rPr>
          <w:rFonts w:ascii="Times New Roman" w:hAnsi="Times New Roman" w:cs="Times New Roman"/>
          <w:sz w:val="24"/>
          <w:szCs w:val="24"/>
        </w:rPr>
      </w:pPr>
      <w:r>
        <w:rPr>
          <w:rFonts w:ascii="Times New Roman" w:hAnsi="Times New Roman" w:cs="Times New Roman"/>
          <w:sz w:val="24"/>
          <w:szCs w:val="24"/>
        </w:rPr>
        <w:t>“</w:t>
      </w:r>
      <w:r w:rsidR="00EB65F5" w:rsidRPr="001A1700">
        <w:rPr>
          <w:rFonts w:ascii="Times New Roman" w:hAnsi="Times New Roman" w:cs="Times New Roman"/>
          <w:sz w:val="24"/>
          <w:szCs w:val="24"/>
        </w:rPr>
        <w:t>A certificate may be issued to an importer who complies with the provisions of this part.  The certificate may contain such conditions, limitations, or restrictions as the Certifying Authority, in its discretion, deems necessary.</w:t>
      </w:r>
      <w:r>
        <w:rPr>
          <w:rFonts w:ascii="Times New Roman" w:hAnsi="Times New Roman" w:cs="Times New Roman"/>
          <w:sz w:val="24"/>
          <w:szCs w:val="24"/>
        </w:rPr>
        <w: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2.  </w:t>
      </w:r>
      <w:r w:rsidR="001778CB">
        <w:rPr>
          <w:rFonts w:ascii="Times New Roman" w:hAnsi="Times New Roman" w:cs="Times New Roman"/>
          <w:b/>
          <w:sz w:val="24"/>
          <w:szCs w:val="24"/>
        </w:rPr>
        <w:t>Indicate how, by whom and for what purpose the information is to be used.  Except for a new collection, indicate the actual use the agency had made of the information received from the current collection.</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rPr>
        <w:t>Purpose</w:t>
      </w:r>
      <w:r>
        <w:rPr>
          <w:rFonts w:ascii="Times New Roman" w:hAnsi="Times New Roman" w:cs="Times New Roman"/>
          <w:i/>
          <w:sz w:val="24"/>
          <w:szCs w:val="24"/>
        </w:rPr>
        <w:t xml:space="preserve">:  </w:t>
      </w:r>
      <w:r w:rsidRPr="001A1700">
        <w:rPr>
          <w:rFonts w:ascii="Times New Roman" w:hAnsi="Times New Roman" w:cs="Times New Roman"/>
          <w:sz w:val="24"/>
          <w:szCs w:val="24"/>
        </w:rPr>
        <w:t xml:space="preserve">The information collection is used principally to:  (1) determine whether applicants for the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 xml:space="preserve"> meet 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egulation's eligibility criteria; (2) ensure that sugar to be imported is specialty sugar fulfilling the requirements of 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(3) audit participants' compliance with 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and (4) prevent entry of world-priced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 xml:space="preserve"> sugar into the higher-priced domestic commercial sugar market instead of the restricted specialty sugar market.  The Certifying Authority needs the information to manage, plan, evaluate, and account for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 xml:space="preserve"> activities.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rPr>
        <w:t>Application:</w:t>
      </w:r>
      <w:r>
        <w:rPr>
          <w:rFonts w:ascii="Times New Roman" w:hAnsi="Times New Roman" w:cs="Times New Roman"/>
          <w:i/>
          <w:sz w:val="24"/>
          <w:szCs w:val="24"/>
        </w:rPr>
        <w:t xml:space="preserve">  </w:t>
      </w:r>
      <w:r w:rsidRPr="001A1700">
        <w:rPr>
          <w:rFonts w:ascii="Times New Roman" w:hAnsi="Times New Roman" w:cs="Times New Roman"/>
          <w:sz w:val="24"/>
          <w:szCs w:val="24"/>
        </w:rPr>
        <w:t>Submission of information by a license applicant as required under §2011.205 involves no application forms, but written applications must contain the following information:</w:t>
      </w: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(1) name and address of applicant; (2) anticipated quantity of specialty sugar to be imported; (3) HTS number; (4) description of specialty sugar to be imported during the period of the certificate, including the manufacturer's or exporter's trade name or designation and use of such specialty sugar, and the importer's use of such sugar; (5) sufficient evidence to permit a reasonable determination that such sugars are specialty sugars as defined in the </w:t>
      </w:r>
      <w:r>
        <w:rPr>
          <w:rFonts w:ascii="Times New Roman" w:hAnsi="Times New Roman" w:cs="Times New Roman"/>
          <w:sz w:val="24"/>
          <w:szCs w:val="24"/>
        </w:rPr>
        <w:t>r</w:t>
      </w:r>
      <w:r w:rsidRPr="001A1700">
        <w:rPr>
          <w:rFonts w:ascii="Times New Roman" w:hAnsi="Times New Roman" w:cs="Times New Roman"/>
          <w:sz w:val="24"/>
          <w:szCs w:val="24"/>
        </w:rPr>
        <w:t>egulation; (6) name of anticipated consumer of the specialty sugar, if known at the time of application, and (7) anticipated date of entry, if known at the time of application.  The Certifying Authority may waive</w:t>
      </w:r>
      <w:r w:rsidR="00F45B03">
        <w:rPr>
          <w:rFonts w:ascii="Times New Roman" w:hAnsi="Times New Roman" w:cs="Times New Roman"/>
          <w:sz w:val="24"/>
          <w:szCs w:val="24"/>
        </w:rPr>
        <w:t xml:space="preserve"> or reinforce</w:t>
      </w:r>
      <w:r w:rsidRPr="001A1700">
        <w:rPr>
          <w:rFonts w:ascii="Times New Roman" w:hAnsi="Times New Roman" w:cs="Times New Roman"/>
          <w:sz w:val="24"/>
          <w:szCs w:val="24"/>
        </w:rPr>
        <w:t xml:space="preserve"> any provision of this section for good cause if it will not adversely affect implementation of this subpart.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Appeal by an importer concerning suspension or revocation of individual certificates under</w:t>
      </w: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§2011.206:</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Certifying Authority may suspend, revoke, modify, or add limitations to any certificate if such action is necessary for the effective operation of the quota for specialty sugars, or if an importer has not complied with the </w:t>
      </w:r>
      <w:r>
        <w:rPr>
          <w:rFonts w:ascii="Times New Roman" w:hAnsi="Times New Roman" w:cs="Times New Roman"/>
          <w:sz w:val="24"/>
          <w:szCs w:val="24"/>
        </w:rPr>
        <w:t>r</w:t>
      </w:r>
      <w:r w:rsidRPr="001A1700">
        <w:rPr>
          <w:rFonts w:ascii="Times New Roman" w:hAnsi="Times New Roman" w:cs="Times New Roman"/>
          <w:sz w:val="24"/>
          <w:szCs w:val="24"/>
        </w:rPr>
        <w:t>egulation</w:t>
      </w:r>
      <w:r w:rsidR="007D6EE4">
        <w:rPr>
          <w:rFonts w:ascii="Times New Roman" w:hAnsi="Times New Roman" w:cs="Times New Roman"/>
          <w:sz w:val="24"/>
          <w:szCs w:val="24"/>
        </w:rPr>
        <w:t>, including with a request for audit documents</w:t>
      </w:r>
      <w:r w:rsidRPr="001A1700">
        <w:rPr>
          <w:rFonts w:ascii="Times New Roman" w:hAnsi="Times New Roman" w:cs="Times New Roman"/>
          <w:sz w:val="24"/>
          <w:szCs w:val="24"/>
        </w:rPr>
        <w:t>.  The Certifying Authority may also reinstate</w:t>
      </w:r>
      <w:r w:rsidR="007D6EE4">
        <w:rPr>
          <w:rFonts w:ascii="Times New Roman" w:hAnsi="Times New Roman" w:cs="Times New Roman"/>
          <w:sz w:val="24"/>
          <w:szCs w:val="24"/>
        </w:rPr>
        <w:t xml:space="preserve"> or</w:t>
      </w:r>
      <w:r w:rsidRPr="001A1700">
        <w:rPr>
          <w:rFonts w:ascii="Times New Roman" w:hAnsi="Times New Roman" w:cs="Times New Roman"/>
          <w:sz w:val="24"/>
          <w:szCs w:val="24"/>
        </w:rPr>
        <w:t xml:space="preserve"> restore a license.  An importer may appeal a determination of non-compliance within 30 days of suspension or revocation.  The written request must specifically state the reasons to change such a determination.</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3C4334">
        <w:rPr>
          <w:rFonts w:ascii="Times New Roman" w:hAnsi="Times New Roman" w:cs="Times New Roman"/>
          <w:b/>
          <w:sz w:val="24"/>
          <w:szCs w:val="24"/>
        </w:rPr>
        <w:t>PRACTICAL</w:t>
      </w:r>
      <w:r w:rsidRPr="001A1700">
        <w:rPr>
          <w:rFonts w:ascii="Times New Roman" w:hAnsi="Times New Roman" w:cs="Times New Roman"/>
          <w:b/>
          <w:sz w:val="24"/>
          <w:szCs w:val="24"/>
        </w:rPr>
        <w:t xml:space="preserve"> UTILITY OF THIS COLLECTION IN DETERMINING COMPLIANCE WITH THE </w:t>
      </w:r>
      <w:r w:rsidR="00454E35">
        <w:rPr>
          <w:rFonts w:ascii="Times New Roman" w:hAnsi="Times New Roman" w:cs="Times New Roman"/>
          <w:b/>
          <w:sz w:val="24"/>
          <w:szCs w:val="24"/>
        </w:rPr>
        <w:t>PROGRAM</w:t>
      </w:r>
    </w:p>
    <w:p w:rsidR="00EB65F5" w:rsidRPr="001A1700" w:rsidRDefault="00EB65F5" w:rsidP="001A1700">
      <w:pPr>
        <w:pStyle w:val="PlainText"/>
        <w:rPr>
          <w:rFonts w:ascii="Times New Roman" w:hAnsi="Times New Roman" w:cs="Times New Roman"/>
          <w:b/>
          <w:sz w:val="24"/>
          <w:szCs w:val="24"/>
        </w:rPr>
      </w:pPr>
    </w:p>
    <w:p w:rsidR="00EB65F5" w:rsidRPr="001A1700" w:rsidRDefault="00EB65F5" w:rsidP="00553AD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s>
      </w:pPr>
      <w:r w:rsidRPr="001A1700">
        <w:t xml:space="preserve">As background, we review elements of U.S. sugar policy.  The United States limits imports of raw and refined sugar through tariff-rate quotas (TRQs).  This information collection serves to verify that world-priced sugar is not diverted into the domestic market through importation of </w:t>
      </w:r>
      <w:r w:rsidR="00314D17">
        <w:t>non-</w:t>
      </w:r>
      <w:r w:rsidRPr="001A1700">
        <w:t xml:space="preserve">specialty sugars.  Such an outcome would undermine the objectives of U.S. sugar policies.  This collection enables USDA to monitor the status of </w:t>
      </w:r>
      <w:r w:rsidR="005260AB">
        <w:t>p</w:t>
      </w:r>
      <w:r w:rsidR="00454E35">
        <w:t>rogram</w:t>
      </w:r>
      <w:r w:rsidRPr="001A1700">
        <w:t xml:space="preserve"> participants in an effort to ensure that they remain within </w:t>
      </w:r>
      <w:r w:rsidR="005260AB">
        <w:t>p</w:t>
      </w:r>
      <w:r w:rsidR="00454E35">
        <w:t>rogram</w:t>
      </w:r>
      <w:r w:rsidRPr="001A1700">
        <w:t xml:space="preserve"> parameters.  Without this collection, increased opportunity would exist to divert non-specialty sugar into the domestic U.S. market.  If participants were not required to have a certificate so that FAS could consistently document their activities, the likelihood would increase that lower-priced foreign sugar would enter the domestic U.S. market.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065F46">
      <w:r w:rsidRPr="001A1700">
        <w:t>Compliance involves asking s</w:t>
      </w:r>
      <w:r w:rsidR="00454E35">
        <w:t>ix</w:t>
      </w:r>
      <w:r w:rsidRPr="001A1700">
        <w:t xml:space="preserve"> questions</w:t>
      </w:r>
      <w:r w:rsidR="001778CB">
        <w: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065F46">
      <w:pPr>
        <w:pStyle w:val="PlainText"/>
        <w:ind w:left="720"/>
        <w:rPr>
          <w:rFonts w:ascii="Times New Roman" w:hAnsi="Times New Roman" w:cs="Times New Roman"/>
          <w:sz w:val="24"/>
          <w:szCs w:val="24"/>
        </w:rPr>
      </w:pPr>
      <w:r w:rsidRPr="001A1700">
        <w:rPr>
          <w:rFonts w:ascii="Times New Roman" w:hAnsi="Times New Roman" w:cs="Times New Roman"/>
          <w:sz w:val="24"/>
          <w:szCs w:val="24"/>
        </w:rPr>
        <w:t xml:space="preserve">1. Does the sugar meet the </w:t>
      </w:r>
      <w:r>
        <w:rPr>
          <w:rFonts w:ascii="Times New Roman" w:hAnsi="Times New Roman" w:cs="Times New Roman"/>
          <w:sz w:val="24"/>
          <w:szCs w:val="24"/>
        </w:rPr>
        <w:t>r</w:t>
      </w:r>
      <w:r w:rsidRPr="001A1700">
        <w:rPr>
          <w:rFonts w:ascii="Times New Roman" w:hAnsi="Times New Roman" w:cs="Times New Roman"/>
          <w:sz w:val="24"/>
          <w:szCs w:val="24"/>
        </w:rPr>
        <w:t>egulation’s definition of specialty sugar with its polarity requirements listed on the certificate?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065F46">
      <w:pPr>
        <w:pStyle w:val="PlainText"/>
        <w:ind w:left="720"/>
        <w:rPr>
          <w:rFonts w:ascii="Times New Roman" w:hAnsi="Times New Roman" w:cs="Times New Roman"/>
          <w:sz w:val="24"/>
          <w:szCs w:val="24"/>
        </w:rPr>
      </w:pPr>
      <w:r w:rsidRPr="001A1700">
        <w:rPr>
          <w:rFonts w:ascii="Times New Roman" w:hAnsi="Times New Roman" w:cs="Times New Roman"/>
          <w:sz w:val="24"/>
          <w:szCs w:val="24"/>
        </w:rPr>
        <w:t>2. Is the sugar being imported under the relevant HTS numbers for specialty sugars?</w:t>
      </w:r>
    </w:p>
    <w:p w:rsidR="00EB65F5" w:rsidRPr="001A1700" w:rsidRDefault="00EB65F5" w:rsidP="00065F46">
      <w:pPr>
        <w:pStyle w:val="PlainText"/>
        <w:ind w:left="720"/>
        <w:rPr>
          <w:rFonts w:ascii="Times New Roman" w:hAnsi="Times New Roman" w:cs="Times New Roman"/>
          <w:sz w:val="24"/>
          <w:szCs w:val="24"/>
        </w:rPr>
      </w:pPr>
    </w:p>
    <w:p w:rsidR="00EB65F5" w:rsidRPr="001A1700" w:rsidRDefault="00EB65F5" w:rsidP="00065F46">
      <w:pPr>
        <w:pStyle w:val="PlainText"/>
        <w:ind w:left="720"/>
        <w:rPr>
          <w:rFonts w:ascii="Times New Roman" w:hAnsi="Times New Roman" w:cs="Times New Roman"/>
          <w:sz w:val="24"/>
          <w:szCs w:val="24"/>
        </w:rPr>
      </w:pPr>
      <w:r w:rsidRPr="001A1700">
        <w:rPr>
          <w:rFonts w:ascii="Times New Roman" w:hAnsi="Times New Roman" w:cs="Times New Roman"/>
          <w:sz w:val="24"/>
          <w:szCs w:val="24"/>
        </w:rPr>
        <w:t>3. Does the sugar meet the packaging or weight requirements listed on the certificate?</w:t>
      </w:r>
    </w:p>
    <w:p w:rsidR="00EB65F5" w:rsidRPr="001A1700" w:rsidRDefault="00EB65F5" w:rsidP="00065F46">
      <w:pPr>
        <w:pStyle w:val="PlainText"/>
        <w:ind w:left="720"/>
        <w:rPr>
          <w:rFonts w:ascii="Times New Roman" w:hAnsi="Times New Roman" w:cs="Times New Roman"/>
          <w:sz w:val="24"/>
          <w:szCs w:val="24"/>
        </w:rPr>
      </w:pPr>
    </w:p>
    <w:p w:rsidR="00EB65F5" w:rsidRPr="001A1700" w:rsidRDefault="00454E35" w:rsidP="00065F46">
      <w:pPr>
        <w:pStyle w:val="PlainText"/>
        <w:ind w:left="720"/>
        <w:rPr>
          <w:rFonts w:ascii="Times New Roman" w:hAnsi="Times New Roman" w:cs="Times New Roman"/>
          <w:sz w:val="24"/>
          <w:szCs w:val="24"/>
        </w:rPr>
      </w:pPr>
      <w:r>
        <w:rPr>
          <w:rFonts w:ascii="Times New Roman" w:hAnsi="Times New Roman" w:cs="Times New Roman"/>
          <w:sz w:val="24"/>
          <w:szCs w:val="24"/>
        </w:rPr>
        <w:t>4</w:t>
      </w:r>
      <w:r w:rsidR="00EB65F5" w:rsidRPr="001A1700">
        <w:rPr>
          <w:rFonts w:ascii="Times New Roman" w:hAnsi="Times New Roman" w:cs="Times New Roman"/>
          <w:sz w:val="24"/>
          <w:szCs w:val="24"/>
        </w:rPr>
        <w:t>. Is the certificate in effect for the current tranche?</w:t>
      </w:r>
    </w:p>
    <w:p w:rsidR="00EB65F5" w:rsidRPr="001A1700" w:rsidRDefault="00EB65F5" w:rsidP="00065F46">
      <w:pPr>
        <w:pStyle w:val="PlainText"/>
        <w:ind w:left="720"/>
        <w:rPr>
          <w:rFonts w:ascii="Times New Roman" w:hAnsi="Times New Roman" w:cs="Times New Roman"/>
          <w:sz w:val="24"/>
          <w:szCs w:val="24"/>
        </w:rPr>
      </w:pPr>
    </w:p>
    <w:p w:rsidR="00EB65F5" w:rsidRDefault="00454E35" w:rsidP="00065F46">
      <w:pPr>
        <w:pStyle w:val="PlainText"/>
        <w:ind w:left="720"/>
        <w:rPr>
          <w:rFonts w:ascii="Times New Roman" w:hAnsi="Times New Roman" w:cs="Times New Roman"/>
          <w:sz w:val="24"/>
          <w:szCs w:val="24"/>
        </w:rPr>
      </w:pPr>
      <w:r>
        <w:rPr>
          <w:rFonts w:ascii="Times New Roman" w:hAnsi="Times New Roman" w:cs="Times New Roman"/>
          <w:sz w:val="24"/>
          <w:szCs w:val="24"/>
        </w:rPr>
        <w:t>5.</w:t>
      </w:r>
      <w:r w:rsidR="00EB65F5" w:rsidRPr="001A1700">
        <w:rPr>
          <w:rFonts w:ascii="Times New Roman" w:hAnsi="Times New Roman" w:cs="Times New Roman"/>
          <w:sz w:val="24"/>
          <w:szCs w:val="24"/>
        </w:rPr>
        <w:t xml:space="preserve"> Do the necessary Customs forms accompany the shipment?</w:t>
      </w:r>
    </w:p>
    <w:p w:rsidR="00454E35" w:rsidRDefault="00454E35" w:rsidP="00065F46">
      <w:pPr>
        <w:pStyle w:val="PlainText"/>
        <w:ind w:left="720"/>
        <w:rPr>
          <w:rFonts w:ascii="Times New Roman" w:hAnsi="Times New Roman" w:cs="Times New Roman"/>
          <w:sz w:val="24"/>
          <w:szCs w:val="24"/>
        </w:rPr>
      </w:pPr>
    </w:p>
    <w:p w:rsidR="00454E35" w:rsidRPr="001A1700" w:rsidRDefault="00454E35" w:rsidP="00065F46">
      <w:pPr>
        <w:pStyle w:val="PlainText"/>
        <w:ind w:left="720"/>
        <w:rPr>
          <w:rFonts w:ascii="Times New Roman" w:hAnsi="Times New Roman" w:cs="Times New Roman"/>
          <w:sz w:val="24"/>
          <w:szCs w:val="24"/>
        </w:rPr>
      </w:pPr>
      <w:r>
        <w:rPr>
          <w:rFonts w:ascii="Times New Roman" w:hAnsi="Times New Roman" w:cs="Times New Roman"/>
          <w:sz w:val="24"/>
          <w:szCs w:val="24"/>
        </w:rPr>
        <w:t>6.</w:t>
      </w:r>
      <w:r w:rsidRPr="00454E35">
        <w:t xml:space="preserve"> </w:t>
      </w:r>
      <w:r w:rsidRPr="00454E35">
        <w:rPr>
          <w:rFonts w:ascii="Times New Roman" w:hAnsi="Times New Roman" w:cs="Times New Roman"/>
          <w:sz w:val="24"/>
          <w:szCs w:val="24"/>
        </w:rPr>
        <w:t>Is the sugar trying to enter from a country subject to a trade embargo?</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3.  </w:t>
      </w:r>
      <w:r w:rsidR="001778CB">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w:t>
      </w:r>
      <w:r w:rsidR="00D662A9">
        <w:rPr>
          <w:rFonts w:ascii="Times New Roman" w:hAnsi="Times New Roman" w:cs="Times New Roman"/>
          <w:b/>
          <w:sz w:val="24"/>
          <w:szCs w:val="24"/>
        </w:rPr>
        <w:t>e</w:t>
      </w:r>
      <w:r w:rsidR="001778CB">
        <w:rPr>
          <w:rFonts w:ascii="Times New Roman" w:hAnsi="Times New Roman" w:cs="Times New Roman"/>
          <w:b/>
          <w:sz w:val="24"/>
          <w:szCs w:val="24"/>
        </w:rPr>
        <w:t xml:space="preserve"> burden.</w:t>
      </w:r>
      <w:r w:rsidRPr="001A1700">
        <w:rPr>
          <w:rFonts w:ascii="Times New Roman" w:hAnsi="Times New Roman" w:cs="Times New Roman"/>
          <w:b/>
          <w:sz w:val="24"/>
          <w:szCs w:val="24"/>
        </w:rPr>
        <w:t xml:space="preserve">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requires submission of written applications, </w:t>
      </w:r>
      <w:r w:rsidR="00314D17">
        <w:rPr>
          <w:rFonts w:ascii="Times New Roman" w:hAnsi="Times New Roman" w:cs="Times New Roman"/>
          <w:sz w:val="24"/>
          <w:szCs w:val="24"/>
        </w:rPr>
        <w:t>all</w:t>
      </w:r>
      <w:r w:rsidRPr="001A1700">
        <w:rPr>
          <w:rFonts w:ascii="Times New Roman" w:hAnsi="Times New Roman" w:cs="Times New Roman"/>
          <w:sz w:val="24"/>
          <w:szCs w:val="24"/>
        </w:rPr>
        <w:t xml:space="preserve"> of which arrive via e-mail.  Aside from the relatively simple annual application, no other submissions are required to participate in the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4.  </w:t>
      </w:r>
      <w:r w:rsidR="007B0533">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information collection does not duplicate information or data available elsewhere.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5.  </w:t>
      </w:r>
      <w:r w:rsidR="000F58CE">
        <w:rPr>
          <w:rFonts w:ascii="Times New Roman" w:hAnsi="Times New Roman" w:cs="Times New Roman"/>
          <w:b/>
          <w:sz w:val="24"/>
          <w:szCs w:val="24"/>
        </w:rPr>
        <w:t>If the collection of information impacts small businesses or other small entities (Item 5 of OMB Form 83-I), describe any methods used to minimize burden.</w:t>
      </w:r>
      <w:r w:rsidRPr="001A1700">
        <w:rPr>
          <w:rFonts w:ascii="Times New Roman" w:hAnsi="Times New Roman" w:cs="Times New Roman"/>
          <w:b/>
          <w:sz w:val="24"/>
          <w:szCs w:val="24"/>
        </w:rPr>
        <w:tab/>
      </w:r>
    </w:p>
    <w:p w:rsidR="00EB65F5" w:rsidRPr="001A1700" w:rsidRDefault="00EB65F5" w:rsidP="001A1700">
      <w:pPr>
        <w:pStyle w:val="PlainText"/>
        <w:rPr>
          <w:rFonts w:ascii="Times New Roman" w:hAnsi="Times New Roman" w:cs="Times New Roman"/>
          <w:sz w:val="24"/>
          <w:szCs w:val="24"/>
        </w:rPr>
      </w:pPr>
    </w:p>
    <w:p w:rsidR="00EB65F5" w:rsidRDefault="00CE19AE" w:rsidP="001A1700">
      <w:pPr>
        <w:pStyle w:val="PlainText"/>
        <w:rPr>
          <w:rFonts w:ascii="Times New Roman" w:hAnsi="Times New Roman" w:cs="Times New Roman"/>
          <w:sz w:val="24"/>
          <w:szCs w:val="24"/>
        </w:rPr>
      </w:pPr>
      <w:r w:rsidRPr="00CE19AE">
        <w:rPr>
          <w:rFonts w:ascii="Times New Roman" w:hAnsi="Times New Roman" w:cs="Times New Roman"/>
          <w:sz w:val="24"/>
          <w:szCs w:val="24"/>
        </w:rPr>
        <w:t xml:space="preserve">The method used to obtain information has been minimized to ensure all respondents, including small businesses, will not be burdened.  Of the </w:t>
      </w:r>
      <w:r>
        <w:rPr>
          <w:rFonts w:ascii="Times New Roman" w:hAnsi="Times New Roman" w:cs="Times New Roman"/>
          <w:sz w:val="24"/>
          <w:szCs w:val="24"/>
        </w:rPr>
        <w:t>60</w:t>
      </w:r>
      <w:r w:rsidRPr="00CE19AE">
        <w:rPr>
          <w:rFonts w:ascii="Times New Roman" w:hAnsi="Times New Roman" w:cs="Times New Roman"/>
          <w:sz w:val="24"/>
          <w:szCs w:val="24"/>
        </w:rPr>
        <w:t xml:space="preserve"> respondents, the agency estimates </w:t>
      </w:r>
      <w:r>
        <w:rPr>
          <w:rFonts w:ascii="Times New Roman" w:hAnsi="Times New Roman" w:cs="Times New Roman"/>
          <w:sz w:val="24"/>
          <w:szCs w:val="24"/>
        </w:rPr>
        <w:t>40</w:t>
      </w:r>
      <w:r w:rsidRPr="00CE19AE">
        <w:rPr>
          <w:rFonts w:ascii="Times New Roman" w:hAnsi="Times New Roman" w:cs="Times New Roman"/>
          <w:sz w:val="24"/>
          <w:szCs w:val="24"/>
        </w:rPr>
        <w:t xml:space="preserve"> percent are small businesses. </w:t>
      </w:r>
    </w:p>
    <w:p w:rsidR="00CE19AE" w:rsidRPr="001A1700" w:rsidRDefault="00CE19AE"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6.  </w:t>
      </w:r>
      <w:r w:rsidR="00E20670">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stipulates the frequency of data collection as every fiscal year.  Less frequent collection or no collection would impede administration of the specialty sugar certificate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 xml:space="preserve"> and reduce or eliminate imports essential to U.S. organic food and beverage processors.</w:t>
      </w:r>
    </w:p>
    <w:p w:rsidR="00EB65F5" w:rsidRPr="001A1700" w:rsidRDefault="00EB65F5" w:rsidP="001A1700">
      <w:pPr>
        <w:pStyle w:val="PlainText"/>
        <w:rPr>
          <w:rFonts w:ascii="Times New Roman" w:hAnsi="Times New Roman" w:cs="Times New Roman"/>
          <w:sz w:val="24"/>
          <w:szCs w:val="24"/>
        </w:rPr>
      </w:pPr>
    </w:p>
    <w:p w:rsidR="00EB65F5"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7.  </w:t>
      </w:r>
      <w:r w:rsidR="004F0821">
        <w:rPr>
          <w:rFonts w:ascii="Times New Roman" w:hAnsi="Times New Roman" w:cs="Times New Roman"/>
          <w:b/>
          <w:sz w:val="24"/>
          <w:szCs w:val="24"/>
        </w:rPr>
        <w:t>Explain any special circumstance that would cause an information collection to be conducted in a manner:</w:t>
      </w:r>
    </w:p>
    <w:p w:rsidR="004F0821" w:rsidRDefault="004F0821" w:rsidP="001A1700">
      <w:pPr>
        <w:pStyle w:val="PlainText"/>
        <w:rPr>
          <w:rFonts w:ascii="Times New Roman" w:hAnsi="Times New Roman" w:cs="Times New Roman"/>
          <w:b/>
          <w:sz w:val="24"/>
          <w:szCs w:val="24"/>
        </w:rPr>
      </w:pPr>
    </w:p>
    <w:p w:rsidR="004F0821" w:rsidRDefault="004F0821" w:rsidP="00065F46">
      <w:pPr>
        <w:pStyle w:val="PlainText"/>
        <w:numPr>
          <w:ilvl w:val="0"/>
          <w:numId w:val="13"/>
        </w:numPr>
        <w:rPr>
          <w:rFonts w:ascii="Times New Roman" w:hAnsi="Times New Roman" w:cs="Times New Roman"/>
          <w:b/>
          <w:sz w:val="24"/>
          <w:szCs w:val="24"/>
        </w:rPr>
      </w:pPr>
      <w:r>
        <w:rPr>
          <w:rFonts w:ascii="Times New Roman" w:hAnsi="Times New Roman" w:cs="Times New Roman"/>
          <w:b/>
          <w:sz w:val="24"/>
          <w:szCs w:val="24"/>
        </w:rPr>
        <w:t>requiring respondents to report information to the agency more often than quarterly;</w:t>
      </w:r>
    </w:p>
    <w:p w:rsidR="004F0821" w:rsidRDefault="004F0821" w:rsidP="00065F46">
      <w:pPr>
        <w:pStyle w:val="PlainText"/>
        <w:numPr>
          <w:ilvl w:val="0"/>
          <w:numId w:val="13"/>
        </w:numPr>
        <w:rPr>
          <w:rFonts w:ascii="Times New Roman" w:hAnsi="Times New Roman" w:cs="Times New Roman"/>
          <w:b/>
          <w:sz w:val="24"/>
          <w:szCs w:val="24"/>
        </w:rPr>
      </w:pPr>
      <w:r>
        <w:rPr>
          <w:rFonts w:ascii="Times New Roman" w:hAnsi="Times New Roman" w:cs="Times New Roman"/>
          <w:b/>
          <w:sz w:val="24"/>
          <w:szCs w:val="24"/>
        </w:rPr>
        <w:t>requiring respondents to prepare a written response to a collection of information in fewer than 30 days after receipt of it;</w:t>
      </w:r>
    </w:p>
    <w:p w:rsidR="004F0821" w:rsidRDefault="004F0821" w:rsidP="00065F46">
      <w:pPr>
        <w:pStyle w:val="PlainText"/>
        <w:numPr>
          <w:ilvl w:val="0"/>
          <w:numId w:val="13"/>
        </w:numPr>
        <w:rPr>
          <w:rFonts w:ascii="Times New Roman" w:hAnsi="Times New Roman" w:cs="Times New Roman"/>
          <w:b/>
          <w:sz w:val="24"/>
          <w:szCs w:val="24"/>
        </w:rPr>
      </w:pPr>
      <w:r>
        <w:rPr>
          <w:rFonts w:ascii="Times New Roman" w:hAnsi="Times New Roman" w:cs="Times New Roman"/>
          <w:b/>
          <w:sz w:val="24"/>
          <w:szCs w:val="24"/>
        </w:rPr>
        <w:t>requiring respondents to submit more than an original and two copies of any document;</w:t>
      </w:r>
    </w:p>
    <w:p w:rsidR="004F0821" w:rsidRDefault="004F0821" w:rsidP="00065F46">
      <w:pPr>
        <w:pStyle w:val="PlainText"/>
        <w:numPr>
          <w:ilvl w:val="0"/>
          <w:numId w:val="13"/>
        </w:numPr>
        <w:rPr>
          <w:rFonts w:ascii="Times New Roman" w:hAnsi="Times New Roman" w:cs="Times New Roman"/>
          <w:b/>
          <w:sz w:val="24"/>
          <w:szCs w:val="24"/>
        </w:rPr>
      </w:pPr>
      <w:r>
        <w:rPr>
          <w:rFonts w:ascii="Times New Roman" w:hAnsi="Times New Roman" w:cs="Times New Roman"/>
          <w:b/>
          <w:sz w:val="24"/>
          <w:szCs w:val="24"/>
        </w:rPr>
        <w:t>requiring respondents to retain records, other than health, medical or government contract, grant-in-aid, or tax records for more than three years;</w:t>
      </w:r>
    </w:p>
    <w:p w:rsidR="004F0821" w:rsidRDefault="004F0821" w:rsidP="00065F46">
      <w:pPr>
        <w:pStyle w:val="PlainText"/>
        <w:numPr>
          <w:ilvl w:val="0"/>
          <w:numId w:val="13"/>
        </w:numPr>
        <w:rPr>
          <w:rFonts w:ascii="Times New Roman" w:hAnsi="Times New Roman" w:cs="Times New Roman"/>
          <w:b/>
          <w:sz w:val="24"/>
          <w:szCs w:val="24"/>
        </w:rPr>
      </w:pPr>
      <w:r>
        <w:rPr>
          <w:rFonts w:ascii="Times New Roman" w:hAnsi="Times New Roman" w:cs="Times New Roman"/>
          <w:b/>
          <w:sz w:val="24"/>
          <w:szCs w:val="24"/>
        </w:rPr>
        <w:t>in connection with a survey that is not designed to produce valid and reliable results that can be generalized to the universe of the study;</w:t>
      </w:r>
    </w:p>
    <w:p w:rsidR="004F0821" w:rsidRDefault="004F0821" w:rsidP="00065F46">
      <w:pPr>
        <w:pStyle w:val="PlainText"/>
        <w:numPr>
          <w:ilvl w:val="0"/>
          <w:numId w:val="13"/>
        </w:numPr>
        <w:rPr>
          <w:rFonts w:ascii="Times New Roman" w:hAnsi="Times New Roman" w:cs="Times New Roman"/>
          <w:b/>
          <w:sz w:val="24"/>
          <w:szCs w:val="24"/>
        </w:rPr>
      </w:pPr>
      <w:r>
        <w:rPr>
          <w:rFonts w:ascii="Times New Roman" w:hAnsi="Times New Roman" w:cs="Times New Roman"/>
          <w:b/>
          <w:sz w:val="24"/>
          <w:szCs w:val="24"/>
        </w:rPr>
        <w:t>requiring the use of statistical data classification that has not been reviewed and approved by OMB;</w:t>
      </w:r>
    </w:p>
    <w:p w:rsidR="004F0821" w:rsidRDefault="004F0821" w:rsidP="00065F46">
      <w:pPr>
        <w:pStyle w:val="PlainText"/>
        <w:numPr>
          <w:ilvl w:val="0"/>
          <w:numId w:val="13"/>
        </w:numPr>
        <w:rPr>
          <w:rFonts w:ascii="Times New Roman" w:hAnsi="Times New Roman" w:cs="Times New Roman"/>
          <w:b/>
          <w:sz w:val="24"/>
          <w:szCs w:val="24"/>
        </w:rPr>
      </w:pPr>
      <w:r>
        <w:rPr>
          <w:rFonts w:ascii="Times New Roman" w:hAnsi="Times New Roman" w:cs="Times New Roman"/>
          <w:b/>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4F0821" w:rsidRPr="001A1700" w:rsidRDefault="004F0821" w:rsidP="00065F46">
      <w:pPr>
        <w:pStyle w:val="PlainText"/>
        <w:numPr>
          <w:ilvl w:val="0"/>
          <w:numId w:val="13"/>
        </w:numPr>
        <w:rPr>
          <w:rFonts w:ascii="Times New Roman" w:hAnsi="Times New Roman" w:cs="Times New Roman"/>
          <w:b/>
          <w:sz w:val="24"/>
          <w:szCs w:val="24"/>
        </w:rPr>
      </w:pPr>
      <w:r>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There are no special circumstances.</w:t>
      </w:r>
      <w:r w:rsidR="001D5B7F">
        <w:rPr>
          <w:rFonts w:ascii="Times New Roman" w:hAnsi="Times New Roman" w:cs="Times New Roman"/>
          <w:sz w:val="24"/>
          <w:szCs w:val="24"/>
        </w:rPr>
        <w:t xml:space="preserve">  </w:t>
      </w:r>
      <w:r w:rsidR="001D5B7F" w:rsidRPr="001D5B7F">
        <w:rPr>
          <w:rFonts w:ascii="Times New Roman" w:hAnsi="Times New Roman" w:cs="Times New Roman"/>
          <w:sz w:val="24"/>
          <w:szCs w:val="24"/>
        </w:rPr>
        <w:t>This information collection is conducted in a manner consistent with the guidelines established in 5 CFR 1320.5.</w:t>
      </w:r>
    </w:p>
    <w:p w:rsidR="00EB65F5" w:rsidRPr="001A1700" w:rsidRDefault="00EB65F5" w:rsidP="001A1700">
      <w:pPr>
        <w:pStyle w:val="PlainText"/>
        <w:rPr>
          <w:rFonts w:ascii="Times New Roman" w:hAnsi="Times New Roman" w:cs="Times New Roman"/>
          <w:sz w:val="24"/>
          <w:szCs w:val="24"/>
        </w:rPr>
      </w:pPr>
    </w:p>
    <w:p w:rsidR="00EB65F5" w:rsidRDefault="00EB65F5" w:rsidP="00065F46">
      <w:pPr>
        <w:rPr>
          <w:b/>
        </w:rPr>
      </w:pPr>
      <w:r w:rsidRPr="001A1700">
        <w:rPr>
          <w:b/>
        </w:rPr>
        <w:t xml:space="preserve">8.  </w:t>
      </w:r>
      <w:r w:rsidR="0005064A">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5064A" w:rsidRDefault="0005064A" w:rsidP="00065F46">
      <w:pPr>
        <w:rPr>
          <w:b/>
        </w:rPr>
      </w:pPr>
    </w:p>
    <w:p w:rsidR="0005064A" w:rsidRDefault="0005064A" w:rsidP="00065F46">
      <w:pPr>
        <w:rPr>
          <w:b/>
        </w:rPr>
      </w:pPr>
      <w:r>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5064A" w:rsidRDefault="0005064A" w:rsidP="00065F46">
      <w:pPr>
        <w:rPr>
          <w:b/>
        </w:rPr>
      </w:pPr>
    </w:p>
    <w:p w:rsidR="0005064A" w:rsidRPr="001A1700" w:rsidRDefault="0005064A" w:rsidP="00065F46">
      <w:pPr>
        <w:rPr>
          <w:b/>
        </w:rPr>
      </w:pPr>
      <w:r>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w:t>
      </w:r>
      <w:r w:rsidR="006D6219">
        <w:rPr>
          <w:b/>
        </w:rPr>
        <w:t>s</w:t>
      </w:r>
      <w:r>
        <w:rPr>
          <w:b/>
        </w:rPr>
        <w:t xml:space="preserve"> should be explained.</w:t>
      </w:r>
    </w:p>
    <w:p w:rsidR="00EB65F5" w:rsidRPr="001A1700" w:rsidRDefault="00EB65F5" w:rsidP="001A1700">
      <w:pPr>
        <w:pStyle w:val="PlainText"/>
        <w:rPr>
          <w:rFonts w:ascii="Times New Roman" w:hAnsi="Times New Roman" w:cs="Times New Roman"/>
          <w:sz w:val="24"/>
          <w:szCs w:val="24"/>
        </w:rPr>
      </w:pPr>
    </w:p>
    <w:p w:rsidR="00EB65F5"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 was published on </w:t>
      </w:r>
      <w:r w:rsidR="0021132E">
        <w:rPr>
          <w:rFonts w:ascii="Times New Roman" w:hAnsi="Times New Roman" w:cs="Times New Roman"/>
          <w:sz w:val="24"/>
          <w:szCs w:val="24"/>
        </w:rPr>
        <w:t>Febr</w:t>
      </w:r>
      <w:r w:rsidR="003C4334">
        <w:rPr>
          <w:rFonts w:ascii="Times New Roman" w:hAnsi="Times New Roman" w:cs="Times New Roman"/>
          <w:sz w:val="24"/>
          <w:szCs w:val="24"/>
        </w:rPr>
        <w:t>uary</w:t>
      </w:r>
      <w:r w:rsidR="00FB3F67">
        <w:rPr>
          <w:rFonts w:ascii="Times New Roman" w:hAnsi="Times New Roman" w:cs="Times New Roman"/>
          <w:sz w:val="24"/>
          <w:szCs w:val="24"/>
        </w:rPr>
        <w:t xml:space="preserve"> </w:t>
      </w:r>
      <w:r w:rsidR="003C4334">
        <w:rPr>
          <w:rFonts w:ascii="Times New Roman" w:hAnsi="Times New Roman" w:cs="Times New Roman"/>
          <w:sz w:val="24"/>
          <w:szCs w:val="24"/>
        </w:rPr>
        <w:t>6</w:t>
      </w:r>
      <w:r w:rsidR="00FB3F67">
        <w:rPr>
          <w:rFonts w:ascii="Times New Roman" w:hAnsi="Times New Roman" w:cs="Times New Roman"/>
          <w:sz w:val="24"/>
          <w:szCs w:val="24"/>
        </w:rPr>
        <w:t xml:space="preserve">, </w:t>
      </w:r>
      <w:r w:rsidRPr="001A1700">
        <w:rPr>
          <w:rFonts w:ascii="Times New Roman" w:hAnsi="Times New Roman" w:cs="Times New Roman"/>
          <w:sz w:val="24"/>
          <w:szCs w:val="24"/>
        </w:rPr>
        <w:t>201</w:t>
      </w:r>
      <w:r w:rsidR="003C4334">
        <w:rPr>
          <w:rFonts w:ascii="Times New Roman" w:hAnsi="Times New Roman" w:cs="Times New Roman"/>
          <w:sz w:val="24"/>
          <w:szCs w:val="24"/>
        </w:rPr>
        <w:t>8</w:t>
      </w:r>
      <w:r w:rsidRPr="001A1700">
        <w:rPr>
          <w:rFonts w:ascii="Times New Roman" w:hAnsi="Times New Roman" w:cs="Times New Roman"/>
          <w:sz w:val="24"/>
          <w:szCs w:val="24"/>
        </w:rPr>
        <w:t xml:space="preserve"> (</w:t>
      </w:r>
      <w:r w:rsidR="0021132E">
        <w:rPr>
          <w:rFonts w:ascii="Times New Roman" w:hAnsi="Times New Roman" w:cs="Times New Roman"/>
          <w:sz w:val="24"/>
          <w:szCs w:val="24"/>
        </w:rPr>
        <w:t>83</w:t>
      </w:r>
      <w:r>
        <w:rPr>
          <w:rFonts w:ascii="Times New Roman" w:hAnsi="Times New Roman" w:cs="Times New Roman"/>
          <w:sz w:val="24"/>
          <w:szCs w:val="24"/>
        </w:rPr>
        <w:t xml:space="preserve"> FR</w:t>
      </w:r>
      <w:r w:rsidR="0021132E">
        <w:rPr>
          <w:rFonts w:ascii="Times New Roman" w:hAnsi="Times New Roman" w:cs="Times New Roman"/>
          <w:sz w:val="24"/>
          <w:szCs w:val="24"/>
        </w:rPr>
        <w:t xml:space="preserve"> 5239</w:t>
      </w:r>
      <w:r w:rsidRPr="001A1700">
        <w:rPr>
          <w:rFonts w:ascii="Times New Roman" w:hAnsi="Times New Roman" w:cs="Times New Roman"/>
          <w:sz w:val="24"/>
          <w:szCs w:val="24"/>
        </w:rPr>
        <w:t xml:space="preserve">). </w:t>
      </w:r>
      <w:r w:rsidR="00FB3F67">
        <w:rPr>
          <w:rFonts w:ascii="Times New Roman" w:hAnsi="Times New Roman" w:cs="Times New Roman"/>
          <w:sz w:val="24"/>
          <w:szCs w:val="24"/>
        </w:rPr>
        <w:t>(Attachment 1</w:t>
      </w:r>
      <w:r w:rsidR="00295003">
        <w:rPr>
          <w:rFonts w:ascii="Times New Roman" w:hAnsi="Times New Roman" w:cs="Times New Roman"/>
          <w:sz w:val="24"/>
          <w:szCs w:val="24"/>
        </w:rPr>
        <w:t>2</w:t>
      </w:r>
      <w:r w:rsidR="00FB3F67">
        <w:rPr>
          <w:rFonts w:ascii="Times New Roman" w:hAnsi="Times New Roman" w:cs="Times New Roman"/>
          <w:sz w:val="24"/>
          <w:szCs w:val="24"/>
        </w:rPr>
        <w:t xml:space="preserve">)  </w:t>
      </w:r>
      <w:r w:rsidRPr="001A1700">
        <w:rPr>
          <w:rFonts w:ascii="Times New Roman" w:hAnsi="Times New Roman" w:cs="Times New Roman"/>
          <w:sz w:val="24"/>
          <w:szCs w:val="24"/>
        </w:rPr>
        <w:t xml:space="preserve">No comments were received regarding the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00FB3F67">
        <w:rPr>
          <w:rFonts w:ascii="Times New Roman" w:hAnsi="Times New Roman" w:cs="Times New Roman"/>
          <w:sz w:val="24"/>
          <w:szCs w:val="24"/>
        </w:rPr>
        <w: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9.  </w:t>
      </w:r>
      <w:r w:rsidR="00EC5CAB">
        <w:rPr>
          <w:rFonts w:ascii="Times New Roman" w:hAnsi="Times New Roman" w:cs="Times New Roman"/>
          <w:b/>
          <w:sz w:val="24"/>
          <w:szCs w:val="24"/>
        </w:rPr>
        <w:t>Explain any decision to provide any payment or gift to respondents, other than remuneration of contractors or grantees.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Respondents do not receive any payment or gifts to participate in the reporting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10.  </w:t>
      </w:r>
      <w:r w:rsidR="00EC5CAB">
        <w:rPr>
          <w:rFonts w:ascii="Times New Roman" w:hAnsi="Times New Roman" w:cs="Times New Roman"/>
          <w:b/>
          <w:sz w:val="24"/>
          <w:szCs w:val="24"/>
        </w:rPr>
        <w:t>Describe any assurance of confidentiality provided to respondents and the basis for the assurance in statute, regulations or agency policy.</w:t>
      </w:r>
    </w:p>
    <w:p w:rsidR="00EB65F5" w:rsidRPr="001A1700" w:rsidRDefault="00EB65F5" w:rsidP="001A1700">
      <w:pPr>
        <w:pStyle w:val="PlainText"/>
        <w:rPr>
          <w:rFonts w:ascii="Times New Roman" w:hAnsi="Times New Roman" w:cs="Times New Roman"/>
          <w:sz w:val="24"/>
          <w:szCs w:val="24"/>
        </w:rPr>
      </w:pPr>
    </w:p>
    <w:p w:rsidR="00EB65F5" w:rsidRDefault="00EB65F5" w:rsidP="001A1700">
      <w:pPr>
        <w:pStyle w:val="PlainText"/>
        <w:rPr>
          <w:rFonts w:ascii="Times New Roman" w:hAnsi="Times New Roman" w:cs="Times New Roman"/>
          <w:color w:val="000000"/>
          <w:sz w:val="24"/>
          <w:szCs w:val="24"/>
        </w:rPr>
      </w:pPr>
      <w:r w:rsidRPr="002F13F9">
        <w:rPr>
          <w:rFonts w:ascii="Times New Roman" w:hAnsi="Times New Roman" w:cs="Times New Roman"/>
          <w:color w:val="000000"/>
          <w:sz w:val="24"/>
          <w:szCs w:val="24"/>
        </w:rPr>
        <w:t>Any and all information obtained in this collection shall not be disclosed except in accordance with 5 U.S.C.552a</w:t>
      </w:r>
      <w:r>
        <w:rPr>
          <w:rFonts w:ascii="Times New Roman" w:hAnsi="Times New Roman" w:cs="Times New Roman"/>
          <w:color w:val="000000"/>
          <w:sz w:val="24"/>
          <w:szCs w:val="24"/>
        </w:rPr>
        <w:t>.</w:t>
      </w:r>
    </w:p>
    <w:p w:rsidR="00EB65F5" w:rsidRPr="002F13F9"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11.  </w:t>
      </w:r>
      <w:r w:rsidR="00EC5CAB">
        <w:rPr>
          <w:rFonts w:ascii="Times New Roman" w:hAnsi="Times New Roman"/>
          <w:b/>
          <w:bCs/>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information requested under the </w:t>
      </w:r>
      <w:r>
        <w:rPr>
          <w:rFonts w:ascii="Times New Roman" w:hAnsi="Times New Roman" w:cs="Times New Roman"/>
          <w:sz w:val="24"/>
          <w:szCs w:val="24"/>
        </w:rPr>
        <w:t>r</w:t>
      </w:r>
      <w:r w:rsidRPr="001A1700">
        <w:rPr>
          <w:rFonts w:ascii="Times New Roman" w:hAnsi="Times New Roman" w:cs="Times New Roman"/>
          <w:sz w:val="24"/>
          <w:szCs w:val="24"/>
        </w:rPr>
        <w:t>egulation is not of a sensitive nature.</w:t>
      </w:r>
    </w:p>
    <w:p w:rsidR="00EB65F5" w:rsidRPr="001A1700" w:rsidRDefault="00EB65F5" w:rsidP="001A1700">
      <w:pPr>
        <w:pStyle w:val="PlainText"/>
        <w:rPr>
          <w:rFonts w:ascii="Times New Roman" w:hAnsi="Times New Roman" w:cs="Times New Roman"/>
          <w:sz w:val="24"/>
          <w:szCs w:val="24"/>
        </w:rPr>
      </w:pPr>
    </w:p>
    <w:p w:rsidR="00EC5CAB" w:rsidRDefault="00EB65F5" w:rsidP="00EC5CAB">
      <w:pPr>
        <w:rPr>
          <w:b/>
          <w:bCs/>
        </w:rPr>
      </w:pPr>
      <w:r w:rsidRPr="001A1700">
        <w:rPr>
          <w:b/>
        </w:rPr>
        <w:t xml:space="preserve">12.  </w:t>
      </w:r>
      <w:r w:rsidR="00EC5CAB">
        <w:rPr>
          <w:b/>
          <w:bCs/>
        </w:rPr>
        <w:t>.  Provide estimates of the hour burden of the collection of information.  The statement should:</w:t>
      </w:r>
    </w:p>
    <w:p w:rsidR="00EC5CAB" w:rsidRDefault="00EC5CAB" w:rsidP="00EC5CAB">
      <w:pPr>
        <w:rPr>
          <w:b/>
          <w:bCs/>
        </w:rPr>
      </w:pPr>
    </w:p>
    <w:p w:rsidR="00EC5CAB" w:rsidRPr="00065F46" w:rsidRDefault="00EC5CAB" w:rsidP="00065F46">
      <w:pPr>
        <w:pStyle w:val="ListParagraph"/>
        <w:numPr>
          <w:ilvl w:val="0"/>
          <w:numId w:val="14"/>
        </w:numPr>
        <w:rPr>
          <w:b/>
          <w:bCs/>
        </w:rPr>
      </w:pPr>
      <w:r w:rsidRPr="00065F46">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C5CAB" w:rsidRDefault="00EC5CAB" w:rsidP="00EC5CAB">
      <w:pPr>
        <w:rPr>
          <w:b/>
          <w:bCs/>
        </w:rPr>
      </w:pPr>
    </w:p>
    <w:p w:rsidR="00EC5CAB" w:rsidRPr="00065F46" w:rsidRDefault="00EC5CAB" w:rsidP="00065F46">
      <w:pPr>
        <w:pStyle w:val="ListParagraph"/>
        <w:numPr>
          <w:ilvl w:val="0"/>
          <w:numId w:val="14"/>
        </w:numPr>
        <w:rPr>
          <w:b/>
          <w:bCs/>
        </w:rPr>
      </w:pPr>
      <w:r w:rsidRPr="00065F46">
        <w:rPr>
          <w:b/>
          <w:bCs/>
        </w:rPr>
        <w:t>If this request for approval covers more than one form, provide separate hour burden estimates for each form and aggregate the hour burdens in Item 13 of OMB Form 83–1.</w:t>
      </w:r>
    </w:p>
    <w:p w:rsidR="00EC5CAB" w:rsidRDefault="00EC5CAB" w:rsidP="00EC5CAB">
      <w:pPr>
        <w:rPr>
          <w:b/>
          <w:bCs/>
        </w:rPr>
      </w:pPr>
    </w:p>
    <w:p w:rsidR="00EC5CAB" w:rsidRDefault="00EC5CAB" w:rsidP="00065F46">
      <w:pPr>
        <w:pStyle w:val="ListParagraph"/>
        <w:numPr>
          <w:ilvl w:val="0"/>
          <w:numId w:val="14"/>
        </w:numPr>
      </w:pPr>
      <w:r w:rsidRPr="00065F46">
        <w:rPr>
          <w:b/>
          <w:bCs/>
        </w:rPr>
        <w:t>Provide estimates of annualized cost to respondents for the hour burdens for collections of information, identifying and using appropriate wage rate categories.  The cost of contraction out or paying outside parties for information collection activities should not be included here.  Instead, this cost should be included in Item 14.</w:t>
      </w:r>
    </w:p>
    <w:p w:rsidR="00EB65F5" w:rsidRPr="001A1700" w:rsidRDefault="00EB65F5" w:rsidP="001A1700">
      <w:pPr>
        <w:pStyle w:val="PlainText"/>
        <w:rPr>
          <w:rFonts w:ascii="Times New Roman" w:hAnsi="Times New Roman" w:cs="Times New Roman"/>
          <w:b/>
          <w:sz w:val="24"/>
          <w:szCs w:val="24"/>
        </w:rPr>
      </w:pPr>
    </w:p>
    <w:p w:rsidR="00EB65F5" w:rsidRPr="001A1700" w:rsidRDefault="00EB65F5" w:rsidP="001A1700">
      <w:pPr>
        <w:pStyle w:val="PlainTex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9"/>
        <w:gridCol w:w="1767"/>
        <w:gridCol w:w="1499"/>
        <w:gridCol w:w="1494"/>
        <w:gridCol w:w="1321"/>
        <w:gridCol w:w="1322"/>
      </w:tblGrid>
      <w:tr w:rsidR="00EB65F5" w:rsidRPr="00487318" w:rsidTr="004E4F03">
        <w:trPr>
          <w:trHeight w:val="274"/>
        </w:trPr>
        <w:tc>
          <w:tcPr>
            <w:tcW w:w="9052" w:type="dxa"/>
            <w:gridSpan w:val="6"/>
          </w:tcPr>
          <w:p w:rsidR="00EB65F5" w:rsidRPr="004E4F03" w:rsidRDefault="00EB65F5" w:rsidP="003B08FE">
            <w:pPr>
              <w:jc w:val="center"/>
              <w:rPr>
                <w:b/>
              </w:rPr>
            </w:pPr>
            <w:r>
              <w:rPr>
                <w:b/>
              </w:rPr>
              <w:t>Estimate of Annual Reporting Burden Hours</w:t>
            </w:r>
          </w:p>
        </w:tc>
      </w:tr>
      <w:tr w:rsidR="00EB65F5" w:rsidRPr="00487318" w:rsidTr="004E4F03">
        <w:trPr>
          <w:trHeight w:val="274"/>
        </w:trPr>
        <w:tc>
          <w:tcPr>
            <w:tcW w:w="1649" w:type="dxa"/>
          </w:tcPr>
          <w:p w:rsidR="00EB65F5" w:rsidRPr="00487318" w:rsidRDefault="00EB65F5" w:rsidP="003B08FE">
            <w:pPr>
              <w:rPr>
                <w:rFonts w:ascii="Arial (W1)" w:hAnsi="Arial (W1)"/>
              </w:rPr>
            </w:pPr>
          </w:p>
        </w:tc>
        <w:tc>
          <w:tcPr>
            <w:tcW w:w="1767" w:type="dxa"/>
          </w:tcPr>
          <w:p w:rsidR="00EB65F5" w:rsidRPr="00065E2D" w:rsidRDefault="00EB65F5" w:rsidP="003B08FE">
            <w:pPr>
              <w:jc w:val="center"/>
            </w:pPr>
            <w:r w:rsidRPr="00065E2D">
              <w:rPr>
                <w:sz w:val="22"/>
                <w:szCs w:val="22"/>
              </w:rPr>
              <w:t>A</w:t>
            </w:r>
          </w:p>
        </w:tc>
        <w:tc>
          <w:tcPr>
            <w:tcW w:w="1499" w:type="dxa"/>
          </w:tcPr>
          <w:p w:rsidR="00EB65F5" w:rsidRPr="00065E2D" w:rsidRDefault="00EB65F5" w:rsidP="003B08FE">
            <w:pPr>
              <w:jc w:val="center"/>
            </w:pPr>
            <w:r w:rsidRPr="00065E2D">
              <w:rPr>
                <w:sz w:val="22"/>
                <w:szCs w:val="22"/>
              </w:rPr>
              <w:t>B</w:t>
            </w:r>
          </w:p>
        </w:tc>
        <w:tc>
          <w:tcPr>
            <w:tcW w:w="1494" w:type="dxa"/>
          </w:tcPr>
          <w:p w:rsidR="00EB65F5" w:rsidRPr="00065E2D" w:rsidRDefault="00EB65F5" w:rsidP="003B08FE">
            <w:pPr>
              <w:jc w:val="center"/>
            </w:pPr>
            <w:r w:rsidRPr="00065E2D">
              <w:rPr>
                <w:sz w:val="22"/>
                <w:szCs w:val="22"/>
              </w:rPr>
              <w:t>C</w:t>
            </w:r>
          </w:p>
        </w:tc>
        <w:tc>
          <w:tcPr>
            <w:tcW w:w="1321" w:type="dxa"/>
          </w:tcPr>
          <w:p w:rsidR="00EB65F5" w:rsidRPr="00065E2D" w:rsidRDefault="00EB65F5" w:rsidP="003B08FE">
            <w:pPr>
              <w:jc w:val="center"/>
            </w:pPr>
            <w:r w:rsidRPr="00065E2D">
              <w:rPr>
                <w:sz w:val="22"/>
                <w:szCs w:val="22"/>
              </w:rPr>
              <w:t>D</w:t>
            </w:r>
          </w:p>
        </w:tc>
        <w:tc>
          <w:tcPr>
            <w:tcW w:w="1321" w:type="dxa"/>
          </w:tcPr>
          <w:p w:rsidR="00EB65F5" w:rsidRPr="00065E2D" w:rsidRDefault="00EB65F5" w:rsidP="003B08FE">
            <w:pPr>
              <w:jc w:val="center"/>
            </w:pPr>
            <w:r w:rsidRPr="00065E2D">
              <w:t>E</w:t>
            </w:r>
          </w:p>
        </w:tc>
      </w:tr>
      <w:tr w:rsidR="00EB65F5" w:rsidRPr="00487318" w:rsidTr="00F97C31">
        <w:trPr>
          <w:trHeight w:val="1088"/>
        </w:trPr>
        <w:tc>
          <w:tcPr>
            <w:tcW w:w="1649" w:type="dxa"/>
            <w:vAlign w:val="bottom"/>
          </w:tcPr>
          <w:p w:rsidR="00EB65F5" w:rsidRPr="00065E2D" w:rsidRDefault="00EB65F5" w:rsidP="003B08FE">
            <w:pPr>
              <w:jc w:val="center"/>
              <w:rPr>
                <w:b/>
              </w:rPr>
            </w:pPr>
            <w:r w:rsidRPr="00065E2D">
              <w:rPr>
                <w:b/>
                <w:sz w:val="22"/>
                <w:szCs w:val="22"/>
              </w:rPr>
              <w:t>Activity</w:t>
            </w:r>
          </w:p>
        </w:tc>
        <w:tc>
          <w:tcPr>
            <w:tcW w:w="1767" w:type="dxa"/>
            <w:vAlign w:val="bottom"/>
          </w:tcPr>
          <w:p w:rsidR="00EB65F5" w:rsidRPr="00065E2D" w:rsidRDefault="00EB65F5" w:rsidP="003B08FE">
            <w:pPr>
              <w:jc w:val="center"/>
              <w:rPr>
                <w:b/>
              </w:rPr>
            </w:pPr>
            <w:r w:rsidRPr="00065E2D">
              <w:rPr>
                <w:b/>
                <w:sz w:val="22"/>
                <w:szCs w:val="22"/>
              </w:rPr>
              <w:t>Respondents</w:t>
            </w:r>
          </w:p>
        </w:tc>
        <w:tc>
          <w:tcPr>
            <w:tcW w:w="1499" w:type="dxa"/>
            <w:vAlign w:val="bottom"/>
          </w:tcPr>
          <w:p w:rsidR="00EB65F5" w:rsidRPr="00065E2D" w:rsidRDefault="00EB65F5" w:rsidP="003B08FE">
            <w:pPr>
              <w:jc w:val="center"/>
              <w:rPr>
                <w:b/>
              </w:rPr>
            </w:pPr>
            <w:r w:rsidRPr="00065E2D">
              <w:rPr>
                <w:b/>
                <w:sz w:val="22"/>
                <w:szCs w:val="22"/>
              </w:rPr>
              <w:t>Responses</w:t>
            </w:r>
          </w:p>
        </w:tc>
        <w:tc>
          <w:tcPr>
            <w:tcW w:w="1494" w:type="dxa"/>
            <w:vAlign w:val="bottom"/>
          </w:tcPr>
          <w:p w:rsidR="00EB65F5" w:rsidRPr="00065E2D" w:rsidRDefault="00EB65F5" w:rsidP="003B08FE">
            <w:pPr>
              <w:jc w:val="center"/>
              <w:rPr>
                <w:b/>
              </w:rPr>
            </w:pPr>
            <w:r w:rsidRPr="00065E2D">
              <w:rPr>
                <w:b/>
                <w:sz w:val="22"/>
                <w:szCs w:val="22"/>
              </w:rPr>
              <w:t>Total Annual Responses</w:t>
            </w:r>
          </w:p>
          <w:p w:rsidR="00EB65F5" w:rsidRPr="00065E2D" w:rsidRDefault="00EB65F5" w:rsidP="003B08FE">
            <w:pPr>
              <w:jc w:val="center"/>
              <w:rPr>
                <w:b/>
              </w:rPr>
            </w:pPr>
            <w:r w:rsidRPr="00065E2D">
              <w:rPr>
                <w:b/>
                <w:sz w:val="22"/>
                <w:szCs w:val="22"/>
              </w:rPr>
              <w:t>(A*B)</w:t>
            </w:r>
          </w:p>
        </w:tc>
        <w:tc>
          <w:tcPr>
            <w:tcW w:w="1321" w:type="dxa"/>
            <w:vAlign w:val="bottom"/>
          </w:tcPr>
          <w:p w:rsidR="00EB65F5" w:rsidRPr="00065E2D" w:rsidRDefault="00EB65F5" w:rsidP="003B08FE">
            <w:pPr>
              <w:jc w:val="center"/>
              <w:rPr>
                <w:b/>
              </w:rPr>
            </w:pPr>
            <w:r w:rsidRPr="00065E2D">
              <w:rPr>
                <w:b/>
                <w:sz w:val="22"/>
                <w:szCs w:val="22"/>
              </w:rPr>
              <w:t>Average Hours Needed for Activity</w:t>
            </w:r>
          </w:p>
        </w:tc>
        <w:tc>
          <w:tcPr>
            <w:tcW w:w="1321" w:type="dxa"/>
            <w:vAlign w:val="bottom"/>
          </w:tcPr>
          <w:p w:rsidR="00EB65F5" w:rsidRPr="00065E2D" w:rsidRDefault="00EB65F5" w:rsidP="003B08FE">
            <w:pPr>
              <w:jc w:val="center"/>
              <w:rPr>
                <w:b/>
                <w:sz w:val="20"/>
                <w:szCs w:val="20"/>
              </w:rPr>
            </w:pPr>
            <w:r w:rsidRPr="00065E2D">
              <w:rPr>
                <w:b/>
                <w:sz w:val="20"/>
                <w:szCs w:val="20"/>
              </w:rPr>
              <w:t xml:space="preserve">Total </w:t>
            </w:r>
            <w:r>
              <w:rPr>
                <w:b/>
                <w:sz w:val="20"/>
                <w:szCs w:val="20"/>
              </w:rPr>
              <w:t xml:space="preserve">Annual Burden </w:t>
            </w:r>
            <w:r w:rsidRPr="00065E2D">
              <w:rPr>
                <w:b/>
                <w:sz w:val="20"/>
                <w:szCs w:val="20"/>
              </w:rPr>
              <w:t>Hours</w:t>
            </w:r>
          </w:p>
        </w:tc>
      </w:tr>
      <w:tr w:rsidR="00EB65F5" w:rsidRPr="00C81D93" w:rsidTr="004E4F03">
        <w:trPr>
          <w:trHeight w:val="259"/>
        </w:trPr>
        <w:tc>
          <w:tcPr>
            <w:tcW w:w="1649" w:type="dxa"/>
          </w:tcPr>
          <w:p w:rsidR="00EB65F5" w:rsidRPr="00C81D93" w:rsidRDefault="00EB65F5" w:rsidP="004E4F03">
            <w:pPr>
              <w:rPr>
                <w:sz w:val="20"/>
                <w:szCs w:val="20"/>
              </w:rPr>
            </w:pPr>
            <w:r w:rsidRPr="00C81D93">
              <w:rPr>
                <w:sz w:val="20"/>
                <w:szCs w:val="20"/>
              </w:rPr>
              <w:t>Application</w:t>
            </w:r>
          </w:p>
        </w:tc>
        <w:tc>
          <w:tcPr>
            <w:tcW w:w="1767" w:type="dxa"/>
          </w:tcPr>
          <w:p w:rsidR="00EB65F5" w:rsidRPr="00C81D93" w:rsidRDefault="00E375DF" w:rsidP="003B08FE">
            <w:pPr>
              <w:jc w:val="right"/>
              <w:rPr>
                <w:sz w:val="20"/>
                <w:szCs w:val="20"/>
              </w:rPr>
            </w:pPr>
            <w:r w:rsidRPr="00C81D93">
              <w:rPr>
                <w:sz w:val="20"/>
                <w:szCs w:val="20"/>
              </w:rPr>
              <w:t>60</w:t>
            </w:r>
            <w:r w:rsidR="00FB3F67" w:rsidRPr="00C81D93">
              <w:rPr>
                <w:sz w:val="20"/>
                <w:szCs w:val="20"/>
              </w:rPr>
              <w:t xml:space="preserve"> </w:t>
            </w:r>
          </w:p>
        </w:tc>
        <w:tc>
          <w:tcPr>
            <w:tcW w:w="1499" w:type="dxa"/>
          </w:tcPr>
          <w:p w:rsidR="00EB65F5" w:rsidRPr="00C81D93" w:rsidRDefault="00EB65F5" w:rsidP="003B08FE">
            <w:pPr>
              <w:jc w:val="right"/>
              <w:rPr>
                <w:sz w:val="20"/>
                <w:szCs w:val="20"/>
              </w:rPr>
            </w:pPr>
            <w:r w:rsidRPr="00C81D93">
              <w:rPr>
                <w:sz w:val="20"/>
                <w:szCs w:val="20"/>
              </w:rPr>
              <w:t>1</w:t>
            </w:r>
          </w:p>
        </w:tc>
        <w:tc>
          <w:tcPr>
            <w:tcW w:w="1494" w:type="dxa"/>
          </w:tcPr>
          <w:p w:rsidR="00EB65F5" w:rsidRPr="00C81D93" w:rsidRDefault="00E375DF" w:rsidP="003B08FE">
            <w:pPr>
              <w:jc w:val="right"/>
              <w:rPr>
                <w:sz w:val="20"/>
                <w:szCs w:val="20"/>
              </w:rPr>
            </w:pPr>
            <w:r w:rsidRPr="00C81D93">
              <w:rPr>
                <w:sz w:val="20"/>
                <w:szCs w:val="20"/>
              </w:rPr>
              <w:t>60</w:t>
            </w:r>
            <w:r w:rsidR="00FB3F67" w:rsidRPr="00C81D93">
              <w:rPr>
                <w:sz w:val="20"/>
                <w:szCs w:val="20"/>
              </w:rPr>
              <w:t xml:space="preserve"> </w:t>
            </w:r>
          </w:p>
        </w:tc>
        <w:tc>
          <w:tcPr>
            <w:tcW w:w="1321" w:type="dxa"/>
          </w:tcPr>
          <w:p w:rsidR="00EB65F5" w:rsidRPr="00C81D93" w:rsidRDefault="00CE19AE" w:rsidP="004B1BD0">
            <w:pPr>
              <w:jc w:val="right"/>
              <w:rPr>
                <w:sz w:val="20"/>
                <w:szCs w:val="20"/>
              </w:rPr>
            </w:pPr>
            <w:r>
              <w:rPr>
                <w:sz w:val="20"/>
                <w:szCs w:val="20"/>
              </w:rPr>
              <w:t>1.1</w:t>
            </w:r>
          </w:p>
        </w:tc>
        <w:tc>
          <w:tcPr>
            <w:tcW w:w="1321" w:type="dxa"/>
          </w:tcPr>
          <w:p w:rsidR="00EB65F5" w:rsidRPr="00C81D93" w:rsidRDefault="00CE19AE" w:rsidP="003B08FE">
            <w:pPr>
              <w:jc w:val="right"/>
              <w:rPr>
                <w:sz w:val="20"/>
                <w:szCs w:val="20"/>
              </w:rPr>
            </w:pPr>
            <w:r>
              <w:rPr>
                <w:sz w:val="20"/>
                <w:szCs w:val="20"/>
              </w:rPr>
              <w:t>66</w:t>
            </w:r>
          </w:p>
        </w:tc>
      </w:tr>
    </w:tbl>
    <w:p w:rsidR="00EB65F5" w:rsidRPr="00C81D93" w:rsidRDefault="00EB65F5" w:rsidP="001A1700">
      <w:pPr>
        <w:pStyle w:val="PlainText"/>
        <w:rPr>
          <w:rFonts w:ascii="Times New Roman" w:hAnsi="Times New Roman" w:cs="Times New Roman"/>
        </w:rPr>
      </w:pPr>
    </w:p>
    <w:p w:rsidR="00EB65F5" w:rsidRPr="00172688" w:rsidRDefault="00EB65F5" w:rsidP="00172688">
      <w:pPr>
        <w:rPr>
          <w:szCs w:val="20"/>
        </w:rPr>
      </w:pPr>
      <w:r w:rsidRPr="00172688">
        <w:rPr>
          <w:szCs w:val="20"/>
        </w:rPr>
        <w:t>Based on data from the Bureau of Labor Statistics</w:t>
      </w:r>
      <w:r w:rsidR="006836C9">
        <w:rPr>
          <w:szCs w:val="20"/>
        </w:rPr>
        <w:t xml:space="preserve"> for a </w:t>
      </w:r>
      <w:r w:rsidR="00E405B4">
        <w:rPr>
          <w:szCs w:val="20"/>
        </w:rPr>
        <w:t>compliance</w:t>
      </w:r>
      <w:r w:rsidR="006836C9">
        <w:rPr>
          <w:szCs w:val="20"/>
        </w:rPr>
        <w:t xml:space="preserve"> specialist</w:t>
      </w:r>
      <w:r w:rsidRPr="00172688">
        <w:rPr>
          <w:szCs w:val="20"/>
        </w:rPr>
        <w:t>, a reasonable estimate of $3</w:t>
      </w:r>
      <w:r w:rsidR="0097119E">
        <w:rPr>
          <w:szCs w:val="20"/>
        </w:rPr>
        <w:t>6</w:t>
      </w:r>
      <w:r w:rsidRPr="00172688">
        <w:rPr>
          <w:szCs w:val="20"/>
        </w:rPr>
        <w:t>.</w:t>
      </w:r>
      <w:r w:rsidR="0097119E">
        <w:rPr>
          <w:szCs w:val="20"/>
        </w:rPr>
        <w:t>23</w:t>
      </w:r>
      <w:r w:rsidRPr="00172688">
        <w:rPr>
          <w:szCs w:val="20"/>
        </w:rPr>
        <w:t xml:space="preserve"> per hour has been used as the average cost for respondents' </w:t>
      </w:r>
      <w:r w:rsidR="005260AB">
        <w:rPr>
          <w:szCs w:val="20"/>
        </w:rPr>
        <w:t>p</w:t>
      </w:r>
      <w:r w:rsidR="00454E35">
        <w:rPr>
          <w:szCs w:val="20"/>
        </w:rPr>
        <w:t>rogram</w:t>
      </w:r>
      <w:r w:rsidRPr="00172688">
        <w:rPr>
          <w:szCs w:val="20"/>
        </w:rPr>
        <w:t xml:space="preserve"> participation.  The total FY 201</w:t>
      </w:r>
      <w:r w:rsidR="0097119E">
        <w:rPr>
          <w:szCs w:val="20"/>
        </w:rPr>
        <w:t>7</w:t>
      </w:r>
      <w:r w:rsidRPr="00172688">
        <w:rPr>
          <w:szCs w:val="20"/>
        </w:rPr>
        <w:t xml:space="preserve"> annual</w:t>
      </w:r>
      <w:r w:rsidR="00A94115">
        <w:rPr>
          <w:szCs w:val="20"/>
        </w:rPr>
        <w:t xml:space="preserve"> estimated</w:t>
      </w:r>
      <w:r w:rsidRPr="00172688">
        <w:rPr>
          <w:szCs w:val="20"/>
        </w:rPr>
        <w:t xml:space="preserve"> burden in dollars is</w:t>
      </w:r>
      <w:r w:rsidR="00A94115">
        <w:rPr>
          <w:szCs w:val="20"/>
        </w:rPr>
        <w:t xml:space="preserve"> </w:t>
      </w:r>
      <w:r w:rsidR="00A94115" w:rsidRPr="00A94115">
        <w:rPr>
          <w:szCs w:val="20"/>
        </w:rPr>
        <w:t>$</w:t>
      </w:r>
      <w:r w:rsidR="00CE19AE" w:rsidRPr="00CE19AE">
        <w:rPr>
          <w:szCs w:val="20"/>
        </w:rPr>
        <w:t>2,391.18</w:t>
      </w:r>
      <w:r w:rsidRPr="00172688">
        <w:rPr>
          <w:szCs w:val="20"/>
        </w:rPr>
        <w:t xml:space="preserve"> (</w:t>
      </w:r>
      <w:r w:rsidR="0097119E">
        <w:rPr>
          <w:szCs w:val="20"/>
        </w:rPr>
        <w:t>60</w:t>
      </w:r>
      <w:r w:rsidRPr="00172688">
        <w:rPr>
          <w:szCs w:val="20"/>
        </w:rPr>
        <w:t xml:space="preserve"> respondents x </w:t>
      </w:r>
      <w:r w:rsidR="00CE19AE">
        <w:rPr>
          <w:szCs w:val="20"/>
        </w:rPr>
        <w:t>1.1</w:t>
      </w:r>
      <w:r w:rsidRPr="00172688">
        <w:rPr>
          <w:szCs w:val="20"/>
        </w:rPr>
        <w:t xml:space="preserve"> hours=</w:t>
      </w:r>
      <w:r w:rsidR="00CE19AE">
        <w:rPr>
          <w:szCs w:val="20"/>
        </w:rPr>
        <w:t>66</w:t>
      </w:r>
      <w:r w:rsidRPr="00172688">
        <w:rPr>
          <w:szCs w:val="20"/>
        </w:rPr>
        <w:t xml:space="preserve"> total hours times $3</w:t>
      </w:r>
      <w:r w:rsidR="0097119E">
        <w:rPr>
          <w:szCs w:val="20"/>
        </w:rPr>
        <w:t>6</w:t>
      </w:r>
      <w:r w:rsidRPr="00172688">
        <w:rPr>
          <w:szCs w:val="20"/>
        </w:rPr>
        <w:t>.</w:t>
      </w:r>
      <w:r w:rsidR="0097119E">
        <w:rPr>
          <w:szCs w:val="20"/>
        </w:rPr>
        <w:t>23</w:t>
      </w:r>
      <w:r w:rsidRPr="00172688">
        <w:rPr>
          <w:szCs w:val="20"/>
        </w:rPr>
        <w:t xml:space="preserve"> per hour = </w:t>
      </w:r>
      <w:r w:rsidR="001A49A1" w:rsidRPr="001A49A1">
        <w:t>$</w:t>
      </w:r>
      <w:r w:rsidR="00CE19AE">
        <w:t>2</w:t>
      </w:r>
      <w:r w:rsidR="001A49A1" w:rsidRPr="001A49A1">
        <w:t>,3</w:t>
      </w:r>
      <w:r w:rsidR="00CE19AE">
        <w:t>91.18</w:t>
      </w:r>
      <w:r w:rsidRPr="00172688">
        <w:rPr>
          <w:szCs w:val="20"/>
        </w:rPr>
        <w:t>)</w:t>
      </w:r>
      <w:r>
        <w:rPr>
          <w:szCs w:val="20"/>
        </w:rPr>
        <w:t xml:space="preserve">. </w:t>
      </w:r>
      <w:r w:rsidRPr="00172688">
        <w:rPr>
          <w:szCs w:val="20"/>
        </w:rPr>
        <w:t xml:space="preserve"> </w:t>
      </w:r>
    </w:p>
    <w:p w:rsidR="00EB65F5" w:rsidRPr="001A1700" w:rsidRDefault="00EB65F5" w:rsidP="001A1700">
      <w:pPr>
        <w:pStyle w:val="PlainText"/>
        <w:rPr>
          <w:rFonts w:ascii="Times New Roman" w:hAnsi="Times New Roman" w:cs="Times New Roman"/>
          <w:sz w:val="24"/>
          <w:szCs w:val="24"/>
        </w:rPr>
      </w:pPr>
    </w:p>
    <w:p w:rsidR="00EC5CAB" w:rsidRDefault="00EB65F5" w:rsidP="00EC5CAB">
      <w:pPr>
        <w:rPr>
          <w:b/>
          <w:bCs/>
        </w:rPr>
      </w:pPr>
      <w:r w:rsidRPr="001A1700">
        <w:rPr>
          <w:b/>
        </w:rPr>
        <w:t xml:space="preserve">13.  </w:t>
      </w:r>
      <w:r w:rsidR="00EC5CAB">
        <w:rPr>
          <w:b/>
          <w:bCs/>
        </w:rPr>
        <w:t>Provide an estimate of the total annual cost burden to respondents or recordkeepers resulting from the collection of information.  (Do not include the cost of any hour burden shown in Items 12 and 14).</w:t>
      </w:r>
    </w:p>
    <w:p w:rsidR="00EC5CAB" w:rsidRDefault="00EC5CAB" w:rsidP="00EC5CAB">
      <w:pPr>
        <w:rPr>
          <w:b/>
          <w:bCs/>
        </w:rPr>
      </w:pPr>
    </w:p>
    <w:p w:rsidR="00EC5CAB" w:rsidRPr="00065F46" w:rsidRDefault="00EC5CAB" w:rsidP="00065F46">
      <w:pPr>
        <w:pStyle w:val="ListParagraph"/>
        <w:numPr>
          <w:ilvl w:val="0"/>
          <w:numId w:val="15"/>
        </w:numPr>
        <w:rPr>
          <w:b/>
          <w:bCs/>
        </w:rPr>
      </w:pPr>
      <w:r w:rsidRPr="00065F46">
        <w:rPr>
          <w:b/>
          <w:bCs/>
        </w:rPr>
        <w:t>The cost estimate should be split into two components: (a) a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the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collection information such as purchasing computers and software; monitoring, sampling, drilling and testing equipment; and record storage facilities.</w:t>
      </w:r>
    </w:p>
    <w:p w:rsidR="00EC5CAB" w:rsidRDefault="00EC5CAB" w:rsidP="00EC5CAB">
      <w:pPr>
        <w:rPr>
          <w:b/>
          <w:bCs/>
        </w:rPr>
      </w:pPr>
    </w:p>
    <w:p w:rsidR="00EC5CAB" w:rsidRDefault="00EC5CAB" w:rsidP="00065F46">
      <w:pPr>
        <w:pStyle w:val="ListParagraph"/>
        <w:numPr>
          <w:ilvl w:val="0"/>
          <w:numId w:val="15"/>
        </w:numPr>
        <w:rPr>
          <w:b/>
          <w:bCs/>
        </w:rPr>
      </w:pPr>
      <w:r w:rsidRPr="00065F46">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C5CAB" w:rsidRPr="00065F46" w:rsidRDefault="00EC5CAB" w:rsidP="00065F46">
      <w:pPr>
        <w:pStyle w:val="ListParagraph"/>
        <w:rPr>
          <w:b/>
          <w:bCs/>
        </w:rPr>
      </w:pPr>
    </w:p>
    <w:p w:rsidR="00EC5CAB" w:rsidRDefault="00EC5CAB" w:rsidP="00065F46">
      <w:pPr>
        <w:pStyle w:val="ListParagraph"/>
        <w:numPr>
          <w:ilvl w:val="0"/>
          <w:numId w:val="15"/>
        </w:numPr>
      </w:pPr>
      <w:r w:rsidRPr="00065F46">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w:t>
      </w:r>
      <w:r w:rsidRPr="00EC5CAB">
        <w:rPr>
          <w:b/>
          <w:bCs/>
        </w:rPr>
        <w:t xml:space="preserve"> (4) as part of customary and usual business or private practices.</w:t>
      </w:r>
    </w:p>
    <w:p w:rsidR="00EB65F5" w:rsidRPr="001A1700" w:rsidRDefault="00EB65F5" w:rsidP="001A1700">
      <w:pPr>
        <w:pStyle w:val="PlainText"/>
        <w:rPr>
          <w:rFonts w:ascii="Times New Roman" w:hAnsi="Times New Roman" w:cs="Times New Roman"/>
          <w:b/>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Pr="001A1700">
        <w:rPr>
          <w:rFonts w:ascii="Times New Roman" w:hAnsi="Times New Roman" w:cs="Times New Roman"/>
          <w:sz w:val="24"/>
          <w:szCs w:val="24"/>
        </w:rPr>
        <w:t xml:space="preserve"> involves no capital start up costs.</w:t>
      </w:r>
    </w:p>
    <w:p w:rsidR="00EB65F5" w:rsidRPr="001A1700" w:rsidRDefault="00EB65F5" w:rsidP="001A1700">
      <w:pPr>
        <w:pStyle w:val="PlainText"/>
        <w:rPr>
          <w:rFonts w:ascii="Times New Roman" w:hAnsi="Times New Roman" w:cs="Times New Roman"/>
          <w:sz w:val="24"/>
          <w:szCs w:val="24"/>
        </w:rPr>
      </w:pPr>
    </w:p>
    <w:p w:rsidR="00EC5CAB" w:rsidRDefault="00EB65F5" w:rsidP="00EC5CAB">
      <w:pPr>
        <w:rPr>
          <w:b/>
          <w:bCs/>
        </w:rPr>
      </w:pPr>
      <w:r w:rsidRPr="001A1700">
        <w:rPr>
          <w:b/>
        </w:rPr>
        <w:t xml:space="preserve">14.  </w:t>
      </w:r>
      <w:r w:rsidR="00EC5CAB">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B65F5" w:rsidRPr="001A1700" w:rsidRDefault="00EB65F5" w:rsidP="001A1700">
      <w:pPr>
        <w:pStyle w:val="PlainText"/>
        <w:rPr>
          <w:rFonts w:ascii="Times New Roman" w:hAnsi="Times New Roman" w:cs="Times New Roman"/>
          <w:b/>
          <w:sz w:val="24"/>
          <w:szCs w:val="24"/>
        </w:rPr>
      </w:pPr>
    </w:p>
    <w:p w:rsidR="00D46434" w:rsidRDefault="00EB65F5" w:rsidP="001A1700">
      <w:pPr>
        <w:pStyle w:val="PlainText"/>
        <w:rPr>
          <w:rFonts w:ascii="Times New Roman" w:hAnsi="Times New Roman" w:cs="Times New Roman"/>
          <w:sz w:val="24"/>
          <w:szCs w:val="24"/>
        </w:rPr>
      </w:pPr>
      <w:r>
        <w:rPr>
          <w:rFonts w:ascii="Times New Roman" w:hAnsi="Times New Roman" w:cs="Times New Roman"/>
          <w:sz w:val="24"/>
          <w:szCs w:val="24"/>
        </w:rPr>
        <w:t>Based on a 3-year period</w:t>
      </w:r>
      <w:r w:rsidRPr="001A1700">
        <w:rPr>
          <w:rFonts w:ascii="Times New Roman" w:hAnsi="Times New Roman" w:cs="Times New Roman"/>
          <w:sz w:val="24"/>
          <w:szCs w:val="24"/>
        </w:rPr>
        <w:t xml:space="preserve">, a GS-13/step 5 wage </w:t>
      </w:r>
      <w:r>
        <w:rPr>
          <w:rFonts w:ascii="Times New Roman" w:hAnsi="Times New Roman" w:cs="Times New Roman"/>
          <w:sz w:val="24"/>
          <w:szCs w:val="24"/>
        </w:rPr>
        <w:t>I</w:t>
      </w:r>
      <w:r w:rsidRPr="001A1700">
        <w:rPr>
          <w:rFonts w:ascii="Times New Roman" w:hAnsi="Times New Roman" w:cs="Times New Roman"/>
          <w:sz w:val="24"/>
          <w:szCs w:val="24"/>
        </w:rPr>
        <w:t xml:space="preserve">nternational </w:t>
      </w:r>
      <w:r>
        <w:rPr>
          <w:rFonts w:ascii="Times New Roman" w:hAnsi="Times New Roman" w:cs="Times New Roman"/>
          <w:sz w:val="24"/>
          <w:szCs w:val="24"/>
        </w:rPr>
        <w:t>E</w:t>
      </w:r>
      <w:r w:rsidRPr="001A1700">
        <w:rPr>
          <w:rFonts w:ascii="Times New Roman" w:hAnsi="Times New Roman" w:cs="Times New Roman"/>
          <w:sz w:val="24"/>
          <w:szCs w:val="24"/>
        </w:rPr>
        <w:t xml:space="preserve">conomist and a </w:t>
      </w:r>
      <w:r>
        <w:rPr>
          <w:rFonts w:ascii="Times New Roman" w:hAnsi="Times New Roman" w:cs="Times New Roman"/>
          <w:sz w:val="24"/>
          <w:szCs w:val="24"/>
        </w:rPr>
        <w:t>B</w:t>
      </w:r>
      <w:r w:rsidRPr="001A1700">
        <w:rPr>
          <w:rFonts w:ascii="Times New Roman" w:hAnsi="Times New Roman" w:cs="Times New Roman"/>
          <w:sz w:val="24"/>
          <w:szCs w:val="24"/>
        </w:rPr>
        <w:t xml:space="preserve">ranch </w:t>
      </w:r>
      <w:r>
        <w:rPr>
          <w:rFonts w:ascii="Times New Roman" w:hAnsi="Times New Roman" w:cs="Times New Roman"/>
          <w:sz w:val="24"/>
          <w:szCs w:val="24"/>
        </w:rPr>
        <w:t>C</w:t>
      </w:r>
      <w:r w:rsidRPr="001A1700">
        <w:rPr>
          <w:rFonts w:ascii="Times New Roman" w:hAnsi="Times New Roman" w:cs="Times New Roman"/>
          <w:sz w:val="24"/>
          <w:szCs w:val="24"/>
        </w:rPr>
        <w:t xml:space="preserve">hief at GS-14/step 5 </w:t>
      </w:r>
      <w:r w:rsidR="00D46434">
        <w:rPr>
          <w:rFonts w:ascii="Times New Roman" w:hAnsi="Times New Roman" w:cs="Times New Roman"/>
          <w:sz w:val="24"/>
          <w:szCs w:val="24"/>
        </w:rPr>
        <w:t xml:space="preserve">managed the specialty sugar </w:t>
      </w:r>
      <w:r w:rsidR="005260AB">
        <w:rPr>
          <w:rFonts w:ascii="Times New Roman" w:hAnsi="Times New Roman" w:cs="Times New Roman"/>
          <w:sz w:val="24"/>
          <w:szCs w:val="24"/>
        </w:rPr>
        <w:t>p</w:t>
      </w:r>
      <w:r w:rsidR="00454E35">
        <w:rPr>
          <w:rFonts w:ascii="Times New Roman" w:hAnsi="Times New Roman" w:cs="Times New Roman"/>
          <w:sz w:val="24"/>
          <w:szCs w:val="24"/>
        </w:rPr>
        <w:t>rogram</w:t>
      </w:r>
      <w:r w:rsidR="00D46434">
        <w:rPr>
          <w:rFonts w:ascii="Times New Roman" w:hAnsi="Times New Roman" w:cs="Times New Roman"/>
          <w:sz w:val="24"/>
          <w:szCs w:val="24"/>
        </w:rPr>
        <w:t>.  In FY 201</w:t>
      </w:r>
      <w:r w:rsidR="0097119E">
        <w:rPr>
          <w:rFonts w:ascii="Times New Roman" w:hAnsi="Times New Roman" w:cs="Times New Roman"/>
          <w:sz w:val="24"/>
          <w:szCs w:val="24"/>
        </w:rPr>
        <w:t>7</w:t>
      </w:r>
      <w:r w:rsidR="00D46434">
        <w:rPr>
          <w:rFonts w:ascii="Times New Roman" w:hAnsi="Times New Roman" w:cs="Times New Roman"/>
          <w:sz w:val="24"/>
          <w:szCs w:val="24"/>
        </w:rPr>
        <w:t xml:space="preserve">, they </w:t>
      </w:r>
      <w:r w:rsidRPr="001A1700">
        <w:rPr>
          <w:rFonts w:ascii="Times New Roman" w:hAnsi="Times New Roman" w:cs="Times New Roman"/>
          <w:sz w:val="24"/>
          <w:szCs w:val="24"/>
        </w:rPr>
        <w:t xml:space="preserve">reviewed </w:t>
      </w:r>
      <w:r w:rsidR="0097119E">
        <w:rPr>
          <w:rFonts w:ascii="Times New Roman" w:hAnsi="Times New Roman" w:cs="Times New Roman"/>
          <w:sz w:val="24"/>
          <w:szCs w:val="24"/>
        </w:rPr>
        <w:t>64</w:t>
      </w:r>
      <w:r w:rsidRPr="001A1700">
        <w:rPr>
          <w:rFonts w:ascii="Times New Roman" w:hAnsi="Times New Roman" w:cs="Times New Roman"/>
          <w:sz w:val="24"/>
          <w:szCs w:val="24"/>
        </w:rPr>
        <w:t xml:space="preserve"> applications and issued </w:t>
      </w:r>
      <w:r w:rsidR="0097119E">
        <w:rPr>
          <w:rFonts w:ascii="Times New Roman" w:hAnsi="Times New Roman" w:cs="Times New Roman"/>
          <w:sz w:val="24"/>
          <w:szCs w:val="24"/>
        </w:rPr>
        <w:t>60</w:t>
      </w:r>
      <w:r w:rsidRPr="001A1700">
        <w:rPr>
          <w:rFonts w:ascii="Times New Roman" w:hAnsi="Times New Roman" w:cs="Times New Roman"/>
          <w:sz w:val="24"/>
          <w:szCs w:val="24"/>
        </w:rPr>
        <w:t xml:space="preserve"> certificates. </w:t>
      </w:r>
      <w:r w:rsidR="00D46434" w:rsidRPr="00D46434">
        <w:rPr>
          <w:rFonts w:ascii="Times New Roman" w:hAnsi="Times New Roman" w:cs="Times New Roman"/>
          <w:sz w:val="24"/>
          <w:szCs w:val="24"/>
        </w:rPr>
        <w:t>Their FY 201</w:t>
      </w:r>
      <w:r w:rsidR="0097119E">
        <w:rPr>
          <w:rFonts w:ascii="Times New Roman" w:hAnsi="Times New Roman" w:cs="Times New Roman"/>
          <w:sz w:val="24"/>
          <w:szCs w:val="24"/>
        </w:rPr>
        <w:t>7</w:t>
      </w:r>
      <w:r w:rsidR="00D46434" w:rsidRPr="00D46434">
        <w:rPr>
          <w:rFonts w:ascii="Times New Roman" w:hAnsi="Times New Roman" w:cs="Times New Roman"/>
          <w:sz w:val="24"/>
          <w:szCs w:val="24"/>
        </w:rPr>
        <w:t xml:space="preserve"> wages totaled </w:t>
      </w:r>
      <w:r w:rsidR="001535AC" w:rsidRPr="001535AC">
        <w:rPr>
          <w:rFonts w:ascii="Times New Roman" w:hAnsi="Times New Roman" w:cs="Times New Roman"/>
          <w:sz w:val="24"/>
          <w:szCs w:val="24"/>
        </w:rPr>
        <w:t>$34,476</w:t>
      </w:r>
      <w:r w:rsidR="00D46434" w:rsidRPr="00D46434">
        <w:rPr>
          <w:rFonts w:ascii="Times New Roman" w:hAnsi="Times New Roman" w:cs="Times New Roman"/>
          <w:sz w:val="24"/>
          <w:szCs w:val="24"/>
        </w:rPr>
        <w:t xml:space="preserve">.  (Attachment 13) </w:t>
      </w:r>
      <w:r w:rsidR="00823436">
        <w:rPr>
          <w:rFonts w:ascii="Times New Roman" w:hAnsi="Times New Roman" w:cs="Times New Roman"/>
          <w:sz w:val="24"/>
          <w:szCs w:val="24"/>
        </w:rPr>
        <w:t xml:space="preserve"> </w:t>
      </w:r>
    </w:p>
    <w:p w:rsidR="00D46434" w:rsidRDefault="00D46434" w:rsidP="001A1700">
      <w:pPr>
        <w:pStyle w:val="PlainText"/>
        <w:rPr>
          <w:rFonts w:ascii="Times New Roman" w:hAnsi="Times New Roman" w:cs="Times New Roman"/>
          <w:sz w:val="24"/>
          <w:szCs w:val="24"/>
        </w:rPr>
      </w:pPr>
    </w:p>
    <w:p w:rsidR="00D90329" w:rsidRDefault="00D90329" w:rsidP="001A1700">
      <w:pPr>
        <w:pStyle w:val="PlainText"/>
        <w:rPr>
          <w:rFonts w:ascii="Times New Roman" w:hAnsi="Times New Roman" w:cs="Times New Roman"/>
          <w:sz w:val="24"/>
          <w:szCs w:val="24"/>
        </w:rPr>
      </w:pPr>
    </w:p>
    <w:p w:rsidR="00053E05" w:rsidRDefault="00053E05" w:rsidP="001A1700">
      <w:pPr>
        <w:pStyle w:val="PlainText"/>
        <w:rPr>
          <w:rFonts w:ascii="Times New Roman" w:hAnsi="Times New Roman" w:cs="Times New Roman"/>
          <w:sz w:val="24"/>
          <w:szCs w:val="24"/>
        </w:rPr>
      </w:pPr>
    </w:p>
    <w:p w:rsidR="00053E05" w:rsidRDefault="00053E0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b/>
          <w:sz w:val="24"/>
          <w:szCs w:val="24"/>
        </w:rPr>
        <w:t xml:space="preserve">15.  </w:t>
      </w:r>
      <w:r w:rsidR="00EC5CAB">
        <w:rPr>
          <w:rFonts w:ascii="Times New Roman" w:hAnsi="Times New Roman"/>
          <w:b/>
          <w:bCs/>
          <w:sz w:val="24"/>
        </w:rPr>
        <w:t>Explain the reasons for any program changes or adjustments reported in Items 13 or 14 of the OMB Form 83–I.</w:t>
      </w:r>
    </w:p>
    <w:p w:rsidR="006D6219" w:rsidRDefault="006D6219" w:rsidP="001A1700">
      <w:pPr>
        <w:pStyle w:val="PlainText"/>
        <w:rPr>
          <w:rFonts w:ascii="Times New Roman" w:hAnsi="Times New Roman" w:cs="Times New Roman"/>
          <w:sz w:val="24"/>
          <w:szCs w:val="24"/>
        </w:rPr>
      </w:pPr>
    </w:p>
    <w:p w:rsidR="00CE19AE" w:rsidRDefault="008D4702" w:rsidP="001A1700">
      <w:pPr>
        <w:pStyle w:val="PlainText"/>
        <w:rPr>
          <w:rFonts w:ascii="Times New Roman" w:hAnsi="Times New Roman" w:cs="Times New Roman"/>
          <w:sz w:val="24"/>
          <w:szCs w:val="24"/>
        </w:rPr>
      </w:pPr>
      <w:r w:rsidRPr="00CE19AE">
        <w:rPr>
          <w:rFonts w:ascii="Times New Roman" w:hAnsi="Times New Roman" w:cs="Times New Roman"/>
          <w:sz w:val="24"/>
          <w:szCs w:val="24"/>
        </w:rPr>
        <w:t xml:space="preserve">There is an adjusted increase of respondents from </w:t>
      </w:r>
      <w:r w:rsidR="006836C9" w:rsidRPr="00CE19AE">
        <w:rPr>
          <w:rFonts w:ascii="Times New Roman" w:hAnsi="Times New Roman" w:cs="Times New Roman"/>
          <w:sz w:val="24"/>
          <w:szCs w:val="24"/>
        </w:rPr>
        <w:t>53</w:t>
      </w:r>
      <w:r w:rsidR="0097119E" w:rsidRPr="00CE19AE">
        <w:rPr>
          <w:rFonts w:ascii="Times New Roman" w:hAnsi="Times New Roman" w:cs="Times New Roman"/>
          <w:sz w:val="24"/>
          <w:szCs w:val="24"/>
        </w:rPr>
        <w:t xml:space="preserve"> to </w:t>
      </w:r>
      <w:r w:rsidR="00730CFC" w:rsidRPr="00CE19AE">
        <w:rPr>
          <w:rFonts w:ascii="Times New Roman" w:hAnsi="Times New Roman" w:cs="Times New Roman"/>
          <w:sz w:val="24"/>
          <w:szCs w:val="24"/>
        </w:rPr>
        <w:t>6</w:t>
      </w:r>
      <w:r w:rsidR="0097119E" w:rsidRPr="00CE19AE">
        <w:rPr>
          <w:rFonts w:ascii="Times New Roman" w:hAnsi="Times New Roman" w:cs="Times New Roman"/>
          <w:sz w:val="24"/>
          <w:szCs w:val="24"/>
        </w:rPr>
        <w:t>0</w:t>
      </w:r>
      <w:r w:rsidRPr="00CE19AE">
        <w:rPr>
          <w:rFonts w:ascii="Times New Roman" w:hAnsi="Times New Roman" w:cs="Times New Roman"/>
          <w:sz w:val="24"/>
          <w:szCs w:val="24"/>
        </w:rPr>
        <w:t xml:space="preserve">, a plus of </w:t>
      </w:r>
      <w:r w:rsidR="0097119E" w:rsidRPr="00CE19AE">
        <w:rPr>
          <w:rFonts w:ascii="Times New Roman" w:hAnsi="Times New Roman" w:cs="Times New Roman"/>
          <w:sz w:val="24"/>
          <w:szCs w:val="24"/>
        </w:rPr>
        <w:t>7</w:t>
      </w:r>
      <w:r w:rsidRPr="00CE19AE">
        <w:rPr>
          <w:rFonts w:ascii="Times New Roman" w:hAnsi="Times New Roman" w:cs="Times New Roman"/>
          <w:sz w:val="24"/>
          <w:szCs w:val="24"/>
        </w:rPr>
        <w:t xml:space="preserve">, and the burden hours </w:t>
      </w:r>
      <w:r w:rsidR="00812050" w:rsidRPr="00CE19AE">
        <w:rPr>
          <w:rFonts w:ascii="Times New Roman" w:hAnsi="Times New Roman" w:cs="Times New Roman"/>
          <w:sz w:val="24"/>
          <w:szCs w:val="24"/>
        </w:rPr>
        <w:t xml:space="preserve">went from 58 to </w:t>
      </w:r>
      <w:r w:rsidR="00CE19AE" w:rsidRPr="00CE19AE">
        <w:rPr>
          <w:rFonts w:ascii="Times New Roman" w:hAnsi="Times New Roman" w:cs="Times New Roman"/>
          <w:sz w:val="24"/>
          <w:szCs w:val="24"/>
        </w:rPr>
        <w:t>66 hours</w:t>
      </w:r>
      <w:r w:rsidR="00CE19AE">
        <w:rPr>
          <w:rFonts w:ascii="Times New Roman" w:hAnsi="Times New Roman" w:cs="Times New Roman"/>
          <w:sz w:val="24"/>
          <w:szCs w:val="24"/>
        </w:rPr>
        <w:t>, a plus of 8 hours</w:t>
      </w:r>
      <w:r w:rsidR="00CE19AE" w:rsidRPr="00CE19AE">
        <w:rPr>
          <w:rFonts w:ascii="Times New Roman" w:hAnsi="Times New Roman" w:cs="Times New Roman"/>
          <w:sz w:val="24"/>
          <w:szCs w:val="24"/>
        </w:rPr>
        <w:t>.</w:t>
      </w:r>
      <w:r w:rsidR="00812050" w:rsidRPr="00CE19AE">
        <w:rPr>
          <w:rFonts w:ascii="Times New Roman" w:hAnsi="Times New Roman" w:cs="Times New Roman"/>
          <w:sz w:val="24"/>
          <w:szCs w:val="24"/>
        </w:rPr>
        <w:t xml:space="preserve"> </w:t>
      </w:r>
      <w:r w:rsidR="00CE19AE" w:rsidRPr="00CE19AE">
        <w:rPr>
          <w:rFonts w:ascii="Times New Roman" w:hAnsi="Times New Roman" w:cs="Times New Roman"/>
          <w:sz w:val="24"/>
          <w:szCs w:val="24"/>
        </w:rPr>
        <w:t xml:space="preserve"> M</w:t>
      </w:r>
      <w:r w:rsidRPr="00CE19AE">
        <w:rPr>
          <w:rFonts w:ascii="Times New Roman" w:hAnsi="Times New Roman" w:cs="Times New Roman"/>
          <w:sz w:val="24"/>
          <w:szCs w:val="24"/>
        </w:rPr>
        <w:t>ore importers requesting letters to permit entry of specialty sugars charged against the TRQ for specialty sugars.</w:t>
      </w:r>
      <w:r w:rsidR="001535AC" w:rsidRPr="00CE19AE">
        <w:rPr>
          <w:rFonts w:ascii="Times New Roman" w:hAnsi="Times New Roman" w:cs="Times New Roman"/>
          <w:sz w:val="24"/>
          <w:szCs w:val="24"/>
        </w:rPr>
        <w:t xml:space="preserve"> </w:t>
      </w:r>
    </w:p>
    <w:p w:rsidR="00EB65F5" w:rsidRPr="001A1700" w:rsidRDefault="001535AC" w:rsidP="001A1700">
      <w:pPr>
        <w:pStyle w:val="PlainText"/>
        <w:rPr>
          <w:rFonts w:ascii="Times New Roman" w:hAnsi="Times New Roman" w:cs="Times New Roman"/>
          <w:sz w:val="24"/>
          <w:szCs w:val="24"/>
        </w:rPr>
      </w:pPr>
      <w:r w:rsidRPr="00CE19AE">
        <w:rPr>
          <w:rFonts w:ascii="Times New Roman" w:hAnsi="Times New Roman" w:cs="Times New Roman"/>
          <w:sz w:val="24"/>
          <w:szCs w:val="24"/>
        </w:rPr>
        <w:t xml:space="preserve"> </w:t>
      </w: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b/>
          <w:sz w:val="24"/>
          <w:szCs w:val="24"/>
        </w:rPr>
        <w:t xml:space="preserve">16.  </w:t>
      </w:r>
      <w:r w:rsidR="00EC5CAB">
        <w:rPr>
          <w:rFonts w:ascii="Times New Roman" w:hAnsi="Times New Roman"/>
          <w:b/>
          <w:bCs/>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22498" w:rsidRDefault="00022498"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Information is published in only aggregate form without revealing business proprietary material.  (Attachment </w:t>
      </w:r>
      <w:r w:rsidR="006836C9">
        <w:rPr>
          <w:rFonts w:ascii="Times New Roman" w:hAnsi="Times New Roman" w:cs="Times New Roman"/>
          <w:sz w:val="24"/>
          <w:szCs w:val="24"/>
        </w:rPr>
        <w:t>1</w:t>
      </w:r>
      <w:r w:rsidR="00295003">
        <w:rPr>
          <w:rFonts w:ascii="Times New Roman" w:hAnsi="Times New Roman" w:cs="Times New Roman"/>
          <w:sz w:val="24"/>
          <w:szCs w:val="24"/>
        </w:rPr>
        <w:t>4</w:t>
      </w:r>
      <w:r w:rsidRPr="001A1700">
        <w:rPr>
          <w:rFonts w:ascii="Times New Roman" w:hAnsi="Times New Roman" w:cs="Times New Roman"/>
          <w:sz w:val="24"/>
          <w:szCs w:val="24"/>
        </w:rPr>
        <w:t xml:space="preserve">) </w:t>
      </w:r>
    </w:p>
    <w:p w:rsidR="00EB65F5" w:rsidRPr="001A1700" w:rsidRDefault="00EB65F5" w:rsidP="001A1700">
      <w:pPr>
        <w:pStyle w:val="PlainText"/>
        <w:rPr>
          <w:rFonts w:ascii="Times New Roman" w:hAnsi="Times New Roman" w:cs="Times New Roman"/>
          <w:sz w:val="24"/>
          <w:szCs w:val="24"/>
        </w:rPr>
      </w:pPr>
    </w:p>
    <w:p w:rsidR="00EC5CAB" w:rsidRDefault="00EB65F5" w:rsidP="00EC5CAB">
      <w:r w:rsidRPr="001A1700">
        <w:rPr>
          <w:b/>
        </w:rPr>
        <w:t xml:space="preserve">17.  </w:t>
      </w:r>
      <w:r w:rsidR="00EC5CAB">
        <w:rPr>
          <w:b/>
          <w:bCs/>
        </w:rPr>
        <w:t>If seeking approval to not display the expiration date for OMB approval of the information collection, explain the reasons that display would be inappropriate.</w:t>
      </w:r>
    </w:p>
    <w:p w:rsidR="00EB65F5" w:rsidRPr="001A1700" w:rsidRDefault="00EB65F5" w:rsidP="001A1700">
      <w:pPr>
        <w:pStyle w:val="PlainText"/>
        <w:rPr>
          <w:rFonts w:ascii="Times New Roman" w:hAnsi="Times New Roman" w:cs="Times New Roman"/>
          <w:b/>
          <w:sz w:val="24"/>
          <w:szCs w:val="24"/>
        </w:rPr>
      </w:pPr>
    </w:p>
    <w:p w:rsidR="00EB65F5" w:rsidRPr="001A1700" w:rsidRDefault="00DC48BD" w:rsidP="001A1700">
      <w:pPr>
        <w:pStyle w:val="PlainText"/>
        <w:rPr>
          <w:rFonts w:ascii="Times New Roman" w:hAnsi="Times New Roman" w:cs="Times New Roman"/>
          <w:sz w:val="24"/>
          <w:szCs w:val="24"/>
        </w:rPr>
      </w:pPr>
      <w:r>
        <w:rPr>
          <w:rFonts w:ascii="Times New Roman" w:hAnsi="Times New Roman" w:cs="Times New Roman"/>
          <w:sz w:val="24"/>
          <w:szCs w:val="24"/>
        </w:rPr>
        <w:t>There are no forms in this collection.</w:t>
      </w:r>
    </w:p>
    <w:p w:rsidR="00EB65F5" w:rsidRPr="001A1700" w:rsidRDefault="00EB65F5" w:rsidP="001A1700">
      <w:pPr>
        <w:pStyle w:val="PlainText"/>
        <w:rPr>
          <w:rFonts w:ascii="Times New Roman" w:hAnsi="Times New Roman" w:cs="Times New Roman"/>
          <w:sz w:val="24"/>
          <w:szCs w:val="24"/>
        </w:rPr>
      </w:pPr>
    </w:p>
    <w:p w:rsidR="00EC5CAB" w:rsidRDefault="00EB65F5" w:rsidP="00EC5CAB">
      <w:pPr>
        <w:rPr>
          <w:b/>
          <w:bCs/>
        </w:rPr>
      </w:pPr>
      <w:r w:rsidRPr="001A1700">
        <w:rPr>
          <w:b/>
        </w:rPr>
        <w:t xml:space="preserve">18.  </w:t>
      </w:r>
      <w:r w:rsidR="00EC5CAB">
        <w:rPr>
          <w:b/>
          <w:bCs/>
        </w:rPr>
        <w:t>Explain each exception to the certification statement identified in Item 19, “Certification for Paperwork Reduction Act Submissions” of OMB Form 83–1.</w:t>
      </w:r>
    </w:p>
    <w:p w:rsidR="009B789B" w:rsidRDefault="009B789B"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There are no exceptions.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B.  COLLECTION OF INFORMATION EMPLOVING STATISTICAL METHODS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collection of data employs no statistical methods.</w:t>
      </w:r>
    </w:p>
    <w:p w:rsidR="00EB65F5" w:rsidRPr="001A1700" w:rsidRDefault="00EB65F5" w:rsidP="001A1700"/>
    <w:sectPr w:rsidR="00EB65F5" w:rsidRPr="001A1700" w:rsidSect="00F208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2D" w:rsidRDefault="00D95F2D" w:rsidP="00D95F2D">
      <w:r>
        <w:separator/>
      </w:r>
    </w:p>
  </w:endnote>
  <w:endnote w:type="continuationSeparator" w:id="0">
    <w:p w:rsidR="00D95F2D" w:rsidRDefault="00D95F2D" w:rsidP="00D9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273425"/>
      <w:docPartObj>
        <w:docPartGallery w:val="Page Numbers (Bottom of Page)"/>
        <w:docPartUnique/>
      </w:docPartObj>
    </w:sdtPr>
    <w:sdtEndPr>
      <w:rPr>
        <w:noProof/>
      </w:rPr>
    </w:sdtEndPr>
    <w:sdtContent>
      <w:p w:rsidR="00B11118" w:rsidRDefault="00B11118">
        <w:pPr>
          <w:pStyle w:val="Footer"/>
          <w:jc w:val="center"/>
        </w:pPr>
        <w:r>
          <w:fldChar w:fldCharType="begin"/>
        </w:r>
        <w:r>
          <w:instrText xml:space="preserve"> PAGE   \* MERGEFORMAT </w:instrText>
        </w:r>
        <w:r>
          <w:fldChar w:fldCharType="separate"/>
        </w:r>
        <w:r w:rsidR="00BD5879">
          <w:rPr>
            <w:noProof/>
          </w:rPr>
          <w:t>1</w:t>
        </w:r>
        <w:r>
          <w:rPr>
            <w:noProof/>
          </w:rPr>
          <w:fldChar w:fldCharType="end"/>
        </w:r>
      </w:p>
    </w:sdtContent>
  </w:sdt>
  <w:p w:rsidR="00B11118" w:rsidRDefault="00B11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2D" w:rsidRDefault="00D95F2D" w:rsidP="00D95F2D">
      <w:r>
        <w:separator/>
      </w:r>
    </w:p>
  </w:footnote>
  <w:footnote w:type="continuationSeparator" w:id="0">
    <w:p w:rsidR="00D95F2D" w:rsidRDefault="00D95F2D" w:rsidP="00D9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2D" w:rsidRDefault="002E1836" w:rsidP="00D95F2D">
    <w:pPr>
      <w:pStyle w:val="Header"/>
      <w:jc w:val="right"/>
    </w:pPr>
    <w:r>
      <w:t xml:space="preserve">Paperwork Reduction Act Submission </w:t>
    </w:r>
    <w:r w:rsidR="00D95F2D">
      <w:t xml:space="preserve">OMB </w:t>
    </w:r>
    <w:r>
      <w:t>#</w:t>
    </w:r>
    <w:r w:rsidR="00D95F2D">
      <w:t xml:space="preserve"> 0551-0025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C6C"/>
    <w:multiLevelType w:val="multilevel"/>
    <w:tmpl w:val="1488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07C9D"/>
    <w:multiLevelType w:val="hybridMultilevel"/>
    <w:tmpl w:val="8840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4023E"/>
    <w:multiLevelType w:val="hybridMultilevel"/>
    <w:tmpl w:val="46023834"/>
    <w:lvl w:ilvl="0" w:tplc="E0B62F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DC5372"/>
    <w:multiLevelType w:val="hybridMultilevel"/>
    <w:tmpl w:val="076A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74777"/>
    <w:multiLevelType w:val="hybridMultilevel"/>
    <w:tmpl w:val="D0501086"/>
    <w:lvl w:ilvl="0" w:tplc="4022B3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1BA7C44"/>
    <w:multiLevelType w:val="hybridMultilevel"/>
    <w:tmpl w:val="34D4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AC19AC"/>
    <w:multiLevelType w:val="hybridMultilevel"/>
    <w:tmpl w:val="C570D306"/>
    <w:lvl w:ilvl="0" w:tplc="FCCA74B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89605EE"/>
    <w:multiLevelType w:val="hybridMultilevel"/>
    <w:tmpl w:val="5F58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986181"/>
    <w:multiLevelType w:val="hybridMultilevel"/>
    <w:tmpl w:val="8862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23FA3"/>
    <w:multiLevelType w:val="hybridMultilevel"/>
    <w:tmpl w:val="BA1C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65319"/>
    <w:multiLevelType w:val="hybridMultilevel"/>
    <w:tmpl w:val="F6E0972E"/>
    <w:lvl w:ilvl="0" w:tplc="C0FAB3D2">
      <w:start w:val="1"/>
      <w:numFmt w:val="decimal"/>
      <w:lvlText w:val="(%1)"/>
      <w:lvlJc w:val="left"/>
      <w:pPr>
        <w:tabs>
          <w:tab w:val="num" w:pos="808"/>
        </w:tabs>
        <w:ind w:left="808" w:hanging="540"/>
      </w:pPr>
      <w:rPr>
        <w:rFonts w:cs="Times New Roman" w:hint="default"/>
      </w:rPr>
    </w:lvl>
    <w:lvl w:ilvl="1" w:tplc="04090019" w:tentative="1">
      <w:start w:val="1"/>
      <w:numFmt w:val="lowerLetter"/>
      <w:lvlText w:val="%2."/>
      <w:lvlJc w:val="left"/>
      <w:pPr>
        <w:tabs>
          <w:tab w:val="num" w:pos="1348"/>
        </w:tabs>
        <w:ind w:left="1348" w:hanging="360"/>
      </w:pPr>
      <w:rPr>
        <w:rFonts w:cs="Times New Roman"/>
      </w:rPr>
    </w:lvl>
    <w:lvl w:ilvl="2" w:tplc="0409001B" w:tentative="1">
      <w:start w:val="1"/>
      <w:numFmt w:val="lowerRoman"/>
      <w:lvlText w:val="%3."/>
      <w:lvlJc w:val="right"/>
      <w:pPr>
        <w:tabs>
          <w:tab w:val="num" w:pos="2068"/>
        </w:tabs>
        <w:ind w:left="2068" w:hanging="180"/>
      </w:pPr>
      <w:rPr>
        <w:rFonts w:cs="Times New Roman"/>
      </w:rPr>
    </w:lvl>
    <w:lvl w:ilvl="3" w:tplc="0409000F" w:tentative="1">
      <w:start w:val="1"/>
      <w:numFmt w:val="decimal"/>
      <w:lvlText w:val="%4."/>
      <w:lvlJc w:val="left"/>
      <w:pPr>
        <w:tabs>
          <w:tab w:val="num" w:pos="2788"/>
        </w:tabs>
        <w:ind w:left="2788" w:hanging="360"/>
      </w:pPr>
      <w:rPr>
        <w:rFonts w:cs="Times New Roman"/>
      </w:rPr>
    </w:lvl>
    <w:lvl w:ilvl="4" w:tplc="04090019" w:tentative="1">
      <w:start w:val="1"/>
      <w:numFmt w:val="lowerLetter"/>
      <w:lvlText w:val="%5."/>
      <w:lvlJc w:val="left"/>
      <w:pPr>
        <w:tabs>
          <w:tab w:val="num" w:pos="3508"/>
        </w:tabs>
        <w:ind w:left="3508" w:hanging="360"/>
      </w:pPr>
      <w:rPr>
        <w:rFonts w:cs="Times New Roman"/>
      </w:rPr>
    </w:lvl>
    <w:lvl w:ilvl="5" w:tplc="0409001B" w:tentative="1">
      <w:start w:val="1"/>
      <w:numFmt w:val="lowerRoman"/>
      <w:lvlText w:val="%6."/>
      <w:lvlJc w:val="right"/>
      <w:pPr>
        <w:tabs>
          <w:tab w:val="num" w:pos="4228"/>
        </w:tabs>
        <w:ind w:left="4228" w:hanging="180"/>
      </w:pPr>
      <w:rPr>
        <w:rFonts w:cs="Times New Roman"/>
      </w:rPr>
    </w:lvl>
    <w:lvl w:ilvl="6" w:tplc="0409000F" w:tentative="1">
      <w:start w:val="1"/>
      <w:numFmt w:val="decimal"/>
      <w:lvlText w:val="%7."/>
      <w:lvlJc w:val="left"/>
      <w:pPr>
        <w:tabs>
          <w:tab w:val="num" w:pos="4948"/>
        </w:tabs>
        <w:ind w:left="4948" w:hanging="360"/>
      </w:pPr>
      <w:rPr>
        <w:rFonts w:cs="Times New Roman"/>
      </w:rPr>
    </w:lvl>
    <w:lvl w:ilvl="7" w:tplc="04090019" w:tentative="1">
      <w:start w:val="1"/>
      <w:numFmt w:val="lowerLetter"/>
      <w:lvlText w:val="%8."/>
      <w:lvlJc w:val="left"/>
      <w:pPr>
        <w:tabs>
          <w:tab w:val="num" w:pos="5668"/>
        </w:tabs>
        <w:ind w:left="5668" w:hanging="360"/>
      </w:pPr>
      <w:rPr>
        <w:rFonts w:cs="Times New Roman"/>
      </w:rPr>
    </w:lvl>
    <w:lvl w:ilvl="8" w:tplc="0409001B" w:tentative="1">
      <w:start w:val="1"/>
      <w:numFmt w:val="lowerRoman"/>
      <w:lvlText w:val="%9."/>
      <w:lvlJc w:val="right"/>
      <w:pPr>
        <w:tabs>
          <w:tab w:val="num" w:pos="6388"/>
        </w:tabs>
        <w:ind w:left="6388" w:hanging="180"/>
      </w:pPr>
      <w:rPr>
        <w:rFonts w:cs="Times New Roman"/>
      </w:rPr>
    </w:lvl>
  </w:abstractNum>
  <w:abstractNum w:abstractNumId="11">
    <w:nsid w:val="59846919"/>
    <w:multiLevelType w:val="hybridMultilevel"/>
    <w:tmpl w:val="C8D29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7F02B8"/>
    <w:multiLevelType w:val="hybridMultilevel"/>
    <w:tmpl w:val="0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47FEE"/>
    <w:multiLevelType w:val="hybridMultilevel"/>
    <w:tmpl w:val="9F3A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A52E09"/>
    <w:multiLevelType w:val="hybridMultilevel"/>
    <w:tmpl w:val="ACC0AC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2"/>
  </w:num>
  <w:num w:numId="4">
    <w:abstractNumId w:val="6"/>
  </w:num>
  <w:num w:numId="5">
    <w:abstractNumId w:val="10"/>
  </w:num>
  <w:num w:numId="6">
    <w:abstractNumId w:val="0"/>
  </w:num>
  <w:num w:numId="7">
    <w:abstractNumId w:val="3"/>
  </w:num>
  <w:num w:numId="8">
    <w:abstractNumId w:val="11"/>
  </w:num>
  <w:num w:numId="9">
    <w:abstractNumId w:val="5"/>
  </w:num>
  <w:num w:numId="10">
    <w:abstractNumId w:val="7"/>
  </w:num>
  <w:num w:numId="11">
    <w:abstractNumId w:val="8"/>
  </w:num>
  <w:num w:numId="12">
    <w:abstractNumId w:val="1"/>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00"/>
    <w:rsid w:val="00022498"/>
    <w:rsid w:val="0005064A"/>
    <w:rsid w:val="00053E05"/>
    <w:rsid w:val="00065E2D"/>
    <w:rsid w:val="00065F46"/>
    <w:rsid w:val="00075EB1"/>
    <w:rsid w:val="0008568F"/>
    <w:rsid w:val="00086A0F"/>
    <w:rsid w:val="00094AAF"/>
    <w:rsid w:val="000C5B37"/>
    <w:rsid w:val="000F47F7"/>
    <w:rsid w:val="000F58CE"/>
    <w:rsid w:val="0012170A"/>
    <w:rsid w:val="001535AC"/>
    <w:rsid w:val="00172688"/>
    <w:rsid w:val="001778CB"/>
    <w:rsid w:val="001A1700"/>
    <w:rsid w:val="001A20B2"/>
    <w:rsid w:val="001A49A1"/>
    <w:rsid w:val="001B6EE5"/>
    <w:rsid w:val="001D24F1"/>
    <w:rsid w:val="001D50A5"/>
    <w:rsid w:val="001D5B7F"/>
    <w:rsid w:val="0021132E"/>
    <w:rsid w:val="00280B3A"/>
    <w:rsid w:val="00290506"/>
    <w:rsid w:val="00295003"/>
    <w:rsid w:val="002E1836"/>
    <w:rsid w:val="002F13F9"/>
    <w:rsid w:val="003074A0"/>
    <w:rsid w:val="003077A8"/>
    <w:rsid w:val="00314D17"/>
    <w:rsid w:val="003176A6"/>
    <w:rsid w:val="0034404A"/>
    <w:rsid w:val="00395B68"/>
    <w:rsid w:val="003B08FE"/>
    <w:rsid w:val="003C4334"/>
    <w:rsid w:val="003F6F17"/>
    <w:rsid w:val="00422470"/>
    <w:rsid w:val="00432C3C"/>
    <w:rsid w:val="00447B26"/>
    <w:rsid w:val="00451C7C"/>
    <w:rsid w:val="00454E35"/>
    <w:rsid w:val="004577AE"/>
    <w:rsid w:val="00487318"/>
    <w:rsid w:val="004A31B8"/>
    <w:rsid w:val="004B0E88"/>
    <w:rsid w:val="004B1BD0"/>
    <w:rsid w:val="004D1F0A"/>
    <w:rsid w:val="004E4F03"/>
    <w:rsid w:val="004F0821"/>
    <w:rsid w:val="00524212"/>
    <w:rsid w:val="005260AB"/>
    <w:rsid w:val="00535F28"/>
    <w:rsid w:val="00553ADB"/>
    <w:rsid w:val="005610BA"/>
    <w:rsid w:val="00573042"/>
    <w:rsid w:val="005877AD"/>
    <w:rsid w:val="005C11EE"/>
    <w:rsid w:val="005C18CC"/>
    <w:rsid w:val="005C7AD9"/>
    <w:rsid w:val="006430F6"/>
    <w:rsid w:val="00651803"/>
    <w:rsid w:val="006836C9"/>
    <w:rsid w:val="006B2992"/>
    <w:rsid w:val="006D6219"/>
    <w:rsid w:val="00730CFC"/>
    <w:rsid w:val="00744249"/>
    <w:rsid w:val="0078190E"/>
    <w:rsid w:val="00796171"/>
    <w:rsid w:val="007B0533"/>
    <w:rsid w:val="007B3397"/>
    <w:rsid w:val="007C4662"/>
    <w:rsid w:val="007C5EFB"/>
    <w:rsid w:val="007D6EE4"/>
    <w:rsid w:val="007E1BC4"/>
    <w:rsid w:val="00812050"/>
    <w:rsid w:val="00823436"/>
    <w:rsid w:val="00824C9E"/>
    <w:rsid w:val="00856EC4"/>
    <w:rsid w:val="008579FB"/>
    <w:rsid w:val="008852BD"/>
    <w:rsid w:val="008863F8"/>
    <w:rsid w:val="00892648"/>
    <w:rsid w:val="00894590"/>
    <w:rsid w:val="008A1B94"/>
    <w:rsid w:val="008A6CBD"/>
    <w:rsid w:val="008D4702"/>
    <w:rsid w:val="008D74F8"/>
    <w:rsid w:val="008E203C"/>
    <w:rsid w:val="00916475"/>
    <w:rsid w:val="009224A8"/>
    <w:rsid w:val="00947A16"/>
    <w:rsid w:val="00955F1F"/>
    <w:rsid w:val="0097119E"/>
    <w:rsid w:val="009B789B"/>
    <w:rsid w:val="009D7AFA"/>
    <w:rsid w:val="009E35D9"/>
    <w:rsid w:val="009F1F80"/>
    <w:rsid w:val="00A12336"/>
    <w:rsid w:val="00A464F2"/>
    <w:rsid w:val="00A52024"/>
    <w:rsid w:val="00A66876"/>
    <w:rsid w:val="00A94115"/>
    <w:rsid w:val="00A95DCC"/>
    <w:rsid w:val="00AC1ECC"/>
    <w:rsid w:val="00AC2408"/>
    <w:rsid w:val="00AE59CC"/>
    <w:rsid w:val="00AF6A44"/>
    <w:rsid w:val="00B11118"/>
    <w:rsid w:val="00B15F89"/>
    <w:rsid w:val="00B4297E"/>
    <w:rsid w:val="00BC09A1"/>
    <w:rsid w:val="00BD5879"/>
    <w:rsid w:val="00BD6E29"/>
    <w:rsid w:val="00BD6F8A"/>
    <w:rsid w:val="00C0219C"/>
    <w:rsid w:val="00C14715"/>
    <w:rsid w:val="00C43039"/>
    <w:rsid w:val="00C52C52"/>
    <w:rsid w:val="00C74F1A"/>
    <w:rsid w:val="00C81D93"/>
    <w:rsid w:val="00C955DE"/>
    <w:rsid w:val="00CA0991"/>
    <w:rsid w:val="00CE19AE"/>
    <w:rsid w:val="00CE6E00"/>
    <w:rsid w:val="00CF30D8"/>
    <w:rsid w:val="00D371F5"/>
    <w:rsid w:val="00D46434"/>
    <w:rsid w:val="00D62032"/>
    <w:rsid w:val="00D662A9"/>
    <w:rsid w:val="00D86E84"/>
    <w:rsid w:val="00D90329"/>
    <w:rsid w:val="00D9140C"/>
    <w:rsid w:val="00D955B0"/>
    <w:rsid w:val="00D95F2D"/>
    <w:rsid w:val="00DC48BD"/>
    <w:rsid w:val="00DE1BDC"/>
    <w:rsid w:val="00E03CF6"/>
    <w:rsid w:val="00E20670"/>
    <w:rsid w:val="00E375DF"/>
    <w:rsid w:val="00E405B4"/>
    <w:rsid w:val="00E46212"/>
    <w:rsid w:val="00E87A39"/>
    <w:rsid w:val="00EA59FE"/>
    <w:rsid w:val="00EB38CE"/>
    <w:rsid w:val="00EB65F5"/>
    <w:rsid w:val="00EC5CAB"/>
    <w:rsid w:val="00F00DB3"/>
    <w:rsid w:val="00F208F7"/>
    <w:rsid w:val="00F20E21"/>
    <w:rsid w:val="00F45B03"/>
    <w:rsid w:val="00F62099"/>
    <w:rsid w:val="00F867D0"/>
    <w:rsid w:val="00F91BE1"/>
    <w:rsid w:val="00F97C31"/>
    <w:rsid w:val="00FB3F67"/>
    <w:rsid w:val="00FC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A1700"/>
    <w:rPr>
      <w:rFonts w:ascii="Times New Roman" w:eastAsia="Times New Roman" w:hAnsi="Times New Roman"/>
      <w:sz w:val="24"/>
      <w:szCs w:val="24"/>
    </w:rPr>
  </w:style>
  <w:style w:type="paragraph" w:styleId="Heading2">
    <w:name w:val="heading 2"/>
    <w:basedOn w:val="Normal"/>
    <w:link w:val="Heading2Char"/>
    <w:uiPriority w:val="99"/>
    <w:qFormat/>
    <w:rsid w:val="001A170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A1700"/>
    <w:rPr>
      <w:rFonts w:ascii="Times New Roman" w:hAnsi="Times New Roman" w:cs="Times New Roman"/>
      <w:b/>
      <w:bCs/>
      <w:sz w:val="36"/>
      <w:szCs w:val="36"/>
    </w:rPr>
  </w:style>
  <w:style w:type="paragraph" w:styleId="PlainText">
    <w:name w:val="Plain Text"/>
    <w:basedOn w:val="Normal"/>
    <w:link w:val="PlainTextChar"/>
    <w:uiPriority w:val="99"/>
    <w:rsid w:val="001A1700"/>
    <w:rPr>
      <w:rFonts w:ascii="Courier New" w:hAnsi="Courier New" w:cs="Courier New"/>
      <w:sz w:val="20"/>
      <w:szCs w:val="20"/>
    </w:rPr>
  </w:style>
  <w:style w:type="character" w:customStyle="1" w:styleId="PlainTextChar">
    <w:name w:val="Plain Text Char"/>
    <w:basedOn w:val="DefaultParagraphFont"/>
    <w:link w:val="PlainText"/>
    <w:uiPriority w:val="99"/>
    <w:locked/>
    <w:rsid w:val="001A1700"/>
    <w:rPr>
      <w:rFonts w:ascii="Courier New" w:hAnsi="Courier New" w:cs="Courier New"/>
      <w:sz w:val="20"/>
      <w:szCs w:val="20"/>
    </w:rPr>
  </w:style>
  <w:style w:type="table" w:styleId="TableGrid">
    <w:name w:val="Table Grid"/>
    <w:basedOn w:val="TableNormal"/>
    <w:uiPriority w:val="99"/>
    <w:rsid w:val="001A170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700"/>
    <w:pPr>
      <w:spacing w:before="100" w:beforeAutospacing="1" w:after="100" w:afterAutospacing="1"/>
    </w:pPr>
    <w:rPr>
      <w:rFonts w:ascii="Verdana" w:hAnsi="Verdana"/>
      <w:color w:val="000000"/>
      <w:sz w:val="15"/>
      <w:szCs w:val="15"/>
    </w:rPr>
  </w:style>
  <w:style w:type="paragraph" w:styleId="Footer">
    <w:name w:val="footer"/>
    <w:basedOn w:val="Normal"/>
    <w:link w:val="FooterChar"/>
    <w:uiPriority w:val="99"/>
    <w:rsid w:val="001A1700"/>
    <w:pPr>
      <w:tabs>
        <w:tab w:val="center" w:pos="4320"/>
        <w:tab w:val="right" w:pos="8640"/>
      </w:tabs>
    </w:pPr>
  </w:style>
  <w:style w:type="character" w:customStyle="1" w:styleId="FooterChar">
    <w:name w:val="Footer Char"/>
    <w:basedOn w:val="DefaultParagraphFont"/>
    <w:link w:val="Footer"/>
    <w:uiPriority w:val="99"/>
    <w:locked/>
    <w:rsid w:val="001A1700"/>
    <w:rPr>
      <w:rFonts w:ascii="Times New Roman" w:hAnsi="Times New Roman" w:cs="Times New Roman"/>
      <w:sz w:val="24"/>
      <w:szCs w:val="24"/>
    </w:rPr>
  </w:style>
  <w:style w:type="character" w:styleId="PageNumber">
    <w:name w:val="page number"/>
    <w:basedOn w:val="DefaultParagraphFont"/>
    <w:uiPriority w:val="99"/>
    <w:rsid w:val="001A1700"/>
    <w:rPr>
      <w:rFonts w:cs="Times New Roman"/>
    </w:rPr>
  </w:style>
  <w:style w:type="paragraph" w:styleId="HTMLPreformatted">
    <w:name w:val="HTML Preformatted"/>
    <w:basedOn w:val="Normal"/>
    <w:link w:val="HTMLPreformattedChar"/>
    <w:uiPriority w:val="99"/>
    <w:rsid w:val="001A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A1700"/>
    <w:rPr>
      <w:rFonts w:ascii="Courier New" w:hAnsi="Courier New" w:cs="Courier New"/>
      <w:sz w:val="20"/>
      <w:szCs w:val="20"/>
    </w:rPr>
  </w:style>
  <w:style w:type="character" w:styleId="Strong">
    <w:name w:val="Strong"/>
    <w:basedOn w:val="DefaultParagraphFont"/>
    <w:uiPriority w:val="99"/>
    <w:qFormat/>
    <w:rsid w:val="001A1700"/>
    <w:rPr>
      <w:rFonts w:cs="Times New Roman"/>
      <w:b/>
      <w:bCs/>
    </w:rPr>
  </w:style>
  <w:style w:type="character" w:styleId="Hyperlink">
    <w:name w:val="Hyperlink"/>
    <w:basedOn w:val="DefaultParagraphFont"/>
    <w:uiPriority w:val="99"/>
    <w:rsid w:val="001A1700"/>
    <w:rPr>
      <w:rFonts w:cs="Times New Roman"/>
      <w:color w:val="0000FF"/>
      <w:u w:val="single"/>
    </w:rPr>
  </w:style>
  <w:style w:type="paragraph" w:styleId="BalloonText">
    <w:name w:val="Balloon Text"/>
    <w:basedOn w:val="Normal"/>
    <w:link w:val="BalloonTextChar"/>
    <w:uiPriority w:val="99"/>
    <w:rsid w:val="001A1700"/>
    <w:rPr>
      <w:rFonts w:ascii="Tahoma" w:hAnsi="Tahoma" w:cs="Tahoma"/>
      <w:sz w:val="16"/>
      <w:szCs w:val="16"/>
    </w:rPr>
  </w:style>
  <w:style w:type="character" w:customStyle="1" w:styleId="BalloonTextChar">
    <w:name w:val="Balloon Text Char"/>
    <w:basedOn w:val="DefaultParagraphFont"/>
    <w:link w:val="BalloonText"/>
    <w:uiPriority w:val="99"/>
    <w:locked/>
    <w:rsid w:val="001A1700"/>
    <w:rPr>
      <w:rFonts w:ascii="Tahoma" w:hAnsi="Tahoma" w:cs="Tahoma"/>
      <w:sz w:val="16"/>
      <w:szCs w:val="16"/>
    </w:rPr>
  </w:style>
  <w:style w:type="character" w:styleId="CommentReference">
    <w:name w:val="annotation reference"/>
    <w:basedOn w:val="DefaultParagraphFont"/>
    <w:uiPriority w:val="99"/>
    <w:rsid w:val="001A1700"/>
    <w:rPr>
      <w:rFonts w:cs="Times New Roman"/>
      <w:sz w:val="16"/>
      <w:szCs w:val="16"/>
    </w:rPr>
  </w:style>
  <w:style w:type="paragraph" w:styleId="CommentText">
    <w:name w:val="annotation text"/>
    <w:basedOn w:val="Normal"/>
    <w:link w:val="CommentTextChar"/>
    <w:uiPriority w:val="99"/>
    <w:rsid w:val="001A1700"/>
    <w:rPr>
      <w:sz w:val="20"/>
      <w:szCs w:val="20"/>
    </w:rPr>
  </w:style>
  <w:style w:type="character" w:customStyle="1" w:styleId="CommentTextChar">
    <w:name w:val="Comment Text Char"/>
    <w:basedOn w:val="DefaultParagraphFont"/>
    <w:link w:val="CommentText"/>
    <w:uiPriority w:val="99"/>
    <w:locked/>
    <w:rsid w:val="001A17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A1700"/>
    <w:rPr>
      <w:b/>
      <w:bCs/>
    </w:rPr>
  </w:style>
  <w:style w:type="character" w:customStyle="1" w:styleId="CommentSubjectChar">
    <w:name w:val="Comment Subject Char"/>
    <w:basedOn w:val="CommentTextChar"/>
    <w:link w:val="CommentSubject"/>
    <w:uiPriority w:val="99"/>
    <w:locked/>
    <w:rsid w:val="001A1700"/>
    <w:rPr>
      <w:rFonts w:ascii="Times New Roman" w:hAnsi="Times New Roman" w:cs="Times New Roman"/>
      <w:b/>
      <w:bCs/>
      <w:sz w:val="20"/>
      <w:szCs w:val="20"/>
    </w:rPr>
  </w:style>
  <w:style w:type="paragraph" w:styleId="Header">
    <w:name w:val="header"/>
    <w:basedOn w:val="Normal"/>
    <w:link w:val="HeaderChar"/>
    <w:uiPriority w:val="99"/>
    <w:rsid w:val="001A1700"/>
    <w:pPr>
      <w:tabs>
        <w:tab w:val="center" w:pos="4680"/>
        <w:tab w:val="right" w:pos="9360"/>
      </w:tabs>
    </w:pPr>
  </w:style>
  <w:style w:type="character" w:customStyle="1" w:styleId="HeaderChar">
    <w:name w:val="Header Char"/>
    <w:basedOn w:val="DefaultParagraphFont"/>
    <w:link w:val="Header"/>
    <w:uiPriority w:val="99"/>
    <w:locked/>
    <w:rsid w:val="001A1700"/>
    <w:rPr>
      <w:rFonts w:ascii="Times New Roman" w:hAnsi="Times New Roman" w:cs="Times New Roman"/>
      <w:sz w:val="24"/>
      <w:szCs w:val="24"/>
    </w:rPr>
  </w:style>
  <w:style w:type="paragraph" w:styleId="ListParagraph">
    <w:name w:val="List Paragraph"/>
    <w:basedOn w:val="Normal"/>
    <w:uiPriority w:val="99"/>
    <w:qFormat/>
    <w:rsid w:val="007B3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A1700"/>
    <w:rPr>
      <w:rFonts w:ascii="Times New Roman" w:eastAsia="Times New Roman" w:hAnsi="Times New Roman"/>
      <w:sz w:val="24"/>
      <w:szCs w:val="24"/>
    </w:rPr>
  </w:style>
  <w:style w:type="paragraph" w:styleId="Heading2">
    <w:name w:val="heading 2"/>
    <w:basedOn w:val="Normal"/>
    <w:link w:val="Heading2Char"/>
    <w:uiPriority w:val="99"/>
    <w:qFormat/>
    <w:rsid w:val="001A170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A1700"/>
    <w:rPr>
      <w:rFonts w:ascii="Times New Roman" w:hAnsi="Times New Roman" w:cs="Times New Roman"/>
      <w:b/>
      <w:bCs/>
      <w:sz w:val="36"/>
      <w:szCs w:val="36"/>
    </w:rPr>
  </w:style>
  <w:style w:type="paragraph" w:styleId="PlainText">
    <w:name w:val="Plain Text"/>
    <w:basedOn w:val="Normal"/>
    <w:link w:val="PlainTextChar"/>
    <w:uiPriority w:val="99"/>
    <w:rsid w:val="001A1700"/>
    <w:rPr>
      <w:rFonts w:ascii="Courier New" w:hAnsi="Courier New" w:cs="Courier New"/>
      <w:sz w:val="20"/>
      <w:szCs w:val="20"/>
    </w:rPr>
  </w:style>
  <w:style w:type="character" w:customStyle="1" w:styleId="PlainTextChar">
    <w:name w:val="Plain Text Char"/>
    <w:basedOn w:val="DefaultParagraphFont"/>
    <w:link w:val="PlainText"/>
    <w:uiPriority w:val="99"/>
    <w:locked/>
    <w:rsid w:val="001A1700"/>
    <w:rPr>
      <w:rFonts w:ascii="Courier New" w:hAnsi="Courier New" w:cs="Courier New"/>
      <w:sz w:val="20"/>
      <w:szCs w:val="20"/>
    </w:rPr>
  </w:style>
  <w:style w:type="table" w:styleId="TableGrid">
    <w:name w:val="Table Grid"/>
    <w:basedOn w:val="TableNormal"/>
    <w:uiPriority w:val="99"/>
    <w:rsid w:val="001A170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700"/>
    <w:pPr>
      <w:spacing w:before="100" w:beforeAutospacing="1" w:after="100" w:afterAutospacing="1"/>
    </w:pPr>
    <w:rPr>
      <w:rFonts w:ascii="Verdana" w:hAnsi="Verdana"/>
      <w:color w:val="000000"/>
      <w:sz w:val="15"/>
      <w:szCs w:val="15"/>
    </w:rPr>
  </w:style>
  <w:style w:type="paragraph" w:styleId="Footer">
    <w:name w:val="footer"/>
    <w:basedOn w:val="Normal"/>
    <w:link w:val="FooterChar"/>
    <w:uiPriority w:val="99"/>
    <w:rsid w:val="001A1700"/>
    <w:pPr>
      <w:tabs>
        <w:tab w:val="center" w:pos="4320"/>
        <w:tab w:val="right" w:pos="8640"/>
      </w:tabs>
    </w:pPr>
  </w:style>
  <w:style w:type="character" w:customStyle="1" w:styleId="FooterChar">
    <w:name w:val="Footer Char"/>
    <w:basedOn w:val="DefaultParagraphFont"/>
    <w:link w:val="Footer"/>
    <w:uiPriority w:val="99"/>
    <w:locked/>
    <w:rsid w:val="001A1700"/>
    <w:rPr>
      <w:rFonts w:ascii="Times New Roman" w:hAnsi="Times New Roman" w:cs="Times New Roman"/>
      <w:sz w:val="24"/>
      <w:szCs w:val="24"/>
    </w:rPr>
  </w:style>
  <w:style w:type="character" w:styleId="PageNumber">
    <w:name w:val="page number"/>
    <w:basedOn w:val="DefaultParagraphFont"/>
    <w:uiPriority w:val="99"/>
    <w:rsid w:val="001A1700"/>
    <w:rPr>
      <w:rFonts w:cs="Times New Roman"/>
    </w:rPr>
  </w:style>
  <w:style w:type="paragraph" w:styleId="HTMLPreformatted">
    <w:name w:val="HTML Preformatted"/>
    <w:basedOn w:val="Normal"/>
    <w:link w:val="HTMLPreformattedChar"/>
    <w:uiPriority w:val="99"/>
    <w:rsid w:val="001A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A1700"/>
    <w:rPr>
      <w:rFonts w:ascii="Courier New" w:hAnsi="Courier New" w:cs="Courier New"/>
      <w:sz w:val="20"/>
      <w:szCs w:val="20"/>
    </w:rPr>
  </w:style>
  <w:style w:type="character" w:styleId="Strong">
    <w:name w:val="Strong"/>
    <w:basedOn w:val="DefaultParagraphFont"/>
    <w:uiPriority w:val="99"/>
    <w:qFormat/>
    <w:rsid w:val="001A1700"/>
    <w:rPr>
      <w:rFonts w:cs="Times New Roman"/>
      <w:b/>
      <w:bCs/>
    </w:rPr>
  </w:style>
  <w:style w:type="character" w:styleId="Hyperlink">
    <w:name w:val="Hyperlink"/>
    <w:basedOn w:val="DefaultParagraphFont"/>
    <w:uiPriority w:val="99"/>
    <w:rsid w:val="001A1700"/>
    <w:rPr>
      <w:rFonts w:cs="Times New Roman"/>
      <w:color w:val="0000FF"/>
      <w:u w:val="single"/>
    </w:rPr>
  </w:style>
  <w:style w:type="paragraph" w:styleId="BalloonText">
    <w:name w:val="Balloon Text"/>
    <w:basedOn w:val="Normal"/>
    <w:link w:val="BalloonTextChar"/>
    <w:uiPriority w:val="99"/>
    <w:rsid w:val="001A1700"/>
    <w:rPr>
      <w:rFonts w:ascii="Tahoma" w:hAnsi="Tahoma" w:cs="Tahoma"/>
      <w:sz w:val="16"/>
      <w:szCs w:val="16"/>
    </w:rPr>
  </w:style>
  <w:style w:type="character" w:customStyle="1" w:styleId="BalloonTextChar">
    <w:name w:val="Balloon Text Char"/>
    <w:basedOn w:val="DefaultParagraphFont"/>
    <w:link w:val="BalloonText"/>
    <w:uiPriority w:val="99"/>
    <w:locked/>
    <w:rsid w:val="001A1700"/>
    <w:rPr>
      <w:rFonts w:ascii="Tahoma" w:hAnsi="Tahoma" w:cs="Tahoma"/>
      <w:sz w:val="16"/>
      <w:szCs w:val="16"/>
    </w:rPr>
  </w:style>
  <w:style w:type="character" w:styleId="CommentReference">
    <w:name w:val="annotation reference"/>
    <w:basedOn w:val="DefaultParagraphFont"/>
    <w:uiPriority w:val="99"/>
    <w:rsid w:val="001A1700"/>
    <w:rPr>
      <w:rFonts w:cs="Times New Roman"/>
      <w:sz w:val="16"/>
      <w:szCs w:val="16"/>
    </w:rPr>
  </w:style>
  <w:style w:type="paragraph" w:styleId="CommentText">
    <w:name w:val="annotation text"/>
    <w:basedOn w:val="Normal"/>
    <w:link w:val="CommentTextChar"/>
    <w:uiPriority w:val="99"/>
    <w:rsid w:val="001A1700"/>
    <w:rPr>
      <w:sz w:val="20"/>
      <w:szCs w:val="20"/>
    </w:rPr>
  </w:style>
  <w:style w:type="character" w:customStyle="1" w:styleId="CommentTextChar">
    <w:name w:val="Comment Text Char"/>
    <w:basedOn w:val="DefaultParagraphFont"/>
    <w:link w:val="CommentText"/>
    <w:uiPriority w:val="99"/>
    <w:locked/>
    <w:rsid w:val="001A17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A1700"/>
    <w:rPr>
      <w:b/>
      <w:bCs/>
    </w:rPr>
  </w:style>
  <w:style w:type="character" w:customStyle="1" w:styleId="CommentSubjectChar">
    <w:name w:val="Comment Subject Char"/>
    <w:basedOn w:val="CommentTextChar"/>
    <w:link w:val="CommentSubject"/>
    <w:uiPriority w:val="99"/>
    <w:locked/>
    <w:rsid w:val="001A1700"/>
    <w:rPr>
      <w:rFonts w:ascii="Times New Roman" w:hAnsi="Times New Roman" w:cs="Times New Roman"/>
      <w:b/>
      <w:bCs/>
      <w:sz w:val="20"/>
      <w:szCs w:val="20"/>
    </w:rPr>
  </w:style>
  <w:style w:type="paragraph" w:styleId="Header">
    <w:name w:val="header"/>
    <w:basedOn w:val="Normal"/>
    <w:link w:val="HeaderChar"/>
    <w:uiPriority w:val="99"/>
    <w:rsid w:val="001A1700"/>
    <w:pPr>
      <w:tabs>
        <w:tab w:val="center" w:pos="4680"/>
        <w:tab w:val="right" w:pos="9360"/>
      </w:tabs>
    </w:pPr>
  </w:style>
  <w:style w:type="character" w:customStyle="1" w:styleId="HeaderChar">
    <w:name w:val="Header Char"/>
    <w:basedOn w:val="DefaultParagraphFont"/>
    <w:link w:val="Header"/>
    <w:uiPriority w:val="99"/>
    <w:locked/>
    <w:rsid w:val="001A1700"/>
    <w:rPr>
      <w:rFonts w:ascii="Times New Roman" w:hAnsi="Times New Roman" w:cs="Times New Roman"/>
      <w:sz w:val="24"/>
      <w:szCs w:val="24"/>
    </w:rPr>
  </w:style>
  <w:style w:type="paragraph" w:styleId="ListParagraph">
    <w:name w:val="List Paragraph"/>
    <w:basedOn w:val="Normal"/>
    <w:uiPriority w:val="99"/>
    <w:qFormat/>
    <w:rsid w:val="007B3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7057">
      <w:bodyDiv w:val="1"/>
      <w:marLeft w:val="0"/>
      <w:marRight w:val="0"/>
      <w:marTop w:val="0"/>
      <w:marBottom w:val="0"/>
      <w:divBdr>
        <w:top w:val="none" w:sz="0" w:space="0" w:color="auto"/>
        <w:left w:val="none" w:sz="0" w:space="0" w:color="auto"/>
        <w:bottom w:val="none" w:sz="0" w:space="0" w:color="auto"/>
        <w:right w:val="none" w:sz="0" w:space="0" w:color="auto"/>
      </w:divBdr>
    </w:div>
    <w:div w:id="718557779">
      <w:bodyDiv w:val="1"/>
      <w:marLeft w:val="0"/>
      <w:marRight w:val="0"/>
      <w:marTop w:val="0"/>
      <w:marBottom w:val="0"/>
      <w:divBdr>
        <w:top w:val="none" w:sz="0" w:space="0" w:color="auto"/>
        <w:left w:val="none" w:sz="0" w:space="0" w:color="auto"/>
        <w:bottom w:val="none" w:sz="0" w:space="0" w:color="auto"/>
        <w:right w:val="none" w:sz="0" w:space="0" w:color="auto"/>
      </w:divBdr>
    </w:div>
    <w:div w:id="1041251250">
      <w:bodyDiv w:val="1"/>
      <w:marLeft w:val="0"/>
      <w:marRight w:val="0"/>
      <w:marTop w:val="0"/>
      <w:marBottom w:val="0"/>
      <w:divBdr>
        <w:top w:val="none" w:sz="0" w:space="0" w:color="auto"/>
        <w:left w:val="none" w:sz="0" w:space="0" w:color="auto"/>
        <w:bottom w:val="none" w:sz="0" w:space="0" w:color="auto"/>
        <w:right w:val="none" w:sz="0" w:space="0" w:color="auto"/>
      </w:divBdr>
    </w:div>
    <w:div w:id="1203325075">
      <w:bodyDiv w:val="1"/>
      <w:marLeft w:val="0"/>
      <w:marRight w:val="0"/>
      <w:marTop w:val="0"/>
      <w:marBottom w:val="0"/>
      <w:divBdr>
        <w:top w:val="none" w:sz="0" w:space="0" w:color="auto"/>
        <w:left w:val="none" w:sz="0" w:space="0" w:color="auto"/>
        <w:bottom w:val="none" w:sz="0" w:space="0" w:color="auto"/>
        <w:right w:val="none" w:sz="0" w:space="0" w:color="auto"/>
      </w:divBdr>
    </w:div>
    <w:div w:id="1577087610">
      <w:bodyDiv w:val="1"/>
      <w:marLeft w:val="0"/>
      <w:marRight w:val="0"/>
      <w:marTop w:val="0"/>
      <w:marBottom w:val="0"/>
      <w:divBdr>
        <w:top w:val="none" w:sz="0" w:space="0" w:color="auto"/>
        <w:left w:val="none" w:sz="0" w:space="0" w:color="auto"/>
        <w:bottom w:val="none" w:sz="0" w:space="0" w:color="auto"/>
        <w:right w:val="none" w:sz="0" w:space="0" w:color="auto"/>
      </w:divBdr>
    </w:div>
    <w:div w:id="1613241051">
      <w:bodyDiv w:val="1"/>
      <w:marLeft w:val="0"/>
      <w:marRight w:val="0"/>
      <w:marTop w:val="0"/>
      <w:marBottom w:val="0"/>
      <w:divBdr>
        <w:top w:val="none" w:sz="0" w:space="0" w:color="auto"/>
        <w:left w:val="none" w:sz="0" w:space="0" w:color="auto"/>
        <w:bottom w:val="none" w:sz="0" w:space="0" w:color="auto"/>
        <w:right w:val="none" w:sz="0" w:space="0" w:color="auto"/>
      </w:divBdr>
    </w:div>
    <w:div w:id="19941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3870</Words>
  <Characters>22060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Thompsont</dc:creator>
  <cp:lastModifiedBy>SYSTEM</cp:lastModifiedBy>
  <cp:revision>2</cp:revision>
  <cp:lastPrinted>2018-06-11T18:20:00Z</cp:lastPrinted>
  <dcterms:created xsi:type="dcterms:W3CDTF">2018-06-20T13:31:00Z</dcterms:created>
  <dcterms:modified xsi:type="dcterms:W3CDTF">2018-06-20T13:31:00Z</dcterms:modified>
</cp:coreProperties>
</file>