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FF3" w:rsidRDefault="00685AF6">
      <w:pPr>
        <w:spacing w:before="80"/>
        <w:ind w:left="3088"/>
        <w:rPr>
          <w:rFonts w:ascii="Arial"/>
          <w:b/>
        </w:rPr>
      </w:pPr>
      <w:bookmarkStart w:id="0" w:name="_GoBack"/>
      <w:bookmarkEnd w:id="0"/>
      <w:r>
        <w:rPr>
          <w:rFonts w:ascii="Arial"/>
          <w:b/>
        </w:rPr>
        <w:t>SUPPORTING STATEMENT FOR</w:t>
      </w:r>
    </w:p>
    <w:p w:rsidR="00766FF3" w:rsidRDefault="00766FF3">
      <w:pPr>
        <w:pStyle w:val="BodyText"/>
        <w:rPr>
          <w:rFonts w:ascii="Arial"/>
          <w:b/>
        </w:rPr>
      </w:pPr>
    </w:p>
    <w:p w:rsidR="00766FF3" w:rsidRDefault="00766FF3">
      <w:pPr>
        <w:pStyle w:val="BodyText"/>
        <w:spacing w:before="8"/>
        <w:rPr>
          <w:rFonts w:ascii="Arial"/>
          <w:b/>
          <w:sz w:val="19"/>
        </w:rPr>
      </w:pPr>
    </w:p>
    <w:p w:rsidR="00766FF3" w:rsidRDefault="00685AF6">
      <w:pPr>
        <w:ind w:left="2055" w:right="2001" w:firstLine="140"/>
        <w:rPr>
          <w:rFonts w:ascii="Arial" w:hAnsi="Arial"/>
        </w:rPr>
      </w:pPr>
      <w:r>
        <w:rPr>
          <w:rFonts w:ascii="Arial" w:hAnsi="Arial"/>
        </w:rPr>
        <w:t xml:space="preserve">“Administrative Review Requirements – Food Retailers and Wholesalers Data Collection, </w:t>
      </w:r>
      <w:r>
        <w:rPr>
          <w:sz w:val="24"/>
        </w:rPr>
        <w:t>OMB No. 0584-0520</w:t>
      </w:r>
      <w:r>
        <w:rPr>
          <w:rFonts w:ascii="Arial" w:hAnsi="Arial"/>
        </w:rPr>
        <w:t>”</w:t>
      </w:r>
    </w:p>
    <w:p w:rsidR="00766FF3" w:rsidRDefault="00766FF3">
      <w:pPr>
        <w:pStyle w:val="BodyText"/>
        <w:rPr>
          <w:rFonts w:ascii="Arial"/>
          <w:sz w:val="26"/>
        </w:rPr>
      </w:pPr>
    </w:p>
    <w:p w:rsidR="00766FF3" w:rsidRDefault="00766FF3">
      <w:pPr>
        <w:pStyle w:val="BodyText"/>
        <w:rPr>
          <w:rFonts w:ascii="Arial"/>
          <w:sz w:val="26"/>
        </w:rPr>
      </w:pPr>
    </w:p>
    <w:p w:rsidR="00766FF3" w:rsidRDefault="00766FF3">
      <w:pPr>
        <w:pStyle w:val="BodyText"/>
        <w:rPr>
          <w:rFonts w:ascii="Arial"/>
          <w:sz w:val="26"/>
        </w:rPr>
      </w:pPr>
    </w:p>
    <w:p w:rsidR="00766FF3" w:rsidRDefault="00766FF3">
      <w:pPr>
        <w:pStyle w:val="BodyText"/>
        <w:rPr>
          <w:rFonts w:ascii="Arial"/>
          <w:sz w:val="26"/>
        </w:rPr>
      </w:pPr>
    </w:p>
    <w:p w:rsidR="00766FF3" w:rsidRDefault="00F94932">
      <w:pPr>
        <w:spacing w:before="221"/>
        <w:ind w:left="1237" w:right="1237"/>
        <w:jc w:val="center"/>
        <w:rPr>
          <w:rFonts w:ascii="Arial"/>
        </w:rPr>
      </w:pPr>
      <w:r>
        <w:rPr>
          <w:rFonts w:ascii="Arial"/>
        </w:rPr>
        <w:t>Monique Brooks</w:t>
      </w:r>
      <w:r w:rsidR="00685AF6">
        <w:rPr>
          <w:rFonts w:ascii="Arial"/>
        </w:rPr>
        <w:t xml:space="preserve">, </w:t>
      </w:r>
      <w:r>
        <w:rPr>
          <w:rFonts w:ascii="Arial"/>
        </w:rPr>
        <w:t>Administrative Review Officer</w:t>
      </w:r>
    </w:p>
    <w:p w:rsidR="00766FF3" w:rsidRDefault="00F94932">
      <w:pPr>
        <w:spacing w:before="126" w:line="360" w:lineRule="auto"/>
        <w:ind w:left="1238" w:right="1237"/>
        <w:jc w:val="center"/>
        <w:rPr>
          <w:rFonts w:ascii="Arial"/>
        </w:rPr>
      </w:pPr>
      <w:r>
        <w:rPr>
          <w:rFonts w:ascii="Arial"/>
        </w:rPr>
        <w:t>Administrative Review Branch</w:t>
      </w:r>
      <w:r w:rsidR="00685AF6">
        <w:rPr>
          <w:rFonts w:ascii="Arial"/>
        </w:rPr>
        <w:t>/Retailer Policy and Management Division Supplemental Nutrition Assistance Program</w:t>
      </w:r>
    </w:p>
    <w:p w:rsidR="00766FF3" w:rsidRDefault="00685AF6">
      <w:pPr>
        <w:spacing w:before="1" w:line="360" w:lineRule="auto"/>
        <w:ind w:left="3140" w:right="3142"/>
        <w:jc w:val="center"/>
        <w:rPr>
          <w:rFonts w:ascii="Arial"/>
        </w:rPr>
      </w:pPr>
      <w:r>
        <w:rPr>
          <w:rFonts w:ascii="Arial"/>
        </w:rPr>
        <w:t>Food and Nutrition Service/USDA Park Center Building, Room 426 31</w:t>
      </w:r>
      <w:r w:rsidR="00F94932">
        <w:rPr>
          <w:rFonts w:ascii="Arial"/>
        </w:rPr>
        <w:t>01</w:t>
      </w:r>
      <w:r>
        <w:rPr>
          <w:rFonts w:ascii="Arial"/>
        </w:rPr>
        <w:t xml:space="preserve"> Park Center Drive Alexandria, VA</w:t>
      </w:r>
      <w:r>
        <w:rPr>
          <w:rFonts w:ascii="Arial"/>
          <w:spacing w:val="58"/>
        </w:rPr>
        <w:t xml:space="preserve"> </w:t>
      </w:r>
      <w:r>
        <w:rPr>
          <w:rFonts w:ascii="Arial"/>
        </w:rPr>
        <w:t>22306</w:t>
      </w:r>
    </w:p>
    <w:p w:rsidR="00766FF3" w:rsidRDefault="00685AF6">
      <w:pPr>
        <w:spacing w:line="252" w:lineRule="exact"/>
        <w:ind w:left="1236" w:right="1237"/>
        <w:jc w:val="center"/>
        <w:rPr>
          <w:rFonts w:ascii="Arial"/>
        </w:rPr>
      </w:pPr>
      <w:r>
        <w:rPr>
          <w:rFonts w:ascii="Arial"/>
        </w:rPr>
        <w:t>(703) 305-</w:t>
      </w:r>
      <w:r w:rsidR="00F94932">
        <w:rPr>
          <w:rFonts w:ascii="Arial"/>
        </w:rPr>
        <w:t>2238</w:t>
      </w:r>
    </w:p>
    <w:p w:rsidR="00766FF3" w:rsidRDefault="00F94932">
      <w:pPr>
        <w:spacing w:before="127"/>
        <w:ind w:left="1237" w:right="1237"/>
        <w:jc w:val="center"/>
        <w:rPr>
          <w:rFonts w:ascii="Arial"/>
        </w:rPr>
      </w:pPr>
      <w:r>
        <w:rPr>
          <w:rFonts w:ascii="Arial"/>
        </w:rPr>
        <w:t>FAX (703) 305-2821</w:t>
      </w:r>
    </w:p>
    <w:p w:rsidR="00766FF3" w:rsidRDefault="00685AF6">
      <w:pPr>
        <w:spacing w:before="126"/>
        <w:ind w:left="1237" w:right="1237"/>
        <w:jc w:val="center"/>
        <w:rPr>
          <w:rFonts w:ascii="Arial"/>
        </w:rPr>
      </w:pPr>
      <w:r>
        <w:rPr>
          <w:rFonts w:ascii="Arial"/>
        </w:rPr>
        <w:t xml:space="preserve">E-Mail: </w:t>
      </w:r>
      <w:hyperlink r:id="rId9" w:history="1">
        <w:r w:rsidR="00080546" w:rsidRPr="00C97B9B">
          <w:rPr>
            <w:rStyle w:val="Hyperlink"/>
            <w:rFonts w:ascii="Arial"/>
          </w:rPr>
          <w:t>Monique.Brooks@fns.usda.gov</w:t>
        </w:r>
      </w:hyperlink>
    </w:p>
    <w:p w:rsidR="00766FF3" w:rsidRDefault="00766FF3">
      <w:pPr>
        <w:jc w:val="center"/>
        <w:rPr>
          <w:rFonts w:ascii="Arial"/>
        </w:rPr>
        <w:sectPr w:rsidR="00766FF3">
          <w:footerReference w:type="default" r:id="rId10"/>
          <w:type w:val="continuous"/>
          <w:pgSz w:w="12240" w:h="15840"/>
          <w:pgMar w:top="1360" w:right="1340" w:bottom="1260" w:left="1340" w:header="720" w:footer="1065" w:gutter="0"/>
          <w:pgNumType w:start="1"/>
          <w:cols w:space="720"/>
        </w:sectPr>
      </w:pPr>
    </w:p>
    <w:p w:rsidR="00766FF3" w:rsidRDefault="00766FF3">
      <w:pPr>
        <w:pStyle w:val="BodyText"/>
        <w:rPr>
          <w:rFonts w:ascii="Arial"/>
          <w:sz w:val="20"/>
        </w:rPr>
      </w:pPr>
    </w:p>
    <w:p w:rsidR="00766FF3" w:rsidRDefault="00685AF6">
      <w:pPr>
        <w:spacing w:before="261"/>
        <w:ind w:left="460"/>
        <w:rPr>
          <w:rFonts w:ascii="Arial"/>
          <w:b/>
          <w:sz w:val="28"/>
        </w:rPr>
      </w:pPr>
      <w:r>
        <w:rPr>
          <w:rFonts w:ascii="Arial"/>
          <w:b/>
          <w:sz w:val="28"/>
        </w:rPr>
        <w:t>Table of Contents</w:t>
      </w:r>
    </w:p>
    <w:p w:rsidR="00766FF3" w:rsidRDefault="00685AF6">
      <w:pPr>
        <w:tabs>
          <w:tab w:val="right" w:leader="dot" w:pos="9450"/>
        </w:tabs>
        <w:spacing w:before="682"/>
        <w:ind w:left="460"/>
        <w:rPr>
          <w:b/>
        </w:rPr>
      </w:pPr>
      <w:r>
        <w:rPr>
          <w:b/>
        </w:rPr>
        <w:t>Part</w:t>
      </w:r>
      <w:r>
        <w:rPr>
          <w:b/>
          <w:spacing w:val="-1"/>
        </w:rPr>
        <w:t xml:space="preserve"> </w:t>
      </w:r>
      <w:r>
        <w:rPr>
          <w:b/>
        </w:rPr>
        <w:t>A</w:t>
      </w:r>
      <w:r>
        <w:rPr>
          <w:b/>
          <w:spacing w:val="53"/>
        </w:rPr>
        <w:t xml:space="preserve"> </w:t>
      </w:r>
      <w:r>
        <w:rPr>
          <w:b/>
        </w:rPr>
        <w:t>Justification</w:t>
      </w:r>
      <w:r>
        <w:rPr>
          <w:b/>
        </w:rPr>
        <w:tab/>
      </w:r>
      <w:r w:rsidRPr="00E1748E">
        <w:t>3</w:t>
      </w:r>
    </w:p>
    <w:p w:rsidR="00766FF3" w:rsidRDefault="00685AF6">
      <w:pPr>
        <w:pStyle w:val="ListParagraph"/>
        <w:numPr>
          <w:ilvl w:val="1"/>
          <w:numId w:val="4"/>
        </w:numPr>
        <w:tabs>
          <w:tab w:val="left" w:pos="1611"/>
          <w:tab w:val="left" w:pos="1612"/>
          <w:tab w:val="right" w:leader="dot" w:pos="9449"/>
        </w:tabs>
        <w:spacing w:before="23"/>
      </w:pPr>
      <w:r>
        <w:t>Explanation of Circumstances That Make Collection of</w:t>
      </w:r>
      <w:r>
        <w:rPr>
          <w:spacing w:val="-9"/>
        </w:rPr>
        <w:t xml:space="preserve"> </w:t>
      </w:r>
      <w:r>
        <w:t>Data</w:t>
      </w:r>
      <w:r>
        <w:rPr>
          <w:spacing w:val="-2"/>
        </w:rPr>
        <w:t xml:space="preserve"> </w:t>
      </w:r>
      <w:r>
        <w:t>Necessary</w:t>
      </w:r>
      <w:r>
        <w:tab/>
        <w:t>3</w:t>
      </w:r>
    </w:p>
    <w:p w:rsidR="00766FF3" w:rsidRDefault="00685AF6">
      <w:pPr>
        <w:pStyle w:val="ListParagraph"/>
        <w:numPr>
          <w:ilvl w:val="1"/>
          <w:numId w:val="4"/>
        </w:numPr>
        <w:tabs>
          <w:tab w:val="left" w:pos="1611"/>
          <w:tab w:val="left" w:pos="1612"/>
          <w:tab w:val="right" w:leader="dot" w:pos="9450"/>
        </w:tabs>
      </w:pPr>
      <w:r>
        <w:t>How the Information Will Be Used, By Whom, and For</w:t>
      </w:r>
      <w:r>
        <w:rPr>
          <w:spacing w:val="-9"/>
        </w:rPr>
        <w:t xml:space="preserve"> </w:t>
      </w:r>
      <w:r>
        <w:t>What</w:t>
      </w:r>
      <w:r>
        <w:rPr>
          <w:spacing w:val="-1"/>
        </w:rPr>
        <w:t xml:space="preserve"> </w:t>
      </w:r>
      <w:r>
        <w:t>Purpose</w:t>
      </w:r>
      <w:r>
        <w:tab/>
      </w:r>
      <w:r w:rsidR="00235DCB">
        <w:t>3</w:t>
      </w:r>
    </w:p>
    <w:p w:rsidR="00766FF3" w:rsidRDefault="00685AF6">
      <w:pPr>
        <w:pStyle w:val="ListParagraph"/>
        <w:numPr>
          <w:ilvl w:val="1"/>
          <w:numId w:val="4"/>
        </w:numPr>
        <w:tabs>
          <w:tab w:val="left" w:pos="1611"/>
          <w:tab w:val="left" w:pos="1612"/>
          <w:tab w:val="right" w:leader="dot" w:pos="9449"/>
        </w:tabs>
        <w:spacing w:before="26"/>
      </w:pPr>
      <w:r>
        <w:t>Use of Improved Information Technology to</w:t>
      </w:r>
      <w:r>
        <w:rPr>
          <w:spacing w:val="-4"/>
        </w:rPr>
        <w:t xml:space="preserve"> </w:t>
      </w:r>
      <w:r>
        <w:t>Reduce</w:t>
      </w:r>
      <w:r>
        <w:rPr>
          <w:spacing w:val="-3"/>
        </w:rPr>
        <w:t xml:space="preserve"> </w:t>
      </w:r>
      <w:r>
        <w:t>Burden</w:t>
      </w:r>
      <w:r>
        <w:tab/>
        <w:t>4</w:t>
      </w:r>
    </w:p>
    <w:p w:rsidR="00766FF3" w:rsidRDefault="00685AF6">
      <w:pPr>
        <w:pStyle w:val="ListParagraph"/>
        <w:numPr>
          <w:ilvl w:val="1"/>
          <w:numId w:val="4"/>
        </w:numPr>
        <w:tabs>
          <w:tab w:val="left" w:pos="1611"/>
          <w:tab w:val="left" w:pos="1612"/>
          <w:tab w:val="right" w:leader="dot" w:pos="9450"/>
        </w:tabs>
      </w:pPr>
      <w:r>
        <w:t>Efforts to Identify and</w:t>
      </w:r>
      <w:r>
        <w:rPr>
          <w:spacing w:val="-1"/>
        </w:rPr>
        <w:t xml:space="preserve"> </w:t>
      </w:r>
      <w:r>
        <w:t>Avoid</w:t>
      </w:r>
      <w:r>
        <w:rPr>
          <w:spacing w:val="-1"/>
        </w:rPr>
        <w:t xml:space="preserve"> </w:t>
      </w:r>
      <w:r>
        <w:t>Duplication</w:t>
      </w:r>
      <w:r>
        <w:tab/>
      </w:r>
      <w:r w:rsidR="00235DCB">
        <w:t>4</w:t>
      </w:r>
    </w:p>
    <w:p w:rsidR="00766FF3" w:rsidRDefault="00685AF6">
      <w:pPr>
        <w:pStyle w:val="ListParagraph"/>
        <w:numPr>
          <w:ilvl w:val="1"/>
          <w:numId w:val="4"/>
        </w:numPr>
        <w:tabs>
          <w:tab w:val="left" w:pos="1611"/>
          <w:tab w:val="left" w:pos="1612"/>
          <w:tab w:val="right" w:leader="dot" w:pos="9450"/>
        </w:tabs>
      </w:pPr>
      <w:r>
        <w:t>Efforts to Minimize Burden on Small Businesses or</w:t>
      </w:r>
      <w:r>
        <w:rPr>
          <w:spacing w:val="-6"/>
        </w:rPr>
        <w:t xml:space="preserve"> </w:t>
      </w:r>
      <w:r>
        <w:t>Other</w:t>
      </w:r>
      <w:r>
        <w:rPr>
          <w:spacing w:val="-1"/>
        </w:rPr>
        <w:t xml:space="preserve"> </w:t>
      </w:r>
      <w:r w:rsidR="00235DCB">
        <w:t>Entities</w:t>
      </w:r>
      <w:r w:rsidR="00235DCB">
        <w:tab/>
        <w:t>4-</w:t>
      </w:r>
      <w:r w:rsidR="00E1748E">
        <w:t>5</w:t>
      </w:r>
    </w:p>
    <w:p w:rsidR="00766FF3" w:rsidRDefault="00685AF6">
      <w:pPr>
        <w:pStyle w:val="ListParagraph"/>
        <w:numPr>
          <w:ilvl w:val="1"/>
          <w:numId w:val="4"/>
        </w:numPr>
        <w:tabs>
          <w:tab w:val="left" w:pos="1611"/>
          <w:tab w:val="left" w:pos="1612"/>
          <w:tab w:val="right" w:leader="dot" w:pos="9450"/>
        </w:tabs>
        <w:spacing w:before="26"/>
      </w:pPr>
      <w:r>
        <w:t>Consequences of Less Frequent</w:t>
      </w:r>
      <w:r>
        <w:rPr>
          <w:spacing w:val="-4"/>
        </w:rPr>
        <w:t xml:space="preserve"> </w:t>
      </w:r>
      <w:r>
        <w:t>Data</w:t>
      </w:r>
      <w:r>
        <w:rPr>
          <w:spacing w:val="-2"/>
        </w:rPr>
        <w:t xml:space="preserve"> </w:t>
      </w:r>
      <w:r>
        <w:t>Collection</w:t>
      </w:r>
      <w:r>
        <w:tab/>
      </w:r>
      <w:r w:rsidR="00235DCB">
        <w:t>5</w:t>
      </w:r>
    </w:p>
    <w:p w:rsidR="00766FF3" w:rsidRDefault="00685AF6">
      <w:pPr>
        <w:pStyle w:val="ListParagraph"/>
        <w:numPr>
          <w:ilvl w:val="1"/>
          <w:numId w:val="4"/>
        </w:numPr>
        <w:tabs>
          <w:tab w:val="left" w:pos="1611"/>
          <w:tab w:val="left" w:pos="1612"/>
          <w:tab w:val="right" w:leader="dot" w:pos="9449"/>
        </w:tabs>
        <w:spacing w:line="264" w:lineRule="auto"/>
        <w:ind w:right="108"/>
      </w:pPr>
      <w:r>
        <w:t>Special Circumstances Requiring Collection of Information in a Manner Inconsistent with Section 1320.5(d)(2) of the Code of</w:t>
      </w:r>
      <w:r>
        <w:rPr>
          <w:spacing w:val="-7"/>
        </w:rPr>
        <w:t xml:space="preserve"> </w:t>
      </w:r>
      <w:r>
        <w:t>Federal</w:t>
      </w:r>
      <w:r>
        <w:rPr>
          <w:spacing w:val="-1"/>
        </w:rPr>
        <w:t xml:space="preserve"> </w:t>
      </w:r>
      <w:r>
        <w:t>Regulations</w:t>
      </w:r>
      <w:r>
        <w:tab/>
      </w:r>
      <w:r w:rsidR="00235DCB">
        <w:t>6</w:t>
      </w:r>
    </w:p>
    <w:p w:rsidR="00766FF3" w:rsidRDefault="00685AF6">
      <w:pPr>
        <w:pStyle w:val="ListParagraph"/>
        <w:numPr>
          <w:ilvl w:val="1"/>
          <w:numId w:val="4"/>
        </w:numPr>
        <w:tabs>
          <w:tab w:val="left" w:pos="1611"/>
          <w:tab w:val="left" w:pos="1612"/>
          <w:tab w:val="right" w:leader="dot" w:pos="9450"/>
        </w:tabs>
        <w:spacing w:before="1" w:line="264" w:lineRule="auto"/>
        <w:ind w:left="1036" w:right="106" w:firstLine="0"/>
      </w:pPr>
      <w:r>
        <w:t>Federal</w:t>
      </w:r>
      <w:r>
        <w:rPr>
          <w:spacing w:val="-2"/>
        </w:rPr>
        <w:t xml:space="preserve"> </w:t>
      </w:r>
      <w:r>
        <w:t>Register</w:t>
      </w:r>
      <w:r>
        <w:rPr>
          <w:spacing w:val="-2"/>
        </w:rPr>
        <w:t xml:space="preserve"> </w:t>
      </w:r>
      <w:r>
        <w:t>Comments</w:t>
      </w:r>
      <w:r>
        <w:rPr>
          <w:spacing w:val="-3"/>
        </w:rPr>
        <w:t xml:space="preserve"> </w:t>
      </w:r>
      <w:r>
        <w:t>and</w:t>
      </w:r>
      <w:r>
        <w:rPr>
          <w:spacing w:val="-2"/>
        </w:rPr>
        <w:t xml:space="preserve"> </w:t>
      </w:r>
      <w:r>
        <w:t>Efforts</w:t>
      </w:r>
      <w:r>
        <w:rPr>
          <w:spacing w:val="-3"/>
        </w:rPr>
        <w:t xml:space="preserve"> </w:t>
      </w:r>
      <w:r>
        <w:t>to</w:t>
      </w:r>
      <w:r>
        <w:rPr>
          <w:spacing w:val="-2"/>
        </w:rPr>
        <w:t xml:space="preserve"> </w:t>
      </w:r>
      <w:r>
        <w:t>Consult</w:t>
      </w:r>
      <w:r>
        <w:rPr>
          <w:spacing w:val="-2"/>
        </w:rPr>
        <w:t xml:space="preserve"> </w:t>
      </w:r>
      <w:r>
        <w:t>with</w:t>
      </w:r>
      <w:r>
        <w:rPr>
          <w:spacing w:val="-2"/>
        </w:rPr>
        <w:t xml:space="preserve"> </w:t>
      </w:r>
      <w:r>
        <w:t>Persons</w:t>
      </w:r>
      <w:r>
        <w:rPr>
          <w:spacing w:val="-3"/>
        </w:rPr>
        <w:t xml:space="preserve"> </w:t>
      </w:r>
      <w:r>
        <w:t>Outside</w:t>
      </w:r>
      <w:r>
        <w:rPr>
          <w:spacing w:val="-3"/>
        </w:rPr>
        <w:t xml:space="preserve"> </w:t>
      </w:r>
      <w:r>
        <w:t>the</w:t>
      </w:r>
      <w:r>
        <w:rPr>
          <w:spacing w:val="-3"/>
        </w:rPr>
        <w:t xml:space="preserve"> </w:t>
      </w:r>
      <w:r>
        <w:t>Agency</w:t>
      </w:r>
      <w:r>
        <w:rPr>
          <w:spacing w:val="-25"/>
        </w:rPr>
        <w:t xml:space="preserve"> </w:t>
      </w:r>
      <w:r>
        <w:t>.6-7 A.9</w:t>
      </w:r>
      <w:r>
        <w:tab/>
        <w:t>Payments</w:t>
      </w:r>
      <w:r>
        <w:rPr>
          <w:spacing w:val="-2"/>
        </w:rPr>
        <w:t xml:space="preserve"> </w:t>
      </w:r>
      <w:r>
        <w:t>to</w:t>
      </w:r>
      <w:r>
        <w:rPr>
          <w:spacing w:val="-1"/>
        </w:rPr>
        <w:t xml:space="preserve"> </w:t>
      </w:r>
      <w:r>
        <w:t>Respondents</w:t>
      </w:r>
      <w:r>
        <w:tab/>
      </w:r>
      <w:r w:rsidR="00235DCB">
        <w:t>8</w:t>
      </w:r>
    </w:p>
    <w:p w:rsidR="00766FF3" w:rsidRDefault="00685AF6">
      <w:pPr>
        <w:pStyle w:val="ListParagraph"/>
        <w:numPr>
          <w:ilvl w:val="1"/>
          <w:numId w:val="3"/>
        </w:numPr>
        <w:tabs>
          <w:tab w:val="left" w:pos="1613"/>
          <w:tab w:val="right" w:leader="dot" w:pos="9449"/>
        </w:tabs>
        <w:spacing w:before="0" w:line="252" w:lineRule="exact"/>
        <w:ind w:hanging="576"/>
      </w:pPr>
      <w:r>
        <w:t>Assurance</w:t>
      </w:r>
      <w:r>
        <w:rPr>
          <w:spacing w:val="-2"/>
        </w:rPr>
        <w:t xml:space="preserve"> </w:t>
      </w:r>
      <w:r>
        <w:t>of</w:t>
      </w:r>
      <w:r>
        <w:rPr>
          <w:spacing w:val="-1"/>
        </w:rPr>
        <w:t xml:space="preserve"> </w:t>
      </w:r>
      <w:r w:rsidR="00E1748E">
        <w:t>Confidentiality</w:t>
      </w:r>
      <w:r w:rsidR="00E1748E">
        <w:tab/>
        <w:t>8-9</w:t>
      </w:r>
    </w:p>
    <w:p w:rsidR="00766FF3" w:rsidRDefault="00685AF6">
      <w:pPr>
        <w:pStyle w:val="ListParagraph"/>
        <w:numPr>
          <w:ilvl w:val="1"/>
          <w:numId w:val="3"/>
        </w:numPr>
        <w:tabs>
          <w:tab w:val="left" w:pos="1613"/>
          <w:tab w:val="right" w:leader="dot" w:pos="9449"/>
        </w:tabs>
        <w:ind w:hanging="576"/>
      </w:pPr>
      <w:r>
        <w:t>Questions of a</w:t>
      </w:r>
      <w:r>
        <w:rPr>
          <w:spacing w:val="-3"/>
        </w:rPr>
        <w:t xml:space="preserve"> </w:t>
      </w:r>
      <w:r>
        <w:t>Sensitive</w:t>
      </w:r>
      <w:r>
        <w:rPr>
          <w:spacing w:val="-2"/>
        </w:rPr>
        <w:t xml:space="preserve"> </w:t>
      </w:r>
      <w:r w:rsidR="00E1748E">
        <w:t>Nature</w:t>
      </w:r>
      <w:r w:rsidR="00E1748E">
        <w:tab/>
        <w:t>9</w:t>
      </w:r>
    </w:p>
    <w:p w:rsidR="00766FF3" w:rsidRDefault="00685AF6">
      <w:pPr>
        <w:pStyle w:val="ListParagraph"/>
        <w:numPr>
          <w:ilvl w:val="1"/>
          <w:numId w:val="3"/>
        </w:numPr>
        <w:tabs>
          <w:tab w:val="left" w:pos="1613"/>
          <w:tab w:val="right" w:leader="dot" w:pos="9450"/>
        </w:tabs>
        <w:spacing w:before="26"/>
        <w:ind w:hanging="576"/>
      </w:pPr>
      <w:r>
        <w:t>Estimates of</w:t>
      </w:r>
      <w:r>
        <w:rPr>
          <w:spacing w:val="-2"/>
        </w:rPr>
        <w:t xml:space="preserve"> </w:t>
      </w:r>
      <w:r>
        <w:t>Respondent</w:t>
      </w:r>
      <w:r>
        <w:rPr>
          <w:spacing w:val="-2"/>
        </w:rPr>
        <w:t xml:space="preserve"> </w:t>
      </w:r>
      <w:r w:rsidR="00E1748E">
        <w:t>Burden</w:t>
      </w:r>
      <w:r w:rsidR="00E1748E">
        <w:tab/>
        <w:t>9-1</w:t>
      </w:r>
      <w:r w:rsidR="00235DCB">
        <w:t>1</w:t>
      </w:r>
    </w:p>
    <w:p w:rsidR="00766FF3" w:rsidRDefault="00685AF6">
      <w:pPr>
        <w:pStyle w:val="ListParagraph"/>
        <w:numPr>
          <w:ilvl w:val="1"/>
          <w:numId w:val="3"/>
        </w:numPr>
        <w:tabs>
          <w:tab w:val="left" w:pos="1613"/>
          <w:tab w:val="right" w:leader="dot" w:pos="9449"/>
        </w:tabs>
        <w:ind w:hanging="576"/>
      </w:pPr>
      <w:r>
        <w:t>Estimates of Other Annual Costs</w:t>
      </w:r>
      <w:r>
        <w:rPr>
          <w:spacing w:val="-4"/>
        </w:rPr>
        <w:t xml:space="preserve"> </w:t>
      </w:r>
      <w:r>
        <w:t>to</w:t>
      </w:r>
      <w:r>
        <w:rPr>
          <w:spacing w:val="-1"/>
        </w:rPr>
        <w:t xml:space="preserve"> </w:t>
      </w:r>
      <w:r w:rsidR="00E1748E">
        <w:t>Respondents</w:t>
      </w:r>
      <w:r w:rsidR="00E1748E">
        <w:tab/>
        <w:t>11</w:t>
      </w:r>
    </w:p>
    <w:p w:rsidR="00766FF3" w:rsidRDefault="00685AF6">
      <w:pPr>
        <w:pStyle w:val="ListParagraph"/>
        <w:numPr>
          <w:ilvl w:val="1"/>
          <w:numId w:val="3"/>
        </w:numPr>
        <w:tabs>
          <w:tab w:val="left" w:pos="1613"/>
          <w:tab w:val="right" w:leader="dot" w:pos="9451"/>
        </w:tabs>
        <w:ind w:hanging="576"/>
      </w:pPr>
      <w:r>
        <w:t>Estimates of Annualized</w:t>
      </w:r>
      <w:r>
        <w:rPr>
          <w:spacing w:val="-2"/>
        </w:rPr>
        <w:t xml:space="preserve"> </w:t>
      </w:r>
      <w:r>
        <w:t>Government</w:t>
      </w:r>
      <w:r>
        <w:rPr>
          <w:spacing w:val="-1"/>
        </w:rPr>
        <w:t xml:space="preserve"> </w:t>
      </w:r>
      <w:r w:rsidR="00E1748E">
        <w:t>Costs</w:t>
      </w:r>
      <w:r w:rsidR="00E1748E">
        <w:tab/>
        <w:t>11</w:t>
      </w:r>
      <w:r w:rsidR="00235DCB">
        <w:t>-12</w:t>
      </w:r>
    </w:p>
    <w:p w:rsidR="00766FF3" w:rsidRDefault="00685AF6">
      <w:pPr>
        <w:pStyle w:val="ListParagraph"/>
        <w:numPr>
          <w:ilvl w:val="1"/>
          <w:numId w:val="3"/>
        </w:numPr>
        <w:tabs>
          <w:tab w:val="left" w:pos="1613"/>
          <w:tab w:val="right" w:leader="dot" w:pos="9451"/>
        </w:tabs>
        <w:spacing w:before="26"/>
        <w:ind w:hanging="576"/>
      </w:pPr>
      <w:r>
        <w:t>Changes in</w:t>
      </w:r>
      <w:r>
        <w:rPr>
          <w:spacing w:val="-2"/>
        </w:rPr>
        <w:t xml:space="preserve"> </w:t>
      </w:r>
      <w:r>
        <w:t>Hour</w:t>
      </w:r>
      <w:r>
        <w:rPr>
          <w:spacing w:val="-1"/>
        </w:rPr>
        <w:t xml:space="preserve"> </w:t>
      </w:r>
      <w:r w:rsidR="00E1748E">
        <w:t>Burden</w:t>
      </w:r>
      <w:r w:rsidR="00E1748E">
        <w:tab/>
      </w:r>
      <w:r w:rsidR="00235DCB">
        <w:t>12-13</w:t>
      </w:r>
    </w:p>
    <w:p w:rsidR="00766FF3" w:rsidRDefault="00685AF6">
      <w:pPr>
        <w:pStyle w:val="ListParagraph"/>
        <w:numPr>
          <w:ilvl w:val="1"/>
          <w:numId w:val="3"/>
        </w:numPr>
        <w:tabs>
          <w:tab w:val="left" w:pos="1613"/>
          <w:tab w:val="right" w:leader="dot" w:pos="9451"/>
        </w:tabs>
        <w:ind w:hanging="576"/>
      </w:pPr>
      <w:r>
        <w:t>Time Schedule, Publication, and</w:t>
      </w:r>
      <w:r>
        <w:rPr>
          <w:spacing w:val="-3"/>
        </w:rPr>
        <w:t xml:space="preserve"> </w:t>
      </w:r>
      <w:r>
        <w:t>Analysis</w:t>
      </w:r>
      <w:r>
        <w:rPr>
          <w:spacing w:val="-2"/>
        </w:rPr>
        <w:t xml:space="preserve"> </w:t>
      </w:r>
      <w:r w:rsidR="00235DCB">
        <w:t>Plans</w:t>
      </w:r>
      <w:r w:rsidR="00235DCB">
        <w:tab/>
        <w:t>13</w:t>
      </w:r>
    </w:p>
    <w:p w:rsidR="00766FF3" w:rsidRDefault="00685AF6">
      <w:pPr>
        <w:pStyle w:val="ListParagraph"/>
        <w:numPr>
          <w:ilvl w:val="1"/>
          <w:numId w:val="3"/>
        </w:numPr>
        <w:tabs>
          <w:tab w:val="left" w:pos="1613"/>
          <w:tab w:val="right" w:leader="dot" w:pos="9450"/>
        </w:tabs>
        <w:spacing w:before="26"/>
        <w:ind w:hanging="576"/>
      </w:pPr>
      <w:r>
        <w:t>Display of Expiration Date for</w:t>
      </w:r>
      <w:r>
        <w:rPr>
          <w:spacing w:val="-2"/>
        </w:rPr>
        <w:t xml:space="preserve"> </w:t>
      </w:r>
      <w:r>
        <w:t>OMB</w:t>
      </w:r>
      <w:r>
        <w:rPr>
          <w:spacing w:val="-1"/>
        </w:rPr>
        <w:t xml:space="preserve"> </w:t>
      </w:r>
      <w:r w:rsidR="00E1748E">
        <w:t>Approval</w:t>
      </w:r>
      <w:r w:rsidR="00E1748E">
        <w:tab/>
        <w:t>13</w:t>
      </w:r>
    </w:p>
    <w:p w:rsidR="00766FF3" w:rsidRDefault="00685AF6">
      <w:pPr>
        <w:pStyle w:val="ListParagraph"/>
        <w:numPr>
          <w:ilvl w:val="1"/>
          <w:numId w:val="3"/>
        </w:numPr>
        <w:tabs>
          <w:tab w:val="left" w:pos="1613"/>
          <w:tab w:val="right" w:leader="dot" w:pos="9451"/>
        </w:tabs>
        <w:ind w:hanging="576"/>
      </w:pPr>
      <w:r>
        <w:t>Exceptions to</w:t>
      </w:r>
      <w:r>
        <w:rPr>
          <w:spacing w:val="-3"/>
        </w:rPr>
        <w:t xml:space="preserve"> </w:t>
      </w:r>
      <w:r>
        <w:t>Certification</w:t>
      </w:r>
      <w:r>
        <w:rPr>
          <w:spacing w:val="-1"/>
        </w:rPr>
        <w:t xml:space="preserve"> </w:t>
      </w:r>
      <w:r w:rsidR="00E1748E">
        <w:t>Statement</w:t>
      </w:r>
      <w:r w:rsidR="00E1748E">
        <w:tab/>
        <w:t>13</w:t>
      </w:r>
    </w:p>
    <w:p w:rsidR="00766FF3" w:rsidRDefault="00766FF3"/>
    <w:p w:rsidR="004E7EC4" w:rsidRDefault="004E7EC4"/>
    <w:p w:rsidR="004E7EC4" w:rsidRDefault="004E7EC4"/>
    <w:p w:rsidR="004E7EC4" w:rsidRDefault="004E7EC4"/>
    <w:p w:rsidR="004E7EC4" w:rsidRDefault="004E7EC4"/>
    <w:p w:rsidR="004E7EC4" w:rsidRDefault="004E7EC4"/>
    <w:p w:rsidR="004E7EC4" w:rsidRDefault="004E7EC4"/>
    <w:p w:rsidR="004E7EC4" w:rsidRDefault="004E7EC4"/>
    <w:p w:rsidR="004E7EC4" w:rsidRDefault="004E7EC4"/>
    <w:p w:rsidR="004E7EC4" w:rsidRDefault="004E7EC4"/>
    <w:p w:rsidR="004E7EC4" w:rsidRDefault="004E7EC4"/>
    <w:p w:rsidR="004E7EC4" w:rsidRDefault="004E7EC4">
      <w:r>
        <w:t>List of Attachments:</w:t>
      </w:r>
    </w:p>
    <w:p w:rsidR="004E7EC4" w:rsidRDefault="004E7EC4"/>
    <w:p w:rsidR="004E7EC4" w:rsidRDefault="004E7EC4">
      <w:r>
        <w:t>Attachment A:  Legal Authority</w:t>
      </w:r>
    </w:p>
    <w:p w:rsidR="004E7EC4" w:rsidRDefault="004E7EC4">
      <w:r>
        <w:t>Attachment B:  FNS Comment Anonymous</w:t>
      </w:r>
    </w:p>
    <w:p w:rsidR="004E7EC4" w:rsidRDefault="004E7EC4">
      <w:r>
        <w:t>Attachment C:  FNS Comment Abby Decker</w:t>
      </w:r>
    </w:p>
    <w:p w:rsidR="004E7EC4" w:rsidRDefault="004E7EC4">
      <w:r>
        <w:t>Attachment D:  FNS Comment Robert Pepper</w:t>
      </w:r>
    </w:p>
    <w:p w:rsidR="004E7EC4" w:rsidRDefault="004E7EC4">
      <w:r>
        <w:t>Attachment E:  FNS Comment American Food Store Association</w:t>
      </w:r>
    </w:p>
    <w:p w:rsidR="004E7EC4" w:rsidRDefault="004E7EC4">
      <w:pPr>
        <w:sectPr w:rsidR="004E7EC4">
          <w:pgSz w:w="12240" w:h="15840"/>
          <w:pgMar w:top="1500" w:right="1340" w:bottom="1260" w:left="1340" w:header="0" w:footer="1065" w:gutter="0"/>
          <w:cols w:space="720"/>
        </w:sectPr>
      </w:pPr>
      <w:r>
        <w:t>Attachment F:  FNS Comment Andrew Tapp</w:t>
      </w:r>
    </w:p>
    <w:p w:rsidR="00766FF3" w:rsidRDefault="00685AF6">
      <w:pPr>
        <w:pStyle w:val="Heading1"/>
        <w:spacing w:before="79"/>
        <w:ind w:left="460" w:firstLine="0"/>
      </w:pPr>
      <w:bookmarkStart w:id="1" w:name="Justification-_Part_A"/>
      <w:bookmarkEnd w:id="1"/>
      <w:r>
        <w:rPr>
          <w:u w:val="thick"/>
        </w:rPr>
        <w:t>Justification- Part A</w:t>
      </w:r>
    </w:p>
    <w:p w:rsidR="00766FF3" w:rsidRDefault="00766FF3">
      <w:pPr>
        <w:pStyle w:val="BodyText"/>
        <w:rPr>
          <w:b/>
          <w:sz w:val="26"/>
        </w:rPr>
      </w:pPr>
    </w:p>
    <w:p w:rsidR="00766FF3" w:rsidRDefault="00685AF6">
      <w:pPr>
        <w:pStyle w:val="ListParagraph"/>
        <w:numPr>
          <w:ilvl w:val="0"/>
          <w:numId w:val="2"/>
        </w:numPr>
        <w:tabs>
          <w:tab w:val="left" w:pos="1179"/>
          <w:tab w:val="left" w:pos="1180"/>
        </w:tabs>
        <w:spacing w:before="230"/>
        <w:jc w:val="left"/>
        <w:rPr>
          <w:b/>
          <w:sz w:val="24"/>
        </w:rPr>
      </w:pPr>
      <w:r>
        <w:rPr>
          <w:b/>
          <w:sz w:val="24"/>
        </w:rPr>
        <w:t>Explain the circumstances that make the collection of information</w:t>
      </w:r>
      <w:r>
        <w:rPr>
          <w:b/>
          <w:spacing w:val="-16"/>
          <w:sz w:val="24"/>
        </w:rPr>
        <w:t xml:space="preserve"> </w:t>
      </w:r>
      <w:r>
        <w:rPr>
          <w:b/>
          <w:sz w:val="24"/>
        </w:rPr>
        <w:t>necessary.</w:t>
      </w:r>
      <w:r w:rsidR="00080546">
        <w:rPr>
          <w:b/>
          <w:sz w:val="24"/>
        </w:rPr>
        <w:t xml:space="preserve"> Identify any legal or administrative requirements that necessitate the collection.  Attach a copy of the appropriate section of each statute and regulation mandating or authorizing the collection of information.</w:t>
      </w:r>
    </w:p>
    <w:p w:rsidR="00766FF3" w:rsidRDefault="00766FF3">
      <w:pPr>
        <w:pStyle w:val="BodyText"/>
        <w:rPr>
          <w:b/>
          <w:sz w:val="26"/>
        </w:rPr>
      </w:pPr>
    </w:p>
    <w:p w:rsidR="00766FF3" w:rsidRDefault="00766FF3">
      <w:pPr>
        <w:pStyle w:val="BodyText"/>
        <w:spacing w:before="2"/>
        <w:rPr>
          <w:b/>
          <w:sz w:val="30"/>
        </w:rPr>
      </w:pPr>
    </w:p>
    <w:p w:rsidR="00766FF3" w:rsidRDefault="00080546">
      <w:pPr>
        <w:pStyle w:val="BodyText"/>
        <w:spacing w:before="1" w:line="480" w:lineRule="auto"/>
        <w:ind w:left="1180" w:right="478"/>
      </w:pPr>
      <w:r>
        <w:t xml:space="preserve">This is a revision of a currently approved data collection.  </w:t>
      </w:r>
      <w:r w:rsidR="00685AF6">
        <w:t xml:space="preserve">The Food and Nutrition Service (FNS) of the U.S. Department of Agriculture is the Federal agency responsible for the Supplemental Nutrition Assistance Program (SNAP). The Food and Nutrition Act of 2008 (7 U.S.C. 2011-2036), as codified under 7 CFR Parts 278 and 279, requires that the FNS determine the eligibility of retail food stores and certain food service organizations to participate in the SNAP. </w:t>
      </w:r>
      <w:r>
        <w:t xml:space="preserve"> </w:t>
      </w:r>
      <w:r w:rsidR="00685AF6">
        <w:t>If a retail or wholesale firm is found to be ineligible by FNS, or is otherwise aggrieved by certain FNS action(s), that firm has the right to file a written request for review of the administrative action with</w:t>
      </w:r>
      <w:r w:rsidR="00685AF6">
        <w:rPr>
          <w:spacing w:val="-10"/>
        </w:rPr>
        <w:t xml:space="preserve"> </w:t>
      </w:r>
      <w:r w:rsidR="00685AF6">
        <w:t>FNS.</w:t>
      </w:r>
    </w:p>
    <w:p w:rsidR="00766FF3" w:rsidRDefault="00766FF3">
      <w:pPr>
        <w:pStyle w:val="BodyText"/>
        <w:rPr>
          <w:sz w:val="26"/>
        </w:rPr>
      </w:pPr>
    </w:p>
    <w:p w:rsidR="00766FF3" w:rsidRPr="00080546" w:rsidRDefault="00685AF6" w:rsidP="00080546">
      <w:pPr>
        <w:pStyle w:val="Heading1"/>
        <w:numPr>
          <w:ilvl w:val="0"/>
          <w:numId w:val="2"/>
        </w:numPr>
        <w:tabs>
          <w:tab w:val="left" w:pos="1179"/>
          <w:tab w:val="left" w:pos="1180"/>
        </w:tabs>
        <w:spacing w:before="195"/>
        <w:jc w:val="left"/>
        <w:rPr>
          <w:sz w:val="26"/>
        </w:rPr>
      </w:pPr>
      <w:r>
        <w:t>Indicate how, by whom, and for what purpose the information is to be</w:t>
      </w:r>
      <w:r w:rsidRPr="00080546">
        <w:rPr>
          <w:spacing w:val="-17"/>
        </w:rPr>
        <w:t xml:space="preserve"> </w:t>
      </w:r>
      <w:r>
        <w:t>used.</w:t>
      </w:r>
      <w:r w:rsidR="00080546">
        <w:t xml:space="preserve">  Except for a new collection, indicate the actual use the agency has made of the information received from the current collection.</w:t>
      </w:r>
    </w:p>
    <w:p w:rsidR="00766FF3" w:rsidRDefault="00766FF3">
      <w:pPr>
        <w:pStyle w:val="BodyText"/>
        <w:rPr>
          <w:b/>
          <w:sz w:val="26"/>
        </w:rPr>
      </w:pPr>
    </w:p>
    <w:p w:rsidR="00766FF3" w:rsidRDefault="00766FF3">
      <w:pPr>
        <w:pStyle w:val="BodyText"/>
        <w:spacing w:before="3"/>
        <w:rPr>
          <w:b/>
          <w:sz w:val="30"/>
        </w:rPr>
      </w:pPr>
    </w:p>
    <w:p w:rsidR="00766FF3" w:rsidRDefault="00685AF6">
      <w:pPr>
        <w:pStyle w:val="BodyText"/>
        <w:spacing w:line="480" w:lineRule="auto"/>
        <w:ind w:left="1180" w:right="528"/>
      </w:pPr>
      <w:r>
        <w:t>The Branch Chief of Administrative Review in FNS receives the</w:t>
      </w:r>
      <w:r w:rsidR="00250CBF">
        <w:t xml:space="preserve"> signed</w:t>
      </w:r>
      <w:r>
        <w:t xml:space="preserve"> letter </w:t>
      </w:r>
      <w:r w:rsidR="00250CBF">
        <w:t xml:space="preserve">with official signatures, in no specific format, from the firm </w:t>
      </w:r>
      <w:r>
        <w:t>requesting an administrative review and maintains it as part of the official review record.</w:t>
      </w:r>
    </w:p>
    <w:p w:rsidR="00766FF3" w:rsidRDefault="00685AF6">
      <w:pPr>
        <w:pStyle w:val="BodyText"/>
        <w:spacing w:line="480" w:lineRule="auto"/>
        <w:ind w:left="1180" w:right="478"/>
      </w:pPr>
      <w:r>
        <w:t xml:space="preserve">Once the request is received, the designated Review Officer will adjudicate the appeals process and make a final determination regarding the aggrieved action. </w:t>
      </w:r>
      <w:r w:rsidR="00080546">
        <w:t xml:space="preserve"> </w:t>
      </w:r>
      <w:r>
        <w:t>If the request for administrative review includes additional information, the Review Officer will also consider that information along with the official FNS file.</w:t>
      </w:r>
    </w:p>
    <w:p w:rsidR="00766FF3" w:rsidRDefault="00766FF3">
      <w:pPr>
        <w:spacing w:line="480" w:lineRule="auto"/>
        <w:sectPr w:rsidR="00766FF3">
          <w:pgSz w:w="12240" w:h="15840"/>
          <w:pgMar w:top="1360" w:right="1340" w:bottom="1260" w:left="1340" w:header="0" w:footer="1065" w:gutter="0"/>
          <w:cols w:space="720"/>
        </w:sectPr>
      </w:pPr>
    </w:p>
    <w:p w:rsidR="00766FF3" w:rsidRDefault="00685AF6" w:rsidP="00080546">
      <w:pPr>
        <w:pStyle w:val="Heading1"/>
        <w:numPr>
          <w:ilvl w:val="0"/>
          <w:numId w:val="2"/>
        </w:numPr>
        <w:tabs>
          <w:tab w:val="left" w:pos="1179"/>
          <w:tab w:val="left" w:pos="1180"/>
        </w:tabs>
        <w:spacing w:before="79"/>
        <w:ind w:right="459"/>
        <w:jc w:val="left"/>
      </w:pPr>
      <w:r>
        <w:t>Describe whether, and to what extent, the collection of information involves the use of automated, electronic, mechanical, or other technological collection techniques</w:t>
      </w:r>
      <w:r w:rsidR="00080546">
        <w:t xml:space="preserve"> or other forms of information technology, e.g., permitting electronic submission of responses, and the basis for the decision for adopting this means of collection.  Also, describe any consideration of using information technology to reduce burden.</w:t>
      </w:r>
    </w:p>
    <w:p w:rsidR="00766FF3" w:rsidRDefault="00766FF3">
      <w:pPr>
        <w:pStyle w:val="BodyText"/>
        <w:rPr>
          <w:b/>
          <w:sz w:val="26"/>
        </w:rPr>
      </w:pPr>
    </w:p>
    <w:p w:rsidR="00766FF3" w:rsidRDefault="00766FF3">
      <w:pPr>
        <w:pStyle w:val="BodyText"/>
        <w:spacing w:before="2"/>
        <w:rPr>
          <w:b/>
          <w:sz w:val="32"/>
        </w:rPr>
      </w:pPr>
    </w:p>
    <w:p w:rsidR="00766FF3" w:rsidRDefault="00685AF6">
      <w:pPr>
        <w:pStyle w:val="BodyText"/>
        <w:spacing w:before="1" w:line="480" w:lineRule="auto"/>
        <w:ind w:left="1180" w:right="528"/>
      </w:pPr>
      <w:r>
        <w:t>FNS makes every effort to comply with the Government Paperwork Reduction Act by providing electronic submission in lieu of paper where feasible. This collection of information does not involve the use of electronic</w:t>
      </w:r>
      <w:r w:rsidR="00250CBF">
        <w:t xml:space="preserve"> submission</w:t>
      </w:r>
      <w:r>
        <w:t xml:space="preserve">. The request for administrative review is a formal </w:t>
      </w:r>
      <w:r w:rsidR="00250CBF">
        <w:t>letter</w:t>
      </w:r>
      <w:r>
        <w:t>, provided by the requestor, with an original signature. The requestor may use an automated medium</w:t>
      </w:r>
      <w:r w:rsidR="00250CBF">
        <w:t xml:space="preserve">, such as facsimile or email, </w:t>
      </w:r>
      <w:r>
        <w:t>to prepare the request.</w:t>
      </w:r>
    </w:p>
    <w:p w:rsidR="00766FF3" w:rsidRDefault="00766FF3">
      <w:pPr>
        <w:pStyle w:val="BodyText"/>
        <w:rPr>
          <w:sz w:val="26"/>
        </w:rPr>
      </w:pPr>
    </w:p>
    <w:p w:rsidR="00766FF3" w:rsidRDefault="00685AF6">
      <w:pPr>
        <w:pStyle w:val="Heading1"/>
        <w:numPr>
          <w:ilvl w:val="0"/>
          <w:numId w:val="2"/>
        </w:numPr>
        <w:tabs>
          <w:tab w:val="left" w:pos="1179"/>
          <w:tab w:val="left" w:pos="1180"/>
        </w:tabs>
        <w:jc w:val="left"/>
      </w:pPr>
      <w:r>
        <w:t>Describe efforts to identify</w:t>
      </w:r>
      <w:r>
        <w:rPr>
          <w:spacing w:val="-3"/>
        </w:rPr>
        <w:t xml:space="preserve"> </w:t>
      </w:r>
      <w:r>
        <w:t>duplication</w:t>
      </w:r>
      <w:r w:rsidR="002A6D4F">
        <w:t>.  Show specifically why any similar information already available cannot be used or modified for use for the purpose described in item 2 above</w:t>
      </w:r>
      <w:r>
        <w:t>.</w:t>
      </w:r>
    </w:p>
    <w:p w:rsidR="00766FF3" w:rsidRDefault="00766FF3">
      <w:pPr>
        <w:pStyle w:val="BodyText"/>
        <w:rPr>
          <w:b/>
          <w:sz w:val="26"/>
        </w:rPr>
      </w:pPr>
    </w:p>
    <w:p w:rsidR="00276B4F" w:rsidRDefault="00276B4F" w:rsidP="00276B4F">
      <w:pPr>
        <w:pStyle w:val="BodyText"/>
        <w:ind w:left="1180"/>
      </w:pPr>
    </w:p>
    <w:p w:rsidR="00766FF3" w:rsidRDefault="00737700">
      <w:pPr>
        <w:pStyle w:val="BodyText"/>
        <w:spacing w:line="480" w:lineRule="auto"/>
        <w:ind w:left="1180"/>
      </w:pPr>
      <w:r w:rsidRPr="00737700">
        <w:t xml:space="preserve">There is no duplication involved with a request for an administrative review.  FNS solely monitors issuance and administrative reviews of SNAP benefits. </w:t>
      </w:r>
      <w:r>
        <w:t xml:space="preserve"> </w:t>
      </w:r>
      <w:r w:rsidRPr="00737700">
        <w:t xml:space="preserve">The information required for official review is not currently reported to any other entity outside of FNS. </w:t>
      </w:r>
      <w:r>
        <w:t xml:space="preserve"> </w:t>
      </w:r>
      <w:r w:rsidRPr="00737700">
        <w:t>Every effort has been made to avoid duplication. FNS has reviewed USDA reporting requirements, state administrative agency reporting requirements and special studies by other government and private agencies</w:t>
      </w:r>
      <w:r w:rsidR="00685AF6">
        <w:t>.</w:t>
      </w:r>
    </w:p>
    <w:p w:rsidR="00766FF3" w:rsidRDefault="00766FF3">
      <w:pPr>
        <w:pStyle w:val="BodyText"/>
        <w:rPr>
          <w:sz w:val="26"/>
        </w:rPr>
      </w:pPr>
    </w:p>
    <w:p w:rsidR="00766FF3" w:rsidRDefault="00685AF6" w:rsidP="002A6D4F">
      <w:pPr>
        <w:pStyle w:val="Heading1"/>
        <w:numPr>
          <w:ilvl w:val="0"/>
          <w:numId w:val="2"/>
        </w:numPr>
        <w:tabs>
          <w:tab w:val="left" w:pos="1179"/>
          <w:tab w:val="left" w:pos="1180"/>
        </w:tabs>
        <w:ind w:right="918"/>
        <w:jc w:val="left"/>
      </w:pPr>
      <w:r>
        <w:t>If the collection of information impacts small businesses or other entities, describe any methods used to minimize</w:t>
      </w:r>
      <w:r>
        <w:rPr>
          <w:spacing w:val="-4"/>
        </w:rPr>
        <w:t xml:space="preserve"> </w:t>
      </w:r>
      <w:r>
        <w:t>burden.</w:t>
      </w:r>
    </w:p>
    <w:p w:rsidR="00766FF3" w:rsidRDefault="00766FF3">
      <w:pPr>
        <w:pStyle w:val="BodyText"/>
        <w:rPr>
          <w:b/>
          <w:sz w:val="26"/>
        </w:rPr>
      </w:pPr>
    </w:p>
    <w:p w:rsidR="00721ACC" w:rsidRDefault="00721ACC" w:rsidP="00276B4F">
      <w:pPr>
        <w:pStyle w:val="BodyText"/>
        <w:ind w:left="1180" w:right="535"/>
      </w:pPr>
    </w:p>
    <w:p w:rsidR="00766FF3" w:rsidRDefault="00685AF6" w:rsidP="00721ACC">
      <w:pPr>
        <w:pStyle w:val="BodyText"/>
        <w:spacing w:line="480" w:lineRule="auto"/>
        <w:ind w:left="1180" w:right="535"/>
      </w:pPr>
      <w:r>
        <w:t xml:space="preserve">This information collection does not adversely impact small business or other small entities. </w:t>
      </w:r>
      <w:r w:rsidR="00721ACC">
        <w:t xml:space="preserve"> </w:t>
      </w:r>
      <w:r>
        <w:t xml:space="preserve">A small business is treated like other firms in that only a written request for an administrative review is needed to </w:t>
      </w:r>
      <w:r w:rsidR="00721ACC">
        <w:t xml:space="preserve">obtain an administrative review.  </w:t>
      </w:r>
      <w:r w:rsidR="005D2F10">
        <w:t>Of</w:t>
      </w:r>
      <w:r w:rsidR="00721ACC">
        <w:t xml:space="preserve"> the 1,282 respondents</w:t>
      </w:r>
      <w:r w:rsidR="005D2F10">
        <w:t>,</w:t>
      </w:r>
      <w:r w:rsidR="00721ACC">
        <w:t xml:space="preserve"> </w:t>
      </w:r>
      <w:r w:rsidR="00086C81">
        <w:t>FNS estimates that approximately 1,248 are considered small entities</w:t>
      </w:r>
      <w:r w:rsidR="005D2F10">
        <w:t>.</w:t>
      </w:r>
    </w:p>
    <w:p w:rsidR="001D77FB" w:rsidRDefault="001D77FB" w:rsidP="00721ACC">
      <w:pPr>
        <w:pStyle w:val="BodyText"/>
        <w:spacing w:line="480" w:lineRule="auto"/>
        <w:ind w:left="1180" w:right="535"/>
      </w:pPr>
    </w:p>
    <w:p w:rsidR="00766FF3" w:rsidRDefault="00685AF6" w:rsidP="00721ACC">
      <w:pPr>
        <w:pStyle w:val="Heading1"/>
        <w:numPr>
          <w:ilvl w:val="0"/>
          <w:numId w:val="2"/>
        </w:numPr>
        <w:tabs>
          <w:tab w:val="left" w:pos="1179"/>
          <w:tab w:val="left" w:pos="1180"/>
        </w:tabs>
        <w:spacing w:before="79"/>
        <w:ind w:right="1087"/>
        <w:jc w:val="left"/>
      </w:pPr>
      <w:r>
        <w:t>Describe the consequences to Federal program or policy activities if</w:t>
      </w:r>
      <w:r>
        <w:rPr>
          <w:spacing w:val="-24"/>
        </w:rPr>
        <w:t xml:space="preserve"> </w:t>
      </w:r>
      <w:r>
        <w:t>the collection is not conducted or is conducted less</w:t>
      </w:r>
      <w:r>
        <w:rPr>
          <w:spacing w:val="-10"/>
        </w:rPr>
        <w:t xml:space="preserve"> </w:t>
      </w:r>
      <w:r>
        <w:t>frequently</w:t>
      </w:r>
      <w:r w:rsidR="00721ACC">
        <w:t>, as well as any technical or legal obstacles to reducing burden</w:t>
      </w:r>
      <w:r>
        <w:t>.</w:t>
      </w:r>
    </w:p>
    <w:p w:rsidR="00766FF3" w:rsidRDefault="00766FF3">
      <w:pPr>
        <w:pStyle w:val="BodyText"/>
        <w:rPr>
          <w:b/>
          <w:sz w:val="26"/>
        </w:rPr>
      </w:pPr>
    </w:p>
    <w:p w:rsidR="00766FF3" w:rsidRDefault="00766FF3">
      <w:pPr>
        <w:pStyle w:val="BodyText"/>
        <w:spacing w:before="2"/>
        <w:rPr>
          <w:b/>
          <w:sz w:val="32"/>
        </w:rPr>
      </w:pPr>
    </w:p>
    <w:p w:rsidR="005D2F10" w:rsidRDefault="005D2F10">
      <w:pPr>
        <w:pStyle w:val="BodyText"/>
        <w:spacing w:before="1" w:line="480" w:lineRule="auto"/>
        <w:ind w:left="1180" w:right="478"/>
      </w:pPr>
      <w:r>
        <w:t>This is an ongoing, voluntary information collection request.  If this collection is not conducted or conducted less frequently, FNS would not be able to determine if a retail or wholesale firm is ineligible and businesses would not get an opportunity to become eligible to participate in SNAP or appeal decision made by FNS.</w:t>
      </w:r>
    </w:p>
    <w:p w:rsidR="005D2F10" w:rsidRDefault="005D2F10">
      <w:pPr>
        <w:pStyle w:val="BodyText"/>
        <w:spacing w:before="1" w:line="480" w:lineRule="auto"/>
        <w:ind w:left="1180" w:right="478"/>
      </w:pPr>
    </w:p>
    <w:p w:rsidR="00766FF3" w:rsidRDefault="00685AF6">
      <w:pPr>
        <w:pStyle w:val="BodyText"/>
        <w:spacing w:before="1" w:line="480" w:lineRule="auto"/>
        <w:ind w:left="1180" w:right="478"/>
      </w:pPr>
      <w:r>
        <w:t>Should a firm disagree with the decision by FNS, they would initiate a formal request only once. This request is a means for the respondents to initiate a formal review of the agency’s decision on its determination of ineligibility to participate in the SNAP, or other certain aggrieved actions taken against the subject firm.</w:t>
      </w:r>
    </w:p>
    <w:p w:rsidR="00766FF3" w:rsidRDefault="00766FF3">
      <w:pPr>
        <w:pStyle w:val="BodyText"/>
        <w:rPr>
          <w:sz w:val="26"/>
        </w:rPr>
      </w:pPr>
    </w:p>
    <w:p w:rsidR="00766FF3" w:rsidRDefault="00685AF6">
      <w:pPr>
        <w:pStyle w:val="BodyText"/>
        <w:spacing w:before="194" w:line="480" w:lineRule="auto"/>
        <w:ind w:left="1180" w:right="515"/>
      </w:pPr>
      <w:r>
        <w:t>When a firm agrees with the decision by FNS, there would not be a request for an administrative review. The decision by FNS would stand in accordance with program policy.</w:t>
      </w:r>
    </w:p>
    <w:p w:rsidR="006209DE" w:rsidRDefault="006209DE">
      <w:pPr>
        <w:pStyle w:val="BodyText"/>
        <w:spacing w:before="194" w:line="480" w:lineRule="auto"/>
        <w:ind w:left="1180" w:right="515"/>
      </w:pPr>
    </w:p>
    <w:p w:rsidR="00766FF3" w:rsidRPr="002C78AE" w:rsidRDefault="00685AF6" w:rsidP="007E5E09">
      <w:pPr>
        <w:pStyle w:val="Heading1"/>
        <w:numPr>
          <w:ilvl w:val="0"/>
          <w:numId w:val="2"/>
        </w:numPr>
        <w:tabs>
          <w:tab w:val="left" w:pos="1179"/>
          <w:tab w:val="left" w:pos="1180"/>
        </w:tabs>
        <w:ind w:right="462"/>
        <w:jc w:val="left"/>
      </w:pPr>
      <w:r w:rsidRPr="002C78AE">
        <w:t>Explain any special circumstances that would cause an information collect</w:t>
      </w:r>
      <w:r w:rsidR="007C17A5" w:rsidRPr="002C78AE">
        <w:t>ion to be conducted in a manner:</w:t>
      </w:r>
    </w:p>
    <w:p w:rsidR="00766FF3" w:rsidRDefault="00766FF3">
      <w:pPr>
        <w:pStyle w:val="BodyText"/>
        <w:rPr>
          <w:b/>
          <w:sz w:val="26"/>
        </w:rPr>
      </w:pPr>
    </w:p>
    <w:p w:rsidR="00766FF3" w:rsidRDefault="00766FF3">
      <w:pPr>
        <w:pStyle w:val="BodyText"/>
        <w:spacing w:before="4"/>
        <w:rPr>
          <w:b/>
          <w:sz w:val="32"/>
        </w:rPr>
      </w:pPr>
    </w:p>
    <w:p w:rsidR="00766FF3" w:rsidRDefault="0042525A" w:rsidP="007E5E09">
      <w:pPr>
        <w:pStyle w:val="ListParagraph"/>
        <w:numPr>
          <w:ilvl w:val="1"/>
          <w:numId w:val="5"/>
        </w:numPr>
        <w:tabs>
          <w:tab w:val="left" w:pos="1900"/>
        </w:tabs>
        <w:spacing w:before="0"/>
        <w:rPr>
          <w:b/>
          <w:sz w:val="24"/>
        </w:rPr>
      </w:pPr>
      <w:r>
        <w:rPr>
          <w:b/>
          <w:sz w:val="24"/>
        </w:rPr>
        <w:t>r</w:t>
      </w:r>
      <w:r w:rsidR="007E5E09">
        <w:rPr>
          <w:b/>
          <w:sz w:val="24"/>
        </w:rPr>
        <w:t>equiring respondents to report information to the agency more often than quarterly;</w:t>
      </w:r>
    </w:p>
    <w:p w:rsidR="007E5E09" w:rsidRDefault="0042525A" w:rsidP="007E5E09">
      <w:pPr>
        <w:pStyle w:val="ListParagraph"/>
        <w:numPr>
          <w:ilvl w:val="1"/>
          <w:numId w:val="5"/>
        </w:numPr>
        <w:tabs>
          <w:tab w:val="left" w:pos="1900"/>
        </w:tabs>
        <w:spacing w:before="0"/>
        <w:rPr>
          <w:b/>
          <w:sz w:val="24"/>
        </w:rPr>
      </w:pPr>
      <w:r>
        <w:rPr>
          <w:b/>
          <w:sz w:val="24"/>
        </w:rPr>
        <w:t>r</w:t>
      </w:r>
      <w:r w:rsidR="007E5E09">
        <w:rPr>
          <w:b/>
          <w:sz w:val="24"/>
        </w:rPr>
        <w:t>equiring respondents to prepare a written response to a collection of information in fewer than 30 days after receipt of it;</w:t>
      </w:r>
    </w:p>
    <w:p w:rsidR="007E5E09" w:rsidRDefault="0042525A" w:rsidP="007E5E09">
      <w:pPr>
        <w:pStyle w:val="ListParagraph"/>
        <w:numPr>
          <w:ilvl w:val="1"/>
          <w:numId w:val="5"/>
        </w:numPr>
        <w:tabs>
          <w:tab w:val="left" w:pos="1900"/>
        </w:tabs>
        <w:spacing w:before="0"/>
        <w:rPr>
          <w:b/>
          <w:sz w:val="24"/>
        </w:rPr>
      </w:pPr>
      <w:r>
        <w:rPr>
          <w:b/>
          <w:sz w:val="24"/>
        </w:rPr>
        <w:t>requiring respondents to submit more than an original and two copies of any document;</w:t>
      </w:r>
    </w:p>
    <w:p w:rsidR="0042525A" w:rsidRDefault="0042525A" w:rsidP="007E5E09">
      <w:pPr>
        <w:pStyle w:val="ListParagraph"/>
        <w:numPr>
          <w:ilvl w:val="1"/>
          <w:numId w:val="5"/>
        </w:numPr>
        <w:tabs>
          <w:tab w:val="left" w:pos="1900"/>
        </w:tabs>
        <w:spacing w:before="0"/>
        <w:rPr>
          <w:b/>
          <w:sz w:val="24"/>
        </w:rPr>
      </w:pPr>
      <w:r>
        <w:rPr>
          <w:b/>
          <w:sz w:val="24"/>
        </w:rPr>
        <w:t>requiring respondents to retain records, other than health, medical, government contract, grant-in-aid, or tax records for more than three  years;</w:t>
      </w:r>
    </w:p>
    <w:p w:rsidR="0042525A" w:rsidRDefault="0042525A" w:rsidP="007E5E09">
      <w:pPr>
        <w:pStyle w:val="ListParagraph"/>
        <w:numPr>
          <w:ilvl w:val="1"/>
          <w:numId w:val="5"/>
        </w:numPr>
        <w:tabs>
          <w:tab w:val="left" w:pos="1900"/>
        </w:tabs>
        <w:spacing w:before="0"/>
        <w:rPr>
          <w:b/>
          <w:sz w:val="24"/>
        </w:rPr>
      </w:pPr>
      <w:r>
        <w:rPr>
          <w:b/>
          <w:sz w:val="24"/>
        </w:rPr>
        <w:t>in connection with a statistical survey, that is not designed to produce valid and reliable results that can be generalized to the universe of study;</w:t>
      </w:r>
    </w:p>
    <w:p w:rsidR="0042525A" w:rsidRDefault="0042525A" w:rsidP="007E5E09">
      <w:pPr>
        <w:pStyle w:val="ListParagraph"/>
        <w:numPr>
          <w:ilvl w:val="1"/>
          <w:numId w:val="5"/>
        </w:numPr>
        <w:tabs>
          <w:tab w:val="left" w:pos="1900"/>
        </w:tabs>
        <w:spacing w:before="0"/>
        <w:rPr>
          <w:b/>
          <w:sz w:val="24"/>
        </w:rPr>
      </w:pPr>
      <w:r>
        <w:rPr>
          <w:b/>
          <w:sz w:val="24"/>
        </w:rPr>
        <w:t>requiring the use of a statistical data classification that has not been reviewed and approved by OMB;</w:t>
      </w:r>
    </w:p>
    <w:p w:rsidR="0042525A" w:rsidRDefault="0042525A" w:rsidP="007E5E09">
      <w:pPr>
        <w:pStyle w:val="ListParagraph"/>
        <w:numPr>
          <w:ilvl w:val="1"/>
          <w:numId w:val="5"/>
        </w:numPr>
        <w:tabs>
          <w:tab w:val="left" w:pos="1900"/>
        </w:tabs>
        <w:spacing w:before="0"/>
        <w:rPr>
          <w:b/>
          <w:sz w:val="24"/>
        </w:rPr>
      </w:pPr>
      <w:r>
        <w:rPr>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2525A" w:rsidRDefault="0042525A" w:rsidP="007E5E09">
      <w:pPr>
        <w:pStyle w:val="ListParagraph"/>
        <w:numPr>
          <w:ilvl w:val="1"/>
          <w:numId w:val="5"/>
        </w:numPr>
        <w:tabs>
          <w:tab w:val="left" w:pos="1900"/>
        </w:tabs>
        <w:spacing w:before="0"/>
        <w:rPr>
          <w:b/>
          <w:sz w:val="24"/>
        </w:rPr>
      </w:pPr>
      <w:r>
        <w:rPr>
          <w:b/>
          <w:sz w:val="24"/>
        </w:rPr>
        <w:t>requiring respondents to submit proprietary trade secret, or other confidential information unless the agency can demonstrate that it has instituted procedures to protect the information’s confidentiality to the extent permitted by law.</w:t>
      </w:r>
    </w:p>
    <w:p w:rsidR="0042525A" w:rsidRDefault="0042525A" w:rsidP="0042525A">
      <w:pPr>
        <w:tabs>
          <w:tab w:val="left" w:pos="1900"/>
        </w:tabs>
        <w:rPr>
          <w:b/>
          <w:sz w:val="24"/>
        </w:rPr>
      </w:pPr>
    </w:p>
    <w:p w:rsidR="00766FF3" w:rsidRDefault="00766FF3">
      <w:pPr>
        <w:pStyle w:val="BodyText"/>
        <w:rPr>
          <w:b/>
          <w:sz w:val="20"/>
        </w:rPr>
      </w:pPr>
    </w:p>
    <w:p w:rsidR="00766FF3" w:rsidRDefault="00766FF3">
      <w:pPr>
        <w:pStyle w:val="BodyText"/>
        <w:spacing w:before="3"/>
        <w:rPr>
          <w:b/>
          <w:sz w:val="22"/>
        </w:rPr>
      </w:pPr>
    </w:p>
    <w:p w:rsidR="00766FF3" w:rsidRDefault="00685AF6" w:rsidP="0042525A">
      <w:pPr>
        <w:pStyle w:val="BodyText"/>
        <w:spacing w:line="480" w:lineRule="auto"/>
        <w:ind w:left="1900"/>
      </w:pPr>
      <w:r>
        <w:t xml:space="preserve">There </w:t>
      </w:r>
      <w:r w:rsidR="0042525A">
        <w:t>are no special circumstances.  The collection of information is conducted in a manner consistent with the guidelines in 5 CFR 1320.5.</w:t>
      </w:r>
    </w:p>
    <w:p w:rsidR="00766FF3" w:rsidRDefault="00766FF3">
      <w:pPr>
        <w:pStyle w:val="BodyText"/>
        <w:rPr>
          <w:sz w:val="26"/>
        </w:rPr>
      </w:pPr>
    </w:p>
    <w:p w:rsidR="00766FF3" w:rsidRPr="002C78AE" w:rsidRDefault="002C78AE" w:rsidP="00CD0AF1">
      <w:pPr>
        <w:pStyle w:val="Heading1"/>
        <w:numPr>
          <w:ilvl w:val="0"/>
          <w:numId w:val="2"/>
        </w:numPr>
        <w:tabs>
          <w:tab w:val="left" w:pos="1900"/>
        </w:tabs>
        <w:spacing w:before="171"/>
        <w:jc w:val="left"/>
        <w:rPr>
          <w:b w:val="0"/>
        </w:rPr>
      </w:pPr>
      <w:r>
        <w:t xml:space="preserve">If applicable, provide a copy and identify the date and page number of publication in the </w:t>
      </w:r>
      <w:r>
        <w:rPr>
          <w:u w:val="single"/>
        </w:rPr>
        <w:t>Federal Register</w:t>
      </w:r>
      <w:r>
        <w:t xml:space="preserve"> of the agency’s notice, soliciting comments on the information collection prior to submission to OMB.  Summarize public comments received in response to that notice and describe actions taken by the agency in response to these comments.</w:t>
      </w:r>
    </w:p>
    <w:p w:rsidR="002C78AE" w:rsidRDefault="002C78AE" w:rsidP="002C78AE">
      <w:pPr>
        <w:pStyle w:val="Heading1"/>
        <w:tabs>
          <w:tab w:val="left" w:pos="1900"/>
        </w:tabs>
        <w:spacing w:before="171"/>
      </w:pPr>
    </w:p>
    <w:p w:rsidR="009C73C3" w:rsidRPr="009C73C3" w:rsidRDefault="002C78AE" w:rsidP="009C73C3">
      <w:pPr>
        <w:pStyle w:val="Heading1"/>
        <w:numPr>
          <w:ilvl w:val="0"/>
          <w:numId w:val="7"/>
        </w:numPr>
        <w:tabs>
          <w:tab w:val="left" w:pos="1900"/>
        </w:tabs>
        <w:spacing w:before="171" w:line="480" w:lineRule="auto"/>
        <w:rPr>
          <w:b w:val="0"/>
        </w:rPr>
      </w:pPr>
      <w:r>
        <w:rPr>
          <w:b w:val="0"/>
        </w:rPr>
        <w:t xml:space="preserve">A 60-day comment notice was published in the </w:t>
      </w:r>
      <w:r>
        <w:rPr>
          <w:b w:val="0"/>
          <w:u w:val="single"/>
        </w:rPr>
        <w:t>Federal Register</w:t>
      </w:r>
      <w:r>
        <w:rPr>
          <w:b w:val="0"/>
        </w:rPr>
        <w:t xml:space="preserve"> on April 10, 2018, at 83 FR 15354.  There were </w:t>
      </w:r>
      <w:r w:rsidR="00915942">
        <w:rPr>
          <w:b w:val="0"/>
        </w:rPr>
        <w:t>five</w:t>
      </w:r>
      <w:r>
        <w:rPr>
          <w:b w:val="0"/>
        </w:rPr>
        <w:t xml:space="preserve"> (</w:t>
      </w:r>
      <w:r w:rsidR="00915942">
        <w:rPr>
          <w:b w:val="0"/>
        </w:rPr>
        <w:t>5</w:t>
      </w:r>
      <w:r>
        <w:rPr>
          <w:b w:val="0"/>
        </w:rPr>
        <w:t xml:space="preserve">) public comments received in response to this Notice.  </w:t>
      </w:r>
      <w:r w:rsidR="00F85625">
        <w:rPr>
          <w:b w:val="0"/>
        </w:rPr>
        <w:t>Attachments B, C, D, E and F were public comments which</w:t>
      </w:r>
      <w:r w:rsidR="00A06BA7">
        <w:rPr>
          <w:b w:val="0"/>
        </w:rPr>
        <w:t xml:space="preserve"> were not germane to the </w:t>
      </w:r>
      <w:r w:rsidR="009B4FC9">
        <w:rPr>
          <w:b w:val="0"/>
        </w:rPr>
        <w:t xml:space="preserve">Agency </w:t>
      </w:r>
      <w:r w:rsidR="00A06BA7">
        <w:rPr>
          <w:b w:val="0"/>
        </w:rPr>
        <w:t>I</w:t>
      </w:r>
      <w:r w:rsidR="009B4FC9">
        <w:rPr>
          <w:b w:val="0"/>
        </w:rPr>
        <w:t xml:space="preserve">nformation </w:t>
      </w:r>
      <w:r w:rsidR="00A06BA7">
        <w:rPr>
          <w:b w:val="0"/>
        </w:rPr>
        <w:t>C</w:t>
      </w:r>
      <w:r w:rsidR="009B4FC9">
        <w:rPr>
          <w:b w:val="0"/>
        </w:rPr>
        <w:t xml:space="preserve">ollection </w:t>
      </w:r>
      <w:r w:rsidR="00A06BA7">
        <w:rPr>
          <w:b w:val="0"/>
        </w:rPr>
        <w:t>A</w:t>
      </w:r>
      <w:r w:rsidR="009B4FC9">
        <w:rPr>
          <w:b w:val="0"/>
        </w:rPr>
        <w:t xml:space="preserve">ctivities for </w:t>
      </w:r>
      <w:r w:rsidR="00A06BA7">
        <w:rPr>
          <w:b w:val="0"/>
        </w:rPr>
        <w:t>A</w:t>
      </w:r>
      <w:r w:rsidR="009B4FC9">
        <w:rPr>
          <w:b w:val="0"/>
        </w:rPr>
        <w:t xml:space="preserve">dministrative </w:t>
      </w:r>
      <w:r w:rsidR="00A06BA7">
        <w:rPr>
          <w:b w:val="0"/>
        </w:rPr>
        <w:t>R</w:t>
      </w:r>
      <w:r w:rsidR="009B4FC9">
        <w:rPr>
          <w:b w:val="0"/>
        </w:rPr>
        <w:t>eview</w:t>
      </w:r>
      <w:r w:rsidR="004638E7">
        <w:rPr>
          <w:b w:val="0"/>
        </w:rPr>
        <w:t xml:space="preserve"> however; </w:t>
      </w:r>
      <w:r w:rsidR="00F05D9B">
        <w:rPr>
          <w:b w:val="0"/>
        </w:rPr>
        <w:t>comments in Attachments E and F</w:t>
      </w:r>
      <w:r w:rsidR="00915942">
        <w:rPr>
          <w:b w:val="0"/>
        </w:rPr>
        <w:t xml:space="preserve"> </w:t>
      </w:r>
      <w:r>
        <w:rPr>
          <w:b w:val="0"/>
        </w:rPr>
        <w:t xml:space="preserve">addressed </w:t>
      </w:r>
      <w:r w:rsidR="00BE5134">
        <w:rPr>
          <w:b w:val="0"/>
        </w:rPr>
        <w:t xml:space="preserve">the </w:t>
      </w:r>
      <w:r w:rsidR="00D4027B">
        <w:rPr>
          <w:b w:val="0"/>
        </w:rPr>
        <w:t>procedures</w:t>
      </w:r>
      <w:r w:rsidR="009B4FC9">
        <w:rPr>
          <w:b w:val="0"/>
        </w:rPr>
        <w:t xml:space="preserve"> </w:t>
      </w:r>
      <w:r w:rsidR="009A7868">
        <w:rPr>
          <w:b w:val="0"/>
        </w:rPr>
        <w:t xml:space="preserve">of an </w:t>
      </w:r>
      <w:r w:rsidR="00BE5134">
        <w:rPr>
          <w:b w:val="0"/>
        </w:rPr>
        <w:t>Administrative Review</w:t>
      </w:r>
      <w:r w:rsidR="00F837FE">
        <w:rPr>
          <w:b w:val="0"/>
        </w:rPr>
        <w:t>,</w:t>
      </w:r>
      <w:r w:rsidR="00BE5134">
        <w:rPr>
          <w:b w:val="0"/>
        </w:rPr>
        <w:t xml:space="preserve"> </w:t>
      </w:r>
      <w:r w:rsidR="00F837FE">
        <w:rPr>
          <w:b w:val="0"/>
        </w:rPr>
        <w:t xml:space="preserve">as well as </w:t>
      </w:r>
      <w:r w:rsidR="00F65AF1">
        <w:rPr>
          <w:b w:val="0"/>
        </w:rPr>
        <w:t xml:space="preserve">other </w:t>
      </w:r>
      <w:r w:rsidR="00F837FE">
        <w:rPr>
          <w:b w:val="0"/>
        </w:rPr>
        <w:t>SNAP retailer management proceedings</w:t>
      </w:r>
      <w:r w:rsidR="004638E7">
        <w:rPr>
          <w:b w:val="0"/>
        </w:rPr>
        <w:t xml:space="preserve">. </w:t>
      </w:r>
      <w:r w:rsidR="000A517D">
        <w:rPr>
          <w:b w:val="0"/>
        </w:rPr>
        <w:t xml:space="preserve">  Although t</w:t>
      </w:r>
      <w:r w:rsidR="004638E7">
        <w:rPr>
          <w:b w:val="0"/>
        </w:rPr>
        <w:t xml:space="preserve">he comments </w:t>
      </w:r>
      <w:r w:rsidR="00915942">
        <w:rPr>
          <w:b w:val="0"/>
        </w:rPr>
        <w:t xml:space="preserve">were </w:t>
      </w:r>
      <w:r w:rsidR="009A7868">
        <w:rPr>
          <w:b w:val="0"/>
        </w:rPr>
        <w:t>out of the scope of the purpose of th</w:t>
      </w:r>
      <w:r w:rsidR="009C73C3">
        <w:rPr>
          <w:b w:val="0"/>
        </w:rPr>
        <w:t>is</w:t>
      </w:r>
      <w:r w:rsidR="009A7868">
        <w:rPr>
          <w:b w:val="0"/>
        </w:rPr>
        <w:t xml:space="preserve"> notice</w:t>
      </w:r>
      <w:r w:rsidR="000A517D">
        <w:rPr>
          <w:b w:val="0"/>
        </w:rPr>
        <w:t>,</w:t>
      </w:r>
      <w:r w:rsidR="009A7868">
        <w:rPr>
          <w:b w:val="0"/>
        </w:rPr>
        <w:t xml:space="preserve"> </w:t>
      </w:r>
      <w:r w:rsidR="009C73C3">
        <w:rPr>
          <w:b w:val="0"/>
        </w:rPr>
        <w:t xml:space="preserve">which is </w:t>
      </w:r>
      <w:r w:rsidR="009A7868">
        <w:rPr>
          <w:b w:val="0"/>
        </w:rPr>
        <w:t xml:space="preserve">to inform the public that </w:t>
      </w:r>
      <w:r w:rsidR="009A7868" w:rsidRPr="009A7868">
        <w:rPr>
          <w:b w:val="0"/>
        </w:rPr>
        <w:t>only a written request for an administrative review is needed</w:t>
      </w:r>
      <w:r w:rsidR="009C73C3">
        <w:rPr>
          <w:b w:val="0"/>
        </w:rPr>
        <w:t xml:space="preserve"> in order</w:t>
      </w:r>
      <w:r w:rsidR="009A7868" w:rsidRPr="009A7868">
        <w:rPr>
          <w:b w:val="0"/>
        </w:rPr>
        <w:t xml:space="preserve"> to obtain an administrative review</w:t>
      </w:r>
      <w:r w:rsidR="000A517D">
        <w:rPr>
          <w:b w:val="0"/>
        </w:rPr>
        <w:t xml:space="preserve">; </w:t>
      </w:r>
      <w:r w:rsidR="00015E09">
        <w:rPr>
          <w:b w:val="0"/>
        </w:rPr>
        <w:t xml:space="preserve">those comments </w:t>
      </w:r>
      <w:r w:rsidR="00E429E9">
        <w:rPr>
          <w:b w:val="0"/>
        </w:rPr>
        <w:t>were</w:t>
      </w:r>
      <w:r w:rsidR="00015E09">
        <w:rPr>
          <w:b w:val="0"/>
        </w:rPr>
        <w:t xml:space="preserve"> reviewed for consideration.  FNS acknowledges that the </w:t>
      </w:r>
      <w:r w:rsidR="00E429E9">
        <w:rPr>
          <w:b w:val="0"/>
        </w:rPr>
        <w:t>concerns</w:t>
      </w:r>
      <w:r w:rsidR="00015E09">
        <w:rPr>
          <w:b w:val="0"/>
        </w:rPr>
        <w:t xml:space="preserve"> in </w:t>
      </w:r>
      <w:r w:rsidR="00E429E9">
        <w:rPr>
          <w:b w:val="0"/>
        </w:rPr>
        <w:t xml:space="preserve">Attachments E and F </w:t>
      </w:r>
      <w:r w:rsidR="00015E09">
        <w:rPr>
          <w:b w:val="0"/>
        </w:rPr>
        <w:t>h</w:t>
      </w:r>
      <w:r w:rsidR="00E429E9">
        <w:rPr>
          <w:b w:val="0"/>
        </w:rPr>
        <w:t>ave</w:t>
      </w:r>
      <w:r w:rsidR="00015E09">
        <w:rPr>
          <w:b w:val="0"/>
        </w:rPr>
        <w:t xml:space="preserve"> been raised in other forms.</w:t>
      </w:r>
      <w:r>
        <w:rPr>
          <w:b w:val="0"/>
        </w:rPr>
        <w:t xml:space="preserve"> </w:t>
      </w:r>
      <w:r w:rsidR="00293016">
        <w:rPr>
          <w:b w:val="0"/>
        </w:rPr>
        <w:t xml:space="preserve"> </w:t>
      </w:r>
      <w:r w:rsidR="009C73C3" w:rsidRPr="009C73C3">
        <w:rPr>
          <w:b w:val="0"/>
        </w:rPr>
        <w:t>Th</w:t>
      </w:r>
      <w:r w:rsidR="009C73C3">
        <w:rPr>
          <w:b w:val="0"/>
        </w:rPr>
        <w:t>e</w:t>
      </w:r>
      <w:r w:rsidR="009C73C3" w:rsidRPr="009C73C3">
        <w:rPr>
          <w:b w:val="0"/>
        </w:rPr>
        <w:t xml:space="preserve"> collection of information is </w:t>
      </w:r>
      <w:r w:rsidR="009C73C3">
        <w:rPr>
          <w:b w:val="0"/>
        </w:rPr>
        <w:t xml:space="preserve">voluntary and </w:t>
      </w:r>
      <w:r w:rsidR="009C73C3" w:rsidRPr="009C73C3">
        <w:rPr>
          <w:b w:val="0"/>
        </w:rPr>
        <w:t>conducted in a manner consistent with the guidelines in 5 CFR 1320.5</w:t>
      </w:r>
      <w:r w:rsidR="009C73C3">
        <w:rPr>
          <w:b w:val="0"/>
        </w:rPr>
        <w:t>.   N</w:t>
      </w:r>
      <w:r w:rsidR="009B4FC9">
        <w:rPr>
          <w:b w:val="0"/>
        </w:rPr>
        <w:t xml:space="preserve">o action was required to be taken on these </w:t>
      </w:r>
      <w:r w:rsidR="00293016">
        <w:rPr>
          <w:b w:val="0"/>
        </w:rPr>
        <w:t>comments.</w:t>
      </w:r>
    </w:p>
    <w:p w:rsidR="00AB7799" w:rsidRDefault="00AB7799" w:rsidP="00AB7799">
      <w:pPr>
        <w:pStyle w:val="Heading1"/>
        <w:tabs>
          <w:tab w:val="left" w:pos="1900"/>
        </w:tabs>
        <w:spacing w:before="171"/>
        <w:ind w:left="1540" w:firstLine="0"/>
      </w:pPr>
      <w: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276B4F" w:rsidRDefault="00276B4F" w:rsidP="00AB7799">
      <w:pPr>
        <w:pStyle w:val="Heading1"/>
        <w:tabs>
          <w:tab w:val="left" w:pos="1900"/>
        </w:tabs>
        <w:spacing w:before="171"/>
        <w:ind w:left="1540" w:firstLine="0"/>
        <w:rPr>
          <w:b w:val="0"/>
        </w:rPr>
      </w:pPr>
    </w:p>
    <w:p w:rsidR="006209DE" w:rsidRDefault="005A4660" w:rsidP="006209DE">
      <w:pPr>
        <w:pStyle w:val="Heading1"/>
        <w:numPr>
          <w:ilvl w:val="0"/>
          <w:numId w:val="7"/>
        </w:numPr>
        <w:tabs>
          <w:tab w:val="left" w:pos="1900"/>
        </w:tabs>
        <w:spacing w:before="171" w:line="480" w:lineRule="auto"/>
        <w:rPr>
          <w:b w:val="0"/>
        </w:rPr>
      </w:pPr>
      <w:r>
        <w:rPr>
          <w:b w:val="0"/>
        </w:rPr>
        <w:t xml:space="preserve">The Food and Nutrition Service (FNS) used a collaborative approach when conducting Meetings with the Administrative Review Officers (AROs) to determine if a formal report or form was needed.  </w:t>
      </w:r>
      <w:r w:rsidR="00855F3B">
        <w:rPr>
          <w:b w:val="0"/>
        </w:rPr>
        <w:t>In a meeting held on January 25, 2018, t</w:t>
      </w:r>
      <w:r>
        <w:rPr>
          <w:b w:val="0"/>
        </w:rPr>
        <w:t>he AROs concluded that, because each response was unique to the individual retailer’s circumstances, no specific form or format was required from respondents requesting Administrative Review action.  The AROs determined that a form would bring greater complexity to the process than necessary.</w:t>
      </w:r>
    </w:p>
    <w:p w:rsidR="006209DE" w:rsidRDefault="006209DE" w:rsidP="006209DE">
      <w:pPr>
        <w:pStyle w:val="Heading1"/>
        <w:tabs>
          <w:tab w:val="left" w:pos="1900"/>
        </w:tabs>
        <w:spacing w:before="171" w:line="480" w:lineRule="auto"/>
        <w:ind w:left="1540" w:firstLine="0"/>
        <w:rPr>
          <w:b w:val="0"/>
        </w:rPr>
      </w:pPr>
    </w:p>
    <w:p w:rsidR="00773052" w:rsidRDefault="00773052" w:rsidP="006209DE">
      <w:pPr>
        <w:pStyle w:val="Heading1"/>
        <w:tabs>
          <w:tab w:val="left" w:pos="1900"/>
        </w:tabs>
        <w:spacing w:before="171" w:line="480" w:lineRule="auto"/>
        <w:ind w:left="1540" w:firstLine="0"/>
        <w:rPr>
          <w:b w:val="0"/>
        </w:rPr>
      </w:pPr>
    </w:p>
    <w:p w:rsidR="005A4660" w:rsidRDefault="005A4660" w:rsidP="005A4660">
      <w:pPr>
        <w:pStyle w:val="Heading1"/>
        <w:numPr>
          <w:ilvl w:val="0"/>
          <w:numId w:val="2"/>
        </w:numPr>
        <w:tabs>
          <w:tab w:val="left" w:pos="1900"/>
        </w:tabs>
        <w:spacing w:before="171"/>
        <w:jc w:val="left"/>
      </w:pPr>
      <w:r>
        <w:t>Explain any decision to provide any payment or gift to respondents, other than remuneration of contractors or grantees.</w:t>
      </w:r>
    </w:p>
    <w:p w:rsidR="00162B68" w:rsidRDefault="00162B68" w:rsidP="00162B68">
      <w:pPr>
        <w:pStyle w:val="Heading1"/>
        <w:tabs>
          <w:tab w:val="left" w:pos="1900"/>
        </w:tabs>
        <w:spacing w:before="171"/>
        <w:ind w:firstLine="0"/>
        <w:jc w:val="right"/>
      </w:pPr>
    </w:p>
    <w:p w:rsidR="00773052" w:rsidRDefault="005A4660" w:rsidP="00773052">
      <w:pPr>
        <w:pStyle w:val="Heading1"/>
        <w:tabs>
          <w:tab w:val="left" w:pos="1900"/>
        </w:tabs>
        <w:spacing w:before="171" w:line="480" w:lineRule="auto"/>
        <w:ind w:firstLine="0"/>
        <w:rPr>
          <w:b w:val="0"/>
        </w:rPr>
      </w:pPr>
      <w:r>
        <w:rPr>
          <w:b w:val="0"/>
        </w:rPr>
        <w:t>We do not provide any payment or gifts to the respondents for their submission of data or information collection.</w:t>
      </w:r>
    </w:p>
    <w:p w:rsidR="00773052" w:rsidRDefault="00773052" w:rsidP="001D77FB">
      <w:pPr>
        <w:pStyle w:val="Heading1"/>
        <w:tabs>
          <w:tab w:val="left" w:pos="1900"/>
        </w:tabs>
        <w:spacing w:before="171" w:line="360" w:lineRule="auto"/>
        <w:ind w:firstLine="0"/>
        <w:rPr>
          <w:b w:val="0"/>
        </w:rPr>
      </w:pPr>
    </w:p>
    <w:p w:rsidR="005A4660" w:rsidRDefault="005A4660" w:rsidP="005A4660">
      <w:pPr>
        <w:pStyle w:val="Heading1"/>
        <w:numPr>
          <w:ilvl w:val="0"/>
          <w:numId w:val="2"/>
        </w:numPr>
        <w:tabs>
          <w:tab w:val="left" w:pos="1900"/>
        </w:tabs>
        <w:spacing w:before="171"/>
        <w:jc w:val="left"/>
      </w:pPr>
      <w:r>
        <w:t>Describe any assurance of confidentiality provided to respondents and the basis for the assurance in statute, regulation, or agency policy.</w:t>
      </w:r>
    </w:p>
    <w:p w:rsidR="00162B68" w:rsidRDefault="00162B68" w:rsidP="00162B68">
      <w:pPr>
        <w:pStyle w:val="Heading1"/>
        <w:tabs>
          <w:tab w:val="left" w:pos="1900"/>
        </w:tabs>
        <w:spacing w:before="171"/>
        <w:ind w:firstLine="0"/>
        <w:jc w:val="right"/>
      </w:pPr>
    </w:p>
    <w:p w:rsidR="00276B4F" w:rsidRDefault="005A4660" w:rsidP="005A4660">
      <w:pPr>
        <w:pStyle w:val="Heading1"/>
        <w:tabs>
          <w:tab w:val="left" w:pos="1900"/>
        </w:tabs>
        <w:spacing w:before="171" w:line="480" w:lineRule="auto"/>
        <w:ind w:firstLine="0"/>
        <w:rPr>
          <w:b w:val="0"/>
        </w:rPr>
      </w:pPr>
      <w:r>
        <w:rPr>
          <w:b w:val="0"/>
        </w:rPr>
        <w:t>The Privacy Act requires that before personal identifying information (such as SSN or EIN) may be shared with other entities, a Privacy Notice must first be published.  FNS published such a Privacy Act notice (System of Records (SORNs</w:t>
      </w:r>
      <w:r w:rsidR="0062254B">
        <w:rPr>
          <w:b w:val="0"/>
        </w:rPr>
        <w:t>)) to specify the uses to be made of the information in this collection.  This notice was titled USDA/FNS-9 Supplemental Nutrition Assistance Program Retailer Information published in the Federal Register on December 27, 2010, Volume 75, Number 247, and is located on pages 81205-81209.  The request for an administrative review is considered to be a private part of the firm’s FNS record, protected by the Supplemental Nutrition Assistance Program regulations and the Privacy Act.</w:t>
      </w:r>
    </w:p>
    <w:p w:rsidR="00276B4F" w:rsidRDefault="00276B4F" w:rsidP="00276B4F">
      <w:pPr>
        <w:pStyle w:val="Heading1"/>
        <w:tabs>
          <w:tab w:val="left" w:pos="1900"/>
        </w:tabs>
        <w:spacing w:before="171"/>
        <w:ind w:firstLine="0"/>
        <w:rPr>
          <w:b w:val="0"/>
        </w:rPr>
      </w:pPr>
    </w:p>
    <w:p w:rsidR="00014A96" w:rsidRDefault="00014A96" w:rsidP="005A4660">
      <w:pPr>
        <w:pStyle w:val="Heading1"/>
        <w:tabs>
          <w:tab w:val="left" w:pos="1900"/>
        </w:tabs>
        <w:spacing w:before="171" w:line="480" w:lineRule="auto"/>
        <w:ind w:firstLine="0"/>
        <w:rPr>
          <w:b w:val="0"/>
        </w:rPr>
      </w:pPr>
      <w:r>
        <w:rPr>
          <w:b w:val="0"/>
        </w:rPr>
        <w:t>The following personal information regarding owners and officers is contained in the system:  Name, home address, Social Security Number (SSN) or Employer Identification Number (EIN), and date of birth (DOB).  The SSNs/EINs are collected only from owners of sole proprietorships, partnerships, principal shareholders of private corporations, and officers of cooperatives.  Financial data (i.e., food sales, gross sales, and SNAP data) relative to each business entity currently authorized or previously authorized is also included in the STARS database.</w:t>
      </w:r>
    </w:p>
    <w:p w:rsidR="003E0606" w:rsidRDefault="003E0606" w:rsidP="005A4660">
      <w:pPr>
        <w:pStyle w:val="Heading1"/>
        <w:tabs>
          <w:tab w:val="left" w:pos="1900"/>
        </w:tabs>
        <w:spacing w:before="171" w:line="480" w:lineRule="auto"/>
        <w:ind w:firstLine="0"/>
        <w:rPr>
          <w:b w:val="0"/>
        </w:rPr>
      </w:pPr>
      <w:r>
        <w:rPr>
          <w:b w:val="0"/>
        </w:rPr>
        <w:t>Section 9 of the Act, U.S.C. 2018, authorizes collection of the information on the application.  Section 278.1(b) of the SNAP regulations provides for the collection of the owners’ SSN/EIN and tax information.</w:t>
      </w:r>
    </w:p>
    <w:p w:rsidR="003E0606" w:rsidRDefault="003E0606" w:rsidP="00276B4F">
      <w:pPr>
        <w:pStyle w:val="Heading1"/>
        <w:tabs>
          <w:tab w:val="left" w:pos="1900"/>
        </w:tabs>
        <w:spacing w:before="171"/>
        <w:rPr>
          <w:b w:val="0"/>
        </w:rPr>
      </w:pPr>
    </w:p>
    <w:p w:rsidR="003E0606" w:rsidRPr="003E0606" w:rsidRDefault="003E0606" w:rsidP="003E0606">
      <w:pPr>
        <w:pStyle w:val="Heading1"/>
        <w:numPr>
          <w:ilvl w:val="0"/>
          <w:numId w:val="2"/>
        </w:numPr>
        <w:tabs>
          <w:tab w:val="left" w:pos="1900"/>
        </w:tabs>
        <w:spacing w:before="171"/>
        <w:jc w:val="left"/>
      </w:pPr>
      <w: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E0606" w:rsidRDefault="003E0606" w:rsidP="00276B4F">
      <w:pPr>
        <w:pStyle w:val="Heading1"/>
        <w:tabs>
          <w:tab w:val="left" w:pos="1900"/>
        </w:tabs>
        <w:spacing w:before="171"/>
        <w:ind w:firstLine="0"/>
        <w:rPr>
          <w:b w:val="0"/>
        </w:rPr>
      </w:pPr>
    </w:p>
    <w:p w:rsidR="003E0606" w:rsidRDefault="003E0606" w:rsidP="003E0606">
      <w:pPr>
        <w:pStyle w:val="Heading1"/>
        <w:tabs>
          <w:tab w:val="left" w:pos="1900"/>
        </w:tabs>
        <w:spacing w:before="171" w:line="480" w:lineRule="auto"/>
        <w:ind w:firstLine="0"/>
        <w:rPr>
          <w:b w:val="0"/>
        </w:rPr>
      </w:pPr>
      <w:r>
        <w:rPr>
          <w:b w:val="0"/>
        </w:rPr>
        <w:t>There are no questions of a sensitive nature required to be included in a request for an administrative review.</w:t>
      </w:r>
    </w:p>
    <w:p w:rsidR="00375D5B" w:rsidRDefault="00375D5B" w:rsidP="00276B4F">
      <w:pPr>
        <w:pStyle w:val="Heading1"/>
        <w:tabs>
          <w:tab w:val="left" w:pos="1900"/>
        </w:tabs>
        <w:spacing w:before="171"/>
        <w:rPr>
          <w:b w:val="0"/>
        </w:rPr>
      </w:pPr>
    </w:p>
    <w:p w:rsidR="00766FF3" w:rsidRDefault="00685AF6">
      <w:pPr>
        <w:pStyle w:val="Heading1"/>
        <w:numPr>
          <w:ilvl w:val="0"/>
          <w:numId w:val="2"/>
        </w:numPr>
        <w:tabs>
          <w:tab w:val="left" w:pos="1179"/>
          <w:tab w:val="left" w:pos="1180"/>
        </w:tabs>
        <w:spacing w:before="197"/>
        <w:jc w:val="left"/>
      </w:pPr>
      <w:r>
        <w:t>Provide estimates of the hour burden of the collection of</w:t>
      </w:r>
      <w:r>
        <w:rPr>
          <w:spacing w:val="-10"/>
        </w:rPr>
        <w:t xml:space="preserve"> </w:t>
      </w:r>
      <w:r>
        <w:t>information.</w:t>
      </w:r>
      <w:r w:rsidR="00375D5B">
        <w:t xml:space="preserve">  The statement should include:</w:t>
      </w:r>
    </w:p>
    <w:p w:rsidR="00375D5B" w:rsidRDefault="00375D5B" w:rsidP="00375D5B">
      <w:pPr>
        <w:pStyle w:val="Heading1"/>
        <w:numPr>
          <w:ilvl w:val="0"/>
          <w:numId w:val="8"/>
        </w:numPr>
        <w:tabs>
          <w:tab w:val="left" w:pos="1179"/>
          <w:tab w:val="left" w:pos="1180"/>
        </w:tabs>
        <w:spacing w:before="197"/>
      </w:pPr>
      <w: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66FF3" w:rsidRDefault="00766FF3">
      <w:pPr>
        <w:pStyle w:val="BodyText"/>
        <w:rPr>
          <w:b/>
          <w:sz w:val="26"/>
        </w:rPr>
      </w:pPr>
    </w:p>
    <w:p w:rsidR="00766FF3" w:rsidRDefault="00766FF3">
      <w:pPr>
        <w:pStyle w:val="BodyText"/>
        <w:rPr>
          <w:b/>
          <w:sz w:val="26"/>
        </w:rPr>
      </w:pPr>
    </w:p>
    <w:p w:rsidR="00766FF3" w:rsidRDefault="00685AF6" w:rsidP="000B62AC">
      <w:pPr>
        <w:pStyle w:val="BodyText"/>
        <w:spacing w:line="480" w:lineRule="auto"/>
        <w:ind w:left="1180"/>
      </w:pPr>
      <w:r>
        <w:t xml:space="preserve">The </w:t>
      </w:r>
      <w:r w:rsidR="00311A66">
        <w:t>affected public is business-for-profit</w:t>
      </w:r>
      <w:r w:rsidR="00F75719">
        <w:t xml:space="preserve"> and farms</w:t>
      </w:r>
      <w:r w:rsidR="00311A66">
        <w:t xml:space="preserve">.  The </w:t>
      </w:r>
      <w:r>
        <w:t xml:space="preserve">estimated number of respondents is </w:t>
      </w:r>
      <w:r w:rsidR="000B62AC">
        <w:t xml:space="preserve">1,282.  </w:t>
      </w:r>
      <w:r>
        <w:t>There are 1.2 responses per</w:t>
      </w:r>
      <w:r w:rsidR="000B62AC">
        <w:t xml:space="preserve"> respondent, </w:t>
      </w:r>
      <w:r w:rsidR="00311A66">
        <w:t xml:space="preserve">for a total of 1,538.4 total annual responses </w:t>
      </w:r>
      <w:r w:rsidR="000B62AC">
        <w:t>and it is estimated that a response will take an average of 0.17 hours</w:t>
      </w:r>
      <w:r w:rsidR="00311A66">
        <w:t xml:space="preserve"> per request</w:t>
      </w:r>
      <w:r w:rsidR="000B62AC">
        <w:t>.  The total annual reporting burden is estimated at 262 hours.</w:t>
      </w:r>
    </w:p>
    <w:p w:rsidR="00773052" w:rsidRDefault="00773052" w:rsidP="000B62AC">
      <w:pPr>
        <w:pStyle w:val="BodyText"/>
        <w:spacing w:line="480" w:lineRule="auto"/>
        <w:ind w:left="1180"/>
      </w:pPr>
    </w:p>
    <w:p w:rsidR="00773052" w:rsidRDefault="00773052" w:rsidP="000B62AC">
      <w:pPr>
        <w:pStyle w:val="BodyText"/>
        <w:spacing w:line="480" w:lineRule="auto"/>
        <w:ind w:left="1180"/>
      </w:pPr>
    </w:p>
    <w:tbl>
      <w:tblPr>
        <w:tblW w:w="10080" w:type="dxa"/>
        <w:tblInd w:w="18" w:type="dxa"/>
        <w:tblLayout w:type="fixed"/>
        <w:tblLook w:val="04A0" w:firstRow="1" w:lastRow="0" w:firstColumn="1" w:lastColumn="0" w:noHBand="0" w:noVBand="1"/>
      </w:tblPr>
      <w:tblGrid>
        <w:gridCol w:w="900"/>
        <w:gridCol w:w="6"/>
        <w:gridCol w:w="1001"/>
        <w:gridCol w:w="73"/>
        <w:gridCol w:w="90"/>
        <w:gridCol w:w="1170"/>
        <w:gridCol w:w="1170"/>
        <w:gridCol w:w="990"/>
        <w:gridCol w:w="990"/>
        <w:gridCol w:w="990"/>
        <w:gridCol w:w="810"/>
        <w:gridCol w:w="720"/>
        <w:gridCol w:w="1170"/>
      </w:tblGrid>
      <w:tr w:rsidR="001A5CD3" w:rsidRPr="00063BF2" w:rsidTr="00393A97">
        <w:trPr>
          <w:trHeight w:val="294"/>
        </w:trPr>
        <w:tc>
          <w:tcPr>
            <w:tcW w:w="10080" w:type="dxa"/>
            <w:gridSpan w:val="1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A5CD3" w:rsidRPr="00063BF2" w:rsidRDefault="001A5CD3" w:rsidP="00063BF2">
            <w:pPr>
              <w:adjustRightInd w:val="0"/>
              <w:jc w:val="center"/>
              <w:rPr>
                <w:b/>
                <w:bCs/>
                <w:color w:val="000000"/>
                <w:sz w:val="16"/>
                <w:szCs w:val="16"/>
              </w:rPr>
            </w:pPr>
            <w:r w:rsidRPr="00063BF2">
              <w:rPr>
                <w:b/>
                <w:bCs/>
                <w:color w:val="000000"/>
                <w:sz w:val="16"/>
                <w:szCs w:val="16"/>
              </w:rPr>
              <w:t xml:space="preserve">REPORTING BURDEN </w:t>
            </w:r>
          </w:p>
        </w:tc>
      </w:tr>
      <w:tr w:rsidR="00063BF2" w:rsidRPr="00063BF2" w:rsidTr="00790FA4">
        <w:trPr>
          <w:trHeight w:val="630"/>
        </w:trPr>
        <w:tc>
          <w:tcPr>
            <w:tcW w:w="900" w:type="dxa"/>
            <w:tcBorders>
              <w:top w:val="nil"/>
              <w:left w:val="single" w:sz="4" w:space="0" w:color="auto"/>
              <w:bottom w:val="single" w:sz="4" w:space="0" w:color="000000"/>
              <w:right w:val="single" w:sz="4" w:space="0" w:color="auto"/>
            </w:tcBorders>
            <w:shd w:val="clear" w:color="000000" w:fill="FFFF00"/>
            <w:vAlign w:val="center"/>
            <w:hideMark/>
          </w:tcPr>
          <w:p w:rsidR="00063BF2" w:rsidRPr="00063BF2" w:rsidRDefault="00063BF2" w:rsidP="00063BF2">
            <w:pPr>
              <w:adjustRightInd w:val="0"/>
              <w:jc w:val="center"/>
              <w:rPr>
                <w:b/>
                <w:bCs/>
                <w:color w:val="000000"/>
                <w:sz w:val="16"/>
                <w:szCs w:val="16"/>
              </w:rPr>
            </w:pPr>
            <w:r w:rsidRPr="00063BF2">
              <w:rPr>
                <w:b/>
                <w:bCs/>
                <w:color w:val="000000"/>
                <w:sz w:val="16"/>
                <w:szCs w:val="16"/>
              </w:rPr>
              <w:t>Affected Public</w:t>
            </w:r>
          </w:p>
        </w:tc>
        <w:tc>
          <w:tcPr>
            <w:tcW w:w="1170" w:type="dxa"/>
            <w:gridSpan w:val="4"/>
            <w:tcBorders>
              <w:top w:val="nil"/>
              <w:left w:val="nil"/>
              <w:bottom w:val="single" w:sz="4" w:space="0" w:color="000000"/>
              <w:right w:val="single" w:sz="4" w:space="0" w:color="auto"/>
            </w:tcBorders>
            <w:shd w:val="clear" w:color="000000" w:fill="FFFF00"/>
            <w:vAlign w:val="center"/>
            <w:hideMark/>
          </w:tcPr>
          <w:p w:rsidR="00063BF2" w:rsidRPr="00063BF2" w:rsidRDefault="00063BF2" w:rsidP="00063BF2">
            <w:pPr>
              <w:adjustRightInd w:val="0"/>
              <w:jc w:val="center"/>
              <w:rPr>
                <w:b/>
                <w:bCs/>
                <w:color w:val="000000"/>
                <w:sz w:val="16"/>
                <w:szCs w:val="16"/>
              </w:rPr>
            </w:pPr>
            <w:r w:rsidRPr="00063BF2">
              <w:rPr>
                <w:b/>
                <w:bCs/>
                <w:color w:val="000000"/>
                <w:sz w:val="16"/>
                <w:szCs w:val="16"/>
              </w:rPr>
              <w:t>Respondent Type</w:t>
            </w:r>
          </w:p>
        </w:tc>
        <w:tc>
          <w:tcPr>
            <w:tcW w:w="1170" w:type="dxa"/>
            <w:tcBorders>
              <w:top w:val="nil"/>
              <w:left w:val="nil"/>
              <w:bottom w:val="single" w:sz="4" w:space="0" w:color="auto"/>
              <w:right w:val="single" w:sz="4" w:space="0" w:color="auto"/>
            </w:tcBorders>
            <w:shd w:val="clear" w:color="000000" w:fill="FFFF00"/>
            <w:vAlign w:val="center"/>
            <w:hideMark/>
          </w:tcPr>
          <w:p w:rsidR="00063BF2" w:rsidRPr="00063BF2" w:rsidRDefault="00063BF2" w:rsidP="00063BF2">
            <w:pPr>
              <w:adjustRightInd w:val="0"/>
              <w:jc w:val="center"/>
              <w:rPr>
                <w:b/>
                <w:bCs/>
                <w:color w:val="000000"/>
                <w:sz w:val="16"/>
                <w:szCs w:val="16"/>
              </w:rPr>
            </w:pPr>
            <w:r w:rsidRPr="00063BF2">
              <w:rPr>
                <w:b/>
                <w:bCs/>
                <w:color w:val="000000"/>
                <w:sz w:val="16"/>
                <w:szCs w:val="16"/>
              </w:rPr>
              <w:t>Instrument</w:t>
            </w:r>
          </w:p>
        </w:tc>
        <w:tc>
          <w:tcPr>
            <w:tcW w:w="1170" w:type="dxa"/>
            <w:tcBorders>
              <w:top w:val="nil"/>
              <w:left w:val="nil"/>
              <w:bottom w:val="single" w:sz="4" w:space="0" w:color="auto"/>
              <w:right w:val="single" w:sz="4" w:space="0" w:color="auto"/>
            </w:tcBorders>
            <w:shd w:val="clear" w:color="000000" w:fill="FFFF00"/>
            <w:vAlign w:val="center"/>
            <w:hideMark/>
          </w:tcPr>
          <w:p w:rsidR="00063BF2" w:rsidRPr="00063BF2" w:rsidRDefault="00063BF2" w:rsidP="00063BF2">
            <w:pPr>
              <w:adjustRightInd w:val="0"/>
              <w:jc w:val="center"/>
              <w:rPr>
                <w:b/>
                <w:bCs/>
                <w:color w:val="000000"/>
                <w:sz w:val="16"/>
                <w:szCs w:val="16"/>
              </w:rPr>
            </w:pPr>
            <w:r w:rsidRPr="00063BF2">
              <w:rPr>
                <w:b/>
                <w:bCs/>
                <w:color w:val="000000"/>
                <w:sz w:val="16"/>
                <w:szCs w:val="16"/>
              </w:rPr>
              <w:t>Number</w:t>
            </w:r>
          </w:p>
          <w:p w:rsidR="00063BF2" w:rsidRPr="00063BF2" w:rsidRDefault="00063BF2" w:rsidP="00063BF2">
            <w:pPr>
              <w:adjustRightInd w:val="0"/>
              <w:jc w:val="center"/>
              <w:rPr>
                <w:b/>
                <w:bCs/>
                <w:color w:val="000000"/>
                <w:sz w:val="16"/>
                <w:szCs w:val="16"/>
              </w:rPr>
            </w:pPr>
            <w:r w:rsidRPr="00063BF2">
              <w:rPr>
                <w:b/>
                <w:bCs/>
                <w:color w:val="000000"/>
                <w:sz w:val="16"/>
                <w:szCs w:val="16"/>
              </w:rPr>
              <w:t>of Respondents</w:t>
            </w:r>
          </w:p>
        </w:tc>
        <w:tc>
          <w:tcPr>
            <w:tcW w:w="990" w:type="dxa"/>
            <w:tcBorders>
              <w:top w:val="nil"/>
              <w:left w:val="nil"/>
              <w:bottom w:val="single" w:sz="4" w:space="0" w:color="auto"/>
              <w:right w:val="single" w:sz="4" w:space="0" w:color="auto"/>
            </w:tcBorders>
            <w:shd w:val="clear" w:color="000000" w:fill="FFFF00"/>
            <w:vAlign w:val="center"/>
            <w:hideMark/>
          </w:tcPr>
          <w:p w:rsidR="00063BF2" w:rsidRPr="00063BF2" w:rsidRDefault="00063BF2" w:rsidP="00063BF2">
            <w:pPr>
              <w:adjustRightInd w:val="0"/>
              <w:jc w:val="center"/>
              <w:rPr>
                <w:b/>
                <w:bCs/>
                <w:sz w:val="16"/>
                <w:szCs w:val="16"/>
              </w:rPr>
            </w:pPr>
            <w:r w:rsidRPr="00063BF2">
              <w:rPr>
                <w:b/>
                <w:bCs/>
                <w:sz w:val="16"/>
                <w:szCs w:val="16"/>
              </w:rPr>
              <w:t>Frequency of Annual Responses</w:t>
            </w:r>
          </w:p>
        </w:tc>
        <w:tc>
          <w:tcPr>
            <w:tcW w:w="990" w:type="dxa"/>
            <w:tcBorders>
              <w:top w:val="nil"/>
              <w:left w:val="nil"/>
              <w:bottom w:val="single" w:sz="4" w:space="0" w:color="auto"/>
              <w:right w:val="single" w:sz="4" w:space="0" w:color="auto"/>
            </w:tcBorders>
            <w:shd w:val="clear" w:color="000000" w:fill="FFFF00"/>
            <w:vAlign w:val="center"/>
            <w:hideMark/>
          </w:tcPr>
          <w:p w:rsidR="00063BF2" w:rsidRPr="00063BF2" w:rsidRDefault="00063BF2" w:rsidP="00063BF2">
            <w:pPr>
              <w:adjustRightInd w:val="0"/>
              <w:jc w:val="center"/>
              <w:rPr>
                <w:b/>
                <w:bCs/>
                <w:sz w:val="16"/>
                <w:szCs w:val="16"/>
              </w:rPr>
            </w:pPr>
            <w:r w:rsidRPr="00063BF2">
              <w:rPr>
                <w:b/>
                <w:bCs/>
                <w:sz w:val="16"/>
                <w:szCs w:val="16"/>
              </w:rPr>
              <w:t>Total Annual Responses</w:t>
            </w:r>
          </w:p>
        </w:tc>
        <w:tc>
          <w:tcPr>
            <w:tcW w:w="990" w:type="dxa"/>
            <w:tcBorders>
              <w:top w:val="nil"/>
              <w:left w:val="nil"/>
              <w:bottom w:val="single" w:sz="4" w:space="0" w:color="auto"/>
              <w:right w:val="single" w:sz="4" w:space="0" w:color="auto"/>
            </w:tcBorders>
            <w:shd w:val="clear" w:color="000000" w:fill="FFFF00"/>
            <w:vAlign w:val="center"/>
            <w:hideMark/>
          </w:tcPr>
          <w:p w:rsidR="00063BF2" w:rsidRPr="00063BF2" w:rsidRDefault="00063BF2" w:rsidP="00063BF2">
            <w:pPr>
              <w:adjustRightInd w:val="0"/>
              <w:jc w:val="center"/>
              <w:rPr>
                <w:b/>
                <w:bCs/>
                <w:sz w:val="16"/>
                <w:szCs w:val="16"/>
              </w:rPr>
            </w:pPr>
            <w:r w:rsidRPr="00063BF2">
              <w:rPr>
                <w:b/>
                <w:bCs/>
                <w:sz w:val="16"/>
                <w:szCs w:val="16"/>
              </w:rPr>
              <w:t>Estimated Time per Response</w:t>
            </w:r>
          </w:p>
        </w:tc>
        <w:tc>
          <w:tcPr>
            <w:tcW w:w="810" w:type="dxa"/>
            <w:tcBorders>
              <w:top w:val="nil"/>
              <w:left w:val="nil"/>
              <w:bottom w:val="single" w:sz="4" w:space="0" w:color="auto"/>
              <w:right w:val="single" w:sz="4" w:space="0" w:color="auto"/>
            </w:tcBorders>
            <w:shd w:val="clear" w:color="000000" w:fill="FFFF00"/>
            <w:vAlign w:val="center"/>
            <w:hideMark/>
          </w:tcPr>
          <w:p w:rsidR="00063BF2" w:rsidRPr="00063BF2" w:rsidRDefault="00063BF2" w:rsidP="00063BF2">
            <w:pPr>
              <w:adjustRightInd w:val="0"/>
              <w:jc w:val="center"/>
              <w:rPr>
                <w:b/>
                <w:bCs/>
                <w:color w:val="000000"/>
                <w:sz w:val="16"/>
                <w:szCs w:val="16"/>
              </w:rPr>
            </w:pPr>
            <w:r w:rsidRPr="00063BF2">
              <w:rPr>
                <w:b/>
                <w:bCs/>
                <w:color w:val="000000"/>
                <w:sz w:val="16"/>
                <w:szCs w:val="16"/>
              </w:rPr>
              <w:t>Estimated Total Annual Burden Hours</w:t>
            </w:r>
          </w:p>
        </w:tc>
        <w:tc>
          <w:tcPr>
            <w:tcW w:w="720" w:type="dxa"/>
            <w:tcBorders>
              <w:top w:val="nil"/>
              <w:left w:val="nil"/>
              <w:bottom w:val="single" w:sz="4" w:space="0" w:color="auto"/>
              <w:right w:val="single" w:sz="4" w:space="0" w:color="auto"/>
            </w:tcBorders>
            <w:shd w:val="clear" w:color="000000" w:fill="FFFF00"/>
          </w:tcPr>
          <w:p w:rsidR="00063BF2" w:rsidRPr="00063BF2" w:rsidRDefault="00063BF2" w:rsidP="00063BF2">
            <w:pPr>
              <w:adjustRightInd w:val="0"/>
              <w:jc w:val="center"/>
              <w:rPr>
                <w:b/>
                <w:bCs/>
                <w:color w:val="000000"/>
                <w:sz w:val="16"/>
                <w:szCs w:val="16"/>
              </w:rPr>
            </w:pPr>
            <w:r w:rsidRPr="00063BF2">
              <w:rPr>
                <w:b/>
                <w:bCs/>
                <w:color w:val="000000"/>
                <w:sz w:val="16"/>
                <w:szCs w:val="16"/>
              </w:rPr>
              <w:t>Hourly Wage Rate</w:t>
            </w:r>
          </w:p>
        </w:tc>
        <w:tc>
          <w:tcPr>
            <w:tcW w:w="1170" w:type="dxa"/>
            <w:tcBorders>
              <w:top w:val="nil"/>
              <w:left w:val="nil"/>
              <w:bottom w:val="single" w:sz="4" w:space="0" w:color="auto"/>
              <w:right w:val="single" w:sz="4" w:space="0" w:color="auto"/>
            </w:tcBorders>
            <w:shd w:val="clear" w:color="000000" w:fill="FFFF00"/>
          </w:tcPr>
          <w:p w:rsidR="00063BF2" w:rsidRPr="00063BF2" w:rsidRDefault="00063BF2" w:rsidP="00063BF2">
            <w:pPr>
              <w:adjustRightInd w:val="0"/>
              <w:jc w:val="center"/>
              <w:rPr>
                <w:b/>
                <w:bCs/>
                <w:color w:val="000000"/>
                <w:sz w:val="16"/>
                <w:szCs w:val="16"/>
              </w:rPr>
            </w:pPr>
            <w:r w:rsidRPr="00063BF2">
              <w:rPr>
                <w:b/>
                <w:bCs/>
                <w:color w:val="000000"/>
                <w:sz w:val="16"/>
                <w:szCs w:val="16"/>
              </w:rPr>
              <w:t>Total Annual Cost to Respondents</w:t>
            </w:r>
          </w:p>
        </w:tc>
      </w:tr>
      <w:tr w:rsidR="00063BF2" w:rsidRPr="00063BF2" w:rsidTr="00790FA4">
        <w:trPr>
          <w:trHeight w:val="433"/>
        </w:trPr>
        <w:tc>
          <w:tcPr>
            <w:tcW w:w="900" w:type="dxa"/>
            <w:tcBorders>
              <w:top w:val="nil"/>
              <w:left w:val="single" w:sz="4" w:space="0" w:color="auto"/>
              <w:bottom w:val="single" w:sz="4" w:space="0" w:color="000000"/>
              <w:right w:val="single" w:sz="4" w:space="0" w:color="auto"/>
            </w:tcBorders>
            <w:shd w:val="clear" w:color="auto" w:fill="auto"/>
            <w:hideMark/>
          </w:tcPr>
          <w:p w:rsidR="00063BF2" w:rsidRPr="00063BF2" w:rsidRDefault="00063BF2" w:rsidP="00063BF2">
            <w:pPr>
              <w:adjustRightInd w:val="0"/>
              <w:rPr>
                <w:rFonts w:ascii="Calibri" w:hAnsi="Calibri"/>
                <w:color w:val="000000"/>
                <w:sz w:val="16"/>
                <w:szCs w:val="16"/>
              </w:rPr>
            </w:pPr>
            <w:r w:rsidRPr="00063BF2">
              <w:rPr>
                <w:rFonts w:ascii="Calibri" w:hAnsi="Calibri"/>
                <w:color w:val="000000"/>
                <w:sz w:val="16"/>
                <w:szCs w:val="16"/>
              </w:rPr>
              <w:t>Business-for-and-not-for-profit</w:t>
            </w:r>
          </w:p>
        </w:tc>
        <w:tc>
          <w:tcPr>
            <w:tcW w:w="1170" w:type="dxa"/>
            <w:gridSpan w:val="4"/>
            <w:tcBorders>
              <w:top w:val="nil"/>
              <w:left w:val="single" w:sz="4" w:space="0" w:color="auto"/>
              <w:bottom w:val="single" w:sz="4" w:space="0" w:color="000000"/>
              <w:right w:val="single" w:sz="4" w:space="0" w:color="auto"/>
            </w:tcBorders>
            <w:shd w:val="clear" w:color="auto" w:fill="auto"/>
            <w:hideMark/>
          </w:tcPr>
          <w:p w:rsidR="00063BF2" w:rsidRPr="00063BF2" w:rsidRDefault="00063BF2" w:rsidP="00063BF2">
            <w:pPr>
              <w:adjustRightInd w:val="0"/>
              <w:rPr>
                <w:rFonts w:ascii="Calibri" w:hAnsi="Calibri"/>
                <w:color w:val="000000"/>
                <w:sz w:val="16"/>
                <w:szCs w:val="16"/>
              </w:rPr>
            </w:pPr>
            <w:r w:rsidRPr="00063BF2">
              <w:rPr>
                <w:rFonts w:ascii="Calibri" w:hAnsi="Calibri"/>
                <w:color w:val="000000"/>
                <w:sz w:val="16"/>
                <w:szCs w:val="16"/>
              </w:rPr>
              <w:t>Public benefit corporations;</w:t>
            </w:r>
            <w:r w:rsidRPr="00063BF2">
              <w:rPr>
                <w:rFonts w:ascii="Calibri" w:hAnsi="Calibri"/>
                <w:color w:val="000000"/>
                <w:sz w:val="16"/>
                <w:szCs w:val="16"/>
              </w:rPr>
              <w:br/>
              <w:t>Economic development corporations; non-profit</w:t>
            </w:r>
          </w:p>
        </w:tc>
        <w:tc>
          <w:tcPr>
            <w:tcW w:w="1170" w:type="dxa"/>
            <w:tcBorders>
              <w:top w:val="nil"/>
              <w:left w:val="nil"/>
              <w:bottom w:val="nil"/>
              <w:right w:val="nil"/>
            </w:tcBorders>
            <w:shd w:val="clear" w:color="auto" w:fill="auto"/>
            <w:vAlign w:val="center"/>
            <w:hideMark/>
          </w:tcPr>
          <w:p w:rsidR="00063BF2" w:rsidRPr="00063BF2" w:rsidRDefault="00063BF2" w:rsidP="00063BF2">
            <w:pPr>
              <w:adjustRightInd w:val="0"/>
              <w:jc w:val="center"/>
              <w:rPr>
                <w:rFonts w:ascii="Calibri" w:hAnsi="Calibri"/>
                <w:color w:val="000000"/>
                <w:sz w:val="16"/>
                <w:szCs w:val="16"/>
              </w:rPr>
            </w:pPr>
            <w:r w:rsidRPr="00063BF2">
              <w:rPr>
                <w:rFonts w:ascii="Calibri" w:hAnsi="Calibri"/>
                <w:color w:val="000000"/>
                <w:sz w:val="16"/>
                <w:szCs w:val="16"/>
              </w:rPr>
              <w:t>Administrative Review Request</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CB139F" w:rsidRDefault="00CB139F" w:rsidP="00CB139F">
            <w:pPr>
              <w:adjustRightInd w:val="0"/>
              <w:rPr>
                <w:rFonts w:ascii="Calibri" w:hAnsi="Calibri"/>
                <w:color w:val="000000"/>
                <w:sz w:val="16"/>
                <w:szCs w:val="16"/>
              </w:rPr>
            </w:pPr>
          </w:p>
          <w:p w:rsidR="00063BF2" w:rsidRPr="00063BF2" w:rsidRDefault="00063BF2" w:rsidP="00CB139F">
            <w:pPr>
              <w:adjustRightInd w:val="0"/>
              <w:jc w:val="center"/>
              <w:rPr>
                <w:rFonts w:ascii="Calibri" w:hAnsi="Calibri"/>
                <w:color w:val="000000"/>
                <w:sz w:val="16"/>
                <w:szCs w:val="16"/>
              </w:rPr>
            </w:pPr>
            <w:r>
              <w:rPr>
                <w:rFonts w:ascii="Calibri" w:hAnsi="Calibri"/>
                <w:color w:val="000000"/>
                <w:sz w:val="16"/>
                <w:szCs w:val="16"/>
              </w:rPr>
              <w:t>1,2</w:t>
            </w:r>
            <w:r w:rsidR="00CB139F">
              <w:rPr>
                <w:rFonts w:ascii="Calibri" w:hAnsi="Calibri"/>
                <w:color w:val="000000"/>
                <w:sz w:val="16"/>
                <w:szCs w:val="16"/>
              </w:rPr>
              <w:t>81</w:t>
            </w:r>
          </w:p>
        </w:tc>
        <w:tc>
          <w:tcPr>
            <w:tcW w:w="990" w:type="dxa"/>
            <w:tcBorders>
              <w:top w:val="nil"/>
              <w:left w:val="nil"/>
              <w:bottom w:val="single" w:sz="4" w:space="0" w:color="auto"/>
              <w:right w:val="single" w:sz="4" w:space="0" w:color="auto"/>
            </w:tcBorders>
            <w:shd w:val="clear" w:color="auto" w:fill="auto"/>
            <w:vAlign w:val="center"/>
            <w:hideMark/>
          </w:tcPr>
          <w:p w:rsidR="00CB139F" w:rsidRDefault="00CB139F" w:rsidP="00CB139F">
            <w:pPr>
              <w:adjustRightInd w:val="0"/>
              <w:rPr>
                <w:rFonts w:ascii="Calibri" w:hAnsi="Calibri"/>
                <w:color w:val="000000"/>
                <w:sz w:val="16"/>
                <w:szCs w:val="16"/>
              </w:rPr>
            </w:pPr>
          </w:p>
          <w:p w:rsidR="00063BF2" w:rsidRPr="00063BF2" w:rsidRDefault="00063BF2" w:rsidP="00CB139F">
            <w:pPr>
              <w:adjustRightInd w:val="0"/>
              <w:jc w:val="center"/>
              <w:rPr>
                <w:rFonts w:ascii="Calibri" w:hAnsi="Calibri"/>
                <w:color w:val="000000"/>
                <w:sz w:val="16"/>
                <w:szCs w:val="16"/>
              </w:rPr>
            </w:pPr>
            <w:r w:rsidRPr="00063BF2">
              <w:rPr>
                <w:rFonts w:ascii="Calibri" w:hAnsi="Calibri"/>
                <w:color w:val="000000"/>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rsidR="00CB139F" w:rsidRDefault="00CB139F" w:rsidP="00CB139F">
            <w:pPr>
              <w:adjustRightInd w:val="0"/>
              <w:rPr>
                <w:rFonts w:ascii="Calibri" w:hAnsi="Calibri"/>
                <w:color w:val="000000"/>
                <w:sz w:val="16"/>
                <w:szCs w:val="16"/>
              </w:rPr>
            </w:pPr>
          </w:p>
          <w:p w:rsidR="00063BF2" w:rsidRPr="00063BF2" w:rsidRDefault="00CB139F" w:rsidP="00CB139F">
            <w:pPr>
              <w:adjustRightInd w:val="0"/>
              <w:jc w:val="center"/>
              <w:rPr>
                <w:rFonts w:ascii="Calibri" w:hAnsi="Calibri"/>
                <w:color w:val="000000"/>
                <w:sz w:val="16"/>
                <w:szCs w:val="16"/>
              </w:rPr>
            </w:pPr>
            <w:r>
              <w:rPr>
                <w:rFonts w:ascii="Calibri" w:hAnsi="Calibri"/>
                <w:color w:val="000000"/>
                <w:sz w:val="16"/>
                <w:szCs w:val="16"/>
              </w:rPr>
              <w:t>1,537.20</w:t>
            </w:r>
          </w:p>
        </w:tc>
        <w:tc>
          <w:tcPr>
            <w:tcW w:w="990" w:type="dxa"/>
            <w:tcBorders>
              <w:top w:val="nil"/>
              <w:left w:val="nil"/>
              <w:bottom w:val="single" w:sz="4" w:space="0" w:color="auto"/>
              <w:right w:val="single" w:sz="4" w:space="0" w:color="auto"/>
            </w:tcBorders>
            <w:shd w:val="clear" w:color="auto" w:fill="auto"/>
            <w:vAlign w:val="center"/>
            <w:hideMark/>
          </w:tcPr>
          <w:p w:rsidR="00CB139F" w:rsidRDefault="00CB139F" w:rsidP="00CB139F">
            <w:pPr>
              <w:adjustRightInd w:val="0"/>
              <w:rPr>
                <w:rFonts w:ascii="Calibri" w:hAnsi="Calibri"/>
                <w:color w:val="000000"/>
                <w:sz w:val="16"/>
                <w:szCs w:val="16"/>
              </w:rPr>
            </w:pPr>
          </w:p>
          <w:p w:rsidR="00063BF2" w:rsidRPr="00063BF2" w:rsidRDefault="00063BF2" w:rsidP="00CB139F">
            <w:pPr>
              <w:adjustRightInd w:val="0"/>
              <w:jc w:val="center"/>
              <w:rPr>
                <w:rFonts w:ascii="Calibri" w:hAnsi="Calibri"/>
                <w:color w:val="000000"/>
                <w:sz w:val="16"/>
                <w:szCs w:val="16"/>
              </w:rPr>
            </w:pPr>
            <w:r w:rsidRPr="00063BF2">
              <w:rPr>
                <w:rFonts w:ascii="Calibri" w:hAnsi="Calibri"/>
                <w:color w:val="000000"/>
                <w:sz w:val="16"/>
                <w:szCs w:val="16"/>
              </w:rPr>
              <w:t>0.17</w:t>
            </w:r>
          </w:p>
        </w:tc>
        <w:tc>
          <w:tcPr>
            <w:tcW w:w="810" w:type="dxa"/>
            <w:tcBorders>
              <w:top w:val="nil"/>
              <w:left w:val="nil"/>
              <w:bottom w:val="single" w:sz="4" w:space="0" w:color="auto"/>
              <w:right w:val="single" w:sz="4" w:space="0" w:color="auto"/>
            </w:tcBorders>
            <w:shd w:val="clear" w:color="auto" w:fill="auto"/>
            <w:vAlign w:val="center"/>
            <w:hideMark/>
          </w:tcPr>
          <w:p w:rsidR="00CB139F" w:rsidRDefault="00CB139F" w:rsidP="00CB139F">
            <w:pPr>
              <w:adjustRightInd w:val="0"/>
              <w:rPr>
                <w:rFonts w:ascii="Calibri" w:hAnsi="Calibri"/>
                <w:color w:val="000000"/>
                <w:sz w:val="16"/>
                <w:szCs w:val="16"/>
              </w:rPr>
            </w:pPr>
          </w:p>
          <w:p w:rsidR="00063BF2" w:rsidRPr="00063BF2" w:rsidRDefault="00CB139F" w:rsidP="00CB139F">
            <w:pPr>
              <w:adjustRightInd w:val="0"/>
              <w:jc w:val="center"/>
              <w:rPr>
                <w:rFonts w:ascii="Calibri" w:hAnsi="Calibri"/>
                <w:color w:val="000000"/>
                <w:sz w:val="16"/>
                <w:szCs w:val="16"/>
              </w:rPr>
            </w:pPr>
            <w:r>
              <w:rPr>
                <w:rFonts w:ascii="Calibri" w:hAnsi="Calibri"/>
                <w:color w:val="000000"/>
                <w:sz w:val="16"/>
                <w:szCs w:val="16"/>
              </w:rPr>
              <w:t>261.32</w:t>
            </w:r>
          </w:p>
        </w:tc>
        <w:tc>
          <w:tcPr>
            <w:tcW w:w="720" w:type="dxa"/>
            <w:tcBorders>
              <w:top w:val="nil"/>
              <w:left w:val="nil"/>
              <w:bottom w:val="single" w:sz="4" w:space="0" w:color="auto"/>
              <w:right w:val="single" w:sz="4" w:space="0" w:color="auto"/>
            </w:tcBorders>
          </w:tcPr>
          <w:p w:rsidR="00CB139F" w:rsidRDefault="00CB139F" w:rsidP="00CB139F">
            <w:pPr>
              <w:adjustRightInd w:val="0"/>
              <w:rPr>
                <w:rFonts w:ascii="Calibri" w:hAnsi="Calibri"/>
                <w:color w:val="000000"/>
                <w:sz w:val="16"/>
                <w:szCs w:val="16"/>
              </w:rPr>
            </w:pPr>
          </w:p>
          <w:p w:rsidR="00CB139F" w:rsidRDefault="00CB139F" w:rsidP="00CB139F">
            <w:pPr>
              <w:adjustRightInd w:val="0"/>
              <w:rPr>
                <w:rFonts w:ascii="Calibri" w:hAnsi="Calibri"/>
                <w:color w:val="000000"/>
                <w:sz w:val="16"/>
                <w:szCs w:val="16"/>
              </w:rPr>
            </w:pPr>
          </w:p>
          <w:p w:rsidR="00CB139F" w:rsidRDefault="00CB139F" w:rsidP="00CB139F">
            <w:pPr>
              <w:adjustRightInd w:val="0"/>
              <w:rPr>
                <w:rFonts w:ascii="Calibri" w:hAnsi="Calibri"/>
                <w:color w:val="000000"/>
                <w:sz w:val="16"/>
                <w:szCs w:val="16"/>
              </w:rPr>
            </w:pPr>
          </w:p>
          <w:p w:rsidR="00063BF2" w:rsidRPr="00063BF2" w:rsidRDefault="00063BF2" w:rsidP="00CB139F">
            <w:pPr>
              <w:adjustRightInd w:val="0"/>
              <w:rPr>
                <w:rFonts w:ascii="Calibri" w:hAnsi="Calibri"/>
                <w:color w:val="000000"/>
                <w:sz w:val="16"/>
                <w:szCs w:val="16"/>
              </w:rPr>
            </w:pPr>
            <w:r w:rsidRPr="00063BF2">
              <w:rPr>
                <w:rFonts w:ascii="Calibri" w:hAnsi="Calibri"/>
                <w:color w:val="000000"/>
                <w:sz w:val="16"/>
                <w:szCs w:val="16"/>
              </w:rPr>
              <w:t>$5</w:t>
            </w:r>
            <w:r>
              <w:rPr>
                <w:rFonts w:ascii="Calibri" w:hAnsi="Calibri"/>
                <w:color w:val="000000"/>
                <w:sz w:val="16"/>
                <w:szCs w:val="16"/>
              </w:rPr>
              <w:t>9</w:t>
            </w:r>
            <w:r w:rsidRPr="00063BF2">
              <w:rPr>
                <w:rFonts w:ascii="Calibri" w:hAnsi="Calibri"/>
                <w:color w:val="000000"/>
                <w:sz w:val="16"/>
                <w:szCs w:val="16"/>
              </w:rPr>
              <w:t>.35</w:t>
            </w:r>
          </w:p>
        </w:tc>
        <w:tc>
          <w:tcPr>
            <w:tcW w:w="1170" w:type="dxa"/>
            <w:tcBorders>
              <w:top w:val="nil"/>
              <w:left w:val="nil"/>
              <w:bottom w:val="single" w:sz="4" w:space="0" w:color="auto"/>
              <w:right w:val="single" w:sz="4" w:space="0" w:color="auto"/>
            </w:tcBorders>
          </w:tcPr>
          <w:p w:rsidR="00063BF2" w:rsidRPr="00063BF2" w:rsidRDefault="00063BF2" w:rsidP="00063BF2">
            <w:pPr>
              <w:adjustRightInd w:val="0"/>
              <w:jc w:val="center"/>
              <w:rPr>
                <w:rFonts w:ascii="Calibri" w:hAnsi="Calibri"/>
                <w:color w:val="000000"/>
                <w:sz w:val="16"/>
                <w:szCs w:val="16"/>
              </w:rPr>
            </w:pPr>
          </w:p>
          <w:p w:rsidR="00063BF2" w:rsidRPr="00063BF2" w:rsidRDefault="00063BF2" w:rsidP="00063BF2">
            <w:pPr>
              <w:adjustRightInd w:val="0"/>
              <w:jc w:val="center"/>
              <w:rPr>
                <w:rFonts w:ascii="Calibri" w:hAnsi="Calibri"/>
                <w:color w:val="000000"/>
                <w:sz w:val="16"/>
                <w:szCs w:val="16"/>
              </w:rPr>
            </w:pPr>
          </w:p>
          <w:p w:rsidR="00CB139F" w:rsidRDefault="00CB139F" w:rsidP="00CB139F">
            <w:pPr>
              <w:adjustRightInd w:val="0"/>
              <w:jc w:val="center"/>
              <w:rPr>
                <w:rFonts w:ascii="Calibri" w:hAnsi="Calibri"/>
                <w:color w:val="000000"/>
                <w:sz w:val="16"/>
                <w:szCs w:val="16"/>
              </w:rPr>
            </w:pPr>
          </w:p>
          <w:p w:rsidR="00063BF2" w:rsidRPr="00063BF2" w:rsidRDefault="00063BF2" w:rsidP="00CB139F">
            <w:pPr>
              <w:adjustRightInd w:val="0"/>
              <w:jc w:val="center"/>
              <w:rPr>
                <w:rFonts w:ascii="Calibri" w:hAnsi="Calibri"/>
                <w:color w:val="000000"/>
                <w:sz w:val="16"/>
                <w:szCs w:val="16"/>
              </w:rPr>
            </w:pPr>
            <w:r w:rsidRPr="00063BF2">
              <w:rPr>
                <w:rFonts w:ascii="Calibri" w:hAnsi="Calibri"/>
                <w:color w:val="000000"/>
                <w:sz w:val="16"/>
                <w:szCs w:val="16"/>
              </w:rPr>
              <w:t>$</w:t>
            </w:r>
            <w:r w:rsidR="00CB139F">
              <w:rPr>
                <w:rFonts w:ascii="Calibri" w:hAnsi="Calibri"/>
                <w:color w:val="000000"/>
                <w:sz w:val="16"/>
                <w:szCs w:val="16"/>
              </w:rPr>
              <w:t>15,509.34</w:t>
            </w:r>
          </w:p>
        </w:tc>
      </w:tr>
      <w:tr w:rsidR="00063BF2" w:rsidRPr="00063BF2" w:rsidTr="00790FA4">
        <w:trPr>
          <w:trHeight w:val="281"/>
        </w:trPr>
        <w:tc>
          <w:tcPr>
            <w:tcW w:w="32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063BF2" w:rsidRPr="00063BF2" w:rsidRDefault="00063BF2" w:rsidP="00063BF2">
            <w:pPr>
              <w:adjustRightInd w:val="0"/>
              <w:jc w:val="center"/>
              <w:rPr>
                <w:rFonts w:ascii="Calibri" w:hAnsi="Calibri"/>
                <w:b/>
                <w:bCs/>
                <w:color w:val="0000FF"/>
                <w:sz w:val="16"/>
                <w:szCs w:val="16"/>
                <w:u w:val="single"/>
              </w:rPr>
            </w:pPr>
            <w:r w:rsidRPr="00063BF2">
              <w:rPr>
                <w:rFonts w:ascii="Calibri" w:hAnsi="Calibri"/>
                <w:b/>
                <w:bCs/>
                <w:color w:val="0000FF"/>
                <w:sz w:val="16"/>
                <w:szCs w:val="16"/>
                <w:u w:val="single"/>
              </w:rPr>
              <w:t>SUBTOTAL</w:t>
            </w:r>
          </w:p>
        </w:tc>
        <w:tc>
          <w:tcPr>
            <w:tcW w:w="1170" w:type="dxa"/>
            <w:tcBorders>
              <w:top w:val="nil"/>
              <w:left w:val="nil"/>
              <w:bottom w:val="single" w:sz="4" w:space="0" w:color="auto"/>
              <w:right w:val="single" w:sz="4" w:space="0" w:color="auto"/>
            </w:tcBorders>
            <w:shd w:val="clear" w:color="auto" w:fill="auto"/>
            <w:noWrap/>
            <w:vAlign w:val="bottom"/>
            <w:hideMark/>
          </w:tcPr>
          <w:p w:rsidR="00063BF2" w:rsidRPr="00063BF2" w:rsidRDefault="00063BF2" w:rsidP="00063BF2">
            <w:pPr>
              <w:adjustRightInd w:val="0"/>
              <w:jc w:val="center"/>
              <w:rPr>
                <w:rFonts w:ascii="Calibri" w:hAnsi="Calibri"/>
                <w:b/>
                <w:bCs/>
                <w:color w:val="000000"/>
                <w:sz w:val="16"/>
                <w:szCs w:val="16"/>
              </w:rPr>
            </w:pPr>
            <w:r>
              <w:rPr>
                <w:rFonts w:ascii="Calibri" w:hAnsi="Calibri"/>
                <w:b/>
                <w:bCs/>
                <w:color w:val="000000"/>
                <w:sz w:val="16"/>
                <w:szCs w:val="16"/>
              </w:rPr>
              <w:t>1</w:t>
            </w:r>
            <w:r w:rsidR="00CB139F">
              <w:rPr>
                <w:rFonts w:ascii="Calibri" w:hAnsi="Calibri"/>
                <w:b/>
                <w:bCs/>
                <w:color w:val="000000"/>
                <w:sz w:val="16"/>
                <w:szCs w:val="16"/>
              </w:rPr>
              <w:t>,281</w:t>
            </w:r>
          </w:p>
        </w:tc>
        <w:tc>
          <w:tcPr>
            <w:tcW w:w="990" w:type="dxa"/>
            <w:tcBorders>
              <w:top w:val="nil"/>
              <w:left w:val="nil"/>
              <w:bottom w:val="single" w:sz="4" w:space="0" w:color="auto"/>
              <w:right w:val="single" w:sz="4" w:space="0" w:color="auto"/>
            </w:tcBorders>
            <w:shd w:val="clear" w:color="000000" w:fill="FFFF00"/>
            <w:vAlign w:val="bottom"/>
            <w:hideMark/>
          </w:tcPr>
          <w:p w:rsidR="00063BF2" w:rsidRPr="00063BF2" w:rsidRDefault="00063BF2" w:rsidP="00063BF2">
            <w:pPr>
              <w:adjustRightInd w:val="0"/>
              <w:jc w:val="center"/>
              <w:rPr>
                <w:rFonts w:ascii="Calibri" w:hAnsi="Calibri"/>
                <w:b/>
                <w:bCs/>
                <w:color w:val="000000"/>
                <w:sz w:val="16"/>
                <w:szCs w:val="16"/>
              </w:rPr>
            </w:pPr>
          </w:p>
        </w:tc>
        <w:tc>
          <w:tcPr>
            <w:tcW w:w="990" w:type="dxa"/>
            <w:tcBorders>
              <w:top w:val="nil"/>
              <w:left w:val="nil"/>
              <w:bottom w:val="single" w:sz="4" w:space="0" w:color="auto"/>
              <w:right w:val="single" w:sz="4" w:space="0" w:color="auto"/>
            </w:tcBorders>
            <w:shd w:val="clear" w:color="000000" w:fill="FFFFFF"/>
            <w:vAlign w:val="bottom"/>
            <w:hideMark/>
          </w:tcPr>
          <w:p w:rsidR="00063BF2" w:rsidRPr="00063BF2" w:rsidRDefault="00CB139F" w:rsidP="00063BF2">
            <w:pPr>
              <w:adjustRightInd w:val="0"/>
              <w:jc w:val="center"/>
              <w:rPr>
                <w:rFonts w:ascii="Calibri" w:hAnsi="Calibri"/>
                <w:b/>
                <w:bCs/>
                <w:color w:val="000000"/>
                <w:sz w:val="16"/>
                <w:szCs w:val="16"/>
              </w:rPr>
            </w:pPr>
            <w:r>
              <w:rPr>
                <w:rFonts w:ascii="Calibri" w:hAnsi="Calibri"/>
                <w:b/>
                <w:bCs/>
                <w:color w:val="000000"/>
                <w:sz w:val="16"/>
                <w:szCs w:val="16"/>
              </w:rPr>
              <w:t>1,537.20</w:t>
            </w:r>
          </w:p>
        </w:tc>
        <w:tc>
          <w:tcPr>
            <w:tcW w:w="990" w:type="dxa"/>
            <w:tcBorders>
              <w:top w:val="nil"/>
              <w:left w:val="nil"/>
              <w:bottom w:val="single" w:sz="4" w:space="0" w:color="auto"/>
              <w:right w:val="single" w:sz="4" w:space="0" w:color="auto"/>
            </w:tcBorders>
            <w:shd w:val="clear" w:color="000000" w:fill="FFFF00"/>
            <w:vAlign w:val="bottom"/>
            <w:hideMark/>
          </w:tcPr>
          <w:p w:rsidR="00063BF2" w:rsidRPr="00063BF2" w:rsidRDefault="00063BF2" w:rsidP="00063BF2">
            <w:pPr>
              <w:adjustRightInd w:val="0"/>
              <w:jc w:val="center"/>
              <w:rPr>
                <w:rFonts w:ascii="Calibri" w:hAnsi="Calibri"/>
                <w:b/>
                <w:bCs/>
                <w:color w:val="000000"/>
                <w:sz w:val="16"/>
                <w:szCs w:val="16"/>
              </w:rPr>
            </w:pPr>
            <w:r w:rsidRPr="00063BF2">
              <w:rPr>
                <w:rFonts w:ascii="Calibri" w:hAnsi="Calibri"/>
                <w:b/>
                <w:bCs/>
                <w:color w:val="000000"/>
                <w:sz w:val="16"/>
                <w:szCs w:val="16"/>
              </w:rPr>
              <w:t> </w:t>
            </w:r>
          </w:p>
        </w:tc>
        <w:tc>
          <w:tcPr>
            <w:tcW w:w="810" w:type="dxa"/>
            <w:tcBorders>
              <w:top w:val="nil"/>
              <w:left w:val="nil"/>
              <w:bottom w:val="single" w:sz="4" w:space="0" w:color="auto"/>
              <w:right w:val="single" w:sz="4" w:space="0" w:color="auto"/>
            </w:tcBorders>
            <w:shd w:val="clear" w:color="000000" w:fill="FFFFFF"/>
            <w:vAlign w:val="bottom"/>
            <w:hideMark/>
          </w:tcPr>
          <w:p w:rsidR="00063BF2" w:rsidRPr="00063BF2" w:rsidRDefault="00CB139F" w:rsidP="00063BF2">
            <w:pPr>
              <w:adjustRightInd w:val="0"/>
              <w:jc w:val="center"/>
              <w:rPr>
                <w:rFonts w:ascii="Calibri" w:hAnsi="Calibri"/>
                <w:b/>
                <w:bCs/>
                <w:color w:val="000000"/>
                <w:sz w:val="16"/>
                <w:szCs w:val="16"/>
              </w:rPr>
            </w:pPr>
            <w:r>
              <w:rPr>
                <w:rFonts w:ascii="Calibri" w:hAnsi="Calibri"/>
                <w:b/>
                <w:bCs/>
                <w:color w:val="000000"/>
                <w:sz w:val="16"/>
                <w:szCs w:val="16"/>
              </w:rPr>
              <w:t>261.32</w:t>
            </w:r>
          </w:p>
        </w:tc>
        <w:tc>
          <w:tcPr>
            <w:tcW w:w="720" w:type="dxa"/>
            <w:tcBorders>
              <w:top w:val="nil"/>
              <w:left w:val="nil"/>
              <w:bottom w:val="single" w:sz="4" w:space="0" w:color="auto"/>
              <w:right w:val="single" w:sz="4" w:space="0" w:color="auto"/>
            </w:tcBorders>
            <w:shd w:val="clear" w:color="000000" w:fill="FFFFFF"/>
          </w:tcPr>
          <w:p w:rsidR="00063BF2" w:rsidRPr="00063BF2" w:rsidRDefault="00063BF2" w:rsidP="00063BF2">
            <w:pPr>
              <w:adjustRightInd w:val="0"/>
              <w:jc w:val="center"/>
              <w:rPr>
                <w:rFonts w:ascii="Calibri" w:hAnsi="Calibri"/>
                <w:b/>
                <w:bCs/>
                <w:color w:val="000000"/>
                <w:sz w:val="16"/>
                <w:szCs w:val="16"/>
              </w:rPr>
            </w:pPr>
          </w:p>
        </w:tc>
        <w:tc>
          <w:tcPr>
            <w:tcW w:w="1170" w:type="dxa"/>
            <w:tcBorders>
              <w:top w:val="nil"/>
              <w:left w:val="nil"/>
              <w:bottom w:val="single" w:sz="4" w:space="0" w:color="auto"/>
              <w:right w:val="single" w:sz="4" w:space="0" w:color="auto"/>
            </w:tcBorders>
            <w:shd w:val="clear" w:color="000000" w:fill="FFFFFF"/>
          </w:tcPr>
          <w:p w:rsidR="00063BF2" w:rsidRPr="00063BF2" w:rsidRDefault="00063BF2" w:rsidP="00063BF2">
            <w:pPr>
              <w:adjustRightInd w:val="0"/>
              <w:jc w:val="center"/>
              <w:rPr>
                <w:rFonts w:ascii="Calibri" w:hAnsi="Calibri"/>
                <w:b/>
                <w:bCs/>
                <w:color w:val="000000"/>
                <w:sz w:val="16"/>
                <w:szCs w:val="16"/>
              </w:rPr>
            </w:pPr>
          </w:p>
        </w:tc>
      </w:tr>
      <w:tr w:rsidR="00063BF2" w:rsidRPr="00063BF2" w:rsidTr="00790FA4">
        <w:trPr>
          <w:trHeight w:val="309"/>
        </w:trPr>
        <w:tc>
          <w:tcPr>
            <w:tcW w:w="906" w:type="dxa"/>
            <w:gridSpan w:val="2"/>
            <w:tcBorders>
              <w:top w:val="nil"/>
              <w:left w:val="single" w:sz="4" w:space="0" w:color="auto"/>
              <w:bottom w:val="single" w:sz="4" w:space="0" w:color="000000"/>
              <w:right w:val="single" w:sz="4" w:space="0" w:color="auto"/>
            </w:tcBorders>
            <w:shd w:val="clear" w:color="auto" w:fill="auto"/>
            <w:noWrap/>
            <w:vAlign w:val="bottom"/>
            <w:hideMark/>
          </w:tcPr>
          <w:p w:rsidR="00063BF2" w:rsidRPr="00063BF2" w:rsidRDefault="00063BF2" w:rsidP="00063BF2">
            <w:pPr>
              <w:adjustRightInd w:val="0"/>
              <w:rPr>
                <w:rFonts w:ascii="Calibri" w:hAnsi="Calibri"/>
                <w:color w:val="000000"/>
                <w:sz w:val="16"/>
                <w:szCs w:val="16"/>
              </w:rPr>
            </w:pPr>
            <w:r w:rsidRPr="00063BF2">
              <w:rPr>
                <w:rFonts w:ascii="Calibri" w:hAnsi="Calibri"/>
                <w:color w:val="000000"/>
                <w:sz w:val="16"/>
                <w:szCs w:val="16"/>
              </w:rPr>
              <w:t>Farms</w:t>
            </w:r>
          </w:p>
        </w:tc>
        <w:tc>
          <w:tcPr>
            <w:tcW w:w="1074" w:type="dxa"/>
            <w:gridSpan w:val="2"/>
            <w:tcBorders>
              <w:top w:val="nil"/>
              <w:left w:val="single" w:sz="4" w:space="0" w:color="auto"/>
              <w:bottom w:val="single" w:sz="4" w:space="0" w:color="000000"/>
              <w:right w:val="single" w:sz="4" w:space="0" w:color="auto"/>
            </w:tcBorders>
            <w:shd w:val="clear" w:color="auto" w:fill="auto"/>
            <w:hideMark/>
          </w:tcPr>
          <w:p w:rsidR="00063BF2" w:rsidRPr="00063BF2" w:rsidRDefault="00063BF2" w:rsidP="00063BF2">
            <w:pPr>
              <w:adjustRightInd w:val="0"/>
              <w:rPr>
                <w:rFonts w:ascii="Calibri" w:hAnsi="Calibri"/>
                <w:color w:val="000000"/>
                <w:sz w:val="16"/>
                <w:szCs w:val="16"/>
              </w:rPr>
            </w:pPr>
            <w:r w:rsidRPr="00063BF2">
              <w:rPr>
                <w:rFonts w:ascii="Calibri" w:hAnsi="Calibri"/>
                <w:color w:val="000000"/>
                <w:sz w:val="16"/>
                <w:szCs w:val="16"/>
              </w:rPr>
              <w:t>Farmers’ markets,</w:t>
            </w:r>
            <w:r w:rsidRPr="00063BF2">
              <w:rPr>
                <w:rFonts w:ascii="Calibri" w:hAnsi="Calibri"/>
                <w:color w:val="000000"/>
                <w:sz w:val="16"/>
                <w:szCs w:val="16"/>
              </w:rPr>
              <w:br/>
              <w:t>Farmers’ market, associations, Regional farmers’ market authorities</w:t>
            </w:r>
          </w:p>
        </w:tc>
        <w:tc>
          <w:tcPr>
            <w:tcW w:w="1260" w:type="dxa"/>
            <w:gridSpan w:val="2"/>
            <w:tcBorders>
              <w:top w:val="nil"/>
              <w:left w:val="nil"/>
              <w:bottom w:val="nil"/>
              <w:right w:val="nil"/>
            </w:tcBorders>
            <w:shd w:val="clear" w:color="auto" w:fill="auto"/>
            <w:vAlign w:val="center"/>
            <w:hideMark/>
          </w:tcPr>
          <w:p w:rsidR="00063BF2" w:rsidRPr="00063BF2" w:rsidRDefault="00063BF2" w:rsidP="00063BF2">
            <w:pPr>
              <w:adjustRightInd w:val="0"/>
              <w:jc w:val="center"/>
              <w:rPr>
                <w:rFonts w:ascii="Calibri" w:hAnsi="Calibri"/>
                <w:color w:val="000000"/>
                <w:sz w:val="16"/>
                <w:szCs w:val="16"/>
              </w:rPr>
            </w:pPr>
            <w:r w:rsidRPr="00063BF2">
              <w:rPr>
                <w:rFonts w:ascii="Calibri" w:hAnsi="Calibri"/>
                <w:color w:val="000000"/>
                <w:sz w:val="16"/>
                <w:szCs w:val="16"/>
              </w:rPr>
              <w:t xml:space="preserve">Administrative Review </w:t>
            </w:r>
          </w:p>
          <w:p w:rsidR="00063BF2" w:rsidRPr="00063BF2" w:rsidRDefault="00063BF2" w:rsidP="00063BF2">
            <w:pPr>
              <w:adjustRightInd w:val="0"/>
              <w:jc w:val="center"/>
              <w:rPr>
                <w:rFonts w:ascii="Calibri" w:hAnsi="Calibri"/>
                <w:color w:val="000000"/>
                <w:sz w:val="16"/>
                <w:szCs w:val="16"/>
              </w:rPr>
            </w:pPr>
            <w:r w:rsidRPr="00063BF2">
              <w:rPr>
                <w:rFonts w:ascii="Calibri" w:hAnsi="Calibri"/>
                <w:color w:val="000000"/>
                <w:sz w:val="16"/>
                <w:szCs w:val="16"/>
              </w:rPr>
              <w:t>Request</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063BF2" w:rsidRPr="00063BF2" w:rsidRDefault="00CB139F" w:rsidP="00063BF2">
            <w:pPr>
              <w:adjustRightInd w:val="0"/>
              <w:jc w:val="center"/>
              <w:rPr>
                <w:rFonts w:ascii="Calibri" w:hAnsi="Calibri"/>
                <w:color w:val="000000"/>
                <w:sz w:val="16"/>
                <w:szCs w:val="16"/>
              </w:rPr>
            </w:pPr>
            <w:r>
              <w:rPr>
                <w:rFonts w:ascii="Calibri" w:hAnsi="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rsidR="00063BF2" w:rsidRPr="00063BF2" w:rsidRDefault="00063BF2" w:rsidP="00063BF2">
            <w:pPr>
              <w:adjustRightInd w:val="0"/>
              <w:jc w:val="center"/>
              <w:rPr>
                <w:rFonts w:ascii="Calibri" w:hAnsi="Calibri"/>
                <w:color w:val="000000"/>
                <w:sz w:val="16"/>
                <w:szCs w:val="16"/>
              </w:rPr>
            </w:pPr>
            <w:r w:rsidRPr="00063BF2">
              <w:rPr>
                <w:rFonts w:ascii="Calibri" w:hAnsi="Calibri"/>
                <w:color w:val="000000"/>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rsidR="00063BF2" w:rsidRPr="00063BF2" w:rsidRDefault="00CB139F" w:rsidP="00063BF2">
            <w:pPr>
              <w:adjustRightInd w:val="0"/>
              <w:jc w:val="center"/>
              <w:rPr>
                <w:rFonts w:ascii="Calibri" w:hAnsi="Calibri"/>
                <w:color w:val="000000"/>
                <w:sz w:val="16"/>
                <w:szCs w:val="16"/>
              </w:rPr>
            </w:pPr>
            <w:r>
              <w:rPr>
                <w:rFonts w:ascii="Calibri" w:hAnsi="Calibri"/>
                <w:color w:val="000000"/>
                <w:sz w:val="16"/>
                <w:szCs w:val="16"/>
              </w:rPr>
              <w:t>1.20</w:t>
            </w:r>
          </w:p>
        </w:tc>
        <w:tc>
          <w:tcPr>
            <w:tcW w:w="990" w:type="dxa"/>
            <w:tcBorders>
              <w:top w:val="nil"/>
              <w:left w:val="nil"/>
              <w:bottom w:val="single" w:sz="4" w:space="0" w:color="auto"/>
              <w:right w:val="single" w:sz="4" w:space="0" w:color="auto"/>
            </w:tcBorders>
            <w:shd w:val="clear" w:color="auto" w:fill="auto"/>
            <w:vAlign w:val="center"/>
            <w:hideMark/>
          </w:tcPr>
          <w:p w:rsidR="00063BF2" w:rsidRPr="00063BF2" w:rsidRDefault="00063BF2" w:rsidP="00063BF2">
            <w:pPr>
              <w:adjustRightInd w:val="0"/>
              <w:jc w:val="center"/>
              <w:rPr>
                <w:rFonts w:ascii="Calibri" w:hAnsi="Calibri"/>
                <w:color w:val="000000"/>
                <w:sz w:val="16"/>
                <w:szCs w:val="16"/>
              </w:rPr>
            </w:pPr>
            <w:r w:rsidRPr="00063BF2">
              <w:rPr>
                <w:rFonts w:ascii="Calibri" w:hAnsi="Calibri"/>
                <w:color w:val="000000"/>
                <w:sz w:val="16"/>
                <w:szCs w:val="16"/>
              </w:rPr>
              <w:t>0.17</w:t>
            </w:r>
          </w:p>
        </w:tc>
        <w:tc>
          <w:tcPr>
            <w:tcW w:w="810" w:type="dxa"/>
            <w:tcBorders>
              <w:top w:val="nil"/>
              <w:left w:val="nil"/>
              <w:bottom w:val="single" w:sz="4" w:space="0" w:color="auto"/>
              <w:right w:val="single" w:sz="4" w:space="0" w:color="auto"/>
            </w:tcBorders>
            <w:shd w:val="clear" w:color="auto" w:fill="auto"/>
            <w:vAlign w:val="center"/>
            <w:hideMark/>
          </w:tcPr>
          <w:p w:rsidR="00063BF2" w:rsidRPr="00063BF2" w:rsidRDefault="00773052" w:rsidP="00CB139F">
            <w:pPr>
              <w:adjustRightInd w:val="0"/>
              <w:jc w:val="center"/>
              <w:rPr>
                <w:rFonts w:ascii="Calibri" w:hAnsi="Calibri"/>
                <w:color w:val="000000"/>
                <w:sz w:val="16"/>
                <w:szCs w:val="16"/>
              </w:rPr>
            </w:pPr>
            <w:r>
              <w:rPr>
                <w:rFonts w:ascii="Calibri" w:hAnsi="Calibri"/>
                <w:color w:val="000000"/>
                <w:sz w:val="16"/>
                <w:szCs w:val="16"/>
              </w:rPr>
              <w:t>0</w:t>
            </w:r>
            <w:r w:rsidR="00063BF2">
              <w:rPr>
                <w:rFonts w:ascii="Calibri" w:hAnsi="Calibri"/>
                <w:color w:val="000000"/>
                <w:sz w:val="16"/>
                <w:szCs w:val="16"/>
              </w:rPr>
              <w:t>.</w:t>
            </w:r>
            <w:r w:rsidR="00CB139F">
              <w:rPr>
                <w:rFonts w:ascii="Calibri" w:hAnsi="Calibri"/>
                <w:color w:val="000000"/>
                <w:sz w:val="16"/>
                <w:szCs w:val="16"/>
              </w:rPr>
              <w:t>20</w:t>
            </w:r>
          </w:p>
        </w:tc>
        <w:tc>
          <w:tcPr>
            <w:tcW w:w="720" w:type="dxa"/>
            <w:tcBorders>
              <w:top w:val="nil"/>
              <w:left w:val="nil"/>
              <w:bottom w:val="single" w:sz="4" w:space="0" w:color="auto"/>
              <w:right w:val="single" w:sz="4" w:space="0" w:color="auto"/>
            </w:tcBorders>
          </w:tcPr>
          <w:p w:rsidR="00CB139F" w:rsidRDefault="00CB139F" w:rsidP="00063BF2">
            <w:pPr>
              <w:adjustRightInd w:val="0"/>
              <w:jc w:val="center"/>
              <w:rPr>
                <w:rFonts w:ascii="Calibri" w:hAnsi="Calibri"/>
                <w:color w:val="000000"/>
                <w:sz w:val="16"/>
                <w:szCs w:val="16"/>
              </w:rPr>
            </w:pPr>
          </w:p>
          <w:p w:rsidR="00CB139F" w:rsidRDefault="00CB139F" w:rsidP="00063BF2">
            <w:pPr>
              <w:adjustRightInd w:val="0"/>
              <w:jc w:val="center"/>
              <w:rPr>
                <w:rFonts w:ascii="Calibri" w:hAnsi="Calibri"/>
                <w:color w:val="000000"/>
                <w:sz w:val="16"/>
                <w:szCs w:val="16"/>
              </w:rPr>
            </w:pPr>
          </w:p>
          <w:p w:rsidR="00CB139F" w:rsidRDefault="00CB139F" w:rsidP="00063BF2">
            <w:pPr>
              <w:adjustRightInd w:val="0"/>
              <w:jc w:val="center"/>
              <w:rPr>
                <w:rFonts w:ascii="Calibri" w:hAnsi="Calibri"/>
                <w:color w:val="000000"/>
                <w:sz w:val="16"/>
                <w:szCs w:val="16"/>
              </w:rPr>
            </w:pPr>
          </w:p>
          <w:p w:rsidR="00CB139F" w:rsidRDefault="00CB139F" w:rsidP="00063BF2">
            <w:pPr>
              <w:adjustRightInd w:val="0"/>
              <w:jc w:val="center"/>
              <w:rPr>
                <w:rFonts w:ascii="Calibri" w:hAnsi="Calibri"/>
                <w:color w:val="000000"/>
                <w:sz w:val="16"/>
                <w:szCs w:val="16"/>
              </w:rPr>
            </w:pPr>
          </w:p>
          <w:p w:rsidR="00063BF2" w:rsidRPr="00063BF2" w:rsidRDefault="00063BF2" w:rsidP="00063BF2">
            <w:pPr>
              <w:adjustRightInd w:val="0"/>
              <w:jc w:val="center"/>
              <w:rPr>
                <w:rFonts w:ascii="Calibri" w:hAnsi="Calibri"/>
                <w:color w:val="000000"/>
                <w:sz w:val="16"/>
                <w:szCs w:val="16"/>
              </w:rPr>
            </w:pPr>
            <w:r w:rsidRPr="00063BF2">
              <w:rPr>
                <w:rFonts w:ascii="Calibri" w:hAnsi="Calibri"/>
                <w:color w:val="000000"/>
                <w:sz w:val="16"/>
                <w:szCs w:val="16"/>
              </w:rPr>
              <w:t>$</w:t>
            </w:r>
            <w:r>
              <w:rPr>
                <w:rFonts w:ascii="Calibri" w:hAnsi="Calibri"/>
                <w:color w:val="000000"/>
                <w:sz w:val="16"/>
                <w:szCs w:val="16"/>
              </w:rPr>
              <w:t>59</w:t>
            </w:r>
            <w:r w:rsidRPr="00063BF2">
              <w:rPr>
                <w:rFonts w:ascii="Calibri" w:hAnsi="Calibri"/>
                <w:color w:val="000000"/>
                <w:sz w:val="16"/>
                <w:szCs w:val="16"/>
              </w:rPr>
              <w:t>.35</w:t>
            </w:r>
          </w:p>
        </w:tc>
        <w:tc>
          <w:tcPr>
            <w:tcW w:w="1170" w:type="dxa"/>
            <w:tcBorders>
              <w:top w:val="nil"/>
              <w:left w:val="nil"/>
              <w:bottom w:val="single" w:sz="4" w:space="0" w:color="auto"/>
              <w:right w:val="single" w:sz="4" w:space="0" w:color="auto"/>
            </w:tcBorders>
          </w:tcPr>
          <w:p w:rsidR="00CB139F" w:rsidRDefault="00CB139F" w:rsidP="00CB139F">
            <w:pPr>
              <w:adjustRightInd w:val="0"/>
              <w:rPr>
                <w:rFonts w:ascii="Calibri" w:hAnsi="Calibri"/>
                <w:color w:val="000000"/>
                <w:sz w:val="16"/>
                <w:szCs w:val="16"/>
              </w:rPr>
            </w:pPr>
          </w:p>
          <w:p w:rsidR="00CB139F" w:rsidRDefault="00CB139F" w:rsidP="00CB139F">
            <w:pPr>
              <w:adjustRightInd w:val="0"/>
              <w:rPr>
                <w:rFonts w:ascii="Calibri" w:hAnsi="Calibri"/>
                <w:color w:val="000000"/>
                <w:sz w:val="16"/>
                <w:szCs w:val="16"/>
              </w:rPr>
            </w:pPr>
          </w:p>
          <w:p w:rsidR="00CB139F" w:rsidRDefault="00CB139F" w:rsidP="00CB139F">
            <w:pPr>
              <w:adjustRightInd w:val="0"/>
              <w:rPr>
                <w:rFonts w:ascii="Calibri" w:hAnsi="Calibri"/>
                <w:color w:val="000000"/>
                <w:sz w:val="16"/>
                <w:szCs w:val="16"/>
              </w:rPr>
            </w:pPr>
          </w:p>
          <w:p w:rsidR="00CB139F" w:rsidRDefault="00CB139F" w:rsidP="00CB139F">
            <w:pPr>
              <w:adjustRightInd w:val="0"/>
              <w:rPr>
                <w:rFonts w:ascii="Calibri" w:hAnsi="Calibri"/>
                <w:color w:val="000000"/>
                <w:sz w:val="16"/>
                <w:szCs w:val="16"/>
              </w:rPr>
            </w:pPr>
          </w:p>
          <w:p w:rsidR="00063BF2" w:rsidRPr="00063BF2" w:rsidRDefault="00CB139F" w:rsidP="00247646">
            <w:pPr>
              <w:adjustRightInd w:val="0"/>
              <w:jc w:val="center"/>
              <w:rPr>
                <w:rFonts w:ascii="Calibri" w:hAnsi="Calibri"/>
                <w:color w:val="000000"/>
                <w:sz w:val="16"/>
                <w:szCs w:val="16"/>
              </w:rPr>
            </w:pPr>
            <w:r>
              <w:rPr>
                <w:rFonts w:ascii="Calibri" w:hAnsi="Calibri"/>
                <w:color w:val="000000"/>
                <w:sz w:val="16"/>
                <w:szCs w:val="16"/>
              </w:rPr>
              <w:t>$11.87</w:t>
            </w:r>
          </w:p>
        </w:tc>
      </w:tr>
      <w:tr w:rsidR="00063BF2" w:rsidRPr="00063BF2" w:rsidTr="00790FA4">
        <w:trPr>
          <w:trHeight w:val="281"/>
        </w:trPr>
        <w:tc>
          <w:tcPr>
            <w:tcW w:w="32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063BF2" w:rsidRPr="00063BF2" w:rsidRDefault="00063BF2" w:rsidP="00063BF2">
            <w:pPr>
              <w:adjustRightInd w:val="0"/>
              <w:jc w:val="center"/>
              <w:rPr>
                <w:rFonts w:ascii="Calibri" w:hAnsi="Calibri"/>
                <w:b/>
                <w:bCs/>
                <w:color w:val="0000FF"/>
                <w:sz w:val="16"/>
                <w:szCs w:val="16"/>
                <w:u w:val="single"/>
              </w:rPr>
            </w:pPr>
            <w:r w:rsidRPr="00063BF2">
              <w:rPr>
                <w:rFonts w:ascii="Calibri" w:hAnsi="Calibri"/>
                <w:b/>
                <w:bCs/>
                <w:color w:val="0000FF"/>
                <w:sz w:val="16"/>
                <w:szCs w:val="16"/>
                <w:u w:val="single"/>
              </w:rPr>
              <w:t>SUBTOTAL</w:t>
            </w:r>
          </w:p>
        </w:tc>
        <w:tc>
          <w:tcPr>
            <w:tcW w:w="1170" w:type="dxa"/>
            <w:tcBorders>
              <w:top w:val="nil"/>
              <w:left w:val="nil"/>
              <w:bottom w:val="single" w:sz="4" w:space="0" w:color="auto"/>
              <w:right w:val="single" w:sz="4" w:space="0" w:color="auto"/>
            </w:tcBorders>
            <w:shd w:val="clear" w:color="auto" w:fill="auto"/>
            <w:noWrap/>
            <w:vAlign w:val="bottom"/>
            <w:hideMark/>
          </w:tcPr>
          <w:p w:rsidR="00063BF2" w:rsidRPr="00063BF2" w:rsidRDefault="00CB139F" w:rsidP="00063BF2">
            <w:pPr>
              <w:adjustRightInd w:val="0"/>
              <w:jc w:val="center"/>
              <w:rPr>
                <w:rFonts w:ascii="Calibri" w:hAnsi="Calibri"/>
                <w:b/>
                <w:bCs/>
                <w:color w:val="000000"/>
                <w:sz w:val="16"/>
                <w:szCs w:val="16"/>
              </w:rPr>
            </w:pPr>
            <w:r>
              <w:rPr>
                <w:rFonts w:ascii="Calibri" w:hAnsi="Calibri"/>
                <w:b/>
                <w:bCs/>
                <w:color w:val="000000"/>
                <w:sz w:val="16"/>
                <w:szCs w:val="16"/>
              </w:rPr>
              <w:t>1</w:t>
            </w:r>
          </w:p>
        </w:tc>
        <w:tc>
          <w:tcPr>
            <w:tcW w:w="990" w:type="dxa"/>
            <w:tcBorders>
              <w:top w:val="nil"/>
              <w:left w:val="nil"/>
              <w:bottom w:val="single" w:sz="4" w:space="0" w:color="auto"/>
              <w:right w:val="single" w:sz="4" w:space="0" w:color="auto"/>
            </w:tcBorders>
            <w:shd w:val="clear" w:color="auto" w:fill="FFFF00"/>
            <w:vAlign w:val="bottom"/>
            <w:hideMark/>
          </w:tcPr>
          <w:p w:rsidR="00063BF2" w:rsidRPr="00063BF2" w:rsidRDefault="00063BF2" w:rsidP="00063BF2">
            <w:pPr>
              <w:adjustRightInd w:val="0"/>
              <w:jc w:val="center"/>
              <w:rPr>
                <w:rFonts w:ascii="Calibri" w:hAnsi="Calibri"/>
                <w:b/>
                <w:bCs/>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063BF2" w:rsidRPr="00063BF2" w:rsidRDefault="00247646" w:rsidP="00063BF2">
            <w:pPr>
              <w:adjustRightInd w:val="0"/>
              <w:jc w:val="center"/>
              <w:rPr>
                <w:rFonts w:ascii="Calibri" w:hAnsi="Calibri"/>
                <w:b/>
                <w:bCs/>
                <w:color w:val="000000"/>
                <w:sz w:val="16"/>
                <w:szCs w:val="16"/>
              </w:rPr>
            </w:pPr>
            <w:r>
              <w:rPr>
                <w:rFonts w:ascii="Calibri" w:hAnsi="Calibri"/>
                <w:b/>
                <w:bCs/>
                <w:color w:val="000000"/>
                <w:sz w:val="16"/>
                <w:szCs w:val="16"/>
              </w:rPr>
              <w:t>1.20</w:t>
            </w:r>
          </w:p>
        </w:tc>
        <w:tc>
          <w:tcPr>
            <w:tcW w:w="990" w:type="dxa"/>
            <w:tcBorders>
              <w:top w:val="single" w:sz="4" w:space="0" w:color="auto"/>
              <w:left w:val="nil"/>
              <w:bottom w:val="single" w:sz="4" w:space="0" w:color="auto"/>
              <w:right w:val="single" w:sz="4" w:space="0" w:color="auto"/>
            </w:tcBorders>
            <w:shd w:val="clear" w:color="auto" w:fill="FFFF00"/>
            <w:vAlign w:val="bottom"/>
            <w:hideMark/>
          </w:tcPr>
          <w:p w:rsidR="00063BF2" w:rsidRPr="00063BF2" w:rsidRDefault="00063BF2" w:rsidP="00063BF2">
            <w:pPr>
              <w:adjustRightInd w:val="0"/>
              <w:jc w:val="center"/>
              <w:rPr>
                <w:rFonts w:ascii="Calibri" w:hAnsi="Calibri"/>
                <w:b/>
                <w:bCs/>
                <w:color w:val="000000"/>
                <w:sz w:val="16"/>
                <w:szCs w:val="16"/>
              </w:rPr>
            </w:pPr>
            <w:r w:rsidRPr="00063BF2">
              <w:rPr>
                <w:rFonts w:ascii="Calibri" w:hAnsi="Calibri"/>
                <w:b/>
                <w:bCs/>
                <w:color w:val="000000"/>
                <w:sz w:val="16"/>
                <w:szCs w:val="16"/>
              </w:rPr>
              <w:t> </w:t>
            </w:r>
          </w:p>
        </w:tc>
        <w:tc>
          <w:tcPr>
            <w:tcW w:w="810" w:type="dxa"/>
            <w:tcBorders>
              <w:top w:val="nil"/>
              <w:left w:val="nil"/>
              <w:bottom w:val="single" w:sz="4" w:space="0" w:color="auto"/>
              <w:right w:val="single" w:sz="4" w:space="0" w:color="auto"/>
            </w:tcBorders>
            <w:shd w:val="clear" w:color="000000" w:fill="FFFFFF"/>
            <w:vAlign w:val="bottom"/>
            <w:hideMark/>
          </w:tcPr>
          <w:p w:rsidR="00063BF2" w:rsidRPr="00063BF2" w:rsidRDefault="00247646" w:rsidP="00063BF2">
            <w:pPr>
              <w:adjustRightInd w:val="0"/>
              <w:jc w:val="center"/>
              <w:rPr>
                <w:rFonts w:ascii="Calibri" w:hAnsi="Calibri"/>
                <w:b/>
                <w:bCs/>
                <w:color w:val="000000"/>
                <w:sz w:val="16"/>
                <w:szCs w:val="16"/>
              </w:rPr>
            </w:pPr>
            <w:r>
              <w:rPr>
                <w:rFonts w:ascii="Calibri" w:hAnsi="Calibri"/>
                <w:b/>
                <w:bCs/>
                <w:color w:val="000000"/>
                <w:sz w:val="16"/>
                <w:szCs w:val="16"/>
              </w:rPr>
              <w:t>0.20</w:t>
            </w:r>
          </w:p>
        </w:tc>
        <w:tc>
          <w:tcPr>
            <w:tcW w:w="720" w:type="dxa"/>
            <w:tcBorders>
              <w:top w:val="nil"/>
              <w:left w:val="nil"/>
              <w:bottom w:val="single" w:sz="4" w:space="0" w:color="auto"/>
              <w:right w:val="single" w:sz="4" w:space="0" w:color="auto"/>
            </w:tcBorders>
            <w:shd w:val="clear" w:color="000000" w:fill="FFFFFF"/>
          </w:tcPr>
          <w:p w:rsidR="00063BF2" w:rsidRPr="00063BF2" w:rsidRDefault="00063BF2" w:rsidP="00063BF2">
            <w:pPr>
              <w:adjustRightInd w:val="0"/>
              <w:jc w:val="center"/>
              <w:rPr>
                <w:rFonts w:ascii="Calibri" w:hAnsi="Calibri"/>
                <w:b/>
                <w:bCs/>
                <w:color w:val="000000"/>
                <w:sz w:val="16"/>
                <w:szCs w:val="16"/>
              </w:rPr>
            </w:pPr>
          </w:p>
        </w:tc>
        <w:tc>
          <w:tcPr>
            <w:tcW w:w="1170" w:type="dxa"/>
            <w:tcBorders>
              <w:top w:val="nil"/>
              <w:left w:val="nil"/>
              <w:bottom w:val="single" w:sz="4" w:space="0" w:color="auto"/>
              <w:right w:val="single" w:sz="4" w:space="0" w:color="auto"/>
            </w:tcBorders>
            <w:shd w:val="clear" w:color="000000" w:fill="FFFFFF"/>
          </w:tcPr>
          <w:p w:rsidR="00063BF2" w:rsidRPr="00063BF2" w:rsidRDefault="00063BF2" w:rsidP="00063BF2">
            <w:pPr>
              <w:adjustRightInd w:val="0"/>
              <w:jc w:val="center"/>
              <w:rPr>
                <w:rFonts w:ascii="Calibri" w:hAnsi="Calibri"/>
                <w:b/>
                <w:bCs/>
                <w:color w:val="000000"/>
                <w:sz w:val="16"/>
                <w:szCs w:val="16"/>
              </w:rPr>
            </w:pPr>
          </w:p>
        </w:tc>
      </w:tr>
      <w:tr w:rsidR="00063BF2" w:rsidRPr="00063BF2" w:rsidTr="00790FA4">
        <w:trPr>
          <w:trHeight w:val="281"/>
        </w:trPr>
        <w:tc>
          <w:tcPr>
            <w:tcW w:w="906" w:type="dxa"/>
            <w:gridSpan w:val="2"/>
            <w:tcBorders>
              <w:top w:val="nil"/>
              <w:left w:val="single" w:sz="4" w:space="0" w:color="auto"/>
              <w:bottom w:val="single" w:sz="4" w:space="0" w:color="auto"/>
              <w:right w:val="single" w:sz="4" w:space="0" w:color="auto"/>
            </w:tcBorders>
            <w:shd w:val="clear" w:color="auto" w:fill="auto"/>
            <w:noWrap/>
            <w:vAlign w:val="bottom"/>
            <w:hideMark/>
          </w:tcPr>
          <w:p w:rsidR="00063BF2" w:rsidRPr="00063BF2" w:rsidRDefault="00063BF2" w:rsidP="00063BF2">
            <w:pPr>
              <w:adjustRightInd w:val="0"/>
              <w:rPr>
                <w:rFonts w:ascii="Calibri" w:hAnsi="Calibri"/>
                <w:b/>
                <w:bCs/>
                <w:color w:val="000000"/>
                <w:sz w:val="16"/>
                <w:szCs w:val="16"/>
              </w:rPr>
            </w:pPr>
            <w:r w:rsidRPr="00063BF2">
              <w:rPr>
                <w:rFonts w:ascii="Calibri" w:hAnsi="Calibri"/>
                <w:b/>
                <w:bCs/>
                <w:color w:val="000000"/>
                <w:sz w:val="16"/>
                <w:szCs w:val="16"/>
              </w:rPr>
              <w:t>Total Reporting Burden</w:t>
            </w:r>
          </w:p>
        </w:tc>
        <w:tc>
          <w:tcPr>
            <w:tcW w:w="1001" w:type="dxa"/>
            <w:tcBorders>
              <w:top w:val="nil"/>
              <w:left w:val="nil"/>
              <w:bottom w:val="single" w:sz="4" w:space="0" w:color="auto"/>
              <w:right w:val="single" w:sz="4" w:space="0" w:color="auto"/>
            </w:tcBorders>
            <w:shd w:val="clear" w:color="auto" w:fill="auto"/>
            <w:noWrap/>
            <w:vAlign w:val="bottom"/>
            <w:hideMark/>
          </w:tcPr>
          <w:p w:rsidR="00063BF2" w:rsidRPr="00063BF2" w:rsidRDefault="00063BF2" w:rsidP="00063BF2">
            <w:pPr>
              <w:adjustRightInd w:val="0"/>
              <w:rPr>
                <w:rFonts w:ascii="Calibri" w:hAnsi="Calibri"/>
                <w:b/>
                <w:bCs/>
                <w:color w:val="000000"/>
                <w:sz w:val="16"/>
                <w:szCs w:val="16"/>
              </w:rPr>
            </w:pPr>
            <w:r w:rsidRPr="00063BF2">
              <w:rPr>
                <w:rFonts w:ascii="Calibri" w:hAnsi="Calibri"/>
                <w:b/>
                <w:bCs/>
                <w:color w:val="000000"/>
                <w:sz w:val="16"/>
                <w:szCs w:val="16"/>
              </w:rPr>
              <w:t> </w:t>
            </w:r>
          </w:p>
        </w:tc>
        <w:tc>
          <w:tcPr>
            <w:tcW w:w="1333" w:type="dxa"/>
            <w:gridSpan w:val="3"/>
            <w:tcBorders>
              <w:top w:val="nil"/>
              <w:left w:val="nil"/>
              <w:bottom w:val="single" w:sz="4" w:space="0" w:color="auto"/>
              <w:right w:val="single" w:sz="4" w:space="0" w:color="auto"/>
            </w:tcBorders>
            <w:shd w:val="clear" w:color="auto" w:fill="auto"/>
            <w:noWrap/>
            <w:vAlign w:val="bottom"/>
            <w:hideMark/>
          </w:tcPr>
          <w:p w:rsidR="00063BF2" w:rsidRPr="00063BF2" w:rsidRDefault="00063BF2" w:rsidP="00063BF2">
            <w:pPr>
              <w:adjustRightInd w:val="0"/>
              <w:rPr>
                <w:rFonts w:ascii="Calibri" w:hAnsi="Calibri"/>
                <w:b/>
                <w:bCs/>
                <w:color w:val="000000"/>
                <w:sz w:val="16"/>
                <w:szCs w:val="16"/>
              </w:rPr>
            </w:pPr>
            <w:r w:rsidRPr="00063BF2">
              <w:rPr>
                <w:rFonts w:ascii="Calibri" w:hAnsi="Calibri"/>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063BF2" w:rsidRPr="00063BF2" w:rsidRDefault="00063BF2" w:rsidP="00063BF2">
            <w:pPr>
              <w:adjustRightInd w:val="0"/>
              <w:jc w:val="center"/>
              <w:rPr>
                <w:rFonts w:ascii="Calibri" w:hAnsi="Calibri"/>
                <w:b/>
                <w:bCs/>
                <w:color w:val="000000"/>
                <w:sz w:val="16"/>
                <w:szCs w:val="16"/>
              </w:rPr>
            </w:pPr>
            <w:r>
              <w:rPr>
                <w:rFonts w:ascii="Calibri" w:hAnsi="Calibri"/>
                <w:b/>
                <w:bCs/>
                <w:color w:val="000000"/>
                <w:sz w:val="16"/>
                <w:szCs w:val="16"/>
              </w:rPr>
              <w:t>1,282</w:t>
            </w:r>
          </w:p>
        </w:tc>
        <w:tc>
          <w:tcPr>
            <w:tcW w:w="990" w:type="dxa"/>
            <w:tcBorders>
              <w:top w:val="nil"/>
              <w:left w:val="nil"/>
              <w:bottom w:val="single" w:sz="4" w:space="0" w:color="auto"/>
              <w:right w:val="single" w:sz="4" w:space="0" w:color="auto"/>
            </w:tcBorders>
            <w:shd w:val="clear" w:color="auto" w:fill="FFFF00"/>
            <w:noWrap/>
            <w:vAlign w:val="center"/>
            <w:hideMark/>
          </w:tcPr>
          <w:p w:rsidR="00063BF2" w:rsidRPr="00063BF2" w:rsidRDefault="00063BF2" w:rsidP="00063BF2">
            <w:pPr>
              <w:adjustRightInd w:val="0"/>
              <w:jc w:val="center"/>
              <w:rPr>
                <w:rFonts w:ascii="Calibri" w:hAnsi="Calibri"/>
                <w:b/>
                <w:bCs/>
                <w:color w:val="000000"/>
                <w:sz w:val="16"/>
                <w:szCs w:val="16"/>
              </w:rPr>
            </w:pPr>
          </w:p>
          <w:p w:rsidR="00063BF2" w:rsidRPr="00063BF2" w:rsidRDefault="00063BF2" w:rsidP="00063BF2">
            <w:pPr>
              <w:shd w:val="clear" w:color="auto" w:fill="FFFF00"/>
              <w:adjustRightInd w:val="0"/>
              <w:jc w:val="center"/>
              <w:rPr>
                <w:rFonts w:ascii="Calibri" w:hAnsi="Calibri"/>
                <w:b/>
                <w:bCs/>
                <w:color w:val="000000"/>
                <w:sz w:val="16"/>
                <w:szCs w:val="16"/>
              </w:rPr>
            </w:pPr>
          </w:p>
          <w:p w:rsidR="00063BF2" w:rsidRPr="00063BF2" w:rsidRDefault="00063BF2" w:rsidP="00063BF2">
            <w:pPr>
              <w:shd w:val="clear" w:color="auto" w:fill="FFFF00"/>
              <w:adjustRightInd w:val="0"/>
              <w:jc w:val="center"/>
              <w:rPr>
                <w:rFonts w:ascii="Calibri" w:hAnsi="Calibri"/>
                <w:b/>
                <w:bCs/>
                <w:color w:val="000000"/>
                <w:sz w:val="16"/>
                <w:szCs w:val="16"/>
              </w:rPr>
            </w:pPr>
          </w:p>
          <w:p w:rsidR="00063BF2" w:rsidRPr="00063BF2" w:rsidRDefault="00063BF2" w:rsidP="00063BF2">
            <w:pPr>
              <w:shd w:val="clear" w:color="auto" w:fill="FFFF00"/>
              <w:adjustRightInd w:val="0"/>
              <w:jc w:val="center"/>
              <w:rPr>
                <w:rFonts w:ascii="Calibri" w:hAnsi="Calibri"/>
                <w:b/>
                <w:bCs/>
                <w:color w:val="000000"/>
                <w:sz w:val="16"/>
                <w:szCs w:val="16"/>
              </w:rPr>
            </w:pPr>
          </w:p>
          <w:p w:rsidR="00063BF2" w:rsidRPr="00063BF2" w:rsidRDefault="00063BF2" w:rsidP="00063BF2">
            <w:pPr>
              <w:adjustRightInd w:val="0"/>
              <w:jc w:val="center"/>
              <w:rPr>
                <w:rFonts w:ascii="Calibri" w:hAnsi="Calibri"/>
                <w:b/>
                <w:bCs/>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063BF2" w:rsidRPr="00063BF2" w:rsidRDefault="00063BF2" w:rsidP="00063BF2">
            <w:pPr>
              <w:adjustRightInd w:val="0"/>
              <w:jc w:val="center"/>
              <w:rPr>
                <w:rFonts w:ascii="Calibri" w:hAnsi="Calibri"/>
                <w:b/>
                <w:bCs/>
                <w:color w:val="000000"/>
                <w:sz w:val="16"/>
                <w:szCs w:val="16"/>
              </w:rPr>
            </w:pPr>
            <w:r>
              <w:rPr>
                <w:rFonts w:ascii="Calibri" w:hAnsi="Calibri"/>
                <w:b/>
                <w:bCs/>
                <w:color w:val="000000"/>
                <w:sz w:val="16"/>
                <w:szCs w:val="16"/>
              </w:rPr>
              <w:t>1,538.40</w:t>
            </w:r>
          </w:p>
        </w:tc>
        <w:tc>
          <w:tcPr>
            <w:tcW w:w="990" w:type="dxa"/>
            <w:tcBorders>
              <w:top w:val="nil"/>
              <w:left w:val="nil"/>
              <w:bottom w:val="single" w:sz="4" w:space="0" w:color="auto"/>
              <w:right w:val="single" w:sz="4" w:space="0" w:color="auto"/>
            </w:tcBorders>
            <w:shd w:val="clear" w:color="auto" w:fill="FFFF00"/>
            <w:noWrap/>
            <w:vAlign w:val="bottom"/>
            <w:hideMark/>
          </w:tcPr>
          <w:p w:rsidR="00063BF2" w:rsidRPr="00063BF2" w:rsidRDefault="00063BF2" w:rsidP="00063BF2">
            <w:pPr>
              <w:adjustRightInd w:val="0"/>
              <w:jc w:val="center"/>
              <w:rPr>
                <w:rFonts w:ascii="Calibri" w:hAnsi="Calibri"/>
                <w:b/>
                <w:bCs/>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hideMark/>
          </w:tcPr>
          <w:p w:rsidR="00063BF2" w:rsidRPr="00063BF2" w:rsidRDefault="00063BF2" w:rsidP="00063BF2">
            <w:pPr>
              <w:adjustRightInd w:val="0"/>
              <w:jc w:val="center"/>
              <w:rPr>
                <w:rFonts w:ascii="Calibri" w:hAnsi="Calibri"/>
                <w:b/>
                <w:bCs/>
                <w:color w:val="000000"/>
                <w:sz w:val="16"/>
                <w:szCs w:val="16"/>
              </w:rPr>
            </w:pPr>
            <w:r>
              <w:rPr>
                <w:rFonts w:ascii="Calibri" w:hAnsi="Calibri"/>
                <w:b/>
                <w:bCs/>
                <w:color w:val="000000"/>
                <w:sz w:val="16"/>
                <w:szCs w:val="16"/>
              </w:rPr>
              <w:t>261.52</w:t>
            </w:r>
          </w:p>
        </w:tc>
        <w:tc>
          <w:tcPr>
            <w:tcW w:w="720" w:type="dxa"/>
            <w:tcBorders>
              <w:top w:val="nil"/>
              <w:left w:val="nil"/>
              <w:bottom w:val="single" w:sz="4" w:space="0" w:color="auto"/>
              <w:right w:val="single" w:sz="4" w:space="0" w:color="auto"/>
            </w:tcBorders>
          </w:tcPr>
          <w:p w:rsidR="00063BF2" w:rsidRPr="00063BF2" w:rsidRDefault="00063BF2" w:rsidP="00063BF2">
            <w:pPr>
              <w:adjustRightInd w:val="0"/>
              <w:jc w:val="center"/>
              <w:rPr>
                <w:rFonts w:ascii="Calibri" w:hAnsi="Calibri"/>
                <w:b/>
                <w:bCs/>
                <w:color w:val="000000"/>
                <w:sz w:val="16"/>
                <w:szCs w:val="16"/>
              </w:rPr>
            </w:pPr>
          </w:p>
        </w:tc>
        <w:tc>
          <w:tcPr>
            <w:tcW w:w="1170" w:type="dxa"/>
            <w:tcBorders>
              <w:top w:val="nil"/>
              <w:left w:val="nil"/>
              <w:bottom w:val="single" w:sz="4" w:space="0" w:color="auto"/>
              <w:right w:val="single" w:sz="4" w:space="0" w:color="auto"/>
            </w:tcBorders>
          </w:tcPr>
          <w:p w:rsidR="00063BF2" w:rsidRPr="00063BF2" w:rsidRDefault="00063BF2" w:rsidP="00063BF2">
            <w:pPr>
              <w:adjustRightInd w:val="0"/>
              <w:jc w:val="center"/>
              <w:rPr>
                <w:rFonts w:ascii="Calibri" w:hAnsi="Calibri"/>
                <w:b/>
                <w:bCs/>
                <w:color w:val="000000"/>
                <w:sz w:val="16"/>
                <w:szCs w:val="16"/>
              </w:rPr>
            </w:pPr>
          </w:p>
          <w:p w:rsidR="00063BF2" w:rsidRPr="00063BF2" w:rsidRDefault="00063BF2" w:rsidP="00063BF2">
            <w:pPr>
              <w:adjustRightInd w:val="0"/>
              <w:jc w:val="center"/>
              <w:rPr>
                <w:rFonts w:ascii="Calibri" w:hAnsi="Calibri"/>
                <w:b/>
                <w:bCs/>
                <w:color w:val="000000"/>
                <w:sz w:val="16"/>
                <w:szCs w:val="16"/>
              </w:rPr>
            </w:pPr>
          </w:p>
          <w:p w:rsidR="00063BF2" w:rsidRPr="00063BF2" w:rsidRDefault="00063BF2" w:rsidP="00063BF2">
            <w:pPr>
              <w:adjustRightInd w:val="0"/>
              <w:jc w:val="center"/>
              <w:rPr>
                <w:rFonts w:ascii="Calibri" w:hAnsi="Calibri"/>
                <w:b/>
                <w:bCs/>
                <w:color w:val="000000"/>
                <w:sz w:val="16"/>
                <w:szCs w:val="16"/>
              </w:rPr>
            </w:pPr>
          </w:p>
          <w:p w:rsidR="00063BF2" w:rsidRPr="00063BF2" w:rsidRDefault="00063BF2" w:rsidP="00063BF2">
            <w:pPr>
              <w:adjustRightInd w:val="0"/>
              <w:jc w:val="center"/>
              <w:rPr>
                <w:rFonts w:ascii="Calibri" w:hAnsi="Calibri"/>
                <w:b/>
                <w:bCs/>
                <w:color w:val="000000"/>
                <w:sz w:val="16"/>
                <w:szCs w:val="16"/>
              </w:rPr>
            </w:pPr>
          </w:p>
          <w:p w:rsidR="00063BF2" w:rsidRPr="00063BF2" w:rsidRDefault="00063BF2" w:rsidP="00063BF2">
            <w:pPr>
              <w:adjustRightInd w:val="0"/>
              <w:jc w:val="center"/>
              <w:rPr>
                <w:rFonts w:ascii="Calibri" w:hAnsi="Calibri"/>
                <w:b/>
                <w:bCs/>
                <w:color w:val="000000"/>
                <w:sz w:val="16"/>
                <w:szCs w:val="16"/>
              </w:rPr>
            </w:pPr>
            <w:r w:rsidRPr="00063BF2">
              <w:rPr>
                <w:rFonts w:ascii="Calibri" w:hAnsi="Calibri"/>
                <w:b/>
                <w:bCs/>
                <w:color w:val="000000"/>
                <w:sz w:val="16"/>
                <w:szCs w:val="16"/>
              </w:rPr>
              <w:t>$</w:t>
            </w:r>
            <w:r>
              <w:rPr>
                <w:rFonts w:ascii="Calibri" w:hAnsi="Calibri"/>
                <w:b/>
                <w:bCs/>
                <w:color w:val="000000"/>
                <w:sz w:val="16"/>
                <w:szCs w:val="16"/>
              </w:rPr>
              <w:t>1</w:t>
            </w:r>
            <w:r w:rsidR="00773052">
              <w:rPr>
                <w:rFonts w:ascii="Calibri" w:hAnsi="Calibri"/>
                <w:b/>
                <w:bCs/>
                <w:color w:val="000000"/>
                <w:sz w:val="16"/>
                <w:szCs w:val="16"/>
              </w:rPr>
              <w:t>5,521.2</w:t>
            </w:r>
            <w:r w:rsidR="00247646">
              <w:rPr>
                <w:rFonts w:ascii="Calibri" w:hAnsi="Calibri"/>
                <w:b/>
                <w:bCs/>
                <w:color w:val="000000"/>
                <w:sz w:val="16"/>
                <w:szCs w:val="16"/>
              </w:rPr>
              <w:t>1</w:t>
            </w:r>
          </w:p>
        </w:tc>
      </w:tr>
    </w:tbl>
    <w:p w:rsidR="006209DE" w:rsidRDefault="006209DE" w:rsidP="00276B4F">
      <w:pPr>
        <w:pStyle w:val="BodyText"/>
        <w:spacing w:before="11"/>
        <w:rPr>
          <w:b/>
          <w:sz w:val="28"/>
        </w:rPr>
      </w:pPr>
    </w:p>
    <w:p w:rsidR="00766FF3" w:rsidRDefault="00766FF3">
      <w:pPr>
        <w:pStyle w:val="BodyText"/>
        <w:rPr>
          <w:b/>
          <w:sz w:val="20"/>
        </w:rPr>
      </w:pPr>
    </w:p>
    <w:p w:rsidR="00766FF3" w:rsidRPr="000B62AC" w:rsidRDefault="00685AF6" w:rsidP="000B62AC">
      <w:pPr>
        <w:pStyle w:val="ListParagraph"/>
        <w:numPr>
          <w:ilvl w:val="0"/>
          <w:numId w:val="8"/>
        </w:numPr>
        <w:tabs>
          <w:tab w:val="left" w:pos="1520"/>
        </w:tabs>
        <w:spacing w:before="211"/>
        <w:ind w:right="572"/>
        <w:rPr>
          <w:b/>
          <w:sz w:val="24"/>
        </w:rPr>
      </w:pPr>
      <w:r w:rsidRPr="000B62AC">
        <w:rPr>
          <w:b/>
          <w:sz w:val="24"/>
        </w:rPr>
        <w:t>Provide estimates of annualized cost to respondents for the hour burdens for collections of information, identifying and using appropriate wage rate categories.</w:t>
      </w:r>
    </w:p>
    <w:p w:rsidR="00766FF3" w:rsidRDefault="00766FF3">
      <w:pPr>
        <w:pStyle w:val="BodyText"/>
        <w:rPr>
          <w:b/>
          <w:sz w:val="26"/>
        </w:rPr>
      </w:pPr>
    </w:p>
    <w:p w:rsidR="00766FF3" w:rsidRDefault="00685AF6" w:rsidP="00530BC4">
      <w:pPr>
        <w:pStyle w:val="BodyText"/>
        <w:spacing w:before="192" w:line="480" w:lineRule="auto"/>
        <w:ind w:left="1180" w:right="478"/>
      </w:pPr>
      <w:r>
        <w:t>There are no forms involved. The respondent simply writes a letter requesting an administrative review. Their cost should be approximately $5</w:t>
      </w:r>
      <w:r w:rsidR="00AE1221">
        <w:t>9</w:t>
      </w:r>
      <w:r>
        <w:t>.35 per hour with a total annual cost to retailers estimated to be $</w:t>
      </w:r>
      <w:r w:rsidR="00CF4FC4">
        <w:t>15,503.04</w:t>
      </w:r>
      <w:r>
        <w:t xml:space="preserve"> (General and Operations Managers @ $</w:t>
      </w:r>
      <w:r w:rsidR="00AE1221">
        <w:t>59.35</w:t>
      </w:r>
      <w:r>
        <w:t xml:space="preserve"> per hour x 0.17 = $</w:t>
      </w:r>
      <w:r w:rsidR="00AE1221">
        <w:t>10.08</w:t>
      </w:r>
      <w:r>
        <w:t xml:space="preserve"> x </w:t>
      </w:r>
      <w:r w:rsidR="00AE1221">
        <w:t>1,538</w:t>
      </w:r>
      <w:r>
        <w:t xml:space="preserve"> Annual Responses =</w:t>
      </w:r>
      <w:r w:rsidR="00530BC4">
        <w:t xml:space="preserve"> </w:t>
      </w:r>
      <w:r>
        <w:t>$</w:t>
      </w:r>
      <w:r w:rsidR="00AE1221">
        <w:t>15,503.04</w:t>
      </w:r>
      <w:r w:rsidR="00530BC4">
        <w:t>).</w:t>
      </w:r>
    </w:p>
    <w:p w:rsidR="006B1ED4" w:rsidRDefault="006B1ED4" w:rsidP="00276B4F">
      <w:pPr>
        <w:pStyle w:val="BodyText"/>
        <w:spacing w:before="192"/>
        <w:ind w:left="1180" w:right="478"/>
      </w:pPr>
    </w:p>
    <w:p w:rsidR="00766FF3" w:rsidRDefault="00530BC4" w:rsidP="00847CC0">
      <w:pPr>
        <w:pStyle w:val="BodyText"/>
        <w:spacing w:before="192" w:line="480" w:lineRule="auto"/>
        <w:ind w:left="1180" w:right="478"/>
      </w:pPr>
      <w:r>
        <w:t xml:space="preserve">For hourly cost estimation, we went to the Bureau of Labor </w:t>
      </w:r>
      <w:r w:rsidR="00685AF6">
        <w:t xml:space="preserve">Statistics (BLS) website at </w:t>
      </w:r>
      <w:hyperlink r:id="rId11">
        <w:r w:rsidR="00685AF6">
          <w:rPr>
            <w:color w:val="0000FF"/>
            <w:u w:val="single" w:color="0000FF"/>
          </w:rPr>
          <w:t>www.bls.gov/oes/</w:t>
        </w:r>
        <w:r w:rsidR="00685AF6">
          <w:rPr>
            <w:color w:val="0000FF"/>
          </w:rPr>
          <w:t xml:space="preserve"> </w:t>
        </w:r>
      </w:hyperlink>
      <w:r w:rsidR="00685AF6">
        <w:t xml:space="preserve">and </w:t>
      </w:r>
      <w:hyperlink r:id="rId12">
        <w:r w:rsidR="00685AF6">
          <w:rPr>
            <w:color w:val="0000FF"/>
            <w:u w:val="single" w:color="0000FF"/>
          </w:rPr>
          <w:t>http://www.bls.gov/oes/current/oes111021.htm</w:t>
        </w:r>
      </w:hyperlink>
      <w:r w:rsidR="00847CC0">
        <w:rPr>
          <w:color w:val="0000FF"/>
          <w:u w:val="single" w:color="0000FF"/>
        </w:rPr>
        <w:t xml:space="preserve"> </w:t>
      </w:r>
      <w:r w:rsidR="00685AF6">
        <w:t>and used the May, 201</w:t>
      </w:r>
      <w:r>
        <w:t>7</w:t>
      </w:r>
      <w:r w:rsidR="00685AF6">
        <w:t xml:space="preserve"> data which is the most recent data available from the </w:t>
      </w:r>
      <w:r w:rsidR="00BA1518">
        <w:t xml:space="preserve">National </w:t>
      </w:r>
      <w:r w:rsidR="00685AF6">
        <w:t>Compensation Survey: Occupational Wages in the United States, May</w:t>
      </w:r>
      <w:r w:rsidR="00847CC0">
        <w:t> </w:t>
      </w:r>
      <w:r w:rsidR="00685AF6">
        <w:t>201</w:t>
      </w:r>
      <w:r>
        <w:t>7</w:t>
      </w:r>
      <w:r w:rsidR="00685AF6">
        <w:t xml:space="preserve">, Industry-Specific Occupational Employment and Wage Estimates for Retail Trade. </w:t>
      </w:r>
      <w:r>
        <w:t xml:space="preserve"> </w:t>
      </w:r>
      <w:r w:rsidR="00685AF6">
        <w:t>Within this group, we further used the Standard Occupational</w:t>
      </w:r>
      <w:r w:rsidR="00BA1518">
        <w:t xml:space="preserve"> Classification code number 11-1021 – General and Operations Manager </w:t>
      </w:r>
      <w:r w:rsidR="00685AF6">
        <w:t>(</w:t>
      </w:r>
      <w:hyperlink r:id="rId13">
        <w:r w:rsidR="00685AF6">
          <w:rPr>
            <w:color w:val="0000FF"/>
            <w:u w:val="single" w:color="0000FF"/>
          </w:rPr>
          <w:t>http://www.bls.gov/oes/current/oes111021.htm</w:t>
        </w:r>
      </w:hyperlink>
      <w:r w:rsidR="00685AF6">
        <w:t xml:space="preserve">). </w:t>
      </w:r>
      <w:r>
        <w:t xml:space="preserve"> </w:t>
      </w:r>
      <w:r w:rsidR="00685AF6">
        <w:t>Based on this data, the mean</w:t>
      </w:r>
      <w:r>
        <w:t xml:space="preserve"> hourly wage estimate was </w:t>
      </w:r>
      <w:r w:rsidR="00685AF6">
        <w:t>$</w:t>
      </w:r>
      <w:r>
        <w:t>59.35</w:t>
      </w:r>
      <w:r w:rsidR="00685AF6">
        <w:t xml:space="preserve">. </w:t>
      </w:r>
      <w:r>
        <w:t xml:space="preserve"> </w:t>
      </w:r>
      <w:r w:rsidR="00685AF6">
        <w:t xml:space="preserve">This wage amount was used as our basis for </w:t>
      </w:r>
      <w:r w:rsidR="00BA1518">
        <w:t xml:space="preserve">computing </w:t>
      </w:r>
      <w:r w:rsidR="00685AF6">
        <w:t xml:space="preserve">total annual cost burden to the respondents, as it is the most current </w:t>
      </w:r>
      <w:r w:rsidR="00BA1518">
        <w:t xml:space="preserve">data provided </w:t>
      </w:r>
      <w:r w:rsidR="00685AF6">
        <w:t>by the BLS.</w:t>
      </w:r>
    </w:p>
    <w:p w:rsidR="00766FF3" w:rsidRDefault="00766FF3">
      <w:pPr>
        <w:pStyle w:val="BodyText"/>
        <w:rPr>
          <w:sz w:val="26"/>
        </w:rPr>
      </w:pPr>
    </w:p>
    <w:p w:rsidR="006B1ED4" w:rsidRDefault="00685AF6" w:rsidP="006B1ED4">
      <w:pPr>
        <w:pStyle w:val="Heading1"/>
        <w:numPr>
          <w:ilvl w:val="0"/>
          <w:numId w:val="2"/>
        </w:numPr>
        <w:tabs>
          <w:tab w:val="left" w:pos="1179"/>
          <w:tab w:val="left" w:pos="1180"/>
        </w:tabs>
        <w:spacing w:before="194"/>
        <w:ind w:right="592"/>
        <w:jc w:val="left"/>
      </w:pPr>
      <w:r>
        <w:t>Provide estimates of the total annual cost burden to respondents or record keepers resulting from the collection of information (do not include the cost of any hour burden shown in items 12 and 14). The cost estimates should</w:t>
      </w:r>
      <w:r>
        <w:rPr>
          <w:spacing w:val="-26"/>
        </w:rPr>
        <w:t xml:space="preserve"> </w:t>
      </w:r>
      <w:r>
        <w:t>be split into two components: (a) a total capital and start-up cost component annualized over its expected useful life; and (b) a total operation and maintenance and purchase of services</w:t>
      </w:r>
      <w:r>
        <w:rPr>
          <w:spacing w:val="-3"/>
        </w:rPr>
        <w:t xml:space="preserve"> </w:t>
      </w:r>
      <w:r>
        <w:t>component.</w:t>
      </w:r>
    </w:p>
    <w:p w:rsidR="00766FF3" w:rsidRDefault="00766FF3">
      <w:pPr>
        <w:pStyle w:val="BodyText"/>
        <w:rPr>
          <w:b/>
          <w:sz w:val="26"/>
        </w:rPr>
      </w:pPr>
    </w:p>
    <w:p w:rsidR="00766FF3" w:rsidRDefault="00766FF3">
      <w:pPr>
        <w:pStyle w:val="BodyText"/>
        <w:spacing w:before="10"/>
        <w:rPr>
          <w:b/>
          <w:sz w:val="21"/>
        </w:rPr>
      </w:pPr>
    </w:p>
    <w:p w:rsidR="00766FF3" w:rsidRDefault="00685AF6">
      <w:pPr>
        <w:pStyle w:val="BodyText"/>
        <w:spacing w:before="1" w:line="480" w:lineRule="auto"/>
        <w:ind w:left="1180" w:right="1755"/>
      </w:pPr>
      <w:r>
        <w:t>There are no capital/start-up or ongoing operation/maintenance costs associated with this information collection.</w:t>
      </w:r>
    </w:p>
    <w:p w:rsidR="00162B68" w:rsidRDefault="00162B68">
      <w:pPr>
        <w:pStyle w:val="BodyText"/>
        <w:spacing w:before="1" w:line="480" w:lineRule="auto"/>
        <w:ind w:left="1180" w:right="1755"/>
      </w:pPr>
    </w:p>
    <w:p w:rsidR="00766FF3" w:rsidRDefault="00685AF6">
      <w:pPr>
        <w:pStyle w:val="Heading1"/>
        <w:numPr>
          <w:ilvl w:val="0"/>
          <w:numId w:val="2"/>
        </w:numPr>
        <w:tabs>
          <w:tab w:val="left" w:pos="1179"/>
          <w:tab w:val="left" w:pos="1180"/>
        </w:tabs>
        <w:spacing w:before="79"/>
        <w:jc w:val="left"/>
      </w:pPr>
      <w:r>
        <w:t>Provide estimates of annualized cost to the Federal</w:t>
      </w:r>
      <w:r>
        <w:rPr>
          <w:spacing w:val="-5"/>
        </w:rPr>
        <w:t xml:space="preserve"> </w:t>
      </w:r>
      <w:r>
        <w:t>government</w:t>
      </w:r>
      <w:r w:rsidR="006B1ED4">
        <w:t>.  Also provide a description of the method used to estimate cost and any other expense that would not have been incurred without this collection of information.</w:t>
      </w:r>
    </w:p>
    <w:p w:rsidR="00766FF3" w:rsidRDefault="00766FF3">
      <w:pPr>
        <w:pStyle w:val="BodyText"/>
        <w:rPr>
          <w:b/>
          <w:sz w:val="26"/>
        </w:rPr>
      </w:pPr>
    </w:p>
    <w:p w:rsidR="00766FF3" w:rsidRDefault="00685AF6" w:rsidP="00142B82">
      <w:pPr>
        <w:pStyle w:val="BodyText"/>
        <w:spacing w:before="169" w:line="480" w:lineRule="auto"/>
        <w:ind w:left="1180" w:right="478"/>
      </w:pPr>
      <w:r>
        <w:t xml:space="preserve">The cost to the Federal Government to read and respond to requests for </w:t>
      </w:r>
      <w:r w:rsidR="006B1ED4">
        <w:t xml:space="preserve">administrative </w:t>
      </w:r>
      <w:r>
        <w:t xml:space="preserve">reviews is approximately 0.30 hours per response. For hourly cost estimation, we went to the Office of Personnel and Management website at </w:t>
      </w:r>
      <w:hyperlink r:id="rId14">
        <w:r>
          <w:rPr>
            <w:color w:val="0000FF"/>
            <w:u w:val="single" w:color="0000FF"/>
          </w:rPr>
          <w:t>http://www.opm.gov</w:t>
        </w:r>
      </w:hyperlink>
      <w:r>
        <w:rPr>
          <w:color w:val="0000FF"/>
        </w:rPr>
        <w:t xml:space="preserve"> </w:t>
      </w:r>
      <w:r>
        <w:t xml:space="preserve">and </w:t>
      </w:r>
      <w:hyperlink r:id="rId15" w:history="1">
        <w:r w:rsidR="00142B82" w:rsidRPr="00231050">
          <w:rPr>
            <w:rStyle w:val="Hyperlink"/>
          </w:rPr>
          <w:t>https://www.opm.gov/policy-data-oversight/pay-leave/salaries-wages/salary-tables/pdf/2018/DCB_h.pdf</w:t>
        </w:r>
      </w:hyperlink>
      <w:r w:rsidR="00142B82">
        <w:t xml:space="preserve">  </w:t>
      </w:r>
      <w:r>
        <w:t>used the 201</w:t>
      </w:r>
      <w:r w:rsidR="00142B82">
        <w:t>8</w:t>
      </w:r>
      <w:r>
        <w:t xml:space="preserve"> General Schedule Locality Pay Tables for the Washington, DC, metropolitan area. </w:t>
      </w:r>
      <w:r w:rsidR="00847CC0">
        <w:t xml:space="preserve"> </w:t>
      </w:r>
      <w:r>
        <w:t>Based on this data, the hourly wage was $</w:t>
      </w:r>
      <w:r w:rsidR="00142B82">
        <w:t>65.89</w:t>
      </w:r>
      <w:r>
        <w:t xml:space="preserve"> (GS 14/7). This wage amount was used as our basis for computing total annual cost burden to the Federal Government. Approximately 1,</w:t>
      </w:r>
      <w:r w:rsidR="00142B82">
        <w:t>282</w:t>
      </w:r>
      <w:r>
        <w:t xml:space="preserve"> responses are made annually requiring approximately </w:t>
      </w:r>
      <w:r w:rsidR="00142B82">
        <w:t>385</w:t>
      </w:r>
      <w:r>
        <w:t xml:space="preserve"> hours at an estimated cost of $</w:t>
      </w:r>
      <w:r w:rsidR="00142B82">
        <w:t>25,341.29</w:t>
      </w:r>
      <w:r>
        <w:t xml:space="preserve"> to the Federal Government (1,</w:t>
      </w:r>
      <w:r w:rsidR="00142B82">
        <w:t>282</w:t>
      </w:r>
      <w:r>
        <w:t xml:space="preserve"> respondent x 0.30 = </w:t>
      </w:r>
      <w:r w:rsidR="00142B82">
        <w:t>384.6</w:t>
      </w:r>
      <w:r>
        <w:t xml:space="preserve"> x $</w:t>
      </w:r>
      <w:r w:rsidR="00142B82">
        <w:t>65.89</w:t>
      </w:r>
      <w:r>
        <w:t xml:space="preserve"> [GS 14/7] = $</w:t>
      </w:r>
      <w:r w:rsidR="00142B82">
        <w:t>25,341.29</w:t>
      </w:r>
      <w:r>
        <w:t>]. No other Federal costs are</w:t>
      </w:r>
      <w:r>
        <w:rPr>
          <w:spacing w:val="-3"/>
        </w:rPr>
        <w:t xml:space="preserve"> </w:t>
      </w:r>
      <w:r>
        <w:t>anticipated.</w:t>
      </w:r>
    </w:p>
    <w:p w:rsidR="00142B82" w:rsidRDefault="00685AF6" w:rsidP="00142B82">
      <w:pPr>
        <w:pStyle w:val="Heading1"/>
        <w:numPr>
          <w:ilvl w:val="0"/>
          <w:numId w:val="2"/>
        </w:numPr>
        <w:tabs>
          <w:tab w:val="left" w:pos="1239"/>
          <w:tab w:val="left" w:pos="1240"/>
        </w:tabs>
        <w:spacing w:before="195"/>
        <w:ind w:left="1240" w:hanging="780"/>
        <w:jc w:val="left"/>
      </w:pPr>
      <w:r>
        <w:t>Explain the reasons for any program changes or</w:t>
      </w:r>
      <w:r>
        <w:rPr>
          <w:spacing w:val="-5"/>
        </w:rPr>
        <w:t xml:space="preserve"> </w:t>
      </w:r>
      <w:r>
        <w:t>adjustments</w:t>
      </w:r>
      <w:r w:rsidR="00142B82">
        <w:t xml:space="preserve"> reported in Items 13 or 14 of the OMB Form 83-I</w:t>
      </w:r>
      <w:r>
        <w:t>.</w:t>
      </w:r>
    </w:p>
    <w:p w:rsidR="00142B82" w:rsidRDefault="00142B82" w:rsidP="00142B82">
      <w:pPr>
        <w:pStyle w:val="Heading1"/>
        <w:tabs>
          <w:tab w:val="left" w:pos="1239"/>
          <w:tab w:val="left" w:pos="1240"/>
        </w:tabs>
        <w:spacing w:before="195"/>
        <w:ind w:left="1240" w:firstLine="0"/>
      </w:pPr>
    </w:p>
    <w:p w:rsidR="00766FF3" w:rsidRDefault="00142B82" w:rsidP="00142B82">
      <w:pPr>
        <w:pStyle w:val="Heading1"/>
        <w:tabs>
          <w:tab w:val="left" w:pos="1239"/>
          <w:tab w:val="left" w:pos="1240"/>
        </w:tabs>
        <w:spacing w:before="195"/>
        <w:ind w:left="1240" w:firstLine="0"/>
        <w:rPr>
          <w:b w:val="0"/>
          <w:sz w:val="26"/>
        </w:rPr>
      </w:pPr>
      <w:r>
        <w:rPr>
          <w:b w:val="0"/>
        </w:rPr>
        <w:t>This is a revision of a currently approved collection.</w:t>
      </w:r>
    </w:p>
    <w:p w:rsidR="00766FF3" w:rsidRDefault="00766FF3">
      <w:pPr>
        <w:pStyle w:val="BodyText"/>
        <w:rPr>
          <w:b/>
          <w:sz w:val="26"/>
        </w:rPr>
      </w:pPr>
    </w:p>
    <w:p w:rsidR="00766FF3" w:rsidRDefault="00685AF6">
      <w:pPr>
        <w:pStyle w:val="BodyText"/>
        <w:spacing w:before="169"/>
        <w:ind w:left="1180"/>
      </w:pPr>
      <w:r>
        <w:rPr>
          <w:u w:val="single"/>
        </w:rPr>
        <w:t>Adjustments</w:t>
      </w:r>
    </w:p>
    <w:p w:rsidR="00766FF3" w:rsidRDefault="00766FF3">
      <w:pPr>
        <w:pStyle w:val="BodyText"/>
        <w:rPr>
          <w:sz w:val="20"/>
        </w:rPr>
      </w:pPr>
    </w:p>
    <w:p w:rsidR="00766FF3" w:rsidRDefault="00766FF3">
      <w:pPr>
        <w:pStyle w:val="BodyText"/>
        <w:spacing w:before="1"/>
        <w:rPr>
          <w:sz w:val="25"/>
        </w:rPr>
      </w:pPr>
    </w:p>
    <w:p w:rsidR="00766FF3" w:rsidRDefault="00142B82">
      <w:pPr>
        <w:pStyle w:val="BodyText"/>
        <w:spacing w:before="90" w:line="480" w:lineRule="auto"/>
        <w:ind w:left="1180" w:right="588"/>
      </w:pPr>
      <w:r>
        <w:t>Our estimates for the number of respondents requesting an administrative review are subject to change in each FY as the number of aggrieved retailers fluctuates.  The previous</w:t>
      </w:r>
      <w:r w:rsidR="00311A66">
        <w:t>ly approved</w:t>
      </w:r>
      <w:r>
        <w:t xml:space="preserve"> burden of </w:t>
      </w:r>
      <w:r w:rsidR="006E2BCE">
        <w:t>29</w:t>
      </w:r>
      <w:r w:rsidR="00311A66">
        <w:t>8</w:t>
      </w:r>
      <w:r w:rsidR="006E2BCE">
        <w:t xml:space="preserve"> hours was based on data from FY 2014.  This submission utilized FY 2017 data to establish a more accurate account for this collection</w:t>
      </w:r>
      <w:r w:rsidR="00311A66">
        <w:t xml:space="preserve"> for the next three (3) years.</w:t>
      </w:r>
      <w:r w:rsidR="006E2BCE">
        <w:t xml:space="preserve">  </w:t>
      </w:r>
    </w:p>
    <w:p w:rsidR="006E2BCE" w:rsidRDefault="006E2BCE">
      <w:pPr>
        <w:pStyle w:val="BodyText"/>
        <w:spacing w:before="90" w:line="480" w:lineRule="auto"/>
        <w:ind w:left="1180" w:right="588"/>
      </w:pPr>
    </w:p>
    <w:p w:rsidR="00766FF3" w:rsidRDefault="00311A66" w:rsidP="006E2BCE">
      <w:pPr>
        <w:pStyle w:val="BodyText"/>
        <w:spacing w:before="90" w:line="480" w:lineRule="auto"/>
        <w:ind w:left="1180" w:right="588"/>
      </w:pPr>
      <w:r>
        <w:t>Based on our historical data, the number of</w:t>
      </w:r>
      <w:r w:rsidR="006E2BCE">
        <w:t xml:space="preserve"> respondents re</w:t>
      </w:r>
      <w:r w:rsidR="0031525F">
        <w:t xml:space="preserve">questing administrative reviews, the total annual responses and the total annual burden hours decreased.  The request also reflects a decrease in the number of respondents who requested administrative review.  The currently approved number of respondents is 1,459 the revised number of respondents in this request is 1,282, a decrease of -177 aggrieved retailers.  </w:t>
      </w:r>
      <w:r w:rsidR="00B60C53">
        <w:t>The currently approved total annual responses is 1,751 the, we are requesting</w:t>
      </w:r>
      <w:r w:rsidR="0031525F">
        <w:t xml:space="preserve"> 1,538</w:t>
      </w:r>
      <w:r w:rsidR="00B60C53">
        <w:t xml:space="preserve"> total annual responses for this revision, this reflects a decrease of 213 responses</w:t>
      </w:r>
      <w:r w:rsidR="0031525F">
        <w:t>.  Lastly, the currently approved burden hours of 298 with this revision FNS is seeking 261.5, rounded to 262 burden hours for this request which reflects a decrease of -36 burden hours.</w:t>
      </w:r>
    </w:p>
    <w:p w:rsidR="0031525F" w:rsidRDefault="0031525F" w:rsidP="006E2BCE">
      <w:pPr>
        <w:pStyle w:val="BodyText"/>
        <w:spacing w:before="90" w:line="480" w:lineRule="auto"/>
        <w:ind w:left="1180" w:right="588"/>
      </w:pPr>
      <w:r>
        <w:t>These decreases are attributed to the adjustments in the actual number of retailers who request administrative review.</w:t>
      </w:r>
    </w:p>
    <w:p w:rsidR="00766FF3" w:rsidRDefault="00685AF6" w:rsidP="007C03DA">
      <w:pPr>
        <w:pStyle w:val="Heading1"/>
        <w:numPr>
          <w:ilvl w:val="0"/>
          <w:numId w:val="2"/>
        </w:numPr>
        <w:tabs>
          <w:tab w:val="left" w:pos="1179"/>
          <w:tab w:val="left" w:pos="1180"/>
        </w:tabs>
        <w:spacing w:before="197"/>
        <w:ind w:right="770" w:hanging="730"/>
        <w:jc w:val="left"/>
      </w:pPr>
      <w:r>
        <w:t>For collection of information whose results will be published, outline plans for tabulation and</w:t>
      </w:r>
      <w:r>
        <w:rPr>
          <w:spacing w:val="-3"/>
        </w:rPr>
        <w:t xml:space="preserve"> </w:t>
      </w:r>
      <w:r>
        <w:t>publication.</w:t>
      </w:r>
    </w:p>
    <w:p w:rsidR="00766FF3" w:rsidRDefault="00766FF3">
      <w:pPr>
        <w:pStyle w:val="BodyText"/>
        <w:rPr>
          <w:b/>
          <w:sz w:val="26"/>
        </w:rPr>
      </w:pPr>
    </w:p>
    <w:p w:rsidR="00766FF3" w:rsidRDefault="00766FF3">
      <w:pPr>
        <w:pStyle w:val="BodyText"/>
        <w:spacing w:before="3"/>
        <w:rPr>
          <w:b/>
          <w:sz w:val="32"/>
        </w:rPr>
      </w:pPr>
    </w:p>
    <w:p w:rsidR="00766FF3" w:rsidRDefault="00685AF6">
      <w:pPr>
        <w:pStyle w:val="BodyText"/>
        <w:ind w:left="1180"/>
      </w:pPr>
      <w:r>
        <w:t>There are no plans for publication of this collection of information.</w:t>
      </w:r>
    </w:p>
    <w:p w:rsidR="00766FF3" w:rsidRDefault="00766FF3">
      <w:pPr>
        <w:pStyle w:val="BodyText"/>
        <w:rPr>
          <w:sz w:val="26"/>
        </w:rPr>
      </w:pPr>
    </w:p>
    <w:p w:rsidR="00766FF3" w:rsidRDefault="00766FF3">
      <w:pPr>
        <w:pStyle w:val="BodyText"/>
        <w:rPr>
          <w:sz w:val="26"/>
        </w:rPr>
      </w:pPr>
    </w:p>
    <w:p w:rsidR="00766FF3" w:rsidRDefault="00C42DAC" w:rsidP="00C42DAC">
      <w:pPr>
        <w:pStyle w:val="Heading1"/>
        <w:numPr>
          <w:ilvl w:val="0"/>
          <w:numId w:val="2"/>
        </w:numPr>
        <w:tabs>
          <w:tab w:val="left" w:pos="1179"/>
          <w:tab w:val="left" w:pos="1180"/>
        </w:tabs>
        <w:spacing w:before="173"/>
        <w:ind w:right="1504"/>
        <w:jc w:val="left"/>
      </w:pPr>
      <w:r>
        <w:t>If seeking approval to not display expiration date for OMB approval of the information collection, explain the reasons that display would be inappropriate.</w:t>
      </w:r>
    </w:p>
    <w:p w:rsidR="00766FF3" w:rsidRDefault="00766FF3">
      <w:pPr>
        <w:pStyle w:val="BodyText"/>
        <w:rPr>
          <w:b/>
          <w:sz w:val="26"/>
        </w:rPr>
      </w:pPr>
    </w:p>
    <w:p w:rsidR="00766FF3" w:rsidRDefault="00766FF3">
      <w:pPr>
        <w:pStyle w:val="BodyText"/>
        <w:spacing w:before="3"/>
        <w:rPr>
          <w:b/>
          <w:sz w:val="32"/>
        </w:rPr>
      </w:pPr>
    </w:p>
    <w:p w:rsidR="00766FF3" w:rsidRDefault="00685AF6">
      <w:pPr>
        <w:pStyle w:val="BodyText"/>
        <w:spacing w:line="480" w:lineRule="auto"/>
        <w:ind w:left="1179" w:right="976"/>
      </w:pPr>
      <w:r>
        <w:t>The request for an administrative review does not involve any forms or other collection instruments.</w:t>
      </w:r>
    </w:p>
    <w:p w:rsidR="00766FF3" w:rsidRDefault="00C42DAC">
      <w:pPr>
        <w:pStyle w:val="Heading1"/>
        <w:numPr>
          <w:ilvl w:val="0"/>
          <w:numId w:val="2"/>
        </w:numPr>
        <w:tabs>
          <w:tab w:val="left" w:pos="1179"/>
          <w:tab w:val="left" w:pos="1180"/>
        </w:tabs>
        <w:spacing w:before="195"/>
        <w:jc w:val="left"/>
      </w:pPr>
      <w:r>
        <w:t xml:space="preserve">Explain each exception to the certification statement identified in </w:t>
      </w:r>
      <w:r w:rsidR="00C56697">
        <w:t>I</w:t>
      </w:r>
      <w:r w:rsidR="008D0CC4">
        <w:t>tem 18</w:t>
      </w:r>
      <w:r>
        <w:t>, “Certification for Paperwork Reduction Act Submissions,” of OMB Form 83-I.</w:t>
      </w:r>
    </w:p>
    <w:p w:rsidR="00766FF3" w:rsidRDefault="00766FF3">
      <w:pPr>
        <w:pStyle w:val="BodyText"/>
        <w:rPr>
          <w:b/>
          <w:sz w:val="26"/>
        </w:rPr>
      </w:pPr>
    </w:p>
    <w:p w:rsidR="00766FF3" w:rsidRDefault="00766FF3">
      <w:pPr>
        <w:pStyle w:val="BodyText"/>
        <w:spacing w:before="3"/>
        <w:rPr>
          <w:b/>
          <w:sz w:val="30"/>
        </w:rPr>
      </w:pPr>
    </w:p>
    <w:p w:rsidR="00766FF3" w:rsidRDefault="00685AF6">
      <w:pPr>
        <w:pStyle w:val="BodyText"/>
        <w:spacing w:line="583" w:lineRule="auto"/>
        <w:ind w:left="1179" w:right="478"/>
      </w:pPr>
      <w:r>
        <w:t>There are no exceptions to this certification statement. The agency is able to certify compliance with all provisions under Item 1</w:t>
      </w:r>
      <w:r w:rsidR="00847CC0">
        <w:t>8</w:t>
      </w:r>
      <w:r>
        <w:t xml:space="preserve"> of OMB Form 83-I.</w:t>
      </w:r>
    </w:p>
    <w:p w:rsidR="009C5666" w:rsidRDefault="009C5666">
      <w:pPr>
        <w:pStyle w:val="BodyText"/>
        <w:spacing w:line="583" w:lineRule="auto"/>
        <w:ind w:left="1179" w:right="478"/>
        <w:rPr>
          <w:b/>
        </w:rPr>
      </w:pPr>
      <w:r>
        <w:rPr>
          <w:b/>
        </w:rPr>
        <w:t>Collection of Information Employing Statistical Methods</w:t>
      </w:r>
    </w:p>
    <w:p w:rsidR="009C5666" w:rsidRDefault="009C5666" w:rsidP="009C5666">
      <w:pPr>
        <w:pStyle w:val="BodyText"/>
        <w:ind w:left="1179" w:right="478"/>
        <w:rPr>
          <w:b/>
        </w:rPr>
      </w:pPr>
    </w:p>
    <w:p w:rsidR="009C5666" w:rsidRPr="009C5666" w:rsidRDefault="009C5666">
      <w:pPr>
        <w:pStyle w:val="BodyText"/>
        <w:spacing w:line="583" w:lineRule="auto"/>
        <w:ind w:left="1179" w:right="478"/>
      </w:pPr>
      <w:r>
        <w:t>This collection does not use any statistical methods.</w:t>
      </w:r>
    </w:p>
    <w:sectPr w:rsidR="009C5666" w:rsidRPr="009C5666" w:rsidSect="00C56697">
      <w:pgSz w:w="12240" w:h="15840"/>
      <w:pgMar w:top="1360" w:right="1340" w:bottom="1260" w:left="1340" w:header="0" w:footer="10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FD4" w:rsidRDefault="00162FD4">
      <w:r>
        <w:separator/>
      </w:r>
    </w:p>
  </w:endnote>
  <w:endnote w:type="continuationSeparator" w:id="0">
    <w:p w:rsidR="00162FD4" w:rsidRDefault="0016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FF3" w:rsidRDefault="00F9493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6529922" wp14:editId="19C97091">
              <wp:simplePos x="0" y="0"/>
              <wp:positionH relativeFrom="page">
                <wp:posOffset>3784600</wp:posOffset>
              </wp:positionH>
              <wp:positionV relativeFrom="page">
                <wp:posOffset>9242425</wp:posOffset>
              </wp:positionV>
              <wp:extent cx="203200" cy="194310"/>
              <wp:effectExtent l="3175" t="3175" r="317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FF3" w:rsidRDefault="00685AF6">
                          <w:pPr>
                            <w:pStyle w:val="BodyText"/>
                            <w:spacing w:before="10"/>
                            <w:ind w:left="40"/>
                          </w:pPr>
                          <w:r>
                            <w:fldChar w:fldCharType="begin"/>
                          </w:r>
                          <w:r>
                            <w:instrText xml:space="preserve"> PAGE </w:instrText>
                          </w:r>
                          <w:r>
                            <w:fldChar w:fldCharType="separate"/>
                          </w:r>
                          <w:r w:rsidR="00A37A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27.7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" filled="f" stroked="f">
              <v:textbox inset="0,0,0,0">
                <w:txbxContent>
                  <w:p w:rsidR="00766FF3" w:rsidRDefault="00685AF6">
                    <w:pPr>
                      <w:pStyle w:val="BodyText"/>
                      <w:spacing w:before="10"/>
                      <w:ind w:left="40"/>
                    </w:pPr>
                    <w:r>
                      <w:fldChar w:fldCharType="begin"/>
                    </w:r>
                    <w:r>
                      <w:instrText xml:space="preserve"> PAGE </w:instrText>
                    </w:r>
                    <w:r>
                      <w:fldChar w:fldCharType="separate"/>
                    </w:r>
                    <w:r w:rsidR="00A37AB4">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FD4" w:rsidRDefault="00162FD4">
      <w:r>
        <w:separator/>
      </w:r>
    </w:p>
  </w:footnote>
  <w:footnote w:type="continuationSeparator" w:id="0">
    <w:p w:rsidR="00162FD4" w:rsidRDefault="00162F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22A88"/>
    <w:multiLevelType w:val="hybridMultilevel"/>
    <w:tmpl w:val="A2F8910A"/>
    <w:lvl w:ilvl="0" w:tplc="9948CCA0">
      <w:start w:val="1"/>
      <w:numFmt w:val="upperLetter"/>
      <w:lvlText w:val="%1."/>
      <w:lvlJc w:val="left"/>
      <w:pPr>
        <w:ind w:left="1180" w:hanging="353"/>
        <w:jc w:val="left"/>
      </w:pPr>
      <w:rPr>
        <w:rFonts w:ascii="Times New Roman" w:eastAsia="Times New Roman" w:hAnsi="Times New Roman" w:cs="Times New Roman" w:hint="default"/>
        <w:b/>
        <w:bCs/>
        <w:spacing w:val="-2"/>
        <w:w w:val="99"/>
        <w:sz w:val="24"/>
        <w:szCs w:val="24"/>
      </w:rPr>
    </w:lvl>
    <w:lvl w:ilvl="1" w:tplc="C66EEB9E">
      <w:numFmt w:val="bullet"/>
      <w:lvlText w:val="•"/>
      <w:lvlJc w:val="left"/>
      <w:pPr>
        <w:ind w:left="2018" w:hanging="353"/>
      </w:pPr>
      <w:rPr>
        <w:rFonts w:hint="default"/>
      </w:rPr>
    </w:lvl>
    <w:lvl w:ilvl="2" w:tplc="CA3C05CE">
      <w:numFmt w:val="bullet"/>
      <w:lvlText w:val="•"/>
      <w:lvlJc w:val="left"/>
      <w:pPr>
        <w:ind w:left="2856" w:hanging="353"/>
      </w:pPr>
      <w:rPr>
        <w:rFonts w:hint="default"/>
      </w:rPr>
    </w:lvl>
    <w:lvl w:ilvl="3" w:tplc="FB3E3416">
      <w:numFmt w:val="bullet"/>
      <w:lvlText w:val="•"/>
      <w:lvlJc w:val="left"/>
      <w:pPr>
        <w:ind w:left="3694" w:hanging="353"/>
      </w:pPr>
      <w:rPr>
        <w:rFonts w:hint="default"/>
      </w:rPr>
    </w:lvl>
    <w:lvl w:ilvl="4" w:tplc="76E21E46">
      <w:numFmt w:val="bullet"/>
      <w:lvlText w:val="•"/>
      <w:lvlJc w:val="left"/>
      <w:pPr>
        <w:ind w:left="4532" w:hanging="353"/>
      </w:pPr>
      <w:rPr>
        <w:rFonts w:hint="default"/>
      </w:rPr>
    </w:lvl>
    <w:lvl w:ilvl="5" w:tplc="A972137E">
      <w:numFmt w:val="bullet"/>
      <w:lvlText w:val="•"/>
      <w:lvlJc w:val="left"/>
      <w:pPr>
        <w:ind w:left="5370" w:hanging="353"/>
      </w:pPr>
      <w:rPr>
        <w:rFonts w:hint="default"/>
      </w:rPr>
    </w:lvl>
    <w:lvl w:ilvl="6" w:tplc="4E30D602">
      <w:numFmt w:val="bullet"/>
      <w:lvlText w:val="•"/>
      <w:lvlJc w:val="left"/>
      <w:pPr>
        <w:ind w:left="6208" w:hanging="353"/>
      </w:pPr>
      <w:rPr>
        <w:rFonts w:hint="default"/>
      </w:rPr>
    </w:lvl>
    <w:lvl w:ilvl="7" w:tplc="8E26C556">
      <w:numFmt w:val="bullet"/>
      <w:lvlText w:val="•"/>
      <w:lvlJc w:val="left"/>
      <w:pPr>
        <w:ind w:left="7046" w:hanging="353"/>
      </w:pPr>
      <w:rPr>
        <w:rFonts w:hint="default"/>
      </w:rPr>
    </w:lvl>
    <w:lvl w:ilvl="8" w:tplc="EA0EE348">
      <w:numFmt w:val="bullet"/>
      <w:lvlText w:val="•"/>
      <w:lvlJc w:val="left"/>
      <w:pPr>
        <w:ind w:left="7884" w:hanging="353"/>
      </w:pPr>
      <w:rPr>
        <w:rFonts w:hint="default"/>
      </w:rPr>
    </w:lvl>
  </w:abstractNum>
  <w:abstractNum w:abstractNumId="1">
    <w:nsid w:val="34CB0B2A"/>
    <w:multiLevelType w:val="hybridMultilevel"/>
    <w:tmpl w:val="67D24314"/>
    <w:lvl w:ilvl="0" w:tplc="38BE26F2">
      <w:start w:val="1"/>
      <w:numFmt w:val="upp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nsid w:val="373C3B10"/>
    <w:multiLevelType w:val="multilevel"/>
    <w:tmpl w:val="7786B7B8"/>
    <w:lvl w:ilvl="0">
      <w:start w:val="1"/>
      <w:numFmt w:val="upperLetter"/>
      <w:lvlText w:val="%1"/>
      <w:lvlJc w:val="left"/>
      <w:pPr>
        <w:ind w:left="1612" w:hanging="577"/>
        <w:jc w:val="left"/>
      </w:pPr>
      <w:rPr>
        <w:rFonts w:hint="default"/>
      </w:rPr>
    </w:lvl>
    <w:lvl w:ilvl="1">
      <w:start w:val="10"/>
      <w:numFmt w:val="decimal"/>
      <w:lvlText w:val="%1.%2"/>
      <w:lvlJc w:val="left"/>
      <w:pPr>
        <w:ind w:left="1612" w:hanging="577"/>
        <w:jc w:val="left"/>
      </w:pPr>
      <w:rPr>
        <w:rFonts w:ascii="Times New Roman" w:eastAsia="Times New Roman" w:hAnsi="Times New Roman" w:cs="Times New Roman" w:hint="default"/>
        <w:spacing w:val="-1"/>
        <w:w w:val="99"/>
        <w:sz w:val="22"/>
        <w:szCs w:val="22"/>
      </w:rPr>
    </w:lvl>
    <w:lvl w:ilvl="2">
      <w:numFmt w:val="bullet"/>
      <w:lvlText w:val="•"/>
      <w:lvlJc w:val="left"/>
      <w:pPr>
        <w:ind w:left="3208" w:hanging="577"/>
      </w:pPr>
      <w:rPr>
        <w:rFonts w:hint="default"/>
      </w:rPr>
    </w:lvl>
    <w:lvl w:ilvl="3">
      <w:numFmt w:val="bullet"/>
      <w:lvlText w:val="•"/>
      <w:lvlJc w:val="left"/>
      <w:pPr>
        <w:ind w:left="4002" w:hanging="577"/>
      </w:pPr>
      <w:rPr>
        <w:rFonts w:hint="default"/>
      </w:rPr>
    </w:lvl>
    <w:lvl w:ilvl="4">
      <w:numFmt w:val="bullet"/>
      <w:lvlText w:val="•"/>
      <w:lvlJc w:val="left"/>
      <w:pPr>
        <w:ind w:left="4796" w:hanging="577"/>
      </w:pPr>
      <w:rPr>
        <w:rFonts w:hint="default"/>
      </w:rPr>
    </w:lvl>
    <w:lvl w:ilvl="5">
      <w:numFmt w:val="bullet"/>
      <w:lvlText w:val="•"/>
      <w:lvlJc w:val="left"/>
      <w:pPr>
        <w:ind w:left="5590" w:hanging="577"/>
      </w:pPr>
      <w:rPr>
        <w:rFonts w:hint="default"/>
      </w:rPr>
    </w:lvl>
    <w:lvl w:ilvl="6">
      <w:numFmt w:val="bullet"/>
      <w:lvlText w:val="•"/>
      <w:lvlJc w:val="left"/>
      <w:pPr>
        <w:ind w:left="6384" w:hanging="577"/>
      </w:pPr>
      <w:rPr>
        <w:rFonts w:hint="default"/>
      </w:rPr>
    </w:lvl>
    <w:lvl w:ilvl="7">
      <w:numFmt w:val="bullet"/>
      <w:lvlText w:val="•"/>
      <w:lvlJc w:val="left"/>
      <w:pPr>
        <w:ind w:left="7178" w:hanging="577"/>
      </w:pPr>
      <w:rPr>
        <w:rFonts w:hint="default"/>
      </w:rPr>
    </w:lvl>
    <w:lvl w:ilvl="8">
      <w:numFmt w:val="bullet"/>
      <w:lvlText w:val="•"/>
      <w:lvlJc w:val="left"/>
      <w:pPr>
        <w:ind w:left="7972" w:hanging="577"/>
      </w:pPr>
      <w:rPr>
        <w:rFonts w:hint="default"/>
      </w:rPr>
    </w:lvl>
  </w:abstractNum>
  <w:abstractNum w:abstractNumId="3">
    <w:nsid w:val="388A4BAA"/>
    <w:multiLevelType w:val="multilevel"/>
    <w:tmpl w:val="ACD63268"/>
    <w:lvl w:ilvl="0">
      <w:start w:val="1"/>
      <w:numFmt w:val="upperLetter"/>
      <w:lvlText w:val="%1"/>
      <w:lvlJc w:val="left"/>
      <w:pPr>
        <w:ind w:left="1612" w:hanging="576"/>
        <w:jc w:val="left"/>
      </w:pPr>
      <w:rPr>
        <w:rFonts w:hint="default"/>
      </w:rPr>
    </w:lvl>
    <w:lvl w:ilvl="1">
      <w:start w:val="1"/>
      <w:numFmt w:val="decimal"/>
      <w:lvlText w:val="%1.%2"/>
      <w:lvlJc w:val="left"/>
      <w:pPr>
        <w:ind w:left="1612" w:hanging="576"/>
        <w:jc w:val="left"/>
      </w:pPr>
      <w:rPr>
        <w:rFonts w:ascii="Times New Roman" w:eastAsia="Times New Roman" w:hAnsi="Times New Roman" w:cs="Times New Roman" w:hint="default"/>
        <w:spacing w:val="-1"/>
        <w:w w:val="99"/>
        <w:sz w:val="22"/>
        <w:szCs w:val="22"/>
      </w:rPr>
    </w:lvl>
    <w:lvl w:ilvl="2">
      <w:numFmt w:val="bullet"/>
      <w:lvlText w:val="•"/>
      <w:lvlJc w:val="left"/>
      <w:pPr>
        <w:ind w:left="3208" w:hanging="576"/>
      </w:pPr>
      <w:rPr>
        <w:rFonts w:hint="default"/>
      </w:rPr>
    </w:lvl>
    <w:lvl w:ilvl="3">
      <w:numFmt w:val="bullet"/>
      <w:lvlText w:val="•"/>
      <w:lvlJc w:val="left"/>
      <w:pPr>
        <w:ind w:left="4002" w:hanging="576"/>
      </w:pPr>
      <w:rPr>
        <w:rFonts w:hint="default"/>
      </w:rPr>
    </w:lvl>
    <w:lvl w:ilvl="4">
      <w:numFmt w:val="bullet"/>
      <w:lvlText w:val="•"/>
      <w:lvlJc w:val="left"/>
      <w:pPr>
        <w:ind w:left="4796" w:hanging="576"/>
      </w:pPr>
      <w:rPr>
        <w:rFonts w:hint="default"/>
      </w:rPr>
    </w:lvl>
    <w:lvl w:ilvl="5">
      <w:numFmt w:val="bullet"/>
      <w:lvlText w:val="•"/>
      <w:lvlJc w:val="left"/>
      <w:pPr>
        <w:ind w:left="5590" w:hanging="576"/>
      </w:pPr>
      <w:rPr>
        <w:rFonts w:hint="default"/>
      </w:rPr>
    </w:lvl>
    <w:lvl w:ilvl="6">
      <w:numFmt w:val="bullet"/>
      <w:lvlText w:val="•"/>
      <w:lvlJc w:val="left"/>
      <w:pPr>
        <w:ind w:left="6384" w:hanging="576"/>
      </w:pPr>
      <w:rPr>
        <w:rFonts w:hint="default"/>
      </w:rPr>
    </w:lvl>
    <w:lvl w:ilvl="7">
      <w:numFmt w:val="bullet"/>
      <w:lvlText w:val="•"/>
      <w:lvlJc w:val="left"/>
      <w:pPr>
        <w:ind w:left="7178" w:hanging="576"/>
      </w:pPr>
      <w:rPr>
        <w:rFonts w:hint="default"/>
      </w:rPr>
    </w:lvl>
    <w:lvl w:ilvl="8">
      <w:numFmt w:val="bullet"/>
      <w:lvlText w:val="•"/>
      <w:lvlJc w:val="left"/>
      <w:pPr>
        <w:ind w:left="7972" w:hanging="576"/>
      </w:pPr>
      <w:rPr>
        <w:rFonts w:hint="default"/>
      </w:rPr>
    </w:lvl>
  </w:abstractNum>
  <w:abstractNum w:abstractNumId="4">
    <w:nsid w:val="52E02762"/>
    <w:multiLevelType w:val="hybridMultilevel"/>
    <w:tmpl w:val="C13CB13A"/>
    <w:lvl w:ilvl="0" w:tplc="CF047C72">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
    <w:nsid w:val="56A25774"/>
    <w:multiLevelType w:val="hybridMultilevel"/>
    <w:tmpl w:val="8C8A29BC"/>
    <w:lvl w:ilvl="0" w:tplc="C05E7304">
      <w:start w:val="1"/>
      <w:numFmt w:val="decimal"/>
      <w:lvlText w:val="%1."/>
      <w:lvlJc w:val="left"/>
      <w:pPr>
        <w:ind w:left="1180" w:hanging="720"/>
        <w:jc w:val="right"/>
      </w:pPr>
      <w:rPr>
        <w:rFonts w:ascii="Times New Roman" w:eastAsia="Times New Roman" w:hAnsi="Times New Roman" w:cs="Times New Roman" w:hint="default"/>
        <w:b/>
        <w:bCs/>
        <w:spacing w:val="-2"/>
        <w:w w:val="99"/>
        <w:sz w:val="24"/>
        <w:szCs w:val="24"/>
      </w:rPr>
    </w:lvl>
    <w:lvl w:ilvl="1" w:tplc="04090001">
      <w:start w:val="1"/>
      <w:numFmt w:val="bullet"/>
      <w:lvlText w:val=""/>
      <w:lvlJc w:val="left"/>
      <w:pPr>
        <w:ind w:left="1900" w:hanging="360"/>
        <w:jc w:val="left"/>
      </w:pPr>
      <w:rPr>
        <w:rFonts w:ascii="Symbol" w:hAnsi="Symbol" w:hint="default"/>
        <w:b/>
        <w:bCs/>
        <w:spacing w:val="-2"/>
        <w:w w:val="99"/>
      </w:rPr>
    </w:lvl>
    <w:lvl w:ilvl="2" w:tplc="47B8D6D6">
      <w:numFmt w:val="bullet"/>
      <w:lvlText w:val="•"/>
      <w:lvlJc w:val="left"/>
      <w:pPr>
        <w:ind w:left="2751" w:hanging="360"/>
      </w:pPr>
      <w:rPr>
        <w:rFonts w:hint="default"/>
      </w:rPr>
    </w:lvl>
    <w:lvl w:ilvl="3" w:tplc="53205130">
      <w:numFmt w:val="bullet"/>
      <w:lvlText w:val="•"/>
      <w:lvlJc w:val="left"/>
      <w:pPr>
        <w:ind w:left="3602" w:hanging="360"/>
      </w:pPr>
      <w:rPr>
        <w:rFonts w:hint="default"/>
      </w:rPr>
    </w:lvl>
    <w:lvl w:ilvl="4" w:tplc="1A24295C">
      <w:numFmt w:val="bullet"/>
      <w:lvlText w:val="•"/>
      <w:lvlJc w:val="left"/>
      <w:pPr>
        <w:ind w:left="4453" w:hanging="360"/>
      </w:pPr>
      <w:rPr>
        <w:rFonts w:hint="default"/>
      </w:rPr>
    </w:lvl>
    <w:lvl w:ilvl="5" w:tplc="2E4C65D0">
      <w:numFmt w:val="bullet"/>
      <w:lvlText w:val="•"/>
      <w:lvlJc w:val="left"/>
      <w:pPr>
        <w:ind w:left="5304" w:hanging="360"/>
      </w:pPr>
      <w:rPr>
        <w:rFonts w:hint="default"/>
      </w:rPr>
    </w:lvl>
    <w:lvl w:ilvl="6" w:tplc="6C2E7DD0">
      <w:numFmt w:val="bullet"/>
      <w:lvlText w:val="•"/>
      <w:lvlJc w:val="left"/>
      <w:pPr>
        <w:ind w:left="6155" w:hanging="360"/>
      </w:pPr>
      <w:rPr>
        <w:rFonts w:hint="default"/>
      </w:rPr>
    </w:lvl>
    <w:lvl w:ilvl="7" w:tplc="FCFE5D62">
      <w:numFmt w:val="bullet"/>
      <w:lvlText w:val="•"/>
      <w:lvlJc w:val="left"/>
      <w:pPr>
        <w:ind w:left="7006" w:hanging="360"/>
      </w:pPr>
      <w:rPr>
        <w:rFonts w:hint="default"/>
      </w:rPr>
    </w:lvl>
    <w:lvl w:ilvl="8" w:tplc="E828C470">
      <w:numFmt w:val="bullet"/>
      <w:lvlText w:val="•"/>
      <w:lvlJc w:val="left"/>
      <w:pPr>
        <w:ind w:left="7857" w:hanging="360"/>
      </w:pPr>
      <w:rPr>
        <w:rFonts w:hint="default"/>
      </w:rPr>
    </w:lvl>
  </w:abstractNum>
  <w:abstractNum w:abstractNumId="6">
    <w:nsid w:val="606F475E"/>
    <w:multiLevelType w:val="hybridMultilevel"/>
    <w:tmpl w:val="50506492"/>
    <w:lvl w:ilvl="0" w:tplc="C05E7304">
      <w:start w:val="1"/>
      <w:numFmt w:val="decimal"/>
      <w:lvlText w:val="%1."/>
      <w:lvlJc w:val="left"/>
      <w:pPr>
        <w:ind w:left="1180" w:hanging="720"/>
        <w:jc w:val="right"/>
      </w:pPr>
      <w:rPr>
        <w:rFonts w:ascii="Times New Roman" w:eastAsia="Times New Roman" w:hAnsi="Times New Roman" w:cs="Times New Roman" w:hint="default"/>
        <w:b/>
        <w:bCs/>
        <w:spacing w:val="-2"/>
        <w:w w:val="99"/>
        <w:sz w:val="24"/>
        <w:szCs w:val="24"/>
      </w:rPr>
    </w:lvl>
    <w:lvl w:ilvl="1" w:tplc="E69230CC">
      <w:start w:val="1"/>
      <w:numFmt w:val="lowerLetter"/>
      <w:lvlText w:val="%2."/>
      <w:lvlJc w:val="left"/>
      <w:pPr>
        <w:ind w:left="1900" w:hanging="360"/>
        <w:jc w:val="left"/>
      </w:pPr>
      <w:rPr>
        <w:rFonts w:hint="default"/>
        <w:b/>
        <w:bCs/>
        <w:spacing w:val="-2"/>
        <w:w w:val="99"/>
      </w:rPr>
    </w:lvl>
    <w:lvl w:ilvl="2" w:tplc="47B8D6D6">
      <w:numFmt w:val="bullet"/>
      <w:lvlText w:val="•"/>
      <w:lvlJc w:val="left"/>
      <w:pPr>
        <w:ind w:left="2751" w:hanging="360"/>
      </w:pPr>
      <w:rPr>
        <w:rFonts w:hint="default"/>
      </w:rPr>
    </w:lvl>
    <w:lvl w:ilvl="3" w:tplc="53205130">
      <w:numFmt w:val="bullet"/>
      <w:lvlText w:val="•"/>
      <w:lvlJc w:val="left"/>
      <w:pPr>
        <w:ind w:left="3602" w:hanging="360"/>
      </w:pPr>
      <w:rPr>
        <w:rFonts w:hint="default"/>
      </w:rPr>
    </w:lvl>
    <w:lvl w:ilvl="4" w:tplc="1A24295C">
      <w:numFmt w:val="bullet"/>
      <w:lvlText w:val="•"/>
      <w:lvlJc w:val="left"/>
      <w:pPr>
        <w:ind w:left="4453" w:hanging="360"/>
      </w:pPr>
      <w:rPr>
        <w:rFonts w:hint="default"/>
      </w:rPr>
    </w:lvl>
    <w:lvl w:ilvl="5" w:tplc="2E4C65D0">
      <w:numFmt w:val="bullet"/>
      <w:lvlText w:val="•"/>
      <w:lvlJc w:val="left"/>
      <w:pPr>
        <w:ind w:left="5304" w:hanging="360"/>
      </w:pPr>
      <w:rPr>
        <w:rFonts w:hint="default"/>
      </w:rPr>
    </w:lvl>
    <w:lvl w:ilvl="6" w:tplc="6C2E7DD0">
      <w:numFmt w:val="bullet"/>
      <w:lvlText w:val="•"/>
      <w:lvlJc w:val="left"/>
      <w:pPr>
        <w:ind w:left="6155" w:hanging="360"/>
      </w:pPr>
      <w:rPr>
        <w:rFonts w:hint="default"/>
      </w:rPr>
    </w:lvl>
    <w:lvl w:ilvl="7" w:tplc="FCFE5D62">
      <w:numFmt w:val="bullet"/>
      <w:lvlText w:val="•"/>
      <w:lvlJc w:val="left"/>
      <w:pPr>
        <w:ind w:left="7006" w:hanging="360"/>
      </w:pPr>
      <w:rPr>
        <w:rFonts w:hint="default"/>
      </w:rPr>
    </w:lvl>
    <w:lvl w:ilvl="8" w:tplc="E828C470">
      <w:numFmt w:val="bullet"/>
      <w:lvlText w:val="•"/>
      <w:lvlJc w:val="left"/>
      <w:pPr>
        <w:ind w:left="7857" w:hanging="360"/>
      </w:pPr>
      <w:rPr>
        <w:rFonts w:hint="default"/>
      </w:rPr>
    </w:lvl>
  </w:abstractNum>
  <w:abstractNum w:abstractNumId="7">
    <w:nsid w:val="6BDA4B59"/>
    <w:multiLevelType w:val="hybridMultilevel"/>
    <w:tmpl w:val="ACFE067C"/>
    <w:lvl w:ilvl="0" w:tplc="3C502780">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num w:numId="1">
    <w:abstractNumId w:val="0"/>
  </w:num>
  <w:num w:numId="2">
    <w:abstractNumId w:val="6"/>
  </w:num>
  <w:num w:numId="3">
    <w:abstractNumId w:val="2"/>
  </w:num>
  <w:num w:numId="4">
    <w:abstractNumId w:val="3"/>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trackRevisions/>
  <w:defaultTabStop w:val="720"/>
  <w:drawingGridHorizontalSpacing w:val="110"/>
  <w:displayHorizontalDrawingGridEvery w:val="2"/>
  <w:characterSpacingControl w:val="doNotCompress"/>
  <w:hdrShapeDefaults>
    <o:shapedefaults v:ext="edit" spidmax="6145">
      <o:colormru v:ext="edit" colors="#0c0"/>
      <o:colormenu v:ext="edit" fillcolor="non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FF3"/>
    <w:rsid w:val="00014A96"/>
    <w:rsid w:val="00015E09"/>
    <w:rsid w:val="000441F9"/>
    <w:rsid w:val="00063BF2"/>
    <w:rsid w:val="00080546"/>
    <w:rsid w:val="00086C81"/>
    <w:rsid w:val="000A517D"/>
    <w:rsid w:val="000B62AC"/>
    <w:rsid w:val="000E2FD5"/>
    <w:rsid w:val="00142B82"/>
    <w:rsid w:val="00162B68"/>
    <w:rsid w:val="00162FD4"/>
    <w:rsid w:val="00173DB6"/>
    <w:rsid w:val="00174250"/>
    <w:rsid w:val="001A1AF7"/>
    <w:rsid w:val="001A5CD3"/>
    <w:rsid w:val="001C36BC"/>
    <w:rsid w:val="001D77FB"/>
    <w:rsid w:val="00235DCB"/>
    <w:rsid w:val="00247646"/>
    <w:rsid w:val="00250CBF"/>
    <w:rsid w:val="0026419D"/>
    <w:rsid w:val="00276B4F"/>
    <w:rsid w:val="00293016"/>
    <w:rsid w:val="002A6D4F"/>
    <w:rsid w:val="002C78AE"/>
    <w:rsid w:val="002D5ACA"/>
    <w:rsid w:val="002F2D44"/>
    <w:rsid w:val="00311A66"/>
    <w:rsid w:val="00311DE4"/>
    <w:rsid w:val="0031525F"/>
    <w:rsid w:val="00375D5B"/>
    <w:rsid w:val="00392D1D"/>
    <w:rsid w:val="003E0606"/>
    <w:rsid w:val="003F4772"/>
    <w:rsid w:val="0042525A"/>
    <w:rsid w:val="004638E7"/>
    <w:rsid w:val="004A5400"/>
    <w:rsid w:val="004B4BC5"/>
    <w:rsid w:val="004E7EC4"/>
    <w:rsid w:val="00530BC4"/>
    <w:rsid w:val="00582396"/>
    <w:rsid w:val="005A4660"/>
    <w:rsid w:val="005D2F10"/>
    <w:rsid w:val="006209DE"/>
    <w:rsid w:val="0062254B"/>
    <w:rsid w:val="006711CA"/>
    <w:rsid w:val="00674808"/>
    <w:rsid w:val="00685AF6"/>
    <w:rsid w:val="006B1ED4"/>
    <w:rsid w:val="006D0CC3"/>
    <w:rsid w:val="006E2BCE"/>
    <w:rsid w:val="0071262F"/>
    <w:rsid w:val="00721ACC"/>
    <w:rsid w:val="00737700"/>
    <w:rsid w:val="00766FF3"/>
    <w:rsid w:val="00773052"/>
    <w:rsid w:val="007C03DA"/>
    <w:rsid w:val="007C17A5"/>
    <w:rsid w:val="007C6557"/>
    <w:rsid w:val="007D131E"/>
    <w:rsid w:val="007E5E09"/>
    <w:rsid w:val="00847CC0"/>
    <w:rsid w:val="00855F3B"/>
    <w:rsid w:val="0086746F"/>
    <w:rsid w:val="008D0CC4"/>
    <w:rsid w:val="008E2ED3"/>
    <w:rsid w:val="009052C6"/>
    <w:rsid w:val="00915942"/>
    <w:rsid w:val="0093366B"/>
    <w:rsid w:val="0093620B"/>
    <w:rsid w:val="009A7868"/>
    <w:rsid w:val="009B4FC9"/>
    <w:rsid w:val="009C5666"/>
    <w:rsid w:val="009C73C3"/>
    <w:rsid w:val="00A06BA7"/>
    <w:rsid w:val="00A37AB4"/>
    <w:rsid w:val="00A9613B"/>
    <w:rsid w:val="00AB7799"/>
    <w:rsid w:val="00AE1221"/>
    <w:rsid w:val="00AE286E"/>
    <w:rsid w:val="00B60C53"/>
    <w:rsid w:val="00BA1518"/>
    <w:rsid w:val="00BE5134"/>
    <w:rsid w:val="00C00596"/>
    <w:rsid w:val="00C42DAC"/>
    <w:rsid w:val="00C47C27"/>
    <w:rsid w:val="00C56697"/>
    <w:rsid w:val="00C70CAA"/>
    <w:rsid w:val="00CB139F"/>
    <w:rsid w:val="00CD0AF1"/>
    <w:rsid w:val="00CF4FC4"/>
    <w:rsid w:val="00D4027B"/>
    <w:rsid w:val="00D54B6F"/>
    <w:rsid w:val="00DD2F9D"/>
    <w:rsid w:val="00E1748E"/>
    <w:rsid w:val="00E429E9"/>
    <w:rsid w:val="00E440EB"/>
    <w:rsid w:val="00E8095D"/>
    <w:rsid w:val="00ED401F"/>
    <w:rsid w:val="00F05D9B"/>
    <w:rsid w:val="00F10B6F"/>
    <w:rsid w:val="00F124C7"/>
    <w:rsid w:val="00F65AF1"/>
    <w:rsid w:val="00F75719"/>
    <w:rsid w:val="00F837FE"/>
    <w:rsid w:val="00F85625"/>
    <w:rsid w:val="00F94932"/>
    <w:rsid w:val="00FA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0c0"/>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96"/>
      <w:ind w:left="118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5"/>
      <w:ind w:left="1180" w:hanging="720"/>
    </w:pPr>
  </w:style>
  <w:style w:type="paragraph" w:customStyle="1" w:styleId="TableParagraph">
    <w:name w:val="Table Paragraph"/>
    <w:basedOn w:val="Normal"/>
    <w:uiPriority w:val="1"/>
    <w:qFormat/>
    <w:pPr>
      <w:ind w:left="466"/>
    </w:pPr>
  </w:style>
  <w:style w:type="character" w:styleId="Hyperlink">
    <w:name w:val="Hyperlink"/>
    <w:basedOn w:val="DefaultParagraphFont"/>
    <w:uiPriority w:val="99"/>
    <w:unhideWhenUsed/>
    <w:rsid w:val="00F94932"/>
    <w:rPr>
      <w:color w:val="0000FF" w:themeColor="hyperlink"/>
      <w:u w:val="single"/>
    </w:rPr>
  </w:style>
  <w:style w:type="paragraph" w:styleId="BalloonText">
    <w:name w:val="Balloon Text"/>
    <w:basedOn w:val="Normal"/>
    <w:link w:val="BalloonTextChar"/>
    <w:uiPriority w:val="99"/>
    <w:semiHidden/>
    <w:unhideWhenUsed/>
    <w:rsid w:val="0086746F"/>
    <w:rPr>
      <w:rFonts w:ascii="Tahoma" w:hAnsi="Tahoma" w:cs="Tahoma"/>
      <w:sz w:val="16"/>
      <w:szCs w:val="16"/>
    </w:rPr>
  </w:style>
  <w:style w:type="character" w:customStyle="1" w:styleId="BalloonTextChar">
    <w:name w:val="Balloon Text Char"/>
    <w:basedOn w:val="DefaultParagraphFont"/>
    <w:link w:val="BalloonText"/>
    <w:uiPriority w:val="99"/>
    <w:semiHidden/>
    <w:rsid w:val="0086746F"/>
    <w:rPr>
      <w:rFonts w:ascii="Tahoma" w:eastAsia="Times New Roman" w:hAnsi="Tahoma" w:cs="Tahoma"/>
      <w:sz w:val="16"/>
      <w:szCs w:val="16"/>
    </w:rPr>
  </w:style>
  <w:style w:type="paragraph" w:styleId="Header">
    <w:name w:val="header"/>
    <w:basedOn w:val="Normal"/>
    <w:link w:val="HeaderChar"/>
    <w:uiPriority w:val="99"/>
    <w:unhideWhenUsed/>
    <w:rsid w:val="00F65AF1"/>
    <w:pPr>
      <w:tabs>
        <w:tab w:val="center" w:pos="4680"/>
        <w:tab w:val="right" w:pos="9360"/>
      </w:tabs>
    </w:pPr>
  </w:style>
  <w:style w:type="character" w:customStyle="1" w:styleId="HeaderChar">
    <w:name w:val="Header Char"/>
    <w:basedOn w:val="DefaultParagraphFont"/>
    <w:link w:val="Header"/>
    <w:uiPriority w:val="99"/>
    <w:rsid w:val="00F65AF1"/>
    <w:rPr>
      <w:rFonts w:ascii="Times New Roman" w:eastAsia="Times New Roman" w:hAnsi="Times New Roman" w:cs="Times New Roman"/>
    </w:rPr>
  </w:style>
  <w:style w:type="paragraph" w:styleId="Footer">
    <w:name w:val="footer"/>
    <w:basedOn w:val="Normal"/>
    <w:link w:val="FooterChar"/>
    <w:uiPriority w:val="99"/>
    <w:unhideWhenUsed/>
    <w:rsid w:val="00F65AF1"/>
    <w:pPr>
      <w:tabs>
        <w:tab w:val="center" w:pos="4680"/>
        <w:tab w:val="right" w:pos="9360"/>
      </w:tabs>
    </w:pPr>
  </w:style>
  <w:style w:type="character" w:customStyle="1" w:styleId="FooterChar">
    <w:name w:val="Footer Char"/>
    <w:basedOn w:val="DefaultParagraphFont"/>
    <w:link w:val="Footer"/>
    <w:uiPriority w:val="99"/>
    <w:rsid w:val="00F65AF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96"/>
      <w:ind w:left="118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5"/>
      <w:ind w:left="1180" w:hanging="720"/>
    </w:pPr>
  </w:style>
  <w:style w:type="paragraph" w:customStyle="1" w:styleId="TableParagraph">
    <w:name w:val="Table Paragraph"/>
    <w:basedOn w:val="Normal"/>
    <w:uiPriority w:val="1"/>
    <w:qFormat/>
    <w:pPr>
      <w:ind w:left="466"/>
    </w:pPr>
  </w:style>
  <w:style w:type="character" w:styleId="Hyperlink">
    <w:name w:val="Hyperlink"/>
    <w:basedOn w:val="DefaultParagraphFont"/>
    <w:uiPriority w:val="99"/>
    <w:unhideWhenUsed/>
    <w:rsid w:val="00F94932"/>
    <w:rPr>
      <w:color w:val="0000FF" w:themeColor="hyperlink"/>
      <w:u w:val="single"/>
    </w:rPr>
  </w:style>
  <w:style w:type="paragraph" w:styleId="BalloonText">
    <w:name w:val="Balloon Text"/>
    <w:basedOn w:val="Normal"/>
    <w:link w:val="BalloonTextChar"/>
    <w:uiPriority w:val="99"/>
    <w:semiHidden/>
    <w:unhideWhenUsed/>
    <w:rsid w:val="0086746F"/>
    <w:rPr>
      <w:rFonts w:ascii="Tahoma" w:hAnsi="Tahoma" w:cs="Tahoma"/>
      <w:sz w:val="16"/>
      <w:szCs w:val="16"/>
    </w:rPr>
  </w:style>
  <w:style w:type="character" w:customStyle="1" w:styleId="BalloonTextChar">
    <w:name w:val="Balloon Text Char"/>
    <w:basedOn w:val="DefaultParagraphFont"/>
    <w:link w:val="BalloonText"/>
    <w:uiPriority w:val="99"/>
    <w:semiHidden/>
    <w:rsid w:val="0086746F"/>
    <w:rPr>
      <w:rFonts w:ascii="Tahoma" w:eastAsia="Times New Roman" w:hAnsi="Tahoma" w:cs="Tahoma"/>
      <w:sz w:val="16"/>
      <w:szCs w:val="16"/>
    </w:rPr>
  </w:style>
  <w:style w:type="paragraph" w:styleId="Header">
    <w:name w:val="header"/>
    <w:basedOn w:val="Normal"/>
    <w:link w:val="HeaderChar"/>
    <w:uiPriority w:val="99"/>
    <w:unhideWhenUsed/>
    <w:rsid w:val="00F65AF1"/>
    <w:pPr>
      <w:tabs>
        <w:tab w:val="center" w:pos="4680"/>
        <w:tab w:val="right" w:pos="9360"/>
      </w:tabs>
    </w:pPr>
  </w:style>
  <w:style w:type="character" w:customStyle="1" w:styleId="HeaderChar">
    <w:name w:val="Header Char"/>
    <w:basedOn w:val="DefaultParagraphFont"/>
    <w:link w:val="Header"/>
    <w:uiPriority w:val="99"/>
    <w:rsid w:val="00F65AF1"/>
    <w:rPr>
      <w:rFonts w:ascii="Times New Roman" w:eastAsia="Times New Roman" w:hAnsi="Times New Roman" w:cs="Times New Roman"/>
    </w:rPr>
  </w:style>
  <w:style w:type="paragraph" w:styleId="Footer">
    <w:name w:val="footer"/>
    <w:basedOn w:val="Normal"/>
    <w:link w:val="FooterChar"/>
    <w:uiPriority w:val="99"/>
    <w:unhideWhenUsed/>
    <w:rsid w:val="00F65AF1"/>
    <w:pPr>
      <w:tabs>
        <w:tab w:val="center" w:pos="4680"/>
        <w:tab w:val="right" w:pos="9360"/>
      </w:tabs>
    </w:pPr>
  </w:style>
  <w:style w:type="character" w:customStyle="1" w:styleId="FooterChar">
    <w:name w:val="Footer Char"/>
    <w:basedOn w:val="DefaultParagraphFont"/>
    <w:link w:val="Footer"/>
    <w:uiPriority w:val="99"/>
    <w:rsid w:val="00F65AF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111021.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11102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18/DCB_h.pdf"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onique.Brooks@fns.usda.gov" TargetMode="External"/><Relationship Id="rId14" Type="http://schemas.openxmlformats.org/officeDocument/2006/relationships/hyperlink" Target="http://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48270-B862-4E85-9159-0D828125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2941</Words>
  <Characters>16767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FNS User</Company>
  <LinksUpToDate>false</LinksUpToDate>
  <CharactersWithSpaces>19669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anne</dc:creator>
  <cp:lastModifiedBy>SYSTEM</cp:lastModifiedBy>
  <cp:revision>2</cp:revision>
  <cp:lastPrinted>2018-06-25T19:30:00Z</cp:lastPrinted>
  <dcterms:created xsi:type="dcterms:W3CDTF">2018-07-03T19:17:00Z</dcterms:created>
  <dcterms:modified xsi:type="dcterms:W3CDTF">2018-07-03T19:17:00Z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2015-05-20T00:00:00Z</vt:filetime>
  </property>
  <property fmtid="{D5CDD505-2E9C-101B-9397-08002B2CF9AE}" pid="3" name="Creator">
    <vt:lpwstr>Acrobat PDFMaker 10.1 for Word</vt:lpwstr>
  </property>
  <property fmtid="{D5CDD505-2E9C-101B-9397-08002B2CF9AE}" pid="4" name="LastSaved">
    <vt:filetime>2018-04-09T00:00:00Z</vt:filetime>
  </property>
</Properties>
</file>