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E3" w:rsidRPr="009776EF" w:rsidRDefault="009776EF" w:rsidP="00253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76EF">
        <w:rPr>
          <w:rFonts w:ascii="Times New Roman" w:hAnsi="Times New Roman" w:cs="Times New Roman"/>
          <w:b/>
          <w:sz w:val="24"/>
          <w:szCs w:val="24"/>
        </w:rPr>
        <w:t>Su</w:t>
      </w:r>
      <w:r w:rsidR="002534E3" w:rsidRPr="009776EF">
        <w:rPr>
          <w:rFonts w:ascii="Times New Roman" w:hAnsi="Times New Roman" w:cs="Times New Roman"/>
          <w:b/>
          <w:sz w:val="24"/>
          <w:szCs w:val="24"/>
        </w:rPr>
        <w:t>pporting Statement for Regulations</w:t>
      </w:r>
    </w:p>
    <w:p w:rsidR="002534E3" w:rsidRPr="008334A7" w:rsidRDefault="002534E3" w:rsidP="00253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EF">
        <w:rPr>
          <w:rFonts w:ascii="Times New Roman" w:hAnsi="Times New Roman" w:cs="Times New Roman"/>
          <w:b/>
          <w:sz w:val="24"/>
          <w:szCs w:val="24"/>
        </w:rPr>
        <w:t>Coverage of Employees</w:t>
      </w:r>
      <w:r w:rsidRPr="008334A7">
        <w:rPr>
          <w:rFonts w:ascii="Times New Roman" w:hAnsi="Times New Roman" w:cs="Times New Roman"/>
          <w:b/>
          <w:sz w:val="24"/>
          <w:szCs w:val="24"/>
        </w:rPr>
        <w:t xml:space="preserve"> of State and Local Governments</w:t>
      </w:r>
    </w:p>
    <w:p w:rsidR="002534E3" w:rsidRPr="008334A7" w:rsidRDefault="002534E3" w:rsidP="00253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>20 CFR Subpart M</w:t>
      </w:r>
    </w:p>
    <w:p w:rsidR="002534E3" w:rsidRPr="008334A7" w:rsidRDefault="002534E3" w:rsidP="00253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>OMB No. 0960-0425</w:t>
      </w:r>
    </w:p>
    <w:p w:rsidR="004E69E9" w:rsidRPr="008334A7" w:rsidRDefault="004E69E9" w:rsidP="00A875FB">
      <w:pPr>
        <w:tabs>
          <w:tab w:val="left" w:pos="12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E69E9" w:rsidRPr="008334A7" w:rsidRDefault="004E69E9" w:rsidP="00A875FB">
      <w:pPr>
        <w:tabs>
          <w:tab w:val="left" w:pos="12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534E3" w:rsidRPr="008334A7" w:rsidRDefault="002534E3" w:rsidP="00A875FB">
      <w:pPr>
        <w:tabs>
          <w:tab w:val="left" w:pos="1260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717A">
        <w:rPr>
          <w:rFonts w:ascii="Times New Roman" w:hAnsi="Times New Roman" w:cs="Times New Roman"/>
          <w:b/>
          <w:sz w:val="24"/>
          <w:szCs w:val="24"/>
        </w:rPr>
        <w:t>A.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  <w:u w:val="single"/>
        </w:rPr>
        <w:t>Justification</w:t>
      </w:r>
    </w:p>
    <w:p w:rsidR="002534E3" w:rsidRPr="008334A7" w:rsidRDefault="002534E3" w:rsidP="005371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E1B" w:rsidRPr="008334A7" w:rsidRDefault="002534E3" w:rsidP="008334A7">
      <w:pPr>
        <w:tabs>
          <w:tab w:val="left" w:pos="1980"/>
          <w:tab w:val="left" w:pos="207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1.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154E1B" w:rsidRPr="008334A7">
        <w:rPr>
          <w:rFonts w:ascii="Times New Roman" w:hAnsi="Times New Roman" w:cs="Times New Roman"/>
          <w:b/>
          <w:sz w:val="24"/>
          <w:szCs w:val="24"/>
        </w:rPr>
        <w:t>Introduction/Authoring Laws and Regulations</w:t>
      </w:r>
    </w:p>
    <w:p w:rsidR="00F117FB" w:rsidRDefault="00EB32DE" w:rsidP="00F117FB">
      <w:pPr>
        <w:tabs>
          <w:tab w:val="left" w:pos="1980"/>
        </w:tabs>
        <w:spacing w:after="0"/>
        <w:ind w:left="198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State and local employers must file wage reports and pay the related contributions owed to the Social Security Administration (SSA), so</w:t>
      </w:r>
      <w:r w:rsidR="002534E3" w:rsidRPr="00833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4E3" w:rsidRPr="00752FC3">
        <w:rPr>
          <w:rFonts w:ascii="Times New Roman" w:hAnsi="Times New Roman" w:cs="Times New Roman"/>
          <w:sz w:val="24"/>
          <w:szCs w:val="24"/>
        </w:rPr>
        <w:t xml:space="preserve">state and 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local employees in positions covered by Social Security receive credit for their covered wages. </w:t>
      </w:r>
      <w:r w:rsidR="009776EF">
        <w:rPr>
          <w:rFonts w:ascii="Times New Roman" w:hAnsi="Times New Roman" w:cs="Times New Roman"/>
          <w:sz w:val="24"/>
          <w:szCs w:val="24"/>
        </w:rPr>
        <w:t xml:space="preserve"> 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The </w:t>
      </w:r>
      <w:r w:rsidR="00752FC3">
        <w:rPr>
          <w:rFonts w:ascii="Times New Roman" w:hAnsi="Times New Roman" w:cs="Times New Roman"/>
          <w:sz w:val="24"/>
          <w:szCs w:val="24"/>
        </w:rPr>
        <w:t>Code of Federal Regulations at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 </w:t>
      </w:r>
      <w:r w:rsidR="002534E3" w:rsidRPr="008334A7">
        <w:rPr>
          <w:rFonts w:ascii="Times New Roman" w:hAnsi="Times New Roman" w:cs="Times New Roman"/>
          <w:i/>
          <w:sz w:val="24"/>
          <w:szCs w:val="24"/>
        </w:rPr>
        <w:t>20 CFR 404, Subpart M</w:t>
      </w:r>
      <w:r w:rsidR="002534E3" w:rsidRPr="00752FC3">
        <w:rPr>
          <w:rFonts w:ascii="Times New Roman" w:hAnsi="Times New Roman" w:cs="Times New Roman"/>
          <w:sz w:val="24"/>
          <w:szCs w:val="24"/>
        </w:rPr>
        <w:t xml:space="preserve"> </w:t>
      </w:r>
      <w:r w:rsidR="00752FC3" w:rsidRPr="00752FC3">
        <w:rPr>
          <w:rFonts w:ascii="Times New Roman" w:hAnsi="Times New Roman" w:cs="Times New Roman"/>
          <w:sz w:val="24"/>
          <w:szCs w:val="24"/>
        </w:rPr>
        <w:t xml:space="preserve">prescribes </w:t>
      </w:r>
      <w:r w:rsidR="00752FC3">
        <w:rPr>
          <w:rFonts w:ascii="Times New Roman" w:hAnsi="Times New Roman" w:cs="Times New Roman"/>
          <w:sz w:val="24"/>
          <w:szCs w:val="24"/>
        </w:rPr>
        <w:t>the rules for S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tates submitting reports of </w:t>
      </w:r>
      <w:r w:rsidR="00752FC3">
        <w:rPr>
          <w:rFonts w:ascii="Times New Roman" w:hAnsi="Times New Roman" w:cs="Times New Roman"/>
          <w:sz w:val="24"/>
          <w:szCs w:val="24"/>
        </w:rPr>
        <w:t xml:space="preserve">deposits and related </w:t>
      </w:r>
      <w:r w:rsidR="002534E3" w:rsidRPr="008334A7">
        <w:rPr>
          <w:rFonts w:ascii="Times New Roman" w:hAnsi="Times New Roman" w:cs="Times New Roman"/>
          <w:sz w:val="24"/>
          <w:szCs w:val="24"/>
        </w:rPr>
        <w:t>recordkeeping</w:t>
      </w:r>
      <w:r w:rsidR="00102704">
        <w:rPr>
          <w:rFonts w:ascii="Times New Roman" w:hAnsi="Times New Roman" w:cs="Times New Roman"/>
          <w:sz w:val="24"/>
          <w:szCs w:val="24"/>
        </w:rPr>
        <w:t xml:space="preserve"> and coverage information</w:t>
      </w:r>
      <w:r w:rsidR="00752FC3">
        <w:rPr>
          <w:rFonts w:ascii="Times New Roman" w:hAnsi="Times New Roman" w:cs="Times New Roman"/>
          <w:sz w:val="24"/>
          <w:szCs w:val="24"/>
        </w:rPr>
        <w:t xml:space="preserve"> to SSA</w:t>
      </w:r>
      <w:r w:rsidR="002534E3" w:rsidRPr="008334A7">
        <w:rPr>
          <w:rFonts w:ascii="Times New Roman" w:hAnsi="Times New Roman" w:cs="Times New Roman"/>
          <w:sz w:val="24"/>
          <w:szCs w:val="24"/>
        </w:rPr>
        <w:t>.</w:t>
      </w:r>
      <w:r w:rsidR="009776EF">
        <w:rPr>
          <w:rFonts w:ascii="Times New Roman" w:hAnsi="Times New Roman" w:cs="Times New Roman"/>
          <w:sz w:val="24"/>
          <w:szCs w:val="24"/>
        </w:rPr>
        <w:t xml:space="preserve"> 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 Prior to 1987, SSA collected all FICA taxes from state and local government </w:t>
      </w:r>
      <w:r w:rsidR="002D5303" w:rsidRPr="008334A7">
        <w:rPr>
          <w:rFonts w:ascii="Times New Roman" w:hAnsi="Times New Roman" w:cs="Times New Roman"/>
          <w:sz w:val="24"/>
          <w:szCs w:val="24"/>
        </w:rPr>
        <w:t xml:space="preserve">entities. </w:t>
      </w:r>
      <w:r w:rsidR="009776EF">
        <w:rPr>
          <w:rFonts w:ascii="Times New Roman" w:hAnsi="Times New Roman" w:cs="Times New Roman"/>
          <w:sz w:val="24"/>
          <w:szCs w:val="24"/>
        </w:rPr>
        <w:t xml:space="preserve"> 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These regulations </w:t>
      </w:r>
      <w:r w:rsidR="00EC2672">
        <w:rPr>
          <w:rFonts w:ascii="Times New Roman" w:hAnsi="Times New Roman" w:cs="Times New Roman"/>
          <w:sz w:val="24"/>
          <w:szCs w:val="24"/>
        </w:rPr>
        <w:t xml:space="preserve">allow us to collect this information.  </w:t>
      </w:r>
    </w:p>
    <w:p w:rsidR="00EC2672" w:rsidRPr="008334A7" w:rsidRDefault="00EC2672" w:rsidP="00F117FB">
      <w:pPr>
        <w:tabs>
          <w:tab w:val="left" w:pos="1980"/>
        </w:tabs>
        <w:spacing w:after="0"/>
        <w:ind w:left="1980" w:hanging="90"/>
        <w:rPr>
          <w:rFonts w:ascii="Times New Roman" w:hAnsi="Times New Roman" w:cs="Times New Roman"/>
          <w:sz w:val="24"/>
          <w:szCs w:val="24"/>
        </w:rPr>
      </w:pPr>
    </w:p>
    <w:p w:rsidR="00F117FB" w:rsidRDefault="002534E3" w:rsidP="00F117FB">
      <w:pPr>
        <w:spacing w:after="0"/>
        <w:ind w:left="1980" w:hanging="63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2</w:t>
      </w:r>
      <w:r w:rsidR="00752FC3">
        <w:rPr>
          <w:rFonts w:ascii="Times New Roman" w:hAnsi="Times New Roman" w:cs="Times New Roman"/>
          <w:sz w:val="24"/>
          <w:szCs w:val="24"/>
        </w:rPr>
        <w:t>.</w:t>
      </w:r>
      <w:r w:rsidR="00752FC3">
        <w:rPr>
          <w:rFonts w:ascii="Times New Roman" w:hAnsi="Times New Roman" w:cs="Times New Roman"/>
          <w:sz w:val="24"/>
          <w:szCs w:val="24"/>
        </w:rPr>
        <w:tab/>
      </w:r>
      <w:r w:rsidR="005B4052">
        <w:rPr>
          <w:rFonts w:ascii="Times New Roman" w:hAnsi="Times New Roman" w:cs="Times New Roman"/>
          <w:b/>
          <w:sz w:val="24"/>
          <w:szCs w:val="24"/>
        </w:rPr>
        <w:t xml:space="preserve">Description of Collection </w:t>
      </w:r>
    </w:p>
    <w:p w:rsidR="002534E3" w:rsidRPr="008334A7" w:rsidRDefault="002534E3" w:rsidP="005B4052">
      <w:pPr>
        <w:spacing w:after="0"/>
        <w:ind w:left="198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Under the authority of these regulations, SS</w:t>
      </w:r>
      <w:r w:rsidR="005B4052">
        <w:rPr>
          <w:rFonts w:ascii="Times New Roman" w:hAnsi="Times New Roman" w:cs="Times New Roman"/>
          <w:sz w:val="24"/>
          <w:szCs w:val="24"/>
        </w:rPr>
        <w:t xml:space="preserve">A </w:t>
      </w:r>
      <w:r w:rsidR="00A875FB" w:rsidRPr="008334A7">
        <w:rPr>
          <w:rFonts w:ascii="Times New Roman" w:hAnsi="Times New Roman" w:cs="Times New Roman"/>
          <w:sz w:val="24"/>
          <w:szCs w:val="24"/>
        </w:rPr>
        <w:t>collect</w:t>
      </w:r>
      <w:r w:rsidR="005B4052">
        <w:rPr>
          <w:rFonts w:ascii="Times New Roman" w:hAnsi="Times New Roman" w:cs="Times New Roman"/>
          <w:sz w:val="24"/>
          <w:szCs w:val="24"/>
        </w:rPr>
        <w:t>s</w:t>
      </w:r>
      <w:r w:rsidR="00A875FB" w:rsidRPr="008334A7">
        <w:rPr>
          <w:rFonts w:ascii="Times New Roman" w:hAnsi="Times New Roman" w:cs="Times New Roman"/>
          <w:sz w:val="24"/>
          <w:szCs w:val="24"/>
        </w:rPr>
        <w:t xml:space="preserve"> this information </w:t>
      </w:r>
      <w:r w:rsidRPr="008334A7">
        <w:rPr>
          <w:rFonts w:ascii="Times New Roman" w:hAnsi="Times New Roman" w:cs="Times New Roman"/>
          <w:sz w:val="24"/>
          <w:szCs w:val="24"/>
        </w:rPr>
        <w:t xml:space="preserve">to </w:t>
      </w:r>
      <w:r w:rsidR="005B4052">
        <w:rPr>
          <w:rFonts w:ascii="Times New Roman" w:hAnsi="Times New Roman" w:cs="Times New Roman"/>
          <w:sz w:val="24"/>
          <w:szCs w:val="24"/>
        </w:rPr>
        <w:t xml:space="preserve">post wages to </w:t>
      </w:r>
      <w:r w:rsidRPr="008334A7">
        <w:rPr>
          <w:rFonts w:ascii="Times New Roman" w:hAnsi="Times New Roman" w:cs="Times New Roman"/>
          <w:sz w:val="24"/>
          <w:szCs w:val="24"/>
        </w:rPr>
        <w:t>individuals' Social Security earnings records and</w:t>
      </w:r>
      <w:r w:rsidR="00A875FB" w:rsidRPr="008334A7">
        <w:rPr>
          <w:rFonts w:ascii="Times New Roman" w:hAnsi="Times New Roman" w:cs="Times New Roman"/>
          <w:sz w:val="24"/>
          <w:szCs w:val="24"/>
        </w:rPr>
        <w:t xml:space="preserve"> to </w:t>
      </w:r>
      <w:r w:rsidRPr="008334A7">
        <w:rPr>
          <w:rFonts w:ascii="Times New Roman" w:hAnsi="Times New Roman" w:cs="Times New Roman"/>
          <w:sz w:val="24"/>
          <w:szCs w:val="24"/>
        </w:rPr>
        <w:t>perform audit and T</w:t>
      </w:r>
      <w:r w:rsidR="008E20DB">
        <w:rPr>
          <w:rFonts w:ascii="Times New Roman" w:hAnsi="Times New Roman" w:cs="Times New Roman"/>
          <w:sz w:val="24"/>
          <w:szCs w:val="24"/>
        </w:rPr>
        <w:t>rust Fund accounting functions.</w:t>
      </w:r>
      <w:r w:rsidR="009776EF">
        <w:rPr>
          <w:rFonts w:ascii="Times New Roman" w:hAnsi="Times New Roman" w:cs="Times New Roman"/>
          <w:sz w:val="24"/>
          <w:szCs w:val="24"/>
        </w:rPr>
        <w:t xml:space="preserve"> </w:t>
      </w:r>
      <w:r w:rsidRPr="008334A7">
        <w:rPr>
          <w:rFonts w:ascii="Times New Roman" w:hAnsi="Times New Roman" w:cs="Times New Roman"/>
          <w:sz w:val="24"/>
          <w:szCs w:val="24"/>
        </w:rPr>
        <w:t xml:space="preserve"> The respondents are state </w:t>
      </w:r>
      <w:r w:rsidR="008E20DB">
        <w:rPr>
          <w:rFonts w:ascii="Times New Roman" w:hAnsi="Times New Roman" w:cs="Times New Roman"/>
          <w:sz w:val="24"/>
          <w:szCs w:val="24"/>
        </w:rPr>
        <w:t>and local government entities</w:t>
      </w:r>
      <w:r w:rsidR="00D14777">
        <w:rPr>
          <w:rFonts w:ascii="Times New Roman" w:hAnsi="Times New Roman" w:cs="Times New Roman"/>
          <w:sz w:val="24"/>
          <w:szCs w:val="24"/>
        </w:rPr>
        <w:t xml:space="preserve">. </w:t>
      </w:r>
      <w:r w:rsidR="009776EF">
        <w:rPr>
          <w:rFonts w:ascii="Times New Roman" w:hAnsi="Times New Roman" w:cs="Times New Roman"/>
          <w:sz w:val="24"/>
          <w:szCs w:val="24"/>
        </w:rPr>
        <w:t xml:space="preserve"> </w:t>
      </w:r>
      <w:r w:rsidR="00D14777">
        <w:rPr>
          <w:rFonts w:ascii="Times New Roman" w:hAnsi="Times New Roman" w:cs="Times New Roman"/>
          <w:sz w:val="24"/>
          <w:szCs w:val="24"/>
        </w:rPr>
        <w:t>SSA collects the information as needed</w:t>
      </w:r>
      <w:r w:rsidR="008E20DB">
        <w:rPr>
          <w:rFonts w:ascii="Times New Roman" w:hAnsi="Times New Roman" w:cs="Times New Roman"/>
          <w:sz w:val="24"/>
          <w:szCs w:val="24"/>
        </w:rPr>
        <w:t xml:space="preserve">. </w:t>
      </w:r>
      <w:r w:rsidRPr="008334A7">
        <w:rPr>
          <w:rFonts w:ascii="Times New Roman" w:hAnsi="Times New Roman" w:cs="Times New Roman"/>
          <w:sz w:val="24"/>
          <w:szCs w:val="24"/>
        </w:rPr>
        <w:t>The following is a list of the regulatory sections of the CFR cover</w:t>
      </w:r>
      <w:r w:rsidR="005B4052">
        <w:rPr>
          <w:rFonts w:ascii="Times New Roman" w:hAnsi="Times New Roman" w:cs="Times New Roman"/>
          <w:sz w:val="24"/>
          <w:szCs w:val="24"/>
        </w:rPr>
        <w:t>ed in</w:t>
      </w:r>
      <w:r w:rsidRPr="008334A7">
        <w:rPr>
          <w:rFonts w:ascii="Times New Roman" w:hAnsi="Times New Roman" w:cs="Times New Roman"/>
          <w:sz w:val="24"/>
          <w:szCs w:val="24"/>
        </w:rPr>
        <w:t xml:space="preserve"> this clearance request:</w:t>
      </w:r>
    </w:p>
    <w:p w:rsidR="002534E3" w:rsidRPr="008334A7" w:rsidRDefault="002F5F68" w:rsidP="004944DF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ab/>
      </w:r>
    </w:p>
    <w:p w:rsidR="002534E3" w:rsidRPr="008334A7" w:rsidRDefault="002534E3" w:rsidP="004944D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404.1204 - Designating official</w:t>
      </w:r>
      <w:r w:rsidR="005A1D5C">
        <w:rPr>
          <w:rFonts w:ascii="Times New Roman" w:hAnsi="Times New Roman" w:cs="Times New Roman"/>
          <w:sz w:val="24"/>
          <w:szCs w:val="24"/>
        </w:rPr>
        <w:t>s t</w:t>
      </w:r>
      <w:r w:rsidR="00CF04D2">
        <w:rPr>
          <w:rFonts w:ascii="Times New Roman" w:hAnsi="Times New Roman" w:cs="Times New Roman"/>
          <w:sz w:val="24"/>
          <w:szCs w:val="24"/>
        </w:rPr>
        <w:t>o act on behalf of the state:  this section requires each respondent</w:t>
      </w:r>
      <w:r w:rsidR="005A1D5C">
        <w:rPr>
          <w:rFonts w:ascii="Times New Roman" w:hAnsi="Times New Roman" w:cs="Times New Roman"/>
          <w:sz w:val="24"/>
          <w:szCs w:val="24"/>
        </w:rPr>
        <w:t xml:space="preserve"> to submit </w:t>
      </w:r>
      <w:r w:rsidR="00CF04D2">
        <w:rPr>
          <w:rFonts w:ascii="Times New Roman" w:hAnsi="Times New Roman" w:cs="Times New Roman"/>
          <w:sz w:val="24"/>
          <w:szCs w:val="24"/>
        </w:rPr>
        <w:t>the name, title, and address of the designated official, and the extent of the official’s authority.</w:t>
      </w:r>
    </w:p>
    <w:p w:rsidR="002534E3" w:rsidRPr="008334A7" w:rsidRDefault="002534E3" w:rsidP="004944D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404.1215 - Modification of agree</w:t>
      </w:r>
      <w:r w:rsidR="00CF04D2">
        <w:rPr>
          <w:rFonts w:ascii="Times New Roman" w:hAnsi="Times New Roman" w:cs="Times New Roman"/>
          <w:sz w:val="24"/>
          <w:szCs w:val="24"/>
        </w:rPr>
        <w:t>ment:  this section explains how respondents can modify the agreement in writing.</w:t>
      </w:r>
    </w:p>
    <w:p w:rsidR="002534E3" w:rsidRDefault="002534E3" w:rsidP="004944DF">
      <w:pPr>
        <w:numPr>
          <w:ilvl w:val="0"/>
          <w:numId w:val="1"/>
        </w:numPr>
        <w:tabs>
          <w:tab w:val="left" w:pos="0"/>
          <w:tab w:val="left" w:pos="0"/>
          <w:tab w:val="left" w:pos="720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404.1216 - Modification o</w:t>
      </w:r>
      <w:r w:rsidR="00CF04D2">
        <w:rPr>
          <w:rFonts w:ascii="Times New Roman" w:hAnsi="Times New Roman" w:cs="Times New Roman"/>
          <w:sz w:val="24"/>
          <w:szCs w:val="24"/>
        </w:rPr>
        <w:t>f agreement to correct an error:  this section explains how respondents can modify an agreement to correct an error.</w:t>
      </w:r>
    </w:p>
    <w:p w:rsidR="009776EF" w:rsidRDefault="009776EF" w:rsidP="00977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76EF" w:rsidRDefault="009776EF" w:rsidP="009776EF">
      <w:pPr>
        <w:spacing w:after="0"/>
        <w:ind w:left="1267" w:firstLine="720"/>
      </w:pPr>
      <w:r>
        <w:rPr>
          <w:rFonts w:ascii="Times New Roman" w:hAnsi="Times New Roman" w:cs="Times New Roman"/>
          <w:sz w:val="24"/>
          <w:szCs w:val="24"/>
        </w:rPr>
        <w:t>T</w:t>
      </w:r>
      <w:r w:rsidRPr="009776EF">
        <w:rPr>
          <w:rFonts w:ascii="Times New Roman" w:hAnsi="Times New Roman" w:cs="Times New Roman"/>
          <w:sz w:val="24"/>
          <w:szCs w:val="24"/>
        </w:rPr>
        <w:t>he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76EF">
        <w:rPr>
          <w:rFonts w:ascii="Times New Roman" w:hAnsi="Times New Roman" w:cs="Times New Roman"/>
          <w:sz w:val="24"/>
          <w:szCs w:val="24"/>
        </w:rPr>
        <w:t>spondents are State and local governments or interstate instrumentalities</w:t>
      </w:r>
      <w:r w:rsidRPr="003B1AA3">
        <w:t>.</w:t>
      </w:r>
    </w:p>
    <w:p w:rsidR="009776EF" w:rsidRDefault="009776EF" w:rsidP="009776EF">
      <w:pPr>
        <w:spacing w:after="0"/>
        <w:ind w:left="1267" w:firstLine="720"/>
      </w:pPr>
    </w:p>
    <w:p w:rsidR="00752FC3" w:rsidRDefault="002534E3" w:rsidP="00752FC3">
      <w:pPr>
        <w:tabs>
          <w:tab w:val="left" w:pos="1800"/>
        </w:tabs>
        <w:spacing w:after="0"/>
        <w:ind w:left="1980" w:hanging="54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3.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752FC3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Use of Information Technology to Collect the Information</w:t>
      </w:r>
      <w:r w:rsidR="002F5F68" w:rsidRPr="00833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4E3" w:rsidRPr="008334A7" w:rsidRDefault="00752FC3" w:rsidP="00752FC3">
      <w:pPr>
        <w:tabs>
          <w:tab w:val="left" w:pos="1800"/>
          <w:tab w:val="left" w:pos="1980"/>
        </w:tabs>
        <w:spacing w:after="0"/>
        <w:ind w:left="19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Most state and local government entities submit this information electronically as directed in the instructions</w:t>
      </w:r>
      <w:r w:rsidR="00EC2672">
        <w:rPr>
          <w:rFonts w:ascii="Times New Roman" w:hAnsi="Times New Roman" w:cs="Times New Roman"/>
          <w:sz w:val="24"/>
          <w:szCs w:val="24"/>
        </w:rPr>
        <w:t xml:space="preserve"> on the SSA I</w:t>
      </w:r>
      <w:r w:rsidR="008E20DB">
        <w:rPr>
          <w:rFonts w:ascii="Times New Roman" w:hAnsi="Times New Roman" w:cs="Times New Roman"/>
          <w:sz w:val="24"/>
          <w:szCs w:val="24"/>
        </w:rPr>
        <w:t xml:space="preserve">nternet web site. </w:t>
      </w:r>
      <w:r w:rsidR="00C91476">
        <w:rPr>
          <w:rFonts w:ascii="Times New Roman" w:hAnsi="Times New Roman" w:cs="Times New Roman"/>
          <w:sz w:val="24"/>
          <w:szCs w:val="24"/>
        </w:rPr>
        <w:t xml:space="preserve"> 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Once a state or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2534E3" w:rsidRPr="008334A7">
        <w:rPr>
          <w:rFonts w:ascii="Times New Roman" w:hAnsi="Times New Roman" w:cs="Times New Roman"/>
          <w:sz w:val="24"/>
          <w:szCs w:val="24"/>
        </w:rPr>
        <w:t>government entity’s pre-1987 reporting issue is resolved, the entity must contact its local Social Security office for assistance in processing the correction via paper copy.</w:t>
      </w:r>
      <w:r w:rsidR="00D14777">
        <w:rPr>
          <w:rFonts w:ascii="Times New Roman" w:hAnsi="Times New Roman" w:cs="Times New Roman"/>
          <w:sz w:val="24"/>
          <w:szCs w:val="24"/>
        </w:rPr>
        <w:t xml:space="preserve"> </w:t>
      </w:r>
      <w:r w:rsidR="00C91476">
        <w:rPr>
          <w:rFonts w:ascii="Times New Roman" w:hAnsi="Times New Roman" w:cs="Times New Roman"/>
          <w:sz w:val="24"/>
          <w:szCs w:val="24"/>
        </w:rPr>
        <w:t xml:space="preserve"> </w:t>
      </w:r>
      <w:r w:rsidR="00D14777">
        <w:rPr>
          <w:rFonts w:ascii="Times New Roman" w:hAnsi="Times New Roman" w:cs="Times New Roman"/>
          <w:sz w:val="24"/>
          <w:szCs w:val="24"/>
        </w:rPr>
        <w:t xml:space="preserve">SSA did not create an electronic way for government entities to correction pre-1987 wage reports under the agency’s Government Paperwork Elimination Act (GPEA) plan because there are generally no respondents. </w:t>
      </w:r>
      <w:r w:rsidR="00C91476">
        <w:rPr>
          <w:rFonts w:ascii="Times New Roman" w:hAnsi="Times New Roman" w:cs="Times New Roman"/>
          <w:sz w:val="24"/>
          <w:szCs w:val="24"/>
        </w:rPr>
        <w:t xml:space="preserve"> </w:t>
      </w:r>
      <w:r w:rsidR="00D14777">
        <w:rPr>
          <w:rFonts w:ascii="Times New Roman" w:hAnsi="Times New Roman" w:cs="Times New Roman"/>
          <w:sz w:val="24"/>
          <w:szCs w:val="24"/>
        </w:rPr>
        <w:t>This is less than the GPEA cut-off of 50,0000.</w:t>
      </w:r>
    </w:p>
    <w:p w:rsidR="002F5F68" w:rsidRDefault="002F5F68" w:rsidP="00752FC3">
      <w:pPr>
        <w:spacing w:after="0"/>
        <w:ind w:left="1980" w:firstLine="270"/>
        <w:rPr>
          <w:rFonts w:ascii="Times New Roman" w:hAnsi="Times New Roman" w:cs="Times New Roman"/>
          <w:sz w:val="24"/>
          <w:szCs w:val="24"/>
        </w:rPr>
      </w:pPr>
    </w:p>
    <w:p w:rsidR="00CF04D2" w:rsidRDefault="00CF04D2" w:rsidP="00752FC3">
      <w:pPr>
        <w:spacing w:after="0"/>
        <w:ind w:left="1980" w:firstLine="270"/>
        <w:rPr>
          <w:rFonts w:ascii="Times New Roman" w:hAnsi="Times New Roman" w:cs="Times New Roman"/>
          <w:sz w:val="24"/>
          <w:szCs w:val="24"/>
        </w:rPr>
      </w:pPr>
    </w:p>
    <w:p w:rsidR="00BA4611" w:rsidRDefault="002534E3" w:rsidP="00BA4611">
      <w:pPr>
        <w:tabs>
          <w:tab w:val="left" w:pos="1800"/>
          <w:tab w:val="left" w:pos="1980"/>
        </w:tabs>
        <w:spacing w:after="0"/>
        <w:ind w:left="1440" w:hanging="9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334A7">
        <w:rPr>
          <w:rFonts w:ascii="Times New Roman" w:hAnsi="Times New Roman" w:cs="Times New Roman"/>
          <w:b/>
          <w:sz w:val="24"/>
          <w:szCs w:val="24"/>
        </w:rPr>
        <w:t>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752FC3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Why We Ca</w:t>
      </w:r>
      <w:r w:rsidR="002F5F68" w:rsidRPr="008334A7">
        <w:rPr>
          <w:rFonts w:ascii="Times New Roman" w:hAnsi="Times New Roman" w:cs="Times New Roman"/>
          <w:b/>
          <w:sz w:val="24"/>
          <w:szCs w:val="24"/>
        </w:rPr>
        <w:t xml:space="preserve">nnot Use Duplicate Information </w:t>
      </w:r>
    </w:p>
    <w:p w:rsidR="00752FC3" w:rsidRDefault="00BA4611" w:rsidP="00BA4611">
      <w:pPr>
        <w:tabs>
          <w:tab w:val="left" w:pos="1980"/>
        </w:tabs>
        <w:spacing w:after="0"/>
        <w:ind w:left="144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5F68" w:rsidRPr="008334A7">
        <w:rPr>
          <w:rFonts w:ascii="Times New Roman" w:hAnsi="Times New Roman" w:cs="Times New Roman"/>
          <w:b/>
          <w:sz w:val="24"/>
          <w:szCs w:val="24"/>
        </w:rPr>
        <w:tab/>
      </w:r>
      <w:r w:rsidR="00752FC3" w:rsidRPr="00752FC3">
        <w:rPr>
          <w:rFonts w:ascii="Times New Roman" w:hAnsi="Times New Roman"/>
          <w:sz w:val="24"/>
          <w:szCs w:val="24"/>
        </w:rPr>
        <w:t xml:space="preserve">The nature of the information we collect and the manner in which we collect it </w:t>
      </w:r>
      <w:r w:rsidR="00752FC3">
        <w:rPr>
          <w:rFonts w:ascii="Times New Roman" w:hAnsi="Times New Roman"/>
          <w:sz w:val="24"/>
          <w:szCs w:val="24"/>
        </w:rPr>
        <w:tab/>
      </w:r>
      <w:r w:rsidR="008E20DB">
        <w:rPr>
          <w:rFonts w:ascii="Times New Roman" w:hAnsi="Times New Roman"/>
          <w:sz w:val="24"/>
          <w:szCs w:val="24"/>
        </w:rPr>
        <w:t xml:space="preserve">precludes duplication. </w:t>
      </w:r>
      <w:r w:rsidR="00752FC3" w:rsidRPr="00752FC3">
        <w:rPr>
          <w:rFonts w:ascii="Times New Roman" w:hAnsi="Times New Roman"/>
          <w:sz w:val="24"/>
          <w:szCs w:val="24"/>
        </w:rPr>
        <w:t xml:space="preserve">SSA does not use another collection </w:t>
      </w:r>
      <w:r w:rsidR="00752FC3">
        <w:rPr>
          <w:rFonts w:ascii="Times New Roman" w:hAnsi="Times New Roman"/>
          <w:sz w:val="24"/>
          <w:szCs w:val="24"/>
        </w:rPr>
        <w:t>i</w:t>
      </w:r>
      <w:r w:rsidR="00752FC3" w:rsidRPr="00752FC3">
        <w:rPr>
          <w:rFonts w:ascii="Times New Roman" w:hAnsi="Times New Roman"/>
          <w:sz w:val="24"/>
          <w:szCs w:val="24"/>
        </w:rPr>
        <w:t xml:space="preserve">nstrument to obtain </w:t>
      </w:r>
      <w:r w:rsidR="00752FC3">
        <w:rPr>
          <w:rFonts w:ascii="Times New Roman" w:hAnsi="Times New Roman"/>
          <w:sz w:val="24"/>
          <w:szCs w:val="24"/>
        </w:rPr>
        <w:tab/>
      </w:r>
      <w:r w:rsidR="00752FC3" w:rsidRPr="00752FC3">
        <w:rPr>
          <w:rFonts w:ascii="Times New Roman" w:hAnsi="Times New Roman"/>
          <w:sz w:val="24"/>
          <w:szCs w:val="24"/>
        </w:rPr>
        <w:t xml:space="preserve">similar data.  </w:t>
      </w:r>
    </w:p>
    <w:p w:rsidR="008E20DB" w:rsidRDefault="008E20DB" w:rsidP="00BA4611">
      <w:pPr>
        <w:tabs>
          <w:tab w:val="left" w:pos="1980"/>
        </w:tabs>
        <w:spacing w:after="0"/>
        <w:ind w:left="1440" w:hanging="90"/>
        <w:rPr>
          <w:rFonts w:ascii="Times New Roman" w:hAnsi="Times New Roman"/>
          <w:sz w:val="24"/>
          <w:szCs w:val="24"/>
        </w:rPr>
      </w:pPr>
    </w:p>
    <w:p w:rsidR="002F5F68" w:rsidRPr="008334A7" w:rsidRDefault="002534E3" w:rsidP="00BA4611">
      <w:pPr>
        <w:tabs>
          <w:tab w:val="left" w:pos="1350"/>
          <w:tab w:val="left" w:pos="1980"/>
        </w:tabs>
        <w:spacing w:after="0"/>
        <w:ind w:left="1440" w:hanging="9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5.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Minimizi</w:t>
      </w:r>
      <w:r w:rsidR="002F5F68" w:rsidRPr="008334A7">
        <w:rPr>
          <w:rFonts w:ascii="Times New Roman" w:hAnsi="Times New Roman" w:cs="Times New Roman"/>
          <w:b/>
          <w:sz w:val="24"/>
          <w:szCs w:val="24"/>
        </w:rPr>
        <w:t xml:space="preserve">ng Burden on Small Respondents </w:t>
      </w:r>
    </w:p>
    <w:p w:rsidR="002534E3" w:rsidRDefault="002534E3" w:rsidP="00752FC3">
      <w:pPr>
        <w:spacing w:after="0"/>
        <w:ind w:left="1440" w:firstLine="54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T</w:t>
      </w:r>
      <w:r w:rsidR="00416E71">
        <w:rPr>
          <w:rFonts w:ascii="Times New Roman" w:hAnsi="Times New Roman" w:cs="Times New Roman"/>
          <w:sz w:val="24"/>
          <w:szCs w:val="24"/>
        </w:rPr>
        <w:t xml:space="preserve">his collection does not significantly </w:t>
      </w:r>
      <w:r w:rsidR="005B4052">
        <w:rPr>
          <w:rFonts w:ascii="Times New Roman" w:hAnsi="Times New Roman" w:cs="Times New Roman"/>
          <w:sz w:val="24"/>
          <w:szCs w:val="24"/>
        </w:rPr>
        <w:t>affect</w:t>
      </w:r>
      <w:r w:rsidRPr="008334A7">
        <w:rPr>
          <w:rFonts w:ascii="Times New Roman" w:hAnsi="Times New Roman" w:cs="Times New Roman"/>
          <w:sz w:val="24"/>
          <w:szCs w:val="24"/>
        </w:rPr>
        <w:t xml:space="preserve"> small businesses or other small entities.</w:t>
      </w:r>
    </w:p>
    <w:p w:rsidR="00EC2672" w:rsidRPr="008334A7" w:rsidRDefault="00EC2672" w:rsidP="00752FC3">
      <w:pPr>
        <w:spacing w:after="0"/>
        <w:ind w:left="1440" w:firstLine="540"/>
        <w:rPr>
          <w:rFonts w:ascii="Times New Roman" w:hAnsi="Times New Roman" w:cs="Times New Roman"/>
          <w:sz w:val="24"/>
          <w:szCs w:val="24"/>
        </w:rPr>
      </w:pPr>
    </w:p>
    <w:p w:rsidR="002F5F68" w:rsidRPr="008334A7" w:rsidRDefault="002534E3" w:rsidP="00752FC3">
      <w:pPr>
        <w:tabs>
          <w:tab w:val="left" w:pos="0"/>
          <w:tab w:val="left" w:pos="1800"/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6.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752FC3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Consequence of Not Conducting Information or Collecting it Less Frequently</w:t>
      </w:r>
      <w:r w:rsidR="00A875FB" w:rsidRPr="00833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4E3" w:rsidRPr="008334A7" w:rsidRDefault="00A875FB" w:rsidP="00752FC3">
      <w:pPr>
        <w:spacing w:after="0"/>
        <w:ind w:left="1980" w:hanging="72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If SSA did not collect this information, state and local employees in positions covered by Social Security would not get c</w:t>
      </w:r>
      <w:r w:rsidR="008E20DB">
        <w:rPr>
          <w:rFonts w:ascii="Times New Roman" w:hAnsi="Times New Roman" w:cs="Times New Roman"/>
          <w:sz w:val="24"/>
          <w:szCs w:val="24"/>
        </w:rPr>
        <w:t xml:space="preserve">redit for their </w:t>
      </w:r>
      <w:r w:rsidR="00416E71">
        <w:rPr>
          <w:rFonts w:ascii="Times New Roman" w:hAnsi="Times New Roman" w:cs="Times New Roman"/>
          <w:sz w:val="24"/>
          <w:szCs w:val="24"/>
        </w:rPr>
        <w:t xml:space="preserve">pre-1987 </w:t>
      </w:r>
      <w:r w:rsidR="008E20DB">
        <w:rPr>
          <w:rFonts w:ascii="Times New Roman" w:hAnsi="Times New Roman" w:cs="Times New Roman"/>
          <w:sz w:val="24"/>
          <w:szCs w:val="24"/>
        </w:rPr>
        <w:t xml:space="preserve">covered wages. </w:t>
      </w:r>
      <w:r w:rsidR="00C91476">
        <w:rPr>
          <w:rFonts w:ascii="Times New Roman" w:hAnsi="Times New Roman" w:cs="Times New Roman"/>
          <w:sz w:val="24"/>
          <w:szCs w:val="24"/>
        </w:rPr>
        <w:t xml:space="preserve"> </w:t>
      </w:r>
      <w:r w:rsidR="005B4052">
        <w:rPr>
          <w:rFonts w:ascii="Times New Roman" w:hAnsi="Times New Roman" w:cs="Times New Roman"/>
          <w:sz w:val="24"/>
          <w:szCs w:val="24"/>
        </w:rPr>
        <w:t xml:space="preserve">The states 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determine the frequency of any future need for </w:t>
      </w:r>
      <w:r w:rsidR="00416E71">
        <w:rPr>
          <w:rFonts w:ascii="Times New Roman" w:hAnsi="Times New Roman" w:cs="Times New Roman"/>
          <w:sz w:val="24"/>
          <w:szCs w:val="24"/>
        </w:rPr>
        <w:t xml:space="preserve">pre-1987 </w:t>
      </w:r>
      <w:r w:rsidR="002534E3" w:rsidRPr="008334A7">
        <w:rPr>
          <w:rFonts w:ascii="Times New Roman" w:hAnsi="Times New Roman" w:cs="Times New Roman"/>
          <w:sz w:val="24"/>
          <w:szCs w:val="24"/>
        </w:rPr>
        <w:t>wage reports</w:t>
      </w:r>
      <w:r w:rsidR="008E20DB">
        <w:rPr>
          <w:rFonts w:ascii="Times New Roman" w:hAnsi="Times New Roman" w:cs="Times New Roman"/>
          <w:sz w:val="24"/>
          <w:szCs w:val="24"/>
        </w:rPr>
        <w:t xml:space="preserve"> and </w:t>
      </w:r>
      <w:r w:rsidR="00416E71">
        <w:rPr>
          <w:rFonts w:ascii="Times New Roman" w:hAnsi="Times New Roman" w:cs="Times New Roman"/>
          <w:sz w:val="24"/>
          <w:szCs w:val="24"/>
        </w:rPr>
        <w:t xml:space="preserve">this </w:t>
      </w:r>
      <w:r w:rsidR="008E20DB">
        <w:rPr>
          <w:rFonts w:ascii="Times New Roman" w:hAnsi="Times New Roman" w:cs="Times New Roman"/>
          <w:sz w:val="24"/>
          <w:szCs w:val="24"/>
        </w:rPr>
        <w:t>should be rare.</w:t>
      </w:r>
      <w:r w:rsidR="00416E71">
        <w:rPr>
          <w:rFonts w:ascii="Times New Roman" w:hAnsi="Times New Roman" w:cs="Times New Roman"/>
          <w:sz w:val="24"/>
          <w:szCs w:val="24"/>
        </w:rPr>
        <w:t xml:space="preserve"> </w:t>
      </w:r>
      <w:r w:rsidR="00C91476">
        <w:rPr>
          <w:rFonts w:ascii="Times New Roman" w:hAnsi="Times New Roman" w:cs="Times New Roman"/>
          <w:sz w:val="24"/>
          <w:szCs w:val="24"/>
        </w:rPr>
        <w:t xml:space="preserve"> 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There are no technical or legal obstacles </w:t>
      </w:r>
      <w:r w:rsidR="00C3302B" w:rsidRPr="008334A7">
        <w:rPr>
          <w:rFonts w:ascii="Times New Roman" w:hAnsi="Times New Roman" w:cs="Times New Roman"/>
          <w:sz w:val="24"/>
          <w:szCs w:val="24"/>
        </w:rPr>
        <w:t>to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 burden reduction.</w:t>
      </w:r>
    </w:p>
    <w:p w:rsidR="002534E3" w:rsidRPr="008334A7" w:rsidRDefault="002534E3" w:rsidP="00752FC3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</w:p>
    <w:p w:rsidR="00291BBC" w:rsidRPr="008334A7" w:rsidRDefault="002534E3" w:rsidP="00A32CAE">
      <w:pPr>
        <w:tabs>
          <w:tab w:val="left" w:pos="1800"/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7.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A32CAE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 xml:space="preserve">Special Circumstances </w:t>
      </w:r>
    </w:p>
    <w:p w:rsidR="002534E3" w:rsidRPr="008334A7" w:rsidRDefault="00291BBC" w:rsidP="00A32CAE">
      <w:pPr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There are no special circumstances that would cause SSA to collect this information in a </w:t>
      </w:r>
      <w:r w:rsidR="00752FC3">
        <w:rPr>
          <w:rFonts w:ascii="Times New Roman" w:hAnsi="Times New Roman" w:cs="Times New Roman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manner that is not consistent with </w:t>
      </w:r>
      <w:r w:rsidR="002534E3" w:rsidRPr="005B4052">
        <w:rPr>
          <w:rFonts w:ascii="Times New Roman" w:hAnsi="Times New Roman" w:cs="Times New Roman"/>
          <w:i/>
          <w:sz w:val="24"/>
          <w:szCs w:val="24"/>
        </w:rPr>
        <w:t>5 CFR 1320.5</w:t>
      </w:r>
      <w:r w:rsidR="002534E3" w:rsidRPr="008334A7">
        <w:rPr>
          <w:rFonts w:ascii="Times New Roman" w:hAnsi="Times New Roman" w:cs="Times New Roman"/>
          <w:sz w:val="24"/>
          <w:szCs w:val="24"/>
        </w:rPr>
        <w:t>.</w:t>
      </w:r>
    </w:p>
    <w:p w:rsidR="002534E3" w:rsidRPr="008334A7" w:rsidRDefault="002534E3" w:rsidP="0025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BDE" w:rsidRDefault="002534E3" w:rsidP="00A32CAE">
      <w:pPr>
        <w:tabs>
          <w:tab w:val="left" w:pos="1800"/>
          <w:tab w:val="left" w:pos="1980"/>
        </w:tabs>
        <w:spacing w:after="0"/>
        <w:ind w:left="135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8</w:t>
      </w:r>
      <w:r w:rsidRPr="008334A7">
        <w:rPr>
          <w:rFonts w:ascii="Times New Roman" w:hAnsi="Times New Roman" w:cs="Times New Roman"/>
          <w:b/>
          <w:sz w:val="24"/>
          <w:szCs w:val="24"/>
        </w:rPr>
        <w:t>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A32CAE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 xml:space="preserve">Solicitation of Public Comment or Other Consultations with the Public </w:t>
      </w:r>
    </w:p>
    <w:p w:rsidR="002534E3" w:rsidRPr="008334A7" w:rsidRDefault="00BD1A93" w:rsidP="005B4052">
      <w:pPr>
        <w:tabs>
          <w:tab w:val="left" w:pos="1980"/>
        </w:tabs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BD1A93">
        <w:rPr>
          <w:rFonts w:ascii="Times New Roman" w:hAnsi="Times New Roman" w:cs="Times New Roman"/>
          <w:sz w:val="24"/>
          <w:szCs w:val="24"/>
        </w:rPr>
        <w:t xml:space="preserve">The 60-day advance Federal Register Notice published on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4944DF">
        <w:rPr>
          <w:rFonts w:ascii="Times New Roman" w:hAnsi="Times New Roman" w:cs="Times New Roman"/>
          <w:sz w:val="24"/>
          <w:szCs w:val="24"/>
        </w:rPr>
        <w:t>9, 2018,</w:t>
      </w:r>
      <w:r w:rsidRPr="00BD1A93">
        <w:rPr>
          <w:rFonts w:ascii="Times New Roman" w:hAnsi="Times New Roman" w:cs="Times New Roman"/>
          <w:sz w:val="24"/>
          <w:szCs w:val="24"/>
        </w:rPr>
        <w:t xml:space="preserve"> at </w:t>
      </w:r>
      <w:r w:rsidR="004944DF">
        <w:rPr>
          <w:rFonts w:ascii="Times New Roman" w:hAnsi="Times New Roman" w:cs="Times New Roman"/>
          <w:sz w:val="24"/>
          <w:szCs w:val="24"/>
        </w:rPr>
        <w:t>83 FR 21328</w:t>
      </w:r>
      <w:r w:rsidRPr="00BD1A93">
        <w:rPr>
          <w:rFonts w:ascii="Times New Roman" w:hAnsi="Times New Roman" w:cs="Times New Roman"/>
          <w:sz w:val="24"/>
          <w:szCs w:val="24"/>
        </w:rPr>
        <w:t>, and w</w:t>
      </w:r>
      <w:r w:rsidR="008E20DB">
        <w:rPr>
          <w:rFonts w:ascii="Times New Roman" w:hAnsi="Times New Roman" w:cs="Times New Roman"/>
          <w:sz w:val="24"/>
          <w:szCs w:val="24"/>
        </w:rPr>
        <w:t xml:space="preserve">e received no public comments. </w:t>
      </w:r>
      <w:r w:rsidR="00C91476">
        <w:rPr>
          <w:rFonts w:ascii="Times New Roman" w:hAnsi="Times New Roman" w:cs="Times New Roman"/>
          <w:sz w:val="24"/>
          <w:szCs w:val="24"/>
        </w:rPr>
        <w:t xml:space="preserve"> </w:t>
      </w:r>
      <w:r w:rsidRPr="00BD1A93">
        <w:rPr>
          <w:rFonts w:ascii="Times New Roman" w:hAnsi="Times New Roman" w:cs="Times New Roman"/>
          <w:sz w:val="24"/>
          <w:szCs w:val="24"/>
        </w:rPr>
        <w:t>The 30-day FRN published on</w:t>
      </w:r>
      <w:r w:rsidR="005B4052">
        <w:rPr>
          <w:rFonts w:ascii="Times New Roman" w:hAnsi="Times New Roman" w:cs="Times New Roman"/>
          <w:sz w:val="24"/>
          <w:szCs w:val="24"/>
        </w:rPr>
        <w:t xml:space="preserve"> </w:t>
      </w:r>
      <w:r w:rsidR="008419C5">
        <w:rPr>
          <w:rFonts w:ascii="Times New Roman" w:hAnsi="Times New Roman" w:cs="Times New Roman"/>
          <w:sz w:val="24"/>
          <w:szCs w:val="24"/>
        </w:rPr>
        <w:t>July 26, 2018</w:t>
      </w:r>
      <w:r w:rsidR="005B4052">
        <w:rPr>
          <w:rFonts w:ascii="Times New Roman" w:hAnsi="Times New Roman" w:cs="Times New Roman"/>
          <w:sz w:val="24"/>
          <w:szCs w:val="24"/>
        </w:rPr>
        <w:t>,</w:t>
      </w:r>
      <w:r w:rsidR="00BB713A">
        <w:rPr>
          <w:rFonts w:ascii="Times New Roman" w:hAnsi="Times New Roman" w:cs="Times New Roman"/>
          <w:sz w:val="24"/>
          <w:szCs w:val="24"/>
        </w:rPr>
        <w:t xml:space="preserve"> </w:t>
      </w:r>
      <w:r w:rsidRPr="00BD1A93">
        <w:rPr>
          <w:rFonts w:ascii="Times New Roman" w:hAnsi="Times New Roman" w:cs="Times New Roman"/>
          <w:sz w:val="24"/>
          <w:szCs w:val="24"/>
        </w:rPr>
        <w:t>at</w:t>
      </w:r>
      <w:r w:rsidR="004944DF">
        <w:rPr>
          <w:rFonts w:ascii="Times New Roman" w:hAnsi="Times New Roman" w:cs="Times New Roman"/>
          <w:sz w:val="24"/>
          <w:szCs w:val="24"/>
        </w:rPr>
        <w:t xml:space="preserve"> 83 </w:t>
      </w:r>
      <w:r w:rsidR="00BB713A">
        <w:rPr>
          <w:rFonts w:ascii="Times New Roman" w:hAnsi="Times New Roman" w:cs="Times New Roman"/>
          <w:sz w:val="24"/>
          <w:szCs w:val="24"/>
        </w:rPr>
        <w:t xml:space="preserve">FR </w:t>
      </w:r>
      <w:r w:rsidR="008419C5">
        <w:rPr>
          <w:rFonts w:ascii="Times New Roman" w:hAnsi="Times New Roman" w:cs="Times New Roman"/>
          <w:sz w:val="24"/>
          <w:szCs w:val="24"/>
        </w:rPr>
        <w:t>35526</w:t>
      </w:r>
      <w:r w:rsidR="00C91476">
        <w:rPr>
          <w:rFonts w:ascii="Times New Roman" w:hAnsi="Times New Roman" w:cs="Times New Roman"/>
          <w:sz w:val="24"/>
          <w:szCs w:val="24"/>
        </w:rPr>
        <w:t xml:space="preserve">.  </w:t>
      </w:r>
      <w:r w:rsidRPr="00BD1A93">
        <w:rPr>
          <w:rFonts w:ascii="Times New Roman" w:hAnsi="Times New Roman" w:cs="Times New Roman"/>
          <w:sz w:val="24"/>
          <w:szCs w:val="24"/>
        </w:rPr>
        <w:t xml:space="preserve">If we receive any comments in response to this </w:t>
      </w:r>
      <w:r>
        <w:rPr>
          <w:rFonts w:ascii="Times New Roman" w:hAnsi="Times New Roman" w:cs="Times New Roman"/>
          <w:sz w:val="24"/>
          <w:szCs w:val="24"/>
        </w:rPr>
        <w:t>Notice, we will forward them to</w:t>
      </w:r>
      <w:r w:rsidR="00BB713A">
        <w:rPr>
          <w:rFonts w:ascii="Times New Roman" w:hAnsi="Times New Roman" w:cs="Times New Roman"/>
          <w:sz w:val="24"/>
          <w:szCs w:val="24"/>
        </w:rPr>
        <w:t xml:space="preserve"> </w:t>
      </w:r>
      <w:r w:rsidRPr="00BD1A93">
        <w:rPr>
          <w:rFonts w:ascii="Times New Roman" w:hAnsi="Times New Roman" w:cs="Times New Roman"/>
          <w:sz w:val="24"/>
          <w:szCs w:val="24"/>
        </w:rPr>
        <w:t xml:space="preserve">OMB.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60420" w:rsidRPr="008334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did not consult wit</w:t>
      </w:r>
      <w:r w:rsidR="005B4052">
        <w:rPr>
          <w:rFonts w:ascii="Times New Roman" w:hAnsi="Times New Roman" w:cs="Times New Roman"/>
          <w:sz w:val="24"/>
          <w:szCs w:val="24"/>
        </w:rPr>
        <w:t xml:space="preserve">h the public in the maintenance </w:t>
      </w:r>
      <w:r>
        <w:rPr>
          <w:rFonts w:ascii="Times New Roman" w:hAnsi="Times New Roman" w:cs="Times New Roman"/>
          <w:sz w:val="24"/>
          <w:szCs w:val="24"/>
        </w:rPr>
        <w:t>of this</w:t>
      </w:r>
      <w:r w:rsidR="00F43DED">
        <w:rPr>
          <w:rFonts w:ascii="Times New Roman" w:hAnsi="Times New Roman" w:cs="Times New Roman"/>
          <w:sz w:val="24"/>
          <w:szCs w:val="24"/>
        </w:rPr>
        <w:t xml:space="preserve"> regulation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4E3" w:rsidRPr="008334A7" w:rsidRDefault="002534E3" w:rsidP="0025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BDE" w:rsidRPr="008334A7" w:rsidRDefault="002534E3" w:rsidP="00A32CAE">
      <w:pPr>
        <w:tabs>
          <w:tab w:val="left" w:pos="1980"/>
        </w:tabs>
        <w:spacing w:after="0"/>
        <w:ind w:left="1800" w:hanging="45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9.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A32CAE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Pa</w:t>
      </w:r>
      <w:r w:rsidR="003F3BDE" w:rsidRPr="008334A7">
        <w:rPr>
          <w:rFonts w:ascii="Times New Roman" w:hAnsi="Times New Roman" w:cs="Times New Roman"/>
          <w:b/>
          <w:sz w:val="24"/>
          <w:szCs w:val="24"/>
        </w:rPr>
        <w:t xml:space="preserve">yments or Gifts to Respondents </w:t>
      </w:r>
    </w:p>
    <w:p w:rsidR="002534E3" w:rsidRPr="008334A7" w:rsidRDefault="003F3BDE" w:rsidP="00A32CAE">
      <w:pPr>
        <w:tabs>
          <w:tab w:val="left" w:pos="1980"/>
        </w:tabs>
        <w:spacing w:after="0"/>
        <w:ind w:left="1800" w:hanging="45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="00A32CAE">
        <w:rPr>
          <w:rFonts w:ascii="Times New Roman" w:hAnsi="Times New Roman" w:cs="Times New Roman"/>
          <w:b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SSA provides no payment or gifts to the respondents.</w:t>
      </w:r>
    </w:p>
    <w:p w:rsidR="002534E3" w:rsidRPr="008334A7" w:rsidRDefault="002534E3" w:rsidP="0025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BDE" w:rsidRPr="008334A7" w:rsidRDefault="002534E3" w:rsidP="00A32CAE">
      <w:pPr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10.</w:t>
      </w:r>
      <w:r w:rsidR="003F3BDE"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Assurances of Confidentiality</w:t>
      </w:r>
      <w:r w:rsidR="003F3BDE" w:rsidRPr="00833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4E3" w:rsidRPr="008334A7" w:rsidRDefault="003F3BDE" w:rsidP="00A32CAE">
      <w:pPr>
        <w:tabs>
          <w:tab w:val="left" w:pos="1800"/>
          <w:tab w:val="left" w:pos="1980"/>
        </w:tabs>
        <w:spacing w:after="0"/>
        <w:ind w:left="180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ab/>
      </w:r>
      <w:r w:rsidR="00A32CAE">
        <w:rPr>
          <w:rFonts w:ascii="Times New Roman" w:hAnsi="Times New Roman" w:cs="Times New Roman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We protect and hold confidential the information we are collecting in accordance with </w:t>
      </w:r>
      <w:r w:rsidR="00A32CAE">
        <w:rPr>
          <w:rFonts w:ascii="Times New Roman" w:hAnsi="Times New Roman" w:cs="Times New Roman"/>
          <w:sz w:val="24"/>
          <w:szCs w:val="24"/>
        </w:rPr>
        <w:tab/>
      </w:r>
      <w:r w:rsidR="002534E3" w:rsidRPr="005B4052">
        <w:rPr>
          <w:rFonts w:ascii="Times New Roman" w:hAnsi="Times New Roman" w:cs="Times New Roman"/>
          <w:i/>
          <w:sz w:val="24"/>
          <w:szCs w:val="24"/>
        </w:rPr>
        <w:t>42 U.S.C. 1306, 20 CFR 401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 and </w:t>
      </w:r>
      <w:r w:rsidR="002534E3" w:rsidRPr="005B4052">
        <w:rPr>
          <w:rFonts w:ascii="Times New Roman" w:hAnsi="Times New Roman" w:cs="Times New Roman"/>
          <w:i/>
          <w:sz w:val="24"/>
          <w:szCs w:val="24"/>
        </w:rPr>
        <w:t>402, 5 U.S.C. 552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 (Freedom of Information Act), </w:t>
      </w:r>
      <w:r w:rsidR="002534E3" w:rsidRPr="005B4052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A32CAE" w:rsidRPr="005B4052">
        <w:rPr>
          <w:rFonts w:ascii="Times New Roman" w:hAnsi="Times New Roman" w:cs="Times New Roman"/>
          <w:i/>
          <w:sz w:val="24"/>
          <w:szCs w:val="24"/>
        </w:rPr>
        <w:tab/>
      </w:r>
      <w:r w:rsidR="002534E3" w:rsidRPr="005B4052">
        <w:rPr>
          <w:rFonts w:ascii="Times New Roman" w:hAnsi="Times New Roman" w:cs="Times New Roman"/>
          <w:i/>
          <w:sz w:val="24"/>
          <w:szCs w:val="24"/>
        </w:rPr>
        <w:t>U.S.C. 552a</w:t>
      </w:r>
      <w:r w:rsidR="002534E3" w:rsidRPr="008334A7">
        <w:rPr>
          <w:rFonts w:ascii="Times New Roman" w:hAnsi="Times New Roman" w:cs="Times New Roman"/>
          <w:sz w:val="24"/>
          <w:szCs w:val="24"/>
        </w:rPr>
        <w:t xml:space="preserve"> (Privacy Act of 1974) and OMB Circular No. A-130.</w:t>
      </w:r>
    </w:p>
    <w:p w:rsidR="002534E3" w:rsidRPr="008334A7" w:rsidRDefault="002534E3" w:rsidP="003F3BDE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F3BDE" w:rsidRPr="008334A7" w:rsidRDefault="002534E3" w:rsidP="00A32CAE">
      <w:pPr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11.</w:t>
      </w:r>
      <w:r w:rsidR="003F3BDE" w:rsidRPr="008334A7">
        <w:rPr>
          <w:rFonts w:ascii="Times New Roman" w:hAnsi="Times New Roman" w:cs="Times New Roman"/>
          <w:sz w:val="24"/>
          <w:szCs w:val="24"/>
        </w:rPr>
        <w:t xml:space="preserve">   </w:t>
      </w:r>
      <w:r w:rsidR="00A32CAE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 xml:space="preserve">Justification for Sensitive Questions </w:t>
      </w:r>
    </w:p>
    <w:p w:rsidR="002534E3" w:rsidRPr="008334A7" w:rsidRDefault="003F3BDE" w:rsidP="00A32CAE">
      <w:pPr>
        <w:tabs>
          <w:tab w:val="left" w:pos="1890"/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A32CAE">
        <w:rPr>
          <w:rFonts w:ascii="Times New Roman" w:hAnsi="Times New Roman" w:cs="Times New Roman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The information collection does not contain any questions of a sensitive nature.</w:t>
      </w:r>
    </w:p>
    <w:p w:rsidR="00C3302B" w:rsidRDefault="00C3302B" w:rsidP="0025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4D2" w:rsidRDefault="002534E3" w:rsidP="00CF04D2">
      <w:pPr>
        <w:tabs>
          <w:tab w:val="left" w:pos="1980"/>
        </w:tabs>
        <w:spacing w:after="0"/>
        <w:ind w:left="1440" w:right="-270" w:hanging="9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>12.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 xml:space="preserve">Estimates of Public Report Burden </w:t>
      </w:r>
      <w:r w:rsidR="003F3BDE" w:rsidRPr="008334A7">
        <w:rPr>
          <w:rFonts w:ascii="Times New Roman" w:hAnsi="Times New Roman" w:cs="Times New Roman"/>
          <w:b/>
          <w:sz w:val="24"/>
          <w:szCs w:val="24"/>
        </w:rPr>
        <w:tab/>
      </w:r>
    </w:p>
    <w:p w:rsidR="00CF04D2" w:rsidRDefault="00CF04D2" w:rsidP="00CF04D2">
      <w:pPr>
        <w:tabs>
          <w:tab w:val="left" w:pos="1980"/>
        </w:tabs>
        <w:spacing w:after="0"/>
        <w:ind w:left="198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chart shows the burden per regulatory citation:</w:t>
      </w:r>
    </w:p>
    <w:p w:rsidR="00CF04D2" w:rsidRPr="00CF04D2" w:rsidRDefault="00CF04D2" w:rsidP="00CF04D2">
      <w:pPr>
        <w:tabs>
          <w:tab w:val="left" w:pos="1980"/>
        </w:tabs>
        <w:spacing w:after="0"/>
        <w:ind w:left="1980" w:right="-2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623" w:tblpY="110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1350"/>
        <w:gridCol w:w="1260"/>
        <w:gridCol w:w="1350"/>
      </w:tblGrid>
      <w:tr w:rsidR="004904E9" w:rsidRPr="008334A7" w:rsidTr="00B276E5">
        <w:trPr>
          <w:trHeight w:val="1160"/>
        </w:trPr>
        <w:tc>
          <w:tcPr>
            <w:tcW w:w="252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>Regulation Section</w:t>
            </w:r>
          </w:p>
        </w:tc>
        <w:tc>
          <w:tcPr>
            <w:tcW w:w="162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</w:t>
            </w:r>
          </w:p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Respondents</w:t>
            </w:r>
          </w:p>
        </w:tc>
        <w:tc>
          <w:tcPr>
            <w:tcW w:w="135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of</w:t>
            </w: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Response</w:t>
            </w:r>
          </w:p>
        </w:tc>
        <w:tc>
          <w:tcPr>
            <w:tcW w:w="126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</w:t>
            </w: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Burden</w:t>
            </w:r>
          </w:p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>Per  Response</w:t>
            </w: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(Hours )</w:t>
            </w:r>
          </w:p>
        </w:tc>
        <w:tc>
          <w:tcPr>
            <w:tcW w:w="135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>Estimated Total Annual</w:t>
            </w: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Burden</w:t>
            </w: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(Hours)</w:t>
            </w:r>
          </w:p>
        </w:tc>
      </w:tr>
      <w:tr w:rsidR="004904E9" w:rsidRPr="008334A7" w:rsidTr="00B276E5">
        <w:tc>
          <w:tcPr>
            <w:tcW w:w="252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sz w:val="24"/>
                <w:szCs w:val="24"/>
              </w:rPr>
              <w:t>404. 1204 (a) &amp; (b)</w:t>
            </w:r>
          </w:p>
        </w:tc>
        <w:tc>
          <w:tcPr>
            <w:tcW w:w="1620" w:type="dxa"/>
          </w:tcPr>
          <w:p w:rsidR="004904E9" w:rsidRPr="008334A7" w:rsidRDefault="004904E9" w:rsidP="004226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:rsidR="004904E9" w:rsidRPr="008334A7" w:rsidRDefault="00422697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904E9" w:rsidRPr="008334A7" w:rsidRDefault="00BF7F9B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4904E9" w:rsidRPr="008334A7" w:rsidRDefault="004904E9" w:rsidP="004226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904E9" w:rsidRPr="008334A7" w:rsidTr="00B276E5">
        <w:tc>
          <w:tcPr>
            <w:tcW w:w="252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sz w:val="24"/>
                <w:szCs w:val="24"/>
              </w:rPr>
              <w:t>404.1215</w:t>
            </w:r>
          </w:p>
        </w:tc>
        <w:tc>
          <w:tcPr>
            <w:tcW w:w="1620" w:type="dxa"/>
          </w:tcPr>
          <w:p w:rsidR="004904E9" w:rsidRPr="008334A7" w:rsidRDefault="004904E9" w:rsidP="004226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:rsidR="004904E9" w:rsidRPr="008334A7" w:rsidRDefault="00422697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904E9" w:rsidRPr="008334A7" w:rsidRDefault="00BF7F9B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:rsidR="004904E9" w:rsidRPr="008334A7" w:rsidRDefault="004904E9" w:rsidP="004226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904E9" w:rsidRPr="008334A7" w:rsidTr="00B276E5">
        <w:trPr>
          <w:trHeight w:val="176"/>
        </w:trPr>
        <w:tc>
          <w:tcPr>
            <w:tcW w:w="252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404. 1216 (a) &amp; (b)</w:t>
            </w:r>
          </w:p>
        </w:tc>
        <w:tc>
          <w:tcPr>
            <w:tcW w:w="1620" w:type="dxa"/>
          </w:tcPr>
          <w:p w:rsidR="004904E9" w:rsidRPr="008334A7" w:rsidRDefault="00422697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:rsidR="004904E9" w:rsidRPr="008334A7" w:rsidRDefault="00422697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904E9" w:rsidRPr="008334A7" w:rsidRDefault="00BF7F9B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:rsidR="004904E9" w:rsidRPr="008334A7" w:rsidRDefault="00422697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904E9" w:rsidRPr="008334A7" w:rsidTr="00B276E5">
        <w:trPr>
          <w:trHeight w:val="176"/>
        </w:trPr>
        <w:tc>
          <w:tcPr>
            <w:tcW w:w="2520" w:type="dxa"/>
          </w:tcPr>
          <w:p w:rsidR="004904E9" w:rsidRPr="008334A7" w:rsidRDefault="004904E9" w:rsidP="00B27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A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4904E9" w:rsidRPr="008334A7" w:rsidRDefault="00422697" w:rsidP="00B276E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350" w:type="dxa"/>
          </w:tcPr>
          <w:p w:rsidR="004904E9" w:rsidRPr="008334A7" w:rsidRDefault="004904E9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04E9" w:rsidRPr="008334A7" w:rsidRDefault="004904E9" w:rsidP="00B276E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904E9" w:rsidRPr="008334A7" w:rsidRDefault="00422697" w:rsidP="00B276E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2534E3" w:rsidRPr="008334A7" w:rsidRDefault="002534E3" w:rsidP="0025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D0D" w:rsidRPr="00CF04D2" w:rsidRDefault="00CF04D2" w:rsidP="00CF04D2">
      <w:pPr>
        <w:pStyle w:val="ListParagraph"/>
        <w:tabs>
          <w:tab w:val="left" w:pos="1980"/>
        </w:tabs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BF154F" w:rsidRDefault="00BF154F" w:rsidP="00BF154F">
      <w:pPr>
        <w:pStyle w:val="ListParagraph"/>
        <w:ind w:left="1980"/>
        <w:rPr>
          <w:rFonts w:ascii="Times New Roman" w:hAnsi="Times New Roman"/>
        </w:rPr>
      </w:pPr>
      <w:r w:rsidRPr="00BF154F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total burden for this ICR is 130 </w:t>
      </w:r>
      <w:r w:rsidRPr="00BF154F">
        <w:rPr>
          <w:rFonts w:ascii="Times New Roman" w:hAnsi="Times New Roman"/>
        </w:rPr>
        <w:t xml:space="preserve">hours.  We </w:t>
      </w:r>
      <w:r>
        <w:rPr>
          <w:rFonts w:ascii="Times New Roman" w:hAnsi="Times New Roman"/>
        </w:rPr>
        <w:t xml:space="preserve">based these figures </w:t>
      </w:r>
      <w:r w:rsidRPr="00BF154F">
        <w:rPr>
          <w:rFonts w:ascii="Times New Roman" w:hAnsi="Times New Roman"/>
        </w:rPr>
        <w:t xml:space="preserve">on current management </w:t>
      </w:r>
      <w:r w:rsidR="00704427">
        <w:rPr>
          <w:rFonts w:ascii="Times New Roman" w:hAnsi="Times New Roman"/>
        </w:rPr>
        <w:t xml:space="preserve">information </w:t>
      </w:r>
      <w:r w:rsidRPr="00BF154F">
        <w:rPr>
          <w:rFonts w:ascii="Times New Roman" w:hAnsi="Times New Roman"/>
        </w:rPr>
        <w:t xml:space="preserve">data.  This figure represents burden hours, and </w:t>
      </w:r>
      <w:r>
        <w:rPr>
          <w:rFonts w:ascii="Times New Roman" w:hAnsi="Times New Roman"/>
        </w:rPr>
        <w:t xml:space="preserve">we </w:t>
      </w:r>
      <w:r w:rsidRPr="00BF154F">
        <w:rPr>
          <w:rFonts w:ascii="Times New Roman" w:hAnsi="Times New Roman"/>
        </w:rPr>
        <w:t>did not calculate a separate cost burden.</w:t>
      </w:r>
    </w:p>
    <w:p w:rsidR="000C1820" w:rsidRDefault="000C1820" w:rsidP="00BF154F">
      <w:pPr>
        <w:pStyle w:val="ListParagraph"/>
        <w:ind w:left="1980"/>
        <w:rPr>
          <w:rFonts w:ascii="Times New Roman" w:hAnsi="Times New Roman"/>
        </w:rPr>
      </w:pPr>
    </w:p>
    <w:p w:rsidR="003F3BDE" w:rsidRPr="008334A7" w:rsidRDefault="002534E3" w:rsidP="00DB3712">
      <w:pPr>
        <w:tabs>
          <w:tab w:val="left" w:pos="1350"/>
          <w:tab w:val="left" w:pos="1440"/>
          <w:tab w:val="left" w:pos="1800"/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53717A">
        <w:rPr>
          <w:rFonts w:ascii="Times New Roman" w:hAnsi="Times New Roman" w:cs="Times New Roman"/>
          <w:sz w:val="24"/>
          <w:szCs w:val="24"/>
        </w:rPr>
        <w:t>13.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="00DB3712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Cost to Respondents</w:t>
      </w:r>
      <w:r w:rsidR="003F3BDE" w:rsidRPr="008334A7">
        <w:rPr>
          <w:rFonts w:ascii="Times New Roman" w:hAnsi="Times New Roman" w:cs="Times New Roman"/>
          <w:sz w:val="24"/>
          <w:szCs w:val="24"/>
        </w:rPr>
        <w:t xml:space="preserve"> </w:t>
      </w:r>
      <w:r w:rsidR="003F3BDE" w:rsidRPr="008334A7">
        <w:rPr>
          <w:rFonts w:ascii="Times New Roman" w:hAnsi="Times New Roman" w:cs="Times New Roman"/>
          <w:sz w:val="24"/>
          <w:szCs w:val="24"/>
        </w:rPr>
        <w:tab/>
      </w:r>
      <w:r w:rsidR="003F3BDE" w:rsidRPr="008334A7">
        <w:rPr>
          <w:rFonts w:ascii="Times New Roman" w:hAnsi="Times New Roman" w:cs="Times New Roman"/>
          <w:sz w:val="24"/>
          <w:szCs w:val="24"/>
        </w:rPr>
        <w:tab/>
      </w:r>
    </w:p>
    <w:p w:rsidR="002534E3" w:rsidRDefault="003F3BDE" w:rsidP="00DB3712">
      <w:pPr>
        <w:tabs>
          <w:tab w:val="left" w:pos="1350"/>
          <w:tab w:val="left" w:pos="1440"/>
          <w:tab w:val="left" w:pos="1800"/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="00DB3712">
        <w:rPr>
          <w:rFonts w:ascii="Times New Roman" w:hAnsi="Times New Roman" w:cs="Times New Roman"/>
          <w:b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There is no known cost burden to the respondents.</w:t>
      </w:r>
    </w:p>
    <w:p w:rsidR="000C1820" w:rsidRDefault="000C1820" w:rsidP="00DB3712">
      <w:pPr>
        <w:tabs>
          <w:tab w:val="left" w:pos="1350"/>
          <w:tab w:val="left" w:pos="1440"/>
          <w:tab w:val="left" w:pos="1800"/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</w:p>
    <w:p w:rsidR="003F3BDE" w:rsidRPr="008334A7" w:rsidRDefault="002534E3" w:rsidP="00DB3712">
      <w:pPr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53717A">
        <w:rPr>
          <w:rFonts w:ascii="Times New Roman" w:hAnsi="Times New Roman" w:cs="Times New Roman"/>
          <w:sz w:val="24"/>
          <w:szCs w:val="24"/>
        </w:rPr>
        <w:t>14.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 xml:space="preserve">Annual Cost to the Federal Government </w:t>
      </w:r>
    </w:p>
    <w:p w:rsidR="00914D0D" w:rsidRPr="00914D0D" w:rsidRDefault="00914D0D" w:rsidP="00914D0D">
      <w:pPr>
        <w:tabs>
          <w:tab w:val="left" w:pos="735"/>
          <w:tab w:val="left" w:pos="1980"/>
        </w:tabs>
        <w:ind w:left="1980"/>
        <w:rPr>
          <w:rFonts w:ascii="Times New Roman" w:hAnsi="Times New Roman"/>
          <w:sz w:val="24"/>
          <w:szCs w:val="24"/>
        </w:rPr>
      </w:pPr>
      <w:r w:rsidRPr="00914D0D">
        <w:rPr>
          <w:rFonts w:ascii="Times New Roman" w:hAnsi="Times New Roman"/>
          <w:color w:val="000000"/>
          <w:sz w:val="24"/>
          <w:szCs w:val="24"/>
        </w:rPr>
        <w:t>The annual cost to the Federal Government is approximately $</w:t>
      </w:r>
      <w:r>
        <w:rPr>
          <w:rFonts w:ascii="Times New Roman" w:hAnsi="Times New Roman"/>
          <w:color w:val="000000"/>
          <w:sz w:val="24"/>
          <w:szCs w:val="24"/>
        </w:rPr>
        <w:t>188,448</w:t>
      </w:r>
      <w:r w:rsidRPr="00914D0D">
        <w:rPr>
          <w:rFonts w:ascii="Times New Roman" w:hAnsi="Times New Roman"/>
          <w:color w:val="000000"/>
          <w:sz w:val="24"/>
          <w:szCs w:val="24"/>
        </w:rPr>
        <w:t>.  This estimate accounts for costs from the following areas</w:t>
      </w:r>
      <w:r w:rsidR="005934F3">
        <w:rPr>
          <w:rFonts w:ascii="Times New Roman" w:hAnsi="Times New Roman"/>
          <w:color w:val="000000"/>
          <w:sz w:val="24"/>
          <w:szCs w:val="24"/>
        </w:rPr>
        <w:t>:  (1</w:t>
      </w:r>
      <w:r w:rsidRPr="00914D0D">
        <w:rPr>
          <w:rFonts w:ascii="Times New Roman" w:hAnsi="Times New Roman"/>
          <w:color w:val="000000"/>
          <w:sz w:val="24"/>
          <w:szCs w:val="24"/>
        </w:rPr>
        <w:t>) SSA employee (e.g., field office, 800 number, DDS staff) information collection and processing time; and (</w:t>
      </w:r>
      <w:r w:rsidR="005934F3">
        <w:rPr>
          <w:rFonts w:ascii="Times New Roman" w:hAnsi="Times New Roman"/>
          <w:color w:val="000000"/>
          <w:sz w:val="24"/>
          <w:szCs w:val="24"/>
        </w:rPr>
        <w:t>2</w:t>
      </w:r>
      <w:r w:rsidRPr="00914D0D">
        <w:rPr>
          <w:rFonts w:ascii="Times New Roman" w:hAnsi="Times New Roman"/>
          <w:color w:val="000000"/>
          <w:sz w:val="24"/>
          <w:szCs w:val="24"/>
        </w:rPr>
        <w:t>) systems development, updating, and maintenance costs.</w:t>
      </w:r>
    </w:p>
    <w:p w:rsidR="003F3BDE" w:rsidRPr="008334A7" w:rsidRDefault="002534E3" w:rsidP="0053717A">
      <w:pPr>
        <w:tabs>
          <w:tab w:val="left" w:pos="-720"/>
          <w:tab w:val="left" w:pos="1350"/>
          <w:tab w:val="left" w:pos="1980"/>
        </w:tabs>
        <w:suppressAutoHyphens/>
        <w:spacing w:after="0"/>
        <w:ind w:left="1350" w:hanging="1440"/>
        <w:rPr>
          <w:rFonts w:ascii="Times New Roman" w:hAnsi="Times New Roman" w:cs="Times New Roman"/>
          <w:b/>
          <w:sz w:val="24"/>
          <w:szCs w:val="24"/>
        </w:rPr>
      </w:pPr>
      <w:r w:rsidRPr="008334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3BDE" w:rsidRPr="0053717A">
        <w:rPr>
          <w:rFonts w:ascii="Times New Roman" w:hAnsi="Times New Roman" w:cs="Times New Roman"/>
          <w:sz w:val="24"/>
          <w:szCs w:val="24"/>
        </w:rPr>
        <w:tab/>
      </w:r>
      <w:r w:rsidRPr="0053717A">
        <w:rPr>
          <w:rFonts w:ascii="Times New Roman" w:hAnsi="Times New Roman" w:cs="Times New Roman"/>
          <w:sz w:val="24"/>
          <w:szCs w:val="24"/>
        </w:rPr>
        <w:t xml:space="preserve"> 15.</w:t>
      </w:r>
      <w:r w:rsidR="003F3BDE" w:rsidRPr="008334A7">
        <w:rPr>
          <w:rFonts w:ascii="Times New Roman" w:hAnsi="Times New Roman" w:cs="Times New Roman"/>
          <w:sz w:val="24"/>
          <w:szCs w:val="24"/>
        </w:rPr>
        <w:t xml:space="preserve">  </w:t>
      </w:r>
      <w:r w:rsidR="0053717A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>Program Changes or Adjustments</w:t>
      </w:r>
      <w:r w:rsidR="003F3BDE" w:rsidRPr="008334A7">
        <w:rPr>
          <w:rFonts w:ascii="Times New Roman" w:hAnsi="Times New Roman" w:cs="Times New Roman"/>
          <w:b/>
          <w:sz w:val="24"/>
          <w:szCs w:val="24"/>
        </w:rPr>
        <w:t xml:space="preserve"> to the Information Collection </w:t>
      </w:r>
    </w:p>
    <w:p w:rsidR="002534E3" w:rsidRPr="0053717A" w:rsidRDefault="003F3BDE" w:rsidP="0053717A">
      <w:pPr>
        <w:tabs>
          <w:tab w:val="left" w:pos="-720"/>
          <w:tab w:val="left" w:pos="1980"/>
        </w:tabs>
        <w:suppressAutoHyphens/>
        <w:spacing w:after="0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="0053717A">
        <w:rPr>
          <w:rFonts w:ascii="Times New Roman" w:hAnsi="Times New Roman" w:cs="Times New Roman"/>
          <w:b/>
          <w:sz w:val="24"/>
          <w:szCs w:val="24"/>
        </w:rPr>
        <w:tab/>
      </w:r>
      <w:r w:rsidR="0053717A" w:rsidRPr="0053717A">
        <w:rPr>
          <w:rFonts w:ascii="Times New Roman" w:hAnsi="Times New Roman" w:cs="Times New Roman"/>
          <w:sz w:val="24"/>
          <w:szCs w:val="24"/>
        </w:rPr>
        <w:t>There are no changes to the public reporting burden.</w:t>
      </w:r>
    </w:p>
    <w:p w:rsidR="0053717A" w:rsidRPr="0053717A" w:rsidRDefault="0053717A" w:rsidP="0053717A">
      <w:pPr>
        <w:tabs>
          <w:tab w:val="left" w:pos="-720"/>
        </w:tabs>
        <w:suppressAutoHyphens/>
        <w:spacing w:after="0"/>
        <w:ind w:left="1800" w:hanging="1440"/>
        <w:rPr>
          <w:rFonts w:ascii="Times New Roman" w:hAnsi="Times New Roman" w:cs="Times New Roman"/>
          <w:sz w:val="24"/>
          <w:szCs w:val="24"/>
        </w:rPr>
      </w:pPr>
    </w:p>
    <w:p w:rsidR="003F3BDE" w:rsidRPr="008334A7" w:rsidRDefault="002534E3" w:rsidP="0053717A">
      <w:pPr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b/>
          <w:sz w:val="24"/>
          <w:szCs w:val="24"/>
        </w:rPr>
      </w:pPr>
      <w:r w:rsidRPr="0053717A">
        <w:rPr>
          <w:rFonts w:ascii="Times New Roman" w:hAnsi="Times New Roman" w:cs="Times New Roman"/>
          <w:sz w:val="24"/>
          <w:szCs w:val="24"/>
        </w:rPr>
        <w:t>16.</w:t>
      </w:r>
      <w:r w:rsidR="003F3BDE" w:rsidRPr="008334A7">
        <w:rPr>
          <w:rFonts w:ascii="Times New Roman" w:hAnsi="Times New Roman" w:cs="Times New Roman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 xml:space="preserve">Plans for Publication </w:t>
      </w:r>
      <w:r w:rsidR="003F3BDE" w:rsidRPr="008334A7">
        <w:rPr>
          <w:rFonts w:ascii="Times New Roman" w:hAnsi="Times New Roman" w:cs="Times New Roman"/>
          <w:b/>
          <w:sz w:val="24"/>
          <w:szCs w:val="24"/>
        </w:rPr>
        <w:t xml:space="preserve">Information Collection Results </w:t>
      </w:r>
    </w:p>
    <w:p w:rsidR="002534E3" w:rsidRPr="008334A7" w:rsidRDefault="003F3BDE" w:rsidP="0053717A">
      <w:pPr>
        <w:tabs>
          <w:tab w:val="left" w:pos="1800"/>
          <w:tab w:val="left" w:pos="1980"/>
        </w:tabs>
        <w:spacing w:after="0"/>
        <w:ind w:left="1440" w:hanging="90"/>
        <w:rPr>
          <w:rFonts w:ascii="Times New Roman" w:hAnsi="Times New Roman" w:cs="Times New Roman"/>
          <w:sz w:val="24"/>
          <w:szCs w:val="24"/>
        </w:rPr>
      </w:pP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z w:val="24"/>
          <w:szCs w:val="24"/>
        </w:rPr>
        <w:tab/>
      </w:r>
      <w:r w:rsidR="0053717A">
        <w:rPr>
          <w:rFonts w:ascii="Times New Roman" w:hAnsi="Times New Roman" w:cs="Times New Roman"/>
          <w:b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SSA will not publish the results of the information collection.</w:t>
      </w:r>
    </w:p>
    <w:p w:rsidR="002534E3" w:rsidRPr="008334A7" w:rsidRDefault="002534E3" w:rsidP="0025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BDE" w:rsidRPr="008334A7" w:rsidRDefault="002534E3" w:rsidP="0053717A">
      <w:pPr>
        <w:widowControl w:val="0"/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napToGrid w:val="0"/>
          <w:sz w:val="24"/>
          <w:szCs w:val="24"/>
        </w:rPr>
      </w:pPr>
      <w:r w:rsidRPr="0053717A">
        <w:rPr>
          <w:rFonts w:ascii="Times New Roman" w:hAnsi="Times New Roman" w:cs="Times New Roman"/>
          <w:snapToGrid w:val="0"/>
          <w:sz w:val="24"/>
          <w:szCs w:val="24"/>
        </w:rPr>
        <w:t>17</w:t>
      </w:r>
      <w:r w:rsidR="003F3BDE" w:rsidRPr="0053717A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="003F3BDE" w:rsidRPr="008334A7">
        <w:rPr>
          <w:rFonts w:ascii="Times New Roman" w:hAnsi="Times New Roman" w:cs="Times New Roman"/>
          <w:b/>
          <w:i/>
          <w:snapToGrid w:val="0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napToGrid w:val="0"/>
          <w:sz w:val="24"/>
          <w:szCs w:val="24"/>
        </w:rPr>
        <w:t>Displaying the OMB Expiration Date</w:t>
      </w:r>
      <w:r w:rsidR="003F3BDE" w:rsidRPr="008334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534E3" w:rsidRPr="008334A7" w:rsidRDefault="003F3BDE" w:rsidP="0053717A">
      <w:pPr>
        <w:widowControl w:val="0"/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napToGrid w:val="0"/>
          <w:sz w:val="24"/>
          <w:szCs w:val="24"/>
        </w:rPr>
      </w:pPr>
      <w:r w:rsidRPr="008334A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8334A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napToGrid w:val="0"/>
          <w:sz w:val="24"/>
          <w:szCs w:val="24"/>
        </w:rPr>
        <w:t xml:space="preserve">SSA is not requesting an exemption from the requirement to display an expiration </w:t>
      </w:r>
      <w:r w:rsidRPr="008334A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napToGrid w:val="0"/>
          <w:sz w:val="24"/>
          <w:szCs w:val="24"/>
        </w:rPr>
        <w:t>date.</w:t>
      </w:r>
    </w:p>
    <w:p w:rsidR="002534E3" w:rsidRPr="008334A7" w:rsidRDefault="002534E3" w:rsidP="0025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18F" w:rsidRPr="008334A7" w:rsidRDefault="002534E3" w:rsidP="0053717A">
      <w:pPr>
        <w:widowControl w:val="0"/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napToGrid w:val="0"/>
          <w:sz w:val="24"/>
          <w:szCs w:val="24"/>
        </w:rPr>
      </w:pPr>
      <w:r w:rsidRPr="0053717A">
        <w:rPr>
          <w:rFonts w:ascii="Times New Roman" w:hAnsi="Times New Roman" w:cs="Times New Roman"/>
          <w:snapToGrid w:val="0"/>
          <w:sz w:val="24"/>
          <w:szCs w:val="24"/>
        </w:rPr>
        <w:t>18.</w:t>
      </w:r>
      <w:r w:rsidR="0053717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8334A7">
        <w:rPr>
          <w:rFonts w:ascii="Times New Roman" w:hAnsi="Times New Roman" w:cs="Times New Roman"/>
          <w:b/>
          <w:snapToGrid w:val="0"/>
          <w:sz w:val="24"/>
          <w:szCs w:val="24"/>
        </w:rPr>
        <w:t>Exception to Certification Statement</w:t>
      </w:r>
      <w:r w:rsidR="00B5218F" w:rsidRPr="008334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534E3" w:rsidRPr="008334A7" w:rsidRDefault="00B5218F" w:rsidP="0053717A">
      <w:pPr>
        <w:widowControl w:val="0"/>
        <w:tabs>
          <w:tab w:val="left" w:pos="1980"/>
        </w:tabs>
        <w:spacing w:after="0"/>
        <w:ind w:left="1440" w:hanging="90"/>
        <w:rPr>
          <w:rFonts w:ascii="Times New Roman" w:hAnsi="Times New Roman" w:cs="Times New Roman"/>
          <w:snapToGrid w:val="0"/>
          <w:sz w:val="24"/>
          <w:szCs w:val="24"/>
        </w:rPr>
      </w:pPr>
      <w:r w:rsidRPr="008334A7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8334A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napToGrid w:val="0"/>
          <w:sz w:val="24"/>
          <w:szCs w:val="24"/>
        </w:rPr>
        <w:t xml:space="preserve">SSA is not requesting an exception to the certification requirements at </w:t>
      </w:r>
      <w:r w:rsidR="002534E3" w:rsidRPr="005B4052">
        <w:rPr>
          <w:rFonts w:ascii="Times New Roman" w:hAnsi="Times New Roman" w:cs="Times New Roman"/>
          <w:i/>
          <w:snapToGrid w:val="0"/>
          <w:sz w:val="24"/>
          <w:szCs w:val="24"/>
        </w:rPr>
        <w:t>5 CFR 1320.9</w:t>
      </w:r>
      <w:r w:rsidR="002534E3" w:rsidRPr="008334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334A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napToGrid w:val="0"/>
          <w:sz w:val="24"/>
          <w:szCs w:val="24"/>
        </w:rPr>
        <w:t xml:space="preserve">and related provisions at </w:t>
      </w:r>
      <w:r w:rsidR="002534E3" w:rsidRPr="005B4052">
        <w:rPr>
          <w:rFonts w:ascii="Times New Roman" w:hAnsi="Times New Roman" w:cs="Times New Roman"/>
          <w:i/>
          <w:snapToGrid w:val="0"/>
          <w:sz w:val="24"/>
          <w:szCs w:val="24"/>
        </w:rPr>
        <w:t>5 CFR 1320.8(b)(3)</w:t>
      </w:r>
      <w:r w:rsidR="002534E3" w:rsidRPr="008334A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534E3" w:rsidRPr="008334A7" w:rsidRDefault="002534E3" w:rsidP="0053717A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534E3" w:rsidRPr="0053717A" w:rsidRDefault="002534E3" w:rsidP="0053717A">
      <w:pPr>
        <w:spacing w:after="0"/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17A">
        <w:rPr>
          <w:rFonts w:ascii="Times New Roman" w:hAnsi="Times New Roman" w:cs="Times New Roman"/>
          <w:b/>
          <w:sz w:val="24"/>
          <w:szCs w:val="24"/>
        </w:rPr>
        <w:t>B</w:t>
      </w:r>
      <w:r w:rsidRPr="008334A7">
        <w:rPr>
          <w:rFonts w:ascii="Times New Roman" w:hAnsi="Times New Roman" w:cs="Times New Roman"/>
          <w:sz w:val="24"/>
          <w:szCs w:val="24"/>
        </w:rPr>
        <w:t>.</w:t>
      </w:r>
      <w:r w:rsidRPr="008334A7">
        <w:rPr>
          <w:rFonts w:ascii="Times New Roman" w:hAnsi="Times New Roman" w:cs="Times New Roman"/>
          <w:sz w:val="24"/>
          <w:szCs w:val="24"/>
        </w:rPr>
        <w:tab/>
      </w:r>
      <w:r w:rsidRPr="0053717A">
        <w:rPr>
          <w:rFonts w:ascii="Times New Roman" w:hAnsi="Times New Roman" w:cs="Times New Roman"/>
          <w:b/>
          <w:sz w:val="24"/>
          <w:szCs w:val="24"/>
          <w:u w:val="single"/>
        </w:rPr>
        <w:t>Collections of Information Employing Statistical Methods</w:t>
      </w:r>
    </w:p>
    <w:p w:rsidR="002534E3" w:rsidRPr="0053717A" w:rsidRDefault="002534E3" w:rsidP="002534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04C6" w:rsidRPr="008334A7" w:rsidRDefault="0053717A" w:rsidP="0053717A">
      <w:pPr>
        <w:tabs>
          <w:tab w:val="left" w:pos="189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34E3" w:rsidRPr="008334A7">
        <w:rPr>
          <w:rFonts w:ascii="Times New Roman" w:hAnsi="Times New Roman" w:cs="Times New Roman"/>
          <w:sz w:val="24"/>
          <w:szCs w:val="24"/>
        </w:rPr>
        <w:t>SSA did not use statistical methods for this information collection.</w:t>
      </w:r>
    </w:p>
    <w:sectPr w:rsidR="00E904C6" w:rsidRPr="008334A7" w:rsidSect="00752FC3">
      <w:headerReference w:type="default" r:id="rId9"/>
      <w:footerReference w:type="default" r:id="rId10"/>
      <w:pgSz w:w="12240" w:h="15840"/>
      <w:pgMar w:top="1440" w:right="117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B3" w:rsidRDefault="005A19B3" w:rsidP="00B276E5">
      <w:pPr>
        <w:spacing w:after="0"/>
      </w:pPr>
      <w:r>
        <w:separator/>
      </w:r>
    </w:p>
  </w:endnote>
  <w:endnote w:type="continuationSeparator" w:id="0">
    <w:p w:rsidR="005A19B3" w:rsidRDefault="005A19B3" w:rsidP="00B276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E5" w:rsidRDefault="00B276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989">
      <w:rPr>
        <w:noProof/>
      </w:rPr>
      <w:t>1</w:t>
    </w:r>
    <w:r>
      <w:rPr>
        <w:noProof/>
      </w:rPr>
      <w:fldChar w:fldCharType="end"/>
    </w:r>
  </w:p>
  <w:p w:rsidR="00B276E5" w:rsidRDefault="00B27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B3" w:rsidRDefault="005A19B3" w:rsidP="00B276E5">
      <w:pPr>
        <w:spacing w:after="0"/>
      </w:pPr>
      <w:r>
        <w:separator/>
      </w:r>
    </w:p>
  </w:footnote>
  <w:footnote w:type="continuationSeparator" w:id="0">
    <w:p w:rsidR="005A19B3" w:rsidRDefault="005A19B3" w:rsidP="00B276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E5" w:rsidRDefault="00B276E5">
    <w:pPr>
      <w:pStyle w:val="Header"/>
      <w:jc w:val="right"/>
    </w:pPr>
  </w:p>
  <w:p w:rsidR="00B276E5" w:rsidRDefault="00B276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0B3462"/>
    <w:multiLevelType w:val="hybridMultilevel"/>
    <w:tmpl w:val="66F89C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E3"/>
    <w:rsid w:val="00075A4E"/>
    <w:rsid w:val="000C1820"/>
    <w:rsid w:val="00102704"/>
    <w:rsid w:val="00154820"/>
    <w:rsid w:val="00154E1B"/>
    <w:rsid w:val="00176E12"/>
    <w:rsid w:val="00181D38"/>
    <w:rsid w:val="0018516A"/>
    <w:rsid w:val="001C3D2F"/>
    <w:rsid w:val="002361C9"/>
    <w:rsid w:val="002534E3"/>
    <w:rsid w:val="00291BBC"/>
    <w:rsid w:val="002D5303"/>
    <w:rsid w:val="002E6CCB"/>
    <w:rsid w:val="002F5F68"/>
    <w:rsid w:val="0035556B"/>
    <w:rsid w:val="003A28ED"/>
    <w:rsid w:val="003D3809"/>
    <w:rsid w:val="003F3BDE"/>
    <w:rsid w:val="003F49AE"/>
    <w:rsid w:val="00415EDE"/>
    <w:rsid w:val="00416E71"/>
    <w:rsid w:val="00422697"/>
    <w:rsid w:val="004904E9"/>
    <w:rsid w:val="004944DF"/>
    <w:rsid w:val="004E1827"/>
    <w:rsid w:val="004E69E9"/>
    <w:rsid w:val="004F0E44"/>
    <w:rsid w:val="004F2E20"/>
    <w:rsid w:val="0053717A"/>
    <w:rsid w:val="005433BD"/>
    <w:rsid w:val="0058295F"/>
    <w:rsid w:val="00590A5D"/>
    <w:rsid w:val="005934F3"/>
    <w:rsid w:val="005A19B3"/>
    <w:rsid w:val="005A1D5C"/>
    <w:rsid w:val="005B2B35"/>
    <w:rsid w:val="005B4052"/>
    <w:rsid w:val="005B67EB"/>
    <w:rsid w:val="005C214B"/>
    <w:rsid w:val="00624D68"/>
    <w:rsid w:val="00642EC5"/>
    <w:rsid w:val="006E4ED0"/>
    <w:rsid w:val="006F0089"/>
    <w:rsid w:val="00704427"/>
    <w:rsid w:val="00733B68"/>
    <w:rsid w:val="00741CD6"/>
    <w:rsid w:val="00752FC3"/>
    <w:rsid w:val="007749D9"/>
    <w:rsid w:val="00794759"/>
    <w:rsid w:val="007F0E37"/>
    <w:rsid w:val="008304D5"/>
    <w:rsid w:val="008334A7"/>
    <w:rsid w:val="0084035A"/>
    <w:rsid w:val="008411DA"/>
    <w:rsid w:val="008419C5"/>
    <w:rsid w:val="00857928"/>
    <w:rsid w:val="00860420"/>
    <w:rsid w:val="008861AF"/>
    <w:rsid w:val="008D40B6"/>
    <w:rsid w:val="008E20DB"/>
    <w:rsid w:val="008F4A10"/>
    <w:rsid w:val="00914D0D"/>
    <w:rsid w:val="009776EF"/>
    <w:rsid w:val="00985658"/>
    <w:rsid w:val="009B45DD"/>
    <w:rsid w:val="00A260E2"/>
    <w:rsid w:val="00A32CAE"/>
    <w:rsid w:val="00A4318E"/>
    <w:rsid w:val="00A51F00"/>
    <w:rsid w:val="00A875FB"/>
    <w:rsid w:val="00B276E5"/>
    <w:rsid w:val="00B3444D"/>
    <w:rsid w:val="00B44989"/>
    <w:rsid w:val="00B5218F"/>
    <w:rsid w:val="00BA4611"/>
    <w:rsid w:val="00BB713A"/>
    <w:rsid w:val="00BD1A93"/>
    <w:rsid w:val="00BE4307"/>
    <w:rsid w:val="00BF154F"/>
    <w:rsid w:val="00BF7F9B"/>
    <w:rsid w:val="00C1425A"/>
    <w:rsid w:val="00C239E0"/>
    <w:rsid w:val="00C3302B"/>
    <w:rsid w:val="00C3620D"/>
    <w:rsid w:val="00C428D9"/>
    <w:rsid w:val="00C75C49"/>
    <w:rsid w:val="00C91476"/>
    <w:rsid w:val="00CF04D2"/>
    <w:rsid w:val="00D00AAE"/>
    <w:rsid w:val="00D14777"/>
    <w:rsid w:val="00D339E9"/>
    <w:rsid w:val="00D34531"/>
    <w:rsid w:val="00D83C69"/>
    <w:rsid w:val="00DA00FD"/>
    <w:rsid w:val="00DA4D88"/>
    <w:rsid w:val="00DB3712"/>
    <w:rsid w:val="00DE1098"/>
    <w:rsid w:val="00DF04AE"/>
    <w:rsid w:val="00E5707B"/>
    <w:rsid w:val="00E736F9"/>
    <w:rsid w:val="00E75F7B"/>
    <w:rsid w:val="00E904C6"/>
    <w:rsid w:val="00EA7E08"/>
    <w:rsid w:val="00EB32DE"/>
    <w:rsid w:val="00EC2672"/>
    <w:rsid w:val="00F117FB"/>
    <w:rsid w:val="00F23393"/>
    <w:rsid w:val="00F43DED"/>
    <w:rsid w:val="00F561D4"/>
    <w:rsid w:val="00F95F7A"/>
    <w:rsid w:val="00FA3941"/>
    <w:rsid w:val="00FA3C86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ascii="Calibri" w:hAnsi="Calibri" w:cs="Arial Unicode MS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 w:cs="Arial Unicode MS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uiPriority w:val="99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F23393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link w:val="Header"/>
    <w:uiPriority w:val="99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Cs w:val="18"/>
    </w:rPr>
  </w:style>
  <w:style w:type="paragraph" w:styleId="ListParagraph">
    <w:name w:val="List Paragraph"/>
    <w:basedOn w:val="Normal"/>
    <w:qFormat/>
    <w:rsid w:val="008334A7"/>
    <w:pPr>
      <w:widowControl w:val="0"/>
      <w:spacing w:after="0"/>
      <w:ind w:left="720"/>
      <w:contextualSpacing/>
    </w:pPr>
    <w:rPr>
      <w:rFonts w:ascii="Courier" w:hAnsi="Courier" w:cs="Times New Roman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ascii="Calibri" w:hAnsi="Calibri" w:cs="Arial Unicode MS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 w:cs="Arial Unicode MS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uiPriority w:val="99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F23393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link w:val="Header"/>
    <w:uiPriority w:val="99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Cs w:val="18"/>
    </w:rPr>
  </w:style>
  <w:style w:type="paragraph" w:styleId="ListParagraph">
    <w:name w:val="List Paragraph"/>
    <w:basedOn w:val="Normal"/>
    <w:qFormat/>
    <w:rsid w:val="008334A7"/>
    <w:pPr>
      <w:widowControl w:val="0"/>
      <w:spacing w:after="0"/>
      <w:ind w:left="720"/>
      <w:contextualSpacing/>
    </w:pPr>
    <w:rPr>
      <w:rFonts w:ascii="Courier" w:hAnsi="Courier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C2FB-7453-489F-92DA-77636215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Brown</dc:creator>
  <cp:keywords/>
  <cp:lastModifiedBy>SYSTEM</cp:lastModifiedBy>
  <cp:revision>2</cp:revision>
  <cp:lastPrinted>2018-06-26T10:57:00Z</cp:lastPrinted>
  <dcterms:created xsi:type="dcterms:W3CDTF">2018-07-30T14:51:00Z</dcterms:created>
  <dcterms:modified xsi:type="dcterms:W3CDTF">2018-07-30T14:51:00Z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-230021592</vt:i4>
  </property>
  <property fmtid="{D5CDD505-2E9C-101B-9397-08002B2CF9AE}" pid="3" name="_NewReviewCycle">
    <vt:lpwstr/>
  </property>
  <property fmtid="{D5CDD505-2E9C-101B-9397-08002B2CF9AE}" pid="4" name="_EmailSubject">
    <vt:lpwstr>OISP OEEMP reply: OMB Expiration Notice:  0960-0425 Coverage of Employees of State and Local Governments</vt:lpwstr>
  </property>
  <property fmtid="{D5CDD505-2E9C-101B-9397-08002B2CF9AE}" pid="5" name="_AuthorEmail">
    <vt:lpwstr>OISP.OEEMP.Controls@ssa.gov</vt:lpwstr>
  </property>
  <property fmtid="{D5CDD505-2E9C-101B-9397-08002B2CF9AE}" pid="6" name="_AuthorEmailDisplayName">
    <vt:lpwstr>^OISP OEEMP Controls</vt:lpwstr>
  </property>
  <property fmtid="{D5CDD505-2E9C-101B-9397-08002B2CF9AE}" pid="7" name="_PreviousAdHocReviewCycleID">
    <vt:i4>-981818798</vt:i4>
  </property>
  <property fmtid="{D5CDD505-2E9C-101B-9397-08002B2CF9AE}" pid="8" name="_ReviewingToolsShownOnce">
    <vt:lpwstr/>
  </property>
</Properties>
</file>